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48"/>
          <w:szCs w:val="48"/>
        </w:rPr>
      </w:pPr>
    </w:p>
    <w:p>
      <w:pPr>
        <w:jc w:val="center"/>
        <w:rPr>
          <w:b/>
          <w:bCs/>
          <w:sz w:val="48"/>
          <w:szCs w:val="48"/>
        </w:rPr>
      </w:pPr>
    </w:p>
    <w:p>
      <w:pPr>
        <w:jc w:val="center"/>
        <w:rPr>
          <w:b/>
          <w:bCs/>
          <w:sz w:val="48"/>
          <w:szCs w:val="48"/>
        </w:rPr>
      </w:pPr>
    </w:p>
    <w:p>
      <w:pPr>
        <w:pStyle w:val="2"/>
        <w:ind w:firstLine="964" w:firstLineChars="200"/>
        <w:rPr>
          <w:b/>
          <w:bCs/>
          <w:sz w:val="48"/>
          <w:szCs w:val="48"/>
        </w:rPr>
      </w:pPr>
      <w:r>
        <w:rPr>
          <w:rFonts w:hint="eastAsia"/>
          <w:b/>
          <w:bCs/>
          <w:sz w:val="48"/>
          <w:szCs w:val="48"/>
        </w:rPr>
        <w:t>2024年精细化运维服务采购项目</w:t>
      </w:r>
    </w:p>
    <w:p>
      <w:pPr>
        <w:jc w:val="center"/>
        <w:rPr>
          <w:b/>
          <w:bCs/>
          <w:sz w:val="48"/>
          <w:szCs w:val="48"/>
        </w:rPr>
      </w:pPr>
    </w:p>
    <w:p>
      <w:pPr>
        <w:jc w:val="center"/>
        <w:rPr>
          <w:b/>
          <w:bCs/>
          <w:sz w:val="48"/>
          <w:szCs w:val="48"/>
        </w:rPr>
      </w:pPr>
      <w:r>
        <w:rPr>
          <w:rFonts w:hint="eastAsia"/>
          <w:b/>
          <w:bCs/>
          <w:sz w:val="48"/>
          <w:szCs w:val="48"/>
        </w:rPr>
        <w:t>竞争性磋商文件</w:t>
      </w:r>
    </w:p>
    <w:p>
      <w:pPr>
        <w:spacing w:line="360" w:lineRule="auto"/>
        <w:rPr>
          <w:rFonts w:ascii="宋体" w:hAnsi="宋体"/>
          <w:b/>
          <w:bCs/>
          <w:sz w:val="60"/>
          <w:szCs w:val="60"/>
        </w:rPr>
      </w:pPr>
    </w:p>
    <w:p>
      <w:pPr>
        <w:spacing w:line="360" w:lineRule="auto"/>
        <w:jc w:val="center"/>
        <w:rPr>
          <w:rFonts w:ascii="宋体" w:hAnsi="宋体"/>
          <w:b/>
          <w:bCs/>
          <w:sz w:val="60"/>
          <w:szCs w:val="60"/>
        </w:rPr>
      </w:pPr>
    </w:p>
    <w:p>
      <w:pPr>
        <w:pStyle w:val="2"/>
      </w:pPr>
    </w:p>
    <w:p/>
    <w:p>
      <w:pPr>
        <w:pStyle w:val="2"/>
      </w:pPr>
    </w:p>
    <w:p/>
    <w:p>
      <w:pPr>
        <w:pStyle w:val="2"/>
      </w:pPr>
    </w:p>
    <w:p/>
    <w:p>
      <w:pPr>
        <w:pStyle w:val="2"/>
      </w:pPr>
    </w:p>
    <w:p/>
    <w:p>
      <w:pPr>
        <w:pStyle w:val="2"/>
      </w:pPr>
    </w:p>
    <w:p/>
    <w:p>
      <w:pPr>
        <w:pStyle w:val="2"/>
      </w:pPr>
    </w:p>
    <w:p/>
    <w:p>
      <w:pPr>
        <w:pStyle w:val="2"/>
      </w:pPr>
    </w:p>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项目编号：</w:t>
      </w:r>
      <w:r>
        <w:rPr>
          <w:bCs/>
          <w:sz w:val="36"/>
          <w:szCs w:val="36"/>
        </w:rPr>
        <w:tab/>
      </w:r>
      <w:r>
        <w:rPr>
          <w:bCs/>
          <w:sz w:val="36"/>
          <w:szCs w:val="36"/>
        </w:rPr>
        <w:t>ZST20231121</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w:t>
      </w:r>
      <w:r>
        <w:rPr>
          <w:bCs/>
          <w:sz w:val="36"/>
          <w:szCs w:val="36"/>
        </w:rPr>
        <w:t xml:space="preserve"> </w:t>
      </w:r>
      <w:r>
        <w:rPr>
          <w:rFonts w:hint="eastAsia"/>
          <w:bCs/>
          <w:sz w:val="36"/>
          <w:szCs w:val="36"/>
        </w:rPr>
        <w:t>购</w:t>
      </w:r>
      <w:r>
        <w:rPr>
          <w:bCs/>
          <w:sz w:val="36"/>
          <w:szCs w:val="36"/>
        </w:rPr>
        <w:t xml:space="preserve"> </w:t>
      </w:r>
      <w:r>
        <w:rPr>
          <w:rFonts w:hint="eastAsia"/>
          <w:bCs/>
          <w:sz w:val="36"/>
          <w:szCs w:val="36"/>
        </w:rPr>
        <w:t>人：东城区建国门街道</w:t>
      </w:r>
      <w:r>
        <w:rPr>
          <w:bCs/>
          <w:sz w:val="36"/>
          <w:szCs w:val="36"/>
        </w:rPr>
        <w:t xml:space="preserve"> </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采购代理机构：中深泰项目管理有限公司</w:t>
      </w:r>
      <w:r>
        <w:rPr>
          <w:bCs/>
          <w:sz w:val="36"/>
          <w:szCs w:val="36"/>
        </w:rPr>
        <w:t xml:space="preserve"> </w:t>
      </w:r>
    </w:p>
    <w:p>
      <w:pPr>
        <w:widowControl/>
        <w:jc w:val="left"/>
        <w:sectPr>
          <w:pgSz w:w="11906" w:h="16838"/>
          <w:pgMar w:top="1911" w:right="1474" w:bottom="1882" w:left="1587" w:header="851" w:footer="992" w:gutter="0"/>
          <w:cols w:space="720" w:num="1"/>
        </w:sectPr>
      </w:pPr>
    </w:p>
    <w:p>
      <w:pPr>
        <w:spacing w:line="360" w:lineRule="auto"/>
        <w:ind w:firstLine="3614" w:firstLineChars="1000"/>
        <w:outlineLvl w:val="0"/>
        <w:rPr>
          <w:b/>
          <w:sz w:val="36"/>
          <w:szCs w:val="36"/>
        </w:rPr>
      </w:pPr>
      <w:r>
        <w:rPr>
          <w:rFonts w:hint="eastAsia"/>
          <w:b/>
          <w:sz w:val="36"/>
          <w:szCs w:val="36"/>
        </w:rPr>
        <w:t>目</w:t>
      </w:r>
      <w:r>
        <w:rPr>
          <w:b/>
          <w:sz w:val="36"/>
          <w:szCs w:val="36"/>
        </w:rPr>
        <w:t xml:space="preserve">      </w:t>
      </w:r>
      <w:r>
        <w:rPr>
          <w:rFonts w:hint="eastAsia"/>
          <w:b/>
          <w:sz w:val="36"/>
          <w:szCs w:val="36"/>
        </w:rPr>
        <w:t>录</w:t>
      </w:r>
    </w:p>
    <w:p/>
    <w:p/>
    <w:p/>
    <w:p/>
    <w:p>
      <w:pPr>
        <w:pStyle w:val="31"/>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"file:///D:\\公司文件夹\\公司文档\\招标\\中深泰项目\\2023年项目\\东城建国门街道2024年精细化运维服务项目(磋商）\\磋商文件.doc" \l "_Toc97371941" </w:instrText>
      </w:r>
      <w:r>
        <w:fldChar w:fldCharType="separate"/>
      </w:r>
      <w:r>
        <w:rPr>
          <w:rStyle w:val="49"/>
          <w:rFonts w:hint="eastAsia"/>
          <w:color w:val="auto"/>
        </w:rPr>
        <w:t>第一章</w:t>
      </w:r>
      <w:r>
        <w:rPr>
          <w:rStyle w:val="49"/>
          <w:color w:val="auto"/>
        </w:rPr>
        <w:t xml:space="preserve">   </w:t>
      </w:r>
      <w:r>
        <w:rPr>
          <w:rStyle w:val="49"/>
          <w:rFonts w:hint="eastAsia"/>
          <w:color w:val="auto"/>
        </w:rPr>
        <w:t>采购邀请</w:t>
      </w:r>
      <w:r>
        <w:rPr>
          <w:rStyle w:val="49"/>
          <w:color w:val="auto"/>
        </w:rPr>
        <w:tab/>
      </w:r>
      <w:r>
        <w:rPr>
          <w:rStyle w:val="49"/>
          <w:color w:val="auto"/>
        </w:rPr>
        <w:fldChar w:fldCharType="begin"/>
      </w:r>
      <w:r>
        <w:rPr>
          <w:rStyle w:val="49"/>
          <w:color w:val="auto"/>
        </w:rPr>
        <w:instrText xml:space="preserve"> PAGEREF _Toc97371941 \h </w:instrText>
      </w:r>
      <w:r>
        <w:rPr>
          <w:rStyle w:val="49"/>
          <w:color w:val="auto"/>
        </w:rPr>
        <w:fldChar w:fldCharType="separate"/>
      </w:r>
      <w:r>
        <w:rPr>
          <w:rStyle w:val="49"/>
          <w:color w:val="auto"/>
        </w:rPr>
        <w:t>1</w:t>
      </w:r>
      <w:r>
        <w:rPr>
          <w:rStyle w:val="49"/>
          <w:color w:val="auto"/>
        </w:rPr>
        <w:fldChar w:fldCharType="end"/>
      </w:r>
      <w:r>
        <w:rPr>
          <w:rStyle w:val="49"/>
          <w:color w:val="auto"/>
        </w:rPr>
        <w:fldChar w:fldCharType="end"/>
      </w:r>
    </w:p>
    <w:p>
      <w:pPr>
        <w:pStyle w:val="31"/>
        <w:spacing w:line="360" w:lineRule="auto"/>
        <w:rPr>
          <w:rFonts w:ascii="Times New Roman" w:hAnsi="Times New Roman"/>
          <w:b w:val="0"/>
          <w:sz w:val="21"/>
          <w:szCs w:val="22"/>
        </w:rPr>
      </w:pPr>
      <w:r>
        <w:fldChar w:fldCharType="begin"/>
      </w:r>
      <w:r>
        <w:instrText xml:space="preserve"> HYPERLINK "file:///D:\\公司文件夹\\公司文档\\招标\\中深泰项目\\2023年项目\\东城建国门街道2024年精细化运维服务项目(磋商）\\磋商文件.doc" \l "_Toc97371942" </w:instrText>
      </w:r>
      <w:r>
        <w:fldChar w:fldCharType="separate"/>
      </w:r>
      <w:r>
        <w:rPr>
          <w:rStyle w:val="49"/>
          <w:rFonts w:hint="eastAsia"/>
          <w:color w:val="auto"/>
        </w:rPr>
        <w:t>第二章</w:t>
      </w:r>
      <w:r>
        <w:rPr>
          <w:rStyle w:val="49"/>
          <w:color w:val="auto"/>
        </w:rPr>
        <w:t xml:space="preserve">   </w:t>
      </w:r>
      <w:r>
        <w:rPr>
          <w:rStyle w:val="49"/>
          <w:rFonts w:hint="eastAsia"/>
          <w:color w:val="auto"/>
        </w:rPr>
        <w:t>供应商须知</w:t>
      </w:r>
      <w:r>
        <w:rPr>
          <w:rStyle w:val="49"/>
          <w:color w:val="auto"/>
        </w:rPr>
        <w:tab/>
      </w:r>
      <w:r>
        <w:rPr>
          <w:rStyle w:val="49"/>
          <w:color w:val="auto"/>
        </w:rPr>
        <w:fldChar w:fldCharType="begin"/>
      </w:r>
      <w:r>
        <w:rPr>
          <w:rStyle w:val="49"/>
          <w:color w:val="auto"/>
        </w:rPr>
        <w:instrText xml:space="preserve"> PAGEREF _Toc97371942 \h </w:instrText>
      </w:r>
      <w:r>
        <w:rPr>
          <w:rStyle w:val="49"/>
          <w:color w:val="auto"/>
        </w:rPr>
        <w:fldChar w:fldCharType="separate"/>
      </w:r>
      <w:r>
        <w:rPr>
          <w:rStyle w:val="49"/>
          <w:color w:val="auto"/>
        </w:rPr>
        <w:t>4</w:t>
      </w:r>
      <w:r>
        <w:rPr>
          <w:rStyle w:val="49"/>
          <w:color w:val="auto"/>
        </w:rPr>
        <w:fldChar w:fldCharType="end"/>
      </w:r>
      <w:r>
        <w:rPr>
          <w:rStyle w:val="49"/>
          <w:color w:val="auto"/>
        </w:rPr>
        <w:fldChar w:fldCharType="end"/>
      </w:r>
    </w:p>
    <w:p>
      <w:pPr>
        <w:pStyle w:val="31"/>
        <w:spacing w:line="360" w:lineRule="auto"/>
        <w:rPr>
          <w:rFonts w:ascii="Times New Roman" w:hAnsi="Times New Roman"/>
          <w:b w:val="0"/>
          <w:sz w:val="21"/>
          <w:szCs w:val="22"/>
        </w:rPr>
      </w:pPr>
      <w:r>
        <w:fldChar w:fldCharType="begin"/>
      </w:r>
      <w:r>
        <w:instrText xml:space="preserve"> HYPERLINK "file:///D:\\公司文件夹\\公司文档\\招标\\中深泰项目\\2023年项目\\东城建国门街道2024年精细化运维服务项目(磋商）\\磋商文件.doc" \l "_Toc97371943" </w:instrText>
      </w:r>
      <w:r>
        <w:fldChar w:fldCharType="separate"/>
      </w:r>
      <w:r>
        <w:rPr>
          <w:rStyle w:val="49"/>
          <w:rFonts w:hint="eastAsia"/>
          <w:color w:val="auto"/>
        </w:rPr>
        <w:t>第三章</w:t>
      </w:r>
      <w:r>
        <w:rPr>
          <w:rStyle w:val="49"/>
          <w:color w:val="auto"/>
        </w:rPr>
        <w:t xml:space="preserve">   </w:t>
      </w:r>
      <w:r>
        <w:rPr>
          <w:rStyle w:val="49"/>
          <w:rFonts w:hint="eastAsia"/>
          <w:color w:val="auto"/>
        </w:rPr>
        <w:t>评审方法和评审标准</w:t>
      </w:r>
      <w:r>
        <w:rPr>
          <w:rStyle w:val="49"/>
          <w:color w:val="auto"/>
        </w:rPr>
        <w:tab/>
      </w:r>
      <w:r>
        <w:rPr>
          <w:rStyle w:val="49"/>
          <w:color w:val="auto"/>
        </w:rPr>
        <w:fldChar w:fldCharType="begin"/>
      </w:r>
      <w:r>
        <w:rPr>
          <w:rStyle w:val="49"/>
          <w:color w:val="auto"/>
        </w:rPr>
        <w:instrText xml:space="preserve"> PAGEREF _Toc97371943 \h </w:instrText>
      </w:r>
      <w:r>
        <w:rPr>
          <w:rStyle w:val="49"/>
          <w:color w:val="auto"/>
        </w:rPr>
        <w:fldChar w:fldCharType="separate"/>
      </w:r>
      <w:r>
        <w:rPr>
          <w:rStyle w:val="49"/>
          <w:color w:val="auto"/>
        </w:rPr>
        <w:t>19</w:t>
      </w:r>
      <w:r>
        <w:rPr>
          <w:rStyle w:val="49"/>
          <w:color w:val="auto"/>
        </w:rPr>
        <w:fldChar w:fldCharType="end"/>
      </w:r>
      <w:r>
        <w:rPr>
          <w:rStyle w:val="49"/>
          <w:color w:val="auto"/>
        </w:rPr>
        <w:fldChar w:fldCharType="end"/>
      </w:r>
    </w:p>
    <w:p>
      <w:pPr>
        <w:pStyle w:val="31"/>
        <w:spacing w:line="360" w:lineRule="auto"/>
        <w:rPr>
          <w:rFonts w:ascii="Times New Roman" w:hAnsi="Times New Roman"/>
          <w:b w:val="0"/>
          <w:sz w:val="21"/>
          <w:szCs w:val="22"/>
        </w:rPr>
      </w:pPr>
      <w:r>
        <w:fldChar w:fldCharType="begin"/>
      </w:r>
      <w:r>
        <w:instrText xml:space="preserve"> HYPERLINK "file:///D:\\公司文件夹\\公司文档\\招标\\中深泰项目\\2023年项目\\东城建国门街道2024年精细化运维服务项目(磋商）\\磋商文件.doc" \l "_Toc97371945" </w:instrText>
      </w:r>
      <w:r>
        <w:fldChar w:fldCharType="separate"/>
      </w:r>
      <w:r>
        <w:rPr>
          <w:rStyle w:val="49"/>
          <w:rFonts w:hint="eastAsia"/>
          <w:color w:val="auto"/>
        </w:rPr>
        <w:t>第四章</w:t>
      </w:r>
      <w:r>
        <w:rPr>
          <w:rStyle w:val="49"/>
          <w:color w:val="auto"/>
        </w:rPr>
        <w:t xml:space="preserve">   </w:t>
      </w:r>
      <w:r>
        <w:rPr>
          <w:rStyle w:val="49"/>
          <w:rFonts w:hint="eastAsia"/>
          <w:color w:val="auto"/>
        </w:rPr>
        <w:t>采购需求</w:t>
      </w:r>
      <w:r>
        <w:rPr>
          <w:rStyle w:val="49"/>
          <w:color w:val="auto"/>
        </w:rPr>
        <w:tab/>
      </w:r>
      <w:r>
        <w:rPr>
          <w:rStyle w:val="49"/>
          <w:color w:val="auto"/>
        </w:rPr>
        <w:fldChar w:fldCharType="begin"/>
      </w:r>
      <w:r>
        <w:rPr>
          <w:rStyle w:val="49"/>
          <w:color w:val="auto"/>
        </w:rPr>
        <w:instrText xml:space="preserve"> PAGEREF _Toc97371945 \h </w:instrText>
      </w:r>
      <w:r>
        <w:rPr>
          <w:rStyle w:val="49"/>
          <w:color w:val="auto"/>
        </w:rPr>
        <w:fldChar w:fldCharType="separate"/>
      </w:r>
      <w:r>
        <w:rPr>
          <w:rStyle w:val="49"/>
          <w:color w:val="auto"/>
        </w:rPr>
        <w:t>27</w:t>
      </w:r>
      <w:r>
        <w:rPr>
          <w:rStyle w:val="49"/>
          <w:color w:val="auto"/>
        </w:rPr>
        <w:fldChar w:fldCharType="end"/>
      </w:r>
      <w:r>
        <w:rPr>
          <w:rStyle w:val="49"/>
          <w:color w:val="auto"/>
        </w:rPr>
        <w:fldChar w:fldCharType="end"/>
      </w:r>
    </w:p>
    <w:p>
      <w:pPr>
        <w:pStyle w:val="31"/>
        <w:spacing w:line="360" w:lineRule="auto"/>
        <w:rPr>
          <w:rFonts w:ascii="Times New Roman" w:hAnsi="Times New Roman"/>
          <w:b w:val="0"/>
          <w:sz w:val="21"/>
          <w:szCs w:val="22"/>
        </w:rPr>
      </w:pPr>
      <w:r>
        <w:fldChar w:fldCharType="begin"/>
      </w:r>
      <w:r>
        <w:instrText xml:space="preserve"> HYPERLINK "file:///D:\\公司文件夹\\公司文档\\招标\\中深泰项目\\2023年项目\\东城建国门街道2024年精细化运维服务项目(磋商）\\磋商文件.doc" \l "_Toc97371946" </w:instrText>
      </w:r>
      <w:r>
        <w:fldChar w:fldCharType="separate"/>
      </w:r>
      <w:r>
        <w:rPr>
          <w:rStyle w:val="49"/>
          <w:rFonts w:hint="eastAsia"/>
          <w:color w:val="auto"/>
        </w:rPr>
        <w:t>第五章</w:t>
      </w:r>
      <w:r>
        <w:rPr>
          <w:rStyle w:val="49"/>
          <w:color w:val="auto"/>
        </w:rPr>
        <w:t xml:space="preserve">   </w:t>
      </w:r>
      <w:r>
        <w:rPr>
          <w:rStyle w:val="49"/>
          <w:rFonts w:hint="eastAsia"/>
          <w:color w:val="auto"/>
        </w:rPr>
        <w:t>合同草案条款</w:t>
      </w:r>
      <w:r>
        <w:rPr>
          <w:rStyle w:val="49"/>
          <w:color w:val="auto"/>
        </w:rPr>
        <w:tab/>
      </w:r>
      <w:r>
        <w:rPr>
          <w:rStyle w:val="49"/>
          <w:color w:val="auto"/>
        </w:rPr>
        <w:fldChar w:fldCharType="begin"/>
      </w:r>
      <w:r>
        <w:rPr>
          <w:rStyle w:val="49"/>
          <w:color w:val="auto"/>
        </w:rPr>
        <w:instrText xml:space="preserve"> PAGEREF _Toc97371946 \h </w:instrText>
      </w:r>
      <w:r>
        <w:rPr>
          <w:rStyle w:val="49"/>
          <w:color w:val="auto"/>
        </w:rPr>
        <w:fldChar w:fldCharType="separate"/>
      </w:r>
      <w:r>
        <w:rPr>
          <w:rStyle w:val="49"/>
          <w:color w:val="auto"/>
        </w:rPr>
        <w:t>29</w:t>
      </w:r>
      <w:r>
        <w:rPr>
          <w:rStyle w:val="49"/>
          <w:color w:val="auto"/>
        </w:rPr>
        <w:fldChar w:fldCharType="end"/>
      </w:r>
      <w:r>
        <w:rPr>
          <w:rStyle w:val="49"/>
          <w:color w:val="auto"/>
        </w:rPr>
        <w:fldChar w:fldCharType="end"/>
      </w:r>
    </w:p>
    <w:p>
      <w:pPr>
        <w:pStyle w:val="31"/>
        <w:spacing w:line="360" w:lineRule="auto"/>
        <w:rPr>
          <w:rFonts w:ascii="Times New Roman" w:hAnsi="Times New Roman"/>
          <w:b w:val="0"/>
          <w:sz w:val="21"/>
          <w:szCs w:val="22"/>
        </w:rPr>
      </w:pPr>
      <w:r>
        <w:fldChar w:fldCharType="begin"/>
      </w:r>
      <w:r>
        <w:instrText xml:space="preserve"> HYPERLINK "file:///D:\\公司文件夹\\公司文档\\招标\\中深泰项目\\2023年项目\\东城建国门街道2024年精细化运维服务项目(磋商）\\磋商文件.doc" \l "_Toc97371947" </w:instrText>
      </w:r>
      <w:r>
        <w:fldChar w:fldCharType="separate"/>
      </w:r>
      <w:r>
        <w:rPr>
          <w:rStyle w:val="49"/>
          <w:rFonts w:hint="eastAsia"/>
          <w:color w:val="auto"/>
        </w:rPr>
        <w:t>第六章</w:t>
      </w:r>
      <w:r>
        <w:rPr>
          <w:rStyle w:val="49"/>
          <w:color w:val="auto"/>
        </w:rPr>
        <w:t xml:space="preserve">   </w:t>
      </w:r>
      <w:r>
        <w:rPr>
          <w:rStyle w:val="49"/>
          <w:rFonts w:hint="eastAsia"/>
          <w:color w:val="auto"/>
        </w:rPr>
        <w:t>响应文件格式</w:t>
      </w:r>
      <w:r>
        <w:rPr>
          <w:rStyle w:val="49"/>
          <w:color w:val="auto"/>
        </w:rPr>
        <w:tab/>
      </w:r>
      <w:r>
        <w:rPr>
          <w:rStyle w:val="49"/>
          <w:color w:val="auto"/>
        </w:rPr>
        <w:fldChar w:fldCharType="begin"/>
      </w:r>
      <w:r>
        <w:rPr>
          <w:rStyle w:val="49"/>
          <w:color w:val="auto"/>
        </w:rPr>
        <w:instrText xml:space="preserve"> PAGEREF _Toc97371947 \h </w:instrText>
      </w:r>
      <w:r>
        <w:rPr>
          <w:rStyle w:val="49"/>
          <w:color w:val="auto"/>
        </w:rPr>
        <w:fldChar w:fldCharType="separate"/>
      </w:r>
      <w:r>
        <w:rPr>
          <w:rStyle w:val="49"/>
          <w:color w:val="auto"/>
        </w:rPr>
        <w:t>32</w:t>
      </w:r>
      <w:r>
        <w:rPr>
          <w:rStyle w:val="49"/>
          <w:color w:val="auto"/>
        </w:rPr>
        <w:fldChar w:fldCharType="end"/>
      </w:r>
      <w:r>
        <w:rPr>
          <w:rStyle w:val="49"/>
          <w:color w:val="auto"/>
        </w:rPr>
        <w:fldChar w:fldCharType="end"/>
      </w:r>
    </w:p>
    <w:p>
      <w:pPr>
        <w:pStyle w:val="31"/>
        <w:spacing w:line="360" w:lineRule="auto"/>
        <w:rPr>
          <w:rFonts w:ascii="Times New Roman" w:hAnsi="Times New Roman"/>
          <w:b w:val="0"/>
        </w:rPr>
      </w:pPr>
      <w:r>
        <w:rPr>
          <w:rFonts w:ascii="Times New Roman" w:hAnsi="Times New Roman"/>
          <w:b w:val="0"/>
        </w:rPr>
        <w:fldChar w:fldCharType="end"/>
      </w:r>
    </w:p>
    <w:p>
      <w:pPr>
        <w:pStyle w:val="31"/>
        <w:spacing w:line="360" w:lineRule="auto"/>
        <w:rPr>
          <w:b w:val="0"/>
          <w:sz w:val="36"/>
          <w:szCs w:val="36"/>
        </w:rPr>
      </w:pPr>
      <w:bookmarkStart w:id="0" w:name="_Toc97371941"/>
    </w:p>
    <w:p>
      <w:pPr>
        <w:widowControl/>
        <w:spacing w:line="360" w:lineRule="auto"/>
        <w:jc w:val="left"/>
        <w:rPr>
          <w:b/>
          <w:sz w:val="36"/>
          <w:szCs w:val="36"/>
        </w:rPr>
        <w:sectPr>
          <w:type w:val="nextColumn"/>
          <w:pgSz w:w="11907" w:h="16840"/>
          <w:pgMar w:top="1418" w:right="1134" w:bottom="1418" w:left="1701" w:header="851" w:footer="851" w:gutter="0"/>
          <w:pgNumType w:start="1"/>
          <w:cols w:space="720" w:num="1"/>
        </w:sectPr>
      </w:pPr>
    </w:p>
    <w:p>
      <w:pPr>
        <w:spacing w:line="360" w:lineRule="auto"/>
        <w:jc w:val="center"/>
        <w:outlineLvl w:val="0"/>
        <w:rPr>
          <w:b/>
          <w:sz w:val="36"/>
          <w:szCs w:val="36"/>
        </w:rPr>
      </w:pPr>
      <w:r>
        <w:rPr>
          <w:rFonts w:hint="eastAsia"/>
          <w:b/>
          <w:sz w:val="36"/>
          <w:szCs w:val="36"/>
        </w:rPr>
        <w:t>第一章</w:t>
      </w:r>
      <w:r>
        <w:rPr>
          <w:b/>
          <w:sz w:val="36"/>
          <w:szCs w:val="36"/>
        </w:rPr>
        <w:t xml:space="preserve">   </w:t>
      </w:r>
      <w:r>
        <w:rPr>
          <w:rFonts w:hint="eastAsia"/>
          <w:b/>
          <w:sz w:val="36"/>
          <w:szCs w:val="36"/>
        </w:rPr>
        <w:t>采购邀请</w:t>
      </w:r>
      <w:bookmarkEnd w:id="0"/>
      <w:bookmarkStart w:id="1" w:name="_Toc35393790"/>
      <w:bookmarkStart w:id="2" w:name="_Toc28359002"/>
      <w:bookmarkStart w:id="3" w:name="_Toc28359079"/>
      <w:bookmarkStart w:id="4" w:name="_Toc35393621"/>
      <w:bookmarkStart w:id="5" w:name="_Hlk24379207"/>
    </w:p>
    <w:p>
      <w:pPr>
        <w:spacing w:line="360" w:lineRule="auto"/>
        <w:ind w:firstLine="480" w:firstLineChars="200"/>
        <w:rPr>
          <w:sz w:val="24"/>
        </w:rPr>
      </w:pPr>
    </w:p>
    <w:p>
      <w:pPr>
        <w:pStyle w:val="4"/>
        <w:spacing w:before="0" w:line="360" w:lineRule="auto"/>
        <w:jc w:val="left"/>
        <w:rPr>
          <w:rFonts w:ascii="Times New Roman" w:hAnsi="Times New Roman" w:eastAsia="宋体"/>
          <w:sz w:val="24"/>
          <w:szCs w:val="24"/>
        </w:rPr>
      </w:pPr>
      <w:r>
        <w:rPr>
          <w:rFonts w:hint="eastAsia" w:ascii="Times New Roman" w:hAnsi="Times New Roman" w:eastAsia="宋体"/>
          <w:sz w:val="24"/>
          <w:szCs w:val="24"/>
        </w:rPr>
        <w:t>一、项目基本情况</w:t>
      </w:r>
      <w:bookmarkEnd w:id="1"/>
      <w:bookmarkEnd w:id="2"/>
      <w:bookmarkEnd w:id="3"/>
      <w:bookmarkEnd w:id="4"/>
    </w:p>
    <w:p>
      <w:pPr>
        <w:spacing w:line="360" w:lineRule="auto"/>
        <w:ind w:firstLine="480" w:firstLineChars="200"/>
        <w:rPr>
          <w:sz w:val="24"/>
        </w:rPr>
      </w:pPr>
      <w:r>
        <w:rPr>
          <w:sz w:val="24"/>
        </w:rPr>
        <w:t>1.</w:t>
      </w:r>
      <w:r>
        <w:rPr>
          <w:rFonts w:hint="eastAsia"/>
          <w:sz w:val="24"/>
        </w:rPr>
        <w:t>项目编号</w:t>
      </w:r>
      <w:r>
        <w:rPr>
          <w:sz w:val="24"/>
        </w:rPr>
        <w:t>/</w:t>
      </w:r>
      <w:r>
        <w:rPr>
          <w:rFonts w:hint="eastAsia"/>
          <w:sz w:val="24"/>
        </w:rPr>
        <w:t>包号：</w:t>
      </w:r>
      <w:r>
        <w:rPr>
          <w:sz w:val="24"/>
        </w:rPr>
        <w:t>ZST20231121</w:t>
      </w:r>
    </w:p>
    <w:p>
      <w:pPr>
        <w:ind w:firstLine="480" w:firstLineChars="200"/>
        <w:rPr>
          <w:sz w:val="24"/>
        </w:rPr>
      </w:pPr>
      <w:r>
        <w:rPr>
          <w:sz w:val="24"/>
        </w:rPr>
        <w:t>2.</w:t>
      </w:r>
      <w:r>
        <w:rPr>
          <w:rFonts w:hint="eastAsia"/>
          <w:sz w:val="24"/>
        </w:rPr>
        <w:t>项目名称：</w:t>
      </w:r>
      <w:bookmarkStart w:id="818" w:name="_GoBack"/>
      <w:r>
        <w:rPr>
          <w:rFonts w:hint="eastAsia"/>
          <w:sz w:val="24"/>
        </w:rPr>
        <w:t>2024年精细化运维服务采购项目</w:t>
      </w:r>
      <w:bookmarkEnd w:id="818"/>
    </w:p>
    <w:p>
      <w:pPr>
        <w:spacing w:line="360" w:lineRule="auto"/>
        <w:ind w:firstLine="480" w:firstLineChars="200"/>
        <w:rPr>
          <w:sz w:val="24"/>
        </w:rPr>
      </w:pPr>
      <w:r>
        <w:rPr>
          <w:sz w:val="24"/>
        </w:rPr>
        <w:t>3.</w:t>
      </w:r>
      <w:r>
        <w:rPr>
          <w:rFonts w:hint="eastAsia"/>
          <w:sz w:val="24"/>
        </w:rPr>
        <w:t>采购方式：竞争性磋商</w:t>
      </w:r>
    </w:p>
    <w:bookmarkEnd w:id="5"/>
    <w:p>
      <w:pPr>
        <w:spacing w:line="360" w:lineRule="auto"/>
        <w:ind w:firstLine="480" w:firstLineChars="200"/>
        <w:rPr>
          <w:sz w:val="24"/>
        </w:rPr>
      </w:pPr>
      <w:r>
        <w:rPr>
          <w:sz w:val="24"/>
        </w:rPr>
        <w:t>4.</w:t>
      </w:r>
      <w:r>
        <w:rPr>
          <w:rFonts w:hint="eastAsia"/>
          <w:sz w:val="24"/>
        </w:rPr>
        <w:t>项目预算金额：</w:t>
      </w:r>
      <w:r>
        <w:rPr>
          <w:sz w:val="24"/>
        </w:rPr>
        <w:t>264.625785</w:t>
      </w:r>
      <w:r>
        <w:rPr>
          <w:rFonts w:hint="eastAsia"/>
          <w:sz w:val="24"/>
        </w:rPr>
        <w:t>万元、项目最高限价（如有）：</w:t>
      </w:r>
      <w:r>
        <w:rPr>
          <w:sz w:val="24"/>
        </w:rPr>
        <w:t>264.625785</w:t>
      </w:r>
      <w:r>
        <w:rPr>
          <w:rFonts w:hint="eastAsia"/>
          <w:sz w:val="24"/>
        </w:rPr>
        <w:t>万元</w:t>
      </w:r>
    </w:p>
    <w:p>
      <w:pPr>
        <w:spacing w:line="360" w:lineRule="auto"/>
        <w:ind w:firstLine="480" w:firstLineChars="200"/>
        <w:rPr>
          <w:sz w:val="24"/>
        </w:rPr>
      </w:pPr>
      <w:r>
        <w:rPr>
          <w:sz w:val="24"/>
        </w:rPr>
        <w:t>5.</w:t>
      </w:r>
      <w:r>
        <w:rPr>
          <w:rFonts w:hint="eastAsia"/>
          <w:sz w:val="24"/>
        </w:rPr>
        <w:t>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包号</w:t>
            </w:r>
          </w:p>
        </w:tc>
        <w:tc>
          <w:tcPr>
            <w:tcW w:w="843"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标的名称</w:t>
            </w:r>
          </w:p>
        </w:tc>
        <w:tc>
          <w:tcPr>
            <w:tcW w:w="921"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采购预算金额（万元）</w:t>
            </w:r>
          </w:p>
        </w:tc>
        <w:tc>
          <w:tcPr>
            <w:tcW w:w="540"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数量</w:t>
            </w:r>
          </w:p>
        </w:tc>
        <w:tc>
          <w:tcPr>
            <w:tcW w:w="2314"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tcBorders>
              <w:top w:val="single" w:color="auto" w:sz="4" w:space="0"/>
              <w:left w:val="single" w:color="auto" w:sz="4" w:space="0"/>
              <w:bottom w:val="single" w:color="auto" w:sz="4" w:space="0"/>
              <w:right w:val="single" w:color="auto" w:sz="4" w:space="0"/>
            </w:tcBorders>
            <w:vAlign w:val="center"/>
          </w:tcPr>
          <w:p>
            <w:pPr>
              <w:jc w:val="center"/>
              <w:rPr>
                <w:bCs/>
                <w:szCs w:val="21"/>
              </w:rPr>
            </w:pPr>
            <w:r>
              <w:rPr>
                <w:bCs/>
                <w:szCs w:val="21"/>
              </w:rPr>
              <w:t>01</w:t>
            </w:r>
          </w:p>
        </w:tc>
        <w:tc>
          <w:tcPr>
            <w:tcW w:w="843" w:type="pct"/>
            <w:tcBorders>
              <w:top w:val="single" w:color="auto" w:sz="4" w:space="0"/>
              <w:left w:val="single" w:color="auto" w:sz="4" w:space="0"/>
              <w:bottom w:val="single" w:color="auto" w:sz="4" w:space="0"/>
              <w:right w:val="single" w:color="auto" w:sz="4" w:space="0"/>
            </w:tcBorders>
            <w:vAlign w:val="center"/>
          </w:tcPr>
          <w:p>
            <w:pPr>
              <w:jc w:val="center"/>
              <w:rPr>
                <w:bCs/>
                <w:szCs w:val="21"/>
              </w:rPr>
            </w:pPr>
            <w:r>
              <w:rPr>
                <w:rFonts w:hint="eastAsia"/>
                <w:sz w:val="24"/>
              </w:rPr>
              <w:t>2024年精细化运维服务采购项目</w:t>
            </w:r>
          </w:p>
        </w:tc>
        <w:tc>
          <w:tcPr>
            <w:tcW w:w="921" w:type="pct"/>
            <w:tcBorders>
              <w:top w:val="single" w:color="auto" w:sz="4" w:space="0"/>
              <w:left w:val="single" w:color="auto" w:sz="4" w:space="0"/>
              <w:bottom w:val="single" w:color="auto" w:sz="4" w:space="0"/>
              <w:right w:val="single" w:color="auto" w:sz="4" w:space="0"/>
            </w:tcBorders>
            <w:vAlign w:val="center"/>
          </w:tcPr>
          <w:p>
            <w:pPr>
              <w:jc w:val="center"/>
              <w:rPr>
                <w:bCs/>
                <w:szCs w:val="21"/>
              </w:rPr>
            </w:pPr>
            <w:r>
              <w:rPr>
                <w:sz w:val="24"/>
              </w:rPr>
              <w:t>264.625785</w:t>
            </w:r>
          </w:p>
        </w:tc>
        <w:tc>
          <w:tcPr>
            <w:tcW w:w="540" w:type="pct"/>
            <w:tcBorders>
              <w:top w:val="single" w:color="auto" w:sz="4" w:space="0"/>
              <w:left w:val="single" w:color="auto" w:sz="4" w:space="0"/>
              <w:bottom w:val="single" w:color="auto" w:sz="4" w:space="0"/>
              <w:right w:val="single" w:color="auto" w:sz="4" w:space="0"/>
            </w:tcBorders>
            <w:vAlign w:val="center"/>
          </w:tcPr>
          <w:p>
            <w:pPr>
              <w:jc w:val="center"/>
              <w:rPr>
                <w:bCs/>
                <w:szCs w:val="21"/>
              </w:rPr>
            </w:pPr>
            <w:r>
              <w:rPr>
                <w:bCs/>
                <w:szCs w:val="21"/>
              </w:rPr>
              <w:t>1</w:t>
            </w:r>
          </w:p>
        </w:tc>
        <w:tc>
          <w:tcPr>
            <w:tcW w:w="2314" w:type="pct"/>
            <w:tcBorders>
              <w:top w:val="single" w:color="auto" w:sz="4" w:space="0"/>
              <w:left w:val="single" w:color="auto" w:sz="4" w:space="0"/>
              <w:bottom w:val="single" w:color="auto" w:sz="4" w:space="0"/>
              <w:right w:val="single" w:color="auto" w:sz="4" w:space="0"/>
            </w:tcBorders>
            <w:vAlign w:val="center"/>
          </w:tcPr>
          <w:p>
            <w:pPr>
              <w:spacing w:line="360" w:lineRule="auto"/>
              <w:ind w:firstLine="480" w:firstLineChars="200"/>
              <w:rPr>
                <w:sz w:val="24"/>
              </w:rPr>
            </w:pPr>
            <w:r>
              <w:rPr>
                <w:rFonts w:hint="eastAsia"/>
                <w:sz w:val="24"/>
              </w:rPr>
              <w:t>针对地区平房区、楼房区全区域范围内的秩序维护、保洁清运、绿化养护、重点区域保障等多方面工作。东至：东二环路西侧便道上；南至：泡子河东巷、盔甲厂胡同、抽屉胡同、毛家湾胡同一线及北京站西街；西至：东四南大街、东单北大街、崇内大街一线、“崇文门东北角”停车棚及周边绿化和便道；北至：干面胡同、禄米仓胡同一线</w:t>
            </w:r>
            <w:r>
              <w:rPr>
                <w:rFonts w:hint="eastAsia"/>
                <w:kern w:val="0"/>
                <w:sz w:val="24"/>
              </w:rPr>
              <w:t>等详见文件。</w:t>
            </w:r>
          </w:p>
        </w:tc>
      </w:tr>
    </w:tbl>
    <w:p>
      <w:pPr>
        <w:spacing w:line="360" w:lineRule="auto"/>
        <w:ind w:firstLine="480" w:firstLineChars="200"/>
        <w:rPr>
          <w:sz w:val="24"/>
        </w:rPr>
      </w:pPr>
    </w:p>
    <w:p>
      <w:pPr>
        <w:spacing w:line="360" w:lineRule="auto"/>
        <w:ind w:firstLine="480" w:firstLineChars="200"/>
        <w:rPr>
          <w:sz w:val="24"/>
          <w:u w:val="single"/>
        </w:rPr>
      </w:pPr>
      <w:r>
        <w:rPr>
          <w:sz w:val="24"/>
        </w:rPr>
        <w:t>6.</w:t>
      </w:r>
      <w:r>
        <w:rPr>
          <w:rFonts w:hint="eastAsia"/>
          <w:sz w:val="24"/>
        </w:rPr>
        <w:t>合同履行期限：预计</w:t>
      </w:r>
      <w:r>
        <w:rPr>
          <w:sz w:val="24"/>
        </w:rPr>
        <w:t>2024</w:t>
      </w:r>
      <w:r>
        <w:rPr>
          <w:rFonts w:hint="eastAsia"/>
          <w:sz w:val="24"/>
        </w:rPr>
        <w:t>年</w:t>
      </w:r>
      <w:r>
        <w:rPr>
          <w:sz w:val="24"/>
        </w:rPr>
        <w:t>1</w:t>
      </w:r>
      <w:r>
        <w:rPr>
          <w:rFonts w:hint="eastAsia"/>
          <w:sz w:val="24"/>
        </w:rPr>
        <w:t>月</w:t>
      </w:r>
      <w:r>
        <w:rPr>
          <w:sz w:val="24"/>
        </w:rPr>
        <w:t>1</w:t>
      </w:r>
      <w:r>
        <w:rPr>
          <w:rFonts w:hint="eastAsia"/>
          <w:sz w:val="24"/>
        </w:rPr>
        <w:t>日至</w:t>
      </w:r>
      <w:r>
        <w:rPr>
          <w:sz w:val="24"/>
        </w:rPr>
        <w:t>2024</w:t>
      </w:r>
      <w:r>
        <w:rPr>
          <w:rFonts w:hint="eastAsia"/>
          <w:sz w:val="24"/>
        </w:rPr>
        <w:t>年</w:t>
      </w:r>
      <w:r>
        <w:rPr>
          <w:sz w:val="24"/>
        </w:rPr>
        <w:t>12</w:t>
      </w:r>
      <w:r>
        <w:rPr>
          <w:rFonts w:hint="eastAsia"/>
          <w:sz w:val="24"/>
        </w:rPr>
        <w:t>月</w:t>
      </w:r>
      <w:r>
        <w:rPr>
          <w:sz w:val="24"/>
        </w:rPr>
        <w:t>31</w:t>
      </w:r>
      <w:r>
        <w:rPr>
          <w:rFonts w:hint="eastAsia"/>
          <w:sz w:val="24"/>
        </w:rPr>
        <w:t>日</w:t>
      </w:r>
      <w:r>
        <w:rPr>
          <w:sz w:val="24"/>
        </w:rPr>
        <w:t xml:space="preserve"> </w:t>
      </w:r>
    </w:p>
    <w:p>
      <w:pPr>
        <w:spacing w:line="360" w:lineRule="auto"/>
        <w:ind w:firstLine="480" w:firstLineChars="200"/>
        <w:rPr>
          <w:sz w:val="24"/>
        </w:rPr>
      </w:pPr>
      <w:r>
        <w:rPr>
          <w:sz w:val="24"/>
        </w:rPr>
        <w:t>7.</w:t>
      </w:r>
      <w:r>
        <w:rPr>
          <w:rFonts w:hint="eastAsia"/>
          <w:sz w:val="24"/>
        </w:rPr>
        <w:t>本项目是否接受联合体：</w:t>
      </w:r>
      <w:r>
        <w:t>□</w:t>
      </w:r>
      <w:r>
        <w:rPr>
          <w:rFonts w:hint="eastAsia"/>
          <w:sz w:val="24"/>
        </w:rPr>
        <w:t>是</w:t>
      </w:r>
      <w:r>
        <w:rPr>
          <w:sz w:val="24"/>
        </w:rPr>
        <w:t xml:space="preserve">  </w:t>
      </w:r>
      <w:r>
        <w:rPr>
          <w:rFonts w:hint="eastAsia" w:ascii="MS Mincho" w:hAnsi="MS Mincho" w:eastAsia="MS Mincho" w:cs="MS Mincho"/>
        </w:rPr>
        <w:t>☑</w:t>
      </w:r>
      <w:r>
        <w:rPr>
          <w:rFonts w:hint="eastAsia"/>
          <w:sz w:val="24"/>
        </w:rPr>
        <w:t>否。</w:t>
      </w:r>
    </w:p>
    <w:p>
      <w:pPr>
        <w:spacing w:line="360" w:lineRule="auto"/>
        <w:ind w:firstLine="480" w:firstLineChars="200"/>
        <w:rPr>
          <w:sz w:val="24"/>
        </w:rPr>
      </w:pPr>
    </w:p>
    <w:p>
      <w:pPr>
        <w:pStyle w:val="4"/>
        <w:spacing w:before="0" w:line="360" w:lineRule="auto"/>
        <w:jc w:val="left"/>
        <w:rPr>
          <w:rFonts w:ascii="Times New Roman" w:hAnsi="Times New Roman" w:eastAsia="宋体"/>
          <w:sz w:val="24"/>
          <w:szCs w:val="24"/>
        </w:rPr>
      </w:pPr>
      <w:bookmarkStart w:id="6" w:name="_Toc35393791"/>
      <w:bookmarkStart w:id="7" w:name="_Toc28359080"/>
      <w:bookmarkStart w:id="8" w:name="_Toc28359003"/>
      <w:bookmarkStart w:id="9" w:name="_Toc35393622"/>
      <w:r>
        <w:rPr>
          <w:rFonts w:hint="eastAsia" w:ascii="Times New Roman" w:hAnsi="Times New Roman" w:eastAsia="宋体"/>
          <w:sz w:val="24"/>
          <w:szCs w:val="24"/>
        </w:rPr>
        <w:t>二、申请人的资格要求（须同时满足）</w:t>
      </w:r>
      <w:bookmarkEnd w:id="6"/>
      <w:bookmarkEnd w:id="7"/>
      <w:bookmarkEnd w:id="8"/>
      <w:bookmarkEnd w:id="9"/>
    </w:p>
    <w:p>
      <w:pPr>
        <w:spacing w:line="360" w:lineRule="auto"/>
        <w:ind w:firstLine="480" w:firstLineChars="200"/>
        <w:rPr>
          <w:sz w:val="24"/>
        </w:rPr>
      </w:pPr>
      <w:r>
        <w:rPr>
          <w:sz w:val="24"/>
        </w:rPr>
        <w:t>1.</w:t>
      </w:r>
      <w:r>
        <w:rPr>
          <w:rFonts w:hint="eastAsia"/>
          <w:sz w:val="24"/>
        </w:rPr>
        <w:t>满足《中华人民共和国政府采购法》第二十二条规定；</w:t>
      </w:r>
    </w:p>
    <w:p>
      <w:pPr>
        <w:spacing w:line="360" w:lineRule="auto"/>
        <w:ind w:firstLine="480" w:firstLineChars="200"/>
        <w:rPr>
          <w:sz w:val="24"/>
        </w:rPr>
      </w:pPr>
      <w:bookmarkStart w:id="10" w:name="_Toc28359004"/>
      <w:bookmarkStart w:id="11" w:name="_Toc28359081"/>
      <w:r>
        <w:rPr>
          <w:sz w:val="24"/>
        </w:rPr>
        <w:t>2.</w:t>
      </w:r>
      <w:r>
        <w:rPr>
          <w:rFonts w:hint="eastAsia"/>
          <w:sz w:val="24"/>
        </w:rPr>
        <w:t>落实政府采购政策需满足的资格要求：</w:t>
      </w:r>
    </w:p>
    <w:p>
      <w:pPr>
        <w:spacing w:line="360" w:lineRule="auto"/>
        <w:ind w:firstLine="480" w:firstLineChars="200"/>
        <w:rPr>
          <w:sz w:val="24"/>
        </w:rPr>
      </w:pPr>
      <w:r>
        <w:rPr>
          <w:sz w:val="24"/>
        </w:rPr>
        <w:t xml:space="preserve">2.1 </w:t>
      </w:r>
      <w:r>
        <w:rPr>
          <w:rFonts w:hint="eastAsia"/>
          <w:sz w:val="24"/>
        </w:rPr>
        <w:t>中小企业政策</w:t>
      </w:r>
    </w:p>
    <w:p>
      <w:pPr>
        <w:spacing w:line="360" w:lineRule="auto"/>
        <w:ind w:firstLine="420" w:firstLineChars="200"/>
        <w:rPr>
          <w:sz w:val="24"/>
        </w:rPr>
      </w:pPr>
      <w:r>
        <w:t>□</w:t>
      </w:r>
      <w:r>
        <w:rPr>
          <w:rFonts w:hint="eastAsia"/>
          <w:sz w:val="24"/>
        </w:rPr>
        <w:t>本项目专门面向☑中小企业采购。即：提供的货物全部由符合政策要求的中小</w:t>
      </w:r>
      <w:r>
        <w:rPr>
          <w:sz w:val="24"/>
        </w:rPr>
        <w:t>/</w:t>
      </w:r>
      <w:r>
        <w:rPr>
          <w:rFonts w:hint="eastAsia"/>
          <w:sz w:val="24"/>
        </w:rPr>
        <w:t>小微企业制造、服务全部由符合政策要求的中小</w:t>
      </w:r>
      <w:r>
        <w:rPr>
          <w:sz w:val="24"/>
        </w:rPr>
        <w:t>/</w:t>
      </w:r>
      <w:r>
        <w:rPr>
          <w:rFonts w:hint="eastAsia"/>
          <w:sz w:val="24"/>
        </w:rPr>
        <w:t>小微企业承接。</w:t>
      </w:r>
    </w:p>
    <w:p>
      <w:pPr>
        <w:spacing w:line="360" w:lineRule="auto"/>
        <w:ind w:firstLine="420" w:firstLineChars="200"/>
        <w:rPr>
          <w:sz w:val="24"/>
        </w:rPr>
      </w:pPr>
      <w:r>
        <w:t>□</w:t>
      </w:r>
      <w:r>
        <w:rPr>
          <w:rFonts w:hint="eastAsia"/>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w:t>
      </w:r>
      <w:r>
        <w:rPr>
          <w:rFonts w:hint="eastAsia"/>
          <w:sz w:val="24"/>
        </w:rPr>
        <w:t>。</w:t>
      </w:r>
    </w:p>
    <w:p>
      <w:pPr>
        <w:ind w:left="480" w:firstLine="480"/>
        <w:rPr>
          <w:sz w:val="24"/>
        </w:rPr>
      </w:pPr>
      <w:r>
        <w:rPr>
          <w:sz w:val="24"/>
        </w:rPr>
        <w:t xml:space="preserve">2.2 </w:t>
      </w:r>
      <w:r>
        <w:rPr>
          <w:rFonts w:hint="eastAsia"/>
          <w:sz w:val="24"/>
        </w:rPr>
        <w:t>其它落实政府采购政策的资格要求：</w:t>
      </w:r>
      <w:r>
        <w:rPr>
          <w:sz w:val="24"/>
        </w:rPr>
        <w:t>/</w:t>
      </w:r>
    </w:p>
    <w:p>
      <w:pPr>
        <w:spacing w:line="360" w:lineRule="auto"/>
        <w:ind w:firstLine="480" w:firstLineChars="200"/>
        <w:rPr>
          <w:i/>
          <w:iCs/>
          <w:sz w:val="24"/>
          <w:u w:val="single"/>
        </w:rPr>
      </w:pPr>
      <w:r>
        <w:rPr>
          <w:sz w:val="24"/>
        </w:rPr>
        <w:t>3.</w:t>
      </w:r>
      <w:r>
        <w:rPr>
          <w:rFonts w:hint="eastAsia"/>
          <w:sz w:val="24"/>
        </w:rPr>
        <w:t>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w:t>
      </w:r>
      <w:r>
        <w:rPr>
          <w:rFonts w:hint="eastAsia"/>
          <w:sz w:val="24"/>
        </w:rPr>
        <w:t>本项目是否接受分支机构参与响应：</w:t>
      </w:r>
      <w:r>
        <w:t>□</w:t>
      </w:r>
      <w:r>
        <w:rPr>
          <w:rFonts w:hint="eastAsia"/>
          <w:sz w:val="24"/>
        </w:rPr>
        <w:t>是</w:t>
      </w:r>
      <w:r>
        <w:rPr>
          <w:sz w:val="24"/>
        </w:rPr>
        <w:t xml:space="preserve">   </w:t>
      </w:r>
      <w:r>
        <w:rPr>
          <w:rFonts w:hint="eastAsia" w:ascii="MS Mincho" w:hAnsi="MS Mincho" w:eastAsia="MS Mincho" w:cs="MS Mincho"/>
        </w:rPr>
        <w:t>☑</w:t>
      </w:r>
      <w:r>
        <w:rPr>
          <w:rFonts w:hint="eastAsia"/>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 xml:space="preserve">3.2 </w:t>
      </w:r>
      <w:r>
        <w:rPr>
          <w:rFonts w:hint="eastAsia"/>
          <w:sz w:val="24"/>
        </w:rPr>
        <w:t>本项目是否属于政府购买服务：</w:t>
      </w:r>
    </w:p>
    <w:p>
      <w:pPr>
        <w:tabs>
          <w:tab w:val="left" w:pos="900"/>
          <w:tab w:val="left" w:pos="1134"/>
          <w:tab w:val="left" w:pos="1589"/>
          <w:tab w:val="left" w:pos="5521"/>
        </w:tabs>
        <w:snapToGrid w:val="0"/>
        <w:spacing w:line="360" w:lineRule="auto"/>
        <w:ind w:left="991" w:leftChars="472" w:firstLine="2"/>
        <w:rPr>
          <w:sz w:val="24"/>
        </w:rPr>
      </w:pPr>
      <w:r>
        <w:t>□</w:t>
      </w:r>
      <w:r>
        <w:rPr>
          <w:rFonts w:hint="eastAsia"/>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ascii="MS Mincho" w:hAnsi="MS Mincho" w:eastAsia="MS Mincho" w:cs="MS Mincho"/>
        </w:rPr>
        <w:t>☑</w:t>
      </w:r>
      <w:r>
        <w:rPr>
          <w:rFonts w:hint="eastAsia"/>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3.3</w:t>
      </w:r>
      <w:r>
        <w:rPr>
          <w:rFonts w:hint="eastAsia"/>
          <w:sz w:val="24"/>
        </w:rPr>
        <w:t>其他特定资格要求：</w:t>
      </w:r>
      <w:r>
        <w:rPr>
          <w:sz w:val="24"/>
        </w:rPr>
        <w:t>/</w:t>
      </w:r>
    </w:p>
    <w:bookmarkEnd w:id="10"/>
    <w:bookmarkEnd w:id="11"/>
    <w:p>
      <w:pPr>
        <w:pStyle w:val="4"/>
        <w:widowControl/>
        <w:spacing w:before="0" w:line="360" w:lineRule="auto"/>
        <w:jc w:val="left"/>
        <w:rPr>
          <w:rFonts w:ascii="Times New Roman" w:hAnsi="Times New Roman" w:eastAsia="宋体"/>
          <w:sz w:val="24"/>
          <w:szCs w:val="24"/>
        </w:rPr>
      </w:pPr>
      <w:bookmarkStart w:id="12" w:name="_Toc35393792"/>
      <w:bookmarkStart w:id="13" w:name="_Toc35393623"/>
      <w:r>
        <w:rPr>
          <w:rFonts w:hint="eastAsia" w:ascii="Times New Roman" w:hAnsi="Times New Roman" w:eastAsia="宋体"/>
          <w:sz w:val="24"/>
          <w:szCs w:val="24"/>
        </w:rPr>
        <w:t>三、获取采购文件</w:t>
      </w:r>
      <w:bookmarkEnd w:id="12"/>
      <w:bookmarkEnd w:id="13"/>
    </w:p>
    <w:p>
      <w:pPr>
        <w:adjustRightInd w:val="0"/>
        <w:snapToGrid w:val="0"/>
        <w:spacing w:line="360" w:lineRule="auto"/>
        <w:ind w:firstLine="480" w:firstLineChars="200"/>
        <w:rPr>
          <w:sz w:val="24"/>
          <w:lang w:bidi="ar"/>
        </w:rPr>
      </w:pPr>
      <w:r>
        <w:rPr>
          <w:sz w:val="24"/>
          <w:lang w:bidi="ar"/>
        </w:rPr>
        <w:t>1.</w:t>
      </w:r>
      <w:r>
        <w:rPr>
          <w:rFonts w:hint="eastAsia"/>
          <w:sz w:val="24"/>
          <w:lang w:bidi="ar"/>
        </w:rPr>
        <w:t>时间：</w:t>
      </w:r>
      <w:r>
        <w:rPr>
          <w:sz w:val="24"/>
        </w:rPr>
        <w:t>2023</w:t>
      </w:r>
      <w:r>
        <w:rPr>
          <w:rFonts w:hint="eastAsia"/>
          <w:sz w:val="24"/>
          <w:lang w:bidi="ar"/>
        </w:rPr>
        <w:t>年</w:t>
      </w:r>
      <w:r>
        <w:rPr>
          <w:sz w:val="24"/>
        </w:rPr>
        <w:t>12</w:t>
      </w:r>
      <w:r>
        <w:rPr>
          <w:rFonts w:hint="eastAsia"/>
          <w:sz w:val="24"/>
          <w:lang w:bidi="ar"/>
        </w:rPr>
        <w:t>月</w:t>
      </w:r>
      <w:r>
        <w:rPr>
          <w:sz w:val="24"/>
          <w:lang w:bidi="ar"/>
        </w:rPr>
        <w:t xml:space="preserve"> </w:t>
      </w:r>
      <w:r>
        <w:rPr>
          <w:rFonts w:hint="eastAsia"/>
          <w:sz w:val="24"/>
          <w:lang w:bidi="ar"/>
        </w:rPr>
        <w:t>18日至</w:t>
      </w:r>
      <w:r>
        <w:rPr>
          <w:sz w:val="24"/>
        </w:rPr>
        <w:t>2023</w:t>
      </w:r>
      <w:r>
        <w:rPr>
          <w:rFonts w:hint="eastAsia"/>
          <w:sz w:val="24"/>
          <w:lang w:bidi="ar"/>
        </w:rPr>
        <w:t>年</w:t>
      </w:r>
      <w:r>
        <w:rPr>
          <w:sz w:val="24"/>
        </w:rPr>
        <w:t>12</w:t>
      </w:r>
      <w:r>
        <w:rPr>
          <w:rFonts w:hint="eastAsia"/>
          <w:sz w:val="24"/>
          <w:lang w:bidi="ar"/>
        </w:rPr>
        <w:t>月22</w:t>
      </w:r>
      <w:r>
        <w:rPr>
          <w:sz w:val="24"/>
          <w:lang w:bidi="ar"/>
        </w:rPr>
        <w:t xml:space="preserve"> </w:t>
      </w:r>
      <w:r>
        <w:rPr>
          <w:rFonts w:hint="eastAsia"/>
          <w:sz w:val="24"/>
          <w:lang w:bidi="ar"/>
        </w:rPr>
        <w:t>日，每天上午</w:t>
      </w:r>
      <w:r>
        <w:rPr>
          <w:sz w:val="24"/>
        </w:rPr>
        <w:t>9</w:t>
      </w:r>
      <w:r>
        <w:rPr>
          <w:rFonts w:hint="eastAsia"/>
          <w:sz w:val="24"/>
        </w:rPr>
        <w:t>：</w:t>
      </w:r>
      <w:r>
        <w:rPr>
          <w:sz w:val="24"/>
        </w:rPr>
        <w:t>30</w:t>
      </w:r>
      <w:r>
        <w:rPr>
          <w:rFonts w:hint="eastAsia"/>
          <w:sz w:val="24"/>
          <w:lang w:bidi="ar"/>
        </w:rPr>
        <w:t>至</w:t>
      </w:r>
      <w:r>
        <w:rPr>
          <w:sz w:val="24"/>
        </w:rPr>
        <w:t>11</w:t>
      </w:r>
      <w:r>
        <w:rPr>
          <w:rFonts w:hint="eastAsia"/>
          <w:sz w:val="24"/>
        </w:rPr>
        <w:t>：</w:t>
      </w:r>
      <w:r>
        <w:rPr>
          <w:sz w:val="24"/>
        </w:rPr>
        <w:t>30</w:t>
      </w:r>
      <w:r>
        <w:rPr>
          <w:rFonts w:hint="eastAsia"/>
          <w:sz w:val="24"/>
          <w:lang w:bidi="ar"/>
        </w:rPr>
        <w:t>，下午</w:t>
      </w:r>
      <w:r>
        <w:rPr>
          <w:sz w:val="24"/>
        </w:rPr>
        <w:t>13</w:t>
      </w:r>
      <w:r>
        <w:rPr>
          <w:rFonts w:hint="eastAsia"/>
          <w:sz w:val="24"/>
        </w:rPr>
        <w:t>：</w:t>
      </w:r>
      <w:r>
        <w:rPr>
          <w:sz w:val="24"/>
        </w:rPr>
        <w:t>30</w:t>
      </w:r>
      <w:r>
        <w:rPr>
          <w:rFonts w:hint="eastAsia"/>
          <w:sz w:val="24"/>
          <w:lang w:bidi="ar"/>
        </w:rPr>
        <w:t>至</w:t>
      </w:r>
      <w:r>
        <w:rPr>
          <w:sz w:val="24"/>
        </w:rPr>
        <w:t>16</w:t>
      </w:r>
      <w:r>
        <w:rPr>
          <w:rFonts w:hint="eastAsia"/>
          <w:sz w:val="24"/>
          <w:lang w:bidi="ar"/>
        </w:rPr>
        <w:t>（北京时间，法定节假日除外）。</w:t>
      </w:r>
    </w:p>
    <w:p>
      <w:pPr>
        <w:adjustRightInd w:val="0"/>
        <w:snapToGrid w:val="0"/>
        <w:spacing w:line="360" w:lineRule="auto"/>
        <w:ind w:firstLine="480" w:firstLineChars="200"/>
        <w:rPr>
          <w:sz w:val="24"/>
        </w:rPr>
      </w:pPr>
      <w:r>
        <w:rPr>
          <w:sz w:val="24"/>
          <w:lang w:bidi="ar"/>
        </w:rPr>
        <w:t>2.</w:t>
      </w:r>
      <w:r>
        <w:rPr>
          <w:rFonts w:hint="eastAsia"/>
          <w:sz w:val="24"/>
          <w:lang w:bidi="ar"/>
        </w:rPr>
        <w:t>地点：</w:t>
      </w:r>
      <w:r>
        <w:rPr>
          <w:rFonts w:hint="eastAsia" w:ascii="宋体" w:hAnsi="宋体"/>
          <w:sz w:val="24"/>
          <w:lang w:bidi="ar"/>
        </w:rPr>
        <w:t>北京市海淀区增光路55号，紫玉写字楼13层</w:t>
      </w:r>
    </w:p>
    <w:p>
      <w:pPr>
        <w:widowControl/>
        <w:adjustRightInd w:val="0"/>
        <w:snapToGrid w:val="0"/>
        <w:spacing w:line="360" w:lineRule="auto"/>
        <w:ind w:firstLine="480" w:firstLineChars="200"/>
        <w:jc w:val="left"/>
        <w:rPr>
          <w:sz w:val="24"/>
          <w:lang w:bidi="ar"/>
        </w:rPr>
      </w:pPr>
      <w:r>
        <w:rPr>
          <w:sz w:val="24"/>
          <w:lang w:bidi="ar"/>
        </w:rPr>
        <w:t>3.</w:t>
      </w:r>
      <w:r>
        <w:rPr>
          <w:rFonts w:hint="eastAsia"/>
          <w:sz w:val="24"/>
          <w:lang w:bidi="ar"/>
        </w:rPr>
        <w:t>方式：现场报名</w:t>
      </w:r>
    </w:p>
    <w:p>
      <w:pPr>
        <w:widowControl/>
        <w:adjustRightInd w:val="0"/>
        <w:snapToGrid w:val="0"/>
        <w:spacing w:line="360" w:lineRule="auto"/>
        <w:ind w:firstLine="480" w:firstLineChars="200"/>
        <w:jc w:val="left"/>
        <w:rPr>
          <w:sz w:val="24"/>
          <w:lang w:bidi="ar"/>
        </w:rPr>
      </w:pPr>
      <w:r>
        <w:rPr>
          <w:rFonts w:hint="eastAsia"/>
          <w:sz w:val="24"/>
          <w:lang w:bidi="ar"/>
        </w:rPr>
        <w:t>获取采购文件时须携带以下资料：加盖投标人公章的企业法人营业执照复印件，法定代表人授权书，本人身份证原件及复印件。</w:t>
      </w:r>
    </w:p>
    <w:p>
      <w:pPr>
        <w:widowControl/>
        <w:adjustRightInd w:val="0"/>
        <w:snapToGrid w:val="0"/>
        <w:spacing w:line="360" w:lineRule="auto"/>
        <w:ind w:firstLine="480" w:firstLineChars="200"/>
        <w:jc w:val="left"/>
        <w:rPr>
          <w:sz w:val="24"/>
          <w:lang w:bidi="ar"/>
        </w:rPr>
      </w:pPr>
      <w:r>
        <w:rPr>
          <w:rFonts w:hint="eastAsia"/>
          <w:sz w:val="24"/>
          <w:lang w:bidi="ar"/>
        </w:rPr>
        <w:t>注：复印件均需清晰可辨，经查验合格后，代理机构留存复印件。未进行招标文件领取登记而复制文件投标的，其投标文件将被拒绝。</w:t>
      </w:r>
    </w:p>
    <w:p>
      <w:pPr>
        <w:widowControl/>
        <w:adjustRightInd w:val="0"/>
        <w:snapToGrid w:val="0"/>
        <w:spacing w:line="360" w:lineRule="auto"/>
        <w:ind w:firstLine="480" w:firstLineChars="200"/>
        <w:jc w:val="left"/>
        <w:rPr>
          <w:sz w:val="24"/>
        </w:rPr>
      </w:pPr>
      <w:r>
        <w:rPr>
          <w:sz w:val="24"/>
          <w:lang w:bidi="ar"/>
        </w:rPr>
        <w:t>4.</w:t>
      </w:r>
      <w:r>
        <w:rPr>
          <w:rFonts w:hint="eastAsia"/>
          <w:sz w:val="24"/>
          <w:lang w:bidi="ar"/>
        </w:rPr>
        <w:t>售价：</w:t>
      </w:r>
      <w:r>
        <w:rPr>
          <w:sz w:val="24"/>
          <w:lang w:bidi="ar"/>
        </w:rPr>
        <w:t>300</w:t>
      </w:r>
      <w:r>
        <w:rPr>
          <w:rFonts w:hint="eastAsia"/>
          <w:sz w:val="24"/>
          <w:lang w:bidi="ar"/>
        </w:rPr>
        <w:t>元。</w:t>
      </w:r>
    </w:p>
    <w:p>
      <w:pPr>
        <w:tabs>
          <w:tab w:val="left" w:pos="900"/>
          <w:tab w:val="left" w:pos="1980"/>
        </w:tabs>
        <w:snapToGrid w:val="0"/>
        <w:spacing w:line="360" w:lineRule="auto"/>
        <w:ind w:left="840"/>
        <w:rPr>
          <w:sz w:val="24"/>
        </w:rPr>
      </w:pPr>
    </w:p>
    <w:p>
      <w:pPr>
        <w:pStyle w:val="4"/>
        <w:widowControl/>
        <w:spacing w:before="0" w:line="360" w:lineRule="auto"/>
        <w:jc w:val="left"/>
        <w:rPr>
          <w:rFonts w:ascii="Times New Roman" w:hAnsi="Times New Roman" w:eastAsia="宋体"/>
          <w:sz w:val="24"/>
          <w:szCs w:val="24"/>
        </w:rPr>
      </w:pPr>
      <w:bookmarkStart w:id="14" w:name="_Toc35393793"/>
      <w:bookmarkStart w:id="15" w:name="_Toc35393624"/>
      <w:bookmarkStart w:id="16" w:name="_Toc28359082"/>
      <w:bookmarkStart w:id="17" w:name="_Toc28359005"/>
      <w:r>
        <w:rPr>
          <w:rFonts w:hint="eastAsia" w:ascii="Times New Roman" w:hAnsi="Times New Roman" w:eastAsia="宋体"/>
          <w:sz w:val="24"/>
          <w:szCs w:val="24"/>
        </w:rPr>
        <w:t>四、</w:t>
      </w:r>
      <w:bookmarkEnd w:id="14"/>
      <w:bookmarkEnd w:id="15"/>
      <w:bookmarkEnd w:id="16"/>
      <w:bookmarkEnd w:id="17"/>
      <w:r>
        <w:rPr>
          <w:rFonts w:hint="eastAsia" w:ascii="Times New Roman" w:hAnsi="Times New Roman" w:eastAsia="宋体"/>
          <w:sz w:val="24"/>
          <w:szCs w:val="24"/>
        </w:rPr>
        <w:t>响应文件提交</w:t>
      </w:r>
    </w:p>
    <w:p>
      <w:pPr>
        <w:spacing w:line="360" w:lineRule="auto"/>
        <w:ind w:firstLine="480" w:firstLineChars="200"/>
        <w:rPr>
          <w:bCs/>
          <w:sz w:val="24"/>
          <w:u w:val="single"/>
        </w:rPr>
      </w:pPr>
      <w:r>
        <w:rPr>
          <w:rFonts w:hint="eastAsia"/>
          <w:sz w:val="24"/>
          <w:lang w:bidi="ar"/>
        </w:rPr>
        <w:t>截止时间：</w:t>
      </w:r>
      <w:r>
        <w:rPr>
          <w:sz w:val="24"/>
        </w:rPr>
        <w:t>2023</w:t>
      </w:r>
      <w:r>
        <w:rPr>
          <w:rFonts w:hint="eastAsia"/>
          <w:sz w:val="24"/>
          <w:lang w:bidi="ar"/>
        </w:rPr>
        <w:t>年</w:t>
      </w:r>
      <w:r>
        <w:rPr>
          <w:sz w:val="24"/>
        </w:rPr>
        <w:t>12</w:t>
      </w:r>
      <w:r>
        <w:rPr>
          <w:rFonts w:hint="eastAsia"/>
          <w:sz w:val="24"/>
          <w:lang w:bidi="ar"/>
        </w:rPr>
        <w:t>月28日</w:t>
      </w:r>
      <w:r>
        <w:rPr>
          <w:sz w:val="24"/>
        </w:rPr>
        <w:t>14</w:t>
      </w:r>
      <w:r>
        <w:rPr>
          <w:rFonts w:hint="eastAsia"/>
          <w:sz w:val="24"/>
          <w:lang w:bidi="ar"/>
        </w:rPr>
        <w:t>点</w:t>
      </w:r>
      <w:r>
        <w:rPr>
          <w:sz w:val="24"/>
        </w:rPr>
        <w:t>00</w:t>
      </w:r>
      <w:r>
        <w:rPr>
          <w:rFonts w:hint="eastAsia"/>
          <w:sz w:val="24"/>
          <w:lang w:bidi="ar"/>
        </w:rPr>
        <w:t>分</w:t>
      </w:r>
      <w:r>
        <w:rPr>
          <w:rFonts w:hint="eastAsia"/>
          <w:bCs/>
          <w:sz w:val="24"/>
          <w:lang w:bidi="ar"/>
        </w:rPr>
        <w:t>（北京时间）</w:t>
      </w:r>
      <w:r>
        <w:rPr>
          <w:rFonts w:hint="eastAsia"/>
          <w:iCs/>
          <w:sz w:val="24"/>
          <w:lang w:bidi="ar"/>
        </w:rPr>
        <w:t>。</w:t>
      </w:r>
    </w:p>
    <w:p>
      <w:pPr>
        <w:adjustRightInd w:val="0"/>
        <w:snapToGrid w:val="0"/>
        <w:spacing w:line="360" w:lineRule="auto"/>
        <w:ind w:firstLine="480" w:firstLineChars="200"/>
        <w:rPr>
          <w:sz w:val="24"/>
          <w:lang w:val="zh-TW" w:eastAsia="zh-TW" w:bidi="ar"/>
        </w:rPr>
      </w:pPr>
      <w:r>
        <w:rPr>
          <w:rFonts w:hint="eastAsia"/>
          <w:sz w:val="24"/>
          <w:lang w:bidi="ar"/>
        </w:rPr>
        <w:t>地点：</w:t>
      </w:r>
      <w:r>
        <w:rPr>
          <w:rFonts w:hint="eastAsia" w:ascii="宋体" w:hAnsi="宋体"/>
          <w:sz w:val="24"/>
          <w:lang w:bidi="ar"/>
        </w:rPr>
        <w:t>北京市海淀区增光路55号，紫玉写字楼13层</w:t>
      </w:r>
      <w:r>
        <w:rPr>
          <w:rFonts w:hint="eastAsia"/>
          <w:sz w:val="24"/>
          <w:lang w:val="zh-TW" w:bidi="ar"/>
        </w:rPr>
        <w:t>。</w:t>
      </w:r>
    </w:p>
    <w:p>
      <w:pPr>
        <w:pStyle w:val="4"/>
        <w:spacing w:before="0" w:line="360" w:lineRule="auto"/>
        <w:jc w:val="left"/>
        <w:rPr>
          <w:rFonts w:ascii="Times New Roman" w:hAnsi="Times New Roman" w:eastAsia="宋体"/>
          <w:sz w:val="24"/>
          <w:szCs w:val="24"/>
        </w:rPr>
      </w:pPr>
      <w:r>
        <w:rPr>
          <w:rFonts w:hint="eastAsia" w:ascii="Times New Roman" w:hAnsi="Times New Roman" w:eastAsia="宋体"/>
          <w:sz w:val="24"/>
          <w:szCs w:val="24"/>
        </w:rPr>
        <w:t>五、开启</w:t>
      </w:r>
    </w:p>
    <w:p>
      <w:pPr>
        <w:spacing w:line="360" w:lineRule="auto"/>
        <w:ind w:firstLine="480" w:firstLineChars="200"/>
        <w:rPr>
          <w:bCs/>
          <w:sz w:val="24"/>
          <w:u w:val="single"/>
        </w:rPr>
      </w:pPr>
      <w:r>
        <w:rPr>
          <w:rFonts w:hint="eastAsia"/>
          <w:sz w:val="24"/>
          <w:lang w:bidi="ar"/>
        </w:rPr>
        <w:t>时间：</w:t>
      </w:r>
      <w:r>
        <w:rPr>
          <w:sz w:val="24"/>
        </w:rPr>
        <w:t>2023</w:t>
      </w:r>
      <w:r>
        <w:rPr>
          <w:rFonts w:hint="eastAsia"/>
          <w:sz w:val="24"/>
          <w:lang w:bidi="ar"/>
        </w:rPr>
        <w:t>年</w:t>
      </w:r>
      <w:r>
        <w:rPr>
          <w:sz w:val="24"/>
        </w:rPr>
        <w:t>12</w:t>
      </w:r>
      <w:r>
        <w:rPr>
          <w:rFonts w:hint="eastAsia"/>
          <w:sz w:val="24"/>
          <w:lang w:bidi="ar"/>
        </w:rPr>
        <w:t>月28日</w:t>
      </w:r>
      <w:r>
        <w:rPr>
          <w:sz w:val="24"/>
        </w:rPr>
        <w:t>14</w:t>
      </w:r>
      <w:r>
        <w:rPr>
          <w:rFonts w:hint="eastAsia"/>
          <w:sz w:val="24"/>
          <w:lang w:bidi="ar"/>
        </w:rPr>
        <w:t>点</w:t>
      </w:r>
      <w:r>
        <w:rPr>
          <w:sz w:val="24"/>
        </w:rPr>
        <w:t>00</w:t>
      </w:r>
      <w:r>
        <w:rPr>
          <w:rFonts w:hint="eastAsia"/>
          <w:sz w:val="24"/>
          <w:lang w:bidi="ar"/>
        </w:rPr>
        <w:t>分</w:t>
      </w:r>
      <w:r>
        <w:rPr>
          <w:rFonts w:hint="eastAsia"/>
          <w:bCs/>
          <w:sz w:val="24"/>
          <w:lang w:bidi="ar"/>
        </w:rPr>
        <w:t>（北京时间）</w:t>
      </w:r>
      <w:r>
        <w:rPr>
          <w:rFonts w:hint="eastAsia"/>
          <w:iCs/>
          <w:sz w:val="24"/>
          <w:lang w:bidi="ar"/>
        </w:rPr>
        <w:t>。</w:t>
      </w:r>
    </w:p>
    <w:p>
      <w:pPr>
        <w:spacing w:line="360" w:lineRule="auto"/>
        <w:ind w:firstLine="480" w:firstLineChars="200"/>
        <w:rPr>
          <w:bCs/>
          <w:sz w:val="24"/>
          <w:u w:val="single"/>
        </w:rPr>
      </w:pPr>
      <w:r>
        <w:rPr>
          <w:rFonts w:hint="eastAsia"/>
          <w:sz w:val="24"/>
          <w:lang w:bidi="ar"/>
        </w:rPr>
        <w:t>地点：</w:t>
      </w:r>
      <w:r>
        <w:rPr>
          <w:rFonts w:hint="eastAsia" w:ascii="宋体" w:hAnsi="宋体"/>
          <w:sz w:val="24"/>
          <w:lang w:bidi="ar"/>
        </w:rPr>
        <w:t>北京市海淀区增光路55号，紫玉写字楼13层</w:t>
      </w:r>
      <w:r>
        <w:rPr>
          <w:rFonts w:hint="eastAsia"/>
          <w:sz w:val="24"/>
          <w:lang w:val="zh-TW" w:bidi="ar"/>
        </w:rPr>
        <w:t>。</w:t>
      </w:r>
    </w:p>
    <w:p>
      <w:pPr>
        <w:pStyle w:val="4"/>
        <w:spacing w:before="0" w:line="360" w:lineRule="auto"/>
        <w:jc w:val="left"/>
        <w:rPr>
          <w:rFonts w:ascii="Times New Roman" w:hAnsi="Times New Roman" w:eastAsia="宋体"/>
          <w:sz w:val="24"/>
          <w:szCs w:val="24"/>
        </w:rPr>
      </w:pPr>
      <w:bookmarkStart w:id="18" w:name="_Toc35393794"/>
      <w:bookmarkStart w:id="19" w:name="_Toc28359084"/>
      <w:bookmarkStart w:id="20" w:name="_Toc35393625"/>
      <w:bookmarkStart w:id="21" w:name="_Toc28359007"/>
      <w:r>
        <w:rPr>
          <w:rFonts w:hint="eastAsia" w:ascii="Times New Roman" w:hAnsi="Times New Roman" w:eastAsia="宋体"/>
          <w:sz w:val="24"/>
          <w:szCs w:val="24"/>
        </w:rPr>
        <w:t>六、公告期限</w:t>
      </w:r>
      <w:bookmarkEnd w:id="18"/>
      <w:bookmarkEnd w:id="19"/>
      <w:bookmarkEnd w:id="20"/>
      <w:bookmarkEnd w:id="21"/>
    </w:p>
    <w:p>
      <w:pPr>
        <w:spacing w:line="360" w:lineRule="auto"/>
        <w:ind w:firstLine="480" w:firstLineChars="200"/>
        <w:rPr>
          <w:kern w:val="0"/>
          <w:sz w:val="24"/>
        </w:rPr>
      </w:pPr>
      <w:r>
        <w:rPr>
          <w:rFonts w:hint="eastAsia"/>
          <w:kern w:val="0"/>
          <w:sz w:val="24"/>
        </w:rPr>
        <w:t>自本公告发布之日起</w:t>
      </w:r>
      <w:r>
        <w:rPr>
          <w:kern w:val="0"/>
          <w:sz w:val="24"/>
        </w:rPr>
        <w:t>3</w:t>
      </w:r>
      <w:r>
        <w:rPr>
          <w:rFonts w:hint="eastAsia"/>
          <w:kern w:val="0"/>
          <w:sz w:val="24"/>
        </w:rPr>
        <w:t>个工作日。</w:t>
      </w:r>
    </w:p>
    <w:p>
      <w:pPr>
        <w:pStyle w:val="4"/>
        <w:spacing w:before="0" w:line="360" w:lineRule="auto"/>
        <w:jc w:val="left"/>
        <w:rPr>
          <w:rFonts w:ascii="Times New Roman" w:hAnsi="Times New Roman" w:eastAsia="宋体"/>
          <w:sz w:val="24"/>
          <w:szCs w:val="24"/>
        </w:rPr>
      </w:pPr>
      <w:bookmarkStart w:id="22" w:name="_Toc35393795"/>
      <w:bookmarkStart w:id="23" w:name="_Toc35393626"/>
      <w:r>
        <w:rPr>
          <w:rFonts w:hint="eastAsia" w:ascii="Times New Roman" w:hAnsi="Times New Roman" w:eastAsia="宋体"/>
          <w:sz w:val="24"/>
          <w:szCs w:val="24"/>
        </w:rPr>
        <w:t>七、其他补充事宜</w:t>
      </w:r>
      <w:bookmarkEnd w:id="22"/>
      <w:bookmarkEnd w:id="23"/>
    </w:p>
    <w:p>
      <w:pPr>
        <w:spacing w:line="360" w:lineRule="auto"/>
        <w:ind w:firstLine="480" w:firstLineChars="200"/>
        <w:rPr>
          <w:sz w:val="24"/>
        </w:rPr>
      </w:pPr>
      <w:r>
        <w:rPr>
          <w:rFonts w:hint="eastAsia"/>
          <w:sz w:val="24"/>
        </w:rPr>
        <w:t>本项目无需递交投标保证金</w:t>
      </w:r>
    </w:p>
    <w:p>
      <w:pPr>
        <w:pStyle w:val="4"/>
        <w:spacing w:before="0" w:line="360" w:lineRule="auto"/>
        <w:jc w:val="left"/>
        <w:rPr>
          <w:rFonts w:ascii="Times New Roman" w:hAnsi="Times New Roman" w:eastAsia="宋体"/>
          <w:sz w:val="24"/>
          <w:szCs w:val="24"/>
        </w:rPr>
      </w:pPr>
      <w:bookmarkStart w:id="24" w:name="_Toc35393627"/>
      <w:bookmarkStart w:id="25" w:name="_Toc28359085"/>
      <w:bookmarkStart w:id="26" w:name="_Toc35393796"/>
      <w:bookmarkStart w:id="27" w:name="_Toc28359008"/>
      <w:r>
        <w:rPr>
          <w:rFonts w:hint="eastAsia" w:ascii="Times New Roman" w:hAnsi="Times New Roman" w:eastAsia="宋体"/>
          <w:sz w:val="24"/>
          <w:szCs w:val="24"/>
        </w:rPr>
        <w:t>八、对本项目提出询问，请按以下方式联系。</w:t>
      </w:r>
      <w:bookmarkEnd w:id="24"/>
      <w:bookmarkEnd w:id="25"/>
      <w:bookmarkEnd w:id="26"/>
      <w:bookmarkEnd w:id="27"/>
    </w:p>
    <w:p>
      <w:pPr>
        <w:widowControl/>
        <w:spacing w:line="360" w:lineRule="auto"/>
        <w:jc w:val="left"/>
        <w:rPr>
          <w:b/>
          <w:sz w:val="24"/>
        </w:rPr>
      </w:pPr>
      <w:r>
        <w:rPr>
          <w:rFonts w:hint="eastAsia"/>
          <w:sz w:val="24"/>
        </w:rPr>
        <w:t>　　　</w:t>
      </w:r>
      <w:r>
        <w:rPr>
          <w:b/>
          <w:sz w:val="24"/>
        </w:rPr>
        <w:t>1.</w:t>
      </w:r>
      <w:r>
        <w:rPr>
          <w:rFonts w:hint="eastAsia"/>
          <w:b/>
          <w:sz w:val="24"/>
        </w:rPr>
        <w:t>采购人信息</w:t>
      </w:r>
    </w:p>
    <w:p>
      <w:pPr>
        <w:spacing w:line="360" w:lineRule="auto"/>
        <w:ind w:left="1079" w:leftChars="371" w:hanging="300" w:hangingChars="125"/>
        <w:jc w:val="left"/>
        <w:rPr>
          <w:sz w:val="24"/>
        </w:rPr>
      </w:pPr>
      <w:bookmarkStart w:id="28" w:name="_Toc28359086"/>
      <w:bookmarkStart w:id="29" w:name="_Toc28359009"/>
      <w:r>
        <w:rPr>
          <w:rFonts w:hint="eastAsia"/>
          <w:sz w:val="24"/>
        </w:rPr>
        <w:t>名</w:t>
      </w:r>
      <w:r>
        <w:rPr>
          <w:sz w:val="24"/>
        </w:rPr>
        <w:t xml:space="preserve">    </w:t>
      </w:r>
      <w:r>
        <w:rPr>
          <w:rFonts w:hint="eastAsia"/>
          <w:sz w:val="24"/>
        </w:rPr>
        <w:t>称：东城区建国门街道</w:t>
      </w:r>
      <w:r>
        <w:rPr>
          <w:sz w:val="24"/>
        </w:rPr>
        <w:t xml:space="preserve">  </w:t>
      </w:r>
    </w:p>
    <w:p>
      <w:pPr>
        <w:spacing w:line="360" w:lineRule="auto"/>
        <w:ind w:left="1079" w:leftChars="371" w:hanging="300" w:hangingChars="125"/>
        <w:jc w:val="left"/>
        <w:rPr>
          <w:sz w:val="24"/>
        </w:rPr>
      </w:pPr>
      <w:r>
        <w:rPr>
          <w:rFonts w:hint="eastAsia"/>
          <w:sz w:val="24"/>
        </w:rPr>
        <w:t>地</w:t>
      </w:r>
      <w:r>
        <w:rPr>
          <w:sz w:val="24"/>
        </w:rPr>
        <w:t xml:space="preserve">    </w:t>
      </w:r>
      <w:r>
        <w:rPr>
          <w:rFonts w:hint="eastAsia"/>
          <w:sz w:val="24"/>
        </w:rPr>
        <w:t>址：</w:t>
      </w:r>
      <w:r>
        <w:rPr>
          <w:rFonts w:hint="eastAsia" w:ascii="宋体" w:hAnsi="宋体" w:cs="Arial"/>
          <w:sz w:val="24"/>
        </w:rPr>
        <w:t>北京市东城区赵堂子胡同16号</w:t>
      </w:r>
    </w:p>
    <w:p>
      <w:pPr>
        <w:spacing w:line="360" w:lineRule="auto"/>
        <w:ind w:left="1079" w:leftChars="371" w:hanging="300" w:hangingChars="125"/>
        <w:jc w:val="left"/>
        <w:rPr>
          <w:sz w:val="24"/>
          <w:u w:val="single"/>
        </w:rPr>
      </w:pPr>
      <w:r>
        <w:rPr>
          <w:rFonts w:hint="eastAsia"/>
          <w:sz w:val="24"/>
        </w:rPr>
        <w:t>联系方式：</w:t>
      </w:r>
      <w:r>
        <w:rPr>
          <w:sz w:val="24"/>
        </w:rPr>
        <w:t xml:space="preserve"> </w:t>
      </w:r>
      <w:r>
        <w:rPr>
          <w:rFonts w:hint="eastAsia"/>
          <w:sz w:val="24"/>
        </w:rPr>
        <w:t>缪老师</w:t>
      </w:r>
      <w:r>
        <w:rPr>
          <w:sz w:val="24"/>
        </w:rPr>
        <w:t xml:space="preserve">  </w:t>
      </w:r>
      <w:r>
        <w:rPr>
          <w:rFonts w:ascii="Segoe UI" w:hAnsi="Segoe UI" w:eastAsia="Segoe UI" w:cs="Segoe UI"/>
          <w:szCs w:val="21"/>
          <w:shd w:val="clear" w:color="auto" w:fill="FFFFFF"/>
        </w:rPr>
        <w:t>65135562</w:t>
      </w:r>
      <w:r>
        <w:rPr>
          <w:sz w:val="24"/>
        </w:rPr>
        <w:t xml:space="preserve"> </w:t>
      </w:r>
    </w:p>
    <w:p>
      <w:pPr>
        <w:spacing w:line="360" w:lineRule="auto"/>
        <w:ind w:left="1078" w:leftChars="371" w:hanging="299" w:hangingChars="124"/>
        <w:jc w:val="left"/>
        <w:rPr>
          <w:b/>
          <w:sz w:val="24"/>
        </w:rPr>
      </w:pPr>
      <w:r>
        <w:rPr>
          <w:b/>
          <w:sz w:val="24"/>
        </w:rPr>
        <w:t>2.</w:t>
      </w:r>
      <w:r>
        <w:rPr>
          <w:rFonts w:hint="eastAsia"/>
          <w:b/>
          <w:sz w:val="24"/>
        </w:rPr>
        <w:t>采购代理机构信息</w:t>
      </w:r>
      <w:bookmarkEnd w:id="28"/>
      <w:bookmarkEnd w:id="29"/>
    </w:p>
    <w:p>
      <w:pPr>
        <w:spacing w:line="360" w:lineRule="auto"/>
        <w:ind w:left="1076" w:leftChars="371" w:hanging="297" w:hangingChars="124"/>
        <w:jc w:val="left"/>
        <w:rPr>
          <w:sz w:val="24"/>
        </w:rPr>
      </w:pPr>
      <w:bookmarkStart w:id="30" w:name="_Toc28359087"/>
      <w:bookmarkStart w:id="31" w:name="_Toc28359010"/>
      <w:r>
        <w:rPr>
          <w:rFonts w:hint="eastAsia"/>
          <w:sz w:val="24"/>
        </w:rPr>
        <w:t>名</w:t>
      </w:r>
      <w:r>
        <w:rPr>
          <w:sz w:val="24"/>
        </w:rPr>
        <w:t xml:space="preserve">    </w:t>
      </w:r>
      <w:r>
        <w:rPr>
          <w:rFonts w:hint="eastAsia"/>
          <w:sz w:val="24"/>
        </w:rPr>
        <w:t>称：中深泰项目管理有限公司</w:t>
      </w:r>
    </w:p>
    <w:p>
      <w:pPr>
        <w:spacing w:line="360" w:lineRule="auto"/>
        <w:ind w:left="1076" w:leftChars="371" w:hanging="297" w:hangingChars="124"/>
        <w:jc w:val="left"/>
        <w:rPr>
          <w:rFonts w:ascii="宋体" w:hAnsi="宋体"/>
          <w:sz w:val="24"/>
        </w:rPr>
      </w:pPr>
      <w:r>
        <w:rPr>
          <w:rFonts w:hint="eastAsia"/>
          <w:sz w:val="24"/>
        </w:rPr>
        <w:t>地</w:t>
      </w:r>
      <w:r>
        <w:rPr>
          <w:sz w:val="24"/>
        </w:rPr>
        <w:t xml:space="preserve">    </w:t>
      </w:r>
      <w:r>
        <w:rPr>
          <w:rFonts w:hint="eastAsia"/>
          <w:sz w:val="24"/>
        </w:rPr>
        <w:t>址：</w:t>
      </w:r>
      <w:r>
        <w:rPr>
          <w:rFonts w:hint="eastAsia" w:ascii="宋体" w:hAnsi="宋体"/>
          <w:sz w:val="24"/>
          <w:lang w:bidi="ar"/>
        </w:rPr>
        <w:t>北京市海淀区增光路55号，紫玉写字楼13层</w:t>
      </w:r>
    </w:p>
    <w:p>
      <w:pPr>
        <w:spacing w:line="360" w:lineRule="auto"/>
        <w:ind w:left="1076" w:leftChars="371" w:hanging="297" w:hangingChars="124"/>
        <w:jc w:val="left"/>
        <w:rPr>
          <w:sz w:val="24"/>
          <w:u w:val="single"/>
        </w:rPr>
      </w:pPr>
      <w:r>
        <w:rPr>
          <w:rFonts w:hint="eastAsia" w:ascii="宋体" w:hAnsi="宋体"/>
          <w:sz w:val="24"/>
        </w:rPr>
        <w:t>联系方式：张老师 62057628</w:t>
      </w:r>
    </w:p>
    <w:p>
      <w:pPr>
        <w:spacing w:line="360" w:lineRule="auto"/>
        <w:ind w:left="1078" w:leftChars="371" w:hanging="299" w:hangingChars="124"/>
        <w:rPr>
          <w:b/>
          <w:sz w:val="24"/>
          <w:u w:val="single"/>
        </w:rPr>
      </w:pPr>
      <w:r>
        <w:rPr>
          <w:b/>
          <w:sz w:val="24"/>
        </w:rPr>
        <w:t>3.</w:t>
      </w:r>
      <w:r>
        <w:rPr>
          <w:rFonts w:hint="eastAsia"/>
          <w:b/>
          <w:sz w:val="24"/>
        </w:rPr>
        <w:t>项目联系方式</w:t>
      </w:r>
      <w:bookmarkEnd w:id="30"/>
      <w:bookmarkEnd w:id="31"/>
    </w:p>
    <w:p>
      <w:pPr>
        <w:pStyle w:val="24"/>
        <w:spacing w:line="360" w:lineRule="auto"/>
        <w:ind w:left="1076" w:leftChars="371" w:hanging="297" w:hangingChars="124"/>
        <w:rPr>
          <w:rFonts w:hAnsi="宋体"/>
          <w:sz w:val="24"/>
          <w:u w:val="single"/>
          <w:lang w:bidi="ar"/>
        </w:rPr>
      </w:pPr>
      <w:r>
        <w:rPr>
          <w:rFonts w:hint="eastAsia" w:ascii="Times New Roman" w:hAnsi="Times New Roman"/>
          <w:sz w:val="24"/>
          <w:szCs w:val="24"/>
        </w:rPr>
        <w:t>项目联系人：</w:t>
      </w:r>
      <w:r>
        <w:rPr>
          <w:rFonts w:hint="eastAsia" w:hAnsi="宋体"/>
          <w:sz w:val="24"/>
        </w:rPr>
        <w:t>张老师</w:t>
      </w:r>
    </w:p>
    <w:p>
      <w:pPr>
        <w:pStyle w:val="24"/>
        <w:spacing w:line="360" w:lineRule="auto"/>
        <w:ind w:left="1076" w:leftChars="371" w:hanging="297" w:hangingChars="124"/>
        <w:rPr>
          <w:rFonts w:ascii="Times New Roman" w:hAnsi="Times New Roman"/>
          <w:sz w:val="24"/>
          <w:szCs w:val="24"/>
        </w:rPr>
      </w:pPr>
      <w:r>
        <w:rPr>
          <w:rFonts w:hint="eastAsia" w:hAnsi="宋体"/>
          <w:sz w:val="24"/>
        </w:rPr>
        <w:t>电      话：62057628</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2" w:name="_Toc127161488"/>
      <w:bookmarkStart w:id="33" w:name="_Toc226965856"/>
      <w:bookmarkStart w:id="34" w:name="_Toc265228423"/>
      <w:bookmarkStart w:id="35" w:name="_Toc512937850"/>
      <w:bookmarkStart w:id="36" w:name="_Toc353825548"/>
      <w:bookmarkStart w:id="37" w:name="_Toc353873938"/>
      <w:bookmarkStart w:id="38" w:name="_Toc127151777"/>
      <w:bookmarkStart w:id="39" w:name="_Toc150774783"/>
      <w:bookmarkStart w:id="40" w:name="_Toc305158854"/>
      <w:bookmarkStart w:id="41" w:name="_Toc97371942"/>
      <w:bookmarkStart w:id="42" w:name="_Toc264969275"/>
      <w:bookmarkStart w:id="43" w:name="_Toc195842950"/>
      <w:bookmarkStart w:id="44" w:name="_Toc305158928"/>
      <w:r>
        <w:rPr>
          <w:rFonts w:hint="eastAsia"/>
          <w:b/>
          <w:sz w:val="36"/>
          <w:szCs w:val="36"/>
        </w:rPr>
        <w:t>第二章</w:t>
      </w:r>
      <w:r>
        <w:rPr>
          <w:b/>
          <w:sz w:val="36"/>
          <w:szCs w:val="36"/>
        </w:rPr>
        <w:t xml:space="preserve">   </w:t>
      </w:r>
      <w:r>
        <w:rPr>
          <w:rFonts w:hint="eastAsia"/>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Times New Roman" w:hAnsi="Times New Roman" w:eastAsia="宋体"/>
          <w:b w:val="0"/>
          <w:sz w:val="28"/>
        </w:rPr>
      </w:pPr>
      <w:bookmarkStart w:id="45" w:name="_Toc142311021"/>
      <w:bookmarkStart w:id="46" w:name="_Toc149720812"/>
      <w:bookmarkStart w:id="47" w:name="_Toc127151519"/>
      <w:bookmarkStart w:id="48" w:name="_Toc151193833"/>
      <w:bookmarkStart w:id="49" w:name="_Toc150480757"/>
      <w:bookmarkStart w:id="50" w:name="_Toc150774619"/>
      <w:bookmarkStart w:id="51" w:name="_Toc226965792"/>
      <w:bookmarkStart w:id="52" w:name="_Toc164608633"/>
      <w:bookmarkStart w:id="53" w:name="_Toc151193617"/>
      <w:bookmarkStart w:id="54" w:name="_Toc151190146"/>
      <w:bookmarkStart w:id="55" w:name="_Toc151193689"/>
      <w:bookmarkStart w:id="56" w:name="_Toc226965709"/>
      <w:bookmarkStart w:id="57" w:name="_Toc151193907"/>
      <w:bookmarkStart w:id="58" w:name="_Toc164608788"/>
      <w:bookmarkStart w:id="59" w:name="_Toc226337215"/>
      <w:bookmarkStart w:id="60" w:name="_Toc164229214"/>
      <w:bookmarkStart w:id="61" w:name="_Toc226309763"/>
      <w:bookmarkStart w:id="62" w:name="_Toc150774724"/>
      <w:bookmarkStart w:id="63" w:name="_Toc520356144"/>
      <w:bookmarkStart w:id="64" w:name="_Toc150509270"/>
      <w:bookmarkStart w:id="65" w:name="_Toc195842884"/>
      <w:bookmarkStart w:id="66" w:name="_Toc127161433"/>
      <w:bookmarkStart w:id="67" w:name="_Toc164351613"/>
      <w:bookmarkStart w:id="68" w:name="_Toc164229360"/>
      <w:bookmarkStart w:id="69" w:name="_Toc151193761"/>
      <w:bookmarkStart w:id="70" w:name="_Toc127151720"/>
      <w:r>
        <w:rPr>
          <w:rFonts w:hint="eastAsia" w:ascii="Times New Roman" w:hAnsi="Times New Roman" w:eastAsia="宋体"/>
          <w:sz w:val="28"/>
        </w:rPr>
        <w:t>供应商须知资料表</w:t>
      </w:r>
    </w:p>
    <w:p>
      <w:pPr>
        <w:jc w:val="center"/>
        <w:rPr>
          <w:b/>
          <w:sz w:val="28"/>
          <w:szCs w:val="28"/>
        </w:rPr>
      </w:pPr>
    </w:p>
    <w:p>
      <w:pPr>
        <w:spacing w:line="360" w:lineRule="auto"/>
        <w:ind w:firstLine="480"/>
        <w:rPr>
          <w:sz w:val="24"/>
        </w:rPr>
      </w:pPr>
      <w:r>
        <w:rPr>
          <w:rFonts w:hint="eastAsia"/>
          <w:sz w:val="24"/>
        </w:rPr>
        <w:t>本表是对供应商须知的具体补充和修改，如有矛盾，均以本资料表为准。标记</w:t>
      </w:r>
      <w:r>
        <w:rPr>
          <w:sz w:val="24"/>
        </w:rPr>
        <w:t>“</w:t>
      </w:r>
      <w:r>
        <w:rPr>
          <w:rFonts w:hint="eastAsia" w:ascii="MS Mincho" w:hAnsi="MS Mincho" w:eastAsia="MS Mincho" w:cs="MS Mincho"/>
        </w:rPr>
        <w:t>☑</w:t>
      </w:r>
      <w:r>
        <w:rPr>
          <w:sz w:val="24"/>
        </w:rPr>
        <w:t>”</w:t>
      </w:r>
      <w:r>
        <w:rPr>
          <w:rFonts w:hint="eastAsia"/>
          <w:sz w:val="24"/>
        </w:rPr>
        <w:t>的选项意为适用于本项目，标记</w:t>
      </w:r>
      <w:r>
        <w:rPr>
          <w:sz w:val="24"/>
        </w:rPr>
        <w:t>“</w:t>
      </w:r>
      <w:r>
        <w:t>□</w:t>
      </w:r>
      <w:r>
        <w:rPr>
          <w:sz w:val="24"/>
        </w:rPr>
        <w:t>”</w:t>
      </w:r>
      <w:r>
        <w:rPr>
          <w:rFonts w:hint="eastAsia"/>
          <w:sz w:val="24"/>
        </w:rPr>
        <w:t>的选项意为不适用于本项目。</w:t>
      </w:r>
    </w:p>
    <w:tbl>
      <w:tblPr>
        <w:tblStyle w:val="43"/>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2"/>
        <w:gridCol w:w="7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tcBorders>
              <w:top w:val="single" w:color="auto" w:sz="4" w:space="0"/>
              <w:left w:val="single" w:color="auto" w:sz="4" w:space="0"/>
              <w:bottom w:val="single" w:color="auto" w:sz="4" w:space="0"/>
              <w:right w:val="single" w:color="auto" w:sz="4" w:space="0"/>
            </w:tcBorders>
            <w:vAlign w:val="center"/>
          </w:tcPr>
          <w:p>
            <w:pPr>
              <w:jc w:val="center"/>
              <w:rPr>
                <w:b/>
                <w:bCs/>
                <w:sz w:val="24"/>
              </w:rPr>
            </w:pPr>
            <w:r>
              <w:rPr>
                <w:rFonts w:hint="eastAsia"/>
                <w:b/>
                <w:sz w:val="24"/>
              </w:rPr>
              <w:t>条款号</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b/>
                <w:bCs/>
                <w:sz w:val="24"/>
              </w:rPr>
            </w:pPr>
            <w:r>
              <w:rPr>
                <w:rFonts w:hint="eastAsia"/>
                <w:b/>
                <w:bCs/>
                <w:sz w:val="24"/>
              </w:rPr>
              <w:t>条目</w:t>
            </w:r>
          </w:p>
        </w:tc>
        <w:tc>
          <w:tcPr>
            <w:tcW w:w="7253" w:type="dxa"/>
            <w:tcBorders>
              <w:top w:val="single" w:color="auto" w:sz="4" w:space="0"/>
              <w:left w:val="single" w:color="auto" w:sz="4" w:space="0"/>
              <w:bottom w:val="single" w:color="auto" w:sz="4" w:space="0"/>
              <w:right w:val="single" w:color="auto" w:sz="4" w:space="0"/>
            </w:tcBorders>
            <w:vAlign w:val="center"/>
          </w:tcPr>
          <w:p>
            <w:pPr>
              <w:jc w:val="center"/>
              <w:rPr>
                <w:b/>
                <w:bCs/>
                <w:sz w:val="24"/>
              </w:rPr>
            </w:pPr>
            <w:r>
              <w:rPr>
                <w:rFonts w:hint="eastAsia"/>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项目属性</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项目属性：</w:t>
            </w:r>
          </w:p>
          <w:p>
            <w:pPr>
              <w:jc w:val="left"/>
              <w:rPr>
                <w:sz w:val="24"/>
              </w:rPr>
            </w:pPr>
            <w:r>
              <w:rPr>
                <w:rFonts w:hint="eastAsia" w:ascii="MS Mincho" w:hAnsi="MS Mincho" w:eastAsia="MS Mincho" w:cs="MS Mincho"/>
              </w:rPr>
              <w:t>☑</w:t>
            </w:r>
            <w:r>
              <w:rPr>
                <w:rFonts w:hint="eastAsia"/>
                <w:sz w:val="24"/>
              </w:rPr>
              <w:t>服务</w:t>
            </w:r>
          </w:p>
          <w:p>
            <w:pPr>
              <w:jc w:val="left"/>
              <w:rPr>
                <w:sz w:val="24"/>
              </w:rPr>
            </w:pPr>
            <w:r>
              <w:t>□</w:t>
            </w:r>
            <w:r>
              <w:rPr>
                <w:rFonts w:hint="eastAsia"/>
                <w:sz w:val="24"/>
              </w:rPr>
              <w:t>货物</w:t>
            </w:r>
          </w:p>
          <w:p>
            <w:pPr>
              <w:jc w:val="left"/>
              <w:rPr>
                <w:sz w:val="24"/>
                <w:u w:val="single"/>
              </w:rPr>
            </w:pPr>
            <w:r>
              <w:rPr>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科研仪器设备</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是否属于科研仪器设备采购项目：</w:t>
            </w:r>
          </w:p>
          <w:p>
            <w:pPr>
              <w:jc w:val="left"/>
              <w:rPr>
                <w:sz w:val="24"/>
              </w:rPr>
            </w:pPr>
            <w:r>
              <w:t>□</w:t>
            </w:r>
            <w:r>
              <w:rPr>
                <w:rFonts w:hint="eastAsia"/>
                <w:sz w:val="24"/>
              </w:rPr>
              <w:t>是</w:t>
            </w:r>
          </w:p>
          <w:p>
            <w:pPr>
              <w:jc w:val="left"/>
              <w:rPr>
                <w:sz w:val="24"/>
              </w:rPr>
            </w:pPr>
            <w:r>
              <w:rPr>
                <w:rFonts w:hint="eastAsia" w:ascii="MS Mincho" w:hAnsi="MS Mincho" w:eastAsia="MS Mincho" w:cs="MS Mincho"/>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现场考察</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ascii="MS Mincho" w:hAnsi="MS Mincho" w:eastAsia="MS Mincho" w:cs="MS Mincho"/>
              </w:rPr>
              <w:t>☑</w:t>
            </w:r>
            <w:r>
              <w:rPr>
                <w:rFonts w:hint="eastAsia"/>
                <w:sz w:val="24"/>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 w:val="24"/>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磋商前答疑会</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ascii="MS Mincho" w:hAnsi="MS Mincho" w:eastAsia="MS Mincho" w:cs="MS Mincho"/>
              </w:rPr>
              <w:t>☑</w:t>
            </w:r>
            <w:r>
              <w:rPr>
                <w:rFonts w:hint="eastAsia"/>
                <w:sz w:val="24"/>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标的所属行业</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7"/>
              <w:gridCol w:w="3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kern w:val="0"/>
                      <w:sz w:val="24"/>
                    </w:rPr>
                    <w:t>2024年精细化运维服务采购项目</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服务业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报价</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报价的特殊规定：</w:t>
            </w:r>
          </w:p>
          <w:p>
            <w:pPr>
              <w:jc w:val="left"/>
              <w:rPr>
                <w:sz w:val="24"/>
              </w:rPr>
            </w:pPr>
            <w:r>
              <w:rPr>
                <w:rFonts w:hint="eastAsia" w:ascii="MS Mincho" w:hAnsi="MS Mincho" w:eastAsia="MS Mincho" w:cs="MS Mincho"/>
              </w:rPr>
              <w:t>☑</w:t>
            </w:r>
            <w:r>
              <w:rPr>
                <w:rFonts w:hint="eastAsia"/>
                <w:sz w:val="24"/>
              </w:rPr>
              <w:t>无</w:t>
            </w:r>
          </w:p>
          <w:p>
            <w:pPr>
              <w:jc w:val="left"/>
              <w:rPr>
                <w:sz w:val="24"/>
              </w:rPr>
            </w:pPr>
            <w:r>
              <w:t>□</w:t>
            </w:r>
            <w:r>
              <w:rPr>
                <w:rFonts w:hint="eastAsia"/>
                <w:sz w:val="24"/>
              </w:rPr>
              <w:t>有，具体情形：</w:t>
            </w:r>
            <w:r>
              <w:rPr>
                <w:sz w:val="24"/>
              </w:rPr>
              <w:t>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磋商保证金（无）</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磋商保证金金额：</w:t>
            </w:r>
            <w:r>
              <w:rPr>
                <w:sz w:val="24"/>
              </w:rPr>
              <w:t xml:space="preserve"> 0</w:t>
            </w:r>
            <w:r>
              <w:rPr>
                <w:rFonts w:hint="eastAsia"/>
                <w:sz w:val="24"/>
              </w:rPr>
              <w:t>元</w:t>
            </w:r>
            <w:r>
              <w:rPr>
                <w:rFonts w:hint="eastAsia"/>
                <w:b/>
                <w:bCs/>
                <w:sz w:val="24"/>
              </w:rPr>
              <w:t>（汇款时须注明项目名称）</w:t>
            </w:r>
          </w:p>
          <w:p>
            <w:pPr>
              <w:jc w:val="left"/>
              <w:rPr>
                <w:sz w:val="24"/>
              </w:rPr>
            </w:pPr>
            <w:r>
              <w:rPr>
                <w:rFonts w:hint="eastAsia"/>
                <w:sz w:val="24"/>
              </w:rPr>
              <w:t>磋商保证金收受人信息：</w:t>
            </w:r>
          </w:p>
          <w:p>
            <w:pPr>
              <w:jc w:val="left"/>
              <w:rPr>
                <w:sz w:val="24"/>
              </w:rPr>
            </w:pPr>
            <w:r>
              <w:rPr>
                <w:rFonts w:hint="eastAsia"/>
                <w:sz w:val="24"/>
              </w:rPr>
              <w:t>户</w:t>
            </w:r>
            <w:r>
              <w:rPr>
                <w:sz w:val="24"/>
              </w:rPr>
              <w:t xml:space="preserve">  </w:t>
            </w:r>
            <w:r>
              <w:rPr>
                <w:rFonts w:hint="eastAsia"/>
                <w:sz w:val="24"/>
              </w:rPr>
              <w:t>名：中深泰项目管理有限公司</w:t>
            </w:r>
          </w:p>
          <w:p>
            <w:pPr>
              <w:jc w:val="left"/>
              <w:rPr>
                <w:sz w:val="24"/>
              </w:rPr>
            </w:pPr>
            <w:r>
              <w:rPr>
                <w:rFonts w:hint="eastAsia"/>
                <w:sz w:val="24"/>
              </w:rPr>
              <w:t>开户行：北京农商银行雍和宫支行</w:t>
            </w:r>
          </w:p>
          <w:p>
            <w:pPr>
              <w:jc w:val="left"/>
              <w:rPr>
                <w:sz w:val="24"/>
              </w:rPr>
            </w:pPr>
            <w:r>
              <w:rPr>
                <w:rFonts w:hint="eastAsia"/>
                <w:sz w:val="24"/>
              </w:rPr>
              <w:t>账</w:t>
            </w:r>
            <w:r>
              <w:rPr>
                <w:sz w:val="24"/>
              </w:rPr>
              <w:t xml:space="preserve">  </w:t>
            </w:r>
            <w:r>
              <w:rPr>
                <w:rFonts w:hint="eastAsia"/>
                <w:sz w:val="24"/>
              </w:rPr>
              <w:t>号：</w:t>
            </w:r>
            <w:r>
              <w:rPr>
                <w:sz w:val="24"/>
              </w:rPr>
              <w:t>1606000103000002637</w:t>
            </w:r>
          </w:p>
          <w:p>
            <w:pPr>
              <w:pStyle w:val="2"/>
            </w:pPr>
            <w:r>
              <w:rPr>
                <w:rFonts w:hint="eastAsia"/>
              </w:rPr>
              <w:t>投标保证金递交截止时间：</w:t>
            </w:r>
            <w:r>
              <w:t>2023</w:t>
            </w:r>
            <w:r>
              <w:rPr>
                <w:rFonts w:hint="eastAsia"/>
              </w:rPr>
              <w:t>年月日前。若未按上述要求递交，则拒接收其投标文件。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 w:val="24"/>
              </w:rPr>
            </w:pP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磋商保证金不予退还的其他情形：</w:t>
            </w:r>
          </w:p>
          <w:p>
            <w:pPr>
              <w:jc w:val="left"/>
              <w:rPr>
                <w:sz w:val="24"/>
              </w:rPr>
            </w:pPr>
            <w:r>
              <w:t>□</w:t>
            </w:r>
            <w:r>
              <w:rPr>
                <w:rFonts w:hint="eastAsia"/>
                <w:sz w:val="24"/>
              </w:rPr>
              <w:t>无</w:t>
            </w:r>
          </w:p>
          <w:p>
            <w:pPr>
              <w:pStyle w:val="24"/>
              <w:adjustRightInd w:val="0"/>
              <w:snapToGrid w:val="0"/>
              <w:rPr>
                <w:rFonts w:ascii="Times New Roman" w:hAnsi="Times New Roman"/>
                <w:sz w:val="24"/>
              </w:rPr>
            </w:pPr>
            <w:r>
              <w:rPr>
                <w:rFonts w:hint="eastAsia" w:ascii="MS Mincho" w:hAnsi="MS Mincho" w:eastAsia="MS Mincho" w:cs="MS Mincho"/>
              </w:rPr>
              <w:t>☑</w:t>
            </w:r>
            <w:r>
              <w:rPr>
                <w:rFonts w:hint="eastAsia" w:ascii="Times New Roman" w:hAnsi="Times New Roman"/>
                <w:sz w:val="24"/>
              </w:rPr>
              <w:t>有：具体情形详见供应商须知。</w:t>
            </w:r>
          </w:p>
          <w:p>
            <w:pPr>
              <w:pStyle w:val="24"/>
              <w:adjustRightInd w:val="0"/>
              <w:snapToGrid w:val="0"/>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响应有效期</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自提交响应文件的截止之日起算</w:t>
            </w:r>
            <w:r>
              <w:rPr>
                <w:sz w:val="24"/>
              </w:rPr>
              <w:t>90</w:t>
            </w:r>
            <w:r>
              <w:rPr>
                <w:rFonts w:hint="eastAsia"/>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成交供应商的确认</w:t>
            </w:r>
          </w:p>
        </w:tc>
        <w:tc>
          <w:tcPr>
            <w:tcW w:w="7253"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rPr>
                <w:rFonts w:ascii="Times New Roman" w:hAnsi="Times New Roman"/>
                <w:sz w:val="24"/>
              </w:rPr>
            </w:pPr>
            <w:r>
              <w:rPr>
                <w:rFonts w:hint="eastAsia" w:ascii="Times New Roman" w:hAnsi="Times New Roman"/>
                <w:sz w:val="24"/>
              </w:rPr>
              <w:t>采购人是否授权磋商小组直接确定成交供应商：</w:t>
            </w:r>
          </w:p>
          <w:p>
            <w:pPr>
              <w:pStyle w:val="24"/>
              <w:adjustRightInd w:val="0"/>
              <w:snapToGrid w:val="0"/>
              <w:rPr>
                <w:rFonts w:ascii="Times New Roman" w:hAnsi="Times New Roman"/>
                <w:sz w:val="24"/>
              </w:rPr>
            </w:pPr>
            <w:r>
              <w:rPr>
                <w:rFonts w:hint="eastAsia" w:ascii="MS Mincho" w:hAnsi="MS Mincho" w:eastAsia="MS Mincho" w:cs="MS Mincho"/>
              </w:rPr>
              <w:t>☑</w:t>
            </w:r>
            <w:r>
              <w:rPr>
                <w:rFonts w:hint="eastAsia" w:ascii="Times New Roman" w:hAnsi="Times New Roman"/>
                <w:sz w:val="24"/>
              </w:rPr>
              <w:t>否</w:t>
            </w:r>
          </w:p>
          <w:p>
            <w:pPr>
              <w:jc w:val="left"/>
              <w:rPr>
                <w:sz w:val="24"/>
              </w:rPr>
            </w:pPr>
            <w:r>
              <w:t>□</w:t>
            </w:r>
            <w:r>
              <w:rPr>
                <w:rFonts w:hint="eastAsia"/>
                <w:sz w:val="24"/>
              </w:rPr>
              <w:t>是</w:t>
            </w:r>
          </w:p>
          <w:p>
            <w:pPr>
              <w:jc w:val="left"/>
              <w:rPr>
                <w:sz w:val="24"/>
                <w:u w:val="single"/>
              </w:rPr>
            </w:pPr>
            <w:r>
              <w:rPr>
                <w:rFonts w:hint="eastAsia"/>
                <w:sz w:val="24"/>
              </w:rPr>
              <w:t>成交候选人并列的，按照以下方式确定成交供应商：</w:t>
            </w:r>
            <w:r>
              <w:rPr>
                <w:sz w:val="24"/>
              </w:rPr>
              <w:t>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分包</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本项目是否允许分包：</w:t>
            </w:r>
            <w:r>
              <w:rPr>
                <w:sz w:val="24"/>
              </w:rPr>
              <w:t xml:space="preserve"> </w:t>
            </w:r>
          </w:p>
          <w:p>
            <w:pPr>
              <w:jc w:val="left"/>
              <w:rPr>
                <w:sz w:val="24"/>
              </w:rPr>
            </w:pPr>
            <w:r>
              <w:rPr>
                <w:rFonts w:hint="eastAsia" w:ascii="MS Mincho" w:hAnsi="MS Mincho" w:eastAsia="MS Mincho" w:cs="MS Mincho"/>
              </w:rPr>
              <w:t>☑</w:t>
            </w:r>
            <w:r>
              <w:rPr>
                <w:rFonts w:hint="eastAsia"/>
                <w:sz w:val="24"/>
              </w:rPr>
              <w:t>不允许</w:t>
            </w:r>
          </w:p>
          <w:p>
            <w:pPr>
              <w:jc w:val="left"/>
              <w:rPr>
                <w:sz w:val="24"/>
              </w:rPr>
            </w:pPr>
            <w:r>
              <w:t>□</w:t>
            </w:r>
            <w:r>
              <w:rPr>
                <w:rFonts w:hint="eastAsia"/>
                <w:sz w:val="24"/>
              </w:rPr>
              <w:t>允许，具体要求：</w:t>
            </w:r>
            <w:r>
              <w:rPr>
                <w:sz w:val="24"/>
              </w:rPr>
              <w:t>_______</w:t>
            </w:r>
            <w:r>
              <w:rPr>
                <w:rFonts w:hint="eastAsia"/>
                <w:sz w:val="24"/>
              </w:rPr>
              <w:t>。</w:t>
            </w:r>
          </w:p>
          <w:p>
            <w:pPr>
              <w:jc w:val="left"/>
              <w:rPr>
                <w:sz w:val="24"/>
              </w:rPr>
            </w:pPr>
            <w:r>
              <w:rPr>
                <w:rFonts w:hint="eastAsia"/>
                <w:sz w:val="24"/>
              </w:rPr>
              <w:t>（</w:t>
            </w:r>
            <w:r>
              <w:rPr>
                <w:sz w:val="24"/>
              </w:rPr>
              <w:t>1</w:t>
            </w:r>
            <w:r>
              <w:rPr>
                <w:rFonts w:hint="eastAsia"/>
                <w:sz w:val="24"/>
              </w:rPr>
              <w:t>）可以分包履行的具体内容：</w:t>
            </w:r>
            <w:r>
              <w:rPr>
                <w:sz w:val="24"/>
              </w:rPr>
              <w:t>_______</w:t>
            </w:r>
            <w:r>
              <w:rPr>
                <w:rFonts w:hint="eastAsia"/>
                <w:sz w:val="24"/>
              </w:rPr>
              <w:t>；</w:t>
            </w:r>
          </w:p>
          <w:p>
            <w:pPr>
              <w:jc w:val="left"/>
              <w:rPr>
                <w:sz w:val="24"/>
              </w:rPr>
            </w:pPr>
            <w:r>
              <w:rPr>
                <w:rFonts w:hint="eastAsia"/>
                <w:sz w:val="24"/>
              </w:rPr>
              <w:t>（</w:t>
            </w:r>
            <w:r>
              <w:rPr>
                <w:sz w:val="24"/>
              </w:rPr>
              <w:t>2</w:t>
            </w:r>
            <w:r>
              <w:rPr>
                <w:rFonts w:hint="eastAsia"/>
                <w:sz w:val="24"/>
              </w:rPr>
              <w:t>）允许分包的金额或者比例：</w:t>
            </w:r>
            <w:r>
              <w:rPr>
                <w:sz w:val="24"/>
              </w:rPr>
              <w:t>_______</w:t>
            </w:r>
            <w:r>
              <w:rPr>
                <w:rFonts w:hint="eastAsia"/>
                <w:sz w:val="24"/>
              </w:rPr>
              <w:t>；</w:t>
            </w:r>
          </w:p>
          <w:p>
            <w:pPr>
              <w:jc w:val="left"/>
              <w:rPr>
                <w:sz w:val="24"/>
                <w:u w:val="single"/>
              </w:rPr>
            </w:pPr>
            <w:r>
              <w:rPr>
                <w:rFonts w:hint="eastAsia"/>
                <w:sz w:val="24"/>
              </w:rPr>
              <w:t>（</w:t>
            </w:r>
            <w:r>
              <w:rPr>
                <w:sz w:val="24"/>
              </w:rPr>
              <w:t>3</w:t>
            </w:r>
            <w:r>
              <w:rPr>
                <w:rFonts w:hint="eastAsia"/>
                <w:sz w:val="24"/>
              </w:rPr>
              <w:t>）其他要求：</w:t>
            </w:r>
            <w:r>
              <w:rPr>
                <w:sz w:val="24"/>
              </w:rPr>
              <w:t>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询问</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询问送达形式：供应商应提交书面询问函，供应商为自然人的，询问函应当由本人签字；供应商为法人或者其他组织的，询问函应当由法定代表人、主要负责人，或者其授权代表签字或者盖章，并加盖公章。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联系方式</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接收询问和质疑的联系方式</w:t>
            </w:r>
          </w:p>
          <w:p>
            <w:pPr>
              <w:jc w:val="left"/>
              <w:rPr>
                <w:sz w:val="24"/>
              </w:rPr>
            </w:pPr>
            <w:r>
              <w:rPr>
                <w:rFonts w:hint="eastAsia"/>
                <w:sz w:val="24"/>
              </w:rPr>
              <w:t>联系部门：</w:t>
            </w:r>
            <w:r>
              <w:rPr>
                <w:rFonts w:hint="eastAsia" w:ascii="宋体" w:hAnsi="宋体"/>
                <w:sz w:val="24"/>
              </w:rPr>
              <w:t>中深泰项目管理有限公司</w:t>
            </w:r>
            <w:r>
              <w:rPr>
                <w:rFonts w:hint="eastAsia"/>
                <w:sz w:val="24"/>
              </w:rPr>
              <w:t>；</w:t>
            </w:r>
          </w:p>
          <w:p>
            <w:pPr>
              <w:jc w:val="left"/>
              <w:rPr>
                <w:sz w:val="24"/>
              </w:rPr>
            </w:pPr>
            <w:r>
              <w:rPr>
                <w:rFonts w:hint="eastAsia"/>
                <w:sz w:val="24"/>
              </w:rPr>
              <w:t>联系电话：</w:t>
            </w:r>
            <w:r>
              <w:rPr>
                <w:rFonts w:hint="eastAsia" w:ascii="宋体" w:hAnsi="宋体"/>
                <w:sz w:val="24"/>
              </w:rPr>
              <w:t>62057628</w:t>
            </w:r>
            <w:r>
              <w:rPr>
                <w:rFonts w:hint="eastAsia"/>
                <w:sz w:val="24"/>
              </w:rPr>
              <w:t>；</w:t>
            </w:r>
          </w:p>
          <w:p>
            <w:pPr>
              <w:jc w:val="left"/>
              <w:rPr>
                <w:sz w:val="24"/>
              </w:rPr>
            </w:pPr>
            <w:r>
              <w:rPr>
                <w:rFonts w:hint="eastAsia"/>
                <w:sz w:val="24"/>
              </w:rPr>
              <w:t>通讯地址：</w:t>
            </w:r>
            <w:r>
              <w:rPr>
                <w:rFonts w:hint="eastAsia" w:ascii="宋体" w:hAnsi="宋体"/>
                <w:sz w:val="24"/>
                <w:lang w:bidi="ar"/>
              </w:rPr>
              <w:t>北京市海淀区增光路55号，紫玉写字楼13层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代理费</w:t>
            </w: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收费对象：</w:t>
            </w:r>
          </w:p>
          <w:p>
            <w:pPr>
              <w:jc w:val="left"/>
              <w:rPr>
                <w:sz w:val="24"/>
              </w:rPr>
            </w:pPr>
            <w:r>
              <w:t>□</w:t>
            </w:r>
            <w:r>
              <w:rPr>
                <w:rFonts w:hint="eastAsia"/>
                <w:sz w:val="24"/>
              </w:rPr>
              <w:t>采购人</w:t>
            </w:r>
          </w:p>
          <w:p>
            <w:pPr>
              <w:jc w:val="left"/>
              <w:rPr>
                <w:sz w:val="24"/>
              </w:rPr>
            </w:pPr>
            <w:r>
              <w:rPr>
                <w:rFonts w:hint="eastAsia" w:ascii="MS Mincho" w:hAnsi="MS Mincho" w:eastAsia="MS Mincho" w:cs="MS Mincho"/>
              </w:rPr>
              <w:t>☑</w:t>
            </w:r>
            <w:r>
              <w:rPr>
                <w:rFonts w:hint="eastAsia"/>
                <w:sz w:val="24"/>
              </w:rPr>
              <w:t>成交供应商</w:t>
            </w:r>
          </w:p>
          <w:p>
            <w:pPr>
              <w:jc w:val="left"/>
              <w:rPr>
                <w:sz w:val="24"/>
                <w:u w:val="single"/>
              </w:rPr>
            </w:pPr>
            <w:r>
              <w:rPr>
                <w:rFonts w:hint="eastAsia"/>
                <w:sz w:val="24"/>
              </w:rPr>
              <w:t>收费标准：</w:t>
            </w:r>
            <w:r>
              <w:rPr>
                <w:rFonts w:hint="eastAsia" w:ascii="宋体" w:hAnsi="宋体"/>
                <w:sz w:val="24"/>
              </w:rPr>
              <w:t>中标服务费以中标通知书的中标金额作为收取的计算基数，参照《招标代理服务收费管理暂行办法》（计价格[2002]1980号），按差额定率累进法计算</w:t>
            </w:r>
            <w:r>
              <w:rPr>
                <w:rFonts w:hint="eastAsia"/>
                <w:sz w:val="24"/>
              </w:rPr>
              <w:t>；</w:t>
            </w:r>
          </w:p>
          <w:p>
            <w:pPr>
              <w:jc w:val="left"/>
              <w:rPr>
                <w:sz w:val="24"/>
              </w:rPr>
            </w:pPr>
            <w:r>
              <w:rPr>
                <w:rFonts w:hint="eastAsia"/>
                <w:sz w:val="24"/>
              </w:rPr>
              <w:t>缴纳时间：</w:t>
            </w:r>
            <w:r>
              <w:rPr>
                <w:rFonts w:hint="eastAsia" w:ascii="宋体" w:hAnsi="宋体"/>
                <w:sz w:val="24"/>
              </w:rPr>
              <w:t>中标人应在领取中标通知书时向代理机构一次性交纳中标服务费及评审费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26</w:t>
            </w:r>
          </w:p>
        </w:tc>
        <w:tc>
          <w:tcPr>
            <w:tcW w:w="1701" w:type="dxa"/>
            <w:tcBorders>
              <w:top w:val="single" w:color="auto" w:sz="4" w:space="0"/>
              <w:left w:val="single" w:color="auto" w:sz="4" w:space="0"/>
              <w:bottom w:val="single" w:color="auto" w:sz="4" w:space="0"/>
              <w:right w:val="single" w:color="auto" w:sz="4" w:space="0"/>
            </w:tcBorders>
            <w:vAlign w:val="center"/>
          </w:tcPr>
          <w:p>
            <w:pPr>
              <w:pStyle w:val="209"/>
              <w:snapToGrid w:val="0"/>
              <w:jc w:val="center"/>
              <w:rPr>
                <w:rFonts w:cs="Times New Roman"/>
                <w:lang w:val="zh-CN"/>
              </w:rPr>
            </w:pPr>
            <w:r>
              <w:rPr>
                <w:rFonts w:hint="eastAsia" w:cs="Times New Roman"/>
                <w:lang w:val="zh-CN"/>
              </w:rPr>
              <w:t>资格审查</w:t>
            </w:r>
          </w:p>
        </w:tc>
        <w:tc>
          <w:tcPr>
            <w:tcW w:w="7253" w:type="dxa"/>
            <w:tcBorders>
              <w:top w:val="single" w:color="auto" w:sz="4" w:space="0"/>
              <w:left w:val="single" w:color="auto" w:sz="4" w:space="0"/>
              <w:bottom w:val="single" w:color="auto" w:sz="4" w:space="0"/>
              <w:right w:val="single" w:color="auto" w:sz="4" w:space="0"/>
            </w:tcBorders>
            <w:vAlign w:val="center"/>
          </w:tcPr>
          <w:p>
            <w:pPr>
              <w:ind w:firstLine="480"/>
              <w:rPr>
                <w:rFonts w:asciiTheme="minorEastAsia" w:hAnsiTheme="minorEastAsia" w:eastAsiaTheme="minorEastAsia"/>
                <w:sz w:val="24"/>
                <w:lang w:val="zh-CN"/>
              </w:rPr>
            </w:pPr>
            <w:r>
              <w:rPr>
                <w:rFonts w:hint="eastAsia" w:asciiTheme="minorEastAsia" w:hAnsiTheme="minorEastAsia" w:eastAsiaTheme="minorEastAsia"/>
                <w:sz w:val="24"/>
                <w:lang w:val="zh-CN"/>
              </w:rPr>
              <w:t>本项目报价人的资格条件在评审时进行审查。报价人应在响应文件中按竞争性磋商文件的规定和要求附上所有的资格证明文件，要求提供的复印件必须加盖单位印章，并在必要时提供原件备查。若提供的资格证明文件不全或不实，将导致其竞争性磋商或成交资格被取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pStyle w:val="209"/>
              <w:snapToGrid w:val="0"/>
              <w:jc w:val="center"/>
              <w:rPr>
                <w:rFonts w:cs="Times New Roman"/>
                <w:lang w:val="zh-CN"/>
              </w:rPr>
            </w:pPr>
            <w:r>
              <w:rPr>
                <w:rFonts w:hint="eastAsia" w:cs="Times New Roman"/>
                <w:lang w:val="zh-CN"/>
              </w:rPr>
              <w:t>授权委托书</w:t>
            </w:r>
          </w:p>
        </w:tc>
        <w:tc>
          <w:tcPr>
            <w:tcW w:w="7253" w:type="dxa"/>
            <w:tcBorders>
              <w:top w:val="single" w:color="auto" w:sz="4" w:space="0"/>
              <w:left w:val="single" w:color="auto" w:sz="4" w:space="0"/>
              <w:bottom w:val="single" w:color="auto" w:sz="4" w:space="0"/>
              <w:right w:val="single" w:color="auto" w:sz="4" w:space="0"/>
            </w:tcBorders>
            <w:vAlign w:val="center"/>
          </w:tcPr>
          <w:p>
            <w:pPr>
              <w:pStyle w:val="209"/>
              <w:snapToGrid w:val="0"/>
              <w:rPr>
                <w:rFonts w:cs="Times New Roman"/>
                <w:lang w:val="zh-CN"/>
              </w:rPr>
            </w:pPr>
            <w:r>
              <w:rPr>
                <w:rFonts w:hint="eastAsia" w:cs="Times New Roman"/>
                <w:lang w:val="zh-CN"/>
              </w:rPr>
              <w:t>开标时需单独手持一份授权委托书及授权人身份证复印件加盖公章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28</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响应文件</w:t>
            </w:r>
          </w:p>
          <w:p>
            <w:pPr>
              <w:jc w:val="center"/>
              <w:rPr>
                <w:sz w:val="24"/>
              </w:rPr>
            </w:pPr>
            <w:r>
              <w:rPr>
                <w:rFonts w:hint="eastAsia"/>
                <w:sz w:val="24"/>
              </w:rPr>
              <w:t>份数</w:t>
            </w:r>
          </w:p>
        </w:tc>
        <w:tc>
          <w:tcPr>
            <w:tcW w:w="7253"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响应文件一式</w:t>
            </w:r>
            <w:r>
              <w:rPr>
                <w:sz w:val="24"/>
              </w:rPr>
              <w:t>3</w:t>
            </w:r>
            <w:r>
              <w:rPr>
                <w:rFonts w:hint="eastAsia"/>
                <w:sz w:val="24"/>
              </w:rPr>
              <w:t>份，其中正本</w:t>
            </w:r>
            <w:r>
              <w:rPr>
                <w:sz w:val="24"/>
              </w:rPr>
              <w:t xml:space="preserve"> 1</w:t>
            </w:r>
            <w:r>
              <w:rPr>
                <w:rFonts w:hint="eastAsia"/>
                <w:sz w:val="24"/>
              </w:rPr>
              <w:t>份，副本</w:t>
            </w:r>
            <w:r>
              <w:rPr>
                <w:sz w:val="24"/>
              </w:rPr>
              <w:t>2</w:t>
            </w:r>
            <w:r>
              <w:rPr>
                <w:rFonts w:hint="eastAsia"/>
                <w:sz w:val="24"/>
              </w:rPr>
              <w:t>份，电子版</w:t>
            </w:r>
            <w:r>
              <w:rPr>
                <w:sz w:val="24"/>
              </w:rPr>
              <w:t>U</w:t>
            </w:r>
            <w:r>
              <w:rPr>
                <w:rFonts w:hint="eastAsia"/>
                <w:sz w:val="24"/>
              </w:rPr>
              <w:t>盘或光盘</w:t>
            </w:r>
            <w:r>
              <w:rPr>
                <w:sz w:val="24"/>
              </w:rPr>
              <w:t>1</w:t>
            </w:r>
            <w:r>
              <w:rPr>
                <w:rFonts w:hint="eastAsia"/>
                <w:sz w:val="24"/>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29</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24"/>
              </w:rPr>
            </w:pPr>
            <w:r>
              <w:rPr>
                <w:rFonts w:hint="eastAsia" w:ascii="宋体" w:hAnsi="宋体"/>
                <w:sz w:val="24"/>
              </w:rPr>
              <w:t>采购人有权在采购预算范围内根据实际情况适当调整采购服务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ascii="Times New Roman" w:hAnsi="Times New Roman"/>
                <w:sz w:val="24"/>
                <w:szCs w:val="24"/>
              </w:rPr>
            </w:pPr>
            <w:r>
              <w:rPr>
                <w:rFonts w:ascii="Times New Roman" w:hAnsi="Times New Roman"/>
                <w:sz w:val="24"/>
                <w:szCs w:val="24"/>
              </w:rPr>
              <w:t>30</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p>
        </w:tc>
        <w:tc>
          <w:tcPr>
            <w:tcW w:w="7253"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24"/>
              </w:rPr>
            </w:pPr>
            <w:r>
              <w:rPr>
                <w:rFonts w:hint="eastAsia" w:ascii="宋体" w:hAnsi="宋体"/>
                <w:sz w:val="24"/>
              </w:rPr>
              <w:t>供应商的报价中必须包含人工费、服务费、材料费、交通费、培训费、税费等全部价格。</w:t>
            </w:r>
          </w:p>
        </w:tc>
      </w:tr>
    </w:tbl>
    <w:p>
      <w:pPr>
        <w:widowControl/>
        <w:spacing w:line="360" w:lineRule="auto"/>
        <w:jc w:val="left"/>
        <w:rPr>
          <w:sz w:val="24"/>
        </w:rPr>
        <w:sectPr>
          <w:pgSz w:w="11907" w:h="16840"/>
          <w:pgMar w:top="1418" w:right="1134" w:bottom="1418" w:left="1701" w:header="851" w:footer="851" w:gutter="0"/>
          <w:pgNumType w:start="1"/>
          <w:cols w:space="720" w:num="1"/>
        </w:sectPr>
      </w:pPr>
    </w:p>
    <w:p>
      <w:pPr>
        <w:spacing w:before="240" w:beforeLines="100" w:after="240" w:afterLines="100"/>
        <w:jc w:val="center"/>
        <w:rPr>
          <w:b/>
          <w:sz w:val="28"/>
          <w:szCs w:val="28"/>
        </w:rPr>
      </w:pPr>
      <w:r>
        <w:rPr>
          <w:rFonts w:hint="eastAsia"/>
          <w:b/>
          <w:sz w:val="28"/>
          <w:szCs w:val="28"/>
        </w:rPr>
        <w:t>供应商须知</w:t>
      </w:r>
    </w:p>
    <w:p>
      <w:pPr>
        <w:pStyle w:val="4"/>
        <w:tabs>
          <w:tab w:val="center" w:pos="4592"/>
          <w:tab w:val="left" w:pos="7860"/>
        </w:tabs>
        <w:spacing w:before="0" w:line="360" w:lineRule="auto"/>
        <w:jc w:val="left"/>
        <w:rPr>
          <w:rFonts w:ascii="Times New Roman" w:hAnsi="Times New Roman" w:eastAsia="宋体"/>
          <w:sz w:val="28"/>
        </w:rPr>
      </w:pPr>
      <w:bookmarkStart w:id="71" w:name="_Toc127151518"/>
      <w:bookmarkStart w:id="72" w:name="_Toc520356143"/>
      <w:r>
        <w:rPr>
          <w:rFonts w:ascii="Times New Roman" w:hAnsi="Times New Roman" w:eastAsia="宋体"/>
          <w:sz w:val="28"/>
        </w:rPr>
        <w:tab/>
      </w:r>
      <w:bookmarkStart w:id="73" w:name="_Toc226965791"/>
      <w:bookmarkStart w:id="74" w:name="_Toc151193906"/>
      <w:bookmarkStart w:id="75" w:name="_Toc151190145"/>
      <w:bookmarkStart w:id="76" w:name="_Toc150774723"/>
      <w:bookmarkStart w:id="77" w:name="_Toc305158786"/>
      <w:bookmarkStart w:id="78" w:name="_Toc150774618"/>
      <w:bookmarkStart w:id="79" w:name="_Toc151193616"/>
      <w:bookmarkStart w:id="80" w:name="_Toc195842883"/>
      <w:bookmarkStart w:id="81" w:name="_Toc226309762"/>
      <w:bookmarkStart w:id="82" w:name="_Toc150480756"/>
      <w:bookmarkStart w:id="83" w:name="_Toc226337214"/>
      <w:bookmarkStart w:id="84" w:name="_Toc151193688"/>
      <w:bookmarkStart w:id="85" w:name="_Toc264969208"/>
      <w:bookmarkStart w:id="86" w:name="_Toc226965708"/>
      <w:bookmarkStart w:id="87" w:name="_Toc265228356"/>
      <w:bookmarkStart w:id="88" w:name="_Toc305158860"/>
      <w:bookmarkStart w:id="89" w:name="_Toc142311020"/>
      <w:bookmarkStart w:id="90" w:name="_Toc151193832"/>
      <w:bookmarkStart w:id="91" w:name="_Toc151193760"/>
      <w:bookmarkStart w:id="92" w:name="_Toc150509269"/>
      <w:r>
        <w:rPr>
          <w:rFonts w:hint="eastAsia" w:ascii="Times New Roman" w:hAnsi="Times New Roman" w:eastAsia="宋体"/>
          <w:sz w:val="28"/>
        </w:rPr>
        <w:t>一</w:t>
      </w:r>
      <w:r>
        <w:rPr>
          <w:rFonts w:ascii="Times New Roman" w:hAnsi="Times New Roman" w:eastAsia="宋体"/>
          <w:sz w:val="28"/>
        </w:rPr>
        <w:t xml:space="preserve">   </w:t>
      </w:r>
      <w:r>
        <w:rPr>
          <w:rFonts w:hint="eastAsia" w:ascii="Times New Roman" w:hAnsi="Times New Roman" w:eastAsia="宋体"/>
          <w:sz w:val="28"/>
        </w:rPr>
        <w:t>说</w:t>
      </w:r>
      <w:r>
        <w:rPr>
          <w:rFonts w:ascii="Times New Roman" w:hAnsi="Times New Roman" w:eastAsia="宋体"/>
          <w:sz w:val="28"/>
        </w:rPr>
        <w:t xml:space="preserve">  </w:t>
      </w:r>
      <w:r>
        <w:rPr>
          <w:rFonts w:hint="eastAsia" w:ascii="Times New Roman" w:hAnsi="Times New Roman" w:eastAsia="宋体"/>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sz w:val="28"/>
        </w:rPr>
        <w:tab/>
      </w:r>
    </w:p>
    <w:p>
      <w:pPr>
        <w:numPr>
          <w:ilvl w:val="0"/>
          <w:numId w:val="8"/>
        </w:numPr>
        <w:tabs>
          <w:tab w:val="left" w:pos="360"/>
        </w:tabs>
        <w:snapToGrid w:val="0"/>
        <w:spacing w:line="360" w:lineRule="auto"/>
        <w:ind w:left="357" w:hanging="357"/>
        <w:outlineLvl w:val="1"/>
        <w:rPr>
          <w:sz w:val="24"/>
        </w:rPr>
      </w:pPr>
      <w:bookmarkStart w:id="93" w:name="_Toc264969209"/>
      <w:bookmarkStart w:id="94" w:name="_Toc265228357"/>
      <w:bookmarkStart w:id="95" w:name="_Toc305158861"/>
      <w:bookmarkStart w:id="96" w:name="_Toc305158787"/>
      <w:r>
        <w:rPr>
          <w:rFonts w:hint="eastAsia"/>
          <w:sz w:val="24"/>
        </w:rPr>
        <w:t>采购人、采购代理机构、供应商</w:t>
      </w:r>
      <w:bookmarkEnd w:id="93"/>
      <w:bookmarkEnd w:id="94"/>
      <w:bookmarkEnd w:id="95"/>
      <w:bookmarkEnd w:id="96"/>
      <w:r>
        <w:rPr>
          <w:rFonts w:hint="eastAsia"/>
          <w:sz w:val="24"/>
        </w:rPr>
        <w:t>、联合体</w:t>
      </w:r>
    </w:p>
    <w:p>
      <w:pPr>
        <w:numPr>
          <w:ilvl w:val="1"/>
          <w:numId w:val="8"/>
        </w:numPr>
        <w:tabs>
          <w:tab w:val="left" w:pos="1080"/>
          <w:tab w:val="left" w:pos="2014"/>
          <w:tab w:val="left" w:pos="5521"/>
        </w:tabs>
        <w:snapToGrid w:val="0"/>
        <w:spacing w:line="360" w:lineRule="auto"/>
        <w:ind w:left="1080" w:hanging="720"/>
        <w:rPr>
          <w:sz w:val="24"/>
        </w:rPr>
      </w:pPr>
      <w:r>
        <w:rPr>
          <w:rFonts w:hint="eastAsia"/>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sz w:val="24"/>
        </w:rPr>
      </w:pPr>
      <w:r>
        <w:rPr>
          <w:rFonts w:hint="eastAsia"/>
          <w:sz w:val="24"/>
        </w:rPr>
        <w:t>供应商（也称</w:t>
      </w:r>
      <w:r>
        <w:rPr>
          <w:sz w:val="24"/>
        </w:rPr>
        <w:t>“</w:t>
      </w:r>
      <w:r>
        <w:rPr>
          <w:rFonts w:hint="eastAsia"/>
          <w:sz w:val="24"/>
        </w:rPr>
        <w:t>申请人</w:t>
      </w:r>
      <w:r>
        <w:rPr>
          <w:sz w:val="24"/>
        </w:rPr>
        <w:t>”</w:t>
      </w:r>
      <w:r>
        <w:rPr>
          <w:rFonts w:hint="eastAsia"/>
          <w:sz w:val="24"/>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8"/>
        </w:numPr>
        <w:tabs>
          <w:tab w:val="left" w:pos="360"/>
        </w:tabs>
        <w:snapToGrid w:val="0"/>
        <w:spacing w:line="360" w:lineRule="auto"/>
        <w:ind w:left="357" w:hanging="357"/>
        <w:outlineLvl w:val="1"/>
        <w:rPr>
          <w:sz w:val="24"/>
        </w:rPr>
      </w:pPr>
      <w:bookmarkStart w:id="97" w:name="_Toc305158862"/>
      <w:bookmarkStart w:id="98" w:name="_Toc127161434"/>
      <w:bookmarkStart w:id="99" w:name="_Toc151193690"/>
      <w:bookmarkStart w:id="100" w:name="_Toc127151520"/>
      <w:bookmarkStart w:id="101" w:name="_Toc127151721"/>
      <w:bookmarkStart w:id="102" w:name="_Toc164229215"/>
      <w:bookmarkStart w:id="103" w:name="_Toc142311022"/>
      <w:bookmarkStart w:id="104" w:name="_Toc164229361"/>
      <w:bookmarkStart w:id="105" w:name="_Toc226337216"/>
      <w:bookmarkStart w:id="106" w:name="_Toc164608634"/>
      <w:bookmarkStart w:id="107" w:name="_Toc195842885"/>
      <w:bookmarkStart w:id="108" w:name="_Toc150480758"/>
      <w:bookmarkStart w:id="109" w:name="_Toc226965710"/>
      <w:bookmarkStart w:id="110" w:name="_Toc164351614"/>
      <w:bookmarkStart w:id="111" w:name="_Toc164608789"/>
      <w:bookmarkStart w:id="112" w:name="_Toc265228358"/>
      <w:bookmarkStart w:id="113" w:name="_Toc150774725"/>
      <w:bookmarkStart w:id="114" w:name="_Toc151193618"/>
      <w:bookmarkStart w:id="115" w:name="_Toc151193908"/>
      <w:bookmarkStart w:id="116" w:name="_Toc226309764"/>
      <w:bookmarkStart w:id="117" w:name="_Toc151193834"/>
      <w:bookmarkStart w:id="118" w:name="_Toc150774620"/>
      <w:bookmarkStart w:id="119" w:name="_Toc151193762"/>
      <w:bookmarkStart w:id="120" w:name="_Toc305158788"/>
      <w:bookmarkStart w:id="121" w:name="_Toc149720813"/>
      <w:bookmarkStart w:id="122" w:name="_Toc150509271"/>
      <w:bookmarkStart w:id="123" w:name="_Toc151190147"/>
      <w:bookmarkStart w:id="124" w:name="_Toc226965793"/>
      <w:bookmarkStart w:id="125" w:name="_Toc264969210"/>
      <w:r>
        <w:rPr>
          <w:rFonts w:hint="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sz w:val="24"/>
        </w:rPr>
        <w:t>、项目属性、科研仪器设备采购</w:t>
      </w:r>
    </w:p>
    <w:p>
      <w:pPr>
        <w:numPr>
          <w:ilvl w:val="1"/>
          <w:numId w:val="8"/>
        </w:numPr>
        <w:tabs>
          <w:tab w:val="left" w:pos="1080"/>
          <w:tab w:val="left" w:pos="2014"/>
        </w:tabs>
        <w:snapToGrid w:val="0"/>
        <w:spacing w:line="360" w:lineRule="auto"/>
        <w:ind w:left="1080" w:hanging="720"/>
        <w:rPr>
          <w:sz w:val="24"/>
        </w:rPr>
      </w:pPr>
      <w:r>
        <w:rPr>
          <w:rFonts w:hint="eastAsia"/>
          <w:sz w:val="24"/>
        </w:rPr>
        <w:t>资金来源为财政性资金和</w:t>
      </w:r>
      <w:r>
        <w:rPr>
          <w:sz w:val="24"/>
        </w:rPr>
        <w:t>/</w:t>
      </w:r>
      <w:r>
        <w:rPr>
          <w:rFonts w:hint="eastAsia"/>
          <w:sz w:val="24"/>
        </w:rPr>
        <w:t>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rFonts w:hint="eastAsia"/>
          <w:sz w:val="24"/>
        </w:rPr>
        <w:t>项目属性见《供应商须知资料表》。</w:t>
      </w:r>
    </w:p>
    <w:p>
      <w:pPr>
        <w:numPr>
          <w:ilvl w:val="1"/>
          <w:numId w:val="8"/>
        </w:numPr>
        <w:tabs>
          <w:tab w:val="left" w:pos="1080"/>
          <w:tab w:val="left" w:pos="2014"/>
        </w:tabs>
        <w:snapToGrid w:val="0"/>
        <w:spacing w:line="360" w:lineRule="auto"/>
        <w:ind w:left="1080" w:hanging="720"/>
        <w:rPr>
          <w:sz w:val="24"/>
        </w:rPr>
      </w:pPr>
      <w:r>
        <w:rPr>
          <w:rFonts w:hint="eastAsia"/>
          <w:sz w:val="24"/>
        </w:rPr>
        <w:t>是否属于科研仪器设备采购见《供应商须知资料表》。</w:t>
      </w:r>
    </w:p>
    <w:p>
      <w:pPr>
        <w:numPr>
          <w:ilvl w:val="0"/>
          <w:numId w:val="8"/>
        </w:numPr>
        <w:tabs>
          <w:tab w:val="left" w:pos="360"/>
        </w:tabs>
        <w:snapToGrid w:val="0"/>
        <w:spacing w:line="360" w:lineRule="auto"/>
        <w:ind w:left="357" w:hanging="357"/>
        <w:outlineLvl w:val="1"/>
        <w:rPr>
          <w:sz w:val="24"/>
        </w:rPr>
      </w:pPr>
      <w:r>
        <w:rPr>
          <w:rFonts w:hint="eastAsia"/>
          <w:sz w:val="24"/>
        </w:rPr>
        <w:t>现场考察、磋商前答疑会</w:t>
      </w:r>
    </w:p>
    <w:p>
      <w:pPr>
        <w:numPr>
          <w:ilvl w:val="1"/>
          <w:numId w:val="8"/>
        </w:numPr>
        <w:tabs>
          <w:tab w:val="left" w:pos="1080"/>
          <w:tab w:val="left" w:pos="2014"/>
        </w:tabs>
        <w:snapToGrid w:val="0"/>
        <w:spacing w:line="360" w:lineRule="auto"/>
        <w:ind w:left="1080" w:hanging="720"/>
        <w:rPr>
          <w:sz w:val="28"/>
        </w:rPr>
      </w:pPr>
      <w:r>
        <w:rPr>
          <w:rFonts w:hint="eastAsia"/>
          <w:sz w:val="24"/>
        </w:rPr>
        <w:t>若《供应商须知资料表》中规定了组织现场考察、召开磋商前答疑会，则供应商应按要求在规定的时间和地点参加。</w:t>
      </w:r>
      <w:bookmarkStart w:id="126" w:name="_Toc151193692"/>
      <w:bookmarkStart w:id="127" w:name="_Toc151193764"/>
      <w:bookmarkStart w:id="128" w:name="_Toc265228360"/>
      <w:bookmarkStart w:id="129" w:name="_Toc151190149"/>
      <w:bookmarkStart w:id="130" w:name="_Toc520356146"/>
      <w:bookmarkStart w:id="131" w:name="_Toc150774727"/>
      <w:bookmarkStart w:id="132" w:name="_Toc151193620"/>
      <w:bookmarkStart w:id="133" w:name="_Toc151193910"/>
      <w:bookmarkStart w:id="134" w:name="_Toc305158864"/>
      <w:bookmarkStart w:id="135" w:name="_Toc226309766"/>
      <w:bookmarkStart w:id="136" w:name="_Toc226965795"/>
      <w:bookmarkStart w:id="137" w:name="_Toc226337218"/>
      <w:bookmarkStart w:id="138" w:name="_Toc226965712"/>
      <w:bookmarkStart w:id="139" w:name="_Toc150509273"/>
      <w:bookmarkStart w:id="140" w:name="_Toc305158790"/>
      <w:bookmarkStart w:id="141" w:name="_Toc142311024"/>
      <w:bookmarkStart w:id="142" w:name="_Toc150480760"/>
      <w:bookmarkStart w:id="143" w:name="_Toc127151522"/>
      <w:bookmarkStart w:id="144" w:name="_Toc150774622"/>
      <w:bookmarkStart w:id="145" w:name="_Toc151193836"/>
      <w:bookmarkStart w:id="146" w:name="_Toc264969212"/>
      <w:bookmarkStart w:id="147" w:name="_Toc195842887"/>
    </w:p>
    <w:p>
      <w:pPr>
        <w:numPr>
          <w:ilvl w:val="1"/>
          <w:numId w:val="8"/>
        </w:numPr>
        <w:tabs>
          <w:tab w:val="left" w:pos="1080"/>
          <w:tab w:val="left" w:pos="2014"/>
        </w:tabs>
        <w:snapToGrid w:val="0"/>
        <w:spacing w:line="360" w:lineRule="auto"/>
        <w:ind w:left="1080" w:hanging="720"/>
        <w:rPr>
          <w:sz w:val="24"/>
        </w:rPr>
      </w:pPr>
      <w:r>
        <w:rPr>
          <w:rFonts w:hint="eastAsia"/>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s>
        <w:snapToGrid w:val="0"/>
        <w:spacing w:line="360" w:lineRule="auto"/>
        <w:ind w:left="357" w:hanging="357"/>
        <w:outlineLvl w:val="1"/>
        <w:rPr>
          <w:sz w:val="24"/>
        </w:rPr>
      </w:pPr>
      <w:r>
        <w:rPr>
          <w:rFonts w:hint="eastAsia"/>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rFonts w:hint="eastAsia"/>
          <w:sz w:val="24"/>
        </w:rPr>
        <w:t>进口产品</w:t>
      </w:r>
    </w:p>
    <w:p>
      <w:pPr>
        <w:numPr>
          <w:ilvl w:val="2"/>
          <w:numId w:val="8"/>
        </w:numPr>
        <w:tabs>
          <w:tab w:val="left" w:pos="2014"/>
        </w:tabs>
        <w:snapToGrid w:val="0"/>
        <w:spacing w:line="360" w:lineRule="auto"/>
        <w:rPr>
          <w:sz w:val="24"/>
        </w:rPr>
      </w:pPr>
      <w:r>
        <w:rPr>
          <w:rFonts w:hint="eastAsia"/>
          <w:sz w:val="24"/>
        </w:rPr>
        <w:t>指通过中国海关报关验放进入中国境内且产自关境外的产品，包括已经进入中国境内的进口产品。关于进口产品的相关规定依据《政府采购进口产品管理办法》（财库〔</w:t>
      </w:r>
      <w:r>
        <w:rPr>
          <w:sz w:val="24"/>
        </w:rPr>
        <w:t>2007</w:t>
      </w:r>
      <w:r>
        <w:rPr>
          <w:rFonts w:hint="eastAsia"/>
          <w:sz w:val="24"/>
        </w:rPr>
        <w:t>〕</w:t>
      </w:r>
      <w:r>
        <w:rPr>
          <w:sz w:val="24"/>
        </w:rPr>
        <w:t>119</w:t>
      </w:r>
      <w:r>
        <w:rPr>
          <w:rFonts w:hint="eastAsia"/>
          <w:sz w:val="24"/>
        </w:rPr>
        <w:t>号文）、《关于政府采购进口产品管理有关问题的通知》（财办库〔</w:t>
      </w:r>
      <w:r>
        <w:rPr>
          <w:sz w:val="24"/>
        </w:rPr>
        <w:t>2008</w:t>
      </w:r>
      <w:r>
        <w:rPr>
          <w:rFonts w:hint="eastAsia"/>
          <w:sz w:val="24"/>
        </w:rPr>
        <w:t>〕</w:t>
      </w:r>
      <w:r>
        <w:rPr>
          <w:sz w:val="24"/>
        </w:rPr>
        <w:t>248</w:t>
      </w:r>
      <w:r>
        <w:rPr>
          <w:rFonts w:hint="eastAsia"/>
          <w:sz w:val="24"/>
        </w:rPr>
        <w:t>号文）。</w:t>
      </w:r>
    </w:p>
    <w:p>
      <w:pPr>
        <w:numPr>
          <w:ilvl w:val="2"/>
          <w:numId w:val="8"/>
        </w:numPr>
        <w:tabs>
          <w:tab w:val="left" w:pos="2014"/>
        </w:tabs>
        <w:snapToGrid w:val="0"/>
        <w:spacing w:line="360" w:lineRule="auto"/>
        <w:rPr>
          <w:sz w:val="24"/>
        </w:rPr>
      </w:pPr>
      <w:r>
        <w:rPr>
          <w:rFonts w:hint="eastAsia"/>
          <w:sz w:val="24"/>
        </w:rPr>
        <w:t>本项目是否接受进口产品见第四章《采购需求》。</w:t>
      </w:r>
    </w:p>
    <w:p>
      <w:pPr>
        <w:numPr>
          <w:ilvl w:val="1"/>
          <w:numId w:val="8"/>
        </w:numPr>
        <w:tabs>
          <w:tab w:val="left" w:pos="1080"/>
          <w:tab w:val="left" w:pos="2014"/>
        </w:tabs>
        <w:snapToGrid w:val="0"/>
        <w:spacing w:line="360" w:lineRule="auto"/>
        <w:ind w:left="1080" w:hanging="720"/>
        <w:rPr>
          <w:sz w:val="24"/>
        </w:rPr>
      </w:pPr>
      <w:r>
        <w:rPr>
          <w:rFonts w:hint="eastAsia"/>
          <w:sz w:val="24"/>
        </w:rPr>
        <w:t>中小企业、监狱企业及残疾人福利性单位</w:t>
      </w:r>
    </w:p>
    <w:p>
      <w:pPr>
        <w:numPr>
          <w:ilvl w:val="2"/>
          <w:numId w:val="8"/>
        </w:numPr>
        <w:snapToGrid w:val="0"/>
        <w:spacing w:line="360" w:lineRule="auto"/>
        <w:rPr>
          <w:sz w:val="24"/>
        </w:rPr>
      </w:pPr>
      <w:r>
        <w:rPr>
          <w:rFonts w:hint="eastAsia"/>
          <w:sz w:val="24"/>
        </w:rPr>
        <w:t>中小企业定义：</w:t>
      </w: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pPr>
        <w:pStyle w:val="79"/>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pPr>
        <w:pStyle w:val="79"/>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pPr>
        <w:pStyle w:val="79"/>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pPr>
        <w:pStyle w:val="79"/>
        <w:numPr>
          <w:ilvl w:val="2"/>
          <w:numId w:val="9"/>
        </w:numPr>
        <w:tabs>
          <w:tab w:val="left" w:pos="2035"/>
          <w:tab w:val="left" w:pos="2977"/>
        </w:tabs>
        <w:snapToGrid w:val="0"/>
        <w:spacing w:line="360" w:lineRule="auto"/>
        <w:ind w:firstLineChars="0"/>
        <w:rPr>
          <w:rFonts w:ascii="Times New Roman" w:hAnsi="Times New Roman"/>
          <w:vanish/>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rFonts w:hint="eastAsia"/>
          <w:sz w:val="24"/>
        </w:rPr>
        <w:t>〕</w:t>
      </w:r>
      <w:r>
        <w:rPr>
          <w:sz w:val="24"/>
        </w:rPr>
        <w:t>46</w:t>
      </w:r>
      <w:r>
        <w:rPr>
          <w:rFonts w:hint="eastAsia"/>
          <w:sz w:val="24"/>
        </w:rPr>
        <w:t>号）、《关于印发中小企业划型标准规定的通知》（工信部联企业〔</w:t>
      </w:r>
      <w:r>
        <w:rPr>
          <w:sz w:val="24"/>
        </w:rPr>
        <w:t>2011</w:t>
      </w:r>
      <w:r>
        <w:rPr>
          <w:rFonts w:hint="eastAsia"/>
          <w:sz w:val="24"/>
        </w:rPr>
        <w:t>〕</w:t>
      </w:r>
      <w:r>
        <w:rPr>
          <w:sz w:val="24"/>
        </w:rPr>
        <w:t xml:space="preserve">300 </w:t>
      </w:r>
      <w:r>
        <w:rPr>
          <w:rFonts w:hint="eastAsia"/>
          <w:sz w:val="24"/>
        </w:rPr>
        <w:t>号）、《国务院关于进一步促进中小企业发展的若干意见》（国发〔</w:t>
      </w:r>
      <w:r>
        <w:rPr>
          <w:sz w:val="24"/>
        </w:rPr>
        <w:t>2009</w:t>
      </w:r>
      <w:r>
        <w:rPr>
          <w:rFonts w:hint="eastAsia"/>
          <w:sz w:val="24"/>
        </w:rPr>
        <w:t>〕</w:t>
      </w:r>
      <w:r>
        <w:rPr>
          <w:sz w:val="24"/>
        </w:rPr>
        <w:t xml:space="preserve">36 </w:t>
      </w:r>
      <w:r>
        <w:rPr>
          <w:rFonts w:hint="eastAsia"/>
          <w:sz w:val="24"/>
        </w:rPr>
        <w:t>号）。</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供应商提供的货物、工程或者服务符合下列情形的，享受中小企业扶持政策：</w:t>
      </w:r>
    </w:p>
    <w:p>
      <w:pPr>
        <w:tabs>
          <w:tab w:val="left" w:pos="1980"/>
        </w:tabs>
        <w:snapToGrid w:val="0"/>
        <w:spacing w:line="360" w:lineRule="auto"/>
        <w:ind w:left="2835" w:leftChars="1350"/>
        <w:rPr>
          <w:sz w:val="24"/>
        </w:rPr>
      </w:pPr>
      <w:r>
        <w:rPr>
          <w:rFonts w:hint="eastAsia"/>
          <w:sz w:val="24"/>
        </w:rPr>
        <w:t>（</w:t>
      </w:r>
      <w:r>
        <w:rPr>
          <w:sz w:val="24"/>
        </w:rPr>
        <w:t>1</w:t>
      </w:r>
      <w:r>
        <w:rPr>
          <w:rFonts w:hint="eastAsia"/>
          <w:sz w:val="24"/>
        </w:rPr>
        <w:t>）在货物采购项目中，货物由中小企业制造，即货物由中小企业生产且使用该中小企业商号或者注册商标；</w:t>
      </w:r>
    </w:p>
    <w:p>
      <w:pPr>
        <w:tabs>
          <w:tab w:val="left" w:pos="1980"/>
        </w:tabs>
        <w:snapToGrid w:val="0"/>
        <w:spacing w:line="360" w:lineRule="auto"/>
        <w:ind w:left="2835" w:leftChars="1350"/>
        <w:rPr>
          <w:sz w:val="24"/>
        </w:rPr>
      </w:pPr>
      <w:r>
        <w:rPr>
          <w:rFonts w:hint="eastAsia"/>
          <w:sz w:val="24"/>
        </w:rPr>
        <w:t>（</w:t>
      </w:r>
      <w:r>
        <w:rPr>
          <w:sz w:val="24"/>
        </w:rPr>
        <w:t>2</w:t>
      </w:r>
      <w:r>
        <w:rPr>
          <w:rFonts w:hint="eastAsia"/>
          <w:sz w:val="24"/>
        </w:rPr>
        <w:t>）在工程采购项目中，工程由中小企业承建，即工程施工单位为中小企业；</w:t>
      </w:r>
    </w:p>
    <w:p>
      <w:pPr>
        <w:tabs>
          <w:tab w:val="left" w:pos="1980"/>
        </w:tabs>
        <w:snapToGrid w:val="0"/>
        <w:spacing w:line="360" w:lineRule="auto"/>
        <w:ind w:left="2835" w:leftChars="1350"/>
        <w:rPr>
          <w:sz w:val="24"/>
        </w:rPr>
      </w:pPr>
      <w:r>
        <w:rPr>
          <w:rFonts w:hint="eastAsia"/>
          <w:sz w:val="24"/>
        </w:rPr>
        <w:t>（</w:t>
      </w:r>
      <w:r>
        <w:rPr>
          <w:sz w:val="24"/>
        </w:rPr>
        <w:t>3</w:t>
      </w:r>
      <w:r>
        <w:rPr>
          <w:rFonts w:hint="eastAsia"/>
          <w:sz w:val="24"/>
        </w:rPr>
        <w:t>）在服务采购项目中，服务由中小企业承接，即提供服务的人员为中小企业依照《中华人民共和国劳动合同法》订立劳动合同的从业人员。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rFonts w:hint="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rFonts w:hint="eastAsia"/>
          <w:sz w:val="24"/>
        </w:rPr>
        <w:t>残疾人福利单位定义：享受政府采购支持政策的残疾人福利性单位应当同时满足以下条件：</w:t>
      </w:r>
    </w:p>
    <w:p>
      <w:pPr>
        <w:pStyle w:val="79"/>
        <w:numPr>
          <w:ilvl w:val="2"/>
          <w:numId w:val="9"/>
        </w:numPr>
        <w:tabs>
          <w:tab w:val="left" w:pos="2035"/>
          <w:tab w:val="left" w:pos="2977"/>
        </w:tabs>
        <w:snapToGrid w:val="0"/>
        <w:spacing w:line="360" w:lineRule="auto"/>
        <w:ind w:firstLineChars="0"/>
        <w:rPr>
          <w:rFonts w:ascii="Times New Roman" w:hAnsi="Times New Roman"/>
          <w:vanish/>
          <w:sz w:val="24"/>
          <w:szCs w:val="24"/>
        </w:rPr>
      </w:pPr>
    </w:p>
    <w:p>
      <w:pPr>
        <w:pStyle w:val="79"/>
        <w:numPr>
          <w:ilvl w:val="2"/>
          <w:numId w:val="9"/>
        </w:numPr>
        <w:tabs>
          <w:tab w:val="left" w:pos="2035"/>
          <w:tab w:val="left" w:pos="2977"/>
        </w:tabs>
        <w:snapToGrid w:val="0"/>
        <w:spacing w:line="360" w:lineRule="auto"/>
        <w:ind w:firstLineChars="0"/>
        <w:rPr>
          <w:rFonts w:ascii="Times New Roman" w:hAnsi="Times New Roman"/>
          <w:vanish/>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安置的残疾人占本单位在职职工人数的比例不低于</w:t>
      </w:r>
      <w:r>
        <w:rPr>
          <w:sz w:val="24"/>
        </w:rPr>
        <w:t>25%</w:t>
      </w:r>
      <w:r>
        <w:rPr>
          <w:rFonts w:hint="eastAsia"/>
          <w:sz w:val="24"/>
        </w:rPr>
        <w:t>（含</w:t>
      </w:r>
      <w:r>
        <w:rPr>
          <w:sz w:val="24"/>
        </w:rPr>
        <w:t>25%</w:t>
      </w:r>
      <w:r>
        <w:rPr>
          <w:rFonts w:hint="eastAsia"/>
          <w:sz w:val="24"/>
        </w:rPr>
        <w:t>），并且安置的残疾人人数不少于</w:t>
      </w:r>
      <w:r>
        <w:rPr>
          <w:sz w:val="24"/>
        </w:rPr>
        <w:t xml:space="preserve">10 </w:t>
      </w:r>
      <w:r>
        <w:rPr>
          <w:rFonts w:hint="eastAsia"/>
          <w:sz w:val="24"/>
        </w:rPr>
        <w:t>人（含</w:t>
      </w:r>
      <w:r>
        <w:rPr>
          <w:sz w:val="24"/>
        </w:rPr>
        <w:t xml:space="preserve">10 </w:t>
      </w:r>
      <w:r>
        <w:rPr>
          <w:rFonts w:hint="eastAsia"/>
          <w:sz w:val="24"/>
        </w:rPr>
        <w:t>人）；</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rFonts w:hint="eastAsia"/>
          <w:sz w:val="24"/>
        </w:rPr>
        <w:t>前款所称残疾人是指法定劳动年龄内，持有《中华人民共和国残疾人证》或者《中华人民共和国残疾军人证（</w:t>
      </w:r>
      <w:r>
        <w:rPr>
          <w:sz w:val="24"/>
        </w:rPr>
        <w:t xml:space="preserve">1 </w:t>
      </w:r>
      <w:r>
        <w:rPr>
          <w:rFonts w:hint="eastAsia"/>
          <w:sz w:val="24"/>
        </w:rPr>
        <w:t>至</w:t>
      </w:r>
      <w:r>
        <w:rPr>
          <w:sz w:val="24"/>
        </w:rPr>
        <w:t xml:space="preserve">8 </w:t>
      </w:r>
      <w:r>
        <w:rPr>
          <w:rFonts w:hint="eastAsia"/>
          <w:sz w:val="24"/>
        </w:rPr>
        <w:t>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rFonts w:hint="eastAsia"/>
          <w:sz w:val="24"/>
        </w:rPr>
        <w:t>本项目是否专门面向中小企业预留采购份额见第一章《采购邀请》。</w:t>
      </w:r>
    </w:p>
    <w:p>
      <w:pPr>
        <w:numPr>
          <w:ilvl w:val="2"/>
          <w:numId w:val="8"/>
        </w:numPr>
        <w:snapToGrid w:val="0"/>
        <w:spacing w:line="360" w:lineRule="auto"/>
        <w:rPr>
          <w:sz w:val="24"/>
        </w:rPr>
      </w:pPr>
      <w:r>
        <w:rPr>
          <w:rFonts w:hint="eastAsia"/>
          <w:sz w:val="24"/>
        </w:rPr>
        <w:t>采购标的对应的中小企业划分标准所属行业见《供应商须知资料表》。</w:t>
      </w:r>
    </w:p>
    <w:p>
      <w:pPr>
        <w:numPr>
          <w:ilvl w:val="2"/>
          <w:numId w:val="8"/>
        </w:numPr>
        <w:snapToGrid w:val="0"/>
        <w:spacing w:line="360" w:lineRule="auto"/>
        <w:rPr>
          <w:sz w:val="24"/>
        </w:rPr>
      </w:pPr>
      <w:r>
        <w:rPr>
          <w:rFonts w:hint="eastAsia"/>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sz w:val="24"/>
        </w:rPr>
      </w:pPr>
      <w:r>
        <w:rPr>
          <w:rFonts w:hint="eastAsia"/>
          <w:sz w:val="24"/>
        </w:rPr>
        <w:t>政府采购节能产品、环境标志产品</w:t>
      </w:r>
    </w:p>
    <w:p>
      <w:pPr>
        <w:numPr>
          <w:ilvl w:val="2"/>
          <w:numId w:val="8"/>
        </w:numPr>
        <w:snapToGrid w:val="0"/>
        <w:spacing w:line="360" w:lineRule="auto"/>
        <w:rPr>
          <w:sz w:val="24"/>
        </w:rPr>
      </w:pPr>
      <w:r>
        <w:rPr>
          <w:rFonts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rFonts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rFonts w:hint="eastAsia"/>
          <w:sz w:val="24"/>
        </w:rPr>
        <w:t>〕</w:t>
      </w:r>
      <w:r>
        <w:rPr>
          <w:sz w:val="24"/>
        </w:rPr>
        <w:t>9</w:t>
      </w:r>
      <w:r>
        <w:rPr>
          <w:rFonts w:hint="eastAsia"/>
          <w:sz w:val="24"/>
        </w:rPr>
        <w:t>号）。</w:t>
      </w:r>
      <w:r>
        <w:rPr>
          <w:sz w:val="24"/>
        </w:rPr>
        <w:t xml:space="preserve"> </w:t>
      </w:r>
    </w:p>
    <w:p>
      <w:pPr>
        <w:numPr>
          <w:ilvl w:val="2"/>
          <w:numId w:val="8"/>
        </w:numPr>
        <w:snapToGrid w:val="0"/>
        <w:spacing w:line="360" w:lineRule="auto"/>
        <w:rPr>
          <w:sz w:val="24"/>
        </w:rPr>
      </w:pPr>
      <w:r>
        <w:rPr>
          <w:rFonts w:hint="eastAsia"/>
          <w:sz w:val="24"/>
        </w:rPr>
        <w:t>如本项目采购产品属于实施政府强制采购品目清单范围的节能产品，则供应商所报产品必须获得国家确定的认证机构出具的、处于有效期之内的节能产品认证证书，</w:t>
      </w:r>
      <w:r>
        <w:rPr>
          <w:rFonts w:hint="eastAsia"/>
          <w:kern w:val="0"/>
          <w:sz w:val="24"/>
        </w:rPr>
        <w:t>否则</w:t>
      </w:r>
      <w:r>
        <w:rPr>
          <w:rFonts w:hint="eastAsia"/>
          <w:b/>
          <w:kern w:val="0"/>
          <w:sz w:val="24"/>
        </w:rPr>
        <w:t>响应无效</w:t>
      </w:r>
      <w:r>
        <w:rPr>
          <w:rFonts w:hint="eastAsia"/>
          <w:sz w:val="24"/>
        </w:rPr>
        <w:t>；</w:t>
      </w:r>
    </w:p>
    <w:p>
      <w:pPr>
        <w:numPr>
          <w:ilvl w:val="2"/>
          <w:numId w:val="8"/>
        </w:numPr>
        <w:snapToGrid w:val="0"/>
        <w:spacing w:line="360" w:lineRule="auto"/>
        <w:rPr>
          <w:sz w:val="24"/>
        </w:rPr>
      </w:pPr>
      <w:r>
        <w:rPr>
          <w:rFonts w:hint="eastAsia"/>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sz w:val="24"/>
        </w:rPr>
      </w:pPr>
      <w:r>
        <w:rPr>
          <w:rFonts w:hint="eastAsia"/>
          <w:sz w:val="24"/>
        </w:rPr>
        <w:t>支持乡村产业振兴管理</w:t>
      </w:r>
    </w:p>
    <w:p>
      <w:pPr>
        <w:numPr>
          <w:ilvl w:val="2"/>
          <w:numId w:val="8"/>
        </w:numPr>
        <w:tabs>
          <w:tab w:val="left" w:pos="2014"/>
        </w:tabs>
        <w:snapToGrid w:val="0"/>
        <w:spacing w:line="360" w:lineRule="auto"/>
        <w:rPr>
          <w:sz w:val="24"/>
        </w:rPr>
      </w:pPr>
      <w:r>
        <w:rPr>
          <w:rFonts w:hint="eastAsia"/>
          <w:sz w:val="24"/>
        </w:rPr>
        <w:t>为落实《关于运用政府采购政策支持乡村产业振兴的通知》（财库〔</w:t>
      </w:r>
      <w:r>
        <w:rPr>
          <w:sz w:val="24"/>
        </w:rPr>
        <w:t>2021</w:t>
      </w:r>
      <w:r>
        <w:rPr>
          <w:rFonts w:hint="eastAsia"/>
          <w:sz w:val="24"/>
        </w:rPr>
        <w:t>〕</w:t>
      </w:r>
      <w:r>
        <w:rPr>
          <w:sz w:val="24"/>
        </w:rPr>
        <w:t>19</w:t>
      </w:r>
      <w:r>
        <w:rPr>
          <w:rFonts w:hint="eastAsia"/>
          <w:sz w:val="24"/>
        </w:rPr>
        <w:t>号）有关要求，做好支持脱贫攻坚工作，本项目采购活动中对于支持乡村振兴管理的相关要求见第四章《采购需求》（如涉及）。</w:t>
      </w:r>
    </w:p>
    <w:p>
      <w:pPr>
        <w:numPr>
          <w:ilvl w:val="1"/>
          <w:numId w:val="8"/>
        </w:numPr>
        <w:tabs>
          <w:tab w:val="left" w:pos="1080"/>
          <w:tab w:val="left" w:pos="2014"/>
        </w:tabs>
        <w:snapToGrid w:val="0"/>
        <w:spacing w:line="360" w:lineRule="auto"/>
        <w:ind w:left="1080" w:hanging="720"/>
        <w:rPr>
          <w:sz w:val="24"/>
        </w:rPr>
      </w:pPr>
      <w:r>
        <w:rPr>
          <w:rFonts w:hint="eastAsia"/>
          <w:sz w:val="24"/>
        </w:rPr>
        <w:t>正版软件</w:t>
      </w:r>
    </w:p>
    <w:p>
      <w:pPr>
        <w:numPr>
          <w:ilvl w:val="2"/>
          <w:numId w:val="8"/>
        </w:numPr>
        <w:snapToGrid w:val="0"/>
        <w:spacing w:line="360" w:lineRule="auto"/>
        <w:rPr>
          <w:sz w:val="24"/>
        </w:rPr>
      </w:pPr>
      <w:r>
        <w:rPr>
          <w:rFonts w:hint="eastAsia"/>
          <w:sz w:val="24"/>
        </w:rPr>
        <w:t>依据《财政部</w:t>
      </w:r>
      <w:r>
        <w:rPr>
          <w:sz w:val="24"/>
        </w:rPr>
        <w:t xml:space="preserve"> </w:t>
      </w:r>
      <w:r>
        <w:rPr>
          <w:rFonts w:hint="eastAsia"/>
          <w:sz w:val="24"/>
        </w:rPr>
        <w:t>国家发展改革委</w:t>
      </w:r>
      <w:r>
        <w:rPr>
          <w:sz w:val="24"/>
        </w:rPr>
        <w:t xml:space="preserve"> </w:t>
      </w:r>
      <w:r>
        <w:rPr>
          <w:rFonts w:hint="eastAsia"/>
          <w:sz w:val="24"/>
        </w:rPr>
        <w:t>信息产业部关于印发无线局域网产品政府采购实施意见的通知》（财库〔</w:t>
      </w:r>
      <w:r>
        <w:rPr>
          <w:sz w:val="24"/>
        </w:rPr>
        <w:t>2005</w:t>
      </w:r>
      <w:r>
        <w:rPr>
          <w:rFonts w:hint="eastAsia"/>
          <w:sz w:val="24"/>
        </w:rPr>
        <w:t>〕</w:t>
      </w:r>
      <w:r>
        <w:rPr>
          <w:sz w:val="24"/>
        </w:rPr>
        <w:t xml:space="preserve">366 </w:t>
      </w:r>
      <w:r>
        <w:rPr>
          <w:rFonts w:hint="eastAsia"/>
          <w:sz w:val="24"/>
        </w:rPr>
        <w:t>号），采购无线局域网产品和含有无线局域网功能的计算机、通信设备、打印机、复印机、投影仪等产品的，优先采购符合国家无线局域网安全标准（</w:t>
      </w:r>
      <w:r>
        <w:rPr>
          <w:sz w:val="24"/>
        </w:rPr>
        <w:t>GB 15629.11/1102</w:t>
      </w:r>
      <w:r>
        <w:rPr>
          <w:rFonts w:hint="eastAsia"/>
          <w:sz w:val="24"/>
        </w:rPr>
        <w:t>）并通过国家产品认证的产品，</w:t>
      </w:r>
      <w:r>
        <w:rPr>
          <w:rFonts w:hint="eastAsia"/>
          <w:kern w:val="0"/>
          <w:sz w:val="24"/>
        </w:rPr>
        <w:t>否则</w:t>
      </w:r>
      <w:r>
        <w:rPr>
          <w:rFonts w:hint="eastAsia"/>
          <w:b/>
          <w:kern w:val="0"/>
          <w:sz w:val="24"/>
        </w:rPr>
        <w:t>响应无效</w:t>
      </w:r>
      <w:r>
        <w:rPr>
          <w:rFonts w:hint="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rFonts w:hint="eastAsia"/>
          <w:sz w:val="24"/>
        </w:rPr>
        <w:t>无线局域网认证产品政府采购清单</w:t>
      </w:r>
      <w:r>
        <w:rPr>
          <w:sz w:val="24"/>
        </w:rPr>
        <w:t>”</w:t>
      </w:r>
      <w:r>
        <w:rPr>
          <w:rFonts w:hint="eastAsia"/>
          <w:sz w:val="24"/>
        </w:rPr>
        <w:t>（以下简称清单）的形式公布。清单中新增认证产品厂商和型号，由财政部、国家发展改革委、信息产业部以文件形式确定、公布并适时调整。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rFonts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rFonts w:hint="eastAsia"/>
          <w:sz w:val="24"/>
        </w:rPr>
        <w:t>〕</w:t>
      </w:r>
      <w:r>
        <w:rPr>
          <w:sz w:val="24"/>
        </w:rPr>
        <w:t xml:space="preserve">1 </w:t>
      </w:r>
      <w:r>
        <w:rPr>
          <w:rFonts w:hint="eastAsia"/>
          <w:sz w:val="24"/>
        </w:rPr>
        <w:t>号）、《国务院办公厅关于进一步做好政府机关使用正版软件工作的通知》（国办发〔</w:t>
      </w:r>
      <w:r>
        <w:rPr>
          <w:sz w:val="24"/>
        </w:rPr>
        <w:t>2010</w:t>
      </w:r>
      <w:r>
        <w:rPr>
          <w:rFonts w:hint="eastAsia"/>
          <w:sz w:val="24"/>
        </w:rPr>
        <w:t>〕</w:t>
      </w:r>
      <w:r>
        <w:rPr>
          <w:sz w:val="24"/>
        </w:rPr>
        <w:t xml:space="preserve">47 </w:t>
      </w:r>
      <w:r>
        <w:rPr>
          <w:rFonts w:hint="eastAsia"/>
          <w:sz w:val="24"/>
        </w:rPr>
        <w:t>号）、《财政部关于进一步做好政府机关使用正版软件工作的通知》（财预〔</w:t>
      </w:r>
      <w:r>
        <w:rPr>
          <w:sz w:val="24"/>
        </w:rPr>
        <w:t>2010</w:t>
      </w:r>
      <w:r>
        <w:rPr>
          <w:rFonts w:hint="eastAsia"/>
          <w:sz w:val="24"/>
        </w:rPr>
        <w:t>〕</w:t>
      </w:r>
      <w:r>
        <w:rPr>
          <w:sz w:val="24"/>
        </w:rPr>
        <w:t xml:space="preserve">536 </w:t>
      </w:r>
      <w:r>
        <w:rPr>
          <w:rFonts w:hint="eastAsia"/>
          <w:sz w:val="24"/>
        </w:rPr>
        <w:t>号）。</w:t>
      </w:r>
    </w:p>
    <w:p>
      <w:pPr>
        <w:numPr>
          <w:ilvl w:val="1"/>
          <w:numId w:val="8"/>
        </w:numPr>
        <w:tabs>
          <w:tab w:val="left" w:pos="1080"/>
          <w:tab w:val="left" w:pos="2014"/>
        </w:tabs>
        <w:snapToGrid w:val="0"/>
        <w:spacing w:line="360" w:lineRule="auto"/>
        <w:ind w:left="1080" w:hanging="720"/>
        <w:rPr>
          <w:sz w:val="24"/>
        </w:rPr>
      </w:pPr>
      <w:r>
        <w:rPr>
          <w:rFonts w:hint="eastAsia"/>
          <w:sz w:val="24"/>
        </w:rPr>
        <w:t>信息安全产品</w:t>
      </w:r>
    </w:p>
    <w:p>
      <w:pPr>
        <w:numPr>
          <w:ilvl w:val="2"/>
          <w:numId w:val="8"/>
        </w:numPr>
        <w:tabs>
          <w:tab w:val="left" w:pos="2014"/>
        </w:tabs>
        <w:snapToGrid w:val="0"/>
        <w:spacing w:line="360" w:lineRule="auto"/>
        <w:rPr>
          <w:sz w:val="24"/>
        </w:rPr>
      </w:pPr>
      <w:r>
        <w:rPr>
          <w:rFonts w:hint="eastAsia"/>
          <w:sz w:val="24"/>
        </w:rPr>
        <w:t>所投产品属于《关于调整信息安全产品强制性认证实施要求的公告》（</w:t>
      </w:r>
      <w:r>
        <w:rPr>
          <w:sz w:val="24"/>
        </w:rPr>
        <w:t xml:space="preserve">2009 </w:t>
      </w:r>
      <w:r>
        <w:rPr>
          <w:rFonts w:hint="eastAsia"/>
          <w:sz w:val="24"/>
        </w:rPr>
        <w:t>年第</w:t>
      </w:r>
      <w:r>
        <w:rPr>
          <w:sz w:val="24"/>
        </w:rPr>
        <w:t xml:space="preserve">33 </w:t>
      </w:r>
      <w:r>
        <w:rPr>
          <w:rFonts w:hint="eastAsia"/>
          <w:sz w:val="24"/>
        </w:rPr>
        <w:t>号）范围的，采购经国家认证的信息安全产品，</w:t>
      </w:r>
      <w:r>
        <w:rPr>
          <w:rFonts w:hint="eastAsia"/>
          <w:kern w:val="0"/>
          <w:sz w:val="24"/>
        </w:rPr>
        <w:t>否则</w:t>
      </w:r>
      <w:r>
        <w:rPr>
          <w:rFonts w:hint="eastAsia"/>
          <w:b/>
          <w:kern w:val="0"/>
          <w:sz w:val="24"/>
        </w:rPr>
        <w:t>响应无效</w:t>
      </w:r>
      <w:r>
        <w:rPr>
          <w:rFonts w:hint="eastAsia"/>
          <w:sz w:val="24"/>
        </w:rPr>
        <w:t>。关于信息安全相关规定依据《关于信息安全产品实施政府采购的通知》（财库〔</w:t>
      </w:r>
      <w:r>
        <w:rPr>
          <w:sz w:val="24"/>
        </w:rPr>
        <w:t>2010</w:t>
      </w:r>
      <w:r>
        <w:rPr>
          <w:rFonts w:hint="eastAsia"/>
          <w:sz w:val="24"/>
        </w:rPr>
        <w:t>〕</w:t>
      </w:r>
      <w:r>
        <w:rPr>
          <w:sz w:val="24"/>
        </w:rPr>
        <w:t xml:space="preserve">48 </w:t>
      </w:r>
      <w:r>
        <w:rPr>
          <w:rFonts w:hint="eastAsia"/>
          <w:sz w:val="24"/>
        </w:rPr>
        <w:t>号）。</w:t>
      </w:r>
    </w:p>
    <w:p>
      <w:pPr>
        <w:numPr>
          <w:ilvl w:val="1"/>
          <w:numId w:val="8"/>
        </w:numPr>
        <w:tabs>
          <w:tab w:val="left" w:pos="1080"/>
          <w:tab w:val="left" w:pos="2014"/>
        </w:tabs>
        <w:snapToGrid w:val="0"/>
        <w:spacing w:line="360" w:lineRule="auto"/>
        <w:ind w:left="1080" w:hanging="720"/>
        <w:rPr>
          <w:sz w:val="24"/>
        </w:rPr>
      </w:pPr>
      <w:r>
        <w:rPr>
          <w:rFonts w:hint="eastAsia"/>
          <w:sz w:val="24"/>
        </w:rPr>
        <w:t>推广使用低挥发性有机化合物（</w:t>
      </w:r>
      <w:r>
        <w:rPr>
          <w:sz w:val="24"/>
        </w:rPr>
        <w:t>VOCs</w:t>
      </w:r>
      <w:r>
        <w:rPr>
          <w:rFonts w:hint="eastAsia"/>
          <w:sz w:val="24"/>
        </w:rPr>
        <w:t>）</w:t>
      </w:r>
    </w:p>
    <w:p>
      <w:pPr>
        <w:numPr>
          <w:ilvl w:val="2"/>
          <w:numId w:val="8"/>
        </w:numPr>
        <w:snapToGrid w:val="0"/>
        <w:spacing w:line="360" w:lineRule="auto"/>
        <w:rPr>
          <w:sz w:val="24"/>
        </w:rPr>
      </w:pPr>
      <w:r>
        <w:rPr>
          <w:rFonts w:hint="eastAsia"/>
          <w:sz w:val="24"/>
        </w:rPr>
        <w:t>为全面推进本市挥发性有机物（</w:t>
      </w:r>
      <w:r>
        <w:rPr>
          <w:sz w:val="24"/>
        </w:rPr>
        <w:t>VOCs</w:t>
      </w:r>
      <w:r>
        <w:rPr>
          <w:rFonts w:hint="eastAsia"/>
          <w:sz w:val="24"/>
        </w:rPr>
        <w:t>）治理，贯彻落实挥发性有机物污染治理专项行动有关要求，相关规定依据《北京市财政局北京市生态环境局关于政府采购推广使用低挥发性有机化合物（</w:t>
      </w:r>
      <w:r>
        <w:rPr>
          <w:sz w:val="24"/>
        </w:rPr>
        <w:t>VOCs</w:t>
      </w:r>
      <w:r>
        <w:rPr>
          <w:rFonts w:hint="eastAsia"/>
          <w:sz w:val="24"/>
        </w:rPr>
        <w:t>）有关事项的通知》（京财采购〔</w:t>
      </w:r>
      <w:r>
        <w:rPr>
          <w:sz w:val="24"/>
        </w:rPr>
        <w:t>2020</w:t>
      </w:r>
      <w:r>
        <w:rPr>
          <w:rFonts w:hint="eastAsia"/>
          <w:sz w:val="24"/>
        </w:rPr>
        <w:t>〕</w:t>
      </w:r>
      <w:r>
        <w:rPr>
          <w:sz w:val="24"/>
        </w:rPr>
        <w:t xml:space="preserve">2381 </w:t>
      </w:r>
      <w:r>
        <w:rPr>
          <w:rFonts w:hint="eastAsia"/>
          <w:sz w:val="24"/>
        </w:rPr>
        <w:t>号）。本项目中涉及涂料、胶黏剂、油墨、清洗剂等挥发性有机物产品的，属于强制性标准的，供应商应执行符合本市和国家的</w:t>
      </w:r>
      <w:r>
        <w:rPr>
          <w:sz w:val="24"/>
        </w:rPr>
        <w:t xml:space="preserve">VOCs </w:t>
      </w:r>
      <w:r>
        <w:rPr>
          <w:rFonts w:hint="eastAsia"/>
          <w:sz w:val="24"/>
        </w:rPr>
        <w:t>含量限制标准（具体标准见第四章《采购需求》），</w:t>
      </w:r>
      <w:r>
        <w:rPr>
          <w:rFonts w:hint="eastAsia"/>
          <w:kern w:val="0"/>
          <w:sz w:val="24"/>
        </w:rPr>
        <w:t>否则</w:t>
      </w:r>
      <w:r>
        <w:rPr>
          <w:rFonts w:hint="eastAsia"/>
          <w:b/>
          <w:kern w:val="0"/>
          <w:sz w:val="24"/>
        </w:rPr>
        <w:t>响应无效</w:t>
      </w:r>
      <w:r>
        <w:rPr>
          <w:rFonts w:hint="eastAsia"/>
          <w:sz w:val="24"/>
        </w:rPr>
        <w:t>；属于推荐性标准的，优先采购，具体见第三章《评审方法和评审标准》。</w:t>
      </w:r>
    </w:p>
    <w:p>
      <w:pPr>
        <w:numPr>
          <w:ilvl w:val="0"/>
          <w:numId w:val="8"/>
        </w:numPr>
        <w:tabs>
          <w:tab w:val="left" w:pos="360"/>
        </w:tabs>
        <w:snapToGrid w:val="0"/>
        <w:spacing w:line="360" w:lineRule="auto"/>
        <w:ind w:left="357" w:hanging="357"/>
        <w:outlineLvl w:val="1"/>
        <w:rPr>
          <w:sz w:val="24"/>
        </w:rPr>
      </w:pPr>
      <w:r>
        <w:rPr>
          <w:rFonts w:hint="eastAsia"/>
          <w:sz w:val="24"/>
        </w:rPr>
        <w:t>响应费用</w:t>
      </w:r>
    </w:p>
    <w:p>
      <w:pPr>
        <w:numPr>
          <w:ilvl w:val="1"/>
          <w:numId w:val="8"/>
        </w:numPr>
        <w:tabs>
          <w:tab w:val="left" w:pos="1080"/>
          <w:tab w:val="left" w:pos="2014"/>
        </w:tabs>
        <w:snapToGrid w:val="0"/>
        <w:spacing w:line="360" w:lineRule="auto"/>
        <w:ind w:left="1080" w:hanging="720"/>
        <w:rPr>
          <w:sz w:val="24"/>
        </w:rPr>
      </w:pPr>
      <w:r>
        <w:rPr>
          <w:rFonts w:hint="eastAsia"/>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rPr>
      </w:pPr>
      <w:bookmarkStart w:id="148" w:name="_1.8_计量单位"/>
      <w:bookmarkEnd w:id="148"/>
    </w:p>
    <w:p>
      <w:pPr>
        <w:pStyle w:val="4"/>
        <w:spacing w:before="0" w:line="360" w:lineRule="auto"/>
        <w:rPr>
          <w:rFonts w:ascii="Times New Roman" w:hAnsi="Times New Roman" w:eastAsia="宋体"/>
          <w:sz w:val="28"/>
        </w:rPr>
      </w:pPr>
      <w:r>
        <w:rPr>
          <w:rFonts w:hint="eastAsia" w:ascii="Times New Roman" w:hAnsi="Times New Roman" w:eastAsia="宋体"/>
          <w:sz w:val="28"/>
        </w:rPr>
        <w:t>二</w:t>
      </w:r>
      <w:r>
        <w:rPr>
          <w:rFonts w:ascii="Times New Roman" w:hAnsi="Times New Roman" w:eastAsia="宋体"/>
          <w:sz w:val="28"/>
        </w:rPr>
        <w:t xml:space="preserve">   </w:t>
      </w:r>
      <w:r>
        <w:rPr>
          <w:rFonts w:hint="eastAsia" w:ascii="Times New Roman" w:hAnsi="Times New Roman" w:eastAsia="宋体"/>
          <w:sz w:val="28"/>
        </w:rPr>
        <w:t>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sz w:val="24"/>
        </w:rPr>
      </w:pPr>
      <w:bookmarkStart w:id="149" w:name="_Toc520356147"/>
      <w:bookmarkStart w:id="150" w:name="_Toc151193837"/>
      <w:bookmarkStart w:id="151" w:name="_Toc151193911"/>
      <w:bookmarkStart w:id="152" w:name="_Toc164229218"/>
      <w:bookmarkStart w:id="153" w:name="_Toc150480761"/>
      <w:bookmarkStart w:id="154" w:name="_Toc195842888"/>
      <w:bookmarkStart w:id="155" w:name="_Toc127151724"/>
      <w:bookmarkStart w:id="156" w:name="_Toc164351617"/>
      <w:bookmarkStart w:id="157" w:name="_Toc226337219"/>
      <w:bookmarkStart w:id="158" w:name="_Toc127151523"/>
      <w:bookmarkStart w:id="159" w:name="_Toc164229364"/>
      <w:bookmarkStart w:id="160" w:name="_Toc164608637"/>
      <w:bookmarkStart w:id="161" w:name="_Toc151190150"/>
      <w:bookmarkStart w:id="162" w:name="_Toc150509274"/>
      <w:bookmarkStart w:id="163" w:name="_Toc151193693"/>
      <w:bookmarkStart w:id="164" w:name="_Toc264969213"/>
      <w:bookmarkStart w:id="165" w:name="_Toc151193765"/>
      <w:bookmarkStart w:id="166" w:name="_Toc226309767"/>
      <w:bookmarkStart w:id="167" w:name="_Toc150774623"/>
      <w:bookmarkStart w:id="168" w:name="_Toc150774728"/>
      <w:bookmarkStart w:id="169" w:name="_Toc127161437"/>
      <w:bookmarkStart w:id="170" w:name="_Toc305158865"/>
      <w:bookmarkStart w:id="171" w:name="_Toc164608792"/>
      <w:bookmarkStart w:id="172" w:name="_Toc305158791"/>
      <w:bookmarkStart w:id="173" w:name="_Toc265228361"/>
      <w:bookmarkStart w:id="174" w:name="_Toc226965796"/>
      <w:bookmarkStart w:id="175" w:name="_Toc149720816"/>
      <w:bookmarkStart w:id="176" w:name="_Toc226965713"/>
      <w:bookmarkStart w:id="177" w:name="_Toc151193621"/>
      <w:bookmarkStart w:id="178" w:name="_Toc142311025"/>
      <w:r>
        <w:rPr>
          <w:rFonts w:hint="eastAsia"/>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sz w:val="24"/>
        </w:rPr>
        <w:t>成</w:t>
      </w:r>
    </w:p>
    <w:p>
      <w:pPr>
        <w:numPr>
          <w:ilvl w:val="1"/>
          <w:numId w:val="8"/>
        </w:numPr>
        <w:tabs>
          <w:tab w:val="left" w:pos="1080"/>
          <w:tab w:val="left" w:pos="2014"/>
        </w:tabs>
        <w:snapToGrid w:val="0"/>
        <w:spacing w:line="360" w:lineRule="auto"/>
        <w:ind w:left="1080" w:hanging="720"/>
        <w:rPr>
          <w:sz w:val="24"/>
        </w:rPr>
      </w:pPr>
      <w:r>
        <w:rPr>
          <w:rFonts w:hint="eastAsia"/>
          <w:sz w:val="24"/>
        </w:rPr>
        <w:t>竞争性磋商文件包括以下部分：</w:t>
      </w:r>
    </w:p>
    <w:p>
      <w:pPr>
        <w:numPr>
          <w:ilvl w:val="0"/>
          <w:numId w:val="10"/>
        </w:numPr>
        <w:tabs>
          <w:tab w:val="left" w:pos="1980"/>
          <w:tab w:val="left" w:pos="2520"/>
        </w:tabs>
        <w:snapToGrid w:val="0"/>
        <w:spacing w:line="360" w:lineRule="auto"/>
        <w:ind w:left="1440" w:firstLine="5"/>
        <w:rPr>
          <w:sz w:val="24"/>
        </w:rPr>
      </w:pPr>
      <w:r>
        <w:rPr>
          <w:rFonts w:hint="eastAsia"/>
          <w:sz w:val="24"/>
        </w:rPr>
        <w:t>采购邀请</w:t>
      </w:r>
    </w:p>
    <w:p>
      <w:pPr>
        <w:numPr>
          <w:ilvl w:val="0"/>
          <w:numId w:val="10"/>
        </w:numPr>
        <w:tabs>
          <w:tab w:val="left" w:pos="1980"/>
          <w:tab w:val="left" w:pos="2520"/>
        </w:tabs>
        <w:snapToGrid w:val="0"/>
        <w:spacing w:line="360" w:lineRule="auto"/>
        <w:ind w:left="1440" w:firstLine="5"/>
        <w:rPr>
          <w:sz w:val="24"/>
        </w:rPr>
      </w:pPr>
      <w:r>
        <w:rPr>
          <w:rFonts w:hint="eastAsia"/>
          <w:sz w:val="24"/>
        </w:rPr>
        <w:t>供应商须知</w:t>
      </w:r>
    </w:p>
    <w:p>
      <w:pPr>
        <w:numPr>
          <w:ilvl w:val="0"/>
          <w:numId w:val="10"/>
        </w:numPr>
        <w:tabs>
          <w:tab w:val="left" w:pos="1980"/>
          <w:tab w:val="left" w:pos="2520"/>
        </w:tabs>
        <w:snapToGrid w:val="0"/>
        <w:spacing w:line="360" w:lineRule="auto"/>
        <w:ind w:left="1440" w:firstLine="5"/>
        <w:rPr>
          <w:sz w:val="24"/>
        </w:rPr>
      </w:pPr>
      <w:r>
        <w:rPr>
          <w:rFonts w:hint="eastAsia"/>
          <w:sz w:val="24"/>
        </w:rPr>
        <w:t>评审方法和评审标准</w:t>
      </w:r>
    </w:p>
    <w:p>
      <w:pPr>
        <w:numPr>
          <w:ilvl w:val="0"/>
          <w:numId w:val="10"/>
        </w:numPr>
        <w:tabs>
          <w:tab w:val="left" w:pos="1980"/>
          <w:tab w:val="left" w:pos="2520"/>
        </w:tabs>
        <w:snapToGrid w:val="0"/>
        <w:spacing w:line="360" w:lineRule="auto"/>
        <w:ind w:left="1440" w:firstLine="5"/>
        <w:rPr>
          <w:sz w:val="24"/>
        </w:rPr>
      </w:pPr>
      <w:r>
        <w:rPr>
          <w:rFonts w:hint="eastAsia"/>
          <w:sz w:val="24"/>
        </w:rPr>
        <w:t>采购需求</w:t>
      </w:r>
    </w:p>
    <w:p>
      <w:pPr>
        <w:numPr>
          <w:ilvl w:val="0"/>
          <w:numId w:val="10"/>
        </w:numPr>
        <w:tabs>
          <w:tab w:val="left" w:pos="1980"/>
          <w:tab w:val="left" w:pos="2520"/>
        </w:tabs>
        <w:snapToGrid w:val="0"/>
        <w:spacing w:line="360" w:lineRule="auto"/>
        <w:ind w:left="1440" w:firstLine="5"/>
        <w:rPr>
          <w:sz w:val="24"/>
        </w:rPr>
      </w:pPr>
      <w:r>
        <w:rPr>
          <w:rFonts w:hint="eastAsia"/>
          <w:sz w:val="24"/>
        </w:rPr>
        <w:t>合同草案条款</w:t>
      </w:r>
    </w:p>
    <w:p>
      <w:pPr>
        <w:numPr>
          <w:ilvl w:val="0"/>
          <w:numId w:val="10"/>
        </w:numPr>
        <w:tabs>
          <w:tab w:val="left" w:pos="1980"/>
          <w:tab w:val="left" w:pos="2520"/>
        </w:tabs>
        <w:snapToGrid w:val="0"/>
        <w:spacing w:line="360" w:lineRule="auto"/>
        <w:ind w:left="1440" w:firstLine="5"/>
        <w:rPr>
          <w:sz w:val="24"/>
        </w:rPr>
      </w:pPr>
      <w:r>
        <w:rPr>
          <w:rFonts w:hint="eastAsia"/>
          <w:sz w:val="24"/>
        </w:rPr>
        <w:t>响应文件格式</w:t>
      </w:r>
    </w:p>
    <w:p>
      <w:pPr>
        <w:numPr>
          <w:ilvl w:val="1"/>
          <w:numId w:val="8"/>
        </w:numPr>
        <w:tabs>
          <w:tab w:val="left" w:pos="1080"/>
          <w:tab w:val="left" w:pos="2014"/>
        </w:tabs>
        <w:snapToGrid w:val="0"/>
        <w:spacing w:line="360" w:lineRule="auto"/>
        <w:ind w:left="1080" w:hanging="720"/>
        <w:rPr>
          <w:sz w:val="24"/>
        </w:rPr>
      </w:pPr>
      <w:r>
        <w:rPr>
          <w:rFonts w:hint="eastAsia"/>
          <w:sz w:val="24"/>
        </w:rPr>
        <w:t>供应商应认真阅读竞争性磋商文件的全部内容。供应商应按照竞争性磋商文件要求提交响应文件并保证所提供的全部资料的真实性，并对竞争性磋商文件做出实质性响应，否则</w:t>
      </w:r>
      <w:r>
        <w:rPr>
          <w:rFonts w:hint="eastAsia"/>
          <w:b/>
          <w:sz w:val="24"/>
        </w:rPr>
        <w:t>响应无效</w:t>
      </w:r>
      <w:r>
        <w:rPr>
          <w:rFonts w:hint="eastAsia"/>
          <w:sz w:val="24"/>
        </w:rPr>
        <w:t>。</w:t>
      </w:r>
    </w:p>
    <w:p>
      <w:pPr>
        <w:numPr>
          <w:ilvl w:val="0"/>
          <w:numId w:val="8"/>
        </w:numPr>
        <w:tabs>
          <w:tab w:val="left" w:pos="1080"/>
          <w:tab w:val="left" w:pos="2014"/>
        </w:tabs>
        <w:snapToGrid w:val="0"/>
        <w:spacing w:line="360" w:lineRule="auto"/>
        <w:ind w:left="357" w:hanging="357"/>
        <w:outlineLvl w:val="1"/>
        <w:rPr>
          <w:sz w:val="24"/>
        </w:rPr>
      </w:pPr>
      <w:r>
        <w:rPr>
          <w:rFonts w:hint="eastAsia"/>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sz w:val="24"/>
        </w:rPr>
      </w:pPr>
      <w:r>
        <w:rPr>
          <w:rFonts w:hint="eastAsia"/>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sz w:val="24"/>
        </w:rPr>
      </w:pPr>
      <w:r>
        <w:rPr>
          <w:rFonts w:hint="eastAsia"/>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rFonts w:hint="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rFonts w:hint="eastAsia"/>
          <w:sz w:val="24"/>
        </w:rPr>
        <w:t>个工作日前；不足上述时间的，将顺延提交响应文件的截止时间。</w:t>
      </w:r>
    </w:p>
    <w:p>
      <w:pPr>
        <w:tabs>
          <w:tab w:val="left" w:pos="1080"/>
          <w:tab w:val="left" w:pos="1561"/>
        </w:tabs>
        <w:snapToGrid w:val="0"/>
        <w:spacing w:line="360" w:lineRule="auto"/>
        <w:ind w:left="1080"/>
        <w:rPr>
          <w:sz w:val="28"/>
        </w:rPr>
      </w:pPr>
      <w:bookmarkStart w:id="179" w:name="_Toc516367020"/>
      <w:bookmarkStart w:id="180" w:name="_Toc264969216"/>
      <w:bookmarkStart w:id="181" w:name="_Toc151193624"/>
      <w:bookmarkStart w:id="182" w:name="_Toc150774731"/>
      <w:bookmarkStart w:id="183" w:name="_Toc150480764"/>
      <w:bookmarkStart w:id="184" w:name="_Toc226965716"/>
      <w:bookmarkStart w:id="185" w:name="_Toc305158868"/>
      <w:bookmarkStart w:id="186" w:name="_Toc127151526"/>
      <w:bookmarkStart w:id="187" w:name="_Toc151193768"/>
      <w:bookmarkStart w:id="188" w:name="_Toc305158794"/>
      <w:bookmarkStart w:id="189" w:name="_Toc195842891"/>
      <w:bookmarkStart w:id="190" w:name="_Toc150774626"/>
      <w:bookmarkStart w:id="191" w:name="_Toc520356150"/>
      <w:bookmarkStart w:id="192" w:name="_Toc150509277"/>
      <w:bookmarkStart w:id="193" w:name="_Toc151193914"/>
      <w:bookmarkStart w:id="194" w:name="_Toc151193840"/>
      <w:bookmarkStart w:id="195" w:name="_Toc151193696"/>
      <w:bookmarkStart w:id="196" w:name="_Toc142311028"/>
      <w:bookmarkStart w:id="197" w:name="_Toc226309770"/>
      <w:bookmarkStart w:id="198" w:name="_Toc151190153"/>
      <w:bookmarkStart w:id="199" w:name="_Toc226965799"/>
      <w:bookmarkStart w:id="200" w:name="_Toc226337222"/>
      <w:bookmarkStart w:id="201" w:name="_Toc265228364"/>
    </w:p>
    <w:p>
      <w:pPr>
        <w:pStyle w:val="4"/>
        <w:spacing w:before="0" w:line="360" w:lineRule="auto"/>
        <w:rPr>
          <w:rFonts w:ascii="Times New Roman" w:hAnsi="Times New Roman" w:eastAsia="宋体"/>
          <w:sz w:val="28"/>
        </w:rPr>
      </w:pPr>
      <w:r>
        <w:rPr>
          <w:rFonts w:hint="eastAsia" w:ascii="Times New Roman" w:hAnsi="Times New Roman" w:eastAsia="宋体"/>
          <w:sz w:val="28"/>
        </w:rPr>
        <w:t>三</w:t>
      </w:r>
      <w:r>
        <w:rPr>
          <w:rFonts w:ascii="Times New Roman" w:hAnsi="Times New Roman" w:eastAsia="宋体"/>
          <w:sz w:val="28"/>
        </w:rPr>
        <w:t xml:space="preserve">   </w:t>
      </w:r>
      <w:r>
        <w:rPr>
          <w:rFonts w:hint="eastAsia" w:ascii="Times New Roman" w:hAnsi="Times New Roman" w:eastAsia="宋体"/>
          <w:sz w:val="28"/>
        </w:rPr>
        <w:t>响应文件</w:t>
      </w:r>
      <w:bookmarkEnd w:id="179"/>
      <w:r>
        <w:rPr>
          <w:rFonts w:hint="eastAsia" w:ascii="Times New Roman" w:hAnsi="Times New Roman" w:eastAsia="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numPr>
          <w:ilvl w:val="0"/>
          <w:numId w:val="8"/>
        </w:numPr>
        <w:tabs>
          <w:tab w:val="left" w:pos="360"/>
        </w:tabs>
        <w:snapToGrid w:val="0"/>
        <w:spacing w:line="360" w:lineRule="auto"/>
        <w:ind w:left="357" w:hanging="357"/>
        <w:outlineLvl w:val="1"/>
        <w:rPr>
          <w:sz w:val="24"/>
        </w:rPr>
      </w:pPr>
      <w:bookmarkStart w:id="202" w:name="_Toc226965800"/>
      <w:bookmarkStart w:id="203" w:name="_Toc150509278"/>
      <w:bookmarkStart w:id="204" w:name="_Toc226309771"/>
      <w:bookmarkStart w:id="205" w:name="_Toc520356151"/>
      <w:bookmarkStart w:id="206" w:name="_Toc516367021"/>
      <w:bookmarkStart w:id="207" w:name="_Toc164229222"/>
      <w:bookmarkStart w:id="208" w:name="_Toc127161441"/>
      <w:bookmarkStart w:id="209" w:name="_Toc264969217"/>
      <w:bookmarkStart w:id="210" w:name="_Toc151193769"/>
      <w:bookmarkStart w:id="211" w:name="_Toc195842892"/>
      <w:bookmarkStart w:id="212" w:name="_Toc151193915"/>
      <w:bookmarkStart w:id="213" w:name="_Toc150774627"/>
      <w:bookmarkStart w:id="214" w:name="_Toc127151527"/>
      <w:bookmarkStart w:id="215" w:name="_Toc151193697"/>
      <w:bookmarkStart w:id="216" w:name="_Toc164608796"/>
      <w:bookmarkStart w:id="217" w:name="_Toc151190154"/>
      <w:bookmarkStart w:id="218" w:name="_Toc305158795"/>
      <w:bookmarkStart w:id="219" w:name="_Toc149720820"/>
      <w:bookmarkStart w:id="220" w:name="_Toc226337223"/>
      <w:bookmarkStart w:id="221" w:name="_Toc164608641"/>
      <w:bookmarkStart w:id="222" w:name="_Toc142311029"/>
      <w:bookmarkStart w:id="223" w:name="_Toc226965717"/>
      <w:bookmarkStart w:id="224" w:name="_Toc164229368"/>
      <w:bookmarkStart w:id="225" w:name="_Toc127151728"/>
      <w:bookmarkStart w:id="226" w:name="_Toc151193841"/>
      <w:bookmarkStart w:id="227" w:name="_Toc150480765"/>
      <w:bookmarkStart w:id="228" w:name="_Toc305158869"/>
      <w:bookmarkStart w:id="229" w:name="_Toc164351621"/>
      <w:bookmarkStart w:id="230" w:name="_Toc265228365"/>
      <w:bookmarkStart w:id="231" w:name="_Toc151193625"/>
      <w:bookmarkStart w:id="232" w:name="_Toc150774732"/>
      <w:r>
        <w:rPr>
          <w:rFonts w:hint="eastAsia"/>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sz w:val="24"/>
        </w:rPr>
        <w:t>及磋商语言</w:t>
      </w:r>
    </w:p>
    <w:p>
      <w:pPr>
        <w:numPr>
          <w:ilvl w:val="1"/>
          <w:numId w:val="8"/>
        </w:numPr>
        <w:tabs>
          <w:tab w:val="left" w:pos="1080"/>
          <w:tab w:val="left" w:pos="2014"/>
        </w:tabs>
        <w:snapToGrid w:val="0"/>
        <w:spacing w:line="360" w:lineRule="auto"/>
        <w:ind w:left="1080" w:hanging="720"/>
        <w:rPr>
          <w:sz w:val="24"/>
        </w:rPr>
      </w:pPr>
      <w:r>
        <w:rPr>
          <w:rFonts w:hint="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b/>
          <w:sz w:val="24"/>
        </w:rPr>
        <w:t>响应无效</w:t>
      </w:r>
      <w:r>
        <w:rPr>
          <w:rFonts w:hint="eastAsia"/>
          <w:sz w:val="24"/>
        </w:rPr>
        <w:t>。</w:t>
      </w:r>
    </w:p>
    <w:p>
      <w:pPr>
        <w:numPr>
          <w:ilvl w:val="1"/>
          <w:numId w:val="8"/>
        </w:numPr>
        <w:tabs>
          <w:tab w:val="left" w:pos="1080"/>
          <w:tab w:val="left" w:pos="2014"/>
        </w:tabs>
        <w:snapToGrid w:val="0"/>
        <w:spacing w:line="360" w:lineRule="auto"/>
        <w:ind w:left="1080" w:hanging="720"/>
        <w:rPr>
          <w:sz w:val="24"/>
        </w:rPr>
      </w:pPr>
      <w:r>
        <w:rPr>
          <w:rFonts w:hint="eastAsia"/>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rFonts w:hint="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sz w:val="24"/>
        </w:rPr>
      </w:pPr>
      <w:bookmarkStart w:id="233" w:name="_Toc516367022"/>
      <w:bookmarkStart w:id="234" w:name="_Ref467306676"/>
      <w:bookmarkStart w:id="235" w:name="_Ref467306195"/>
      <w:bookmarkStart w:id="236" w:name="_Toc127151528"/>
      <w:bookmarkStart w:id="237" w:name="_Toc151193698"/>
      <w:bookmarkStart w:id="238" w:name="_Toc305158796"/>
      <w:bookmarkStart w:id="239" w:name="_Toc151193626"/>
      <w:bookmarkStart w:id="240" w:name="_Toc226965801"/>
      <w:bookmarkStart w:id="241" w:name="_Toc127151729"/>
      <w:bookmarkStart w:id="242" w:name="_Toc264969218"/>
      <w:bookmarkStart w:id="243" w:name="_Toc226337224"/>
      <w:bookmarkStart w:id="244" w:name="_Toc226965718"/>
      <w:bookmarkStart w:id="245" w:name="_Toc164229223"/>
      <w:bookmarkStart w:id="246" w:name="_Toc150774733"/>
      <w:bookmarkStart w:id="247" w:name="_Toc142311030"/>
      <w:bookmarkStart w:id="248" w:name="_Toc164351622"/>
      <w:bookmarkStart w:id="249" w:name="_Toc127161442"/>
      <w:bookmarkStart w:id="250" w:name="_Toc265228366"/>
      <w:bookmarkStart w:id="251" w:name="_Toc164608642"/>
      <w:bookmarkStart w:id="252" w:name="_Toc149720821"/>
      <w:bookmarkStart w:id="253" w:name="_Toc520356152"/>
      <w:bookmarkStart w:id="254" w:name="_Toc150774628"/>
      <w:bookmarkStart w:id="255" w:name="_Toc151193770"/>
      <w:bookmarkStart w:id="256" w:name="_Toc195842893"/>
      <w:bookmarkStart w:id="257" w:name="_Toc150480766"/>
      <w:bookmarkStart w:id="258" w:name="_Toc151193916"/>
      <w:bookmarkStart w:id="259" w:name="_Toc151193842"/>
      <w:bookmarkStart w:id="260" w:name="_Toc164608797"/>
      <w:bookmarkStart w:id="261" w:name="_Toc305158870"/>
      <w:bookmarkStart w:id="262" w:name="_Toc150509279"/>
      <w:bookmarkStart w:id="263" w:name="_Toc226309772"/>
      <w:bookmarkStart w:id="264" w:name="_Toc151190155"/>
      <w:bookmarkStart w:id="265" w:name="_Toc164229369"/>
      <w:r>
        <w:rPr>
          <w:rFonts w:hint="eastAsia"/>
          <w:sz w:val="24"/>
        </w:rPr>
        <w:t>响应文件</w:t>
      </w:r>
      <w:bookmarkEnd w:id="233"/>
      <w:bookmarkEnd w:id="234"/>
      <w:bookmarkEnd w:id="235"/>
      <w:r>
        <w:rPr>
          <w:rFonts w:hint="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numPr>
          <w:ilvl w:val="1"/>
          <w:numId w:val="8"/>
        </w:numPr>
        <w:tabs>
          <w:tab w:val="left" w:pos="1080"/>
          <w:tab w:val="left" w:pos="2014"/>
        </w:tabs>
        <w:snapToGrid w:val="0"/>
        <w:spacing w:line="360" w:lineRule="auto"/>
        <w:ind w:left="1077" w:hanging="720"/>
        <w:rPr>
          <w:sz w:val="24"/>
        </w:rPr>
      </w:pPr>
      <w:bookmarkStart w:id="266" w:name="_Ref467052588"/>
      <w:r>
        <w:rPr>
          <w:rFonts w:hint="eastAsia"/>
          <w:sz w:val="24"/>
        </w:rPr>
        <w:t>供应商应当按照竞争性磋商文件的要求编制响应文件，</w:t>
      </w:r>
      <w:r>
        <w:rPr>
          <w:rFonts w:hint="eastAsia"/>
          <w:kern w:val="0"/>
          <w:sz w:val="24"/>
        </w:rPr>
        <w:t>并对其提交的响应文件的真实性、合法性承担法律责任</w:t>
      </w:r>
      <w:r>
        <w:rPr>
          <w:rFonts w:hint="eastAsia"/>
          <w:sz w:val="24"/>
        </w:rPr>
        <w:t>。响应文件的部分格式要求，见第六章《响应文件格式》。</w:t>
      </w:r>
    </w:p>
    <w:p>
      <w:pPr>
        <w:numPr>
          <w:ilvl w:val="1"/>
          <w:numId w:val="8"/>
        </w:numPr>
        <w:tabs>
          <w:tab w:val="left" w:pos="1080"/>
          <w:tab w:val="left" w:pos="2014"/>
        </w:tabs>
        <w:snapToGrid w:val="0"/>
        <w:spacing w:line="360" w:lineRule="auto"/>
        <w:ind w:left="1077" w:hanging="720"/>
        <w:rPr>
          <w:sz w:val="24"/>
        </w:rPr>
      </w:pPr>
      <w:r>
        <w:rPr>
          <w:rFonts w:hint="eastAsia"/>
          <w:kern w:val="0"/>
          <w:sz w:val="24"/>
        </w:rPr>
        <w:t>对于竞争性磋商文件中标记了</w:t>
      </w:r>
      <w:r>
        <w:rPr>
          <w:kern w:val="0"/>
          <w:sz w:val="24"/>
        </w:rPr>
        <w:t>“</w:t>
      </w:r>
      <w:r>
        <w:rPr>
          <w:rFonts w:hint="eastAsia"/>
          <w:kern w:val="0"/>
          <w:sz w:val="24"/>
        </w:rPr>
        <w:t>实质性格式</w:t>
      </w:r>
      <w:r>
        <w:rPr>
          <w:kern w:val="0"/>
          <w:sz w:val="24"/>
        </w:rPr>
        <w:t>”</w:t>
      </w:r>
      <w:r>
        <w:rPr>
          <w:rFonts w:hint="eastAsia"/>
          <w:kern w:val="0"/>
          <w:sz w:val="24"/>
        </w:rPr>
        <w:t>文件的，</w:t>
      </w:r>
      <w:r>
        <w:rPr>
          <w:rFonts w:hint="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b/>
          <w:kern w:val="0"/>
          <w:sz w:val="24"/>
        </w:rPr>
        <w:t>否则响应无效</w:t>
      </w:r>
      <w:r>
        <w:rPr>
          <w:rFonts w:hint="eastAsia"/>
          <w:kern w:val="0"/>
          <w:sz w:val="24"/>
        </w:rPr>
        <w:t>。未标记</w:t>
      </w:r>
      <w:r>
        <w:rPr>
          <w:kern w:val="0"/>
          <w:sz w:val="24"/>
        </w:rPr>
        <w:t>“</w:t>
      </w:r>
      <w:r>
        <w:rPr>
          <w:rFonts w:hint="eastAsia"/>
          <w:kern w:val="0"/>
          <w:sz w:val="24"/>
        </w:rPr>
        <w:t>实质性格式</w:t>
      </w:r>
      <w:r>
        <w:rPr>
          <w:kern w:val="0"/>
          <w:sz w:val="24"/>
        </w:rPr>
        <w:t>”</w:t>
      </w:r>
      <w:r>
        <w:rPr>
          <w:rFonts w:hint="eastAsia"/>
          <w:kern w:val="0"/>
          <w:sz w:val="24"/>
        </w:rPr>
        <w:t>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sz w:val="24"/>
        </w:rPr>
      </w:pPr>
      <w:r>
        <w:rPr>
          <w:rFonts w:hint="eastAsia"/>
          <w:sz w:val="24"/>
        </w:rPr>
        <w:t>第三章《评审方法和评审标准》中涉及的证明文件。</w:t>
      </w:r>
    </w:p>
    <w:p>
      <w:pPr>
        <w:numPr>
          <w:ilvl w:val="1"/>
          <w:numId w:val="8"/>
        </w:numPr>
        <w:tabs>
          <w:tab w:val="left" w:pos="1080"/>
          <w:tab w:val="left" w:pos="2014"/>
        </w:tabs>
        <w:snapToGrid w:val="0"/>
        <w:spacing w:line="360" w:lineRule="auto"/>
        <w:ind w:left="1077" w:hanging="720"/>
        <w:rPr>
          <w:sz w:val="24"/>
        </w:rPr>
      </w:pPr>
      <w:r>
        <w:rPr>
          <w:rFonts w:hint="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sz w:val="24"/>
        </w:rPr>
      </w:pPr>
      <w:r>
        <w:rPr>
          <w:rFonts w:hint="eastAsia"/>
          <w:sz w:val="24"/>
        </w:rPr>
        <w:t>供应商认为应附的其他材料。</w:t>
      </w:r>
      <w:bookmarkEnd w:id="266"/>
    </w:p>
    <w:p>
      <w:pPr>
        <w:numPr>
          <w:ilvl w:val="0"/>
          <w:numId w:val="8"/>
        </w:numPr>
        <w:tabs>
          <w:tab w:val="left" w:pos="360"/>
        </w:tabs>
        <w:snapToGrid w:val="0"/>
        <w:spacing w:line="360" w:lineRule="auto"/>
        <w:ind w:left="357" w:hanging="357"/>
        <w:outlineLvl w:val="1"/>
        <w:rPr>
          <w:sz w:val="24"/>
        </w:rPr>
      </w:pPr>
      <w:bookmarkStart w:id="267" w:name="_Toc149720823"/>
      <w:bookmarkStart w:id="268" w:name="_Toc151193844"/>
      <w:bookmarkStart w:id="269" w:name="_Toc142311032"/>
      <w:bookmarkStart w:id="270" w:name="_Toc127161444"/>
      <w:bookmarkStart w:id="271" w:name="_Toc195842895"/>
      <w:bookmarkStart w:id="272" w:name="_Toc164229371"/>
      <w:bookmarkStart w:id="273" w:name="_Toc164229225"/>
      <w:bookmarkStart w:id="274" w:name="_Toc151193918"/>
      <w:bookmarkStart w:id="275" w:name="_Toc150774630"/>
      <w:bookmarkStart w:id="276" w:name="_Toc164608799"/>
      <w:bookmarkStart w:id="277" w:name="_Toc520356155"/>
      <w:bookmarkStart w:id="278" w:name="_Toc150480768"/>
      <w:bookmarkStart w:id="279" w:name="_Toc151193700"/>
      <w:bookmarkStart w:id="280" w:name="_Toc150509281"/>
      <w:bookmarkStart w:id="281" w:name="_Toc150774735"/>
      <w:bookmarkStart w:id="282" w:name="_Toc164351624"/>
      <w:bookmarkStart w:id="283" w:name="_Toc164608644"/>
      <w:bookmarkStart w:id="284" w:name="_Toc127151731"/>
      <w:bookmarkStart w:id="285" w:name="_Toc151193628"/>
      <w:bookmarkStart w:id="286" w:name="_Toc127151530"/>
      <w:bookmarkStart w:id="287" w:name="_Toc151193772"/>
      <w:bookmarkStart w:id="288" w:name="_Toc151190157"/>
      <w:r>
        <w:rPr>
          <w:rFonts w:hint="eastAsia"/>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numPr>
          <w:ilvl w:val="1"/>
          <w:numId w:val="8"/>
        </w:numPr>
        <w:tabs>
          <w:tab w:val="left" w:pos="1080"/>
          <w:tab w:val="left" w:pos="2014"/>
        </w:tabs>
        <w:snapToGrid w:val="0"/>
        <w:spacing w:line="360" w:lineRule="auto"/>
        <w:ind w:left="1077" w:hanging="720"/>
        <w:rPr>
          <w:sz w:val="24"/>
        </w:rPr>
      </w:pPr>
      <w:r>
        <w:rPr>
          <w:rFonts w:hint="eastAsia"/>
          <w:sz w:val="24"/>
        </w:rPr>
        <w:t>所有响应均以人民币报价。</w:t>
      </w:r>
    </w:p>
    <w:p>
      <w:pPr>
        <w:numPr>
          <w:ilvl w:val="1"/>
          <w:numId w:val="8"/>
        </w:numPr>
        <w:tabs>
          <w:tab w:val="left" w:pos="1080"/>
        </w:tabs>
        <w:snapToGrid w:val="0"/>
        <w:spacing w:line="360" w:lineRule="auto"/>
        <w:rPr>
          <w:sz w:val="24"/>
        </w:rPr>
      </w:pPr>
      <w:r>
        <w:rPr>
          <w:rFonts w:hint="eastAsia"/>
          <w:sz w:val="24"/>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sz w:val="24"/>
        </w:rPr>
      </w:pPr>
      <w:r>
        <w:rPr>
          <w:rFonts w:hint="eastAsia"/>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pPr>
        <w:numPr>
          <w:ilvl w:val="2"/>
          <w:numId w:val="8"/>
        </w:numPr>
        <w:snapToGrid w:val="0"/>
        <w:spacing w:line="360" w:lineRule="auto"/>
        <w:rPr>
          <w:sz w:val="24"/>
        </w:rPr>
      </w:pPr>
      <w:r>
        <w:rPr>
          <w:rFonts w:hint="eastAsia"/>
          <w:sz w:val="24"/>
        </w:rPr>
        <w:t>按照竞争性磋商文件要求完成本项目的全部相关工程或服务费用。</w:t>
      </w:r>
    </w:p>
    <w:p>
      <w:pPr>
        <w:numPr>
          <w:ilvl w:val="1"/>
          <w:numId w:val="8"/>
        </w:numPr>
        <w:tabs>
          <w:tab w:val="left" w:pos="1080"/>
          <w:tab w:val="left" w:pos="2014"/>
        </w:tabs>
        <w:snapToGrid w:val="0"/>
        <w:spacing w:line="360" w:lineRule="auto"/>
        <w:ind w:left="1077" w:hanging="720"/>
        <w:rPr>
          <w:sz w:val="24"/>
        </w:rPr>
      </w:pPr>
      <w:r>
        <w:rPr>
          <w:rFonts w:hint="eastAsia"/>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rFonts w:hint="eastAsia"/>
          <w:sz w:val="24"/>
        </w:rPr>
        <w:t>供应商不能提供任何有选择性或可调整的最后报价（</w:t>
      </w:r>
      <w:r>
        <w:rPr>
          <w:rFonts w:hint="eastAsia"/>
          <w:kern w:val="0"/>
          <w:sz w:val="24"/>
        </w:rPr>
        <w:t>竞争性磋商文件</w:t>
      </w:r>
      <w:r>
        <w:rPr>
          <w:rFonts w:hint="eastAsia"/>
          <w:sz w:val="24"/>
        </w:rPr>
        <w:t>另有规定的除外），否则其</w:t>
      </w:r>
      <w:r>
        <w:rPr>
          <w:rFonts w:hint="eastAsia"/>
          <w:b/>
          <w:sz w:val="24"/>
        </w:rPr>
        <w:t>响应无效</w:t>
      </w:r>
      <w:r>
        <w:rPr>
          <w:rFonts w:hint="eastAsia"/>
          <w:sz w:val="24"/>
        </w:rPr>
        <w:t>。</w:t>
      </w:r>
    </w:p>
    <w:p>
      <w:pPr>
        <w:numPr>
          <w:ilvl w:val="0"/>
          <w:numId w:val="8"/>
        </w:numPr>
        <w:tabs>
          <w:tab w:val="left" w:pos="360"/>
        </w:tabs>
        <w:snapToGrid w:val="0"/>
        <w:spacing w:line="360" w:lineRule="auto"/>
        <w:ind w:left="357" w:hanging="357"/>
        <w:outlineLvl w:val="1"/>
        <w:rPr>
          <w:sz w:val="24"/>
        </w:rPr>
      </w:pPr>
      <w:r>
        <w:rPr>
          <w:rFonts w:hint="eastAsia"/>
          <w:sz w:val="24"/>
        </w:rPr>
        <w:t>磋商保证金</w:t>
      </w:r>
    </w:p>
    <w:p>
      <w:pPr>
        <w:numPr>
          <w:ilvl w:val="1"/>
          <w:numId w:val="8"/>
        </w:numPr>
        <w:tabs>
          <w:tab w:val="left" w:pos="1080"/>
          <w:tab w:val="left" w:pos="2014"/>
        </w:tabs>
        <w:snapToGrid w:val="0"/>
        <w:spacing w:line="360" w:lineRule="auto"/>
        <w:ind w:left="1077" w:hanging="720"/>
        <w:rPr>
          <w:sz w:val="24"/>
        </w:rPr>
      </w:pPr>
      <w:bookmarkStart w:id="289" w:name="_Ref467306302"/>
      <w:r>
        <w:rPr>
          <w:rFonts w:hint="eastAsia"/>
          <w:sz w:val="24"/>
        </w:rPr>
        <w:t>供应商应按《供应商须知资料表》中规定的金额及要求交纳磋商保证金</w:t>
      </w:r>
      <w:bookmarkEnd w:id="289"/>
      <w:r>
        <w:rPr>
          <w:rFonts w:hint="eastAsia"/>
          <w:sz w:val="24"/>
        </w:rPr>
        <w:t>，并作为其响应文件的一部分。</w:t>
      </w:r>
    </w:p>
    <w:p>
      <w:pPr>
        <w:numPr>
          <w:ilvl w:val="1"/>
          <w:numId w:val="8"/>
        </w:numPr>
        <w:tabs>
          <w:tab w:val="left" w:pos="1080"/>
          <w:tab w:val="left" w:pos="2014"/>
        </w:tabs>
        <w:snapToGrid w:val="0"/>
        <w:spacing w:line="360" w:lineRule="auto"/>
        <w:ind w:left="1077" w:hanging="720"/>
        <w:rPr>
          <w:sz w:val="24"/>
        </w:rPr>
      </w:pPr>
      <w:r>
        <w:rPr>
          <w:rFonts w:hint="eastAsia"/>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rFonts w:hint="eastAsia"/>
          <w:sz w:val="24"/>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b/>
          <w:sz w:val="24"/>
        </w:rPr>
        <w:t>响应无效</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rFonts w:hint="eastAsia"/>
          <w:sz w:val="24"/>
        </w:rPr>
        <w:t>磋商保证金（保函）有效期同响应有效期。</w:t>
      </w:r>
    </w:p>
    <w:p>
      <w:pPr>
        <w:numPr>
          <w:ilvl w:val="1"/>
          <w:numId w:val="8"/>
        </w:numPr>
        <w:tabs>
          <w:tab w:val="left" w:pos="1080"/>
          <w:tab w:val="left" w:pos="2014"/>
        </w:tabs>
        <w:snapToGrid w:val="0"/>
        <w:spacing w:line="360" w:lineRule="auto"/>
        <w:ind w:left="1077" w:hanging="720"/>
        <w:rPr>
          <w:sz w:val="24"/>
        </w:rPr>
      </w:pPr>
      <w:r>
        <w:rPr>
          <w:rFonts w:hint="eastAsia"/>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sz w:val="24"/>
        </w:rPr>
      </w:pPr>
      <w:r>
        <w:rPr>
          <w:rFonts w:hint="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sz w:val="24"/>
        </w:rPr>
      </w:pPr>
      <w:r>
        <w:rPr>
          <w:rFonts w:hint="eastAsia"/>
          <w:snapToGrid w:val="0"/>
          <w:kern w:val="0"/>
          <w:sz w:val="24"/>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sz w:val="24"/>
        </w:rPr>
      </w:pPr>
      <w:r>
        <w:rPr>
          <w:rFonts w:hint="eastAsia"/>
          <w:sz w:val="24"/>
        </w:rPr>
        <w:t>成交供应商的磋商保证金，在采购合同签订后</w:t>
      </w:r>
      <w:r>
        <w:rPr>
          <w:sz w:val="24"/>
        </w:rPr>
        <w:t>5</w:t>
      </w:r>
      <w:r>
        <w:rPr>
          <w:rFonts w:hint="eastAsia"/>
          <w:sz w:val="24"/>
        </w:rPr>
        <w:t>个工作日内退还成交供应商；</w:t>
      </w:r>
    </w:p>
    <w:p>
      <w:pPr>
        <w:numPr>
          <w:ilvl w:val="2"/>
          <w:numId w:val="8"/>
        </w:numPr>
        <w:snapToGrid w:val="0"/>
        <w:spacing w:line="360" w:lineRule="auto"/>
        <w:rPr>
          <w:sz w:val="24"/>
        </w:rPr>
      </w:pPr>
      <w:r>
        <w:rPr>
          <w:rFonts w:hint="eastAsia"/>
          <w:sz w:val="24"/>
        </w:rPr>
        <w:t>未成交供应商的磋商保证金，在成交通知书发出后</w:t>
      </w:r>
      <w:r>
        <w:rPr>
          <w:sz w:val="24"/>
        </w:rPr>
        <w:t>5</w:t>
      </w:r>
      <w:r>
        <w:rPr>
          <w:rFonts w:hint="eastAsia"/>
          <w:sz w:val="24"/>
        </w:rPr>
        <w:t>个工作日内退还。</w:t>
      </w:r>
    </w:p>
    <w:p>
      <w:pPr>
        <w:numPr>
          <w:ilvl w:val="1"/>
          <w:numId w:val="8"/>
        </w:numPr>
        <w:tabs>
          <w:tab w:val="left" w:pos="1080"/>
          <w:tab w:val="left" w:pos="2014"/>
        </w:tabs>
        <w:snapToGrid w:val="0"/>
        <w:spacing w:line="360" w:lineRule="auto"/>
        <w:ind w:left="1077" w:hanging="720"/>
        <w:rPr>
          <w:sz w:val="24"/>
        </w:rPr>
      </w:pPr>
      <w:r>
        <w:rPr>
          <w:rFonts w:hint="eastAsia"/>
          <w:sz w:val="24"/>
        </w:rPr>
        <w:t>有下列情形之一的，采购人或采购代理机构不予退还磋商保证金：</w:t>
      </w:r>
    </w:p>
    <w:p>
      <w:pPr>
        <w:numPr>
          <w:ilvl w:val="2"/>
          <w:numId w:val="8"/>
        </w:numPr>
        <w:snapToGrid w:val="0"/>
        <w:spacing w:line="360" w:lineRule="auto"/>
        <w:rPr>
          <w:sz w:val="24"/>
        </w:rPr>
      </w:pPr>
      <w:r>
        <w:rPr>
          <w:rFonts w:hint="eastAsia"/>
          <w:sz w:val="24"/>
        </w:rPr>
        <w:t>供应商在提交响应文件截止时间后撤回响应文件的；</w:t>
      </w:r>
    </w:p>
    <w:p>
      <w:pPr>
        <w:numPr>
          <w:ilvl w:val="2"/>
          <w:numId w:val="8"/>
        </w:numPr>
        <w:snapToGrid w:val="0"/>
        <w:spacing w:line="360" w:lineRule="auto"/>
        <w:rPr>
          <w:sz w:val="24"/>
        </w:rPr>
      </w:pPr>
      <w:r>
        <w:rPr>
          <w:rFonts w:hint="eastAsia"/>
          <w:sz w:val="24"/>
        </w:rPr>
        <w:t>供应商在响应文件中提供虚假材料的；</w:t>
      </w:r>
    </w:p>
    <w:p>
      <w:pPr>
        <w:numPr>
          <w:ilvl w:val="2"/>
          <w:numId w:val="8"/>
        </w:numPr>
        <w:snapToGrid w:val="0"/>
        <w:spacing w:line="360" w:lineRule="auto"/>
        <w:rPr>
          <w:sz w:val="24"/>
        </w:rPr>
      </w:pPr>
      <w:r>
        <w:rPr>
          <w:rFonts w:hint="eastAsia"/>
          <w:sz w:val="24"/>
        </w:rPr>
        <w:t>除因不可抗力或磋商文件认可的情形以外，成交供应商不与采购人签订合同的；</w:t>
      </w:r>
    </w:p>
    <w:p>
      <w:pPr>
        <w:numPr>
          <w:ilvl w:val="2"/>
          <w:numId w:val="8"/>
        </w:numPr>
        <w:snapToGrid w:val="0"/>
        <w:spacing w:line="360" w:lineRule="auto"/>
        <w:rPr>
          <w:sz w:val="24"/>
        </w:rPr>
      </w:pPr>
      <w:r>
        <w:rPr>
          <w:rFonts w:hint="eastAsia"/>
          <w:sz w:val="24"/>
        </w:rPr>
        <w:t>供应商与采购人、其他供应商或者采购代理机构恶意串通的；</w:t>
      </w:r>
    </w:p>
    <w:p>
      <w:pPr>
        <w:numPr>
          <w:ilvl w:val="2"/>
          <w:numId w:val="8"/>
        </w:numPr>
        <w:snapToGrid w:val="0"/>
        <w:spacing w:line="360" w:lineRule="auto"/>
        <w:rPr>
          <w:sz w:val="24"/>
        </w:rPr>
      </w:pPr>
      <w:r>
        <w:rPr>
          <w:rFonts w:hint="eastAsia"/>
          <w:sz w:val="24"/>
        </w:rPr>
        <w:t>《供应商须知资料表》规定的其他情形。</w:t>
      </w:r>
    </w:p>
    <w:p>
      <w:pPr>
        <w:numPr>
          <w:ilvl w:val="0"/>
          <w:numId w:val="8"/>
        </w:numPr>
        <w:tabs>
          <w:tab w:val="left" w:pos="360"/>
        </w:tabs>
        <w:snapToGrid w:val="0"/>
        <w:spacing w:line="360" w:lineRule="auto"/>
        <w:ind w:left="357" w:hanging="357"/>
        <w:outlineLvl w:val="1"/>
        <w:rPr>
          <w:sz w:val="24"/>
        </w:rPr>
      </w:pPr>
      <w:r>
        <w:rPr>
          <w:rFonts w:hint="eastAsia"/>
          <w:sz w:val="24"/>
        </w:rPr>
        <w:t>响应有效期</w:t>
      </w:r>
    </w:p>
    <w:p>
      <w:pPr>
        <w:numPr>
          <w:ilvl w:val="1"/>
          <w:numId w:val="8"/>
        </w:numPr>
        <w:tabs>
          <w:tab w:val="left" w:pos="1080"/>
          <w:tab w:val="left" w:pos="2014"/>
        </w:tabs>
        <w:snapToGrid w:val="0"/>
        <w:spacing w:line="360" w:lineRule="auto"/>
        <w:ind w:left="1077" w:hanging="720"/>
        <w:rPr>
          <w:sz w:val="24"/>
        </w:rPr>
      </w:pPr>
      <w:r>
        <w:rPr>
          <w:rFonts w:hint="eastAsia"/>
          <w:sz w:val="24"/>
        </w:rPr>
        <w:t>响应文件应在本竞争性磋商文件《供应商须知资料表》中规定的响应有效期内保持有效，响应有效期少于竞争性磋商文件规定期限的，其</w:t>
      </w:r>
      <w:r>
        <w:rPr>
          <w:rFonts w:hint="eastAsia"/>
          <w:b/>
          <w:sz w:val="24"/>
        </w:rPr>
        <w:t>响应无效</w:t>
      </w:r>
      <w:r>
        <w:rPr>
          <w:rFonts w:hint="eastAsia"/>
          <w:sz w:val="24"/>
        </w:rPr>
        <w:t>。</w:t>
      </w:r>
    </w:p>
    <w:p>
      <w:pPr>
        <w:numPr>
          <w:ilvl w:val="0"/>
          <w:numId w:val="8"/>
        </w:numPr>
        <w:tabs>
          <w:tab w:val="left" w:pos="360"/>
        </w:tabs>
        <w:snapToGrid w:val="0"/>
        <w:spacing w:line="360" w:lineRule="auto"/>
        <w:ind w:left="357" w:hanging="357"/>
        <w:outlineLvl w:val="1"/>
        <w:rPr>
          <w:sz w:val="24"/>
        </w:rPr>
      </w:pPr>
      <w:bookmarkStart w:id="290" w:name="_Toc226965723"/>
      <w:bookmarkStart w:id="291" w:name="_Toc150774633"/>
      <w:bookmarkStart w:id="292" w:name="_Toc226965806"/>
      <w:bookmarkStart w:id="293" w:name="_Toc127151734"/>
      <w:bookmarkStart w:id="294" w:name="_Toc127151533"/>
      <w:bookmarkStart w:id="295" w:name="_Toc142311035"/>
      <w:bookmarkStart w:id="296" w:name="_Toc305158875"/>
      <w:bookmarkStart w:id="297" w:name="_Toc164608647"/>
      <w:bookmarkStart w:id="298" w:name="_Toc226337229"/>
      <w:bookmarkStart w:id="299" w:name="_Toc151193921"/>
      <w:bookmarkStart w:id="300" w:name="_Toc149720826"/>
      <w:bookmarkStart w:id="301" w:name="_Toc151193847"/>
      <w:bookmarkStart w:id="302" w:name="_Toc226309777"/>
      <w:bookmarkStart w:id="303" w:name="_Toc127161447"/>
      <w:bookmarkStart w:id="304" w:name="_Toc150509284"/>
      <w:bookmarkStart w:id="305" w:name="_Toc151193703"/>
      <w:bookmarkStart w:id="306" w:name="_Toc164608802"/>
      <w:bookmarkStart w:id="307" w:name="_Toc164351627"/>
      <w:bookmarkStart w:id="308" w:name="_Toc520356158"/>
      <w:bookmarkStart w:id="309" w:name="_Toc265228371"/>
      <w:bookmarkStart w:id="310" w:name="_Toc151193631"/>
      <w:bookmarkStart w:id="311" w:name="_Toc151193775"/>
      <w:bookmarkStart w:id="312" w:name="_Toc150774738"/>
      <w:bookmarkStart w:id="313" w:name="_Toc151190160"/>
      <w:bookmarkStart w:id="314" w:name="_Toc164229374"/>
      <w:bookmarkStart w:id="315" w:name="_Toc164229228"/>
      <w:bookmarkStart w:id="316" w:name="_Toc195842898"/>
      <w:bookmarkStart w:id="317" w:name="_Toc305158801"/>
      <w:bookmarkStart w:id="318" w:name="_Toc150480771"/>
      <w:bookmarkStart w:id="319" w:name="_Toc264969223"/>
      <w:r>
        <w:rPr>
          <w:rFonts w:hint="eastAsia"/>
          <w:sz w:val="24"/>
        </w:rPr>
        <w:t>响应文件的</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hint="eastAsia"/>
          <w:sz w:val="24"/>
        </w:rPr>
        <w:t>密封和标记</w:t>
      </w:r>
    </w:p>
    <w:p>
      <w:pPr>
        <w:tabs>
          <w:tab w:val="left" w:pos="900"/>
          <w:tab w:val="left" w:pos="1080"/>
        </w:tabs>
        <w:snapToGrid w:val="0"/>
        <w:spacing w:line="360" w:lineRule="auto"/>
        <w:ind w:left="357"/>
        <w:rPr>
          <w:sz w:val="24"/>
        </w:rPr>
      </w:pPr>
      <w:bookmarkStart w:id="320" w:name="_Toc305158802"/>
      <w:bookmarkStart w:id="321" w:name="_Toc150774739"/>
      <w:bookmarkStart w:id="322" w:name="_Toc151193922"/>
      <w:bookmarkStart w:id="323" w:name="_Toc226965724"/>
      <w:bookmarkStart w:id="324" w:name="_Toc520356159"/>
      <w:bookmarkStart w:id="325" w:name="_Toc151193848"/>
      <w:bookmarkStart w:id="326" w:name="_Toc226965807"/>
      <w:bookmarkStart w:id="327" w:name="_Toc151193704"/>
      <w:bookmarkStart w:id="328" w:name="_Toc142311036"/>
      <w:bookmarkStart w:id="329" w:name="_Toc150509285"/>
      <w:bookmarkStart w:id="330" w:name="_Toc150774634"/>
      <w:bookmarkStart w:id="331" w:name="_Toc226337230"/>
      <w:bookmarkStart w:id="332" w:name="_Toc150480772"/>
      <w:bookmarkStart w:id="333" w:name="_Toc127151534"/>
      <w:bookmarkStart w:id="334" w:name="_Toc265228372"/>
      <w:bookmarkStart w:id="335" w:name="_Toc305158876"/>
      <w:bookmarkStart w:id="336" w:name="_Toc151193632"/>
      <w:bookmarkStart w:id="337" w:name="_Toc151193776"/>
      <w:bookmarkStart w:id="338" w:name="_Toc195842899"/>
      <w:bookmarkStart w:id="339" w:name="_Toc226309778"/>
      <w:bookmarkStart w:id="340" w:name="_Toc264969224"/>
      <w:bookmarkStart w:id="341" w:name="_Toc151190161"/>
      <w:r>
        <w:rPr>
          <w:sz w:val="24"/>
        </w:rPr>
        <w:t xml:space="preserve"> </w:t>
      </w:r>
      <w:r>
        <w:rPr>
          <w:rFonts w:hint="eastAsia"/>
          <w:sz w:val="24"/>
        </w:rPr>
        <w:t>供应商应将响应文件进行左侧胶装装订，正本和所有的副本密封装在一个或多个信封中。若分别密封的，应信封正面标明“正本”“副本”字样。</w:t>
      </w:r>
    </w:p>
    <w:p>
      <w:pPr>
        <w:tabs>
          <w:tab w:val="left" w:pos="900"/>
          <w:tab w:val="left" w:pos="1080"/>
        </w:tabs>
        <w:snapToGrid w:val="0"/>
        <w:spacing w:line="360" w:lineRule="auto"/>
        <w:ind w:left="357"/>
        <w:rPr>
          <w:sz w:val="24"/>
        </w:rPr>
      </w:pPr>
      <w:r>
        <w:rPr>
          <w:sz w:val="24"/>
        </w:rPr>
        <w:t xml:space="preserve">13.2  </w:t>
      </w:r>
      <w:r>
        <w:rPr>
          <w:rFonts w:hint="eastAsia"/>
          <w:sz w:val="24"/>
        </w:rPr>
        <w:t>供应商应单独密封一份“报价一览表”，并在信封上标明“报价一览表”字样，在磋商时单独提交。</w:t>
      </w:r>
    </w:p>
    <w:p>
      <w:pPr>
        <w:tabs>
          <w:tab w:val="left" w:pos="900"/>
          <w:tab w:val="left" w:pos="1080"/>
        </w:tabs>
        <w:snapToGrid w:val="0"/>
        <w:spacing w:line="360" w:lineRule="auto"/>
        <w:ind w:left="357"/>
        <w:rPr>
          <w:sz w:val="24"/>
        </w:rPr>
      </w:pPr>
      <w:r>
        <w:rPr>
          <w:sz w:val="24"/>
        </w:rPr>
        <w:t xml:space="preserve">13.3  </w:t>
      </w:r>
      <w:r>
        <w:rPr>
          <w:rFonts w:hint="eastAsia"/>
          <w:sz w:val="24"/>
        </w:rPr>
        <w:t>为方便核查保证金，供应商应将“保证金凭证”单独密封，并在信封上标明</w:t>
      </w:r>
      <w:r>
        <w:rPr>
          <w:sz w:val="24"/>
        </w:rPr>
        <w:t xml:space="preserve"> </w:t>
      </w:r>
      <w:r>
        <w:rPr>
          <w:rFonts w:hint="eastAsia"/>
          <w:sz w:val="24"/>
        </w:rPr>
        <w:t>“保证金”字样，在磋商时单独提交。</w:t>
      </w:r>
    </w:p>
    <w:p>
      <w:pPr>
        <w:tabs>
          <w:tab w:val="left" w:pos="900"/>
          <w:tab w:val="left" w:pos="1080"/>
        </w:tabs>
        <w:snapToGrid w:val="0"/>
        <w:spacing w:line="360" w:lineRule="auto"/>
        <w:ind w:left="357"/>
        <w:rPr>
          <w:sz w:val="24"/>
        </w:rPr>
      </w:pPr>
      <w:r>
        <w:rPr>
          <w:sz w:val="24"/>
        </w:rPr>
        <w:t>13.4</w:t>
      </w:r>
      <w:r>
        <w:rPr>
          <w:rFonts w:hint="eastAsia"/>
          <w:sz w:val="24"/>
        </w:rPr>
        <w:t>所有信封上均应：</w:t>
      </w:r>
    </w:p>
    <w:p>
      <w:pPr>
        <w:tabs>
          <w:tab w:val="left" w:pos="900"/>
          <w:tab w:val="left" w:pos="1080"/>
        </w:tabs>
        <w:snapToGrid w:val="0"/>
        <w:spacing w:line="360" w:lineRule="auto"/>
        <w:ind w:left="357"/>
        <w:rPr>
          <w:sz w:val="24"/>
        </w:rPr>
      </w:pPr>
      <w:r>
        <w:rPr>
          <w:sz w:val="24"/>
        </w:rPr>
        <w:t>1</w:t>
      </w:r>
      <w:r>
        <w:rPr>
          <w:rFonts w:hint="eastAsia"/>
          <w:sz w:val="24"/>
        </w:rPr>
        <w:t>）清楚标明提交至采购文件中所要求的地址。</w:t>
      </w:r>
    </w:p>
    <w:p>
      <w:pPr>
        <w:tabs>
          <w:tab w:val="left" w:pos="900"/>
          <w:tab w:val="left" w:pos="1080"/>
        </w:tabs>
        <w:snapToGrid w:val="0"/>
        <w:spacing w:line="360" w:lineRule="auto"/>
        <w:ind w:left="357"/>
        <w:rPr>
          <w:sz w:val="24"/>
        </w:rPr>
      </w:pPr>
      <w:r>
        <w:rPr>
          <w:sz w:val="24"/>
        </w:rPr>
        <w:t>2</w:t>
      </w:r>
      <w:r>
        <w:rPr>
          <w:rFonts w:hint="eastAsia"/>
          <w:sz w:val="24"/>
        </w:rPr>
        <w:t>）注明项目名称和“在</w:t>
      </w: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r>
        <w:rPr>
          <w:sz w:val="24"/>
        </w:rPr>
        <w:t xml:space="preserve">   </w:t>
      </w:r>
      <w:r>
        <w:rPr>
          <w:rFonts w:hint="eastAsia"/>
          <w:sz w:val="24"/>
        </w:rPr>
        <w:t>时之前不得启封”的字样（填入规定的响应文件提交截止时间及磋商时间）。</w:t>
      </w:r>
    </w:p>
    <w:p>
      <w:pPr>
        <w:tabs>
          <w:tab w:val="left" w:pos="900"/>
          <w:tab w:val="left" w:pos="1080"/>
        </w:tabs>
        <w:snapToGrid w:val="0"/>
        <w:spacing w:line="360" w:lineRule="auto"/>
        <w:ind w:left="357"/>
        <w:rPr>
          <w:sz w:val="24"/>
        </w:rPr>
      </w:pPr>
      <w:r>
        <w:rPr>
          <w:sz w:val="24"/>
        </w:rPr>
        <w:t>3</w:t>
      </w:r>
      <w:r>
        <w:rPr>
          <w:rFonts w:hint="eastAsia"/>
          <w:sz w:val="24"/>
        </w:rPr>
        <w:t>）在信封的封装处加盖供应商公章。</w:t>
      </w:r>
    </w:p>
    <w:p>
      <w:pPr>
        <w:tabs>
          <w:tab w:val="left" w:pos="900"/>
          <w:tab w:val="left" w:pos="1080"/>
        </w:tabs>
        <w:snapToGrid w:val="0"/>
        <w:spacing w:line="360" w:lineRule="auto"/>
        <w:ind w:left="357"/>
        <w:rPr>
          <w:sz w:val="24"/>
        </w:rPr>
      </w:pPr>
      <w:r>
        <w:rPr>
          <w:sz w:val="24"/>
        </w:rPr>
        <w:t>13.5</w:t>
      </w:r>
      <w:r>
        <w:rPr>
          <w:rFonts w:hint="eastAsia"/>
          <w:sz w:val="24"/>
        </w:rPr>
        <w:t>所有信封上还应写明供应商名称和地址，以便若其响应文件被宣布为“迟到”时，能原封退回。</w:t>
      </w:r>
    </w:p>
    <w:p>
      <w:pPr>
        <w:tabs>
          <w:tab w:val="left" w:pos="900"/>
          <w:tab w:val="left" w:pos="1080"/>
        </w:tabs>
        <w:snapToGrid w:val="0"/>
        <w:spacing w:line="360" w:lineRule="auto"/>
        <w:ind w:left="357"/>
      </w:pPr>
      <w:r>
        <w:rPr>
          <w:sz w:val="24"/>
        </w:rPr>
        <w:t>13.6</w:t>
      </w:r>
      <w:r>
        <w:rPr>
          <w:rFonts w:hint="eastAsia"/>
          <w:sz w:val="24"/>
        </w:rPr>
        <w:t>如果供应商未按上述要求密封及加写标记，采购单位对响应文件的误投或过早启封概不负责。</w:t>
      </w:r>
    </w:p>
    <w:p>
      <w:pPr>
        <w:pStyle w:val="4"/>
        <w:spacing w:before="0" w:line="360" w:lineRule="auto"/>
        <w:rPr>
          <w:rFonts w:ascii="Times New Roman" w:hAnsi="Times New Roman" w:eastAsia="宋体"/>
          <w:sz w:val="28"/>
        </w:rPr>
      </w:pPr>
      <w:r>
        <w:rPr>
          <w:rFonts w:hint="eastAsia" w:ascii="Times New Roman" w:hAnsi="Times New Roman" w:eastAsia="宋体"/>
          <w:sz w:val="28"/>
        </w:rPr>
        <w:t>四</w:t>
      </w:r>
      <w:r>
        <w:rPr>
          <w:rFonts w:ascii="Times New Roman" w:hAnsi="Times New Roman" w:eastAsia="宋体"/>
          <w:sz w:val="28"/>
        </w:rPr>
        <w:t xml:space="preserve">   </w:t>
      </w:r>
      <w:r>
        <w:rPr>
          <w:rFonts w:hint="eastAsia" w:ascii="Times New Roman" w:hAnsi="Times New Roman" w:eastAsia="宋体"/>
          <w:sz w:val="28"/>
        </w:rPr>
        <w:t>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pPr>
        <w:numPr>
          <w:ilvl w:val="0"/>
          <w:numId w:val="8"/>
        </w:numPr>
        <w:tabs>
          <w:tab w:val="left" w:pos="360"/>
        </w:tabs>
        <w:snapToGrid w:val="0"/>
        <w:spacing w:line="360" w:lineRule="auto"/>
        <w:ind w:left="357" w:hanging="357"/>
        <w:outlineLvl w:val="1"/>
        <w:rPr>
          <w:sz w:val="24"/>
        </w:rPr>
      </w:pPr>
      <w:bookmarkStart w:id="342" w:name="_Toc164351629"/>
      <w:bookmarkStart w:id="343" w:name="_Toc149720828"/>
      <w:bookmarkStart w:id="344" w:name="_Toc265228373"/>
      <w:bookmarkStart w:id="345" w:name="_Toc305158877"/>
      <w:bookmarkStart w:id="346" w:name="_Toc164229230"/>
      <w:bookmarkStart w:id="347" w:name="_Toc150774635"/>
      <w:bookmarkStart w:id="348" w:name="_Toc142311037"/>
      <w:bookmarkStart w:id="349" w:name="_Toc164229376"/>
      <w:bookmarkStart w:id="350" w:name="_Toc150509286"/>
      <w:bookmarkStart w:id="351" w:name="_Toc264969225"/>
      <w:bookmarkStart w:id="352" w:name="_Toc151193849"/>
      <w:bookmarkStart w:id="353" w:name="_Toc151193777"/>
      <w:bookmarkStart w:id="354" w:name="_Toc226965725"/>
      <w:bookmarkStart w:id="355" w:name="_Toc127151736"/>
      <w:bookmarkStart w:id="356" w:name="_Toc164608804"/>
      <w:bookmarkStart w:id="357" w:name="_Toc151190162"/>
      <w:bookmarkStart w:id="358" w:name="_Toc226965808"/>
      <w:bookmarkStart w:id="359" w:name="_Toc226309779"/>
      <w:bookmarkStart w:id="360" w:name="_Toc305158803"/>
      <w:bookmarkStart w:id="361" w:name="_Toc150774740"/>
      <w:bookmarkStart w:id="362" w:name="_Toc195842900"/>
      <w:bookmarkStart w:id="363" w:name="_Toc226337231"/>
      <w:bookmarkStart w:id="364" w:name="_Toc151193633"/>
      <w:bookmarkStart w:id="365" w:name="_Toc151193705"/>
      <w:bookmarkStart w:id="366" w:name="_Toc164608649"/>
      <w:bookmarkStart w:id="367" w:name="_Toc127151535"/>
      <w:bookmarkStart w:id="368" w:name="_Toc151193923"/>
      <w:bookmarkStart w:id="369" w:name="_Toc127161449"/>
      <w:bookmarkStart w:id="370" w:name="_Toc150480773"/>
      <w:bookmarkStart w:id="371" w:name="_Toc520356160"/>
      <w:r>
        <w:rPr>
          <w:rFonts w:hint="eastAsia"/>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sz w:val="24"/>
        </w:rPr>
        <w:t>提交</w:t>
      </w:r>
    </w:p>
    <w:p>
      <w:pPr>
        <w:spacing w:line="360" w:lineRule="auto"/>
        <w:ind w:left="424" w:leftChars="202"/>
        <w:rPr>
          <w:rFonts w:ascii="宋体" w:hAnsi="宋体"/>
          <w:sz w:val="24"/>
        </w:rPr>
      </w:pPr>
      <w:bookmarkStart w:id="372" w:name="_Toc264969226"/>
      <w:bookmarkStart w:id="373" w:name="_Toc164229377"/>
      <w:bookmarkStart w:id="374" w:name="_Toc305158804"/>
      <w:bookmarkStart w:id="375" w:name="_Toc226337232"/>
      <w:bookmarkStart w:id="376" w:name="_Toc150509287"/>
      <w:bookmarkStart w:id="377" w:name="_Toc150480774"/>
      <w:bookmarkStart w:id="378" w:name="_Toc226309780"/>
      <w:bookmarkStart w:id="379" w:name="_Toc305158878"/>
      <w:bookmarkStart w:id="380" w:name="_Toc226965809"/>
      <w:bookmarkStart w:id="381" w:name="_Toc151193778"/>
      <w:bookmarkStart w:id="382" w:name="_Toc164608805"/>
      <w:bookmarkStart w:id="383" w:name="_Toc149720829"/>
      <w:bookmarkStart w:id="384" w:name="_Toc520356161"/>
      <w:bookmarkStart w:id="385" w:name="_Toc195842901"/>
      <w:bookmarkStart w:id="386" w:name="_Toc164608650"/>
      <w:bookmarkStart w:id="387" w:name="_Toc164229231"/>
      <w:bookmarkStart w:id="388" w:name="_Toc151193706"/>
      <w:bookmarkStart w:id="389" w:name="_Toc151193924"/>
      <w:bookmarkStart w:id="390" w:name="_Toc127151536"/>
      <w:bookmarkStart w:id="391" w:name="_Toc151190163"/>
      <w:bookmarkStart w:id="392" w:name="_Toc142311038"/>
      <w:bookmarkStart w:id="393" w:name="_Toc265228374"/>
      <w:bookmarkStart w:id="394" w:name="_Toc151193850"/>
      <w:bookmarkStart w:id="395" w:name="_Toc151193634"/>
      <w:bookmarkStart w:id="396" w:name="_Toc164351630"/>
      <w:bookmarkStart w:id="397" w:name="_Toc127161450"/>
      <w:bookmarkStart w:id="398" w:name="_Toc150774741"/>
      <w:bookmarkStart w:id="399" w:name="_Toc226965726"/>
      <w:bookmarkStart w:id="400" w:name="_Toc150774636"/>
      <w:bookmarkStart w:id="401" w:name="_Toc127151737"/>
      <w:r>
        <w:rPr>
          <w:rFonts w:hint="eastAsia" w:ascii="宋体" w:hAnsi="宋体"/>
          <w:sz w:val="24"/>
        </w:rPr>
        <w:t>14.1供应商应按磋商邀请规定的截止日期、时间和地点，将响应文件提交采购单位。</w:t>
      </w:r>
    </w:p>
    <w:p>
      <w:pPr>
        <w:spacing w:line="360" w:lineRule="auto"/>
        <w:ind w:left="990" w:leftChars="203" w:hanging="564" w:hangingChars="235"/>
        <w:rPr>
          <w:rFonts w:ascii="宋体" w:hAnsi="宋体"/>
          <w:sz w:val="24"/>
        </w:rPr>
      </w:pPr>
      <w:r>
        <w:rPr>
          <w:rFonts w:eastAsia="黑体"/>
          <w:sz w:val="24"/>
        </w:rPr>
        <w:t>14.2</w:t>
      </w:r>
      <w:r>
        <w:rPr>
          <w:rFonts w:hint="eastAsia" w:ascii="宋体" w:hAnsi="宋体"/>
          <w:sz w:val="24"/>
        </w:rPr>
        <w:t>采购单位有权按本须知的规定，通过修改采购文件延长提交响应文件截止期。在此情况下，采购单位和供应商受提交响应文件截止期制约的所有权利和义务均应延长至新的截止期。</w:t>
      </w:r>
    </w:p>
    <w:p>
      <w:pPr>
        <w:spacing w:line="360" w:lineRule="auto"/>
        <w:ind w:left="990" w:leftChars="203" w:hanging="564" w:hangingChars="235"/>
      </w:pPr>
      <w:r>
        <w:rPr>
          <w:rFonts w:eastAsia="黑体"/>
          <w:sz w:val="24"/>
        </w:rPr>
        <w:t>14.3</w:t>
      </w:r>
      <w:r>
        <w:rPr>
          <w:rFonts w:hint="eastAsia" w:ascii="宋体" w:hAnsi="宋体"/>
          <w:sz w:val="24"/>
        </w:rPr>
        <w:t>采购单位将拒绝并原封退回在本须知规定的提交响应文件截止期后收到的任何响应文件。</w:t>
      </w:r>
    </w:p>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Pr>
        <w:numPr>
          <w:ilvl w:val="0"/>
          <w:numId w:val="8"/>
        </w:numPr>
        <w:tabs>
          <w:tab w:val="left" w:pos="360"/>
        </w:tabs>
        <w:snapToGrid w:val="0"/>
        <w:spacing w:line="360" w:lineRule="auto"/>
        <w:ind w:left="357" w:hanging="357"/>
        <w:outlineLvl w:val="1"/>
        <w:rPr>
          <w:sz w:val="24"/>
        </w:rPr>
      </w:pPr>
      <w:bookmarkStart w:id="402" w:name="_Toc127151537"/>
      <w:bookmarkStart w:id="403" w:name="_Toc305158805"/>
      <w:bookmarkStart w:id="404" w:name="_Toc226309781"/>
      <w:bookmarkStart w:id="405" w:name="_Toc265228375"/>
      <w:bookmarkStart w:id="406" w:name="_Toc226965727"/>
      <w:bookmarkStart w:id="407" w:name="_Toc127161451"/>
      <w:bookmarkStart w:id="408" w:name="_Toc150774637"/>
      <w:bookmarkStart w:id="409" w:name="_Toc150774742"/>
      <w:bookmarkStart w:id="410" w:name="_Toc127151738"/>
      <w:bookmarkStart w:id="411" w:name="_Toc151193925"/>
      <w:bookmarkStart w:id="412" w:name="_Toc151193851"/>
      <w:bookmarkStart w:id="413" w:name="_Toc150480775"/>
      <w:bookmarkStart w:id="414" w:name="_Toc195842902"/>
      <w:bookmarkStart w:id="415" w:name="_Toc264969227"/>
      <w:bookmarkStart w:id="416" w:name="_Toc151193635"/>
      <w:bookmarkStart w:id="417" w:name="_Toc151193707"/>
      <w:bookmarkStart w:id="418" w:name="_Toc164351631"/>
      <w:bookmarkStart w:id="419" w:name="_Toc164608651"/>
      <w:bookmarkStart w:id="420" w:name="_Toc520356162"/>
      <w:bookmarkStart w:id="421" w:name="_Toc142311039"/>
      <w:bookmarkStart w:id="422" w:name="_Toc164229232"/>
      <w:bookmarkStart w:id="423" w:name="_Toc151193779"/>
      <w:bookmarkStart w:id="424" w:name="_Toc149720830"/>
      <w:bookmarkStart w:id="425" w:name="_Toc164608806"/>
      <w:bookmarkStart w:id="426" w:name="_Toc226337233"/>
      <w:bookmarkStart w:id="427" w:name="_Toc305158879"/>
      <w:bookmarkStart w:id="428" w:name="_Toc164229378"/>
      <w:bookmarkStart w:id="429" w:name="_Toc226965810"/>
      <w:bookmarkStart w:id="430" w:name="_Toc151190164"/>
      <w:bookmarkStart w:id="431" w:name="_Toc150509288"/>
      <w:r>
        <w:rPr>
          <w:rFonts w:hint="eastAsia"/>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pPr>
        <w:spacing w:line="360" w:lineRule="auto"/>
        <w:ind w:left="990" w:leftChars="203" w:hanging="564" w:hangingChars="235"/>
        <w:rPr>
          <w:rFonts w:ascii="宋体" w:hAnsi="宋体"/>
          <w:sz w:val="24"/>
        </w:rPr>
      </w:pPr>
      <w:r>
        <w:rPr>
          <w:rFonts w:eastAsia="黑体"/>
          <w:sz w:val="24"/>
        </w:rPr>
        <w:t xml:space="preserve">15.1  </w:t>
      </w:r>
      <w:r>
        <w:rPr>
          <w:rFonts w:hint="eastAsia" w:ascii="宋体" w:hAnsi="宋体"/>
          <w:sz w:val="24"/>
        </w:rPr>
        <w:t>响应文件提交以后，如果供应商提出书面修改或撤回要求，在响应文件提交截止时间前送达采购单位者，采购单位将予以接受。</w:t>
      </w:r>
    </w:p>
    <w:p>
      <w:pPr>
        <w:spacing w:line="360" w:lineRule="auto"/>
        <w:ind w:left="424" w:leftChars="202"/>
        <w:rPr>
          <w:rFonts w:ascii="宋体" w:hAnsi="宋体"/>
          <w:sz w:val="24"/>
        </w:rPr>
      </w:pPr>
      <w:r>
        <w:rPr>
          <w:rFonts w:eastAsia="黑体"/>
          <w:sz w:val="24"/>
        </w:rPr>
        <w:t xml:space="preserve">15.2  </w:t>
      </w:r>
      <w:r>
        <w:rPr>
          <w:rFonts w:hint="eastAsia" w:ascii="宋体" w:hAnsi="宋体"/>
          <w:sz w:val="24"/>
        </w:rPr>
        <w:t>供应商对响应文件的修改或撤回通知应按本须知规定编制、密封、标记和发送。</w:t>
      </w:r>
    </w:p>
    <w:p>
      <w:pPr>
        <w:spacing w:line="360" w:lineRule="auto"/>
        <w:ind w:left="424" w:leftChars="202"/>
        <w:rPr>
          <w:rFonts w:ascii="宋体" w:hAnsi="宋体"/>
          <w:sz w:val="24"/>
        </w:rPr>
      </w:pPr>
      <w:r>
        <w:rPr>
          <w:rFonts w:eastAsia="黑体"/>
          <w:sz w:val="24"/>
        </w:rPr>
        <w:t xml:space="preserve">15.3  </w:t>
      </w:r>
      <w:r>
        <w:rPr>
          <w:rFonts w:hint="eastAsia" w:ascii="宋体" w:hAnsi="宋体"/>
          <w:sz w:val="24"/>
        </w:rPr>
        <w:t>在响应文件提交截止期之后，供应商不得对其响应文件做任何修改。</w:t>
      </w:r>
    </w:p>
    <w:p>
      <w:pPr>
        <w:tabs>
          <w:tab w:val="left" w:pos="900"/>
          <w:tab w:val="left" w:pos="1080"/>
          <w:tab w:val="left" w:pos="1589"/>
        </w:tabs>
        <w:snapToGrid w:val="0"/>
        <w:spacing w:line="360" w:lineRule="auto"/>
        <w:ind w:left="357"/>
        <w:rPr>
          <w:sz w:val="24"/>
        </w:rPr>
      </w:pPr>
    </w:p>
    <w:p>
      <w:pPr>
        <w:pStyle w:val="4"/>
        <w:spacing w:before="0" w:line="360" w:lineRule="auto"/>
        <w:rPr>
          <w:rFonts w:ascii="Times New Roman" w:hAnsi="Times New Roman" w:eastAsia="宋体"/>
          <w:sz w:val="28"/>
        </w:rPr>
      </w:pPr>
      <w:bookmarkStart w:id="432" w:name="_Toc151193636"/>
      <w:bookmarkStart w:id="433" w:name="_Toc305158880"/>
      <w:bookmarkStart w:id="434" w:name="_Toc195842903"/>
      <w:bookmarkStart w:id="435" w:name="_Toc226337234"/>
      <w:bookmarkStart w:id="436" w:name="_Toc265228376"/>
      <w:bookmarkStart w:id="437" w:name="_Toc264969228"/>
      <w:bookmarkStart w:id="438" w:name="_Toc151193708"/>
      <w:bookmarkStart w:id="439" w:name="_Toc150774743"/>
      <w:bookmarkStart w:id="440" w:name="_Toc226965811"/>
      <w:bookmarkStart w:id="441" w:name="_Toc142311040"/>
      <w:bookmarkStart w:id="442" w:name="_Toc127151538"/>
      <w:bookmarkStart w:id="443" w:name="_Toc151193852"/>
      <w:bookmarkStart w:id="444" w:name="_Toc520356163"/>
      <w:bookmarkStart w:id="445" w:name="_Toc150480776"/>
      <w:bookmarkStart w:id="446" w:name="_Toc151193780"/>
      <w:bookmarkStart w:id="447" w:name="_Toc151190165"/>
      <w:bookmarkStart w:id="448" w:name="_Toc150509289"/>
      <w:bookmarkStart w:id="449" w:name="_Toc151193926"/>
      <w:bookmarkStart w:id="450" w:name="_Toc150774638"/>
      <w:bookmarkStart w:id="451" w:name="_Toc226965728"/>
      <w:bookmarkStart w:id="452" w:name="_Toc226309782"/>
      <w:bookmarkStart w:id="453" w:name="_Toc305158806"/>
      <w:r>
        <w:rPr>
          <w:rFonts w:hint="eastAsia" w:ascii="Times New Roman" w:hAnsi="Times New Roman" w:eastAsia="宋体"/>
          <w:sz w:val="28"/>
        </w:rPr>
        <w:t>五</w:t>
      </w:r>
      <w:r>
        <w:rPr>
          <w:rFonts w:ascii="Times New Roman" w:hAnsi="Times New Roman" w:eastAsia="宋体"/>
          <w:sz w:val="28"/>
        </w:rPr>
        <w:t xml:space="preserve">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Times New Roman" w:hAnsi="Times New Roman" w:eastAsia="宋体"/>
          <w:sz w:val="28"/>
        </w:rPr>
        <w:t>评审</w:t>
      </w:r>
    </w:p>
    <w:p>
      <w:pPr>
        <w:numPr>
          <w:ilvl w:val="0"/>
          <w:numId w:val="8"/>
        </w:numPr>
        <w:tabs>
          <w:tab w:val="left" w:pos="360"/>
        </w:tabs>
        <w:snapToGrid w:val="0"/>
        <w:spacing w:line="360" w:lineRule="auto"/>
        <w:ind w:left="357" w:hanging="357"/>
        <w:outlineLvl w:val="1"/>
        <w:rPr>
          <w:sz w:val="24"/>
        </w:rPr>
      </w:pPr>
      <w:r>
        <w:rPr>
          <w:rFonts w:hint="eastAsia"/>
          <w:sz w:val="24"/>
        </w:rPr>
        <w:t>响应文件的开启</w:t>
      </w:r>
    </w:p>
    <w:p>
      <w:pPr>
        <w:numPr>
          <w:ilvl w:val="1"/>
          <w:numId w:val="8"/>
        </w:numPr>
        <w:tabs>
          <w:tab w:val="left" w:pos="1080"/>
          <w:tab w:val="left" w:pos="2014"/>
        </w:tabs>
        <w:snapToGrid w:val="0"/>
        <w:spacing w:line="360" w:lineRule="auto"/>
        <w:ind w:left="1077" w:hanging="720"/>
        <w:rPr>
          <w:sz w:val="24"/>
        </w:rPr>
      </w:pPr>
      <w:r>
        <w:rPr>
          <w:rFonts w:hint="eastAsia"/>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sz w:val="24"/>
        </w:rPr>
      </w:pPr>
      <w:r>
        <w:rPr>
          <w:rFonts w:hint="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sz w:val="24"/>
        </w:rPr>
      </w:pPr>
      <w:bookmarkStart w:id="454" w:name="_Toc520356165"/>
      <w:r>
        <w:rPr>
          <w:rFonts w:hint="eastAsia"/>
          <w:sz w:val="24"/>
        </w:rPr>
        <w:t>本项目不公开报价。</w:t>
      </w:r>
    </w:p>
    <w:bookmarkEnd w:id="454"/>
    <w:p>
      <w:pPr>
        <w:numPr>
          <w:ilvl w:val="0"/>
          <w:numId w:val="8"/>
        </w:numPr>
        <w:tabs>
          <w:tab w:val="left" w:pos="360"/>
        </w:tabs>
        <w:snapToGrid w:val="0"/>
        <w:spacing w:line="360" w:lineRule="auto"/>
        <w:ind w:left="357" w:hanging="357"/>
        <w:outlineLvl w:val="1"/>
        <w:rPr>
          <w:sz w:val="24"/>
        </w:rPr>
      </w:pPr>
      <w:r>
        <w:rPr>
          <w:rFonts w:hint="eastAsia"/>
          <w:sz w:val="24"/>
        </w:rPr>
        <w:t>磋商小组</w:t>
      </w:r>
    </w:p>
    <w:p>
      <w:pPr>
        <w:numPr>
          <w:ilvl w:val="1"/>
          <w:numId w:val="8"/>
        </w:numPr>
        <w:tabs>
          <w:tab w:val="left" w:pos="1080"/>
          <w:tab w:val="left" w:pos="2014"/>
        </w:tabs>
        <w:snapToGrid w:val="0"/>
        <w:spacing w:line="360" w:lineRule="auto"/>
        <w:ind w:left="1077" w:hanging="720"/>
        <w:rPr>
          <w:sz w:val="24"/>
        </w:rPr>
      </w:pPr>
      <w:r>
        <w:rPr>
          <w:rFonts w:hint="eastAsia"/>
          <w:sz w:val="24"/>
        </w:rPr>
        <w:t>磋商小组根据政府采购有关规定和本次采购项目的特点进行组建，并负责具体评审事务，独立履行职责。</w:t>
      </w:r>
      <w:bookmarkStart w:id="455" w:name="_Toc520356166"/>
    </w:p>
    <w:p>
      <w:pPr>
        <w:numPr>
          <w:ilvl w:val="1"/>
          <w:numId w:val="8"/>
        </w:numPr>
        <w:tabs>
          <w:tab w:val="left" w:pos="1080"/>
          <w:tab w:val="left" w:pos="2014"/>
        </w:tabs>
        <w:snapToGrid w:val="0"/>
        <w:spacing w:line="360" w:lineRule="auto"/>
        <w:ind w:left="1077" w:hanging="720"/>
        <w:rPr>
          <w:sz w:val="24"/>
        </w:rPr>
      </w:pPr>
      <w:r>
        <w:rPr>
          <w:rFonts w:hint="eastAsia"/>
          <w:sz w:val="24"/>
        </w:rPr>
        <w:t>评审专家须符合《财政部关于在政府采购活动中查询及使用信用记录有关问题的通知》（财库〔</w:t>
      </w:r>
      <w:r>
        <w:rPr>
          <w:sz w:val="24"/>
        </w:rPr>
        <w:t>2016</w:t>
      </w:r>
      <w:r>
        <w:rPr>
          <w:rFonts w:hint="eastAsia"/>
          <w:sz w:val="24"/>
        </w:rPr>
        <w:t>〕</w:t>
      </w:r>
      <w:r>
        <w:rPr>
          <w:sz w:val="24"/>
        </w:rPr>
        <w:t>125</w:t>
      </w:r>
      <w:r>
        <w:rPr>
          <w:rFonts w:hint="eastAsia"/>
          <w:sz w:val="24"/>
        </w:rPr>
        <w:t>号）的规定。依法自行选定评审专家的，采购人和采购代理机构将查询有关信用记录，对具有行贿、受贿、欺诈等不良信用记录的人员，拒绝其参与政府采购活动。</w:t>
      </w:r>
      <w:bookmarkEnd w:id="455"/>
      <w:bookmarkStart w:id="456" w:name="_Toc520356169"/>
    </w:p>
    <w:p>
      <w:pPr>
        <w:numPr>
          <w:ilvl w:val="0"/>
          <w:numId w:val="8"/>
        </w:numPr>
        <w:tabs>
          <w:tab w:val="left" w:pos="360"/>
        </w:tabs>
        <w:snapToGrid w:val="0"/>
        <w:spacing w:line="360" w:lineRule="auto"/>
        <w:outlineLvl w:val="1"/>
        <w:rPr>
          <w:sz w:val="24"/>
        </w:rPr>
      </w:pPr>
      <w:r>
        <w:rPr>
          <w:rFonts w:hint="eastAsia"/>
          <w:sz w:val="24"/>
        </w:rPr>
        <w:t>评审方法和评审标准</w:t>
      </w:r>
    </w:p>
    <w:p>
      <w:pPr>
        <w:numPr>
          <w:ilvl w:val="1"/>
          <w:numId w:val="8"/>
        </w:numPr>
        <w:tabs>
          <w:tab w:val="left" w:pos="1080"/>
          <w:tab w:val="left" w:pos="2014"/>
        </w:tabs>
        <w:snapToGrid w:val="0"/>
        <w:spacing w:line="360" w:lineRule="auto"/>
        <w:ind w:left="1077" w:hanging="720"/>
        <w:rPr>
          <w:sz w:val="24"/>
        </w:rPr>
      </w:pPr>
      <w:r>
        <w:rPr>
          <w:rFonts w:hint="eastAsia"/>
          <w:sz w:val="24"/>
        </w:rPr>
        <w:t>见第三章《评审方法和评审标准》。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457" w:name="_Toc151193859"/>
      <w:bookmarkStart w:id="458" w:name="_Toc150774750"/>
      <w:bookmarkStart w:id="459" w:name="_Toc151190172"/>
      <w:bookmarkStart w:id="460" w:name="_Toc195842910"/>
      <w:bookmarkStart w:id="461" w:name="_Toc151193787"/>
      <w:bookmarkStart w:id="462" w:name="_Toc265228383"/>
      <w:bookmarkStart w:id="463" w:name="_Toc150480783"/>
      <w:bookmarkStart w:id="464" w:name="_Toc142311047"/>
      <w:bookmarkStart w:id="465" w:name="_Toc226309789"/>
      <w:bookmarkStart w:id="466" w:name="_Toc150509296"/>
      <w:bookmarkStart w:id="467" w:name="_Toc151193933"/>
      <w:bookmarkStart w:id="468" w:name="_Toc305158887"/>
      <w:bookmarkStart w:id="469" w:name="_Toc150774645"/>
      <w:bookmarkStart w:id="470" w:name="_Toc226337241"/>
      <w:bookmarkStart w:id="471" w:name="_Toc264969235"/>
      <w:bookmarkStart w:id="472" w:name="_Toc305158813"/>
      <w:bookmarkStart w:id="473" w:name="_Toc226965735"/>
      <w:bookmarkStart w:id="474" w:name="_Toc151193643"/>
      <w:bookmarkStart w:id="475" w:name="_Toc226965818"/>
      <w:bookmarkStart w:id="476" w:name="_Toc127151545"/>
      <w:bookmarkStart w:id="477" w:name="_Toc151193715"/>
      <w:r>
        <w:rPr>
          <w:rFonts w:hint="eastAsia" w:ascii="Times New Roman" w:hAnsi="Times New Roman" w:eastAsia="宋体"/>
          <w:sz w:val="28"/>
        </w:rPr>
        <w:t>六</w:t>
      </w:r>
      <w:r>
        <w:rPr>
          <w:rFonts w:ascii="Times New Roman" w:hAnsi="Times New Roman" w:eastAsia="宋体"/>
          <w:sz w:val="28"/>
        </w:rPr>
        <w:t xml:space="preserve">   </w:t>
      </w:r>
      <w:bookmarkEnd w:id="456"/>
      <w:r>
        <w:rPr>
          <w:rFonts w:hint="eastAsia" w:ascii="Times New Roman" w:hAnsi="Times New Roman" w:eastAsia="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Times New Roman" w:hAnsi="Times New Roman" w:eastAsia="宋体"/>
          <w:sz w:val="28"/>
        </w:rPr>
        <w:t>成交</w:t>
      </w:r>
    </w:p>
    <w:p>
      <w:pPr>
        <w:numPr>
          <w:ilvl w:val="0"/>
          <w:numId w:val="8"/>
        </w:numPr>
        <w:tabs>
          <w:tab w:val="left" w:pos="360"/>
        </w:tabs>
        <w:snapToGrid w:val="0"/>
        <w:spacing w:line="360" w:lineRule="auto"/>
        <w:ind w:left="357" w:hanging="357"/>
        <w:outlineLvl w:val="1"/>
        <w:rPr>
          <w:sz w:val="24"/>
        </w:rPr>
      </w:pPr>
      <w:bookmarkStart w:id="478" w:name="_Toc226309791"/>
      <w:bookmarkStart w:id="479" w:name="_Toc164608661"/>
      <w:bookmarkStart w:id="480" w:name="_Toc151193861"/>
      <w:bookmarkStart w:id="481" w:name="_Toc195842912"/>
      <w:bookmarkStart w:id="482" w:name="_Toc226965820"/>
      <w:bookmarkStart w:id="483" w:name="_Toc149720840"/>
      <w:bookmarkStart w:id="484" w:name="_Toc150509298"/>
      <w:bookmarkStart w:id="485" w:name="_Toc142311049"/>
      <w:bookmarkStart w:id="486" w:name="_Toc127151547"/>
      <w:bookmarkStart w:id="487" w:name="_Toc226337243"/>
      <w:bookmarkStart w:id="488" w:name="_Toc264969237"/>
      <w:bookmarkStart w:id="489" w:name="_Toc127161461"/>
      <w:bookmarkStart w:id="490" w:name="_Toc164351641"/>
      <w:bookmarkStart w:id="491" w:name="_Toc226965737"/>
      <w:bookmarkStart w:id="492" w:name="_Toc151193789"/>
      <w:bookmarkStart w:id="493" w:name="_Toc150774647"/>
      <w:bookmarkStart w:id="494" w:name="_Toc164229242"/>
      <w:bookmarkStart w:id="495" w:name="_Toc265228385"/>
      <w:bookmarkStart w:id="496" w:name="_Toc151190174"/>
      <w:bookmarkStart w:id="497" w:name="_Toc164608816"/>
      <w:bookmarkStart w:id="498" w:name="_Toc305158889"/>
      <w:bookmarkStart w:id="499" w:name="_Toc151193717"/>
      <w:bookmarkStart w:id="500" w:name="_Toc151193935"/>
      <w:bookmarkStart w:id="501" w:name="_Toc151193645"/>
      <w:bookmarkStart w:id="502" w:name="_Toc150480785"/>
      <w:bookmarkStart w:id="503" w:name="_Toc305158815"/>
      <w:bookmarkStart w:id="504" w:name="_Toc164229388"/>
      <w:bookmarkStart w:id="505" w:name="_Toc150774752"/>
      <w:bookmarkStart w:id="506" w:name="_Toc127151748"/>
      <w:r>
        <w:rPr>
          <w:rFonts w:hint="eastAsia"/>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8"/>
        </w:numPr>
        <w:tabs>
          <w:tab w:val="left" w:pos="1080"/>
          <w:tab w:val="left" w:pos="2014"/>
        </w:tabs>
        <w:snapToGrid w:val="0"/>
        <w:spacing w:line="360" w:lineRule="auto"/>
        <w:ind w:left="1077" w:hanging="720"/>
        <w:rPr>
          <w:sz w:val="24"/>
        </w:rPr>
      </w:pPr>
      <w:r>
        <w:rPr>
          <w:rFonts w:hint="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sz w:val="24"/>
        </w:rPr>
      </w:pPr>
      <w:bookmarkStart w:id="507" w:name="_Toc305158891"/>
      <w:bookmarkStart w:id="508" w:name="_Toc305158817"/>
      <w:bookmarkStart w:id="509" w:name="_Toc151193647"/>
      <w:bookmarkStart w:id="510" w:name="_Toc127151549"/>
      <w:bookmarkStart w:id="511" w:name="_Toc150480787"/>
      <w:bookmarkStart w:id="512" w:name="_Toc150509300"/>
      <w:bookmarkStart w:id="513" w:name="_Toc164229244"/>
      <w:bookmarkStart w:id="514" w:name="_Toc226309793"/>
      <w:bookmarkStart w:id="515" w:name="_Toc149720842"/>
      <w:bookmarkStart w:id="516" w:name="_Toc264969239"/>
      <w:bookmarkStart w:id="517" w:name="_Toc151190176"/>
      <w:bookmarkStart w:id="518" w:name="_Toc150774754"/>
      <w:bookmarkStart w:id="519" w:name="_Toc150774649"/>
      <w:bookmarkStart w:id="520" w:name="_Toc127161463"/>
      <w:bookmarkStart w:id="521" w:name="_Toc195842914"/>
      <w:bookmarkStart w:id="522" w:name="_Toc142311051"/>
      <w:bookmarkStart w:id="523" w:name="_Toc151193863"/>
      <w:bookmarkStart w:id="524" w:name="_Toc164229390"/>
      <w:bookmarkStart w:id="525" w:name="_Toc151193791"/>
      <w:bookmarkStart w:id="526" w:name="_Toc226965822"/>
      <w:bookmarkStart w:id="527" w:name="_Toc164608818"/>
      <w:bookmarkStart w:id="528" w:name="_Toc164608663"/>
      <w:bookmarkStart w:id="529" w:name="_Toc265228387"/>
      <w:bookmarkStart w:id="530" w:name="_Toc164351643"/>
      <w:bookmarkStart w:id="531" w:name="_Toc226965739"/>
      <w:bookmarkStart w:id="532" w:name="_Toc151193937"/>
      <w:bookmarkStart w:id="533" w:name="_Toc226337245"/>
      <w:bookmarkStart w:id="534" w:name="_Toc151193719"/>
      <w:bookmarkStart w:id="535" w:name="_Toc127151750"/>
      <w:bookmarkStart w:id="536" w:name="_Ref467306425"/>
      <w:bookmarkStart w:id="537" w:name="_Toc520356176"/>
      <w:bookmarkStart w:id="538" w:name="_Ref467307090"/>
      <w:r>
        <w:rPr>
          <w:rFonts w:hint="eastAsia"/>
          <w:sz w:val="24"/>
        </w:rPr>
        <w:t>成交公告与成交通知书</w:t>
      </w:r>
      <w:bookmarkEnd w:id="507"/>
      <w:bookmarkEnd w:id="508"/>
    </w:p>
    <w:p>
      <w:pPr>
        <w:numPr>
          <w:ilvl w:val="1"/>
          <w:numId w:val="8"/>
        </w:numPr>
        <w:tabs>
          <w:tab w:val="left" w:pos="1080"/>
          <w:tab w:val="left" w:pos="2014"/>
        </w:tabs>
        <w:snapToGrid w:val="0"/>
        <w:spacing w:line="360" w:lineRule="auto"/>
        <w:ind w:left="1077" w:hanging="720"/>
        <w:rPr>
          <w:sz w:val="24"/>
        </w:rPr>
      </w:pPr>
      <w:r>
        <w:rPr>
          <w:rFonts w:hint="eastAsia"/>
          <w:sz w:val="24"/>
        </w:rPr>
        <w:t>采购人或采购代理机构将</w:t>
      </w:r>
      <w:r>
        <w:rPr>
          <w:rFonts w:hint="eastAsia"/>
          <w:kern w:val="0"/>
          <w:sz w:val="24"/>
        </w:rPr>
        <w:t>在成交供应商确定后</w:t>
      </w:r>
      <w:r>
        <w:rPr>
          <w:kern w:val="0"/>
          <w:sz w:val="24"/>
        </w:rPr>
        <w:t>2</w:t>
      </w:r>
      <w:r>
        <w:rPr>
          <w:rFonts w:hint="eastAsia"/>
          <w:kern w:val="0"/>
          <w:sz w:val="24"/>
        </w:rPr>
        <w:t>个工作日内，在</w:t>
      </w:r>
      <w:r>
        <w:rPr>
          <w:rFonts w:hint="eastAsia"/>
          <w:sz w:val="24"/>
        </w:rPr>
        <w:t>北京市政府采购网</w:t>
      </w:r>
      <w:r>
        <w:rPr>
          <w:rFonts w:hint="eastAsia"/>
          <w:kern w:val="0"/>
          <w:sz w:val="24"/>
        </w:rPr>
        <w:t>公告成交结果，同时向成交供应商发出成交通知书，</w:t>
      </w:r>
      <w:r>
        <w:rPr>
          <w:rFonts w:hint="eastAsia"/>
          <w:sz w:val="24"/>
        </w:rPr>
        <w:t>成交公告期限为</w:t>
      </w:r>
      <w:r>
        <w:rPr>
          <w:sz w:val="24"/>
        </w:rPr>
        <w:t>1</w:t>
      </w:r>
      <w:r>
        <w:rPr>
          <w:rFonts w:hint="eastAsia"/>
          <w:sz w:val="24"/>
        </w:rPr>
        <w:t>个工作日。</w:t>
      </w:r>
    </w:p>
    <w:p>
      <w:pPr>
        <w:numPr>
          <w:ilvl w:val="1"/>
          <w:numId w:val="8"/>
        </w:numPr>
        <w:tabs>
          <w:tab w:val="left" w:pos="1080"/>
          <w:tab w:val="left" w:pos="2014"/>
        </w:tabs>
        <w:snapToGrid w:val="0"/>
        <w:spacing w:line="360" w:lineRule="auto"/>
        <w:ind w:left="1080" w:hanging="720"/>
        <w:rPr>
          <w:sz w:val="24"/>
        </w:rPr>
      </w:pPr>
      <w:r>
        <w:rPr>
          <w:rFonts w:hint="eastAsia"/>
          <w:sz w:val="24"/>
        </w:rPr>
        <w:t>成交通知书是合同的组成部分，对采购人和成交供应商具有同等法律效力。成交通知书发出后，采购人改变成交结果的，或者成交供应商放弃成交项目的，将依法承担法律责任。</w:t>
      </w:r>
    </w:p>
    <w:p>
      <w:pPr>
        <w:spacing w:line="360" w:lineRule="auto"/>
        <w:ind w:firstLine="240" w:firstLineChars="100"/>
        <w:outlineLvl w:val="2"/>
        <w:rPr>
          <w:rFonts w:ascii="宋体" w:hAnsi="宋体"/>
          <w:sz w:val="24"/>
        </w:rPr>
      </w:pPr>
      <w:bookmarkStart w:id="539" w:name="_Toc244784003"/>
      <w:bookmarkStart w:id="540" w:name="_Toc245535034"/>
      <w:bookmarkStart w:id="541" w:name="_Toc271556366"/>
      <w:bookmarkStart w:id="542" w:name="_Toc283633552"/>
      <w:bookmarkStart w:id="543" w:name="_Toc244767839"/>
      <w:bookmarkStart w:id="544" w:name="_Toc31625891"/>
      <w:bookmarkStart w:id="545" w:name="_Toc248318014"/>
      <w:bookmarkStart w:id="546" w:name="_Toc248319447"/>
      <w:r>
        <w:rPr>
          <w:rFonts w:hint="eastAsia" w:ascii="宋体" w:hAnsi="宋体"/>
          <w:sz w:val="24"/>
        </w:rPr>
        <w:t>20.3复核</w:t>
      </w:r>
      <w:bookmarkEnd w:id="539"/>
      <w:bookmarkEnd w:id="540"/>
      <w:bookmarkEnd w:id="541"/>
      <w:bookmarkEnd w:id="542"/>
      <w:bookmarkEnd w:id="543"/>
      <w:bookmarkEnd w:id="544"/>
      <w:bookmarkEnd w:id="545"/>
      <w:bookmarkEnd w:id="546"/>
    </w:p>
    <w:p>
      <w:pPr>
        <w:spacing w:line="360" w:lineRule="auto"/>
        <w:ind w:left="900"/>
        <w:rPr>
          <w:rFonts w:ascii="宋体" w:hAnsi="宋体"/>
          <w:sz w:val="24"/>
        </w:rPr>
      </w:pPr>
      <w:r>
        <w:rPr>
          <w:rFonts w:hint="eastAsia" w:ascii="宋体" w:hAnsi="宋体"/>
          <w:sz w:val="24"/>
        </w:rPr>
        <w:t>20.3.1必要时，采购人可对推荐的投标人进行复核。复核的内容是对投标人及其提交的投标文件及澄清文件进行核实，并在必要时可对投标人进行实地考察。</w:t>
      </w:r>
    </w:p>
    <w:p>
      <w:pPr>
        <w:spacing w:line="360" w:lineRule="auto"/>
        <w:ind w:left="900"/>
        <w:rPr>
          <w:rFonts w:ascii="宋体" w:hAnsi="宋体"/>
          <w:sz w:val="24"/>
        </w:rPr>
      </w:pPr>
      <w:r>
        <w:rPr>
          <w:rFonts w:hint="eastAsia" w:ascii="宋体" w:hAnsi="宋体"/>
          <w:sz w:val="24"/>
        </w:rPr>
        <w:t>20.3.2投标人必须如实回答采购人的询问并按采购人要求接受考察，并提供采购人所需的协助和资料。</w:t>
      </w:r>
    </w:p>
    <w:p>
      <w:pPr>
        <w:spacing w:line="360" w:lineRule="auto"/>
        <w:ind w:left="900"/>
        <w:rPr>
          <w:rFonts w:ascii="宋体" w:hAnsi="宋体"/>
          <w:sz w:val="24"/>
        </w:rPr>
      </w:pPr>
      <w:r>
        <w:rPr>
          <w:rFonts w:hint="eastAsia" w:ascii="宋体" w:hAnsi="宋体"/>
          <w:sz w:val="24"/>
        </w:rPr>
        <w:t>20.3.3如果复核通过，则将合同授予该投标人；如果复核没通过，采购人将把审查结果通知评标委员会，并根据上述评审程序重新审定评比结果。</w:t>
      </w:r>
    </w:p>
    <w:p>
      <w:pPr>
        <w:numPr>
          <w:ilvl w:val="0"/>
          <w:numId w:val="8"/>
        </w:numPr>
        <w:tabs>
          <w:tab w:val="left" w:pos="360"/>
        </w:tabs>
        <w:snapToGrid w:val="0"/>
        <w:spacing w:line="360" w:lineRule="auto"/>
        <w:ind w:left="357" w:hanging="357"/>
        <w:outlineLvl w:val="1"/>
        <w:rPr>
          <w:sz w:val="24"/>
        </w:rPr>
      </w:pPr>
      <w:r>
        <w:rPr>
          <w:rFonts w:hint="eastAsia"/>
          <w:sz w:val="24"/>
        </w:rPr>
        <w:t>终止</w:t>
      </w:r>
    </w:p>
    <w:p>
      <w:pPr>
        <w:numPr>
          <w:ilvl w:val="1"/>
          <w:numId w:val="8"/>
        </w:numPr>
        <w:tabs>
          <w:tab w:val="left" w:pos="1080"/>
          <w:tab w:val="left" w:pos="2014"/>
        </w:tabs>
        <w:snapToGrid w:val="0"/>
        <w:spacing w:line="360" w:lineRule="auto"/>
        <w:ind w:left="1077" w:hanging="720"/>
        <w:rPr>
          <w:sz w:val="24"/>
        </w:rPr>
      </w:pPr>
      <w:r>
        <w:rPr>
          <w:rFonts w:hint="eastAsia"/>
          <w:sz w:val="24"/>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sz w:val="24"/>
        </w:rPr>
      </w:pPr>
      <w:r>
        <w:rPr>
          <w:rFonts w:hint="eastAsia"/>
          <w:sz w:val="24"/>
        </w:rPr>
        <w:t>因情况变化，不再符合规定的竞争性磋商采购方式适用情形的；</w:t>
      </w:r>
    </w:p>
    <w:p>
      <w:pPr>
        <w:numPr>
          <w:ilvl w:val="2"/>
          <w:numId w:val="8"/>
        </w:numPr>
        <w:snapToGrid w:val="0"/>
        <w:spacing w:line="360" w:lineRule="auto"/>
        <w:rPr>
          <w:sz w:val="24"/>
        </w:rPr>
      </w:pPr>
      <w:r>
        <w:rPr>
          <w:rFonts w:hint="eastAsia"/>
          <w:sz w:val="24"/>
        </w:rPr>
        <w:t>出现影响采购公正的违法、违规行为的；</w:t>
      </w:r>
    </w:p>
    <w:p>
      <w:pPr>
        <w:numPr>
          <w:ilvl w:val="2"/>
          <w:numId w:val="8"/>
        </w:numPr>
        <w:snapToGrid w:val="0"/>
        <w:spacing w:line="360" w:lineRule="auto"/>
        <w:rPr>
          <w:snapToGrid w:val="0"/>
          <w:kern w:val="0"/>
          <w:sz w:val="24"/>
          <w:szCs w:val="20"/>
        </w:rPr>
      </w:pPr>
      <w:r>
        <w:rPr>
          <w:rFonts w:hint="eastAsia"/>
          <w:snapToGrid w:val="0"/>
          <w:kern w:val="0"/>
          <w:sz w:val="24"/>
          <w:szCs w:val="20"/>
        </w:rPr>
        <w:t>除了</w:t>
      </w:r>
      <w:r>
        <w:rPr>
          <w:snapToGrid w:val="0"/>
          <w:kern w:val="0"/>
          <w:sz w:val="24"/>
          <w:szCs w:val="20"/>
        </w:rPr>
        <w:t>“</w:t>
      </w:r>
      <w:r>
        <w:rPr>
          <w:rFonts w:hint="eastAsia"/>
          <w:snapToGrid w:val="0"/>
          <w:kern w:val="0"/>
          <w:sz w:val="24"/>
          <w:szCs w:val="20"/>
        </w:rPr>
        <w:t>市场竞争不充分的科研项目，以及需要扶持的科技成果转化项目，提交最后报价的供应商可以为</w:t>
      </w:r>
      <w:r>
        <w:rPr>
          <w:snapToGrid w:val="0"/>
          <w:kern w:val="0"/>
          <w:sz w:val="24"/>
          <w:szCs w:val="20"/>
        </w:rPr>
        <w:t>2</w:t>
      </w:r>
      <w:r>
        <w:rPr>
          <w:rFonts w:hint="eastAsia"/>
          <w:snapToGrid w:val="0"/>
          <w:kern w:val="0"/>
          <w:sz w:val="24"/>
          <w:szCs w:val="20"/>
        </w:rPr>
        <w:t>家；政府购买服务项目（含政府和社会资本合作项目），在采购过程中符合要求的供应商（社会资本）只有</w:t>
      </w:r>
      <w:r>
        <w:rPr>
          <w:snapToGrid w:val="0"/>
          <w:kern w:val="0"/>
          <w:sz w:val="24"/>
          <w:szCs w:val="20"/>
        </w:rPr>
        <w:t>2</w:t>
      </w:r>
      <w:r>
        <w:rPr>
          <w:rFonts w:hint="eastAsia"/>
          <w:snapToGrid w:val="0"/>
          <w:kern w:val="0"/>
          <w:sz w:val="24"/>
          <w:szCs w:val="20"/>
        </w:rPr>
        <w:t>家的，竞争性磋商采购活动可以继续进行</w:t>
      </w:r>
      <w:r>
        <w:rPr>
          <w:snapToGrid w:val="0"/>
          <w:kern w:val="0"/>
          <w:sz w:val="24"/>
          <w:szCs w:val="20"/>
        </w:rPr>
        <w:t>”</w:t>
      </w:r>
      <w:r>
        <w:rPr>
          <w:rFonts w:hint="eastAsia"/>
          <w:snapToGrid w:val="0"/>
          <w:kern w:val="0"/>
          <w:sz w:val="24"/>
          <w:szCs w:val="20"/>
        </w:rPr>
        <w:t>的情形外，在采购过程中符合要求的供应商或者报价未超过采购预算的供应商不足</w:t>
      </w:r>
      <w:r>
        <w:rPr>
          <w:snapToGrid w:val="0"/>
          <w:kern w:val="0"/>
          <w:sz w:val="24"/>
          <w:szCs w:val="20"/>
        </w:rPr>
        <w:t>3</w:t>
      </w:r>
      <w:r>
        <w:rPr>
          <w:rFonts w:hint="eastAsia"/>
          <w:snapToGrid w:val="0"/>
          <w:kern w:val="0"/>
          <w:sz w:val="24"/>
          <w:szCs w:val="20"/>
        </w:rPr>
        <w:t>家的。</w:t>
      </w:r>
    </w:p>
    <w:p>
      <w:pPr>
        <w:spacing w:line="360" w:lineRule="auto"/>
        <w:ind w:left="2010" w:leftChars="500" w:hanging="960" w:hangingChars="400"/>
        <w:outlineLvl w:val="2"/>
        <w:rPr>
          <w:rFonts w:ascii="宋体" w:hAnsi="宋体"/>
          <w:sz w:val="24"/>
        </w:rPr>
      </w:pPr>
      <w:r>
        <w:rPr>
          <w:rFonts w:hint="eastAsia" w:ascii="宋体" w:hAnsi="宋体"/>
          <w:sz w:val="24"/>
        </w:rPr>
        <w:t>21.1.4 拒绝所有投标：采购人保留发出中标通知书之前任何时候接受或拒绝任何投标或拒绝所有投标的权利，对受影响的投标人不承担任何责任，也无义务向受影响的投标人解释采取这一行动的理由。</w:t>
      </w:r>
    </w:p>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Pr>
        <w:numPr>
          <w:ilvl w:val="0"/>
          <w:numId w:val="8"/>
        </w:numPr>
        <w:tabs>
          <w:tab w:val="left" w:pos="360"/>
        </w:tabs>
        <w:snapToGrid w:val="0"/>
        <w:spacing w:line="360" w:lineRule="auto"/>
        <w:ind w:left="357" w:hanging="357"/>
        <w:outlineLvl w:val="1"/>
        <w:rPr>
          <w:sz w:val="24"/>
        </w:rPr>
      </w:pPr>
      <w:bookmarkStart w:id="547" w:name="_Ref467307062"/>
      <w:bookmarkStart w:id="548" w:name="_Toc151193938"/>
      <w:bookmarkStart w:id="549" w:name="_Toc150774650"/>
      <w:bookmarkStart w:id="550" w:name="_Toc195842915"/>
      <w:bookmarkStart w:id="551" w:name="_Toc127151751"/>
      <w:bookmarkStart w:id="552" w:name="_Toc164229245"/>
      <w:bookmarkStart w:id="553" w:name="_Toc151193720"/>
      <w:bookmarkStart w:id="554" w:name="_Toc226337246"/>
      <w:bookmarkStart w:id="555" w:name="_Toc164229391"/>
      <w:bookmarkStart w:id="556" w:name="_Toc164608819"/>
      <w:bookmarkStart w:id="557" w:name="_Toc226309794"/>
      <w:bookmarkStart w:id="558" w:name="_Toc127161464"/>
      <w:bookmarkStart w:id="559" w:name="_Toc149720843"/>
      <w:bookmarkStart w:id="560" w:name="_Toc127151550"/>
      <w:bookmarkStart w:id="561" w:name="_Ref467306978"/>
      <w:bookmarkStart w:id="562" w:name="_Toc305158818"/>
      <w:bookmarkStart w:id="563" w:name="_Toc264969240"/>
      <w:bookmarkStart w:id="564" w:name="_Toc150509301"/>
      <w:bookmarkStart w:id="565" w:name="_Toc520356175"/>
      <w:bookmarkStart w:id="566" w:name="_Toc151193792"/>
      <w:bookmarkStart w:id="567" w:name="_Ref467306377"/>
      <w:bookmarkStart w:id="568" w:name="_Toc151193648"/>
      <w:bookmarkStart w:id="569" w:name="_Toc305158892"/>
      <w:bookmarkStart w:id="570" w:name="_Toc164351644"/>
      <w:bookmarkStart w:id="571" w:name="_Toc142311052"/>
      <w:bookmarkStart w:id="572" w:name="_Toc226965823"/>
      <w:bookmarkStart w:id="573" w:name="_Toc265228388"/>
      <w:bookmarkStart w:id="574" w:name="_Ref467307204"/>
      <w:bookmarkStart w:id="575" w:name="_Toc150480788"/>
      <w:bookmarkStart w:id="576" w:name="_Toc151190177"/>
      <w:bookmarkStart w:id="577" w:name="_Toc150774755"/>
      <w:bookmarkStart w:id="578" w:name="_Toc164608664"/>
      <w:bookmarkStart w:id="579" w:name="_Toc226965740"/>
      <w:bookmarkStart w:id="580" w:name="_Toc151193864"/>
      <w:r>
        <w:rPr>
          <w:rFonts w:hint="eastAsia"/>
          <w:sz w:val="24"/>
        </w:rPr>
        <w:t>签订合同</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pPr>
        <w:numPr>
          <w:ilvl w:val="1"/>
          <w:numId w:val="8"/>
        </w:numPr>
        <w:tabs>
          <w:tab w:val="left" w:pos="1080"/>
          <w:tab w:val="left" w:pos="2014"/>
        </w:tabs>
        <w:snapToGrid w:val="0"/>
        <w:spacing w:line="360" w:lineRule="auto"/>
        <w:ind w:left="1077" w:hanging="720"/>
        <w:rPr>
          <w:sz w:val="24"/>
        </w:rPr>
      </w:pPr>
      <w:r>
        <w:rPr>
          <w:rFonts w:hint="eastAsia"/>
          <w:sz w:val="24"/>
        </w:rPr>
        <w:t>采购人与成交供应商将在成交通知书发出之日起</w:t>
      </w:r>
      <w:r>
        <w:rPr>
          <w:sz w:val="24"/>
        </w:rPr>
        <w:t>30</w:t>
      </w:r>
      <w:r>
        <w:rPr>
          <w:rFonts w:hint="eastAsia"/>
          <w:sz w:val="24"/>
        </w:rPr>
        <w:t>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sz w:val="24"/>
        </w:rPr>
      </w:pPr>
      <w:r>
        <w:rPr>
          <w:rFonts w:hint="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sz w:val="24"/>
        </w:rPr>
      </w:pPr>
      <w:r>
        <w:rPr>
          <w:rFonts w:hint="eastAsia"/>
          <w:sz w:val="24"/>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1077" w:hanging="720"/>
        <w:rPr>
          <w:sz w:val="24"/>
        </w:rPr>
      </w:pPr>
      <w:r>
        <w:rPr>
          <w:rFonts w:hint="eastAsia"/>
          <w:sz w:val="24"/>
        </w:rPr>
        <w:t>政府采购合同不能转包。</w:t>
      </w:r>
    </w:p>
    <w:p>
      <w:pPr>
        <w:numPr>
          <w:ilvl w:val="1"/>
          <w:numId w:val="8"/>
        </w:numPr>
        <w:tabs>
          <w:tab w:val="left" w:pos="1080"/>
          <w:tab w:val="left" w:pos="2014"/>
        </w:tabs>
        <w:snapToGrid w:val="0"/>
        <w:spacing w:line="360" w:lineRule="auto"/>
        <w:ind w:left="1077" w:hanging="720"/>
        <w:rPr>
          <w:sz w:val="24"/>
        </w:rPr>
      </w:pPr>
      <w:r>
        <w:rPr>
          <w:rFonts w:hint="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b/>
          <w:sz w:val="24"/>
        </w:rPr>
        <w:t>否则响应无效</w:t>
      </w:r>
      <w:r>
        <w:rPr>
          <w:rFonts w:hint="eastAsia"/>
          <w:sz w:val="24"/>
        </w:rPr>
        <w:t>。成交供应商就采购项目和分包项目向采购人负责，分包供应商就分包项目承担责任。</w:t>
      </w:r>
    </w:p>
    <w:bookmarkEnd w:id="536"/>
    <w:bookmarkEnd w:id="537"/>
    <w:bookmarkEnd w:id="538"/>
    <w:p>
      <w:pPr>
        <w:numPr>
          <w:ilvl w:val="0"/>
          <w:numId w:val="8"/>
        </w:numPr>
        <w:tabs>
          <w:tab w:val="left" w:pos="360"/>
        </w:tabs>
        <w:snapToGrid w:val="0"/>
        <w:spacing w:line="360" w:lineRule="auto"/>
        <w:ind w:left="357" w:hanging="357"/>
        <w:outlineLvl w:val="1"/>
        <w:rPr>
          <w:sz w:val="24"/>
        </w:rPr>
      </w:pPr>
      <w:r>
        <w:rPr>
          <w:rFonts w:hint="eastAsia"/>
          <w:sz w:val="24"/>
        </w:rPr>
        <w:t>询问与质疑</w:t>
      </w:r>
    </w:p>
    <w:p>
      <w:pPr>
        <w:numPr>
          <w:ilvl w:val="1"/>
          <w:numId w:val="8"/>
        </w:numPr>
        <w:tabs>
          <w:tab w:val="left" w:pos="1080"/>
          <w:tab w:val="left" w:pos="2014"/>
        </w:tabs>
        <w:snapToGrid w:val="0"/>
        <w:spacing w:line="360" w:lineRule="auto"/>
        <w:ind w:left="1077" w:hanging="720"/>
        <w:rPr>
          <w:sz w:val="24"/>
        </w:rPr>
      </w:pPr>
      <w:r>
        <w:rPr>
          <w:rFonts w:hint="eastAsia"/>
          <w:sz w:val="24"/>
        </w:rPr>
        <w:t>询问</w:t>
      </w:r>
    </w:p>
    <w:p>
      <w:pPr>
        <w:numPr>
          <w:ilvl w:val="2"/>
          <w:numId w:val="8"/>
        </w:numPr>
        <w:snapToGrid w:val="0"/>
        <w:spacing w:line="360" w:lineRule="auto"/>
        <w:rPr>
          <w:sz w:val="24"/>
        </w:rPr>
      </w:pPr>
      <w:r>
        <w:rPr>
          <w:rFonts w:hint="eastAsia"/>
          <w:sz w:val="24"/>
        </w:rPr>
        <w:t>供应商对政府采购活动事项有疑问的，可依法提出询问，并按《供应商须知资料表》载明的形式送达采购人或采购代理机构。</w:t>
      </w:r>
    </w:p>
    <w:p>
      <w:pPr>
        <w:numPr>
          <w:ilvl w:val="2"/>
          <w:numId w:val="8"/>
        </w:numPr>
        <w:snapToGrid w:val="0"/>
        <w:spacing w:line="360" w:lineRule="auto"/>
        <w:rPr>
          <w:sz w:val="24"/>
        </w:rPr>
      </w:pPr>
      <w:r>
        <w:rPr>
          <w:rFonts w:hint="eastAsia"/>
          <w:sz w:val="24"/>
        </w:rPr>
        <w:t>采购人或采购代理机构对供应商依法提出的询问，在</w:t>
      </w:r>
      <w:r>
        <w:rPr>
          <w:sz w:val="24"/>
        </w:rPr>
        <w:t>3</w:t>
      </w:r>
      <w:r>
        <w:rPr>
          <w:rFonts w:hint="eastAsia"/>
          <w:sz w:val="24"/>
        </w:rPr>
        <w:t>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rFonts w:hint="eastAsia"/>
          <w:sz w:val="24"/>
        </w:rPr>
        <w:t>质疑</w:t>
      </w:r>
    </w:p>
    <w:p>
      <w:pPr>
        <w:numPr>
          <w:ilvl w:val="2"/>
          <w:numId w:val="8"/>
        </w:numPr>
        <w:snapToGrid w:val="0"/>
        <w:spacing w:line="360" w:lineRule="auto"/>
        <w:rPr>
          <w:sz w:val="24"/>
        </w:rPr>
      </w:pPr>
      <w:r>
        <w:rPr>
          <w:rFonts w:hint="eastAsia"/>
          <w:sz w:val="24"/>
        </w:rPr>
        <w:t>供应商认为竞争性磋商文件存在疑问的，需在磋商前提出异议，认为采购过程、成交结果使自己的权益受到损害的，可以在知道或者应知其权益受到损害之日起</w:t>
      </w:r>
      <w:r>
        <w:rPr>
          <w:sz w:val="24"/>
        </w:rPr>
        <w:t>7</w:t>
      </w:r>
      <w:r>
        <w:rPr>
          <w:rFonts w:hint="eastAsia"/>
          <w:sz w:val="24"/>
        </w:rPr>
        <w:t>个工作日内，由供应商派授权代表以书面形式向采购人、采购代理机构提出质疑。采购人、采购代理机构在收到质疑函后</w:t>
      </w:r>
      <w:r>
        <w:rPr>
          <w:sz w:val="24"/>
        </w:rPr>
        <w:t>7</w:t>
      </w:r>
      <w:r>
        <w:rPr>
          <w:rFonts w:hint="eastAsia"/>
          <w:sz w:val="24"/>
        </w:rPr>
        <w:t>个工作日内作出答复。</w:t>
      </w:r>
    </w:p>
    <w:p>
      <w:pPr>
        <w:numPr>
          <w:ilvl w:val="2"/>
          <w:numId w:val="8"/>
        </w:numPr>
        <w:snapToGrid w:val="0"/>
        <w:spacing w:line="360" w:lineRule="auto"/>
        <w:rPr>
          <w:sz w:val="24"/>
        </w:rPr>
      </w:pPr>
      <w:r>
        <w:rPr>
          <w:rFonts w:hint="eastAsia"/>
          <w:sz w:val="24"/>
        </w:rPr>
        <w:t>质疑函须使用财政部制定的范本文件。</w:t>
      </w:r>
    </w:p>
    <w:p>
      <w:pPr>
        <w:numPr>
          <w:ilvl w:val="2"/>
          <w:numId w:val="8"/>
        </w:numPr>
        <w:snapToGrid w:val="0"/>
        <w:spacing w:line="360" w:lineRule="auto"/>
        <w:rPr>
          <w:sz w:val="24"/>
        </w:rPr>
      </w:pPr>
      <w:r>
        <w:rPr>
          <w:rFonts w:hint="eastAsia"/>
          <w:sz w:val="24"/>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rFonts w:hint="eastAsia"/>
          <w:sz w:val="24"/>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sz w:val="24"/>
        </w:rPr>
      </w:pPr>
      <w:r>
        <w:rPr>
          <w:rFonts w:hint="eastAsia"/>
          <w:sz w:val="24"/>
        </w:rPr>
        <w:t>代理费</w:t>
      </w:r>
    </w:p>
    <w:p>
      <w:pPr>
        <w:numPr>
          <w:ilvl w:val="1"/>
          <w:numId w:val="8"/>
        </w:numPr>
        <w:tabs>
          <w:tab w:val="left" w:pos="1080"/>
          <w:tab w:val="left" w:pos="2014"/>
        </w:tabs>
        <w:snapToGrid w:val="0"/>
        <w:spacing w:line="360" w:lineRule="auto"/>
        <w:ind w:left="1077" w:hanging="720"/>
        <w:rPr>
          <w:sz w:val="24"/>
        </w:rPr>
      </w:pPr>
      <w:r>
        <w:rPr>
          <w:rFonts w:hint="eastAsia"/>
          <w:sz w:val="24"/>
        </w:rPr>
        <w:t>收费对象、收费标准及缴纳时间见《供应商须知资料表》。由成交供应商支付的，成交供应商须一次性向采购代理机构缴纳代理费，报价应包含代理费用和评审费。</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r>
        <w:rPr>
          <w:sz w:val="24"/>
        </w:rPr>
        <w:br w:type="page"/>
      </w:r>
      <w:bookmarkStart w:id="581" w:name="_Toc353825544"/>
      <w:bookmarkStart w:id="582" w:name="_Toc305158896"/>
      <w:bookmarkStart w:id="583" w:name="_Toc353873664"/>
      <w:bookmarkStart w:id="584" w:name="_Toc150480792"/>
      <w:bookmarkStart w:id="585" w:name="_Toc264969244"/>
      <w:bookmarkStart w:id="586" w:name="_Toc353873934"/>
      <w:bookmarkStart w:id="587" w:name="_Toc226337250"/>
      <w:bookmarkStart w:id="588" w:name="_Toc226965827"/>
      <w:bookmarkStart w:id="589" w:name="_Toc142311056"/>
      <w:bookmarkStart w:id="590" w:name="_Toc305158822"/>
      <w:bookmarkStart w:id="591" w:name="_Toc150774759"/>
      <w:bookmarkStart w:id="592" w:name="_Toc127151554"/>
      <w:bookmarkStart w:id="593" w:name="_Toc265228392"/>
      <w:bookmarkStart w:id="594" w:name="_Toc97371943"/>
      <w:r>
        <w:rPr>
          <w:rFonts w:hint="eastAsia"/>
          <w:b/>
          <w:sz w:val="36"/>
          <w:szCs w:val="36"/>
        </w:rPr>
        <w:t>第三章</w:t>
      </w:r>
      <w:r>
        <w:rPr>
          <w:b/>
          <w:sz w:val="36"/>
          <w:szCs w:val="36"/>
        </w:rPr>
        <w:t xml:space="preserve">   </w:t>
      </w:r>
      <w:bookmarkEnd w:id="581"/>
      <w:bookmarkEnd w:id="582"/>
      <w:bookmarkEnd w:id="583"/>
      <w:bookmarkEnd w:id="584"/>
      <w:bookmarkEnd w:id="585"/>
      <w:bookmarkEnd w:id="586"/>
      <w:bookmarkEnd w:id="587"/>
      <w:bookmarkEnd w:id="588"/>
      <w:bookmarkEnd w:id="589"/>
      <w:bookmarkEnd w:id="590"/>
      <w:bookmarkEnd w:id="591"/>
      <w:bookmarkEnd w:id="592"/>
      <w:bookmarkEnd w:id="593"/>
      <w:r>
        <w:rPr>
          <w:rFonts w:hint="eastAsia"/>
          <w:b/>
          <w:sz w:val="36"/>
          <w:szCs w:val="36"/>
        </w:rPr>
        <w:t>评审方法和评审标准</w:t>
      </w:r>
      <w:bookmarkEnd w:id="594"/>
      <w:bookmarkStart w:id="595" w:name="_Toc487900382"/>
    </w:p>
    <w:p>
      <w:pPr>
        <w:pStyle w:val="4"/>
        <w:spacing w:before="0" w:line="360" w:lineRule="auto"/>
        <w:rPr>
          <w:rFonts w:ascii="Times New Roman" w:hAnsi="Times New Roman" w:eastAsia="宋体"/>
          <w:sz w:val="24"/>
          <w:szCs w:val="24"/>
        </w:rPr>
      </w:pPr>
      <w:r>
        <w:rPr>
          <w:rFonts w:hint="eastAsia" w:ascii="Times New Roman" w:hAnsi="Times New Roman" w:eastAsia="宋体"/>
          <w:sz w:val="24"/>
          <w:szCs w:val="24"/>
        </w:rPr>
        <w:t>一、资格审查程序</w:t>
      </w:r>
    </w:p>
    <w:p>
      <w:pPr>
        <w:tabs>
          <w:tab w:val="left" w:pos="1080"/>
        </w:tabs>
        <w:snapToGrid w:val="0"/>
        <w:jc w:val="left"/>
        <w:rPr>
          <w:b/>
          <w:sz w:val="24"/>
        </w:rPr>
      </w:pPr>
      <w:r>
        <w:rPr>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5"/>
    <w:p>
      <w:pPr>
        <w:numPr>
          <w:ilvl w:val="0"/>
          <w:numId w:val="11"/>
        </w:numPr>
        <w:tabs>
          <w:tab w:val="left" w:pos="360"/>
        </w:tabs>
        <w:snapToGrid w:val="0"/>
        <w:spacing w:line="360" w:lineRule="auto"/>
        <w:outlineLvl w:val="1"/>
        <w:rPr>
          <w:sz w:val="24"/>
        </w:rPr>
      </w:pPr>
      <w:bookmarkStart w:id="596" w:name="_Toc226965731"/>
      <w:bookmarkStart w:id="597" w:name="_Toc151193855"/>
      <w:bookmarkStart w:id="598" w:name="_Toc264969231"/>
      <w:bookmarkStart w:id="599" w:name="_Toc305158809"/>
      <w:bookmarkStart w:id="600" w:name="_Toc265228379"/>
      <w:bookmarkStart w:id="601" w:name="_Toc150509292"/>
      <w:bookmarkStart w:id="602" w:name="_Toc164229382"/>
      <w:bookmarkStart w:id="603" w:name="_Toc164351635"/>
      <w:bookmarkStart w:id="604" w:name="_Toc305158883"/>
      <w:bookmarkStart w:id="605" w:name="_Toc164608810"/>
      <w:bookmarkStart w:id="606" w:name="_Toc127161455"/>
      <w:bookmarkStart w:id="607" w:name="_Toc226337237"/>
      <w:bookmarkStart w:id="608" w:name="_Toc151193711"/>
      <w:bookmarkStart w:id="609" w:name="_Toc164608655"/>
      <w:bookmarkStart w:id="610" w:name="_Toc149720834"/>
      <w:bookmarkStart w:id="611" w:name="_Toc195842906"/>
      <w:bookmarkStart w:id="612" w:name="_Toc226965814"/>
      <w:bookmarkStart w:id="613" w:name="_Toc127151541"/>
      <w:bookmarkStart w:id="614" w:name="_Toc151193929"/>
      <w:bookmarkStart w:id="615" w:name="_Toc150774641"/>
      <w:bookmarkStart w:id="616" w:name="_Toc150774746"/>
      <w:bookmarkStart w:id="617" w:name="_Toc151193783"/>
      <w:bookmarkStart w:id="618" w:name="_Toc127151742"/>
      <w:bookmarkStart w:id="619" w:name="_Toc151193639"/>
      <w:bookmarkStart w:id="620" w:name="_Toc142311043"/>
      <w:bookmarkStart w:id="621" w:name="_Toc226309785"/>
      <w:bookmarkStart w:id="622" w:name="_Toc164229236"/>
      <w:bookmarkStart w:id="623" w:name="_Toc150480779"/>
      <w:bookmarkStart w:id="624" w:name="_Toc151190168"/>
      <w:bookmarkStart w:id="625" w:name="_Toc353825551"/>
      <w:bookmarkStart w:id="626" w:name="_Toc353873941"/>
      <w:bookmarkStart w:id="627" w:name="_Toc142311057"/>
      <w:bookmarkStart w:id="628" w:name="_Toc305158897"/>
      <w:bookmarkStart w:id="629" w:name="_Toc195842920"/>
      <w:bookmarkStart w:id="630" w:name="_Toc226965828"/>
      <w:bookmarkStart w:id="631" w:name="_Toc127151555"/>
      <w:bookmarkStart w:id="632" w:name="_Toc353825545"/>
      <w:bookmarkStart w:id="633" w:name="_Toc150480793"/>
      <w:bookmarkStart w:id="634" w:name="_Toc265228393"/>
      <w:bookmarkStart w:id="635" w:name="_Toc150774760"/>
      <w:bookmarkStart w:id="636" w:name="_Toc305158823"/>
      <w:bookmarkStart w:id="637" w:name="_Toc353873665"/>
      <w:bookmarkStart w:id="638" w:name="_Toc353873935"/>
      <w:bookmarkStart w:id="639" w:name="_Toc226337251"/>
      <w:bookmarkStart w:id="640" w:name="_Toc264969245"/>
      <w:r>
        <w:rPr>
          <w:rFonts w:hint="eastAsia"/>
          <w:sz w:val="24"/>
        </w:rPr>
        <w:t>响应文件的</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rFonts w:hint="eastAsia"/>
          <w:sz w:val="24"/>
        </w:rPr>
        <w:t>资格性检查和符合性审查</w:t>
      </w:r>
    </w:p>
    <w:p>
      <w:pPr>
        <w:numPr>
          <w:ilvl w:val="1"/>
          <w:numId w:val="11"/>
        </w:numPr>
        <w:tabs>
          <w:tab w:val="left" w:pos="1080"/>
        </w:tabs>
        <w:snapToGrid w:val="0"/>
        <w:spacing w:line="360" w:lineRule="auto"/>
        <w:ind w:left="1077" w:hanging="720"/>
        <w:rPr>
          <w:sz w:val="24"/>
        </w:rPr>
      </w:pPr>
      <w:r>
        <w:rPr>
          <w:rFonts w:hint="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b/>
          <w:sz w:val="24"/>
        </w:rPr>
        <w:t>无效响应</w:t>
      </w:r>
      <w:r>
        <w:rPr>
          <w:rFonts w:hint="eastAsia"/>
          <w:sz w:val="24"/>
        </w:rPr>
        <w:t>处理，磋商小组应当告知提交响应文件的供应商。</w:t>
      </w:r>
    </w:p>
    <w:p>
      <w:pPr>
        <w:numPr>
          <w:ilvl w:val="1"/>
          <w:numId w:val="11"/>
        </w:numPr>
        <w:tabs>
          <w:tab w:val="left" w:pos="1080"/>
        </w:tabs>
        <w:snapToGrid w:val="0"/>
        <w:spacing w:line="360" w:lineRule="auto"/>
        <w:ind w:left="1077" w:hanging="720"/>
        <w:rPr>
          <w:sz w:val="24"/>
        </w:rPr>
      </w:pPr>
      <w:r>
        <w:rPr>
          <w:rFonts w:hint="eastAsia"/>
          <w:sz w:val="24"/>
        </w:rPr>
        <w:t>《资格性检查要求》中对格式有要求的，除竞争性磋商文件另有规定外，均为</w:t>
      </w:r>
      <w:r>
        <w:rPr>
          <w:sz w:val="24"/>
        </w:rPr>
        <w:t>“</w:t>
      </w:r>
      <w:r>
        <w:rPr>
          <w:rFonts w:hint="eastAsia"/>
          <w:sz w:val="24"/>
        </w:rPr>
        <w:t>实质性格式</w:t>
      </w:r>
      <w:r>
        <w:rPr>
          <w:sz w:val="24"/>
        </w:rPr>
        <w:t>”</w:t>
      </w:r>
      <w:r>
        <w:rPr>
          <w:rFonts w:hint="eastAsia"/>
          <w:sz w:val="24"/>
        </w:rPr>
        <w:t>文件。</w:t>
      </w:r>
    </w:p>
    <w:p>
      <w:pPr>
        <w:numPr>
          <w:ilvl w:val="1"/>
          <w:numId w:val="11"/>
        </w:numPr>
        <w:tabs>
          <w:tab w:val="left" w:pos="1080"/>
        </w:tabs>
        <w:snapToGrid w:val="0"/>
        <w:spacing w:line="360" w:lineRule="auto"/>
        <w:ind w:left="1077" w:hanging="720"/>
        <w:rPr>
          <w:sz w:val="24"/>
        </w:rPr>
      </w:pPr>
      <w:r>
        <w:rPr>
          <w:rFonts w:hint="eastAsia"/>
          <w:sz w:val="24"/>
        </w:rPr>
        <w:t>《资格性检查要求》见下表：</w:t>
      </w:r>
    </w:p>
    <w:p>
      <w:pPr>
        <w:tabs>
          <w:tab w:val="left" w:pos="900"/>
          <w:tab w:val="left" w:pos="1080"/>
        </w:tabs>
        <w:snapToGrid w:val="0"/>
        <w:spacing w:line="360" w:lineRule="auto"/>
        <w:ind w:left="1077" w:firstLine="2650" w:firstLineChars="1100"/>
        <w:rPr>
          <w:b/>
          <w:sz w:val="24"/>
        </w:rPr>
      </w:pPr>
      <w:r>
        <w:rPr>
          <w:rFonts w:hint="eastAsia"/>
          <w:b/>
          <w:sz w:val="24"/>
        </w:rPr>
        <w:t>资格性检查要求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5"/>
        <w:gridCol w:w="1741"/>
        <w:gridCol w:w="4793"/>
        <w:gridCol w:w="19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b/>
                <w:sz w:val="24"/>
              </w:rPr>
            </w:pPr>
            <w:bookmarkStart w:id="641" w:name="_Hlt487972895"/>
            <w:bookmarkEnd w:id="641"/>
            <w:r>
              <w:rPr>
                <w:rFonts w:hint="eastAsia"/>
                <w:b/>
                <w:sz w:val="24"/>
              </w:rPr>
              <w:t>序号</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b/>
                <w:sz w:val="24"/>
              </w:rPr>
            </w:pPr>
            <w:r>
              <w:rPr>
                <w:rFonts w:hint="eastAsia"/>
                <w:b/>
                <w:sz w:val="24"/>
              </w:rPr>
              <w:t>检查因素</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b/>
                <w:sz w:val="24"/>
              </w:rPr>
            </w:pPr>
            <w:r>
              <w:rPr>
                <w:rFonts w:hint="eastAsia"/>
                <w:b/>
                <w:sz w:val="24"/>
              </w:rPr>
              <w:t>检查内容</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b/>
                <w:sz w:val="24"/>
              </w:rPr>
            </w:pPr>
            <w:r>
              <w:rPr>
                <w:rFonts w:hint="eastAsia"/>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sz w:val="24"/>
              </w:rPr>
            </w:pPr>
            <w:r>
              <w:rPr>
                <w:sz w:val="24"/>
              </w:rPr>
              <w:t>1</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满足《中华人民共和国政府采购法》第二十二条规定及法律法规的其他规定</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具体规定见第一章《采购邀请》</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sz w:val="24"/>
              </w:rPr>
            </w:pPr>
            <w:r>
              <w:rPr>
                <w:sz w:val="24"/>
              </w:rPr>
              <w:t>1-1</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营业执照等证明文件</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ascii="宋体" w:hAnsi="宋体" w:cs="仿宋"/>
                <w:sz w:val="24"/>
              </w:rPr>
              <w:t>是否具备有效的营业执照复印件，且处于正常开业状态</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sz w:val="24"/>
              </w:rPr>
            </w:pPr>
            <w:r>
              <w:rPr>
                <w:sz w:val="24"/>
              </w:rPr>
              <w:t>1-2</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供应商资格声明书</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提供了符合竞争性磋商文件要求的《供应商资格声明书》。</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sz w:val="24"/>
              </w:rPr>
            </w:pPr>
            <w:r>
              <w:rPr>
                <w:sz w:val="24"/>
              </w:rPr>
              <w:t>1-3</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sz w:val="24"/>
              </w:rPr>
            </w:pPr>
            <w:r>
              <w:rPr>
                <w:rFonts w:hint="eastAsia"/>
                <w:sz w:val="24"/>
              </w:rPr>
              <w:t>供应商信用记录</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sz w:val="24"/>
              </w:rPr>
            </w:pPr>
            <w:r>
              <w:rPr>
                <w:rFonts w:hint="eastAsia"/>
                <w:sz w:val="24"/>
              </w:rPr>
              <w:t>提供信用中国网站和中国政府采购网（</w:t>
            </w:r>
            <w:r>
              <w:t>www.creditchina.gov.cn</w:t>
            </w:r>
            <w:r>
              <w:rPr>
                <w:rFonts w:hint="eastAsia"/>
                <w:sz w:val="24"/>
              </w:rPr>
              <w:t>、</w:t>
            </w:r>
            <w:r>
              <w:t>www.ccgp.gov.cn</w:t>
            </w:r>
            <w:r>
              <w:rPr>
                <w:rFonts w:hint="eastAsia"/>
                <w:sz w:val="24"/>
              </w:rPr>
              <w:t>）；</w:t>
            </w:r>
          </w:p>
          <w:p>
            <w:pPr>
              <w:tabs>
                <w:tab w:val="left" w:pos="900"/>
                <w:tab w:val="left" w:pos="1980"/>
              </w:tabs>
              <w:snapToGrid w:val="0"/>
              <w:rPr>
                <w:sz w:val="24"/>
              </w:rPr>
            </w:pPr>
            <w:r>
              <w:rPr>
                <w:rFonts w:hint="eastAsia" w:ascii="宋体" w:hAnsi="宋体"/>
                <w:sz w:val="24"/>
              </w:rPr>
              <w:t>信用记录查询结果截图（查询日期应在本项目招标公告发布之后, 否则无效）并加盖投标人公章</w:t>
            </w:r>
            <w:r>
              <w:rPr>
                <w:rFonts w:hint="eastAsia"/>
                <w:sz w:val="24"/>
              </w:rPr>
              <w:t>；</w:t>
            </w:r>
          </w:p>
          <w:p>
            <w:pPr>
              <w:tabs>
                <w:tab w:val="left" w:pos="1080"/>
              </w:tabs>
              <w:snapToGrid w:val="0"/>
              <w:rPr>
                <w:sz w:val="24"/>
              </w:rPr>
            </w:pPr>
            <w:r>
              <w:rPr>
                <w:rFonts w:hint="eastAsia"/>
                <w:sz w:val="24"/>
              </w:rPr>
              <w:t>信用信息的使用原则：经认定的被列入失信被执行人、重大税收违法案件当事人名单、政府采购严重违法失信行为记录名单的供应商，其</w:t>
            </w:r>
            <w:r>
              <w:rPr>
                <w:rFonts w:hint="eastAsia"/>
                <w:b/>
                <w:sz w:val="24"/>
              </w:rPr>
              <w:t>响应无效</w:t>
            </w:r>
            <w:r>
              <w:rPr>
                <w:rFonts w:hint="eastAsia"/>
                <w:sz w:val="24"/>
              </w:rPr>
              <w:t>。联合体形式磋商的，联合体成员存在不良信用记录，视同联合体存在不良信用记录。</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sz w:val="24"/>
              </w:rPr>
            </w:pPr>
            <w:r>
              <w:rPr>
                <w:sz w:val="24"/>
              </w:rPr>
              <w:t>2</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落实政府采购政策需满足的资格要求</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具体要求见第一章《采购邀请》</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sz w:val="24"/>
              </w:rPr>
            </w:pPr>
            <w:r>
              <w:rPr>
                <w:sz w:val="24"/>
              </w:rPr>
              <w:t>2-1</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中小企业声明函</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当本项目（包）涉及预留份额专门面向中小企业采购，提供如下资料：</w:t>
            </w:r>
            <w:r>
              <w:rPr>
                <w:sz w:val="24"/>
              </w:rPr>
              <w:t xml:space="preserve"> </w:t>
            </w:r>
          </w:p>
          <w:p>
            <w:pPr>
              <w:tabs>
                <w:tab w:val="left" w:pos="1080"/>
              </w:tabs>
              <w:snapToGrid w:val="0"/>
              <w:jc w:val="left"/>
              <w:rPr>
                <w:sz w:val="24"/>
              </w:rPr>
            </w:pPr>
            <w:r>
              <w:rPr>
                <w:sz w:val="24"/>
              </w:rPr>
              <w:t>1</w:t>
            </w:r>
            <w:r>
              <w:rPr>
                <w:rFonts w:hint="eastAsia"/>
                <w:sz w:val="24"/>
              </w:rPr>
              <w:t>、供应商单独响应的，应提供中小企业声明函；如为监狱企业或残疾人福利性单位，不必提供中小企业声明函，但须按注</w:t>
            </w:r>
            <w:r>
              <w:rPr>
                <w:sz w:val="24"/>
              </w:rPr>
              <w:t>1</w:t>
            </w:r>
            <w:r>
              <w:rPr>
                <w:rFonts w:hint="eastAsia"/>
                <w:sz w:val="24"/>
              </w:rPr>
              <w:t>或注</w:t>
            </w:r>
            <w:r>
              <w:rPr>
                <w:sz w:val="24"/>
              </w:rPr>
              <w:t>2</w:t>
            </w:r>
            <w:r>
              <w:rPr>
                <w:rFonts w:hint="eastAsia"/>
                <w:sz w:val="24"/>
              </w:rPr>
              <w:t>要求提供证明材料。</w:t>
            </w:r>
          </w:p>
          <w:p>
            <w:pPr>
              <w:tabs>
                <w:tab w:val="left" w:pos="1080"/>
              </w:tabs>
              <w:snapToGrid w:val="0"/>
              <w:jc w:val="left"/>
              <w:rPr>
                <w:sz w:val="24"/>
              </w:rPr>
            </w:pPr>
            <w:r>
              <w:rPr>
                <w:sz w:val="24"/>
              </w:rPr>
              <w:t>2</w:t>
            </w:r>
            <w:r>
              <w:rPr>
                <w:rFonts w:hint="eastAsia"/>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sz w:val="24"/>
              </w:rPr>
              <w:t>1</w:t>
            </w:r>
            <w:r>
              <w:rPr>
                <w:rFonts w:hint="eastAsia"/>
                <w:sz w:val="24"/>
              </w:rPr>
              <w:t>或注</w:t>
            </w:r>
            <w:r>
              <w:rPr>
                <w:sz w:val="24"/>
              </w:rPr>
              <w:t>2</w:t>
            </w:r>
            <w:r>
              <w:rPr>
                <w:rFonts w:hint="eastAsia"/>
                <w:sz w:val="24"/>
              </w:rPr>
              <w:t>要求提供证明材料。</w:t>
            </w:r>
          </w:p>
          <w:p>
            <w:pPr>
              <w:tabs>
                <w:tab w:val="left" w:pos="1080"/>
              </w:tabs>
              <w:snapToGrid w:val="0"/>
              <w:jc w:val="left"/>
              <w:rPr>
                <w:sz w:val="24"/>
              </w:rPr>
            </w:pPr>
          </w:p>
          <w:p>
            <w:pPr>
              <w:tabs>
                <w:tab w:val="left" w:pos="1080"/>
              </w:tabs>
              <w:snapToGrid w:val="0"/>
              <w:jc w:val="left"/>
              <w:rPr>
                <w:sz w:val="24"/>
              </w:rPr>
            </w:pPr>
            <w:r>
              <w:rPr>
                <w:rFonts w:hint="eastAsia"/>
                <w:sz w:val="24"/>
              </w:rPr>
              <w:t>注</w:t>
            </w:r>
            <w:r>
              <w:rPr>
                <w:sz w:val="24"/>
              </w:rPr>
              <w:t>1</w:t>
            </w:r>
            <w:r>
              <w:rPr>
                <w:rFonts w:hint="eastAsia"/>
                <w:sz w:val="24"/>
              </w:rPr>
              <w:t>：监狱企业须提供由省级以上监狱管理局（北京市含教育矫治局）、戒毒管理局（含新疆生产建设兵团）出具的属于监狱企业的证明文件。</w:t>
            </w:r>
          </w:p>
          <w:p>
            <w:pPr>
              <w:tabs>
                <w:tab w:val="left" w:pos="1080"/>
              </w:tabs>
              <w:snapToGrid w:val="0"/>
              <w:jc w:val="left"/>
              <w:rPr>
                <w:sz w:val="24"/>
              </w:rPr>
            </w:pPr>
            <w:r>
              <w:rPr>
                <w:rFonts w:hint="eastAsia"/>
                <w:sz w:val="24"/>
              </w:rPr>
              <w:t>注</w:t>
            </w:r>
            <w:r>
              <w:rPr>
                <w:sz w:val="24"/>
              </w:rPr>
              <w:t>2</w:t>
            </w:r>
            <w:r>
              <w:rPr>
                <w:rFonts w:hint="eastAsia"/>
                <w:sz w:val="24"/>
              </w:rPr>
              <w:t>：残疾人福利性单位须按磋商文件要求提供《残疾人福利性单位声明函》。</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left"/>
              <w:rPr>
                <w:sz w:val="24"/>
              </w:rPr>
            </w:pPr>
            <w:r>
              <w:rPr>
                <w:rFonts w:hint="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jc w:val="center"/>
              <w:rPr>
                <w:sz w:val="24"/>
              </w:rPr>
            </w:pPr>
            <w:r>
              <w:rPr>
                <w:sz w:val="24"/>
              </w:rPr>
              <w:t>3</w:t>
            </w:r>
          </w:p>
        </w:tc>
        <w:tc>
          <w:tcPr>
            <w:tcW w:w="93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sz w:val="24"/>
              </w:rPr>
            </w:pPr>
            <w:r>
              <w:rPr>
                <w:rFonts w:hint="eastAsia"/>
                <w:kern w:val="0"/>
                <w:sz w:val="24"/>
              </w:rPr>
              <w:t>磋商保证金</w:t>
            </w:r>
          </w:p>
        </w:tc>
        <w:tc>
          <w:tcPr>
            <w:tcW w:w="2579"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sz w:val="24"/>
              </w:rPr>
            </w:pPr>
            <w:r>
              <w:rPr>
                <w:rFonts w:hint="eastAsia"/>
                <w:kern w:val="0"/>
                <w:sz w:val="24"/>
              </w:rPr>
              <w:t>按照竞争性磋商文件的要求提交磋商保证金。</w:t>
            </w:r>
          </w:p>
        </w:tc>
        <w:tc>
          <w:tcPr>
            <w:tcW w:w="1027" w:type="pct"/>
            <w:tcBorders>
              <w:top w:val="single" w:color="000000" w:sz="4" w:space="0"/>
              <w:left w:val="single" w:color="000000" w:sz="4" w:space="0"/>
              <w:bottom w:val="single" w:color="000000" w:sz="4" w:space="0"/>
              <w:right w:val="single" w:color="000000" w:sz="4" w:space="0"/>
            </w:tcBorders>
            <w:vAlign w:val="center"/>
          </w:tcPr>
          <w:p>
            <w:pPr>
              <w:tabs>
                <w:tab w:val="left" w:pos="1080"/>
              </w:tabs>
              <w:snapToGrid w:val="0"/>
              <w:rPr>
                <w:sz w:val="24"/>
              </w:rPr>
            </w:pPr>
          </w:p>
        </w:tc>
      </w:tr>
    </w:tbl>
    <w:p>
      <w:pPr>
        <w:widowControl/>
        <w:jc w:val="left"/>
        <w:rPr>
          <w:sz w:val="24"/>
        </w:rPr>
      </w:pPr>
      <w:r>
        <w:rPr>
          <w:sz w:val="24"/>
        </w:rPr>
        <w:br w:type="page"/>
      </w:r>
    </w:p>
    <w:p>
      <w:pPr>
        <w:numPr>
          <w:ilvl w:val="1"/>
          <w:numId w:val="11"/>
        </w:numPr>
        <w:tabs>
          <w:tab w:val="left" w:pos="1080"/>
        </w:tabs>
        <w:snapToGrid w:val="0"/>
        <w:spacing w:line="360" w:lineRule="auto"/>
        <w:ind w:left="1077" w:hanging="720"/>
        <w:rPr>
          <w:sz w:val="24"/>
        </w:rPr>
      </w:pPr>
      <w:r>
        <w:rPr>
          <w:rFonts w:hint="eastAsia"/>
          <w:sz w:val="24"/>
        </w:rPr>
        <w:t>《符合性审查要求》见下表：</w:t>
      </w:r>
    </w:p>
    <w:p>
      <w:pPr>
        <w:widowControl/>
        <w:spacing w:line="360" w:lineRule="auto"/>
        <w:jc w:val="center"/>
        <w:rPr>
          <w:b/>
          <w:kern w:val="0"/>
          <w:sz w:val="24"/>
        </w:rPr>
      </w:pPr>
      <w:r>
        <w:rPr>
          <w:rFonts w:hint="eastAsia"/>
          <w:b/>
          <w:kern w:val="0"/>
          <w:sz w:val="24"/>
        </w:rPr>
        <w:t>符合性审查要求</w:t>
      </w:r>
    </w:p>
    <w:tbl>
      <w:tblPr>
        <w:tblStyle w:val="43"/>
        <w:tblW w:w="4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473"/>
        <w:gridCol w:w="5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b/>
                <w:kern w:val="0"/>
                <w:sz w:val="24"/>
              </w:rPr>
            </w:pPr>
            <w:r>
              <w:rPr>
                <w:rFonts w:hint="eastAsia"/>
                <w:b/>
                <w:kern w:val="0"/>
                <w:sz w:val="24"/>
              </w:rPr>
              <w:t>序号</w:t>
            </w:r>
          </w:p>
        </w:tc>
        <w:tc>
          <w:tcPr>
            <w:tcW w:w="98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b/>
                <w:kern w:val="0"/>
                <w:sz w:val="24"/>
              </w:rPr>
            </w:pPr>
            <w:r>
              <w:rPr>
                <w:rFonts w:hint="eastAsia"/>
                <w:b/>
                <w:sz w:val="24"/>
              </w:rPr>
              <w:t>检查</w:t>
            </w:r>
            <w:r>
              <w:rPr>
                <w:rFonts w:hint="eastAsia"/>
                <w:b/>
                <w:kern w:val="0"/>
                <w:sz w:val="24"/>
              </w:rPr>
              <w:t>因素</w:t>
            </w:r>
          </w:p>
        </w:tc>
        <w:tc>
          <w:tcPr>
            <w:tcW w:w="352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b/>
                <w:kern w:val="0"/>
                <w:sz w:val="24"/>
              </w:rPr>
            </w:pPr>
            <w:r>
              <w:rPr>
                <w:rFonts w:hint="eastAsia"/>
                <w:b/>
                <w:sz w:val="24"/>
              </w:rPr>
              <w:t>检查</w:t>
            </w:r>
            <w:r>
              <w:rPr>
                <w:rFonts w:hint="eastAsia"/>
                <w:b/>
                <w:kern w:val="0"/>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kern w:val="0"/>
                <w:sz w:val="24"/>
              </w:rPr>
            </w:pPr>
            <w:r>
              <w:rPr>
                <w:kern w:val="0"/>
                <w:sz w:val="24"/>
              </w:rPr>
              <w:t>1</w:t>
            </w:r>
          </w:p>
        </w:tc>
        <w:tc>
          <w:tcPr>
            <w:tcW w:w="98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kern w:val="0"/>
                <w:sz w:val="24"/>
              </w:rPr>
            </w:pPr>
            <w:r>
              <w:rPr>
                <w:rFonts w:hint="eastAsia" w:ascii="宋体" w:hAnsi="宋体"/>
                <w:kern w:val="0"/>
                <w:sz w:val="24"/>
              </w:rPr>
              <w:t>授权委托书</w:t>
            </w:r>
          </w:p>
        </w:tc>
        <w:tc>
          <w:tcPr>
            <w:tcW w:w="352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kern w:val="0"/>
                <w:sz w:val="24"/>
              </w:rPr>
              <w:t>按照采购文件要求提供授权委托书；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kern w:val="0"/>
                <w:sz w:val="24"/>
              </w:rPr>
            </w:pPr>
            <w:r>
              <w:rPr>
                <w:kern w:val="0"/>
                <w:sz w:val="24"/>
              </w:rPr>
              <w:t>2</w:t>
            </w:r>
          </w:p>
        </w:tc>
        <w:tc>
          <w:tcPr>
            <w:tcW w:w="98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kern w:val="0"/>
                <w:sz w:val="24"/>
              </w:rPr>
            </w:pPr>
            <w:r>
              <w:rPr>
                <w:rFonts w:hint="eastAsia" w:ascii="宋体" w:hAnsi="宋体"/>
                <w:kern w:val="0"/>
                <w:sz w:val="24"/>
              </w:rPr>
              <w:t>投标报价</w:t>
            </w:r>
          </w:p>
        </w:tc>
        <w:tc>
          <w:tcPr>
            <w:tcW w:w="352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kern w:val="0"/>
                <w:sz w:val="24"/>
              </w:rPr>
              <w:t>投标报价未</w:t>
            </w:r>
            <w:r>
              <w:rPr>
                <w:rFonts w:hint="eastAsia" w:ascii="宋体" w:hAnsi="宋体"/>
                <w:sz w:val="24"/>
              </w:rPr>
              <w:t>超过采购文件中规定的项目/采购包预算金额或者项目/采购包最高限价</w:t>
            </w:r>
            <w:r>
              <w:rPr>
                <w:rFonts w:hint="eastAsia" w:ascii="宋体" w:hAnsi="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kern w:val="0"/>
                <w:sz w:val="24"/>
              </w:rPr>
            </w:pPr>
            <w:r>
              <w:rPr>
                <w:kern w:val="0"/>
                <w:sz w:val="24"/>
              </w:rPr>
              <w:t>3</w:t>
            </w:r>
          </w:p>
        </w:tc>
        <w:tc>
          <w:tcPr>
            <w:tcW w:w="98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kern w:val="0"/>
                <w:sz w:val="24"/>
              </w:rPr>
              <w:t>签署、盖章</w:t>
            </w:r>
          </w:p>
        </w:tc>
        <w:tc>
          <w:tcPr>
            <w:tcW w:w="352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kern w:val="0"/>
                <w:sz w:val="24"/>
              </w:rPr>
              <w:t>按照采购文件要求签署、盖章的；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kern w:val="0"/>
                <w:sz w:val="24"/>
              </w:rPr>
            </w:pPr>
            <w:r>
              <w:rPr>
                <w:kern w:val="0"/>
                <w:sz w:val="24"/>
              </w:rPr>
              <w:t>4</w:t>
            </w:r>
          </w:p>
        </w:tc>
        <w:tc>
          <w:tcPr>
            <w:tcW w:w="98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kern w:val="0"/>
                <w:sz w:val="24"/>
              </w:rPr>
              <w:t>附加条件</w:t>
            </w:r>
          </w:p>
        </w:tc>
        <w:tc>
          <w:tcPr>
            <w:tcW w:w="352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kern w:val="0"/>
                <w:sz w:val="24"/>
              </w:rPr>
              <w:t>响应文件未含有采购人不能接受的附加条件的；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kern w:val="0"/>
                <w:sz w:val="24"/>
              </w:rPr>
            </w:pPr>
            <w:r>
              <w:rPr>
                <w:kern w:val="0"/>
                <w:sz w:val="24"/>
              </w:rPr>
              <w:t>5</w:t>
            </w:r>
          </w:p>
        </w:tc>
        <w:tc>
          <w:tcPr>
            <w:tcW w:w="98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kern w:val="0"/>
                <w:sz w:val="24"/>
              </w:rPr>
              <w:t>其他无效情形</w:t>
            </w:r>
          </w:p>
        </w:tc>
        <w:tc>
          <w:tcPr>
            <w:tcW w:w="352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left"/>
              <w:rPr>
                <w:kern w:val="0"/>
                <w:sz w:val="24"/>
              </w:rPr>
            </w:pPr>
            <w:r>
              <w:rPr>
                <w:rFonts w:hint="eastAsia" w:ascii="宋体" w:hAnsi="宋体"/>
                <w:sz w:val="24"/>
              </w:rPr>
              <w:t>供应商、响应文件不存在不符合法律、法规和采购文件规定的其他无效情形。</w:t>
            </w:r>
          </w:p>
        </w:tc>
      </w:tr>
    </w:tbl>
    <w:p>
      <w:pPr>
        <w:tabs>
          <w:tab w:val="left" w:pos="900"/>
          <w:tab w:val="left" w:pos="1080"/>
          <w:tab w:val="left" w:pos="1589"/>
        </w:tabs>
        <w:snapToGrid w:val="0"/>
        <w:spacing w:line="360" w:lineRule="auto"/>
        <w:rPr>
          <w:sz w:val="24"/>
        </w:rPr>
      </w:pPr>
    </w:p>
    <w:p>
      <w:pPr>
        <w:tabs>
          <w:tab w:val="left" w:pos="900"/>
          <w:tab w:val="left" w:pos="1080"/>
          <w:tab w:val="left" w:pos="1589"/>
        </w:tabs>
        <w:snapToGrid w:val="0"/>
        <w:spacing w:line="360" w:lineRule="auto"/>
        <w:rPr>
          <w:sz w:val="24"/>
        </w:rPr>
      </w:pPr>
    </w:p>
    <w:p>
      <w:pPr>
        <w:numPr>
          <w:ilvl w:val="0"/>
          <w:numId w:val="11"/>
        </w:numPr>
        <w:tabs>
          <w:tab w:val="left" w:pos="360"/>
        </w:tabs>
        <w:snapToGrid w:val="0"/>
        <w:spacing w:line="360" w:lineRule="auto"/>
        <w:outlineLvl w:val="1"/>
        <w:rPr>
          <w:sz w:val="24"/>
        </w:rPr>
      </w:pPr>
      <w:r>
        <w:rPr>
          <w:rFonts w:hint="eastAsia"/>
          <w:sz w:val="24"/>
        </w:rPr>
        <w:t>磋商、响应文件有关事项的澄清、说明或者更正和最后报价</w:t>
      </w:r>
    </w:p>
    <w:p>
      <w:pPr>
        <w:numPr>
          <w:ilvl w:val="1"/>
          <w:numId w:val="11"/>
        </w:numPr>
        <w:tabs>
          <w:tab w:val="left" w:pos="1080"/>
        </w:tabs>
        <w:snapToGrid w:val="0"/>
        <w:spacing w:line="360" w:lineRule="auto"/>
        <w:ind w:left="1077" w:hanging="720"/>
        <w:rPr>
          <w:sz w:val="24"/>
        </w:rPr>
      </w:pPr>
      <w:r>
        <w:rPr>
          <w:rFonts w:hint="eastAsia"/>
          <w:sz w:val="24"/>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sz w:val="24"/>
        </w:rPr>
      </w:pPr>
      <w:r>
        <w:rPr>
          <w:rFonts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kern w:val="0"/>
          <w:sz w:val="24"/>
        </w:rPr>
      </w:pPr>
      <w:r>
        <w:rPr>
          <w:rFonts w:hint="eastAsia"/>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kern w:val="0"/>
          <w:sz w:val="24"/>
        </w:rPr>
      </w:pPr>
      <w:r>
        <w:rPr>
          <w:rFonts w:hint="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sz w:val="24"/>
        </w:rPr>
      </w:pPr>
      <w:r>
        <w:rPr>
          <w:rFonts w:hint="eastAsia"/>
          <w:sz w:val="24"/>
        </w:rPr>
        <w:t>响应文件的澄清、说明或者更正：</w:t>
      </w:r>
    </w:p>
    <w:p>
      <w:pPr>
        <w:numPr>
          <w:ilvl w:val="2"/>
          <w:numId w:val="11"/>
        </w:numPr>
        <w:snapToGrid w:val="0"/>
        <w:spacing w:line="360" w:lineRule="auto"/>
        <w:rPr>
          <w:sz w:val="24"/>
        </w:rPr>
      </w:pPr>
      <w:r>
        <w:rPr>
          <w:rFonts w:hint="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sz w:val="24"/>
        </w:rPr>
      </w:pPr>
      <w:r>
        <w:rPr>
          <w:rFonts w:hint="eastAsia"/>
          <w:sz w:val="24"/>
        </w:rPr>
        <w:t>磋商小组对响应文件进行审查，如发现供应商提交的响应文件存在不满足《符合性审查要求》的内容，如属于表中</w:t>
      </w:r>
      <w:r>
        <w:rPr>
          <w:sz w:val="24"/>
        </w:rPr>
        <w:t>“</w:t>
      </w:r>
      <w:r>
        <w:rPr>
          <w:rFonts w:hint="eastAsia"/>
          <w:sz w:val="24"/>
        </w:rPr>
        <w:t>不允许</w:t>
      </w:r>
      <w:r>
        <w:rPr>
          <w:sz w:val="24"/>
        </w:rPr>
        <w:t>”</w:t>
      </w:r>
      <w:r>
        <w:rPr>
          <w:rFonts w:hint="eastAsia"/>
          <w:sz w:val="24"/>
        </w:rPr>
        <w:t>澄清、说明或者更正的内容，则供应商响应文件按</w:t>
      </w:r>
      <w:r>
        <w:rPr>
          <w:rFonts w:hint="eastAsia"/>
          <w:b/>
          <w:sz w:val="24"/>
        </w:rPr>
        <w:t>无效处理</w:t>
      </w:r>
      <w:r>
        <w:rPr>
          <w:rFonts w:hint="eastAsia"/>
          <w:sz w:val="24"/>
        </w:rPr>
        <w:t>；如属于表中的</w:t>
      </w:r>
      <w:r>
        <w:rPr>
          <w:sz w:val="24"/>
        </w:rPr>
        <w:t>“</w:t>
      </w:r>
      <w:r>
        <w:rPr>
          <w:rFonts w:hint="eastAsia"/>
          <w:sz w:val="24"/>
        </w:rPr>
        <w:t>允许</w:t>
      </w:r>
      <w:r>
        <w:rPr>
          <w:sz w:val="24"/>
        </w:rPr>
        <w:t>”</w:t>
      </w:r>
      <w:r>
        <w:rPr>
          <w:rFonts w:hint="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b/>
          <w:sz w:val="24"/>
        </w:rPr>
        <w:t>无效处理</w:t>
      </w:r>
      <w:r>
        <w:rPr>
          <w:rFonts w:hint="eastAsia"/>
          <w:sz w:val="24"/>
        </w:rPr>
        <w:t>。</w:t>
      </w:r>
    </w:p>
    <w:p>
      <w:pPr>
        <w:numPr>
          <w:ilvl w:val="2"/>
          <w:numId w:val="11"/>
        </w:numPr>
        <w:snapToGrid w:val="0"/>
        <w:spacing w:line="360" w:lineRule="auto"/>
        <w:rPr>
          <w:sz w:val="24"/>
        </w:rPr>
      </w:pPr>
      <w:r>
        <w:rPr>
          <w:rFonts w:hint="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sz w:val="24"/>
        </w:rPr>
      </w:pPr>
      <w:r>
        <w:rPr>
          <w:rFonts w:hint="eastAsia"/>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sz w:val="24"/>
        </w:rPr>
      </w:pPr>
      <w:r>
        <w:rPr>
          <w:rFonts w:hint="eastAsia"/>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rFonts w:hint="eastAsia"/>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rFonts w:hint="eastAsia"/>
          <w:snapToGrid w:val="0"/>
          <w:sz w:val="24"/>
        </w:rPr>
        <w:t>家以上供应商的设计方案或者解决方案，并要求其在规定时间内提交最后报价。</w:t>
      </w:r>
      <w:r>
        <w:rPr>
          <w:rFonts w:hint="eastAsia"/>
          <w:sz w:val="24"/>
        </w:rPr>
        <w:t>市场竞争不充分的科研项目，以及需要扶持的科技成果转化项目，提交最后报价的供应商可以为</w:t>
      </w:r>
      <w:r>
        <w:rPr>
          <w:sz w:val="24"/>
        </w:rPr>
        <w:t>2</w:t>
      </w:r>
      <w:r>
        <w:rPr>
          <w:rFonts w:hint="eastAsia"/>
          <w:sz w:val="24"/>
        </w:rPr>
        <w:t>家；政府购买服务项目（含政府和社会资本合作项目），在采购过程中符合要求的供应商（社会资本）只有</w:t>
      </w:r>
      <w:r>
        <w:rPr>
          <w:sz w:val="24"/>
        </w:rPr>
        <w:t>2</w:t>
      </w:r>
      <w:r>
        <w:rPr>
          <w:rFonts w:hint="eastAsia"/>
          <w:sz w:val="24"/>
        </w:rPr>
        <w:t>家的，竞争性磋商采购活动可以继续进行。</w:t>
      </w:r>
    </w:p>
    <w:p>
      <w:pPr>
        <w:numPr>
          <w:ilvl w:val="1"/>
          <w:numId w:val="11"/>
        </w:numPr>
        <w:tabs>
          <w:tab w:val="left" w:pos="1080"/>
          <w:tab w:val="left" w:pos="1872"/>
        </w:tabs>
        <w:snapToGrid w:val="0"/>
        <w:spacing w:line="360" w:lineRule="auto"/>
        <w:ind w:left="1077" w:hanging="720"/>
        <w:rPr>
          <w:sz w:val="24"/>
        </w:rPr>
      </w:pPr>
      <w:r>
        <w:rPr>
          <w:rFonts w:hint="eastAsia"/>
          <w:sz w:val="24"/>
        </w:rPr>
        <w:t>最后报价是供应商响应文件的有效组成部分。</w:t>
      </w:r>
    </w:p>
    <w:p>
      <w:pPr>
        <w:numPr>
          <w:ilvl w:val="1"/>
          <w:numId w:val="11"/>
        </w:numPr>
        <w:tabs>
          <w:tab w:val="left" w:pos="1080"/>
          <w:tab w:val="left" w:pos="1872"/>
        </w:tabs>
        <w:snapToGrid w:val="0"/>
        <w:spacing w:line="360" w:lineRule="auto"/>
        <w:ind w:left="1077" w:hanging="720"/>
        <w:rPr>
          <w:sz w:val="24"/>
        </w:rPr>
      </w:pPr>
      <w:r>
        <w:rPr>
          <w:rFonts w:hint="eastAsia"/>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sz w:val="24"/>
        </w:rPr>
      </w:pPr>
      <w:r>
        <w:rPr>
          <w:rFonts w:hint="eastAsia"/>
          <w:sz w:val="24"/>
        </w:rPr>
        <w:t>最后报价的算术修正及政策调整</w:t>
      </w:r>
    </w:p>
    <w:p>
      <w:pPr>
        <w:numPr>
          <w:ilvl w:val="1"/>
          <w:numId w:val="11"/>
        </w:numPr>
        <w:tabs>
          <w:tab w:val="left" w:pos="1080"/>
        </w:tabs>
        <w:snapToGrid w:val="0"/>
        <w:spacing w:line="360" w:lineRule="auto"/>
        <w:ind w:left="1077" w:hanging="720"/>
        <w:rPr>
          <w:sz w:val="24"/>
        </w:rPr>
      </w:pPr>
      <w:r>
        <w:rPr>
          <w:rFonts w:hint="eastAsia"/>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b/>
          <w:sz w:val="24"/>
        </w:rPr>
        <w:t>响应无效</w:t>
      </w:r>
      <w:r>
        <w:rPr>
          <w:rFonts w:hint="eastAsia"/>
          <w:sz w:val="24"/>
        </w:rPr>
        <w:t>。</w:t>
      </w:r>
    </w:p>
    <w:p>
      <w:pPr>
        <w:numPr>
          <w:ilvl w:val="1"/>
          <w:numId w:val="11"/>
        </w:numPr>
        <w:tabs>
          <w:tab w:val="left" w:pos="1080"/>
          <w:tab w:val="left" w:pos="1872"/>
        </w:tabs>
        <w:snapToGrid w:val="0"/>
        <w:spacing w:line="360" w:lineRule="auto"/>
        <w:ind w:left="1077" w:hanging="720"/>
        <w:rPr>
          <w:sz w:val="24"/>
        </w:rPr>
      </w:pPr>
      <w:r>
        <w:rPr>
          <w:rFonts w:hint="eastAsia"/>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rFonts w:hint="eastAsia"/>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w:t>
      </w:r>
      <w:r>
        <w:rPr>
          <w:rFonts w:hint="eastAsia"/>
          <w:sz w:val="24"/>
        </w:rPr>
        <w:t>有，具体规定为：</w:t>
      </w:r>
      <w:r>
        <w:rPr>
          <w:sz w:val="24"/>
        </w:rPr>
        <w:t>___/_______</w:t>
      </w:r>
    </w:p>
    <w:p>
      <w:pPr>
        <w:tabs>
          <w:tab w:val="left" w:pos="1080"/>
          <w:tab w:val="left" w:pos="1589"/>
          <w:tab w:val="left" w:pos="2035"/>
          <w:tab w:val="left" w:pos="2114"/>
        </w:tabs>
        <w:snapToGrid w:val="0"/>
        <w:spacing w:line="360" w:lineRule="auto"/>
        <w:ind w:left="2035"/>
        <w:rPr>
          <w:sz w:val="24"/>
        </w:rPr>
      </w:pPr>
      <w:r>
        <w:rPr>
          <w:sz w:val="24"/>
        </w:rPr>
        <w:t>□</w:t>
      </w:r>
      <w:r>
        <w:rPr>
          <w:rFonts w:hint="eastAsia"/>
          <w:sz w:val="24"/>
        </w:rPr>
        <w:t>无，按下述</w:t>
      </w:r>
      <w:r>
        <w:rPr>
          <w:sz w:val="24"/>
        </w:rPr>
        <w:t>3.2.2-3.2.5</w:t>
      </w:r>
      <w:r>
        <w:rPr>
          <w:rFonts w:hint="eastAsia"/>
          <w:sz w:val="24"/>
        </w:rPr>
        <w:t>项规定修正。</w:t>
      </w:r>
    </w:p>
    <w:p>
      <w:pPr>
        <w:numPr>
          <w:ilvl w:val="2"/>
          <w:numId w:val="11"/>
        </w:numPr>
        <w:tabs>
          <w:tab w:val="left" w:pos="2035"/>
          <w:tab w:val="left" w:pos="2114"/>
          <w:tab w:val="left" w:pos="2977"/>
        </w:tabs>
        <w:snapToGrid w:val="0"/>
        <w:spacing w:line="360" w:lineRule="auto"/>
        <w:ind w:left="2035"/>
        <w:rPr>
          <w:sz w:val="24"/>
        </w:rPr>
      </w:pPr>
      <w:r>
        <w:rPr>
          <w:rFonts w:hint="eastAsia"/>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sz w:val="24"/>
        </w:rPr>
      </w:pPr>
      <w:r>
        <w:rPr>
          <w:rFonts w:hint="eastAsia"/>
          <w:sz w:val="24"/>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sz w:val="24"/>
        </w:rPr>
      </w:pPr>
      <w:r>
        <w:rPr>
          <w:rFonts w:hint="eastAsia"/>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rFonts w:hint="eastAsia"/>
          <w:sz w:val="24"/>
        </w:rPr>
        <w:t>同时出现两种以上不一致的，按照前款规定的顺序修正。修正后的报价经供应商书面确认后产生约束力，供应商不确认的，</w:t>
      </w:r>
      <w:r>
        <w:rPr>
          <w:rFonts w:hint="eastAsia"/>
          <w:b/>
          <w:sz w:val="24"/>
        </w:rPr>
        <w:t>其响应无效</w:t>
      </w:r>
      <w:r>
        <w:rPr>
          <w:rFonts w:hint="eastAsia"/>
          <w:sz w:val="24"/>
        </w:rPr>
        <w:t>。</w:t>
      </w:r>
    </w:p>
    <w:p>
      <w:pPr>
        <w:numPr>
          <w:ilvl w:val="1"/>
          <w:numId w:val="11"/>
        </w:numPr>
        <w:tabs>
          <w:tab w:val="left" w:pos="1080"/>
          <w:tab w:val="left" w:pos="1872"/>
        </w:tabs>
        <w:snapToGrid w:val="0"/>
        <w:spacing w:line="360" w:lineRule="auto"/>
        <w:ind w:left="1077" w:hanging="720"/>
        <w:rPr>
          <w:sz w:val="24"/>
        </w:rPr>
      </w:pPr>
      <w:r>
        <w:rPr>
          <w:rFonts w:hint="eastAsia"/>
          <w:sz w:val="24"/>
        </w:rPr>
        <w:t>落实政府采购政策的价格调整：只有符合第二章《供应商须知》</w:t>
      </w:r>
      <w:r>
        <w:rPr>
          <w:sz w:val="24"/>
        </w:rPr>
        <w:t>4.2</w:t>
      </w:r>
      <w:r>
        <w:rPr>
          <w:rFonts w:hint="eastAsia"/>
          <w:sz w:val="24"/>
        </w:rPr>
        <w:t>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sz w:val="24"/>
        </w:rPr>
      </w:pPr>
      <w:r>
        <w:rPr>
          <w:rFonts w:hint="eastAsia"/>
          <w:sz w:val="24"/>
        </w:rPr>
        <w:t>对于未预留份额专门面向中小企业采购的采购项目，以及预留份额项目中的非预留部分采购包，对小微企业报价给予</w:t>
      </w:r>
      <w:r>
        <w:rPr>
          <w:sz w:val="24"/>
          <w:u w:val="single"/>
        </w:rPr>
        <w:t>_10_</w:t>
      </w:r>
      <w:r>
        <w:rPr>
          <w:sz w:val="24"/>
        </w:rPr>
        <w:t>%</w:t>
      </w:r>
      <w:r>
        <w:rPr>
          <w:rFonts w:hint="eastAsia"/>
          <w:sz w:val="24"/>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rFonts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rFonts w:hint="eastAsia"/>
          <w:sz w:val="24"/>
        </w:rPr>
        <w:t>以上的联合体或者大中型企业的报价给予</w:t>
      </w:r>
      <w:r>
        <w:rPr>
          <w:sz w:val="24"/>
        </w:rPr>
        <w:t>___</w:t>
      </w:r>
      <w:r>
        <w:rPr>
          <w:sz w:val="24"/>
          <w:u w:val="single"/>
        </w:rPr>
        <w:t>1_</w:t>
      </w:r>
      <w:r>
        <w:rPr>
          <w:sz w:val="24"/>
        </w:rPr>
        <w:t>__%</w:t>
      </w:r>
      <w:r>
        <w:rPr>
          <w:rFonts w:hint="eastAsia"/>
          <w:sz w:val="24"/>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rFonts w:hint="eastAsia"/>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rFonts w:hint="eastAsia"/>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rFonts w:hint="eastAsia"/>
          <w:sz w:val="24"/>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rFonts w:hint="eastAsia"/>
          <w:sz w:val="24"/>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rFonts w:hint="eastAsia"/>
          <w:sz w:val="24"/>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sz w:val="24"/>
        </w:rPr>
      </w:pPr>
      <w:r>
        <w:rPr>
          <w:rFonts w:hint="eastAsia"/>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sz w:val="24"/>
        </w:rPr>
      </w:pPr>
      <w:r>
        <w:rPr>
          <w:rFonts w:hint="eastAsia"/>
          <w:sz w:val="24"/>
        </w:rPr>
        <w:t>其他为落实政府采购政策实施的优先采购：</w:t>
      </w:r>
      <w:r>
        <w:rPr>
          <w:sz w:val="24"/>
        </w:rPr>
        <w:t>___/___</w:t>
      </w:r>
      <w:r>
        <w:rPr>
          <w:rFonts w:hint="eastAsia"/>
          <w:sz w:val="24"/>
        </w:rPr>
        <w:t>。</w:t>
      </w:r>
    </w:p>
    <w:p>
      <w:pPr>
        <w:numPr>
          <w:ilvl w:val="0"/>
          <w:numId w:val="11"/>
        </w:numPr>
        <w:tabs>
          <w:tab w:val="left" w:pos="360"/>
        </w:tabs>
        <w:snapToGrid w:val="0"/>
        <w:spacing w:line="360" w:lineRule="auto"/>
        <w:outlineLvl w:val="1"/>
        <w:rPr>
          <w:sz w:val="24"/>
        </w:rPr>
      </w:pPr>
      <w:r>
        <w:rPr>
          <w:rFonts w:hint="eastAsia"/>
          <w:sz w:val="24"/>
        </w:rPr>
        <w:t>磋商环节及提交最后报价后如出现以下情况的，供应商的</w:t>
      </w:r>
      <w:r>
        <w:rPr>
          <w:rFonts w:hint="eastAsia"/>
          <w:b/>
          <w:sz w:val="24"/>
        </w:rPr>
        <w:t>响应文件无效</w:t>
      </w:r>
      <w:r>
        <w:rPr>
          <w:rFonts w:hint="eastAsia"/>
          <w:sz w:val="24"/>
        </w:rPr>
        <w:t>：</w:t>
      </w:r>
    </w:p>
    <w:p>
      <w:pPr>
        <w:numPr>
          <w:ilvl w:val="1"/>
          <w:numId w:val="11"/>
        </w:numPr>
        <w:tabs>
          <w:tab w:val="left" w:pos="1080"/>
        </w:tabs>
        <w:snapToGrid w:val="0"/>
        <w:spacing w:line="360" w:lineRule="auto"/>
        <w:ind w:left="1077" w:hanging="720"/>
        <w:rPr>
          <w:sz w:val="24"/>
        </w:rPr>
      </w:pPr>
      <w:r>
        <w:rPr>
          <w:rFonts w:hint="eastAsia"/>
          <w:sz w:val="24"/>
        </w:rPr>
        <w:t>供应商对实质性变动不予确认的；</w:t>
      </w:r>
    </w:p>
    <w:p>
      <w:pPr>
        <w:numPr>
          <w:ilvl w:val="1"/>
          <w:numId w:val="11"/>
        </w:numPr>
        <w:tabs>
          <w:tab w:val="left" w:pos="1080"/>
        </w:tabs>
        <w:snapToGrid w:val="0"/>
        <w:spacing w:line="360" w:lineRule="auto"/>
        <w:ind w:left="1077" w:hanging="720"/>
        <w:rPr>
          <w:sz w:val="24"/>
        </w:rPr>
      </w:pPr>
      <w:r>
        <w:rPr>
          <w:rFonts w:hint="eastAsia"/>
          <w:sz w:val="24"/>
        </w:rPr>
        <w:t>不满足磋商文件</w:t>
      </w:r>
      <w:r>
        <w:rPr>
          <w:rFonts w:ascii="Segoe UI Symbol" w:hAnsi="Segoe UI Symbol" w:cs="Segoe UI Symbol"/>
          <w:sz w:val="24"/>
        </w:rPr>
        <w:t>★</w:t>
      </w:r>
      <w:r>
        <w:rPr>
          <w:rFonts w:hint="eastAsia"/>
          <w:sz w:val="24"/>
        </w:rPr>
        <w:t>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sz w:val="24"/>
        </w:rPr>
      </w:pPr>
      <w:r>
        <w:rPr>
          <w:rFonts w:hint="eastAsia"/>
          <w:sz w:val="24"/>
        </w:rPr>
        <w:t>未按照磋商小组规定的时间、逾期提交最后报价的；</w:t>
      </w:r>
    </w:p>
    <w:p>
      <w:pPr>
        <w:numPr>
          <w:ilvl w:val="1"/>
          <w:numId w:val="11"/>
        </w:numPr>
        <w:tabs>
          <w:tab w:val="left" w:pos="1080"/>
        </w:tabs>
        <w:snapToGrid w:val="0"/>
        <w:spacing w:line="360" w:lineRule="auto"/>
        <w:ind w:left="1077" w:hanging="720"/>
        <w:rPr>
          <w:sz w:val="24"/>
        </w:rPr>
      </w:pPr>
      <w:r>
        <w:rPr>
          <w:rFonts w:hint="eastAsia"/>
          <w:sz w:val="24"/>
        </w:rPr>
        <w:t>如供应商的最后报价超过竞争性磋商文件中规定的项目</w:t>
      </w:r>
      <w:r>
        <w:rPr>
          <w:sz w:val="24"/>
        </w:rPr>
        <w:t>/</w:t>
      </w:r>
      <w:r>
        <w:rPr>
          <w:rFonts w:hint="eastAsia"/>
          <w:sz w:val="24"/>
        </w:rPr>
        <w:t>采购包预算金额或者项目</w:t>
      </w:r>
      <w:r>
        <w:rPr>
          <w:sz w:val="24"/>
        </w:rPr>
        <w:t>/</w:t>
      </w:r>
      <w:r>
        <w:rPr>
          <w:rFonts w:hint="eastAsia"/>
          <w:sz w:val="24"/>
        </w:rPr>
        <w:t>采购包最高限价的；</w:t>
      </w:r>
    </w:p>
    <w:p>
      <w:pPr>
        <w:numPr>
          <w:ilvl w:val="1"/>
          <w:numId w:val="11"/>
        </w:numPr>
        <w:tabs>
          <w:tab w:val="left" w:pos="1080"/>
        </w:tabs>
        <w:snapToGrid w:val="0"/>
        <w:spacing w:line="360" w:lineRule="auto"/>
        <w:ind w:left="1077" w:hanging="720"/>
        <w:rPr>
          <w:sz w:val="24"/>
        </w:rPr>
      </w:pPr>
      <w:r>
        <w:rPr>
          <w:rFonts w:hint="eastAsia"/>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sz w:val="24"/>
        </w:rPr>
      </w:pPr>
      <w:r>
        <w:rPr>
          <w:rFonts w:hint="eastAsia"/>
          <w:sz w:val="24"/>
        </w:rPr>
        <w:t>最后报价出现前后不一致，供应商对修正后的报价不予确认的；</w:t>
      </w:r>
    </w:p>
    <w:p>
      <w:pPr>
        <w:numPr>
          <w:ilvl w:val="1"/>
          <w:numId w:val="11"/>
        </w:numPr>
        <w:tabs>
          <w:tab w:val="left" w:pos="1080"/>
        </w:tabs>
        <w:snapToGrid w:val="0"/>
        <w:spacing w:line="360" w:lineRule="auto"/>
        <w:ind w:left="1077" w:hanging="720"/>
        <w:rPr>
          <w:sz w:val="24"/>
        </w:rPr>
      </w:pPr>
      <w:r>
        <w:rPr>
          <w:rFonts w:hint="eastAsia"/>
          <w:sz w:val="24"/>
        </w:rPr>
        <w:t>其他：</w:t>
      </w:r>
      <w:r>
        <w:rPr>
          <w:sz w:val="24"/>
        </w:rPr>
        <w:t>______</w:t>
      </w:r>
      <w:r>
        <w:rPr>
          <w:rFonts w:hint="eastAsia"/>
          <w:sz w:val="24"/>
        </w:rPr>
        <w:t>。</w:t>
      </w:r>
    </w:p>
    <w:bookmarkEnd w:id="625"/>
    <w:bookmarkEnd w:id="626"/>
    <w:p>
      <w:pPr>
        <w:numPr>
          <w:ilvl w:val="0"/>
          <w:numId w:val="11"/>
        </w:numPr>
        <w:tabs>
          <w:tab w:val="left" w:pos="360"/>
        </w:tabs>
        <w:snapToGrid w:val="0"/>
        <w:spacing w:line="360" w:lineRule="auto"/>
        <w:outlineLvl w:val="1"/>
        <w:rPr>
          <w:sz w:val="24"/>
        </w:rPr>
      </w:pPr>
      <w:r>
        <w:rPr>
          <w:rFonts w:hint="eastAsia"/>
          <w:sz w:val="24"/>
        </w:rPr>
        <w:t>评审方法和评审标准</w:t>
      </w:r>
    </w:p>
    <w:p>
      <w:pPr>
        <w:numPr>
          <w:ilvl w:val="1"/>
          <w:numId w:val="11"/>
        </w:numPr>
        <w:tabs>
          <w:tab w:val="left" w:pos="1080"/>
          <w:tab w:val="left" w:pos="1872"/>
        </w:tabs>
        <w:snapToGrid w:val="0"/>
        <w:spacing w:line="360" w:lineRule="auto"/>
        <w:ind w:left="1077" w:hanging="720"/>
        <w:rPr>
          <w:sz w:val="24"/>
        </w:rPr>
      </w:pPr>
      <w:r>
        <w:rPr>
          <w:rFonts w:hint="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pPr>
        <w:numPr>
          <w:ilvl w:val="1"/>
          <w:numId w:val="11"/>
        </w:numPr>
        <w:tabs>
          <w:tab w:val="left" w:pos="1080"/>
          <w:tab w:val="left" w:pos="1872"/>
        </w:tabs>
        <w:snapToGrid w:val="0"/>
        <w:spacing w:line="360" w:lineRule="auto"/>
        <w:ind w:left="1077" w:hanging="720"/>
        <w:rPr>
          <w:sz w:val="24"/>
        </w:rPr>
      </w:pPr>
      <w:r>
        <w:rPr>
          <w:rFonts w:hint="eastAsia"/>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sz w:val="24"/>
        </w:rPr>
      </w:pPr>
      <w:r>
        <w:rPr>
          <w:rFonts w:hint="eastAsia"/>
          <w:sz w:val="24"/>
        </w:rPr>
        <w:t>非政府强制采购的节能产品或环境标志产品，依据品目清单和认证证书实施政府优先采购。</w:t>
      </w:r>
    </w:p>
    <w:p>
      <w:pPr>
        <w:numPr>
          <w:ilvl w:val="0"/>
          <w:numId w:val="11"/>
        </w:numPr>
        <w:tabs>
          <w:tab w:val="left" w:pos="360"/>
        </w:tabs>
        <w:snapToGrid w:val="0"/>
        <w:spacing w:line="360" w:lineRule="auto"/>
        <w:outlineLvl w:val="1"/>
        <w:rPr>
          <w:sz w:val="24"/>
        </w:rPr>
      </w:pPr>
      <w:r>
        <w:rPr>
          <w:rFonts w:hint="eastAsia"/>
          <w:sz w:val="24"/>
        </w:rPr>
        <w:t>确定</w:t>
      </w:r>
      <w:bookmarkStart w:id="642" w:name="_Toc226965819"/>
      <w:bookmarkStart w:id="643" w:name="_Toc150509297"/>
      <w:bookmarkStart w:id="644" w:name="_Toc151190173"/>
      <w:bookmarkStart w:id="645" w:name="_Toc265228384"/>
      <w:bookmarkStart w:id="646" w:name="_Toc149720839"/>
      <w:bookmarkStart w:id="647" w:name="_Toc264969236"/>
      <w:bookmarkStart w:id="648" w:name="_Toc150480784"/>
      <w:bookmarkStart w:id="649" w:name="_Toc305158814"/>
      <w:bookmarkStart w:id="650" w:name="_Toc164229241"/>
      <w:bookmarkStart w:id="651" w:name="_Toc226965736"/>
      <w:bookmarkStart w:id="652" w:name="_Toc127151747"/>
      <w:bookmarkStart w:id="653" w:name="_Toc520356170"/>
      <w:bookmarkStart w:id="654" w:name="_Toc151193788"/>
      <w:bookmarkStart w:id="655" w:name="_Toc127161460"/>
      <w:bookmarkStart w:id="656" w:name="_Toc142311048"/>
      <w:bookmarkStart w:id="657" w:name="_Toc127151546"/>
      <w:bookmarkStart w:id="658" w:name="_Toc151193644"/>
      <w:bookmarkStart w:id="659" w:name="_Toc195842911"/>
      <w:bookmarkStart w:id="660" w:name="_Toc150774646"/>
      <w:bookmarkStart w:id="661" w:name="_Toc151193716"/>
      <w:bookmarkStart w:id="662" w:name="_Toc164351640"/>
      <w:bookmarkStart w:id="663" w:name="_Toc164229387"/>
      <w:bookmarkStart w:id="664" w:name="_Toc164608660"/>
      <w:bookmarkStart w:id="665" w:name="_Ref467307010"/>
      <w:bookmarkStart w:id="666" w:name="_Toc151193934"/>
      <w:bookmarkStart w:id="667" w:name="_Toc150774751"/>
      <w:bookmarkStart w:id="668" w:name="_Toc226337242"/>
      <w:bookmarkStart w:id="669" w:name="_Toc305158888"/>
      <w:bookmarkStart w:id="670" w:name="_Toc151193860"/>
      <w:bookmarkStart w:id="671" w:name="_Toc164608815"/>
      <w:bookmarkStart w:id="672" w:name="_Toc226309790"/>
      <w:r>
        <w:rPr>
          <w:rFonts w:hint="eastAsia"/>
          <w:sz w:val="24"/>
        </w:rPr>
        <w:t>成交候选人名单</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pPr>
        <w:numPr>
          <w:ilvl w:val="1"/>
          <w:numId w:val="11"/>
        </w:numPr>
        <w:tabs>
          <w:tab w:val="left" w:pos="1080"/>
          <w:tab w:val="left" w:pos="1872"/>
        </w:tabs>
        <w:snapToGrid w:val="0"/>
        <w:spacing w:line="360" w:lineRule="auto"/>
        <w:ind w:left="1077" w:hanging="720"/>
        <w:rPr>
          <w:sz w:val="24"/>
        </w:rPr>
      </w:pPr>
      <w:r>
        <w:rPr>
          <w:rFonts w:hint="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pPr>
        <w:numPr>
          <w:ilvl w:val="1"/>
          <w:numId w:val="11"/>
        </w:numPr>
        <w:tabs>
          <w:tab w:val="left" w:pos="1080"/>
          <w:tab w:val="left" w:pos="1872"/>
        </w:tabs>
        <w:snapToGrid w:val="0"/>
        <w:spacing w:line="360" w:lineRule="auto"/>
        <w:ind w:left="1077" w:hanging="720"/>
        <w:rPr>
          <w:sz w:val="24"/>
        </w:rPr>
      </w:pPr>
      <w:r>
        <w:rPr>
          <w:rFonts w:hint="eastAsia"/>
          <w:kern w:val="0"/>
          <w:sz w:val="24"/>
          <w:szCs w:val="20"/>
        </w:rPr>
        <w:t>磋商小组根据上述供应商排序，依次推荐排序前</w:t>
      </w:r>
      <w:r>
        <w:rPr>
          <w:rFonts w:hint="eastAsia"/>
          <w:kern w:val="0"/>
          <w:sz w:val="24"/>
          <w:szCs w:val="20"/>
          <w:u w:val="single"/>
        </w:rPr>
        <w:t>三</w:t>
      </w:r>
      <w:r>
        <w:rPr>
          <w:rFonts w:hint="eastAsia"/>
          <w:sz w:val="24"/>
        </w:rPr>
        <w:t>名</w:t>
      </w:r>
      <w:r>
        <w:rPr>
          <w:rFonts w:hint="eastAsia"/>
          <w:kern w:val="0"/>
          <w:sz w:val="24"/>
          <w:szCs w:val="20"/>
        </w:rPr>
        <w:t>的供应商为</w:t>
      </w:r>
      <w:r>
        <w:rPr>
          <w:rFonts w:hint="eastAsia"/>
          <w:snapToGrid w:val="0"/>
          <w:kern w:val="0"/>
          <w:sz w:val="24"/>
          <w:szCs w:val="21"/>
        </w:rPr>
        <w:t>成交候选供应商</w:t>
      </w:r>
      <w:r>
        <w:rPr>
          <w:rFonts w:hint="eastAsia"/>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sz w:val="24"/>
        </w:rPr>
      </w:pPr>
      <w:r>
        <w:rPr>
          <w:rFonts w:hint="eastAsia"/>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sz w:val="24"/>
        </w:rPr>
      </w:pPr>
      <w:r>
        <w:rPr>
          <w:rFonts w:hint="eastAsia"/>
          <w:sz w:val="24"/>
        </w:rPr>
        <w:t>报告违法行为</w:t>
      </w:r>
    </w:p>
    <w:p>
      <w:pPr>
        <w:widowControl/>
        <w:numPr>
          <w:ilvl w:val="1"/>
          <w:numId w:val="11"/>
        </w:numPr>
        <w:tabs>
          <w:tab w:val="left" w:pos="1080"/>
          <w:tab w:val="left" w:pos="1872"/>
        </w:tabs>
        <w:snapToGrid w:val="0"/>
        <w:spacing w:line="360" w:lineRule="auto"/>
        <w:ind w:left="1077" w:hanging="720"/>
        <w:jc w:val="left"/>
        <w:rPr>
          <w:b/>
          <w:sz w:val="24"/>
        </w:rPr>
      </w:pPr>
      <w:r>
        <w:rPr>
          <w:rFonts w:hint="eastAsia"/>
          <w:sz w:val="24"/>
        </w:rPr>
        <w:t>磋商小组在评审过程中发现供应商有行贿、提供虚假材料或者串通等违法行为时，有向采购人、采购代理机构或者有关部门报告的职责。</w:t>
      </w:r>
    </w:p>
    <w:p>
      <w:pPr>
        <w:widowControl/>
        <w:tabs>
          <w:tab w:val="left" w:pos="1080"/>
          <w:tab w:val="left" w:pos="1589"/>
          <w:tab w:val="left" w:pos="1872"/>
        </w:tabs>
        <w:snapToGrid w:val="0"/>
        <w:spacing w:line="360" w:lineRule="auto"/>
        <w:ind w:left="357"/>
        <w:jc w:val="left"/>
        <w:rPr>
          <w:b/>
          <w:sz w:val="24"/>
        </w:rPr>
      </w:pPr>
      <w:r>
        <w:rPr>
          <w:rFonts w:hint="eastAsia"/>
          <w:b/>
          <w:sz w:val="24"/>
        </w:rPr>
        <w:t>二、评审标准</w:t>
      </w:r>
    </w:p>
    <w:tbl>
      <w:tblPr>
        <w:tblStyle w:val="239"/>
        <w:tblW w:w="9356"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asciiTheme="minorEastAsia" w:hAnsiTheme="minorEastAsia" w:eastAsiaTheme="minorEastAsia"/>
                <w:kern w:val="0"/>
                <w:sz w:val="24"/>
                <w:lang w:eastAsia="en-US"/>
              </w:rPr>
            </w:pPr>
            <w:r>
              <w:rPr>
                <w:rFonts w:hint="eastAsia" w:asciiTheme="minorEastAsia" w:hAnsiTheme="minorEastAsia" w:eastAsiaTheme="minorEastAsia"/>
                <w:b/>
                <w:bCs/>
                <w:kern w:val="0"/>
                <w:sz w:val="24"/>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asciiTheme="minorEastAsia" w:hAnsiTheme="minorEastAsia" w:eastAsiaTheme="minorEastAsia"/>
                <w:kern w:val="0"/>
                <w:sz w:val="24"/>
                <w:lang w:eastAsia="en-US"/>
              </w:rPr>
            </w:pPr>
            <w:r>
              <w:rPr>
                <w:rFonts w:hint="eastAsia" w:asciiTheme="minorEastAsia" w:hAnsiTheme="minorEastAsia" w:eastAsiaTheme="minorEastAsia"/>
                <w:b/>
                <w:bCs/>
                <w:kern w:val="0"/>
                <w:sz w:val="24"/>
                <w:lang w:val="zh-TW" w:eastAsia="en-US"/>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asciiTheme="minorEastAsia" w:hAnsiTheme="minorEastAsia" w:eastAsiaTheme="minorEastAsia"/>
                <w:kern w:val="0"/>
                <w:sz w:val="24"/>
                <w:lang w:eastAsia="en-US"/>
              </w:rPr>
            </w:pPr>
            <w:r>
              <w:rPr>
                <w:rFonts w:hint="eastAsia" w:asciiTheme="minorEastAsia" w:hAnsiTheme="minorEastAsia" w:eastAsiaTheme="minorEastAsia"/>
                <w:b/>
                <w:bCs/>
                <w:kern w:val="0"/>
                <w:sz w:val="24"/>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center"/>
              <w:rPr>
                <w:rFonts w:asciiTheme="minorEastAsia" w:hAnsiTheme="minorEastAsia" w:eastAsiaTheme="minorEastAsia"/>
                <w:kern w:val="0"/>
                <w:sz w:val="24"/>
                <w:lang w:eastAsia="en-US"/>
              </w:rPr>
            </w:pPr>
            <w:r>
              <w:rPr>
                <w:rFonts w:hint="eastAsia" w:asciiTheme="minorEastAsia" w:hAnsiTheme="minorEastAsia" w:eastAsiaTheme="minorEastAsia"/>
                <w:b/>
                <w:bCs/>
                <w:kern w:val="0"/>
                <w:sz w:val="24"/>
                <w:lang w:val="zh-TW" w:eastAsia="zh-TW"/>
              </w:rPr>
              <w:t>评审</w:t>
            </w:r>
            <w:r>
              <w:rPr>
                <w:rFonts w:hint="eastAsia" w:asciiTheme="minorEastAsia" w:hAnsiTheme="minorEastAsia" w:eastAsiaTheme="minorEastAsia"/>
                <w:b/>
                <w:bCs/>
                <w:kern w:val="0"/>
                <w:sz w:val="24"/>
                <w:lang w:val="zh-TW" w:eastAsia="en-US"/>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autoSpaceDE w:val="0"/>
              <w:autoSpaceDN w:val="0"/>
              <w:jc w:val="center"/>
              <w:rPr>
                <w:rFonts w:asciiTheme="minorEastAsia" w:hAnsiTheme="minorEastAsia" w:eastAsiaTheme="minorEastAsia"/>
                <w:kern w:val="0"/>
                <w:sz w:val="24"/>
                <w:lang w:eastAsia="en-US"/>
              </w:rPr>
            </w:pPr>
            <w:r>
              <w:rPr>
                <w:rFonts w:hint="eastAsia" w:asciiTheme="minorEastAsia" w:hAnsiTheme="minorEastAsia" w:eastAsiaTheme="minorEastAsia"/>
                <w:b/>
                <w:bCs/>
                <w:kern w:val="0"/>
                <w:sz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en-US"/>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en-US"/>
              </w:rPr>
              <w:t>价格</w:t>
            </w:r>
          </w:p>
          <w:p>
            <w:pPr>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en-US"/>
              </w:rPr>
              <w:t>(3</w:t>
            </w:r>
            <w:r>
              <w:rPr>
                <w:rFonts w:cs="宋体" w:asciiTheme="minorEastAsia" w:hAnsiTheme="minorEastAsia" w:eastAsiaTheme="minorEastAsia"/>
                <w:kern w:val="0"/>
                <w:sz w:val="24"/>
                <w:lang w:val="zh-TW" w:eastAsia="zh-TW"/>
              </w:rPr>
              <w:t>0</w:t>
            </w:r>
            <w:r>
              <w:rPr>
                <w:rFonts w:hint="eastAsia" w:cs="宋体" w:asciiTheme="minorEastAsia" w:hAnsiTheme="minorEastAsia" w:eastAsiaTheme="minorEastAsia"/>
                <w:kern w:val="0"/>
                <w:sz w:val="24"/>
                <w:lang w:val="zh-TW" w:eastAsia="en-US"/>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en-US"/>
              </w:rPr>
              <w:t>价格</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left"/>
              <w:rPr>
                <w:rFonts w:cs="宋体" w:asciiTheme="minorEastAsia" w:hAnsiTheme="minorEastAsia" w:eastAsiaTheme="minorEastAsia"/>
                <w:kern w:val="0"/>
                <w:sz w:val="24"/>
                <w:lang w:val="zh-TW" w:eastAsia="zh-CN"/>
              </w:rPr>
            </w:pPr>
            <w:r>
              <w:rPr>
                <w:rFonts w:hint="eastAsia" w:asciiTheme="minorEastAsia" w:hAnsiTheme="minorEastAsia" w:eastAsiaTheme="minorEastAsia"/>
                <w:color w:val="000000"/>
                <w:kern w:val="0"/>
                <w:sz w:val="24"/>
                <w:lang w:eastAsia="zh-CN"/>
              </w:rPr>
              <w:t>报价得分＝30×（评标基准价/投标报价）。评标基准价：满足招标文件要求所有有效投标报价的平均价。注:对小型和微型企业产品的价格给予10%的扣除,用扣除后的价格参与评审。</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widowControl/>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zh-CN"/>
              </w:rPr>
              <w:t>3</w:t>
            </w:r>
            <w:r>
              <w:rPr>
                <w:rFonts w:cs="宋体" w:asciiTheme="minorEastAsia" w:hAnsiTheme="minorEastAsia" w:eastAsiaTheme="minorEastAsia"/>
                <w:kern w:val="0"/>
                <w:sz w:val="24"/>
                <w:lang w:val="zh-TW" w:eastAsia="zh-TW"/>
              </w:rPr>
              <w:t>0</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121" w:hRule="atLeast"/>
        </w:trPr>
        <w:tc>
          <w:tcPr>
            <w:tcW w:w="710"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en-US"/>
              </w:rPr>
              <w:t>2</w:t>
            </w:r>
          </w:p>
        </w:tc>
        <w:tc>
          <w:tcPr>
            <w:tcW w:w="1134"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pStyle w:val="247"/>
              <w:spacing w:before="65" w:line="219" w:lineRule="auto"/>
              <w:rPr>
                <w:sz w:val="24"/>
                <w:szCs w:val="24"/>
                <w:lang w:eastAsia="zh-CN"/>
              </w:rPr>
            </w:pPr>
            <w:r>
              <w:rPr>
                <w:rFonts w:hint="eastAsia"/>
                <w:spacing w:val="2"/>
                <w:sz w:val="24"/>
                <w:szCs w:val="24"/>
                <w:lang w:eastAsia="zh-CN"/>
              </w:rPr>
              <w:t>商务部分</w:t>
            </w:r>
          </w:p>
          <w:p>
            <w:pPr>
              <w:autoSpaceDE w:val="0"/>
              <w:autoSpaceDN w:val="0"/>
              <w:rPr>
                <w:rFonts w:cs="宋体" w:asciiTheme="minorEastAsia" w:hAnsiTheme="minorEastAsia" w:eastAsiaTheme="minorEastAsia"/>
                <w:kern w:val="0"/>
                <w:sz w:val="24"/>
                <w:lang w:val="zh-TW" w:eastAsia="en-US"/>
              </w:rPr>
            </w:pPr>
            <w:r>
              <w:rPr>
                <w:rFonts w:ascii="Calibri" w:hAnsi="Calibri"/>
                <w:spacing w:val="8"/>
                <w:kern w:val="0"/>
                <w:sz w:val="24"/>
                <w:lang w:eastAsia="en-US"/>
              </w:rPr>
              <w:t>(15分)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tcPr>
          <w:p>
            <w:pPr>
              <w:pStyle w:val="247"/>
              <w:spacing w:before="59" w:line="221" w:lineRule="auto"/>
              <w:rPr>
                <w:sz w:val="24"/>
                <w:szCs w:val="24"/>
              </w:rPr>
            </w:pPr>
            <w:r>
              <w:rPr>
                <w:spacing w:val="-2"/>
                <w:sz w:val="24"/>
                <w:szCs w:val="24"/>
              </w:rPr>
              <w:t>体系认证</w:t>
            </w:r>
          </w:p>
          <w:p>
            <w:pPr>
              <w:pStyle w:val="247"/>
              <w:spacing w:before="20" w:line="220" w:lineRule="auto"/>
              <w:rPr>
                <w:sz w:val="24"/>
                <w:szCs w:val="24"/>
              </w:rPr>
            </w:pPr>
            <w:r>
              <w:rPr>
                <w:spacing w:val="-16"/>
                <w:sz w:val="24"/>
                <w:szCs w:val="24"/>
              </w:rPr>
              <w:t>(</w:t>
            </w:r>
            <w:r>
              <w:rPr>
                <w:spacing w:val="-28"/>
                <w:sz w:val="24"/>
                <w:szCs w:val="24"/>
              </w:rPr>
              <w:t xml:space="preserve"> </w:t>
            </w:r>
            <w:r>
              <w:rPr>
                <w:spacing w:val="-16"/>
                <w:sz w:val="24"/>
                <w:szCs w:val="24"/>
              </w:rPr>
              <w:t>6</w:t>
            </w:r>
            <w:r>
              <w:rPr>
                <w:spacing w:val="-28"/>
                <w:sz w:val="24"/>
                <w:szCs w:val="24"/>
              </w:rPr>
              <w:t xml:space="preserve"> </w:t>
            </w:r>
            <w:r>
              <w:rPr>
                <w:spacing w:val="-16"/>
                <w:sz w:val="24"/>
                <w:szCs w:val="24"/>
              </w:rPr>
              <w:t>分</w:t>
            </w:r>
            <w:r>
              <w:rPr>
                <w:spacing w:val="-29"/>
                <w:sz w:val="24"/>
                <w:szCs w:val="24"/>
              </w:rPr>
              <w:t xml:space="preserve"> </w:t>
            </w:r>
            <w:r>
              <w:rPr>
                <w:spacing w:val="-16"/>
                <w:sz w:val="24"/>
                <w:szCs w:val="24"/>
              </w:rPr>
              <w:t>)</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pStyle w:val="247"/>
              <w:spacing w:before="67" w:line="219" w:lineRule="auto"/>
              <w:ind w:left="183"/>
              <w:rPr>
                <w:sz w:val="24"/>
                <w:szCs w:val="24"/>
                <w:lang w:eastAsia="zh-CN"/>
              </w:rPr>
            </w:pPr>
            <w:r>
              <w:rPr>
                <w:spacing w:val="-1"/>
                <w:sz w:val="24"/>
                <w:szCs w:val="24"/>
                <w:lang w:eastAsia="zh-CN"/>
              </w:rPr>
              <w:t>提供质量管理体系认证、环境管理体系认证、职业健康</w:t>
            </w:r>
          </w:p>
          <w:p>
            <w:pPr>
              <w:pStyle w:val="247"/>
              <w:spacing w:before="22" w:line="219" w:lineRule="auto"/>
              <w:ind w:left="283"/>
              <w:rPr>
                <w:sz w:val="24"/>
                <w:szCs w:val="24"/>
                <w:lang w:eastAsia="zh-CN"/>
              </w:rPr>
            </w:pPr>
            <w:r>
              <w:rPr>
                <w:spacing w:val="4"/>
                <w:sz w:val="24"/>
                <w:szCs w:val="24"/>
                <w:lang w:eastAsia="zh-CN"/>
              </w:rPr>
              <w:t>安全管理体系认证，每提供一项得2分，最多得6分；</w:t>
            </w:r>
          </w:p>
        </w:tc>
        <w:tc>
          <w:tcPr>
            <w:tcW w:w="850" w:type="dxa"/>
            <w:tcBorders>
              <w:top w:val="single" w:color="000000" w:sz="6" w:space="0"/>
              <w:left w:val="single" w:color="auto" w:sz="4" w:space="0"/>
              <w:bottom w:val="single" w:color="000000" w:sz="6" w:space="0"/>
              <w:right w:val="single" w:color="000000" w:sz="6" w:space="0"/>
            </w:tcBorders>
            <w:shd w:val="clear" w:color="auto" w:fill="auto"/>
          </w:tcPr>
          <w:p>
            <w:pPr>
              <w:pStyle w:val="247"/>
              <w:spacing w:before="249" w:line="183" w:lineRule="auto"/>
              <w:rPr>
                <w:sz w:val="24"/>
                <w:szCs w:val="24"/>
              </w:rPr>
            </w:pPr>
            <w:r>
              <w:rPr>
                <w:spacing w:val="-4"/>
                <w:sz w:val="24"/>
                <w:szCs w:val="24"/>
              </w:rPr>
              <w:t>0-6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vMerge w:val="continue"/>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134" w:type="dxa"/>
            <w:vMerge w:val="continue"/>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tcPr>
          <w:p>
            <w:pPr>
              <w:pStyle w:val="247"/>
              <w:spacing w:before="65" w:line="219" w:lineRule="auto"/>
              <w:rPr>
                <w:sz w:val="24"/>
                <w:szCs w:val="24"/>
              </w:rPr>
            </w:pPr>
            <w:r>
              <w:rPr>
                <w:spacing w:val="1"/>
                <w:sz w:val="24"/>
                <w:szCs w:val="24"/>
              </w:rPr>
              <w:t>同类项目业绩</w:t>
            </w:r>
            <w:r>
              <w:rPr>
                <w:spacing w:val="10"/>
                <w:sz w:val="24"/>
                <w:szCs w:val="24"/>
              </w:rPr>
              <w:t>(9分)</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pStyle w:val="247"/>
              <w:spacing w:before="49" w:line="233" w:lineRule="auto"/>
              <w:ind w:left="143" w:right="149" w:firstLine="20"/>
              <w:jc w:val="both"/>
              <w:rPr>
                <w:sz w:val="24"/>
                <w:szCs w:val="24"/>
                <w:lang w:eastAsia="zh-CN"/>
              </w:rPr>
            </w:pPr>
            <w:r>
              <w:rPr>
                <w:spacing w:val="26"/>
                <w:sz w:val="24"/>
                <w:szCs w:val="24"/>
                <w:lang w:eastAsia="zh-CN"/>
              </w:rPr>
              <w:t>供应商近三年(20</w:t>
            </w:r>
            <w:r>
              <w:rPr>
                <w:rFonts w:hint="eastAsia"/>
                <w:spacing w:val="26"/>
                <w:sz w:val="24"/>
                <w:szCs w:val="24"/>
                <w:lang w:eastAsia="zh-CN"/>
              </w:rPr>
              <w:t>20</w:t>
            </w:r>
            <w:r>
              <w:rPr>
                <w:spacing w:val="26"/>
                <w:sz w:val="24"/>
                <w:szCs w:val="24"/>
                <w:lang w:eastAsia="zh-CN"/>
              </w:rPr>
              <w:t>年12月01日至202</w:t>
            </w:r>
            <w:r>
              <w:rPr>
                <w:rFonts w:hint="eastAsia"/>
                <w:spacing w:val="26"/>
                <w:sz w:val="24"/>
                <w:szCs w:val="24"/>
                <w:lang w:eastAsia="zh-CN"/>
              </w:rPr>
              <w:t>3</w:t>
            </w:r>
            <w:r>
              <w:rPr>
                <w:spacing w:val="26"/>
                <w:sz w:val="24"/>
                <w:szCs w:val="24"/>
                <w:lang w:eastAsia="zh-CN"/>
              </w:rPr>
              <w:t>年</w:t>
            </w:r>
            <w:r>
              <w:rPr>
                <w:spacing w:val="25"/>
                <w:sz w:val="24"/>
                <w:szCs w:val="24"/>
                <w:lang w:eastAsia="zh-CN"/>
              </w:rPr>
              <w:t>11月30</w:t>
            </w:r>
            <w:r>
              <w:rPr>
                <w:sz w:val="24"/>
                <w:szCs w:val="24"/>
                <w:lang w:eastAsia="zh-CN"/>
              </w:rPr>
              <w:t xml:space="preserve"> </w:t>
            </w:r>
            <w:r>
              <w:rPr>
                <w:spacing w:val="3"/>
                <w:sz w:val="24"/>
                <w:szCs w:val="24"/>
                <w:lang w:eastAsia="zh-CN"/>
              </w:rPr>
              <w:t xml:space="preserve">日)已完成的物业服务项目，每提供一份完整证明材料 </w:t>
            </w:r>
            <w:r>
              <w:rPr>
                <w:sz w:val="24"/>
                <w:szCs w:val="24"/>
                <w:lang w:eastAsia="zh-CN"/>
              </w:rPr>
              <w:t>得3分，最多得9分。(注：须附合同关键页(至少包含合同的首页、金额页</w:t>
            </w:r>
            <w:r>
              <w:rPr>
                <w:spacing w:val="16"/>
                <w:sz w:val="24"/>
                <w:szCs w:val="24"/>
                <w:lang w:eastAsia="zh-CN"/>
              </w:rPr>
              <w:t xml:space="preserve"> </w:t>
            </w:r>
            <w:r>
              <w:rPr>
                <w:spacing w:val="-1"/>
                <w:sz w:val="24"/>
                <w:szCs w:val="24"/>
                <w:lang w:eastAsia="zh-CN"/>
              </w:rPr>
              <w:t>及签章页)或中标(成交)通知书复印件，并加盖供应</w:t>
            </w:r>
            <w:r>
              <w:rPr>
                <w:spacing w:val="8"/>
                <w:sz w:val="24"/>
                <w:szCs w:val="24"/>
                <w:lang w:eastAsia="zh-CN"/>
              </w:rPr>
              <w:t>商公章。</w:t>
            </w:r>
            <w:r>
              <w:rPr>
                <w:spacing w:val="8"/>
                <w:sz w:val="24"/>
                <w:szCs w:val="24"/>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tcPr>
          <w:p>
            <w:pPr>
              <w:pStyle w:val="247"/>
              <w:spacing w:before="65" w:line="183" w:lineRule="auto"/>
              <w:rPr>
                <w:sz w:val="24"/>
                <w:szCs w:val="24"/>
              </w:rPr>
            </w:pPr>
            <w:r>
              <w:rPr>
                <w:spacing w:val="-4"/>
                <w:sz w:val="24"/>
                <w:szCs w:val="24"/>
              </w:rPr>
              <w:t>0-9</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945" w:hRule="atLeast"/>
        </w:trPr>
        <w:tc>
          <w:tcPr>
            <w:tcW w:w="710" w:type="dxa"/>
            <w:vMerge w:val="restart"/>
            <w:tcBorders>
              <w:top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en-US"/>
              </w:rPr>
              <w:t>3</w:t>
            </w:r>
          </w:p>
        </w:tc>
        <w:tc>
          <w:tcPr>
            <w:tcW w:w="1134"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技术部分</w:t>
            </w:r>
          </w:p>
          <w:p>
            <w:pPr>
              <w:autoSpaceDE w:val="0"/>
              <w:autoSpaceDN w:val="0"/>
              <w:jc w:val="center"/>
              <w:rPr>
                <w:rFonts w:cs="宋体" w:asciiTheme="minorEastAsia" w:hAnsiTheme="minorEastAsia" w:eastAsiaTheme="minorEastAsia"/>
                <w:kern w:val="0"/>
                <w:sz w:val="24"/>
                <w:lang w:val="zh-TW" w:eastAsia="en-US"/>
              </w:rPr>
            </w:pPr>
            <w:r>
              <w:rPr>
                <w:rFonts w:hint="eastAsia" w:cs="宋体" w:asciiTheme="minorEastAsia" w:hAnsiTheme="minorEastAsia" w:eastAsiaTheme="minorEastAsia"/>
                <w:kern w:val="0"/>
                <w:sz w:val="24"/>
                <w:lang w:val="zh-TW" w:eastAsia="en-US"/>
              </w:rPr>
              <w:t>(</w:t>
            </w:r>
            <w:r>
              <w:rPr>
                <w:rFonts w:hint="eastAsia" w:cs="宋体" w:asciiTheme="minorEastAsia" w:hAnsiTheme="minorEastAsia" w:eastAsiaTheme="minorEastAsia"/>
                <w:kern w:val="0"/>
                <w:sz w:val="24"/>
                <w:lang w:eastAsia="en-US"/>
              </w:rPr>
              <w:t>55</w:t>
            </w:r>
            <w:r>
              <w:rPr>
                <w:rFonts w:hint="eastAsia" w:cs="宋体" w:asciiTheme="minorEastAsia" w:hAnsiTheme="minorEastAsia" w:eastAsiaTheme="minorEastAsia"/>
                <w:kern w:val="0"/>
                <w:sz w:val="24"/>
                <w:lang w:val="zh-TW" w:eastAsia="en-US"/>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tcPr>
          <w:p>
            <w:pPr>
              <w:pStyle w:val="247"/>
              <w:spacing w:before="65" w:line="220" w:lineRule="auto"/>
              <w:rPr>
                <w:sz w:val="24"/>
                <w:szCs w:val="24"/>
              </w:rPr>
            </w:pPr>
            <w:r>
              <w:rPr>
                <w:spacing w:val="3"/>
                <w:sz w:val="24"/>
                <w:szCs w:val="24"/>
              </w:rPr>
              <w:t>工作计划</w:t>
            </w:r>
          </w:p>
          <w:p>
            <w:pPr>
              <w:pStyle w:val="247"/>
              <w:spacing w:before="31" w:line="220" w:lineRule="auto"/>
              <w:rPr>
                <w:sz w:val="24"/>
                <w:szCs w:val="24"/>
              </w:rPr>
            </w:pPr>
            <w:r>
              <w:rPr>
                <w:spacing w:val="8"/>
                <w:sz w:val="24"/>
                <w:szCs w:val="24"/>
              </w:rPr>
              <w:t>(</w:t>
            </w:r>
            <w:r>
              <w:rPr>
                <w:rFonts w:hint="eastAsia"/>
                <w:spacing w:val="8"/>
                <w:sz w:val="24"/>
                <w:szCs w:val="24"/>
                <w:lang w:eastAsia="zh-CN"/>
              </w:rPr>
              <w:t>5</w:t>
            </w:r>
            <w:r>
              <w:rPr>
                <w:spacing w:val="8"/>
                <w:sz w:val="24"/>
                <w:szCs w:val="24"/>
              </w:rPr>
              <w:t>分)</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pStyle w:val="247"/>
              <w:spacing w:before="19" w:line="239" w:lineRule="auto"/>
              <w:ind w:right="190"/>
              <w:rPr>
                <w:sz w:val="24"/>
                <w:szCs w:val="24"/>
                <w:lang w:eastAsia="zh-CN"/>
              </w:rPr>
            </w:pPr>
            <w:r>
              <w:rPr>
                <w:spacing w:val="-1"/>
                <w:sz w:val="24"/>
                <w:szCs w:val="24"/>
                <w:lang w:eastAsia="zh-CN"/>
              </w:rPr>
              <w:t>工作计划合理优于采购要求，且与本项目紧密结合，针</w:t>
            </w:r>
            <w:r>
              <w:rPr>
                <w:spacing w:val="11"/>
                <w:sz w:val="24"/>
                <w:szCs w:val="24"/>
                <w:lang w:eastAsia="zh-CN"/>
              </w:rPr>
              <w:t>对性强，得</w:t>
            </w:r>
            <w:r>
              <w:rPr>
                <w:rFonts w:hint="eastAsia"/>
                <w:spacing w:val="11"/>
                <w:sz w:val="24"/>
                <w:szCs w:val="24"/>
                <w:lang w:eastAsia="zh-CN"/>
              </w:rPr>
              <w:t>5</w:t>
            </w:r>
            <w:r>
              <w:rPr>
                <w:spacing w:val="11"/>
                <w:sz w:val="24"/>
                <w:szCs w:val="24"/>
                <w:lang w:eastAsia="zh-CN"/>
              </w:rPr>
              <w:t>分；</w:t>
            </w:r>
            <w:r>
              <w:rPr>
                <w:spacing w:val="4"/>
                <w:sz w:val="24"/>
                <w:szCs w:val="24"/>
                <w:lang w:eastAsia="zh-CN"/>
              </w:rPr>
              <w:t>工作计划较合理满足招标要求，针对性较强，得</w:t>
            </w:r>
            <w:r>
              <w:rPr>
                <w:rFonts w:hint="eastAsia"/>
                <w:spacing w:val="4"/>
                <w:sz w:val="24"/>
                <w:szCs w:val="24"/>
                <w:lang w:eastAsia="zh-CN"/>
              </w:rPr>
              <w:t>4</w:t>
            </w:r>
            <w:r>
              <w:rPr>
                <w:spacing w:val="4"/>
                <w:sz w:val="24"/>
                <w:szCs w:val="24"/>
                <w:lang w:eastAsia="zh-CN"/>
              </w:rPr>
              <w:t>分；</w:t>
            </w:r>
            <w:r>
              <w:rPr>
                <w:spacing w:val="2"/>
                <w:sz w:val="24"/>
                <w:szCs w:val="24"/>
                <w:lang w:eastAsia="zh-CN"/>
              </w:rPr>
              <w:t xml:space="preserve"> </w:t>
            </w:r>
            <w:r>
              <w:rPr>
                <w:spacing w:val="-1"/>
                <w:sz w:val="24"/>
                <w:szCs w:val="24"/>
                <w:lang w:eastAsia="zh-CN"/>
              </w:rPr>
              <w:t>工作计划不合理满足招标要求，得</w:t>
            </w:r>
            <w:r>
              <w:rPr>
                <w:rFonts w:hint="eastAsia"/>
                <w:spacing w:val="-1"/>
                <w:sz w:val="24"/>
                <w:szCs w:val="24"/>
                <w:lang w:eastAsia="zh-CN"/>
              </w:rPr>
              <w:t>3</w:t>
            </w:r>
            <w:r>
              <w:rPr>
                <w:spacing w:val="-1"/>
                <w:sz w:val="24"/>
                <w:szCs w:val="24"/>
                <w:lang w:eastAsia="zh-CN"/>
              </w:rPr>
              <w:t>分。工作计划不合理无法满足招标要求，得0分。</w:t>
            </w:r>
          </w:p>
        </w:tc>
        <w:tc>
          <w:tcPr>
            <w:tcW w:w="850" w:type="dxa"/>
            <w:tcBorders>
              <w:top w:val="single" w:color="000000" w:sz="6" w:space="0"/>
              <w:left w:val="single" w:color="auto" w:sz="4" w:space="0"/>
              <w:bottom w:val="single" w:color="000000" w:sz="6" w:space="0"/>
            </w:tcBorders>
            <w:shd w:val="clear" w:color="auto" w:fill="auto"/>
          </w:tcPr>
          <w:p>
            <w:pPr>
              <w:pStyle w:val="247"/>
              <w:spacing w:before="65" w:line="184" w:lineRule="auto"/>
              <w:rPr>
                <w:sz w:val="24"/>
                <w:szCs w:val="24"/>
              </w:rPr>
            </w:pPr>
            <w:r>
              <w:rPr>
                <w:spacing w:val="-3"/>
                <w:sz w:val="24"/>
                <w:szCs w:val="24"/>
              </w:rPr>
              <w:t>0-</w:t>
            </w:r>
            <w:r>
              <w:rPr>
                <w:rFonts w:hint="eastAsia"/>
                <w:spacing w:val="-3"/>
                <w:sz w:val="24"/>
                <w:szCs w:val="24"/>
                <w:lang w:eastAsia="zh-CN"/>
              </w:rPr>
              <w:t>5</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90" w:hRule="atLeast"/>
        </w:trPr>
        <w:tc>
          <w:tcPr>
            <w:tcW w:w="710" w:type="dxa"/>
            <w:vMerge w:val="continue"/>
            <w:tcBorders>
              <w:right w:val="single" w:color="000000" w:sz="6" w:space="0"/>
            </w:tcBorders>
            <w:shd w:val="clear" w:color="auto" w:fill="auto"/>
          </w:tcPr>
          <w:p>
            <w:pPr>
              <w:autoSpaceDE w:val="0"/>
              <w:autoSpaceDN w:val="0"/>
              <w:jc w:val="center"/>
              <w:rPr>
                <w:rFonts w:cs="宋体" w:asciiTheme="minorEastAsia" w:hAnsiTheme="minorEastAsia" w:eastAsiaTheme="minorEastAsia"/>
                <w:kern w:val="0"/>
                <w:sz w:val="24"/>
                <w:lang w:val="zh-TW" w:eastAsia="en-US"/>
              </w:rPr>
            </w:pPr>
          </w:p>
        </w:tc>
        <w:tc>
          <w:tcPr>
            <w:tcW w:w="1134" w:type="dxa"/>
            <w:vMerge w:val="continue"/>
            <w:tcBorders>
              <w:left w:val="single" w:color="000000" w:sz="6" w:space="0"/>
              <w:right w:val="single" w:color="000000" w:sz="6" w:space="0"/>
            </w:tcBorders>
            <w:shd w:val="clear" w:color="auto" w:fill="auto"/>
            <w:vAlign w:val="center"/>
          </w:tcPr>
          <w:p>
            <w:pPr>
              <w:autoSpaceDE w:val="0"/>
              <w:autoSpaceDN w:val="0"/>
              <w:jc w:val="center"/>
              <w:rPr>
                <w:rFonts w:cs="宋体" w:asciiTheme="minorEastAsia" w:hAnsiTheme="minorEastAsia" w:eastAsiaTheme="minorEastAsia"/>
                <w:kern w:val="0"/>
                <w:sz w:val="24"/>
                <w:lang w:val="zh-TW" w:eastAsia="en-US"/>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tcPr>
          <w:p>
            <w:pPr>
              <w:pStyle w:val="247"/>
              <w:spacing w:before="65" w:line="220" w:lineRule="auto"/>
              <w:rPr>
                <w:sz w:val="24"/>
                <w:szCs w:val="24"/>
                <w:lang w:eastAsia="zh-CN"/>
              </w:rPr>
            </w:pPr>
            <w:r>
              <w:rPr>
                <w:spacing w:val="2"/>
                <w:sz w:val="24"/>
                <w:szCs w:val="24"/>
                <w:lang w:eastAsia="zh-CN"/>
              </w:rPr>
              <w:t>项目理解及需求分析</w:t>
            </w:r>
          </w:p>
          <w:p>
            <w:pPr>
              <w:pStyle w:val="247"/>
              <w:spacing w:before="41" w:line="220" w:lineRule="auto"/>
              <w:rPr>
                <w:sz w:val="24"/>
                <w:szCs w:val="24"/>
                <w:lang w:eastAsia="zh-CN"/>
              </w:rPr>
            </w:pPr>
            <w:r>
              <w:rPr>
                <w:spacing w:val="8"/>
                <w:sz w:val="24"/>
                <w:szCs w:val="24"/>
                <w:lang w:eastAsia="zh-CN"/>
              </w:rPr>
              <w:t>(</w:t>
            </w:r>
            <w:r>
              <w:rPr>
                <w:rFonts w:hint="eastAsia"/>
                <w:spacing w:val="8"/>
                <w:sz w:val="24"/>
                <w:szCs w:val="24"/>
                <w:lang w:eastAsia="zh-CN"/>
              </w:rPr>
              <w:t>5</w:t>
            </w:r>
            <w:r>
              <w:rPr>
                <w:spacing w:val="8"/>
                <w:sz w:val="24"/>
                <w:szCs w:val="24"/>
                <w:lang w:eastAsia="zh-CN"/>
              </w:rPr>
              <w:t>分)</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pStyle w:val="247"/>
              <w:spacing w:before="49" w:line="219" w:lineRule="auto"/>
              <w:ind w:left="103"/>
              <w:rPr>
                <w:sz w:val="24"/>
                <w:szCs w:val="24"/>
                <w:lang w:eastAsia="zh-CN"/>
              </w:rPr>
            </w:pPr>
            <w:r>
              <w:rPr>
                <w:sz w:val="24"/>
                <w:szCs w:val="24"/>
                <w:lang w:eastAsia="zh-CN"/>
              </w:rPr>
              <w:t>对项目的需求理解及综合分析科学、合理、考虑全</w:t>
            </w:r>
            <w:r>
              <w:rPr>
                <w:spacing w:val="-1"/>
                <w:sz w:val="24"/>
                <w:szCs w:val="24"/>
                <w:lang w:eastAsia="zh-CN"/>
              </w:rPr>
              <w:t>面，熟悉本项目相关政策要求，了解相关部门主要业务流程</w:t>
            </w:r>
            <w:r>
              <w:rPr>
                <w:spacing w:val="11"/>
                <w:sz w:val="24"/>
                <w:szCs w:val="24"/>
                <w:lang w:eastAsia="zh-CN"/>
              </w:rPr>
              <w:t xml:space="preserve"> </w:t>
            </w:r>
            <w:r>
              <w:rPr>
                <w:spacing w:val="2"/>
                <w:sz w:val="24"/>
                <w:szCs w:val="24"/>
                <w:lang w:eastAsia="zh-CN"/>
              </w:rPr>
              <w:t>及主要业务数据信息，深刻理解本项目现状和存在的问</w:t>
            </w:r>
            <w:r>
              <w:rPr>
                <w:spacing w:val="14"/>
                <w:sz w:val="24"/>
                <w:szCs w:val="24"/>
                <w:lang w:eastAsia="zh-CN"/>
              </w:rPr>
              <w:t xml:space="preserve"> </w:t>
            </w:r>
            <w:r>
              <w:rPr>
                <w:spacing w:val="10"/>
                <w:sz w:val="24"/>
                <w:szCs w:val="24"/>
                <w:lang w:eastAsia="zh-CN"/>
              </w:rPr>
              <w:t>题与困难，得</w:t>
            </w:r>
            <w:r>
              <w:rPr>
                <w:rFonts w:hint="eastAsia"/>
                <w:spacing w:val="10"/>
                <w:sz w:val="24"/>
                <w:szCs w:val="24"/>
                <w:lang w:eastAsia="zh-CN"/>
              </w:rPr>
              <w:t>5</w:t>
            </w:r>
            <w:r>
              <w:rPr>
                <w:spacing w:val="10"/>
                <w:sz w:val="24"/>
                <w:szCs w:val="24"/>
                <w:lang w:eastAsia="zh-CN"/>
              </w:rPr>
              <w:t>分；</w:t>
            </w:r>
          </w:p>
          <w:p>
            <w:pPr>
              <w:pStyle w:val="247"/>
              <w:spacing w:before="40" w:line="243" w:lineRule="auto"/>
              <w:ind w:left="143" w:right="187" w:firstLine="40"/>
              <w:jc w:val="both"/>
              <w:rPr>
                <w:sz w:val="24"/>
                <w:szCs w:val="24"/>
                <w:lang w:eastAsia="zh-CN"/>
              </w:rPr>
            </w:pPr>
            <w:r>
              <w:rPr>
                <w:spacing w:val="-1"/>
                <w:sz w:val="24"/>
                <w:szCs w:val="24"/>
                <w:lang w:eastAsia="zh-CN"/>
              </w:rPr>
              <w:t>对项目的需求理解及综合分析较科学、合理、考虑较全</w:t>
            </w:r>
            <w:r>
              <w:rPr>
                <w:spacing w:val="15"/>
                <w:sz w:val="24"/>
                <w:szCs w:val="24"/>
                <w:lang w:eastAsia="zh-CN"/>
              </w:rPr>
              <w:t xml:space="preserve"> </w:t>
            </w:r>
            <w:r>
              <w:rPr>
                <w:spacing w:val="1"/>
                <w:sz w:val="24"/>
                <w:szCs w:val="24"/>
                <w:lang w:eastAsia="zh-CN"/>
              </w:rPr>
              <w:t>面，基本熟悉本项目相关政策规划，较为深刻理解了解</w:t>
            </w:r>
            <w:r>
              <w:rPr>
                <w:spacing w:val="6"/>
                <w:sz w:val="24"/>
                <w:szCs w:val="24"/>
                <w:lang w:eastAsia="zh-CN"/>
              </w:rPr>
              <w:t xml:space="preserve"> </w:t>
            </w:r>
            <w:r>
              <w:rPr>
                <w:spacing w:val="-1"/>
                <w:sz w:val="24"/>
                <w:szCs w:val="24"/>
                <w:lang w:eastAsia="zh-CN"/>
              </w:rPr>
              <w:t>相关部门业务流程及业务信息，得</w:t>
            </w:r>
            <w:r>
              <w:rPr>
                <w:rFonts w:hint="eastAsia"/>
                <w:spacing w:val="-1"/>
                <w:sz w:val="24"/>
                <w:szCs w:val="24"/>
                <w:lang w:eastAsia="zh-CN"/>
              </w:rPr>
              <w:t>4</w:t>
            </w:r>
            <w:r>
              <w:rPr>
                <w:spacing w:val="-1"/>
                <w:sz w:val="24"/>
                <w:szCs w:val="24"/>
                <w:lang w:eastAsia="zh-CN"/>
              </w:rPr>
              <w:t>分。对项目的需求理解及综合分析较科学、合理、考虑一般</w:t>
            </w:r>
            <w:r>
              <w:rPr>
                <w:spacing w:val="15"/>
                <w:sz w:val="24"/>
                <w:szCs w:val="24"/>
                <w:lang w:eastAsia="zh-CN"/>
              </w:rPr>
              <w:t xml:space="preserve"> </w:t>
            </w:r>
            <w:r>
              <w:rPr>
                <w:spacing w:val="1"/>
                <w:sz w:val="24"/>
                <w:szCs w:val="24"/>
                <w:lang w:eastAsia="zh-CN"/>
              </w:rPr>
              <w:t>基本熟悉本项目相关政策规划，基本了解相关部门业务</w:t>
            </w:r>
            <w:r>
              <w:rPr>
                <w:spacing w:val="17"/>
                <w:sz w:val="24"/>
                <w:szCs w:val="24"/>
                <w:lang w:eastAsia="zh-CN"/>
              </w:rPr>
              <w:t xml:space="preserve"> </w:t>
            </w:r>
            <w:r>
              <w:rPr>
                <w:sz w:val="24"/>
                <w:szCs w:val="24"/>
                <w:lang w:eastAsia="zh-CN"/>
              </w:rPr>
              <w:t>流程及业务信息，得</w:t>
            </w:r>
            <w:r>
              <w:rPr>
                <w:rFonts w:hint="eastAsia"/>
                <w:sz w:val="24"/>
                <w:szCs w:val="24"/>
                <w:lang w:eastAsia="zh-CN"/>
              </w:rPr>
              <w:t>3</w:t>
            </w:r>
            <w:r>
              <w:rPr>
                <w:sz w:val="24"/>
                <w:szCs w:val="24"/>
                <w:lang w:eastAsia="zh-CN"/>
              </w:rPr>
              <w:t>分。</w:t>
            </w:r>
            <w:r>
              <w:rPr>
                <w:spacing w:val="-1"/>
                <w:sz w:val="24"/>
                <w:szCs w:val="24"/>
                <w:lang w:eastAsia="zh-CN"/>
              </w:rPr>
              <w:t>对项目的需求理解及综合分析基本科学、合理、考虑不</w:t>
            </w:r>
            <w:r>
              <w:rPr>
                <w:spacing w:val="15"/>
                <w:sz w:val="24"/>
                <w:szCs w:val="24"/>
                <w:lang w:eastAsia="zh-CN"/>
              </w:rPr>
              <w:t xml:space="preserve"> </w:t>
            </w:r>
            <w:r>
              <w:rPr>
                <w:spacing w:val="1"/>
                <w:sz w:val="24"/>
                <w:szCs w:val="24"/>
                <w:lang w:eastAsia="zh-CN"/>
              </w:rPr>
              <w:t>全面，不熟悉本项目相关政策规划，不了解相关部门业</w:t>
            </w:r>
            <w:r>
              <w:rPr>
                <w:spacing w:val="7"/>
                <w:sz w:val="24"/>
                <w:szCs w:val="24"/>
                <w:lang w:eastAsia="zh-CN"/>
              </w:rPr>
              <w:t xml:space="preserve"> </w:t>
            </w:r>
            <w:r>
              <w:rPr>
                <w:sz w:val="24"/>
                <w:szCs w:val="24"/>
                <w:lang w:eastAsia="zh-CN"/>
              </w:rPr>
              <w:t>务流程及业务信息，得0分。</w:t>
            </w:r>
          </w:p>
        </w:tc>
        <w:tc>
          <w:tcPr>
            <w:tcW w:w="850" w:type="dxa"/>
            <w:tcBorders>
              <w:top w:val="single" w:color="000000" w:sz="6" w:space="0"/>
              <w:left w:val="single" w:color="auto" w:sz="4" w:space="0"/>
              <w:bottom w:val="single" w:color="000000" w:sz="6" w:space="0"/>
            </w:tcBorders>
            <w:shd w:val="clear" w:color="auto" w:fill="auto"/>
          </w:tcPr>
          <w:p>
            <w:pPr>
              <w:pStyle w:val="247"/>
              <w:spacing w:before="65" w:line="184" w:lineRule="auto"/>
              <w:rPr>
                <w:sz w:val="24"/>
                <w:szCs w:val="24"/>
              </w:rPr>
            </w:pPr>
            <w:r>
              <w:rPr>
                <w:spacing w:val="-3"/>
                <w:sz w:val="24"/>
                <w:szCs w:val="24"/>
              </w:rPr>
              <w:t>0-</w:t>
            </w:r>
            <w:r>
              <w:rPr>
                <w:rFonts w:hint="eastAsia"/>
                <w:spacing w:val="-3"/>
                <w:sz w:val="24"/>
                <w:szCs w:val="24"/>
                <w:lang w:eastAsia="zh-CN"/>
              </w:rPr>
              <w:t>5</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1253" w:hRule="atLeast"/>
        </w:trPr>
        <w:tc>
          <w:tcPr>
            <w:tcW w:w="710" w:type="dxa"/>
            <w:vMerge w:val="continue"/>
            <w:tcBorders>
              <w:right w:val="single" w:color="000000" w:sz="6" w:space="0"/>
            </w:tcBorders>
            <w:shd w:val="clear" w:color="auto" w:fill="auto"/>
          </w:tcPr>
          <w:p>
            <w:pPr>
              <w:autoSpaceDE w:val="0"/>
              <w:autoSpaceDN w:val="0"/>
              <w:jc w:val="center"/>
              <w:rPr>
                <w:rFonts w:cs="宋体" w:asciiTheme="minorEastAsia" w:hAnsiTheme="minorEastAsia" w:eastAsiaTheme="minorEastAsia"/>
                <w:kern w:val="0"/>
                <w:sz w:val="24"/>
                <w:lang w:val="zh-TW" w:eastAsia="en-US"/>
              </w:rPr>
            </w:pPr>
          </w:p>
        </w:tc>
        <w:tc>
          <w:tcPr>
            <w:tcW w:w="1134" w:type="dxa"/>
            <w:vMerge w:val="continue"/>
            <w:tcBorders>
              <w:left w:val="single" w:color="000000" w:sz="6" w:space="0"/>
              <w:right w:val="single" w:color="000000" w:sz="6" w:space="0"/>
            </w:tcBorders>
            <w:shd w:val="clear" w:color="auto" w:fill="auto"/>
            <w:vAlign w:val="center"/>
          </w:tcPr>
          <w:p>
            <w:pPr>
              <w:autoSpaceDE w:val="0"/>
              <w:autoSpaceDN w:val="0"/>
              <w:jc w:val="center"/>
              <w:rPr>
                <w:rFonts w:cs="宋体" w:asciiTheme="minorEastAsia" w:hAnsiTheme="minorEastAsia" w:eastAsiaTheme="minorEastAsia"/>
                <w:kern w:val="0"/>
                <w:sz w:val="24"/>
                <w:lang w:val="zh-TW" w:eastAsia="en-US"/>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tcPr>
          <w:p>
            <w:pPr>
              <w:pStyle w:val="247"/>
              <w:spacing w:before="65" w:line="221" w:lineRule="auto"/>
              <w:rPr>
                <w:sz w:val="24"/>
                <w:szCs w:val="24"/>
              </w:rPr>
            </w:pPr>
            <w:r>
              <w:rPr>
                <w:spacing w:val="-2"/>
                <w:sz w:val="24"/>
                <w:szCs w:val="24"/>
              </w:rPr>
              <w:t>人员配置</w:t>
            </w:r>
          </w:p>
          <w:p>
            <w:pPr>
              <w:pStyle w:val="247"/>
              <w:spacing w:before="40" w:line="220" w:lineRule="auto"/>
              <w:rPr>
                <w:sz w:val="24"/>
                <w:szCs w:val="24"/>
              </w:rPr>
            </w:pPr>
            <w:r>
              <w:rPr>
                <w:spacing w:val="8"/>
                <w:sz w:val="24"/>
                <w:szCs w:val="24"/>
              </w:rPr>
              <w:t>(5分)</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pStyle w:val="247"/>
              <w:spacing w:before="42" w:line="235" w:lineRule="auto"/>
              <w:ind w:right="129"/>
              <w:rPr>
                <w:sz w:val="24"/>
                <w:szCs w:val="24"/>
                <w:lang w:eastAsia="zh-CN"/>
              </w:rPr>
            </w:pPr>
            <w:r>
              <w:rPr>
                <w:spacing w:val="-1"/>
                <w:sz w:val="24"/>
                <w:szCs w:val="24"/>
                <w:lang w:eastAsia="zh-CN"/>
              </w:rPr>
              <w:t>针对本项目人员配备科学、合理，具有针对本项目的可</w:t>
            </w:r>
            <w:r>
              <w:rPr>
                <w:spacing w:val="15"/>
                <w:sz w:val="24"/>
                <w:szCs w:val="24"/>
                <w:lang w:eastAsia="zh-CN"/>
              </w:rPr>
              <w:t xml:space="preserve"> </w:t>
            </w:r>
            <w:r>
              <w:rPr>
                <w:sz w:val="24"/>
                <w:szCs w:val="24"/>
                <w:lang w:eastAsia="zh-CN"/>
              </w:rPr>
              <w:t>靠专业团队，部门及岗位分工明确合理，人员素质高，能力强，团队稳定，能够准确完成采购人提出相关要求</w:t>
            </w:r>
            <w:r>
              <w:rPr>
                <w:spacing w:val="8"/>
                <w:sz w:val="24"/>
                <w:szCs w:val="24"/>
                <w:lang w:eastAsia="zh-CN"/>
              </w:rPr>
              <w:t xml:space="preserve"> </w:t>
            </w:r>
            <w:r>
              <w:rPr>
                <w:spacing w:val="7"/>
                <w:sz w:val="24"/>
                <w:szCs w:val="24"/>
                <w:lang w:eastAsia="zh-CN"/>
              </w:rPr>
              <w:t>无岗位遗漏、偏差，得5分；</w:t>
            </w:r>
          </w:p>
          <w:p>
            <w:pPr>
              <w:pStyle w:val="247"/>
              <w:spacing w:before="31" w:line="242" w:lineRule="auto"/>
              <w:ind w:left="83"/>
              <w:rPr>
                <w:sz w:val="24"/>
                <w:szCs w:val="24"/>
                <w:lang w:eastAsia="zh-CN"/>
              </w:rPr>
            </w:pPr>
            <w:r>
              <w:rPr>
                <w:spacing w:val="-2"/>
                <w:sz w:val="24"/>
                <w:szCs w:val="24"/>
                <w:lang w:eastAsia="zh-CN"/>
              </w:rPr>
              <w:t xml:space="preserve">人员配备较科学、合理，具有针对本项目的专业团队，  </w:t>
            </w:r>
            <w:r>
              <w:rPr>
                <w:spacing w:val="1"/>
                <w:sz w:val="24"/>
                <w:szCs w:val="24"/>
                <w:lang w:eastAsia="zh-CN"/>
              </w:rPr>
              <w:t>部门及岗位分工较明确合理，人员素质较高，能力较强，</w:t>
            </w:r>
            <w:r>
              <w:rPr>
                <w:spacing w:val="4"/>
                <w:sz w:val="24"/>
                <w:szCs w:val="24"/>
                <w:lang w:eastAsia="zh-CN"/>
              </w:rPr>
              <w:t xml:space="preserve"> </w:t>
            </w:r>
            <w:r>
              <w:rPr>
                <w:spacing w:val="3"/>
                <w:sz w:val="24"/>
                <w:szCs w:val="24"/>
                <w:lang w:eastAsia="zh-CN"/>
              </w:rPr>
              <w:t>团队稳定，能够完成采购人提出相关要求，无岗位遗漏、</w:t>
            </w:r>
            <w:r>
              <w:rPr>
                <w:spacing w:val="4"/>
                <w:sz w:val="24"/>
                <w:szCs w:val="24"/>
                <w:lang w:eastAsia="zh-CN"/>
              </w:rPr>
              <w:t xml:space="preserve"> </w:t>
            </w:r>
            <w:r>
              <w:rPr>
                <w:spacing w:val="1"/>
                <w:sz w:val="24"/>
                <w:szCs w:val="24"/>
                <w:lang w:eastAsia="zh-CN"/>
              </w:rPr>
              <w:t>偏差，得</w:t>
            </w:r>
            <w:r>
              <w:rPr>
                <w:rFonts w:hint="eastAsia"/>
                <w:spacing w:val="1"/>
                <w:sz w:val="24"/>
                <w:szCs w:val="24"/>
                <w:lang w:eastAsia="zh-CN"/>
              </w:rPr>
              <w:t>4</w:t>
            </w:r>
            <w:r>
              <w:rPr>
                <w:spacing w:val="1"/>
                <w:sz w:val="24"/>
                <w:szCs w:val="24"/>
                <w:lang w:eastAsia="zh-CN"/>
              </w:rPr>
              <w:t>分：</w:t>
            </w:r>
          </w:p>
          <w:p>
            <w:pPr>
              <w:pStyle w:val="247"/>
              <w:spacing w:before="42" w:line="233" w:lineRule="auto"/>
              <w:ind w:left="143" w:right="169"/>
              <w:jc w:val="both"/>
              <w:rPr>
                <w:sz w:val="24"/>
                <w:szCs w:val="24"/>
                <w:lang w:eastAsia="zh-CN"/>
              </w:rPr>
            </w:pPr>
            <w:r>
              <w:rPr>
                <w:spacing w:val="-1"/>
                <w:sz w:val="24"/>
                <w:szCs w:val="24"/>
                <w:lang w:eastAsia="zh-CN"/>
              </w:rPr>
              <w:t>人员配备不合理，部门及岗位分工模糊，人员素质和能</w:t>
            </w:r>
            <w:r>
              <w:rPr>
                <w:spacing w:val="13"/>
                <w:sz w:val="24"/>
                <w:szCs w:val="24"/>
                <w:lang w:eastAsia="zh-CN"/>
              </w:rPr>
              <w:t xml:space="preserve"> </w:t>
            </w:r>
            <w:r>
              <w:rPr>
                <w:spacing w:val="2"/>
                <w:sz w:val="24"/>
                <w:szCs w:val="24"/>
                <w:lang w:eastAsia="zh-CN"/>
              </w:rPr>
              <w:t>力欠佳，团队稳定，不能够准确完成采购人提出相关要</w:t>
            </w:r>
            <w:r>
              <w:rPr>
                <w:spacing w:val="1"/>
                <w:sz w:val="24"/>
                <w:szCs w:val="24"/>
                <w:lang w:eastAsia="zh-CN"/>
              </w:rPr>
              <w:t xml:space="preserve"> </w:t>
            </w:r>
            <w:r>
              <w:rPr>
                <w:spacing w:val="6"/>
                <w:sz w:val="24"/>
                <w:szCs w:val="24"/>
                <w:lang w:eastAsia="zh-CN"/>
              </w:rPr>
              <w:t>求，无岗位遗漏、偏差，得</w:t>
            </w:r>
            <w:r>
              <w:rPr>
                <w:rFonts w:hint="eastAsia"/>
                <w:spacing w:val="6"/>
                <w:sz w:val="24"/>
                <w:szCs w:val="24"/>
                <w:lang w:eastAsia="zh-CN"/>
              </w:rPr>
              <w:t>3</w:t>
            </w:r>
            <w:r>
              <w:rPr>
                <w:spacing w:val="6"/>
                <w:sz w:val="24"/>
                <w:szCs w:val="24"/>
                <w:lang w:eastAsia="zh-CN"/>
              </w:rPr>
              <w:t>分；</w:t>
            </w:r>
            <w:r>
              <w:rPr>
                <w:sz w:val="24"/>
                <w:szCs w:val="24"/>
                <w:lang w:eastAsia="zh-CN"/>
              </w:rPr>
              <w:t>无物业人员配置，得0分。</w:t>
            </w:r>
          </w:p>
        </w:tc>
        <w:tc>
          <w:tcPr>
            <w:tcW w:w="850" w:type="dxa"/>
            <w:tcBorders>
              <w:top w:val="single" w:color="000000" w:sz="6" w:space="0"/>
              <w:left w:val="single" w:color="auto" w:sz="4" w:space="0"/>
              <w:bottom w:val="single" w:color="000000" w:sz="6" w:space="0"/>
            </w:tcBorders>
            <w:shd w:val="clear" w:color="auto" w:fill="auto"/>
          </w:tcPr>
          <w:p>
            <w:pPr>
              <w:autoSpaceDE w:val="0"/>
              <w:autoSpaceDN w:val="0"/>
              <w:spacing w:line="250" w:lineRule="auto"/>
              <w:rPr>
                <w:rFonts w:ascii="Calibri" w:hAnsi="Calibri"/>
                <w:kern w:val="0"/>
                <w:sz w:val="24"/>
                <w:lang w:eastAsia="zh-CN"/>
              </w:rPr>
            </w:pPr>
          </w:p>
          <w:p>
            <w:pPr>
              <w:autoSpaceDE w:val="0"/>
              <w:autoSpaceDN w:val="0"/>
              <w:spacing w:line="250" w:lineRule="auto"/>
              <w:rPr>
                <w:rFonts w:ascii="Calibri" w:hAnsi="Calibri"/>
                <w:kern w:val="0"/>
                <w:sz w:val="24"/>
                <w:lang w:eastAsia="zh-CN"/>
              </w:rPr>
            </w:pPr>
          </w:p>
          <w:p>
            <w:pPr>
              <w:autoSpaceDE w:val="0"/>
              <w:autoSpaceDN w:val="0"/>
              <w:spacing w:line="250" w:lineRule="auto"/>
              <w:rPr>
                <w:rFonts w:ascii="Calibri" w:hAnsi="Calibri"/>
                <w:kern w:val="0"/>
                <w:sz w:val="24"/>
                <w:lang w:eastAsia="zh-CN"/>
              </w:rPr>
            </w:pPr>
          </w:p>
          <w:p>
            <w:pPr>
              <w:autoSpaceDE w:val="0"/>
              <w:autoSpaceDN w:val="0"/>
              <w:spacing w:line="250" w:lineRule="auto"/>
              <w:rPr>
                <w:rFonts w:ascii="Calibri" w:hAnsi="Calibri"/>
                <w:kern w:val="0"/>
                <w:sz w:val="24"/>
                <w:lang w:eastAsia="zh-CN"/>
              </w:rPr>
            </w:pPr>
          </w:p>
          <w:p>
            <w:pPr>
              <w:autoSpaceDE w:val="0"/>
              <w:autoSpaceDN w:val="0"/>
              <w:spacing w:line="250" w:lineRule="auto"/>
              <w:rPr>
                <w:rFonts w:ascii="Calibri" w:hAnsi="Calibri"/>
                <w:kern w:val="0"/>
                <w:sz w:val="24"/>
                <w:lang w:eastAsia="zh-CN"/>
              </w:rPr>
            </w:pPr>
          </w:p>
          <w:p>
            <w:pPr>
              <w:pStyle w:val="247"/>
              <w:spacing w:before="65" w:line="184" w:lineRule="auto"/>
              <w:rPr>
                <w:sz w:val="24"/>
                <w:szCs w:val="24"/>
              </w:rPr>
            </w:pPr>
            <w:r>
              <w:rPr>
                <w:spacing w:val="-3"/>
                <w:sz w:val="24"/>
                <w:szCs w:val="24"/>
              </w:rPr>
              <w:t>0-5</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681" w:hRule="atLeast"/>
        </w:trPr>
        <w:tc>
          <w:tcPr>
            <w:tcW w:w="710" w:type="dxa"/>
            <w:vMerge w:val="continue"/>
            <w:tcBorders>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tcPr>
          <w:p>
            <w:pPr>
              <w:pStyle w:val="247"/>
              <w:spacing w:before="65" w:line="219" w:lineRule="auto"/>
              <w:rPr>
                <w:sz w:val="24"/>
                <w:szCs w:val="24"/>
              </w:rPr>
            </w:pPr>
            <w:r>
              <w:rPr>
                <w:spacing w:val="1"/>
                <w:sz w:val="24"/>
                <w:szCs w:val="24"/>
              </w:rPr>
              <w:t>管理培训方案</w:t>
            </w:r>
            <w:r>
              <w:rPr>
                <w:spacing w:val="10"/>
                <w:sz w:val="24"/>
                <w:szCs w:val="24"/>
              </w:rPr>
              <w:t>(8分)</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pStyle w:val="247"/>
              <w:spacing w:before="46" w:line="219" w:lineRule="auto"/>
              <w:ind w:left="103"/>
              <w:rPr>
                <w:sz w:val="24"/>
                <w:szCs w:val="24"/>
                <w:lang w:eastAsia="zh-CN"/>
              </w:rPr>
            </w:pPr>
            <w:r>
              <w:rPr>
                <w:sz w:val="24"/>
                <w:szCs w:val="24"/>
                <w:lang w:eastAsia="zh-CN"/>
              </w:rPr>
              <w:t>管理培训方案及培训方式合理，考虑全面，得8</w:t>
            </w:r>
            <w:r>
              <w:rPr>
                <w:spacing w:val="-1"/>
                <w:sz w:val="24"/>
                <w:szCs w:val="24"/>
                <w:lang w:eastAsia="zh-CN"/>
              </w:rPr>
              <w:t>分</w:t>
            </w:r>
            <w:r>
              <w:rPr>
                <w:rFonts w:hint="eastAsia"/>
                <w:spacing w:val="-1"/>
                <w:sz w:val="24"/>
                <w:szCs w:val="24"/>
                <w:lang w:eastAsia="zh-CN"/>
              </w:rPr>
              <w:t>；</w:t>
            </w:r>
            <w:r>
              <w:rPr>
                <w:spacing w:val="4"/>
                <w:sz w:val="24"/>
                <w:szCs w:val="24"/>
                <w:lang w:eastAsia="zh-CN"/>
              </w:rPr>
              <w:t>管理培训方案及培训方式较合理，考虑较全面，得5</w:t>
            </w:r>
            <w:r>
              <w:rPr>
                <w:spacing w:val="3"/>
                <w:sz w:val="24"/>
                <w:szCs w:val="24"/>
                <w:lang w:eastAsia="zh-CN"/>
              </w:rPr>
              <w:t>分；管理培训方案及培训方式基本合理，考虑基本符合实际</w:t>
            </w:r>
            <w:r>
              <w:rPr>
                <w:spacing w:val="14"/>
                <w:sz w:val="24"/>
                <w:szCs w:val="24"/>
                <w:lang w:eastAsia="zh-CN"/>
              </w:rPr>
              <w:t>需求，得3分；</w:t>
            </w:r>
            <w:r>
              <w:rPr>
                <w:sz w:val="24"/>
                <w:szCs w:val="24"/>
                <w:lang w:eastAsia="zh-CN"/>
              </w:rPr>
              <w:t>管理培训方案及培训方式不合理，不符合实际需求，得</w:t>
            </w:r>
            <w:r>
              <w:rPr>
                <w:spacing w:val="6"/>
                <w:sz w:val="24"/>
                <w:szCs w:val="24"/>
                <w:lang w:eastAsia="zh-CN"/>
              </w:rPr>
              <w:t xml:space="preserve"> </w:t>
            </w:r>
            <w:r>
              <w:rPr>
                <w:spacing w:val="-1"/>
                <w:sz w:val="24"/>
                <w:szCs w:val="24"/>
                <w:lang w:eastAsia="zh-CN"/>
              </w:rPr>
              <w:t>0分。</w:t>
            </w:r>
          </w:p>
        </w:tc>
        <w:tc>
          <w:tcPr>
            <w:tcW w:w="850" w:type="dxa"/>
            <w:tcBorders>
              <w:top w:val="single" w:color="000000" w:sz="6" w:space="0"/>
              <w:left w:val="single" w:color="auto" w:sz="4" w:space="0"/>
              <w:bottom w:val="single" w:color="000000" w:sz="6" w:space="0"/>
            </w:tcBorders>
            <w:shd w:val="clear" w:color="auto" w:fill="auto"/>
          </w:tcPr>
          <w:p>
            <w:pPr>
              <w:pStyle w:val="247"/>
              <w:spacing w:before="65" w:line="183" w:lineRule="auto"/>
              <w:rPr>
                <w:sz w:val="24"/>
                <w:szCs w:val="24"/>
              </w:rPr>
            </w:pPr>
            <w:r>
              <w:rPr>
                <w:spacing w:val="-4"/>
                <w:sz w:val="24"/>
                <w:szCs w:val="24"/>
              </w:rPr>
              <w:t>0-8</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344" w:hRule="atLeast"/>
        </w:trPr>
        <w:tc>
          <w:tcPr>
            <w:tcW w:w="710" w:type="dxa"/>
            <w:vMerge w:val="continue"/>
            <w:tcBorders>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tcPr>
          <w:p>
            <w:pPr>
              <w:pStyle w:val="247"/>
              <w:spacing w:before="22" w:line="240" w:lineRule="exact"/>
              <w:rPr>
                <w:sz w:val="24"/>
                <w:szCs w:val="24"/>
              </w:rPr>
            </w:pPr>
            <w:r>
              <w:rPr>
                <w:spacing w:val="3"/>
                <w:sz w:val="24"/>
                <w:szCs w:val="24"/>
              </w:rPr>
              <w:t>重点、难点</w:t>
            </w:r>
            <w:r>
              <w:rPr>
                <w:spacing w:val="-3"/>
                <w:position w:val="5"/>
                <w:sz w:val="24"/>
                <w:szCs w:val="24"/>
              </w:rPr>
              <w:t>分析</w:t>
            </w:r>
            <w:r>
              <w:rPr>
                <w:spacing w:val="8"/>
                <w:sz w:val="24"/>
                <w:szCs w:val="24"/>
              </w:rPr>
              <w:t>(8分)</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pStyle w:val="247"/>
              <w:spacing w:before="31" w:line="219" w:lineRule="auto"/>
              <w:rPr>
                <w:sz w:val="24"/>
                <w:szCs w:val="24"/>
                <w:lang w:eastAsia="zh-CN"/>
              </w:rPr>
            </w:pPr>
            <w:r>
              <w:rPr>
                <w:sz w:val="24"/>
                <w:szCs w:val="24"/>
                <w:lang w:eastAsia="zh-CN"/>
              </w:rPr>
              <w:t>能充分认识项目实施过程中的重点难点，提出的解决办</w:t>
            </w:r>
            <w:r>
              <w:rPr>
                <w:spacing w:val="5"/>
                <w:sz w:val="24"/>
                <w:szCs w:val="24"/>
                <w:lang w:eastAsia="zh-CN"/>
              </w:rPr>
              <w:t>法切实可行且有针对性，得8分；</w:t>
            </w:r>
            <w:r>
              <w:rPr>
                <w:spacing w:val="-1"/>
                <w:sz w:val="24"/>
                <w:szCs w:val="24"/>
                <w:lang w:eastAsia="zh-CN"/>
              </w:rPr>
              <w:t>能较充分认识项目实施过程中的重点难点，提出的解决</w:t>
            </w:r>
            <w:r>
              <w:rPr>
                <w:spacing w:val="10"/>
                <w:sz w:val="24"/>
                <w:szCs w:val="24"/>
                <w:lang w:eastAsia="zh-CN"/>
              </w:rPr>
              <w:t xml:space="preserve"> </w:t>
            </w:r>
            <w:r>
              <w:rPr>
                <w:spacing w:val="4"/>
                <w:sz w:val="24"/>
                <w:szCs w:val="24"/>
                <w:lang w:eastAsia="zh-CN"/>
              </w:rPr>
              <w:t>办法较切实可行且有针对性，得6分；</w:t>
            </w:r>
            <w:r>
              <w:rPr>
                <w:spacing w:val="-1"/>
                <w:sz w:val="24"/>
                <w:szCs w:val="24"/>
                <w:lang w:eastAsia="zh-CN"/>
              </w:rPr>
              <w:t>基本认识到项目实施过程中的重点难点，提出的解决办</w:t>
            </w:r>
            <w:r>
              <w:rPr>
                <w:spacing w:val="4"/>
                <w:sz w:val="24"/>
                <w:szCs w:val="24"/>
                <w:lang w:eastAsia="zh-CN"/>
              </w:rPr>
              <w:t>法不完全切实可行有针对性，得4分；</w:t>
            </w:r>
            <w:r>
              <w:rPr>
                <w:spacing w:val="-1"/>
                <w:sz w:val="24"/>
                <w:szCs w:val="24"/>
                <w:lang w:eastAsia="zh-CN"/>
              </w:rPr>
              <w:t>不能认识到项目实施过程中的重点难点，未提出解决办</w:t>
            </w:r>
            <w:r>
              <w:rPr>
                <w:spacing w:val="14"/>
                <w:sz w:val="24"/>
                <w:szCs w:val="24"/>
                <w:lang w:eastAsia="zh-CN"/>
              </w:rPr>
              <w:t xml:space="preserve"> </w:t>
            </w:r>
            <w:r>
              <w:rPr>
                <w:sz w:val="24"/>
                <w:szCs w:val="24"/>
                <w:lang w:eastAsia="zh-CN"/>
              </w:rPr>
              <w:t>法，得0分。</w:t>
            </w:r>
          </w:p>
        </w:tc>
        <w:tc>
          <w:tcPr>
            <w:tcW w:w="850" w:type="dxa"/>
            <w:tcBorders>
              <w:top w:val="single" w:color="000000" w:sz="6" w:space="0"/>
              <w:left w:val="single" w:color="auto" w:sz="4" w:space="0"/>
              <w:bottom w:val="single" w:color="000000" w:sz="6" w:space="0"/>
            </w:tcBorders>
            <w:shd w:val="clear" w:color="auto" w:fill="auto"/>
          </w:tcPr>
          <w:p>
            <w:pPr>
              <w:pStyle w:val="247"/>
              <w:spacing w:before="89" w:line="166" w:lineRule="exact"/>
              <w:rPr>
                <w:sz w:val="24"/>
                <w:szCs w:val="24"/>
              </w:rPr>
            </w:pPr>
            <w:r>
              <w:rPr>
                <w:spacing w:val="-4"/>
                <w:position w:val="-2"/>
                <w:sz w:val="24"/>
                <w:szCs w:val="24"/>
              </w:rPr>
              <w:t>0-8</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1372" w:hRule="atLeast"/>
        </w:trPr>
        <w:tc>
          <w:tcPr>
            <w:tcW w:w="710" w:type="dxa"/>
            <w:vMerge w:val="continue"/>
            <w:tcBorders>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val="zh-TW" w:eastAsia="en-US"/>
              </w:rPr>
            </w:pPr>
          </w:p>
        </w:tc>
        <w:tc>
          <w:tcPr>
            <w:tcW w:w="1417" w:type="dxa"/>
            <w:vMerge w:val="restart"/>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tcPr>
          <w:p>
            <w:pPr>
              <w:pStyle w:val="247"/>
              <w:spacing w:before="52" w:line="220" w:lineRule="auto"/>
              <w:rPr>
                <w:sz w:val="24"/>
                <w:szCs w:val="24"/>
              </w:rPr>
            </w:pPr>
            <w:r>
              <w:rPr>
                <w:spacing w:val="-1"/>
                <w:sz w:val="24"/>
                <w:szCs w:val="24"/>
              </w:rPr>
              <w:t>应急措施方案</w:t>
            </w:r>
            <w:r>
              <w:rPr>
                <w:spacing w:val="8"/>
                <w:sz w:val="24"/>
                <w:szCs w:val="24"/>
              </w:rPr>
              <w:t>(8分)</w:t>
            </w:r>
          </w:p>
        </w:tc>
        <w:tc>
          <w:tcPr>
            <w:tcW w:w="5245" w:type="dxa"/>
            <w:vMerge w:val="restart"/>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pStyle w:val="247"/>
              <w:spacing w:before="27" w:line="237" w:lineRule="auto"/>
              <w:ind w:right="220"/>
              <w:rPr>
                <w:sz w:val="24"/>
                <w:szCs w:val="24"/>
                <w:lang w:eastAsia="zh-CN"/>
              </w:rPr>
            </w:pPr>
            <w:r>
              <w:rPr>
                <w:spacing w:val="3"/>
                <w:sz w:val="24"/>
                <w:szCs w:val="24"/>
                <w:lang w:eastAsia="zh-CN"/>
              </w:rPr>
              <w:t>对突发事件的应急措施安排合理，可行性高，得8分；对突发事件的应急措施安排较合理，可行，得5分；</w:t>
            </w:r>
            <w:r>
              <w:rPr>
                <w:spacing w:val="-1"/>
                <w:sz w:val="24"/>
                <w:szCs w:val="24"/>
                <w:lang w:eastAsia="zh-CN"/>
              </w:rPr>
              <w:t>对突发事件的应急措施安排基本合理，基本可行，得3</w:t>
            </w:r>
            <w:r>
              <w:rPr>
                <w:spacing w:val="-5"/>
                <w:sz w:val="24"/>
                <w:szCs w:val="24"/>
                <w:lang w:eastAsia="zh-CN"/>
              </w:rPr>
              <w:t>分</w:t>
            </w:r>
            <w:r>
              <w:rPr>
                <w:spacing w:val="-35"/>
                <w:sz w:val="24"/>
                <w:szCs w:val="24"/>
                <w:lang w:eastAsia="zh-CN"/>
              </w:rPr>
              <w:t xml:space="preserve"> </w:t>
            </w:r>
            <w:r>
              <w:rPr>
                <w:spacing w:val="-5"/>
                <w:sz w:val="24"/>
                <w:szCs w:val="24"/>
                <w:lang w:eastAsia="zh-CN"/>
              </w:rPr>
              <w:t>：</w:t>
            </w:r>
            <w:r>
              <w:rPr>
                <w:spacing w:val="3"/>
                <w:sz w:val="24"/>
                <w:szCs w:val="24"/>
                <w:lang w:eastAsia="zh-CN"/>
              </w:rPr>
              <w:t>对突发事件的应急措施安排不合理，不可行，得0分；</w:t>
            </w:r>
          </w:p>
        </w:tc>
        <w:tc>
          <w:tcPr>
            <w:tcW w:w="850" w:type="dxa"/>
            <w:vMerge w:val="restart"/>
            <w:tcBorders>
              <w:top w:val="single" w:color="000000" w:sz="6" w:space="0"/>
              <w:left w:val="single" w:color="auto" w:sz="4" w:space="0"/>
              <w:bottom w:val="single" w:color="auto" w:sz="4" w:space="0"/>
            </w:tcBorders>
            <w:shd w:val="clear" w:color="auto" w:fill="auto"/>
          </w:tcPr>
          <w:p>
            <w:pPr>
              <w:pStyle w:val="247"/>
              <w:spacing w:before="52" w:line="183" w:lineRule="auto"/>
              <w:rPr>
                <w:sz w:val="24"/>
                <w:szCs w:val="24"/>
              </w:rPr>
            </w:pPr>
            <w:r>
              <w:rPr>
                <w:spacing w:val="-3"/>
                <w:sz w:val="24"/>
                <w:szCs w:val="24"/>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710" w:type="dxa"/>
            <w:shd w:val="clear" w:color="auto" w:fill="auto"/>
            <w:tcMar>
              <w:top w:w="80" w:type="dxa"/>
              <w:left w:w="80" w:type="dxa"/>
              <w:bottom w:w="80" w:type="dxa"/>
              <w:right w:w="80" w:type="dxa"/>
            </w:tcMar>
            <w:vAlign w:val="center"/>
          </w:tcPr>
          <w:p>
            <w:pPr>
              <w:autoSpaceDE w:val="0"/>
              <w:autoSpaceDN w:val="0"/>
              <w:rPr>
                <w:rFonts w:asciiTheme="minorEastAsia" w:hAnsiTheme="minorEastAsia" w:eastAsiaTheme="minorEastAsia"/>
                <w:kern w:val="0"/>
                <w:sz w:val="24"/>
                <w:lang w:eastAsia="en-US"/>
              </w:rPr>
            </w:pPr>
          </w:p>
        </w:tc>
        <w:tc>
          <w:tcPr>
            <w:tcW w:w="1134" w:type="dxa"/>
            <w:tcBorders>
              <w:right w:val="single" w:color="000000" w:sz="6" w:space="0"/>
            </w:tcBorders>
            <w:shd w:val="clear" w:color="auto" w:fill="auto"/>
            <w:tcMar>
              <w:top w:w="80" w:type="dxa"/>
              <w:left w:w="80" w:type="dxa"/>
              <w:bottom w:w="80" w:type="dxa"/>
              <w:right w:w="80" w:type="dxa"/>
            </w:tcMar>
            <w:vAlign w:val="center"/>
          </w:tcPr>
          <w:p>
            <w:pPr>
              <w:autoSpaceDE w:val="0"/>
              <w:autoSpaceDN w:val="0"/>
              <w:rPr>
                <w:rFonts w:asciiTheme="minorEastAsia" w:hAnsiTheme="minorEastAsia" w:eastAsiaTheme="minorEastAsia"/>
                <w:kern w:val="0"/>
                <w:sz w:val="24"/>
                <w:lang w:eastAsia="en-US"/>
              </w:rPr>
            </w:pPr>
          </w:p>
        </w:tc>
        <w:tc>
          <w:tcPr>
            <w:tcW w:w="1417" w:type="dxa"/>
            <w:vMerge w:val="continue"/>
            <w:tcBorders>
              <w:left w:val="single" w:color="000000" w:sz="6" w:space="0"/>
              <w:right w:val="single" w:color="000000" w:sz="6" w:space="0"/>
            </w:tcBorders>
            <w:shd w:val="clear" w:color="auto" w:fill="auto"/>
            <w:tcMar>
              <w:top w:w="80" w:type="dxa"/>
              <w:left w:w="80" w:type="dxa"/>
              <w:bottom w:w="80" w:type="dxa"/>
              <w:right w:w="80" w:type="dxa"/>
            </w:tcMar>
            <w:vAlign w:val="center"/>
          </w:tcPr>
          <w:p>
            <w:pPr>
              <w:autoSpaceDE w:val="0"/>
              <w:autoSpaceDN w:val="0"/>
              <w:jc w:val="center"/>
              <w:rPr>
                <w:rFonts w:asciiTheme="minorEastAsia" w:hAnsiTheme="minorEastAsia" w:eastAsiaTheme="minorEastAsia"/>
                <w:kern w:val="0"/>
                <w:sz w:val="24"/>
                <w:lang w:eastAsia="en-US"/>
              </w:rPr>
            </w:pPr>
          </w:p>
        </w:tc>
        <w:tc>
          <w:tcPr>
            <w:tcW w:w="5245" w:type="dxa"/>
            <w:vMerge w:val="continue"/>
            <w:tcBorders>
              <w:left w:val="single" w:color="000000" w:sz="6" w:space="0"/>
              <w:right w:val="single" w:color="auto" w:sz="4" w:space="0"/>
            </w:tcBorders>
            <w:shd w:val="clear" w:color="auto" w:fill="auto"/>
            <w:tcMar>
              <w:top w:w="80" w:type="dxa"/>
              <w:left w:w="80" w:type="dxa"/>
              <w:bottom w:w="80" w:type="dxa"/>
              <w:right w:w="80" w:type="dxa"/>
            </w:tcMar>
            <w:vAlign w:val="center"/>
          </w:tcPr>
          <w:p>
            <w:pPr>
              <w:autoSpaceDE w:val="0"/>
              <w:autoSpaceDN w:val="0"/>
              <w:jc w:val="center"/>
              <w:rPr>
                <w:rFonts w:asciiTheme="minorEastAsia" w:hAnsiTheme="minorEastAsia" w:eastAsiaTheme="minorEastAsia"/>
                <w:kern w:val="0"/>
                <w:sz w:val="24"/>
                <w:lang w:eastAsia="en-US"/>
              </w:rPr>
            </w:pPr>
          </w:p>
        </w:tc>
        <w:tc>
          <w:tcPr>
            <w:tcW w:w="850" w:type="dxa"/>
            <w:vMerge w:val="continue"/>
            <w:tcBorders>
              <w:left w:val="single" w:color="auto" w:sz="4" w:space="0"/>
            </w:tcBorders>
            <w:shd w:val="clear" w:color="auto" w:fill="auto"/>
            <w:vAlign w:val="center"/>
          </w:tcPr>
          <w:p>
            <w:pPr>
              <w:autoSpaceDE w:val="0"/>
              <w:autoSpaceDN w:val="0"/>
              <w:jc w:val="center"/>
              <w:rPr>
                <w:rFonts w:asciiTheme="minorEastAsia" w:hAnsiTheme="minorEastAsia" w:eastAsiaTheme="minorEastAsia"/>
                <w:kern w:val="0"/>
                <w:sz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1" w:hRule="atLeast"/>
        </w:trPr>
        <w:tc>
          <w:tcPr>
            <w:tcW w:w="710" w:type="dxa"/>
            <w:vMerge w:val="restart"/>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eastAsia="en-US"/>
              </w:rPr>
            </w:pPr>
          </w:p>
        </w:tc>
        <w:tc>
          <w:tcPr>
            <w:tcW w:w="1134" w:type="dxa"/>
            <w:vMerge w:val="restart"/>
            <w:shd w:val="clear" w:color="auto" w:fill="auto"/>
            <w:tcMar>
              <w:top w:w="80" w:type="dxa"/>
              <w:left w:w="80" w:type="dxa"/>
              <w:bottom w:w="80" w:type="dxa"/>
              <w:right w:w="80" w:type="dxa"/>
            </w:tcMar>
            <w:vAlign w:val="center"/>
          </w:tcPr>
          <w:p>
            <w:pPr>
              <w:autoSpaceDE w:val="0"/>
              <w:autoSpaceDN w:val="0"/>
              <w:rPr>
                <w:rFonts w:cs="宋体" w:asciiTheme="minorEastAsia" w:hAnsiTheme="minorEastAsia" w:eastAsiaTheme="minorEastAsia"/>
                <w:kern w:val="0"/>
                <w:sz w:val="24"/>
                <w:lang w:val="zh-TW" w:eastAsia="en-US"/>
              </w:rPr>
            </w:pPr>
          </w:p>
        </w:tc>
        <w:tc>
          <w:tcPr>
            <w:tcW w:w="1417" w:type="dxa"/>
            <w:shd w:val="clear" w:color="auto" w:fill="auto"/>
            <w:tcMar>
              <w:top w:w="80" w:type="dxa"/>
              <w:left w:w="80" w:type="dxa"/>
              <w:bottom w:w="80" w:type="dxa"/>
              <w:right w:w="80" w:type="dxa"/>
            </w:tcMar>
          </w:tcPr>
          <w:p>
            <w:pPr>
              <w:pStyle w:val="247"/>
              <w:spacing w:before="52" w:line="211" w:lineRule="exact"/>
              <w:rPr>
                <w:sz w:val="24"/>
                <w:szCs w:val="24"/>
              </w:rPr>
            </w:pPr>
            <w:r>
              <w:rPr>
                <w:spacing w:val="-2"/>
                <w:position w:val="3"/>
                <w:sz w:val="24"/>
                <w:szCs w:val="24"/>
              </w:rPr>
              <w:t>服务承诺</w:t>
            </w:r>
          </w:p>
          <w:p>
            <w:pPr>
              <w:pStyle w:val="247"/>
              <w:spacing w:line="220" w:lineRule="auto"/>
              <w:rPr>
                <w:sz w:val="24"/>
                <w:szCs w:val="24"/>
              </w:rPr>
            </w:pPr>
            <w:r>
              <w:rPr>
                <w:spacing w:val="8"/>
                <w:sz w:val="24"/>
                <w:szCs w:val="24"/>
              </w:rPr>
              <w:t>(8分)</w:t>
            </w:r>
          </w:p>
        </w:tc>
        <w:tc>
          <w:tcPr>
            <w:tcW w:w="5245" w:type="dxa"/>
            <w:shd w:val="clear" w:color="auto" w:fill="auto"/>
            <w:tcMar>
              <w:top w:w="80" w:type="dxa"/>
              <w:left w:w="80" w:type="dxa"/>
              <w:bottom w:w="80" w:type="dxa"/>
              <w:right w:w="80" w:type="dxa"/>
            </w:tcMar>
          </w:tcPr>
          <w:p>
            <w:pPr>
              <w:pStyle w:val="247"/>
              <w:spacing w:before="38" w:line="237" w:lineRule="auto"/>
              <w:ind w:right="227"/>
              <w:rPr>
                <w:sz w:val="24"/>
                <w:szCs w:val="24"/>
                <w:lang w:eastAsia="zh-CN"/>
              </w:rPr>
            </w:pPr>
            <w:r>
              <w:rPr>
                <w:spacing w:val="-1"/>
                <w:sz w:val="24"/>
                <w:szCs w:val="24"/>
                <w:lang w:eastAsia="zh-CN"/>
              </w:rPr>
              <w:t>所提供的服务承诺闸述合理、明确，有针对性的问题响</w:t>
            </w:r>
            <w:r>
              <w:rPr>
                <w:spacing w:val="16"/>
                <w:sz w:val="24"/>
                <w:szCs w:val="24"/>
                <w:lang w:eastAsia="zh-CN"/>
              </w:rPr>
              <w:t xml:space="preserve"> </w:t>
            </w:r>
            <w:r>
              <w:rPr>
                <w:spacing w:val="10"/>
                <w:sz w:val="24"/>
                <w:szCs w:val="24"/>
                <w:lang w:eastAsia="zh-CN"/>
              </w:rPr>
              <w:t>应承诺，得8分；</w:t>
            </w:r>
            <w:r>
              <w:rPr>
                <w:spacing w:val="-1"/>
                <w:sz w:val="24"/>
                <w:szCs w:val="24"/>
                <w:lang w:eastAsia="zh-CN"/>
              </w:rPr>
              <w:t>所提供的服务承诺阐述较合理、较明确、有问题响应承</w:t>
            </w:r>
            <w:r>
              <w:rPr>
                <w:spacing w:val="16"/>
                <w:sz w:val="24"/>
                <w:szCs w:val="24"/>
                <w:lang w:eastAsia="zh-CN"/>
              </w:rPr>
              <w:t xml:space="preserve"> </w:t>
            </w:r>
            <w:r>
              <w:rPr>
                <w:spacing w:val="-1"/>
                <w:sz w:val="24"/>
                <w:szCs w:val="24"/>
                <w:lang w:eastAsia="zh-CN"/>
              </w:rPr>
              <w:t>诺，得5分：</w:t>
            </w:r>
            <w:r>
              <w:rPr>
                <w:spacing w:val="-3"/>
                <w:sz w:val="24"/>
                <w:szCs w:val="24"/>
                <w:lang w:eastAsia="zh-CN"/>
              </w:rPr>
              <w:t>所提供的服务承诺阐述一般、</w:t>
            </w:r>
            <w:r>
              <w:rPr>
                <w:spacing w:val="-16"/>
                <w:sz w:val="24"/>
                <w:szCs w:val="24"/>
                <w:lang w:eastAsia="zh-CN"/>
              </w:rPr>
              <w:t xml:space="preserve"> </w:t>
            </w:r>
            <w:r>
              <w:rPr>
                <w:spacing w:val="-3"/>
                <w:sz w:val="24"/>
                <w:szCs w:val="24"/>
                <w:lang w:eastAsia="zh-CN"/>
              </w:rPr>
              <w:t>一般明确、有问题响应承</w:t>
            </w:r>
            <w:r>
              <w:rPr>
                <w:sz w:val="24"/>
                <w:szCs w:val="24"/>
                <w:lang w:eastAsia="zh-CN"/>
              </w:rPr>
              <w:t xml:space="preserve"> </w:t>
            </w:r>
            <w:r>
              <w:rPr>
                <w:spacing w:val="-1"/>
                <w:sz w:val="24"/>
                <w:szCs w:val="24"/>
                <w:lang w:eastAsia="zh-CN"/>
              </w:rPr>
              <w:t>诺，得3分：所提供的服务承诺不合理、不明确、问题响应承诺有缺</w:t>
            </w:r>
            <w:r>
              <w:rPr>
                <w:spacing w:val="16"/>
                <w:sz w:val="24"/>
                <w:szCs w:val="24"/>
                <w:lang w:eastAsia="zh-CN"/>
              </w:rPr>
              <w:t xml:space="preserve"> </w:t>
            </w:r>
            <w:r>
              <w:rPr>
                <w:spacing w:val="-1"/>
                <w:sz w:val="24"/>
                <w:szCs w:val="24"/>
                <w:lang w:eastAsia="zh-CN"/>
              </w:rPr>
              <w:t>陷，得0分。</w:t>
            </w:r>
          </w:p>
        </w:tc>
        <w:tc>
          <w:tcPr>
            <w:tcW w:w="850" w:type="dxa"/>
            <w:shd w:val="clear" w:color="auto" w:fill="auto"/>
          </w:tcPr>
          <w:p>
            <w:pPr>
              <w:autoSpaceDE w:val="0"/>
              <w:autoSpaceDN w:val="0"/>
              <w:spacing w:line="258" w:lineRule="auto"/>
              <w:rPr>
                <w:rFonts w:ascii="Calibri" w:hAnsi="Calibri"/>
                <w:kern w:val="0"/>
                <w:sz w:val="24"/>
                <w:lang w:eastAsia="zh-CN"/>
              </w:rPr>
            </w:pPr>
          </w:p>
          <w:p>
            <w:pPr>
              <w:autoSpaceDE w:val="0"/>
              <w:autoSpaceDN w:val="0"/>
              <w:spacing w:line="258" w:lineRule="auto"/>
              <w:rPr>
                <w:rFonts w:ascii="Calibri" w:hAnsi="Calibri"/>
                <w:kern w:val="0"/>
                <w:sz w:val="24"/>
                <w:lang w:eastAsia="zh-CN"/>
              </w:rPr>
            </w:pPr>
          </w:p>
          <w:p>
            <w:pPr>
              <w:autoSpaceDE w:val="0"/>
              <w:autoSpaceDN w:val="0"/>
              <w:spacing w:line="258" w:lineRule="auto"/>
              <w:rPr>
                <w:rFonts w:ascii="Calibri" w:hAnsi="Calibri"/>
                <w:kern w:val="0"/>
                <w:sz w:val="24"/>
                <w:lang w:eastAsia="zh-CN"/>
              </w:rPr>
            </w:pPr>
          </w:p>
          <w:p>
            <w:pPr>
              <w:pStyle w:val="247"/>
              <w:spacing w:before="52" w:line="183" w:lineRule="auto"/>
              <w:ind w:left="368"/>
              <w:rPr>
                <w:sz w:val="24"/>
                <w:szCs w:val="24"/>
              </w:rPr>
            </w:pPr>
            <w:r>
              <w:rPr>
                <w:spacing w:val="-3"/>
                <w:sz w:val="24"/>
                <w:szCs w:val="24"/>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0" w:hRule="atLeast"/>
        </w:trPr>
        <w:tc>
          <w:tcPr>
            <w:tcW w:w="710" w:type="dxa"/>
            <w:vMerge w:val="continue"/>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eastAsia="en-US"/>
              </w:rPr>
            </w:pPr>
          </w:p>
        </w:tc>
        <w:tc>
          <w:tcPr>
            <w:tcW w:w="1134" w:type="dxa"/>
            <w:vMerge w:val="continue"/>
            <w:shd w:val="clear" w:color="auto" w:fill="auto"/>
            <w:tcMar>
              <w:top w:w="80" w:type="dxa"/>
              <w:left w:w="80" w:type="dxa"/>
              <w:bottom w:w="80" w:type="dxa"/>
              <w:right w:w="80" w:type="dxa"/>
            </w:tcMar>
            <w:vAlign w:val="center"/>
          </w:tcPr>
          <w:p>
            <w:pPr>
              <w:autoSpaceDE w:val="0"/>
              <w:autoSpaceDN w:val="0"/>
              <w:rPr>
                <w:rFonts w:cs="宋体" w:asciiTheme="minorEastAsia" w:hAnsiTheme="minorEastAsia" w:eastAsiaTheme="minorEastAsia"/>
                <w:kern w:val="0"/>
                <w:sz w:val="24"/>
                <w:lang w:val="zh-TW" w:eastAsia="en-US"/>
              </w:rPr>
            </w:pPr>
          </w:p>
        </w:tc>
        <w:tc>
          <w:tcPr>
            <w:tcW w:w="1417" w:type="dxa"/>
            <w:shd w:val="clear" w:color="auto" w:fill="auto"/>
            <w:tcMar>
              <w:top w:w="80" w:type="dxa"/>
              <w:left w:w="80" w:type="dxa"/>
              <w:bottom w:w="80" w:type="dxa"/>
              <w:right w:w="80" w:type="dxa"/>
            </w:tcMar>
          </w:tcPr>
          <w:p>
            <w:pPr>
              <w:pStyle w:val="247"/>
              <w:spacing w:before="52" w:line="219" w:lineRule="auto"/>
              <w:rPr>
                <w:sz w:val="24"/>
                <w:szCs w:val="24"/>
              </w:rPr>
            </w:pPr>
            <w:r>
              <w:rPr>
                <w:spacing w:val="-2"/>
                <w:sz w:val="24"/>
                <w:szCs w:val="24"/>
              </w:rPr>
              <w:t>管理规章制度</w:t>
            </w:r>
            <w:r>
              <w:rPr>
                <w:spacing w:val="8"/>
                <w:sz w:val="24"/>
                <w:szCs w:val="24"/>
              </w:rPr>
              <w:t>(6分)</w:t>
            </w:r>
          </w:p>
        </w:tc>
        <w:tc>
          <w:tcPr>
            <w:tcW w:w="5245" w:type="dxa"/>
            <w:shd w:val="clear" w:color="auto" w:fill="auto"/>
            <w:tcMar>
              <w:top w:w="80" w:type="dxa"/>
              <w:left w:w="80" w:type="dxa"/>
              <w:bottom w:w="80" w:type="dxa"/>
              <w:right w:w="80" w:type="dxa"/>
            </w:tcMar>
          </w:tcPr>
          <w:p>
            <w:pPr>
              <w:pStyle w:val="247"/>
              <w:spacing w:before="32" w:line="239" w:lineRule="auto"/>
              <w:ind w:right="221"/>
              <w:jc w:val="both"/>
              <w:rPr>
                <w:sz w:val="24"/>
                <w:szCs w:val="24"/>
                <w:lang w:eastAsia="zh-CN"/>
              </w:rPr>
            </w:pPr>
            <w:r>
              <w:rPr>
                <w:spacing w:val="3"/>
                <w:sz w:val="24"/>
                <w:szCs w:val="24"/>
                <w:lang w:eastAsia="zh-CN"/>
              </w:rPr>
              <w:t>管理规章制度完善详细、科学合理、先进性强得6分；</w:t>
            </w:r>
            <w:r>
              <w:rPr>
                <w:spacing w:val="6"/>
                <w:sz w:val="24"/>
                <w:szCs w:val="24"/>
                <w:lang w:eastAsia="zh-CN"/>
              </w:rPr>
              <w:t xml:space="preserve"> </w:t>
            </w:r>
            <w:r>
              <w:rPr>
                <w:spacing w:val="-1"/>
                <w:sz w:val="24"/>
                <w:szCs w:val="24"/>
                <w:lang w:eastAsia="zh-CN"/>
              </w:rPr>
              <w:t>管理规章制度较完善详细、较科学合理、先进性较强得</w:t>
            </w:r>
            <w:r>
              <w:rPr>
                <w:spacing w:val="12"/>
                <w:sz w:val="24"/>
                <w:szCs w:val="24"/>
                <w:lang w:eastAsia="zh-CN"/>
              </w:rPr>
              <w:t xml:space="preserve"> </w:t>
            </w:r>
            <w:r>
              <w:rPr>
                <w:spacing w:val="-5"/>
                <w:sz w:val="24"/>
                <w:szCs w:val="24"/>
                <w:lang w:eastAsia="zh-CN"/>
              </w:rPr>
              <w:t>4</w:t>
            </w:r>
            <w:r>
              <w:rPr>
                <w:spacing w:val="-11"/>
                <w:sz w:val="24"/>
                <w:szCs w:val="24"/>
                <w:lang w:eastAsia="zh-CN"/>
              </w:rPr>
              <w:t xml:space="preserve"> </w:t>
            </w:r>
            <w:r>
              <w:rPr>
                <w:spacing w:val="-5"/>
                <w:sz w:val="24"/>
                <w:szCs w:val="24"/>
                <w:lang w:eastAsia="zh-CN"/>
              </w:rPr>
              <w:t>分</w:t>
            </w:r>
            <w:r>
              <w:rPr>
                <w:spacing w:val="-18"/>
                <w:sz w:val="24"/>
                <w:szCs w:val="24"/>
                <w:lang w:eastAsia="zh-CN"/>
              </w:rPr>
              <w:t xml:space="preserve"> </w:t>
            </w:r>
            <w:r>
              <w:rPr>
                <w:spacing w:val="-5"/>
                <w:sz w:val="24"/>
                <w:szCs w:val="24"/>
                <w:lang w:eastAsia="zh-CN"/>
              </w:rPr>
              <w:t>；</w:t>
            </w:r>
            <w:r>
              <w:rPr>
                <w:sz w:val="24"/>
                <w:szCs w:val="24"/>
                <w:lang w:eastAsia="zh-CN"/>
              </w:rPr>
              <w:t>管理规章制度一般、科学合理性一般、先进性一般得2</w:t>
            </w:r>
            <w:r>
              <w:rPr>
                <w:spacing w:val="9"/>
                <w:sz w:val="24"/>
                <w:szCs w:val="24"/>
                <w:lang w:eastAsia="zh-CN"/>
              </w:rPr>
              <w:t xml:space="preserve"> </w:t>
            </w:r>
            <w:r>
              <w:rPr>
                <w:spacing w:val="-5"/>
                <w:sz w:val="24"/>
                <w:szCs w:val="24"/>
                <w:lang w:eastAsia="zh-CN"/>
              </w:rPr>
              <w:t>分</w:t>
            </w:r>
            <w:r>
              <w:rPr>
                <w:spacing w:val="-35"/>
                <w:sz w:val="24"/>
                <w:szCs w:val="24"/>
                <w:lang w:eastAsia="zh-CN"/>
              </w:rPr>
              <w:t xml:space="preserve"> </w:t>
            </w:r>
            <w:r>
              <w:rPr>
                <w:spacing w:val="-5"/>
                <w:sz w:val="24"/>
                <w:szCs w:val="24"/>
                <w:lang w:eastAsia="zh-CN"/>
              </w:rPr>
              <w:t>：</w:t>
            </w:r>
            <w:r>
              <w:rPr>
                <w:sz w:val="24"/>
                <w:szCs w:val="24"/>
                <w:lang w:eastAsia="zh-CN"/>
              </w:rPr>
              <w:t>管理规章制度不完善，不详细、无科学合理性、先进</w:t>
            </w:r>
            <w:r>
              <w:rPr>
                <w:spacing w:val="-1"/>
                <w:sz w:val="24"/>
                <w:szCs w:val="24"/>
                <w:lang w:eastAsia="zh-CN"/>
              </w:rPr>
              <w:t>性，</w:t>
            </w:r>
            <w:r>
              <w:rPr>
                <w:sz w:val="24"/>
                <w:szCs w:val="24"/>
                <w:lang w:eastAsia="zh-CN"/>
              </w:rPr>
              <w:t xml:space="preserve"> </w:t>
            </w:r>
            <w:r>
              <w:rPr>
                <w:spacing w:val="-6"/>
                <w:sz w:val="24"/>
                <w:szCs w:val="24"/>
                <w:lang w:eastAsia="zh-CN"/>
              </w:rPr>
              <w:t>得</w:t>
            </w:r>
            <w:r>
              <w:rPr>
                <w:spacing w:val="-31"/>
                <w:sz w:val="24"/>
                <w:szCs w:val="24"/>
                <w:lang w:eastAsia="zh-CN"/>
              </w:rPr>
              <w:t xml:space="preserve"> </w:t>
            </w:r>
            <w:r>
              <w:rPr>
                <w:spacing w:val="-6"/>
                <w:sz w:val="24"/>
                <w:szCs w:val="24"/>
                <w:lang w:eastAsia="zh-CN"/>
              </w:rPr>
              <w:t>0</w:t>
            </w:r>
            <w:r>
              <w:rPr>
                <w:spacing w:val="-30"/>
                <w:sz w:val="24"/>
                <w:szCs w:val="24"/>
                <w:lang w:eastAsia="zh-CN"/>
              </w:rPr>
              <w:t xml:space="preserve"> </w:t>
            </w:r>
            <w:r>
              <w:rPr>
                <w:spacing w:val="-6"/>
                <w:sz w:val="24"/>
                <w:szCs w:val="24"/>
                <w:lang w:eastAsia="zh-CN"/>
              </w:rPr>
              <w:t>分</w:t>
            </w:r>
            <w:r>
              <w:rPr>
                <w:spacing w:val="-39"/>
                <w:sz w:val="24"/>
                <w:szCs w:val="24"/>
                <w:lang w:eastAsia="zh-CN"/>
              </w:rPr>
              <w:t xml:space="preserve"> </w:t>
            </w:r>
            <w:r>
              <w:rPr>
                <w:spacing w:val="-6"/>
                <w:sz w:val="24"/>
                <w:szCs w:val="24"/>
                <w:lang w:eastAsia="zh-CN"/>
              </w:rPr>
              <w:t>；</w:t>
            </w:r>
          </w:p>
        </w:tc>
        <w:tc>
          <w:tcPr>
            <w:tcW w:w="850" w:type="dxa"/>
            <w:shd w:val="clear" w:color="auto" w:fill="auto"/>
          </w:tcPr>
          <w:p>
            <w:pPr>
              <w:autoSpaceDE w:val="0"/>
              <w:autoSpaceDN w:val="0"/>
              <w:spacing w:line="333" w:lineRule="auto"/>
              <w:rPr>
                <w:rFonts w:ascii="Calibri" w:hAnsi="Calibri"/>
                <w:kern w:val="0"/>
                <w:sz w:val="24"/>
                <w:lang w:eastAsia="zh-CN"/>
              </w:rPr>
            </w:pPr>
          </w:p>
          <w:p>
            <w:pPr>
              <w:autoSpaceDE w:val="0"/>
              <w:autoSpaceDN w:val="0"/>
              <w:spacing w:line="334" w:lineRule="auto"/>
              <w:rPr>
                <w:rFonts w:ascii="Calibri" w:hAnsi="Calibri"/>
                <w:kern w:val="0"/>
                <w:sz w:val="24"/>
                <w:lang w:eastAsia="zh-CN"/>
              </w:rPr>
            </w:pPr>
          </w:p>
          <w:p>
            <w:pPr>
              <w:pStyle w:val="247"/>
              <w:spacing w:before="52" w:line="183" w:lineRule="auto"/>
              <w:ind w:left="368"/>
              <w:rPr>
                <w:sz w:val="24"/>
                <w:szCs w:val="24"/>
              </w:rPr>
            </w:pPr>
            <w:r>
              <w:rPr>
                <w:spacing w:val="-3"/>
                <w:sz w:val="24"/>
                <w:szCs w:val="24"/>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5" w:hRule="atLeast"/>
        </w:trPr>
        <w:tc>
          <w:tcPr>
            <w:tcW w:w="710" w:type="dxa"/>
            <w:vMerge w:val="continue"/>
            <w:shd w:val="clear" w:color="auto" w:fill="auto"/>
            <w:tcMar>
              <w:top w:w="80" w:type="dxa"/>
              <w:left w:w="80" w:type="dxa"/>
              <w:bottom w:w="80" w:type="dxa"/>
              <w:right w:w="80" w:type="dxa"/>
            </w:tcMar>
            <w:vAlign w:val="center"/>
          </w:tcPr>
          <w:p>
            <w:pPr>
              <w:autoSpaceDE w:val="0"/>
              <w:autoSpaceDN w:val="0"/>
              <w:jc w:val="center"/>
              <w:rPr>
                <w:rFonts w:cs="宋体" w:asciiTheme="minorEastAsia" w:hAnsiTheme="minorEastAsia" w:eastAsiaTheme="minorEastAsia"/>
                <w:kern w:val="0"/>
                <w:sz w:val="24"/>
                <w:lang w:eastAsia="en-US"/>
              </w:rPr>
            </w:pPr>
          </w:p>
        </w:tc>
        <w:tc>
          <w:tcPr>
            <w:tcW w:w="1134" w:type="dxa"/>
            <w:vMerge w:val="continue"/>
            <w:shd w:val="clear" w:color="auto" w:fill="auto"/>
            <w:tcMar>
              <w:top w:w="80" w:type="dxa"/>
              <w:left w:w="80" w:type="dxa"/>
              <w:bottom w:w="80" w:type="dxa"/>
              <w:right w:w="80" w:type="dxa"/>
            </w:tcMar>
            <w:vAlign w:val="center"/>
          </w:tcPr>
          <w:p>
            <w:pPr>
              <w:autoSpaceDE w:val="0"/>
              <w:autoSpaceDN w:val="0"/>
              <w:rPr>
                <w:rFonts w:cs="宋体" w:asciiTheme="minorEastAsia" w:hAnsiTheme="minorEastAsia" w:eastAsiaTheme="minorEastAsia"/>
                <w:kern w:val="0"/>
                <w:sz w:val="24"/>
                <w:lang w:val="zh-TW" w:eastAsia="en-US"/>
              </w:rPr>
            </w:pPr>
          </w:p>
        </w:tc>
        <w:tc>
          <w:tcPr>
            <w:tcW w:w="1417" w:type="dxa"/>
            <w:shd w:val="clear" w:color="auto" w:fill="auto"/>
            <w:tcMar>
              <w:top w:w="80" w:type="dxa"/>
              <w:left w:w="80" w:type="dxa"/>
              <w:bottom w:w="80" w:type="dxa"/>
              <w:right w:w="80" w:type="dxa"/>
            </w:tcMar>
          </w:tcPr>
          <w:p>
            <w:pPr>
              <w:pStyle w:val="247"/>
              <w:spacing w:before="155" w:line="220" w:lineRule="auto"/>
              <w:rPr>
                <w:sz w:val="24"/>
                <w:szCs w:val="24"/>
              </w:rPr>
            </w:pPr>
            <w:r>
              <w:rPr>
                <w:spacing w:val="-1"/>
                <w:sz w:val="24"/>
                <w:szCs w:val="24"/>
              </w:rPr>
              <w:t>节能环保情况</w:t>
            </w:r>
            <w:r>
              <w:rPr>
                <w:spacing w:val="8"/>
                <w:sz w:val="24"/>
                <w:szCs w:val="24"/>
              </w:rPr>
              <w:t>(2分)</w:t>
            </w:r>
          </w:p>
        </w:tc>
        <w:tc>
          <w:tcPr>
            <w:tcW w:w="5245" w:type="dxa"/>
            <w:shd w:val="clear" w:color="auto" w:fill="auto"/>
            <w:tcMar>
              <w:top w:w="80" w:type="dxa"/>
              <w:left w:w="80" w:type="dxa"/>
              <w:bottom w:w="80" w:type="dxa"/>
              <w:right w:w="80" w:type="dxa"/>
            </w:tcMar>
          </w:tcPr>
          <w:p>
            <w:pPr>
              <w:pStyle w:val="247"/>
              <w:spacing w:before="33" w:line="242" w:lineRule="auto"/>
              <w:ind w:right="67"/>
              <w:rPr>
                <w:sz w:val="24"/>
                <w:szCs w:val="24"/>
                <w:lang w:eastAsia="zh-CN"/>
              </w:rPr>
            </w:pPr>
            <w:r>
              <w:rPr>
                <w:spacing w:val="-1"/>
                <w:sz w:val="24"/>
                <w:szCs w:val="24"/>
                <w:lang w:eastAsia="zh-CN"/>
              </w:rPr>
              <w:t>使用产品或设备在《节能产品政府采购品目清单》和《环</w:t>
            </w:r>
            <w:r>
              <w:rPr>
                <w:spacing w:val="17"/>
                <w:sz w:val="24"/>
                <w:szCs w:val="24"/>
                <w:lang w:eastAsia="zh-CN"/>
              </w:rPr>
              <w:t xml:space="preserve"> </w:t>
            </w:r>
            <w:r>
              <w:rPr>
                <w:spacing w:val="-1"/>
                <w:sz w:val="24"/>
                <w:szCs w:val="24"/>
                <w:lang w:eastAsia="zh-CN"/>
              </w:rPr>
              <w:t>境标志产品政府采购品目清单》中，每项得1分，最高</w:t>
            </w:r>
            <w:r>
              <w:rPr>
                <w:sz w:val="24"/>
                <w:szCs w:val="24"/>
                <w:lang w:eastAsia="zh-CN"/>
              </w:rPr>
              <w:t>不超过2分。</w:t>
            </w:r>
          </w:p>
        </w:tc>
        <w:tc>
          <w:tcPr>
            <w:tcW w:w="850" w:type="dxa"/>
            <w:shd w:val="clear" w:color="auto" w:fill="auto"/>
          </w:tcPr>
          <w:p>
            <w:pPr>
              <w:autoSpaceDE w:val="0"/>
              <w:autoSpaceDN w:val="0"/>
              <w:spacing w:line="242" w:lineRule="auto"/>
              <w:rPr>
                <w:rFonts w:ascii="Calibri" w:hAnsi="Calibri"/>
                <w:kern w:val="0"/>
                <w:sz w:val="24"/>
                <w:lang w:eastAsia="zh-CN"/>
              </w:rPr>
            </w:pPr>
          </w:p>
          <w:p>
            <w:pPr>
              <w:pStyle w:val="247"/>
              <w:spacing w:before="52" w:line="183" w:lineRule="auto"/>
              <w:ind w:left="368"/>
              <w:rPr>
                <w:sz w:val="24"/>
                <w:szCs w:val="24"/>
              </w:rPr>
            </w:pPr>
            <w:r>
              <w:rPr>
                <w:spacing w:val="-3"/>
                <w:sz w:val="24"/>
                <w:szCs w:val="24"/>
              </w:rPr>
              <w:t>0-2</w:t>
            </w:r>
          </w:p>
        </w:tc>
      </w:tr>
    </w:tbl>
    <w:p>
      <w:pPr>
        <w:widowControl/>
        <w:jc w:val="left"/>
        <w:rPr>
          <w:b/>
          <w:sz w:val="36"/>
          <w:szCs w:val="36"/>
        </w:rPr>
      </w:pPr>
    </w:p>
    <w:p>
      <w:pPr>
        <w:spacing w:line="360" w:lineRule="auto"/>
        <w:jc w:val="center"/>
        <w:outlineLvl w:val="0"/>
        <w:rPr>
          <w:b/>
          <w:sz w:val="36"/>
          <w:szCs w:val="36"/>
        </w:rPr>
      </w:pPr>
      <w:r>
        <w:rPr>
          <w:b/>
          <w:sz w:val="36"/>
          <w:szCs w:val="36"/>
        </w:rPr>
        <w:br w:type="page"/>
      </w:r>
      <w:bookmarkStart w:id="673" w:name="_Toc97371945"/>
      <w:r>
        <w:rPr>
          <w:rFonts w:hint="eastAsia"/>
          <w:b/>
          <w:sz w:val="36"/>
          <w:szCs w:val="36"/>
        </w:rPr>
        <w:t>第四章</w:t>
      </w:r>
      <w:r>
        <w:rPr>
          <w:b/>
          <w:sz w:val="36"/>
          <w:szCs w:val="36"/>
        </w:rPr>
        <w:t xml:space="preserve">   </w:t>
      </w:r>
      <w:r>
        <w:rPr>
          <w:rFonts w:hint="eastAsia"/>
          <w:b/>
          <w:sz w:val="36"/>
          <w:szCs w:val="36"/>
        </w:rPr>
        <w:t>采购需求</w:t>
      </w:r>
      <w:bookmarkEnd w:id="673"/>
    </w:p>
    <w:p>
      <w:pPr>
        <w:spacing w:line="360" w:lineRule="auto"/>
        <w:rPr>
          <w:b/>
          <w:sz w:val="24"/>
        </w:rPr>
      </w:pPr>
      <w:r>
        <w:rPr>
          <w:rFonts w:hint="eastAsia"/>
          <w:b/>
          <w:sz w:val="24"/>
        </w:rPr>
        <w:t>一、项目概况</w:t>
      </w:r>
    </w:p>
    <w:p>
      <w:pPr>
        <w:spacing w:line="360" w:lineRule="auto"/>
        <w:ind w:firstLine="480" w:firstLineChars="200"/>
        <w:rPr>
          <w:sz w:val="24"/>
        </w:rPr>
      </w:pPr>
      <w:r>
        <w:rPr>
          <w:sz w:val="24"/>
        </w:rPr>
        <w:t>1.</w:t>
      </w:r>
      <w:r>
        <w:rPr>
          <w:rFonts w:hint="eastAsia"/>
          <w:sz w:val="24"/>
        </w:rPr>
        <w:t>项目名称：2024年精细化运维服务采购项目</w:t>
      </w:r>
    </w:p>
    <w:p>
      <w:pPr>
        <w:spacing w:line="360" w:lineRule="auto"/>
        <w:ind w:firstLine="480" w:firstLineChars="200"/>
        <w:rPr>
          <w:sz w:val="24"/>
        </w:rPr>
      </w:pPr>
      <w:r>
        <w:rPr>
          <w:sz w:val="24"/>
        </w:rPr>
        <w:t>2.</w:t>
      </w:r>
      <w:r>
        <w:rPr>
          <w:rFonts w:hint="eastAsia"/>
          <w:sz w:val="24"/>
        </w:rPr>
        <w:t>预算金额：</w:t>
      </w:r>
      <w:r>
        <w:rPr>
          <w:sz w:val="24"/>
        </w:rPr>
        <w:t>2646257.85</w:t>
      </w:r>
      <w:r>
        <w:rPr>
          <w:rFonts w:hint="eastAsia"/>
          <w:sz w:val="24"/>
        </w:rPr>
        <w:t>元</w:t>
      </w:r>
    </w:p>
    <w:p>
      <w:pPr>
        <w:spacing w:line="360" w:lineRule="auto"/>
        <w:ind w:firstLine="480" w:firstLineChars="200"/>
        <w:rPr>
          <w:b/>
          <w:sz w:val="24"/>
        </w:rPr>
      </w:pPr>
      <w:r>
        <w:rPr>
          <w:sz w:val="24"/>
        </w:rPr>
        <w:t>3.</w:t>
      </w:r>
      <w:r>
        <w:rPr>
          <w:rFonts w:hint="eastAsia"/>
          <w:sz w:val="24"/>
        </w:rPr>
        <w:t>服务内容：针对地区平房区、楼房区全区域范围内的秩序维护、保洁清运、绿化养护、重点区域保障等多方面工作。</w:t>
      </w:r>
    </w:p>
    <w:p>
      <w:pPr>
        <w:spacing w:line="360" w:lineRule="auto"/>
        <w:rPr>
          <w:b/>
          <w:sz w:val="24"/>
        </w:rPr>
      </w:pPr>
      <w:r>
        <w:rPr>
          <w:rFonts w:hint="eastAsia"/>
          <w:b/>
          <w:sz w:val="24"/>
        </w:rPr>
        <w:t>二、服务范围</w:t>
      </w:r>
    </w:p>
    <w:p>
      <w:pPr>
        <w:spacing w:line="360" w:lineRule="auto"/>
        <w:rPr>
          <w:sz w:val="24"/>
        </w:rPr>
      </w:pPr>
      <w:r>
        <w:rPr>
          <w:rFonts w:hint="eastAsia"/>
          <w:sz w:val="24"/>
        </w:rPr>
        <w:t>（一）</w:t>
      </w:r>
      <w:r>
        <w:rPr>
          <w:sz w:val="24"/>
        </w:rPr>
        <w:tab/>
      </w:r>
      <w:r>
        <w:rPr>
          <w:rFonts w:hint="eastAsia"/>
          <w:sz w:val="24"/>
        </w:rPr>
        <w:t>四至：</w:t>
      </w:r>
    </w:p>
    <w:p>
      <w:pPr>
        <w:spacing w:line="360" w:lineRule="auto"/>
        <w:ind w:firstLine="480" w:firstLineChars="200"/>
        <w:rPr>
          <w:sz w:val="24"/>
        </w:rPr>
      </w:pPr>
      <w:r>
        <w:rPr>
          <w:rFonts w:hint="eastAsia"/>
          <w:sz w:val="24"/>
        </w:rPr>
        <w:t>东至：东二环路西侧便道上；</w:t>
      </w:r>
    </w:p>
    <w:p>
      <w:pPr>
        <w:spacing w:line="360" w:lineRule="auto"/>
        <w:ind w:firstLine="480" w:firstLineChars="200"/>
        <w:rPr>
          <w:sz w:val="24"/>
        </w:rPr>
      </w:pPr>
      <w:r>
        <w:rPr>
          <w:rFonts w:hint="eastAsia"/>
          <w:sz w:val="24"/>
        </w:rPr>
        <w:t>南至：泡子河东巷、盔甲厂胡同、抽屉胡同、毛家湾胡同一线及北京站西街；</w:t>
      </w:r>
    </w:p>
    <w:p>
      <w:pPr>
        <w:spacing w:line="360" w:lineRule="auto"/>
        <w:ind w:firstLine="480" w:firstLineChars="200"/>
        <w:rPr>
          <w:sz w:val="24"/>
        </w:rPr>
      </w:pPr>
      <w:r>
        <w:rPr>
          <w:rFonts w:hint="eastAsia"/>
          <w:sz w:val="24"/>
        </w:rPr>
        <w:t>西至：东四南大街、东单北大街、崇内大街一线、“崇文门东北角”停车棚及周边绿化和便道；</w:t>
      </w:r>
    </w:p>
    <w:p>
      <w:pPr>
        <w:spacing w:line="360" w:lineRule="auto"/>
        <w:ind w:firstLine="480" w:firstLineChars="200"/>
        <w:rPr>
          <w:sz w:val="24"/>
        </w:rPr>
      </w:pPr>
      <w:r>
        <w:rPr>
          <w:rFonts w:hint="eastAsia"/>
          <w:sz w:val="24"/>
        </w:rPr>
        <w:t>北至：干面胡同、禄米仓胡同一线。</w:t>
      </w:r>
    </w:p>
    <w:p>
      <w:pPr>
        <w:spacing w:line="360" w:lineRule="auto"/>
        <w:rPr>
          <w:sz w:val="24"/>
        </w:rPr>
      </w:pPr>
      <w:r>
        <w:rPr>
          <w:rFonts w:hint="eastAsia"/>
          <w:sz w:val="24"/>
        </w:rPr>
        <w:t>（二）责任区明细：</w:t>
      </w:r>
    </w:p>
    <w:p>
      <w:pPr>
        <w:spacing w:line="360" w:lineRule="auto"/>
        <w:ind w:firstLine="480" w:firstLineChars="200"/>
        <w:rPr>
          <w:sz w:val="24"/>
        </w:rPr>
      </w:pPr>
      <w:r>
        <w:rPr>
          <w:sz w:val="24"/>
        </w:rPr>
        <w:t>1</w:t>
      </w:r>
      <w:r>
        <w:rPr>
          <w:rFonts w:hint="eastAsia"/>
          <w:sz w:val="24"/>
        </w:rPr>
        <w:t>、平房区胡同名称：面积</w:t>
      </w:r>
      <w:r>
        <w:rPr>
          <w:sz w:val="24"/>
        </w:rPr>
        <w:t>258174</w:t>
      </w:r>
      <w:r>
        <w:rPr>
          <w:rFonts w:hint="eastAsia"/>
          <w:sz w:val="24"/>
        </w:rPr>
        <w:t>平米，金宝街社区</w:t>
      </w:r>
      <w:r>
        <w:rPr>
          <w:sz w:val="24"/>
        </w:rPr>
        <w:t>10</w:t>
      </w:r>
      <w:r>
        <w:rPr>
          <w:rFonts w:hint="eastAsia"/>
          <w:sz w:val="24"/>
        </w:rPr>
        <w:t>条胡同，干面胡同、东罗圈胡同、西罗圈胡同、遂安伯胡同、东石槽胡同、西石槽胡同、禄米仓胡同、春松胡同、小雅宝胡同、大雅宝胡同；</w:t>
      </w:r>
      <w:r>
        <w:rPr>
          <w:sz w:val="24"/>
        </w:rPr>
        <w:t>5</w:t>
      </w:r>
      <w:r>
        <w:rPr>
          <w:rFonts w:hint="eastAsia"/>
          <w:sz w:val="24"/>
        </w:rPr>
        <w:t>条便道，东四南大街两侧便道、金宝街北侧便道西段、金宝街便道东段、朝内南小街两侧便道。外交部街社区</w:t>
      </w:r>
      <w:r>
        <w:rPr>
          <w:sz w:val="24"/>
        </w:rPr>
        <w:t>4</w:t>
      </w:r>
      <w:r>
        <w:rPr>
          <w:rFonts w:hint="eastAsia"/>
          <w:sz w:val="24"/>
        </w:rPr>
        <w:t>条胡同，外交部街胡同、协和胡同、东堂子胡同、红星胡同；</w:t>
      </w:r>
      <w:r>
        <w:rPr>
          <w:sz w:val="24"/>
        </w:rPr>
        <w:t>3</w:t>
      </w:r>
      <w:r>
        <w:rPr>
          <w:rFonts w:hint="eastAsia"/>
          <w:sz w:val="24"/>
        </w:rPr>
        <w:t>条便道，东单北大街两侧便道、朝内南小街西侧便道、金宝街南侧便道西段。苏州社区</w:t>
      </w:r>
      <w:r>
        <w:rPr>
          <w:sz w:val="24"/>
        </w:rPr>
        <w:t>8</w:t>
      </w:r>
      <w:r>
        <w:rPr>
          <w:rFonts w:hint="eastAsia"/>
          <w:sz w:val="24"/>
        </w:rPr>
        <w:t>条胡同，苏州胡同、侯位胡同、麻线胡同、北鲜鱼巷、中鲜鱼巷、公平巷、东镇江胡同、丁香胡同；</w:t>
      </w:r>
      <w:r>
        <w:rPr>
          <w:sz w:val="24"/>
        </w:rPr>
        <w:t>4</w:t>
      </w:r>
      <w:r>
        <w:rPr>
          <w:rFonts w:hint="eastAsia"/>
          <w:sz w:val="24"/>
        </w:rPr>
        <w:t>条便道，北京日报南侧路、英大国际西侧路、崇内大街便道、邮通街。崇内社区</w:t>
      </w:r>
      <w:r>
        <w:rPr>
          <w:sz w:val="24"/>
        </w:rPr>
        <w:t>9</w:t>
      </w:r>
      <w:r>
        <w:rPr>
          <w:rFonts w:hint="eastAsia"/>
          <w:sz w:val="24"/>
        </w:rPr>
        <w:t>条胡同，南八宝胡同、三源胡同、治国胡同、庆平胡同、西镇江胡同、船板胡同、后沟胡同、小报房胡同、晓顺胡同；</w:t>
      </w:r>
      <w:r>
        <w:rPr>
          <w:sz w:val="24"/>
        </w:rPr>
        <w:t>2</w:t>
      </w:r>
      <w:r>
        <w:rPr>
          <w:rFonts w:hint="eastAsia"/>
          <w:sz w:val="24"/>
        </w:rPr>
        <w:t>条便道，崇内大街便道，北京站西街北侧便道。西总布社区</w:t>
      </w:r>
      <w:r>
        <w:rPr>
          <w:sz w:val="24"/>
        </w:rPr>
        <w:t>9</w:t>
      </w:r>
      <w:r>
        <w:rPr>
          <w:rFonts w:hint="eastAsia"/>
          <w:sz w:val="24"/>
        </w:rPr>
        <w:t>条胡同，北极阁头条、北极阁二条、北极阁三条、北极阁四条、北极阁胡同、春雨胡同、春雨二巷、新开路胡同、西总布胡同；</w:t>
      </w:r>
      <w:r>
        <w:rPr>
          <w:sz w:val="24"/>
        </w:rPr>
        <w:t>2</w:t>
      </w:r>
      <w:r>
        <w:rPr>
          <w:rFonts w:hint="eastAsia"/>
          <w:sz w:val="24"/>
        </w:rPr>
        <w:t>条便道，东单北大街便道、朝内南小街西侧便道。东总布社区</w:t>
      </w:r>
      <w:r>
        <w:rPr>
          <w:sz w:val="24"/>
        </w:rPr>
        <w:t>9</w:t>
      </w:r>
      <w:r>
        <w:rPr>
          <w:rFonts w:hint="eastAsia"/>
          <w:sz w:val="24"/>
        </w:rPr>
        <w:t>条胡同，东总布胡同，后椅子胡同、顶银胡同、南牌坊胡同、北顺城街、贡院西街、贡院东街、贡院头条、贡院二条、</w:t>
      </w:r>
      <w:r>
        <w:rPr>
          <w:sz w:val="24"/>
        </w:rPr>
        <w:t>2</w:t>
      </w:r>
      <w:r>
        <w:rPr>
          <w:rFonts w:hint="eastAsia"/>
          <w:sz w:val="24"/>
        </w:rPr>
        <w:t>条便道，朝内南小街便道东侧部门、建国门北大街便道部分。赵家楼社区</w:t>
      </w:r>
      <w:r>
        <w:rPr>
          <w:sz w:val="24"/>
        </w:rPr>
        <w:t>6</w:t>
      </w:r>
      <w:r>
        <w:rPr>
          <w:rFonts w:hint="eastAsia"/>
          <w:sz w:val="24"/>
        </w:rPr>
        <w:t>条胡同，大羊宜宾胡同、小羊宜宾胡同、前赵家楼胡同、宝珠子胡同、阳照胡同、赵堂子胡同；</w:t>
      </w:r>
      <w:r>
        <w:rPr>
          <w:sz w:val="24"/>
        </w:rPr>
        <w:t>2</w:t>
      </w:r>
      <w:r>
        <w:rPr>
          <w:rFonts w:hint="eastAsia"/>
          <w:sz w:val="24"/>
        </w:rPr>
        <w:t>条便道，朝内南小街便道东侧部分、建国门北大街便道部分。大雅宝社区</w:t>
      </w:r>
      <w:r>
        <w:rPr>
          <w:sz w:val="24"/>
        </w:rPr>
        <w:t>9</w:t>
      </w:r>
      <w:r>
        <w:rPr>
          <w:rFonts w:hint="eastAsia"/>
          <w:sz w:val="24"/>
        </w:rPr>
        <w:t>条胡同，赵堂子胡同、北总布胡同、盛芳胡同、弘通巷、先晓胡同、艺华胡同、宝盖胡同、向春胡同、后赵家楼胡同；</w:t>
      </w:r>
      <w:r>
        <w:rPr>
          <w:sz w:val="24"/>
        </w:rPr>
        <w:t>3</w:t>
      </w:r>
      <w:r>
        <w:rPr>
          <w:rFonts w:hint="eastAsia"/>
          <w:sz w:val="24"/>
        </w:rPr>
        <w:t>条便道，朝内南小街便道东侧、金宝街南侧便道东段、建国门北大街便道。站东社区</w:t>
      </w:r>
      <w:r>
        <w:rPr>
          <w:sz w:val="24"/>
        </w:rPr>
        <w:t>9</w:t>
      </w:r>
      <w:r>
        <w:rPr>
          <w:rFonts w:hint="eastAsia"/>
          <w:sz w:val="24"/>
        </w:rPr>
        <w:t>条胡同，东裱褙胡同、大羊毛胡同、柳罐胡同、盔甲厂胡同、抽屉胡同、毛家湾胡同、老钱局胡同、泡子河东巷、东受禄街胡同；</w:t>
      </w:r>
      <w:r>
        <w:rPr>
          <w:sz w:val="24"/>
        </w:rPr>
        <w:t>1</w:t>
      </w:r>
      <w:r>
        <w:rPr>
          <w:rFonts w:hint="eastAsia"/>
          <w:sz w:val="24"/>
        </w:rPr>
        <w:t>条便道，建国门南大街便道；</w:t>
      </w:r>
    </w:p>
    <w:p>
      <w:pPr>
        <w:spacing w:line="360" w:lineRule="auto"/>
        <w:ind w:firstLine="480" w:firstLineChars="200"/>
        <w:rPr>
          <w:sz w:val="24"/>
        </w:rPr>
      </w:pPr>
      <w:r>
        <w:rPr>
          <w:sz w:val="24"/>
        </w:rPr>
        <w:t>2</w:t>
      </w:r>
      <w:r>
        <w:rPr>
          <w:rFonts w:hint="eastAsia"/>
          <w:sz w:val="24"/>
        </w:rPr>
        <w:t>、非平房区：面积</w:t>
      </w:r>
      <w:r>
        <w:rPr>
          <w:sz w:val="24"/>
        </w:rPr>
        <w:t>5631.3</w:t>
      </w:r>
      <w:r>
        <w:rPr>
          <w:rFonts w:hint="eastAsia"/>
          <w:sz w:val="24"/>
        </w:rPr>
        <w:t>平米，包含物业小区、楼宇周边等全部公共区域；</w:t>
      </w:r>
    </w:p>
    <w:p>
      <w:pPr>
        <w:spacing w:line="360" w:lineRule="auto"/>
        <w:ind w:firstLine="480" w:firstLineChars="200"/>
        <w:rPr>
          <w:sz w:val="24"/>
        </w:rPr>
      </w:pPr>
      <w:r>
        <w:rPr>
          <w:sz w:val="24"/>
        </w:rPr>
        <w:t>3</w:t>
      </w:r>
      <w:r>
        <w:rPr>
          <w:rFonts w:hint="eastAsia"/>
          <w:sz w:val="24"/>
        </w:rPr>
        <w:t>、弃管院落小区名称：包括但不限于小羊宜宾胡同</w:t>
      </w:r>
      <w:r>
        <w:rPr>
          <w:sz w:val="24"/>
        </w:rPr>
        <w:t>4</w:t>
      </w:r>
      <w:r>
        <w:rPr>
          <w:rFonts w:hint="eastAsia"/>
          <w:sz w:val="24"/>
        </w:rPr>
        <w:t>号院、大羊宜宾胡同</w:t>
      </w:r>
      <w:r>
        <w:rPr>
          <w:sz w:val="24"/>
        </w:rPr>
        <w:t>35</w:t>
      </w:r>
      <w:r>
        <w:rPr>
          <w:rFonts w:hint="eastAsia"/>
          <w:sz w:val="24"/>
        </w:rPr>
        <w:t>号院、大羊宜宾胡同</w:t>
      </w:r>
      <w:r>
        <w:rPr>
          <w:sz w:val="24"/>
        </w:rPr>
        <w:t>31</w:t>
      </w:r>
      <w:r>
        <w:rPr>
          <w:rFonts w:hint="eastAsia"/>
          <w:sz w:val="24"/>
        </w:rPr>
        <w:t>号院</w:t>
      </w:r>
      <w:r>
        <w:rPr>
          <w:sz w:val="24"/>
        </w:rPr>
        <w:t>1</w:t>
      </w:r>
      <w:r>
        <w:rPr>
          <w:rFonts w:hint="eastAsia"/>
          <w:sz w:val="24"/>
        </w:rPr>
        <w:t>号楼</w:t>
      </w:r>
      <w:r>
        <w:rPr>
          <w:sz w:val="24"/>
        </w:rPr>
        <w:t>1</w:t>
      </w:r>
      <w:r>
        <w:rPr>
          <w:rFonts w:hint="eastAsia"/>
          <w:sz w:val="24"/>
        </w:rPr>
        <w:t>、</w:t>
      </w:r>
      <w:r>
        <w:rPr>
          <w:sz w:val="24"/>
        </w:rPr>
        <w:t>2</w:t>
      </w:r>
      <w:r>
        <w:rPr>
          <w:rFonts w:hint="eastAsia"/>
          <w:sz w:val="24"/>
        </w:rPr>
        <w:t>、</w:t>
      </w:r>
      <w:r>
        <w:rPr>
          <w:sz w:val="24"/>
        </w:rPr>
        <w:t>3</w:t>
      </w:r>
      <w:r>
        <w:rPr>
          <w:rFonts w:hint="eastAsia"/>
          <w:sz w:val="24"/>
        </w:rPr>
        <w:t>、</w:t>
      </w:r>
      <w:r>
        <w:rPr>
          <w:sz w:val="24"/>
        </w:rPr>
        <w:t>4</w:t>
      </w:r>
      <w:r>
        <w:rPr>
          <w:rFonts w:hint="eastAsia"/>
          <w:sz w:val="24"/>
        </w:rPr>
        <w:t>、</w:t>
      </w:r>
      <w:r>
        <w:rPr>
          <w:sz w:val="24"/>
        </w:rPr>
        <w:t>5</w:t>
      </w:r>
      <w:r>
        <w:rPr>
          <w:rFonts w:hint="eastAsia"/>
          <w:sz w:val="24"/>
        </w:rPr>
        <w:t>单元、宝珠子</w:t>
      </w:r>
      <w:r>
        <w:rPr>
          <w:sz w:val="24"/>
        </w:rPr>
        <w:t>6</w:t>
      </w:r>
      <w:r>
        <w:rPr>
          <w:rFonts w:hint="eastAsia"/>
          <w:sz w:val="24"/>
        </w:rPr>
        <w:t>号楼、小羊宜宾</w:t>
      </w:r>
      <w:r>
        <w:rPr>
          <w:sz w:val="24"/>
        </w:rPr>
        <w:t>3</w:t>
      </w:r>
      <w:r>
        <w:rPr>
          <w:rFonts w:hint="eastAsia"/>
          <w:sz w:val="24"/>
        </w:rPr>
        <w:t>号楼、</w:t>
      </w:r>
      <w:r>
        <w:rPr>
          <w:sz w:val="24"/>
        </w:rPr>
        <w:t>4</w:t>
      </w:r>
      <w:r>
        <w:rPr>
          <w:rFonts w:hint="eastAsia"/>
          <w:sz w:val="24"/>
        </w:rPr>
        <w:t>号楼、东总布</w:t>
      </w:r>
      <w:r>
        <w:rPr>
          <w:sz w:val="24"/>
        </w:rPr>
        <w:t>2</w:t>
      </w:r>
      <w:r>
        <w:rPr>
          <w:rFonts w:hint="eastAsia"/>
          <w:sz w:val="24"/>
        </w:rPr>
        <w:t>号楼、赵堂子胡同</w:t>
      </w:r>
      <w:r>
        <w:rPr>
          <w:sz w:val="24"/>
        </w:rPr>
        <w:t>5</w:t>
      </w:r>
      <w:r>
        <w:rPr>
          <w:rFonts w:hint="eastAsia"/>
          <w:sz w:val="24"/>
        </w:rPr>
        <w:t>号楼、北总布胡同</w:t>
      </w:r>
      <w:r>
        <w:rPr>
          <w:sz w:val="24"/>
        </w:rPr>
        <w:t>32</w:t>
      </w:r>
      <w:r>
        <w:rPr>
          <w:rFonts w:hint="eastAsia"/>
          <w:sz w:val="24"/>
        </w:rPr>
        <w:t>号楼、</w:t>
      </w:r>
      <w:r>
        <w:rPr>
          <w:sz w:val="24"/>
        </w:rPr>
        <w:t>6</w:t>
      </w:r>
      <w:r>
        <w:rPr>
          <w:rFonts w:hint="eastAsia"/>
          <w:sz w:val="24"/>
        </w:rPr>
        <w:t>号楼、东堂子</w:t>
      </w:r>
      <w:r>
        <w:rPr>
          <w:sz w:val="24"/>
        </w:rPr>
        <w:t>38</w:t>
      </w:r>
      <w:r>
        <w:rPr>
          <w:rFonts w:hint="eastAsia"/>
          <w:sz w:val="24"/>
        </w:rPr>
        <w:t>号院、西总布</w:t>
      </w:r>
      <w:r>
        <w:rPr>
          <w:sz w:val="24"/>
        </w:rPr>
        <w:t>55</w:t>
      </w:r>
      <w:r>
        <w:rPr>
          <w:rFonts w:hint="eastAsia"/>
          <w:sz w:val="24"/>
        </w:rPr>
        <w:t>号院（</w:t>
      </w:r>
      <w:r>
        <w:rPr>
          <w:sz w:val="24"/>
        </w:rPr>
        <w:t>1</w:t>
      </w:r>
      <w:r>
        <w:rPr>
          <w:rFonts w:hint="eastAsia"/>
          <w:sz w:val="24"/>
        </w:rPr>
        <w:t>、</w:t>
      </w:r>
      <w:r>
        <w:rPr>
          <w:sz w:val="24"/>
        </w:rPr>
        <w:t>2</w:t>
      </w:r>
      <w:r>
        <w:rPr>
          <w:rFonts w:hint="eastAsia"/>
          <w:sz w:val="24"/>
        </w:rPr>
        <w:t>）号、盔甲厂胡同</w:t>
      </w:r>
      <w:r>
        <w:rPr>
          <w:sz w:val="24"/>
        </w:rPr>
        <w:t>2</w:t>
      </w:r>
      <w:r>
        <w:rPr>
          <w:rFonts w:hint="eastAsia"/>
          <w:sz w:val="24"/>
        </w:rPr>
        <w:t>号等。</w:t>
      </w:r>
    </w:p>
    <w:p>
      <w:pPr>
        <w:spacing w:line="360" w:lineRule="auto"/>
        <w:ind w:firstLine="480" w:firstLineChars="200"/>
        <w:rPr>
          <w:sz w:val="24"/>
        </w:rPr>
      </w:pPr>
      <w:r>
        <w:rPr>
          <w:sz w:val="24"/>
        </w:rPr>
        <w:t>4</w:t>
      </w:r>
      <w:r>
        <w:rPr>
          <w:rFonts w:hint="eastAsia"/>
          <w:sz w:val="24"/>
        </w:rPr>
        <w:t>、拆迁滞留区门牌地址：包括但不限于干面双号</w:t>
      </w:r>
      <w:r>
        <w:rPr>
          <w:sz w:val="24"/>
        </w:rPr>
        <w:t>12--50</w:t>
      </w:r>
      <w:r>
        <w:rPr>
          <w:rFonts w:hint="eastAsia"/>
          <w:sz w:val="24"/>
        </w:rPr>
        <w:t>号、东石槽</w:t>
      </w:r>
      <w:r>
        <w:rPr>
          <w:sz w:val="24"/>
        </w:rPr>
        <w:t>11--47</w:t>
      </w:r>
      <w:r>
        <w:rPr>
          <w:rFonts w:hint="eastAsia"/>
          <w:sz w:val="24"/>
        </w:rPr>
        <w:t>号、东石槽</w:t>
      </w:r>
      <w:r>
        <w:rPr>
          <w:sz w:val="24"/>
        </w:rPr>
        <w:t>14--26</w:t>
      </w:r>
      <w:r>
        <w:rPr>
          <w:rFonts w:hint="eastAsia"/>
          <w:sz w:val="24"/>
        </w:rPr>
        <w:t>号、西石槽</w:t>
      </w:r>
      <w:r>
        <w:rPr>
          <w:sz w:val="24"/>
        </w:rPr>
        <w:t>1--7</w:t>
      </w:r>
      <w:r>
        <w:rPr>
          <w:rFonts w:hint="eastAsia"/>
          <w:sz w:val="24"/>
        </w:rPr>
        <w:t>号、西石槽</w:t>
      </w:r>
      <w:r>
        <w:rPr>
          <w:sz w:val="24"/>
        </w:rPr>
        <w:t>2--16</w:t>
      </w:r>
      <w:r>
        <w:rPr>
          <w:rFonts w:hint="eastAsia"/>
          <w:sz w:val="24"/>
        </w:rPr>
        <w:t>号、遂安伯</w:t>
      </w:r>
      <w:r>
        <w:rPr>
          <w:sz w:val="24"/>
        </w:rPr>
        <w:t>23--27</w:t>
      </w:r>
      <w:r>
        <w:rPr>
          <w:rFonts w:hint="eastAsia"/>
          <w:sz w:val="24"/>
        </w:rPr>
        <w:t>号、遂安伯</w:t>
      </w:r>
      <w:r>
        <w:rPr>
          <w:sz w:val="24"/>
        </w:rPr>
        <w:t>31--39</w:t>
      </w:r>
      <w:r>
        <w:rPr>
          <w:rFonts w:hint="eastAsia"/>
          <w:sz w:val="24"/>
        </w:rPr>
        <w:t>号、遂安伯</w:t>
      </w:r>
      <w:r>
        <w:rPr>
          <w:sz w:val="24"/>
        </w:rPr>
        <w:t>53</w:t>
      </w:r>
      <w:r>
        <w:rPr>
          <w:rFonts w:hint="eastAsia"/>
          <w:sz w:val="24"/>
        </w:rPr>
        <w:t>号、盛芳胡同</w:t>
      </w:r>
      <w:r>
        <w:rPr>
          <w:sz w:val="24"/>
        </w:rPr>
        <w:t>37</w:t>
      </w:r>
      <w:r>
        <w:rPr>
          <w:rFonts w:hint="eastAsia"/>
          <w:sz w:val="24"/>
        </w:rPr>
        <w:t>号独院、顶银胡同</w:t>
      </w:r>
      <w:r>
        <w:rPr>
          <w:sz w:val="24"/>
        </w:rPr>
        <w:t>29.31</w:t>
      </w:r>
      <w:r>
        <w:rPr>
          <w:rFonts w:hint="eastAsia"/>
          <w:sz w:val="24"/>
        </w:rPr>
        <w:t>号院、新开路（</w:t>
      </w:r>
      <w:r>
        <w:rPr>
          <w:sz w:val="24"/>
        </w:rPr>
        <w:t>19</w:t>
      </w:r>
      <w:r>
        <w:rPr>
          <w:rFonts w:hint="eastAsia"/>
          <w:sz w:val="24"/>
        </w:rPr>
        <w:t>、</w:t>
      </w:r>
      <w:r>
        <w:rPr>
          <w:sz w:val="24"/>
        </w:rPr>
        <w:t>21</w:t>
      </w:r>
      <w:r>
        <w:rPr>
          <w:rFonts w:hint="eastAsia"/>
          <w:sz w:val="24"/>
        </w:rPr>
        <w:t>、</w:t>
      </w:r>
      <w:r>
        <w:rPr>
          <w:sz w:val="24"/>
        </w:rPr>
        <w:t>24</w:t>
      </w:r>
      <w:r>
        <w:rPr>
          <w:rFonts w:hint="eastAsia"/>
          <w:sz w:val="24"/>
        </w:rPr>
        <w:t>、</w:t>
      </w:r>
      <w:r>
        <w:rPr>
          <w:sz w:val="24"/>
        </w:rPr>
        <w:t>26</w:t>
      </w:r>
      <w:r>
        <w:rPr>
          <w:rFonts w:hint="eastAsia"/>
          <w:sz w:val="24"/>
        </w:rPr>
        <w:t>、</w:t>
      </w:r>
      <w:r>
        <w:rPr>
          <w:sz w:val="24"/>
        </w:rPr>
        <w:t>28</w:t>
      </w:r>
      <w:r>
        <w:rPr>
          <w:rFonts w:hint="eastAsia"/>
          <w:sz w:val="24"/>
        </w:rPr>
        <w:t>、</w:t>
      </w:r>
      <w:r>
        <w:rPr>
          <w:sz w:val="24"/>
        </w:rPr>
        <w:t>30</w:t>
      </w:r>
      <w:r>
        <w:rPr>
          <w:rFonts w:hint="eastAsia"/>
          <w:sz w:val="24"/>
        </w:rPr>
        <w:t>、</w:t>
      </w:r>
      <w:r>
        <w:rPr>
          <w:sz w:val="24"/>
        </w:rPr>
        <w:t>32</w:t>
      </w:r>
      <w:r>
        <w:rPr>
          <w:rFonts w:hint="eastAsia"/>
          <w:sz w:val="24"/>
        </w:rPr>
        <w:t>、</w:t>
      </w:r>
      <w:r>
        <w:rPr>
          <w:sz w:val="24"/>
        </w:rPr>
        <w:t>34</w:t>
      </w:r>
      <w:r>
        <w:rPr>
          <w:rFonts w:hint="eastAsia"/>
          <w:sz w:val="24"/>
        </w:rPr>
        <w:t>、</w:t>
      </w:r>
      <w:r>
        <w:rPr>
          <w:sz w:val="24"/>
        </w:rPr>
        <w:t>36</w:t>
      </w:r>
      <w:r>
        <w:rPr>
          <w:rFonts w:hint="eastAsia"/>
          <w:sz w:val="24"/>
        </w:rPr>
        <w:t>、</w:t>
      </w:r>
      <w:r>
        <w:rPr>
          <w:sz w:val="24"/>
        </w:rPr>
        <w:t>38</w:t>
      </w:r>
      <w:r>
        <w:rPr>
          <w:rFonts w:hint="eastAsia"/>
          <w:sz w:val="24"/>
        </w:rPr>
        <w:t>、</w:t>
      </w:r>
      <w:r>
        <w:rPr>
          <w:sz w:val="24"/>
        </w:rPr>
        <w:t>40</w:t>
      </w:r>
      <w:r>
        <w:rPr>
          <w:rFonts w:hint="eastAsia"/>
          <w:sz w:val="24"/>
        </w:rPr>
        <w:t>、</w:t>
      </w:r>
      <w:r>
        <w:rPr>
          <w:sz w:val="24"/>
        </w:rPr>
        <w:t>42</w:t>
      </w:r>
      <w:r>
        <w:rPr>
          <w:rFonts w:hint="eastAsia"/>
          <w:sz w:val="24"/>
        </w:rPr>
        <w:t>、</w:t>
      </w:r>
      <w:r>
        <w:rPr>
          <w:sz w:val="24"/>
        </w:rPr>
        <w:t>44</w:t>
      </w:r>
      <w:r>
        <w:rPr>
          <w:rFonts w:hint="eastAsia"/>
          <w:sz w:val="24"/>
        </w:rPr>
        <w:t>、</w:t>
      </w:r>
      <w:r>
        <w:rPr>
          <w:sz w:val="24"/>
        </w:rPr>
        <w:t>46</w:t>
      </w:r>
      <w:r>
        <w:rPr>
          <w:rFonts w:hint="eastAsia"/>
          <w:sz w:val="24"/>
        </w:rPr>
        <w:t>、</w:t>
      </w:r>
      <w:r>
        <w:rPr>
          <w:sz w:val="24"/>
        </w:rPr>
        <w:t>48</w:t>
      </w:r>
      <w:r>
        <w:rPr>
          <w:rFonts w:hint="eastAsia"/>
          <w:sz w:val="24"/>
        </w:rPr>
        <w:t>）号、春雨胡同（</w:t>
      </w:r>
      <w:r>
        <w:rPr>
          <w:sz w:val="24"/>
        </w:rPr>
        <w:t>2</w:t>
      </w:r>
      <w:r>
        <w:rPr>
          <w:rFonts w:hint="eastAsia"/>
          <w:sz w:val="24"/>
        </w:rPr>
        <w:t>、</w:t>
      </w:r>
      <w:r>
        <w:rPr>
          <w:sz w:val="24"/>
        </w:rPr>
        <w:t>6</w:t>
      </w:r>
      <w:r>
        <w:rPr>
          <w:rFonts w:hint="eastAsia"/>
          <w:sz w:val="24"/>
        </w:rPr>
        <w:t>、</w:t>
      </w:r>
      <w:r>
        <w:rPr>
          <w:sz w:val="24"/>
        </w:rPr>
        <w:t>8</w:t>
      </w:r>
      <w:r>
        <w:rPr>
          <w:rFonts w:hint="eastAsia"/>
          <w:sz w:val="24"/>
        </w:rPr>
        <w:t>）号、春雨二巷（</w:t>
      </w:r>
      <w:r>
        <w:rPr>
          <w:sz w:val="24"/>
        </w:rPr>
        <w:t>23</w:t>
      </w:r>
      <w:r>
        <w:rPr>
          <w:rFonts w:hint="eastAsia"/>
          <w:sz w:val="24"/>
        </w:rPr>
        <w:t>、</w:t>
      </w:r>
      <w:r>
        <w:rPr>
          <w:sz w:val="24"/>
        </w:rPr>
        <w:t>25</w:t>
      </w:r>
      <w:r>
        <w:rPr>
          <w:rFonts w:hint="eastAsia"/>
          <w:sz w:val="24"/>
        </w:rPr>
        <w:t>、</w:t>
      </w:r>
      <w:r>
        <w:rPr>
          <w:sz w:val="24"/>
        </w:rPr>
        <w:t>27</w:t>
      </w:r>
      <w:r>
        <w:rPr>
          <w:rFonts w:hint="eastAsia"/>
          <w:sz w:val="24"/>
        </w:rPr>
        <w:t>、</w:t>
      </w:r>
      <w:r>
        <w:rPr>
          <w:sz w:val="24"/>
        </w:rPr>
        <w:t>29</w:t>
      </w:r>
      <w:r>
        <w:rPr>
          <w:rFonts w:hint="eastAsia"/>
          <w:sz w:val="24"/>
        </w:rPr>
        <w:t>、</w:t>
      </w:r>
      <w:r>
        <w:rPr>
          <w:sz w:val="24"/>
        </w:rPr>
        <w:t>31</w:t>
      </w:r>
      <w:r>
        <w:rPr>
          <w:rFonts w:hint="eastAsia"/>
          <w:sz w:val="24"/>
        </w:rPr>
        <w:t>、</w:t>
      </w:r>
      <w:r>
        <w:rPr>
          <w:sz w:val="24"/>
        </w:rPr>
        <w:t>33</w:t>
      </w:r>
      <w:r>
        <w:rPr>
          <w:rFonts w:hint="eastAsia"/>
          <w:sz w:val="24"/>
        </w:rPr>
        <w:t>、</w:t>
      </w:r>
      <w:r>
        <w:rPr>
          <w:sz w:val="24"/>
        </w:rPr>
        <w:t>35</w:t>
      </w:r>
      <w:r>
        <w:rPr>
          <w:rFonts w:hint="eastAsia"/>
          <w:sz w:val="24"/>
        </w:rPr>
        <w:t>、</w:t>
      </w:r>
      <w:r>
        <w:rPr>
          <w:sz w:val="24"/>
        </w:rPr>
        <w:t>39</w:t>
      </w:r>
      <w:r>
        <w:rPr>
          <w:rFonts w:hint="eastAsia"/>
          <w:sz w:val="24"/>
        </w:rPr>
        <w:t>、</w:t>
      </w:r>
      <w:r>
        <w:rPr>
          <w:sz w:val="24"/>
        </w:rPr>
        <w:t>41</w:t>
      </w:r>
      <w:r>
        <w:rPr>
          <w:rFonts w:hint="eastAsia"/>
          <w:sz w:val="24"/>
        </w:rPr>
        <w:t>、</w:t>
      </w:r>
      <w:r>
        <w:rPr>
          <w:sz w:val="24"/>
        </w:rPr>
        <w:t>43</w:t>
      </w:r>
      <w:r>
        <w:rPr>
          <w:rFonts w:hint="eastAsia"/>
          <w:sz w:val="24"/>
        </w:rPr>
        <w:t>、</w:t>
      </w:r>
      <w:r>
        <w:rPr>
          <w:sz w:val="24"/>
        </w:rPr>
        <w:t>45</w:t>
      </w:r>
      <w:r>
        <w:rPr>
          <w:rFonts w:hint="eastAsia"/>
          <w:sz w:val="24"/>
        </w:rPr>
        <w:t>、</w:t>
      </w:r>
      <w:r>
        <w:rPr>
          <w:sz w:val="24"/>
        </w:rPr>
        <w:t>47</w:t>
      </w:r>
      <w:r>
        <w:rPr>
          <w:rFonts w:hint="eastAsia"/>
          <w:sz w:val="24"/>
        </w:rPr>
        <w:t>）号、西总布（</w:t>
      </w:r>
      <w:r>
        <w:rPr>
          <w:sz w:val="24"/>
        </w:rPr>
        <w:t>34</w:t>
      </w:r>
      <w:r>
        <w:rPr>
          <w:rFonts w:hint="eastAsia"/>
          <w:sz w:val="24"/>
        </w:rPr>
        <w:t>、</w:t>
      </w:r>
      <w:r>
        <w:rPr>
          <w:sz w:val="24"/>
        </w:rPr>
        <w:t>36</w:t>
      </w:r>
      <w:r>
        <w:rPr>
          <w:rFonts w:hint="eastAsia"/>
          <w:sz w:val="24"/>
        </w:rPr>
        <w:t>、</w:t>
      </w:r>
      <w:r>
        <w:rPr>
          <w:sz w:val="24"/>
        </w:rPr>
        <w:t>38</w:t>
      </w:r>
      <w:r>
        <w:rPr>
          <w:rFonts w:hint="eastAsia"/>
          <w:sz w:val="24"/>
        </w:rPr>
        <w:t>）号、泡子河西巷</w:t>
      </w:r>
      <w:r>
        <w:rPr>
          <w:sz w:val="24"/>
        </w:rPr>
        <w:t>24</w:t>
      </w:r>
      <w:r>
        <w:rPr>
          <w:rFonts w:hint="eastAsia"/>
          <w:sz w:val="24"/>
        </w:rPr>
        <w:t>号、抽屉胡同</w:t>
      </w:r>
      <w:r>
        <w:rPr>
          <w:sz w:val="24"/>
        </w:rPr>
        <w:t>42</w:t>
      </w:r>
      <w:r>
        <w:rPr>
          <w:rFonts w:hint="eastAsia"/>
          <w:sz w:val="24"/>
        </w:rPr>
        <w:t>号等。</w:t>
      </w:r>
    </w:p>
    <w:p>
      <w:pPr>
        <w:spacing w:line="360" w:lineRule="auto"/>
        <w:ind w:firstLine="480" w:firstLineChars="200"/>
        <w:rPr>
          <w:sz w:val="24"/>
        </w:rPr>
      </w:pPr>
      <w:r>
        <w:rPr>
          <w:sz w:val="24"/>
        </w:rPr>
        <w:t>5</w:t>
      </w:r>
      <w:r>
        <w:rPr>
          <w:rFonts w:hint="eastAsia"/>
          <w:sz w:val="24"/>
        </w:rPr>
        <w:t>、其它区域只负责处理网格件。包括：中粮街、朝阳门南小街（建国门段）、崇文门内大街、政协路、建国门内大街、丽亭饭店东侧路</w:t>
      </w:r>
      <w:r>
        <w:rPr>
          <w:sz w:val="24"/>
        </w:rPr>
        <w:t>(</w:t>
      </w:r>
      <w:r>
        <w:rPr>
          <w:rFonts w:hint="eastAsia"/>
          <w:sz w:val="24"/>
        </w:rPr>
        <w:t>西石槽胡同</w:t>
      </w:r>
      <w:r>
        <w:rPr>
          <w:sz w:val="24"/>
        </w:rPr>
        <w:t>)</w:t>
      </w:r>
      <w:r>
        <w:rPr>
          <w:rFonts w:hint="eastAsia"/>
          <w:sz w:val="24"/>
        </w:rPr>
        <w:t>、朝阳门南大街（建国门段）、富建胡同、贡院西街支线、八宝楼胡同、解放里、江擦胡同、站东街、站西街、恒河西巷、利山西路。</w:t>
      </w:r>
    </w:p>
    <w:p>
      <w:pPr>
        <w:spacing w:line="360" w:lineRule="auto"/>
        <w:rPr>
          <w:sz w:val="24"/>
        </w:rPr>
      </w:pPr>
      <w:r>
        <w:rPr>
          <w:rFonts w:hint="eastAsia"/>
          <w:sz w:val="24"/>
        </w:rPr>
        <w:t>（三）建国门街道辖区社区及户数明细</w:t>
      </w:r>
    </w:p>
    <w:p>
      <w:pPr>
        <w:spacing w:line="360" w:lineRule="auto"/>
        <w:ind w:firstLine="480" w:firstLineChars="200"/>
        <w:rPr>
          <w:sz w:val="24"/>
        </w:rPr>
      </w:pPr>
      <w:r>
        <w:rPr>
          <w:rFonts w:hint="eastAsia"/>
          <w:sz w:val="24"/>
        </w:rPr>
        <w:t>建国门街道所辖金宝街北社区、大雅宝社区、外交部社区、赵家楼社区、西总布社区、东总布社区、苏州社区、崇内社区及站东</w:t>
      </w:r>
      <w:r>
        <w:rPr>
          <w:sz w:val="24"/>
        </w:rPr>
        <w:t>9</w:t>
      </w:r>
      <w:r>
        <w:rPr>
          <w:rFonts w:hint="eastAsia"/>
          <w:sz w:val="24"/>
        </w:rPr>
        <w:t>个社区，共计</w:t>
      </w:r>
      <w:r>
        <w:rPr>
          <w:sz w:val="24"/>
        </w:rPr>
        <w:t>26,688</w:t>
      </w:r>
      <w:r>
        <w:rPr>
          <w:rFonts w:hint="eastAsia"/>
          <w:sz w:val="24"/>
        </w:rPr>
        <w:t>户居民。</w:t>
      </w:r>
    </w:p>
    <w:p>
      <w:pPr>
        <w:spacing w:line="360" w:lineRule="auto"/>
        <w:rPr>
          <w:b/>
          <w:sz w:val="24"/>
        </w:rPr>
      </w:pPr>
      <w:r>
        <w:rPr>
          <w:rFonts w:hint="eastAsia"/>
          <w:sz w:val="24"/>
        </w:rPr>
        <w:t>（四）区域认定最终解释权在街道。</w:t>
      </w:r>
    </w:p>
    <w:p>
      <w:pPr>
        <w:spacing w:line="360" w:lineRule="auto"/>
        <w:rPr>
          <w:b/>
          <w:sz w:val="24"/>
        </w:rPr>
      </w:pPr>
      <w:r>
        <w:rPr>
          <w:rFonts w:hint="eastAsia"/>
          <w:b/>
          <w:sz w:val="24"/>
        </w:rPr>
        <w:t>三、服务内容</w:t>
      </w:r>
    </w:p>
    <w:p>
      <w:pPr>
        <w:spacing w:line="360" w:lineRule="auto"/>
        <w:ind w:left="424" w:leftChars="202"/>
        <w:rPr>
          <w:rFonts w:ascii="楷体" w:hAnsi="楷体" w:eastAsia="楷体" w:cs="楷体"/>
          <w:sz w:val="24"/>
        </w:rPr>
      </w:pPr>
      <w:r>
        <w:rPr>
          <w:rFonts w:hint="eastAsia" w:ascii="楷体" w:hAnsi="楷体" w:eastAsia="楷体" w:cs="楷体"/>
          <w:sz w:val="24"/>
        </w:rPr>
        <w:t>（一）基础管理</w:t>
      </w:r>
    </w:p>
    <w:p>
      <w:pPr>
        <w:spacing w:line="360" w:lineRule="auto"/>
        <w:ind w:firstLine="600" w:firstLineChars="250"/>
        <w:rPr>
          <w:rFonts w:ascii="宋体" w:hAnsi="宋体" w:cs="宋体"/>
          <w:sz w:val="24"/>
        </w:rPr>
      </w:pPr>
      <w:r>
        <w:rPr>
          <w:rFonts w:hint="eastAsia" w:ascii="宋体" w:hAnsi="宋体" w:cs="宋体"/>
          <w:sz w:val="24"/>
        </w:rPr>
        <w:t>1.根据街道要求设置物业管理服务场所，规范作业。</w:t>
      </w:r>
    </w:p>
    <w:p>
      <w:pPr>
        <w:spacing w:line="360" w:lineRule="auto"/>
        <w:ind w:firstLine="600" w:firstLineChars="250"/>
        <w:rPr>
          <w:rFonts w:ascii="宋体" w:hAnsi="宋体" w:cs="宋体"/>
          <w:sz w:val="24"/>
        </w:rPr>
      </w:pPr>
      <w:r>
        <w:rPr>
          <w:rFonts w:hint="eastAsia" w:ascii="宋体" w:hAnsi="宋体" w:cs="宋体"/>
          <w:sz w:val="24"/>
        </w:rPr>
        <w:t>2.配备管理服务所需的保洁车辆、清扫工具等设施设备并负责车辆的管理和维修，街道所配备车辆需要配备开车人员。</w:t>
      </w:r>
    </w:p>
    <w:p>
      <w:pPr>
        <w:spacing w:line="360" w:lineRule="auto"/>
        <w:ind w:firstLine="600" w:firstLineChars="250"/>
        <w:rPr>
          <w:rFonts w:ascii="宋体" w:hAnsi="宋体" w:cs="宋体"/>
          <w:sz w:val="24"/>
        </w:rPr>
      </w:pPr>
      <w:r>
        <w:rPr>
          <w:rFonts w:hint="eastAsia" w:ascii="宋体" w:hAnsi="宋体" w:cs="宋体"/>
          <w:sz w:val="24"/>
        </w:rPr>
        <w:t>3.国家、市、区重大活动、节假日节庆活动、各级领导视察、指导和相关学习交流活动做好相关服务保障工作。</w:t>
      </w:r>
    </w:p>
    <w:p>
      <w:pPr>
        <w:spacing w:line="360" w:lineRule="auto"/>
        <w:ind w:firstLine="600" w:firstLineChars="250"/>
        <w:rPr>
          <w:rFonts w:ascii="宋体" w:hAnsi="宋体" w:cs="宋体"/>
          <w:sz w:val="24"/>
        </w:rPr>
      </w:pPr>
      <w:r>
        <w:rPr>
          <w:rFonts w:hint="eastAsia" w:ascii="宋体" w:hAnsi="宋体" w:cs="宋体"/>
          <w:sz w:val="24"/>
        </w:rPr>
        <w:t>4.向街道及所辖社区（居民）公示物业管理服务企业营业执照、资质证书、服务标准、收费项目、依据和标准，项目管理人员照片、投诉渠道等。提供特约服务的，公示特约服务项目、服务流程及收费标准等。</w:t>
      </w:r>
    </w:p>
    <w:p>
      <w:pPr>
        <w:spacing w:line="360" w:lineRule="auto"/>
        <w:ind w:firstLine="600" w:firstLineChars="250"/>
        <w:rPr>
          <w:rFonts w:ascii="宋体" w:hAnsi="宋体" w:cs="宋体"/>
          <w:sz w:val="24"/>
        </w:rPr>
      </w:pPr>
      <w:r>
        <w:rPr>
          <w:rFonts w:hint="eastAsia" w:ascii="宋体" w:hAnsi="宋体" w:cs="宋体"/>
          <w:sz w:val="24"/>
        </w:rPr>
        <w:t>5.物业管理服务人员配备：根据服务区域情况，配备相应数量的管理人员和服务人员，定岗定编。人员要求如下：</w:t>
      </w:r>
    </w:p>
    <w:p>
      <w:pPr>
        <w:numPr>
          <w:ilvl w:val="0"/>
          <w:numId w:val="12"/>
        </w:numPr>
        <w:spacing w:line="360" w:lineRule="auto"/>
        <w:ind w:left="169" w:firstLine="461"/>
        <w:rPr>
          <w:rFonts w:ascii="宋体" w:hAnsi="宋体" w:cs="宋体"/>
          <w:sz w:val="24"/>
        </w:rPr>
      </w:pPr>
      <w:r>
        <w:rPr>
          <w:rFonts w:hint="eastAsia" w:ascii="宋体" w:hAnsi="宋体" w:cs="宋体"/>
          <w:sz w:val="24"/>
        </w:rPr>
        <w:t>遵守法律法规，具有职业道德，经过专业的岗前培训；</w:t>
      </w:r>
    </w:p>
    <w:p>
      <w:pPr>
        <w:numPr>
          <w:ilvl w:val="0"/>
          <w:numId w:val="12"/>
        </w:numPr>
        <w:spacing w:line="360" w:lineRule="auto"/>
        <w:ind w:left="169" w:firstLine="461"/>
        <w:rPr>
          <w:rFonts w:ascii="宋体" w:hAnsi="宋体" w:cs="宋体"/>
          <w:sz w:val="24"/>
        </w:rPr>
      </w:pPr>
      <w:r>
        <w:rPr>
          <w:rFonts w:hint="eastAsia" w:ascii="宋体" w:hAnsi="宋体" w:cs="宋体"/>
          <w:sz w:val="24"/>
        </w:rPr>
        <w:t>管理人员、专业技术操作人员按照国家有关规定取得相应证书（持驾照D本、佩戴头盔等）；</w:t>
      </w:r>
    </w:p>
    <w:p>
      <w:pPr>
        <w:numPr>
          <w:ilvl w:val="0"/>
          <w:numId w:val="12"/>
        </w:numPr>
        <w:spacing w:line="360" w:lineRule="auto"/>
        <w:ind w:left="169" w:firstLine="461"/>
        <w:rPr>
          <w:rFonts w:ascii="宋体" w:hAnsi="宋体" w:cs="宋体"/>
          <w:sz w:val="24"/>
        </w:rPr>
      </w:pPr>
      <w:r>
        <w:rPr>
          <w:rFonts w:hint="eastAsia" w:ascii="宋体" w:hAnsi="宋体" w:cs="宋体"/>
          <w:sz w:val="24"/>
        </w:rPr>
        <w:t>身体健康，反应敏捷，形象及言行举止端庄，具有良好的职业素养，年龄及体力能够胜任物业服务工作强度（60周岁以下为宜）。</w:t>
      </w:r>
    </w:p>
    <w:p>
      <w:pPr>
        <w:numPr>
          <w:ilvl w:val="0"/>
          <w:numId w:val="12"/>
        </w:numPr>
        <w:spacing w:line="360" w:lineRule="auto"/>
        <w:ind w:left="169" w:firstLine="461"/>
        <w:rPr>
          <w:rFonts w:ascii="宋体" w:hAnsi="宋体" w:cs="宋体"/>
          <w:sz w:val="24"/>
        </w:rPr>
      </w:pPr>
      <w:r>
        <w:rPr>
          <w:rFonts w:hint="eastAsia" w:ascii="宋体" w:hAnsi="宋体" w:cs="宋体"/>
          <w:sz w:val="24"/>
        </w:rPr>
        <w:t>配备项目负责人，片区管理人员3人（分别是：西片区包括金北社区、西总布社区、外交部街社区，东片区包括赵家楼社区、东总布社区、大雅宝社区，南片区包括苏州社区、崇内社区、站东社区），具备内勤管理、财务管理、文案外宣、物业服务热线职能，以263805.3平方米的标准配备保洁员不少于40人、分类驿站工作人员不少于17人、绿化一线工作人员不少于6人及工程维修人员不少于2人，配备人员工作方案需经街道通过方能执行。</w:t>
      </w:r>
    </w:p>
    <w:p>
      <w:pPr>
        <w:numPr>
          <w:ilvl w:val="0"/>
          <w:numId w:val="12"/>
        </w:numPr>
        <w:spacing w:line="360" w:lineRule="auto"/>
        <w:ind w:left="169" w:firstLine="461"/>
        <w:rPr>
          <w:rFonts w:ascii="宋体" w:hAnsi="宋体" w:cs="宋体"/>
          <w:sz w:val="24"/>
        </w:rPr>
      </w:pPr>
      <w:r>
        <w:rPr>
          <w:rFonts w:hint="eastAsia" w:ascii="宋体" w:hAnsi="宋体" w:cs="宋体"/>
          <w:sz w:val="24"/>
        </w:rPr>
        <w:t>统一着装，佩戴明显工牌，仪容仪表整洁。</w:t>
      </w:r>
    </w:p>
    <w:p>
      <w:pPr>
        <w:spacing w:line="360" w:lineRule="auto"/>
        <w:ind w:firstLine="600" w:firstLineChars="250"/>
        <w:rPr>
          <w:rFonts w:ascii="宋体" w:hAnsi="宋体" w:cs="宋体"/>
          <w:sz w:val="24"/>
        </w:rPr>
      </w:pPr>
      <w:r>
        <w:rPr>
          <w:rFonts w:hint="eastAsia" w:ascii="宋体" w:hAnsi="宋体" w:cs="宋体"/>
          <w:sz w:val="24"/>
        </w:rPr>
        <w:t>6.建立完善的物业管理服务规章制度，按照各专业规章制度要求严格执行，同时对物业管理服务各专业实施过程进行详实记录。建立和完善档案管理制度，对街区公共部位、公用设施设备进行全面承接查验，验收手续和资料齐全，对技术、管理和各专业进行管理操作记录等资料详尽收集、第一时间归档、安全管理、便于查阅。通过有效手段及措施保证1小时内向街道报送工作信息、图片、总结等资料。</w:t>
      </w:r>
    </w:p>
    <w:p>
      <w:pPr>
        <w:spacing w:line="360" w:lineRule="auto"/>
        <w:ind w:firstLine="480" w:firstLineChars="200"/>
        <w:rPr>
          <w:rFonts w:ascii="宋体" w:hAnsi="宋体" w:cs="宋体"/>
          <w:sz w:val="24"/>
        </w:rPr>
      </w:pPr>
      <w:r>
        <w:rPr>
          <w:rFonts w:hint="eastAsia" w:ascii="宋体" w:hAnsi="宋体" w:cs="宋体"/>
          <w:sz w:val="24"/>
        </w:rPr>
        <w:t>7.打造物业企业文化：以企业文化凝聚物业公司员工思想，提升员工队伍整体素质，建立统一的标识系统，创新服务模式，形成发展企业、造福居民、回报社会的企业价值观，带动胡同文化内涵的挖掘和发展。</w:t>
      </w:r>
    </w:p>
    <w:p>
      <w:pPr>
        <w:spacing w:line="360" w:lineRule="auto"/>
        <w:ind w:firstLine="480" w:firstLineChars="200"/>
        <w:rPr>
          <w:rFonts w:ascii="宋体" w:hAnsi="宋体" w:cs="宋体"/>
          <w:sz w:val="24"/>
        </w:rPr>
      </w:pPr>
      <w:r>
        <w:rPr>
          <w:rFonts w:hint="eastAsia" w:ascii="宋体" w:hAnsi="宋体" w:cs="宋体"/>
          <w:sz w:val="24"/>
        </w:rPr>
        <w:t>8.服务渠道畅通：设置24小时服务电话，在建国门街道区域内设立办公地点，物业管理服务企业项目部办公室每天提供不少于8小时的服务时间，其他时间安排值班人员，提供居民服务和处理紧急情况；对于居民投诉，在两日内处置并答复，必要时上门回访，处置率、回访率达到100%.对于网格案件，按照网格件处理相关流程的时间要求处理上报。</w:t>
      </w:r>
    </w:p>
    <w:p>
      <w:pPr>
        <w:spacing w:line="360" w:lineRule="auto"/>
        <w:ind w:firstLine="480" w:firstLineChars="200"/>
        <w:rPr>
          <w:rFonts w:ascii="宋体" w:hAnsi="宋体" w:cs="宋体"/>
          <w:sz w:val="24"/>
        </w:rPr>
      </w:pPr>
      <w:r>
        <w:rPr>
          <w:rFonts w:hint="eastAsia" w:ascii="宋体" w:hAnsi="宋体" w:cs="宋体"/>
          <w:sz w:val="24"/>
        </w:rPr>
        <w:t>9.街道办事处及各社区交办的其他工作。</w:t>
      </w:r>
    </w:p>
    <w:p>
      <w:pPr>
        <w:spacing w:line="360" w:lineRule="auto"/>
        <w:ind w:left="424" w:leftChars="202"/>
        <w:rPr>
          <w:rFonts w:ascii="楷体" w:hAnsi="楷体" w:eastAsia="楷体" w:cs="楷体"/>
          <w:sz w:val="24"/>
        </w:rPr>
      </w:pPr>
      <w:r>
        <w:rPr>
          <w:rFonts w:hint="eastAsia" w:ascii="楷体" w:hAnsi="楷体" w:eastAsia="楷体" w:cs="楷体"/>
          <w:sz w:val="24"/>
        </w:rPr>
        <w:t>（二）街道网格案件处置</w:t>
      </w:r>
    </w:p>
    <w:p>
      <w:pPr>
        <w:spacing w:line="360" w:lineRule="auto"/>
        <w:ind w:firstLine="480" w:firstLineChars="200"/>
        <w:rPr>
          <w:rFonts w:ascii="宋体" w:hAnsi="宋体" w:cs="宋体"/>
          <w:sz w:val="24"/>
        </w:rPr>
      </w:pPr>
      <w:r>
        <w:rPr>
          <w:rFonts w:hint="eastAsia" w:ascii="宋体" w:hAnsi="宋体" w:cs="宋体"/>
          <w:sz w:val="24"/>
        </w:rPr>
        <w:t>1.由监督管理员、视频监控、辖区居民、市区聘请的第三方拍照生成的“城市环境”、“随手拍”、“环保巡查APP ”、“12345平台”、“小循环”等网格案件，应按照规定时限在接到案件第一时间处置，尽快回件，杜绝出现案件超期、返工、强结，同时按区里要求完成物业小循环上报数量。</w:t>
      </w:r>
    </w:p>
    <w:p>
      <w:pPr>
        <w:spacing w:line="360" w:lineRule="auto"/>
        <w:ind w:firstLine="480" w:firstLineChars="200"/>
        <w:rPr>
          <w:rFonts w:ascii="宋体" w:hAnsi="宋体" w:cs="宋体"/>
          <w:sz w:val="24"/>
        </w:rPr>
      </w:pPr>
      <w:r>
        <w:rPr>
          <w:rFonts w:hint="eastAsia" w:ascii="宋体" w:hAnsi="宋体" w:cs="宋体"/>
          <w:sz w:val="24"/>
        </w:rPr>
        <w:t>2.物业12小时内上报回退案件，超过12小时及回退失败案件均由物业处理；其它部门、单位不予解决的问题，均由物业解决。</w:t>
      </w:r>
    </w:p>
    <w:p>
      <w:pPr>
        <w:spacing w:line="360" w:lineRule="auto"/>
        <w:ind w:firstLine="480" w:firstLineChars="200"/>
        <w:rPr>
          <w:rFonts w:ascii="宋体" w:hAnsi="宋体" w:cs="宋体"/>
          <w:sz w:val="24"/>
        </w:rPr>
      </w:pPr>
      <w:r>
        <w:rPr>
          <w:rFonts w:hint="eastAsia" w:ascii="宋体" w:hAnsi="宋体" w:cs="宋体"/>
          <w:sz w:val="24"/>
        </w:rPr>
        <w:t>3.需要处理的范围包括但不限于小广告、户外广告、沿街晾晒、景观灯、破损暴露垃圾、废旧车辆无人处理、共享单车乱放、废弃家具、道路不洁、绿地脏乱、折断树枝、树木补种、施工废弃料、堆积建筑垃圾及所有物料、建筑外立面破损不洁、树坑花池围台破损、高空作业等各种情况的清理、维修。</w:t>
      </w:r>
    </w:p>
    <w:p>
      <w:pPr>
        <w:spacing w:line="360" w:lineRule="auto"/>
        <w:ind w:left="424" w:leftChars="202"/>
        <w:rPr>
          <w:rFonts w:ascii="楷体" w:hAnsi="楷体" w:eastAsia="楷体" w:cs="楷体"/>
          <w:sz w:val="24"/>
        </w:rPr>
      </w:pPr>
      <w:r>
        <w:rPr>
          <w:rFonts w:hint="eastAsia" w:ascii="楷体" w:hAnsi="楷体" w:eastAsia="楷体" w:cs="楷体"/>
          <w:sz w:val="24"/>
        </w:rPr>
        <w:t>（三）秩序管控</w:t>
      </w:r>
    </w:p>
    <w:p>
      <w:pPr>
        <w:spacing w:line="360" w:lineRule="auto"/>
        <w:ind w:firstLine="480" w:firstLineChars="200"/>
        <w:rPr>
          <w:rFonts w:ascii="宋体" w:hAnsi="宋体" w:cs="宋体"/>
          <w:sz w:val="24"/>
        </w:rPr>
      </w:pPr>
      <w:r>
        <w:rPr>
          <w:rFonts w:hint="eastAsia" w:ascii="宋体" w:hAnsi="宋体" w:cs="宋体"/>
          <w:sz w:val="24"/>
        </w:rPr>
        <w:t>1.保安进行组队管理模式：分组包片、分队管理，组织专队在重点区域内进行秩序管控；安排保安力量在胡同内分片巡视管理；在高发案点位重设立固定岗值守；设立机动力量随管理科室应急调度使用。排班方案要街道认可。具体要求如下：</w:t>
      </w:r>
    </w:p>
    <w:p>
      <w:pPr>
        <w:spacing w:line="360" w:lineRule="auto"/>
        <w:ind w:firstLine="480" w:firstLineChars="200"/>
        <w:rPr>
          <w:rFonts w:ascii="宋体" w:hAnsi="宋体" w:cs="宋体"/>
          <w:sz w:val="24"/>
        </w:rPr>
      </w:pPr>
      <w:r>
        <w:rPr>
          <w:rFonts w:hint="eastAsia" w:ascii="宋体" w:hAnsi="宋体" w:cs="宋体"/>
          <w:sz w:val="24"/>
        </w:rPr>
        <w:t>2.建立两支专队分别对协和医院周边及东单北大街，崇内大街、同仁医院及东单公园周边进行秩序管控；朝内南小街进行秩序管控。</w:t>
      </w:r>
    </w:p>
    <w:p>
      <w:pPr>
        <w:spacing w:line="360" w:lineRule="auto"/>
        <w:ind w:firstLine="480" w:firstLineChars="200"/>
        <w:rPr>
          <w:rFonts w:ascii="宋体" w:hAnsi="宋体" w:cs="宋体"/>
          <w:sz w:val="24"/>
        </w:rPr>
      </w:pPr>
      <w:r>
        <w:rPr>
          <w:rFonts w:hint="eastAsia" w:ascii="宋体" w:hAnsi="宋体" w:cs="宋体"/>
          <w:sz w:val="24"/>
        </w:rPr>
        <w:t>3.在灯市口地铁口、东单地铁口、建国门地铁口、崇文门地铁口及案件多发点位如：无照游商、废品回收、扰民等设立固定岗，进行秩序管控，其余区域设立流动岗不间断巡逻，安排机动力量随管理科室处置突发事件。</w:t>
      </w:r>
    </w:p>
    <w:p>
      <w:pPr>
        <w:spacing w:line="360" w:lineRule="auto"/>
        <w:ind w:firstLine="480" w:firstLineChars="200"/>
        <w:rPr>
          <w:rFonts w:ascii="宋体" w:hAnsi="宋体" w:cs="宋体"/>
          <w:sz w:val="24"/>
        </w:rPr>
      </w:pPr>
      <w:r>
        <w:rPr>
          <w:rFonts w:hint="eastAsia" w:ascii="宋体" w:hAnsi="宋体" w:cs="宋体"/>
          <w:sz w:val="24"/>
        </w:rPr>
        <w:t>4.服务保障时间：24小时；工作标准：保障服务地点城市环境秩序良好，符合挂账点位的销账标准，实现“动态清零”,通过市区街等相关部门验收。</w:t>
      </w:r>
    </w:p>
    <w:p>
      <w:pPr>
        <w:spacing w:line="360" w:lineRule="auto"/>
        <w:ind w:firstLine="480" w:firstLineChars="200"/>
        <w:rPr>
          <w:rFonts w:ascii="宋体" w:hAnsi="宋体" w:cs="宋体"/>
          <w:sz w:val="24"/>
        </w:rPr>
      </w:pPr>
      <w:r>
        <w:rPr>
          <w:rFonts w:hint="eastAsia" w:ascii="宋体" w:hAnsi="宋体" w:cs="宋体"/>
          <w:sz w:val="24"/>
        </w:rPr>
        <w:t>5.制止张贴、散发、喷涂、悬挂小广告行为。</w:t>
      </w:r>
    </w:p>
    <w:p>
      <w:pPr>
        <w:spacing w:line="360" w:lineRule="auto"/>
        <w:ind w:firstLine="480" w:firstLineChars="200"/>
        <w:rPr>
          <w:rFonts w:ascii="宋体" w:hAnsi="宋体" w:cs="宋体"/>
          <w:sz w:val="24"/>
        </w:rPr>
      </w:pPr>
      <w:r>
        <w:rPr>
          <w:rFonts w:hint="eastAsia" w:ascii="宋体" w:hAnsi="宋体" w:cs="宋体"/>
          <w:sz w:val="24"/>
        </w:rPr>
        <w:t>6.劝阻游商、黑车、黑三轮、共享单车、无照废品回收车、黄牛、流浪乞讨人员，组织专门队伍或设立固定岗清理各种乱象。</w:t>
      </w:r>
    </w:p>
    <w:p>
      <w:pPr>
        <w:spacing w:line="360" w:lineRule="auto"/>
        <w:ind w:firstLine="480" w:firstLineChars="200"/>
        <w:rPr>
          <w:rFonts w:ascii="宋体" w:hAnsi="宋体" w:cs="宋体"/>
          <w:sz w:val="24"/>
        </w:rPr>
      </w:pPr>
      <w:r>
        <w:rPr>
          <w:rFonts w:hint="eastAsia" w:ascii="宋体" w:hAnsi="宋体" w:cs="宋体"/>
          <w:sz w:val="24"/>
        </w:rPr>
        <w:t>7.维护责任区秩序，服务区域内无乱占车位和其他违规占道行为，引导机动车有序行驶、停车入位，引导并协助非机动车码放整齐，加强巡视。</w:t>
      </w:r>
    </w:p>
    <w:p>
      <w:pPr>
        <w:spacing w:line="360" w:lineRule="auto"/>
        <w:ind w:firstLine="480" w:firstLineChars="200"/>
        <w:rPr>
          <w:rFonts w:ascii="宋体" w:hAnsi="宋体" w:cs="宋体"/>
          <w:sz w:val="24"/>
        </w:rPr>
      </w:pPr>
      <w:r>
        <w:rPr>
          <w:rFonts w:hint="eastAsia" w:ascii="宋体" w:hAnsi="宋体" w:cs="宋体"/>
          <w:sz w:val="24"/>
        </w:rPr>
        <w:t>8.对装修居民和商户按规定进行登记，并签订装修管理协议和安全责任书，宣传告知居民、商户装修须知和安全注意事项。对未登记或违规装修的，或装修影响房屋外观、危及房屋结构安全及拆改共用管线等损害公共利益的现象，第一时间劝告、劝阻和取证，并在1小时内报告街道物业管理部门。</w:t>
      </w:r>
    </w:p>
    <w:p>
      <w:pPr>
        <w:spacing w:line="360" w:lineRule="auto"/>
        <w:ind w:firstLine="480" w:firstLineChars="200"/>
        <w:rPr>
          <w:rFonts w:ascii="宋体" w:hAnsi="宋体" w:cs="宋体"/>
          <w:sz w:val="24"/>
        </w:rPr>
      </w:pPr>
      <w:r>
        <w:rPr>
          <w:rFonts w:hint="eastAsia" w:ascii="宋体" w:hAnsi="宋体" w:cs="宋体"/>
          <w:sz w:val="24"/>
        </w:rPr>
        <w:t>9.加强巡查，第一时间发现、劝阻、上报居民搭建违法建设、违规开墙打洞行为，配合城管进行拆违工作；第一时间发现和上报违规出租转租行为，消除治安事件及事故隐患。</w:t>
      </w:r>
    </w:p>
    <w:p>
      <w:pPr>
        <w:spacing w:line="360" w:lineRule="auto"/>
        <w:ind w:firstLine="480" w:firstLineChars="200"/>
        <w:rPr>
          <w:rFonts w:ascii="宋体" w:hAnsi="宋体" w:cs="宋体"/>
          <w:sz w:val="24"/>
        </w:rPr>
      </w:pPr>
      <w:r>
        <w:rPr>
          <w:rFonts w:hint="eastAsia" w:ascii="宋体" w:hAnsi="宋体" w:cs="宋体"/>
          <w:sz w:val="24"/>
        </w:rPr>
        <w:t>10.劝阻制止店外占道经营、露天烧烤（焚烧）、违规安装广告牌匾标识的行为，劝阻制止无效的立即报街道物业管理部门。</w:t>
      </w:r>
    </w:p>
    <w:p>
      <w:pPr>
        <w:spacing w:line="360" w:lineRule="auto"/>
        <w:ind w:firstLine="480" w:firstLineChars="200"/>
        <w:rPr>
          <w:rFonts w:ascii="宋体" w:hAnsi="宋体" w:cs="宋体"/>
          <w:sz w:val="24"/>
        </w:rPr>
      </w:pPr>
      <w:r>
        <w:rPr>
          <w:rFonts w:hint="eastAsia" w:ascii="宋体" w:hAnsi="宋体" w:cs="宋体"/>
          <w:sz w:val="24"/>
        </w:rPr>
        <w:t>11.因地制宜施划机动车和非机动车停车位，引导机动车有序行驶、停车入位，引导并协助非机动车码放整齐，加强巡视，做到无乱停车。</w:t>
      </w:r>
    </w:p>
    <w:p>
      <w:pPr>
        <w:spacing w:line="360" w:lineRule="auto"/>
        <w:ind w:firstLine="480" w:firstLineChars="200"/>
        <w:rPr>
          <w:rFonts w:ascii="宋体" w:hAnsi="宋体" w:cs="宋体"/>
          <w:sz w:val="24"/>
        </w:rPr>
      </w:pPr>
      <w:r>
        <w:rPr>
          <w:rFonts w:hint="eastAsia" w:ascii="宋体" w:hAnsi="宋体" w:cs="宋体"/>
          <w:sz w:val="24"/>
        </w:rPr>
        <w:t>12.负责地桩、地锁、石墩、废旧自行车等道路障碍物的拆除和管控，保证辖区内无乱占车位和其他违规占道行为。</w:t>
      </w:r>
    </w:p>
    <w:p>
      <w:pPr>
        <w:spacing w:line="360" w:lineRule="auto"/>
        <w:ind w:firstLine="480" w:firstLineChars="200"/>
        <w:rPr>
          <w:rFonts w:ascii="宋体" w:hAnsi="宋体" w:cs="宋体"/>
          <w:sz w:val="24"/>
        </w:rPr>
      </w:pPr>
      <w:r>
        <w:rPr>
          <w:rFonts w:hint="eastAsia" w:ascii="宋体" w:hAnsi="宋体" w:cs="宋体"/>
          <w:sz w:val="24"/>
        </w:rPr>
        <w:t>13.发现“僵尸车”（含机动车、非机动车）第一时间上报，并协助相关部门进行清理；</w:t>
      </w:r>
    </w:p>
    <w:p>
      <w:pPr>
        <w:spacing w:line="360" w:lineRule="auto"/>
        <w:ind w:firstLine="480" w:firstLineChars="200"/>
        <w:rPr>
          <w:rFonts w:ascii="宋体" w:hAnsi="宋体" w:cs="宋体"/>
          <w:sz w:val="24"/>
        </w:rPr>
      </w:pPr>
      <w:r>
        <w:rPr>
          <w:rFonts w:hint="eastAsia" w:ascii="宋体" w:hAnsi="宋体" w:cs="宋体"/>
          <w:sz w:val="24"/>
        </w:rPr>
        <w:t>14.在主要出入口视情况设置专人值守，保证无障碍物，车辆通行顺畅。</w:t>
      </w:r>
    </w:p>
    <w:p>
      <w:pPr>
        <w:spacing w:line="360" w:lineRule="auto"/>
        <w:ind w:firstLine="480" w:firstLineChars="200"/>
        <w:rPr>
          <w:rFonts w:ascii="宋体" w:hAnsi="宋体" w:cs="宋体"/>
          <w:sz w:val="24"/>
        </w:rPr>
      </w:pPr>
      <w:r>
        <w:rPr>
          <w:rFonts w:hint="eastAsia" w:ascii="宋体" w:hAnsi="宋体" w:cs="宋体"/>
          <w:sz w:val="24"/>
        </w:rPr>
        <w:t>15.按照辖区居民自治公约进行管理，维护停车秩序，达到共建共享的效果。</w:t>
      </w:r>
    </w:p>
    <w:p>
      <w:pPr>
        <w:spacing w:line="360" w:lineRule="auto"/>
        <w:ind w:firstLine="480" w:firstLineChars="200"/>
        <w:rPr>
          <w:rFonts w:ascii="宋体" w:hAnsi="宋体" w:cs="宋体"/>
          <w:sz w:val="24"/>
        </w:rPr>
      </w:pPr>
      <w:r>
        <w:rPr>
          <w:rFonts w:hint="eastAsia" w:ascii="宋体" w:hAnsi="宋体" w:cs="宋体"/>
          <w:sz w:val="24"/>
        </w:rPr>
        <w:t>16.参加包括但不限于疫情防控、垃圾分类、堆物堆料清理等街道工作。</w:t>
      </w:r>
    </w:p>
    <w:p>
      <w:pPr>
        <w:spacing w:line="360" w:lineRule="auto"/>
        <w:ind w:firstLine="480" w:firstLineChars="200"/>
        <w:rPr>
          <w:rFonts w:ascii="宋体" w:hAnsi="宋体" w:cs="宋体"/>
          <w:sz w:val="24"/>
        </w:rPr>
      </w:pPr>
      <w:r>
        <w:rPr>
          <w:rFonts w:hint="eastAsia" w:ascii="宋体" w:hAnsi="宋体" w:cs="宋体"/>
          <w:sz w:val="24"/>
        </w:rPr>
        <w:t>17.乙方负责全面做好协议区域内的垃圾分类工作。</w:t>
      </w:r>
    </w:p>
    <w:p>
      <w:pPr>
        <w:spacing w:line="360" w:lineRule="auto"/>
        <w:ind w:firstLine="480" w:firstLineChars="200"/>
        <w:rPr>
          <w:rFonts w:ascii="宋体" w:hAnsi="宋体" w:cs="宋体"/>
          <w:sz w:val="24"/>
        </w:rPr>
      </w:pPr>
      <w:r>
        <w:rPr>
          <w:rFonts w:hint="eastAsia" w:ascii="宋体" w:hAnsi="宋体" w:cs="宋体"/>
          <w:sz w:val="24"/>
        </w:rPr>
        <w:t>18.乙方负责做好居民引导工作，提高居民垃圾分类意识，做好居民源头分类工作。</w:t>
      </w:r>
    </w:p>
    <w:p>
      <w:pPr>
        <w:spacing w:line="360" w:lineRule="auto"/>
        <w:ind w:firstLine="480" w:firstLineChars="200"/>
        <w:rPr>
          <w:rFonts w:ascii="宋体" w:hAnsi="宋体" w:cs="宋体"/>
          <w:sz w:val="24"/>
        </w:rPr>
      </w:pPr>
      <w:r>
        <w:rPr>
          <w:rFonts w:hint="eastAsia" w:ascii="宋体" w:hAnsi="宋体" w:cs="宋体"/>
          <w:sz w:val="24"/>
        </w:rPr>
        <w:t>19.乙方负责垃圾分类积分管理、承接街道宣传物品发放。</w:t>
      </w:r>
    </w:p>
    <w:p>
      <w:pPr>
        <w:spacing w:line="360" w:lineRule="auto"/>
        <w:ind w:firstLine="480" w:firstLineChars="200"/>
        <w:rPr>
          <w:rFonts w:ascii="宋体" w:hAnsi="宋体" w:cs="宋体"/>
          <w:sz w:val="24"/>
        </w:rPr>
      </w:pPr>
      <w:r>
        <w:rPr>
          <w:rFonts w:hint="eastAsia" w:ascii="宋体" w:hAnsi="宋体" w:cs="宋体"/>
          <w:sz w:val="24"/>
        </w:rPr>
        <w:t>20.乙方负责完成市、区级检查、考核及验收工作,同时做好对外服务接待工作。对检查出现的问题及时做好整改工作。</w:t>
      </w:r>
    </w:p>
    <w:p>
      <w:pPr>
        <w:spacing w:line="360" w:lineRule="auto"/>
        <w:ind w:firstLine="480" w:firstLineChars="200"/>
        <w:rPr>
          <w:rFonts w:ascii="宋体" w:hAnsi="宋体" w:cs="宋体"/>
          <w:sz w:val="24"/>
        </w:rPr>
      </w:pPr>
      <w:r>
        <w:rPr>
          <w:rFonts w:hint="eastAsia" w:ascii="宋体" w:hAnsi="宋体" w:cs="宋体"/>
          <w:sz w:val="24"/>
        </w:rPr>
        <w:t>21.乙方负责对甲方现有的17座“生活垃圾分类驿站”的日常运营管理，建立相关制度，工作流程，做到运营有序、调度有方、账目清晰、档案齐全、条责到人，安全检查（要建立检查台账），同时对于新增驿站甲乙双方进行协商运营。</w:t>
      </w:r>
    </w:p>
    <w:p>
      <w:pPr>
        <w:spacing w:line="360" w:lineRule="auto"/>
        <w:ind w:firstLine="480" w:firstLineChars="200"/>
        <w:rPr>
          <w:rFonts w:ascii="宋体" w:hAnsi="宋体" w:cs="宋体"/>
          <w:sz w:val="24"/>
        </w:rPr>
      </w:pPr>
      <w:r>
        <w:rPr>
          <w:rFonts w:hint="eastAsia" w:ascii="宋体" w:hAnsi="宋体" w:cs="宋体"/>
          <w:sz w:val="24"/>
        </w:rPr>
        <w:t>22.乙方按照甲方的要求做好辖区内所有桶站厨余垃圾、可回收物及有害垃圾的清运工作，乙方根据甲方桶站数量的调整而进行工作调整。</w:t>
      </w:r>
    </w:p>
    <w:p>
      <w:pPr>
        <w:spacing w:line="360" w:lineRule="auto"/>
        <w:ind w:firstLine="480" w:firstLineChars="200"/>
        <w:rPr>
          <w:rFonts w:ascii="宋体" w:hAnsi="宋体" w:cs="宋体"/>
          <w:sz w:val="24"/>
        </w:rPr>
      </w:pPr>
      <w:r>
        <w:rPr>
          <w:rFonts w:hint="eastAsia" w:ascii="宋体" w:hAnsi="宋体" w:cs="宋体"/>
          <w:sz w:val="24"/>
        </w:rPr>
        <w:t>23.乙方按照甲方的要求设置流动收运点，同时按要求配备好“生活垃圾分类驿站”及流动收运点的工作人员。工作人员要认真负责、耐心待人，必要时要上门服务。</w:t>
      </w:r>
    </w:p>
    <w:p>
      <w:pPr>
        <w:spacing w:line="360" w:lineRule="auto"/>
        <w:ind w:firstLine="480" w:firstLineChars="200"/>
        <w:rPr>
          <w:rFonts w:ascii="宋体" w:hAnsi="宋体" w:cs="宋体"/>
          <w:sz w:val="24"/>
        </w:rPr>
      </w:pPr>
      <w:r>
        <w:rPr>
          <w:rFonts w:hint="eastAsia" w:ascii="宋体" w:hAnsi="宋体" w:cs="宋体"/>
          <w:sz w:val="24"/>
        </w:rPr>
        <w:t>24.乙方定期对“生活垃圾分类驿站”、厨余垃圾收集点等负责的设施做好定期维护工作。同时，做好对驿站周边进行蚊蝇消杀、消毒及地面清扫等工作，并建立设备维护和消杀管理长效机制及台账。</w:t>
      </w:r>
    </w:p>
    <w:p>
      <w:pPr>
        <w:spacing w:line="360" w:lineRule="auto"/>
        <w:ind w:firstLine="480" w:firstLineChars="200"/>
        <w:rPr>
          <w:rFonts w:ascii="宋体" w:hAnsi="宋体" w:cs="宋体"/>
          <w:sz w:val="24"/>
        </w:rPr>
      </w:pPr>
      <w:r>
        <w:rPr>
          <w:rFonts w:hint="eastAsia" w:ascii="宋体" w:hAnsi="宋体" w:cs="宋体"/>
          <w:sz w:val="24"/>
        </w:rPr>
        <w:t>25.乙方有义务配合、指导甲方聘请的街区物业服务企业开展垃圾分类工作及其他工作。</w:t>
      </w:r>
    </w:p>
    <w:p>
      <w:pPr>
        <w:spacing w:line="360" w:lineRule="auto"/>
        <w:ind w:firstLine="480" w:firstLineChars="200"/>
        <w:rPr>
          <w:rFonts w:ascii="宋体" w:hAnsi="宋体" w:cs="宋体"/>
          <w:sz w:val="24"/>
        </w:rPr>
      </w:pPr>
      <w:r>
        <w:rPr>
          <w:rFonts w:hint="eastAsia" w:ascii="宋体" w:hAnsi="宋体" w:cs="宋体"/>
          <w:sz w:val="24"/>
        </w:rPr>
        <w:t>26.乙方有义务配合甲方做好对“垃圾分类中转站”的日常管理。如：卫生防疫、安全生产、消防安全、用电安全、夜间巡逻等，并建立相关工作制度。</w:t>
      </w:r>
    </w:p>
    <w:p>
      <w:pPr>
        <w:spacing w:line="360" w:lineRule="auto"/>
        <w:ind w:firstLine="480" w:firstLineChars="200"/>
        <w:rPr>
          <w:rFonts w:ascii="宋体" w:hAnsi="宋体" w:cs="宋体"/>
          <w:sz w:val="24"/>
        </w:rPr>
      </w:pPr>
      <w:r>
        <w:rPr>
          <w:rFonts w:hint="eastAsia" w:ascii="宋体" w:hAnsi="宋体" w:cs="宋体"/>
          <w:sz w:val="24"/>
        </w:rPr>
        <w:t>27.乙方配合甲方做好全年的垃圾分类宣传工作。</w:t>
      </w:r>
    </w:p>
    <w:p>
      <w:pPr>
        <w:spacing w:line="360" w:lineRule="auto"/>
        <w:ind w:firstLine="480" w:firstLineChars="200"/>
        <w:rPr>
          <w:rFonts w:ascii="宋体" w:hAnsi="宋体" w:cs="宋体"/>
          <w:sz w:val="24"/>
        </w:rPr>
      </w:pPr>
      <w:r>
        <w:rPr>
          <w:rFonts w:hint="eastAsia" w:ascii="宋体" w:hAnsi="宋体" w:cs="宋体"/>
          <w:sz w:val="24"/>
        </w:rPr>
        <w:t>28.乙方保质、保量完成甲方交办了临时性工作以及90余家沿街七小商户的厨余垃圾收运。</w:t>
      </w:r>
    </w:p>
    <w:p>
      <w:pPr>
        <w:spacing w:line="360" w:lineRule="auto"/>
        <w:ind w:left="424" w:leftChars="202"/>
        <w:rPr>
          <w:rFonts w:ascii="楷体" w:hAnsi="楷体" w:eastAsia="楷体" w:cs="楷体"/>
          <w:sz w:val="24"/>
        </w:rPr>
      </w:pPr>
      <w:r>
        <w:rPr>
          <w:rFonts w:hint="eastAsia" w:ascii="楷体" w:hAnsi="楷体" w:eastAsia="楷体" w:cs="楷体"/>
          <w:sz w:val="24"/>
        </w:rPr>
        <w:t>（四）环卫保洁及环保任务</w:t>
      </w:r>
    </w:p>
    <w:p>
      <w:pPr>
        <w:spacing w:line="360" w:lineRule="auto"/>
        <w:ind w:firstLine="480" w:firstLineChars="200"/>
        <w:rPr>
          <w:rFonts w:ascii="宋体" w:hAnsi="宋体" w:cs="宋体"/>
          <w:sz w:val="24"/>
        </w:rPr>
      </w:pPr>
      <w:r>
        <w:rPr>
          <w:rFonts w:hint="eastAsia" w:ascii="宋体" w:hAnsi="宋体" w:cs="宋体"/>
          <w:sz w:val="24"/>
        </w:rPr>
        <w:t>1.日常任务：配齐人员按一级（类）保洁标准（早5点——晚9点）对街道辖区内道路胡同绿化等全范围（包含西总布、外交部街垃圾不落地胡同）的积水、积雪、结冰、落叶第一时间进行清扫、清除、收运，落叶及其他区相关部门统一收集的垃圾需按照区相关部门要求按时保质的运送至统一收集点，对暴露垃圾严重区域加时收运，确保环境整洁，收运单位严格按照新版《北京市生活垃圾管理条例》要求具备相应资质。雨水口、污水井箅子及周边干净整洁，无跑冒问题。对指路标志、导游图、电话亭、桌椅、健身器械等城市家具适时进行擦拭，对配电箱进行安全维护，始终保持干净整洁。对责任区墙壁、宣传栏等公共设施设备，以及胡同道路进行巡查、保洁、维修，确保无乱悬挂、乱贴乱画。第一时间清理责任区垃圾、渣土，引导居民定点投放大件废弃物，并第一时间清理。建筑垃圾按要求（区住建委小型工程管理办法相关规定）存放苫盖，做到无乱堆物堆料及暴露垃圾；负责四类垃圾垃圾不落地定时定点收集运输，其他垃圾有效分出有害、可回收物（包含泡沫、玻璃瓶等低值可回收物）、厨余垃圾并准确投放入桶站、驿站及自带的分类设施内，不得将未分拣的垃圾直接投入四分类桶或丢弃在路边、桶边，促进垃圾资源化、标准化、减量化、无害化处理，对生活垃圾第一时间清运，清运车辆符合管委标准并携带分类设施包括但不限于厨余桶、可回收袋等，保洁员负责指导居民进行垃圾分类、劝阻违规投放并取证、宣传垃圾分类，并进行二次分类。</w:t>
      </w:r>
    </w:p>
    <w:p>
      <w:pPr>
        <w:spacing w:line="360" w:lineRule="auto"/>
        <w:ind w:firstLine="480" w:firstLineChars="200"/>
        <w:rPr>
          <w:rFonts w:ascii="宋体" w:hAnsi="宋体" w:cs="宋体"/>
          <w:sz w:val="24"/>
        </w:rPr>
      </w:pPr>
      <w:r>
        <w:rPr>
          <w:rFonts w:hint="eastAsia" w:ascii="宋体" w:hAnsi="宋体" w:cs="宋体"/>
          <w:sz w:val="24"/>
        </w:rPr>
        <w:t>2.环保任务：对胡同路面及硬化地面每天清扫、吸尘、降尘，夏季每日7：00前，冬季7:30前完成清扫，不间断进行巡回保洁，保持责任区干净整洁无杂物，每周进行一次深度保洁。针对环保监测站点（PM2.5、PM10.0等监测点）进行重点降尘作业，保持地面湿润，需不间断洒水。胡同路面及硬化地面每天洒水清扫：按照季节每天不少于4次，遇重度雾霾天气，每天至少增加2次；冬季根据气温情况合理掌握洒水次数或是停止洒水，保证道路行人和行车安全。</w:t>
      </w:r>
    </w:p>
    <w:p>
      <w:pPr>
        <w:spacing w:line="360" w:lineRule="auto"/>
        <w:ind w:firstLine="480" w:firstLineChars="200"/>
        <w:rPr>
          <w:rFonts w:ascii="宋体" w:hAnsi="宋体" w:cs="宋体"/>
          <w:sz w:val="24"/>
        </w:rPr>
      </w:pPr>
      <w:r>
        <w:rPr>
          <w:rFonts w:hint="eastAsia" w:ascii="宋体" w:hAnsi="宋体" w:cs="宋体"/>
          <w:sz w:val="24"/>
        </w:rPr>
        <w:t>3.按照城市管理办公室和环保巡查APP上出现的裸露地面、裸露渣土及道路遗撒问题在规定期限内第一时间进行清理或苫盖，不得超出规定时限；第一时间处理首都环境建设办公室检查下发的点位整改工作，确保点位检查合格。</w:t>
      </w:r>
    </w:p>
    <w:p>
      <w:pPr>
        <w:spacing w:line="360" w:lineRule="auto"/>
        <w:ind w:firstLine="480" w:firstLineChars="200"/>
        <w:rPr>
          <w:rFonts w:ascii="宋体" w:hAnsi="宋体" w:cs="宋体"/>
          <w:sz w:val="24"/>
        </w:rPr>
      </w:pPr>
      <w:r>
        <w:rPr>
          <w:rFonts w:hint="eastAsia" w:ascii="宋体" w:hAnsi="宋体" w:cs="宋体"/>
          <w:sz w:val="24"/>
        </w:rPr>
        <w:t>4.动物监管任务：对居民饲养鸡、鸭、鹅、兔、羊、猪、鸽子等家禽家畜（办理登记的宠物除外）行为，依据有关规定进行监督、劝告，并上报有关部门经行处理。</w:t>
      </w:r>
    </w:p>
    <w:p>
      <w:pPr>
        <w:spacing w:line="360" w:lineRule="auto"/>
        <w:ind w:firstLine="480" w:firstLineChars="200"/>
        <w:rPr>
          <w:rFonts w:ascii="宋体" w:hAnsi="宋体" w:cs="宋体"/>
          <w:sz w:val="24"/>
        </w:rPr>
      </w:pPr>
      <w:r>
        <w:rPr>
          <w:rFonts w:hint="eastAsia" w:ascii="宋体" w:hAnsi="宋体" w:cs="宋体"/>
          <w:sz w:val="24"/>
        </w:rPr>
        <w:t>5.消杀任务：建立消杀工作管理制度，根据春季灭鼠白蚁、夏季灭蚊蝇、秋季灭蟑、冬季灭鼠开展消杀工作，适时投放消杀药物，有效控制鼠、蟑、蚊、蝇等害虫孽生，对居民反应的消杀需求进行消杀作业。</w:t>
      </w:r>
    </w:p>
    <w:p>
      <w:pPr>
        <w:spacing w:line="360" w:lineRule="auto"/>
        <w:ind w:left="424" w:leftChars="202"/>
        <w:rPr>
          <w:rFonts w:ascii="楷体" w:hAnsi="楷体" w:eastAsia="楷体" w:cs="楷体"/>
          <w:sz w:val="24"/>
        </w:rPr>
      </w:pPr>
      <w:r>
        <w:rPr>
          <w:rFonts w:hint="eastAsia" w:ascii="楷体" w:hAnsi="楷体" w:eastAsia="楷体" w:cs="楷体"/>
          <w:sz w:val="24"/>
        </w:rPr>
        <w:t>（五）绿化养护</w:t>
      </w:r>
    </w:p>
    <w:p>
      <w:pPr>
        <w:spacing w:line="360" w:lineRule="auto"/>
        <w:ind w:firstLine="480" w:firstLineChars="200"/>
        <w:rPr>
          <w:rFonts w:ascii="宋体" w:hAnsi="宋体" w:cs="宋体"/>
          <w:sz w:val="24"/>
        </w:rPr>
      </w:pPr>
      <w:r>
        <w:rPr>
          <w:rFonts w:hint="eastAsia" w:ascii="宋体" w:hAnsi="宋体" w:cs="宋体"/>
          <w:sz w:val="24"/>
        </w:rPr>
        <w:t>1.合同签订起一周内制定绿化养护方案，核验枯死树木、绿植数量，超期承担所有树木、绿植养护责任及枯死树木、绿植砍伐挖根补种责任，按季节及植物生长特性定期对街道产权路树、绿地、花箱以及无人管辖区的绿植进行修剪、养护、浇水、整形，对街道产权、拆迁滞留区、私房院落等定期除虫打药。第一时间处理街道产权病死花木，第一时间劝阻践踏绿地、攀折花木等破坏绿地的不良行为，对绿地全部设施如围栏、墙垛、围台、树坑、花池、泥土、标牌等进行维护维修。街道疏整促新建的花箱及小微绿地施工养护期过后，由街物业接管并维护。养护期间，街道产权绿植出现病死枯死现象，承担砍伐责任。</w:t>
      </w:r>
    </w:p>
    <w:p>
      <w:pPr>
        <w:spacing w:line="360" w:lineRule="auto"/>
        <w:ind w:firstLine="480" w:firstLineChars="200"/>
        <w:rPr>
          <w:rFonts w:ascii="宋体" w:hAnsi="宋体" w:cs="宋体"/>
          <w:sz w:val="24"/>
        </w:rPr>
      </w:pPr>
      <w:r>
        <w:rPr>
          <w:rFonts w:hint="eastAsia" w:ascii="宋体" w:hAnsi="宋体" w:cs="宋体"/>
          <w:sz w:val="24"/>
        </w:rPr>
        <w:t>2.定期巡查绿化区域，严格按照作业规程操作，对街道产权干枝枯杈、断枝压房、压线等情况第一时间进行处理，采取有效措施确保汛期、大风期及日常不倒树、不伤人，如发生倒树，第一时间应急排险处置；保持园林建筑和辅助设施完好无损和整洁美观。</w:t>
      </w:r>
    </w:p>
    <w:p>
      <w:pPr>
        <w:spacing w:line="360" w:lineRule="auto"/>
        <w:ind w:firstLine="480" w:firstLineChars="200"/>
        <w:rPr>
          <w:rFonts w:ascii="宋体" w:hAnsi="宋体" w:cs="宋体"/>
          <w:sz w:val="24"/>
        </w:rPr>
      </w:pPr>
      <w:r>
        <w:rPr>
          <w:rFonts w:hint="eastAsia" w:ascii="宋体" w:hAnsi="宋体" w:cs="宋体"/>
          <w:sz w:val="24"/>
        </w:rPr>
        <w:t>3.协助相关单位对辖区内的古树、名木采取保护措施，悬挂注有名称、科属、产地、生长习性等标志牌。</w:t>
      </w:r>
    </w:p>
    <w:p>
      <w:r>
        <w:rPr>
          <w:rFonts w:hint="eastAsia" w:ascii="宋体" w:hAnsi="宋体" w:cs="宋体"/>
          <w:sz w:val="24"/>
        </w:rPr>
        <w:t>第一时间清理绿化带内白色垃圾、砖渣、废弃物，保持绿化区域清洁干净。</w:t>
      </w:r>
    </w:p>
    <w:p>
      <w:pPr>
        <w:spacing w:line="360" w:lineRule="auto"/>
        <w:ind w:left="424" w:leftChars="202"/>
        <w:rPr>
          <w:rFonts w:ascii="楷体" w:hAnsi="楷体" w:eastAsia="楷体" w:cs="楷体"/>
          <w:sz w:val="24"/>
        </w:rPr>
      </w:pPr>
      <w:r>
        <w:rPr>
          <w:rFonts w:hint="eastAsia" w:ascii="楷体" w:hAnsi="楷体" w:eastAsia="楷体" w:cs="楷体"/>
          <w:sz w:val="24"/>
        </w:rPr>
        <w:t>（六）安全防范</w:t>
      </w:r>
    </w:p>
    <w:p>
      <w:pPr>
        <w:spacing w:line="360" w:lineRule="auto"/>
        <w:ind w:firstLine="480" w:firstLineChars="200"/>
        <w:rPr>
          <w:rFonts w:ascii="宋体" w:hAnsi="宋体" w:cs="宋体"/>
          <w:sz w:val="24"/>
        </w:rPr>
      </w:pPr>
      <w:r>
        <w:rPr>
          <w:rFonts w:hint="eastAsia" w:ascii="宋体" w:hAnsi="宋体" w:cs="宋体"/>
          <w:sz w:val="24"/>
        </w:rPr>
        <w:t>1.消防设施完备，消防通道畅通，消防关键控制点标志明显，可随时启用；有消防应急预案，每年消防应急演练不少于2次；协助街道加强“微型消防站”建设，定期巡查消防安全、发现并第一时间处置火情。</w:t>
      </w:r>
    </w:p>
    <w:p>
      <w:pPr>
        <w:spacing w:line="360" w:lineRule="auto"/>
        <w:ind w:firstLine="480" w:firstLineChars="200"/>
        <w:rPr>
          <w:rFonts w:ascii="宋体" w:hAnsi="宋体" w:cs="宋体"/>
          <w:sz w:val="24"/>
        </w:rPr>
      </w:pPr>
      <w:r>
        <w:rPr>
          <w:rFonts w:hint="eastAsia" w:ascii="宋体" w:hAnsi="宋体" w:cs="宋体"/>
          <w:sz w:val="24"/>
        </w:rPr>
        <w:t>2.技防设备良好有效，专用设备设施齐全，应急处置分工明确，应急队伍保障到位。</w:t>
      </w:r>
    </w:p>
    <w:p>
      <w:pPr>
        <w:spacing w:line="360" w:lineRule="auto"/>
        <w:ind w:firstLine="480" w:firstLineChars="200"/>
        <w:rPr>
          <w:rFonts w:ascii="宋体" w:hAnsi="宋体" w:cs="宋体"/>
          <w:sz w:val="24"/>
        </w:rPr>
      </w:pPr>
      <w:r>
        <w:rPr>
          <w:rFonts w:hint="eastAsia" w:ascii="宋体" w:hAnsi="宋体" w:cs="宋体"/>
          <w:sz w:val="24"/>
        </w:rPr>
        <w:t>3.按照规定路线和时间进行24小时不间断巡逻，并有巡查记录，重点部位每小时巡查一次，发现可疑人员关注询问，消防治安事件及事故隐患。</w:t>
      </w:r>
    </w:p>
    <w:p>
      <w:pPr>
        <w:spacing w:line="360" w:lineRule="auto"/>
        <w:ind w:firstLine="480" w:firstLineChars="200"/>
        <w:rPr>
          <w:rFonts w:ascii="宋体" w:hAnsi="宋体" w:cs="宋体"/>
          <w:sz w:val="24"/>
        </w:rPr>
      </w:pPr>
      <w:r>
        <w:rPr>
          <w:rFonts w:hint="eastAsia" w:ascii="宋体" w:hAnsi="宋体" w:cs="宋体"/>
          <w:sz w:val="24"/>
        </w:rPr>
        <w:t>4.有完备的应急预案手册，应急指挥体系，第一时间有效处置水、电、气、热等突发事件。每年对服务人员进行不少于2次安全防范技能的培训。</w:t>
      </w:r>
    </w:p>
    <w:p>
      <w:pPr>
        <w:spacing w:line="360" w:lineRule="auto"/>
        <w:ind w:firstLine="480" w:firstLineChars="200"/>
        <w:rPr>
          <w:rFonts w:ascii="宋体" w:hAnsi="宋体" w:cs="宋体"/>
          <w:sz w:val="24"/>
        </w:rPr>
      </w:pPr>
      <w:r>
        <w:rPr>
          <w:rFonts w:hint="eastAsia" w:ascii="宋体" w:hAnsi="宋体" w:cs="宋体"/>
          <w:sz w:val="24"/>
        </w:rPr>
        <w:t>5.汛期要建立防汛安全值班、巡查制度，做好防汛安全检查，定期巡查疏通雨水口等排水设施，发现排水设施不通畅第一时间按照有关规定处理并上报。冬季需要备足所用融雪剂及相关工具，要做好扫雪铲冰工作，保持路面无积雪、结冰现象。</w:t>
      </w:r>
    </w:p>
    <w:p>
      <w:pPr>
        <w:spacing w:line="360" w:lineRule="auto"/>
        <w:ind w:firstLine="480" w:firstLineChars="200"/>
        <w:rPr>
          <w:rFonts w:ascii="宋体" w:hAnsi="宋体" w:cs="宋体"/>
          <w:sz w:val="24"/>
        </w:rPr>
      </w:pPr>
      <w:r>
        <w:rPr>
          <w:rFonts w:hint="eastAsia" w:ascii="宋体" w:hAnsi="宋体" w:cs="宋体"/>
          <w:sz w:val="24"/>
        </w:rPr>
        <w:t>6.发生群体访、聚集性事件或治安案件，立即维护控制秩序，上报街道物业管理部门。</w:t>
      </w:r>
    </w:p>
    <w:p>
      <w:pPr>
        <w:spacing w:line="360" w:lineRule="auto"/>
        <w:ind w:left="424" w:leftChars="202"/>
        <w:rPr>
          <w:rFonts w:ascii="楷体" w:hAnsi="楷体" w:eastAsia="楷体" w:cs="楷体"/>
          <w:sz w:val="24"/>
        </w:rPr>
      </w:pPr>
      <w:r>
        <w:rPr>
          <w:rFonts w:hint="eastAsia" w:ascii="楷体" w:hAnsi="楷体" w:eastAsia="楷体" w:cs="楷体"/>
          <w:sz w:val="24"/>
        </w:rPr>
        <w:t>（七）设施巡查</w:t>
      </w:r>
    </w:p>
    <w:p>
      <w:pPr>
        <w:spacing w:line="360" w:lineRule="auto"/>
        <w:ind w:firstLine="480" w:firstLineChars="200"/>
        <w:rPr>
          <w:rFonts w:ascii="宋体" w:hAnsi="宋体" w:cs="宋体"/>
          <w:sz w:val="24"/>
        </w:rPr>
      </w:pPr>
      <w:r>
        <w:rPr>
          <w:rFonts w:hint="eastAsia" w:ascii="宋体" w:hAnsi="宋体" w:cs="宋体"/>
          <w:sz w:val="24"/>
        </w:rPr>
        <w:t>1.对责任区用水、用电及配套服务设施设备进行日常巡查，发现异常情况第一时间上报；严格执行设施设备操作规程及保养规范，建立公用设施设备档案（设备台帐），设施设备的运行、检查等记录齐全。</w:t>
      </w:r>
    </w:p>
    <w:p>
      <w:pPr>
        <w:tabs>
          <w:tab w:val="left" w:pos="312"/>
        </w:tabs>
        <w:spacing w:line="360" w:lineRule="auto"/>
        <w:ind w:firstLine="480" w:firstLineChars="200"/>
        <w:rPr>
          <w:rFonts w:ascii="宋体" w:hAnsi="宋体" w:cs="宋体"/>
          <w:sz w:val="24"/>
        </w:rPr>
      </w:pPr>
      <w:r>
        <w:rPr>
          <w:rFonts w:hint="eastAsia" w:ascii="宋体" w:hAnsi="宋体" w:cs="宋体"/>
          <w:sz w:val="24"/>
        </w:rPr>
        <w:t>2.加强巡查巡视，发现危旧房屋屋顶塌陷、墙体脱落、开裂，胡同内架空线下坠、外立面破损和道路破损等存在安全隐患的情况，应急处置完毕，第一时间上报街道物业管理部门。</w:t>
      </w:r>
    </w:p>
    <w:p>
      <w:pPr>
        <w:tabs>
          <w:tab w:val="left" w:pos="312"/>
        </w:tabs>
        <w:spacing w:line="360" w:lineRule="auto"/>
        <w:ind w:firstLine="480" w:firstLineChars="200"/>
        <w:rPr>
          <w:rFonts w:ascii="宋体" w:hAnsi="宋体" w:cs="宋体"/>
          <w:sz w:val="24"/>
        </w:rPr>
      </w:pPr>
      <w:r>
        <w:rPr>
          <w:rFonts w:hint="eastAsia" w:ascii="宋体" w:hAnsi="宋体" w:cs="宋体"/>
          <w:sz w:val="24"/>
        </w:rPr>
        <w:t>3.定期巡查和维护电话亭、空调室外机、城市小品、花、草、树木及共用部位的门窗、玻璃等，做好巡查记录，发现隐患第一时间处置并上报。</w:t>
      </w:r>
    </w:p>
    <w:p>
      <w:pPr>
        <w:spacing w:line="360" w:lineRule="auto"/>
        <w:ind w:firstLine="480" w:firstLineChars="200"/>
        <w:rPr>
          <w:rFonts w:ascii="楷体" w:hAnsi="楷体" w:eastAsia="楷体" w:cs="楷体"/>
          <w:sz w:val="24"/>
        </w:rPr>
      </w:pPr>
      <w:r>
        <w:rPr>
          <w:rFonts w:hint="eastAsia" w:ascii="楷体" w:hAnsi="楷体" w:eastAsia="楷体" w:cs="楷体"/>
          <w:sz w:val="24"/>
        </w:rPr>
        <w:t>（八）工程维修</w:t>
      </w:r>
    </w:p>
    <w:p>
      <w:pPr>
        <w:spacing w:line="360" w:lineRule="auto"/>
        <w:ind w:firstLine="480" w:firstLineChars="200"/>
        <w:rPr>
          <w:rFonts w:ascii="宋体" w:hAnsi="宋体" w:cs="宋体"/>
          <w:sz w:val="24"/>
        </w:rPr>
      </w:pPr>
      <w:r>
        <w:rPr>
          <w:rFonts w:hint="eastAsia" w:ascii="宋体" w:hAnsi="宋体" w:cs="宋体"/>
          <w:sz w:val="24"/>
        </w:rPr>
        <w:t>街道范围内所需的工程维修及时快速处理。</w:t>
      </w:r>
    </w:p>
    <w:p>
      <w:pPr>
        <w:spacing w:line="360" w:lineRule="auto"/>
        <w:ind w:firstLine="480" w:firstLineChars="200"/>
        <w:rPr>
          <w:rFonts w:ascii="宋体" w:hAnsi="宋体" w:cs="宋体"/>
          <w:sz w:val="24"/>
        </w:rPr>
      </w:pPr>
      <w:r>
        <w:rPr>
          <w:rFonts w:hint="eastAsia" w:ascii="宋体" w:hAnsi="宋体" w:cs="宋体"/>
          <w:sz w:val="24"/>
        </w:rPr>
        <w:t>（九）重点区域服务保障项目</w:t>
      </w:r>
    </w:p>
    <w:p>
      <w:pPr>
        <w:spacing w:line="360" w:lineRule="auto"/>
        <w:ind w:firstLine="480" w:firstLineChars="200"/>
        <w:rPr>
          <w:rFonts w:ascii="宋体" w:hAnsi="宋体" w:cs="宋体"/>
          <w:sz w:val="24"/>
        </w:rPr>
      </w:pPr>
      <w:r>
        <w:rPr>
          <w:rFonts w:hint="eastAsia" w:ascii="宋体" w:hAnsi="宋体" w:cs="宋体"/>
          <w:sz w:val="24"/>
        </w:rPr>
        <w:t>加大重点区域服务保障，一是对重点区域产生的垃圾进行分拣及可回收物的接收；二是对重点区域周边桶站驿站垃圾分类工作增强保障力度；三是对重点区域周边胡同小巷清扫工作增强保障力度；四是对周边重点区域公共秩序进行定点值守。</w:t>
      </w:r>
    </w:p>
    <w:p>
      <w:pPr>
        <w:spacing w:line="360" w:lineRule="auto"/>
        <w:ind w:firstLine="240" w:firstLineChars="100"/>
        <w:rPr>
          <w:rFonts w:ascii="宋体" w:hAnsi="宋体" w:cs="宋体"/>
          <w:sz w:val="24"/>
        </w:rPr>
      </w:pPr>
      <w:r>
        <w:rPr>
          <w:rFonts w:hint="eastAsia" w:ascii="宋体" w:hAnsi="宋体" w:cs="宋体"/>
          <w:sz w:val="24"/>
        </w:rPr>
        <w:t>（十）个性化服务</w:t>
      </w:r>
    </w:p>
    <w:p>
      <w:pPr>
        <w:spacing w:line="360" w:lineRule="auto"/>
        <w:ind w:firstLine="480" w:firstLineChars="200"/>
        <w:rPr>
          <w:rFonts w:ascii="宋体" w:hAnsi="宋体" w:cs="宋体"/>
          <w:sz w:val="24"/>
        </w:rPr>
      </w:pPr>
      <w:r>
        <w:rPr>
          <w:rFonts w:hint="eastAsia" w:ascii="宋体" w:hAnsi="宋体" w:cs="宋体"/>
          <w:sz w:val="24"/>
        </w:rPr>
        <w:t>1.家政上门服务程序规范，双方签订委托合同，收费标准及价格需公开透明。</w:t>
      </w:r>
    </w:p>
    <w:p>
      <w:pPr>
        <w:spacing w:line="360" w:lineRule="auto"/>
        <w:ind w:firstLine="480" w:firstLineChars="200"/>
        <w:rPr>
          <w:rFonts w:ascii="宋体" w:hAnsi="宋体" w:cs="宋体"/>
          <w:sz w:val="24"/>
        </w:rPr>
      </w:pPr>
      <w:r>
        <w:rPr>
          <w:rFonts w:hint="eastAsia" w:ascii="宋体" w:hAnsi="宋体" w:cs="宋体"/>
          <w:sz w:val="24"/>
        </w:rPr>
        <w:t>2.个性化服务收费标准制定及内容应遵守行业规范且有市场竞争力，并在明显处向居民公示。</w:t>
      </w:r>
    </w:p>
    <w:p>
      <w:pPr>
        <w:spacing w:line="360" w:lineRule="auto"/>
        <w:ind w:firstLine="480" w:firstLineChars="200"/>
        <w:rPr>
          <w:rFonts w:ascii="宋体" w:hAnsi="宋体" w:cs="宋体"/>
          <w:sz w:val="24"/>
        </w:rPr>
      </w:pPr>
      <w:r>
        <w:rPr>
          <w:rFonts w:hint="eastAsia" w:ascii="宋体" w:hAnsi="宋体" w:cs="宋体"/>
          <w:sz w:val="24"/>
        </w:rPr>
        <w:t>3.房屋翻建、改扩建及维修符合市住建委相关法规要求，房屋修缮后达到安全使用标准。</w:t>
      </w:r>
    </w:p>
    <w:p>
      <w:pPr>
        <w:spacing w:line="360" w:lineRule="auto"/>
        <w:ind w:firstLine="480" w:firstLineChars="200"/>
        <w:rPr>
          <w:rFonts w:ascii="宋体" w:hAnsi="宋体" w:cs="宋体"/>
          <w:sz w:val="24"/>
        </w:rPr>
      </w:pPr>
      <w:r>
        <w:rPr>
          <w:rFonts w:hint="eastAsia" w:ascii="宋体" w:hAnsi="宋体" w:cs="宋体"/>
          <w:sz w:val="24"/>
        </w:rPr>
        <w:t>4.个性化服务回访率100%。</w:t>
      </w:r>
    </w:p>
    <w:p>
      <w:pPr>
        <w:spacing w:line="360" w:lineRule="auto"/>
        <w:ind w:firstLine="480" w:firstLineChars="200"/>
        <w:rPr>
          <w:rFonts w:ascii="宋体" w:hAnsi="宋体" w:cs="宋体"/>
          <w:sz w:val="24"/>
        </w:rPr>
      </w:pPr>
      <w:r>
        <w:rPr>
          <w:rFonts w:hint="eastAsia" w:ascii="宋体" w:hAnsi="宋体" w:cs="宋体"/>
          <w:sz w:val="24"/>
        </w:rPr>
        <w:t>（十一）其他要求</w:t>
      </w:r>
    </w:p>
    <w:p>
      <w:pPr>
        <w:spacing w:line="360" w:lineRule="auto"/>
        <w:ind w:firstLine="480" w:firstLineChars="200"/>
        <w:rPr>
          <w:rFonts w:ascii="宋体" w:hAnsi="宋体" w:cs="宋体"/>
          <w:sz w:val="24"/>
        </w:rPr>
      </w:pPr>
      <w:r>
        <w:rPr>
          <w:rFonts w:hint="eastAsia" w:ascii="宋体" w:hAnsi="宋体" w:cs="宋体"/>
          <w:sz w:val="24"/>
        </w:rPr>
        <w:t>1.做好法规和政策规定及授权由乙方应承担的服务事项。</w:t>
      </w:r>
    </w:p>
    <w:p>
      <w:pPr>
        <w:spacing w:line="360" w:lineRule="auto"/>
        <w:ind w:firstLine="480" w:firstLineChars="200"/>
        <w:rPr>
          <w:rFonts w:ascii="宋体" w:hAnsi="宋体" w:cs="宋体"/>
          <w:sz w:val="24"/>
        </w:rPr>
      </w:pPr>
      <w:r>
        <w:rPr>
          <w:rFonts w:hint="eastAsia" w:ascii="宋体" w:hAnsi="宋体" w:cs="宋体"/>
          <w:sz w:val="24"/>
        </w:rPr>
        <w:t>2.做好市、区有关部门和街道其他临时需要乙方予以配合事项。</w:t>
      </w:r>
    </w:p>
    <w:p>
      <w:pPr>
        <w:spacing w:line="360" w:lineRule="auto"/>
        <w:ind w:firstLine="480" w:firstLineChars="200"/>
        <w:rPr>
          <w:rFonts w:ascii="宋体" w:hAnsi="宋体" w:cs="宋体"/>
          <w:sz w:val="24"/>
        </w:rPr>
      </w:pPr>
      <w:r>
        <w:rPr>
          <w:rFonts w:hint="eastAsia" w:ascii="宋体" w:hAnsi="宋体" w:cs="宋体"/>
          <w:sz w:val="24"/>
        </w:rPr>
        <w:t>3.根据市区相关政策其实调整服务事项。</w:t>
      </w:r>
    </w:p>
    <w:p>
      <w:pPr>
        <w:spacing w:line="360" w:lineRule="auto"/>
        <w:ind w:firstLine="480" w:firstLineChars="200"/>
        <w:rPr>
          <w:rFonts w:ascii="宋体" w:hAnsi="宋体" w:cs="宋体"/>
          <w:sz w:val="24"/>
        </w:rPr>
      </w:pPr>
      <w:r>
        <w:rPr>
          <w:rFonts w:hint="eastAsia" w:ascii="宋体" w:hAnsi="宋体" w:cs="宋体"/>
          <w:sz w:val="24"/>
        </w:rPr>
        <w:t>4.乙方做好精细化管理对外包服务任务分工、奖惩须有严格的考核办法，经采购人确认后执行分工及奖惩，并将相关材料报采购人备案。</w:t>
      </w:r>
    </w:p>
    <w:p>
      <w:pPr>
        <w:spacing w:line="360" w:lineRule="auto"/>
        <w:ind w:firstLine="482" w:firstLineChars="200"/>
        <w:rPr>
          <w:b/>
          <w:sz w:val="24"/>
        </w:rPr>
      </w:pPr>
      <w:r>
        <w:rPr>
          <w:rFonts w:hint="eastAsia"/>
          <w:b/>
          <w:sz w:val="24"/>
        </w:rPr>
        <w:t>四、服务标准及考核</w:t>
      </w:r>
    </w:p>
    <w:p>
      <w:pPr>
        <w:spacing w:line="360" w:lineRule="auto"/>
        <w:ind w:firstLine="480" w:firstLineChars="200"/>
        <w:rPr>
          <w:rFonts w:ascii="宋体" w:hAnsi="宋体" w:cs="宋体"/>
          <w:sz w:val="24"/>
        </w:rPr>
      </w:pPr>
      <w:r>
        <w:rPr>
          <w:rFonts w:hint="eastAsia" w:ascii="宋体" w:hAnsi="宋体" w:cs="宋体"/>
          <w:sz w:val="24"/>
        </w:rPr>
        <w:t>（一）按照《东城区街区物业管理服务标准2.0》提供服务；</w:t>
      </w:r>
    </w:p>
    <w:p>
      <w:pPr>
        <w:spacing w:line="360" w:lineRule="auto"/>
        <w:ind w:firstLine="480" w:firstLineChars="200"/>
        <w:rPr>
          <w:rFonts w:ascii="宋体" w:hAnsi="宋体" w:cs="宋体"/>
          <w:sz w:val="24"/>
        </w:rPr>
      </w:pPr>
      <w:r>
        <w:rPr>
          <w:rFonts w:hint="eastAsia" w:ascii="宋体" w:hAnsi="宋体" w:cs="宋体"/>
          <w:sz w:val="24"/>
        </w:rPr>
        <w:t>（二）按照《东城区街区物业管理服务工作考核实施细则(试行)》、《网格管理标准》进行考核。</w:t>
      </w:r>
    </w:p>
    <w:p>
      <w:pPr>
        <w:spacing w:line="360" w:lineRule="auto"/>
        <w:ind w:firstLine="480" w:firstLineChars="200"/>
        <w:rPr>
          <w:rFonts w:ascii="宋体" w:hAnsi="宋体" w:cs="宋体"/>
          <w:sz w:val="24"/>
        </w:rPr>
      </w:pPr>
      <w:r>
        <w:rPr>
          <w:rFonts w:hint="eastAsia" w:ascii="宋体" w:hAnsi="宋体" w:cs="宋体"/>
          <w:sz w:val="24"/>
        </w:rPr>
        <w:t>（三）按照垃圾分类检查考核标准</w:t>
      </w:r>
    </w:p>
    <w:p>
      <w:pPr>
        <w:spacing w:line="360" w:lineRule="auto"/>
        <w:ind w:firstLine="480" w:firstLineChars="200"/>
        <w:rPr>
          <w:rFonts w:ascii="宋体" w:hAnsi="宋体" w:cs="宋体"/>
          <w:sz w:val="24"/>
        </w:rPr>
      </w:pPr>
      <w:r>
        <w:rPr>
          <w:rFonts w:hint="eastAsia" w:ascii="宋体" w:hAnsi="宋体" w:cs="宋体"/>
          <w:sz w:val="24"/>
        </w:rPr>
        <w:t>1、考核时间：每月20日至次月20日，乙方应于当月20日前制作《建国门街道垃圾分类情况汇总表》并呈报甲方。</w:t>
      </w:r>
    </w:p>
    <w:p>
      <w:pPr>
        <w:spacing w:line="360" w:lineRule="auto"/>
        <w:ind w:firstLine="480" w:firstLineChars="200"/>
        <w:rPr>
          <w:rFonts w:ascii="宋体" w:hAnsi="宋体" w:cs="宋体"/>
          <w:sz w:val="24"/>
        </w:rPr>
      </w:pPr>
      <w:r>
        <w:rPr>
          <w:rFonts w:hint="eastAsia" w:ascii="宋体" w:hAnsi="宋体" w:cs="宋体"/>
          <w:sz w:val="24"/>
        </w:rPr>
        <w:t>2、考核指标：</w:t>
      </w:r>
    </w:p>
    <w:p>
      <w:pPr>
        <w:spacing w:line="360" w:lineRule="auto"/>
        <w:ind w:firstLine="480" w:firstLineChars="200"/>
        <w:rPr>
          <w:rFonts w:ascii="宋体" w:hAnsi="宋体" w:cs="宋体"/>
          <w:sz w:val="24"/>
        </w:rPr>
      </w:pPr>
      <w:r>
        <w:rPr>
          <w:rFonts w:hint="eastAsia" w:ascii="宋体" w:hAnsi="宋体" w:cs="宋体"/>
          <w:sz w:val="24"/>
        </w:rPr>
        <w:t>（1）分类效果考核：厨余垃圾分出率达到东城区管委既定工作任务。每月未达到既定工作任务，相差百分之一将扣除当月应付承包费的百分之二，以此类推。（例如：区管委既定厨余分出率为18%，而当月完成厨余分出率15%，即扣除当月承包费的6%）分出率统计以区管委下发统计表为准。如遇上级部门收运不及时、称重系统损坏等不可抗因素未达到厨余分出率考核任务的乙方应立即上报甲方相关情况，自行称重并留存图片，提交达标证据。甲方将积极予以协调，同时报建国门街道主任办公会或工委会审议，以审议结果结算承包费。</w:t>
      </w:r>
    </w:p>
    <w:p>
      <w:pPr>
        <w:spacing w:line="360" w:lineRule="auto"/>
        <w:ind w:firstLine="480" w:firstLineChars="200"/>
        <w:rPr>
          <w:rFonts w:ascii="宋体" w:hAnsi="宋体" w:cs="宋体"/>
          <w:sz w:val="24"/>
        </w:rPr>
      </w:pPr>
      <w:r>
        <w:rPr>
          <w:rFonts w:hint="eastAsia" w:ascii="宋体" w:hAnsi="宋体" w:cs="宋体"/>
          <w:sz w:val="24"/>
        </w:rPr>
        <w:t>（2）居民知晓率、参与率考核：居民垃圾分类深度知晓率需达到90%；居民深度参与率达到60%（该百分比随东城区相关标准的调整而进行调整)，此项工作由甲方随机抽查看居民办理积分卡情况，未达到指标，则按每月每户1元的标准扣减乙方的承包费。</w:t>
      </w:r>
    </w:p>
    <w:p>
      <w:pPr>
        <w:spacing w:line="360" w:lineRule="auto"/>
        <w:ind w:firstLine="480" w:firstLineChars="200"/>
        <w:rPr>
          <w:rFonts w:ascii="宋体" w:hAnsi="宋体" w:cs="宋体"/>
          <w:sz w:val="24"/>
        </w:rPr>
      </w:pPr>
      <w:r>
        <w:rPr>
          <w:rFonts w:hint="eastAsia" w:ascii="宋体" w:hAnsi="宋体" w:cs="宋体"/>
          <w:sz w:val="24"/>
        </w:rPr>
        <w:t>（3）人员考核：乙方人员在工作时应统一着装并佩戴标有照片、姓名的胸牌。驿站人员在岗时间为：春夏上午7:00-10:00下午17:00-20:00秋冬上午7:00-10:00下午16:00-19:00；以上时间可根据居民投放情况进行调整，但每天值守时间不得低于6小时；驿站人员要按时到岗到位，不得空岗，街道巡视发现空岗，每次扣除承包费用1000元，市区级检查发现有空岗现象，每次扣除承包费用10000元；收运人员要按时到岗到位，在收运厨余垃圾的同时做好垃圾分类指导工作。须与东城区城市运营中心联系厨余垃圾清运事宜，并指派专人配合完成每天桶站源头称重计量工作，建立完整的垃圾分类工作台账。</w:t>
      </w:r>
    </w:p>
    <w:p>
      <w:pPr>
        <w:spacing w:line="360" w:lineRule="auto"/>
        <w:ind w:firstLine="480" w:firstLineChars="200"/>
        <w:rPr>
          <w:rFonts w:ascii="宋体" w:hAnsi="宋体" w:cs="宋体"/>
          <w:sz w:val="24"/>
        </w:rPr>
      </w:pPr>
      <w:r>
        <w:rPr>
          <w:rFonts w:hint="eastAsia" w:ascii="宋体" w:hAnsi="宋体" w:cs="宋体"/>
          <w:sz w:val="24"/>
        </w:rPr>
        <w:t>（4）设备考核：设施设备完好率100%，“生活垃圾分类驿站”、周边桶站及周边环境卫生整洁有序，不能有异味，及时更换破损的所用垃圾桶，做好清运车辆的管理维护。</w:t>
      </w:r>
    </w:p>
    <w:p>
      <w:pPr>
        <w:spacing w:line="360" w:lineRule="auto"/>
        <w:ind w:firstLine="480" w:firstLineChars="200"/>
        <w:rPr>
          <w:rFonts w:ascii="宋体" w:hAnsi="宋体" w:cs="宋体"/>
          <w:sz w:val="24"/>
        </w:rPr>
      </w:pPr>
      <w:r>
        <w:rPr>
          <w:rFonts w:hint="eastAsia" w:ascii="宋体" w:hAnsi="宋体" w:cs="宋体"/>
          <w:sz w:val="24"/>
        </w:rPr>
        <w:t>（5）管理制度考核：对于乙方采用的“绿色驿站”、流动点位等收运方式，要建立相应管理制度，并报甲方备案。乙方及其合作的消纳单位相关证件、资质要齐全，符合城管检查要求。</w:t>
      </w:r>
    </w:p>
    <w:p>
      <w:pPr>
        <w:spacing w:line="360" w:lineRule="auto"/>
        <w:ind w:firstLine="480" w:firstLineChars="200"/>
        <w:rPr>
          <w:rFonts w:ascii="宋体" w:hAnsi="宋体" w:cs="宋体"/>
          <w:sz w:val="24"/>
        </w:rPr>
      </w:pPr>
      <w:r>
        <w:rPr>
          <w:rFonts w:hint="eastAsia" w:ascii="宋体" w:hAnsi="宋体" w:cs="宋体"/>
          <w:sz w:val="24"/>
        </w:rPr>
        <w:t>（6）网格件考核：乙方对所负责的点位、片区产生的网格件要按时、有效的进行处理。如未按时处理将视为当月考核不合格。</w:t>
      </w:r>
    </w:p>
    <w:p>
      <w:pPr>
        <w:spacing w:line="360" w:lineRule="auto"/>
        <w:ind w:firstLine="480" w:firstLineChars="200"/>
        <w:rPr>
          <w:rFonts w:ascii="宋体" w:hAnsi="宋体" w:cs="宋体"/>
          <w:sz w:val="24"/>
        </w:rPr>
      </w:pPr>
      <w:r>
        <w:rPr>
          <w:rFonts w:hint="eastAsia" w:ascii="宋体" w:hAnsi="宋体" w:cs="宋体"/>
          <w:sz w:val="24"/>
        </w:rPr>
        <w:t>（7）例会考核：乙方应严格遵守甲方的例会制度，应由项目经理或项目主管按时参会，如无故不参加例会，每次扣除承包费一万元。</w:t>
      </w:r>
    </w:p>
    <w:p>
      <w:pPr>
        <w:spacing w:line="360" w:lineRule="auto"/>
        <w:ind w:firstLine="480" w:firstLineChars="200"/>
        <w:rPr>
          <w:rFonts w:ascii="宋体" w:hAnsi="宋体" w:cs="宋体"/>
          <w:sz w:val="24"/>
        </w:rPr>
      </w:pPr>
      <w:r>
        <w:rPr>
          <w:rFonts w:hint="eastAsia" w:ascii="宋体" w:hAnsi="宋体" w:cs="宋体"/>
          <w:sz w:val="24"/>
        </w:rPr>
        <w:t>（8）投诉考核：对于垃圾分类工作产生的各类投诉(包含公示牌投诉电话)、举报、舆情、12345回复等，乙方应积极配合,并由项目经理或项目主管接办，并妥善处置，如不接办或处置不当被居民或企业投诉，每次扣除承包费一万元。（注：公示牌投诉电话应指定项目经理或项目主管座席接听并办理。）</w:t>
      </w:r>
    </w:p>
    <w:p>
      <w:pPr>
        <w:spacing w:line="360" w:lineRule="auto"/>
        <w:ind w:firstLine="480" w:firstLineChars="200"/>
        <w:rPr>
          <w:rFonts w:ascii="宋体" w:hAnsi="宋体" w:cs="宋体"/>
          <w:sz w:val="24"/>
        </w:rPr>
      </w:pPr>
      <w:r>
        <w:rPr>
          <w:rFonts w:hint="eastAsia" w:ascii="宋体" w:hAnsi="宋体" w:cs="宋体"/>
          <w:sz w:val="24"/>
        </w:rPr>
        <w:t>（9）公示牌考核：乙方应建立各类垃圾分类公示牌巡查制度，并严格按照制度巡查巡视，发现问题及时上报，保证各类公示牌完好率100%、正确率100%。如在各级检查中因公示牌问题产生扣分，每次扣除承包费一千元。</w:t>
      </w:r>
    </w:p>
    <w:p>
      <w:pPr>
        <w:spacing w:line="360" w:lineRule="auto"/>
        <w:ind w:firstLine="480" w:firstLineChars="200"/>
        <w:rPr>
          <w:rFonts w:ascii="宋体" w:hAnsi="宋体" w:cs="宋体"/>
          <w:sz w:val="24"/>
        </w:rPr>
      </w:pPr>
      <w:r>
        <w:rPr>
          <w:rFonts w:hint="eastAsia" w:ascii="宋体" w:hAnsi="宋体" w:cs="宋体"/>
          <w:sz w:val="24"/>
        </w:rPr>
        <w:t>（10）第四至五项当月考核不合格整改期限为10日，第六项整改期限以网格件规定时限为准。如当月考核不合格，且未按要求整改将扣除当月全部费用。</w:t>
      </w:r>
    </w:p>
    <w:p>
      <w:pPr>
        <w:spacing w:line="360" w:lineRule="auto"/>
        <w:rPr>
          <w:b/>
          <w:sz w:val="24"/>
        </w:rPr>
      </w:pPr>
      <w:r>
        <w:rPr>
          <w:rFonts w:hint="eastAsia"/>
          <w:b/>
          <w:sz w:val="24"/>
        </w:rPr>
        <w:t>五、服务期限</w:t>
      </w:r>
    </w:p>
    <w:p>
      <w:pPr>
        <w:spacing w:line="360" w:lineRule="auto"/>
        <w:rPr>
          <w:rFonts w:ascii="宋体" w:hAnsi="宋体" w:cs="宋体"/>
          <w:sz w:val="24"/>
        </w:rPr>
      </w:pPr>
      <w:r>
        <w:rPr>
          <w:rFonts w:hint="eastAsia" w:ascii="宋体" w:hAnsi="宋体" w:cs="宋体"/>
          <w:sz w:val="24"/>
        </w:rPr>
        <w:t>2024年1月1日至2024年12月31日。</w:t>
      </w:r>
    </w:p>
    <w:p/>
    <w:p>
      <w:pPr>
        <w:spacing w:line="360" w:lineRule="auto"/>
        <w:rPr>
          <w:sz w:val="24"/>
        </w:rPr>
      </w:pPr>
    </w:p>
    <w:p>
      <w:pPr>
        <w:tabs>
          <w:tab w:val="left" w:pos="312"/>
        </w:tabs>
        <w:suppressAutoHyphens/>
        <w:spacing w:line="360" w:lineRule="auto"/>
        <w:ind w:left="480"/>
        <w:rPr>
          <w:rFonts w:ascii="宋体" w:hAnsi="宋体" w:cs="方正仿宋_GBK"/>
          <w:sz w:val="24"/>
        </w:rPr>
      </w:pPr>
    </w:p>
    <w:p/>
    <w:p>
      <w:pPr>
        <w:widowControl/>
        <w:jc w:val="left"/>
        <w:rPr>
          <w:b/>
          <w:sz w:val="36"/>
          <w:szCs w:val="36"/>
        </w:rPr>
      </w:pPr>
      <w:r>
        <w:rPr>
          <w:b/>
          <w:sz w:val="36"/>
          <w:szCs w:val="36"/>
        </w:rPr>
        <w:br w:type="page"/>
      </w:r>
      <w:r>
        <w:rPr>
          <w:b/>
          <w:sz w:val="36"/>
          <w:szCs w:val="36"/>
        </w:rPr>
        <w:t xml:space="preserve"> </w:t>
      </w:r>
    </w:p>
    <w:p>
      <w:pPr>
        <w:spacing w:line="360" w:lineRule="auto"/>
        <w:jc w:val="center"/>
        <w:outlineLvl w:val="0"/>
        <w:rPr>
          <w:b/>
          <w:sz w:val="36"/>
          <w:szCs w:val="36"/>
        </w:rPr>
      </w:pPr>
      <w:bookmarkStart w:id="674" w:name="_Toc97371946"/>
      <w:r>
        <w:rPr>
          <w:rFonts w:hint="eastAsia"/>
          <w:b/>
          <w:sz w:val="36"/>
          <w:szCs w:val="36"/>
        </w:rPr>
        <w:t>第五章</w:t>
      </w:r>
      <w:r>
        <w:rPr>
          <w:b/>
          <w:sz w:val="36"/>
          <w:szCs w:val="36"/>
        </w:rPr>
        <w:t xml:space="preserve">   </w:t>
      </w:r>
      <w:r>
        <w:rPr>
          <w:rFonts w:hint="eastAsia"/>
          <w:b/>
          <w:sz w:val="36"/>
          <w:szCs w:val="36"/>
        </w:rPr>
        <w:t>合同</w:t>
      </w:r>
      <w:bookmarkEnd w:id="674"/>
    </w:p>
    <w:p>
      <w:pPr>
        <w:pStyle w:val="2"/>
      </w:pPr>
    </w:p>
    <w:p>
      <w:pPr>
        <w:spacing w:line="360" w:lineRule="auto"/>
        <w:ind w:firstLine="1606" w:firstLineChars="500"/>
        <w:rPr>
          <w:rFonts w:ascii="宋体" w:hAnsi="宋体" w:cs="宋体"/>
          <w:sz w:val="32"/>
          <w:szCs w:val="32"/>
        </w:rPr>
      </w:pPr>
      <w:r>
        <w:rPr>
          <w:rFonts w:hint="eastAsia" w:ascii="宋体" w:hAnsi="宋体" w:cs="宋体"/>
          <w:b/>
          <w:bCs/>
          <w:sz w:val="32"/>
          <w:szCs w:val="32"/>
        </w:rPr>
        <w:t>建国门街道2024年精细化运维服务项目合同</w:t>
      </w:r>
    </w:p>
    <w:p>
      <w:pPr>
        <w:spacing w:line="360" w:lineRule="auto"/>
        <w:rPr>
          <w:rFonts w:ascii="宋体" w:hAnsi="宋体" w:cs="宋体"/>
          <w:sz w:val="24"/>
        </w:rPr>
      </w:pPr>
      <w:r>
        <w:rPr>
          <w:rFonts w:hint="eastAsia" w:ascii="宋体" w:hAnsi="宋体" w:cs="宋体"/>
          <w:sz w:val="24"/>
        </w:rPr>
        <w:t>甲方（委托方）：北京市东城区人民政府建国门街道办事处</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乙方（受托方）：</w:t>
      </w:r>
      <w:r>
        <w:rPr>
          <w:rFonts w:ascii="宋体" w:hAnsi="宋体" w:cs="宋体"/>
          <w:color w:val="000000" w:themeColor="text1"/>
          <w:sz w:val="24"/>
          <w14:textFill>
            <w14:solidFill>
              <w14:schemeClr w14:val="tx1"/>
            </w14:solidFill>
          </w14:textFill>
        </w:rPr>
        <w:t xml:space="preserve"> </w:t>
      </w:r>
    </w:p>
    <w:p>
      <w:pPr>
        <w:spacing w:line="360" w:lineRule="auto"/>
        <w:rPr>
          <w:rFonts w:ascii="宋体" w:hAnsi="宋体" w:cs="宋体"/>
          <w:sz w:val="24"/>
        </w:rPr>
      </w:pPr>
      <w:r>
        <w:rPr>
          <w:rFonts w:hint="eastAsia" w:ascii="宋体" w:hAnsi="宋体" w:cs="宋体"/>
          <w:sz w:val="24"/>
        </w:rPr>
        <w:t xml:space="preserve">     根据《中华人民共和国民法典》、</w:t>
      </w:r>
      <w:r>
        <w:rPr>
          <w:rFonts w:hint="eastAsia" w:ascii="宋体" w:hAnsi="宋体" w:cs="宋体"/>
          <w:sz w:val="24"/>
          <w:lang w:eastAsia="zh-Hans"/>
        </w:rPr>
        <w:t>《中华人民共和国政府采购》、</w:t>
      </w:r>
      <w:r>
        <w:rPr>
          <w:rFonts w:hint="eastAsia" w:ascii="宋体" w:hAnsi="宋体" w:cs="宋体"/>
          <w:sz w:val="24"/>
        </w:rPr>
        <w:t>《北京市物业管理条例》等有关法律、法规的规定，甲乙双方在自愿、平等、公平、诚实信用的基础上，就物业管理服务有关事宜，协商订立本合同。</w:t>
      </w:r>
    </w:p>
    <w:p>
      <w:pPr>
        <w:spacing w:line="360" w:lineRule="auto"/>
        <w:ind w:firstLine="641" w:firstLineChars="228"/>
        <w:jc w:val="center"/>
        <w:rPr>
          <w:rFonts w:ascii="宋体" w:hAnsi="宋体" w:cs="宋体"/>
          <w:b/>
          <w:bCs/>
          <w:sz w:val="28"/>
          <w:szCs w:val="28"/>
        </w:rPr>
      </w:pPr>
      <w:r>
        <w:rPr>
          <w:rFonts w:hint="eastAsia" w:ascii="宋体" w:hAnsi="宋体" w:cs="宋体"/>
          <w:b/>
          <w:bCs/>
          <w:sz w:val="28"/>
          <w:szCs w:val="28"/>
        </w:rPr>
        <w:t>第一部分 精细化运维服务项目基本情况</w:t>
      </w:r>
    </w:p>
    <w:p>
      <w:pPr>
        <w:spacing w:line="360" w:lineRule="auto"/>
        <w:ind w:firstLine="480" w:firstLineChars="200"/>
        <w:rPr>
          <w:rFonts w:ascii="宋体" w:hAnsi="宋体" w:cs="宋体"/>
          <w:sz w:val="24"/>
        </w:rPr>
      </w:pPr>
      <w:r>
        <w:rPr>
          <w:rFonts w:hint="eastAsia" w:ascii="宋体" w:hAnsi="宋体" w:cs="宋体"/>
          <w:sz w:val="24"/>
        </w:rPr>
        <w:t>第一条 物业管理服务范围</w:t>
      </w:r>
    </w:p>
    <w:p>
      <w:pPr>
        <w:numPr>
          <w:ilvl w:val="0"/>
          <w:numId w:val="13"/>
        </w:numPr>
        <w:spacing w:line="360" w:lineRule="auto"/>
        <w:rPr>
          <w:rFonts w:ascii="宋体" w:hAnsi="宋体" w:cs="宋体"/>
          <w:sz w:val="24"/>
        </w:rPr>
      </w:pPr>
      <w:r>
        <w:rPr>
          <w:rFonts w:hint="eastAsia" w:ascii="宋体" w:hAnsi="宋体" w:cs="宋体"/>
          <w:sz w:val="24"/>
        </w:rPr>
        <w:t>四至：</w:t>
      </w:r>
    </w:p>
    <w:p>
      <w:pPr>
        <w:spacing w:line="360" w:lineRule="auto"/>
        <w:ind w:firstLine="1200" w:firstLineChars="500"/>
        <w:rPr>
          <w:rFonts w:ascii="宋体" w:hAnsi="宋体" w:cs="宋体"/>
          <w:sz w:val="24"/>
        </w:rPr>
      </w:pPr>
      <w:r>
        <w:rPr>
          <w:rFonts w:hint="eastAsia" w:ascii="宋体" w:hAnsi="宋体" w:cs="宋体"/>
          <w:sz w:val="24"/>
        </w:rPr>
        <w:t>东至：东二环路西侧便道上；</w:t>
      </w:r>
    </w:p>
    <w:p>
      <w:pPr>
        <w:spacing w:line="360" w:lineRule="auto"/>
        <w:rPr>
          <w:rFonts w:ascii="宋体" w:hAnsi="宋体" w:cs="宋体"/>
          <w:sz w:val="24"/>
        </w:rPr>
      </w:pPr>
      <w:r>
        <w:rPr>
          <w:rFonts w:hint="eastAsia" w:ascii="宋体" w:hAnsi="宋体" w:cs="宋体"/>
          <w:sz w:val="24"/>
        </w:rPr>
        <w:t xml:space="preserve">          南至：泡子河东巷、盔甲厂胡同、抽屉胡同、毛家湾胡同一线及北京站西街；</w:t>
      </w:r>
    </w:p>
    <w:p>
      <w:pPr>
        <w:spacing w:line="360" w:lineRule="auto"/>
        <w:rPr>
          <w:rFonts w:ascii="宋体" w:hAnsi="宋体" w:cs="宋体"/>
          <w:sz w:val="24"/>
        </w:rPr>
      </w:pPr>
      <w:r>
        <w:rPr>
          <w:rFonts w:hint="eastAsia" w:ascii="宋体" w:hAnsi="宋体" w:cs="宋体"/>
          <w:sz w:val="24"/>
        </w:rPr>
        <w:t xml:space="preserve">          西至：东四南大街、东单北大街、崇内大街一线、“崇文门东北角”停车棚及周边绿化和便道；</w:t>
      </w:r>
    </w:p>
    <w:p>
      <w:pPr>
        <w:spacing w:line="360" w:lineRule="auto"/>
        <w:rPr>
          <w:rFonts w:ascii="宋体" w:hAnsi="宋体" w:cs="宋体"/>
          <w:sz w:val="24"/>
        </w:rPr>
      </w:pPr>
      <w:r>
        <w:rPr>
          <w:rFonts w:hint="eastAsia" w:ascii="宋体" w:hAnsi="宋体" w:cs="宋体"/>
          <w:sz w:val="24"/>
        </w:rPr>
        <w:t xml:space="preserve">          北至：干面胡同、禄米仓胡同一线。</w:t>
      </w:r>
    </w:p>
    <w:p>
      <w:pPr>
        <w:numPr>
          <w:ilvl w:val="0"/>
          <w:numId w:val="14"/>
        </w:numPr>
        <w:spacing w:line="360" w:lineRule="auto"/>
        <w:ind w:firstLine="480" w:firstLineChars="200"/>
        <w:rPr>
          <w:rFonts w:ascii="宋体" w:hAnsi="宋体" w:cs="宋体"/>
          <w:sz w:val="24"/>
        </w:rPr>
      </w:pPr>
      <w:r>
        <w:rPr>
          <w:rFonts w:hint="eastAsia" w:ascii="宋体" w:hAnsi="宋体" w:cs="宋体"/>
          <w:sz w:val="24"/>
        </w:rPr>
        <w:t>责任区明细：</w:t>
      </w:r>
    </w:p>
    <w:p>
      <w:pPr>
        <w:spacing w:line="360" w:lineRule="auto"/>
        <w:ind w:firstLine="480" w:firstLineChars="200"/>
        <w:rPr>
          <w:rFonts w:ascii="宋体" w:hAnsi="宋体" w:cs="宋体"/>
          <w:sz w:val="24"/>
        </w:rPr>
      </w:pPr>
      <w:r>
        <w:rPr>
          <w:rFonts w:hint="eastAsia" w:ascii="宋体" w:hAnsi="宋体" w:cs="宋体"/>
          <w:sz w:val="24"/>
        </w:rPr>
        <w:t>1、平房区胡同名称：面积258174平米，金宝街社区10条胡同，干面胡同、东罗圈胡同、西罗圈胡同、遂安伯胡同、东石槽胡同、西石槽胡同、禄米仓胡同、春松胡同、小雅宝胡同、大雅宝胡同；5条便道，东四南大街两侧便道、金宝街北侧便道西段、金宝街便道东段、朝内南小街两侧便道。外交部街社区4条胡同，外交部街胡同、协和胡同、东堂子胡同、红星胡同；3条便道，东单北大街两侧便道、朝内南小街西侧便道、金宝街南侧便道西段。苏州社区8条胡同，苏州胡同、侯位胡同、麻线胡同、北鲜鱼巷、中鲜鱼巷、公平巷、东镇江胡同、丁香胡同；4条便道，北京日报南侧路、英大国际西侧路、崇内大街便道、邮通街。崇内社区9条胡同，南八宝胡同、三源胡同、治国胡同、庆平胡同、西镇江胡同、船板胡同、后沟胡同、小报房胡同、晓顺胡同；2条便道，崇内大街便道，北京站西街北侧便道。西总布社区9条胡同，北极阁头条、北极阁二条、北极阁三条、北极阁四条、北极阁胡同、春雨胡同、春雨二巷、新开路胡同、西总布胡同；2条便道，东单北大街便道、朝内南小街西侧便道。东总布社区9条胡同，东总布胡同，后椅子胡同、顶银胡同、南牌坊胡同、北顺城街、贡院西街、贡院东街、贡院头条、贡院二条；2条便道，朝内南小街便道东侧部门、建国门北大街便道部分。赵家楼社区6条胡同，大羊宜宾胡同、小羊宜宾胡同、前赵家楼胡同、宝珠子胡同、阳照胡同、赵堂子胡同；2条便道，朝内南小街便道东侧部分、建国门北大街便道部分。大雅宝社区9条胡同，赵堂子胡同、北总布胡同、盛芳胡同、弘通巷、先晓胡同、艺华胡同、宝盖胡同、向春胡同、后赵家楼胡同；3条便道，朝内南小街便道东侧、金宝街南侧便道东段、建国门北大街便道。站东社区9条胡同，东裱褙胡同、大羊毛胡同、柳罐胡同、盔甲厂胡同、抽屉胡同、毛家湾胡同、老钱局胡同、泡子河东巷、东受禄街胡同；1条便道，建国门南大街便道；</w:t>
      </w:r>
    </w:p>
    <w:p>
      <w:pPr>
        <w:spacing w:line="360" w:lineRule="auto"/>
        <w:ind w:firstLine="480" w:firstLineChars="200"/>
        <w:rPr>
          <w:rFonts w:ascii="宋体" w:hAnsi="宋体" w:cs="宋体"/>
          <w:sz w:val="24"/>
        </w:rPr>
      </w:pPr>
      <w:r>
        <w:rPr>
          <w:rFonts w:hint="eastAsia" w:ascii="宋体" w:hAnsi="宋体" w:cs="宋体"/>
          <w:sz w:val="24"/>
        </w:rPr>
        <w:t>2、非平房区：面积5631.3平米，包含物业小区、楼宇周边等全部公共区域；</w:t>
      </w:r>
    </w:p>
    <w:p>
      <w:pPr>
        <w:spacing w:line="360" w:lineRule="auto"/>
        <w:ind w:firstLine="480" w:firstLineChars="200"/>
        <w:rPr>
          <w:rFonts w:ascii="宋体" w:hAnsi="宋体" w:cs="宋体"/>
          <w:sz w:val="24"/>
        </w:rPr>
      </w:pPr>
      <w:r>
        <w:rPr>
          <w:rFonts w:hint="eastAsia" w:ascii="宋体" w:hAnsi="宋体" w:cs="宋体"/>
          <w:sz w:val="24"/>
        </w:rPr>
        <w:t>3、弃管院落小区名称：包括但不限于小羊宜宾胡同4号院、大羊宜宾胡同35号院、大羊宜宾胡同31号院1号楼1、2、3、4、5单元、宝珠子6号楼、小羊宜宾3号楼、4号楼、东总布2号楼、赵堂子胡同5号楼、北总布胡同32号楼、6号楼、东堂子38号院、西总布55号院（1、2）号、盔甲厂胡同2号等。</w:t>
      </w:r>
    </w:p>
    <w:p>
      <w:pPr>
        <w:spacing w:line="360" w:lineRule="auto"/>
        <w:ind w:firstLine="480" w:firstLineChars="200"/>
        <w:rPr>
          <w:rFonts w:ascii="宋体" w:hAnsi="宋体" w:cs="宋体"/>
          <w:sz w:val="24"/>
        </w:rPr>
      </w:pPr>
      <w:r>
        <w:rPr>
          <w:rFonts w:hint="eastAsia" w:ascii="宋体" w:hAnsi="宋体" w:cs="宋体"/>
          <w:sz w:val="24"/>
        </w:rPr>
        <w:t>4、拆迁滞留区门牌地址：包括但不限于干面双号12--50号、东石槽11--47号、东石槽14--26号、西石槽1--7号、西石槽2--16号、遂安伯23--27号、遂安伯31--39号、遂安伯53号、盛芳胡同37号独院、顶银胡同29.31号院、新开路（19、21、24、26、28、30、32、34、36、38、40、42、44、46、48）号、春雨胡同（2、6、8）号、春雨二巷（23、25、27、29、31、33、35、39、41、43、45、47）号、西总布（34、36、38）号、泡子河西巷24号、抽屉胡同42号等。</w:t>
      </w:r>
    </w:p>
    <w:p>
      <w:pPr>
        <w:spacing w:line="360" w:lineRule="auto"/>
        <w:ind w:firstLine="480" w:firstLineChars="200"/>
        <w:rPr>
          <w:rFonts w:ascii="宋体" w:hAnsi="宋体" w:cs="宋体"/>
          <w:sz w:val="24"/>
        </w:rPr>
      </w:pPr>
      <w:r>
        <w:rPr>
          <w:rFonts w:hint="eastAsia" w:ascii="宋体" w:hAnsi="宋体" w:cs="宋体"/>
          <w:sz w:val="24"/>
        </w:rPr>
        <w:t>5、其它区域只负责处理网格件。包括：中粮街、朝阳门南小街（建国门段）、崇文门内大街、政协路、建国门内大街、丽亭饭店东侧路(西石槽胡同)、朝阳门南大街（建国门段）、富建胡同、贡院西街支线、八宝楼胡同、解放里、江擦胡同、站东街、站西街、恒河西巷、利山西路。</w:t>
      </w:r>
    </w:p>
    <w:p>
      <w:pPr>
        <w:spacing w:line="360" w:lineRule="auto"/>
        <w:ind w:firstLine="480" w:firstLineChars="200"/>
        <w:rPr>
          <w:rFonts w:ascii="宋体" w:hAnsi="宋体" w:cs="宋体"/>
          <w:sz w:val="24"/>
        </w:rPr>
      </w:pPr>
      <w:r>
        <w:rPr>
          <w:rFonts w:hint="eastAsia" w:ascii="宋体" w:hAnsi="宋体" w:cs="宋体"/>
          <w:sz w:val="24"/>
        </w:rPr>
        <w:t>（三）建国门街道辖区社区及户数明细</w:t>
      </w:r>
    </w:p>
    <w:p>
      <w:pPr>
        <w:spacing w:line="360" w:lineRule="auto"/>
        <w:ind w:firstLine="480" w:firstLineChars="200"/>
        <w:rPr>
          <w:rFonts w:ascii="宋体" w:hAnsi="宋体" w:cs="宋体"/>
          <w:sz w:val="24"/>
        </w:rPr>
      </w:pPr>
      <w:r>
        <w:rPr>
          <w:rFonts w:hint="eastAsia" w:ascii="宋体" w:hAnsi="宋体" w:cs="宋体"/>
          <w:sz w:val="24"/>
        </w:rPr>
        <w:t>建国门街道所辖金宝北社区、大雅宝社区、外交部社区、赵家楼社区、西总布社区、东总布社区、苏州社区、崇内社区及站东社区9个社区，共计26,688户居民。</w:t>
      </w:r>
    </w:p>
    <w:p>
      <w:pPr>
        <w:spacing w:line="360" w:lineRule="auto"/>
        <w:ind w:firstLine="480" w:firstLineChars="200"/>
        <w:rPr>
          <w:rFonts w:ascii="宋体" w:hAnsi="宋体" w:cs="宋体"/>
          <w:sz w:val="24"/>
        </w:rPr>
      </w:pPr>
      <w:r>
        <w:rPr>
          <w:rFonts w:hint="eastAsia" w:ascii="宋体" w:hAnsi="宋体" w:cs="宋体"/>
          <w:sz w:val="24"/>
        </w:rPr>
        <w:t>（四）区域认定最终解释权在街道。</w:t>
      </w:r>
    </w:p>
    <w:p>
      <w:pPr>
        <w:spacing w:line="360" w:lineRule="auto"/>
        <w:ind w:firstLine="641" w:firstLineChars="228"/>
        <w:jc w:val="center"/>
        <w:rPr>
          <w:rFonts w:ascii="宋体" w:hAnsi="宋体" w:cs="宋体"/>
          <w:b/>
          <w:bCs/>
          <w:sz w:val="28"/>
          <w:szCs w:val="28"/>
        </w:rPr>
      </w:pPr>
      <w:r>
        <w:rPr>
          <w:rFonts w:hint="eastAsia" w:ascii="宋体" w:hAnsi="宋体" w:cs="宋体"/>
          <w:b/>
          <w:bCs/>
          <w:sz w:val="28"/>
          <w:szCs w:val="28"/>
        </w:rPr>
        <w:t>第二部分 精细化运维服务内容</w:t>
      </w:r>
    </w:p>
    <w:p>
      <w:pPr>
        <w:spacing w:line="360" w:lineRule="auto"/>
        <w:ind w:firstLine="480" w:firstLineChars="200"/>
        <w:rPr>
          <w:rFonts w:ascii="宋体" w:hAnsi="宋体" w:cs="宋体"/>
          <w:bCs/>
          <w:sz w:val="24"/>
        </w:rPr>
      </w:pPr>
      <w:r>
        <w:rPr>
          <w:rFonts w:hint="eastAsia" w:ascii="宋体" w:hAnsi="宋体" w:cs="宋体"/>
          <w:bCs/>
          <w:sz w:val="24"/>
        </w:rPr>
        <w:t>第二条 物业管理服务内容</w:t>
      </w:r>
    </w:p>
    <w:p>
      <w:pPr>
        <w:numPr>
          <w:ilvl w:val="0"/>
          <w:numId w:val="15"/>
        </w:numPr>
        <w:spacing w:line="360" w:lineRule="auto"/>
        <w:rPr>
          <w:rFonts w:ascii="宋体" w:hAnsi="宋体" w:cs="宋体"/>
          <w:sz w:val="24"/>
        </w:rPr>
      </w:pPr>
      <w:r>
        <w:rPr>
          <w:rFonts w:hint="eastAsia" w:ascii="宋体" w:hAnsi="宋体" w:cs="宋体"/>
          <w:sz w:val="24"/>
        </w:rPr>
        <w:t>基础管理</w:t>
      </w:r>
    </w:p>
    <w:p>
      <w:pPr>
        <w:numPr>
          <w:ilvl w:val="0"/>
          <w:numId w:val="16"/>
        </w:numPr>
        <w:spacing w:line="360" w:lineRule="auto"/>
        <w:ind w:firstLine="460" w:firstLineChars="192"/>
        <w:rPr>
          <w:rFonts w:ascii="宋体" w:hAnsi="宋体" w:cs="宋体"/>
          <w:sz w:val="24"/>
        </w:rPr>
      </w:pPr>
      <w:r>
        <w:rPr>
          <w:rFonts w:hint="eastAsia" w:ascii="宋体" w:hAnsi="宋体" w:cs="宋体"/>
          <w:sz w:val="24"/>
        </w:rPr>
        <w:t>根据街道要求设置物业管理服务场所，规范作业。</w:t>
      </w:r>
    </w:p>
    <w:p>
      <w:pPr>
        <w:numPr>
          <w:ilvl w:val="0"/>
          <w:numId w:val="16"/>
        </w:numPr>
        <w:spacing w:line="360" w:lineRule="auto"/>
        <w:ind w:firstLine="460" w:firstLineChars="192"/>
        <w:rPr>
          <w:rFonts w:ascii="宋体" w:hAnsi="宋体" w:cs="宋体"/>
          <w:sz w:val="24"/>
        </w:rPr>
      </w:pPr>
      <w:r>
        <w:rPr>
          <w:rFonts w:hint="eastAsia" w:ascii="宋体" w:hAnsi="宋体" w:cs="宋体"/>
          <w:sz w:val="24"/>
        </w:rPr>
        <w:t>配备管理服务所需的保洁车辆、清扫工具等设施设备并负责车辆的管理和维修，街道所配备车辆需要配备开车人员。</w:t>
      </w:r>
    </w:p>
    <w:p>
      <w:pPr>
        <w:numPr>
          <w:ilvl w:val="0"/>
          <w:numId w:val="16"/>
        </w:numPr>
        <w:spacing w:line="360" w:lineRule="auto"/>
        <w:ind w:firstLine="460" w:firstLineChars="192"/>
        <w:rPr>
          <w:rFonts w:ascii="宋体" w:hAnsi="宋体" w:cs="宋体"/>
          <w:sz w:val="24"/>
        </w:rPr>
      </w:pPr>
      <w:r>
        <w:rPr>
          <w:rFonts w:hint="eastAsia" w:ascii="宋体" w:hAnsi="宋体" w:cs="宋体"/>
          <w:sz w:val="24"/>
        </w:rPr>
        <w:t>国家、市、区重大活动、节假日节庆活动、各级领导视察、指导和相关学习交流活动做好相关服务保障工作。</w:t>
      </w:r>
    </w:p>
    <w:p>
      <w:pPr>
        <w:numPr>
          <w:ilvl w:val="0"/>
          <w:numId w:val="16"/>
        </w:numPr>
        <w:spacing w:line="360" w:lineRule="auto"/>
        <w:ind w:firstLine="460" w:firstLineChars="192"/>
        <w:rPr>
          <w:rFonts w:ascii="宋体" w:hAnsi="宋体" w:cs="宋体"/>
          <w:sz w:val="24"/>
        </w:rPr>
      </w:pPr>
      <w:r>
        <w:rPr>
          <w:rFonts w:hint="eastAsia" w:ascii="宋体" w:hAnsi="宋体" w:cs="宋体"/>
          <w:sz w:val="24"/>
        </w:rPr>
        <w:t>向街道及所辖社区（居民）公示物业管理服务企业营业执照、资质证书、服务标准、收费项目、依据和标准，项目管理人员照片、投诉渠道等。提供特约服务的，公示特约服务项目、服务流程及收费标准等。</w:t>
      </w:r>
    </w:p>
    <w:p>
      <w:pPr>
        <w:numPr>
          <w:ilvl w:val="0"/>
          <w:numId w:val="16"/>
        </w:numPr>
        <w:spacing w:line="360" w:lineRule="auto"/>
        <w:ind w:firstLine="460" w:firstLineChars="192"/>
        <w:rPr>
          <w:rFonts w:ascii="宋体" w:hAnsi="宋体" w:cs="宋体"/>
          <w:sz w:val="24"/>
        </w:rPr>
      </w:pPr>
      <w:r>
        <w:rPr>
          <w:rFonts w:hint="eastAsia" w:ascii="宋体" w:hAnsi="宋体" w:cs="宋体"/>
          <w:sz w:val="24"/>
        </w:rPr>
        <w:t>物业管理服务人员配备：根据服务区域情况，配备相应数量的管理人员和服务人员，定岗定编。人员要求如下：</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5.1遵守法律法规，具有职业道德，经过专业的岗前培训；</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5.2专业技术操作人员按照国家有关规定取得相应证书（持驾照D本、佩戴头盔等）；</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5.3身体健康，反应敏捷，形象及言行举止端庄，具有良好的职业素养，年龄及体力能够胜任物业服务工作强度（60周岁以下为宜）。</w:t>
      </w:r>
    </w:p>
    <w:p>
      <w:pPr>
        <w:numPr>
          <w:ilvl w:val="255"/>
          <w:numId w:val="0"/>
        </w:numPr>
        <w:spacing w:line="360" w:lineRule="auto"/>
        <w:ind w:firstLine="480" w:firstLineChars="200"/>
        <w:rPr>
          <w:rFonts w:ascii="宋体" w:hAnsi="宋体" w:cs="宋体"/>
          <w:b/>
          <w:bCs/>
          <w:sz w:val="24"/>
        </w:rPr>
      </w:pPr>
      <w:r>
        <w:rPr>
          <w:rFonts w:hint="eastAsia" w:ascii="宋体" w:hAnsi="宋体" w:cs="宋体"/>
          <w:sz w:val="24"/>
        </w:rPr>
        <w:t>5.4配备项目负责人，负责西片区包括金北社区、西总布社区、外交部街社区，东片区包括赵家楼社区、东总布社区、大雅宝社区，南片区包括苏州社区、崇内社区、站东社区，具备内勤管理、财务管理、文案外宣、物业服务热线职能，以263805.3平方米的标准配备保洁员不少于40人负责环境清洁、分类驿站工作人员不少于17人、绿化一线工作人员不少于6人及工程维修人员不少于2人，配备人员工作方案需经街道通过方能执行。</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5.5统一着装，佩戴明显工牌，仪容仪表整洁。</w:t>
      </w:r>
    </w:p>
    <w:p>
      <w:pPr>
        <w:spacing w:line="360" w:lineRule="auto"/>
        <w:ind w:firstLine="480" w:firstLineChars="200"/>
        <w:rPr>
          <w:rFonts w:ascii="宋体" w:hAnsi="宋体" w:cs="宋体"/>
          <w:sz w:val="24"/>
        </w:rPr>
      </w:pPr>
      <w:r>
        <w:rPr>
          <w:rFonts w:hint="eastAsia" w:ascii="宋体" w:hAnsi="宋体" w:cs="宋体"/>
          <w:sz w:val="24"/>
        </w:rPr>
        <w:t>6.建立完善的物业管理服务规章制度，按照各专业规章制度要求严格执行，同时对物业管理服务各专业实施过程进行详实记录。建立和完善档案管理制度，对街区公共部位、公用设施设备进行全面承接查验，验收手续和资料齐全，对技术、管理和各专业进行管理操作记录等资料详尽收集、第一时间归档、安全管理、便于查阅。通过有效手段及措施保证1小时内向街道报送工作信息、图片、总结等资料。</w:t>
      </w:r>
    </w:p>
    <w:p>
      <w:pPr>
        <w:spacing w:line="360" w:lineRule="auto"/>
        <w:ind w:firstLine="480" w:firstLineChars="200"/>
        <w:rPr>
          <w:rFonts w:ascii="宋体" w:hAnsi="宋体" w:cs="宋体"/>
          <w:sz w:val="24"/>
        </w:rPr>
      </w:pPr>
      <w:r>
        <w:rPr>
          <w:rFonts w:hint="eastAsia" w:ascii="宋体" w:hAnsi="宋体" w:cs="宋体"/>
          <w:sz w:val="24"/>
        </w:rPr>
        <w:t>7.打造物业企业文化：以企业文化凝聚物业公司员工思想，提升员工队伍整体素质，建立统一的标识系统，创新服务模式，形成发展企业、造福居民、回报社会的企业价值观，带动胡同文化内涵的挖掘和发展。</w:t>
      </w:r>
    </w:p>
    <w:p>
      <w:pPr>
        <w:spacing w:line="360" w:lineRule="auto"/>
        <w:ind w:firstLine="480" w:firstLineChars="200"/>
        <w:rPr>
          <w:rFonts w:ascii="宋体" w:hAnsi="宋体" w:cs="宋体"/>
          <w:sz w:val="24"/>
        </w:rPr>
      </w:pPr>
      <w:r>
        <w:rPr>
          <w:rFonts w:hint="eastAsia" w:ascii="宋体" w:hAnsi="宋体" w:cs="宋体"/>
          <w:sz w:val="24"/>
        </w:rPr>
        <w:t>8.服务渠道畅通：设置24小时服务电话，在建国门街道区域内设立办公地点，物业管理服务企业项目部办公室每天提供不少于8小时的服务时间，其他时间安排值班人员，提供居民服务和处理紧急情况；对于居民投诉，在两日内处置并答复，必要时上门回访，处置率、回访率达到100%.对于网格案件，按照网格件处理相关流程的时间要求处理上报。</w:t>
      </w:r>
    </w:p>
    <w:p>
      <w:pPr>
        <w:spacing w:line="360" w:lineRule="auto"/>
        <w:ind w:firstLine="480" w:firstLineChars="200"/>
        <w:rPr>
          <w:rFonts w:ascii="宋体" w:hAnsi="宋体" w:cs="宋体"/>
          <w:sz w:val="24"/>
        </w:rPr>
      </w:pPr>
      <w:r>
        <w:rPr>
          <w:rFonts w:hint="eastAsia" w:ascii="宋体" w:hAnsi="宋体" w:cs="宋体"/>
          <w:sz w:val="24"/>
        </w:rPr>
        <w:t>9.街道办事处及各社区交办的其他工作。</w:t>
      </w:r>
    </w:p>
    <w:p>
      <w:pPr>
        <w:numPr>
          <w:ilvl w:val="0"/>
          <w:numId w:val="17"/>
        </w:numPr>
        <w:spacing w:line="360" w:lineRule="auto"/>
        <w:rPr>
          <w:rFonts w:ascii="宋体" w:hAnsi="宋体" w:cs="宋体"/>
          <w:sz w:val="24"/>
        </w:rPr>
      </w:pPr>
      <w:r>
        <w:rPr>
          <w:rFonts w:hint="eastAsia" w:ascii="宋体" w:hAnsi="宋体" w:cs="宋体"/>
          <w:sz w:val="24"/>
        </w:rPr>
        <w:t>街道网格案件处置</w:t>
      </w:r>
    </w:p>
    <w:p>
      <w:pPr>
        <w:spacing w:line="360" w:lineRule="auto"/>
        <w:ind w:firstLine="480" w:firstLineChars="200"/>
        <w:rPr>
          <w:rFonts w:ascii="宋体" w:hAnsi="宋体" w:cs="宋体"/>
          <w:sz w:val="24"/>
        </w:rPr>
      </w:pPr>
      <w:r>
        <w:rPr>
          <w:rFonts w:hint="eastAsia" w:ascii="宋体" w:hAnsi="宋体" w:cs="宋体"/>
          <w:sz w:val="24"/>
        </w:rPr>
        <w:t>1.由监督管理员、视频监控、辖区居民、市区聘请的第三方拍照生成的“城市环境”、“随手拍”、“环保巡查APP ”、“12345平台”、“小循环”等网格案件，应按照规定时限在接到案件第一时间处置，尽快回件，杜绝出现案件超期、返工、强结，同时按区里要求完成物业小循环上报数量。</w:t>
      </w:r>
    </w:p>
    <w:p>
      <w:pPr>
        <w:spacing w:line="360" w:lineRule="auto"/>
        <w:ind w:firstLine="480" w:firstLineChars="200"/>
        <w:rPr>
          <w:rFonts w:ascii="宋体" w:hAnsi="宋体" w:cs="宋体"/>
          <w:sz w:val="24"/>
        </w:rPr>
      </w:pPr>
      <w:r>
        <w:rPr>
          <w:rFonts w:hint="eastAsia" w:ascii="宋体" w:hAnsi="宋体" w:cs="宋体"/>
          <w:sz w:val="24"/>
        </w:rPr>
        <w:t>2．物业12小时内上报回退案件，超过12小时及回退失败案件均由物业处理；其它部门、单位不予解决的问题，均由物业解决。</w:t>
      </w:r>
    </w:p>
    <w:p>
      <w:pPr>
        <w:spacing w:line="360" w:lineRule="auto"/>
        <w:ind w:firstLine="480" w:firstLineChars="200"/>
        <w:rPr>
          <w:rFonts w:ascii="宋体" w:hAnsi="宋体" w:cs="宋体"/>
          <w:sz w:val="24"/>
        </w:rPr>
      </w:pPr>
      <w:r>
        <w:rPr>
          <w:rFonts w:hint="eastAsia" w:ascii="宋体" w:hAnsi="宋体" w:cs="宋体"/>
          <w:sz w:val="24"/>
        </w:rPr>
        <w:t>3．需要处理的范围包括但不限于小广告、户外广告、沿街晾晒、景观灯、破损暴露垃圾、废旧车辆无人处理、共享单车乱放、废弃家具、道路不洁、绿地脏乱、折断树枝、树木补种、施工废弃料、堆积建筑垃圾及所有物料、建筑外立面破损不洁、树坑花池围台破损、高空作业等各种情况的清理、维修。</w:t>
      </w:r>
    </w:p>
    <w:p>
      <w:pPr>
        <w:spacing w:line="360" w:lineRule="auto"/>
        <w:rPr>
          <w:rFonts w:ascii="宋体" w:hAnsi="宋体" w:cs="宋体"/>
          <w:sz w:val="24"/>
        </w:rPr>
      </w:pPr>
      <w:r>
        <w:rPr>
          <w:rFonts w:hint="eastAsia" w:ascii="宋体" w:hAnsi="宋体" w:cs="宋体"/>
          <w:sz w:val="24"/>
        </w:rPr>
        <w:t>（三）秩序管控</w:t>
      </w:r>
    </w:p>
    <w:p>
      <w:pPr>
        <w:numPr>
          <w:ilvl w:val="0"/>
          <w:numId w:val="18"/>
        </w:numPr>
        <w:spacing w:line="360" w:lineRule="auto"/>
        <w:ind w:firstLine="460" w:firstLineChars="192"/>
        <w:rPr>
          <w:rFonts w:ascii="宋体" w:hAnsi="宋体" w:cs="宋体"/>
          <w:sz w:val="24"/>
        </w:rPr>
      </w:pPr>
      <w:r>
        <w:rPr>
          <w:rFonts w:hint="eastAsia" w:ascii="宋体" w:hAnsi="宋体" w:cs="宋体"/>
          <w:sz w:val="24"/>
        </w:rPr>
        <w:t>服务保障时间：24小时；工作标准：保障服务地点城市环境秩序良好，符合挂账点位的销账标准，实现“动态清零”,通过市区街等相关部门验收。</w:t>
      </w:r>
    </w:p>
    <w:p>
      <w:pPr>
        <w:numPr>
          <w:ilvl w:val="0"/>
          <w:numId w:val="18"/>
        </w:numPr>
        <w:spacing w:line="360" w:lineRule="auto"/>
        <w:ind w:firstLine="460" w:firstLineChars="192"/>
        <w:rPr>
          <w:rFonts w:ascii="宋体" w:hAnsi="宋体" w:cs="宋体"/>
          <w:sz w:val="24"/>
        </w:rPr>
      </w:pPr>
      <w:r>
        <w:rPr>
          <w:rFonts w:hint="eastAsia" w:ascii="宋体" w:hAnsi="宋体" w:cs="宋体"/>
          <w:sz w:val="24"/>
        </w:rPr>
        <w:t xml:space="preserve">对合同第一部分第一条（二）责任区明细内制止张贴、散发、喷涂、悬挂小广告行为。 </w:t>
      </w:r>
      <w:r>
        <w:rPr>
          <w:rFonts w:ascii="宋体" w:hAnsi="宋体" w:cs="宋体"/>
          <w:sz w:val="24"/>
        </w:rPr>
        <w:t xml:space="preserve">     </w:t>
      </w:r>
    </w:p>
    <w:p>
      <w:pPr>
        <w:numPr>
          <w:ilvl w:val="0"/>
          <w:numId w:val="18"/>
        </w:numPr>
        <w:spacing w:line="360" w:lineRule="auto"/>
        <w:ind w:firstLine="460" w:firstLineChars="192"/>
        <w:rPr>
          <w:rFonts w:ascii="宋体" w:hAnsi="宋体" w:cs="宋体"/>
          <w:sz w:val="24"/>
        </w:rPr>
      </w:pPr>
      <w:r>
        <w:rPr>
          <w:rFonts w:hint="eastAsia" w:ascii="宋体" w:hAnsi="宋体" w:cs="宋体"/>
          <w:sz w:val="24"/>
        </w:rPr>
        <w:t>对合同第一部分第一条（二）责任区明细内劝阻游商、黑车、黑三轮、共享单车、无照废品回收车、黄牛、流浪乞讨人员，组织专门队伍或设立固定岗清理各种乱象。</w:t>
      </w:r>
    </w:p>
    <w:p>
      <w:pPr>
        <w:numPr>
          <w:ilvl w:val="0"/>
          <w:numId w:val="18"/>
        </w:numPr>
        <w:spacing w:line="360" w:lineRule="auto"/>
        <w:ind w:firstLine="460" w:firstLineChars="192"/>
        <w:rPr>
          <w:rFonts w:ascii="宋体" w:hAnsi="宋体" w:cs="宋体"/>
          <w:sz w:val="24"/>
        </w:rPr>
      </w:pPr>
      <w:r>
        <w:rPr>
          <w:rFonts w:hint="eastAsia" w:ascii="宋体" w:hAnsi="宋体" w:cs="宋体"/>
          <w:sz w:val="24"/>
        </w:rPr>
        <w:t>维护责任区秩序，服务区域内无乱占车位和其他违规占道行为，引导机动车有序行驶、停车入位，引导并协助非机动车码放整齐，加强巡视。</w:t>
      </w:r>
    </w:p>
    <w:p>
      <w:pPr>
        <w:numPr>
          <w:ilvl w:val="0"/>
          <w:numId w:val="18"/>
        </w:numPr>
        <w:spacing w:line="360" w:lineRule="auto"/>
        <w:ind w:firstLine="460" w:firstLineChars="192"/>
        <w:rPr>
          <w:rFonts w:ascii="宋体" w:hAnsi="宋体" w:cs="宋体"/>
          <w:sz w:val="24"/>
        </w:rPr>
      </w:pPr>
      <w:r>
        <w:rPr>
          <w:rFonts w:hint="eastAsia" w:ascii="宋体" w:hAnsi="宋体" w:cs="宋体"/>
          <w:sz w:val="24"/>
        </w:rPr>
        <w:t>对装修居民和商户按规定进行登记，并签订装修管理协议和安全责任书，宣传告知居民、商户装修须知和安全注意事项。对合同第一部分第一条（二）责任区明细内未登记或违规装修的，或装修影响房屋外观、危及房屋结构安全及拆改共用管线等损害公共利益的现象，第一时间劝告、劝阻和取证，并在1小时内报告街道物业管理部门。</w:t>
      </w:r>
    </w:p>
    <w:p>
      <w:pPr>
        <w:numPr>
          <w:ilvl w:val="0"/>
          <w:numId w:val="18"/>
        </w:numPr>
        <w:spacing w:line="360" w:lineRule="auto"/>
        <w:ind w:firstLine="460" w:firstLineChars="192"/>
        <w:rPr>
          <w:rFonts w:ascii="宋体" w:hAnsi="宋体" w:cs="宋体"/>
          <w:sz w:val="24"/>
        </w:rPr>
      </w:pPr>
      <w:r>
        <w:rPr>
          <w:rFonts w:hint="eastAsia" w:ascii="宋体" w:hAnsi="宋体" w:cs="宋体"/>
          <w:sz w:val="24"/>
        </w:rPr>
        <w:t>对合同第一部分第一条（二）责任区明细内加强巡查，第一时间发现、劝阻、上报居民搭建违法建设、违规开墙打洞行为，配合城管进行拆违工作；第一时间发现和上报违规出租转租行为，消除治安事件及事故隐患。</w:t>
      </w:r>
    </w:p>
    <w:p>
      <w:pPr>
        <w:numPr>
          <w:ilvl w:val="0"/>
          <w:numId w:val="18"/>
        </w:numPr>
        <w:spacing w:line="360" w:lineRule="auto"/>
        <w:ind w:firstLine="460" w:firstLineChars="192"/>
        <w:rPr>
          <w:rFonts w:ascii="宋体" w:hAnsi="宋体" w:cs="宋体"/>
          <w:sz w:val="24"/>
        </w:rPr>
      </w:pPr>
      <w:r>
        <w:rPr>
          <w:rFonts w:hint="eastAsia" w:ascii="宋体" w:hAnsi="宋体" w:cs="宋体"/>
          <w:sz w:val="24"/>
        </w:rPr>
        <w:t>劝阻制止店外占道经营、露天烧烤（焚烧）、违规安装广告牌匾标识的行为，劝阻制止无效的立即报街道物业管理部门。</w:t>
      </w:r>
    </w:p>
    <w:p>
      <w:pPr>
        <w:spacing w:line="360" w:lineRule="auto"/>
        <w:ind w:firstLine="480" w:firstLineChars="200"/>
        <w:rPr>
          <w:rFonts w:ascii="宋体" w:hAnsi="宋体" w:cs="宋体"/>
          <w:sz w:val="24"/>
        </w:rPr>
      </w:pPr>
      <w:r>
        <w:rPr>
          <w:rFonts w:hint="eastAsia" w:ascii="宋体" w:hAnsi="宋体" w:cs="宋体"/>
          <w:sz w:val="24"/>
        </w:rPr>
        <w:t>8.因地制宜施划机动车和非机动车停车位，引导机动车有序行驶、停车入位，引导并协助非机动车码放整齐，加强巡视，做到无乱停车。</w:t>
      </w:r>
    </w:p>
    <w:p>
      <w:pPr>
        <w:spacing w:line="360" w:lineRule="auto"/>
        <w:ind w:firstLine="480" w:firstLineChars="200"/>
        <w:rPr>
          <w:rFonts w:ascii="宋体" w:hAnsi="宋体" w:cs="宋体"/>
          <w:sz w:val="24"/>
        </w:rPr>
      </w:pPr>
      <w:r>
        <w:rPr>
          <w:rFonts w:hint="eastAsia" w:ascii="宋体" w:hAnsi="宋体" w:cs="宋体"/>
          <w:sz w:val="24"/>
        </w:rPr>
        <w:t>9.对合同第一部分第一条（二）责任区明细内负责地桩、地锁、石墩、废旧自行车等道路障碍物的拆除和管控，保证辖区内无乱占车位和其他违规占道行为。</w:t>
      </w:r>
    </w:p>
    <w:p>
      <w:pPr>
        <w:spacing w:line="360" w:lineRule="auto"/>
        <w:ind w:firstLine="480" w:firstLineChars="200"/>
        <w:rPr>
          <w:rFonts w:ascii="宋体" w:hAnsi="宋体" w:cs="宋体"/>
          <w:sz w:val="24"/>
        </w:rPr>
      </w:pPr>
      <w:r>
        <w:rPr>
          <w:rFonts w:hint="eastAsia" w:ascii="宋体" w:hAnsi="宋体" w:cs="宋体"/>
          <w:sz w:val="24"/>
        </w:rPr>
        <w:t>10.对合同第一部分第一条（二）责任区明细内发现“僵尸车”（含机动车、非机动车）第一时间上报，并协助相关部门进行清理。</w:t>
      </w:r>
    </w:p>
    <w:p>
      <w:pPr>
        <w:spacing w:line="360" w:lineRule="auto"/>
        <w:ind w:firstLine="480" w:firstLineChars="200"/>
        <w:rPr>
          <w:rFonts w:ascii="宋体" w:hAnsi="宋体" w:cs="宋体"/>
          <w:sz w:val="24"/>
        </w:rPr>
      </w:pPr>
      <w:r>
        <w:rPr>
          <w:rFonts w:hint="eastAsia" w:ascii="宋体" w:hAnsi="宋体" w:cs="宋体"/>
          <w:sz w:val="24"/>
        </w:rPr>
        <w:t>11.在主要出入口视情况设置专人值守，保证无障碍物，车辆通行顺畅。</w:t>
      </w:r>
    </w:p>
    <w:p>
      <w:pPr>
        <w:spacing w:line="360" w:lineRule="auto"/>
        <w:ind w:firstLine="480" w:firstLineChars="200"/>
        <w:rPr>
          <w:rFonts w:ascii="宋体" w:hAnsi="宋体" w:cs="宋体"/>
          <w:sz w:val="24"/>
        </w:rPr>
      </w:pPr>
      <w:r>
        <w:rPr>
          <w:rFonts w:hint="eastAsia" w:ascii="宋体" w:hAnsi="宋体" w:cs="宋体"/>
          <w:sz w:val="24"/>
        </w:rPr>
        <w:t>12.按照辖区居民自治公约进行管理，维护停车秩序，达到共建共享的效果。</w:t>
      </w:r>
    </w:p>
    <w:p>
      <w:pPr>
        <w:spacing w:line="360" w:lineRule="auto"/>
        <w:ind w:firstLine="480" w:firstLineChars="200"/>
        <w:rPr>
          <w:rFonts w:ascii="宋体" w:hAnsi="宋体" w:cs="宋体"/>
          <w:sz w:val="24"/>
        </w:rPr>
      </w:pPr>
      <w:r>
        <w:rPr>
          <w:rFonts w:hint="eastAsia" w:ascii="宋体" w:hAnsi="宋体" w:cs="宋体"/>
          <w:sz w:val="24"/>
        </w:rPr>
        <w:t>13.参加包括但不限于疫情防控、垃圾分类、堆物堆料清理等街道工作。</w:t>
      </w:r>
    </w:p>
    <w:p>
      <w:pPr>
        <w:spacing w:line="360" w:lineRule="auto"/>
        <w:ind w:firstLine="480" w:firstLineChars="200"/>
        <w:rPr>
          <w:rFonts w:ascii="宋体" w:hAnsi="宋体" w:cs="宋体"/>
          <w:sz w:val="24"/>
        </w:rPr>
      </w:pPr>
      <w:r>
        <w:rPr>
          <w:rFonts w:hint="eastAsia" w:ascii="宋体" w:hAnsi="宋体" w:cs="宋体"/>
          <w:sz w:val="24"/>
        </w:rPr>
        <w:t>14.乙方负责全面做好协议区域内的垃圾分类工作。</w:t>
      </w:r>
    </w:p>
    <w:p>
      <w:pPr>
        <w:spacing w:line="360" w:lineRule="auto"/>
        <w:ind w:firstLine="480" w:firstLineChars="200"/>
        <w:rPr>
          <w:rFonts w:ascii="宋体" w:hAnsi="宋体" w:cs="宋体"/>
          <w:sz w:val="24"/>
        </w:rPr>
      </w:pPr>
      <w:r>
        <w:rPr>
          <w:rFonts w:hint="eastAsia" w:ascii="宋体" w:hAnsi="宋体" w:cs="宋体"/>
          <w:sz w:val="24"/>
        </w:rPr>
        <w:t>15.乙方负责做好居民引导工作，提高居民垃圾分类意识，做好居民源头分类工作。</w:t>
      </w:r>
    </w:p>
    <w:p>
      <w:pPr>
        <w:spacing w:line="360" w:lineRule="auto"/>
        <w:ind w:firstLine="480" w:firstLineChars="200"/>
        <w:rPr>
          <w:rFonts w:ascii="宋体" w:hAnsi="宋体" w:cs="宋体"/>
          <w:sz w:val="24"/>
        </w:rPr>
      </w:pPr>
      <w:r>
        <w:rPr>
          <w:rFonts w:hint="eastAsia" w:ascii="宋体" w:hAnsi="宋体" w:cs="宋体"/>
          <w:sz w:val="24"/>
        </w:rPr>
        <w:t>16.乙方负责垃圾分类积分管理、承接街道宣传物品发放。</w:t>
      </w:r>
    </w:p>
    <w:p>
      <w:pPr>
        <w:spacing w:line="360" w:lineRule="auto"/>
        <w:ind w:firstLine="480" w:firstLineChars="200"/>
        <w:rPr>
          <w:rFonts w:ascii="宋体" w:hAnsi="宋体" w:cs="宋体"/>
          <w:sz w:val="24"/>
        </w:rPr>
      </w:pPr>
      <w:r>
        <w:rPr>
          <w:rFonts w:hint="eastAsia" w:ascii="宋体" w:hAnsi="宋体" w:cs="宋体"/>
          <w:sz w:val="24"/>
        </w:rPr>
        <w:t>17.乙方负责完成市、区级检查、考核及验收工作,同时做好对外服务接待工作。对检查出现的问题及时做好整改工作。</w:t>
      </w:r>
    </w:p>
    <w:p>
      <w:pPr>
        <w:spacing w:line="360" w:lineRule="auto"/>
        <w:ind w:firstLine="480" w:firstLineChars="200"/>
        <w:rPr>
          <w:rFonts w:ascii="宋体" w:hAnsi="宋体" w:cs="宋体"/>
          <w:sz w:val="24"/>
        </w:rPr>
      </w:pPr>
      <w:r>
        <w:rPr>
          <w:rFonts w:hint="eastAsia" w:ascii="宋体" w:hAnsi="宋体" w:cs="宋体"/>
          <w:sz w:val="24"/>
        </w:rPr>
        <w:t>18.乙方负责对甲方现有的17座“生活垃圾分类驿站”的日常运营管理，建立相关制度，工作流程，做到运营有序、调度有方、账目清晰、档案齐全、条责到人，安全检查（要建立检查台账），同时对于新增驿站甲乙双方进行协商运营。</w:t>
      </w:r>
    </w:p>
    <w:p>
      <w:pPr>
        <w:spacing w:line="360" w:lineRule="auto"/>
        <w:ind w:firstLine="480" w:firstLineChars="200"/>
        <w:rPr>
          <w:rFonts w:ascii="宋体" w:hAnsi="宋体" w:cs="宋体"/>
          <w:sz w:val="24"/>
        </w:rPr>
      </w:pPr>
      <w:r>
        <w:rPr>
          <w:rFonts w:hint="eastAsia" w:ascii="宋体" w:hAnsi="宋体" w:cs="宋体"/>
          <w:sz w:val="24"/>
        </w:rPr>
        <w:t>19.乙方按照甲方的要求做好辖区内所有桶站厨余垃圾、可回收物及有害垃圾的清运工作，乙方根据甲方桶站数量的调整而进行工作调整。</w:t>
      </w:r>
    </w:p>
    <w:p>
      <w:pPr>
        <w:spacing w:line="360" w:lineRule="auto"/>
        <w:ind w:firstLine="480" w:firstLineChars="200"/>
        <w:rPr>
          <w:rFonts w:ascii="宋体" w:hAnsi="宋体" w:cs="宋体"/>
          <w:sz w:val="24"/>
        </w:rPr>
      </w:pPr>
      <w:r>
        <w:rPr>
          <w:rFonts w:hint="eastAsia" w:ascii="宋体" w:hAnsi="宋体" w:cs="宋体"/>
          <w:sz w:val="24"/>
        </w:rPr>
        <w:t>20.乙方按照甲方的要求设置流动收运点，同时按要求配备好“生活垃圾分类驿站”及流动收运点的工作人员。工作人员要认真负责、耐心待人，必要时要上门服务。</w:t>
      </w:r>
    </w:p>
    <w:p>
      <w:pPr>
        <w:spacing w:line="360" w:lineRule="auto"/>
        <w:ind w:firstLine="480" w:firstLineChars="200"/>
        <w:rPr>
          <w:rFonts w:ascii="宋体" w:hAnsi="宋体" w:cs="宋体"/>
          <w:sz w:val="24"/>
        </w:rPr>
      </w:pPr>
      <w:r>
        <w:rPr>
          <w:rFonts w:hint="eastAsia" w:ascii="宋体" w:hAnsi="宋体" w:cs="宋体"/>
          <w:sz w:val="24"/>
        </w:rPr>
        <w:t>21.乙方定期对“生活垃圾分类驿站”、厨余垃圾收集点等负责的设施做好定期维护工作。同时，做好对驿站周边进行蚊蝇消杀、消毒及地面清扫等工作，并建立设备维护和消杀管理长效机制及台账。</w:t>
      </w:r>
    </w:p>
    <w:p>
      <w:pPr>
        <w:spacing w:line="360" w:lineRule="auto"/>
        <w:ind w:firstLine="480" w:firstLineChars="200"/>
        <w:rPr>
          <w:rFonts w:ascii="宋体" w:hAnsi="宋体" w:cs="宋体"/>
          <w:sz w:val="24"/>
        </w:rPr>
      </w:pPr>
      <w:r>
        <w:rPr>
          <w:rFonts w:hint="eastAsia" w:ascii="宋体" w:hAnsi="宋体" w:cs="宋体"/>
          <w:sz w:val="24"/>
        </w:rPr>
        <w:t>22.乙方有义务配合、指导甲方聘请的街区物业服务企业开展垃圾分类工作及其他工作。</w:t>
      </w:r>
    </w:p>
    <w:p>
      <w:pPr>
        <w:spacing w:line="360" w:lineRule="auto"/>
        <w:ind w:firstLine="480" w:firstLineChars="200"/>
        <w:rPr>
          <w:rFonts w:ascii="宋体" w:hAnsi="宋体" w:cs="宋体"/>
          <w:sz w:val="24"/>
        </w:rPr>
      </w:pPr>
      <w:r>
        <w:rPr>
          <w:rFonts w:hint="eastAsia" w:ascii="宋体" w:hAnsi="宋体" w:cs="宋体"/>
          <w:sz w:val="24"/>
        </w:rPr>
        <w:t>23.乙方有义务配合甲方做好对“垃圾分类中转站”的日常管理。如：卫生防疫、安全生产、消防安全、用电安全、夜间巡逻等，并建立相关工作制度。</w:t>
      </w:r>
    </w:p>
    <w:p>
      <w:pPr>
        <w:spacing w:line="360" w:lineRule="auto"/>
        <w:ind w:firstLine="480" w:firstLineChars="200"/>
        <w:rPr>
          <w:rFonts w:ascii="宋体" w:hAnsi="宋体" w:cs="宋体"/>
          <w:sz w:val="24"/>
        </w:rPr>
      </w:pPr>
      <w:r>
        <w:rPr>
          <w:rFonts w:hint="eastAsia" w:ascii="宋体" w:hAnsi="宋体" w:cs="宋体"/>
          <w:sz w:val="24"/>
        </w:rPr>
        <w:t>24.乙方配合甲方做好全年的垃圾分类宣传工作。</w:t>
      </w:r>
    </w:p>
    <w:p>
      <w:pPr>
        <w:spacing w:line="360" w:lineRule="auto"/>
        <w:ind w:firstLine="480" w:firstLineChars="200"/>
        <w:rPr>
          <w:rFonts w:ascii="宋体" w:hAnsi="宋体" w:cs="宋体"/>
          <w:sz w:val="24"/>
        </w:rPr>
      </w:pPr>
      <w:r>
        <w:rPr>
          <w:rFonts w:hint="eastAsia" w:ascii="宋体" w:hAnsi="宋体" w:cs="宋体"/>
          <w:sz w:val="24"/>
        </w:rPr>
        <w:t>25.乙方保质、保量完成甲方交办了临时性工作以及90余家沿街七小商户的厨余垃圾收运。</w:t>
      </w:r>
    </w:p>
    <w:p>
      <w:pPr>
        <w:spacing w:line="360" w:lineRule="auto"/>
        <w:rPr>
          <w:rFonts w:ascii="宋体" w:hAnsi="宋体" w:cs="宋体"/>
          <w:sz w:val="24"/>
        </w:rPr>
      </w:pPr>
      <w:r>
        <w:rPr>
          <w:rFonts w:hint="eastAsia" w:ascii="宋体" w:hAnsi="宋体" w:cs="宋体"/>
          <w:sz w:val="24"/>
        </w:rPr>
        <w:t>（四）环卫保洁及环保任务</w:t>
      </w:r>
    </w:p>
    <w:p>
      <w:pPr>
        <w:spacing w:line="360" w:lineRule="auto"/>
        <w:ind w:firstLine="480" w:firstLineChars="200"/>
        <w:rPr>
          <w:rFonts w:ascii="宋体" w:hAnsi="宋体" w:cs="宋体"/>
          <w:sz w:val="24"/>
        </w:rPr>
      </w:pPr>
      <w:r>
        <w:rPr>
          <w:rFonts w:hint="eastAsia" w:ascii="宋体" w:hAnsi="宋体" w:cs="宋体"/>
          <w:sz w:val="24"/>
        </w:rPr>
        <w:t>1.日常任务：配齐人员按一级（类）保洁标准（早5点——晚9点）对街道辖区内道路胡同绿化等全范围（包含西总布、外交部街垃圾不落地胡同）的积水、积雪、结冰、落叶第一时间进行清扫、清除、收运，落叶及其他区相关部门统一收集的垃圾需按照区相关部门要求按时保质的运送至统一收集点，对暴露垃圾严重区域</w:t>
      </w:r>
      <w:r>
        <w:rPr>
          <w:rFonts w:ascii="宋体" w:hAnsi="宋体" w:cs="宋体"/>
          <w:sz w:val="24"/>
        </w:rPr>
        <w:t>及时</w:t>
      </w:r>
      <w:r>
        <w:rPr>
          <w:rFonts w:hint="eastAsia" w:ascii="宋体" w:hAnsi="宋体" w:cs="宋体"/>
          <w:sz w:val="24"/>
        </w:rPr>
        <w:t>收运，确保环境整洁，收运单位严格按照新版《北京市生活垃圾管理条例》要求具备相应资质。雨水口、污水井箅子及周边干净整洁，无跑冒问题。对指路标志、导游图、电话亭、桌椅、健身器械等城市家具适时进行擦拭，始终保持干净整洁。对责任区墙壁、宣传栏等公共设施设备，以及胡同道路进行巡查、保洁、维修，确保无乱悬挂、乱贴乱画。第一时间清理责任区垃圾、渣土，引导居民定点投放大件废弃物，并第一时间清理。建筑垃圾按要求（区住建委小型工程管理办法相关规定）存放苫盖，做到无乱堆物堆料及暴露垃圾；负责四类垃圾垃圾不落地定时定点收集运输，其他垃圾有效分出有害、可回收物（包含泡沫、玻璃瓶等低值可回收物）、厨余垃圾并准确投放入桶站、驿站及自带的分类设施内，不得将未分拣的垃圾直接投入四分类桶或丢弃在路边、桶边，促进垃圾资源化、标准化、减量化、无害化处理，对生活垃圾第一时间清运，清运车辆符合管委标准并携带分类设施包括但不限于厨余桶、可回收袋等，保洁员负责指导居民进行垃圾分类、劝阻违规投放并取证、宣传垃圾分类，并进行二次分类。</w:t>
      </w:r>
    </w:p>
    <w:p>
      <w:pPr>
        <w:spacing w:line="360" w:lineRule="auto"/>
        <w:ind w:firstLine="480" w:firstLineChars="200"/>
        <w:rPr>
          <w:rFonts w:ascii="宋体" w:hAnsi="宋体" w:cs="宋体"/>
          <w:sz w:val="24"/>
        </w:rPr>
      </w:pPr>
      <w:r>
        <w:rPr>
          <w:rFonts w:hint="eastAsia" w:ascii="宋体" w:hAnsi="宋体" w:cs="宋体"/>
          <w:sz w:val="24"/>
        </w:rPr>
        <w:t>2.环保任务：对胡同路面及硬化地面每天清扫、吸尘、降尘，夏季每日7：00前，冬季7:30前完成清扫，不间断进行巡回保洁，保持责任区干净整洁无杂物，每周进行一次深度保洁。针对环保监测站点（PM2.5、PM10.0等监测点）进行重点降尘作业，保持地面湿润，需不间断洒水。胡同路面及硬化地面每天洒水清扫：按照季节每天不少于4次，遇重度雾霾天气，每天至少增加2次；冬季根据气温情况合理掌握洒水次数或是停止洒水，保证道路行人和行车安全。</w:t>
      </w:r>
    </w:p>
    <w:p>
      <w:pPr>
        <w:spacing w:line="360" w:lineRule="auto"/>
        <w:ind w:firstLine="480" w:firstLineChars="200"/>
        <w:rPr>
          <w:rFonts w:ascii="宋体" w:hAnsi="宋体" w:cs="宋体"/>
          <w:sz w:val="24"/>
        </w:rPr>
      </w:pPr>
      <w:r>
        <w:rPr>
          <w:rFonts w:hint="eastAsia" w:ascii="宋体" w:hAnsi="宋体" w:cs="宋体"/>
          <w:sz w:val="24"/>
        </w:rPr>
        <w:t>3.按照城市管理办公室和环保巡查APP上出现的裸露地面、裸露渣土及道路遗撒问题在规定期限内第一时间进行清理或苫盖，不得超出规定时限；第一时间处理首都环境建设办公室检查下发的点位整改工作，确保点位检查合格。</w:t>
      </w:r>
    </w:p>
    <w:p>
      <w:pPr>
        <w:spacing w:line="360" w:lineRule="auto"/>
        <w:ind w:firstLine="480" w:firstLineChars="200"/>
        <w:rPr>
          <w:rFonts w:ascii="宋体" w:hAnsi="宋体" w:cs="宋体"/>
          <w:sz w:val="24"/>
        </w:rPr>
      </w:pPr>
      <w:r>
        <w:rPr>
          <w:rFonts w:ascii="宋体" w:hAnsi="宋体" w:cs="宋体"/>
          <w:sz w:val="24"/>
        </w:rPr>
        <w:t>4</w:t>
      </w:r>
      <w:r>
        <w:rPr>
          <w:rFonts w:hint="eastAsia" w:ascii="宋体" w:hAnsi="宋体" w:cs="宋体"/>
          <w:sz w:val="24"/>
        </w:rPr>
        <w:t>.动物监管任务：对合同第一部分第一条（二）责任区明细内居民饲养鸡、鸭、鹅、兔、羊、猪、鸽子等家禽家畜（办理登记的宠物除外）行为，依据有关规定进行监督、劝告，并上报有关部门</w:t>
      </w:r>
      <w:r>
        <w:rPr>
          <w:rFonts w:hint="eastAsia" w:ascii="宋体" w:hAnsi="宋体" w:cs="宋体"/>
          <w:sz w:val="24"/>
          <w:lang w:eastAsia="zh-Hans"/>
        </w:rPr>
        <w:t>进</w:t>
      </w:r>
      <w:r>
        <w:rPr>
          <w:rFonts w:hint="eastAsia" w:ascii="宋体" w:hAnsi="宋体" w:cs="宋体"/>
          <w:sz w:val="24"/>
        </w:rPr>
        <w:t>行处理。</w:t>
      </w:r>
    </w:p>
    <w:p>
      <w:pPr>
        <w:spacing w:line="360" w:lineRule="auto"/>
        <w:ind w:firstLine="480" w:firstLineChars="200"/>
        <w:rPr>
          <w:rFonts w:ascii="宋体" w:hAnsi="宋体" w:cs="宋体"/>
          <w:sz w:val="24"/>
        </w:rPr>
      </w:pPr>
      <w:r>
        <w:rPr>
          <w:rFonts w:ascii="宋体" w:hAnsi="宋体" w:cs="宋体"/>
          <w:sz w:val="24"/>
        </w:rPr>
        <w:t>5</w:t>
      </w:r>
      <w:r>
        <w:rPr>
          <w:rFonts w:hint="eastAsia" w:ascii="宋体" w:hAnsi="宋体" w:cs="宋体"/>
          <w:sz w:val="24"/>
        </w:rPr>
        <w:t>.消杀任务：对合同第一部分第一条（二）责任区明细内建立消杀工作管理制度，根据春季灭鼠白蚁、夏季灭蚊蝇、秋季灭蟑、冬季灭鼠开展消杀工作，适时投放消杀药物，有效控制鼠、蟑、蚊、蝇等害虫</w:t>
      </w:r>
      <w:r>
        <w:rPr>
          <w:rFonts w:hint="eastAsia" w:ascii="宋体" w:hAnsi="宋体" w:cs="宋体"/>
          <w:sz w:val="24"/>
          <w:lang w:eastAsia="zh-Hans"/>
        </w:rPr>
        <w:t>滋</w:t>
      </w:r>
      <w:r>
        <w:rPr>
          <w:rFonts w:hint="eastAsia" w:ascii="宋体" w:hAnsi="宋体" w:cs="宋体"/>
          <w:sz w:val="24"/>
        </w:rPr>
        <w:t>生，对居民反</w:t>
      </w:r>
      <w:r>
        <w:rPr>
          <w:rFonts w:hint="eastAsia" w:ascii="宋体" w:hAnsi="宋体" w:cs="宋体"/>
          <w:sz w:val="24"/>
          <w:lang w:eastAsia="zh-Hans"/>
        </w:rPr>
        <w:t>映</w:t>
      </w:r>
      <w:r>
        <w:rPr>
          <w:rFonts w:hint="eastAsia" w:ascii="宋体" w:hAnsi="宋体" w:cs="宋体"/>
          <w:sz w:val="24"/>
        </w:rPr>
        <w:t>的消杀需求进行消杀作业。</w:t>
      </w:r>
    </w:p>
    <w:p>
      <w:pPr>
        <w:spacing w:line="360" w:lineRule="auto"/>
        <w:rPr>
          <w:rFonts w:ascii="宋体" w:hAnsi="宋体" w:cs="宋体"/>
          <w:sz w:val="24"/>
        </w:rPr>
      </w:pPr>
      <w:r>
        <w:rPr>
          <w:rFonts w:hint="eastAsia" w:ascii="宋体" w:hAnsi="宋体" w:cs="宋体"/>
          <w:sz w:val="24"/>
        </w:rPr>
        <w:t>（五）绿化养护</w:t>
      </w:r>
    </w:p>
    <w:p>
      <w:pPr>
        <w:numPr>
          <w:ilvl w:val="0"/>
          <w:numId w:val="19"/>
        </w:numPr>
        <w:spacing w:line="360" w:lineRule="auto"/>
        <w:ind w:firstLine="460" w:firstLineChars="192"/>
        <w:rPr>
          <w:rFonts w:ascii="宋体" w:hAnsi="宋体" w:cs="宋体"/>
          <w:sz w:val="24"/>
        </w:rPr>
      </w:pPr>
      <w:r>
        <w:rPr>
          <w:rFonts w:hint="eastAsia" w:ascii="宋体" w:hAnsi="宋体" w:cs="宋体"/>
          <w:sz w:val="24"/>
        </w:rPr>
        <w:t>合同签订起一周内制定绿化养护方案，核验街道产权枯死树木、绿植数量，超期承担所有树木、绿植养护责任及枯死树木、绿植砍伐挖根补种责任，按季节及植物生长特性定期对街道产权路树、绿地、花箱的绿植进行修剪、养护、浇水、整形，对街道产权、弃管院落小区、拆迁滞留区、私房院落等定期除虫打药。第一时间处理街道产权病死花木，第一时间劝阻践踏绿地、攀折花木等破坏绿地的不良行为，对绿地全部设施如围栏、墙垛、围台、树坑、花池、泥土、标牌等进行维护维修。街道疏整促新建的花箱及小微绿地施工养护期过后，由街物业接管并维护。养护期间，街道产权绿植出现病死枯死现象，承担砍伐责任。</w:t>
      </w:r>
    </w:p>
    <w:p>
      <w:pPr>
        <w:numPr>
          <w:ilvl w:val="0"/>
          <w:numId w:val="19"/>
        </w:numPr>
        <w:spacing w:line="360" w:lineRule="auto"/>
        <w:ind w:firstLine="460" w:firstLineChars="192"/>
        <w:rPr>
          <w:rFonts w:ascii="宋体" w:hAnsi="宋体" w:cs="宋体"/>
          <w:sz w:val="24"/>
        </w:rPr>
      </w:pPr>
      <w:r>
        <w:rPr>
          <w:rFonts w:hint="eastAsia" w:ascii="宋体" w:hAnsi="宋体" w:cs="宋体"/>
          <w:sz w:val="24"/>
        </w:rPr>
        <w:t>定期巡查绿化区域，严格按照作业规程操作，对街道产权干枝枯杈、断枝压房、压线等情况第一时间进行处理，采取有效措施确保汛期、大风期及日常不倒树、不伤人，如发生倒树，第一时间应急排险处置；保持园林建筑和辅助设施完好无损和整洁美观。</w:t>
      </w:r>
    </w:p>
    <w:p>
      <w:pPr>
        <w:numPr>
          <w:ilvl w:val="0"/>
          <w:numId w:val="19"/>
        </w:numPr>
        <w:spacing w:line="360" w:lineRule="auto"/>
        <w:ind w:firstLine="460" w:firstLineChars="192"/>
        <w:rPr>
          <w:rFonts w:ascii="宋体" w:hAnsi="宋体" w:cs="宋体"/>
          <w:sz w:val="24"/>
        </w:rPr>
      </w:pPr>
      <w:r>
        <w:rPr>
          <w:rFonts w:hint="eastAsia" w:ascii="宋体" w:hAnsi="宋体" w:cs="宋体"/>
          <w:sz w:val="24"/>
        </w:rPr>
        <w:t>协助相关单位对合同第一部分第一条（二）责任区明细内的古树、名木采取保护措施，悬挂注有名称、科属、产地、生长习性等标志牌。</w:t>
      </w:r>
    </w:p>
    <w:p>
      <w:r>
        <w:rPr>
          <w:rFonts w:hint="eastAsia" w:ascii="宋体" w:hAnsi="宋体" w:cs="宋体"/>
          <w:sz w:val="24"/>
        </w:rPr>
        <w:t xml:space="preserve">    4.第一时间清理合同第一部分第一条（二）责任区明细内绿化带内白色垃圾、砖渣、废弃物，保持绿化区域清洁干净。</w:t>
      </w:r>
    </w:p>
    <w:p>
      <w:pPr>
        <w:spacing w:line="360" w:lineRule="auto"/>
        <w:rPr>
          <w:rFonts w:ascii="宋体" w:hAnsi="宋体" w:cs="宋体"/>
          <w:sz w:val="24"/>
        </w:rPr>
      </w:pPr>
      <w:r>
        <w:rPr>
          <w:rFonts w:hint="eastAsia" w:ascii="宋体" w:hAnsi="宋体" w:cs="宋体"/>
          <w:sz w:val="24"/>
        </w:rPr>
        <w:t>（六）安全防范</w:t>
      </w:r>
    </w:p>
    <w:p>
      <w:pPr>
        <w:numPr>
          <w:ilvl w:val="0"/>
          <w:numId w:val="20"/>
        </w:numPr>
        <w:spacing w:line="360" w:lineRule="auto"/>
        <w:ind w:firstLine="460" w:firstLineChars="192"/>
        <w:rPr>
          <w:rFonts w:ascii="宋体" w:hAnsi="宋体" w:cs="宋体"/>
          <w:sz w:val="24"/>
        </w:rPr>
      </w:pPr>
      <w:r>
        <w:rPr>
          <w:rFonts w:hint="eastAsia" w:ascii="宋体" w:hAnsi="宋体" w:cs="宋体"/>
          <w:sz w:val="24"/>
        </w:rPr>
        <w:t>消防设施完备，消防通道畅通，消防关键控制点标志明显，可随时启用；有消防应急预案，每年消防应急演练不少于2次；协助街道加强“微型消防站”建设，定期巡查消防安全、发现并第一时间处置火情。</w:t>
      </w:r>
    </w:p>
    <w:p>
      <w:pPr>
        <w:numPr>
          <w:ilvl w:val="0"/>
          <w:numId w:val="20"/>
        </w:numPr>
        <w:spacing w:line="360" w:lineRule="auto"/>
        <w:ind w:firstLine="460" w:firstLineChars="192"/>
        <w:rPr>
          <w:rFonts w:ascii="宋体" w:hAnsi="宋体" w:cs="宋体"/>
          <w:sz w:val="24"/>
        </w:rPr>
      </w:pPr>
      <w:r>
        <w:rPr>
          <w:rFonts w:hint="eastAsia" w:ascii="宋体" w:hAnsi="宋体" w:cs="宋体"/>
          <w:sz w:val="24"/>
        </w:rPr>
        <w:t>技防设备良好有效，专用设备设施齐全，应急处置分工明确，应急队伍保障到位。</w:t>
      </w:r>
    </w:p>
    <w:p>
      <w:pPr>
        <w:numPr>
          <w:ilvl w:val="0"/>
          <w:numId w:val="20"/>
        </w:numPr>
        <w:spacing w:line="360" w:lineRule="auto"/>
        <w:ind w:firstLine="460" w:firstLineChars="192"/>
        <w:rPr>
          <w:rFonts w:ascii="宋体" w:hAnsi="宋体" w:cs="宋体"/>
          <w:sz w:val="24"/>
        </w:rPr>
      </w:pPr>
      <w:r>
        <w:rPr>
          <w:rFonts w:hint="eastAsia" w:ascii="宋体" w:hAnsi="宋体" w:cs="宋体"/>
          <w:sz w:val="24"/>
        </w:rPr>
        <w:t>按照规定路线和时间进行24小时不间断巡逻，并有巡查记录，重点部位每小时巡查一次，发现可疑人员关注询问，消防治安事件及事故隐患。</w:t>
      </w:r>
    </w:p>
    <w:p>
      <w:pPr>
        <w:numPr>
          <w:ilvl w:val="0"/>
          <w:numId w:val="20"/>
        </w:numPr>
        <w:spacing w:line="360" w:lineRule="auto"/>
        <w:ind w:firstLine="460" w:firstLineChars="192"/>
        <w:rPr>
          <w:rFonts w:ascii="宋体" w:hAnsi="宋体" w:cs="宋体"/>
          <w:sz w:val="24"/>
        </w:rPr>
      </w:pPr>
      <w:r>
        <w:rPr>
          <w:rFonts w:hint="eastAsia" w:ascii="宋体" w:hAnsi="宋体" w:cs="宋体"/>
          <w:sz w:val="24"/>
        </w:rPr>
        <w:t>有完备的应急预案手册，应急指挥体系，第一时间有效处置水、电、气、热等突发事件。每年对服务人员进行不少于2次安全防范技能的培训。</w:t>
      </w:r>
    </w:p>
    <w:p>
      <w:pPr>
        <w:numPr>
          <w:ilvl w:val="0"/>
          <w:numId w:val="20"/>
        </w:numPr>
        <w:spacing w:line="360" w:lineRule="auto"/>
        <w:ind w:firstLine="460" w:firstLineChars="192"/>
        <w:rPr>
          <w:rFonts w:ascii="宋体" w:hAnsi="宋体" w:cs="宋体"/>
          <w:sz w:val="24"/>
        </w:rPr>
      </w:pPr>
      <w:r>
        <w:rPr>
          <w:rFonts w:hint="eastAsia" w:ascii="宋体" w:hAnsi="宋体" w:cs="宋体"/>
          <w:sz w:val="24"/>
        </w:rPr>
        <w:t>汛期要建立防汛安全值班、巡查制度，做好防汛安全检查，定期巡查疏通雨水口等排水设施，发现排水设施不通畅第一时间按照有关规定处理并上报。冬季需要备足所用融雪剂及相关工具，要做好扫雪铲冰工作，保持路面无积雪、结冰现象。</w:t>
      </w:r>
    </w:p>
    <w:p>
      <w:pPr>
        <w:numPr>
          <w:ilvl w:val="0"/>
          <w:numId w:val="20"/>
        </w:numPr>
        <w:spacing w:line="360" w:lineRule="auto"/>
        <w:ind w:firstLine="460" w:firstLineChars="192"/>
        <w:rPr>
          <w:rFonts w:ascii="宋体" w:hAnsi="宋体" w:cs="宋体"/>
          <w:sz w:val="24"/>
        </w:rPr>
      </w:pPr>
      <w:r>
        <w:rPr>
          <w:rFonts w:hint="eastAsia" w:ascii="宋体" w:hAnsi="宋体" w:cs="宋体"/>
          <w:sz w:val="24"/>
        </w:rPr>
        <w:t>发生群体访、聚集性事件或治安案件，立即维护控制秩序，上报街道物业管理部门。</w:t>
      </w:r>
    </w:p>
    <w:p>
      <w:pPr>
        <w:spacing w:line="360" w:lineRule="auto"/>
        <w:rPr>
          <w:rFonts w:ascii="宋体" w:hAnsi="宋体" w:cs="宋体"/>
          <w:sz w:val="24"/>
        </w:rPr>
      </w:pPr>
      <w:r>
        <w:rPr>
          <w:rFonts w:hint="eastAsia" w:ascii="宋体" w:hAnsi="宋体" w:cs="宋体"/>
          <w:sz w:val="24"/>
        </w:rPr>
        <w:t>（七）设施巡查</w:t>
      </w:r>
    </w:p>
    <w:p>
      <w:pPr>
        <w:spacing w:line="360" w:lineRule="auto"/>
        <w:ind w:firstLine="480" w:firstLineChars="200"/>
        <w:rPr>
          <w:rFonts w:ascii="宋体" w:hAnsi="宋体" w:cs="宋体"/>
          <w:sz w:val="24"/>
        </w:rPr>
      </w:pPr>
      <w:r>
        <w:rPr>
          <w:rFonts w:hint="eastAsia" w:ascii="宋体" w:hAnsi="宋体" w:cs="宋体"/>
          <w:sz w:val="24"/>
        </w:rPr>
        <w:t>1.对责任区用水、用电及配套服务设施设备进行日常巡查，发现异常情况第一时间上报；严格执行设施设备操作规程及保养规范，建立公用设施设备档案（设备台帐），设施设备的运行、检查等记录齐全。</w:t>
      </w:r>
    </w:p>
    <w:p>
      <w:pPr>
        <w:numPr>
          <w:ilvl w:val="0"/>
          <w:numId w:val="21"/>
        </w:numPr>
        <w:spacing w:line="360" w:lineRule="auto"/>
        <w:ind w:firstLine="460" w:firstLineChars="192"/>
        <w:rPr>
          <w:rFonts w:ascii="宋体" w:hAnsi="宋体" w:cs="宋体"/>
          <w:sz w:val="24"/>
        </w:rPr>
      </w:pPr>
      <w:r>
        <w:rPr>
          <w:rFonts w:hint="eastAsia" w:ascii="宋体" w:hAnsi="宋体" w:cs="宋体"/>
          <w:sz w:val="24"/>
        </w:rPr>
        <w:t>加强巡查巡视，发现危旧房屋屋顶塌陷、墙体脱落、开裂，胡同内架空线下坠、外立面破损和道路破损等存在安全隐患的情况，应急处置完毕，第一时间上报街道物业管理部门。</w:t>
      </w:r>
    </w:p>
    <w:p>
      <w:pPr>
        <w:numPr>
          <w:ilvl w:val="0"/>
          <w:numId w:val="21"/>
        </w:numPr>
        <w:spacing w:line="360" w:lineRule="auto"/>
        <w:ind w:firstLine="460" w:firstLineChars="192"/>
        <w:rPr>
          <w:rFonts w:ascii="宋体" w:hAnsi="宋体" w:cs="宋体"/>
          <w:sz w:val="24"/>
        </w:rPr>
      </w:pPr>
      <w:r>
        <w:rPr>
          <w:rFonts w:hint="eastAsia" w:ascii="宋体" w:hAnsi="宋体" w:cs="宋体"/>
          <w:sz w:val="24"/>
        </w:rPr>
        <w:t>定期巡查和维护电话亭、空调室外机、城市小品、花、草、树木及共用部位的门窗、玻璃等，做好巡查记录，发现隐患第一时间处置并上报。</w:t>
      </w:r>
    </w:p>
    <w:p>
      <w:pPr>
        <w:spacing w:line="360" w:lineRule="auto"/>
        <w:rPr>
          <w:rFonts w:ascii="宋体" w:hAnsi="宋体" w:cs="宋体"/>
          <w:sz w:val="24"/>
        </w:rPr>
      </w:pPr>
      <w:r>
        <w:rPr>
          <w:rFonts w:hint="eastAsia" w:ascii="宋体" w:hAnsi="宋体" w:cs="宋体"/>
          <w:sz w:val="24"/>
        </w:rPr>
        <w:t>（八）工程维修</w:t>
      </w:r>
    </w:p>
    <w:p>
      <w:pPr>
        <w:spacing w:line="360" w:lineRule="auto"/>
        <w:ind w:firstLine="480" w:firstLineChars="200"/>
        <w:rPr>
          <w:rFonts w:ascii="宋体" w:hAnsi="宋体" w:cs="宋体"/>
          <w:sz w:val="24"/>
        </w:rPr>
      </w:pPr>
      <w:r>
        <w:rPr>
          <w:rFonts w:hint="eastAsia" w:ascii="宋体" w:hAnsi="宋体" w:cs="宋体"/>
          <w:sz w:val="24"/>
        </w:rPr>
        <w:t>街道范围内所需的工程维修及时快速处理。</w:t>
      </w:r>
    </w:p>
    <w:p>
      <w:pPr>
        <w:spacing w:line="360" w:lineRule="auto"/>
        <w:rPr>
          <w:rFonts w:ascii="宋体" w:hAnsi="宋体" w:cs="宋体"/>
          <w:sz w:val="24"/>
        </w:rPr>
      </w:pPr>
      <w:r>
        <w:rPr>
          <w:rFonts w:hint="eastAsia" w:ascii="宋体" w:hAnsi="宋体" w:cs="宋体"/>
          <w:sz w:val="24"/>
        </w:rPr>
        <w:t>（九）重点区域服务保障项目</w:t>
      </w:r>
    </w:p>
    <w:p>
      <w:pPr>
        <w:spacing w:line="360" w:lineRule="auto"/>
        <w:ind w:firstLine="480" w:firstLineChars="200"/>
        <w:rPr>
          <w:rFonts w:ascii="宋体" w:hAnsi="宋体" w:cs="宋体"/>
          <w:sz w:val="24"/>
        </w:rPr>
      </w:pPr>
      <w:r>
        <w:rPr>
          <w:rFonts w:hint="eastAsia" w:ascii="宋体" w:hAnsi="宋体" w:cs="宋体"/>
          <w:sz w:val="24"/>
        </w:rPr>
        <w:t>加大重点区域服务保障，一是对重点区域产生的垃圾进行分拣及可回收物的接收；二是对重点区域周边桶站驿站垃圾分类工作增强保障力度；三是对重点区域周边胡同小巷清扫工作增强保障力度；四是对周边重点区域公共秩序进行定点值守。</w:t>
      </w:r>
    </w:p>
    <w:p>
      <w:pPr>
        <w:spacing w:line="360" w:lineRule="auto"/>
        <w:rPr>
          <w:rFonts w:ascii="宋体" w:hAnsi="宋体" w:cs="宋体"/>
          <w:sz w:val="24"/>
        </w:rPr>
      </w:pPr>
      <w:r>
        <w:rPr>
          <w:rFonts w:hint="eastAsia" w:ascii="宋体" w:hAnsi="宋体" w:cs="宋体"/>
          <w:sz w:val="24"/>
        </w:rPr>
        <w:t>（十）个性化服务</w:t>
      </w:r>
    </w:p>
    <w:p>
      <w:pPr>
        <w:spacing w:line="360" w:lineRule="auto"/>
        <w:ind w:firstLine="480" w:firstLineChars="200"/>
        <w:rPr>
          <w:rFonts w:ascii="宋体" w:hAnsi="宋体" w:cs="宋体"/>
          <w:sz w:val="24"/>
        </w:rPr>
      </w:pPr>
      <w:r>
        <w:rPr>
          <w:rFonts w:hint="eastAsia" w:ascii="宋体" w:hAnsi="宋体" w:cs="宋体"/>
          <w:sz w:val="24"/>
        </w:rPr>
        <w:t>1.家政上门服务程序规范，双方签订委托合同，收费标准及价格需公开透明。</w:t>
      </w:r>
    </w:p>
    <w:p>
      <w:pPr>
        <w:spacing w:line="360" w:lineRule="auto"/>
        <w:ind w:firstLine="480" w:firstLineChars="200"/>
        <w:rPr>
          <w:rFonts w:ascii="宋体" w:hAnsi="宋体" w:cs="宋体"/>
          <w:sz w:val="24"/>
        </w:rPr>
      </w:pPr>
      <w:r>
        <w:rPr>
          <w:rFonts w:hint="eastAsia" w:ascii="宋体" w:hAnsi="宋体" w:cs="宋体"/>
          <w:sz w:val="24"/>
        </w:rPr>
        <w:t>2.个性化服务收费标准制定及内容应遵守行业规范且有市场竞争力，并在明显处向居民公示。</w:t>
      </w:r>
    </w:p>
    <w:p>
      <w:pPr>
        <w:spacing w:line="360" w:lineRule="auto"/>
        <w:ind w:firstLine="480" w:firstLineChars="200"/>
        <w:rPr>
          <w:rFonts w:ascii="宋体" w:hAnsi="宋体" w:cs="宋体"/>
          <w:sz w:val="24"/>
        </w:rPr>
      </w:pPr>
      <w:r>
        <w:rPr>
          <w:rFonts w:hint="eastAsia" w:ascii="宋体" w:hAnsi="宋体" w:cs="宋体"/>
          <w:sz w:val="24"/>
        </w:rPr>
        <w:t>3.房屋翻建、改扩建及维修符合市住建委相关法规要求，房屋修缮后达到安全使用标准。</w:t>
      </w:r>
    </w:p>
    <w:p>
      <w:pPr>
        <w:spacing w:line="360" w:lineRule="auto"/>
        <w:ind w:firstLine="480" w:firstLineChars="200"/>
        <w:rPr>
          <w:rFonts w:ascii="宋体" w:hAnsi="宋体" w:cs="宋体"/>
          <w:sz w:val="24"/>
        </w:rPr>
      </w:pPr>
      <w:r>
        <w:rPr>
          <w:rFonts w:hint="eastAsia" w:ascii="宋体" w:hAnsi="宋体" w:cs="宋体"/>
          <w:sz w:val="24"/>
        </w:rPr>
        <w:t>4.个性化服务回访率100%。</w:t>
      </w:r>
    </w:p>
    <w:p>
      <w:pPr>
        <w:spacing w:line="360" w:lineRule="auto"/>
        <w:rPr>
          <w:rFonts w:ascii="宋体" w:hAnsi="宋体" w:cs="宋体"/>
          <w:sz w:val="24"/>
        </w:rPr>
      </w:pPr>
      <w:r>
        <w:rPr>
          <w:rFonts w:hint="eastAsia" w:ascii="宋体" w:hAnsi="宋体" w:cs="宋体"/>
          <w:sz w:val="24"/>
        </w:rPr>
        <w:t>（十一）其他要求</w:t>
      </w:r>
    </w:p>
    <w:p>
      <w:pPr>
        <w:spacing w:line="360" w:lineRule="auto"/>
        <w:ind w:firstLine="480" w:firstLineChars="200"/>
        <w:rPr>
          <w:rFonts w:ascii="宋体" w:hAnsi="宋体" w:cs="宋体"/>
          <w:sz w:val="24"/>
        </w:rPr>
      </w:pPr>
      <w:r>
        <w:rPr>
          <w:rFonts w:hint="eastAsia" w:ascii="宋体" w:hAnsi="宋体" w:cs="宋体"/>
          <w:sz w:val="24"/>
        </w:rPr>
        <w:t>1.做好法规和政策规定及授权由乙方应承担的服务事项。</w:t>
      </w:r>
    </w:p>
    <w:p>
      <w:pPr>
        <w:spacing w:line="360" w:lineRule="auto"/>
        <w:ind w:firstLine="480" w:firstLineChars="200"/>
        <w:rPr>
          <w:rFonts w:ascii="宋体" w:hAnsi="宋体" w:cs="宋体"/>
          <w:sz w:val="24"/>
        </w:rPr>
      </w:pPr>
      <w:r>
        <w:rPr>
          <w:rFonts w:hint="eastAsia" w:ascii="宋体" w:hAnsi="宋体" w:cs="宋体"/>
          <w:sz w:val="24"/>
        </w:rPr>
        <w:t>2.做好市、区有关部门和街道其他临时需要乙方予以配合事项。</w:t>
      </w:r>
    </w:p>
    <w:p>
      <w:pPr>
        <w:spacing w:line="360" w:lineRule="auto"/>
        <w:ind w:firstLine="480" w:firstLineChars="200"/>
        <w:rPr>
          <w:rFonts w:ascii="宋体" w:hAnsi="宋体" w:cs="宋体"/>
          <w:sz w:val="24"/>
        </w:rPr>
      </w:pPr>
      <w:r>
        <w:rPr>
          <w:rFonts w:hint="eastAsia" w:ascii="宋体" w:hAnsi="宋体" w:cs="宋体"/>
          <w:sz w:val="24"/>
        </w:rPr>
        <w:t>3.根据市区相关政策其实调整服务事项。</w:t>
      </w:r>
    </w:p>
    <w:p>
      <w:pPr>
        <w:spacing w:line="360" w:lineRule="auto"/>
        <w:ind w:firstLine="480" w:firstLineChars="200"/>
        <w:rPr>
          <w:rFonts w:ascii="宋体" w:hAnsi="宋体" w:cs="宋体"/>
          <w:sz w:val="24"/>
        </w:rPr>
      </w:pPr>
      <w:r>
        <w:rPr>
          <w:rFonts w:hint="eastAsia" w:ascii="宋体" w:hAnsi="宋体" w:cs="宋体"/>
          <w:sz w:val="24"/>
        </w:rPr>
        <w:t>4.乙方做好精细化管理对外包服务任务分工、奖惩须有严格的考核办法，经采购人确认后执行分工及奖惩，并将相关材料报采购人备案。</w:t>
      </w:r>
    </w:p>
    <w:p>
      <w:pPr>
        <w:spacing w:line="360" w:lineRule="auto"/>
        <w:jc w:val="center"/>
        <w:rPr>
          <w:rFonts w:ascii="宋体" w:hAnsi="宋体" w:cs="宋体"/>
          <w:b/>
          <w:bCs/>
          <w:sz w:val="28"/>
          <w:szCs w:val="28"/>
        </w:rPr>
      </w:pPr>
      <w:r>
        <w:rPr>
          <w:rFonts w:hint="eastAsia" w:ascii="宋体" w:hAnsi="宋体" w:cs="宋体"/>
          <w:b/>
          <w:bCs/>
          <w:sz w:val="28"/>
          <w:szCs w:val="28"/>
        </w:rPr>
        <w:t>第三部分 精细化运维服务标准</w:t>
      </w:r>
    </w:p>
    <w:p>
      <w:pPr>
        <w:spacing w:line="360" w:lineRule="auto"/>
        <w:ind w:firstLine="480" w:firstLineChars="200"/>
        <w:rPr>
          <w:rFonts w:ascii="宋体" w:hAnsi="宋体" w:cs="宋体"/>
          <w:sz w:val="24"/>
        </w:rPr>
      </w:pPr>
      <w:r>
        <w:rPr>
          <w:rFonts w:hint="eastAsia" w:ascii="宋体" w:hAnsi="宋体" w:cs="宋体"/>
          <w:sz w:val="24"/>
        </w:rPr>
        <w:t>第三条  乙方按照《东城区平房区物业管理服务标准2.0》提供服务，接受甲方按照《东城区平房区物业管理服务工作考核细则(试行)》、《网格管理标准》、按照垃圾分类检查考核标准进行考核。</w:t>
      </w:r>
    </w:p>
    <w:p>
      <w:pPr>
        <w:spacing w:line="360" w:lineRule="auto"/>
        <w:jc w:val="center"/>
        <w:rPr>
          <w:rFonts w:ascii="宋体" w:hAnsi="宋体" w:cs="宋体"/>
          <w:sz w:val="28"/>
          <w:szCs w:val="28"/>
        </w:rPr>
      </w:pPr>
      <w:r>
        <w:rPr>
          <w:rFonts w:hint="eastAsia" w:ascii="宋体" w:hAnsi="宋体" w:cs="宋体"/>
          <w:b/>
          <w:bCs/>
          <w:sz w:val="28"/>
          <w:szCs w:val="28"/>
        </w:rPr>
        <w:t>第四部分 精细化运维服务期限</w:t>
      </w:r>
    </w:p>
    <w:p>
      <w:pPr>
        <w:spacing w:line="360" w:lineRule="auto"/>
        <w:ind w:firstLine="480" w:firstLineChars="200"/>
        <w:rPr>
          <w:rFonts w:ascii="宋体" w:hAnsi="宋体" w:cs="宋体"/>
          <w:sz w:val="24"/>
        </w:rPr>
      </w:pPr>
      <w:r>
        <w:rPr>
          <w:rFonts w:hint="eastAsia" w:ascii="宋体" w:hAnsi="宋体" w:cs="宋体"/>
          <w:sz w:val="24"/>
        </w:rPr>
        <w:t xml:space="preserve">第四条  </w:t>
      </w:r>
      <w:r>
        <w:rPr>
          <w:rFonts w:hint="eastAsia" w:ascii="宋体" w:hAnsi="宋体" w:cs="宋体"/>
          <w:sz w:val="24"/>
          <w:lang w:eastAsia="zh-Hans"/>
        </w:rPr>
        <w:t>2024年1月1日至2024年</w:t>
      </w:r>
      <w:r>
        <w:rPr>
          <w:rFonts w:hint="eastAsia" w:ascii="宋体" w:hAnsi="宋体" w:cs="宋体"/>
          <w:sz w:val="24"/>
        </w:rPr>
        <w:t>12</w:t>
      </w:r>
      <w:r>
        <w:rPr>
          <w:rFonts w:hint="eastAsia" w:ascii="宋体" w:hAnsi="宋体" w:cs="宋体"/>
          <w:sz w:val="24"/>
          <w:lang w:eastAsia="zh-Hans"/>
        </w:rPr>
        <w:t>月</w:t>
      </w:r>
      <w:r>
        <w:rPr>
          <w:rFonts w:hint="eastAsia" w:ascii="宋体" w:hAnsi="宋体" w:cs="宋体"/>
          <w:sz w:val="24"/>
        </w:rPr>
        <w:t>31</w:t>
      </w:r>
      <w:r>
        <w:rPr>
          <w:rFonts w:hint="eastAsia" w:ascii="宋体" w:hAnsi="宋体" w:cs="宋体"/>
          <w:sz w:val="24"/>
          <w:lang w:eastAsia="zh-Hans"/>
        </w:rPr>
        <w:t>日</w:t>
      </w:r>
      <w:r>
        <w:rPr>
          <w:rFonts w:hint="eastAsia" w:ascii="宋体" w:hAnsi="宋体" w:cs="宋体"/>
          <w:sz w:val="24"/>
        </w:rPr>
        <w:t>。</w:t>
      </w:r>
    </w:p>
    <w:p>
      <w:pPr>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第五部分 精细化运维服务相关费用</w:t>
      </w:r>
    </w:p>
    <w:p>
      <w:pPr>
        <w:spacing w:line="360" w:lineRule="auto"/>
        <w:ind w:firstLine="480" w:firstLineChars="200"/>
        <w:rPr>
          <w:rFonts w:ascii="宋体" w:hAnsi="宋体" w:cs="宋体"/>
          <w:sz w:val="24"/>
        </w:rPr>
      </w:pPr>
      <w:r>
        <w:rPr>
          <w:rFonts w:hint="eastAsia" w:ascii="宋体" w:hAnsi="宋体" w:cs="宋体"/>
          <w:sz w:val="24"/>
        </w:rPr>
        <w:t>第五条 物业管理服务费</w:t>
      </w:r>
    </w:p>
    <w:p>
      <w:pPr>
        <w:tabs>
          <w:tab w:val="left" w:pos="312"/>
        </w:tabs>
        <w:spacing w:line="360" w:lineRule="auto"/>
        <w:ind w:firstLine="480" w:firstLineChars="200"/>
        <w:rPr>
          <w:rFonts w:ascii="宋体" w:hAnsi="宋体" w:cs="宋体"/>
          <w:sz w:val="24"/>
        </w:rPr>
      </w:pPr>
      <w:r>
        <w:rPr>
          <w:rFonts w:hint="eastAsia" w:ascii="宋体" w:hAnsi="宋体" w:cs="宋体"/>
          <w:sz w:val="24"/>
        </w:rPr>
        <w:t>1.物业管理服务费包含以上所有物业管理服务作业任务所产生的费用，1年服务费用为人民币</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)。其中管理费、保洁费、秩序维护费用共计</w:t>
      </w:r>
      <w:r>
        <w:rPr>
          <w:rFonts w:hint="eastAsia" w:ascii="宋体" w:hAnsi="宋体" w:cs="宋体"/>
          <w:sz w:val="24"/>
          <w:u w:val="single"/>
        </w:rPr>
        <w:t xml:space="preserve">     </w:t>
      </w:r>
      <w:r>
        <w:rPr>
          <w:rFonts w:hint="eastAsia" w:ascii="宋体" w:hAnsi="宋体" w:cs="宋体"/>
          <w:sz w:val="24"/>
        </w:rPr>
        <w:t>元，绿化费用</w:t>
      </w:r>
      <w:r>
        <w:rPr>
          <w:rFonts w:hint="eastAsia" w:ascii="宋体" w:hAnsi="宋体" w:cs="宋体"/>
          <w:sz w:val="24"/>
          <w:u w:val="single"/>
        </w:rPr>
        <w:t xml:space="preserve">     万</w:t>
      </w:r>
      <w:r>
        <w:rPr>
          <w:rFonts w:hint="eastAsia" w:ascii="宋体" w:hAnsi="宋体" w:cs="宋体"/>
          <w:sz w:val="24"/>
        </w:rPr>
        <w:t>元,驿站运营管理费用    元。每半年开始后10日内，向乙方支付半年费用的100%，乙方返还20%（即    元，含绿化、驿站运营管理   元、管理费、保洁费、秩序维护费）作为考核保证金，每半年期满按考核结果支付。</w:t>
      </w:r>
    </w:p>
    <w:p>
      <w:pPr>
        <w:spacing w:line="360" w:lineRule="auto"/>
        <w:ind w:firstLine="480" w:firstLineChars="200"/>
        <w:rPr>
          <w:rFonts w:ascii="宋体" w:hAnsi="宋体" w:cs="宋体"/>
          <w:sz w:val="24"/>
        </w:rPr>
      </w:pPr>
      <w:r>
        <w:rPr>
          <w:rFonts w:hint="eastAsia" w:ascii="宋体" w:hAnsi="宋体" w:cs="宋体"/>
          <w:sz w:val="24"/>
        </w:rPr>
        <w:t>2.物业管理服务费中管理费、保洁费、秩序维护、绿化考核标准</w:t>
      </w:r>
    </w:p>
    <w:p>
      <w:pPr>
        <w:spacing w:line="360" w:lineRule="auto"/>
        <w:ind w:firstLine="480" w:firstLineChars="200"/>
        <w:rPr>
          <w:rFonts w:ascii="宋体" w:hAnsi="宋体" w:cs="宋体"/>
          <w:sz w:val="24"/>
        </w:rPr>
      </w:pPr>
      <w:r>
        <w:rPr>
          <w:rFonts w:hint="eastAsia" w:ascii="宋体" w:hAnsi="宋体" w:cs="宋体"/>
          <w:sz w:val="24"/>
        </w:rPr>
        <w:t>2.1按街道综合区里排名及街道检查得出成绩拨付(拨付条件详见下表),并结合当月工作任务情况进行奖惩，由街道主要领导和主管领导根据令行禁止及任务效果</w:t>
      </w:r>
      <w:r>
        <w:rPr>
          <w:rFonts w:hint="eastAsia" w:ascii="宋体" w:hAnsi="宋体" w:cs="宋体"/>
          <w:sz w:val="24"/>
          <w:lang w:eastAsia="zh-Hans"/>
        </w:rPr>
        <w:t>决定</w:t>
      </w:r>
      <w:r>
        <w:rPr>
          <w:rFonts w:hint="eastAsia" w:ascii="宋体" w:hAnsi="宋体" w:cs="宋体"/>
          <w:sz w:val="24"/>
        </w:rPr>
        <w:t>拨付金额。</w:t>
      </w:r>
    </w:p>
    <w:p>
      <w:pPr>
        <w:spacing w:line="360" w:lineRule="auto"/>
        <w:ind w:firstLine="480" w:firstLineChars="200"/>
        <w:rPr>
          <w:rFonts w:ascii="宋体" w:hAnsi="宋体" w:cs="宋体"/>
          <w:sz w:val="24"/>
          <w:lang w:eastAsia="zh-Hans"/>
        </w:rPr>
      </w:pPr>
      <w:r>
        <w:rPr>
          <w:rFonts w:hint="eastAsia" w:ascii="宋体" w:hAnsi="宋体" w:cs="宋体"/>
          <w:sz w:val="24"/>
        </w:rPr>
        <w:t>2.2管理费、保洁费、秩序维护费、绿化费</w:t>
      </w:r>
      <w:r>
        <w:rPr>
          <w:rFonts w:ascii="宋体" w:hAnsi="宋体" w:cs="宋体"/>
          <w:sz w:val="24"/>
        </w:rPr>
        <w:t>成绩</w:t>
      </w:r>
      <w:r>
        <w:rPr>
          <w:rFonts w:hint="eastAsia" w:ascii="宋体" w:hAnsi="宋体" w:cs="宋体"/>
          <w:sz w:val="24"/>
        </w:rPr>
        <w:t>考核</w:t>
      </w:r>
      <w:r>
        <w:rPr>
          <w:rFonts w:hint="eastAsia" w:ascii="宋体" w:hAnsi="宋体" w:cs="宋体"/>
          <w:sz w:val="24"/>
          <w:lang w:eastAsia="zh-Hans"/>
        </w:rPr>
        <w:t>拨付标准如下：</w:t>
      </w:r>
    </w:p>
    <w:tbl>
      <w:tblPr>
        <w:tblStyle w:val="44"/>
        <w:tblpPr w:leftFromText="180" w:rightFromText="180" w:vertAnchor="text" w:horzAnchor="page" w:tblpX="1977" w:tblpY="240"/>
        <w:tblOverlap w:val="never"/>
        <w:tblW w:w="84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1"/>
        <w:gridCol w:w="16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71" w:type="dxa"/>
            <w:vAlign w:val="center"/>
          </w:tcPr>
          <w:p>
            <w:pPr>
              <w:spacing w:line="360" w:lineRule="auto"/>
              <w:jc w:val="center"/>
              <w:rPr>
                <w:rFonts w:ascii="宋体" w:hAnsi="宋体" w:cs="宋体"/>
                <w:kern w:val="0"/>
                <w:sz w:val="24"/>
              </w:rPr>
            </w:pPr>
            <w:r>
              <w:rPr>
                <w:rFonts w:hint="eastAsia" w:ascii="宋体" w:hAnsi="宋体" w:cs="宋体"/>
                <w:kern w:val="0"/>
                <w:sz w:val="24"/>
              </w:rPr>
              <w:t>环境类（网格案件、随手拍等）排名（综合区里排名及街道检查得出成绩拨付，有小数点进一位）</w:t>
            </w:r>
          </w:p>
        </w:tc>
        <w:tc>
          <w:tcPr>
            <w:tcW w:w="1658" w:type="dxa"/>
            <w:vAlign w:val="center"/>
          </w:tcPr>
          <w:p>
            <w:pPr>
              <w:spacing w:line="360" w:lineRule="auto"/>
              <w:jc w:val="center"/>
              <w:rPr>
                <w:rFonts w:ascii="宋体" w:hAnsi="宋体" w:cs="宋体"/>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71" w:type="dxa"/>
            <w:vAlign w:val="center"/>
          </w:tcPr>
          <w:p>
            <w:pPr>
              <w:spacing w:line="360" w:lineRule="auto"/>
              <w:jc w:val="center"/>
              <w:rPr>
                <w:rFonts w:ascii="宋体" w:hAnsi="宋体" w:cs="宋体"/>
                <w:kern w:val="0"/>
                <w:sz w:val="24"/>
              </w:rPr>
            </w:pPr>
            <w:r>
              <w:rPr>
                <w:rFonts w:hint="eastAsia" w:ascii="宋体" w:hAnsi="宋体" w:cs="宋体"/>
                <w:kern w:val="0"/>
                <w:sz w:val="24"/>
              </w:rPr>
              <w:t>每月均为全区前50%，街道检查优秀</w:t>
            </w:r>
          </w:p>
        </w:tc>
        <w:tc>
          <w:tcPr>
            <w:tcW w:w="1658" w:type="dxa"/>
            <w:vAlign w:val="center"/>
          </w:tcPr>
          <w:p>
            <w:pPr>
              <w:spacing w:line="360" w:lineRule="auto"/>
              <w:jc w:val="center"/>
              <w:rPr>
                <w:rFonts w:ascii="宋体" w:hAnsi="宋体" w:cs="宋体"/>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71" w:type="dxa"/>
            <w:vAlign w:val="center"/>
          </w:tcPr>
          <w:p>
            <w:pPr>
              <w:spacing w:line="360" w:lineRule="auto"/>
              <w:jc w:val="center"/>
              <w:rPr>
                <w:rFonts w:ascii="宋体" w:hAnsi="宋体" w:cs="宋体"/>
                <w:kern w:val="0"/>
                <w:sz w:val="24"/>
              </w:rPr>
            </w:pPr>
            <w:r>
              <w:rPr>
                <w:rFonts w:hint="eastAsia" w:ascii="宋体" w:hAnsi="宋体" w:cs="宋体"/>
                <w:kern w:val="0"/>
                <w:sz w:val="24"/>
              </w:rPr>
              <w:t>每月任一排名在全区前80%且不足前50%，街道检查良好</w:t>
            </w:r>
          </w:p>
        </w:tc>
        <w:tc>
          <w:tcPr>
            <w:tcW w:w="1658" w:type="dxa"/>
            <w:vAlign w:val="center"/>
          </w:tcPr>
          <w:p>
            <w:pPr>
              <w:spacing w:line="360" w:lineRule="auto"/>
              <w:jc w:val="center"/>
              <w:rPr>
                <w:rFonts w:ascii="宋体" w:hAnsi="宋体" w:cs="宋体"/>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71" w:type="dxa"/>
            <w:vAlign w:val="center"/>
          </w:tcPr>
          <w:p>
            <w:pPr>
              <w:spacing w:line="360" w:lineRule="auto"/>
              <w:jc w:val="center"/>
              <w:rPr>
                <w:rFonts w:ascii="宋体" w:hAnsi="宋体" w:cs="宋体"/>
                <w:kern w:val="0"/>
                <w:sz w:val="24"/>
              </w:rPr>
            </w:pPr>
            <w:r>
              <w:rPr>
                <w:rFonts w:hint="eastAsia" w:ascii="宋体" w:hAnsi="宋体" w:cs="宋体"/>
                <w:kern w:val="0"/>
                <w:sz w:val="24"/>
              </w:rPr>
              <w:t>每月任一排名在全区不足80%且不是最后一名，街道检查合格</w:t>
            </w:r>
          </w:p>
        </w:tc>
        <w:tc>
          <w:tcPr>
            <w:tcW w:w="1658" w:type="dxa"/>
            <w:vAlign w:val="center"/>
          </w:tcPr>
          <w:p>
            <w:pPr>
              <w:spacing w:line="360" w:lineRule="auto"/>
              <w:jc w:val="center"/>
              <w:rPr>
                <w:rFonts w:ascii="宋体" w:hAnsi="宋体" w:cs="宋体"/>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71" w:type="dxa"/>
            <w:vAlign w:val="center"/>
          </w:tcPr>
          <w:p>
            <w:pPr>
              <w:spacing w:line="360" w:lineRule="auto"/>
              <w:jc w:val="center"/>
              <w:rPr>
                <w:rFonts w:ascii="宋体" w:hAnsi="宋体" w:cs="宋体"/>
                <w:kern w:val="0"/>
                <w:sz w:val="24"/>
              </w:rPr>
            </w:pPr>
            <w:r>
              <w:rPr>
                <w:rFonts w:hint="eastAsia" w:ascii="宋体" w:hAnsi="宋体" w:cs="宋体"/>
                <w:kern w:val="0"/>
                <w:sz w:val="24"/>
              </w:rPr>
              <w:t>每月任一排名在最后一名，街道检查不合格</w:t>
            </w:r>
          </w:p>
        </w:tc>
        <w:tc>
          <w:tcPr>
            <w:tcW w:w="1658" w:type="dxa"/>
            <w:vAlign w:val="center"/>
          </w:tcPr>
          <w:p>
            <w:pPr>
              <w:spacing w:line="360" w:lineRule="auto"/>
              <w:jc w:val="center"/>
              <w:rPr>
                <w:rFonts w:ascii="宋体" w:hAnsi="宋体" w:cs="宋体"/>
                <w:kern w:val="0"/>
                <w:sz w:val="24"/>
              </w:rPr>
            </w:pPr>
          </w:p>
        </w:tc>
      </w:tr>
    </w:tbl>
    <w:p>
      <w:pPr>
        <w:spacing w:line="360" w:lineRule="auto"/>
        <w:ind w:firstLine="480" w:firstLineChars="200"/>
        <w:rPr>
          <w:rFonts w:ascii="宋体" w:hAnsi="宋体" w:cs="宋体"/>
          <w:sz w:val="24"/>
        </w:rPr>
      </w:pPr>
      <w:r>
        <w:rPr>
          <w:rFonts w:hint="eastAsia" w:ascii="宋体" w:hAnsi="宋体" w:cs="宋体"/>
          <w:sz w:val="24"/>
        </w:rPr>
        <w:t>2.3管理费、保洁费、秩序维护费、绿化费如出现网格案件、城市环境案件、12345案件、随手拍、小循环超期、返工、强结；秩序维护员、保洁不在规定点位；未规范使用垃圾桶以及标识不清等情况，均在</w:t>
      </w:r>
      <w:r>
        <w:rPr>
          <w:rFonts w:hint="eastAsia" w:ascii="宋体" w:hAnsi="宋体" w:cs="宋体"/>
          <w:sz w:val="24"/>
          <w:lang w:eastAsia="zh-Hans"/>
        </w:rPr>
        <w:t>应付</w:t>
      </w:r>
      <w:r>
        <w:rPr>
          <w:rFonts w:hint="eastAsia" w:ascii="宋体" w:hAnsi="宋体" w:cs="宋体"/>
          <w:sz w:val="24"/>
        </w:rPr>
        <w:t>经费中予以扣除</w:t>
      </w:r>
      <w:r>
        <w:rPr>
          <w:rFonts w:hint="eastAsia" w:ascii="宋体" w:hAnsi="宋体" w:cs="宋体"/>
          <w:sz w:val="24"/>
          <w:lang w:eastAsia="zh-Hans"/>
        </w:rPr>
        <w:t>（与成绩考核叠加适用）</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2.3.1超期案件，每件每次扣除20元；</w:t>
      </w:r>
    </w:p>
    <w:p>
      <w:pPr>
        <w:spacing w:line="360" w:lineRule="auto"/>
        <w:ind w:firstLine="480" w:firstLineChars="200"/>
        <w:rPr>
          <w:rFonts w:ascii="宋体" w:hAnsi="宋体" w:cs="宋体"/>
          <w:sz w:val="24"/>
        </w:rPr>
      </w:pPr>
      <w:r>
        <w:rPr>
          <w:rFonts w:hint="eastAsia" w:ascii="宋体" w:hAnsi="宋体" w:cs="宋体"/>
          <w:sz w:val="24"/>
        </w:rPr>
        <w:t>2.3.2返工案件，每件每次扣除20元；</w:t>
      </w:r>
    </w:p>
    <w:p>
      <w:pPr>
        <w:spacing w:line="360" w:lineRule="auto"/>
        <w:ind w:firstLine="480" w:firstLineChars="200"/>
        <w:rPr>
          <w:rFonts w:ascii="宋体" w:hAnsi="宋体" w:cs="宋体"/>
          <w:sz w:val="24"/>
        </w:rPr>
      </w:pPr>
      <w:r>
        <w:rPr>
          <w:rFonts w:hint="eastAsia" w:ascii="宋体" w:hAnsi="宋体" w:cs="宋体"/>
          <w:sz w:val="24"/>
        </w:rPr>
        <w:t>2.3.3强结案件，每件每次扣除20元；</w:t>
      </w:r>
    </w:p>
    <w:p>
      <w:pPr>
        <w:spacing w:line="360" w:lineRule="auto"/>
        <w:ind w:firstLine="480" w:firstLineChars="200"/>
        <w:rPr>
          <w:rFonts w:ascii="宋体" w:hAnsi="宋体" w:cs="宋体"/>
          <w:sz w:val="24"/>
        </w:rPr>
      </w:pPr>
      <w:r>
        <w:rPr>
          <w:rFonts w:hint="eastAsia" w:ascii="宋体" w:hAnsi="宋体" w:cs="宋体"/>
          <w:sz w:val="24"/>
        </w:rPr>
        <w:t>2.3.4同一案件出现超期、返工、强结情况，累加扣除。</w:t>
      </w:r>
    </w:p>
    <w:p>
      <w:pPr>
        <w:spacing w:line="360" w:lineRule="auto"/>
        <w:ind w:firstLine="480" w:firstLineChars="200"/>
        <w:rPr>
          <w:rFonts w:ascii="宋体" w:hAnsi="宋体" w:cs="宋体"/>
          <w:sz w:val="24"/>
        </w:rPr>
      </w:pPr>
      <w:r>
        <w:rPr>
          <w:rFonts w:hint="eastAsia" w:ascii="宋体" w:hAnsi="宋体" w:cs="宋体"/>
          <w:sz w:val="24"/>
        </w:rPr>
        <w:t>2.3.5秩序维护员、保洁不在规定点位检查部门发现一次扣除50元。</w:t>
      </w:r>
    </w:p>
    <w:p>
      <w:pPr>
        <w:spacing w:line="360" w:lineRule="auto"/>
        <w:ind w:firstLine="480" w:firstLineChars="200"/>
        <w:rPr>
          <w:rFonts w:ascii="宋体" w:hAnsi="宋体" w:cs="宋体"/>
          <w:sz w:val="24"/>
        </w:rPr>
      </w:pPr>
      <w:r>
        <w:rPr>
          <w:rFonts w:hint="eastAsia" w:ascii="宋体" w:hAnsi="宋体" w:cs="宋体"/>
          <w:sz w:val="24"/>
        </w:rPr>
        <w:t>2.3.6未按市、区、街要求规范使用收运车辆、垃圾桶、标识不清不全发现一次扣除20元。</w:t>
      </w:r>
    </w:p>
    <w:p>
      <w:pPr>
        <w:spacing w:line="360" w:lineRule="auto"/>
        <w:ind w:firstLine="480" w:firstLineChars="200"/>
        <w:rPr>
          <w:rFonts w:ascii="宋体" w:hAnsi="宋体" w:cs="宋体"/>
          <w:sz w:val="24"/>
        </w:rPr>
      </w:pPr>
      <w:r>
        <w:rPr>
          <w:rFonts w:hint="eastAsia" w:ascii="宋体" w:hAnsi="宋体" w:cs="宋体"/>
          <w:sz w:val="24"/>
        </w:rPr>
        <w:t>2.3.7清运车辆不符合管委标准或未携带分类设施包括但不限于厨余桶、可回收袋等。发现一次扣除50元。</w:t>
      </w:r>
    </w:p>
    <w:p>
      <w:pPr>
        <w:spacing w:line="360" w:lineRule="auto"/>
        <w:ind w:firstLine="480" w:firstLineChars="200"/>
        <w:rPr>
          <w:rFonts w:ascii="宋体" w:hAnsi="宋体" w:cs="宋体"/>
          <w:sz w:val="24"/>
        </w:rPr>
      </w:pPr>
      <w:r>
        <w:rPr>
          <w:rFonts w:hint="eastAsia" w:ascii="宋体" w:hAnsi="宋体" w:cs="宋体"/>
          <w:sz w:val="24"/>
        </w:rPr>
        <w:t>2.3.8其他垃圾未能有效分出有毒有害、可回收物、厨余垃圾，或未准确投放入桶站、驿站及自带的分类设施内，或将未分拣的垃圾直接投入四分类桶，或丢弃在路边、桶边。发现一次扣除50元。</w:t>
      </w:r>
    </w:p>
    <w:p>
      <w:pPr>
        <w:spacing w:line="360" w:lineRule="auto"/>
        <w:ind w:firstLine="480" w:firstLineChars="200"/>
        <w:rPr>
          <w:rFonts w:ascii="宋体" w:hAnsi="宋体" w:cs="宋体"/>
          <w:sz w:val="24"/>
        </w:rPr>
      </w:pPr>
      <w:r>
        <w:rPr>
          <w:rFonts w:hint="eastAsia" w:ascii="宋体" w:hAnsi="宋体" w:cs="宋体"/>
          <w:sz w:val="24"/>
        </w:rPr>
        <w:t>2.3.9小循环物业排名倒数前三每月扣除200元，排名前三抵消其余扣除款每月最高可以抵除200元。</w:t>
      </w:r>
    </w:p>
    <w:p>
      <w:pPr>
        <w:spacing w:line="360" w:lineRule="auto"/>
        <w:ind w:firstLine="480" w:firstLineChars="200"/>
        <w:rPr>
          <w:rFonts w:ascii="宋体" w:hAnsi="宋体" w:cs="宋体"/>
          <w:sz w:val="24"/>
        </w:rPr>
      </w:pPr>
      <w:r>
        <w:rPr>
          <w:rFonts w:hint="eastAsia" w:ascii="宋体" w:hAnsi="宋体" w:cs="宋体"/>
          <w:sz w:val="24"/>
        </w:rPr>
        <w:t>2.3.10市区城管委监控检查违规放置垃圾桶一次扣除100元。</w:t>
      </w:r>
    </w:p>
    <w:p>
      <w:pPr>
        <w:spacing w:line="360" w:lineRule="auto"/>
        <w:ind w:firstLine="480" w:firstLineChars="200"/>
        <w:rPr>
          <w:rFonts w:ascii="宋体" w:hAnsi="宋体" w:cs="宋体"/>
          <w:sz w:val="24"/>
        </w:rPr>
      </w:pPr>
      <w:r>
        <w:rPr>
          <w:rFonts w:hint="eastAsia" w:ascii="宋体" w:hAnsi="宋体" w:cs="宋体"/>
          <w:sz w:val="24"/>
        </w:rPr>
        <w:t>3.驿站运管理费用成绩考核拨付标准指标：</w:t>
      </w:r>
    </w:p>
    <w:p>
      <w:pPr>
        <w:spacing w:line="360" w:lineRule="auto"/>
        <w:ind w:firstLine="480" w:firstLineChars="200"/>
        <w:rPr>
          <w:rFonts w:ascii="宋体" w:hAnsi="宋体" w:cs="宋体"/>
          <w:sz w:val="24"/>
        </w:rPr>
      </w:pPr>
      <w:r>
        <w:rPr>
          <w:rFonts w:hint="eastAsia" w:ascii="宋体" w:hAnsi="宋体" w:cs="宋体"/>
          <w:sz w:val="24"/>
        </w:rPr>
        <w:t>3.1分类效果考核：厨余垃圾分出率达到东城区管委既定工作任务。每月未达到既定工作任务，相差百分之一将扣除500元，以此类推。（例如：区管委既定厨余分出率为18%，而当月完成厨余分出率15%，即扣除1500元）分出率统计以区管委下发统计表为准。如遇上级部门收运不及时、称重系统损坏等不可抗因素未达到厨余分出率考核任务的乙方应立即上报甲方相关情况，自行称重并留存图片，提交达标证据。甲方将积极予以协调，同时报建国门街道主任办公会或工委会审议，以审议结果结算承包费。</w:t>
      </w:r>
    </w:p>
    <w:p>
      <w:pPr>
        <w:spacing w:line="360" w:lineRule="auto"/>
        <w:ind w:firstLine="480" w:firstLineChars="200"/>
        <w:rPr>
          <w:rFonts w:ascii="宋体" w:hAnsi="宋体" w:cs="宋体"/>
          <w:sz w:val="24"/>
        </w:rPr>
      </w:pPr>
      <w:r>
        <w:rPr>
          <w:rFonts w:hint="eastAsia" w:ascii="宋体" w:hAnsi="宋体" w:cs="宋体"/>
          <w:sz w:val="24"/>
        </w:rPr>
        <w:t>3.2居民知晓率、参与率考核：居民垃圾分类深度知晓率需达到90%；居民深度参与率达到60%（该百分比随东城区相关标准的调整而进行调整)，此项工作由甲方随机抽查看居民办理积分卡情况，未达到指标，扣除500元。</w:t>
      </w:r>
    </w:p>
    <w:p>
      <w:pPr>
        <w:spacing w:line="360" w:lineRule="auto"/>
        <w:ind w:firstLine="480" w:firstLineChars="200"/>
        <w:rPr>
          <w:rFonts w:ascii="宋体" w:hAnsi="宋体" w:cs="宋体"/>
          <w:sz w:val="24"/>
        </w:rPr>
      </w:pPr>
      <w:r>
        <w:rPr>
          <w:rFonts w:hint="eastAsia" w:ascii="宋体" w:hAnsi="宋体" w:cs="宋体"/>
          <w:sz w:val="24"/>
        </w:rPr>
        <w:t>3.3人员考核：乙方人员在工作时应统一着装并佩戴标有照片、姓名的胸牌。驿站人员在岗时间为：春夏上午7:00-10:00下午17:00-20:00秋冬上午7:00-10:00下午16:00-19:00；以上时间可根据居民投放情况进行调整；驿站人员要按时到岗到位，不得空岗，街道巡视发现空岗，每次扣除100元，市区级检查发现有空岗现象，每次扣除1000元；收运人员要按时到岗到位，在收运厨余垃圾的同时做好分类指导工作。须与东城区城市运营中心联系厨余垃圾清运事宜，并指派专人配合完成每天桶站源头称重计量工作，建立完整的垃圾分类工作台账。</w:t>
      </w:r>
    </w:p>
    <w:p>
      <w:pPr>
        <w:spacing w:line="360" w:lineRule="auto"/>
        <w:ind w:firstLine="480" w:firstLineChars="200"/>
        <w:rPr>
          <w:rFonts w:ascii="宋体" w:hAnsi="宋体" w:cs="宋体"/>
          <w:sz w:val="24"/>
        </w:rPr>
      </w:pPr>
      <w:r>
        <w:rPr>
          <w:rFonts w:hint="eastAsia" w:ascii="宋体" w:hAnsi="宋体" w:cs="宋体"/>
          <w:sz w:val="24"/>
        </w:rPr>
        <w:t>3.4设备考核：设施设备完好率100%，“生活垃圾分类驿站”、周边桶站及周边环境卫生整洁有序，不能有异味，及时更换破损的所用垃圾桶，做好清运车辆的管理维护。</w:t>
      </w:r>
    </w:p>
    <w:p>
      <w:pPr>
        <w:spacing w:line="360" w:lineRule="auto"/>
        <w:ind w:firstLine="480" w:firstLineChars="200"/>
        <w:rPr>
          <w:rFonts w:ascii="宋体" w:hAnsi="宋体" w:cs="宋体"/>
          <w:sz w:val="24"/>
        </w:rPr>
      </w:pPr>
      <w:r>
        <w:rPr>
          <w:rFonts w:hint="eastAsia" w:ascii="宋体" w:hAnsi="宋体" w:cs="宋体"/>
          <w:sz w:val="24"/>
        </w:rPr>
        <w:t>3.5管理制度考核：对于乙方采用的“绿色驿站”、流动点位等收运方式，要建立相应管理制度，并报甲方备案。乙方及其合作的消纳单位相关证件、资质要齐全，符合城管检查要求。</w:t>
      </w:r>
    </w:p>
    <w:p>
      <w:pPr>
        <w:spacing w:line="360" w:lineRule="auto"/>
        <w:ind w:firstLine="480" w:firstLineChars="200"/>
        <w:rPr>
          <w:rFonts w:ascii="宋体" w:hAnsi="宋体" w:cs="宋体"/>
          <w:sz w:val="24"/>
        </w:rPr>
      </w:pPr>
      <w:r>
        <w:rPr>
          <w:rFonts w:hint="eastAsia" w:ascii="宋体" w:hAnsi="宋体" w:cs="宋体"/>
          <w:sz w:val="24"/>
        </w:rPr>
        <w:t>3.6网格件考核：乙方对所负责的点位、片区产生的网格件要按时、有效的进行处理。如未按时处理每件扣除20元。</w:t>
      </w:r>
    </w:p>
    <w:p>
      <w:pPr>
        <w:spacing w:line="360" w:lineRule="auto"/>
        <w:ind w:firstLine="480" w:firstLineChars="200"/>
        <w:rPr>
          <w:rFonts w:ascii="宋体" w:hAnsi="宋体" w:cs="宋体"/>
          <w:sz w:val="24"/>
        </w:rPr>
      </w:pPr>
      <w:r>
        <w:rPr>
          <w:rFonts w:hint="eastAsia" w:ascii="宋体" w:hAnsi="宋体" w:cs="宋体"/>
          <w:sz w:val="24"/>
        </w:rPr>
        <w:t>3.7例会考核：乙方应严格遵守甲方的例会制度，应由项目经理或项目主管按时参会，如无故不参加例会，每次扣除500元。</w:t>
      </w:r>
    </w:p>
    <w:p>
      <w:pPr>
        <w:spacing w:line="360" w:lineRule="auto"/>
        <w:ind w:firstLine="480" w:firstLineChars="200"/>
        <w:rPr>
          <w:rFonts w:ascii="宋体" w:hAnsi="宋体" w:cs="宋体"/>
          <w:sz w:val="24"/>
        </w:rPr>
      </w:pPr>
      <w:r>
        <w:rPr>
          <w:rFonts w:hint="eastAsia" w:ascii="宋体" w:hAnsi="宋体" w:cs="宋体"/>
          <w:sz w:val="24"/>
        </w:rPr>
        <w:t>（3.8投诉考核：对于垃圾分类工作产生的各类投诉(包含公示牌投诉电话)、举报、舆情、12345回复等，乙方应积极配合,并由项目经理或项目主管接办，并妥善处置，如不接办或处置不当被居民或企业投诉，每次扣200元。（注：公示牌投诉电话应指定项目经理或项目主管座席接听并办理。）</w:t>
      </w:r>
    </w:p>
    <w:p>
      <w:pPr>
        <w:spacing w:line="360" w:lineRule="auto"/>
        <w:ind w:firstLine="480" w:firstLineChars="200"/>
        <w:rPr>
          <w:rFonts w:ascii="宋体" w:hAnsi="宋体" w:cs="宋体"/>
          <w:sz w:val="24"/>
        </w:rPr>
      </w:pPr>
      <w:r>
        <w:rPr>
          <w:rFonts w:hint="eastAsia" w:ascii="宋体" w:hAnsi="宋体" w:cs="宋体"/>
          <w:sz w:val="24"/>
        </w:rPr>
        <w:t>3.9公示牌考核：乙方应建立各类垃圾分类公示牌巡查制度，并严格按照制度巡查巡视，发现问题及时上报，保证各类公示牌完好率100%、正确率100%。如在各级检查中因公示牌问题产生扣分，每次扣除50元。</w:t>
      </w:r>
    </w:p>
    <w:p>
      <w:pPr>
        <w:spacing w:line="360" w:lineRule="auto"/>
        <w:ind w:firstLine="480" w:firstLineChars="200"/>
        <w:rPr>
          <w:rFonts w:ascii="宋体" w:hAnsi="宋体" w:cs="宋体"/>
          <w:sz w:val="24"/>
        </w:rPr>
      </w:pPr>
      <w:r>
        <w:rPr>
          <w:rFonts w:hint="eastAsia" w:ascii="宋体" w:hAnsi="宋体" w:cs="宋体"/>
          <w:sz w:val="24"/>
        </w:rPr>
        <w:t>3.10合同第3.4至3.5当月考核不合格整改期限为10日，3.6整改期限以网格件规定时限为准。未按要求整改每次扣除200元。</w:t>
      </w:r>
    </w:p>
    <w:p>
      <w:pPr>
        <w:spacing w:line="360" w:lineRule="auto"/>
        <w:ind w:firstLine="480" w:firstLineChars="200"/>
        <w:rPr>
          <w:rFonts w:ascii="宋体" w:hAnsi="宋体" w:cs="宋体"/>
          <w:sz w:val="24"/>
        </w:rPr>
      </w:pPr>
      <w:r>
        <w:rPr>
          <w:rFonts w:hint="eastAsia" w:ascii="宋体" w:hAnsi="宋体" w:cs="宋体"/>
          <w:sz w:val="24"/>
        </w:rPr>
        <w:t>4.乙方明确知晓并同意：由于本项目资金来源为财政性资金，须执行国库集中支付的相关程序，甲方仅负责在约定时间内完成申请支付手续，实际付款到账时间及金额以财政拨付的时间及金额为准，甲方无需承担由此产生的迟延支付责任；在每次支付前，乙方必须向甲方提交书面支付申请并开具与支付费用等额的合法有效的发票，方可办理相关申报支付手续。如乙方未能提供合法、有效、等额的发票，由此所产生的不利后果及损失均应由乙方自行承担。甲方支付前有权扣除相应的违约金和赔偿款等费用。</w:t>
      </w:r>
    </w:p>
    <w:p>
      <w:pPr>
        <w:numPr>
          <w:ilvl w:val="0"/>
          <w:numId w:val="22"/>
        </w:numPr>
        <w:spacing w:line="360" w:lineRule="auto"/>
        <w:ind w:firstLine="547" w:firstLineChars="228"/>
        <w:rPr>
          <w:rFonts w:ascii="宋体" w:hAnsi="宋体" w:cs="宋体"/>
          <w:sz w:val="24"/>
        </w:rPr>
      </w:pPr>
      <w:r>
        <w:rPr>
          <w:rFonts w:hint="eastAsia" w:ascii="宋体" w:hAnsi="宋体" w:cs="宋体"/>
          <w:sz w:val="24"/>
        </w:rPr>
        <w:t xml:space="preserve"> 乙方为甲方或项目居民提供其他特约服务的，按乙方在物业区域内公示的收费标准或按双方的约定收取费用。</w:t>
      </w:r>
    </w:p>
    <w:p>
      <w:pPr>
        <w:numPr>
          <w:ilvl w:val="0"/>
          <w:numId w:val="22"/>
        </w:numPr>
        <w:spacing w:line="360" w:lineRule="auto"/>
        <w:ind w:firstLine="547" w:firstLineChars="228"/>
        <w:rPr>
          <w:rFonts w:ascii="仿宋" w:hAnsi="仿宋" w:eastAsia="仿宋" w:cs="仿宋"/>
          <w:sz w:val="24"/>
        </w:rPr>
      </w:pPr>
      <w:r>
        <w:rPr>
          <w:rFonts w:hint="eastAsia" w:ascii="宋体" w:hAnsi="宋体" w:cs="宋体"/>
          <w:sz w:val="24"/>
        </w:rPr>
        <w:t xml:space="preserve"> 由于甲、乙双方本合同期相关服务事项有不确定性，故本合同费用只限于本合同所约定服务内容及标准，如遇调整，甲、乙双方需另行协商确定。</w:t>
      </w:r>
    </w:p>
    <w:p>
      <w:pPr>
        <w:spacing w:line="360" w:lineRule="auto"/>
        <w:jc w:val="center"/>
        <w:rPr>
          <w:rFonts w:ascii="宋体" w:hAnsi="宋体" w:cs="宋体"/>
          <w:b/>
          <w:bCs/>
          <w:sz w:val="28"/>
          <w:szCs w:val="28"/>
        </w:rPr>
      </w:pPr>
      <w:r>
        <w:rPr>
          <w:rFonts w:hint="eastAsia" w:ascii="宋体" w:hAnsi="宋体" w:cs="宋体"/>
          <w:b/>
          <w:bCs/>
          <w:sz w:val="28"/>
          <w:szCs w:val="28"/>
        </w:rPr>
        <w:t>第六部分 双方权利与义务</w:t>
      </w:r>
    </w:p>
    <w:p>
      <w:pPr>
        <w:numPr>
          <w:ilvl w:val="0"/>
          <w:numId w:val="22"/>
        </w:numPr>
        <w:spacing w:line="360" w:lineRule="auto"/>
        <w:ind w:firstLine="547" w:firstLineChars="228"/>
        <w:rPr>
          <w:rFonts w:ascii="宋体" w:hAnsi="宋体" w:cs="宋体"/>
          <w:sz w:val="24"/>
        </w:rPr>
      </w:pPr>
      <w:r>
        <w:rPr>
          <w:rFonts w:hint="eastAsia" w:ascii="宋体" w:hAnsi="宋体" w:cs="宋体"/>
          <w:sz w:val="24"/>
        </w:rPr>
        <w:t>甲方的权利义务</w:t>
      </w:r>
    </w:p>
    <w:p>
      <w:pPr>
        <w:spacing w:line="360" w:lineRule="auto"/>
        <w:ind w:firstLine="547" w:firstLineChars="228"/>
        <w:rPr>
          <w:rFonts w:ascii="宋体" w:hAnsi="宋体" w:cs="宋体"/>
          <w:sz w:val="24"/>
        </w:rPr>
      </w:pPr>
      <w:r>
        <w:rPr>
          <w:rFonts w:hint="eastAsia" w:ascii="宋体" w:hAnsi="宋体" w:cs="宋体"/>
          <w:sz w:val="24"/>
        </w:rPr>
        <w:t>1.甲方的权利</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1.1甲方有权审定乙方制定的物业管理服务方案，并监督实施。</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1.2甲方对本项目的物业管理服务事项有知情权。</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1.3甲方定期对乙方提供的物业管理服务实行动态跟踪与检查；对乙方提供的物业管理服务有建议、督促和处罚的权利。具体处罚细则由甲方制定，乙方确认后予以实施。</w:t>
      </w:r>
    </w:p>
    <w:p>
      <w:pPr>
        <w:numPr>
          <w:ilvl w:val="255"/>
          <w:numId w:val="0"/>
        </w:numPr>
        <w:spacing w:line="360" w:lineRule="auto"/>
        <w:ind w:firstLine="480" w:firstLineChars="200"/>
        <w:rPr>
          <w:rFonts w:ascii="宋体" w:hAnsi="宋体" w:cs="宋体"/>
          <w:sz w:val="24"/>
        </w:rPr>
      </w:pPr>
      <w:r>
        <w:rPr>
          <w:rFonts w:hint="eastAsia" w:ascii="宋体" w:hAnsi="宋体" w:cs="宋体"/>
          <w:sz w:val="24"/>
        </w:rPr>
        <w:t>1.4每月甲方对乙方至少开展一次物业管理服务考核，考核内容主要包括：各服务事项的完成情况、城市管理网格件及重点问题点位的处理情况、社会满意度，以及区街区考核成绩等。在合同履行过程中，甲方有权对评分标准进行合理的调整和修改。</w:t>
      </w:r>
    </w:p>
    <w:p>
      <w:pPr>
        <w:spacing w:line="360" w:lineRule="auto"/>
        <w:ind w:firstLine="547" w:firstLineChars="228"/>
        <w:rPr>
          <w:rFonts w:ascii="宋体" w:hAnsi="宋体" w:cs="宋体"/>
          <w:sz w:val="24"/>
        </w:rPr>
      </w:pPr>
      <w:r>
        <w:rPr>
          <w:rFonts w:hint="eastAsia" w:ascii="宋体" w:hAnsi="宋体" w:cs="宋体"/>
          <w:sz w:val="24"/>
        </w:rPr>
        <w:t>1.5根据每月考核结果，甲方有权要求乙方第一时间整改。对乙方服务质量不达标且在规定时限内未整改的，甲方有权要求乙方更换物业管理服务人员及保安、保洁人员，对于因此造成损失的，按照本合同第十四条给予乙方惩罚。</w:t>
      </w:r>
    </w:p>
    <w:p>
      <w:pPr>
        <w:spacing w:line="360" w:lineRule="auto"/>
        <w:ind w:firstLine="547" w:firstLineChars="228"/>
        <w:rPr>
          <w:rFonts w:ascii="宋体" w:hAnsi="宋体" w:cs="宋体"/>
          <w:sz w:val="24"/>
        </w:rPr>
      </w:pPr>
      <w:r>
        <w:rPr>
          <w:rFonts w:hint="eastAsia" w:ascii="宋体" w:hAnsi="宋体" w:cs="宋体"/>
          <w:sz w:val="24"/>
        </w:rPr>
        <w:t>1.6上述对乙方合同履行的建议、监督、考评、处罚及标准调整等权利，甲方可根据《北京市物业管理办法》委托专业机构代为实施，乙方应服从其管理。</w:t>
      </w:r>
    </w:p>
    <w:p>
      <w:pPr>
        <w:spacing w:line="360" w:lineRule="auto"/>
        <w:ind w:firstLine="547" w:firstLineChars="228"/>
        <w:rPr>
          <w:rFonts w:ascii="宋体" w:hAnsi="宋体" w:cs="宋体"/>
          <w:sz w:val="24"/>
        </w:rPr>
      </w:pPr>
      <w:r>
        <w:rPr>
          <w:rFonts w:hint="eastAsia" w:ascii="宋体" w:hAnsi="宋体" w:cs="宋体"/>
          <w:sz w:val="24"/>
        </w:rPr>
        <w:t>1.7</w:t>
      </w:r>
      <w:r>
        <w:rPr>
          <w:rFonts w:ascii="宋体" w:hAnsi="宋体" w:cs="宋体"/>
          <w:sz w:val="24"/>
        </w:rPr>
        <w:t>遇重大节假日或重大会议、活动、社会突发事件时，甲方有权根据实际需要给乙方安排临时任务</w:t>
      </w:r>
      <w:r>
        <w:rPr>
          <w:rFonts w:hint="eastAsia" w:ascii="宋体" w:hAnsi="宋体" w:cs="宋体"/>
          <w:sz w:val="24"/>
        </w:rPr>
        <w:t>。</w:t>
      </w:r>
    </w:p>
    <w:p>
      <w:pPr>
        <w:spacing w:line="360" w:lineRule="auto"/>
        <w:ind w:firstLine="547" w:firstLineChars="228"/>
        <w:rPr>
          <w:rFonts w:ascii="宋体" w:hAnsi="宋体" w:cs="宋体"/>
          <w:sz w:val="24"/>
        </w:rPr>
      </w:pPr>
      <w:r>
        <w:rPr>
          <w:rFonts w:hint="eastAsia" w:ascii="宋体" w:hAnsi="宋体" w:cs="宋体"/>
          <w:sz w:val="24"/>
        </w:rPr>
        <w:t>2.甲方的义务</w:t>
      </w:r>
    </w:p>
    <w:p>
      <w:pPr>
        <w:spacing w:line="360" w:lineRule="auto"/>
        <w:ind w:firstLine="547" w:firstLineChars="228"/>
        <w:rPr>
          <w:rFonts w:ascii="宋体" w:hAnsi="宋体" w:cs="宋体"/>
          <w:sz w:val="24"/>
        </w:rPr>
      </w:pPr>
      <w:r>
        <w:rPr>
          <w:rFonts w:hint="eastAsia" w:ascii="宋体" w:hAnsi="宋体" w:cs="宋体"/>
          <w:sz w:val="24"/>
        </w:rPr>
        <w:t>2.1按照约定向乙方支付物业管理服务费用及由合同约定甲方支付的其他物业管理服务费用。</w:t>
      </w:r>
    </w:p>
    <w:p>
      <w:pPr>
        <w:spacing w:line="360" w:lineRule="auto"/>
        <w:ind w:firstLine="547" w:firstLineChars="228"/>
        <w:rPr>
          <w:rFonts w:ascii="宋体" w:hAnsi="宋体" w:cs="宋体"/>
          <w:sz w:val="24"/>
        </w:rPr>
      </w:pPr>
      <w:r>
        <w:rPr>
          <w:rFonts w:hint="eastAsia" w:ascii="宋体" w:hAnsi="宋体" w:cs="宋体"/>
          <w:sz w:val="24"/>
        </w:rPr>
        <w:t>2.2甲方应为乙方提供办公用房、为应急力量住宿和机械设备停放、充电提供便利和协助。</w:t>
      </w:r>
    </w:p>
    <w:p>
      <w:pPr>
        <w:spacing w:line="360" w:lineRule="auto"/>
        <w:ind w:firstLine="547" w:firstLineChars="228"/>
        <w:rPr>
          <w:rFonts w:ascii="宋体" w:hAnsi="宋体" w:cs="宋体"/>
          <w:sz w:val="24"/>
        </w:rPr>
      </w:pPr>
      <w:r>
        <w:rPr>
          <w:rFonts w:hint="eastAsia" w:ascii="宋体" w:hAnsi="宋体" w:cs="宋体"/>
          <w:sz w:val="24"/>
        </w:rPr>
        <w:t>2.3配合乙方做好本项目物业管理服务工作，对乙方提交的有关物业管理服务相关报告或建议，应于收到后10个工作日内予以回复。</w:t>
      </w:r>
    </w:p>
    <w:p>
      <w:pPr>
        <w:spacing w:line="360" w:lineRule="auto"/>
        <w:ind w:firstLine="547" w:firstLineChars="228"/>
        <w:rPr>
          <w:rFonts w:ascii="宋体" w:hAnsi="宋体" w:cs="宋体"/>
          <w:sz w:val="24"/>
        </w:rPr>
      </w:pPr>
      <w:r>
        <w:rPr>
          <w:rFonts w:hint="eastAsia" w:ascii="宋体" w:hAnsi="宋体" w:cs="宋体"/>
          <w:sz w:val="24"/>
        </w:rPr>
        <w:t>第九条 乙方的权利义务</w:t>
      </w:r>
    </w:p>
    <w:p>
      <w:pPr>
        <w:spacing w:line="360" w:lineRule="auto"/>
        <w:ind w:firstLine="480" w:firstLineChars="200"/>
        <w:rPr>
          <w:rFonts w:ascii="宋体" w:hAnsi="宋体" w:cs="宋体"/>
          <w:sz w:val="24"/>
        </w:rPr>
      </w:pPr>
      <w:r>
        <w:rPr>
          <w:rFonts w:hint="eastAsia" w:ascii="宋体" w:hAnsi="宋体" w:cs="宋体"/>
          <w:sz w:val="24"/>
        </w:rPr>
        <w:t>1.乙方的权利</w:t>
      </w:r>
    </w:p>
    <w:p>
      <w:pPr>
        <w:spacing w:line="360" w:lineRule="auto"/>
        <w:ind w:firstLine="480" w:firstLineChars="200"/>
        <w:rPr>
          <w:rFonts w:ascii="宋体" w:hAnsi="宋体" w:cs="宋体"/>
          <w:sz w:val="24"/>
        </w:rPr>
      </w:pPr>
      <w:r>
        <w:rPr>
          <w:rFonts w:hint="eastAsia" w:ascii="宋体" w:hAnsi="宋体" w:cs="宋体"/>
          <w:sz w:val="24"/>
        </w:rPr>
        <w:t>1.1根据有关法律、法规及本合同的约定，按照《东城区平房区物业管理服务标准2.0》的要求向甲方提供物业管理服务，收取物业管理服务费及特约服务费。</w:t>
      </w:r>
    </w:p>
    <w:p>
      <w:pPr>
        <w:spacing w:line="360" w:lineRule="auto"/>
        <w:ind w:firstLine="480" w:firstLineChars="200"/>
        <w:rPr>
          <w:rFonts w:ascii="宋体" w:hAnsi="宋体" w:cs="宋体"/>
          <w:sz w:val="24"/>
        </w:rPr>
      </w:pPr>
      <w:r>
        <w:rPr>
          <w:rFonts w:hint="eastAsia" w:ascii="宋体" w:hAnsi="宋体" w:cs="宋体"/>
          <w:sz w:val="24"/>
        </w:rPr>
        <w:t>1.2经甲方同意，乙方可以将部分专项工作，分包给相应的专业公司，并加强监督管理，但严禁出现分包公司再次转包的现象；乙方与受托企业签订的合同中约定的服务标准，不得低于本合同约定；乙方应当对受托企业的服务行为进行监督，并对受托企业的服务行为向甲方承担责任。</w:t>
      </w:r>
    </w:p>
    <w:p>
      <w:pPr>
        <w:spacing w:line="360" w:lineRule="auto"/>
        <w:ind w:firstLine="547" w:firstLineChars="228"/>
        <w:rPr>
          <w:rFonts w:ascii="宋体" w:hAnsi="宋体" w:cs="宋体"/>
          <w:sz w:val="24"/>
        </w:rPr>
      </w:pPr>
      <w:r>
        <w:rPr>
          <w:rFonts w:hint="eastAsia" w:ascii="宋体" w:hAnsi="宋体" w:cs="宋体"/>
          <w:sz w:val="24"/>
        </w:rPr>
        <w:t>2.乙方的义务</w:t>
      </w:r>
    </w:p>
    <w:p>
      <w:pPr>
        <w:spacing w:line="360" w:lineRule="auto"/>
        <w:ind w:firstLine="480" w:firstLineChars="200"/>
        <w:rPr>
          <w:rFonts w:ascii="宋体" w:hAnsi="宋体" w:cs="宋体"/>
          <w:sz w:val="24"/>
        </w:rPr>
      </w:pPr>
      <w:r>
        <w:rPr>
          <w:rFonts w:hint="eastAsia" w:ascii="宋体" w:hAnsi="宋体" w:cs="宋体"/>
          <w:sz w:val="24"/>
        </w:rPr>
        <w:t>2.1乙方必须保证投标文件及服务方案中承诺的工作人员数量，服务标准不得低于本合同双方约定的标准。管理人员及作业人员实行实名制管理。乙方工作人员需经过甲方审核同意，若乙方工作人员的工作未达到甲方标准和要求，乙方应按照甲方要求立即更换工作人员。</w:t>
      </w:r>
    </w:p>
    <w:p>
      <w:pPr>
        <w:spacing w:line="360" w:lineRule="auto"/>
        <w:ind w:firstLine="547" w:firstLineChars="228"/>
        <w:rPr>
          <w:rFonts w:ascii="宋体" w:hAnsi="宋体" w:cs="宋体"/>
          <w:sz w:val="24"/>
        </w:rPr>
      </w:pPr>
      <w:r>
        <w:rPr>
          <w:rFonts w:hint="eastAsia" w:ascii="宋体" w:hAnsi="宋体" w:cs="宋体"/>
          <w:sz w:val="24"/>
        </w:rPr>
        <w:t>2.2新录用人员要进行岗前培训，每年要开展2次在岗培训，考试不合格人员不得录用；</w:t>
      </w:r>
    </w:p>
    <w:p>
      <w:pPr>
        <w:spacing w:line="360" w:lineRule="auto"/>
        <w:ind w:firstLine="547" w:firstLineChars="228"/>
        <w:rPr>
          <w:rFonts w:ascii="宋体" w:hAnsi="宋体" w:cs="宋体"/>
          <w:sz w:val="24"/>
        </w:rPr>
      </w:pPr>
      <w:r>
        <w:rPr>
          <w:rFonts w:hint="eastAsia" w:ascii="宋体" w:hAnsi="宋体" w:cs="宋体"/>
          <w:sz w:val="24"/>
        </w:rPr>
        <w:t>2.3乙方接受街巷长的监督和协调，参加服务区域环境理事会。</w:t>
      </w:r>
    </w:p>
    <w:p>
      <w:pPr>
        <w:spacing w:line="360" w:lineRule="auto"/>
        <w:ind w:firstLine="547" w:firstLineChars="228"/>
        <w:rPr>
          <w:rFonts w:ascii="宋体" w:hAnsi="宋体" w:cs="宋体"/>
          <w:sz w:val="24"/>
        </w:rPr>
      </w:pPr>
      <w:r>
        <w:rPr>
          <w:rFonts w:hint="eastAsia" w:ascii="宋体" w:hAnsi="宋体" w:cs="宋体"/>
          <w:sz w:val="24"/>
        </w:rPr>
        <w:t>2.4乙方应第一时间向甲方通报本物业区域内有关物业管理服务的重大事项，接受甲方的监督并妥善保管物业管理服务期间各类档案资料。</w:t>
      </w:r>
    </w:p>
    <w:p>
      <w:pPr>
        <w:spacing w:line="360" w:lineRule="auto"/>
        <w:ind w:firstLine="547" w:firstLineChars="228"/>
        <w:rPr>
          <w:rFonts w:ascii="宋体" w:hAnsi="宋体" w:cs="宋体"/>
          <w:sz w:val="24"/>
        </w:rPr>
      </w:pPr>
      <w:r>
        <w:rPr>
          <w:rFonts w:hint="eastAsia" w:ascii="宋体" w:hAnsi="宋体" w:cs="宋体"/>
          <w:sz w:val="24"/>
        </w:rPr>
        <w:t>2.5对违反国家、本市及本区有关管理方面的法律、法规和规章的行为进行劝阻、制止，并向甲方和有关部门报告。</w:t>
      </w:r>
    </w:p>
    <w:p>
      <w:pPr>
        <w:spacing w:line="360" w:lineRule="auto"/>
        <w:ind w:firstLine="547" w:firstLineChars="228"/>
        <w:rPr>
          <w:rFonts w:ascii="宋体" w:hAnsi="宋体" w:cs="宋体"/>
          <w:sz w:val="24"/>
        </w:rPr>
      </w:pPr>
      <w:r>
        <w:rPr>
          <w:rFonts w:hint="eastAsia" w:ascii="宋体" w:hAnsi="宋体" w:cs="宋体"/>
          <w:sz w:val="24"/>
        </w:rPr>
        <w:t>2.6配合甲方及甲方上级部门开展的动态跟踪和考核，并接受甲方及上级部门的监督、建议、处罚。</w:t>
      </w:r>
    </w:p>
    <w:p>
      <w:pPr>
        <w:spacing w:line="360" w:lineRule="auto"/>
        <w:ind w:firstLine="547" w:firstLineChars="228"/>
        <w:rPr>
          <w:rFonts w:ascii="宋体" w:hAnsi="宋体" w:cs="宋体"/>
          <w:sz w:val="24"/>
        </w:rPr>
      </w:pPr>
      <w:r>
        <w:rPr>
          <w:rFonts w:hint="eastAsia" w:ascii="宋体" w:hAnsi="宋体" w:cs="宋体"/>
          <w:sz w:val="24"/>
        </w:rPr>
        <w:t>2.7在本物业管理区域内发生治安案件或者各类灾害事故时，应当第一时间向公安和有关部门报告，并积极协助做好调查和救助工作。但乙方不承担非自身责任造成的住户的私人财产损失和法律责任。</w:t>
      </w:r>
    </w:p>
    <w:p>
      <w:pPr>
        <w:spacing w:line="360" w:lineRule="auto"/>
        <w:ind w:firstLine="547" w:firstLineChars="228"/>
        <w:rPr>
          <w:rFonts w:ascii="宋体" w:hAnsi="宋体" w:cs="宋体"/>
          <w:sz w:val="24"/>
        </w:rPr>
      </w:pPr>
      <w:r>
        <w:rPr>
          <w:rFonts w:hint="eastAsia" w:ascii="宋体" w:hAnsi="宋体" w:cs="宋体"/>
          <w:sz w:val="24"/>
        </w:rPr>
        <w:t>2.8加强安全生产管理，落实企业法人是安全生产第一责任人的责任，制定安全生产管理制度，设定安全生产管理员岗位，与相关合作单位和工作人员签订安全生产责任书，对作业单位和个人每月进行2次以上的安全生产检查。</w:t>
      </w:r>
    </w:p>
    <w:p>
      <w:pPr>
        <w:spacing w:line="360" w:lineRule="auto"/>
        <w:ind w:firstLine="547" w:firstLineChars="228"/>
        <w:rPr>
          <w:rFonts w:ascii="宋体" w:hAnsi="宋体" w:cs="宋体"/>
          <w:sz w:val="24"/>
        </w:rPr>
      </w:pPr>
      <w:r>
        <w:rPr>
          <w:rFonts w:hint="eastAsia" w:ascii="宋体" w:hAnsi="宋体" w:cs="宋体"/>
          <w:sz w:val="24"/>
        </w:rPr>
        <w:t>2.9乙方应加强对管理人员及作业人员的安全教育，采取必要的安全防护措施，为作业人员配备必要的防护设备。对于履行合同期间发生的安全事故，由乙方承担所有责任，甲方不承担相关法律和经济责任。</w:t>
      </w:r>
    </w:p>
    <w:p>
      <w:pPr>
        <w:spacing w:line="360" w:lineRule="auto"/>
        <w:ind w:firstLine="547" w:firstLineChars="228"/>
        <w:rPr>
          <w:rFonts w:ascii="宋体" w:hAnsi="宋体" w:cs="宋体"/>
          <w:sz w:val="24"/>
        </w:rPr>
      </w:pPr>
      <w:r>
        <w:rPr>
          <w:rFonts w:hint="eastAsia" w:ascii="宋体" w:hAnsi="宋体" w:cs="宋体"/>
          <w:sz w:val="24"/>
        </w:rPr>
        <w:t>2.10乙方不得将此项目整体转包给第三方单位，也不得出现单独项目进行分包后，分包项目再次出现转包的现象。如存在上述行为，则乙方承担违约责任。</w:t>
      </w:r>
    </w:p>
    <w:p>
      <w:pPr>
        <w:spacing w:line="360" w:lineRule="auto"/>
        <w:ind w:firstLine="547" w:firstLineChars="228"/>
        <w:rPr>
          <w:rFonts w:ascii="宋体" w:hAnsi="宋体" w:cs="宋体"/>
          <w:sz w:val="24"/>
        </w:rPr>
      </w:pPr>
      <w:r>
        <w:rPr>
          <w:rFonts w:hint="eastAsia" w:ascii="宋体" w:hAnsi="宋体" w:cs="宋体"/>
          <w:sz w:val="24"/>
        </w:rPr>
        <w:t>2.11</w:t>
      </w:r>
      <w:r>
        <w:rPr>
          <w:rFonts w:ascii="宋体" w:hAnsi="宋体" w:cs="宋体"/>
          <w:sz w:val="24"/>
        </w:rPr>
        <w:t>因乙方原因造成行政处罚、民事赔偿等，相应责任、相应损失由乙方自行承担。甲方因此受损的，乙方应全额赔偿甲方损失。</w:t>
      </w:r>
    </w:p>
    <w:p>
      <w:pPr>
        <w:spacing w:line="360" w:lineRule="auto"/>
        <w:ind w:firstLine="547" w:firstLineChars="228"/>
        <w:rPr>
          <w:rFonts w:ascii="宋体" w:hAnsi="宋体" w:cs="宋体"/>
          <w:sz w:val="24"/>
          <w:lang w:eastAsia="zh-Hans"/>
        </w:rPr>
      </w:pPr>
      <w:r>
        <w:rPr>
          <w:rFonts w:hint="eastAsia" w:ascii="宋体" w:hAnsi="宋体" w:cs="宋体"/>
          <w:sz w:val="24"/>
        </w:rPr>
        <w:t>2.12</w:t>
      </w:r>
      <w:r>
        <w:rPr>
          <w:rFonts w:ascii="宋体" w:hAnsi="宋体" w:cs="宋体"/>
          <w:sz w:val="24"/>
        </w:rPr>
        <w:t>乙方应依法按时、足额为指派工作人员支付工资和缴纳社会保险（返聘退休人员也需为其缴纳意外险等）</w:t>
      </w:r>
      <w:r>
        <w:rPr>
          <w:rFonts w:hint="eastAsia" w:ascii="宋体" w:hAnsi="宋体" w:cs="宋体"/>
          <w:sz w:val="24"/>
          <w:lang w:eastAsia="zh-Hans"/>
        </w:rPr>
        <w:t>。</w:t>
      </w:r>
    </w:p>
    <w:p>
      <w:pPr>
        <w:spacing w:line="360" w:lineRule="auto"/>
        <w:jc w:val="center"/>
        <w:rPr>
          <w:rFonts w:ascii="宋体" w:hAnsi="宋体" w:cs="宋体"/>
          <w:sz w:val="28"/>
          <w:szCs w:val="28"/>
        </w:rPr>
      </w:pPr>
      <w:r>
        <w:rPr>
          <w:rFonts w:hint="eastAsia" w:ascii="宋体" w:hAnsi="宋体" w:cs="宋体"/>
          <w:b/>
          <w:bCs/>
          <w:sz w:val="28"/>
          <w:szCs w:val="28"/>
        </w:rPr>
        <w:t>第七部分 合同终止</w:t>
      </w:r>
    </w:p>
    <w:p>
      <w:pPr>
        <w:numPr>
          <w:ilvl w:val="0"/>
          <w:numId w:val="23"/>
        </w:numPr>
        <w:spacing w:line="360" w:lineRule="auto"/>
        <w:ind w:firstLine="547" w:firstLineChars="228"/>
        <w:rPr>
          <w:rFonts w:ascii="宋体" w:hAnsi="宋体" w:cs="宋体"/>
          <w:sz w:val="24"/>
        </w:rPr>
      </w:pPr>
      <w:r>
        <w:rPr>
          <w:rFonts w:hint="eastAsia" w:ascii="宋体" w:hAnsi="宋体" w:cs="宋体"/>
          <w:sz w:val="24"/>
        </w:rPr>
        <w:t>满足以下条件之一，甲方有权立刻</w:t>
      </w:r>
      <w:r>
        <w:rPr>
          <w:rFonts w:hint="eastAsia" w:ascii="宋体" w:hAnsi="宋体" w:cs="宋体"/>
          <w:sz w:val="24"/>
          <w:lang w:eastAsia="zh-Hans"/>
        </w:rPr>
        <w:t>提前</w:t>
      </w:r>
      <w:r>
        <w:rPr>
          <w:rFonts w:hint="eastAsia" w:ascii="宋体" w:hAnsi="宋体" w:cs="宋体"/>
          <w:sz w:val="24"/>
        </w:rPr>
        <w:t>终止合同，并保留追究乙方责任的权利</w:t>
      </w:r>
      <w:r>
        <w:rPr>
          <w:rFonts w:hint="eastAsia" w:ascii="宋体" w:hAnsi="宋体" w:cs="宋体"/>
          <w:sz w:val="24"/>
          <w:lang w:eastAsia="zh-Hans"/>
        </w:rPr>
        <w:t>：</w:t>
      </w:r>
    </w:p>
    <w:p>
      <w:pPr>
        <w:spacing w:line="360" w:lineRule="auto"/>
        <w:rPr>
          <w:rFonts w:ascii="宋体" w:hAnsi="宋体" w:cs="宋体"/>
          <w:sz w:val="24"/>
        </w:rPr>
      </w:pPr>
      <w:r>
        <w:rPr>
          <w:rFonts w:hint="eastAsia" w:ascii="宋体" w:hAnsi="宋体" w:cs="宋体"/>
          <w:sz w:val="24"/>
        </w:rPr>
        <w:t xml:space="preserve">    1.违反法律、法规及规范性文件的禁止性规定，造成重大事故的；</w:t>
      </w:r>
    </w:p>
    <w:p>
      <w:pPr>
        <w:spacing w:line="360" w:lineRule="auto"/>
        <w:rPr>
          <w:rFonts w:ascii="宋体" w:hAnsi="宋体" w:cs="宋体"/>
          <w:sz w:val="24"/>
        </w:rPr>
      </w:pPr>
      <w:r>
        <w:rPr>
          <w:rFonts w:hint="eastAsia" w:ascii="宋体" w:hAnsi="宋体" w:cs="宋体"/>
          <w:sz w:val="24"/>
        </w:rPr>
        <w:t xml:space="preserve">    2.未履行合同规定给居民生产生活造成重大损失或严重社会影响的；</w:t>
      </w:r>
    </w:p>
    <w:p>
      <w:pPr>
        <w:spacing w:line="360" w:lineRule="auto"/>
        <w:rPr>
          <w:rFonts w:ascii="宋体" w:hAnsi="宋体" w:cs="宋体"/>
          <w:sz w:val="24"/>
        </w:rPr>
      </w:pPr>
      <w:r>
        <w:rPr>
          <w:rFonts w:hint="eastAsia" w:ascii="宋体" w:hAnsi="宋体" w:cs="宋体"/>
          <w:sz w:val="24"/>
        </w:rPr>
        <w:t xml:space="preserve">    3.出现层层转包、违规分包情况及非法用工现象的；</w:t>
      </w:r>
    </w:p>
    <w:p>
      <w:pPr>
        <w:spacing w:line="360" w:lineRule="auto"/>
        <w:ind w:firstLine="480"/>
        <w:rPr>
          <w:rFonts w:ascii="宋体" w:hAnsi="宋体" w:cs="宋体"/>
          <w:sz w:val="24"/>
          <w:lang w:eastAsia="zh-Hans"/>
        </w:rPr>
      </w:pPr>
      <w:r>
        <w:rPr>
          <w:rFonts w:hint="eastAsia" w:ascii="宋体" w:hAnsi="宋体" w:cs="宋体"/>
          <w:sz w:val="24"/>
        </w:rPr>
        <w:t>4.物业管理服务企业在区综合评分连续两个月低于第九名（包括第九名）；网格件连续两个月排名低于第十二名（包括第十二名），甲方进行约谈、乙方进行整改（整改期为2-3个月），整改后仍无法达到甲方要求的排名</w:t>
      </w:r>
      <w:r>
        <w:rPr>
          <w:rFonts w:hint="eastAsia" w:ascii="宋体" w:hAnsi="宋体" w:cs="宋体"/>
          <w:sz w:val="24"/>
          <w:lang w:eastAsia="zh-Hans"/>
        </w:rPr>
        <w:t>的；</w:t>
      </w:r>
    </w:p>
    <w:p>
      <w:pPr>
        <w:spacing w:line="360" w:lineRule="auto"/>
        <w:ind w:firstLine="480"/>
        <w:rPr>
          <w:rFonts w:ascii="宋体" w:hAnsi="宋体" w:cs="宋体"/>
          <w:sz w:val="24"/>
          <w:lang w:eastAsia="zh-Hans"/>
        </w:rPr>
      </w:pPr>
      <w:r>
        <w:rPr>
          <w:rFonts w:ascii="宋体" w:hAnsi="宋体" w:cs="宋体"/>
          <w:sz w:val="24"/>
          <w:lang w:eastAsia="zh-Hans"/>
        </w:rPr>
        <w:t>5.合同期内，如乙方逾期执行甲方的整改要求超过</w:t>
      </w:r>
      <w:r>
        <w:rPr>
          <w:rFonts w:hint="eastAsia" w:ascii="宋体" w:hAnsi="宋体" w:cs="宋体"/>
          <w:sz w:val="24"/>
          <w:lang w:eastAsia="zh-Hans"/>
        </w:rPr>
        <w:t>二</w:t>
      </w:r>
      <w:r>
        <w:rPr>
          <w:rFonts w:ascii="宋体" w:hAnsi="宋体" w:cs="宋体"/>
          <w:sz w:val="24"/>
          <w:lang w:eastAsia="zh-Hans"/>
        </w:rPr>
        <w:t>次的</w:t>
      </w:r>
      <w:r>
        <w:rPr>
          <w:rFonts w:hint="eastAsia" w:ascii="宋体" w:hAnsi="宋体" w:cs="宋体"/>
          <w:sz w:val="24"/>
          <w:lang w:eastAsia="zh-Hans"/>
        </w:rPr>
        <w:t>；</w:t>
      </w:r>
    </w:p>
    <w:p>
      <w:pPr>
        <w:spacing w:line="360" w:lineRule="auto"/>
        <w:ind w:firstLine="480"/>
        <w:rPr>
          <w:rFonts w:ascii="宋体" w:hAnsi="宋体" w:cs="宋体"/>
          <w:sz w:val="24"/>
        </w:rPr>
      </w:pPr>
      <w:r>
        <w:rPr>
          <w:rFonts w:ascii="宋体" w:hAnsi="宋体" w:cs="宋体"/>
          <w:sz w:val="24"/>
          <w:lang w:eastAsia="zh-Hans"/>
        </w:rPr>
        <w:t>6.</w:t>
      </w:r>
      <w:r>
        <w:rPr>
          <w:rFonts w:hint="eastAsia" w:ascii="宋体" w:hAnsi="宋体" w:cs="宋体"/>
          <w:sz w:val="24"/>
          <w:lang w:eastAsia="zh-Hans"/>
        </w:rPr>
        <w:t>因乙方拖欠员工工资、社保等情形，造成负面舆情或严重社会影响的。</w:t>
      </w:r>
    </w:p>
    <w:p>
      <w:pPr>
        <w:spacing w:line="360" w:lineRule="auto"/>
        <w:ind w:firstLine="480"/>
        <w:rPr>
          <w:rFonts w:ascii="宋体" w:hAnsi="宋体" w:cs="宋体"/>
          <w:sz w:val="24"/>
        </w:rPr>
      </w:pPr>
      <w:r>
        <w:rPr>
          <w:rFonts w:hint="eastAsia" w:ascii="宋体" w:hAnsi="宋体" w:cs="宋体"/>
          <w:sz w:val="24"/>
        </w:rPr>
        <w:t>甲方</w:t>
      </w:r>
      <w:r>
        <w:rPr>
          <w:rFonts w:hint="eastAsia" w:ascii="宋体" w:hAnsi="宋体" w:cs="宋体"/>
          <w:sz w:val="24"/>
          <w:lang w:eastAsia="zh-Hans"/>
        </w:rPr>
        <w:t>决定提前终止合同</w:t>
      </w:r>
      <w:r>
        <w:rPr>
          <w:rFonts w:hint="eastAsia" w:ascii="宋体" w:hAnsi="宋体" w:cs="宋体"/>
          <w:sz w:val="24"/>
        </w:rPr>
        <w:t>的，乙方除依约承担违约责任外，仍有义务在甲方规定的交接期限内提交相关项目资料并配合甲方重新选择项目承担单位（甲方确定新的项目承担单位之前，乙方不得停止服务），并与甲方选定的项目承担单位进行工作交接。</w:t>
      </w:r>
    </w:p>
    <w:p>
      <w:pPr>
        <w:numPr>
          <w:ilvl w:val="0"/>
          <w:numId w:val="23"/>
        </w:numPr>
        <w:spacing w:line="360" w:lineRule="auto"/>
        <w:ind w:firstLine="547" w:firstLineChars="228"/>
        <w:rPr>
          <w:rFonts w:ascii="宋体" w:hAnsi="宋体" w:cs="宋体"/>
          <w:sz w:val="24"/>
        </w:rPr>
      </w:pPr>
      <w:r>
        <w:rPr>
          <w:rFonts w:hint="eastAsia" w:ascii="宋体" w:hAnsi="宋体" w:cs="宋体"/>
          <w:sz w:val="24"/>
        </w:rPr>
        <w:t>本合同到期前30日内，甲乙双方应按照政府采购相关规定，履行相关程序后，签订下一阶段物业管理服务合同。</w:t>
      </w:r>
    </w:p>
    <w:p>
      <w:pPr>
        <w:numPr>
          <w:ilvl w:val="0"/>
          <w:numId w:val="23"/>
        </w:numPr>
        <w:spacing w:line="360" w:lineRule="auto"/>
        <w:ind w:firstLine="547" w:firstLineChars="228"/>
        <w:rPr>
          <w:rFonts w:ascii="宋体" w:hAnsi="宋体" w:cs="宋体"/>
          <w:sz w:val="28"/>
          <w:szCs w:val="28"/>
        </w:rPr>
      </w:pPr>
      <w:r>
        <w:rPr>
          <w:rFonts w:hint="eastAsia" w:ascii="宋体" w:hAnsi="宋体" w:cs="宋体"/>
          <w:sz w:val="24"/>
        </w:rPr>
        <w:t>本合同终止后，甲乙双方决定不再续签合同，甲乙双方应当共同做好工作资料及设施设备移交、债权债务处理等事宜，包括相关费用的清算、对外签订的各种协议的执行等。甲乙双方应当相互配合，做好物业管理服务的交接和善后工作。</w:t>
      </w:r>
    </w:p>
    <w:p>
      <w:pPr>
        <w:spacing w:line="360" w:lineRule="auto"/>
        <w:jc w:val="center"/>
        <w:rPr>
          <w:rFonts w:ascii="宋体" w:hAnsi="宋体" w:cs="宋体"/>
          <w:sz w:val="28"/>
          <w:szCs w:val="28"/>
        </w:rPr>
      </w:pPr>
      <w:r>
        <w:rPr>
          <w:rFonts w:hint="eastAsia" w:ascii="宋体" w:hAnsi="宋体" w:cs="宋体"/>
          <w:b/>
          <w:bCs/>
          <w:sz w:val="28"/>
          <w:szCs w:val="28"/>
        </w:rPr>
        <w:t>第八部分 违约责任</w:t>
      </w:r>
    </w:p>
    <w:p>
      <w:pPr>
        <w:spacing w:line="360" w:lineRule="auto"/>
        <w:ind w:firstLine="547" w:firstLineChars="228"/>
        <w:rPr>
          <w:rFonts w:ascii="宋体" w:hAnsi="宋体" w:cs="宋体"/>
          <w:sz w:val="24"/>
        </w:rPr>
      </w:pPr>
      <w:r>
        <w:rPr>
          <w:rFonts w:hint="eastAsia" w:ascii="宋体" w:hAnsi="宋体" w:cs="宋体"/>
          <w:sz w:val="24"/>
        </w:rPr>
        <w:t>第十三条  甲方违反本合同第八条第二款的约定，使乙方未完成规定的管理服务目标，乙方有权要求甲方解决。</w:t>
      </w:r>
    </w:p>
    <w:p>
      <w:pPr>
        <w:spacing w:line="360" w:lineRule="auto"/>
        <w:ind w:firstLine="547" w:firstLineChars="228"/>
        <w:rPr>
          <w:rFonts w:ascii="宋体" w:hAnsi="宋体" w:cs="宋体"/>
          <w:sz w:val="24"/>
        </w:rPr>
      </w:pPr>
      <w:r>
        <w:rPr>
          <w:rFonts w:hint="eastAsia" w:ascii="宋体" w:hAnsi="宋体" w:cs="宋体"/>
          <w:sz w:val="24"/>
        </w:rPr>
        <w:t>第十四条  乙方违反本合同约定，未能达到本合同约定的管理服务目标，甲方有权要求乙方在</w:t>
      </w:r>
      <w:r>
        <w:rPr>
          <w:rFonts w:hint="eastAsia" w:ascii="宋体" w:hAnsi="宋体" w:cs="宋体"/>
          <w:sz w:val="24"/>
          <w:u w:val="single"/>
        </w:rPr>
        <w:t>10</w:t>
      </w:r>
      <w:r>
        <w:rPr>
          <w:rFonts w:hint="eastAsia" w:ascii="宋体" w:hAnsi="宋体" w:cs="宋体"/>
          <w:sz w:val="24"/>
        </w:rPr>
        <w:t>日内整改，逾期未整改造成甲方损失的，乙方承担本合同物业管理服务费</w:t>
      </w:r>
      <w:r>
        <w:rPr>
          <w:rFonts w:hint="eastAsia" w:ascii="宋体" w:hAnsi="宋体" w:cs="宋体"/>
          <w:sz w:val="24"/>
          <w:lang w:eastAsia="zh-Hans"/>
        </w:rPr>
        <w:t>总额</w:t>
      </w:r>
      <w:r>
        <w:rPr>
          <w:rFonts w:hint="eastAsia" w:ascii="宋体" w:hAnsi="宋体" w:cs="宋体"/>
          <w:sz w:val="24"/>
        </w:rPr>
        <w:t>5%的违约金责任。</w:t>
      </w:r>
    </w:p>
    <w:p>
      <w:pPr>
        <w:spacing w:line="360" w:lineRule="auto"/>
        <w:ind w:firstLine="547" w:firstLineChars="228"/>
        <w:rPr>
          <w:rFonts w:ascii="宋体" w:hAnsi="宋体" w:cs="宋体"/>
          <w:sz w:val="24"/>
          <w:lang w:eastAsia="zh-Hans"/>
        </w:rPr>
      </w:pPr>
      <w:r>
        <w:rPr>
          <w:rFonts w:hint="eastAsia" w:ascii="宋体" w:hAnsi="宋体" w:cs="宋体"/>
          <w:sz w:val="24"/>
        </w:rPr>
        <w:t>第十五条  甲、乙任何一方无正当理由提前终止合同的，应当按合同剩余期限的物业管理服务费用的百分之二十的标准向对方支付违约金。</w:t>
      </w:r>
      <w:r>
        <w:rPr>
          <w:rFonts w:hint="eastAsia" w:ascii="宋体" w:hAnsi="宋体" w:cs="宋体"/>
          <w:sz w:val="24"/>
          <w:lang w:eastAsia="zh-Hans"/>
        </w:rPr>
        <w:t>但是因政府财政预算调整提前终止合同的，不属于甲方违约。</w:t>
      </w:r>
    </w:p>
    <w:p>
      <w:pPr>
        <w:spacing w:line="360" w:lineRule="auto"/>
        <w:ind w:firstLine="547" w:firstLineChars="228"/>
        <w:rPr>
          <w:rFonts w:ascii="宋体" w:hAnsi="宋体" w:cs="宋体"/>
          <w:sz w:val="24"/>
        </w:rPr>
      </w:pPr>
      <w:r>
        <w:rPr>
          <w:rFonts w:hint="eastAsia" w:ascii="宋体" w:hAnsi="宋体" w:cs="宋体"/>
          <w:sz w:val="24"/>
        </w:rPr>
        <w:t>第十六条  在本合同终止后双方不再续约的情况下， 乙方拒不撤出本物业区域的，乙方应当比照本合同费用标准按延迟撤出期间物业管理服务费用的百分之二十的标准向甲方支付违约金。前述行为给甲方造成损失的，乙方应当承担相应的赔偿责任。</w:t>
      </w:r>
    </w:p>
    <w:p>
      <w:pPr>
        <w:spacing w:line="360" w:lineRule="auto"/>
        <w:ind w:firstLine="547" w:firstLineChars="228"/>
        <w:rPr>
          <w:rFonts w:ascii="宋体" w:hAnsi="宋体" w:cs="宋体"/>
          <w:sz w:val="24"/>
        </w:rPr>
      </w:pPr>
      <w:r>
        <w:rPr>
          <w:rFonts w:hint="eastAsia" w:ascii="宋体" w:hAnsi="宋体" w:cs="宋体"/>
          <w:sz w:val="24"/>
        </w:rPr>
        <w:t>第十七条  乙方违反本合同第十二条按当期百分之二十的标准向甲方支付违约金。</w:t>
      </w:r>
    </w:p>
    <w:p>
      <w:pPr>
        <w:spacing w:line="360" w:lineRule="auto"/>
        <w:ind w:firstLine="547" w:firstLineChars="228"/>
        <w:rPr>
          <w:rFonts w:ascii="宋体" w:hAnsi="宋体" w:cs="宋体"/>
          <w:sz w:val="24"/>
        </w:rPr>
      </w:pPr>
      <w:r>
        <w:rPr>
          <w:rFonts w:hint="eastAsia" w:ascii="宋体" w:hAnsi="宋体" w:cs="宋体"/>
          <w:sz w:val="24"/>
        </w:rPr>
        <w:t>第十八条  因不可抗力致使合同部分或全部无法履行的， 双方互不承担赔偿责任。</w:t>
      </w:r>
    </w:p>
    <w:p>
      <w:pPr>
        <w:spacing w:line="360" w:lineRule="auto"/>
        <w:ind w:firstLine="547" w:firstLineChars="228"/>
        <w:rPr>
          <w:rFonts w:ascii="宋体" w:hAnsi="宋体" w:cs="宋体"/>
          <w:sz w:val="24"/>
        </w:rPr>
      </w:pPr>
      <w:r>
        <w:rPr>
          <w:rFonts w:hint="eastAsia" w:ascii="宋体" w:hAnsi="宋体" w:cs="宋体"/>
          <w:sz w:val="24"/>
        </w:rPr>
        <w:t>第十九条  乙方有确切证据证明属于由于甲方责任导致乙方的服务无法达到合同要求的，可不承担违约责任。</w:t>
      </w:r>
    </w:p>
    <w:p>
      <w:pPr>
        <w:spacing w:line="360" w:lineRule="auto"/>
        <w:jc w:val="center"/>
        <w:rPr>
          <w:rFonts w:ascii="宋体" w:hAnsi="宋体" w:cs="宋体"/>
          <w:b/>
          <w:bCs/>
          <w:sz w:val="28"/>
          <w:szCs w:val="28"/>
        </w:rPr>
      </w:pPr>
      <w:r>
        <w:rPr>
          <w:rFonts w:hint="eastAsia" w:ascii="宋体" w:hAnsi="宋体" w:cs="宋体"/>
          <w:b/>
          <w:bCs/>
          <w:sz w:val="28"/>
          <w:szCs w:val="28"/>
        </w:rPr>
        <w:t>第九部分  争议解决</w:t>
      </w:r>
    </w:p>
    <w:p>
      <w:pPr>
        <w:spacing w:line="360" w:lineRule="auto"/>
        <w:ind w:firstLine="547" w:firstLineChars="228"/>
        <w:rPr>
          <w:rFonts w:ascii="宋体" w:hAnsi="宋体" w:cs="宋体"/>
          <w:sz w:val="24"/>
        </w:rPr>
      </w:pPr>
      <w:r>
        <w:rPr>
          <w:rFonts w:hint="eastAsia" w:ascii="宋体" w:hAnsi="宋体" w:cs="宋体"/>
          <w:sz w:val="24"/>
        </w:rPr>
        <w:t>第二十条  合同履行过程中发生争议的，双方可以通过友好协商的方式解决。协商不成的，可以向东城区人民法院提起诉讼。</w:t>
      </w:r>
    </w:p>
    <w:p>
      <w:pPr>
        <w:spacing w:line="360" w:lineRule="auto"/>
        <w:jc w:val="center"/>
        <w:rPr>
          <w:rFonts w:ascii="宋体" w:hAnsi="宋体" w:cs="宋体"/>
          <w:b/>
          <w:bCs/>
          <w:sz w:val="28"/>
          <w:szCs w:val="28"/>
        </w:rPr>
      </w:pPr>
      <w:r>
        <w:rPr>
          <w:rFonts w:hint="eastAsia" w:ascii="宋体" w:hAnsi="宋体" w:cs="宋体"/>
          <w:b/>
          <w:bCs/>
          <w:sz w:val="28"/>
          <w:szCs w:val="28"/>
        </w:rPr>
        <w:t>第十部分  附则</w:t>
      </w:r>
    </w:p>
    <w:p>
      <w:pPr>
        <w:spacing w:line="360" w:lineRule="auto"/>
        <w:ind w:firstLine="547" w:firstLineChars="228"/>
        <w:rPr>
          <w:rFonts w:ascii="宋体" w:hAnsi="宋体" w:cs="宋体"/>
          <w:sz w:val="24"/>
        </w:rPr>
      </w:pPr>
      <w:r>
        <w:rPr>
          <w:rFonts w:hint="eastAsia" w:ascii="宋体" w:hAnsi="宋体" w:cs="宋体"/>
          <w:sz w:val="24"/>
        </w:rPr>
        <w:t>第二十一条  本合同所列附件，与合同正文具有同等效力。</w:t>
      </w:r>
    </w:p>
    <w:p>
      <w:pPr>
        <w:spacing w:line="360" w:lineRule="auto"/>
        <w:ind w:firstLine="547" w:firstLineChars="228"/>
        <w:rPr>
          <w:rFonts w:ascii="宋体" w:hAnsi="宋体" w:cs="宋体"/>
          <w:sz w:val="24"/>
        </w:rPr>
      </w:pPr>
      <w:r>
        <w:rPr>
          <w:rFonts w:hint="eastAsia" w:ascii="宋体" w:hAnsi="宋体" w:cs="宋体"/>
          <w:sz w:val="24"/>
        </w:rPr>
        <w:t>第二十二条  对本合同及附件的任何修改、 补充须经双方书面确认，与本合同具有同等的法律效力。</w:t>
      </w:r>
    </w:p>
    <w:p>
      <w:pPr>
        <w:spacing w:line="360" w:lineRule="auto"/>
        <w:ind w:firstLine="547" w:firstLineChars="228"/>
        <w:rPr>
          <w:rFonts w:ascii="宋体" w:hAnsi="宋体" w:cs="宋体"/>
          <w:sz w:val="24"/>
        </w:rPr>
      </w:pPr>
      <w:r>
        <w:rPr>
          <w:rFonts w:hint="eastAsia" w:ascii="宋体" w:hAnsi="宋体" w:cs="宋体"/>
          <w:sz w:val="24"/>
        </w:rPr>
        <w:t>第二十三条  本合同正本连同附件一式</w:t>
      </w:r>
      <w:r>
        <w:rPr>
          <w:rFonts w:hint="eastAsia" w:ascii="宋体" w:hAnsi="宋体" w:cs="宋体"/>
          <w:sz w:val="24"/>
          <w:u w:val="single"/>
        </w:rPr>
        <w:t>肆</w:t>
      </w:r>
      <w:r>
        <w:rPr>
          <w:rFonts w:hint="eastAsia" w:ascii="宋体" w:hAnsi="宋体" w:cs="宋体"/>
          <w:sz w:val="24"/>
        </w:rPr>
        <w:t>份，甲乙双方各执</w:t>
      </w:r>
      <w:r>
        <w:rPr>
          <w:rFonts w:hint="eastAsia" w:ascii="宋体" w:hAnsi="宋体" w:cs="宋体"/>
          <w:sz w:val="24"/>
          <w:u w:val="single"/>
        </w:rPr>
        <w:t>贰</w:t>
      </w:r>
      <w:r>
        <w:rPr>
          <w:rFonts w:hint="eastAsia" w:ascii="宋体" w:hAnsi="宋体" w:cs="宋体"/>
          <w:sz w:val="24"/>
        </w:rPr>
        <w:t>份，具有同等法律效力。</w:t>
      </w:r>
    </w:p>
    <w:p>
      <w:pPr>
        <w:spacing w:line="360" w:lineRule="auto"/>
        <w:ind w:firstLine="547" w:firstLineChars="228"/>
        <w:rPr>
          <w:rFonts w:ascii="宋体" w:hAnsi="宋体" w:cs="宋体"/>
          <w:sz w:val="24"/>
        </w:rPr>
      </w:pPr>
      <w:r>
        <w:rPr>
          <w:rFonts w:hint="eastAsia" w:ascii="宋体" w:hAnsi="宋体" w:cs="宋体"/>
          <w:sz w:val="24"/>
        </w:rPr>
        <w:t>第二十四条  本合同经甲乙双方盖章或签字后生效。</w:t>
      </w:r>
    </w:p>
    <w:p>
      <w:pPr>
        <w:spacing w:line="360" w:lineRule="auto"/>
        <w:rPr>
          <w:rFonts w:ascii="宋体" w:hAnsi="宋体" w:cs="宋体"/>
          <w:sz w:val="24"/>
        </w:rPr>
      </w:pPr>
      <w:r>
        <w:rPr>
          <w:rFonts w:hint="eastAsia" w:ascii="宋体" w:hAnsi="宋体" w:cs="宋体"/>
          <w:sz w:val="24"/>
        </w:rPr>
        <w:t>甲方：                                 乙方：</w:t>
      </w:r>
    </w:p>
    <w:p>
      <w:pPr>
        <w:spacing w:line="360" w:lineRule="auto"/>
        <w:rPr>
          <w:rFonts w:ascii="宋体" w:hAnsi="宋体" w:cs="宋体"/>
          <w:sz w:val="24"/>
        </w:rPr>
      </w:pPr>
      <w:r>
        <w:rPr>
          <w:rFonts w:hint="eastAsia" w:ascii="宋体" w:hAnsi="宋体" w:cs="宋体"/>
          <w:sz w:val="24"/>
        </w:rPr>
        <w:t>法定代表人/授权代表：                  法定代表人/授权代表：</w:t>
      </w:r>
    </w:p>
    <w:p>
      <w:pPr>
        <w:spacing w:line="360" w:lineRule="auto"/>
        <w:rPr>
          <w:rFonts w:ascii="宋体" w:hAnsi="宋体" w:cs="宋体"/>
          <w:sz w:val="24"/>
        </w:rPr>
      </w:pPr>
      <w:r>
        <w:rPr>
          <w:rFonts w:hint="eastAsia" w:ascii="宋体" w:hAnsi="宋体" w:cs="宋体"/>
          <w:sz w:val="24"/>
        </w:rPr>
        <w:t xml:space="preserve">                                       经办人：</w:t>
      </w:r>
    </w:p>
    <w:p>
      <w:pPr>
        <w:spacing w:line="360" w:lineRule="auto"/>
        <w:rPr>
          <w:rFonts w:ascii="宋体" w:hAnsi="宋体" w:cs="宋体"/>
          <w:sz w:val="24"/>
        </w:rPr>
      </w:pPr>
      <w:r>
        <w:rPr>
          <w:rFonts w:hint="eastAsia" w:ascii="宋体" w:hAnsi="宋体" w:cs="宋体"/>
          <w:sz w:val="24"/>
        </w:rPr>
        <w:t>联系电话：                             联系电话：</w:t>
      </w:r>
    </w:p>
    <w:p>
      <w:pPr>
        <w:spacing w:line="360" w:lineRule="auto"/>
        <w:rPr>
          <w:rFonts w:ascii="宋体" w:hAnsi="宋体" w:cs="宋体"/>
          <w:sz w:val="24"/>
        </w:rPr>
      </w:pPr>
      <w:r>
        <w:rPr>
          <w:rFonts w:hint="eastAsia" w:ascii="宋体" w:hAnsi="宋体" w:cs="宋体"/>
          <w:sz w:val="24"/>
        </w:rPr>
        <w:t>地址：                                 地址：</w:t>
      </w:r>
    </w:p>
    <w:p>
      <w:r>
        <w:rPr>
          <w:rFonts w:hint="eastAsia" w:ascii="宋体" w:hAnsi="宋体" w:cs="宋体"/>
          <w:sz w:val="24"/>
        </w:rPr>
        <w:t xml:space="preserve"> 年   月   日                              年   月   日</w:t>
      </w:r>
    </w:p>
    <w:p>
      <w:pPr>
        <w:spacing w:line="360" w:lineRule="auto"/>
        <w:jc w:val="center"/>
        <w:outlineLvl w:val="0"/>
        <w:rPr>
          <w:b/>
          <w:sz w:val="36"/>
          <w:szCs w:val="36"/>
        </w:rPr>
      </w:pPr>
      <w:r>
        <w:rPr>
          <w:b/>
          <w:sz w:val="36"/>
          <w:szCs w:val="36"/>
        </w:rPr>
        <w:br w:type="page"/>
      </w:r>
      <w:bookmarkStart w:id="675" w:name="_Toc97371947"/>
    </w:p>
    <w:p>
      <w:pPr>
        <w:spacing w:line="360" w:lineRule="auto"/>
        <w:jc w:val="center"/>
        <w:outlineLvl w:val="0"/>
        <w:rPr>
          <w:b/>
          <w:sz w:val="36"/>
          <w:szCs w:val="36"/>
        </w:rPr>
      </w:pPr>
      <w:r>
        <w:rPr>
          <w:rFonts w:hint="eastAsia"/>
          <w:b/>
          <w:sz w:val="36"/>
          <w:szCs w:val="36"/>
        </w:rPr>
        <w:t>第六章</w:t>
      </w:r>
      <w:r>
        <w:rPr>
          <w:b/>
          <w:sz w:val="36"/>
          <w:szCs w:val="36"/>
        </w:rPr>
        <w:t xml:space="preserve">   </w:t>
      </w:r>
      <w:r>
        <w:rPr>
          <w:rFonts w:hint="eastAsia"/>
          <w:b/>
          <w:sz w:val="36"/>
          <w:szCs w:val="36"/>
        </w:rPr>
        <w:t>响应文件格式</w:t>
      </w:r>
      <w:bookmarkEnd w:id="675"/>
    </w:p>
    <w:p>
      <w:pPr>
        <w:widowControl/>
        <w:spacing w:line="360" w:lineRule="auto"/>
        <w:jc w:val="left"/>
        <w:rPr>
          <w:b/>
          <w:sz w:val="24"/>
        </w:rPr>
      </w:pPr>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w:t>
      </w:r>
      <w:r>
        <w:rPr>
          <w:rFonts w:hint="eastAsia"/>
          <w:sz w:val="24"/>
        </w:rPr>
        <w:t>、供应商按照本部分的顺序编制响应文件，编制中涉及格式资料的，应按照本部分提供的内容和格式（所有表格的格式可扩展）填写提交。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rFonts w:hint="eastAsia"/>
          <w:sz w:val="24"/>
        </w:rPr>
        <w:t>、</w:t>
      </w:r>
      <w:r>
        <w:rPr>
          <w:rFonts w:hint="eastAsia"/>
          <w:kern w:val="0"/>
          <w:sz w:val="24"/>
        </w:rPr>
        <w:t>对于竞争性磋商文件中标记了</w:t>
      </w:r>
      <w:r>
        <w:rPr>
          <w:kern w:val="0"/>
          <w:sz w:val="24"/>
        </w:rPr>
        <w:t>“</w:t>
      </w:r>
      <w:r>
        <w:rPr>
          <w:rFonts w:hint="eastAsia"/>
          <w:kern w:val="0"/>
          <w:sz w:val="24"/>
        </w:rPr>
        <w:t>实质性格式</w:t>
      </w:r>
      <w:r>
        <w:rPr>
          <w:kern w:val="0"/>
          <w:sz w:val="24"/>
        </w:rPr>
        <w:t>”</w:t>
      </w:r>
      <w:r>
        <w:rPr>
          <w:rFonts w:hint="eastAsia"/>
          <w:kern w:val="0"/>
          <w:sz w:val="24"/>
        </w:rPr>
        <w:t>文件的，供应商</w:t>
      </w:r>
      <w:r>
        <w:rPr>
          <w:rFonts w:hint="eastAsia"/>
          <w:sz w:val="24"/>
        </w:rPr>
        <w:t>不得改变格式中给定的文字所表达的含义，不得删减格式中的实质性内容，不得自行添加与格式中给定的文字内容相矛盾的内容，不得对应当填写的空格不填写或不实质性响应，</w:t>
      </w:r>
      <w:r>
        <w:rPr>
          <w:rFonts w:hint="eastAsia"/>
          <w:b/>
          <w:kern w:val="0"/>
          <w:sz w:val="24"/>
        </w:rPr>
        <w:t>否则响应无效</w:t>
      </w:r>
      <w:r>
        <w:rPr>
          <w:rFonts w:hint="eastAsia"/>
          <w:kern w:val="0"/>
          <w:sz w:val="24"/>
        </w:rPr>
        <w:t>。未标记</w:t>
      </w:r>
      <w:r>
        <w:rPr>
          <w:kern w:val="0"/>
          <w:sz w:val="24"/>
        </w:rPr>
        <w:t>“</w:t>
      </w:r>
      <w:r>
        <w:rPr>
          <w:rFonts w:hint="eastAsia"/>
          <w:kern w:val="0"/>
          <w:sz w:val="24"/>
        </w:rPr>
        <w:t>实质性格式</w:t>
      </w:r>
      <w:r>
        <w:rPr>
          <w:kern w:val="0"/>
          <w:sz w:val="24"/>
        </w:rPr>
        <w:t>”</w:t>
      </w:r>
      <w:r>
        <w:rPr>
          <w:rFonts w:hint="eastAsia"/>
          <w:kern w:val="0"/>
          <w:sz w:val="24"/>
        </w:rPr>
        <w:t>的文件和竞争性磋商文件未提供格式的内容，可由供应商自行编写。</w:t>
      </w:r>
    </w:p>
    <w:p>
      <w:pPr>
        <w:tabs>
          <w:tab w:val="left" w:pos="900"/>
          <w:tab w:val="left" w:pos="1980"/>
        </w:tabs>
        <w:snapToGrid w:val="0"/>
        <w:spacing w:line="360" w:lineRule="auto"/>
        <w:ind w:left="142"/>
        <w:rPr>
          <w:sz w:val="24"/>
        </w:rPr>
      </w:pPr>
      <w:r>
        <w:rPr>
          <w:sz w:val="24"/>
        </w:rPr>
        <w:t>3</w:t>
      </w:r>
      <w:r>
        <w:rPr>
          <w:rFonts w:hint="eastAsia"/>
          <w:sz w:val="24"/>
        </w:rPr>
        <w:t>、全部声明和问题的回答及所附材料必须是真实的、准确的和完整的。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Pr>
        <w:rPr>
          <w:b/>
          <w:spacing w:val="20"/>
          <w:szCs w:val="21"/>
        </w:rPr>
      </w:pPr>
    </w:p>
    <w:p>
      <w:pPr>
        <w:rPr>
          <w:b/>
          <w:sz w:val="24"/>
        </w:rPr>
      </w:pPr>
      <w:r>
        <w:rPr>
          <w:rFonts w:hint="eastAsia"/>
          <w:b/>
          <w:spacing w:val="20"/>
          <w:sz w:val="24"/>
        </w:rPr>
        <w:t>响应文件</w:t>
      </w:r>
      <w:r>
        <w:rPr>
          <w:rFonts w:hint="eastAsia"/>
          <w:b/>
          <w:sz w:val="24"/>
        </w:rPr>
        <w:t>封面（非实质性格式）</w:t>
      </w:r>
    </w:p>
    <w:p>
      <w:pPr>
        <w:jc w:val="center"/>
        <w:rPr>
          <w:szCs w:val="21"/>
        </w:rPr>
      </w:pPr>
    </w:p>
    <w:p>
      <w:pPr>
        <w:jc w:val="center"/>
        <w:rPr>
          <w:b/>
          <w:spacing w:val="60"/>
          <w:sz w:val="84"/>
          <w:szCs w:val="84"/>
        </w:rPr>
      </w:pPr>
      <w:r>
        <w:rPr>
          <w:rFonts w:hint="eastAsia"/>
          <w:b/>
          <w:spacing w:val="60"/>
          <w:sz w:val="84"/>
          <w:szCs w:val="84"/>
        </w:rPr>
        <w:t>响</w:t>
      </w:r>
      <w:r>
        <w:rPr>
          <w:b/>
          <w:spacing w:val="60"/>
          <w:sz w:val="84"/>
          <w:szCs w:val="84"/>
        </w:rPr>
        <w:t xml:space="preserve"> </w:t>
      </w:r>
      <w:r>
        <w:rPr>
          <w:rFonts w:hint="eastAsia"/>
          <w:b/>
          <w:spacing w:val="60"/>
          <w:sz w:val="84"/>
          <w:szCs w:val="84"/>
        </w:rPr>
        <w:t>应</w:t>
      </w:r>
      <w:r>
        <w:rPr>
          <w:b/>
          <w:spacing w:val="60"/>
          <w:sz w:val="84"/>
          <w:szCs w:val="84"/>
        </w:rPr>
        <w:t xml:space="preserve"> </w:t>
      </w:r>
      <w:r>
        <w:rPr>
          <w:rFonts w:hint="eastAsia"/>
          <w:b/>
          <w:spacing w:val="60"/>
          <w:sz w:val="84"/>
          <w:szCs w:val="84"/>
        </w:rPr>
        <w:t>文</w:t>
      </w:r>
      <w:r>
        <w:rPr>
          <w:b/>
          <w:spacing w:val="60"/>
          <w:sz w:val="84"/>
          <w:szCs w:val="84"/>
        </w:rPr>
        <w:t xml:space="preserve"> </w:t>
      </w:r>
      <w:r>
        <w:rPr>
          <w:rFonts w:hint="eastAsia"/>
          <w:b/>
          <w:spacing w:val="60"/>
          <w:sz w:val="84"/>
          <w:szCs w:val="84"/>
        </w:rPr>
        <w:t>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rFonts w:hint="eastAsia"/>
          <w:b/>
          <w:spacing w:val="20"/>
          <w:sz w:val="32"/>
          <w:szCs w:val="32"/>
        </w:rPr>
        <w:t>项目名称</w:t>
      </w:r>
      <w:r>
        <w:rPr>
          <w:b/>
          <w:spacing w:val="20"/>
          <w:sz w:val="32"/>
          <w:szCs w:val="32"/>
        </w:rPr>
        <w:t>:</w:t>
      </w:r>
    </w:p>
    <w:p>
      <w:pPr>
        <w:ind w:firstLine="542" w:firstLineChars="150"/>
        <w:rPr>
          <w:b/>
          <w:spacing w:val="20"/>
          <w:sz w:val="32"/>
          <w:szCs w:val="32"/>
        </w:rPr>
      </w:pPr>
      <w:r>
        <w:rPr>
          <w:rFonts w:hint="eastAsia"/>
          <w:b/>
          <w:spacing w:val="20"/>
          <w:sz w:val="32"/>
          <w:szCs w:val="32"/>
        </w:rPr>
        <w:t>项目编号</w:t>
      </w:r>
      <w:r>
        <w:rPr>
          <w:b/>
          <w:spacing w:val="20"/>
          <w:sz w:val="32"/>
          <w:szCs w:val="32"/>
        </w:rPr>
        <w:t>/</w:t>
      </w:r>
      <w:r>
        <w:rPr>
          <w:rFonts w:hint="eastAsia"/>
          <w:b/>
          <w:spacing w:val="20"/>
          <w:sz w:val="32"/>
          <w:szCs w:val="32"/>
        </w:rPr>
        <w:t>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rFonts w:hint="eastAsia"/>
          <w:b/>
          <w:spacing w:val="20"/>
          <w:sz w:val="32"/>
          <w:szCs w:val="32"/>
        </w:rPr>
        <w:t>供应商名称：</w:t>
      </w:r>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1"/>
        <w:rPr>
          <w:sz w:val="24"/>
        </w:rPr>
      </w:pPr>
      <w:r>
        <w:rPr>
          <w:sz w:val="24"/>
        </w:rPr>
        <w:t xml:space="preserve">1 </w:t>
      </w:r>
      <w:r>
        <w:rPr>
          <w:rFonts w:hint="eastAsia"/>
          <w:sz w:val="24"/>
        </w:rPr>
        <w:t>满足《中华人民共和国政府采购法》第二十二条规定及法律法规的其他规定</w:t>
      </w:r>
    </w:p>
    <w:p>
      <w:pPr>
        <w:spacing w:line="360" w:lineRule="auto"/>
        <w:outlineLvl w:val="2"/>
        <w:rPr>
          <w:sz w:val="24"/>
        </w:rPr>
      </w:pPr>
      <w:r>
        <w:rPr>
          <w:sz w:val="24"/>
        </w:rPr>
        <w:t>1-1</w:t>
      </w:r>
      <w:r>
        <w:rPr>
          <w:rFonts w:hint="eastAsia"/>
          <w:sz w:val="24"/>
        </w:rPr>
        <w:t>营业执照等证明文件</w:t>
      </w:r>
    </w:p>
    <w:p>
      <w:pPr>
        <w:widowControl/>
        <w:jc w:val="left"/>
        <w:rPr>
          <w:sz w:val="24"/>
          <w:szCs w:val="20"/>
        </w:rPr>
      </w:pPr>
      <w:r>
        <w:rPr>
          <w:sz w:val="24"/>
        </w:rPr>
        <w:br w:type="page"/>
      </w:r>
      <w:r>
        <w:t xml:space="preserve">1-2 </w:t>
      </w:r>
      <w:r>
        <w:rPr>
          <w:rFonts w:hint="eastAsia"/>
        </w:rPr>
        <w:t>供应商资格声明书（实质性格式）</w:t>
      </w:r>
    </w:p>
    <w:p>
      <w:pPr>
        <w:jc w:val="center"/>
        <w:rPr>
          <w:b/>
          <w:sz w:val="36"/>
          <w:szCs w:val="36"/>
        </w:rPr>
      </w:pPr>
      <w:r>
        <w:rPr>
          <w:rFonts w:hint="eastAsia"/>
          <w:b/>
          <w:sz w:val="36"/>
          <w:szCs w:val="36"/>
        </w:rPr>
        <w:t>供应商资格声明书</w:t>
      </w:r>
    </w:p>
    <w:p>
      <w:pPr>
        <w:tabs>
          <w:tab w:val="left" w:pos="5580"/>
        </w:tabs>
        <w:spacing w:line="360" w:lineRule="auto"/>
        <w:rPr>
          <w:sz w:val="24"/>
        </w:rPr>
      </w:pPr>
    </w:p>
    <w:p>
      <w:pPr>
        <w:tabs>
          <w:tab w:val="left" w:pos="5580"/>
        </w:tabs>
        <w:spacing w:line="360" w:lineRule="auto"/>
        <w:rPr>
          <w:sz w:val="24"/>
        </w:rPr>
      </w:pPr>
      <w:r>
        <w:rPr>
          <w:rFonts w:hint="eastAsia"/>
          <w:sz w:val="24"/>
        </w:rPr>
        <w:t>致：</w:t>
      </w:r>
      <w:r>
        <w:rPr>
          <w:rFonts w:hint="eastAsia"/>
          <w:sz w:val="24"/>
          <w:u w:val="single"/>
        </w:rPr>
        <w:t>采购人或采购代理机构</w:t>
      </w:r>
    </w:p>
    <w:p>
      <w:pPr>
        <w:spacing w:line="360" w:lineRule="auto"/>
        <w:ind w:firstLine="480" w:firstLineChars="200"/>
        <w:rPr>
          <w:sz w:val="24"/>
        </w:rPr>
      </w:pPr>
      <w:r>
        <w:rPr>
          <w:rFonts w:hint="eastAsia"/>
          <w:sz w:val="24"/>
        </w:rPr>
        <w:t>在参与本次项目磋商中，我单位承诺：</w:t>
      </w:r>
    </w:p>
    <w:p>
      <w:pPr>
        <w:numPr>
          <w:ilvl w:val="0"/>
          <w:numId w:val="24"/>
        </w:numPr>
        <w:spacing w:line="360" w:lineRule="auto"/>
        <w:ind w:left="1134"/>
        <w:rPr>
          <w:sz w:val="24"/>
          <w:szCs w:val="22"/>
        </w:rPr>
      </w:pPr>
      <w:r>
        <w:rPr>
          <w:rFonts w:hint="eastAsia"/>
          <w:sz w:val="24"/>
          <w:szCs w:val="22"/>
        </w:rPr>
        <w:t>具有良好的商业信誉和健全的财务会计制度；</w:t>
      </w:r>
    </w:p>
    <w:p>
      <w:pPr>
        <w:numPr>
          <w:ilvl w:val="0"/>
          <w:numId w:val="24"/>
        </w:numPr>
        <w:spacing w:line="360" w:lineRule="auto"/>
        <w:ind w:left="1134"/>
        <w:rPr>
          <w:sz w:val="24"/>
          <w:szCs w:val="22"/>
        </w:rPr>
      </w:pPr>
      <w:r>
        <w:rPr>
          <w:rFonts w:hint="eastAsia"/>
          <w:sz w:val="24"/>
          <w:szCs w:val="22"/>
        </w:rPr>
        <w:t>具有履行合同所必需的设备和专业技术能力；</w:t>
      </w:r>
    </w:p>
    <w:p>
      <w:pPr>
        <w:numPr>
          <w:ilvl w:val="0"/>
          <w:numId w:val="24"/>
        </w:numPr>
        <w:spacing w:line="360" w:lineRule="auto"/>
        <w:ind w:left="1134"/>
        <w:rPr>
          <w:sz w:val="24"/>
          <w:szCs w:val="22"/>
        </w:rPr>
      </w:pPr>
      <w:r>
        <w:rPr>
          <w:rFonts w:hint="eastAsia"/>
          <w:sz w:val="24"/>
          <w:szCs w:val="22"/>
        </w:rPr>
        <w:t>有依法缴纳税收和社会保障资金的良好记录；</w:t>
      </w:r>
    </w:p>
    <w:p>
      <w:pPr>
        <w:numPr>
          <w:ilvl w:val="0"/>
          <w:numId w:val="24"/>
        </w:numPr>
        <w:spacing w:line="360" w:lineRule="auto"/>
        <w:ind w:left="1134"/>
        <w:rPr>
          <w:sz w:val="24"/>
          <w:szCs w:val="22"/>
        </w:rPr>
      </w:pPr>
      <w:r>
        <w:rPr>
          <w:rFonts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4"/>
        </w:numPr>
        <w:spacing w:line="360" w:lineRule="auto"/>
        <w:ind w:left="1134"/>
        <w:rPr>
          <w:sz w:val="24"/>
          <w:szCs w:val="22"/>
        </w:rPr>
      </w:pPr>
      <w:r>
        <w:rPr>
          <w:rFonts w:hint="eastAsia"/>
          <w:sz w:val="24"/>
          <w:szCs w:val="22"/>
        </w:rPr>
        <w:t>我单位不属于政府采购法律、行政法规规定的公益一类事业单位、或使用事业编制且由财政拨款保障的群团组织（仅适用于政府购买服务项目）；</w:t>
      </w:r>
    </w:p>
    <w:p>
      <w:pPr>
        <w:numPr>
          <w:ilvl w:val="0"/>
          <w:numId w:val="24"/>
        </w:numPr>
        <w:spacing w:line="360" w:lineRule="auto"/>
        <w:ind w:left="1134"/>
        <w:rPr>
          <w:sz w:val="24"/>
          <w:szCs w:val="22"/>
        </w:rPr>
      </w:pPr>
      <w:r>
        <w:rPr>
          <w:rFonts w:hint="eastAsia"/>
          <w:sz w:val="24"/>
          <w:szCs w:val="22"/>
        </w:rPr>
        <w:t>我不存在为采购项目提供整体设计、规范编制或者项目管理、监理、检测等服务后，再参加该采购项目的其他采购活动的情形（单一来源采购项目除外）；</w:t>
      </w:r>
    </w:p>
    <w:p>
      <w:pPr>
        <w:numPr>
          <w:ilvl w:val="0"/>
          <w:numId w:val="24"/>
        </w:numPr>
        <w:spacing w:line="360" w:lineRule="auto"/>
        <w:ind w:left="1134"/>
        <w:rPr>
          <w:sz w:val="24"/>
          <w:szCs w:val="22"/>
        </w:rPr>
      </w:pPr>
      <w:r>
        <w:rPr>
          <w:rFonts w:hint="eastAsia"/>
          <w:sz w:val="24"/>
          <w:szCs w:val="22"/>
        </w:rPr>
        <w:t>与我单位存在</w:t>
      </w:r>
      <w:r>
        <w:rPr>
          <w:sz w:val="24"/>
          <w:szCs w:val="22"/>
        </w:rPr>
        <w:t>“</w:t>
      </w:r>
      <w:r>
        <w:rPr>
          <w:rFonts w:hint="eastAsia"/>
          <w:sz w:val="24"/>
          <w:szCs w:val="22"/>
        </w:rPr>
        <w:t>单位负责人为同一人或者存在直接控股、管理关系</w:t>
      </w:r>
      <w:r>
        <w:rPr>
          <w:sz w:val="24"/>
          <w:szCs w:val="22"/>
        </w:rPr>
        <w:t>”</w:t>
      </w:r>
      <w:r>
        <w:rPr>
          <w:rFonts w:hint="eastAsia"/>
          <w:sz w:val="24"/>
          <w:szCs w:val="22"/>
        </w:rPr>
        <w:t>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r>
              <w:rPr>
                <w:rFonts w:hint="eastAsia"/>
                <w:sz w:val="24"/>
              </w:rPr>
              <w:t>序号</w:t>
            </w:r>
          </w:p>
        </w:tc>
        <w:tc>
          <w:tcPr>
            <w:tcW w:w="4574"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r>
              <w:rPr>
                <w:rFonts w:hint="eastAsia"/>
                <w:sz w:val="24"/>
              </w:rPr>
              <w:t>单位名称</w:t>
            </w:r>
          </w:p>
        </w:tc>
        <w:tc>
          <w:tcPr>
            <w:tcW w:w="297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r>
              <w:rPr>
                <w:rFonts w:hint="eastAsia"/>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r>
              <w:rPr>
                <w:sz w:val="24"/>
              </w:rPr>
              <w:t>1</w:t>
            </w:r>
          </w:p>
        </w:tc>
        <w:tc>
          <w:tcPr>
            <w:tcW w:w="4574"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297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r>
              <w:rPr>
                <w:sz w:val="24"/>
              </w:rPr>
              <w:t>…</w:t>
            </w:r>
          </w:p>
        </w:tc>
        <w:tc>
          <w:tcPr>
            <w:tcW w:w="4574"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c>
          <w:tcPr>
            <w:tcW w:w="2976" w:type="dxa"/>
            <w:tcBorders>
              <w:top w:val="single" w:color="000000" w:sz="4" w:space="0"/>
              <w:left w:val="single" w:color="000000" w:sz="4" w:space="0"/>
              <w:bottom w:val="single" w:color="000000" w:sz="4" w:space="0"/>
              <w:right w:val="single" w:color="000000" w:sz="4" w:space="0"/>
            </w:tcBorders>
            <w:vAlign w:val="center"/>
          </w:tcPr>
          <w:p>
            <w:pPr>
              <w:jc w:val="center"/>
              <w:rPr>
                <w:sz w:val="24"/>
              </w:rPr>
            </w:pPr>
          </w:p>
        </w:tc>
      </w:tr>
    </w:tbl>
    <w:p/>
    <w:p>
      <w:pPr>
        <w:ind w:firstLine="480" w:firstLineChars="200"/>
        <w:rPr>
          <w:sz w:val="24"/>
          <w:szCs w:val="22"/>
        </w:rPr>
      </w:pPr>
      <w:r>
        <w:rPr>
          <w:rFonts w:hint="eastAsia"/>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sz w:val="24"/>
          <w:lang w:val="zh-CN"/>
        </w:rPr>
      </w:pPr>
      <w:r>
        <w:rPr>
          <w:rFonts w:hint="eastAsia"/>
          <w:sz w:val="24"/>
        </w:rPr>
        <w:t>供应商名称（加盖公章）</w:t>
      </w:r>
      <w:r>
        <w:rPr>
          <w:rFonts w:hint="eastAsia"/>
          <w:sz w:val="24"/>
          <w:lang w:val="zh-CN"/>
        </w:rPr>
        <w:t>：</w:t>
      </w:r>
      <w:r>
        <w:rPr>
          <w:sz w:val="24"/>
        </w:rPr>
        <w:t>______</w:t>
      </w:r>
    </w:p>
    <w:p>
      <w:pPr>
        <w:spacing w:line="360" w:lineRule="auto"/>
        <w:ind w:right="360" w:firstLine="480"/>
        <w:jc w:val="right"/>
        <w:rPr>
          <w:sz w:val="24"/>
        </w:rPr>
      </w:pPr>
      <w:r>
        <w:rPr>
          <w:rFonts w:hint="eastAsia"/>
          <w:sz w:val="24"/>
          <w:szCs w:val="20"/>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r>
        <w:rPr>
          <w:sz w:val="24"/>
          <w:szCs w:val="20"/>
        </w:rPr>
        <w:t xml:space="preserve">   </w:t>
      </w:r>
    </w:p>
    <w:p>
      <w:pPr>
        <w:spacing w:line="360" w:lineRule="auto"/>
        <w:rPr>
          <w:sz w:val="24"/>
        </w:rPr>
      </w:pPr>
      <w:r>
        <w:rPr>
          <w:rFonts w:hint="eastAsia"/>
          <w:sz w:val="24"/>
        </w:rPr>
        <w:t>说明：供应商承诺不实的，依据《政府采购法》第七十七条“提供虚假材料谋取中标、成交的”有关规定予以处理。</w:t>
      </w:r>
    </w:p>
    <w:p>
      <w:pPr>
        <w:widowControl/>
        <w:spacing w:line="360" w:lineRule="auto"/>
        <w:jc w:val="left"/>
        <w:rPr>
          <w:sz w:val="24"/>
        </w:rPr>
        <w:sectPr>
          <w:pgSz w:w="11907" w:h="16840"/>
          <w:pgMar w:top="1418" w:right="1134" w:bottom="1418" w:left="1701" w:header="851" w:footer="851" w:gutter="0"/>
          <w:cols w:space="720" w:num="1"/>
        </w:sectPr>
      </w:pPr>
    </w:p>
    <w:p>
      <w:pPr>
        <w:tabs>
          <w:tab w:val="left" w:pos="360"/>
        </w:tabs>
        <w:snapToGrid w:val="0"/>
        <w:spacing w:line="360" w:lineRule="auto"/>
        <w:outlineLvl w:val="1"/>
        <w:rPr>
          <w:sz w:val="24"/>
        </w:rPr>
      </w:pPr>
      <w:r>
        <w:rPr>
          <w:sz w:val="24"/>
        </w:rPr>
        <w:t xml:space="preserve">2 </w:t>
      </w:r>
      <w:r>
        <w:rPr>
          <w:rFonts w:hint="eastAsia"/>
          <w:sz w:val="24"/>
        </w:rPr>
        <w:t>落实政府采购政策需满足的资格要求（如有）</w:t>
      </w:r>
    </w:p>
    <w:p>
      <w:pPr>
        <w:spacing w:line="360" w:lineRule="auto"/>
        <w:outlineLvl w:val="2"/>
        <w:rPr>
          <w:sz w:val="24"/>
          <w:szCs w:val="20"/>
        </w:rPr>
      </w:pPr>
      <w:r>
        <w:rPr>
          <w:sz w:val="24"/>
          <w:szCs w:val="20"/>
        </w:rPr>
        <w:t>2-1</w:t>
      </w:r>
      <w:r>
        <w:rPr>
          <w:rFonts w:hint="eastAsia"/>
          <w:sz w:val="24"/>
          <w:szCs w:val="20"/>
        </w:rPr>
        <w:t>中小企业声明函</w:t>
      </w:r>
    </w:p>
    <w:p>
      <w:pPr>
        <w:tabs>
          <w:tab w:val="left" w:pos="5580"/>
        </w:tabs>
        <w:spacing w:line="360" w:lineRule="auto"/>
        <w:rPr>
          <w:sz w:val="24"/>
        </w:rPr>
      </w:pP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w:t>
      </w:r>
      <w:r>
        <w:rPr>
          <w:sz w:val="24"/>
        </w:rPr>
        <w:t>1</w:t>
      </w:r>
      <w:r>
        <w:rPr>
          <w:rFonts w:hint="eastAsia"/>
          <w:sz w:val="24"/>
        </w:rPr>
        <w:t>）如本项目（包）不专门面向中小企业预留采购份额，供应商非必须提供；当小微企业拟享受中小企业扶持政策时，仍应提供《中小企业声明函》，否则不得享受相关中小企业扶持政策。</w:t>
      </w:r>
    </w:p>
    <w:p>
      <w:pPr>
        <w:tabs>
          <w:tab w:val="left" w:pos="5580"/>
        </w:tabs>
        <w:spacing w:line="360" w:lineRule="auto"/>
        <w:rPr>
          <w:sz w:val="24"/>
        </w:rPr>
      </w:pPr>
      <w:r>
        <w:rPr>
          <w:rFonts w:hint="eastAsia"/>
          <w:sz w:val="24"/>
        </w:rPr>
        <w:t>（</w:t>
      </w:r>
      <w:r>
        <w:rPr>
          <w:sz w:val="24"/>
        </w:rPr>
        <w:t>2</w:t>
      </w:r>
      <w:r>
        <w:rPr>
          <w:rFonts w:hint="eastAsia"/>
          <w:sz w:val="24"/>
        </w:rPr>
        <w:t>）如本项目（包）专门面向中小</w:t>
      </w:r>
      <w:r>
        <w:rPr>
          <w:sz w:val="24"/>
        </w:rPr>
        <w:t>/</w:t>
      </w:r>
      <w:r>
        <w:rPr>
          <w:rFonts w:hint="eastAsia"/>
          <w:sz w:val="24"/>
        </w:rPr>
        <w:t>小微企业采购，须提供《中小企业声明函》（实质性格式）。</w:t>
      </w:r>
    </w:p>
    <w:p>
      <w:pPr>
        <w:tabs>
          <w:tab w:val="left" w:pos="5580"/>
        </w:tabs>
        <w:spacing w:line="360" w:lineRule="auto"/>
        <w:rPr>
          <w:sz w:val="24"/>
        </w:rPr>
      </w:pPr>
      <w:r>
        <w:rPr>
          <w:rFonts w:hint="eastAsia"/>
          <w:sz w:val="24"/>
        </w:rPr>
        <w:t>（</w:t>
      </w:r>
      <w:r>
        <w:rPr>
          <w:sz w:val="24"/>
        </w:rPr>
        <w:t>3</w:t>
      </w:r>
      <w:r>
        <w:rPr>
          <w:rFonts w:hint="eastAsia"/>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rFonts w:hint="eastAsia"/>
          <w:sz w:val="24"/>
        </w:rPr>
        <w:t>（</w:t>
      </w:r>
      <w:r>
        <w:rPr>
          <w:sz w:val="24"/>
        </w:rPr>
        <w:t>4</w:t>
      </w:r>
      <w:r>
        <w:rPr>
          <w:rFonts w:hint="eastAsia"/>
          <w:sz w:val="24"/>
        </w:rPr>
        <w:t>）其他</w:t>
      </w:r>
    </w:p>
    <w:p>
      <w:pPr>
        <w:tabs>
          <w:tab w:val="left" w:pos="5580"/>
        </w:tabs>
        <w:spacing w:line="360" w:lineRule="auto"/>
        <w:rPr>
          <w:sz w:val="24"/>
        </w:rPr>
      </w:pPr>
      <w:r>
        <w:rPr>
          <w:sz w:val="24"/>
        </w:rPr>
        <w:t>1</w:t>
      </w:r>
      <w:r>
        <w:rPr>
          <w:rFonts w:hint="eastAsia"/>
          <w:sz w:val="24"/>
        </w:rPr>
        <w:t>）中小企业参加政府采购活动，应当出具此格式文件。《中小企业声明函》由参加政府采购活动的供应商出具。联合体响应的，《中小企业声明函》由牵头人出具。</w:t>
      </w:r>
    </w:p>
    <w:p>
      <w:pPr>
        <w:tabs>
          <w:tab w:val="left" w:pos="5580"/>
        </w:tabs>
        <w:spacing w:line="360" w:lineRule="auto"/>
        <w:rPr>
          <w:sz w:val="24"/>
        </w:rPr>
      </w:pPr>
      <w:r>
        <w:rPr>
          <w:sz w:val="24"/>
        </w:rPr>
        <w:t>2</w:t>
      </w:r>
      <w:r>
        <w:rPr>
          <w:rFonts w:hint="eastAsia"/>
          <w:sz w:val="24"/>
        </w:rPr>
        <w:t>）对于联合体中由中小企业承担的部分，或者分包给中小企业的部分，必须全部由中小企业制造、承建或者承接。供应商应当在声明函</w:t>
      </w:r>
      <w:r>
        <w:rPr>
          <w:sz w:val="24"/>
        </w:rPr>
        <w:t>“</w:t>
      </w:r>
      <w:r>
        <w:rPr>
          <w:rFonts w:hint="eastAsia"/>
          <w:sz w:val="24"/>
        </w:rPr>
        <w:t>项目名称</w:t>
      </w:r>
      <w:r>
        <w:rPr>
          <w:sz w:val="24"/>
        </w:rPr>
        <w:t>”</w:t>
      </w:r>
      <w:r>
        <w:rPr>
          <w:rFonts w:hint="eastAsia"/>
          <w:sz w:val="24"/>
        </w:rPr>
        <w:t>部分标明联合体中中小企业承担的具体内容或者中小企业的具体分包内容。</w:t>
      </w:r>
    </w:p>
    <w:p>
      <w:pPr>
        <w:tabs>
          <w:tab w:val="left" w:pos="5580"/>
        </w:tabs>
        <w:spacing w:line="360" w:lineRule="auto"/>
        <w:rPr>
          <w:sz w:val="24"/>
        </w:rPr>
      </w:pPr>
      <w:r>
        <w:rPr>
          <w:sz w:val="24"/>
        </w:rPr>
        <w:t>3</w:t>
      </w:r>
      <w:r>
        <w:rPr>
          <w:rFonts w:hint="eastAsia"/>
          <w:sz w:val="24"/>
        </w:rPr>
        <w:t>）对于多标的的采购项目，供应商应充分、准确地了解所投产品制造企业信息。对相关情况了解不清楚的，不建议填报本声明函。</w:t>
      </w:r>
    </w:p>
    <w:p>
      <w:pPr>
        <w:tabs>
          <w:tab w:val="left" w:pos="5580"/>
        </w:tabs>
        <w:spacing w:line="360" w:lineRule="auto"/>
        <w:rPr>
          <w:sz w:val="24"/>
        </w:rPr>
      </w:pPr>
      <w:r>
        <w:rPr>
          <w:rFonts w:hint="eastAsia"/>
          <w:sz w:val="24"/>
        </w:rPr>
        <w:t>（</w:t>
      </w:r>
      <w:r>
        <w:rPr>
          <w:sz w:val="24"/>
        </w:rPr>
        <w:t>5</w:t>
      </w:r>
      <w:r>
        <w:rPr>
          <w:rFonts w:hint="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sz w:val="24"/>
        </w:rPr>
      </w:pPr>
    </w:p>
    <w:p>
      <w:pPr>
        <w:widowControl/>
        <w:jc w:val="left"/>
        <w:rPr>
          <w:sz w:val="24"/>
        </w:rPr>
      </w:pPr>
    </w:p>
    <w:p>
      <w:pPr>
        <w:spacing w:line="360" w:lineRule="auto"/>
        <w:rPr>
          <w:sz w:val="24"/>
        </w:rPr>
      </w:pPr>
    </w:p>
    <w:p>
      <w:pPr>
        <w:spacing w:before="312" w:beforeLines="100" w:after="312" w:afterLines="100" w:line="360" w:lineRule="auto"/>
        <w:jc w:val="center"/>
        <w:rPr>
          <w:b/>
          <w:bCs/>
          <w:sz w:val="36"/>
          <w:szCs w:val="36"/>
        </w:rPr>
      </w:pPr>
      <w:r>
        <w:rPr>
          <w:sz w:val="24"/>
        </w:rPr>
        <w:br w:type="page"/>
      </w:r>
      <w:r>
        <w:rPr>
          <w:rFonts w:hint="eastAsia"/>
          <w:b/>
          <w:bCs/>
          <w:sz w:val="36"/>
          <w:szCs w:val="36"/>
        </w:rPr>
        <w:t>中小企业声明函（工程、服务）格式</w:t>
      </w:r>
    </w:p>
    <w:p>
      <w:pPr>
        <w:spacing w:line="360" w:lineRule="auto"/>
        <w:ind w:firstLine="504"/>
        <w:rPr>
          <w:spacing w:val="6"/>
          <w:sz w:val="24"/>
        </w:rPr>
      </w:pPr>
      <w:r>
        <w:rPr>
          <w:rFonts w:hint="eastAsia"/>
          <w:spacing w:val="6"/>
          <w:sz w:val="24"/>
        </w:rPr>
        <w:t>本公司（联合体）郑重声明，根据《政府采购促进中小企业发展管理办法》（财库﹝</w:t>
      </w:r>
      <w:r>
        <w:rPr>
          <w:spacing w:val="6"/>
          <w:sz w:val="24"/>
        </w:rPr>
        <w:t>2020</w:t>
      </w:r>
      <w:r>
        <w:rPr>
          <w:rFonts w:hint="eastAsia"/>
          <w:spacing w:val="6"/>
          <w:sz w:val="24"/>
        </w:rPr>
        <w:t>﹞</w:t>
      </w:r>
      <w:r>
        <w:rPr>
          <w:spacing w:val="6"/>
          <w:sz w:val="24"/>
        </w:rPr>
        <w:t xml:space="preserve">46 </w:t>
      </w:r>
      <w:r>
        <w:rPr>
          <w:rFonts w:hint="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w:t>
      </w:r>
      <w:r>
        <w:rPr>
          <w:rFonts w:hint="eastAsia"/>
          <w:spacing w:val="6"/>
          <w:sz w:val="24"/>
          <w:u w:val="single"/>
        </w:rPr>
        <w:t>（标的名称）</w:t>
      </w:r>
      <w:r>
        <w:rPr>
          <w:spacing w:val="6"/>
          <w:sz w:val="24"/>
          <w:u w:val="single"/>
        </w:rPr>
        <w:t xml:space="preserve"> </w:t>
      </w:r>
      <w:r>
        <w:rPr>
          <w:rFonts w:hint="eastAsia"/>
          <w:spacing w:val="6"/>
          <w:sz w:val="24"/>
        </w:rPr>
        <w:t>，属于</w:t>
      </w:r>
      <w:r>
        <w:rPr>
          <w:rFonts w:hint="eastAsia"/>
          <w:spacing w:val="6"/>
          <w:sz w:val="24"/>
          <w:u w:val="single"/>
        </w:rPr>
        <w:t>（竞争性磋商文件中明确的所属行业）</w:t>
      </w:r>
      <w:r>
        <w:rPr>
          <w:rFonts w:hint="eastAsia"/>
          <w:spacing w:val="6"/>
          <w:sz w:val="24"/>
        </w:rPr>
        <w:t>行业；承建（承接）企业为</w:t>
      </w:r>
      <w:r>
        <w:rPr>
          <w:rFonts w:hint="eastAsia"/>
          <w:spacing w:val="6"/>
          <w:sz w:val="24"/>
          <w:u w:val="single"/>
        </w:rPr>
        <w:t>（企业名称）</w:t>
      </w:r>
      <w:r>
        <w:rPr>
          <w:rFonts w:hint="eastAsia"/>
          <w:spacing w:val="6"/>
          <w:sz w:val="24"/>
        </w:rPr>
        <w:t>，从业人员</w:t>
      </w:r>
      <w:r>
        <w:rPr>
          <w:sz w:val="24"/>
        </w:rPr>
        <w:t>______</w:t>
      </w:r>
      <w:r>
        <w:rPr>
          <w:rFonts w:hint="eastAsia"/>
          <w:spacing w:val="6"/>
          <w:sz w:val="24"/>
        </w:rPr>
        <w:t>人，营业收入为</w:t>
      </w:r>
      <w:r>
        <w:rPr>
          <w:sz w:val="24"/>
        </w:rPr>
        <w:t>______</w:t>
      </w:r>
      <w:r>
        <w:rPr>
          <w:rFonts w:hint="eastAsia"/>
          <w:spacing w:val="6"/>
          <w:sz w:val="24"/>
        </w:rPr>
        <w:t>万元，资产总额为</w:t>
      </w:r>
      <w:r>
        <w:rPr>
          <w:sz w:val="24"/>
        </w:rPr>
        <w:t>______</w:t>
      </w:r>
      <w:r>
        <w:rPr>
          <w:rFonts w:hint="eastAsia"/>
          <w:spacing w:val="6"/>
          <w:sz w:val="24"/>
        </w:rPr>
        <w:t>万元</w:t>
      </w:r>
      <w:r>
        <w:rPr>
          <w:spacing w:val="6"/>
          <w:sz w:val="24"/>
          <w:vertAlign w:val="superscript"/>
        </w:rPr>
        <w:t>1</w:t>
      </w:r>
      <w:r>
        <w:rPr>
          <w:rFonts w:hint="eastAsia"/>
          <w:spacing w:val="6"/>
          <w:sz w:val="24"/>
        </w:rPr>
        <w:t>，属于（中型企业、小型企业、微型企业）；</w:t>
      </w:r>
    </w:p>
    <w:p>
      <w:pPr>
        <w:spacing w:line="360" w:lineRule="auto"/>
        <w:ind w:firstLine="504"/>
        <w:rPr>
          <w:spacing w:val="6"/>
          <w:sz w:val="24"/>
        </w:rPr>
      </w:pPr>
      <w:r>
        <w:rPr>
          <w:spacing w:val="6"/>
          <w:sz w:val="24"/>
        </w:rPr>
        <w:t xml:space="preserve">2. </w:t>
      </w:r>
      <w:r>
        <w:rPr>
          <w:rFonts w:hint="eastAsia"/>
          <w:spacing w:val="6"/>
          <w:sz w:val="24"/>
          <w:u w:val="single"/>
        </w:rPr>
        <w:t>（标的名称）</w:t>
      </w:r>
      <w:r>
        <w:rPr>
          <w:spacing w:val="6"/>
          <w:sz w:val="24"/>
          <w:u w:val="single"/>
        </w:rPr>
        <w:t xml:space="preserve"> </w:t>
      </w:r>
      <w:r>
        <w:rPr>
          <w:rFonts w:hint="eastAsia"/>
          <w:spacing w:val="6"/>
          <w:sz w:val="24"/>
        </w:rPr>
        <w:t>，属于</w:t>
      </w:r>
      <w:r>
        <w:rPr>
          <w:rFonts w:hint="eastAsia"/>
          <w:spacing w:val="6"/>
          <w:sz w:val="24"/>
          <w:u w:val="single"/>
        </w:rPr>
        <w:t>（竞争性磋商文件中明确的所属行业）</w:t>
      </w:r>
      <w:r>
        <w:rPr>
          <w:rFonts w:hint="eastAsia"/>
          <w:spacing w:val="6"/>
          <w:sz w:val="24"/>
        </w:rPr>
        <w:t>行业；承建（承接）企业为</w:t>
      </w:r>
      <w:r>
        <w:rPr>
          <w:rFonts w:hint="eastAsia"/>
          <w:spacing w:val="6"/>
          <w:sz w:val="24"/>
          <w:u w:val="single"/>
        </w:rPr>
        <w:t>（企业名称）</w:t>
      </w:r>
      <w:r>
        <w:rPr>
          <w:rFonts w:hint="eastAsia"/>
          <w:spacing w:val="6"/>
          <w:sz w:val="24"/>
        </w:rPr>
        <w:t>，从业人员</w:t>
      </w:r>
      <w:r>
        <w:rPr>
          <w:sz w:val="24"/>
        </w:rPr>
        <w:t>______</w:t>
      </w:r>
      <w:r>
        <w:rPr>
          <w:rFonts w:hint="eastAsia"/>
          <w:spacing w:val="6"/>
          <w:sz w:val="24"/>
        </w:rPr>
        <w:t>人，营业收入为</w:t>
      </w:r>
      <w:r>
        <w:rPr>
          <w:sz w:val="24"/>
        </w:rPr>
        <w:t>______</w:t>
      </w:r>
      <w:r>
        <w:rPr>
          <w:rFonts w:hint="eastAsia"/>
          <w:spacing w:val="6"/>
          <w:sz w:val="24"/>
        </w:rPr>
        <w:t>万元，资产总额为</w:t>
      </w:r>
      <w:r>
        <w:rPr>
          <w:sz w:val="24"/>
        </w:rPr>
        <w:t>______</w:t>
      </w:r>
      <w:r>
        <w:rPr>
          <w:rFonts w:hint="eastAsia"/>
          <w:spacing w:val="6"/>
          <w:sz w:val="24"/>
        </w:rPr>
        <w:t>万元，属于</w:t>
      </w:r>
      <w:r>
        <w:rPr>
          <w:rFonts w:hint="eastAsia"/>
          <w:spacing w:val="6"/>
          <w:sz w:val="24"/>
          <w:u w:val="single"/>
        </w:rPr>
        <w:t>（中型企业、小型企业、微型企业）</w:t>
      </w:r>
      <w:r>
        <w:rPr>
          <w:rFonts w:hint="eastAsia"/>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rFonts w:hint="eastAsia"/>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rFonts w:hint="eastAsia"/>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rFonts w:hint="eastAsia"/>
          <w:sz w:val="24"/>
        </w:rPr>
        <w:t>企业名称（盖章）：</w:t>
      </w:r>
      <w:r>
        <w:rPr>
          <w:sz w:val="24"/>
        </w:rPr>
        <w:t>______</w:t>
      </w:r>
    </w:p>
    <w:p>
      <w:pPr>
        <w:spacing w:line="360" w:lineRule="auto"/>
        <w:ind w:right="360" w:firstLine="480"/>
        <w:jc w:val="right"/>
        <w:rPr>
          <w:sz w:val="24"/>
        </w:rPr>
      </w:pPr>
      <w:r>
        <w:rPr>
          <w:rFonts w:hint="eastAsia"/>
          <w:sz w:val="24"/>
        </w:rPr>
        <w:t>日</w:t>
      </w:r>
      <w:r>
        <w:rPr>
          <w:sz w:val="24"/>
        </w:rPr>
        <w:t xml:space="preserve"> </w:t>
      </w:r>
      <w:r>
        <w:rPr>
          <w:rFonts w:hint="eastAsia"/>
          <w:sz w:val="24"/>
        </w:rPr>
        <w:t>期：</w:t>
      </w:r>
      <w:r>
        <w:rPr>
          <w:sz w:val="24"/>
        </w:rPr>
        <w:t>______</w:t>
      </w:r>
    </w:p>
    <w:p>
      <w:pPr>
        <w:adjustRightInd w:val="0"/>
        <w:snapToGrid w:val="0"/>
        <w:jc w:val="left"/>
        <w:rPr>
          <w:sz w:val="24"/>
          <w:szCs w:val="21"/>
        </w:rPr>
      </w:pPr>
    </w:p>
    <w:p>
      <w:pPr>
        <w:adjustRightInd w:val="0"/>
        <w:snapToGrid w:val="0"/>
        <w:jc w:val="left"/>
        <w:rPr>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Borders>
              <w:top w:val="single" w:color="auto" w:sz="4" w:space="0"/>
              <w:left w:val="nil"/>
              <w:bottom w:val="nil"/>
              <w:right w:val="nil"/>
            </w:tcBorders>
          </w:tcPr>
          <w:p>
            <w:pPr>
              <w:adjustRightInd w:val="0"/>
              <w:snapToGrid w:val="0"/>
              <w:jc w:val="left"/>
              <w:rPr>
                <w:szCs w:val="21"/>
              </w:rPr>
            </w:pPr>
            <w:r>
              <w:rPr>
                <w:szCs w:val="21"/>
                <w:vertAlign w:val="superscript"/>
              </w:rPr>
              <w:t>1</w:t>
            </w:r>
            <w:r>
              <w:rPr>
                <w:rFonts w:hint="eastAsia"/>
                <w:szCs w:val="21"/>
              </w:rPr>
              <w:t>从业人员、营业收入、资产总额填报上一年度数据，无上一年度数据的新成立企业可不填报。</w:t>
            </w:r>
          </w:p>
        </w:tc>
      </w:tr>
    </w:tbl>
    <w:p>
      <w:pPr>
        <w:adjustRightInd w:val="0"/>
        <w:snapToGrid w:val="0"/>
        <w:jc w:val="left"/>
        <w:rPr>
          <w:szCs w:val="21"/>
          <w:vertAlign w:val="superscript"/>
        </w:rPr>
      </w:pPr>
    </w:p>
    <w:p>
      <w:pPr>
        <w:spacing w:line="360" w:lineRule="auto"/>
        <w:ind w:right="360" w:firstLine="480"/>
        <w:jc w:val="right"/>
        <w:rPr>
          <w:sz w:val="24"/>
        </w:rPr>
      </w:pPr>
    </w:p>
    <w:p>
      <w:pPr>
        <w:spacing w:line="360" w:lineRule="auto"/>
        <w:ind w:right="360" w:firstLine="480"/>
        <w:jc w:val="right"/>
        <w:rPr>
          <w:sz w:val="24"/>
        </w:rPr>
      </w:pPr>
    </w:p>
    <w:p>
      <w:pPr>
        <w:spacing w:line="360" w:lineRule="auto"/>
        <w:outlineLvl w:val="2"/>
        <w:rPr>
          <w:sz w:val="24"/>
          <w:szCs w:val="20"/>
        </w:rPr>
      </w:pPr>
      <w:r>
        <w:rPr>
          <w:sz w:val="24"/>
          <w:szCs w:val="20"/>
        </w:rPr>
        <w:br w:type="page"/>
      </w:r>
    </w:p>
    <w:p>
      <w:pPr>
        <w:spacing w:before="312" w:beforeLines="100" w:after="312" w:afterLines="100" w:line="360" w:lineRule="auto"/>
        <w:jc w:val="center"/>
        <w:rPr>
          <w:b/>
          <w:sz w:val="36"/>
          <w:szCs w:val="36"/>
        </w:rPr>
      </w:pPr>
      <w:r>
        <w:rPr>
          <w:rFonts w:hint="eastAsia"/>
          <w:b/>
          <w:bCs/>
          <w:sz w:val="36"/>
          <w:szCs w:val="36"/>
        </w:rPr>
        <w:t>残疾人福利性单位声明函格式</w:t>
      </w:r>
      <w:r>
        <w:rPr>
          <w:b/>
          <w:sz w:val="36"/>
          <w:szCs w:val="36"/>
        </w:rPr>
        <w:t xml:space="preserve">       </w:t>
      </w:r>
    </w:p>
    <w:p>
      <w:pPr>
        <w:spacing w:line="588" w:lineRule="exact"/>
        <w:ind w:firstLine="504"/>
        <w:rPr>
          <w:spacing w:val="6"/>
          <w:sz w:val="24"/>
        </w:rPr>
      </w:pPr>
      <w:r>
        <w:rPr>
          <w:rFonts w:hint="eastAsia"/>
          <w:spacing w:val="6"/>
          <w:sz w:val="24"/>
        </w:rPr>
        <w:t>本单位郑重声明，根据《财政部</w:t>
      </w:r>
      <w:r>
        <w:rPr>
          <w:spacing w:val="6"/>
          <w:sz w:val="24"/>
        </w:rPr>
        <w:t xml:space="preserve"> </w:t>
      </w:r>
      <w:r>
        <w:rPr>
          <w:rFonts w:hint="eastAsia"/>
          <w:spacing w:val="6"/>
          <w:sz w:val="24"/>
        </w:rPr>
        <w:t>民政部</w:t>
      </w:r>
      <w:r>
        <w:rPr>
          <w:spacing w:val="6"/>
          <w:sz w:val="24"/>
        </w:rPr>
        <w:t xml:space="preserve"> </w:t>
      </w:r>
      <w:r>
        <w:rPr>
          <w:rFonts w:hint="eastAsia"/>
          <w:spacing w:val="6"/>
          <w:sz w:val="24"/>
        </w:rPr>
        <w:t>中国残疾人联合会关于促进残疾人就业政府采购政策的通知》（财库</w:t>
      </w:r>
      <w:r>
        <w:rPr>
          <w:rFonts w:hint="eastAsia"/>
          <w:sz w:val="24"/>
        </w:rPr>
        <w:t>〔</w:t>
      </w:r>
      <w:r>
        <w:rPr>
          <w:sz w:val="24"/>
        </w:rPr>
        <w:t>2017</w:t>
      </w:r>
      <w:r>
        <w:rPr>
          <w:rFonts w:hint="eastAsia"/>
          <w:sz w:val="24"/>
        </w:rPr>
        <w:t>〕</w:t>
      </w:r>
      <w:r>
        <w:rPr>
          <w:sz w:val="24"/>
        </w:rPr>
        <w:t xml:space="preserve"> 141</w:t>
      </w:r>
      <w:r>
        <w:rPr>
          <w:rFonts w:hint="eastAsia"/>
          <w:spacing w:val="6"/>
          <w:sz w:val="24"/>
        </w:rPr>
        <w:t>号）的规定，本单位</w:t>
      </w:r>
      <w:r>
        <w:rPr>
          <w:rFonts w:hint="eastAsia"/>
          <w:b/>
          <w:sz w:val="24"/>
        </w:rPr>
        <w:t>（请进行勾选）</w:t>
      </w:r>
      <w:r>
        <w:rPr>
          <w:rFonts w:hint="eastAsia"/>
          <w:spacing w:val="6"/>
          <w:sz w:val="24"/>
        </w:rPr>
        <w:t>：</w:t>
      </w:r>
    </w:p>
    <w:p>
      <w:pPr>
        <w:spacing w:line="588" w:lineRule="exact"/>
        <w:ind w:firstLine="482"/>
        <w:rPr>
          <w:b/>
          <w:spacing w:val="6"/>
          <w:sz w:val="24"/>
        </w:rPr>
      </w:pPr>
      <w:r>
        <w:rPr>
          <w:b/>
          <w:sz w:val="24"/>
        </w:rPr>
        <w:t>□</w:t>
      </w:r>
      <w:r>
        <w:rPr>
          <w:rFonts w:hint="eastAsia"/>
          <w:b/>
          <w:spacing w:val="6"/>
          <w:sz w:val="24"/>
        </w:rPr>
        <w:t>不属于符合条件的残疾人福利性单位。</w:t>
      </w:r>
    </w:p>
    <w:p>
      <w:pPr>
        <w:spacing w:line="588" w:lineRule="exact"/>
        <w:ind w:firstLine="482"/>
        <w:rPr>
          <w:spacing w:val="6"/>
          <w:sz w:val="24"/>
        </w:rPr>
      </w:pPr>
      <w:r>
        <w:rPr>
          <w:b/>
          <w:sz w:val="24"/>
        </w:rPr>
        <w:t>□</w:t>
      </w:r>
      <w:r>
        <w:rPr>
          <w:rFonts w:hint="eastAsia"/>
          <w:b/>
          <w:spacing w:val="6"/>
          <w:sz w:val="24"/>
        </w:rPr>
        <w:t>属于符合条件的残疾人福利性单位，</w:t>
      </w:r>
      <w:r>
        <w:rPr>
          <w:rFonts w:hint="eastAsia"/>
          <w:spacing w:val="6"/>
          <w:sz w:val="24"/>
        </w:rPr>
        <w:t>且本单位参加</w:t>
      </w:r>
      <w:r>
        <w:rPr>
          <w:sz w:val="24"/>
        </w:rPr>
        <w:t>______</w:t>
      </w:r>
      <w:r>
        <w:rPr>
          <w:rFonts w:hint="eastAsia"/>
          <w:spacing w:val="6"/>
          <w:sz w:val="24"/>
        </w:rPr>
        <w:t>单位的</w:t>
      </w:r>
      <w:r>
        <w:rPr>
          <w:sz w:val="24"/>
        </w:rPr>
        <w:t>______</w:t>
      </w:r>
      <w:r>
        <w:rPr>
          <w:rFonts w:hint="eastAsia"/>
          <w:spacing w:val="6"/>
          <w:sz w:val="24"/>
        </w:rPr>
        <w:t>项目采购活动提供本单位制造的货物（由本单位承担工程</w:t>
      </w:r>
      <w:r>
        <w:rPr>
          <w:spacing w:val="6"/>
          <w:sz w:val="24"/>
        </w:rPr>
        <w:t>/</w:t>
      </w:r>
      <w:r>
        <w:rPr>
          <w:rFonts w:hint="eastAsia"/>
          <w:spacing w:val="6"/>
          <w:sz w:val="24"/>
        </w:rPr>
        <w:t>提供服务），或者提供其他残疾人福利性单位制造的货物（不包括使用非残疾人福利性单位注册商标的货物）。</w:t>
      </w:r>
    </w:p>
    <w:p>
      <w:pPr>
        <w:spacing w:line="588" w:lineRule="exact"/>
        <w:ind w:firstLine="506" w:firstLineChars="200"/>
        <w:rPr>
          <w:spacing w:val="6"/>
          <w:sz w:val="24"/>
        </w:rPr>
      </w:pPr>
      <w:r>
        <w:rPr>
          <w:rFonts w:hint="eastAsia"/>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w:t>
      </w:r>
      <w:r>
        <w:rPr>
          <w:rFonts w:hint="eastAsia"/>
          <w:spacing w:val="6"/>
          <w:sz w:val="24"/>
        </w:rPr>
        <w:t>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w:t>
      </w:r>
      <w:r>
        <w:rPr>
          <w:rFonts w:hint="eastAsia"/>
          <w:spacing w:val="6"/>
          <w:sz w:val="24"/>
        </w:rPr>
        <w:t>日</w:t>
      </w:r>
      <w:r>
        <w:rPr>
          <w:spacing w:val="6"/>
          <w:sz w:val="24"/>
        </w:rPr>
        <w:t xml:space="preserve">  </w:t>
      </w:r>
      <w:r>
        <w:rPr>
          <w:rFonts w:hint="eastAsia"/>
          <w:spacing w:val="6"/>
          <w:sz w:val="24"/>
        </w:rPr>
        <w:t>期：</w:t>
      </w:r>
      <w:r>
        <w:rPr>
          <w:sz w:val="24"/>
        </w:rPr>
        <w:t>______</w:t>
      </w:r>
    </w:p>
    <w:p>
      <w:pPr>
        <w:widowControl/>
        <w:jc w:val="left"/>
        <w:rPr>
          <w:sz w:val="24"/>
          <w:szCs w:val="20"/>
        </w:rPr>
      </w:pPr>
      <w:r>
        <w:rPr>
          <w:sz w:val="24"/>
          <w:szCs w:val="20"/>
        </w:rPr>
        <w:br w:type="page"/>
      </w:r>
    </w:p>
    <w:p>
      <w:pPr>
        <w:tabs>
          <w:tab w:val="left" w:pos="360"/>
        </w:tabs>
        <w:snapToGrid w:val="0"/>
        <w:spacing w:line="360" w:lineRule="auto"/>
        <w:outlineLvl w:val="1"/>
        <w:rPr>
          <w:sz w:val="24"/>
        </w:rPr>
      </w:pPr>
      <w:r>
        <w:rPr>
          <w:sz w:val="24"/>
        </w:rPr>
        <w:t xml:space="preserve">4 </w:t>
      </w:r>
      <w:r>
        <w:rPr>
          <w:rFonts w:hint="eastAsia"/>
          <w:sz w:val="24"/>
        </w:rPr>
        <w:t>磋商保证金凭证</w:t>
      </w:r>
      <w:r>
        <w:rPr>
          <w:sz w:val="24"/>
        </w:rPr>
        <w:t>/</w:t>
      </w:r>
      <w:r>
        <w:rPr>
          <w:rFonts w:hint="eastAsia"/>
          <w:sz w:val="24"/>
        </w:rPr>
        <w:t>交款单据电子件</w:t>
      </w:r>
    </w:p>
    <w:p>
      <w:pPr>
        <w:widowControl/>
        <w:jc w:val="left"/>
        <w:rPr>
          <w:kern w:val="0"/>
          <w:sz w:val="24"/>
          <w:szCs w:val="20"/>
        </w:rPr>
      </w:pPr>
      <w:r>
        <w:rPr>
          <w:b/>
          <w:sz w:val="24"/>
        </w:rPr>
        <w:br w:type="page"/>
      </w:r>
    </w:p>
    <w:p>
      <w:pPr>
        <w:widowControl/>
        <w:jc w:val="left"/>
        <w:rPr>
          <w:b/>
          <w:sz w:val="24"/>
        </w:rPr>
      </w:pPr>
    </w:p>
    <w:p>
      <w:pPr>
        <w:tabs>
          <w:tab w:val="left" w:pos="360"/>
        </w:tabs>
        <w:snapToGrid w:val="0"/>
        <w:spacing w:line="360" w:lineRule="auto"/>
        <w:outlineLvl w:val="1"/>
        <w:rPr>
          <w:sz w:val="24"/>
        </w:rPr>
      </w:pPr>
      <w:bookmarkStart w:id="676" w:name="_Hlt520274393"/>
      <w:bookmarkEnd w:id="676"/>
      <w:bookmarkStart w:id="677" w:name="_Hlt520274065"/>
      <w:bookmarkEnd w:id="677"/>
      <w:bookmarkStart w:id="678" w:name="_Hlt520355504"/>
      <w:bookmarkEnd w:id="678"/>
      <w:bookmarkStart w:id="679" w:name="_Hlt520271212"/>
      <w:bookmarkEnd w:id="679"/>
      <w:bookmarkStart w:id="680" w:name="_Hlt520273711"/>
      <w:bookmarkEnd w:id="680"/>
      <w:bookmarkStart w:id="681" w:name="_Hlt520343392"/>
      <w:bookmarkEnd w:id="681"/>
      <w:bookmarkStart w:id="682" w:name="_Hlt520350918"/>
      <w:bookmarkEnd w:id="682"/>
      <w:bookmarkStart w:id="683" w:name="_Hlt520274121"/>
      <w:bookmarkEnd w:id="683"/>
      <w:bookmarkStart w:id="684" w:name="_Hlt520274407"/>
      <w:bookmarkEnd w:id="684"/>
      <w:bookmarkStart w:id="685" w:name="_Hlt520343000"/>
      <w:bookmarkEnd w:id="685"/>
      <w:bookmarkStart w:id="686" w:name="_Toc480942349"/>
      <w:bookmarkStart w:id="687" w:name="_Ref467988698"/>
      <w:bookmarkStart w:id="688" w:name="_Toc150480794"/>
      <w:bookmarkStart w:id="689" w:name="_Toc142311058"/>
      <w:bookmarkStart w:id="690" w:name="_Toc226309800"/>
      <w:bookmarkStart w:id="691" w:name="_Toc127151556"/>
      <w:bookmarkStart w:id="692" w:name="_Toc226337252"/>
      <w:bookmarkStart w:id="693" w:name="_Toc150774761"/>
      <w:bookmarkStart w:id="694" w:name="_Toc226965746"/>
      <w:bookmarkStart w:id="695" w:name="_Toc195842921"/>
      <w:bookmarkStart w:id="696" w:name="_Toc226965829"/>
      <w:bookmarkStart w:id="697" w:name="_Toc520356217"/>
      <w:r>
        <w:rPr>
          <w:sz w:val="24"/>
        </w:rPr>
        <w:t xml:space="preserve">5  </w:t>
      </w:r>
      <w:bookmarkEnd w:id="686"/>
      <w:bookmarkEnd w:id="687"/>
      <w:r>
        <w:rPr>
          <w:rFonts w:hint="eastAsia"/>
          <w:sz w:val="24"/>
        </w:rPr>
        <w:t>响应书</w:t>
      </w:r>
      <w:bookmarkEnd w:id="688"/>
      <w:bookmarkEnd w:id="689"/>
      <w:bookmarkEnd w:id="690"/>
      <w:bookmarkEnd w:id="691"/>
      <w:bookmarkEnd w:id="692"/>
      <w:bookmarkEnd w:id="693"/>
      <w:bookmarkEnd w:id="694"/>
      <w:bookmarkEnd w:id="695"/>
      <w:bookmarkEnd w:id="696"/>
      <w:bookmarkEnd w:id="697"/>
    </w:p>
    <w:p>
      <w:pPr>
        <w:tabs>
          <w:tab w:val="left" w:pos="5580"/>
        </w:tabs>
        <w:spacing w:line="360" w:lineRule="auto"/>
        <w:rPr>
          <w:sz w:val="24"/>
        </w:rPr>
      </w:pPr>
    </w:p>
    <w:p>
      <w:pPr>
        <w:spacing w:line="360" w:lineRule="auto"/>
        <w:jc w:val="center"/>
        <w:rPr>
          <w:b/>
          <w:sz w:val="36"/>
          <w:szCs w:val="36"/>
        </w:rPr>
      </w:pPr>
      <w:r>
        <w:rPr>
          <w:rFonts w:hint="eastAsia"/>
          <w:b/>
          <w:sz w:val="36"/>
          <w:szCs w:val="36"/>
        </w:rPr>
        <w:t>响应书</w:t>
      </w:r>
    </w:p>
    <w:p>
      <w:pPr>
        <w:tabs>
          <w:tab w:val="left" w:pos="5580"/>
        </w:tabs>
        <w:spacing w:line="360" w:lineRule="auto"/>
        <w:rPr>
          <w:sz w:val="24"/>
        </w:rPr>
      </w:pPr>
      <w:r>
        <w:rPr>
          <w:rFonts w:hint="eastAsia"/>
          <w:sz w:val="24"/>
        </w:rPr>
        <w:t>致：</w:t>
      </w:r>
      <w:r>
        <w:rPr>
          <w:rFonts w:hint="eastAsia"/>
          <w:sz w:val="24"/>
          <w:u w:val="single"/>
        </w:rPr>
        <w:t>（采购人或采购代理机构）</w:t>
      </w:r>
    </w:p>
    <w:p>
      <w:pPr>
        <w:tabs>
          <w:tab w:val="left" w:pos="5580"/>
        </w:tabs>
        <w:spacing w:line="360" w:lineRule="auto"/>
        <w:rPr>
          <w:sz w:val="24"/>
          <w:szCs w:val="20"/>
        </w:rPr>
      </w:pPr>
    </w:p>
    <w:p>
      <w:pPr>
        <w:tabs>
          <w:tab w:val="left" w:pos="5580"/>
        </w:tabs>
        <w:spacing w:line="360" w:lineRule="auto"/>
        <w:ind w:firstLine="408"/>
        <w:rPr>
          <w:sz w:val="24"/>
          <w:szCs w:val="20"/>
        </w:rPr>
      </w:pPr>
      <w:r>
        <w:rPr>
          <w:rFonts w:hint="eastAsia"/>
          <w:sz w:val="24"/>
          <w:szCs w:val="20"/>
        </w:rPr>
        <w:t>我方参加你方就</w:t>
      </w:r>
      <w:r>
        <w:rPr>
          <w:sz w:val="24"/>
        </w:rPr>
        <w:t>______</w:t>
      </w:r>
      <w:r>
        <w:rPr>
          <w:rFonts w:hint="eastAsia"/>
          <w:sz w:val="24"/>
          <w:szCs w:val="20"/>
        </w:rPr>
        <w:t>（项目名称，项目编号</w:t>
      </w:r>
      <w:r>
        <w:rPr>
          <w:sz w:val="24"/>
          <w:szCs w:val="20"/>
        </w:rPr>
        <w:t>/</w:t>
      </w:r>
      <w:r>
        <w:rPr>
          <w:rFonts w:hint="eastAsia"/>
          <w:sz w:val="24"/>
          <w:szCs w:val="20"/>
        </w:rPr>
        <w:t>包号）组织的采购活动，并对此项目进行磋商。</w:t>
      </w:r>
    </w:p>
    <w:p>
      <w:pPr>
        <w:tabs>
          <w:tab w:val="left" w:pos="5580"/>
        </w:tabs>
        <w:spacing w:line="360" w:lineRule="auto"/>
        <w:ind w:firstLine="408"/>
        <w:rPr>
          <w:sz w:val="24"/>
          <w:szCs w:val="20"/>
        </w:rPr>
      </w:pPr>
      <w:r>
        <w:rPr>
          <w:sz w:val="24"/>
          <w:szCs w:val="20"/>
        </w:rPr>
        <w:t xml:space="preserve">1. </w:t>
      </w:r>
      <w:r>
        <w:rPr>
          <w:rFonts w:hint="eastAsia"/>
          <w:sz w:val="24"/>
          <w:szCs w:val="20"/>
        </w:rPr>
        <w:t>我方</w:t>
      </w:r>
      <w:r>
        <w:rPr>
          <w:rFonts w:hint="eastAsia"/>
          <w:sz w:val="24"/>
        </w:rPr>
        <w:t>已详细审查全部竞争性磋商文件</w:t>
      </w:r>
      <w:r>
        <w:rPr>
          <w:rFonts w:hint="eastAsia"/>
          <w:sz w:val="24"/>
          <w:szCs w:val="20"/>
        </w:rPr>
        <w:t>，自愿参与磋商并承诺如下：</w:t>
      </w:r>
    </w:p>
    <w:p>
      <w:pPr>
        <w:tabs>
          <w:tab w:val="left" w:pos="720"/>
          <w:tab w:val="left" w:pos="900"/>
        </w:tabs>
        <w:spacing w:line="360" w:lineRule="auto"/>
        <w:ind w:left="360" w:firstLine="72" w:firstLineChars="30"/>
        <w:rPr>
          <w:sz w:val="24"/>
          <w:szCs w:val="20"/>
        </w:rPr>
      </w:pPr>
      <w:r>
        <w:rPr>
          <w:rFonts w:hint="eastAsia"/>
          <w:sz w:val="24"/>
          <w:szCs w:val="20"/>
        </w:rPr>
        <w:t>（</w:t>
      </w:r>
      <w:r>
        <w:rPr>
          <w:sz w:val="24"/>
          <w:szCs w:val="20"/>
        </w:rPr>
        <w:t>1</w:t>
      </w:r>
      <w:r>
        <w:rPr>
          <w:rFonts w:hint="eastAsia"/>
          <w:sz w:val="24"/>
          <w:szCs w:val="20"/>
        </w:rPr>
        <w:t>）本响应有效期为自提交响应文件的截止之日起</w:t>
      </w:r>
      <w:r>
        <w:rPr>
          <w:sz w:val="24"/>
        </w:rPr>
        <w:t>______</w:t>
      </w:r>
      <w:r>
        <w:rPr>
          <w:rFonts w:hint="eastAsia"/>
          <w:sz w:val="24"/>
          <w:szCs w:val="20"/>
        </w:rPr>
        <w:t>个日历日。</w:t>
      </w:r>
    </w:p>
    <w:p>
      <w:pPr>
        <w:tabs>
          <w:tab w:val="left" w:pos="720"/>
          <w:tab w:val="left" w:pos="900"/>
        </w:tabs>
        <w:spacing w:line="360" w:lineRule="auto"/>
        <w:ind w:left="360" w:firstLine="72" w:firstLineChars="30"/>
        <w:rPr>
          <w:sz w:val="24"/>
          <w:szCs w:val="20"/>
        </w:rPr>
      </w:pPr>
      <w:r>
        <w:rPr>
          <w:rFonts w:hint="eastAsia"/>
          <w:sz w:val="24"/>
          <w:szCs w:val="20"/>
        </w:rPr>
        <w:t>（</w:t>
      </w:r>
      <w:r>
        <w:rPr>
          <w:sz w:val="24"/>
          <w:szCs w:val="20"/>
        </w:rPr>
        <w:t>2</w:t>
      </w:r>
      <w:r>
        <w:rPr>
          <w:rFonts w:hint="eastAsia"/>
          <w:sz w:val="24"/>
          <w:szCs w:val="20"/>
        </w:rPr>
        <w:t>）除合同条款及采购需求偏离表列出的偏离外，我方响应竞争性磋商文件的全部要求。</w:t>
      </w:r>
    </w:p>
    <w:p>
      <w:pPr>
        <w:tabs>
          <w:tab w:val="left" w:pos="5580"/>
        </w:tabs>
        <w:spacing w:line="360" w:lineRule="auto"/>
        <w:ind w:firstLine="420" w:firstLineChars="175"/>
        <w:rPr>
          <w:sz w:val="24"/>
          <w:szCs w:val="20"/>
        </w:rPr>
      </w:pPr>
      <w:r>
        <w:rPr>
          <w:rFonts w:hint="eastAsia"/>
          <w:sz w:val="24"/>
          <w:szCs w:val="20"/>
        </w:rPr>
        <w:t>（</w:t>
      </w:r>
      <w:r>
        <w:rPr>
          <w:sz w:val="24"/>
          <w:szCs w:val="20"/>
        </w:rPr>
        <w:t>3</w:t>
      </w:r>
      <w:r>
        <w:rPr>
          <w:rFonts w:hint="eastAsia"/>
          <w:sz w:val="24"/>
          <w:szCs w:val="20"/>
        </w:rPr>
        <w:t>）我方已提供的全部文件资料是真实、准确的，并对此承担一切法律后果。</w:t>
      </w:r>
    </w:p>
    <w:p>
      <w:pPr>
        <w:pStyle w:val="2"/>
      </w:pPr>
      <w:r>
        <w:t xml:space="preserve">   </w:t>
      </w:r>
      <w:r>
        <w:rPr>
          <w:rFonts w:hint="eastAsia"/>
        </w:rPr>
        <w:t>（</w:t>
      </w:r>
      <w:r>
        <w:t>4</w:t>
      </w:r>
      <w:r>
        <w:rPr>
          <w:rFonts w:hint="eastAsia"/>
        </w:rPr>
        <w:t>）报价不低于成本。</w:t>
      </w:r>
    </w:p>
    <w:p>
      <w:pPr>
        <w:pStyle w:val="2"/>
        <w:spacing w:line="360" w:lineRule="auto"/>
      </w:pPr>
      <w:r>
        <w:t xml:space="preserve">   </w:t>
      </w:r>
      <w:r>
        <w:rPr>
          <w:rFonts w:hint="eastAsia"/>
        </w:rPr>
        <w:t>（</w:t>
      </w:r>
      <w:r>
        <w:t>5</w:t>
      </w:r>
      <w:r>
        <w:rPr>
          <w:rFonts w:hint="eastAsia"/>
        </w:rPr>
        <w:t>）我单位已详细阅读全部磋商文件及全部参考资料和有关附件。我们已经完全理解了磋商的各项内容和采购人、供应商的各项权利义务的真实含义，并承诺在磋商开始后发生争议时不会以对磋商文件存在误解、不明白磋商文件中的条款为由，对贵单位行使任何法律上的抗辩权。</w:t>
      </w:r>
    </w:p>
    <w:p>
      <w:pPr>
        <w:tabs>
          <w:tab w:val="left" w:pos="5580"/>
        </w:tabs>
        <w:spacing w:line="360" w:lineRule="auto"/>
        <w:ind w:firstLine="420" w:firstLineChars="175"/>
        <w:rPr>
          <w:sz w:val="24"/>
        </w:rPr>
      </w:pPr>
      <w:r>
        <w:rPr>
          <w:rFonts w:hint="eastAsia"/>
          <w:sz w:val="24"/>
          <w:szCs w:val="20"/>
        </w:rPr>
        <w:t>（</w:t>
      </w:r>
      <w:r>
        <w:rPr>
          <w:sz w:val="24"/>
          <w:szCs w:val="20"/>
        </w:rPr>
        <w:t>6</w:t>
      </w:r>
      <w:r>
        <w:rPr>
          <w:rFonts w:hint="eastAsia"/>
          <w:sz w:val="24"/>
          <w:szCs w:val="20"/>
        </w:rPr>
        <w:t>）如我方成交，我方将在法律规定的期限内与你方签订合同，按照竞争性磋商文件要求提交履约保证金，并在合同约定的期限内完成合同规定的全部义务。</w:t>
      </w:r>
    </w:p>
    <w:p>
      <w:pPr>
        <w:spacing w:line="360" w:lineRule="auto"/>
        <w:ind w:left="420"/>
        <w:rPr>
          <w:sz w:val="24"/>
        </w:rPr>
      </w:pPr>
      <w:r>
        <w:rPr>
          <w:sz w:val="24"/>
        </w:rPr>
        <w:t xml:space="preserve">2. </w:t>
      </w:r>
      <w:r>
        <w:rPr>
          <w:rFonts w:hint="eastAsia"/>
          <w:sz w:val="24"/>
        </w:rPr>
        <w:t>其他补充条款（如有）：</w:t>
      </w:r>
      <w:r>
        <w:rPr>
          <w:sz w:val="24"/>
        </w:rPr>
        <w:t>______</w:t>
      </w:r>
      <w:r>
        <w:rPr>
          <w:rFonts w:hint="eastAsia"/>
          <w:sz w:val="24"/>
        </w:rPr>
        <w:t>。</w:t>
      </w:r>
    </w:p>
    <w:p>
      <w:pPr>
        <w:spacing w:line="360" w:lineRule="auto"/>
        <w:ind w:firstLine="480" w:firstLineChars="200"/>
        <w:rPr>
          <w:sz w:val="24"/>
        </w:rPr>
      </w:pPr>
      <w:r>
        <w:rPr>
          <w:rFonts w:hint="eastAsia"/>
          <w:sz w:val="24"/>
        </w:rPr>
        <w:t>与本磋商有关的一切正式往来信函请寄：</w:t>
      </w:r>
    </w:p>
    <w:p>
      <w:pPr>
        <w:tabs>
          <w:tab w:val="left" w:pos="5580"/>
        </w:tabs>
        <w:spacing w:line="360" w:lineRule="auto"/>
        <w:ind w:left="420"/>
        <w:rPr>
          <w:sz w:val="24"/>
          <w:szCs w:val="20"/>
        </w:rPr>
      </w:pPr>
    </w:p>
    <w:p>
      <w:pPr>
        <w:tabs>
          <w:tab w:val="left" w:pos="5580"/>
        </w:tabs>
        <w:spacing w:line="360" w:lineRule="auto"/>
        <w:ind w:left="420"/>
        <w:rPr>
          <w:sz w:val="24"/>
          <w:szCs w:val="20"/>
        </w:rPr>
      </w:pPr>
      <w:r>
        <w:rPr>
          <w:rFonts w:hint="eastAsia"/>
          <w:sz w:val="24"/>
          <w:szCs w:val="20"/>
        </w:rPr>
        <w:t>地址</w:t>
      </w:r>
      <w:r>
        <w:rPr>
          <w:bCs/>
          <w:sz w:val="24"/>
        </w:rPr>
        <w:t>_________________________</w:t>
      </w:r>
      <w:r>
        <w:rPr>
          <w:sz w:val="24"/>
          <w:szCs w:val="20"/>
        </w:rPr>
        <w:t xml:space="preserve">      </w:t>
      </w:r>
      <w:r>
        <w:rPr>
          <w:rFonts w:hint="eastAsia"/>
          <w:sz w:val="24"/>
          <w:szCs w:val="20"/>
        </w:rPr>
        <w:t>传</w:t>
      </w:r>
      <w:r>
        <w:rPr>
          <w:sz w:val="24"/>
          <w:szCs w:val="20"/>
        </w:rPr>
        <w:t xml:space="preserve">   </w:t>
      </w:r>
      <w:r>
        <w:rPr>
          <w:rFonts w:hint="eastAsia"/>
          <w:sz w:val="24"/>
          <w:szCs w:val="20"/>
        </w:rPr>
        <w:t>真</w:t>
      </w:r>
      <w:r>
        <w:rPr>
          <w:bCs/>
          <w:sz w:val="24"/>
        </w:rPr>
        <w:t>_________________________</w:t>
      </w:r>
    </w:p>
    <w:p>
      <w:pPr>
        <w:tabs>
          <w:tab w:val="left" w:pos="5580"/>
        </w:tabs>
        <w:spacing w:line="360" w:lineRule="auto"/>
        <w:ind w:left="420"/>
        <w:rPr>
          <w:sz w:val="24"/>
          <w:szCs w:val="20"/>
        </w:rPr>
      </w:pPr>
      <w:r>
        <w:rPr>
          <w:rFonts w:hint="eastAsia"/>
          <w:sz w:val="24"/>
          <w:szCs w:val="20"/>
        </w:rPr>
        <w:t>电话</w:t>
      </w:r>
      <w:r>
        <w:rPr>
          <w:bCs/>
          <w:sz w:val="24"/>
        </w:rPr>
        <w:t>_________________________</w:t>
      </w:r>
      <w:r>
        <w:rPr>
          <w:sz w:val="24"/>
          <w:szCs w:val="20"/>
        </w:rPr>
        <w:t xml:space="preserve">      </w:t>
      </w:r>
      <w:r>
        <w:rPr>
          <w:rFonts w:hint="eastAsia"/>
          <w:sz w:val="24"/>
          <w:szCs w:val="20"/>
        </w:rPr>
        <w:t>电子函件</w:t>
      </w:r>
      <w:r>
        <w:rPr>
          <w:bCs/>
          <w:sz w:val="24"/>
        </w:rPr>
        <w:t>_________________________</w:t>
      </w:r>
    </w:p>
    <w:p>
      <w:pPr>
        <w:tabs>
          <w:tab w:val="left" w:pos="5580"/>
        </w:tabs>
        <w:spacing w:line="360" w:lineRule="auto"/>
        <w:ind w:left="420"/>
        <w:rPr>
          <w:sz w:val="24"/>
          <w:szCs w:val="20"/>
        </w:rPr>
      </w:pPr>
    </w:p>
    <w:p>
      <w:pPr>
        <w:tabs>
          <w:tab w:val="left" w:pos="5580"/>
        </w:tabs>
        <w:spacing w:line="360" w:lineRule="auto"/>
        <w:ind w:left="420"/>
        <w:rPr>
          <w:sz w:val="24"/>
          <w:szCs w:val="20"/>
        </w:rPr>
      </w:pPr>
    </w:p>
    <w:p>
      <w:pPr>
        <w:tabs>
          <w:tab w:val="left" w:pos="5580"/>
        </w:tabs>
        <w:spacing w:line="360" w:lineRule="auto"/>
        <w:ind w:left="420"/>
        <w:rPr>
          <w:sz w:val="24"/>
          <w:szCs w:val="20"/>
        </w:rPr>
      </w:pPr>
    </w:p>
    <w:p>
      <w:pPr>
        <w:autoSpaceDE w:val="0"/>
        <w:autoSpaceDN w:val="0"/>
        <w:adjustRightInd w:val="0"/>
        <w:snapToGrid w:val="0"/>
        <w:spacing w:before="25" w:after="25" w:line="360" w:lineRule="auto"/>
        <w:ind w:right="360" w:firstLine="360" w:firstLineChars="150"/>
        <w:rPr>
          <w:sz w:val="24"/>
          <w:lang w:val="zh-CN"/>
        </w:rPr>
      </w:pPr>
      <w:r>
        <w:rPr>
          <w:rFonts w:hint="eastAsia"/>
          <w:sz w:val="24"/>
        </w:rPr>
        <w:t>供应商名称（加盖公章）</w:t>
      </w:r>
      <w:r>
        <w:rPr>
          <w:rFonts w:hint="eastAsia"/>
          <w:sz w:val="24"/>
          <w:lang w:val="zh-CN"/>
        </w:rPr>
        <w:t>：</w:t>
      </w:r>
      <w:r>
        <w:rPr>
          <w:sz w:val="24"/>
        </w:rPr>
        <w:t>______</w:t>
      </w:r>
    </w:p>
    <w:p>
      <w:pPr>
        <w:tabs>
          <w:tab w:val="left" w:pos="5580"/>
        </w:tabs>
        <w:spacing w:line="360" w:lineRule="auto"/>
        <w:ind w:firstLine="360" w:firstLineChars="150"/>
        <w:rPr>
          <w:sz w:val="24"/>
          <w:szCs w:val="20"/>
        </w:rPr>
      </w:pPr>
      <w:r>
        <w:rPr>
          <w:rFonts w:hint="eastAsia"/>
          <w:sz w:val="24"/>
          <w:szCs w:val="20"/>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r>
        <w:rPr>
          <w:sz w:val="24"/>
          <w:szCs w:val="20"/>
        </w:rPr>
        <w:t xml:space="preserve">  </w:t>
      </w:r>
    </w:p>
    <w:p>
      <w:pPr>
        <w:tabs>
          <w:tab w:val="left" w:pos="360"/>
        </w:tabs>
        <w:snapToGrid w:val="0"/>
        <w:spacing w:line="360" w:lineRule="auto"/>
        <w:outlineLvl w:val="1"/>
        <w:rPr>
          <w:sz w:val="24"/>
        </w:rPr>
      </w:pPr>
      <w:bookmarkStart w:id="698" w:name="_Hlt520355938"/>
      <w:bookmarkEnd w:id="698"/>
      <w:bookmarkStart w:id="699" w:name="_Hlt520356243"/>
      <w:bookmarkEnd w:id="699"/>
      <w:bookmarkStart w:id="700" w:name="_Toc226309801"/>
      <w:bookmarkStart w:id="701" w:name="_Toc305158899"/>
      <w:bookmarkStart w:id="702" w:name="_Toc265228395"/>
      <w:bookmarkStart w:id="703" w:name="_Ref467988705"/>
      <w:bookmarkStart w:id="704" w:name="_Toc226965830"/>
      <w:bookmarkStart w:id="705" w:name="_Toc150774762"/>
      <w:bookmarkStart w:id="706" w:name="_Toc305158825"/>
      <w:bookmarkStart w:id="707" w:name="_Toc264969247"/>
      <w:bookmarkStart w:id="708" w:name="_Toc142311059"/>
      <w:bookmarkStart w:id="709" w:name="_Toc520356218"/>
      <w:bookmarkStart w:id="710" w:name="_Toc226337253"/>
      <w:bookmarkStart w:id="711" w:name="_Toc480942350"/>
      <w:bookmarkStart w:id="712" w:name="_Toc195842922"/>
      <w:bookmarkStart w:id="713" w:name="_Toc127151557"/>
      <w:bookmarkStart w:id="714" w:name="_Toc226965747"/>
      <w:bookmarkStart w:id="715" w:name="_Toc150480795"/>
      <w:r>
        <w:rPr>
          <w:sz w:val="24"/>
        </w:rPr>
        <w:t xml:space="preserve">6  </w:t>
      </w:r>
      <w:r>
        <w:rPr>
          <w:rFonts w:hint="eastAsia"/>
          <w:sz w:val="24"/>
        </w:rPr>
        <w:t>授权委托书</w:t>
      </w:r>
    </w:p>
    <w:p>
      <w:pPr>
        <w:autoSpaceDE w:val="0"/>
        <w:autoSpaceDN w:val="0"/>
        <w:adjustRightInd w:val="0"/>
        <w:spacing w:line="360" w:lineRule="auto"/>
        <w:jc w:val="center"/>
        <w:rPr>
          <w:b/>
          <w:sz w:val="36"/>
          <w:szCs w:val="36"/>
        </w:rPr>
      </w:pPr>
      <w:r>
        <w:rPr>
          <w:rFonts w:hint="eastAsia"/>
          <w:b/>
          <w:sz w:val="36"/>
          <w:szCs w:val="36"/>
        </w:rPr>
        <w:t>授权委托书</w:t>
      </w:r>
    </w:p>
    <w:p>
      <w:pPr>
        <w:spacing w:line="360" w:lineRule="auto"/>
        <w:ind w:firstLine="420"/>
        <w:rPr>
          <w:sz w:val="24"/>
          <w:szCs w:val="20"/>
        </w:rPr>
      </w:pPr>
      <w:r>
        <w:rPr>
          <w:rFonts w:hint="eastAsia"/>
          <w:sz w:val="24"/>
          <w:szCs w:val="20"/>
        </w:rPr>
        <w:t>本人</w:t>
      </w:r>
      <w:r>
        <w:rPr>
          <w:sz w:val="24"/>
          <w:szCs w:val="20"/>
        </w:rPr>
        <w:t>____</w:t>
      </w:r>
      <w:r>
        <w:rPr>
          <w:rFonts w:hint="eastAsia"/>
          <w:sz w:val="24"/>
          <w:szCs w:val="20"/>
        </w:rPr>
        <w:t>（姓名）系</w:t>
      </w:r>
      <w:r>
        <w:rPr>
          <w:sz w:val="24"/>
          <w:szCs w:val="20"/>
        </w:rPr>
        <w:t>____</w:t>
      </w:r>
      <w:r>
        <w:rPr>
          <w:rFonts w:hint="eastAsia"/>
          <w:sz w:val="24"/>
          <w:szCs w:val="20"/>
        </w:rPr>
        <w:t>（供应商名称）的法定代表人（单位负责人），现委托</w:t>
      </w:r>
      <w:r>
        <w:rPr>
          <w:sz w:val="24"/>
          <w:szCs w:val="20"/>
        </w:rPr>
        <w:t xml:space="preserve">_____ </w:t>
      </w:r>
      <w:r>
        <w:rPr>
          <w:rFonts w:hint="eastAsia"/>
          <w:sz w:val="24"/>
          <w:szCs w:val="20"/>
        </w:rPr>
        <w:t>（姓名）为我方代理人。代理人根据授权，以我方名义签署、澄清确认、递交、撤回、修改</w:t>
      </w:r>
      <w:r>
        <w:rPr>
          <w:sz w:val="24"/>
          <w:szCs w:val="20"/>
        </w:rPr>
        <w:t>____</w:t>
      </w:r>
      <w:r>
        <w:rPr>
          <w:rFonts w:hint="eastAsia"/>
          <w:sz w:val="24"/>
          <w:szCs w:val="20"/>
        </w:rPr>
        <w:t>（项目名称）响应文件和处理有关事宜，其法律后果由我方承担。</w:t>
      </w:r>
    </w:p>
    <w:p>
      <w:pPr>
        <w:spacing w:line="360" w:lineRule="auto"/>
        <w:ind w:firstLine="420"/>
        <w:rPr>
          <w:sz w:val="24"/>
          <w:szCs w:val="20"/>
        </w:rPr>
      </w:pPr>
      <w:r>
        <w:rPr>
          <w:rFonts w:hint="eastAsia"/>
          <w:sz w:val="24"/>
          <w:szCs w:val="20"/>
        </w:rPr>
        <w:t>委托期限：自本授权委托书签署之日起至响应有效期届满之日止。</w:t>
      </w:r>
    </w:p>
    <w:p>
      <w:pPr>
        <w:spacing w:line="360" w:lineRule="auto"/>
        <w:ind w:firstLine="420"/>
        <w:rPr>
          <w:sz w:val="24"/>
          <w:szCs w:val="20"/>
        </w:rPr>
      </w:pPr>
      <w:r>
        <w:rPr>
          <w:rFonts w:hint="eastAsia"/>
          <w:sz w:val="24"/>
          <w:szCs w:val="20"/>
        </w:rPr>
        <w:t>代理人无转委托权。</w:t>
      </w:r>
    </w:p>
    <w:p>
      <w:pPr>
        <w:spacing w:line="360" w:lineRule="auto"/>
        <w:ind w:firstLine="420"/>
        <w:rPr>
          <w:sz w:val="24"/>
          <w:szCs w:val="20"/>
        </w:rPr>
      </w:pPr>
    </w:p>
    <w:p>
      <w:pPr>
        <w:spacing w:line="360" w:lineRule="auto"/>
        <w:rPr>
          <w:sz w:val="24"/>
          <w:lang w:val="zh-CN"/>
        </w:rPr>
      </w:pPr>
      <w:r>
        <w:rPr>
          <w:rFonts w:hint="eastAsia"/>
          <w:sz w:val="24"/>
        </w:rPr>
        <w:t>供应商名称（加盖公章）</w:t>
      </w:r>
      <w:r>
        <w:rPr>
          <w:rFonts w:hint="eastAsia"/>
          <w:sz w:val="24"/>
          <w:lang w:val="zh-CN"/>
        </w:rPr>
        <w:t>：</w:t>
      </w:r>
      <w:r>
        <w:rPr>
          <w:sz w:val="24"/>
          <w:szCs w:val="20"/>
        </w:rPr>
        <w:t>______________</w:t>
      </w:r>
    </w:p>
    <w:p>
      <w:pPr>
        <w:spacing w:line="360" w:lineRule="auto"/>
        <w:rPr>
          <w:sz w:val="24"/>
          <w:szCs w:val="20"/>
        </w:rPr>
      </w:pPr>
      <w:r>
        <w:rPr>
          <w:rFonts w:hint="eastAsia"/>
          <w:sz w:val="24"/>
          <w:szCs w:val="20"/>
        </w:rPr>
        <w:t>法定代表人（单位负责人）（签字或印鉴）：</w:t>
      </w:r>
      <w:r>
        <w:rPr>
          <w:sz w:val="24"/>
          <w:szCs w:val="20"/>
        </w:rPr>
        <w:t>______________</w:t>
      </w:r>
    </w:p>
    <w:p>
      <w:pPr>
        <w:autoSpaceDE w:val="0"/>
        <w:autoSpaceDN w:val="0"/>
        <w:adjustRightInd w:val="0"/>
        <w:snapToGrid w:val="0"/>
        <w:spacing w:line="360" w:lineRule="auto"/>
        <w:rPr>
          <w:sz w:val="24"/>
          <w:lang w:val="zh-CN"/>
        </w:rPr>
      </w:pPr>
      <w:r>
        <w:rPr>
          <w:rFonts w:hint="eastAsia"/>
          <w:sz w:val="24"/>
        </w:rPr>
        <w:t>委托代理人（签字</w:t>
      </w:r>
      <w:r>
        <w:rPr>
          <w:rFonts w:hint="eastAsia" w:ascii="宋体" w:hAnsi="宋体"/>
          <w:sz w:val="24"/>
          <w:szCs w:val="20"/>
        </w:rPr>
        <w:t>/签章</w:t>
      </w:r>
      <w:r>
        <w:rPr>
          <w:rFonts w:hint="eastAsia"/>
          <w:sz w:val="24"/>
        </w:rPr>
        <w:t>）：</w:t>
      </w:r>
      <w:r>
        <w:rPr>
          <w:sz w:val="24"/>
          <w:szCs w:val="20"/>
        </w:rPr>
        <w:t>______________</w:t>
      </w:r>
      <w:r>
        <w:rPr>
          <w:sz w:val="24"/>
          <w:lang w:val="zh-CN"/>
        </w:rPr>
        <w:t xml:space="preserve">        </w:t>
      </w:r>
    </w:p>
    <w:p>
      <w:pPr>
        <w:autoSpaceDE w:val="0"/>
        <w:autoSpaceDN w:val="0"/>
        <w:adjustRightInd w:val="0"/>
        <w:snapToGrid w:val="0"/>
        <w:spacing w:line="360" w:lineRule="auto"/>
        <w:rPr>
          <w:sz w:val="24"/>
          <w:lang w:val="zh-CN"/>
        </w:rPr>
      </w:pPr>
      <w:r>
        <w:rPr>
          <w:rFonts w:hint="eastAsia"/>
          <w:sz w:val="24"/>
        </w:rPr>
        <w:t>日期：</w:t>
      </w:r>
      <w:r>
        <w:rPr>
          <w:sz w:val="24"/>
          <w:szCs w:val="20"/>
        </w:rPr>
        <w:t>____</w:t>
      </w:r>
      <w:r>
        <w:rPr>
          <w:rFonts w:hint="eastAsia"/>
          <w:sz w:val="24"/>
        </w:rPr>
        <w:t>年</w:t>
      </w:r>
      <w:r>
        <w:rPr>
          <w:sz w:val="24"/>
          <w:szCs w:val="20"/>
        </w:rPr>
        <w:t>____</w:t>
      </w:r>
      <w:r>
        <w:rPr>
          <w:rFonts w:hint="eastAsia"/>
          <w:sz w:val="24"/>
        </w:rPr>
        <w:t>月</w:t>
      </w:r>
      <w:r>
        <w:rPr>
          <w:sz w:val="24"/>
          <w:szCs w:val="20"/>
        </w:rPr>
        <w:t>____</w:t>
      </w:r>
      <w:r>
        <w:rPr>
          <w:rFonts w:hint="eastAsia"/>
          <w:sz w:val="24"/>
        </w:rPr>
        <w:t>日</w:t>
      </w:r>
    </w:p>
    <w:p>
      <w:pPr>
        <w:tabs>
          <w:tab w:val="left" w:pos="5580"/>
        </w:tabs>
        <w:spacing w:line="360" w:lineRule="auto"/>
        <w:ind w:firstLine="480" w:firstLineChars="200"/>
        <w:rPr>
          <w:sz w:val="24"/>
          <w:szCs w:val="20"/>
        </w:rPr>
      </w:pPr>
    </w:p>
    <w:p>
      <w:pPr>
        <w:tabs>
          <w:tab w:val="left" w:pos="5580"/>
        </w:tabs>
        <w:spacing w:line="360" w:lineRule="auto"/>
        <w:jc w:val="left"/>
        <w:rPr>
          <w:sz w:val="24"/>
          <w:szCs w:val="20"/>
        </w:rPr>
      </w:pPr>
      <w:r>
        <w:rPr>
          <w:rFonts w:hint="eastAsia"/>
          <w:sz w:val="24"/>
          <w:szCs w:val="20"/>
        </w:rPr>
        <w:t>法定代表人（单位负责人）有效期内的身份证</w:t>
      </w:r>
      <w:r>
        <w:rPr>
          <w:rFonts w:hint="eastAsia"/>
          <w:b/>
          <w:sz w:val="24"/>
          <w:szCs w:val="20"/>
        </w:rPr>
        <w:t>正反面</w:t>
      </w:r>
      <w:r>
        <w:rPr>
          <w:rFonts w:hint="eastAsia"/>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c>
          <w:tcPr>
            <w:tcW w:w="4536" w:type="dxa"/>
            <w:tcBorders>
              <w:top w:val="single" w:color="000000" w:sz="4" w:space="0"/>
              <w:left w:val="single" w:color="000000" w:sz="4" w:space="0"/>
              <w:bottom w:val="single" w:color="000000" w:sz="4" w:space="0"/>
              <w:right w:val="single" w:color="000000" w:sz="4" w:space="0"/>
            </w:tcBorders>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r>
    </w:tbl>
    <w:p>
      <w:pPr>
        <w:tabs>
          <w:tab w:val="left" w:pos="5580"/>
        </w:tabs>
        <w:spacing w:line="360" w:lineRule="auto"/>
        <w:jc w:val="left"/>
        <w:rPr>
          <w:sz w:val="24"/>
          <w:szCs w:val="20"/>
        </w:rPr>
      </w:pPr>
      <w:r>
        <w:rPr>
          <w:rFonts w:hint="eastAsia"/>
          <w:sz w:val="24"/>
          <w:szCs w:val="20"/>
        </w:rPr>
        <w:t>委托代理人有效期内的身份证</w:t>
      </w:r>
      <w:r>
        <w:rPr>
          <w:rFonts w:hint="eastAsia"/>
          <w:b/>
          <w:sz w:val="24"/>
          <w:szCs w:val="20"/>
        </w:rPr>
        <w:t>正反面</w:t>
      </w:r>
      <w:r>
        <w:rPr>
          <w:rFonts w:hint="eastAsia"/>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c>
          <w:tcPr>
            <w:tcW w:w="4536" w:type="dxa"/>
            <w:tcBorders>
              <w:top w:val="single" w:color="000000" w:sz="4" w:space="0"/>
              <w:left w:val="single" w:color="000000" w:sz="4" w:space="0"/>
              <w:bottom w:val="single" w:color="000000" w:sz="4" w:space="0"/>
              <w:right w:val="single" w:color="000000" w:sz="4" w:space="0"/>
            </w:tcBorders>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r>
    </w:tbl>
    <w:p>
      <w:pPr>
        <w:tabs>
          <w:tab w:val="left" w:pos="5580"/>
        </w:tabs>
        <w:spacing w:line="360" w:lineRule="auto"/>
        <w:jc w:val="left"/>
        <w:rPr>
          <w:sz w:val="24"/>
          <w:szCs w:val="20"/>
        </w:rPr>
      </w:pPr>
      <w:r>
        <w:rPr>
          <w:rFonts w:hint="eastAsia"/>
          <w:sz w:val="24"/>
          <w:szCs w:val="20"/>
        </w:rPr>
        <w:t>说明：</w:t>
      </w:r>
    </w:p>
    <w:p>
      <w:pPr>
        <w:tabs>
          <w:tab w:val="left" w:pos="5580"/>
        </w:tabs>
        <w:spacing w:line="360" w:lineRule="auto"/>
        <w:jc w:val="left"/>
        <w:rPr>
          <w:sz w:val="24"/>
          <w:szCs w:val="20"/>
        </w:rPr>
      </w:pPr>
      <w:r>
        <w:rPr>
          <w:sz w:val="24"/>
          <w:szCs w:val="20"/>
        </w:rPr>
        <w:t>1.</w:t>
      </w:r>
      <w:r>
        <w:rPr>
          <w:rFonts w:hint="eastAsia"/>
          <w:sz w:val="24"/>
          <w:szCs w:val="20"/>
        </w:rPr>
        <w:t>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szCs w:val="20"/>
        </w:rPr>
      </w:pPr>
      <w:r>
        <w:rPr>
          <w:sz w:val="24"/>
          <w:szCs w:val="20"/>
        </w:rPr>
        <w:t>2.</w:t>
      </w:r>
      <w:r>
        <w:rPr>
          <w:rFonts w:hint="eastAsia"/>
          <w:sz w:val="24"/>
          <w:szCs w:val="20"/>
        </w:rPr>
        <w:t>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sz w:val="24"/>
          <w:szCs w:val="20"/>
        </w:rPr>
      </w:pPr>
      <w:r>
        <w:rPr>
          <w:sz w:val="24"/>
          <w:szCs w:val="20"/>
        </w:rPr>
        <w:t>3.</w:t>
      </w:r>
      <w:r>
        <w:rPr>
          <w:rFonts w:hint="eastAsia"/>
          <w:sz w:val="24"/>
          <w:szCs w:val="20"/>
        </w:rPr>
        <w:t>供应商为自然人的情形，可不提供本《授权委托书》。</w:t>
      </w:r>
    </w:p>
    <w:p>
      <w:pPr>
        <w:widowControl/>
        <w:jc w:val="left"/>
        <w:rPr>
          <w:sz w:val="30"/>
          <w:szCs w:val="30"/>
        </w:rPr>
      </w:pPr>
      <w:r>
        <w:rPr>
          <w:sz w:val="30"/>
          <w:szCs w:val="30"/>
        </w:rPr>
        <w:br w:type="page"/>
      </w:r>
    </w:p>
    <w:p>
      <w:pPr>
        <w:autoSpaceDE w:val="0"/>
        <w:autoSpaceDN w:val="0"/>
        <w:adjustRightInd w:val="0"/>
        <w:spacing w:line="360" w:lineRule="auto"/>
        <w:jc w:val="center"/>
        <w:rPr>
          <w:b/>
          <w:sz w:val="36"/>
          <w:szCs w:val="36"/>
        </w:rPr>
      </w:pPr>
      <w:r>
        <w:rPr>
          <w:rFonts w:hint="eastAsia"/>
          <w:b/>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sz w:val="24"/>
        </w:rPr>
      </w:pPr>
      <w:r>
        <w:rPr>
          <w:rFonts w:hint="eastAsia"/>
          <w:sz w:val="24"/>
        </w:rPr>
        <w:t>致：</w:t>
      </w:r>
      <w:r>
        <w:rPr>
          <w:sz w:val="24"/>
          <w:szCs w:val="20"/>
        </w:rPr>
        <w:t>____</w:t>
      </w:r>
      <w:r>
        <w:rPr>
          <w:rFonts w:hint="eastAsia"/>
          <w:sz w:val="24"/>
        </w:rPr>
        <w:t>（采购人或采购代理机构）</w:t>
      </w:r>
    </w:p>
    <w:p>
      <w:pPr>
        <w:pStyle w:val="2"/>
        <w:tabs>
          <w:tab w:val="left" w:pos="2412"/>
          <w:tab w:val="left" w:pos="3883"/>
          <w:tab w:val="left" w:pos="5352"/>
          <w:tab w:val="left" w:pos="6821"/>
        </w:tabs>
        <w:kinsoku w:val="0"/>
        <w:overflowPunct w:val="0"/>
        <w:spacing w:line="335" w:lineRule="exact"/>
        <w:ind w:firstLine="420" w:firstLineChars="200"/>
      </w:pPr>
      <w:r>
        <w:rPr>
          <w:rFonts w:hint="eastAsia"/>
        </w:rPr>
        <w:t>兹证明，</w:t>
      </w:r>
    </w:p>
    <w:p>
      <w:pPr>
        <w:pStyle w:val="2"/>
        <w:tabs>
          <w:tab w:val="left" w:pos="1690"/>
          <w:tab w:val="left" w:pos="3400"/>
          <w:tab w:val="left" w:pos="5110"/>
          <w:tab w:val="left" w:pos="6821"/>
        </w:tabs>
        <w:kinsoku w:val="0"/>
        <w:overflowPunct w:val="0"/>
        <w:spacing w:line="335" w:lineRule="exact"/>
      </w:pPr>
      <w:r>
        <w:rPr>
          <w:rFonts w:hint="eastAsia"/>
        </w:rPr>
        <w:t>姓名：</w:t>
      </w:r>
      <w:r>
        <w:rPr>
          <w:szCs w:val="20"/>
        </w:rPr>
        <w:t>____</w:t>
      </w:r>
      <w:r>
        <w:rPr>
          <w:rFonts w:hint="eastAsia"/>
        </w:rPr>
        <w:t>性别：</w:t>
      </w:r>
      <w:r>
        <w:rPr>
          <w:szCs w:val="20"/>
        </w:rPr>
        <w:t>____</w:t>
      </w:r>
      <w:r>
        <w:rPr>
          <w:rFonts w:hint="eastAsia"/>
        </w:rPr>
        <w:t>年龄：</w:t>
      </w:r>
      <w:r>
        <w:rPr>
          <w:szCs w:val="20"/>
        </w:rPr>
        <w:t>____</w:t>
      </w:r>
      <w:r>
        <w:rPr>
          <w:rFonts w:hint="eastAsia"/>
        </w:rPr>
        <w:t>职务：</w:t>
      </w:r>
      <w:r>
        <w:rPr>
          <w:szCs w:val="20"/>
        </w:rPr>
        <w:t>____</w:t>
      </w:r>
    </w:p>
    <w:p>
      <w:pPr>
        <w:pStyle w:val="2"/>
        <w:tabs>
          <w:tab w:val="left" w:pos="2412"/>
          <w:tab w:val="left" w:pos="3883"/>
          <w:tab w:val="left" w:pos="5352"/>
          <w:tab w:val="left" w:pos="6821"/>
        </w:tabs>
        <w:kinsoku w:val="0"/>
        <w:overflowPunct w:val="0"/>
        <w:spacing w:line="335" w:lineRule="exact"/>
      </w:pPr>
    </w:p>
    <w:p>
      <w:pPr>
        <w:pStyle w:val="2"/>
        <w:tabs>
          <w:tab w:val="left" w:pos="2250"/>
          <w:tab w:val="left" w:pos="2412"/>
          <w:tab w:val="left" w:pos="3883"/>
          <w:tab w:val="left" w:pos="5352"/>
          <w:tab w:val="left" w:pos="6821"/>
        </w:tabs>
        <w:kinsoku w:val="0"/>
        <w:overflowPunct w:val="0"/>
        <w:spacing w:line="335" w:lineRule="exact"/>
      </w:pPr>
      <w:r>
        <w:rPr>
          <w:rFonts w:hint="eastAsia"/>
        </w:rPr>
        <w:t>系</w:t>
      </w:r>
      <w:r>
        <w:rPr>
          <w:szCs w:val="20"/>
        </w:rPr>
        <w:t>__________</w:t>
      </w:r>
      <w:r>
        <w:rPr>
          <w:rFonts w:hint="eastAsia"/>
        </w:rPr>
        <w:t>（供应商名称）的法定代表人（单位负责人）。</w:t>
      </w: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tabs>
          <w:tab w:val="left" w:pos="2412"/>
          <w:tab w:val="left" w:pos="3883"/>
          <w:tab w:val="left" w:pos="5352"/>
          <w:tab w:val="left" w:pos="6821"/>
        </w:tabs>
        <w:kinsoku w:val="0"/>
        <w:overflowPunct w:val="0"/>
        <w:spacing w:line="335" w:lineRule="exact"/>
      </w:pPr>
    </w:p>
    <w:p>
      <w:pPr>
        <w:pStyle w:val="2"/>
        <w:kinsoku w:val="0"/>
        <w:overflowPunct w:val="0"/>
        <w:spacing w:line="580" w:lineRule="auto"/>
        <w:ind w:right="-46"/>
        <w:rPr>
          <w:spacing w:val="-3"/>
        </w:rPr>
      </w:pPr>
      <w:r>
        <w:rPr>
          <w:rFonts w:hint="eastAsia"/>
        </w:rPr>
        <w:t>附：</w:t>
      </w:r>
      <w:r>
        <w:rPr>
          <w:rFonts w:hint="eastAsia"/>
          <w:spacing w:val="-3"/>
        </w:rPr>
        <w:t>法</w:t>
      </w:r>
      <w:r>
        <w:rPr>
          <w:rFonts w:hint="eastAsia"/>
        </w:rPr>
        <w:t>定</w:t>
      </w:r>
      <w:r>
        <w:rPr>
          <w:rFonts w:hint="eastAsia"/>
          <w:spacing w:val="-3"/>
        </w:rPr>
        <w:t>代</w:t>
      </w:r>
      <w:r>
        <w:rPr>
          <w:rFonts w:hint="eastAsia"/>
        </w:rPr>
        <w:t>表</w:t>
      </w:r>
      <w:r>
        <w:rPr>
          <w:rFonts w:hint="eastAsia"/>
          <w:spacing w:val="-3"/>
        </w:rPr>
        <w:t>人</w:t>
      </w:r>
      <w:r>
        <w:rPr>
          <w:rFonts w:hint="eastAsia"/>
        </w:rPr>
        <w:t>（</w:t>
      </w:r>
      <w:r>
        <w:rPr>
          <w:rFonts w:hint="eastAsia"/>
          <w:spacing w:val="-3"/>
        </w:rPr>
        <w:t>单</w:t>
      </w:r>
      <w:r>
        <w:rPr>
          <w:rFonts w:hint="eastAsia"/>
        </w:rPr>
        <w:t>位</w:t>
      </w:r>
      <w:r>
        <w:rPr>
          <w:rFonts w:hint="eastAsia"/>
          <w:spacing w:val="-3"/>
        </w:rPr>
        <w:t>负</w:t>
      </w:r>
      <w:r>
        <w:rPr>
          <w:rFonts w:hint="eastAsia"/>
        </w:rPr>
        <w:t>责人</w:t>
      </w:r>
      <w:r>
        <w:rPr>
          <w:rFonts w:hint="eastAsia"/>
          <w:spacing w:val="-3"/>
        </w:rPr>
        <w:t>）有效期内的身份证正反面电子件。</w:t>
      </w:r>
    </w:p>
    <w:tbl>
      <w:tblPr>
        <w:tblStyle w:val="43"/>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tcBorders>
              <w:top w:val="single" w:color="000000" w:sz="4" w:space="0"/>
              <w:left w:val="single" w:color="000000" w:sz="4" w:space="0"/>
              <w:bottom w:val="single" w:color="000000" w:sz="4" w:space="0"/>
              <w:right w:val="single" w:color="000000" w:sz="4" w:space="0"/>
            </w:tcBorders>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c>
          <w:tcPr>
            <w:tcW w:w="5103" w:type="dxa"/>
            <w:tcBorders>
              <w:top w:val="single" w:color="000000" w:sz="4" w:space="0"/>
              <w:left w:val="single" w:color="000000" w:sz="4" w:space="0"/>
              <w:bottom w:val="single" w:color="000000" w:sz="4" w:space="0"/>
              <w:right w:val="single" w:color="000000" w:sz="4" w:space="0"/>
            </w:tcBorders>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r>
    </w:tbl>
    <w:p>
      <w:pPr>
        <w:pStyle w:val="2"/>
        <w:kinsoku w:val="0"/>
        <w:overflowPunct w:val="0"/>
        <w:spacing w:line="580" w:lineRule="auto"/>
        <w:ind w:right="4305"/>
        <w:rPr>
          <w:spacing w:val="-3"/>
        </w:rPr>
      </w:pPr>
    </w:p>
    <w:p>
      <w:pPr>
        <w:pStyle w:val="2"/>
        <w:kinsoku w:val="0"/>
        <w:overflowPunct w:val="0"/>
        <w:spacing w:line="580" w:lineRule="auto"/>
        <w:ind w:right="4305"/>
        <w:rPr>
          <w:spacing w:val="-3"/>
        </w:rPr>
      </w:pPr>
    </w:p>
    <w:p>
      <w:pPr>
        <w:pStyle w:val="2"/>
        <w:kinsoku w:val="0"/>
        <w:overflowPunct w:val="0"/>
        <w:spacing w:line="580" w:lineRule="auto"/>
        <w:ind w:right="4305"/>
        <w:rPr>
          <w:spacing w:val="-3"/>
        </w:rPr>
      </w:pPr>
    </w:p>
    <w:p>
      <w:pPr>
        <w:autoSpaceDE w:val="0"/>
        <w:autoSpaceDN w:val="0"/>
        <w:adjustRightInd w:val="0"/>
        <w:snapToGrid w:val="0"/>
        <w:spacing w:line="360" w:lineRule="auto"/>
        <w:rPr>
          <w:sz w:val="24"/>
          <w:lang w:val="zh-CN"/>
        </w:rPr>
      </w:pPr>
      <w:r>
        <w:rPr>
          <w:rFonts w:hint="eastAsia"/>
          <w:sz w:val="24"/>
        </w:rPr>
        <w:t>供应商名称（加盖公章）</w:t>
      </w:r>
      <w:r>
        <w:rPr>
          <w:rFonts w:hint="eastAsia"/>
          <w:sz w:val="24"/>
          <w:lang w:val="zh-CN"/>
        </w:rPr>
        <w:t>：</w:t>
      </w:r>
      <w:r>
        <w:rPr>
          <w:sz w:val="24"/>
        </w:rPr>
        <w:t>______</w:t>
      </w:r>
    </w:p>
    <w:p>
      <w:pPr>
        <w:autoSpaceDE w:val="0"/>
        <w:autoSpaceDN w:val="0"/>
        <w:adjustRightInd w:val="0"/>
        <w:snapToGrid w:val="0"/>
        <w:spacing w:line="360" w:lineRule="auto"/>
        <w:rPr>
          <w:sz w:val="24"/>
          <w:lang w:val="zh-CN"/>
        </w:rPr>
      </w:pPr>
      <w:r>
        <w:rPr>
          <w:rFonts w:hint="eastAsia"/>
          <w:spacing w:val="-3"/>
          <w:sz w:val="24"/>
        </w:rPr>
        <w:t>法定代表人（</w:t>
      </w:r>
      <w:r>
        <w:rPr>
          <w:rFonts w:hint="eastAsia"/>
          <w:sz w:val="24"/>
        </w:rPr>
        <w:t>单位负责人</w:t>
      </w:r>
      <w:r>
        <w:rPr>
          <w:rFonts w:hint="eastAsia"/>
          <w:spacing w:val="-3"/>
          <w:sz w:val="24"/>
        </w:rPr>
        <w:t>）（签字或印鉴）：</w:t>
      </w:r>
      <w:r>
        <w:rPr>
          <w:sz w:val="24"/>
        </w:rPr>
        <w:t>______</w:t>
      </w:r>
    </w:p>
    <w:p>
      <w:pPr>
        <w:autoSpaceDE w:val="0"/>
        <w:autoSpaceDN w:val="0"/>
        <w:adjustRightInd w:val="0"/>
        <w:snapToGrid w:val="0"/>
        <w:spacing w:line="360" w:lineRule="auto"/>
        <w:rPr>
          <w:sz w:val="24"/>
          <w:lang w:val="zh-CN"/>
        </w:rPr>
      </w:pPr>
      <w:r>
        <w:rPr>
          <w:rFonts w:hint="eastAsia"/>
          <w:sz w:val="24"/>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p>
    <w:p>
      <w:pPr>
        <w:widowControl/>
        <w:jc w:val="left"/>
        <w:rPr>
          <w:i/>
          <w:sz w:val="24"/>
          <w:szCs w:val="20"/>
          <w:u w:val="single"/>
        </w:rPr>
      </w:pPr>
    </w:p>
    <w:p>
      <w:pPr>
        <w:widowControl/>
        <w:jc w:val="left"/>
        <w:rPr>
          <w:sz w:val="24"/>
          <w:szCs w:val="20"/>
        </w:rPr>
      </w:pPr>
      <w:r>
        <w:rPr>
          <w:sz w:val="24"/>
          <w:szCs w:val="20"/>
        </w:rPr>
        <w:br w:type="page"/>
      </w:r>
    </w:p>
    <w:p>
      <w:pPr>
        <w:tabs>
          <w:tab w:val="left" w:pos="360"/>
        </w:tabs>
        <w:snapToGrid w:val="0"/>
        <w:spacing w:line="360" w:lineRule="auto"/>
        <w:outlineLvl w:val="1"/>
        <w:rPr>
          <w:sz w:val="24"/>
        </w:rPr>
      </w:pPr>
      <w:r>
        <w:rPr>
          <w:sz w:val="24"/>
        </w:rPr>
        <w:t xml:space="preserve">7  </w:t>
      </w:r>
      <w:r>
        <w:rPr>
          <w:rFonts w:hint="eastAsia"/>
          <w:sz w:val="24"/>
        </w:rPr>
        <w:t>报价一览表</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pPr>
        <w:spacing w:line="360" w:lineRule="exact"/>
        <w:jc w:val="center"/>
        <w:rPr>
          <w:b/>
          <w:sz w:val="36"/>
          <w:szCs w:val="36"/>
        </w:rPr>
      </w:pPr>
      <w:bookmarkStart w:id="716" w:name="_Toc164608672"/>
      <w:bookmarkStart w:id="717" w:name="_Toc305158826"/>
      <w:bookmarkStart w:id="718" w:name="_Toc264969248"/>
      <w:bookmarkStart w:id="719" w:name="_Toc305158900"/>
      <w:bookmarkStart w:id="720" w:name="_Toc226309802"/>
      <w:bookmarkStart w:id="721" w:name="_Toc195842923"/>
      <w:bookmarkStart w:id="722" w:name="_Toc265228396"/>
      <w:bookmarkStart w:id="723" w:name="_Toc226965748"/>
      <w:bookmarkStart w:id="724" w:name="_Toc226337254"/>
      <w:bookmarkStart w:id="725" w:name="_Toc226965831"/>
      <w:bookmarkStart w:id="726" w:name="_Toc164608827"/>
      <w:r>
        <w:rPr>
          <w:rFonts w:hint="eastAsia"/>
          <w:b/>
          <w:sz w:val="36"/>
          <w:szCs w:val="36"/>
        </w:rPr>
        <w:t>报价一览表</w:t>
      </w:r>
      <w:bookmarkEnd w:id="716"/>
      <w:bookmarkEnd w:id="717"/>
      <w:bookmarkEnd w:id="718"/>
      <w:bookmarkEnd w:id="719"/>
      <w:bookmarkEnd w:id="720"/>
      <w:bookmarkEnd w:id="721"/>
      <w:bookmarkEnd w:id="722"/>
      <w:bookmarkEnd w:id="723"/>
      <w:bookmarkEnd w:id="724"/>
      <w:bookmarkEnd w:id="725"/>
      <w:bookmarkEnd w:id="726"/>
    </w:p>
    <w:p>
      <w:pPr>
        <w:tabs>
          <w:tab w:val="left" w:pos="1800"/>
          <w:tab w:val="left" w:pos="5580"/>
        </w:tabs>
        <w:spacing w:line="360" w:lineRule="auto"/>
        <w:ind w:firstLine="240" w:firstLineChars="100"/>
        <w:jc w:val="left"/>
        <w:rPr>
          <w:sz w:val="24"/>
          <w:u w:val="single"/>
        </w:rPr>
      </w:pPr>
      <w:r>
        <w:rPr>
          <w:rFonts w:hint="eastAsia"/>
          <w:sz w:val="24"/>
        </w:rPr>
        <w:t>项目编号</w:t>
      </w:r>
      <w:r>
        <w:rPr>
          <w:sz w:val="24"/>
        </w:rPr>
        <w:t>/</w:t>
      </w:r>
      <w:r>
        <w:rPr>
          <w:rFonts w:hint="eastAsia"/>
          <w:sz w:val="24"/>
        </w:rPr>
        <w:t>包号：</w:t>
      </w:r>
      <w:r>
        <w:rPr>
          <w:sz w:val="24"/>
        </w:rPr>
        <w:t xml:space="preserve">___________     </w:t>
      </w:r>
      <w:r>
        <w:rPr>
          <w:rFonts w:hint="eastAsia"/>
          <w:sz w:val="24"/>
        </w:rPr>
        <w:t>项目名称：</w:t>
      </w:r>
      <w:r>
        <w:rPr>
          <w:sz w:val="24"/>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2"/>
        <w:gridCol w:w="2934"/>
        <w:gridCol w:w="1855"/>
        <w:gridCol w:w="1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szCs w:val="20"/>
        </w:rPr>
      </w:pPr>
      <w:r>
        <w:rPr>
          <w:rFonts w:hint="eastAsia"/>
          <w:kern w:val="0"/>
          <w:sz w:val="24"/>
        </w:rPr>
        <w:t>注：</w:t>
      </w:r>
      <w:r>
        <w:rPr>
          <w:kern w:val="0"/>
          <w:sz w:val="24"/>
        </w:rPr>
        <w:t>1</w:t>
      </w:r>
      <w:r>
        <w:rPr>
          <w:sz w:val="24"/>
          <w:szCs w:val="20"/>
        </w:rPr>
        <w:t>.</w:t>
      </w:r>
      <w:r>
        <w:rPr>
          <w:rFonts w:hint="eastAsia"/>
          <w:sz w:val="24"/>
          <w:szCs w:val="20"/>
        </w:rPr>
        <w:t>此表中，每包的报价应和《分项报价表》中的总价相一致。</w:t>
      </w:r>
    </w:p>
    <w:p>
      <w:pPr>
        <w:tabs>
          <w:tab w:val="left" w:pos="5580"/>
        </w:tabs>
        <w:ind w:firstLine="480" w:firstLineChars="200"/>
        <w:rPr>
          <w:sz w:val="24"/>
          <w:szCs w:val="20"/>
        </w:rPr>
      </w:pPr>
      <w:r>
        <w:rPr>
          <w:sz w:val="24"/>
          <w:szCs w:val="20"/>
        </w:rPr>
        <w:t>2.</w:t>
      </w:r>
      <w:r>
        <w:rPr>
          <w:rFonts w:hint="eastAsia"/>
          <w:sz w:val="24"/>
          <w:szCs w:val="20"/>
        </w:rPr>
        <w:t>本表必须按包分别填写。</w:t>
      </w:r>
    </w:p>
    <w:p>
      <w:pPr>
        <w:tabs>
          <w:tab w:val="left" w:pos="5580"/>
        </w:tabs>
        <w:ind w:firstLine="480" w:firstLineChars="200"/>
        <w:rPr>
          <w:sz w:val="24"/>
          <w:szCs w:val="20"/>
        </w:rPr>
      </w:pP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rFonts w:hint="eastAsia"/>
          <w:sz w:val="24"/>
        </w:rPr>
        <w:t>供应商名称（加盖公章）</w:t>
      </w:r>
      <w:r>
        <w:rPr>
          <w:rFonts w:hint="eastAsia"/>
          <w:sz w:val="24"/>
          <w:lang w:val="zh-CN"/>
        </w:rPr>
        <w:t>：</w:t>
      </w:r>
      <w:r>
        <w:rPr>
          <w:sz w:val="24"/>
        </w:rPr>
        <w:t>___________</w:t>
      </w:r>
    </w:p>
    <w:p>
      <w:pPr>
        <w:autoSpaceDE w:val="0"/>
        <w:autoSpaceDN w:val="0"/>
        <w:adjustRightInd w:val="0"/>
        <w:snapToGrid w:val="0"/>
        <w:spacing w:line="360" w:lineRule="auto"/>
        <w:rPr>
          <w:sz w:val="24"/>
          <w:lang w:val="zh-CN"/>
        </w:rPr>
      </w:pPr>
      <w:r>
        <w:rPr>
          <w:rFonts w:hint="eastAsia"/>
          <w:sz w:val="24"/>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p>
    <w:p>
      <w:pPr>
        <w:autoSpaceDE w:val="0"/>
        <w:autoSpaceDN w:val="0"/>
        <w:adjustRightInd w:val="0"/>
        <w:snapToGrid w:val="0"/>
        <w:spacing w:before="25" w:after="25" w:line="360" w:lineRule="auto"/>
        <w:rPr>
          <w:sz w:val="24"/>
          <w:lang w:val="zh-CN"/>
        </w:rPr>
      </w:pPr>
      <w:r>
        <w:rPr>
          <w:sz w:val="24"/>
          <w:szCs w:val="20"/>
        </w:rPr>
        <w:t xml:space="preserve">  </w:t>
      </w:r>
    </w:p>
    <w:p>
      <w:pPr>
        <w:widowControl/>
        <w:jc w:val="left"/>
        <w:rPr>
          <w:sz w:val="24"/>
          <w:szCs w:val="20"/>
        </w:rPr>
      </w:pPr>
      <w:r>
        <w:rPr>
          <w:sz w:val="24"/>
          <w:szCs w:val="20"/>
        </w:rPr>
        <w:br w:type="page"/>
      </w:r>
      <w:bookmarkStart w:id="727" w:name="_Toc226965832"/>
      <w:bookmarkStart w:id="728" w:name="_Toc226309803"/>
      <w:bookmarkStart w:id="729" w:name="_Toc305158827"/>
      <w:bookmarkStart w:id="730" w:name="_Toc150480796"/>
      <w:bookmarkStart w:id="731" w:name="_Toc226965749"/>
      <w:bookmarkStart w:id="732" w:name="_Toc305158901"/>
      <w:bookmarkStart w:id="733" w:name="_Toc264969249"/>
      <w:bookmarkStart w:id="734" w:name="_Toc265228397"/>
      <w:bookmarkStart w:id="735" w:name="_Toc142311060"/>
      <w:bookmarkStart w:id="736" w:name="_Toc226337255"/>
      <w:bookmarkStart w:id="737" w:name="_Toc127151558"/>
      <w:bookmarkStart w:id="738" w:name="_Toc150774763"/>
      <w:bookmarkStart w:id="739" w:name="_Toc195842924"/>
    </w:p>
    <w:p>
      <w:pPr>
        <w:tabs>
          <w:tab w:val="left" w:pos="360"/>
        </w:tabs>
        <w:snapToGrid w:val="0"/>
        <w:spacing w:line="360" w:lineRule="auto"/>
        <w:outlineLvl w:val="1"/>
        <w:rPr>
          <w:sz w:val="24"/>
        </w:rPr>
      </w:pPr>
      <w:r>
        <w:rPr>
          <w:sz w:val="24"/>
        </w:rPr>
        <w:t xml:space="preserve">8  </w:t>
      </w:r>
      <w:r>
        <w:rPr>
          <w:rFonts w:hint="eastAsia"/>
          <w:sz w:val="24"/>
        </w:rPr>
        <w:t>分项报价表</w:t>
      </w:r>
      <w:bookmarkEnd w:id="727"/>
      <w:bookmarkEnd w:id="728"/>
      <w:bookmarkEnd w:id="729"/>
      <w:bookmarkEnd w:id="730"/>
      <w:bookmarkEnd w:id="731"/>
      <w:bookmarkEnd w:id="732"/>
      <w:bookmarkEnd w:id="733"/>
      <w:bookmarkEnd w:id="734"/>
      <w:bookmarkEnd w:id="735"/>
      <w:bookmarkEnd w:id="736"/>
      <w:bookmarkEnd w:id="737"/>
      <w:bookmarkEnd w:id="738"/>
      <w:bookmarkEnd w:id="739"/>
    </w:p>
    <w:p>
      <w:pPr>
        <w:spacing w:line="360" w:lineRule="exact"/>
        <w:jc w:val="center"/>
        <w:rPr>
          <w:b/>
          <w:i/>
          <w:sz w:val="24"/>
        </w:rPr>
      </w:pPr>
      <w:r>
        <w:rPr>
          <w:rFonts w:hint="eastAsia"/>
          <w:b/>
          <w:sz w:val="36"/>
          <w:szCs w:val="36"/>
        </w:rPr>
        <w:t>分项报价表</w:t>
      </w:r>
    </w:p>
    <w:p>
      <w:pPr>
        <w:tabs>
          <w:tab w:val="left" w:pos="1800"/>
          <w:tab w:val="left" w:pos="5580"/>
        </w:tabs>
        <w:rPr>
          <w:sz w:val="24"/>
        </w:rPr>
      </w:pPr>
      <w:r>
        <w:rPr>
          <w:rFonts w:hint="eastAsia"/>
          <w:sz w:val="24"/>
        </w:rPr>
        <w:t>项目编号</w:t>
      </w:r>
      <w:r>
        <w:rPr>
          <w:sz w:val="24"/>
        </w:rPr>
        <w:t>/</w:t>
      </w:r>
      <w:r>
        <w:rPr>
          <w:rFonts w:hint="eastAsia"/>
          <w:sz w:val="24"/>
        </w:rPr>
        <w:t>包号：</w:t>
      </w:r>
      <w:r>
        <w:rPr>
          <w:sz w:val="24"/>
        </w:rPr>
        <w:t xml:space="preserve">_________ </w:t>
      </w:r>
      <w:r>
        <w:rPr>
          <w:rFonts w:hint="eastAsia"/>
          <w:sz w:val="24"/>
        </w:rPr>
        <w:t>项目名称：</w:t>
      </w:r>
      <w:r>
        <w:rPr>
          <w:sz w:val="24"/>
        </w:rPr>
        <w:t>_________</w:t>
      </w:r>
      <w:r>
        <w:rPr>
          <w:rFonts w:hint="eastAsia"/>
          <w:sz w:val="24"/>
        </w:rPr>
        <w:t>报价单位：人民币元</w:t>
      </w: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3121"/>
        <w:gridCol w:w="1433"/>
        <w:gridCol w:w="1431"/>
        <w:gridCol w:w="1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序号</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分项名称</w:t>
            </w: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单价（元）</w:t>
            </w: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合价（元）</w:t>
            </w: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备注</w:t>
            </w:r>
            <w:r>
              <w:rPr>
                <w:b/>
                <w:sz w:val="24"/>
              </w:rPr>
              <w:t>/</w:t>
            </w:r>
            <w:r>
              <w:rPr>
                <w:rFonts w:hint="eastAsia"/>
                <w:b/>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sz w:val="24"/>
              </w:rPr>
              <w:t>1</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sz w:val="24"/>
              </w:rPr>
              <w:t>2</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sz w:val="24"/>
              </w:rPr>
              <w:t>3</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r>
              <w:rPr>
                <w:sz w:val="24"/>
              </w:rPr>
              <w:t>…</w:t>
            </w: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r>
              <w:rPr>
                <w:rFonts w:hint="eastAsia"/>
                <w:sz w:val="24"/>
              </w:rPr>
              <w:t>总价（元）</w:t>
            </w: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bl>
    <w:p>
      <w:pPr>
        <w:tabs>
          <w:tab w:val="left" w:pos="1800"/>
          <w:tab w:val="left" w:pos="5580"/>
        </w:tabs>
        <w:jc w:val="left"/>
        <w:rPr>
          <w:sz w:val="24"/>
        </w:rPr>
      </w:pPr>
    </w:p>
    <w:p>
      <w:pPr>
        <w:tabs>
          <w:tab w:val="left" w:pos="1800"/>
          <w:tab w:val="left" w:pos="5580"/>
        </w:tabs>
        <w:jc w:val="left"/>
        <w:rPr>
          <w:sz w:val="24"/>
        </w:rPr>
      </w:pPr>
    </w:p>
    <w:p>
      <w:pPr>
        <w:tabs>
          <w:tab w:val="left" w:pos="1800"/>
          <w:tab w:val="left" w:pos="5580"/>
        </w:tabs>
        <w:jc w:val="left"/>
        <w:rPr>
          <w:sz w:val="24"/>
        </w:rPr>
      </w:pPr>
    </w:p>
    <w:p>
      <w:pPr>
        <w:tabs>
          <w:tab w:val="left" w:pos="1800"/>
          <w:tab w:val="left" w:pos="5580"/>
        </w:tabs>
        <w:jc w:val="left"/>
        <w:rPr>
          <w:sz w:val="24"/>
        </w:rPr>
      </w:pPr>
    </w:p>
    <w:p>
      <w:pPr>
        <w:tabs>
          <w:tab w:val="left" w:pos="1800"/>
          <w:tab w:val="left" w:pos="5580"/>
        </w:tabs>
        <w:jc w:val="left"/>
        <w:rPr>
          <w:sz w:val="24"/>
        </w:rPr>
      </w:pPr>
      <w:r>
        <w:rPr>
          <w:rFonts w:hint="eastAsia"/>
          <w:sz w:val="24"/>
        </w:rPr>
        <w:t>注：</w:t>
      </w:r>
      <w:r>
        <w:rPr>
          <w:sz w:val="24"/>
        </w:rPr>
        <w:t>1.</w:t>
      </w:r>
      <w:r>
        <w:rPr>
          <w:rFonts w:hint="eastAsia"/>
          <w:sz w:val="24"/>
        </w:rPr>
        <w:t>本表应按包分别填写。</w:t>
      </w:r>
    </w:p>
    <w:p>
      <w:pPr>
        <w:tabs>
          <w:tab w:val="left" w:pos="1800"/>
          <w:tab w:val="left" w:pos="5580"/>
        </w:tabs>
        <w:ind w:firstLine="480" w:firstLineChars="200"/>
        <w:jc w:val="left"/>
        <w:rPr>
          <w:sz w:val="24"/>
        </w:rPr>
      </w:pPr>
      <w:r>
        <w:rPr>
          <w:sz w:val="24"/>
        </w:rPr>
        <w:t>2.</w:t>
      </w:r>
      <w:r>
        <w:rPr>
          <w:rFonts w:hint="eastAsia"/>
          <w:sz w:val="24"/>
        </w:rPr>
        <w:t>如果不提供分项报价将视为没有实质性响应竞争性磋商文件。</w:t>
      </w:r>
    </w:p>
    <w:p>
      <w:pPr>
        <w:tabs>
          <w:tab w:val="left" w:pos="1800"/>
          <w:tab w:val="left" w:pos="5580"/>
        </w:tabs>
        <w:ind w:firstLine="480" w:firstLineChars="200"/>
        <w:jc w:val="left"/>
        <w:rPr>
          <w:sz w:val="24"/>
        </w:rPr>
      </w:pPr>
      <w:r>
        <w:rPr>
          <w:sz w:val="24"/>
        </w:rPr>
        <w:t>3.</w:t>
      </w:r>
      <w:r>
        <w:rPr>
          <w:rFonts w:hint="eastAsia"/>
          <w:sz w:val="24"/>
        </w:rPr>
        <w:t>上述各项的详细规格（如有），可另页描述。</w:t>
      </w:r>
    </w:p>
    <w:p>
      <w:pPr>
        <w:autoSpaceDE w:val="0"/>
        <w:autoSpaceDN w:val="0"/>
        <w:adjustRightInd w:val="0"/>
        <w:snapToGrid w:val="0"/>
        <w:spacing w:before="25" w:after="25" w:line="360" w:lineRule="auto"/>
        <w:rPr>
          <w:sz w:val="24"/>
        </w:rPr>
      </w:pPr>
    </w:p>
    <w:p>
      <w:pPr>
        <w:autoSpaceDE w:val="0"/>
        <w:autoSpaceDN w:val="0"/>
        <w:adjustRightInd w:val="0"/>
        <w:snapToGrid w:val="0"/>
        <w:spacing w:before="25" w:after="25" w:line="360" w:lineRule="auto"/>
        <w:rPr>
          <w:sz w:val="24"/>
        </w:rPr>
      </w:pPr>
    </w:p>
    <w:p>
      <w:pPr>
        <w:autoSpaceDE w:val="0"/>
        <w:autoSpaceDN w:val="0"/>
        <w:adjustRightInd w:val="0"/>
        <w:snapToGrid w:val="0"/>
        <w:spacing w:before="25" w:after="25" w:line="360" w:lineRule="auto"/>
        <w:ind w:right="360"/>
        <w:jc w:val="left"/>
        <w:rPr>
          <w:sz w:val="24"/>
          <w:lang w:val="zh-CN"/>
        </w:rPr>
      </w:pPr>
      <w:r>
        <w:rPr>
          <w:rFonts w:hint="eastAsia"/>
          <w:sz w:val="24"/>
        </w:rPr>
        <w:t>供应商名称（加盖公章）</w:t>
      </w:r>
      <w:r>
        <w:rPr>
          <w:rFonts w:hint="eastAsia"/>
          <w:sz w:val="24"/>
          <w:lang w:val="zh-CN"/>
        </w:rPr>
        <w:t>：</w:t>
      </w:r>
      <w:r>
        <w:rPr>
          <w:sz w:val="24"/>
        </w:rPr>
        <w:t>______</w:t>
      </w:r>
    </w:p>
    <w:p>
      <w:pPr>
        <w:autoSpaceDE w:val="0"/>
        <w:autoSpaceDN w:val="0"/>
        <w:adjustRightInd w:val="0"/>
        <w:snapToGrid w:val="0"/>
        <w:spacing w:before="25" w:after="25" w:line="360" w:lineRule="auto"/>
        <w:rPr>
          <w:sz w:val="24"/>
          <w:lang w:val="zh-CN"/>
        </w:rPr>
      </w:pPr>
      <w:r>
        <w:rPr>
          <w:rFonts w:hint="eastAsia"/>
          <w:sz w:val="24"/>
          <w:szCs w:val="20"/>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r>
        <w:rPr>
          <w:sz w:val="24"/>
          <w:szCs w:val="20"/>
        </w:rPr>
        <w:t xml:space="preserve">  </w:t>
      </w:r>
    </w:p>
    <w:p>
      <w:pPr>
        <w:tabs>
          <w:tab w:val="left" w:pos="360"/>
        </w:tabs>
        <w:snapToGrid w:val="0"/>
        <w:spacing w:line="360" w:lineRule="auto"/>
        <w:outlineLvl w:val="1"/>
        <w:rPr>
          <w:sz w:val="24"/>
          <w:szCs w:val="20"/>
        </w:rPr>
      </w:pPr>
      <w:r>
        <w:rPr>
          <w:sz w:val="24"/>
          <w:szCs w:val="20"/>
        </w:rPr>
        <w:br w:type="page"/>
      </w:r>
      <w:bookmarkStart w:id="740" w:name="_Toc150774765"/>
      <w:bookmarkStart w:id="741" w:name="_Toc226965752"/>
      <w:bookmarkStart w:id="742" w:name="_Toc127151562"/>
      <w:bookmarkStart w:id="743" w:name="_Toc142311062"/>
      <w:bookmarkStart w:id="744" w:name="_Toc305158904"/>
      <w:bookmarkStart w:id="745" w:name="_Toc226309806"/>
      <w:bookmarkStart w:id="746" w:name="_Toc305158830"/>
      <w:bookmarkStart w:id="747" w:name="_Toc226337258"/>
      <w:bookmarkStart w:id="748" w:name="_Toc265228400"/>
      <w:bookmarkStart w:id="749" w:name="_Toc226965835"/>
      <w:bookmarkStart w:id="750" w:name="_Toc264969252"/>
      <w:bookmarkStart w:id="751" w:name="_Toc195842927"/>
      <w:bookmarkStart w:id="752" w:name="_Toc150480798"/>
      <w:bookmarkStart w:id="753" w:name="_Toc226309805"/>
      <w:bookmarkStart w:id="754" w:name="_Toc265228399"/>
      <w:bookmarkStart w:id="755" w:name="_Toc305158829"/>
      <w:bookmarkStart w:id="756" w:name="_Toc226337257"/>
      <w:bookmarkStart w:id="757" w:name="_Toc195842926"/>
      <w:bookmarkStart w:id="758" w:name="_Toc305158903"/>
      <w:bookmarkStart w:id="759" w:name="_Toc127151561"/>
      <w:bookmarkStart w:id="760" w:name="_Toc150480797"/>
      <w:bookmarkStart w:id="761" w:name="_Toc226965834"/>
      <w:bookmarkStart w:id="762" w:name="_Toc150774764"/>
      <w:bookmarkStart w:id="763" w:name="_Toc142311061"/>
      <w:bookmarkStart w:id="764" w:name="_Toc226965751"/>
      <w:bookmarkStart w:id="765" w:name="_Toc264969251"/>
      <w:r>
        <w:rPr>
          <w:sz w:val="24"/>
        </w:rPr>
        <w:t xml:space="preserve">9  </w:t>
      </w:r>
      <w:r>
        <w:rPr>
          <w:rFonts w:hint="eastAsia"/>
          <w:sz w:val="24"/>
        </w:rPr>
        <w:t>合同条款偏离表</w:t>
      </w:r>
      <w:bookmarkEnd w:id="740"/>
      <w:bookmarkEnd w:id="741"/>
      <w:bookmarkEnd w:id="742"/>
      <w:bookmarkEnd w:id="743"/>
      <w:bookmarkEnd w:id="744"/>
      <w:bookmarkEnd w:id="745"/>
      <w:bookmarkEnd w:id="746"/>
      <w:bookmarkEnd w:id="747"/>
      <w:bookmarkEnd w:id="748"/>
      <w:bookmarkEnd w:id="749"/>
      <w:bookmarkEnd w:id="750"/>
      <w:bookmarkEnd w:id="751"/>
      <w:bookmarkEnd w:id="752"/>
    </w:p>
    <w:p>
      <w:pPr>
        <w:spacing w:line="360" w:lineRule="auto"/>
        <w:rPr>
          <w:sz w:val="24"/>
          <w:szCs w:val="20"/>
        </w:rPr>
      </w:pPr>
    </w:p>
    <w:p>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rFonts w:hint="eastAsia"/>
          <w:b/>
          <w:sz w:val="36"/>
          <w:szCs w:val="36"/>
        </w:rPr>
        <w:t>合同条款偏离表</w:t>
      </w:r>
    </w:p>
    <w:p>
      <w:pPr>
        <w:spacing w:line="360" w:lineRule="auto"/>
        <w:rPr>
          <w:sz w:val="24"/>
          <w:szCs w:val="20"/>
        </w:rPr>
      </w:pPr>
    </w:p>
    <w:p>
      <w:pPr>
        <w:tabs>
          <w:tab w:val="left" w:pos="1800"/>
          <w:tab w:val="left" w:pos="5580"/>
        </w:tabs>
        <w:spacing w:line="360" w:lineRule="auto"/>
        <w:ind w:firstLine="360" w:firstLineChars="150"/>
        <w:jc w:val="left"/>
        <w:rPr>
          <w:sz w:val="24"/>
        </w:rPr>
      </w:pPr>
      <w:r>
        <w:rPr>
          <w:rFonts w:hint="eastAsia"/>
          <w:sz w:val="24"/>
        </w:rPr>
        <w:t>项目编号</w:t>
      </w:r>
      <w:r>
        <w:rPr>
          <w:sz w:val="24"/>
        </w:rPr>
        <w:t>/</w:t>
      </w:r>
      <w:r>
        <w:rPr>
          <w:rFonts w:hint="eastAsia"/>
          <w:sz w:val="24"/>
        </w:rPr>
        <w:t>包号：</w:t>
      </w:r>
      <w:r>
        <w:rPr>
          <w:sz w:val="24"/>
        </w:rPr>
        <w:t xml:space="preserve">_______________     </w:t>
      </w:r>
      <w:r>
        <w:rPr>
          <w:rFonts w:hint="eastAsia"/>
          <w:sz w:val="24"/>
        </w:rPr>
        <w:t>项目名称：</w:t>
      </w:r>
      <w:r>
        <w:rPr>
          <w:sz w:val="24"/>
        </w:rPr>
        <w:t>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215"/>
        <w:gridCol w:w="1788"/>
        <w:gridCol w:w="1789"/>
        <w:gridCol w:w="2209"/>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序号</w:t>
            </w: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szCs w:val="21"/>
              </w:rPr>
              <w:t>竞争性磋商文件</w:t>
            </w:r>
            <w:r>
              <w:rPr>
                <w:rFonts w:hint="eastAsia"/>
                <w:sz w:val="24"/>
              </w:rPr>
              <w:t>条目号（页码）</w:t>
            </w:r>
          </w:p>
        </w:tc>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szCs w:val="21"/>
              </w:rPr>
              <w:t>竞争性磋商文件</w:t>
            </w:r>
            <w:r>
              <w:rPr>
                <w:rFonts w:hint="eastAsia"/>
                <w:sz w:val="24"/>
              </w:rPr>
              <w:t>要求</w:t>
            </w:r>
          </w:p>
        </w:tc>
        <w:tc>
          <w:tcPr>
            <w:tcW w:w="198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响应文件内容</w:t>
            </w:r>
          </w:p>
        </w:tc>
        <w:tc>
          <w:tcPr>
            <w:tcW w:w="24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偏离情况</w:t>
            </w:r>
          </w:p>
          <w:p>
            <w:pPr>
              <w:adjustRightInd w:val="0"/>
              <w:snapToGrid w:val="0"/>
              <w:jc w:val="center"/>
              <w:rPr>
                <w:sz w:val="24"/>
              </w:rPr>
            </w:pPr>
            <w:r>
              <w:rPr>
                <w:rFonts w:hint="eastAsia"/>
                <w:sz w:val="24"/>
              </w:rPr>
              <w:t>（据实填写）</w:t>
            </w:r>
          </w:p>
        </w:tc>
        <w:tc>
          <w:tcPr>
            <w:tcW w:w="7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4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7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4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7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4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7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2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98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4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7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bl>
    <w:p>
      <w:pPr>
        <w:tabs>
          <w:tab w:val="left" w:pos="1800"/>
          <w:tab w:val="left" w:pos="5580"/>
        </w:tabs>
        <w:jc w:val="left"/>
        <w:rPr>
          <w:sz w:val="24"/>
        </w:rPr>
      </w:pPr>
    </w:p>
    <w:p>
      <w:pPr>
        <w:tabs>
          <w:tab w:val="left" w:pos="1800"/>
          <w:tab w:val="left" w:pos="5580"/>
        </w:tabs>
        <w:jc w:val="left"/>
        <w:rPr>
          <w:sz w:val="24"/>
        </w:rPr>
      </w:pPr>
      <w:r>
        <w:rPr>
          <w:rFonts w:hint="eastAsia"/>
          <w:sz w:val="24"/>
        </w:rPr>
        <w:t>注：</w:t>
      </w:r>
    </w:p>
    <w:p>
      <w:pPr>
        <w:tabs>
          <w:tab w:val="left" w:pos="1800"/>
          <w:tab w:val="left" w:pos="5580"/>
        </w:tabs>
        <w:jc w:val="left"/>
        <w:rPr>
          <w:sz w:val="24"/>
        </w:rPr>
      </w:pPr>
      <w:r>
        <w:rPr>
          <w:sz w:val="24"/>
        </w:rPr>
        <w:t xml:space="preserve">1. </w:t>
      </w:r>
      <w:r>
        <w:rPr>
          <w:rFonts w:hint="eastAsia"/>
          <w:sz w:val="24"/>
        </w:rPr>
        <w:t>对合同条款中的所有要求，除本表所列明的所有偏离外，均视作供应商已对之理解和响应。</w:t>
      </w:r>
    </w:p>
    <w:p>
      <w:pPr>
        <w:tabs>
          <w:tab w:val="left" w:pos="1800"/>
          <w:tab w:val="left" w:pos="5580"/>
        </w:tabs>
        <w:jc w:val="left"/>
        <w:rPr>
          <w:sz w:val="24"/>
        </w:rPr>
      </w:pPr>
      <w:r>
        <w:rPr>
          <w:sz w:val="24"/>
        </w:rPr>
        <w:t xml:space="preserve">2. </w:t>
      </w:r>
      <w:r>
        <w:rPr>
          <w:rFonts w:hint="eastAsia"/>
          <w:sz w:val="24"/>
        </w:rPr>
        <w:t>“偏离情况”列应据实填写“正偏离”或“负偏离”或“无偏离”。</w:t>
      </w:r>
    </w:p>
    <w:p>
      <w:pPr>
        <w:spacing w:line="360" w:lineRule="auto"/>
        <w:rPr>
          <w:sz w:val="24"/>
          <w:szCs w:val="20"/>
        </w:rPr>
      </w:pPr>
    </w:p>
    <w:p>
      <w:pPr>
        <w:autoSpaceDE w:val="0"/>
        <w:autoSpaceDN w:val="0"/>
        <w:adjustRightInd w:val="0"/>
        <w:snapToGrid w:val="0"/>
        <w:spacing w:before="25" w:after="25" w:line="360" w:lineRule="auto"/>
        <w:rPr>
          <w:sz w:val="24"/>
          <w:lang w:val="zh-CN"/>
        </w:rPr>
      </w:pPr>
      <w:r>
        <w:rPr>
          <w:rFonts w:hint="eastAsia"/>
          <w:sz w:val="24"/>
        </w:rPr>
        <w:t>供应商名称（加盖公章）</w:t>
      </w:r>
      <w:r>
        <w:rPr>
          <w:rFonts w:hint="eastAsia"/>
          <w:sz w:val="24"/>
          <w:lang w:val="zh-CN"/>
        </w:rPr>
        <w:t>：</w:t>
      </w:r>
      <w:r>
        <w:rPr>
          <w:sz w:val="24"/>
        </w:rPr>
        <w:t>_______________</w:t>
      </w:r>
    </w:p>
    <w:p>
      <w:pPr>
        <w:autoSpaceDE w:val="0"/>
        <w:autoSpaceDN w:val="0"/>
        <w:adjustRightInd w:val="0"/>
        <w:snapToGrid w:val="0"/>
        <w:spacing w:before="25" w:after="25" w:line="360" w:lineRule="auto"/>
        <w:rPr>
          <w:sz w:val="24"/>
          <w:lang w:val="zh-CN"/>
        </w:rPr>
      </w:pPr>
      <w:r>
        <w:rPr>
          <w:rFonts w:hint="eastAsia"/>
          <w:sz w:val="24"/>
          <w:szCs w:val="20"/>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r>
        <w:rPr>
          <w:sz w:val="24"/>
          <w:szCs w:val="20"/>
        </w:rPr>
        <w:t xml:space="preserve">    </w:t>
      </w:r>
    </w:p>
    <w:p>
      <w:pPr>
        <w:tabs>
          <w:tab w:val="left" w:pos="360"/>
        </w:tabs>
        <w:snapToGrid w:val="0"/>
        <w:spacing w:line="360" w:lineRule="auto"/>
        <w:outlineLvl w:val="1"/>
        <w:rPr>
          <w:sz w:val="24"/>
          <w:szCs w:val="20"/>
        </w:rPr>
      </w:pPr>
      <w:r>
        <w:rPr>
          <w:sz w:val="24"/>
          <w:szCs w:val="20"/>
        </w:rPr>
        <w:br w:type="page"/>
      </w:r>
      <w:r>
        <w:rPr>
          <w:sz w:val="24"/>
        </w:rPr>
        <w:t xml:space="preserve">10  </w:t>
      </w:r>
      <w:bookmarkEnd w:id="753"/>
      <w:bookmarkEnd w:id="754"/>
      <w:bookmarkEnd w:id="755"/>
      <w:bookmarkEnd w:id="756"/>
      <w:bookmarkEnd w:id="757"/>
      <w:bookmarkEnd w:id="758"/>
      <w:bookmarkEnd w:id="759"/>
      <w:bookmarkEnd w:id="760"/>
      <w:bookmarkEnd w:id="761"/>
      <w:bookmarkEnd w:id="762"/>
      <w:bookmarkEnd w:id="763"/>
      <w:bookmarkEnd w:id="764"/>
      <w:bookmarkEnd w:id="765"/>
      <w:r>
        <w:rPr>
          <w:rFonts w:hint="eastAsia"/>
          <w:sz w:val="24"/>
        </w:rPr>
        <w:t>采购需求偏离表</w:t>
      </w:r>
    </w:p>
    <w:p>
      <w:pPr>
        <w:autoSpaceDE w:val="0"/>
        <w:autoSpaceDN w:val="0"/>
        <w:adjustRightInd w:val="0"/>
        <w:spacing w:line="360" w:lineRule="auto"/>
        <w:jc w:val="center"/>
        <w:rPr>
          <w:b/>
          <w:sz w:val="36"/>
          <w:szCs w:val="36"/>
        </w:rPr>
      </w:pPr>
      <w:r>
        <w:rPr>
          <w:rFonts w:hint="eastAsia"/>
          <w:b/>
          <w:sz w:val="36"/>
          <w:szCs w:val="36"/>
        </w:rPr>
        <w:t>采购需求偏离表</w:t>
      </w:r>
    </w:p>
    <w:p>
      <w:pPr>
        <w:tabs>
          <w:tab w:val="left" w:pos="1800"/>
          <w:tab w:val="left" w:pos="5580"/>
        </w:tabs>
        <w:spacing w:line="360" w:lineRule="auto"/>
        <w:ind w:firstLine="360" w:firstLineChars="150"/>
        <w:jc w:val="left"/>
        <w:rPr>
          <w:sz w:val="24"/>
        </w:rPr>
      </w:pPr>
      <w:r>
        <w:rPr>
          <w:rFonts w:hint="eastAsia"/>
          <w:sz w:val="24"/>
        </w:rPr>
        <w:t>项目编号</w:t>
      </w:r>
      <w:r>
        <w:rPr>
          <w:sz w:val="24"/>
        </w:rPr>
        <w:t>/</w:t>
      </w:r>
      <w:r>
        <w:rPr>
          <w:rFonts w:hint="eastAsia"/>
          <w:sz w:val="24"/>
        </w:rPr>
        <w:t>包号：</w:t>
      </w:r>
      <w:r>
        <w:rPr>
          <w:sz w:val="24"/>
        </w:rPr>
        <w:t xml:space="preserve">_______________     </w:t>
      </w:r>
      <w:r>
        <w:rPr>
          <w:rFonts w:hint="eastAsia"/>
          <w:sz w:val="24"/>
        </w:rPr>
        <w:t>项目名称：</w:t>
      </w:r>
      <w:r>
        <w:rPr>
          <w:sz w:val="24"/>
        </w:rPr>
        <w:t>_______________</w:t>
      </w:r>
    </w:p>
    <w:tbl>
      <w:tblPr>
        <w:tblStyle w:val="43"/>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1"/>
        <w:gridCol w:w="2382"/>
        <w:gridCol w:w="2125"/>
        <w:gridCol w:w="1874"/>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竞争性磋商文件条目号</w:t>
            </w:r>
            <w:r>
              <w:rPr>
                <w:sz w:val="24"/>
              </w:rPr>
              <w:t>(</w:t>
            </w:r>
            <w:r>
              <w:rPr>
                <w:rFonts w:hint="eastAsia"/>
                <w:sz w:val="24"/>
              </w:rPr>
              <w:t>页码</w:t>
            </w:r>
            <w:r>
              <w:rPr>
                <w:sz w:val="24"/>
              </w:rPr>
              <w:t>)</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竞争性磋商文件要求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偏离情况</w:t>
            </w:r>
          </w:p>
          <w:p>
            <w:pPr>
              <w:adjustRightInd w:val="0"/>
              <w:snapToGrid w:val="0"/>
              <w:jc w:val="center"/>
              <w:rPr>
                <w:sz w:val="24"/>
              </w:rPr>
            </w:pPr>
            <w:r>
              <w:rPr>
                <w:rFonts w:hint="eastAsia"/>
                <w:sz w:val="24"/>
                <w:szCs w:val="21"/>
              </w:rPr>
              <w:t>（据实填写）</w:t>
            </w: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rFonts w:hint="eastAsia"/>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p>
        </w:tc>
      </w:tr>
    </w:tbl>
    <w:p>
      <w:pPr>
        <w:tabs>
          <w:tab w:val="left" w:pos="1800"/>
          <w:tab w:val="left" w:pos="5580"/>
        </w:tabs>
        <w:spacing w:line="360" w:lineRule="auto"/>
        <w:ind w:firstLine="360" w:firstLineChars="150"/>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rFonts w:hint="eastAsia"/>
          <w:sz w:val="24"/>
        </w:rPr>
        <w:t>注：</w:t>
      </w:r>
    </w:p>
    <w:p>
      <w:pPr>
        <w:tabs>
          <w:tab w:val="left" w:pos="1800"/>
          <w:tab w:val="left" w:pos="5580"/>
        </w:tabs>
        <w:jc w:val="left"/>
        <w:rPr>
          <w:sz w:val="24"/>
        </w:rPr>
      </w:pPr>
      <w:r>
        <w:rPr>
          <w:sz w:val="24"/>
        </w:rPr>
        <w:t xml:space="preserve">1. </w:t>
      </w:r>
      <w:r>
        <w:rPr>
          <w:rFonts w:hint="eastAsia"/>
          <w:sz w:val="24"/>
        </w:rPr>
        <w:t>对竞争性磋商文件中的所有商务、技术要求，除本表所列明的所有偏离外，均视作供应商已对之理解和响应。此表中若无任何文字说明，内容为空白的</w:t>
      </w:r>
      <w:r>
        <w:rPr>
          <w:rFonts w:hint="eastAsia"/>
          <w:b/>
          <w:sz w:val="24"/>
        </w:rPr>
        <w:t>响应无效</w:t>
      </w:r>
      <w:r>
        <w:rPr>
          <w:rFonts w:hint="eastAsia"/>
          <w:sz w:val="24"/>
        </w:rPr>
        <w:t>。</w:t>
      </w:r>
    </w:p>
    <w:p>
      <w:pPr>
        <w:tabs>
          <w:tab w:val="left" w:pos="1800"/>
          <w:tab w:val="left" w:pos="5580"/>
        </w:tabs>
        <w:jc w:val="left"/>
        <w:rPr>
          <w:sz w:val="24"/>
        </w:rPr>
      </w:pPr>
      <w:r>
        <w:rPr>
          <w:sz w:val="24"/>
        </w:rPr>
        <w:t>2.</w:t>
      </w:r>
      <w:r>
        <w:rPr>
          <w:rFonts w:hint="eastAsia"/>
          <w:sz w:val="24"/>
        </w:rPr>
        <w:t>“偏离情况”列应据实填写“正偏离”或“负偏离”。</w:t>
      </w:r>
    </w:p>
    <w:p>
      <w:pPr>
        <w:tabs>
          <w:tab w:val="left" w:pos="1800"/>
          <w:tab w:val="left" w:pos="5580"/>
        </w:tabs>
        <w:jc w:val="left"/>
        <w:rPr>
          <w:sz w:val="24"/>
        </w:rPr>
      </w:pPr>
    </w:p>
    <w:p>
      <w:pPr>
        <w:rPr>
          <w:sz w:val="24"/>
          <w:szCs w:val="20"/>
        </w:rPr>
      </w:pPr>
    </w:p>
    <w:p>
      <w:pPr>
        <w:autoSpaceDE w:val="0"/>
        <w:autoSpaceDN w:val="0"/>
        <w:adjustRightInd w:val="0"/>
        <w:snapToGrid w:val="0"/>
        <w:spacing w:before="25" w:after="25" w:line="360" w:lineRule="auto"/>
        <w:ind w:right="360"/>
        <w:jc w:val="left"/>
        <w:rPr>
          <w:sz w:val="24"/>
          <w:lang w:val="zh-CN"/>
        </w:rPr>
      </w:pPr>
      <w:r>
        <w:rPr>
          <w:rFonts w:hint="eastAsia"/>
          <w:sz w:val="24"/>
        </w:rPr>
        <w:t>供应商名称（加盖公章）</w:t>
      </w:r>
      <w:r>
        <w:rPr>
          <w:rFonts w:hint="eastAsia"/>
          <w:sz w:val="24"/>
          <w:lang w:val="zh-CN"/>
        </w:rPr>
        <w:t>：</w:t>
      </w:r>
      <w:r>
        <w:rPr>
          <w:sz w:val="24"/>
        </w:rPr>
        <w:t>______</w:t>
      </w:r>
    </w:p>
    <w:p>
      <w:pPr>
        <w:autoSpaceDE w:val="0"/>
        <w:autoSpaceDN w:val="0"/>
        <w:adjustRightInd w:val="0"/>
        <w:snapToGrid w:val="0"/>
        <w:spacing w:before="25" w:after="25" w:line="360" w:lineRule="auto"/>
        <w:ind w:right="360"/>
        <w:jc w:val="left"/>
        <w:rPr>
          <w:sz w:val="24"/>
          <w:szCs w:val="20"/>
        </w:rPr>
      </w:pPr>
      <w:r>
        <w:rPr>
          <w:rFonts w:hint="eastAsia"/>
          <w:sz w:val="24"/>
          <w:szCs w:val="20"/>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r>
        <w:rPr>
          <w:sz w:val="24"/>
          <w:szCs w:val="20"/>
        </w:rPr>
        <w:t xml:space="preserve"> </w:t>
      </w:r>
    </w:p>
    <w:p>
      <w:pPr>
        <w:spacing w:after="200"/>
        <w:rPr>
          <w:rFonts w:ascii="宋体" w:hAnsi="宋体"/>
          <w:b/>
        </w:rPr>
      </w:pPr>
      <w:r>
        <w:rPr>
          <w:sz w:val="24"/>
          <w:szCs w:val="20"/>
        </w:rPr>
        <w:br w:type="page"/>
      </w:r>
      <w:r>
        <w:rPr>
          <w:sz w:val="24"/>
          <w:szCs w:val="20"/>
        </w:rPr>
        <w:t>11</w:t>
      </w:r>
      <w:r>
        <w:rPr>
          <w:rFonts w:hint="eastAsia"/>
          <w:sz w:val="24"/>
          <w:szCs w:val="20"/>
        </w:rPr>
        <w:t>、</w:t>
      </w:r>
      <w:r>
        <w:rPr>
          <w:rFonts w:hint="eastAsia" w:ascii="宋体" w:hAnsi="宋体"/>
          <w:b/>
        </w:rPr>
        <w:t>报价人业绩证明材料。</w:t>
      </w:r>
    </w:p>
    <w:p>
      <w:pPr>
        <w:tabs>
          <w:tab w:val="left" w:pos="3060"/>
        </w:tabs>
        <w:ind w:firstLine="480"/>
        <w:rPr>
          <w:rFonts w:ascii="宋体" w:hAnsi="宋体"/>
          <w:szCs w:val="21"/>
        </w:rPr>
      </w:pPr>
      <w:r>
        <w:rPr>
          <w:rFonts w:hint="eastAsia" w:ascii="宋体" w:hAnsi="宋体"/>
          <w:szCs w:val="21"/>
        </w:rPr>
        <w:t>业绩表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1735"/>
        <w:gridCol w:w="927"/>
        <w:gridCol w:w="1020"/>
        <w:gridCol w:w="943"/>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序号</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项目</w:t>
            </w:r>
          </w:p>
          <w:p>
            <w:pPr>
              <w:jc w:val="center"/>
              <w:rPr>
                <w:rFonts w:ascii="宋体" w:hAnsi="宋体"/>
              </w:rPr>
            </w:pPr>
            <w:r>
              <w:rPr>
                <w:rFonts w:hint="eastAsia" w:ascii="宋体" w:hAnsi="宋体"/>
              </w:rPr>
              <w:t>名称</w:t>
            </w: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合同</w:t>
            </w:r>
          </w:p>
          <w:p>
            <w:pPr>
              <w:jc w:val="center"/>
              <w:rPr>
                <w:rFonts w:ascii="宋体" w:hAnsi="宋体"/>
              </w:rPr>
            </w:pPr>
            <w:r>
              <w:rPr>
                <w:rFonts w:hint="eastAsia" w:ascii="宋体" w:hAnsi="宋体"/>
              </w:rPr>
              <w:t>内容</w:t>
            </w: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签订</w:t>
            </w:r>
          </w:p>
          <w:p>
            <w:pPr>
              <w:jc w:val="center"/>
              <w:rPr>
                <w:rFonts w:ascii="宋体" w:hAnsi="宋体"/>
              </w:rPr>
            </w:pPr>
            <w:r>
              <w:rPr>
                <w:rFonts w:hint="eastAsia" w:ascii="宋体" w:hAnsi="宋体"/>
              </w:rPr>
              <w:t>日期</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合同</w:t>
            </w:r>
          </w:p>
          <w:p>
            <w:pPr>
              <w:jc w:val="center"/>
              <w:rPr>
                <w:rFonts w:ascii="宋体" w:hAnsi="宋体"/>
              </w:rPr>
            </w:pPr>
            <w:r>
              <w:rPr>
                <w:rFonts w:hint="eastAsia" w:ascii="宋体" w:hAnsi="宋体"/>
              </w:rPr>
              <w:t>总价</w:t>
            </w: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联系人</w:t>
            </w: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r>
              <w:rPr>
                <w:rFonts w:hint="eastAsia" w:ascii="宋体" w:hAnsi="宋体"/>
              </w:rPr>
              <w:t>联系</w:t>
            </w:r>
          </w:p>
          <w:p>
            <w:pPr>
              <w:jc w:val="center"/>
              <w:rPr>
                <w:rFonts w:ascii="宋体" w:hAnsi="宋体"/>
              </w:rPr>
            </w:pPr>
            <w:r>
              <w:rPr>
                <w:rFonts w:hint="eastAsia" w:ascii="宋体" w:hAnsi="宋体"/>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73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9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13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r>
    </w:tbl>
    <w:p>
      <w:pPr>
        <w:rPr>
          <w:rFonts w:ascii="宋体" w:hAnsi="宋体"/>
          <w:b/>
        </w:rPr>
      </w:pPr>
      <w:r>
        <w:rPr>
          <w:rFonts w:hint="eastAsia" w:ascii="宋体" w:hAnsi="宋体"/>
          <w:b/>
        </w:rPr>
        <w:t>注：须提供采购合同主要章节复印件并加盖公章</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spacing w:line="360" w:lineRule="auto"/>
        <w:outlineLvl w:val="2"/>
        <w:rPr>
          <w:sz w:val="24"/>
          <w:szCs w:val="20"/>
        </w:rPr>
      </w:pPr>
      <w:r>
        <w:rPr>
          <w:sz w:val="24"/>
          <w:szCs w:val="20"/>
        </w:rPr>
        <w:t xml:space="preserve">12  </w:t>
      </w:r>
      <w:r>
        <w:rPr>
          <w:rFonts w:hint="eastAsia" w:ascii="宋体" w:hAnsi="宋体"/>
          <w:sz w:val="24"/>
        </w:rPr>
        <w:t>企业信用记录查询截图</w:t>
      </w:r>
    </w:p>
    <w:p>
      <w:pPr>
        <w:pStyle w:val="4"/>
        <w:spacing w:line="360" w:lineRule="auto"/>
        <w:rPr>
          <w:b w:val="0"/>
        </w:rPr>
      </w:pPr>
      <w:r>
        <w:rPr>
          <w:rFonts w:hint="eastAsia" w:ascii="宋体" w:hAnsi="宋体" w:eastAsia="宋体"/>
          <w:b w:val="0"/>
          <w:sz w:val="24"/>
        </w:rPr>
        <w:t>企业信用记录查询截图</w:t>
      </w:r>
    </w:p>
    <w:p>
      <w:pPr>
        <w:rPr>
          <w:rFonts w:ascii="宋体" w:hAnsi="宋体"/>
          <w:sz w:val="24"/>
        </w:rPr>
      </w:pPr>
    </w:p>
    <w:p>
      <w:pPr>
        <w:pStyle w:val="4"/>
        <w:spacing w:line="360" w:lineRule="auto"/>
        <w:rPr>
          <w:rFonts w:ascii="宋体" w:hAnsi="宋体" w:eastAsia="宋体"/>
          <w:b w:val="0"/>
          <w:sz w:val="24"/>
        </w:rPr>
      </w:pPr>
      <w:bookmarkStart w:id="766" w:name="_Toc34319266"/>
      <w:bookmarkStart w:id="767" w:name="_Toc81746111"/>
      <w:r>
        <w:rPr>
          <w:rFonts w:hint="eastAsia" w:ascii="宋体" w:hAnsi="宋体" w:eastAsia="宋体"/>
          <w:b w:val="0"/>
          <w:sz w:val="24"/>
        </w:rPr>
        <w:t>（</w:t>
      </w:r>
      <w:r>
        <w:rPr>
          <w:rFonts w:hint="eastAsia" w:ascii="ˎ̥" w:hAnsi="ˎ̥" w:cs="宋体"/>
          <w:b w:val="0"/>
          <w:sz w:val="24"/>
        </w:rPr>
        <w:t>在“信用中国“网站上的本企业信用信息查询结果；在中国政府采购网网站查询记录</w:t>
      </w:r>
      <w:r>
        <w:rPr>
          <w:rFonts w:hint="eastAsia" w:ascii="宋体" w:hAnsi="宋体" w:eastAsia="宋体"/>
          <w:b w:val="0"/>
          <w:sz w:val="24"/>
        </w:rPr>
        <w:t>需加盖公章）</w:t>
      </w:r>
      <w:bookmarkEnd w:id="766"/>
      <w:bookmarkEnd w:id="767"/>
    </w:p>
    <w:p>
      <w:pPr>
        <w:widowControl/>
        <w:ind w:firstLine="723" w:firstLineChars="200"/>
        <w:jc w:val="left"/>
        <w:rPr>
          <w:b/>
          <w:sz w:val="36"/>
          <w:szCs w:val="36"/>
        </w:rPr>
      </w:pPr>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
      <w:pPr>
        <w:tabs>
          <w:tab w:val="left" w:pos="5580"/>
        </w:tabs>
        <w:spacing w:before="120" w:line="360" w:lineRule="auto"/>
        <w:jc w:val="left"/>
        <w:rPr>
          <w:rFonts w:ascii="宋体" w:hAnsi="宋体"/>
          <w:sz w:val="24"/>
        </w:rPr>
      </w:pPr>
      <w:r>
        <w:rPr>
          <w:sz w:val="24"/>
          <w:szCs w:val="20"/>
        </w:rPr>
        <w:t xml:space="preserve">13  </w:t>
      </w:r>
      <w:r>
        <w:rPr>
          <w:rFonts w:hint="eastAsia" w:ascii="宋体" w:hAnsi="宋体"/>
          <w:b/>
          <w:sz w:val="24"/>
        </w:rPr>
        <w:t>投标人的资信证明</w:t>
      </w:r>
      <w:r>
        <w:rPr>
          <w:rFonts w:hint="eastAsia" w:ascii="宋体" w:hAnsi="宋体"/>
          <w:sz w:val="24"/>
        </w:rPr>
        <w:t>：</w:t>
      </w:r>
    </w:p>
    <w:p>
      <w:pPr>
        <w:tabs>
          <w:tab w:val="left" w:pos="5580"/>
        </w:tabs>
        <w:spacing w:before="120" w:line="360" w:lineRule="auto"/>
        <w:ind w:firstLine="480" w:firstLineChars="200"/>
        <w:jc w:val="left"/>
        <w:rPr>
          <w:rFonts w:ascii="宋体" w:hAnsi="宋体"/>
          <w:sz w:val="24"/>
        </w:rPr>
      </w:pPr>
      <w:r>
        <w:rPr>
          <w:rFonts w:hint="eastAsia" w:ascii="宋体" w:hAnsi="宋体"/>
          <w:sz w:val="24"/>
        </w:rPr>
        <w:t>会计师事务所出具的上一年度财务审计报告或开户银行最近3个月内出具的资信证明（银行存款证明无效）</w:t>
      </w:r>
    </w:p>
    <w:p>
      <w:pPr>
        <w:pStyle w:val="2"/>
      </w:pPr>
    </w:p>
    <w:p/>
    <w:p>
      <w:pPr>
        <w:tabs>
          <w:tab w:val="left" w:pos="5580"/>
        </w:tabs>
        <w:spacing w:before="120" w:line="360" w:lineRule="auto"/>
        <w:ind w:firstLine="480" w:firstLineChars="200"/>
        <w:rPr>
          <w:rFonts w:ascii="宋体" w:hAnsi="宋体"/>
          <w:sz w:val="24"/>
        </w:rPr>
      </w:pPr>
      <w:r>
        <w:rPr>
          <w:rFonts w:hint="eastAsia" w:ascii="宋体" w:hAnsi="宋体"/>
          <w:sz w:val="24"/>
        </w:rPr>
        <w:t>说明：</w:t>
      </w:r>
    </w:p>
    <w:p>
      <w:pPr>
        <w:tabs>
          <w:tab w:val="left" w:pos="5580"/>
        </w:tabs>
        <w:spacing w:before="120" w:line="360" w:lineRule="auto"/>
        <w:ind w:firstLine="480" w:firstLineChars="200"/>
        <w:rPr>
          <w:rFonts w:ascii="宋体" w:hAnsi="宋体"/>
          <w:sz w:val="24"/>
        </w:rPr>
      </w:pPr>
      <w:r>
        <w:rPr>
          <w:rFonts w:hint="eastAsia" w:ascii="宋体" w:hAnsi="宋体"/>
          <w:sz w:val="24"/>
        </w:rPr>
        <w:t>1、投标人在投标文件中，必须提供本单位上年度经会计师事务所出具完整的审计报告复印件并加盖本单位公章和投标人公章。</w:t>
      </w:r>
    </w:p>
    <w:p>
      <w:pPr>
        <w:tabs>
          <w:tab w:val="left" w:pos="5580"/>
        </w:tabs>
        <w:spacing w:before="120" w:line="360" w:lineRule="auto"/>
        <w:ind w:firstLine="480" w:firstLineChars="200"/>
        <w:rPr>
          <w:rFonts w:ascii="宋体" w:hAnsi="宋体"/>
          <w:sz w:val="24"/>
        </w:rPr>
      </w:pPr>
      <w:r>
        <w:rPr>
          <w:rFonts w:hint="eastAsia" w:ascii="宋体" w:hAnsi="宋体"/>
          <w:sz w:val="24"/>
        </w:rPr>
        <w:t xml:space="preserve">2、如投标人无法提供上年度审计报告，则需提供银行在开标日前一个月内开具的资信证明。银行资信证明提供原件并加盖投标人公章。 </w:t>
      </w:r>
    </w:p>
    <w:p>
      <w:pPr>
        <w:pStyle w:val="2"/>
        <w:ind w:firstLine="420" w:firstLineChars="200"/>
      </w:pPr>
      <w:r>
        <w:t>3</w:t>
      </w:r>
      <w:r>
        <w:rPr>
          <w:rFonts w:hint="eastAsia"/>
        </w:rPr>
        <w:t>、银行资信证明应能说明该投标人与银行之间业务往来正常，企业信誉良好等。银行出具的存款证明不能替代银行资信证明。</w:t>
      </w:r>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r>
        <w:t>14</w:t>
      </w:r>
      <w:r>
        <w:rPr>
          <w:rFonts w:hint="eastAsia"/>
        </w:rPr>
        <w:t>投标人最近三年无违法记录承诺书</w:t>
      </w:r>
    </w:p>
    <w:p/>
    <w:p>
      <w:pPr>
        <w:pStyle w:val="2"/>
      </w:pPr>
    </w:p>
    <w:p>
      <w:pPr>
        <w:spacing w:line="360" w:lineRule="auto"/>
        <w:jc w:val="center"/>
        <w:rPr>
          <w:rFonts w:ascii="宋体" w:hAnsi="宋体"/>
          <w:b/>
          <w:kern w:val="0"/>
          <w:sz w:val="24"/>
        </w:rPr>
      </w:pPr>
      <w:r>
        <w:rPr>
          <w:rFonts w:hint="eastAsia" w:ascii="宋体" w:hAnsi="宋体"/>
          <w:b/>
          <w:kern w:val="0"/>
          <w:sz w:val="24"/>
        </w:rPr>
        <w:t>没有重大违法记录承诺书</w:t>
      </w:r>
    </w:p>
    <w:p>
      <w:pPr>
        <w:spacing w:line="360" w:lineRule="auto"/>
        <w:jc w:val="center"/>
        <w:rPr>
          <w:rFonts w:ascii="宋体" w:hAnsi="宋体"/>
          <w:b/>
          <w:sz w:val="24"/>
        </w:rPr>
      </w:pPr>
    </w:p>
    <w:p>
      <w:pPr>
        <w:tabs>
          <w:tab w:val="left" w:pos="5580"/>
        </w:tabs>
        <w:spacing w:line="360" w:lineRule="auto"/>
        <w:rPr>
          <w:rFonts w:ascii="宋体" w:hAnsi="宋体" w:cs="Arial"/>
          <w:sz w:val="24"/>
          <w:u w:val="single"/>
        </w:rPr>
      </w:pPr>
      <w:r>
        <w:rPr>
          <w:rFonts w:hint="eastAsia" w:ascii="宋体" w:hAnsi="宋体" w:cs="Arial"/>
          <w:sz w:val="24"/>
        </w:rPr>
        <w:t>致：</w:t>
      </w:r>
      <w:r>
        <w:rPr>
          <w:rFonts w:hint="eastAsia" w:ascii="宋体" w:hAnsi="宋体" w:cs="Arial"/>
          <w:sz w:val="24"/>
          <w:u w:val="single"/>
        </w:rPr>
        <w:t>采购单位</w:t>
      </w:r>
    </w:p>
    <w:p>
      <w:pPr>
        <w:spacing w:line="360" w:lineRule="auto"/>
        <w:ind w:firstLine="480" w:firstLineChars="200"/>
        <w:rPr>
          <w:rFonts w:ascii="宋体" w:hAnsi="宋体" w:cs="Arial"/>
          <w:sz w:val="24"/>
        </w:rPr>
      </w:pPr>
      <w:r>
        <w:rPr>
          <w:rFonts w:hint="eastAsia" w:ascii="宋体" w:hAnsi="宋体" w:cs="Arial"/>
          <w:sz w:val="24"/>
        </w:rPr>
        <w:t>我单位近三年内在经营活动中没有重大违法记录，暨没有因违法经营受到刑事处罚或者责令停产停业、吊销许可证或者执照、较大数额罚款等行政处罚，特此声明。</w:t>
      </w:r>
    </w:p>
    <w:p>
      <w:pPr>
        <w:spacing w:line="360" w:lineRule="auto"/>
        <w:ind w:firstLine="480" w:firstLineChars="200"/>
        <w:rPr>
          <w:rFonts w:ascii="宋体" w:hAnsi="宋体" w:cs="Arial"/>
          <w:sz w:val="24"/>
        </w:rPr>
      </w:pPr>
      <w:r>
        <w:rPr>
          <w:rFonts w:hint="eastAsia" w:ascii="宋体" w:hAnsi="宋体" w:cs="Arial"/>
          <w:sz w:val="24"/>
        </w:rPr>
        <w:t>若采购单位在本项目采购过程中发现我单位近三年内在经营活动中有重大违法记录，我单位将无条件地退出本项目，并承担因此引起的一切后果。</w:t>
      </w:r>
    </w:p>
    <w:p>
      <w:pPr>
        <w:spacing w:line="360" w:lineRule="auto"/>
        <w:rPr>
          <w:rFonts w:ascii="宋体" w:hAnsi="宋体" w:cs="Arial"/>
          <w:sz w:val="24"/>
        </w:rPr>
      </w:pPr>
    </w:p>
    <w:p>
      <w:pPr>
        <w:spacing w:line="360" w:lineRule="auto"/>
        <w:rPr>
          <w:rFonts w:ascii="宋体" w:hAnsi="宋体" w:cs="Arial"/>
          <w:sz w:val="24"/>
        </w:rPr>
      </w:pPr>
    </w:p>
    <w:p>
      <w:pPr>
        <w:rPr>
          <w:rFonts w:ascii="宋体" w:hAnsi="宋体" w:cs="Arial"/>
          <w:sz w:val="24"/>
        </w:rPr>
      </w:pPr>
      <w:r>
        <w:rPr>
          <w:rFonts w:hint="eastAsia" w:ascii="宋体" w:hAnsi="宋体" w:cs="Arial"/>
          <w:sz w:val="24"/>
        </w:rPr>
        <w:t>投标人名称：</w:t>
      </w:r>
    </w:p>
    <w:p>
      <w:pPr>
        <w:rPr>
          <w:rFonts w:ascii="宋体" w:hAnsi="宋体" w:cs="Arial"/>
          <w:sz w:val="24"/>
        </w:rPr>
      </w:pPr>
      <w:r>
        <w:rPr>
          <w:rFonts w:hint="eastAsia" w:ascii="宋体" w:hAnsi="宋体" w:cs="Arial"/>
          <w:sz w:val="24"/>
        </w:rPr>
        <w:t>投标人盖章（公章）：</w:t>
      </w:r>
    </w:p>
    <w:p>
      <w:pPr>
        <w:rPr>
          <w:rFonts w:ascii="宋体" w:hAnsi="宋体" w:cs="Arial"/>
          <w:sz w:val="24"/>
        </w:rPr>
      </w:pPr>
      <w:r>
        <w:rPr>
          <w:rFonts w:hint="eastAsia" w:ascii="宋体" w:hAnsi="宋体" w:cs="Arial"/>
          <w:sz w:val="24"/>
        </w:rPr>
        <w:t>法定代表人或其授权代表(签字)：</w:t>
      </w:r>
    </w:p>
    <w:p>
      <w:pPr>
        <w:rPr>
          <w:rFonts w:ascii="宋体" w:hAnsi="宋体"/>
          <w:sz w:val="24"/>
        </w:rPr>
      </w:pPr>
      <w:r>
        <w:rPr>
          <w:rFonts w:hint="eastAsia" w:ascii="宋体" w:hAnsi="宋体" w:cs="Arial"/>
          <w:sz w:val="24"/>
        </w:rPr>
        <w:t>日期：</w:t>
      </w:r>
    </w:p>
    <w:p>
      <w:pPr>
        <w:tabs>
          <w:tab w:val="left" w:pos="1230"/>
        </w:tabs>
        <w:spacing w:line="360" w:lineRule="auto"/>
        <w:ind w:firstLine="3120" w:firstLineChars="1300"/>
        <w:rPr>
          <w:rFonts w:ascii="宋体" w:hAnsi="宋体"/>
          <w:sz w:val="24"/>
        </w:rPr>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r>
        <w:t>15</w:t>
      </w:r>
      <w:r>
        <w:rPr>
          <w:rFonts w:hint="eastAsia"/>
        </w:rPr>
        <w:t>社保及纳税（投标人提供半年内任意</w:t>
      </w:r>
      <w:r>
        <w:t>1</w:t>
      </w:r>
      <w:r>
        <w:rPr>
          <w:rFonts w:hint="eastAsia"/>
        </w:rPr>
        <w:t>个月的纳税和社保记录的有效票据凭证复印件，并加盖本单位公章）</w:t>
      </w:r>
    </w:p>
    <w:p>
      <w:pPr>
        <w:tabs>
          <w:tab w:val="left" w:pos="5580"/>
        </w:tabs>
        <w:spacing w:before="120" w:line="276" w:lineRule="auto"/>
        <w:ind w:firstLine="360" w:firstLineChars="150"/>
        <w:rPr>
          <w:rFonts w:ascii="宋体" w:hAnsi="宋体"/>
          <w:sz w:val="24"/>
        </w:rPr>
      </w:pPr>
    </w:p>
    <w:p>
      <w:pPr>
        <w:tabs>
          <w:tab w:val="left" w:pos="5580"/>
        </w:tabs>
        <w:spacing w:before="120" w:line="276" w:lineRule="auto"/>
        <w:ind w:firstLine="360" w:firstLineChars="150"/>
        <w:rPr>
          <w:rFonts w:ascii="宋体" w:hAnsi="宋体"/>
          <w:sz w:val="24"/>
        </w:rPr>
      </w:pPr>
    </w:p>
    <w:p>
      <w:pPr>
        <w:widowControl/>
        <w:jc w:val="left"/>
        <w:rPr>
          <w:b/>
          <w:sz w:val="36"/>
          <w:szCs w:val="36"/>
        </w:rPr>
      </w:pPr>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Pr>
        <w:pStyle w:val="5"/>
        <w:ind w:firstLine="0"/>
      </w:pPr>
      <w:r>
        <w:rPr>
          <w:rFonts w:hint="eastAsia"/>
        </w:rPr>
        <w:t>16</w:t>
      </w:r>
      <w:r>
        <w:rPr>
          <w:rFonts w:hint="eastAsia" w:hAnsi="宋体" w:cs="Arial"/>
          <w:b/>
          <w:bCs/>
        </w:rPr>
        <w:t>人力资源一览表</w:t>
      </w:r>
    </w:p>
    <w:p>
      <w:pPr>
        <w:pStyle w:val="24"/>
        <w:spacing w:line="360" w:lineRule="auto"/>
        <w:ind w:left="1181" w:hanging="1181" w:hangingChars="490"/>
        <w:jc w:val="center"/>
        <w:outlineLvl w:val="2"/>
        <w:rPr>
          <w:rFonts w:hAnsi="宋体" w:cs="Arial"/>
          <w:b/>
          <w:bCs/>
          <w:sz w:val="24"/>
        </w:rPr>
      </w:pPr>
      <w:bookmarkStart w:id="768" w:name="_Toc194888464"/>
      <w:bookmarkStart w:id="769" w:name="_Toc181864912"/>
      <w:bookmarkStart w:id="770" w:name="_Toc182205199"/>
      <w:bookmarkStart w:id="771" w:name="_Toc518203006"/>
      <w:bookmarkStart w:id="772" w:name="_Toc81746120"/>
      <w:bookmarkStart w:id="773" w:name="_Toc31625935"/>
      <w:bookmarkStart w:id="774" w:name="_Toc177189257"/>
      <w:bookmarkStart w:id="775" w:name="_Toc182802967"/>
      <w:bookmarkStart w:id="776" w:name="_Toc70687212"/>
      <w:bookmarkStart w:id="777" w:name="_Toc181504488"/>
      <w:bookmarkStart w:id="778" w:name="_Toc205612643"/>
      <w:bookmarkStart w:id="779" w:name="_Toc287280330"/>
      <w:bookmarkStart w:id="780" w:name="_Toc177995495"/>
      <w:bookmarkStart w:id="781" w:name="_Toc177817356"/>
      <w:bookmarkStart w:id="782" w:name="_Toc287280581"/>
      <w:bookmarkStart w:id="783" w:name="_Toc176882564"/>
      <w:bookmarkStart w:id="784" w:name="_Toc178491535"/>
      <w:bookmarkStart w:id="785" w:name="_Toc202069431"/>
      <w:bookmarkStart w:id="786" w:name="_Toc201995953"/>
      <w:bookmarkStart w:id="787" w:name="_Toc53722877"/>
      <w:bookmarkStart w:id="788" w:name="_Toc205612714"/>
      <w:bookmarkStart w:id="789" w:name="_Toc510602676"/>
      <w:bookmarkStart w:id="790" w:name="_Toc182802767"/>
      <w:bookmarkStart w:id="791" w:name="_Toc182802851"/>
      <w:bookmarkStart w:id="792" w:name="_Toc194883190"/>
      <w:bookmarkStart w:id="793" w:name="_Toc373513396"/>
      <w:bookmarkStart w:id="794" w:name="_Toc182205342"/>
      <w:bookmarkStart w:id="795" w:name="_Toc181864913"/>
      <w:bookmarkStart w:id="796" w:name="_Toc182205343"/>
      <w:bookmarkStart w:id="797" w:name="_Toc178491536"/>
      <w:bookmarkStart w:id="798" w:name="_Toc70687213"/>
      <w:bookmarkStart w:id="799" w:name="_Toc182205200"/>
      <w:bookmarkStart w:id="800" w:name="_Toc182802852"/>
      <w:bookmarkStart w:id="801" w:name="_Toc181504489"/>
      <w:bookmarkStart w:id="802" w:name="_Toc177995496"/>
      <w:bookmarkStart w:id="803" w:name="_Toc202069432"/>
      <w:bookmarkStart w:id="804" w:name="_Toc194888465"/>
      <w:bookmarkStart w:id="805" w:name="_Toc182802968"/>
      <w:bookmarkStart w:id="806" w:name="_Toc201995954"/>
      <w:bookmarkStart w:id="807" w:name="_Toc205612715"/>
      <w:bookmarkStart w:id="808" w:name="_Toc53722878"/>
      <w:bookmarkStart w:id="809" w:name="_Toc205612644"/>
      <w:bookmarkStart w:id="810" w:name="_Toc177817357"/>
      <w:bookmarkStart w:id="811" w:name="_Toc194883191"/>
      <w:bookmarkStart w:id="812" w:name="_Toc182802768"/>
      <w:bookmarkStart w:id="813" w:name="_Toc176882565"/>
      <w:bookmarkStart w:id="814" w:name="_Toc177189258"/>
    </w:p>
    <w:p>
      <w:pPr>
        <w:pStyle w:val="24"/>
        <w:spacing w:line="360" w:lineRule="auto"/>
        <w:ind w:left="1181" w:hanging="1181" w:hangingChars="490"/>
        <w:jc w:val="center"/>
        <w:outlineLvl w:val="2"/>
        <w:rPr>
          <w:rFonts w:hAnsi="宋体" w:cs="Arial"/>
          <w:b/>
          <w:bCs/>
          <w:sz w:val="24"/>
        </w:rPr>
      </w:pPr>
      <w:r>
        <w:rPr>
          <w:rFonts w:hint="eastAsia" w:hAnsi="宋体" w:cs="Arial"/>
          <w:b/>
          <w:bCs/>
          <w:sz w:val="24"/>
        </w:rPr>
        <w:t xml:space="preserve"> 供应商人力资源一览表</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pPr>
        <w:pStyle w:val="24"/>
        <w:spacing w:line="360" w:lineRule="auto"/>
        <w:ind w:left="1029" w:hanging="1029" w:hangingChars="490"/>
        <w:jc w:val="center"/>
        <w:outlineLvl w:val="2"/>
        <w:rPr>
          <w:rFonts w:hAnsi="宋体" w:cs="Arial"/>
        </w:rPr>
      </w:pPr>
    </w:p>
    <w:p>
      <w:pPr>
        <w:rPr>
          <w:rFonts w:ascii="宋体" w:hAnsi="宋体" w:cs="Arial"/>
        </w:rPr>
      </w:pPr>
    </w:p>
    <w:p>
      <w:pPr>
        <w:rPr>
          <w:rFonts w:ascii="宋体" w:hAnsi="宋体" w:cs="Arial"/>
          <w:sz w:val="24"/>
        </w:rPr>
      </w:pPr>
      <w:r>
        <w:rPr>
          <w:rFonts w:hint="eastAsia" w:ascii="宋体" w:hAnsi="宋体" w:cs="Arial"/>
          <w:sz w:val="24"/>
        </w:rPr>
        <w:t>投标人在此应根据本单位所有正式员工的实际情况填写下表：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5"/>
        <w:gridCol w:w="4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45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Cs w:val="21"/>
              </w:rPr>
            </w:pPr>
            <w:r>
              <w:rPr>
                <w:rFonts w:hint="eastAsia" w:ascii="宋体" w:hAnsi="宋体" w:cs="Arial"/>
                <w:sz w:val="24"/>
              </w:rPr>
              <w:t>员工总数</w:t>
            </w:r>
          </w:p>
        </w:tc>
        <w:tc>
          <w:tcPr>
            <w:tcW w:w="4426" w:type="dxa"/>
            <w:tcBorders>
              <w:top w:val="single" w:color="auto" w:sz="4" w:space="0"/>
              <w:left w:val="single" w:color="auto" w:sz="4" w:space="0"/>
              <w:bottom w:val="single" w:color="auto" w:sz="4" w:space="0"/>
              <w:right w:val="single" w:color="auto" w:sz="4" w:space="0"/>
            </w:tcBorders>
            <w:vAlign w:val="center"/>
          </w:tcPr>
          <w:p>
            <w:pPr>
              <w:rPr>
                <w:rFonts w:ascii="宋体" w:hAnsi="宋体" w:cs="Arial"/>
                <w:szCs w:val="21"/>
              </w:rPr>
            </w:pPr>
            <w:r>
              <w:rPr>
                <w:rFonts w:hint="eastAsia" w:ascii="宋体" w:hAnsi="宋体" w:cs="Arial"/>
                <w:sz w:val="24"/>
              </w:rPr>
              <w:t>共</w:t>
            </w:r>
            <w:r>
              <w:rPr>
                <w:rFonts w:hint="eastAsia" w:ascii="宋体" w:hAnsi="宋体" w:cs="Arial"/>
                <w:sz w:val="24"/>
                <w:u w:val="single"/>
              </w:rPr>
              <w:t xml:space="preserve">          </w:t>
            </w:r>
            <w:r>
              <w:rPr>
                <w:rFonts w:hint="eastAsia" w:ascii="宋体" w:hAnsi="宋体" w:cs="Arial"/>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45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Cs w:val="21"/>
              </w:rPr>
            </w:pPr>
            <w:r>
              <w:rPr>
                <w:rFonts w:hint="eastAsia" w:ascii="宋体" w:hAnsi="宋体" w:cs="Arial"/>
                <w:sz w:val="24"/>
              </w:rPr>
              <w:t>其中从事项目实施业务的员工</w:t>
            </w:r>
          </w:p>
        </w:tc>
        <w:tc>
          <w:tcPr>
            <w:tcW w:w="4426" w:type="dxa"/>
            <w:tcBorders>
              <w:top w:val="single" w:color="auto" w:sz="4" w:space="0"/>
              <w:left w:val="single" w:color="auto" w:sz="4" w:space="0"/>
              <w:bottom w:val="single" w:color="auto" w:sz="4" w:space="0"/>
              <w:right w:val="single" w:color="auto" w:sz="4" w:space="0"/>
            </w:tcBorders>
            <w:vAlign w:val="center"/>
          </w:tcPr>
          <w:p>
            <w:pPr>
              <w:rPr>
                <w:rFonts w:ascii="宋体" w:hAnsi="宋体" w:cs="Arial"/>
                <w:szCs w:val="21"/>
              </w:rPr>
            </w:pPr>
            <w:r>
              <w:rPr>
                <w:rFonts w:hint="eastAsia" w:ascii="宋体" w:hAnsi="宋体" w:cs="Arial"/>
                <w:sz w:val="24"/>
              </w:rPr>
              <w:t>共</w:t>
            </w:r>
            <w:r>
              <w:rPr>
                <w:rFonts w:hint="eastAsia" w:ascii="宋体" w:hAnsi="宋体" w:cs="Arial"/>
                <w:sz w:val="24"/>
                <w:u w:val="single"/>
              </w:rPr>
              <w:t xml:space="preserve">          </w:t>
            </w:r>
            <w:r>
              <w:rPr>
                <w:rFonts w:hint="eastAsia" w:ascii="宋体" w:hAnsi="宋体" w:cs="Arial"/>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45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Cs w:val="21"/>
              </w:rPr>
            </w:pPr>
            <w:r>
              <w:rPr>
                <w:rFonts w:hint="eastAsia" w:ascii="宋体" w:hAnsi="宋体" w:cs="Arial"/>
                <w:sz w:val="24"/>
              </w:rPr>
              <w:t>备注</w:t>
            </w:r>
          </w:p>
        </w:tc>
        <w:tc>
          <w:tcPr>
            <w:tcW w:w="4426" w:type="dxa"/>
            <w:tcBorders>
              <w:top w:val="single" w:color="auto" w:sz="4" w:space="0"/>
              <w:left w:val="single" w:color="auto" w:sz="4" w:space="0"/>
              <w:bottom w:val="single" w:color="auto" w:sz="4" w:space="0"/>
              <w:right w:val="single" w:color="auto" w:sz="4" w:space="0"/>
            </w:tcBorders>
            <w:vAlign w:val="center"/>
          </w:tcPr>
          <w:p>
            <w:pPr>
              <w:rPr>
                <w:rFonts w:ascii="宋体" w:hAnsi="宋体" w:cs="Arial"/>
                <w:szCs w:val="21"/>
              </w:rPr>
            </w:pPr>
          </w:p>
        </w:tc>
      </w:tr>
    </w:tbl>
    <w:p>
      <w:pPr>
        <w:rPr>
          <w:rFonts w:ascii="宋体" w:hAnsi="宋体" w:cs="Arial"/>
          <w:sz w:val="24"/>
        </w:rPr>
      </w:pPr>
    </w:p>
    <w:p>
      <w:pPr>
        <w:spacing w:line="360" w:lineRule="auto"/>
        <w:rPr>
          <w:rFonts w:ascii="宋体" w:hAnsi="宋体" w:cs="Arial"/>
          <w:sz w:val="24"/>
          <w:u w:val="single"/>
        </w:rPr>
      </w:pPr>
      <w:r>
        <w:rPr>
          <w:rFonts w:hint="eastAsia" w:ascii="宋体" w:hAnsi="宋体" w:cs="Arial"/>
          <w:sz w:val="24"/>
        </w:rPr>
        <w:t>投标人：</w:t>
      </w:r>
      <w:r>
        <w:rPr>
          <w:rFonts w:hint="eastAsia" w:ascii="宋体" w:hAnsi="宋体" w:cs="Arial"/>
          <w:sz w:val="24"/>
          <w:u w:val="single"/>
        </w:rPr>
        <w:t xml:space="preserve">      （盖公章）         </w:t>
      </w:r>
    </w:p>
    <w:p>
      <w:pPr>
        <w:spacing w:line="360" w:lineRule="auto"/>
        <w:rPr>
          <w:rFonts w:ascii="宋体" w:hAnsi="宋体" w:cs="Arial"/>
          <w:sz w:val="24"/>
          <w:u w:val="single"/>
        </w:rPr>
      </w:pPr>
      <w:r>
        <w:rPr>
          <w:rFonts w:hint="eastAsia" w:ascii="宋体" w:hAnsi="宋体" w:cs="Arial"/>
          <w:sz w:val="24"/>
        </w:rPr>
        <w:t>法人代表或其授权人：</w:t>
      </w:r>
      <w:r>
        <w:rPr>
          <w:rFonts w:hint="eastAsia" w:ascii="宋体" w:hAnsi="宋体" w:cs="Arial"/>
          <w:sz w:val="24"/>
          <w:u w:val="single"/>
        </w:rPr>
        <w:t xml:space="preserve">    （签字或盖章）      </w:t>
      </w:r>
    </w:p>
    <w:p>
      <w:pPr>
        <w:spacing w:line="360" w:lineRule="auto"/>
        <w:rPr>
          <w:rFonts w:ascii="宋体" w:hAnsi="宋体" w:cs="Arial"/>
          <w:sz w:val="24"/>
          <w:u w:val="single"/>
        </w:rPr>
      </w:pPr>
      <w:r>
        <w:rPr>
          <w:rFonts w:hint="eastAsia" w:ascii="宋体" w:hAnsi="宋体" w:cs="Arial"/>
          <w:sz w:val="24"/>
        </w:rPr>
        <w:t>日 期：</w:t>
      </w:r>
      <w:r>
        <w:rPr>
          <w:rFonts w:hint="eastAsia" w:ascii="宋体" w:hAnsi="宋体" w:cs="Arial"/>
          <w:sz w:val="24"/>
          <w:u w:val="single"/>
        </w:rPr>
        <w:t xml:space="preserve">                   </w:t>
      </w:r>
    </w:p>
    <w:p>
      <w:pPr>
        <w:pStyle w:val="24"/>
        <w:spacing w:line="360" w:lineRule="auto"/>
        <w:ind w:left="1176" w:hanging="1176" w:hangingChars="490"/>
        <w:outlineLvl w:val="2"/>
        <w:rPr>
          <w:rFonts w:hAnsi="宋体" w:cs="Arial"/>
          <w:sz w:val="24"/>
        </w:rPr>
      </w:pPr>
      <w:r>
        <w:rPr>
          <w:rFonts w:hint="eastAsia" w:hAnsi="宋体" w:cs="Arial"/>
          <w:sz w:val="24"/>
          <w:u w:val="single"/>
        </w:rPr>
        <w:br w:type="page"/>
      </w:r>
      <w:bookmarkStart w:id="815" w:name="_Toc81746121"/>
      <w:bookmarkStart w:id="816" w:name="_Toc373513397"/>
      <w:bookmarkStart w:id="817" w:name="_Toc31625936"/>
      <w:r>
        <w:rPr>
          <w:rFonts w:hint="eastAsia" w:hAnsi="宋体" w:cs="Arial"/>
          <w:sz w:val="24"/>
        </w:rPr>
        <w:t>17</w:t>
      </w:r>
      <w:r>
        <w:rPr>
          <w:rFonts w:hint="eastAsia" w:hAnsi="宋体" w:cs="Arial"/>
          <w:b/>
          <w:bCs/>
          <w:sz w:val="24"/>
        </w:rPr>
        <w:t>本项目实施团队主要人员名单</w:t>
      </w:r>
    </w:p>
    <w:p>
      <w:pPr>
        <w:pStyle w:val="24"/>
        <w:spacing w:line="360" w:lineRule="auto"/>
        <w:ind w:left="1181" w:hanging="1181" w:hangingChars="490"/>
        <w:jc w:val="center"/>
        <w:outlineLvl w:val="2"/>
        <w:rPr>
          <w:rFonts w:hAnsi="宋体" w:cs="Arial"/>
          <w:b/>
          <w:bCs/>
          <w:sz w:val="24"/>
        </w:rPr>
      </w:pPr>
    </w:p>
    <w:p>
      <w:pPr>
        <w:pStyle w:val="24"/>
        <w:spacing w:line="360" w:lineRule="auto"/>
        <w:ind w:left="1181" w:hanging="1181" w:hangingChars="490"/>
        <w:jc w:val="center"/>
        <w:outlineLvl w:val="2"/>
        <w:rPr>
          <w:rFonts w:hAnsi="宋体" w:cs="Arial"/>
          <w:b/>
          <w:bCs/>
          <w:sz w:val="24"/>
        </w:rPr>
      </w:pPr>
      <w:r>
        <w:rPr>
          <w:rFonts w:hint="eastAsia" w:hAnsi="宋体" w:cs="Arial"/>
          <w:b/>
          <w:bCs/>
          <w:sz w:val="24"/>
        </w:rPr>
        <w:t xml:space="preserve"> 本项目实施团队主要人员名单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pPr>
        <w:spacing w:line="360" w:lineRule="auto"/>
        <w:rPr>
          <w:rFonts w:ascii="宋体" w:hAnsi="宋体" w:cs="Arial"/>
          <w:b/>
          <w:u w:val="singl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876"/>
        <w:gridCol w:w="876"/>
        <w:gridCol w:w="876"/>
        <w:gridCol w:w="1356"/>
        <w:gridCol w:w="2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拟担任</w:t>
            </w:r>
          </w:p>
          <w:p>
            <w:pPr>
              <w:jc w:val="center"/>
              <w:rPr>
                <w:rFonts w:ascii="宋体" w:hAnsi="宋体" w:cs="Arial"/>
                <w:sz w:val="24"/>
              </w:rPr>
            </w:pPr>
            <w:r>
              <w:rPr>
                <w:rFonts w:hint="eastAsia" w:ascii="宋体" w:hAnsi="宋体" w:cs="Arial"/>
                <w:sz w:val="24"/>
              </w:rPr>
              <w:t>职务、分工</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姓名</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学历</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专业</w:t>
            </w: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从业资格</w:t>
            </w: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相关工作年限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项目负责人</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其他人员</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r>
              <w:rPr>
                <w:rFonts w:hint="eastAsia" w:ascii="宋体" w:hAnsi="宋体" w:cs="Arial"/>
                <w:sz w:val="24"/>
              </w:rPr>
              <w:t>……</w:t>
            </w: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9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tcPr>
          <w:p>
            <w:pPr>
              <w:jc w:val="center"/>
              <w:rPr>
                <w:rFonts w:ascii="宋体" w:hAnsi="宋体" w:cs="Arial"/>
                <w:sz w:val="24"/>
              </w:rPr>
            </w:pPr>
          </w:p>
        </w:tc>
        <w:tc>
          <w:tcPr>
            <w:tcW w:w="8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13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c>
          <w:tcPr>
            <w:tcW w:w="2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Arial"/>
                <w:sz w:val="24"/>
              </w:rPr>
            </w:pPr>
          </w:p>
        </w:tc>
      </w:tr>
    </w:tbl>
    <w:p>
      <w:pPr>
        <w:spacing w:line="360" w:lineRule="auto"/>
        <w:rPr>
          <w:rFonts w:ascii="宋体" w:hAnsi="宋体" w:cs="Arial"/>
          <w:b/>
          <w:sz w:val="24"/>
          <w:u w:val="single"/>
        </w:rPr>
      </w:pPr>
    </w:p>
    <w:p>
      <w:pPr>
        <w:spacing w:line="360" w:lineRule="auto"/>
        <w:rPr>
          <w:rFonts w:ascii="宋体" w:hAnsi="宋体" w:cs="Arial"/>
          <w:b/>
          <w:sz w:val="24"/>
          <w:u w:val="single"/>
        </w:rPr>
      </w:pPr>
    </w:p>
    <w:p>
      <w:pPr>
        <w:spacing w:line="360" w:lineRule="auto"/>
        <w:rPr>
          <w:rFonts w:ascii="宋体" w:hAnsi="宋体" w:cs="Arial"/>
          <w:sz w:val="24"/>
          <w:u w:val="single"/>
        </w:rPr>
      </w:pPr>
      <w:r>
        <w:rPr>
          <w:rFonts w:hint="eastAsia" w:ascii="宋体" w:hAnsi="宋体" w:cs="Arial"/>
          <w:sz w:val="24"/>
        </w:rPr>
        <w:t>投标人：</w:t>
      </w:r>
      <w:r>
        <w:rPr>
          <w:rFonts w:hint="eastAsia" w:ascii="宋体" w:hAnsi="宋体" w:cs="Arial"/>
          <w:sz w:val="24"/>
          <w:u w:val="single"/>
        </w:rPr>
        <w:t xml:space="preserve">      （盖公章）         </w:t>
      </w:r>
    </w:p>
    <w:p>
      <w:pPr>
        <w:spacing w:line="360" w:lineRule="auto"/>
        <w:rPr>
          <w:rFonts w:ascii="宋体" w:hAnsi="宋体" w:cs="Arial"/>
          <w:sz w:val="24"/>
          <w:u w:val="single"/>
        </w:rPr>
      </w:pPr>
      <w:r>
        <w:rPr>
          <w:rFonts w:hint="eastAsia" w:ascii="宋体" w:hAnsi="宋体" w:cs="Arial"/>
          <w:sz w:val="24"/>
        </w:rPr>
        <w:t>法人代表或其授权人：</w:t>
      </w:r>
      <w:r>
        <w:rPr>
          <w:rFonts w:hint="eastAsia" w:ascii="宋体" w:hAnsi="宋体" w:cs="Arial"/>
          <w:sz w:val="24"/>
          <w:u w:val="single"/>
        </w:rPr>
        <w:t xml:space="preserve">    （签字或盖章）      </w:t>
      </w:r>
    </w:p>
    <w:p>
      <w:pPr>
        <w:spacing w:line="360" w:lineRule="auto"/>
        <w:rPr>
          <w:rFonts w:ascii="宋体" w:hAnsi="宋体" w:cs="Arial"/>
          <w:sz w:val="24"/>
          <w:u w:val="single"/>
        </w:rPr>
      </w:pPr>
      <w:r>
        <w:rPr>
          <w:rFonts w:hint="eastAsia" w:ascii="宋体" w:hAnsi="宋体" w:cs="Arial"/>
          <w:sz w:val="24"/>
        </w:rPr>
        <w:t>日 期：</w:t>
      </w:r>
      <w:r>
        <w:rPr>
          <w:rFonts w:hint="eastAsia" w:ascii="宋体" w:hAnsi="宋体" w:cs="Arial"/>
          <w:sz w:val="24"/>
          <w:u w:val="single"/>
        </w:rPr>
        <w:t xml:space="preserve">                   </w:t>
      </w:r>
    </w:p>
    <w:p>
      <w:pPr>
        <w:rPr>
          <w:rFonts w:hAnsi="宋体" w:cs="Arial"/>
          <w:sz w:val="24"/>
          <w:u w:val="single"/>
        </w:rPr>
      </w:pPr>
    </w:p>
    <w:p>
      <w:pPr>
        <w:pStyle w:val="2"/>
      </w:pPr>
    </w:p>
    <w:p/>
    <w:p>
      <w:pPr>
        <w:pStyle w:val="2"/>
      </w:pPr>
    </w:p>
    <w:p/>
    <w:p>
      <w:pPr>
        <w:pStyle w:val="2"/>
      </w:pPr>
    </w:p>
    <w:p/>
    <w:p>
      <w:pPr>
        <w:pStyle w:val="2"/>
      </w:pPr>
    </w:p>
    <w:p/>
    <w:p>
      <w:pPr>
        <w:pStyle w:val="2"/>
      </w:pPr>
    </w:p>
    <w:p/>
    <w:p>
      <w:pPr>
        <w:pStyle w:val="4"/>
        <w:spacing w:line="360" w:lineRule="auto"/>
        <w:jc w:val="both"/>
        <w:rPr>
          <w:rFonts w:ascii="宋体" w:hAnsi="宋体" w:eastAsia="宋体"/>
          <w:b w:val="0"/>
          <w:sz w:val="24"/>
          <w:szCs w:val="24"/>
        </w:rPr>
      </w:pPr>
      <w:r>
        <w:rPr>
          <w:b w:val="0"/>
          <w:sz w:val="24"/>
          <w:szCs w:val="24"/>
        </w:rPr>
        <w:t>18</w:t>
      </w:r>
      <w:r>
        <w:rPr>
          <w:rFonts w:hint="eastAsia" w:ascii="宋体" w:hAnsi="宋体" w:eastAsia="宋体"/>
          <w:b w:val="0"/>
          <w:sz w:val="24"/>
          <w:szCs w:val="24"/>
        </w:rPr>
        <w:t xml:space="preserve">  服务方案</w:t>
      </w:r>
    </w:p>
    <w:p>
      <w:pPr>
        <w:pStyle w:val="5"/>
      </w:pPr>
    </w:p>
    <w:p>
      <w:pPr>
        <w:spacing w:line="360" w:lineRule="auto"/>
        <w:ind w:firstLine="480" w:firstLineChars="200"/>
        <w:rPr>
          <w:rFonts w:ascii="宋体" w:hAnsi="宋体" w:cs="Arial"/>
          <w:sz w:val="24"/>
        </w:rPr>
      </w:pPr>
      <w:r>
        <w:rPr>
          <w:rFonts w:hint="eastAsia" w:ascii="宋体" w:hAnsi="宋体" w:cs="Arial"/>
          <w:sz w:val="24"/>
        </w:rPr>
        <w:t>投标人应根据招标文件服务部分的需求，详细叙述拟提供项目计划和实施方案建议书。包括但不限于：</w:t>
      </w:r>
    </w:p>
    <w:p>
      <w:pPr>
        <w:numPr>
          <w:ilvl w:val="1"/>
          <w:numId w:val="25"/>
        </w:numPr>
        <w:tabs>
          <w:tab w:val="left" w:pos="993"/>
        </w:tabs>
        <w:spacing w:line="360" w:lineRule="auto"/>
        <w:ind w:hanging="693"/>
        <w:rPr>
          <w:rFonts w:ascii="宋体" w:hAnsi="宋体" w:cs="Arial"/>
          <w:sz w:val="24"/>
        </w:rPr>
      </w:pPr>
      <w:r>
        <w:rPr>
          <w:rFonts w:hint="eastAsia" w:ascii="宋体" w:hAnsi="宋体" w:cs="Arial"/>
          <w:sz w:val="24"/>
        </w:rPr>
        <w:t>投标方案主要内容；</w:t>
      </w:r>
    </w:p>
    <w:p>
      <w:pPr>
        <w:numPr>
          <w:ilvl w:val="1"/>
          <w:numId w:val="25"/>
        </w:numPr>
        <w:tabs>
          <w:tab w:val="left" w:pos="993"/>
        </w:tabs>
        <w:spacing w:line="360" w:lineRule="auto"/>
        <w:ind w:hanging="693"/>
        <w:rPr>
          <w:rFonts w:ascii="宋体" w:hAnsi="宋体" w:cs="Arial"/>
          <w:sz w:val="24"/>
        </w:rPr>
      </w:pPr>
      <w:r>
        <w:rPr>
          <w:rFonts w:hint="eastAsia" w:ascii="宋体" w:hAnsi="宋体" w:cs="Arial"/>
          <w:sz w:val="24"/>
        </w:rPr>
        <w:t>与本项目相关的工作基础（现有技术、设备基础、人员基础和工作基础）；</w:t>
      </w:r>
    </w:p>
    <w:p>
      <w:pPr>
        <w:pStyle w:val="5"/>
        <w:ind w:firstLine="964"/>
      </w:pPr>
      <w:r>
        <w:rPr>
          <w:rFonts w:hint="eastAsia" w:hAnsi="宋体" w:cs="Arial"/>
        </w:rPr>
        <w:t>其他。</w:t>
      </w:r>
    </w:p>
    <w:p>
      <w:pPr>
        <w:pStyle w:val="5"/>
        <w:ind w:firstLine="1205"/>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rPr>
          <w:rFonts w:ascii="宋体" w:hAnsi="宋体"/>
          <w:sz w:val="24"/>
        </w:rPr>
      </w:pPr>
    </w:p>
    <w:p>
      <w:pPr>
        <w:pStyle w:val="2"/>
      </w:pPr>
      <w:r>
        <w:t>19</w:t>
      </w:r>
      <w:r>
        <w:rPr>
          <w:rFonts w:hint="eastAsia"/>
        </w:rPr>
        <w:t>其他供应商认为应附的其他材料</w:t>
      </w:r>
    </w:p>
    <w:p>
      <w:pPr>
        <w:widowControl/>
        <w:jc w:val="left"/>
        <w:rPr>
          <w:b/>
          <w:sz w:val="36"/>
          <w:szCs w:val="36"/>
        </w:rPr>
      </w:pPr>
    </w:p>
    <w:p>
      <w:pPr>
        <w:widowControl/>
        <w:jc w:val="left"/>
        <w:rPr>
          <w:b/>
          <w:sz w:val="36"/>
          <w:szCs w:val="36"/>
        </w:rPr>
      </w:pPr>
      <w:r>
        <w:rPr>
          <w:b/>
          <w:sz w:val="36"/>
          <w:szCs w:val="36"/>
        </w:rPr>
        <w:br w:type="page"/>
      </w:r>
    </w:p>
    <w:p>
      <w:pPr>
        <w:tabs>
          <w:tab w:val="left" w:pos="360"/>
        </w:tabs>
        <w:snapToGrid w:val="0"/>
        <w:spacing w:line="360" w:lineRule="auto"/>
        <w:outlineLvl w:val="1"/>
        <w:rPr>
          <w:sz w:val="24"/>
        </w:rPr>
      </w:pPr>
      <w:r>
        <w:rPr>
          <w:sz w:val="24"/>
        </w:rPr>
        <w:t xml:space="preserve">20  </w:t>
      </w:r>
      <w:r>
        <w:rPr>
          <w:rFonts w:hint="eastAsia"/>
          <w:sz w:val="24"/>
        </w:rPr>
        <w:t>最后报价一览表（实质性格式，磋商后提交）</w:t>
      </w:r>
    </w:p>
    <w:p>
      <w:pPr>
        <w:widowControl/>
        <w:jc w:val="left"/>
        <w:rPr>
          <w:kern w:val="0"/>
          <w:sz w:val="24"/>
          <w:szCs w:val="20"/>
        </w:rPr>
      </w:pPr>
    </w:p>
    <w:p>
      <w:pPr>
        <w:spacing w:line="360" w:lineRule="exact"/>
        <w:ind w:firstLine="720"/>
        <w:jc w:val="center"/>
        <w:rPr>
          <w:b/>
          <w:sz w:val="36"/>
          <w:szCs w:val="36"/>
        </w:rPr>
      </w:pPr>
      <w:r>
        <w:rPr>
          <w:rFonts w:hint="eastAsia"/>
          <w:b/>
          <w:sz w:val="36"/>
          <w:szCs w:val="36"/>
        </w:rPr>
        <w:t>最后报价一览表</w:t>
      </w:r>
    </w:p>
    <w:p>
      <w:pPr>
        <w:tabs>
          <w:tab w:val="left" w:pos="1800"/>
          <w:tab w:val="left" w:pos="5580"/>
        </w:tabs>
        <w:spacing w:line="360" w:lineRule="auto"/>
        <w:jc w:val="left"/>
        <w:rPr>
          <w:sz w:val="24"/>
        </w:rPr>
      </w:pPr>
    </w:p>
    <w:p>
      <w:pPr>
        <w:tabs>
          <w:tab w:val="left" w:pos="1800"/>
          <w:tab w:val="left" w:pos="5580"/>
        </w:tabs>
        <w:spacing w:line="360" w:lineRule="auto"/>
        <w:ind w:firstLine="360" w:firstLineChars="150"/>
        <w:jc w:val="left"/>
        <w:rPr>
          <w:sz w:val="24"/>
        </w:rPr>
      </w:pPr>
      <w:r>
        <w:rPr>
          <w:rFonts w:hint="eastAsia"/>
          <w:sz w:val="24"/>
        </w:rPr>
        <w:t>项目编号</w:t>
      </w:r>
      <w:r>
        <w:rPr>
          <w:sz w:val="24"/>
        </w:rPr>
        <w:t>/</w:t>
      </w:r>
      <w:r>
        <w:rPr>
          <w:rFonts w:hint="eastAsia"/>
          <w:sz w:val="24"/>
        </w:rPr>
        <w:t>包号：</w:t>
      </w:r>
      <w:r>
        <w:rPr>
          <w:sz w:val="24"/>
        </w:rPr>
        <w:t xml:space="preserve">_______________     </w:t>
      </w:r>
      <w:r>
        <w:rPr>
          <w:rFonts w:hint="eastAsia"/>
          <w:sz w:val="24"/>
        </w:rPr>
        <w:t>项目名称：</w:t>
      </w:r>
      <w:r>
        <w:rPr>
          <w:sz w:val="24"/>
        </w:rPr>
        <w:t>_______________</w:t>
      </w:r>
    </w:p>
    <w:tbl>
      <w:tblPr>
        <w:tblStyle w:val="43"/>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0"/>
        <w:gridCol w:w="2110"/>
        <w:gridCol w:w="1569"/>
        <w:gridCol w:w="1398"/>
        <w:gridCol w:w="1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序号</w:t>
            </w:r>
          </w:p>
        </w:tc>
        <w:tc>
          <w:tcPr>
            <w:tcW w:w="1498"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2106"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最后报价</w:t>
            </w:r>
          </w:p>
        </w:tc>
        <w:tc>
          <w:tcPr>
            <w:tcW w:w="949"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其他</w:t>
            </w:r>
          </w:p>
          <w:p>
            <w:pPr>
              <w:tabs>
                <w:tab w:val="left" w:pos="5580"/>
              </w:tabs>
              <w:jc w:val="center"/>
              <w:rPr>
                <w:b/>
                <w:sz w:val="24"/>
              </w:rPr>
            </w:pPr>
            <w:r>
              <w:rPr>
                <w:rFonts w:hint="eastAsia"/>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11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992"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498"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11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992"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94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spacing w:line="360" w:lineRule="auto"/>
        <w:jc w:val="left"/>
        <w:rPr>
          <w:sz w:val="24"/>
          <w:szCs w:val="20"/>
        </w:rPr>
      </w:pPr>
      <w:r>
        <w:rPr>
          <w:rFonts w:hint="eastAsia"/>
          <w:kern w:val="0"/>
          <w:sz w:val="24"/>
        </w:rPr>
        <w:t>注：</w:t>
      </w:r>
      <w:r>
        <w:rPr>
          <w:kern w:val="0"/>
          <w:sz w:val="24"/>
        </w:rPr>
        <w:t xml:space="preserve"> 1</w:t>
      </w:r>
      <w:r>
        <w:rPr>
          <w:rFonts w:hint="eastAsia"/>
          <w:sz w:val="24"/>
          <w:szCs w:val="20"/>
        </w:rPr>
        <w:t>、此表中，每包的报价应和《最后分项报价表》中的总价相一致。</w:t>
      </w:r>
    </w:p>
    <w:p>
      <w:pPr>
        <w:tabs>
          <w:tab w:val="left" w:pos="5580"/>
        </w:tabs>
        <w:spacing w:line="360" w:lineRule="auto"/>
        <w:ind w:firstLine="600" w:firstLineChars="250"/>
        <w:rPr>
          <w:sz w:val="24"/>
          <w:szCs w:val="20"/>
        </w:rPr>
      </w:pPr>
      <w:r>
        <w:rPr>
          <w:sz w:val="24"/>
          <w:szCs w:val="20"/>
        </w:rPr>
        <w:t>2</w:t>
      </w:r>
      <w:r>
        <w:rPr>
          <w:rFonts w:hint="eastAsia"/>
          <w:sz w:val="24"/>
          <w:szCs w:val="20"/>
        </w:rPr>
        <w:t>、本表必须按包分别填写。</w:t>
      </w:r>
    </w:p>
    <w:p>
      <w:pPr>
        <w:pStyle w:val="24"/>
        <w:tabs>
          <w:tab w:val="left" w:pos="5580"/>
        </w:tabs>
        <w:spacing w:line="360" w:lineRule="auto"/>
        <w:ind w:left="804" w:leftChars="150" w:hanging="489" w:hangingChars="204"/>
        <w:rPr>
          <w:rFonts w:hAnsi="宋体"/>
          <w:sz w:val="24"/>
        </w:rPr>
      </w:pPr>
      <w:r>
        <w:rPr>
          <w:rFonts w:hint="eastAsia" w:hAnsi="宋体"/>
          <w:sz w:val="24"/>
        </w:rPr>
        <w:t xml:space="preserve">  3、请将此表打印盖章后交由授权代表随身携带，勿与响应文件一并封装； </w:t>
      </w:r>
    </w:p>
    <w:p>
      <w:pPr>
        <w:pStyle w:val="24"/>
        <w:tabs>
          <w:tab w:val="left" w:pos="5580"/>
        </w:tabs>
        <w:spacing w:line="360" w:lineRule="auto"/>
        <w:ind w:left="920" w:leftChars="236" w:hanging="424" w:hangingChars="177"/>
        <w:rPr>
          <w:rFonts w:hAnsi="宋体"/>
          <w:sz w:val="24"/>
        </w:rPr>
      </w:pPr>
      <w:r>
        <w:rPr>
          <w:rFonts w:hint="eastAsia" w:hAnsi="宋体"/>
          <w:sz w:val="24"/>
        </w:rPr>
        <w:t>4、待谈判结束后由授权代表根据谈判情况填写最终报价并在规定时间内提交。</w:t>
      </w:r>
    </w:p>
    <w:p>
      <w:pPr>
        <w:autoSpaceDE w:val="0"/>
        <w:autoSpaceDN w:val="0"/>
        <w:adjustRightInd w:val="0"/>
        <w:snapToGrid w:val="0"/>
        <w:spacing w:before="25" w:after="25" w:line="360" w:lineRule="auto"/>
        <w:ind w:firstLine="480" w:firstLineChars="200"/>
        <w:rPr>
          <w:sz w:val="24"/>
          <w:lang w:val="zh-CN"/>
        </w:rPr>
      </w:pPr>
      <w:r>
        <w:rPr>
          <w:rFonts w:hAnsi="宋体"/>
          <w:sz w:val="24"/>
        </w:rPr>
        <w:t>5</w:t>
      </w:r>
      <w:r>
        <w:rPr>
          <w:rFonts w:hint="eastAsia" w:hAnsi="宋体"/>
          <w:sz w:val="24"/>
        </w:rPr>
        <w:t>、最终报价是在首次报价的基础上整体让利的价格。</w:t>
      </w: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rFonts w:hint="eastAsia"/>
          <w:sz w:val="24"/>
        </w:rPr>
        <w:t>供应商授权代表签字（或加盖供应商公章）</w:t>
      </w:r>
      <w:r>
        <w:rPr>
          <w:rFonts w:hint="eastAsia"/>
          <w:sz w:val="24"/>
          <w:lang w:val="zh-CN"/>
        </w:rPr>
        <w:t>：</w:t>
      </w:r>
      <w:r>
        <w:rPr>
          <w:sz w:val="24"/>
          <w:lang w:val="zh-CN"/>
        </w:rPr>
        <w:t xml:space="preserve">___________ </w:t>
      </w:r>
    </w:p>
    <w:p>
      <w:pPr>
        <w:widowControl/>
        <w:jc w:val="left"/>
        <w:rPr>
          <w:sz w:val="24"/>
          <w:szCs w:val="20"/>
        </w:rPr>
      </w:pPr>
      <w:r>
        <w:rPr>
          <w:rFonts w:hint="eastAsia"/>
          <w:sz w:val="24"/>
          <w:szCs w:val="20"/>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r>
        <w:rPr>
          <w:sz w:val="24"/>
          <w:szCs w:val="20"/>
        </w:rPr>
        <w:t xml:space="preserve">   </w:t>
      </w:r>
    </w:p>
    <w:p>
      <w:pPr>
        <w:widowControl/>
        <w:jc w:val="left"/>
        <w:rPr>
          <w:sz w:val="24"/>
          <w:szCs w:val="20"/>
        </w:rPr>
      </w:pPr>
      <w:r>
        <w:rPr>
          <w:sz w:val="24"/>
          <w:szCs w:val="20"/>
        </w:rPr>
        <w:br w:type="page"/>
      </w:r>
    </w:p>
    <w:p>
      <w:pPr>
        <w:tabs>
          <w:tab w:val="left" w:pos="360"/>
        </w:tabs>
        <w:snapToGrid w:val="0"/>
        <w:spacing w:line="360" w:lineRule="auto"/>
        <w:outlineLvl w:val="1"/>
        <w:rPr>
          <w:sz w:val="24"/>
        </w:rPr>
      </w:pPr>
      <w:r>
        <w:rPr>
          <w:sz w:val="24"/>
        </w:rPr>
        <w:t xml:space="preserve">21  </w:t>
      </w:r>
      <w:r>
        <w:rPr>
          <w:rFonts w:hint="eastAsia"/>
          <w:sz w:val="24"/>
        </w:rPr>
        <w:t>最后分项报价表（实质性格式，磋商后与上表一并提交）</w:t>
      </w:r>
    </w:p>
    <w:p>
      <w:pPr>
        <w:spacing w:line="360" w:lineRule="exact"/>
        <w:jc w:val="center"/>
        <w:rPr>
          <w:sz w:val="36"/>
          <w:szCs w:val="36"/>
        </w:rPr>
      </w:pPr>
      <w:r>
        <w:rPr>
          <w:rFonts w:hint="eastAsia"/>
          <w:sz w:val="36"/>
          <w:szCs w:val="36"/>
        </w:rPr>
        <w:t>最后分项报价表</w:t>
      </w:r>
    </w:p>
    <w:p>
      <w:pPr>
        <w:spacing w:line="260" w:lineRule="exact"/>
        <w:jc w:val="center"/>
        <w:rPr>
          <w:sz w:val="36"/>
          <w:szCs w:val="36"/>
        </w:rPr>
      </w:pPr>
    </w:p>
    <w:p>
      <w:pPr>
        <w:tabs>
          <w:tab w:val="left" w:pos="1800"/>
          <w:tab w:val="left" w:pos="5580"/>
        </w:tabs>
        <w:rPr>
          <w:sz w:val="24"/>
        </w:rPr>
      </w:pPr>
      <w:r>
        <w:rPr>
          <w:rFonts w:hint="eastAsia"/>
          <w:sz w:val="24"/>
        </w:rPr>
        <w:t>项目编号</w:t>
      </w:r>
      <w:r>
        <w:rPr>
          <w:sz w:val="24"/>
        </w:rPr>
        <w:t>/</w:t>
      </w:r>
      <w:r>
        <w:rPr>
          <w:rFonts w:hint="eastAsia"/>
          <w:sz w:val="24"/>
        </w:rPr>
        <w:t>包号：</w:t>
      </w:r>
      <w:r>
        <w:rPr>
          <w:sz w:val="24"/>
        </w:rPr>
        <w:t xml:space="preserve">_________ </w:t>
      </w:r>
      <w:r>
        <w:rPr>
          <w:rFonts w:hint="eastAsia"/>
          <w:sz w:val="24"/>
        </w:rPr>
        <w:t>项目名称：</w:t>
      </w:r>
      <w:r>
        <w:rPr>
          <w:sz w:val="24"/>
        </w:rPr>
        <w:t>_________</w:t>
      </w:r>
      <w:r>
        <w:rPr>
          <w:rFonts w:hint="eastAsia"/>
          <w:sz w:val="24"/>
        </w:rPr>
        <w:t>报价单位：人民币元</w:t>
      </w: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3121"/>
        <w:gridCol w:w="1433"/>
        <w:gridCol w:w="1431"/>
        <w:gridCol w:w="1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序号</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分项名称</w:t>
            </w: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单价（元）</w:t>
            </w: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合价（元）</w:t>
            </w: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b/>
                <w:sz w:val="24"/>
              </w:rPr>
            </w:pPr>
            <w:r>
              <w:rPr>
                <w:rFonts w:hint="eastAsia"/>
                <w:b/>
                <w:sz w:val="24"/>
              </w:rPr>
              <w:t>备注</w:t>
            </w:r>
            <w:r>
              <w:rPr>
                <w:b/>
                <w:sz w:val="24"/>
              </w:rPr>
              <w:t>/</w:t>
            </w:r>
            <w:r>
              <w:rPr>
                <w:rFonts w:hint="eastAsia"/>
                <w:b/>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sz w:val="24"/>
              </w:rPr>
              <w:t>1</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sz w:val="24"/>
              </w:rPr>
              <w:t>2</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 w:val="24"/>
              </w:rPr>
            </w:pPr>
            <w:r>
              <w:rPr>
                <w:sz w:val="24"/>
              </w:rPr>
              <w:t>3</w:t>
            </w:r>
          </w:p>
        </w:tc>
        <w:tc>
          <w:tcPr>
            <w:tcW w:w="1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r>
              <w:rPr>
                <w:sz w:val="24"/>
              </w:rPr>
              <w:t>…</w:t>
            </w:r>
          </w:p>
        </w:tc>
        <w:tc>
          <w:tcPr>
            <w:tcW w:w="84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r>
              <w:rPr>
                <w:rFonts w:hint="eastAsia"/>
                <w:sz w:val="24"/>
              </w:rPr>
              <w:t>总价（元）</w:t>
            </w:r>
          </w:p>
        </w:tc>
        <w:tc>
          <w:tcPr>
            <w:tcW w:w="84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c>
          <w:tcPr>
            <w:tcW w:w="10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sz w:val="24"/>
              </w:rPr>
            </w:pPr>
          </w:p>
        </w:tc>
      </w:tr>
    </w:tbl>
    <w:p>
      <w:pPr>
        <w:tabs>
          <w:tab w:val="left" w:pos="1800"/>
          <w:tab w:val="left" w:pos="5580"/>
        </w:tabs>
        <w:jc w:val="left"/>
        <w:rPr>
          <w:sz w:val="24"/>
        </w:rPr>
      </w:pPr>
    </w:p>
    <w:p>
      <w:pPr>
        <w:tabs>
          <w:tab w:val="left" w:pos="1800"/>
          <w:tab w:val="left" w:pos="5580"/>
        </w:tabs>
        <w:jc w:val="left"/>
        <w:rPr>
          <w:sz w:val="24"/>
        </w:rPr>
      </w:pPr>
    </w:p>
    <w:p>
      <w:pPr>
        <w:tabs>
          <w:tab w:val="left" w:pos="1800"/>
          <w:tab w:val="left" w:pos="5580"/>
        </w:tabs>
        <w:jc w:val="left"/>
        <w:rPr>
          <w:sz w:val="24"/>
        </w:rPr>
      </w:pPr>
    </w:p>
    <w:p>
      <w:pPr>
        <w:tabs>
          <w:tab w:val="left" w:pos="1800"/>
          <w:tab w:val="left" w:pos="5580"/>
        </w:tabs>
        <w:jc w:val="left"/>
        <w:rPr>
          <w:sz w:val="24"/>
        </w:rPr>
      </w:pPr>
    </w:p>
    <w:p>
      <w:pPr>
        <w:tabs>
          <w:tab w:val="left" w:pos="1800"/>
          <w:tab w:val="left" w:pos="5580"/>
        </w:tabs>
        <w:spacing w:line="360" w:lineRule="auto"/>
        <w:jc w:val="left"/>
        <w:rPr>
          <w:sz w:val="24"/>
        </w:rPr>
      </w:pPr>
      <w:r>
        <w:rPr>
          <w:rFonts w:hint="eastAsia"/>
          <w:sz w:val="24"/>
        </w:rPr>
        <w:t>注：</w:t>
      </w:r>
      <w:r>
        <w:rPr>
          <w:sz w:val="24"/>
        </w:rPr>
        <w:t>1</w:t>
      </w:r>
      <w:r>
        <w:rPr>
          <w:rFonts w:hint="eastAsia"/>
          <w:sz w:val="24"/>
        </w:rPr>
        <w:t>、本表应按包分别填写。</w:t>
      </w:r>
    </w:p>
    <w:p>
      <w:pPr>
        <w:tabs>
          <w:tab w:val="left" w:pos="1800"/>
          <w:tab w:val="left" w:pos="5580"/>
        </w:tabs>
        <w:spacing w:line="360" w:lineRule="auto"/>
        <w:ind w:firstLine="480" w:firstLineChars="200"/>
        <w:jc w:val="left"/>
        <w:rPr>
          <w:sz w:val="24"/>
        </w:rPr>
      </w:pPr>
      <w:r>
        <w:rPr>
          <w:sz w:val="24"/>
        </w:rPr>
        <w:t>2</w:t>
      </w:r>
      <w:r>
        <w:rPr>
          <w:rFonts w:hint="eastAsia"/>
          <w:sz w:val="24"/>
        </w:rPr>
        <w:t>、如果不提供分项报价将视为没有实质性响应竞争性磋商文件。</w:t>
      </w:r>
    </w:p>
    <w:p>
      <w:pPr>
        <w:tabs>
          <w:tab w:val="left" w:pos="1800"/>
          <w:tab w:val="left" w:pos="5580"/>
        </w:tabs>
        <w:spacing w:line="360" w:lineRule="auto"/>
        <w:ind w:firstLine="480" w:firstLineChars="200"/>
        <w:jc w:val="left"/>
        <w:rPr>
          <w:sz w:val="24"/>
        </w:rPr>
      </w:pPr>
      <w:r>
        <w:rPr>
          <w:sz w:val="24"/>
        </w:rPr>
        <w:t>3</w:t>
      </w:r>
      <w:r>
        <w:rPr>
          <w:rFonts w:hint="eastAsia"/>
          <w:sz w:val="24"/>
        </w:rPr>
        <w:t>、上述各项的详细规格（如有），可另页描述。</w:t>
      </w:r>
    </w:p>
    <w:p>
      <w:pPr>
        <w:pStyle w:val="24"/>
        <w:tabs>
          <w:tab w:val="left" w:pos="5580"/>
        </w:tabs>
        <w:spacing w:line="360" w:lineRule="auto"/>
        <w:ind w:left="789" w:leftChars="200" w:hanging="369" w:hangingChars="154"/>
        <w:rPr>
          <w:rFonts w:hAnsi="宋体"/>
          <w:sz w:val="24"/>
        </w:rPr>
      </w:pPr>
      <w:r>
        <w:rPr>
          <w:rFonts w:hint="eastAsia" w:hAnsi="宋体"/>
          <w:sz w:val="24"/>
        </w:rPr>
        <w:t xml:space="preserve"> 4、请将此表打印盖章后交由授权代表随身携带，勿与响应文件一并封装； </w:t>
      </w:r>
    </w:p>
    <w:p>
      <w:pPr>
        <w:pStyle w:val="24"/>
        <w:tabs>
          <w:tab w:val="left" w:pos="5580"/>
        </w:tabs>
        <w:spacing w:line="360" w:lineRule="auto"/>
        <w:ind w:left="920" w:leftChars="236" w:hanging="424" w:hangingChars="177"/>
        <w:rPr>
          <w:rFonts w:hAnsi="宋体"/>
          <w:sz w:val="24"/>
        </w:rPr>
      </w:pPr>
      <w:r>
        <w:rPr>
          <w:rFonts w:hint="eastAsia" w:hAnsi="宋体"/>
          <w:sz w:val="24"/>
        </w:rPr>
        <w:t>5、待谈判结束后由授权代表根据谈判情况填写最终报价并在规定时间内提交。</w:t>
      </w:r>
    </w:p>
    <w:p>
      <w:pPr>
        <w:autoSpaceDE w:val="0"/>
        <w:autoSpaceDN w:val="0"/>
        <w:adjustRightInd w:val="0"/>
        <w:snapToGrid w:val="0"/>
        <w:spacing w:before="25" w:after="25" w:line="360" w:lineRule="auto"/>
        <w:ind w:firstLine="480" w:firstLineChars="200"/>
        <w:rPr>
          <w:sz w:val="24"/>
          <w:lang w:val="zh-CN"/>
        </w:rPr>
      </w:pPr>
      <w:r>
        <w:rPr>
          <w:rFonts w:hAnsi="宋体"/>
          <w:sz w:val="24"/>
        </w:rPr>
        <w:t>6</w:t>
      </w:r>
      <w:r>
        <w:rPr>
          <w:rFonts w:hint="eastAsia" w:hAnsi="宋体"/>
          <w:sz w:val="24"/>
        </w:rPr>
        <w:t>、最终报价是在首次报价的基础上整体让利的价格。</w:t>
      </w: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rFonts w:hint="eastAsia"/>
          <w:kern w:val="0"/>
          <w:sz w:val="24"/>
        </w:rPr>
        <w:t>供应商授权代表签字（或加盖供应商公章）</w:t>
      </w:r>
      <w:r>
        <w:rPr>
          <w:rFonts w:hint="eastAsia"/>
          <w:sz w:val="24"/>
          <w:lang w:val="zh-CN"/>
        </w:rPr>
        <w:t>：</w:t>
      </w:r>
      <w:r>
        <w:rPr>
          <w:sz w:val="24"/>
          <w:lang w:val="zh-CN"/>
        </w:rPr>
        <w:t xml:space="preserve">____________ </w:t>
      </w:r>
    </w:p>
    <w:p>
      <w:pPr>
        <w:autoSpaceDE w:val="0"/>
        <w:autoSpaceDN w:val="0"/>
        <w:adjustRightInd w:val="0"/>
        <w:snapToGrid w:val="0"/>
        <w:spacing w:before="25" w:after="25" w:line="360" w:lineRule="auto"/>
        <w:rPr>
          <w:sz w:val="24"/>
          <w:lang w:val="zh-CN"/>
        </w:rPr>
      </w:pPr>
      <w:r>
        <w:rPr>
          <w:rFonts w:hint="eastAsia"/>
          <w:sz w:val="24"/>
          <w:szCs w:val="20"/>
        </w:rPr>
        <w:t>日期：</w:t>
      </w:r>
      <w:r>
        <w:rPr>
          <w:sz w:val="24"/>
          <w:szCs w:val="20"/>
        </w:rPr>
        <w:t>____</w:t>
      </w:r>
      <w:r>
        <w:rPr>
          <w:rFonts w:hint="eastAsia"/>
          <w:sz w:val="24"/>
          <w:szCs w:val="20"/>
        </w:rPr>
        <w:t>年</w:t>
      </w:r>
      <w:r>
        <w:rPr>
          <w:sz w:val="24"/>
          <w:szCs w:val="20"/>
        </w:rPr>
        <w:t>____</w:t>
      </w:r>
      <w:r>
        <w:rPr>
          <w:rFonts w:hint="eastAsia"/>
          <w:sz w:val="24"/>
          <w:szCs w:val="20"/>
        </w:rPr>
        <w:t>月</w:t>
      </w:r>
      <w:r>
        <w:rPr>
          <w:sz w:val="24"/>
          <w:szCs w:val="20"/>
        </w:rPr>
        <w:t>____</w:t>
      </w:r>
      <w:r>
        <w:rPr>
          <w:rFonts w:hint="eastAsia"/>
          <w:sz w:val="24"/>
          <w:szCs w:val="20"/>
        </w:rPr>
        <w:t>日</w:t>
      </w:r>
      <w:r>
        <w:rPr>
          <w:sz w:val="24"/>
          <w:szCs w:val="20"/>
        </w:rPr>
        <w:t xml:space="preserve">   </w:t>
      </w:r>
    </w:p>
    <w:p>
      <w:pPr>
        <w:widowControl/>
        <w:jc w:val="left"/>
        <w:rPr>
          <w:b/>
          <w:sz w:val="36"/>
          <w:szCs w:val="36"/>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Century Gothic">
    <w:altName w:val="Segoe Print"/>
    <w:panose1 w:val="020B0502020202020204"/>
    <w:charset w:val="00"/>
    <w:family w:val="swiss"/>
    <w:pitch w:val="default"/>
    <w:sig w:usb0="00000000" w:usb1="00000000" w:usb2="00000000" w:usb3="00000000" w:csb0="0000009F" w:csb1="00000000"/>
  </w:font>
  <w:font w:name="ˎ̥">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E00002FF" w:usb1="6AC7FDFB" w:usb2="00000012" w:usb3="00000000" w:csb0="4002009F" w:csb1="DFD70000"/>
  </w:font>
  <w:font w:name="Segoe UI">
    <w:panose1 w:val="020B0502040204020203"/>
    <w:charset w:val="00"/>
    <w:family w:val="swiss"/>
    <w:pitch w:val="default"/>
    <w:sig w:usb0="E10022FF" w:usb1="C000E47F" w:usb2="00000029" w:usb3="00000000" w:csb0="200001DF" w:csb1="2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06F" w:usb1="1200FBEF" w:usb2="0064C000" w:usb3="00000002" w:csb0="00000001" w:csb1="4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0"/>
      <w:lvlText w:val="%1."/>
      <w:lvlJc w:val="left"/>
      <w:pPr>
        <w:tabs>
          <w:tab w:val="left" w:pos="360"/>
        </w:tabs>
        <w:ind w:left="360" w:hanging="360"/>
      </w:pPr>
    </w:lvl>
  </w:abstractNum>
  <w:abstractNum w:abstractNumId="4">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cs="Times New Roman"/>
        <w:b/>
        <w:i w:val="0"/>
        <w:strike w:val="0"/>
        <w:dstrike w:val="0"/>
        <w:color w:val="auto"/>
        <w:sz w:val="28"/>
        <w:u w:val="none"/>
      </w:rPr>
    </w:lvl>
    <w:lvl w:ilvl="1" w:tentative="0">
      <w:start w:val="1"/>
      <w:numFmt w:val="decimal"/>
      <w:pStyle w:val="242"/>
      <w:isLgl/>
      <w:suff w:val="nothing"/>
      <w:lvlText w:val="%1.%2　"/>
      <w:lvlJc w:val="left"/>
      <w:pPr>
        <w:snapToGrid/>
        <w:ind w:left="-25" w:firstLine="0"/>
      </w:pPr>
      <w:rPr>
        <w:rFonts w:hint="default" w:ascii="Times New Roman" w:hAnsi="Times New Roman" w:eastAsia="宋体" w:cs="Times New Roman"/>
        <w:b/>
        <w:i w:val="0"/>
        <w:strike w:val="0"/>
        <w:dstrike w:val="0"/>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cs="Times New Roman"/>
        <w:b/>
        <w:i w:val="0"/>
        <w:sz w:val="28"/>
      </w:rPr>
    </w:lvl>
    <w:lvl w:ilvl="3" w:tentative="0">
      <w:start w:val="1"/>
      <w:numFmt w:val="decimal"/>
      <w:pStyle w:val="244"/>
      <w:isLgl/>
      <w:suff w:val="nothing"/>
      <w:lvlText w:val="%1.%2.%3.%4　"/>
      <w:lvlJc w:val="left"/>
      <w:pPr>
        <w:ind w:left="-25" w:firstLine="0"/>
      </w:pPr>
      <w:rPr>
        <w:rFonts w:hint="default" w:ascii="Times New Roman" w:hAnsi="Times New Roman" w:eastAsia="宋体" w:cs="Times New Roman"/>
        <w:b/>
        <w:i w:val="0"/>
        <w:strike w:val="0"/>
        <w:dstrike w:val="0"/>
        <w:color w:val="auto"/>
        <w:sz w:val="28"/>
        <w:u w:val="none"/>
      </w:rPr>
    </w:lvl>
    <w:lvl w:ilvl="4" w:tentative="0">
      <w:start w:val="1"/>
      <w:numFmt w:val="decimal"/>
      <w:pStyle w:val="245"/>
      <w:isLgl/>
      <w:suff w:val="nothing"/>
      <w:lvlText w:val="%1.%2.%3.%4.%5　"/>
      <w:lvlJc w:val="left"/>
      <w:pPr>
        <w:ind w:left="-25" w:firstLine="0"/>
      </w:pPr>
      <w:rPr>
        <w:rFonts w:hint="default" w:ascii="Times New Roman" w:hAnsi="Times New Roman" w:eastAsia="宋体" w:cs="Times New Roman"/>
        <w:b/>
        <w:i w:val="0"/>
        <w:strike w:val="0"/>
        <w:dstrike w:val="0"/>
        <w:color w:val="auto"/>
        <w:sz w:val="28"/>
        <w:u w:val="none"/>
      </w:rPr>
    </w:lvl>
    <w:lvl w:ilvl="5" w:tentative="0">
      <w:start w:val="1"/>
      <w:numFmt w:val="decimal"/>
      <w:pStyle w:val="246"/>
      <w:isLgl/>
      <w:suff w:val="nothing"/>
      <w:lvlText w:val="%1.%2.%3.%4.%5.%6　"/>
      <w:lvlJc w:val="left"/>
      <w:pPr>
        <w:ind w:left="-25" w:firstLine="0"/>
      </w:pPr>
      <w:rPr>
        <w:rFonts w:hint="default" w:ascii="Times New Roman" w:hAnsi="Times New Roman" w:eastAsia="宋体" w:cs="Times New Roman"/>
        <w:b/>
        <w:i w:val="0"/>
        <w:sz w:val="28"/>
      </w:rPr>
    </w:lvl>
    <w:lvl w:ilvl="6" w:tentative="0">
      <w:start w:val="1"/>
      <w:numFmt w:val="lowerLetter"/>
      <w:pStyle w:val="136"/>
      <w:lvlText w:val="%7) "/>
      <w:lvlJc w:val="left"/>
      <w:pPr>
        <w:tabs>
          <w:tab w:val="left" w:pos="635"/>
        </w:tabs>
        <w:ind w:left="-125" w:firstLine="400"/>
      </w:pPr>
      <w:rPr>
        <w:rFonts w:hint="default" w:ascii="Times New Roman" w:hAnsi="Times New Roman" w:eastAsia="宋体" w:cs="Times New Roman"/>
        <w:b/>
        <w:i w:val="0"/>
        <w:strike w:val="0"/>
        <w:dstrike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cs="Times New Roman"/>
        <w:b/>
        <w:i w:val="0"/>
        <w:strike w:val="0"/>
        <w:dstrike w:val="0"/>
        <w:color w:val="auto"/>
        <w:sz w:val="28"/>
        <w:u w:val="none"/>
      </w:rPr>
    </w:lvl>
    <w:lvl w:ilvl="8" w:tentative="0">
      <w:start w:val="1"/>
      <w:numFmt w:val="none"/>
      <w:lvlText w:val="%9"/>
      <w:lvlJc w:val="left"/>
      <w:pPr>
        <w:tabs>
          <w:tab w:val="left" w:pos="860"/>
        </w:tabs>
        <w:ind w:left="500" w:firstLine="0"/>
      </w:pPr>
      <w:rPr>
        <w:rFonts w:hint="eastAsia" w:ascii="宋体" w:hAnsi="Times New Roman" w:eastAsia="宋体"/>
        <w:b w:val="0"/>
        <w:i w:val="0"/>
        <w:strike w:val="0"/>
        <w:dstrike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lvl>
    <w:lvl w:ilvl="1" w:tentative="0">
      <w:start w:val="1"/>
      <w:numFmt w:val="decimal"/>
      <w:pStyle w:val="119"/>
      <w:lvlText w:val="%2、"/>
      <w:lvlJc w:val="left"/>
      <w:pPr>
        <w:tabs>
          <w:tab w:val="left" w:pos="1188"/>
        </w:tabs>
        <w:ind w:left="1188" w:hanging="360"/>
      </w:pPr>
    </w:lvl>
    <w:lvl w:ilvl="2" w:tentative="0">
      <w:start w:val="1"/>
      <w:numFmt w:val="decimal"/>
      <w:lvlText w:val="（%3）"/>
      <w:lvlJc w:val="left"/>
      <w:pPr>
        <w:tabs>
          <w:tab w:val="left" w:pos="1968"/>
        </w:tabs>
        <w:ind w:left="1968" w:hanging="720"/>
      </w:pPr>
      <w:rPr>
        <w:strike w:val="0"/>
        <w:dstrike w:val="0"/>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lvl>
    <w:lvl w:ilvl="3" w:tentative="0">
      <w:start w:val="1"/>
      <w:numFmt w:val="decimal"/>
      <w:lvlText w:val="%1.%2.%3.%4"/>
      <w:lvlJc w:val="left"/>
      <w:pPr>
        <w:tabs>
          <w:tab w:val="left" w:pos="900"/>
        </w:tabs>
        <w:ind w:left="900" w:hanging="900"/>
      </w:pPr>
    </w:lvl>
    <w:lvl w:ilvl="4" w:tentative="0">
      <w:start w:val="1"/>
      <w:numFmt w:val="decimal"/>
      <w:lvlText w:val="%1.%2.%3.%4.%5"/>
      <w:lvlJc w:val="left"/>
      <w:pPr>
        <w:tabs>
          <w:tab w:val="left" w:pos="900"/>
        </w:tabs>
        <w:ind w:left="900" w:hanging="900"/>
      </w:pPr>
    </w:lvl>
    <w:lvl w:ilvl="5" w:tentative="0">
      <w:start w:val="1"/>
      <w:numFmt w:val="decimal"/>
      <w:lvlText w:val="%1.%2.%3.%4.%5.%6"/>
      <w:lvlJc w:val="left"/>
      <w:pPr>
        <w:tabs>
          <w:tab w:val="left" w:pos="900"/>
        </w:tabs>
        <w:ind w:left="900" w:hanging="900"/>
      </w:pPr>
    </w:lvl>
    <w:lvl w:ilvl="6" w:tentative="0">
      <w:start w:val="1"/>
      <w:numFmt w:val="decimal"/>
      <w:lvlText w:val="%1.%2.%3.%4.%5.%6.%7"/>
      <w:lvlJc w:val="left"/>
      <w:pPr>
        <w:tabs>
          <w:tab w:val="left" w:pos="900"/>
        </w:tabs>
        <w:ind w:left="900" w:hanging="900"/>
      </w:pPr>
    </w:lvl>
    <w:lvl w:ilvl="7" w:tentative="0">
      <w:start w:val="1"/>
      <w:numFmt w:val="decimal"/>
      <w:lvlText w:val="%1.%2.%3.%4.%5.%6.%7.%8"/>
      <w:lvlJc w:val="left"/>
      <w:pPr>
        <w:tabs>
          <w:tab w:val="left" w:pos="900"/>
        </w:tabs>
        <w:ind w:left="900" w:hanging="900"/>
      </w:pPr>
    </w:lvl>
    <w:lvl w:ilvl="8" w:tentative="0">
      <w:start w:val="1"/>
      <w:numFmt w:val="decimal"/>
      <w:lvlText w:val="%1.%2.%3.%4.%5.%6.%7.%8.%9"/>
      <w:lvlJc w:val="left"/>
      <w:pPr>
        <w:tabs>
          <w:tab w:val="left" w:pos="900"/>
        </w:tabs>
        <w:ind w:left="900" w:hanging="900"/>
      </w:pPr>
    </w:lvl>
  </w:abstractNum>
  <w:abstractNum w:abstractNumId="7">
    <w:nsid w:val="0000002F"/>
    <w:multiLevelType w:val="multilevel"/>
    <w:tmpl w:val="0000002F"/>
    <w:lvl w:ilvl="0" w:tentative="0">
      <w:start w:val="1"/>
      <w:numFmt w:val="decimal"/>
      <w:pStyle w:val="24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84"/>
      <w:lvlText w:val="%1"/>
      <w:lvlJc w:val="left"/>
      <w:pPr>
        <w:ind w:left="680" w:hanging="680"/>
      </w:pPr>
      <w:rPr>
        <w:rFonts w:hint="eastAsia" w:ascii="宋体" w:hAnsi="宋体" w:eastAsia="宋体"/>
      </w:rPr>
    </w:lvl>
    <w:lvl w:ilvl="1" w:tentative="0">
      <w:start w:val="1"/>
      <w:numFmt w:val="decimal"/>
      <w:pStyle w:val="185"/>
      <w:lvlText w:val="%1.%2"/>
      <w:lvlJc w:val="left"/>
      <w:pPr>
        <w:ind w:left="851" w:hanging="851"/>
      </w:pPr>
      <w:rPr>
        <w:rFonts w:hint="eastAsia" w:ascii="宋体" w:hAnsi="宋体" w:eastAsia="宋体"/>
        <w:color w:val="auto"/>
      </w:rPr>
    </w:lvl>
    <w:lvl w:ilvl="2" w:tentative="0">
      <w:start w:val="1"/>
      <w:numFmt w:val="decimal"/>
      <w:pStyle w:val="186"/>
      <w:lvlText w:val="%1.%2.%3"/>
      <w:lvlJc w:val="left"/>
      <w:pPr>
        <w:ind w:left="851" w:hanging="851"/>
      </w:pPr>
    </w:lvl>
    <w:lvl w:ilvl="3" w:tentative="0">
      <w:start w:val="1"/>
      <w:numFmt w:val="decimal"/>
      <w:lvlText w:val="%1.%2.%3.%4"/>
      <w:lvlJc w:val="left"/>
      <w:pPr>
        <w:ind w:left="680" w:hanging="680"/>
      </w:pPr>
    </w:lvl>
    <w:lvl w:ilvl="4" w:tentative="0">
      <w:start w:val="1"/>
      <w:numFmt w:val="decimal"/>
      <w:lvlText w:val="%1.%2.%3.%4.%5"/>
      <w:lvlJc w:val="left"/>
      <w:pPr>
        <w:ind w:left="680" w:hanging="680"/>
      </w:pPr>
    </w:lvl>
    <w:lvl w:ilvl="5" w:tentative="0">
      <w:start w:val="1"/>
      <w:numFmt w:val="decimal"/>
      <w:lvlText w:val="%1.%2.%3.%4.%5.%6"/>
      <w:lvlJc w:val="left"/>
      <w:pPr>
        <w:ind w:left="680" w:hanging="680"/>
      </w:pPr>
    </w:lvl>
    <w:lvl w:ilvl="6" w:tentative="0">
      <w:start w:val="1"/>
      <w:numFmt w:val="decimal"/>
      <w:lvlText w:val="%1.%2.%3.%4.%5.%6.%7"/>
      <w:lvlJc w:val="left"/>
      <w:pPr>
        <w:ind w:left="680" w:hanging="680"/>
      </w:pPr>
    </w:lvl>
    <w:lvl w:ilvl="7" w:tentative="0">
      <w:start w:val="1"/>
      <w:numFmt w:val="decimal"/>
      <w:lvlText w:val="%1.%2.%3.%4.%5.%6.%7.%8"/>
      <w:lvlJc w:val="left"/>
      <w:pPr>
        <w:ind w:left="680" w:hanging="680"/>
      </w:pPr>
    </w:lvl>
    <w:lvl w:ilvl="8" w:tentative="0">
      <w:start w:val="1"/>
      <w:numFmt w:val="decimal"/>
      <w:lvlText w:val="%1.%2.%3.%4.%5.%6.%7.%8.%9"/>
      <w:lvlJc w:val="left"/>
      <w:pPr>
        <w:ind w:left="680" w:hanging="680"/>
      </w:pPr>
    </w:lvl>
  </w:abstractNum>
  <w:abstractNum w:abstractNumId="9">
    <w:nsid w:val="10872DAA"/>
    <w:multiLevelType w:val="multilevel"/>
    <w:tmpl w:val="10872DAA"/>
    <w:lvl w:ilvl="0" w:tentative="0">
      <w:start w:val="1"/>
      <w:numFmt w:val="decimal"/>
      <w:lvlText w:val="%1"/>
      <w:lvlJc w:val="left"/>
      <w:pPr>
        <w:tabs>
          <w:tab w:val="left" w:pos="900"/>
        </w:tabs>
        <w:ind w:left="900" w:hanging="900"/>
      </w:p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lvl>
    <w:lvl w:ilvl="3" w:tentative="0">
      <w:start w:val="1"/>
      <w:numFmt w:val="decimal"/>
      <w:lvlText w:val="%1.%2.%3.%4"/>
      <w:lvlJc w:val="left"/>
      <w:pPr>
        <w:tabs>
          <w:tab w:val="left" w:pos="900"/>
        </w:tabs>
        <w:ind w:left="900" w:hanging="900"/>
      </w:pPr>
    </w:lvl>
    <w:lvl w:ilvl="4" w:tentative="0">
      <w:start w:val="1"/>
      <w:numFmt w:val="decimal"/>
      <w:lvlText w:val="%1.%2.%3.%4.%5"/>
      <w:lvlJc w:val="left"/>
      <w:pPr>
        <w:tabs>
          <w:tab w:val="left" w:pos="900"/>
        </w:tabs>
        <w:ind w:left="900" w:hanging="900"/>
      </w:pPr>
    </w:lvl>
    <w:lvl w:ilvl="5" w:tentative="0">
      <w:start w:val="1"/>
      <w:numFmt w:val="decimal"/>
      <w:lvlText w:val="%1.%2.%3.%4.%5.%6"/>
      <w:lvlJc w:val="left"/>
      <w:pPr>
        <w:tabs>
          <w:tab w:val="left" w:pos="900"/>
        </w:tabs>
        <w:ind w:left="900" w:hanging="900"/>
      </w:pPr>
    </w:lvl>
    <w:lvl w:ilvl="6" w:tentative="0">
      <w:start w:val="1"/>
      <w:numFmt w:val="decimal"/>
      <w:lvlText w:val="%1.%2.%3.%4.%5.%6.%7"/>
      <w:lvlJc w:val="left"/>
      <w:pPr>
        <w:tabs>
          <w:tab w:val="left" w:pos="900"/>
        </w:tabs>
        <w:ind w:left="900" w:hanging="900"/>
      </w:pPr>
    </w:lvl>
    <w:lvl w:ilvl="7" w:tentative="0">
      <w:start w:val="1"/>
      <w:numFmt w:val="decimal"/>
      <w:lvlText w:val="%1.%2.%3.%4.%5.%6.%7.%8"/>
      <w:lvlJc w:val="left"/>
      <w:pPr>
        <w:tabs>
          <w:tab w:val="left" w:pos="900"/>
        </w:tabs>
        <w:ind w:left="900" w:hanging="900"/>
      </w:pPr>
    </w:lvl>
    <w:lvl w:ilvl="8" w:tentative="0">
      <w:start w:val="1"/>
      <w:numFmt w:val="decimal"/>
      <w:lvlText w:val="%1.%2.%3.%4.%5.%6.%7.%8.%9"/>
      <w:lvlJc w:val="left"/>
      <w:pPr>
        <w:tabs>
          <w:tab w:val="left" w:pos="900"/>
        </w:tabs>
        <w:ind w:left="900" w:hanging="900"/>
      </w:pPr>
    </w:lvl>
  </w:abstractNum>
  <w:abstractNum w:abstractNumId="10">
    <w:nsid w:val="1667154C"/>
    <w:multiLevelType w:val="multilevel"/>
    <w:tmpl w:val="1667154C"/>
    <w:lvl w:ilvl="0" w:tentative="0">
      <w:start w:val="1"/>
      <w:numFmt w:val="decimal"/>
      <w:lvlText w:val="%1"/>
      <w:lvlJc w:val="left"/>
      <w:pPr>
        <w:tabs>
          <w:tab w:val="left" w:pos="900"/>
        </w:tabs>
        <w:ind w:left="900" w:hanging="900"/>
      </w:p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lvl>
    <w:lvl w:ilvl="3" w:tentative="0">
      <w:start w:val="1"/>
      <w:numFmt w:val="decimal"/>
      <w:lvlText w:val="%1.%2.%3.%4"/>
      <w:lvlJc w:val="left"/>
      <w:pPr>
        <w:tabs>
          <w:tab w:val="left" w:pos="900"/>
        </w:tabs>
        <w:ind w:left="900" w:hanging="900"/>
      </w:pPr>
    </w:lvl>
    <w:lvl w:ilvl="4" w:tentative="0">
      <w:start w:val="1"/>
      <w:numFmt w:val="decimal"/>
      <w:lvlText w:val="%1.%2.%3.%4.%5"/>
      <w:lvlJc w:val="left"/>
      <w:pPr>
        <w:tabs>
          <w:tab w:val="left" w:pos="900"/>
        </w:tabs>
        <w:ind w:left="900" w:hanging="900"/>
      </w:pPr>
    </w:lvl>
    <w:lvl w:ilvl="5" w:tentative="0">
      <w:start w:val="1"/>
      <w:numFmt w:val="decimal"/>
      <w:lvlText w:val="%1.%2.%3.%4.%5.%6"/>
      <w:lvlJc w:val="left"/>
      <w:pPr>
        <w:tabs>
          <w:tab w:val="left" w:pos="900"/>
        </w:tabs>
        <w:ind w:left="900" w:hanging="900"/>
      </w:pPr>
    </w:lvl>
    <w:lvl w:ilvl="6" w:tentative="0">
      <w:start w:val="1"/>
      <w:numFmt w:val="decimal"/>
      <w:lvlText w:val="%1.%2.%3.%4.%5.%6.%7"/>
      <w:lvlJc w:val="left"/>
      <w:pPr>
        <w:tabs>
          <w:tab w:val="left" w:pos="900"/>
        </w:tabs>
        <w:ind w:left="900" w:hanging="900"/>
      </w:pPr>
    </w:lvl>
    <w:lvl w:ilvl="7" w:tentative="0">
      <w:start w:val="1"/>
      <w:numFmt w:val="decimal"/>
      <w:lvlText w:val="%1.%2.%3.%4.%5.%6.%7.%8"/>
      <w:lvlJc w:val="left"/>
      <w:pPr>
        <w:tabs>
          <w:tab w:val="left" w:pos="900"/>
        </w:tabs>
        <w:ind w:left="900" w:hanging="900"/>
      </w:pPr>
    </w:lvl>
    <w:lvl w:ilvl="8" w:tentative="0">
      <w:start w:val="1"/>
      <w:numFmt w:val="decimal"/>
      <w:lvlText w:val="%1.%2.%3.%4.%5.%6.%7.%8.%9"/>
      <w:lvlJc w:val="left"/>
      <w:pPr>
        <w:tabs>
          <w:tab w:val="left" w:pos="900"/>
        </w:tabs>
        <w:ind w:left="900" w:hanging="900"/>
      </w:pPr>
    </w:lvl>
  </w:abstractNum>
  <w:abstractNum w:abstractNumId="11">
    <w:nsid w:val="2DDF70B0"/>
    <w:multiLevelType w:val="multilevel"/>
    <w:tmpl w:val="2DDF70B0"/>
    <w:lvl w:ilvl="0" w:tentative="0">
      <w:start w:val="1"/>
      <w:numFmt w:val="decimal"/>
      <w:lvlText w:val="%1）"/>
      <w:lvlJc w:val="left"/>
      <w:pPr>
        <w:tabs>
          <w:tab w:val="left" w:pos="1800"/>
        </w:tabs>
        <w:ind w:left="1800" w:hanging="360"/>
      </w:pPr>
    </w:lvl>
    <w:lvl w:ilvl="1" w:tentative="0">
      <w:start w:val="1"/>
      <w:numFmt w:val="decimal"/>
      <w:lvlText w:val="%2）"/>
      <w:lvlJc w:val="left"/>
      <w:pPr>
        <w:tabs>
          <w:tab w:val="left" w:pos="1260"/>
        </w:tabs>
        <w:ind w:left="1260" w:hanging="360"/>
      </w:pPr>
      <w:rPr>
        <w:rFonts w:hint="default" w:ascii="Times New Roman" w:hAnsi="Times New Roman" w:cs="Times New Roman"/>
      </w:rPr>
    </w:lvl>
    <w:lvl w:ilvl="2" w:tentative="0">
      <w:start w:val="1"/>
      <w:numFmt w:val="lowerRoman"/>
      <w:lvlText w:val="%3."/>
      <w:lvlJc w:val="right"/>
      <w:pPr>
        <w:tabs>
          <w:tab w:val="left" w:pos="1860"/>
        </w:tabs>
        <w:ind w:left="1860" w:hanging="420"/>
      </w:pPr>
    </w:lvl>
    <w:lvl w:ilvl="3" w:tentative="0">
      <w:start w:val="1"/>
      <w:numFmt w:val="decimal"/>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12">
    <w:nsid w:val="302065E1"/>
    <w:multiLevelType w:val="multilevel"/>
    <w:tmpl w:val="302065E1"/>
    <w:lvl w:ilvl="0" w:tentative="0">
      <w:start w:val="1"/>
      <w:numFmt w:val="japaneseCounting"/>
      <w:lvlText w:val="（%1）"/>
      <w:lvlJc w:val="left"/>
      <w:pPr>
        <w:ind w:left="143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CC86E0B"/>
    <w:multiLevelType w:val="singleLevel"/>
    <w:tmpl w:val="4CC86E0B"/>
    <w:lvl w:ilvl="0" w:tentative="0">
      <w:start w:val="2"/>
      <w:numFmt w:val="decimal"/>
      <w:lvlText w:val="%1."/>
      <w:lvlJc w:val="left"/>
      <w:pPr>
        <w:tabs>
          <w:tab w:val="left" w:pos="312"/>
        </w:tabs>
      </w:pPr>
    </w:lvl>
  </w:abstractNum>
  <w:abstractNum w:abstractNumId="14">
    <w:nsid w:val="5DB10BF8"/>
    <w:multiLevelType w:val="singleLevel"/>
    <w:tmpl w:val="5DB10BF8"/>
    <w:lvl w:ilvl="0" w:tentative="0">
      <w:start w:val="1"/>
      <w:numFmt w:val="chineseCounting"/>
      <w:suff w:val="nothing"/>
      <w:lvlText w:val="（%1）"/>
      <w:lvlJc w:val="left"/>
    </w:lvl>
  </w:abstractNum>
  <w:abstractNum w:abstractNumId="15">
    <w:nsid w:val="5DB10C19"/>
    <w:multiLevelType w:val="singleLevel"/>
    <w:tmpl w:val="5DB10C19"/>
    <w:lvl w:ilvl="0" w:tentative="0">
      <w:start w:val="1"/>
      <w:numFmt w:val="decimal"/>
      <w:suff w:val="nothing"/>
      <w:lvlText w:val="%1."/>
      <w:lvlJc w:val="left"/>
    </w:lvl>
  </w:abstractNum>
  <w:abstractNum w:abstractNumId="16">
    <w:nsid w:val="5DB10D9B"/>
    <w:multiLevelType w:val="singleLevel"/>
    <w:tmpl w:val="5DB10D9B"/>
    <w:lvl w:ilvl="0" w:tentative="0">
      <w:start w:val="1"/>
      <w:numFmt w:val="decimal"/>
      <w:suff w:val="nothing"/>
      <w:lvlText w:val="（%1）"/>
      <w:lvlJc w:val="left"/>
      <w:pPr>
        <w:ind w:left="0" w:firstLine="0"/>
      </w:pPr>
    </w:lvl>
  </w:abstractNum>
  <w:abstractNum w:abstractNumId="17">
    <w:nsid w:val="5DB1117E"/>
    <w:multiLevelType w:val="singleLevel"/>
    <w:tmpl w:val="5DB1117E"/>
    <w:lvl w:ilvl="0" w:tentative="0">
      <w:start w:val="2"/>
      <w:numFmt w:val="chineseCounting"/>
      <w:suff w:val="nothing"/>
      <w:lvlText w:val="（%1）"/>
      <w:lvlJc w:val="left"/>
    </w:lvl>
  </w:abstractNum>
  <w:abstractNum w:abstractNumId="18">
    <w:nsid w:val="5DB11239"/>
    <w:multiLevelType w:val="singleLevel"/>
    <w:tmpl w:val="5DB11239"/>
    <w:lvl w:ilvl="0" w:tentative="0">
      <w:start w:val="1"/>
      <w:numFmt w:val="decimal"/>
      <w:suff w:val="nothing"/>
      <w:lvlText w:val="%1."/>
      <w:lvlJc w:val="left"/>
    </w:lvl>
  </w:abstractNum>
  <w:abstractNum w:abstractNumId="19">
    <w:nsid w:val="5DB1195D"/>
    <w:multiLevelType w:val="singleLevel"/>
    <w:tmpl w:val="5DB1195D"/>
    <w:lvl w:ilvl="0" w:tentative="0">
      <w:start w:val="6"/>
      <w:numFmt w:val="chineseCounting"/>
      <w:suff w:val="space"/>
      <w:lvlText w:val="第%1条"/>
      <w:lvlJc w:val="left"/>
    </w:lvl>
  </w:abstractNum>
  <w:abstractNum w:abstractNumId="20">
    <w:nsid w:val="5DB14541"/>
    <w:multiLevelType w:val="singleLevel"/>
    <w:tmpl w:val="5DB14541"/>
    <w:lvl w:ilvl="0" w:tentative="0">
      <w:start w:val="1"/>
      <w:numFmt w:val="decimal"/>
      <w:suff w:val="nothing"/>
      <w:lvlText w:val="%1."/>
      <w:lvlJc w:val="left"/>
    </w:lvl>
  </w:abstractNum>
  <w:abstractNum w:abstractNumId="21">
    <w:nsid w:val="5DB1479E"/>
    <w:multiLevelType w:val="singleLevel"/>
    <w:tmpl w:val="5DB1479E"/>
    <w:lvl w:ilvl="0" w:tentative="0">
      <w:start w:val="1"/>
      <w:numFmt w:val="decimal"/>
      <w:suff w:val="nothing"/>
      <w:lvlText w:val="%1."/>
      <w:lvlJc w:val="left"/>
    </w:lvl>
  </w:abstractNum>
  <w:abstractNum w:abstractNumId="22">
    <w:nsid w:val="5DB14AC2"/>
    <w:multiLevelType w:val="singleLevel"/>
    <w:tmpl w:val="5DB14AC2"/>
    <w:lvl w:ilvl="0" w:tentative="0">
      <w:start w:val="10"/>
      <w:numFmt w:val="chineseCounting"/>
      <w:suff w:val="space"/>
      <w:lvlText w:val="第%1条"/>
      <w:lvlJc w:val="left"/>
    </w:lvl>
  </w:abstractNum>
  <w:abstractNum w:abstractNumId="23">
    <w:nsid w:val="5DC8ACAA"/>
    <w:multiLevelType w:val="singleLevel"/>
    <w:tmpl w:val="5DC8ACAA"/>
    <w:lvl w:ilvl="0" w:tentative="0">
      <w:start w:val="2"/>
      <w:numFmt w:val="chineseCounting"/>
      <w:suff w:val="nothing"/>
      <w:lvlText w:val="（%1）"/>
      <w:lvlJc w:val="left"/>
    </w:lvl>
  </w:abstractNum>
  <w:abstractNum w:abstractNumId="24">
    <w:nsid w:val="7C6164BA"/>
    <w:multiLevelType w:val="multilevel"/>
    <w:tmpl w:val="7C6164BA"/>
    <w:lvl w:ilvl="0" w:tentative="0">
      <w:start w:val="1"/>
      <w:numFmt w:val="japaneseCounting"/>
      <w:lvlText w:val="（%1）"/>
      <w:lvlJc w:val="left"/>
      <w:pPr>
        <w:tabs>
          <w:tab w:val="left" w:pos="1380"/>
        </w:tabs>
        <w:ind w:left="1380" w:hanging="840"/>
      </w:pPr>
      <w:rPr>
        <w:rFonts w:hint="default"/>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num>
  <w:num w:numId="13">
    <w:abstractNumId w:val="24"/>
  </w:num>
  <w:num w:numId="14">
    <w:abstractNumId w:val="23"/>
  </w:num>
  <w:num w:numId="15">
    <w:abstractNumId w:val="14"/>
  </w:num>
  <w:num w:numId="16">
    <w:abstractNumId w:val="15"/>
  </w:num>
  <w:num w:numId="17">
    <w:abstractNumId w:val="17"/>
  </w:num>
  <w:num w:numId="18">
    <w:abstractNumId w:val="20"/>
  </w:num>
  <w:num w:numId="19">
    <w:abstractNumId w:val="18"/>
  </w:num>
  <w:num w:numId="20">
    <w:abstractNumId w:val="21"/>
  </w:num>
  <w:num w:numId="21">
    <w:abstractNumId w:val="13"/>
  </w:num>
  <w:num w:numId="22">
    <w:abstractNumId w:val="19"/>
  </w:num>
  <w:num w:numId="23">
    <w:abstractNumId w:val="2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hN2FjNmY3ZDk2NTk3ODBlOWUzMWNmYTEzMmE2MjAifQ=="/>
  </w:docVars>
  <w:rsids>
    <w:rsidRoot w:val="008D0455"/>
    <w:rsid w:val="00274B0B"/>
    <w:rsid w:val="002F2E79"/>
    <w:rsid w:val="005A3682"/>
    <w:rsid w:val="00727774"/>
    <w:rsid w:val="007732CF"/>
    <w:rsid w:val="007A136D"/>
    <w:rsid w:val="008D0455"/>
    <w:rsid w:val="009002D6"/>
    <w:rsid w:val="009871F0"/>
    <w:rsid w:val="00A268A6"/>
    <w:rsid w:val="00AB0B90"/>
    <w:rsid w:val="00C52ACF"/>
    <w:rsid w:val="00DA68ED"/>
    <w:rsid w:val="00E25B5D"/>
    <w:rsid w:val="00E377D9"/>
    <w:rsid w:val="00E94772"/>
    <w:rsid w:val="00F83808"/>
    <w:rsid w:val="00FB043E"/>
    <w:rsid w:val="15C751FE"/>
    <w:rsid w:val="23F92711"/>
    <w:rsid w:val="2524556B"/>
    <w:rsid w:val="3DA90C0B"/>
    <w:rsid w:val="3DAD7631"/>
    <w:rsid w:val="510B175B"/>
    <w:rsid w:val="6F0F54CD"/>
    <w:rsid w:val="6F223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99" w:name="heading 7"/>
    <w:lsdException w:qFormat="1" w:uiPriority="99" w:name="heading 8"/>
    <w:lsdException w:qFormat="1" w:uiPriority="99" w:name="heading 9"/>
    <w:lsdException w:qFormat="1"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99" w:name="toc 4"/>
    <w:lsdException w:qFormat="1" w:uiPriority="99" w:name="toc 5"/>
    <w:lsdException w:qFormat="1" w:uiPriority="99" w:name="toc 6"/>
    <w:lsdException w:qFormat="1" w:uiPriority="99" w:name="toc 7"/>
    <w:lsdException w:qFormat="1" w:uiPriority="99" w:name="toc 8"/>
    <w:lsdException w:qFormat="1" w:uiPriority="99" w:name="toc 9"/>
    <w:lsdException w:qFormat="1"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99"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iPriority="99" w:name="Body Text First Indent 2"/>
    <w:lsdException w:uiPriority="99" w:name="Note Heading"/>
    <w:lsdException w:uiPriority="99" w:name="Body Text 2"/>
    <w:lsdException w:qFormat="1" w:uiPriority="99" w:name="Body Text 3"/>
    <w:lsdException w:qFormat="1" w:uiPriority="99" w:name="Body Text Indent 2"/>
    <w:lsdException w:qFormat="1" w:uiPriority="99" w:name="Body Text Indent 3"/>
    <w:lsdException w:qFormat="1" w:uiPriority="99" w:name="Block Text"/>
    <w:lsdException w:qFormat="1" w:uiPriority="99" w:name="Hyperlink"/>
    <w:lsdException w:qFormat="1" w:uiPriority="0" w:name="FollowedHyperlink"/>
    <w:lsdException w:qFormat="1" w:unhideWhenUsed="0" w:uiPriority="22" w:semiHidden="0" w:name="Strong"/>
    <w:lsdException w:qFormat="1" w:unhideWhenUsed="0" w:uiPriority="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210"/>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211"/>
    <w:semiHidden/>
    <w:unhideWhenUsed/>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4"/>
    <w:semiHidden/>
    <w:unhideWhenUsed/>
    <w:qFormat/>
    <w:uiPriority w:val="0"/>
    <w:pPr>
      <w:keepNext/>
      <w:keepLines/>
      <w:adjustRightInd w:val="0"/>
      <w:spacing w:before="280" w:after="290" w:line="376" w:lineRule="atLeast"/>
      <w:outlineLvl w:val="3"/>
    </w:pPr>
    <w:rPr>
      <w:rFonts w:ascii="Arial" w:hAnsi="Arial" w:eastAsia="黑体"/>
      <w:b/>
      <w:kern w:val="0"/>
      <w:sz w:val="28"/>
      <w:szCs w:val="20"/>
    </w:rPr>
  </w:style>
  <w:style w:type="paragraph" w:styleId="8">
    <w:name w:val="heading 5"/>
    <w:basedOn w:val="1"/>
    <w:next w:val="1"/>
    <w:link w:val="55"/>
    <w:semiHidden/>
    <w:unhideWhenUsed/>
    <w:qFormat/>
    <w:uiPriority w:val="0"/>
    <w:pPr>
      <w:keepNext/>
      <w:keepLines/>
      <w:adjustRightInd w:val="0"/>
      <w:spacing w:before="280" w:after="290" w:line="376" w:lineRule="atLeast"/>
      <w:outlineLvl w:val="4"/>
    </w:pPr>
    <w:rPr>
      <w:b/>
      <w:kern w:val="0"/>
      <w:sz w:val="28"/>
      <w:szCs w:val="20"/>
    </w:rPr>
  </w:style>
  <w:style w:type="paragraph" w:styleId="9">
    <w:name w:val="heading 6"/>
    <w:basedOn w:val="1"/>
    <w:next w:val="1"/>
    <w:link w:val="56"/>
    <w:semiHidden/>
    <w:unhideWhenUsed/>
    <w:qFormat/>
    <w:uiPriority w:val="0"/>
    <w:pPr>
      <w:keepNext/>
      <w:keepLines/>
      <w:adjustRightInd w:val="0"/>
      <w:spacing w:before="240" w:after="64" w:line="320" w:lineRule="atLeast"/>
      <w:outlineLvl w:val="5"/>
    </w:pPr>
    <w:rPr>
      <w:rFonts w:ascii="Arial" w:hAnsi="Arial" w:eastAsia="黑体"/>
      <w:b/>
      <w:kern w:val="0"/>
      <w:sz w:val="24"/>
      <w:szCs w:val="20"/>
    </w:rPr>
  </w:style>
  <w:style w:type="paragraph" w:styleId="10">
    <w:name w:val="heading 7"/>
    <w:basedOn w:val="1"/>
    <w:next w:val="1"/>
    <w:link w:val="57"/>
    <w:semiHidden/>
    <w:unhideWhenUsed/>
    <w:qFormat/>
    <w:uiPriority w:val="99"/>
    <w:pPr>
      <w:keepNext/>
      <w:keepLines/>
      <w:adjustRightInd w:val="0"/>
      <w:spacing w:before="240" w:after="64" w:line="320" w:lineRule="atLeast"/>
      <w:outlineLvl w:val="6"/>
    </w:pPr>
    <w:rPr>
      <w:b/>
      <w:kern w:val="0"/>
      <w:sz w:val="24"/>
      <w:szCs w:val="20"/>
    </w:rPr>
  </w:style>
  <w:style w:type="paragraph" w:styleId="11">
    <w:name w:val="heading 8"/>
    <w:basedOn w:val="1"/>
    <w:next w:val="1"/>
    <w:link w:val="58"/>
    <w:semiHidden/>
    <w:unhideWhenUsed/>
    <w:qFormat/>
    <w:uiPriority w:val="99"/>
    <w:pPr>
      <w:keepNext/>
      <w:keepLines/>
      <w:adjustRightInd w:val="0"/>
      <w:spacing w:before="240" w:after="64" w:line="320" w:lineRule="atLeast"/>
      <w:outlineLvl w:val="7"/>
    </w:pPr>
    <w:rPr>
      <w:rFonts w:ascii="Arial" w:hAnsi="Arial" w:eastAsia="黑体"/>
      <w:kern w:val="0"/>
      <w:sz w:val="24"/>
      <w:szCs w:val="20"/>
    </w:rPr>
  </w:style>
  <w:style w:type="paragraph" w:styleId="12">
    <w:name w:val="heading 9"/>
    <w:basedOn w:val="1"/>
    <w:next w:val="1"/>
    <w:link w:val="59"/>
    <w:semiHidden/>
    <w:unhideWhenUsed/>
    <w:qFormat/>
    <w:uiPriority w:val="99"/>
    <w:pPr>
      <w:keepNext/>
      <w:keepLines/>
      <w:adjustRightInd w:val="0"/>
      <w:spacing w:before="240" w:after="64" w:line="320" w:lineRule="atLeast"/>
      <w:outlineLvl w:val="8"/>
    </w:pPr>
    <w:rPr>
      <w:rFonts w:ascii="Arial" w:hAnsi="Arial" w:eastAsia="黑体"/>
      <w:kern w:val="0"/>
      <w:szCs w:val="20"/>
    </w:rPr>
  </w:style>
  <w:style w:type="character" w:default="1" w:styleId="46">
    <w:name w:val="Default Paragraph Font"/>
    <w:semiHidden/>
    <w:unhideWhenUsed/>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2">
    <w:name w:val="Body Text"/>
    <w:basedOn w:val="1"/>
    <w:link w:val="60"/>
    <w:unhideWhenUsed/>
    <w:qFormat/>
    <w:uiPriority w:val="99"/>
    <w:pPr>
      <w:spacing w:after="120"/>
    </w:pPr>
  </w:style>
  <w:style w:type="paragraph" w:styleId="5">
    <w:name w:val="Normal Indent"/>
    <w:basedOn w:val="1"/>
    <w:link w:val="62"/>
    <w:semiHidden/>
    <w:unhideWhenUsed/>
    <w:qFormat/>
    <w:uiPriority w:val="99"/>
    <w:pPr>
      <w:autoSpaceDE w:val="0"/>
      <w:autoSpaceDN w:val="0"/>
      <w:adjustRightInd w:val="0"/>
      <w:ind w:firstLine="420"/>
      <w:jc w:val="left"/>
    </w:pPr>
    <w:rPr>
      <w:rFonts w:ascii="宋体"/>
      <w:sz w:val="24"/>
    </w:rPr>
  </w:style>
  <w:style w:type="paragraph" w:styleId="13">
    <w:name w:val="toc 7"/>
    <w:basedOn w:val="1"/>
    <w:next w:val="1"/>
    <w:semiHidden/>
    <w:unhideWhenUsed/>
    <w:qFormat/>
    <w:uiPriority w:val="99"/>
    <w:pPr>
      <w:ind w:left="2520" w:leftChars="1200"/>
    </w:pPr>
  </w:style>
  <w:style w:type="paragraph" w:styleId="14">
    <w:name w:val="caption"/>
    <w:basedOn w:val="1"/>
    <w:next w:val="1"/>
    <w:semiHidden/>
    <w:unhideWhenUsed/>
    <w:qFormat/>
    <w:uiPriority w:val="99"/>
    <w:pPr>
      <w:spacing w:line="480" w:lineRule="auto"/>
    </w:pPr>
    <w:rPr>
      <w:rFonts w:ascii="华文中宋" w:hAnsi="华文中宋" w:eastAsia="华文中宋"/>
      <w:sz w:val="36"/>
      <w:szCs w:val="20"/>
    </w:rPr>
  </w:style>
  <w:style w:type="paragraph" w:styleId="15">
    <w:name w:val="Document Map"/>
    <w:basedOn w:val="1"/>
    <w:link w:val="73"/>
    <w:semiHidden/>
    <w:unhideWhenUsed/>
    <w:qFormat/>
    <w:uiPriority w:val="99"/>
    <w:pPr>
      <w:shd w:val="clear" w:color="auto" w:fill="000080"/>
    </w:pPr>
  </w:style>
  <w:style w:type="paragraph" w:styleId="16">
    <w:name w:val="annotation text"/>
    <w:basedOn w:val="1"/>
    <w:link w:val="212"/>
    <w:semiHidden/>
    <w:unhideWhenUsed/>
    <w:qFormat/>
    <w:uiPriority w:val="99"/>
    <w:pPr>
      <w:jc w:val="left"/>
    </w:pPr>
  </w:style>
  <w:style w:type="paragraph" w:styleId="17">
    <w:name w:val="Body Text 3"/>
    <w:basedOn w:val="1"/>
    <w:link w:val="70"/>
    <w:semiHidden/>
    <w:unhideWhenUsed/>
    <w:qFormat/>
    <w:uiPriority w:val="99"/>
    <w:pPr>
      <w:spacing w:after="120"/>
    </w:pPr>
    <w:rPr>
      <w:sz w:val="16"/>
      <w:szCs w:val="16"/>
    </w:rPr>
  </w:style>
  <w:style w:type="paragraph" w:styleId="18">
    <w:name w:val="Body Text Indent"/>
    <w:basedOn w:val="1"/>
    <w:link w:val="213"/>
    <w:semiHidden/>
    <w:unhideWhenUsed/>
    <w:qFormat/>
    <w:uiPriority w:val="99"/>
    <w:pPr>
      <w:spacing w:line="360" w:lineRule="auto"/>
      <w:ind w:firstLine="570"/>
    </w:pPr>
    <w:rPr>
      <w:sz w:val="24"/>
    </w:rPr>
  </w:style>
  <w:style w:type="paragraph" w:styleId="19">
    <w:name w:val="List 2"/>
    <w:basedOn w:val="1"/>
    <w:semiHidden/>
    <w:unhideWhenUsed/>
    <w:qFormat/>
    <w:uiPriority w:val="99"/>
    <w:pPr>
      <w:ind w:left="100" w:leftChars="200" w:hanging="200" w:hangingChars="200"/>
    </w:pPr>
  </w:style>
  <w:style w:type="paragraph" w:styleId="20">
    <w:name w:val="Block Text"/>
    <w:basedOn w:val="1"/>
    <w:semiHidden/>
    <w:unhideWhenUsed/>
    <w:qFormat/>
    <w:uiPriority w:val="99"/>
    <w:pPr>
      <w:widowControl/>
      <w:ind w:left="480" w:right="-341" w:firstLine="513"/>
    </w:pPr>
    <w:rPr>
      <w:kern w:val="0"/>
      <w:sz w:val="24"/>
      <w:szCs w:val="20"/>
    </w:rPr>
  </w:style>
  <w:style w:type="paragraph" w:styleId="21">
    <w:name w:val="index 4"/>
    <w:basedOn w:val="1"/>
    <w:next w:val="1"/>
    <w:semiHidden/>
    <w:unhideWhenUsed/>
    <w:qFormat/>
    <w:uiPriority w:val="99"/>
    <w:pPr>
      <w:ind w:left="600" w:leftChars="600"/>
    </w:pPr>
  </w:style>
  <w:style w:type="paragraph" w:styleId="22">
    <w:name w:val="toc 5"/>
    <w:basedOn w:val="1"/>
    <w:next w:val="1"/>
    <w:semiHidden/>
    <w:unhideWhenUsed/>
    <w:qFormat/>
    <w:uiPriority w:val="99"/>
    <w:pPr>
      <w:ind w:left="1680" w:leftChars="800"/>
    </w:pPr>
  </w:style>
  <w:style w:type="paragraph" w:styleId="23">
    <w:name w:val="toc 3"/>
    <w:basedOn w:val="1"/>
    <w:next w:val="1"/>
    <w:semiHidden/>
    <w:unhideWhenUsed/>
    <w:qFormat/>
    <w:uiPriority w:val="39"/>
    <w:pPr>
      <w:ind w:left="840" w:leftChars="400"/>
    </w:pPr>
  </w:style>
  <w:style w:type="paragraph" w:styleId="24">
    <w:name w:val="Plain Text"/>
    <w:basedOn w:val="1"/>
    <w:link w:val="74"/>
    <w:unhideWhenUsed/>
    <w:qFormat/>
    <w:uiPriority w:val="99"/>
    <w:rPr>
      <w:rFonts w:ascii="宋体" w:hAnsi="Courier New"/>
      <w:szCs w:val="20"/>
    </w:rPr>
  </w:style>
  <w:style w:type="paragraph" w:styleId="25">
    <w:name w:val="toc 8"/>
    <w:basedOn w:val="1"/>
    <w:next w:val="1"/>
    <w:semiHidden/>
    <w:unhideWhenUsed/>
    <w:qFormat/>
    <w:uiPriority w:val="99"/>
    <w:pPr>
      <w:ind w:left="2940" w:leftChars="1400"/>
    </w:pPr>
  </w:style>
  <w:style w:type="paragraph" w:styleId="26">
    <w:name w:val="Date"/>
    <w:basedOn w:val="1"/>
    <w:next w:val="1"/>
    <w:link w:val="68"/>
    <w:semiHidden/>
    <w:unhideWhenUsed/>
    <w:qFormat/>
    <w:uiPriority w:val="99"/>
    <w:pPr>
      <w:ind w:left="100" w:leftChars="2500"/>
    </w:pPr>
    <w:rPr>
      <w:rFonts w:ascii="仿宋_GB2312" w:hAnsi="宋体" w:eastAsia="仿宋_GB2312"/>
      <w:color w:val="000000"/>
      <w:sz w:val="24"/>
    </w:rPr>
  </w:style>
  <w:style w:type="paragraph" w:styleId="27">
    <w:name w:val="Body Text Indent 2"/>
    <w:basedOn w:val="1"/>
    <w:link w:val="71"/>
    <w:semiHidden/>
    <w:unhideWhenUsed/>
    <w:qFormat/>
    <w:uiPriority w:val="99"/>
    <w:pPr>
      <w:ind w:firstLine="480" w:firstLineChars="200"/>
    </w:pPr>
    <w:rPr>
      <w:rFonts w:ascii="仿宋_GB2312" w:eastAsia="仿宋_GB2312"/>
      <w:sz w:val="24"/>
    </w:rPr>
  </w:style>
  <w:style w:type="paragraph" w:styleId="28">
    <w:name w:val="Balloon Text"/>
    <w:basedOn w:val="1"/>
    <w:link w:val="76"/>
    <w:semiHidden/>
    <w:unhideWhenUsed/>
    <w:qFormat/>
    <w:uiPriority w:val="99"/>
    <w:rPr>
      <w:sz w:val="18"/>
      <w:szCs w:val="18"/>
    </w:rPr>
  </w:style>
  <w:style w:type="paragraph" w:styleId="29">
    <w:name w:val="footer"/>
    <w:basedOn w:val="1"/>
    <w:link w:val="214"/>
    <w:unhideWhenUsed/>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215"/>
    <w:unhideWhenUsed/>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semiHidden/>
    <w:unhideWhenUsed/>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semiHidden/>
    <w:unhideWhenUsed/>
    <w:qFormat/>
    <w:uiPriority w:val="99"/>
    <w:pPr>
      <w:ind w:left="1260" w:leftChars="600"/>
    </w:pPr>
  </w:style>
  <w:style w:type="paragraph" w:styleId="33">
    <w:name w:val="toc 6"/>
    <w:basedOn w:val="1"/>
    <w:next w:val="1"/>
    <w:semiHidden/>
    <w:unhideWhenUsed/>
    <w:qFormat/>
    <w:uiPriority w:val="99"/>
    <w:pPr>
      <w:ind w:left="2100" w:leftChars="1000"/>
    </w:pPr>
  </w:style>
  <w:style w:type="paragraph" w:styleId="34">
    <w:name w:val="Body Text Indent 3"/>
    <w:basedOn w:val="1"/>
    <w:link w:val="72"/>
    <w:semiHidden/>
    <w:unhideWhenUsed/>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semiHidden/>
    <w:unhideWhenUsed/>
    <w:qFormat/>
    <w:uiPriority w:val="39"/>
    <w:pPr>
      <w:tabs>
        <w:tab w:val="right" w:leader="dot" w:pos="8937"/>
      </w:tabs>
      <w:spacing w:line="312" w:lineRule="auto"/>
      <w:ind w:left="420" w:leftChars="200"/>
    </w:pPr>
  </w:style>
  <w:style w:type="paragraph" w:styleId="36">
    <w:name w:val="toc 9"/>
    <w:basedOn w:val="1"/>
    <w:next w:val="1"/>
    <w:semiHidden/>
    <w:unhideWhenUsed/>
    <w:qFormat/>
    <w:uiPriority w:val="99"/>
    <w:pPr>
      <w:ind w:left="3360" w:leftChars="1600"/>
    </w:pPr>
  </w:style>
  <w:style w:type="paragraph" w:styleId="37">
    <w:name w:val="HTML Preformatted"/>
    <w:basedOn w:val="1"/>
    <w:link w:val="61"/>
    <w:semiHidden/>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semiHidden/>
    <w:unhideWhenUsed/>
    <w:qFormat/>
    <w:uiPriority w:val="99"/>
    <w:rPr>
      <w:szCs w:val="20"/>
    </w:rPr>
  </w:style>
  <w:style w:type="paragraph" w:styleId="40">
    <w:name w:val="Title"/>
    <w:basedOn w:val="1"/>
    <w:link w:val="216"/>
    <w:qFormat/>
    <w:uiPriority w:val="99"/>
    <w:pPr>
      <w:jc w:val="center"/>
      <w:outlineLvl w:val="0"/>
    </w:pPr>
    <w:rPr>
      <w:b/>
      <w:sz w:val="32"/>
      <w:szCs w:val="20"/>
    </w:rPr>
  </w:style>
  <w:style w:type="paragraph" w:styleId="41">
    <w:name w:val="annotation subject"/>
    <w:basedOn w:val="16"/>
    <w:next w:val="16"/>
    <w:link w:val="75"/>
    <w:semiHidden/>
    <w:unhideWhenUsed/>
    <w:qFormat/>
    <w:uiPriority w:val="99"/>
    <w:rPr>
      <w:b/>
      <w:bCs/>
    </w:rPr>
  </w:style>
  <w:style w:type="paragraph" w:styleId="42">
    <w:name w:val="Body Text First Indent 2"/>
    <w:basedOn w:val="18"/>
    <w:link w:val="69"/>
    <w:semiHidden/>
    <w:unhideWhenUsed/>
    <w:qFormat/>
    <w:uiPriority w:val="99"/>
    <w:pPr>
      <w:spacing w:after="120" w:line="480" w:lineRule="exact"/>
      <w:ind w:left="420" w:leftChars="200" w:firstLine="420" w:firstLineChars="200"/>
    </w:pPr>
    <w:rPr>
      <w:szCs w:val="20"/>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FollowedHyperlink"/>
    <w:semiHidden/>
    <w:unhideWhenUsed/>
    <w:qFormat/>
    <w:uiPriority w:val="0"/>
    <w:rPr>
      <w:color w:val="800080"/>
      <w:u w:val="single"/>
    </w:rPr>
  </w:style>
  <w:style w:type="character" w:styleId="48">
    <w:name w:val="Emphasis"/>
    <w:qFormat/>
    <w:uiPriority w:val="0"/>
    <w:rPr>
      <w:color w:val="CC0033"/>
    </w:rPr>
  </w:style>
  <w:style w:type="character" w:styleId="49">
    <w:name w:val="Hyperlink"/>
    <w:semiHidden/>
    <w:unhideWhenUsed/>
    <w:qFormat/>
    <w:uiPriority w:val="99"/>
    <w:rPr>
      <w:color w:val="0000FF"/>
      <w:u w:val="single"/>
    </w:rPr>
  </w:style>
  <w:style w:type="character" w:styleId="50">
    <w:name w:val="annotation reference"/>
    <w:semiHidden/>
    <w:unhideWhenUsed/>
    <w:qFormat/>
    <w:uiPriority w:val="99"/>
    <w:rPr>
      <w:sz w:val="21"/>
      <w:szCs w:val="21"/>
    </w:rPr>
  </w:style>
  <w:style w:type="character" w:customStyle="1" w:styleId="51">
    <w:name w:val="标题 1 Char"/>
    <w:basedOn w:val="46"/>
    <w:link w:val="3"/>
    <w:qFormat/>
    <w:uiPriority w:val="0"/>
    <w:rPr>
      <w:rFonts w:ascii="宋体" w:hAnsi="Times New Roman" w:eastAsia="宋体" w:cs="Times New Roman"/>
      <w:b/>
      <w:kern w:val="44"/>
      <w:sz w:val="32"/>
      <w:szCs w:val="20"/>
    </w:rPr>
  </w:style>
  <w:style w:type="character" w:customStyle="1" w:styleId="52">
    <w:name w:val="标题 2 Char"/>
    <w:basedOn w:val="46"/>
    <w:semiHidden/>
    <w:qFormat/>
    <w:uiPriority w:val="0"/>
    <w:rPr>
      <w:rFonts w:asciiTheme="majorHAnsi" w:hAnsiTheme="majorHAnsi" w:eastAsiaTheme="majorEastAsia" w:cstheme="majorBidi"/>
      <w:b/>
      <w:bCs/>
      <w:sz w:val="32"/>
      <w:szCs w:val="32"/>
    </w:rPr>
  </w:style>
  <w:style w:type="character" w:customStyle="1" w:styleId="53">
    <w:name w:val="标题 3 Char"/>
    <w:basedOn w:val="46"/>
    <w:semiHidden/>
    <w:qFormat/>
    <w:uiPriority w:val="0"/>
    <w:rPr>
      <w:rFonts w:ascii="Times New Roman" w:hAnsi="Times New Roman" w:eastAsia="宋体" w:cs="Times New Roman"/>
      <w:b/>
      <w:bCs/>
      <w:sz w:val="32"/>
      <w:szCs w:val="32"/>
    </w:rPr>
  </w:style>
  <w:style w:type="character" w:customStyle="1" w:styleId="54">
    <w:name w:val="标题 4 Char"/>
    <w:basedOn w:val="46"/>
    <w:link w:val="7"/>
    <w:semiHidden/>
    <w:qFormat/>
    <w:uiPriority w:val="0"/>
    <w:rPr>
      <w:rFonts w:ascii="Arial" w:hAnsi="Arial" w:eastAsia="黑体" w:cs="Times New Roman"/>
      <w:b/>
      <w:kern w:val="0"/>
      <w:sz w:val="28"/>
      <w:szCs w:val="20"/>
    </w:rPr>
  </w:style>
  <w:style w:type="character" w:customStyle="1" w:styleId="55">
    <w:name w:val="标题 5 Char"/>
    <w:basedOn w:val="46"/>
    <w:link w:val="8"/>
    <w:semiHidden/>
    <w:qFormat/>
    <w:uiPriority w:val="0"/>
    <w:rPr>
      <w:rFonts w:ascii="Times New Roman" w:hAnsi="Times New Roman" w:eastAsia="宋体" w:cs="Times New Roman"/>
      <w:b/>
      <w:kern w:val="0"/>
      <w:sz w:val="28"/>
      <w:szCs w:val="20"/>
    </w:rPr>
  </w:style>
  <w:style w:type="character" w:customStyle="1" w:styleId="56">
    <w:name w:val="标题 6 Char"/>
    <w:basedOn w:val="46"/>
    <w:link w:val="9"/>
    <w:semiHidden/>
    <w:qFormat/>
    <w:uiPriority w:val="0"/>
    <w:rPr>
      <w:rFonts w:ascii="Arial" w:hAnsi="Arial" w:eastAsia="黑体" w:cs="Times New Roman"/>
      <w:b/>
      <w:kern w:val="0"/>
      <w:sz w:val="24"/>
      <w:szCs w:val="20"/>
    </w:rPr>
  </w:style>
  <w:style w:type="character" w:customStyle="1" w:styleId="57">
    <w:name w:val="标题 7 Char"/>
    <w:basedOn w:val="46"/>
    <w:link w:val="10"/>
    <w:semiHidden/>
    <w:qFormat/>
    <w:uiPriority w:val="99"/>
    <w:rPr>
      <w:rFonts w:ascii="Times New Roman" w:hAnsi="Times New Roman" w:eastAsia="宋体" w:cs="Times New Roman"/>
      <w:b/>
      <w:kern w:val="0"/>
      <w:sz w:val="24"/>
      <w:szCs w:val="20"/>
    </w:rPr>
  </w:style>
  <w:style w:type="character" w:customStyle="1" w:styleId="58">
    <w:name w:val="标题 8 Char"/>
    <w:basedOn w:val="46"/>
    <w:link w:val="11"/>
    <w:semiHidden/>
    <w:qFormat/>
    <w:uiPriority w:val="99"/>
    <w:rPr>
      <w:rFonts w:ascii="Arial" w:hAnsi="Arial" w:eastAsia="黑体" w:cs="Times New Roman"/>
      <w:kern w:val="0"/>
      <w:sz w:val="24"/>
      <w:szCs w:val="20"/>
    </w:rPr>
  </w:style>
  <w:style w:type="character" w:customStyle="1" w:styleId="59">
    <w:name w:val="标题 9 Char"/>
    <w:basedOn w:val="46"/>
    <w:link w:val="12"/>
    <w:semiHidden/>
    <w:qFormat/>
    <w:uiPriority w:val="99"/>
    <w:rPr>
      <w:rFonts w:ascii="Arial" w:hAnsi="Arial" w:eastAsia="黑体" w:cs="Times New Roman"/>
      <w:kern w:val="0"/>
      <w:szCs w:val="20"/>
    </w:rPr>
  </w:style>
  <w:style w:type="character" w:customStyle="1" w:styleId="60">
    <w:name w:val="正文文本 Char"/>
    <w:basedOn w:val="46"/>
    <w:link w:val="2"/>
    <w:qFormat/>
    <w:uiPriority w:val="99"/>
    <w:rPr>
      <w:rFonts w:ascii="Times New Roman" w:hAnsi="Times New Roman" w:eastAsia="宋体" w:cs="Times New Roman"/>
      <w:szCs w:val="24"/>
    </w:rPr>
  </w:style>
  <w:style w:type="character" w:customStyle="1" w:styleId="61">
    <w:name w:val="HTML 预设格式 Char"/>
    <w:basedOn w:val="46"/>
    <w:link w:val="37"/>
    <w:semiHidden/>
    <w:qFormat/>
    <w:uiPriority w:val="0"/>
    <w:rPr>
      <w:rFonts w:ascii="宋体" w:hAnsi="宋体" w:eastAsia="宋体" w:cs="宋体"/>
      <w:kern w:val="0"/>
      <w:sz w:val="24"/>
      <w:szCs w:val="24"/>
    </w:rPr>
  </w:style>
  <w:style w:type="character" w:customStyle="1" w:styleId="62">
    <w:name w:val="正文缩进 Char1"/>
    <w:link w:val="5"/>
    <w:semiHidden/>
    <w:qFormat/>
    <w:locked/>
    <w:uiPriority w:val="99"/>
    <w:rPr>
      <w:rFonts w:ascii="宋体" w:hAnsi="Times New Roman" w:eastAsia="宋体" w:cs="Times New Roman"/>
      <w:sz w:val="24"/>
      <w:szCs w:val="24"/>
    </w:rPr>
  </w:style>
  <w:style w:type="character" w:customStyle="1" w:styleId="63">
    <w:name w:val="批注文字 Char"/>
    <w:basedOn w:val="46"/>
    <w:semiHidden/>
    <w:qFormat/>
    <w:uiPriority w:val="99"/>
    <w:rPr>
      <w:rFonts w:ascii="Times New Roman" w:hAnsi="Times New Roman" w:eastAsia="宋体" w:cs="Times New Roman"/>
      <w:szCs w:val="24"/>
    </w:rPr>
  </w:style>
  <w:style w:type="character" w:customStyle="1" w:styleId="64">
    <w:name w:val="页眉 Char"/>
    <w:basedOn w:val="46"/>
    <w:semiHidden/>
    <w:qFormat/>
    <w:uiPriority w:val="99"/>
    <w:rPr>
      <w:rFonts w:ascii="Times New Roman" w:hAnsi="Times New Roman" w:eastAsia="宋体" w:cs="Times New Roman"/>
      <w:sz w:val="18"/>
      <w:szCs w:val="18"/>
    </w:rPr>
  </w:style>
  <w:style w:type="character" w:customStyle="1" w:styleId="65">
    <w:name w:val="页脚 Char"/>
    <w:basedOn w:val="46"/>
    <w:semiHidden/>
    <w:qFormat/>
    <w:uiPriority w:val="99"/>
    <w:rPr>
      <w:rFonts w:ascii="Times New Roman" w:hAnsi="Times New Roman" w:eastAsia="宋体" w:cs="Times New Roman"/>
      <w:sz w:val="18"/>
      <w:szCs w:val="18"/>
    </w:rPr>
  </w:style>
  <w:style w:type="character" w:customStyle="1" w:styleId="66">
    <w:name w:val="标题 Char"/>
    <w:basedOn w:val="46"/>
    <w:qFormat/>
    <w:uiPriority w:val="0"/>
    <w:rPr>
      <w:rFonts w:eastAsia="宋体" w:asciiTheme="majorHAnsi" w:hAnsiTheme="majorHAnsi" w:cstheme="majorBidi"/>
      <w:b/>
      <w:bCs/>
      <w:sz w:val="32"/>
      <w:szCs w:val="32"/>
    </w:rPr>
  </w:style>
  <w:style w:type="character" w:customStyle="1" w:styleId="67">
    <w:name w:val="正文文本缩进 Char"/>
    <w:basedOn w:val="46"/>
    <w:semiHidden/>
    <w:qFormat/>
    <w:uiPriority w:val="0"/>
    <w:rPr>
      <w:rFonts w:ascii="Times New Roman" w:hAnsi="Times New Roman" w:eastAsia="宋体" w:cs="Times New Roman"/>
      <w:szCs w:val="24"/>
    </w:rPr>
  </w:style>
  <w:style w:type="character" w:customStyle="1" w:styleId="68">
    <w:name w:val="日期 Char"/>
    <w:basedOn w:val="46"/>
    <w:link w:val="26"/>
    <w:semiHidden/>
    <w:qFormat/>
    <w:uiPriority w:val="99"/>
    <w:rPr>
      <w:rFonts w:ascii="仿宋_GB2312" w:hAnsi="宋体" w:eastAsia="仿宋_GB2312" w:cs="Times New Roman"/>
      <w:color w:val="000000"/>
      <w:sz w:val="24"/>
      <w:szCs w:val="24"/>
    </w:rPr>
  </w:style>
  <w:style w:type="character" w:customStyle="1" w:styleId="69">
    <w:name w:val="正文首行缩进 2 Char"/>
    <w:basedOn w:val="67"/>
    <w:link w:val="42"/>
    <w:semiHidden/>
    <w:qFormat/>
    <w:uiPriority w:val="99"/>
    <w:rPr>
      <w:rFonts w:ascii="Times New Roman" w:hAnsi="Times New Roman" w:eastAsia="宋体" w:cs="Times New Roman"/>
      <w:sz w:val="24"/>
      <w:szCs w:val="20"/>
    </w:rPr>
  </w:style>
  <w:style w:type="character" w:customStyle="1" w:styleId="70">
    <w:name w:val="正文文本 3 Char"/>
    <w:basedOn w:val="46"/>
    <w:link w:val="17"/>
    <w:semiHidden/>
    <w:qFormat/>
    <w:uiPriority w:val="99"/>
    <w:rPr>
      <w:rFonts w:ascii="Times New Roman" w:hAnsi="Times New Roman" w:eastAsia="宋体" w:cs="Times New Roman"/>
      <w:sz w:val="16"/>
      <w:szCs w:val="16"/>
    </w:rPr>
  </w:style>
  <w:style w:type="character" w:customStyle="1" w:styleId="71">
    <w:name w:val="正文文本缩进 2 Char"/>
    <w:basedOn w:val="46"/>
    <w:link w:val="27"/>
    <w:semiHidden/>
    <w:qFormat/>
    <w:uiPriority w:val="99"/>
    <w:rPr>
      <w:rFonts w:ascii="仿宋_GB2312" w:hAnsi="Times New Roman" w:eastAsia="仿宋_GB2312" w:cs="Times New Roman"/>
      <w:sz w:val="24"/>
      <w:szCs w:val="24"/>
    </w:rPr>
  </w:style>
  <w:style w:type="character" w:customStyle="1" w:styleId="72">
    <w:name w:val="正文文本缩进 3 Char"/>
    <w:basedOn w:val="46"/>
    <w:link w:val="34"/>
    <w:semiHidden/>
    <w:qFormat/>
    <w:uiPriority w:val="99"/>
    <w:rPr>
      <w:rFonts w:ascii="宋体" w:hAnsi="Times New Roman" w:eastAsia="宋体" w:cs="Times New Roman"/>
      <w:kern w:val="0"/>
      <w:sz w:val="24"/>
      <w:szCs w:val="20"/>
    </w:rPr>
  </w:style>
  <w:style w:type="character" w:customStyle="1" w:styleId="73">
    <w:name w:val="文档结构图 Char"/>
    <w:basedOn w:val="46"/>
    <w:link w:val="15"/>
    <w:semiHidden/>
    <w:qFormat/>
    <w:uiPriority w:val="99"/>
    <w:rPr>
      <w:rFonts w:ascii="Times New Roman" w:hAnsi="Times New Roman" w:eastAsia="宋体" w:cs="Times New Roman"/>
      <w:szCs w:val="24"/>
      <w:shd w:val="clear" w:color="auto" w:fill="000080"/>
    </w:rPr>
  </w:style>
  <w:style w:type="character" w:customStyle="1" w:styleId="74">
    <w:name w:val="纯文本 Char"/>
    <w:basedOn w:val="46"/>
    <w:link w:val="24"/>
    <w:qFormat/>
    <w:uiPriority w:val="99"/>
    <w:rPr>
      <w:rFonts w:ascii="宋体" w:hAnsi="Courier New" w:eastAsia="宋体" w:cs="Times New Roman"/>
      <w:szCs w:val="20"/>
    </w:rPr>
  </w:style>
  <w:style w:type="character" w:customStyle="1" w:styleId="75">
    <w:name w:val="批注主题 Char"/>
    <w:basedOn w:val="63"/>
    <w:link w:val="41"/>
    <w:semiHidden/>
    <w:qFormat/>
    <w:uiPriority w:val="99"/>
    <w:rPr>
      <w:rFonts w:ascii="Times New Roman" w:hAnsi="Times New Roman" w:eastAsia="宋体" w:cs="Times New Roman"/>
      <w:b/>
      <w:bCs/>
      <w:szCs w:val="24"/>
    </w:rPr>
  </w:style>
  <w:style w:type="character" w:customStyle="1" w:styleId="76">
    <w:name w:val="批注框文本 Char"/>
    <w:basedOn w:val="46"/>
    <w:link w:val="28"/>
    <w:semiHidden/>
    <w:qFormat/>
    <w:uiPriority w:val="99"/>
    <w:rPr>
      <w:rFonts w:ascii="Times New Roman" w:hAnsi="Times New Roman" w:eastAsia="宋体" w:cs="Times New Roman"/>
      <w:sz w:val="18"/>
      <w:szCs w:val="18"/>
    </w:rPr>
  </w:style>
  <w:style w:type="paragraph" w:styleId="77">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列出段落 Char1"/>
    <w:link w:val="79"/>
    <w:qFormat/>
    <w:locked/>
    <w:uiPriority w:val="34"/>
    <w:rPr>
      <w:rFonts w:ascii="Calibri" w:hAnsi="Calibri"/>
    </w:rPr>
  </w:style>
  <w:style w:type="paragraph" w:styleId="79">
    <w:name w:val="List Paragraph"/>
    <w:basedOn w:val="1"/>
    <w:link w:val="78"/>
    <w:qFormat/>
    <w:uiPriority w:val="34"/>
    <w:pPr>
      <w:ind w:firstLine="420" w:firstLineChars="200"/>
    </w:pPr>
    <w:rPr>
      <w:rFonts w:ascii="Calibri" w:hAnsi="Calibri" w:eastAsiaTheme="minorEastAsia" w:cstheme="minorBidi"/>
      <w:szCs w:val="22"/>
    </w:rPr>
  </w:style>
  <w:style w:type="character" w:customStyle="1" w:styleId="80">
    <w:name w:val="正文文本缩进 Char1"/>
    <w:link w:val="81"/>
    <w:qFormat/>
    <w:locked/>
    <w:uiPriority w:val="0"/>
    <w:rPr>
      <w:rFonts w:ascii="宋体" w:hAnsi="宋体" w:eastAsia="宋体"/>
      <w:sz w:val="24"/>
      <w:szCs w:val="24"/>
    </w:rPr>
  </w:style>
  <w:style w:type="paragraph" w:customStyle="1" w:styleId="81">
    <w:name w:val="正文文本缩进1"/>
    <w:basedOn w:val="1"/>
    <w:link w:val="80"/>
    <w:qFormat/>
    <w:uiPriority w:val="0"/>
    <w:pPr>
      <w:spacing w:line="480" w:lineRule="exact"/>
      <w:ind w:firstLine="480" w:firstLineChars="200"/>
    </w:pPr>
    <w:rPr>
      <w:rFonts w:ascii="宋体" w:hAnsi="宋体" w:cstheme="minorBidi"/>
      <w:sz w:val="24"/>
    </w:rPr>
  </w:style>
  <w:style w:type="character" w:customStyle="1" w:styleId="82">
    <w:name w:val="正文缩进 Char Char"/>
    <w:link w:val="83"/>
    <w:qFormat/>
    <w:locked/>
    <w:uiPriority w:val="0"/>
    <w:rPr>
      <w:rFonts w:ascii="宋体" w:hAnsi="宋体" w:eastAsia="宋体"/>
      <w:color w:val="000000"/>
      <w:kern w:val="28"/>
      <w:sz w:val="28"/>
    </w:rPr>
  </w:style>
  <w:style w:type="paragraph" w:customStyle="1" w:styleId="83">
    <w:name w:val="正文缩进1"/>
    <w:basedOn w:val="1"/>
    <w:link w:val="82"/>
    <w:qFormat/>
    <w:uiPriority w:val="0"/>
    <w:pPr>
      <w:widowControl/>
      <w:adjustRightInd w:val="0"/>
      <w:snapToGrid w:val="0"/>
      <w:spacing w:line="480" w:lineRule="exact"/>
      <w:ind w:firstLine="567"/>
    </w:pPr>
    <w:rPr>
      <w:rFonts w:ascii="宋体" w:hAnsi="宋体" w:cstheme="minorBidi"/>
      <w:color w:val="000000"/>
      <w:kern w:val="28"/>
      <w:sz w:val="28"/>
      <w:szCs w:val="22"/>
    </w:rPr>
  </w:style>
  <w:style w:type="paragraph" w:customStyle="1" w:styleId="84">
    <w:name w:val="章标题"/>
    <w:next w:val="1"/>
    <w:qFormat/>
    <w:uiPriority w:val="99"/>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qFormat/>
    <w:uiPriority w:val="99"/>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qFormat/>
    <w:uiPriority w:val="99"/>
    <w:rPr>
      <w:rFonts w:ascii="Tahoma" w:hAnsi="Tahoma"/>
      <w:sz w:val="24"/>
      <w:szCs w:val="20"/>
    </w:rPr>
  </w:style>
  <w:style w:type="paragraph" w:customStyle="1" w:styleId="87">
    <w:name w:val="Char3 Char Char Char"/>
    <w:basedOn w:val="1"/>
    <w:qFormat/>
    <w:uiPriority w:val="99"/>
    <w:rPr>
      <w:rFonts w:ascii="Tahoma" w:hAnsi="Tahoma"/>
      <w:sz w:val="24"/>
      <w:szCs w:val="20"/>
    </w:rPr>
  </w:style>
  <w:style w:type="paragraph" w:customStyle="1" w:styleId="88">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89">
    <w:name w:val="项目编号1"/>
    <w:basedOn w:val="1"/>
    <w:qFormat/>
    <w:uiPriority w:val="99"/>
    <w:pPr>
      <w:numPr>
        <w:ilvl w:val="0"/>
        <w:numId w:val="2"/>
      </w:numPr>
      <w:spacing w:before="100" w:beforeAutospacing="1" w:after="100" w:afterAutospacing="1" w:line="360" w:lineRule="auto"/>
    </w:pPr>
    <w:rPr>
      <w:sz w:val="24"/>
    </w:rPr>
  </w:style>
  <w:style w:type="paragraph" w:customStyle="1" w:styleId="90">
    <w:name w:val="图中文字"/>
    <w:basedOn w:val="1"/>
    <w:qFormat/>
    <w:uiPriority w:val="99"/>
    <w:pPr>
      <w:adjustRightInd w:val="0"/>
      <w:snapToGrid w:val="0"/>
      <w:spacing w:line="0" w:lineRule="atLeast"/>
      <w:jc w:val="center"/>
    </w:pPr>
    <w:rPr>
      <w:sz w:val="24"/>
      <w:szCs w:val="20"/>
    </w:rPr>
  </w:style>
  <w:style w:type="paragraph" w:customStyle="1" w:styleId="91">
    <w:name w:val="xl46"/>
    <w:basedOn w:val="1"/>
    <w:qFormat/>
    <w:uiPriority w:val="99"/>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99"/>
    <w:rPr>
      <w:rFonts w:ascii="Tahoma" w:hAnsi="Tahoma"/>
      <w:sz w:val="24"/>
      <w:szCs w:val="20"/>
    </w:rPr>
  </w:style>
  <w:style w:type="paragraph" w:customStyle="1" w:styleId="94">
    <w:name w:val="xl35"/>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99"/>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99"/>
    <w:pPr>
      <w:snapToGrid w:val="0"/>
      <w:spacing w:line="360" w:lineRule="auto"/>
      <w:ind w:firstLine="200" w:firstLineChars="200"/>
    </w:pPr>
    <w:rPr>
      <w:rFonts w:eastAsia="仿宋_GB2312"/>
      <w:sz w:val="24"/>
    </w:rPr>
  </w:style>
  <w:style w:type="paragraph" w:customStyle="1" w:styleId="100">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99"/>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99"/>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99"/>
    <w:pPr>
      <w:numPr>
        <w:ilvl w:val="7"/>
        <w:numId w:val="1"/>
      </w:numPr>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99"/>
    <w:pPr>
      <w:widowControl/>
      <w:spacing w:before="100" w:beforeAutospacing="1" w:after="100" w:afterAutospacing="1"/>
      <w:jc w:val="left"/>
    </w:pPr>
    <w:rPr>
      <w:kern w:val="0"/>
      <w:sz w:val="36"/>
      <w:szCs w:val="36"/>
    </w:rPr>
  </w:style>
  <w:style w:type="paragraph" w:customStyle="1" w:styleId="108">
    <w:name w:val="Char"/>
    <w:basedOn w:val="1"/>
    <w:qFormat/>
    <w:uiPriority w:val="99"/>
    <w:pPr>
      <w:tabs>
        <w:tab w:val="left" w:pos="360"/>
      </w:tabs>
    </w:pPr>
    <w:rPr>
      <w:sz w:val="24"/>
    </w:rPr>
  </w:style>
  <w:style w:type="paragraph" w:customStyle="1" w:styleId="109">
    <w:name w:val="Char Char Char Char Char Char Char Char Char Char Char Char Char Char Char Char"/>
    <w:basedOn w:val="1"/>
    <w:qFormat/>
    <w:uiPriority w:val="99"/>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99"/>
    <w:rPr>
      <w:rFonts w:ascii="Tahoma" w:hAnsi="Tahoma"/>
      <w:sz w:val="24"/>
    </w:rPr>
  </w:style>
  <w:style w:type="paragraph" w:customStyle="1" w:styleId="113">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99"/>
    <w:pPr>
      <w:adjustRightInd w:val="0"/>
      <w:jc w:val="left"/>
    </w:pPr>
    <w:rPr>
      <w:rFonts w:ascii="宋体" w:hAnsi="宋体"/>
      <w:kern w:val="0"/>
      <w:szCs w:val="20"/>
    </w:rPr>
  </w:style>
  <w:style w:type="paragraph" w:customStyle="1" w:styleId="117">
    <w:name w:val="Char1 Char Char Char1"/>
    <w:basedOn w:val="1"/>
    <w:qFormat/>
    <w:uiPriority w:val="99"/>
    <w:rPr>
      <w:rFonts w:ascii="Tahoma" w:hAnsi="Tahoma" w:cs="仿宋_GB2312"/>
      <w:sz w:val="24"/>
      <w:szCs w:val="28"/>
    </w:rPr>
  </w:style>
  <w:style w:type="paragraph" w:customStyle="1" w:styleId="118">
    <w:name w:val="??"/>
    <w:qFormat/>
    <w:uiPriority w:val="99"/>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4"/>
    <w:qFormat/>
    <w:uiPriority w:val="99"/>
    <w:pPr>
      <w:numPr>
        <w:ilvl w:val="1"/>
        <w:numId w:val="3"/>
      </w:numPr>
      <w:autoSpaceDE/>
      <w:autoSpaceDN/>
      <w:spacing w:before="260" w:after="260" w:line="240" w:lineRule="auto"/>
      <w:jc w:val="left"/>
    </w:pPr>
    <w:rPr>
      <w:rFonts w:ascii="宋体" w:hAnsi="宋体" w:eastAsia="宋体"/>
      <w:bCs/>
      <w:sz w:val="21"/>
    </w:rPr>
  </w:style>
  <w:style w:type="paragraph" w:customStyle="1" w:styleId="120">
    <w:name w:val="List Paragraph1"/>
    <w:basedOn w:val="1"/>
    <w:qFormat/>
    <w:uiPriority w:val="99"/>
    <w:pPr>
      <w:ind w:firstLine="420" w:firstLineChars="200"/>
    </w:pPr>
    <w:rPr>
      <w:rFonts w:ascii="Calibri" w:hAnsi="Calibri"/>
      <w:szCs w:val="22"/>
    </w:rPr>
  </w:style>
  <w:style w:type="paragraph" w:customStyle="1" w:styleId="121">
    <w:name w:val="正文文本样式"/>
    <w:basedOn w:val="1"/>
    <w:qFormat/>
    <w:uiPriority w:val="99"/>
    <w:pPr>
      <w:spacing w:line="360" w:lineRule="auto"/>
      <w:ind w:firstLine="482"/>
    </w:pPr>
    <w:rPr>
      <w:rFonts w:cs="宋体"/>
      <w:sz w:val="24"/>
      <w:szCs w:val="20"/>
    </w:rPr>
  </w:style>
  <w:style w:type="paragraph" w:customStyle="1" w:styleId="122">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3">
    <w:name w:val="font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124">
    <w:name w:val="xl4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5">
    <w:name w:val="文档正文"/>
    <w:basedOn w:val="1"/>
    <w:qFormat/>
    <w:uiPriority w:val="99"/>
    <w:pPr>
      <w:snapToGrid w:val="0"/>
      <w:spacing w:before="120" w:after="120" w:line="180" w:lineRule="auto"/>
    </w:pPr>
    <w:rPr>
      <w:rFonts w:ascii="Arial" w:hAnsi="Arial"/>
      <w:szCs w:val="20"/>
    </w:rPr>
  </w:style>
  <w:style w:type="paragraph" w:customStyle="1" w:styleId="126">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7">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28">
    <w:name w:val="Char Char Char1 Char"/>
    <w:basedOn w:val="1"/>
    <w:qFormat/>
    <w:uiPriority w:val="99"/>
    <w:rPr>
      <w:rFonts w:ascii="Tahoma" w:hAnsi="Tahoma"/>
      <w:sz w:val="24"/>
      <w:szCs w:val="20"/>
    </w:rPr>
  </w:style>
  <w:style w:type="paragraph" w:customStyle="1" w:styleId="129">
    <w:name w:val="xl44"/>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0">
    <w:name w:val="1名"/>
    <w:basedOn w:val="1"/>
    <w:qFormat/>
    <w:uiPriority w:val="99"/>
    <w:pPr>
      <w:numPr>
        <w:ilvl w:val="0"/>
        <w:numId w:val="4"/>
      </w:numPr>
      <w:spacing w:before="120"/>
    </w:pPr>
    <w:rPr>
      <w:rFonts w:ascii="宋体"/>
      <w:sz w:val="28"/>
      <w:szCs w:val="20"/>
    </w:rPr>
  </w:style>
  <w:style w:type="paragraph" w:customStyle="1" w:styleId="131">
    <w:name w:val="font9"/>
    <w:basedOn w:val="1"/>
    <w:qFormat/>
    <w:uiPriority w:val="99"/>
    <w:pPr>
      <w:widowControl/>
      <w:spacing w:before="100" w:beforeAutospacing="1" w:after="100" w:afterAutospacing="1"/>
      <w:jc w:val="left"/>
    </w:pPr>
    <w:rPr>
      <w:rFonts w:ascii="宋体" w:hAnsi="宋体" w:cs="Arial Unicode MS"/>
      <w:color w:val="000000"/>
      <w:kern w:val="0"/>
      <w:sz w:val="20"/>
      <w:szCs w:val="20"/>
    </w:rPr>
  </w:style>
  <w:style w:type="paragraph" w:customStyle="1" w:styleId="132">
    <w:name w:val="Char Char Char1 Char1"/>
    <w:basedOn w:val="1"/>
    <w:qFormat/>
    <w:uiPriority w:val="99"/>
    <w:rPr>
      <w:rFonts w:ascii="Tahoma" w:hAnsi="Tahoma"/>
      <w:sz w:val="24"/>
      <w:szCs w:val="20"/>
    </w:rPr>
  </w:style>
  <w:style w:type="paragraph" w:customStyle="1" w:styleId="133">
    <w:name w:val="Char Char Char Char Char Char Char Char Char Char"/>
    <w:basedOn w:val="1"/>
    <w:qFormat/>
    <w:uiPriority w:val="99"/>
  </w:style>
  <w:style w:type="paragraph" w:customStyle="1" w:styleId="134">
    <w:name w:val="Char Char1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135">
    <w:name w:val="Char1"/>
    <w:basedOn w:val="1"/>
    <w:qFormat/>
    <w:uiPriority w:val="99"/>
    <w:pPr>
      <w:tabs>
        <w:tab w:val="left" w:pos="360"/>
      </w:tabs>
    </w:pPr>
    <w:rPr>
      <w:sz w:val="24"/>
    </w:rPr>
  </w:style>
  <w:style w:type="paragraph" w:customStyle="1" w:styleId="136">
    <w:name w:val="正文列项_字母"/>
    <w:basedOn w:val="1"/>
    <w:qFormat/>
    <w:uiPriority w:val="99"/>
    <w:pPr>
      <w:numPr>
        <w:ilvl w:val="6"/>
        <w:numId w:val="1"/>
      </w:numPr>
      <w:autoSpaceDE w:val="0"/>
      <w:autoSpaceDN w:val="0"/>
      <w:spacing w:line="460" w:lineRule="exact"/>
      <w:ind w:left="480" w:leftChars="300" w:hanging="180" w:hangingChars="180"/>
      <w:outlineLvl w:val="6"/>
    </w:pPr>
    <w:rPr>
      <w:rFonts w:ascii="宋体"/>
      <w:kern w:val="0"/>
      <w:sz w:val="28"/>
      <w:szCs w:val="20"/>
    </w:rPr>
  </w:style>
  <w:style w:type="paragraph" w:customStyle="1" w:styleId="137">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xl47"/>
    <w:basedOn w:val="1"/>
    <w:qFormat/>
    <w:uiPriority w:val="99"/>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9">
    <w:name w:val="默认段落字体 Para Char Char Char Char"/>
    <w:basedOn w:val="1"/>
    <w:qFormat/>
    <w:uiPriority w:val="99"/>
    <w:rPr>
      <w:rFonts w:ascii="Arial" w:hAnsi="Arial" w:cs="Arial"/>
      <w:szCs w:val="21"/>
    </w:rPr>
  </w:style>
  <w:style w:type="paragraph" w:customStyle="1" w:styleId="140">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1">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kern w:val="0"/>
      <w:sz w:val="20"/>
      <w:szCs w:val="20"/>
    </w:rPr>
  </w:style>
  <w:style w:type="paragraph" w:customStyle="1" w:styleId="142">
    <w:name w:val="xl5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0"/>
      <w:szCs w:val="20"/>
    </w:rPr>
  </w:style>
  <w:style w:type="paragraph" w:customStyle="1" w:styleId="143">
    <w:name w:val="Char Char Char"/>
    <w:basedOn w:val="1"/>
    <w:qFormat/>
    <w:uiPriority w:val="99"/>
    <w:rPr>
      <w:rFonts w:ascii="Tahoma" w:hAnsi="Tahoma"/>
      <w:sz w:val="24"/>
      <w:szCs w:val="20"/>
    </w:rPr>
  </w:style>
  <w:style w:type="paragraph" w:customStyle="1" w:styleId="144">
    <w:name w:val="xl5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5">
    <w:name w:val="缺省文本"/>
    <w:basedOn w:val="1"/>
    <w:qFormat/>
    <w:uiPriority w:val="99"/>
    <w:pPr>
      <w:autoSpaceDE w:val="0"/>
      <w:autoSpaceDN w:val="0"/>
      <w:adjustRightInd w:val="0"/>
      <w:jc w:val="left"/>
    </w:pPr>
    <w:rPr>
      <w:kern w:val="0"/>
      <w:sz w:val="24"/>
    </w:rPr>
  </w:style>
  <w:style w:type="paragraph" w:customStyle="1" w:styleId="146">
    <w:name w:val="Char Char Char1"/>
    <w:basedOn w:val="1"/>
    <w:qFormat/>
    <w:uiPriority w:val="99"/>
    <w:rPr>
      <w:rFonts w:ascii="Tahoma" w:hAnsi="Tahoma"/>
      <w:sz w:val="24"/>
      <w:szCs w:val="20"/>
    </w:rPr>
  </w:style>
  <w:style w:type="paragraph" w:customStyle="1" w:styleId="147">
    <w:name w:val="Char Char Char Char Char Char Char1"/>
    <w:basedOn w:val="1"/>
    <w:qFormat/>
    <w:uiPriority w:val="99"/>
    <w:pPr>
      <w:snapToGrid w:val="0"/>
      <w:spacing w:line="360" w:lineRule="auto"/>
      <w:ind w:firstLine="200" w:firstLineChars="200"/>
    </w:pPr>
    <w:rPr>
      <w:rFonts w:eastAsia="仿宋_GB2312"/>
      <w:sz w:val="24"/>
    </w:rPr>
  </w:style>
  <w:style w:type="paragraph" w:customStyle="1" w:styleId="148">
    <w:name w:val="xl5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kern w:val="0"/>
      <w:sz w:val="20"/>
      <w:szCs w:val="20"/>
    </w:rPr>
  </w:style>
  <w:style w:type="paragraph" w:customStyle="1" w:styleId="149">
    <w:name w:val="样式2"/>
    <w:basedOn w:val="39"/>
    <w:qFormat/>
    <w:uiPriority w:val="99"/>
    <w:pPr>
      <w:spacing w:line="360" w:lineRule="auto"/>
      <w:jc w:val="center"/>
    </w:pPr>
    <w:rPr>
      <w:sz w:val="24"/>
    </w:rPr>
  </w:style>
  <w:style w:type="paragraph" w:customStyle="1" w:styleId="150">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152">
    <w:name w:val="正文 + 楷体_GB2312"/>
    <w:basedOn w:val="1"/>
    <w:qFormat/>
    <w:uiPriority w:val="99"/>
    <w:pPr>
      <w:widowControl/>
      <w:jc w:val="left"/>
    </w:pPr>
    <w:rPr>
      <w:rFonts w:ascii="楷体_GB2312" w:eastAsia="楷体_GB2312" w:cs="Arial"/>
      <w:kern w:val="0"/>
      <w:sz w:val="24"/>
    </w:rPr>
  </w:style>
  <w:style w:type="paragraph" w:customStyle="1" w:styleId="153">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6600"/>
      <w:kern w:val="0"/>
      <w:sz w:val="20"/>
      <w:szCs w:val="20"/>
    </w:rPr>
  </w:style>
  <w:style w:type="paragraph" w:customStyle="1" w:styleId="154">
    <w:name w:val="1 Char Char Char Char"/>
    <w:basedOn w:val="1"/>
    <w:qFormat/>
    <w:uiPriority w:val="99"/>
    <w:rPr>
      <w:rFonts w:ascii="Tahoma" w:hAnsi="Tahoma"/>
      <w:sz w:val="24"/>
      <w:szCs w:val="20"/>
    </w:rPr>
  </w:style>
  <w:style w:type="paragraph" w:customStyle="1" w:styleId="155">
    <w:name w:val="Default"/>
    <w:qFormat/>
    <w:uiPriority w:val="99"/>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6">
    <w:name w:val="列出段落1"/>
    <w:basedOn w:val="1"/>
    <w:qFormat/>
    <w:uiPriority w:val="99"/>
    <w:pPr>
      <w:ind w:firstLine="420" w:firstLineChars="200"/>
    </w:pPr>
    <w:rPr>
      <w:rFonts w:ascii="Calibri" w:hAnsi="Calibri"/>
      <w:szCs w:val="22"/>
    </w:rPr>
  </w:style>
  <w:style w:type="paragraph" w:customStyle="1" w:styleId="157">
    <w:name w:val="default"/>
    <w:basedOn w:val="1"/>
    <w:qFormat/>
    <w:uiPriority w:val="99"/>
    <w:pPr>
      <w:widowControl/>
      <w:spacing w:before="100" w:beforeAutospacing="1" w:after="100" w:afterAutospacing="1"/>
      <w:jc w:val="left"/>
    </w:pPr>
    <w:rPr>
      <w:rFonts w:ascii="宋体" w:hAnsi="宋体" w:cs="宋体"/>
      <w:kern w:val="0"/>
      <w:sz w:val="24"/>
    </w:rPr>
  </w:style>
  <w:style w:type="paragraph" w:customStyle="1" w:styleId="158">
    <w:name w:val="字元 字元1"/>
    <w:basedOn w:val="1"/>
    <w:qFormat/>
    <w:uiPriority w:val="99"/>
    <w:rPr>
      <w:rFonts w:ascii="Tahoma" w:hAnsi="Tahoma"/>
      <w:sz w:val="24"/>
      <w:szCs w:val="20"/>
    </w:rPr>
  </w:style>
  <w:style w:type="paragraph" w:customStyle="1" w:styleId="159">
    <w:name w:val="_Style 160"/>
    <w:qFormat/>
    <w:uiPriority w:val="99"/>
    <w:rPr>
      <w:rFonts w:ascii="Times New Roman" w:hAnsi="Times New Roman" w:eastAsia="宋体" w:cs="Times New Roman"/>
      <w:kern w:val="2"/>
      <w:sz w:val="21"/>
      <w:szCs w:val="24"/>
      <w:lang w:val="en-US" w:eastAsia="zh-CN" w:bidi="ar-SA"/>
    </w:rPr>
  </w:style>
  <w:style w:type="paragraph" w:customStyle="1" w:styleId="160">
    <w:name w:val="项目编号3"/>
    <w:basedOn w:val="121"/>
    <w:qFormat/>
    <w:uiPriority w:val="99"/>
    <w:pPr>
      <w:numPr>
        <w:ilvl w:val="0"/>
        <w:numId w:val="5"/>
      </w:numPr>
    </w:pPr>
  </w:style>
  <w:style w:type="paragraph" w:customStyle="1" w:styleId="161">
    <w:name w:val="Char21"/>
    <w:basedOn w:val="1"/>
    <w:qFormat/>
    <w:uiPriority w:val="99"/>
    <w:rPr>
      <w:rFonts w:ascii="Tahoma" w:hAnsi="Tahoma"/>
      <w:sz w:val="24"/>
      <w:szCs w:val="20"/>
    </w:rPr>
  </w:style>
  <w:style w:type="paragraph" w:customStyle="1" w:styleId="162">
    <w:name w:val="表格文字"/>
    <w:basedOn w:val="18"/>
    <w:qFormat/>
    <w:uiPriority w:val="99"/>
    <w:pPr>
      <w:spacing w:before="20" w:after="20" w:line="240" w:lineRule="auto"/>
      <w:ind w:firstLine="0"/>
    </w:pPr>
    <w:rPr>
      <w:rFonts w:ascii="Century Gothic" w:hAnsi="Century Gothic"/>
      <w:sz w:val="20"/>
      <w:szCs w:val="20"/>
    </w:rPr>
  </w:style>
  <w:style w:type="paragraph" w:customStyle="1" w:styleId="163">
    <w:name w:val="Char Char Char Char Char Char Char Char Char Char1"/>
    <w:basedOn w:val="1"/>
    <w:qFormat/>
    <w:uiPriority w:val="99"/>
    <w:rPr>
      <w:rFonts w:ascii="宋体" w:hAnsi="宋体" w:cs="Courier New"/>
      <w:sz w:val="32"/>
      <w:szCs w:val="32"/>
    </w:rPr>
  </w:style>
  <w:style w:type="paragraph" w:customStyle="1" w:styleId="164">
    <w:name w:val="正文文本样式 加粗"/>
    <w:basedOn w:val="121"/>
    <w:qFormat/>
    <w:uiPriority w:val="99"/>
    <w:rPr>
      <w:b/>
    </w:rPr>
  </w:style>
  <w:style w:type="paragraph" w:customStyle="1" w:styleId="165">
    <w:name w:val="Char2 Char Char Char Char Char Char"/>
    <w:basedOn w:val="1"/>
    <w:qFormat/>
    <w:uiPriority w:val="99"/>
    <w:pPr>
      <w:widowControl/>
      <w:spacing w:line="400" w:lineRule="exact"/>
      <w:jc w:val="center"/>
    </w:pPr>
  </w:style>
  <w:style w:type="paragraph" w:customStyle="1" w:styleId="166">
    <w:name w:val="Char Char4"/>
    <w:basedOn w:val="1"/>
    <w:qFormat/>
    <w:uiPriority w:val="99"/>
    <w:pPr>
      <w:widowControl/>
      <w:spacing w:line="400" w:lineRule="exact"/>
      <w:jc w:val="center"/>
    </w:pPr>
  </w:style>
  <w:style w:type="paragraph" w:customStyle="1" w:styleId="167">
    <w:name w:val="Char3 Char Char Char1"/>
    <w:basedOn w:val="1"/>
    <w:qFormat/>
    <w:uiPriority w:val="99"/>
    <w:rPr>
      <w:rFonts w:ascii="Tahoma" w:hAnsi="Tahoma"/>
      <w:sz w:val="24"/>
      <w:szCs w:val="20"/>
    </w:rPr>
  </w:style>
  <w:style w:type="paragraph" w:customStyle="1" w:styleId="168">
    <w:name w:val="22222222222222"/>
    <w:basedOn w:val="1"/>
    <w:qFormat/>
    <w:uiPriority w:val="99"/>
    <w:pPr>
      <w:widowControl/>
      <w:adjustRightInd w:val="0"/>
      <w:spacing w:line="360" w:lineRule="auto"/>
      <w:ind w:firstLine="480" w:firstLineChars="200"/>
      <w:jc w:val="left"/>
    </w:pPr>
    <w:rPr>
      <w:color w:val="FF0000"/>
      <w:kern w:val="0"/>
      <w:sz w:val="24"/>
      <w:szCs w:val="20"/>
    </w:rPr>
  </w:style>
  <w:style w:type="character" w:customStyle="1" w:styleId="169">
    <w:name w:val="中等深浅网格 1 - 强调文字颜色 2 Char"/>
    <w:link w:val="170"/>
    <w:qFormat/>
    <w:locked/>
    <w:uiPriority w:val="0"/>
    <w:rPr>
      <w:szCs w:val="24"/>
      <w:lang w:val="zh-CN"/>
    </w:rPr>
  </w:style>
  <w:style w:type="paragraph" w:customStyle="1" w:styleId="170">
    <w:name w:val="1"/>
    <w:link w:val="169"/>
    <w:qFormat/>
    <w:uiPriority w:val="0"/>
    <w:rPr>
      <w:rFonts w:asciiTheme="minorHAnsi" w:hAnsiTheme="minorHAnsi" w:eastAsiaTheme="minorEastAsia" w:cstheme="minorBidi"/>
      <w:kern w:val="2"/>
      <w:sz w:val="21"/>
      <w:szCs w:val="24"/>
      <w:lang w:val="zh-CN" w:eastAsia="zh-CN" w:bidi="ar-SA"/>
    </w:rPr>
  </w:style>
  <w:style w:type="paragraph" w:customStyle="1" w:styleId="171">
    <w:name w:val="图文"/>
    <w:basedOn w:val="1"/>
    <w:qFormat/>
    <w:uiPriority w:val="99"/>
    <w:pPr>
      <w:adjustRightInd w:val="0"/>
      <w:snapToGrid w:val="0"/>
      <w:spacing w:after="50" w:line="360" w:lineRule="auto"/>
    </w:pPr>
    <w:rPr>
      <w:sz w:val="24"/>
    </w:rPr>
  </w:style>
  <w:style w:type="paragraph" w:customStyle="1" w:styleId="172">
    <w:name w:val="xl23"/>
    <w:basedOn w:val="1"/>
    <w:qFormat/>
    <w:uiPriority w:val="99"/>
    <w:pPr>
      <w:widowControl/>
      <w:spacing w:before="100" w:beforeAutospacing="1" w:after="100" w:afterAutospacing="1" w:line="360" w:lineRule="auto"/>
    </w:pPr>
    <w:rPr>
      <w:kern w:val="0"/>
      <w:sz w:val="24"/>
      <w:szCs w:val="20"/>
    </w:rPr>
  </w:style>
  <w:style w:type="character" w:customStyle="1" w:styleId="173">
    <w:name w:val="正文表格 Char"/>
    <w:link w:val="174"/>
    <w:qFormat/>
    <w:locked/>
    <w:uiPriority w:val="0"/>
    <w:rPr>
      <w:rFonts w:ascii="宋体" w:hAnsi="宋体" w:eastAsia="宋体"/>
      <w:color w:val="000000"/>
      <w:szCs w:val="21"/>
    </w:rPr>
  </w:style>
  <w:style w:type="paragraph" w:customStyle="1" w:styleId="174">
    <w:name w:val="正文表格"/>
    <w:basedOn w:val="1"/>
    <w:link w:val="173"/>
    <w:qFormat/>
    <w:uiPriority w:val="0"/>
    <w:pPr>
      <w:adjustRightInd w:val="0"/>
      <w:snapToGrid w:val="0"/>
      <w:jc w:val="left"/>
    </w:pPr>
    <w:rPr>
      <w:rFonts w:ascii="宋体" w:hAnsi="宋体" w:cstheme="minorBidi"/>
      <w:color w:val="000000"/>
      <w:szCs w:val="21"/>
    </w:rPr>
  </w:style>
  <w:style w:type="character" w:customStyle="1" w:styleId="175">
    <w:name w:val="正文重点 Char"/>
    <w:link w:val="176"/>
    <w:qFormat/>
    <w:locked/>
    <w:uiPriority w:val="0"/>
    <w:rPr>
      <w:b/>
      <w:sz w:val="24"/>
    </w:rPr>
  </w:style>
  <w:style w:type="paragraph" w:customStyle="1" w:styleId="176">
    <w:name w:val="正文重点"/>
    <w:basedOn w:val="1"/>
    <w:link w:val="175"/>
    <w:qFormat/>
    <w:uiPriority w:val="0"/>
    <w:pPr>
      <w:adjustRightInd w:val="0"/>
      <w:spacing w:line="360" w:lineRule="auto"/>
      <w:ind w:firstLine="482" w:firstLineChars="200"/>
      <w:jc w:val="left"/>
    </w:pPr>
    <w:rPr>
      <w:rFonts w:asciiTheme="minorHAnsi" w:hAnsiTheme="minorHAnsi" w:eastAsiaTheme="minorEastAsia" w:cstheme="minorBidi"/>
      <w:b/>
      <w:sz w:val="24"/>
      <w:szCs w:val="22"/>
    </w:rPr>
  </w:style>
  <w:style w:type="paragraph" w:customStyle="1" w:styleId="177">
    <w:name w:val="标题1-附件"/>
    <w:basedOn w:val="3"/>
    <w:qFormat/>
    <w:uiPriority w:val="99"/>
    <w:pPr>
      <w:jc w:val="left"/>
    </w:pPr>
    <w:rPr>
      <w:sz w:val="24"/>
      <w:szCs w:val="24"/>
    </w:rPr>
  </w:style>
  <w:style w:type="character" w:customStyle="1" w:styleId="178">
    <w:name w:val="正文小标题 Char"/>
    <w:link w:val="179"/>
    <w:qFormat/>
    <w:locked/>
    <w:uiPriority w:val="0"/>
    <w:rPr>
      <w:rFonts w:ascii="宋体" w:hAnsi="宋体" w:eastAsia="宋体"/>
      <w:b/>
      <w:i/>
      <w:color w:val="FF0000"/>
      <w:sz w:val="24"/>
    </w:rPr>
  </w:style>
  <w:style w:type="paragraph" w:customStyle="1" w:styleId="179">
    <w:name w:val="正文小标题"/>
    <w:basedOn w:val="1"/>
    <w:next w:val="5"/>
    <w:link w:val="178"/>
    <w:qFormat/>
    <w:uiPriority w:val="0"/>
    <w:pPr>
      <w:adjustRightInd w:val="0"/>
      <w:snapToGrid w:val="0"/>
      <w:spacing w:beforeLines="100" w:afterLines="100"/>
      <w:ind w:firstLine="482"/>
      <w:jc w:val="left"/>
    </w:pPr>
    <w:rPr>
      <w:rFonts w:ascii="宋体" w:hAnsi="宋体" w:cstheme="minorBidi"/>
      <w:b/>
      <w:i/>
      <w:color w:val="FF0000"/>
      <w:sz w:val="24"/>
      <w:szCs w:val="22"/>
    </w:rPr>
  </w:style>
  <w:style w:type="character" w:customStyle="1" w:styleId="180">
    <w:name w:val="正文大标题 Char"/>
    <w:link w:val="181"/>
    <w:qFormat/>
    <w:locked/>
    <w:uiPriority w:val="0"/>
    <w:rPr>
      <w:rFonts w:ascii="宋体" w:hAnsi="宋体" w:eastAsia="宋体"/>
      <w:b/>
      <w:color w:val="000000"/>
      <w:sz w:val="28"/>
      <w:szCs w:val="21"/>
    </w:rPr>
  </w:style>
  <w:style w:type="paragraph" w:customStyle="1" w:styleId="181">
    <w:name w:val="正文大标题"/>
    <w:basedOn w:val="179"/>
    <w:next w:val="5"/>
    <w:link w:val="180"/>
    <w:qFormat/>
    <w:uiPriority w:val="0"/>
    <w:pPr>
      <w:jc w:val="center"/>
    </w:pPr>
    <w:rPr>
      <w:i w:val="0"/>
      <w:color w:val="000000"/>
      <w:sz w:val="28"/>
      <w:szCs w:val="21"/>
    </w:rPr>
  </w:style>
  <w:style w:type="character" w:customStyle="1" w:styleId="182">
    <w:name w:val="注释 Char"/>
    <w:link w:val="183"/>
    <w:qFormat/>
    <w:locked/>
    <w:uiPriority w:val="0"/>
    <w:rPr>
      <w:rFonts w:ascii="宋体" w:hAnsi="宋体" w:eastAsia="宋体"/>
      <w:szCs w:val="21"/>
    </w:rPr>
  </w:style>
  <w:style w:type="paragraph" w:customStyle="1" w:styleId="183">
    <w:name w:val="注释"/>
    <w:basedOn w:val="1"/>
    <w:link w:val="182"/>
    <w:qFormat/>
    <w:uiPriority w:val="0"/>
    <w:pPr>
      <w:adjustRightInd w:val="0"/>
      <w:snapToGrid w:val="0"/>
      <w:ind w:left="420" w:hanging="420" w:hangingChars="200"/>
      <w:jc w:val="left"/>
    </w:pPr>
    <w:rPr>
      <w:rFonts w:ascii="宋体" w:hAnsi="宋体" w:cstheme="minorBidi"/>
      <w:szCs w:val="21"/>
    </w:rPr>
  </w:style>
  <w:style w:type="paragraph" w:customStyle="1" w:styleId="184">
    <w:name w:val="正文须知-1级"/>
    <w:basedOn w:val="1"/>
    <w:next w:val="1"/>
    <w:qFormat/>
    <w:uiPriority w:val="99"/>
    <w:pPr>
      <w:numPr>
        <w:ilvl w:val="0"/>
        <w:numId w:val="6"/>
      </w:numPr>
      <w:adjustRightInd w:val="0"/>
      <w:snapToGrid w:val="0"/>
      <w:spacing w:line="300" w:lineRule="auto"/>
    </w:pPr>
    <w:rPr>
      <w:rFonts w:ascii="宋体" w:hAnsi="Calibri"/>
      <w:sz w:val="24"/>
      <w:szCs w:val="21"/>
    </w:rPr>
  </w:style>
  <w:style w:type="paragraph" w:customStyle="1" w:styleId="185">
    <w:name w:val="正文须知-2级"/>
    <w:basedOn w:val="1"/>
    <w:qFormat/>
    <w:uiPriority w:val="99"/>
    <w:pPr>
      <w:numPr>
        <w:ilvl w:val="1"/>
        <w:numId w:val="6"/>
      </w:numPr>
      <w:adjustRightInd w:val="0"/>
      <w:snapToGrid w:val="0"/>
      <w:spacing w:line="300" w:lineRule="auto"/>
    </w:pPr>
    <w:rPr>
      <w:rFonts w:ascii="宋体" w:hAnsi="Calibri"/>
      <w:sz w:val="24"/>
      <w:szCs w:val="21"/>
    </w:rPr>
  </w:style>
  <w:style w:type="paragraph" w:customStyle="1" w:styleId="186">
    <w:name w:val="正文须知-3级"/>
    <w:basedOn w:val="1"/>
    <w:qFormat/>
    <w:uiPriority w:val="99"/>
    <w:pPr>
      <w:numPr>
        <w:ilvl w:val="2"/>
        <w:numId w:val="6"/>
      </w:numPr>
      <w:adjustRightInd w:val="0"/>
      <w:snapToGrid w:val="0"/>
      <w:spacing w:line="300" w:lineRule="auto"/>
      <w:ind w:hanging="355" w:hangingChars="355"/>
    </w:pPr>
    <w:rPr>
      <w:rFonts w:ascii="宋体" w:hAnsi="Calibri"/>
      <w:sz w:val="24"/>
      <w:szCs w:val="21"/>
    </w:rPr>
  </w:style>
  <w:style w:type="paragraph" w:customStyle="1" w:styleId="187">
    <w:name w:val="表格1"/>
    <w:basedOn w:val="1"/>
    <w:qFormat/>
    <w:uiPriority w:val="99"/>
    <w:pPr>
      <w:ind w:firstLine="480" w:firstLineChars="200"/>
      <w:jc w:val="center"/>
    </w:pPr>
    <w:rPr>
      <w:sz w:val="24"/>
      <w:szCs w:val="20"/>
    </w:rPr>
  </w:style>
  <w:style w:type="paragraph" w:customStyle="1" w:styleId="188">
    <w:name w:val="无标题条"/>
    <w:next w:val="1"/>
    <w:qFormat/>
    <w:uiPriority w:val="99"/>
    <w:pPr>
      <w:jc w:val="both"/>
    </w:pPr>
    <w:rPr>
      <w:rFonts w:ascii="Times New Roman" w:hAnsi="Times New Roman" w:eastAsia="宋体" w:cs="Times New Roman"/>
      <w:sz w:val="21"/>
      <w:lang w:val="en-US" w:eastAsia="zh-CN" w:bidi="ar-SA"/>
    </w:rPr>
  </w:style>
  <w:style w:type="character" w:customStyle="1" w:styleId="189">
    <w:name w:val="正文格式 Char"/>
    <w:link w:val="190"/>
    <w:qFormat/>
    <w:locked/>
    <w:uiPriority w:val="0"/>
    <w:rPr>
      <w:rFonts w:ascii="宋体" w:hAnsi="宋体" w:eastAsia="宋体"/>
      <w:sz w:val="24"/>
      <w:szCs w:val="24"/>
      <w:lang w:val="en-GB"/>
    </w:rPr>
  </w:style>
  <w:style w:type="paragraph" w:customStyle="1" w:styleId="190">
    <w:name w:val="正文格式"/>
    <w:basedOn w:val="1"/>
    <w:link w:val="189"/>
    <w:qFormat/>
    <w:uiPriority w:val="0"/>
    <w:pPr>
      <w:spacing w:beforeLines="50" w:line="360" w:lineRule="auto"/>
      <w:ind w:firstLine="480" w:firstLineChars="200"/>
    </w:pPr>
    <w:rPr>
      <w:rFonts w:ascii="宋体" w:hAnsi="宋体" w:cstheme="minorBidi"/>
      <w:sz w:val="24"/>
      <w:lang w:val="en-GB"/>
    </w:rPr>
  </w:style>
  <w:style w:type="paragraph" w:customStyle="1" w:styleId="191">
    <w:name w:val="字元 字元2"/>
    <w:basedOn w:val="1"/>
    <w:qFormat/>
    <w:uiPriority w:val="99"/>
    <w:rPr>
      <w:rFonts w:ascii="Tahoma" w:hAnsi="Tahoma"/>
      <w:sz w:val="24"/>
      <w:szCs w:val="20"/>
    </w:rPr>
  </w:style>
  <w:style w:type="paragraph" w:customStyle="1" w:styleId="192">
    <w:name w:val="Char3 Char Char Char2"/>
    <w:basedOn w:val="1"/>
    <w:qFormat/>
    <w:uiPriority w:val="99"/>
    <w:rPr>
      <w:rFonts w:ascii="Tahoma" w:hAnsi="Tahoma"/>
      <w:sz w:val="24"/>
      <w:szCs w:val="20"/>
    </w:rPr>
  </w:style>
  <w:style w:type="paragraph" w:customStyle="1" w:styleId="193">
    <w:name w:val="正文文本缩进2"/>
    <w:basedOn w:val="1"/>
    <w:qFormat/>
    <w:uiPriority w:val="99"/>
    <w:pPr>
      <w:spacing w:line="480" w:lineRule="exact"/>
      <w:ind w:firstLine="480" w:firstLineChars="200"/>
    </w:pPr>
    <w:rPr>
      <w:rFonts w:ascii="宋体" w:hAnsi="宋体"/>
      <w:kern w:val="0"/>
      <w:sz w:val="24"/>
      <w:lang w:val="zh-CN"/>
    </w:rPr>
  </w:style>
  <w:style w:type="paragraph" w:customStyle="1" w:styleId="194">
    <w:name w:val="Char3"/>
    <w:basedOn w:val="1"/>
    <w:qFormat/>
    <w:uiPriority w:val="99"/>
    <w:pPr>
      <w:tabs>
        <w:tab w:val="left" w:pos="360"/>
      </w:tabs>
    </w:pPr>
    <w:rPr>
      <w:sz w:val="24"/>
    </w:rPr>
  </w:style>
  <w:style w:type="paragraph" w:customStyle="1" w:styleId="195">
    <w:name w:val="Char Char Char Char Char Char Char Char Char Char Char Char Char Char Char Char1"/>
    <w:basedOn w:val="1"/>
    <w:qFormat/>
    <w:uiPriority w:val="99"/>
    <w:pPr>
      <w:widowControl/>
      <w:spacing w:after="160" w:line="240" w:lineRule="exact"/>
      <w:jc w:val="center"/>
    </w:pPr>
    <w:rPr>
      <w:rFonts w:ascii="宋体" w:hAnsi="宋体"/>
      <w:b/>
      <w:kern w:val="0"/>
      <w:sz w:val="30"/>
      <w:szCs w:val="30"/>
      <w:lang w:eastAsia="en-US"/>
    </w:rPr>
  </w:style>
  <w:style w:type="paragraph" w:customStyle="1" w:styleId="196">
    <w:name w:val="Char Char1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97">
    <w:name w:val="列出段落2"/>
    <w:basedOn w:val="1"/>
    <w:qFormat/>
    <w:uiPriority w:val="99"/>
    <w:pPr>
      <w:ind w:firstLine="420" w:firstLineChars="200"/>
    </w:pPr>
    <w:rPr>
      <w:rFonts w:ascii="Calibri" w:hAnsi="Calibri"/>
      <w:szCs w:val="22"/>
    </w:rPr>
  </w:style>
  <w:style w:type="paragraph" w:customStyle="1" w:styleId="198">
    <w:name w:val="Char Char Char1 Char2"/>
    <w:basedOn w:val="1"/>
    <w:qFormat/>
    <w:uiPriority w:val="99"/>
    <w:rPr>
      <w:rFonts w:ascii="Tahoma" w:hAnsi="Tahoma"/>
      <w:sz w:val="24"/>
      <w:szCs w:val="20"/>
    </w:rPr>
  </w:style>
  <w:style w:type="paragraph" w:customStyle="1" w:styleId="199">
    <w:name w:val="Char Char Char2"/>
    <w:basedOn w:val="1"/>
    <w:qFormat/>
    <w:uiPriority w:val="99"/>
    <w:rPr>
      <w:rFonts w:ascii="Tahoma" w:hAnsi="Tahoma"/>
      <w:sz w:val="24"/>
      <w:szCs w:val="20"/>
    </w:rPr>
  </w:style>
  <w:style w:type="paragraph" w:customStyle="1" w:styleId="200">
    <w:name w:val="Char Char Char Char Char Char Char2"/>
    <w:basedOn w:val="1"/>
    <w:qFormat/>
    <w:uiPriority w:val="99"/>
    <w:pPr>
      <w:snapToGrid w:val="0"/>
      <w:spacing w:line="360" w:lineRule="auto"/>
      <w:ind w:firstLine="200" w:firstLineChars="200"/>
    </w:pPr>
    <w:rPr>
      <w:rFonts w:eastAsia="仿宋_GB2312"/>
      <w:sz w:val="24"/>
    </w:rPr>
  </w:style>
  <w:style w:type="paragraph" w:customStyle="1" w:styleId="201">
    <w:name w:val="正文缩进2"/>
    <w:basedOn w:val="1"/>
    <w:qFormat/>
    <w:uiPriority w:val="99"/>
    <w:pPr>
      <w:widowControl/>
      <w:adjustRightInd w:val="0"/>
      <w:snapToGrid w:val="0"/>
      <w:spacing w:line="480" w:lineRule="exact"/>
      <w:ind w:firstLine="567"/>
    </w:pPr>
    <w:rPr>
      <w:rFonts w:ascii="宋体"/>
      <w:color w:val="000000"/>
      <w:kern w:val="28"/>
      <w:sz w:val="28"/>
      <w:szCs w:val="20"/>
      <w:lang w:val="zh-CN"/>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Char22"/>
    <w:basedOn w:val="1"/>
    <w:qFormat/>
    <w:uiPriority w:val="99"/>
    <w:rPr>
      <w:rFonts w:ascii="Tahoma" w:hAnsi="Tahoma"/>
      <w:sz w:val="24"/>
      <w:szCs w:val="20"/>
    </w:rPr>
  </w:style>
  <w:style w:type="paragraph" w:customStyle="1" w:styleId="204">
    <w:name w:val="Char Char Char Char Char Char Char Char Char Char2"/>
    <w:basedOn w:val="1"/>
    <w:qFormat/>
    <w:uiPriority w:val="99"/>
    <w:rPr>
      <w:rFonts w:ascii="宋体" w:hAnsi="宋体" w:cs="Courier New"/>
      <w:sz w:val="32"/>
      <w:szCs w:val="32"/>
    </w:rPr>
  </w:style>
  <w:style w:type="paragraph" w:customStyle="1" w:styleId="205">
    <w:name w:val="Char2 Char Char Char Char Char Char1"/>
    <w:basedOn w:val="1"/>
    <w:qFormat/>
    <w:uiPriority w:val="99"/>
    <w:pPr>
      <w:widowControl/>
      <w:spacing w:line="400" w:lineRule="exact"/>
      <w:jc w:val="center"/>
    </w:pPr>
  </w:style>
  <w:style w:type="paragraph" w:customStyle="1" w:styleId="206">
    <w:name w:val="Char Char41"/>
    <w:basedOn w:val="1"/>
    <w:qFormat/>
    <w:uiPriority w:val="99"/>
    <w:pPr>
      <w:widowControl/>
      <w:spacing w:line="400" w:lineRule="exact"/>
      <w:jc w:val="center"/>
    </w:pPr>
  </w:style>
  <w:style w:type="paragraph" w:customStyle="1" w:styleId="207">
    <w:name w:val="图例"/>
    <w:basedOn w:val="1"/>
    <w:qFormat/>
    <w:uiPriority w:val="99"/>
    <w:pPr>
      <w:spacing w:before="120" w:after="120" w:line="360" w:lineRule="auto"/>
      <w:jc w:val="center"/>
    </w:pPr>
    <w:rPr>
      <w:rFonts w:eastAsia="仿宋_GB2312"/>
      <w:b/>
      <w:sz w:val="24"/>
      <w:szCs w:val="20"/>
    </w:rPr>
  </w:style>
  <w:style w:type="paragraph" w:customStyle="1" w:styleId="20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09">
    <w:name w:val="样式"/>
    <w:qFormat/>
    <w:uiPriority w:val="99"/>
    <w:pPr>
      <w:widowControl w:val="0"/>
      <w:autoSpaceDE w:val="0"/>
      <w:autoSpaceDN w:val="0"/>
      <w:adjustRightInd w:val="0"/>
    </w:pPr>
    <w:rPr>
      <w:rFonts w:ascii="宋体" w:hAnsi="宋体" w:eastAsia="宋体" w:cs="宋体"/>
      <w:sz w:val="24"/>
      <w:szCs w:val="24"/>
      <w:lang w:val="en-US" w:eastAsia="zh-CN" w:bidi="ar-SA"/>
    </w:rPr>
  </w:style>
  <w:style w:type="character" w:customStyle="1" w:styleId="210">
    <w:name w:val="标题 2 Char1"/>
    <w:link w:val="4"/>
    <w:qFormat/>
    <w:locked/>
    <w:uiPriority w:val="0"/>
    <w:rPr>
      <w:rFonts w:ascii="Arial" w:hAnsi="Arial" w:eastAsia="黑体" w:cs="Times New Roman"/>
      <w:b/>
      <w:kern w:val="0"/>
      <w:sz w:val="30"/>
      <w:szCs w:val="20"/>
    </w:rPr>
  </w:style>
  <w:style w:type="character" w:customStyle="1" w:styleId="211">
    <w:name w:val="标题 3 Char1"/>
    <w:link w:val="6"/>
    <w:semiHidden/>
    <w:qFormat/>
    <w:locked/>
    <w:uiPriority w:val="0"/>
    <w:rPr>
      <w:rFonts w:ascii="宋体" w:hAnsi="Times New Roman" w:eastAsia="宋体" w:cs="Times New Roman"/>
      <w:b/>
      <w:kern w:val="0"/>
      <w:sz w:val="24"/>
      <w:szCs w:val="20"/>
      <w:u w:val="single"/>
    </w:rPr>
  </w:style>
  <w:style w:type="character" w:customStyle="1" w:styleId="212">
    <w:name w:val="批注文字 Char1"/>
    <w:link w:val="16"/>
    <w:semiHidden/>
    <w:qFormat/>
    <w:locked/>
    <w:uiPriority w:val="99"/>
    <w:rPr>
      <w:rFonts w:ascii="Times New Roman" w:hAnsi="Times New Roman" w:eastAsia="宋体" w:cs="Times New Roman"/>
      <w:szCs w:val="24"/>
    </w:rPr>
  </w:style>
  <w:style w:type="character" w:customStyle="1" w:styleId="213">
    <w:name w:val="正文文本缩进 Char2"/>
    <w:link w:val="18"/>
    <w:semiHidden/>
    <w:qFormat/>
    <w:locked/>
    <w:uiPriority w:val="99"/>
    <w:rPr>
      <w:rFonts w:ascii="Times New Roman" w:hAnsi="Times New Roman" w:eastAsia="宋体" w:cs="Times New Roman"/>
      <w:sz w:val="24"/>
      <w:szCs w:val="24"/>
    </w:rPr>
  </w:style>
  <w:style w:type="character" w:customStyle="1" w:styleId="214">
    <w:name w:val="页脚 Char1"/>
    <w:link w:val="29"/>
    <w:qFormat/>
    <w:locked/>
    <w:uiPriority w:val="99"/>
    <w:rPr>
      <w:rFonts w:ascii="宋体" w:hAnsi="Times New Roman" w:eastAsia="宋体" w:cs="Times New Roman"/>
      <w:kern w:val="0"/>
      <w:sz w:val="18"/>
      <w:szCs w:val="20"/>
    </w:rPr>
  </w:style>
  <w:style w:type="character" w:customStyle="1" w:styleId="215">
    <w:name w:val="页眉 Char1"/>
    <w:link w:val="30"/>
    <w:qFormat/>
    <w:locked/>
    <w:uiPriority w:val="99"/>
    <w:rPr>
      <w:rFonts w:ascii="Times New Roman" w:hAnsi="Times New Roman" w:eastAsia="宋体" w:cs="Times New Roman"/>
      <w:sz w:val="18"/>
      <w:szCs w:val="18"/>
    </w:rPr>
  </w:style>
  <w:style w:type="character" w:customStyle="1" w:styleId="216">
    <w:name w:val="标题 Char1"/>
    <w:link w:val="40"/>
    <w:qFormat/>
    <w:locked/>
    <w:uiPriority w:val="99"/>
    <w:rPr>
      <w:rFonts w:ascii="Times New Roman" w:hAnsi="Times New Roman" w:eastAsia="宋体" w:cs="Times New Roman"/>
      <w:b/>
      <w:sz w:val="32"/>
      <w:szCs w:val="20"/>
    </w:rPr>
  </w:style>
  <w:style w:type="character" w:customStyle="1" w:styleId="217">
    <w:name w:val="批注文字 字符"/>
    <w:qFormat/>
    <w:uiPriority w:val="99"/>
    <w:rPr>
      <w:rFonts w:hint="default" w:ascii="Times New Roman" w:hAnsi="Times New Roman" w:eastAsia="宋体" w:cs="Times New Roman"/>
      <w:sz w:val="24"/>
      <w:lang w:val="en-US" w:eastAsia="zh-CN" w:bidi="ar-SA"/>
    </w:rPr>
  </w:style>
  <w:style w:type="character" w:customStyle="1" w:styleId="218">
    <w:name w:val="c21"/>
    <w:qFormat/>
    <w:uiPriority w:val="0"/>
    <w:rPr>
      <w:rFonts w:hint="default" w:ascii="ˎ̥" w:hAnsi="ˎ̥"/>
      <w:color w:val="000000"/>
      <w:sz w:val="20"/>
      <w:szCs w:val="20"/>
      <w:u w:val="none"/>
    </w:rPr>
  </w:style>
  <w:style w:type="character" w:customStyle="1" w:styleId="219">
    <w:name w:val="title4"/>
    <w:qFormat/>
    <w:uiPriority w:val="0"/>
    <w:rPr>
      <w:b/>
      <w:bCs/>
      <w:color w:val="1D87B3"/>
      <w:sz w:val="15"/>
      <w:szCs w:val="15"/>
    </w:rPr>
  </w:style>
  <w:style w:type="character" w:customStyle="1" w:styleId="220">
    <w:name w:val="标题 2 Char Char"/>
    <w:qFormat/>
    <w:uiPriority w:val="0"/>
    <w:rPr>
      <w:rFonts w:hint="default" w:ascii="Arial" w:hAnsi="Arial" w:eastAsia="黑体" w:cs="Arial"/>
      <w:b/>
      <w:bCs/>
      <w:kern w:val="2"/>
      <w:sz w:val="32"/>
      <w:szCs w:val="32"/>
      <w:lang w:val="en-US" w:eastAsia="zh-CN" w:bidi="ar-SA"/>
    </w:rPr>
  </w:style>
  <w:style w:type="character" w:customStyle="1" w:styleId="221">
    <w:name w:val="black1"/>
    <w:qFormat/>
    <w:uiPriority w:val="0"/>
    <w:rPr>
      <w:color w:val="000000"/>
    </w:rPr>
  </w:style>
  <w:style w:type="character" w:customStyle="1" w:styleId="222">
    <w:name w:val="street-address"/>
    <w:qFormat/>
    <w:uiPriority w:val="0"/>
  </w:style>
  <w:style w:type="character" w:customStyle="1" w:styleId="223">
    <w:name w:val="locality"/>
    <w:qFormat/>
    <w:uiPriority w:val="0"/>
  </w:style>
  <w:style w:type="character" w:customStyle="1" w:styleId="224">
    <w:name w:val="Char Char11"/>
    <w:qFormat/>
    <w:uiPriority w:val="0"/>
    <w:rPr>
      <w:rFonts w:hint="eastAsia" w:ascii="宋体" w:hAnsi="宋体" w:eastAsia="宋体"/>
      <w:b/>
      <w:sz w:val="24"/>
      <w:u w:val="single"/>
      <w:lang w:val="en-US" w:eastAsia="zh-CN" w:bidi="ar-SA"/>
    </w:rPr>
  </w:style>
  <w:style w:type="character" w:customStyle="1" w:styleId="225">
    <w:name w:val="txt"/>
    <w:qFormat/>
    <w:uiPriority w:val="0"/>
  </w:style>
  <w:style w:type="character" w:customStyle="1" w:styleId="226">
    <w:name w:val="普通文字1 Char1"/>
    <w:qFormat/>
    <w:uiPriority w:val="0"/>
    <w:rPr>
      <w:rFonts w:hint="eastAsia" w:ascii="宋体" w:hAnsi="Courier New" w:eastAsia="宋体"/>
      <w:kern w:val="2"/>
      <w:sz w:val="21"/>
      <w:lang w:val="en-US" w:eastAsia="zh-CN" w:bidi="ar-SA"/>
    </w:rPr>
  </w:style>
  <w:style w:type="character" w:customStyle="1" w:styleId="227">
    <w:name w:val="chanpin1"/>
    <w:qFormat/>
    <w:uiPriority w:val="0"/>
    <w:rPr>
      <w:rFonts w:hint="default" w:ascii="ˎ̥" w:hAnsi="ˎ̥"/>
      <w:color w:val="000000"/>
      <w:sz w:val="20"/>
      <w:szCs w:val="20"/>
      <w:u w:val="none"/>
    </w:rPr>
  </w:style>
  <w:style w:type="character" w:customStyle="1" w:styleId="228">
    <w:name w:val="标题 3 Char Char"/>
    <w:qFormat/>
    <w:uiPriority w:val="0"/>
    <w:rPr>
      <w:rFonts w:hint="eastAsia" w:ascii="宋体" w:hAnsi="宋体" w:eastAsia="宋体"/>
      <w:b/>
      <w:bCs/>
      <w:kern w:val="2"/>
      <w:sz w:val="32"/>
      <w:szCs w:val="32"/>
      <w:lang w:val="en-US" w:eastAsia="zh-CN" w:bidi="ar-SA"/>
    </w:rPr>
  </w:style>
  <w:style w:type="character" w:customStyle="1" w:styleId="229">
    <w:name w:val="段1 Char"/>
    <w:qFormat/>
    <w:uiPriority w:val="0"/>
    <w:rPr>
      <w:rFonts w:hint="eastAsia" w:ascii="宋体" w:hAnsi="宋体" w:eastAsia="宋体"/>
      <w:sz w:val="24"/>
      <w:lang w:val="en-US" w:eastAsia="zh-CN" w:bidi="ar-SA"/>
    </w:rPr>
  </w:style>
  <w:style w:type="character" w:customStyle="1" w:styleId="230">
    <w:name w:val="chanpin拷贝"/>
    <w:qFormat/>
    <w:uiPriority w:val="0"/>
  </w:style>
  <w:style w:type="character" w:customStyle="1" w:styleId="231">
    <w:name w:val="纯文本 Char1"/>
    <w:qFormat/>
    <w:uiPriority w:val="0"/>
    <w:rPr>
      <w:rFonts w:hint="eastAsia" w:ascii="宋体" w:hAnsi="Courier New" w:eastAsia="宋体"/>
      <w:kern w:val="2"/>
      <w:sz w:val="21"/>
      <w:lang w:val="en-US" w:eastAsia="zh-CN" w:bidi="ar-SA"/>
    </w:rPr>
  </w:style>
  <w:style w:type="character" w:customStyle="1" w:styleId="232">
    <w:name w:val="apple-style-span"/>
    <w:qFormat/>
    <w:uiPriority w:val="0"/>
    <w:rPr>
      <w:rFonts w:hint="default" w:ascii="Times New Roman" w:hAnsi="Times New Roman" w:cs="Times New Roman"/>
    </w:rPr>
  </w:style>
  <w:style w:type="character" w:customStyle="1" w:styleId="233">
    <w:name w:val="纯文本 字符"/>
    <w:qFormat/>
    <w:uiPriority w:val="99"/>
    <w:rPr>
      <w:rFonts w:hint="eastAsia" w:ascii="宋体" w:hAnsi="Courier New" w:eastAsia="宋体" w:cs="Times New Roman"/>
      <w:kern w:val="2"/>
      <w:sz w:val="21"/>
      <w:szCs w:val="21"/>
      <w:lang w:val="en-US" w:eastAsia="zh-CN" w:bidi="ar-SA"/>
    </w:rPr>
  </w:style>
  <w:style w:type="character" w:customStyle="1" w:styleId="234">
    <w:name w:val="纯文本 字符1"/>
    <w:qFormat/>
    <w:uiPriority w:val="0"/>
    <w:rPr>
      <w:rFonts w:hint="eastAsia" w:ascii="宋体" w:hAnsi="Courier New" w:eastAsia="宋体"/>
    </w:rPr>
  </w:style>
  <w:style w:type="character" w:customStyle="1" w:styleId="235">
    <w:name w:val="bjh-p"/>
    <w:qFormat/>
    <w:uiPriority w:val="0"/>
  </w:style>
  <w:style w:type="character" w:customStyle="1" w:styleId="236">
    <w:name w:val="正文缩进 Char"/>
    <w:qFormat/>
    <w:uiPriority w:val="0"/>
    <w:rPr>
      <w:rFonts w:hint="eastAsia" w:ascii="宋体" w:hAnsi="宋体" w:eastAsia="宋体"/>
      <w:kern w:val="2"/>
      <w:sz w:val="24"/>
      <w:szCs w:val="24"/>
      <w:lang w:val="en-US" w:eastAsia="zh-CN" w:bidi="ar-SA"/>
    </w:rPr>
  </w:style>
  <w:style w:type="character" w:customStyle="1" w:styleId="237">
    <w:name w:val="Char Char111"/>
    <w:qFormat/>
    <w:uiPriority w:val="0"/>
    <w:rPr>
      <w:rFonts w:hint="eastAsia" w:ascii="宋体" w:hAnsi="宋体" w:eastAsia="宋体"/>
      <w:b/>
      <w:sz w:val="24"/>
      <w:u w:val="single"/>
      <w:lang w:val="en-US" w:eastAsia="zh-CN" w:bidi="ar-SA"/>
    </w:rPr>
  </w:style>
  <w:style w:type="character" w:customStyle="1" w:styleId="238">
    <w:name w:val="列出段落 Char"/>
    <w:qFormat/>
    <w:uiPriority w:val="0"/>
    <w:rPr>
      <w:rFonts w:hint="default" w:ascii="Calibri" w:hAnsi="Calibri" w:eastAsia="宋体"/>
      <w:kern w:val="2"/>
      <w:sz w:val="21"/>
      <w:szCs w:val="22"/>
      <w:lang w:val="en-US" w:eastAsia="zh-CN" w:bidi="ar-SA"/>
    </w:rPr>
  </w:style>
  <w:style w:type="table" w:customStyle="1" w:styleId="239">
    <w:name w:val="Table Normal"/>
    <w:qFormat/>
    <w:uiPriority w:val="0"/>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paragraph" w:customStyle="1" w:styleId="240">
    <w:name w:val="项目编号2"/>
    <w:basedOn w:val="89"/>
    <w:qFormat/>
    <w:uiPriority w:val="99"/>
    <w:pPr>
      <w:numPr>
        <w:numId w:val="7"/>
      </w:numPr>
    </w:pPr>
  </w:style>
  <w:style w:type="paragraph" w:customStyle="1" w:styleId="241">
    <w:name w:val="项目符号1"/>
    <w:basedOn w:val="121"/>
    <w:qFormat/>
    <w:uiPriority w:val="99"/>
    <w:pPr>
      <w:ind w:left="-25" w:firstLine="0"/>
    </w:pPr>
  </w:style>
  <w:style w:type="paragraph" w:customStyle="1" w:styleId="242">
    <w:name w:val="一级条标题"/>
    <w:basedOn w:val="84"/>
    <w:next w:val="1"/>
    <w:qFormat/>
    <w:uiPriority w:val="99"/>
    <w:pPr>
      <w:numPr>
        <w:ilvl w:val="1"/>
      </w:numPr>
      <w:tabs>
        <w:tab w:val="left" w:pos="360"/>
        <w:tab w:val="left" w:pos="840"/>
      </w:tabs>
      <w:ind w:left="0" w:hanging="840"/>
      <w:outlineLvl w:val="1"/>
    </w:pPr>
  </w:style>
  <w:style w:type="paragraph" w:customStyle="1" w:styleId="243">
    <w:name w:val="二级条标题"/>
    <w:basedOn w:val="242"/>
    <w:next w:val="1"/>
    <w:qFormat/>
    <w:uiPriority w:val="99"/>
    <w:pPr>
      <w:numPr>
        <w:ilvl w:val="0"/>
        <w:numId w:val="0"/>
      </w:numPr>
      <w:ind w:hanging="840"/>
      <w:outlineLvl w:val="2"/>
    </w:pPr>
    <w:rPr>
      <w:rFonts w:ascii="宋体" w:eastAsia="宋体"/>
      <w:b w:val="0"/>
    </w:rPr>
  </w:style>
  <w:style w:type="paragraph" w:customStyle="1" w:styleId="244">
    <w:name w:val="三级条标题"/>
    <w:basedOn w:val="243"/>
    <w:next w:val="1"/>
    <w:qFormat/>
    <w:uiPriority w:val="99"/>
    <w:pPr>
      <w:numPr>
        <w:ilvl w:val="3"/>
        <w:numId w:val="1"/>
      </w:numPr>
      <w:ind w:left="0" w:hanging="840"/>
      <w:outlineLvl w:val="3"/>
    </w:pPr>
  </w:style>
  <w:style w:type="paragraph" w:customStyle="1" w:styleId="245">
    <w:name w:val="四级条标题"/>
    <w:basedOn w:val="244"/>
    <w:next w:val="1"/>
    <w:qFormat/>
    <w:uiPriority w:val="99"/>
    <w:pPr>
      <w:numPr>
        <w:ilvl w:val="4"/>
      </w:numPr>
      <w:ind w:left="0" w:hanging="840"/>
      <w:outlineLvl w:val="4"/>
    </w:pPr>
  </w:style>
  <w:style w:type="paragraph" w:customStyle="1" w:styleId="246">
    <w:name w:val="五级条标题"/>
    <w:basedOn w:val="245"/>
    <w:next w:val="1"/>
    <w:qFormat/>
    <w:uiPriority w:val="99"/>
    <w:pPr>
      <w:numPr>
        <w:ilvl w:val="5"/>
      </w:numPr>
      <w:ind w:left="0" w:hanging="840"/>
      <w:outlineLvl w:val="5"/>
    </w:pPr>
  </w:style>
  <w:style w:type="paragraph" w:customStyle="1" w:styleId="247">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0"/>
      <w:szCs w:val="20"/>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81</Pages>
  <Words>7218</Words>
  <Characters>41146</Characters>
  <Lines>342</Lines>
  <Paragraphs>96</Paragraphs>
  <TotalTime>269</TotalTime>
  <ScaleCrop>false</ScaleCrop>
  <LinksUpToDate>false</LinksUpToDate>
  <CharactersWithSpaces>48268</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2023-11-22T02:49:00Z</dcterms:created>
  <dc:creator>Niexinpei</dc:creator>
  <cp:lastModifiedBy>北冥渔人</cp:lastModifiedBy>
  <dcterms:modified xsi:type="dcterms:W3CDTF">2023-12-26T02:54:37Z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33853B25A19E4DB6BB58D325E6E5ED5D_12</vt:lpwstr>
  </property>
</Properties>
</file>