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316589">
      <w:pPr>
        <w:jc w:val="center"/>
        <w:rPr>
          <w:rFonts w:hint="eastAsia" w:ascii="宋体" w:hAnsi="宋体"/>
          <w:b/>
          <w:bCs/>
          <w:color w:val="auto"/>
          <w:sz w:val="60"/>
          <w:szCs w:val="60"/>
          <w:highlight w:val="none"/>
        </w:rPr>
      </w:pPr>
    </w:p>
    <w:p w14:paraId="17D8C623">
      <w:pPr>
        <w:jc w:val="center"/>
        <w:rPr>
          <w:rFonts w:hint="eastAsia" w:ascii="宋体" w:hAnsi="宋体"/>
          <w:b/>
          <w:bCs/>
          <w:color w:val="auto"/>
          <w:sz w:val="60"/>
          <w:szCs w:val="60"/>
          <w:highlight w:val="none"/>
        </w:rPr>
      </w:pPr>
    </w:p>
    <w:p w14:paraId="5868958C">
      <w:pPr>
        <w:jc w:val="center"/>
        <w:rPr>
          <w:rFonts w:hint="eastAsia" w:ascii="宋体" w:hAnsi="宋体"/>
          <w:b/>
          <w:bCs/>
          <w:color w:val="auto"/>
          <w:sz w:val="60"/>
          <w:szCs w:val="60"/>
          <w:highlight w:val="none"/>
        </w:rPr>
      </w:pPr>
      <w:r>
        <w:rPr>
          <w:rFonts w:hint="eastAsia" w:ascii="宋体" w:hAnsi="宋体"/>
          <w:b/>
          <w:bCs/>
          <w:color w:val="auto"/>
          <w:sz w:val="60"/>
          <w:szCs w:val="60"/>
          <w:highlight w:val="none"/>
        </w:rPr>
        <w:t>水利工程日常维修养护经费（中央）-2024年度水工建筑物</w:t>
      </w:r>
    </w:p>
    <w:p w14:paraId="73123AD5">
      <w:pPr>
        <w:jc w:val="center"/>
        <w:rPr>
          <w:rFonts w:hint="eastAsia" w:ascii="宋体" w:hAnsi="宋体"/>
          <w:b/>
          <w:bCs/>
          <w:color w:val="auto"/>
          <w:sz w:val="60"/>
          <w:szCs w:val="60"/>
          <w:highlight w:val="none"/>
        </w:rPr>
      </w:pPr>
      <w:r>
        <w:rPr>
          <w:rFonts w:hint="eastAsia" w:ascii="宋体" w:hAnsi="宋体"/>
          <w:b/>
          <w:bCs/>
          <w:color w:val="auto"/>
          <w:sz w:val="60"/>
          <w:szCs w:val="60"/>
          <w:highlight w:val="none"/>
        </w:rPr>
        <w:t>维修养护工程</w:t>
      </w:r>
    </w:p>
    <w:p w14:paraId="0C9BAC53">
      <w:pPr>
        <w:jc w:val="center"/>
        <w:rPr>
          <w:rFonts w:hint="eastAsia" w:ascii="宋体" w:hAnsi="宋体"/>
          <w:b/>
          <w:bCs/>
          <w:color w:val="auto"/>
          <w:sz w:val="60"/>
          <w:szCs w:val="60"/>
          <w:highlight w:val="none"/>
        </w:rPr>
      </w:pPr>
    </w:p>
    <w:p w14:paraId="62E20E77">
      <w:pPr>
        <w:jc w:val="center"/>
        <w:rPr>
          <w:rFonts w:hint="eastAsia" w:ascii="宋体" w:hAnsi="宋体"/>
          <w:b/>
          <w:bCs/>
          <w:color w:val="auto"/>
          <w:sz w:val="60"/>
          <w:szCs w:val="60"/>
          <w:highlight w:val="none"/>
        </w:rPr>
      </w:pPr>
    </w:p>
    <w:p w14:paraId="190F0EBC">
      <w:pPr>
        <w:jc w:val="center"/>
        <w:rPr>
          <w:rFonts w:hint="eastAsia" w:ascii="宋体" w:hAnsi="宋体"/>
          <w:b/>
          <w:bCs/>
          <w:color w:val="auto"/>
          <w:sz w:val="60"/>
          <w:szCs w:val="60"/>
          <w:highlight w:val="none"/>
        </w:rPr>
      </w:pPr>
      <w:r>
        <w:rPr>
          <w:rFonts w:ascii="宋体" w:hAnsi="宋体"/>
          <w:b/>
          <w:bCs/>
          <w:color w:val="auto"/>
          <w:sz w:val="60"/>
          <w:szCs w:val="60"/>
          <w:highlight w:val="none"/>
        </w:rPr>
        <w:t>竞争性磋商文件</w:t>
      </w:r>
    </w:p>
    <w:p w14:paraId="020F9EA2">
      <w:pPr>
        <w:spacing w:line="360" w:lineRule="auto"/>
        <w:jc w:val="center"/>
        <w:rPr>
          <w:rFonts w:hint="eastAsia" w:ascii="宋体" w:hAnsi="宋体"/>
          <w:b/>
          <w:bCs/>
          <w:color w:val="auto"/>
          <w:sz w:val="60"/>
          <w:szCs w:val="60"/>
          <w:highlight w:val="none"/>
        </w:rPr>
      </w:pPr>
    </w:p>
    <w:p w14:paraId="24881538">
      <w:pPr>
        <w:spacing w:line="360" w:lineRule="auto"/>
        <w:jc w:val="center"/>
        <w:rPr>
          <w:rFonts w:hint="eastAsia" w:ascii="宋体" w:hAnsi="宋体"/>
          <w:b/>
          <w:bCs/>
          <w:color w:val="auto"/>
          <w:sz w:val="60"/>
          <w:szCs w:val="60"/>
          <w:highlight w:val="none"/>
        </w:rPr>
      </w:pPr>
    </w:p>
    <w:p w14:paraId="4C842539">
      <w:pPr>
        <w:spacing w:line="360" w:lineRule="auto"/>
        <w:jc w:val="center"/>
        <w:rPr>
          <w:rFonts w:hint="eastAsia" w:ascii="宋体" w:hAnsi="宋体"/>
          <w:b/>
          <w:bCs/>
          <w:color w:val="auto"/>
          <w:sz w:val="60"/>
          <w:szCs w:val="60"/>
          <w:highlight w:val="none"/>
        </w:rPr>
      </w:pPr>
    </w:p>
    <w:p w14:paraId="00960FFE">
      <w:pPr>
        <w:tabs>
          <w:tab w:val="left" w:pos="5609"/>
        </w:tabs>
        <w:spacing w:line="360" w:lineRule="auto"/>
        <w:ind w:left="2621" w:leftChars="444" w:hanging="1689" w:hangingChars="528"/>
        <w:jc w:val="left"/>
        <w:rPr>
          <w:rFonts w:hint="eastAsia" w:ascii="宋体" w:hAnsi="宋体"/>
          <w:bCs/>
          <w:color w:val="auto"/>
          <w:sz w:val="32"/>
          <w:szCs w:val="32"/>
          <w:highlight w:val="none"/>
        </w:rPr>
      </w:pPr>
      <w:r>
        <w:rPr>
          <w:rFonts w:ascii="宋体" w:hAnsi="宋体"/>
          <w:bCs/>
          <w:color w:val="auto"/>
          <w:sz w:val="32"/>
          <w:szCs w:val="32"/>
          <w:highlight w:val="none"/>
        </w:rPr>
        <w:t>项目名称</w:t>
      </w:r>
      <w:r>
        <w:rPr>
          <w:rFonts w:hint="eastAsia" w:ascii="宋体" w:hAnsi="宋体"/>
          <w:bCs/>
          <w:color w:val="auto"/>
          <w:sz w:val="32"/>
          <w:szCs w:val="32"/>
          <w:highlight w:val="none"/>
        </w:rPr>
        <w:t>：水利工程日常维修养护经费（中央）-2024年度水工建筑物维修养护工程</w:t>
      </w:r>
    </w:p>
    <w:p w14:paraId="13FD672B">
      <w:pPr>
        <w:tabs>
          <w:tab w:val="left" w:pos="3240"/>
          <w:tab w:val="left" w:pos="3420"/>
        </w:tabs>
        <w:spacing w:line="360" w:lineRule="auto"/>
        <w:ind w:left="2621" w:leftChars="444" w:hanging="1689" w:hangingChars="528"/>
        <w:jc w:val="left"/>
        <w:rPr>
          <w:rFonts w:hint="eastAsia" w:ascii="宋体" w:hAnsi="宋体"/>
          <w:bCs/>
          <w:color w:val="auto"/>
          <w:sz w:val="32"/>
          <w:szCs w:val="32"/>
          <w:highlight w:val="none"/>
        </w:rPr>
      </w:pPr>
      <w:r>
        <w:rPr>
          <w:rFonts w:ascii="宋体" w:hAnsi="宋体"/>
          <w:bCs/>
          <w:color w:val="auto"/>
          <w:sz w:val="32"/>
          <w:szCs w:val="32"/>
          <w:highlight w:val="none"/>
        </w:rPr>
        <w:t>项目编号</w:t>
      </w:r>
      <w:r>
        <w:rPr>
          <w:rFonts w:hint="eastAsia" w:ascii="宋体" w:hAnsi="宋体"/>
          <w:bCs/>
          <w:color w:val="auto"/>
          <w:sz w:val="32"/>
          <w:szCs w:val="32"/>
          <w:highlight w:val="none"/>
        </w:rPr>
        <w:t>：</w:t>
      </w:r>
      <w:r>
        <w:rPr>
          <w:rFonts w:ascii="宋体" w:hAnsi="宋体"/>
          <w:bCs/>
          <w:color w:val="auto"/>
          <w:sz w:val="32"/>
          <w:szCs w:val="32"/>
          <w:highlight w:val="none"/>
        </w:rPr>
        <w:t>ZYZX-GC-2488</w:t>
      </w:r>
    </w:p>
    <w:p w14:paraId="57D866EE">
      <w:pPr>
        <w:tabs>
          <w:tab w:val="left" w:pos="3240"/>
          <w:tab w:val="left" w:pos="3420"/>
        </w:tabs>
        <w:spacing w:line="360" w:lineRule="auto"/>
        <w:ind w:left="2621" w:leftChars="444" w:hanging="1689" w:hangingChars="528"/>
        <w:jc w:val="left"/>
        <w:rPr>
          <w:rFonts w:hint="eastAsia" w:ascii="宋体" w:hAnsi="宋体"/>
          <w:bCs/>
          <w:color w:val="auto"/>
          <w:sz w:val="32"/>
          <w:szCs w:val="32"/>
          <w:highlight w:val="none"/>
        </w:rPr>
      </w:pPr>
      <w:r>
        <w:rPr>
          <w:rFonts w:ascii="宋体" w:hAnsi="宋体"/>
          <w:bCs/>
          <w:color w:val="auto"/>
          <w:sz w:val="32"/>
          <w:szCs w:val="32"/>
          <w:highlight w:val="none"/>
        </w:rPr>
        <w:t>采 购 人：</w:t>
      </w:r>
      <w:r>
        <w:rPr>
          <w:rFonts w:hint="eastAsia" w:ascii="宋体" w:hAnsi="宋体"/>
          <w:bCs/>
          <w:color w:val="auto"/>
          <w:sz w:val="32"/>
          <w:szCs w:val="32"/>
          <w:highlight w:val="none"/>
        </w:rPr>
        <w:t>北京市水利工程管理中心</w:t>
      </w:r>
    </w:p>
    <w:p w14:paraId="5A6A407F">
      <w:pPr>
        <w:tabs>
          <w:tab w:val="left" w:pos="3240"/>
          <w:tab w:val="left" w:pos="3420"/>
        </w:tabs>
        <w:spacing w:line="360" w:lineRule="auto"/>
        <w:ind w:left="2621" w:leftChars="444" w:hanging="1689" w:hangingChars="528"/>
        <w:jc w:val="left"/>
        <w:rPr>
          <w:rFonts w:hint="eastAsia" w:ascii="宋体" w:hAnsi="宋体"/>
          <w:bCs/>
          <w:color w:val="auto"/>
          <w:sz w:val="32"/>
          <w:szCs w:val="32"/>
          <w:highlight w:val="none"/>
        </w:rPr>
      </w:pPr>
      <w:r>
        <w:rPr>
          <w:rFonts w:hint="eastAsia" w:ascii="宋体" w:hAnsi="宋体"/>
          <w:bCs/>
          <w:color w:val="auto"/>
          <w:sz w:val="32"/>
          <w:szCs w:val="32"/>
          <w:highlight w:val="none"/>
        </w:rPr>
        <w:t>采购</w:t>
      </w:r>
      <w:r>
        <w:rPr>
          <w:rFonts w:ascii="宋体" w:hAnsi="宋体"/>
          <w:bCs/>
          <w:color w:val="auto"/>
          <w:sz w:val="32"/>
          <w:szCs w:val="32"/>
          <w:highlight w:val="none"/>
        </w:rPr>
        <w:t>代理机构：</w:t>
      </w:r>
      <w:r>
        <w:rPr>
          <w:rFonts w:hint="eastAsia" w:ascii="宋体" w:hAnsi="宋体"/>
          <w:bCs/>
          <w:color w:val="auto"/>
          <w:sz w:val="32"/>
          <w:szCs w:val="32"/>
          <w:highlight w:val="none"/>
        </w:rPr>
        <w:t>北京中域正信工程咨询有限公司</w:t>
      </w:r>
    </w:p>
    <w:p w14:paraId="7B2F0B04">
      <w:pPr>
        <w:widowControl/>
        <w:jc w:val="left"/>
        <w:rPr>
          <w:rFonts w:hint="eastAsia" w:ascii="宋体" w:hAnsi="宋体"/>
          <w:bCs/>
          <w:color w:val="auto"/>
          <w:sz w:val="36"/>
          <w:szCs w:val="36"/>
          <w:highlight w:val="none"/>
        </w:rPr>
        <w:sectPr>
          <w:pgSz w:w="11906" w:h="16838"/>
          <w:pgMar w:top="1911" w:right="1474" w:bottom="1882" w:left="1587" w:header="851" w:footer="992" w:gutter="0"/>
          <w:cols w:space="720" w:num="1"/>
          <w:docGrid w:linePitch="312" w:charSpace="0"/>
        </w:sectPr>
      </w:pPr>
    </w:p>
    <w:p w14:paraId="433BCF49">
      <w:pPr>
        <w:pStyle w:val="12"/>
        <w:rPr>
          <w:rFonts w:hint="eastAsia"/>
          <w:color w:val="auto"/>
          <w:highlight w:val="none"/>
        </w:rPr>
      </w:pPr>
    </w:p>
    <w:p w14:paraId="7C013316">
      <w:pPr>
        <w:pStyle w:val="12"/>
        <w:rPr>
          <w:rFonts w:hint="eastAsia"/>
          <w:color w:val="auto"/>
          <w:highlight w:val="none"/>
        </w:rPr>
      </w:pPr>
      <w:r>
        <w:rPr>
          <w:rFonts w:hint="eastAsia"/>
          <w:color w:val="auto"/>
          <w:highlight w:val="none"/>
        </w:rPr>
        <w:t>目录</w:t>
      </w:r>
    </w:p>
    <w:p w14:paraId="75D8C1CF">
      <w:pPr>
        <w:pStyle w:val="12"/>
        <w:tabs>
          <w:tab w:val="right" w:leader="dot" w:pos="8845"/>
          <w:tab w:val="clear" w:pos="8835"/>
        </w:tabs>
        <w:rPr>
          <w:color w:val="auto"/>
        </w:rPr>
      </w:pPr>
      <w:r>
        <w:rPr>
          <w:b w:val="0"/>
          <w:bCs/>
          <w:color w:val="auto"/>
          <w:highlight w:val="none"/>
        </w:rPr>
        <w:fldChar w:fldCharType="begin"/>
      </w:r>
      <w:r>
        <w:rPr>
          <w:b w:val="0"/>
          <w:bCs/>
          <w:color w:val="auto"/>
          <w:highlight w:val="none"/>
        </w:rPr>
        <w:instrText xml:space="preserve"> TOC \o "1-1" \h \z \u </w:instrText>
      </w:r>
      <w:r>
        <w:rPr>
          <w:b w:val="0"/>
          <w:bCs/>
          <w:color w:val="auto"/>
          <w:highlight w:val="none"/>
        </w:rPr>
        <w:fldChar w:fldCharType="separate"/>
      </w:r>
      <w:r>
        <w:rPr>
          <w:bCs/>
          <w:color w:val="auto"/>
          <w:highlight w:val="none"/>
        </w:rPr>
        <w:fldChar w:fldCharType="begin"/>
      </w:r>
      <w:r>
        <w:rPr>
          <w:bCs/>
          <w:color w:val="auto"/>
          <w:highlight w:val="none"/>
        </w:rPr>
        <w:instrText xml:space="preserve"> HYPERLINK \l _Toc16421 </w:instrText>
      </w:r>
      <w:r>
        <w:rPr>
          <w:bCs/>
          <w:color w:val="auto"/>
          <w:highlight w:val="none"/>
        </w:rPr>
        <w:fldChar w:fldCharType="separate"/>
      </w:r>
      <w:r>
        <w:rPr>
          <w:rFonts w:ascii="宋体" w:hAnsi="宋体"/>
          <w:color w:val="auto"/>
          <w:szCs w:val="36"/>
          <w:highlight w:val="none"/>
        </w:rPr>
        <w:t>第一章   采购邀请</w:t>
      </w:r>
      <w:r>
        <w:rPr>
          <w:color w:val="auto"/>
        </w:rPr>
        <w:tab/>
      </w:r>
      <w:r>
        <w:rPr>
          <w:color w:val="auto"/>
        </w:rPr>
        <w:fldChar w:fldCharType="begin"/>
      </w:r>
      <w:r>
        <w:rPr>
          <w:color w:val="auto"/>
        </w:rPr>
        <w:instrText xml:space="preserve"> PAGEREF _Toc16421 \h </w:instrText>
      </w:r>
      <w:r>
        <w:rPr>
          <w:color w:val="auto"/>
        </w:rPr>
        <w:fldChar w:fldCharType="separate"/>
      </w:r>
      <w:r>
        <w:rPr>
          <w:color w:val="auto"/>
        </w:rPr>
        <w:t>1</w:t>
      </w:r>
      <w:r>
        <w:rPr>
          <w:color w:val="auto"/>
        </w:rPr>
        <w:fldChar w:fldCharType="end"/>
      </w:r>
      <w:r>
        <w:rPr>
          <w:bCs/>
          <w:color w:val="auto"/>
          <w:highlight w:val="none"/>
        </w:rPr>
        <w:fldChar w:fldCharType="end"/>
      </w:r>
    </w:p>
    <w:p w14:paraId="741904A0">
      <w:pPr>
        <w:pStyle w:val="12"/>
        <w:tabs>
          <w:tab w:val="right" w:leader="dot" w:pos="8845"/>
          <w:tab w:val="clear" w:pos="8835"/>
        </w:tabs>
        <w:rPr>
          <w:color w:val="auto"/>
        </w:rPr>
      </w:pPr>
      <w:r>
        <w:rPr>
          <w:rFonts w:ascii="宋体" w:hAnsi="宋体"/>
          <w:bCs/>
          <w:color w:val="auto"/>
          <w:szCs w:val="28"/>
          <w:highlight w:val="none"/>
        </w:rPr>
        <w:fldChar w:fldCharType="begin"/>
      </w:r>
      <w:r>
        <w:rPr>
          <w:rFonts w:ascii="宋体" w:hAnsi="宋体"/>
          <w:bCs/>
          <w:color w:val="auto"/>
          <w:szCs w:val="28"/>
          <w:highlight w:val="none"/>
        </w:rPr>
        <w:instrText xml:space="preserve"> HYPERLINK \l _Toc32191 </w:instrText>
      </w:r>
      <w:r>
        <w:rPr>
          <w:rFonts w:ascii="宋体" w:hAnsi="宋体"/>
          <w:bCs/>
          <w:color w:val="auto"/>
          <w:szCs w:val="28"/>
          <w:highlight w:val="none"/>
        </w:rPr>
        <w:fldChar w:fldCharType="separate"/>
      </w:r>
      <w:r>
        <w:rPr>
          <w:rFonts w:ascii="宋体" w:hAnsi="宋体"/>
          <w:color w:val="auto"/>
          <w:szCs w:val="36"/>
          <w:highlight w:val="none"/>
        </w:rPr>
        <w:t>第二章   供应商须知</w:t>
      </w:r>
      <w:r>
        <w:rPr>
          <w:color w:val="auto"/>
        </w:rPr>
        <w:tab/>
      </w:r>
      <w:r>
        <w:rPr>
          <w:color w:val="auto"/>
        </w:rPr>
        <w:fldChar w:fldCharType="begin"/>
      </w:r>
      <w:r>
        <w:rPr>
          <w:color w:val="auto"/>
        </w:rPr>
        <w:instrText xml:space="preserve"> PAGEREF _Toc32191 \h </w:instrText>
      </w:r>
      <w:r>
        <w:rPr>
          <w:color w:val="auto"/>
        </w:rPr>
        <w:fldChar w:fldCharType="separate"/>
      </w:r>
      <w:r>
        <w:rPr>
          <w:color w:val="auto"/>
        </w:rPr>
        <w:t>5</w:t>
      </w:r>
      <w:r>
        <w:rPr>
          <w:color w:val="auto"/>
        </w:rPr>
        <w:fldChar w:fldCharType="end"/>
      </w:r>
      <w:r>
        <w:rPr>
          <w:rFonts w:ascii="宋体" w:hAnsi="宋体"/>
          <w:bCs/>
          <w:color w:val="auto"/>
          <w:szCs w:val="28"/>
          <w:highlight w:val="none"/>
        </w:rPr>
        <w:fldChar w:fldCharType="end"/>
      </w:r>
    </w:p>
    <w:p w14:paraId="08B1E841">
      <w:pPr>
        <w:pStyle w:val="12"/>
        <w:tabs>
          <w:tab w:val="right" w:leader="dot" w:pos="8845"/>
          <w:tab w:val="clear" w:pos="8835"/>
        </w:tabs>
        <w:rPr>
          <w:color w:val="auto"/>
        </w:rPr>
      </w:pPr>
      <w:r>
        <w:rPr>
          <w:rFonts w:ascii="宋体" w:hAnsi="宋体"/>
          <w:bCs/>
          <w:color w:val="auto"/>
          <w:szCs w:val="28"/>
          <w:highlight w:val="none"/>
        </w:rPr>
        <w:fldChar w:fldCharType="begin"/>
      </w:r>
      <w:r>
        <w:rPr>
          <w:rFonts w:ascii="宋体" w:hAnsi="宋体"/>
          <w:bCs/>
          <w:color w:val="auto"/>
          <w:szCs w:val="28"/>
          <w:highlight w:val="none"/>
        </w:rPr>
        <w:instrText xml:space="preserve"> HYPERLINK \l _Toc14971 </w:instrText>
      </w:r>
      <w:r>
        <w:rPr>
          <w:rFonts w:ascii="宋体" w:hAnsi="宋体"/>
          <w:bCs/>
          <w:color w:val="auto"/>
          <w:szCs w:val="28"/>
          <w:highlight w:val="none"/>
        </w:rPr>
        <w:fldChar w:fldCharType="separate"/>
      </w:r>
      <w:r>
        <w:rPr>
          <w:rFonts w:ascii="宋体" w:hAnsi="宋体"/>
          <w:color w:val="auto"/>
          <w:szCs w:val="36"/>
          <w:highlight w:val="none"/>
        </w:rPr>
        <w:t>第</w:t>
      </w:r>
      <w:r>
        <w:rPr>
          <w:rFonts w:hint="eastAsia" w:ascii="宋体" w:hAnsi="宋体"/>
          <w:color w:val="auto"/>
          <w:szCs w:val="36"/>
          <w:highlight w:val="none"/>
        </w:rPr>
        <w:t>三</w:t>
      </w:r>
      <w:r>
        <w:rPr>
          <w:rFonts w:ascii="宋体" w:hAnsi="宋体"/>
          <w:color w:val="auto"/>
          <w:szCs w:val="36"/>
          <w:highlight w:val="none"/>
        </w:rPr>
        <w:t>章   评审方法和评审标准</w:t>
      </w:r>
      <w:r>
        <w:rPr>
          <w:color w:val="auto"/>
        </w:rPr>
        <w:tab/>
      </w:r>
      <w:r>
        <w:rPr>
          <w:color w:val="auto"/>
        </w:rPr>
        <w:fldChar w:fldCharType="begin"/>
      </w:r>
      <w:r>
        <w:rPr>
          <w:color w:val="auto"/>
        </w:rPr>
        <w:instrText xml:space="preserve"> PAGEREF _Toc14971 \h </w:instrText>
      </w:r>
      <w:r>
        <w:rPr>
          <w:color w:val="auto"/>
        </w:rPr>
        <w:fldChar w:fldCharType="separate"/>
      </w:r>
      <w:r>
        <w:rPr>
          <w:color w:val="auto"/>
        </w:rPr>
        <w:t>21</w:t>
      </w:r>
      <w:r>
        <w:rPr>
          <w:color w:val="auto"/>
        </w:rPr>
        <w:fldChar w:fldCharType="end"/>
      </w:r>
      <w:r>
        <w:rPr>
          <w:rFonts w:ascii="宋体" w:hAnsi="宋体"/>
          <w:bCs/>
          <w:color w:val="auto"/>
          <w:szCs w:val="28"/>
          <w:highlight w:val="none"/>
        </w:rPr>
        <w:fldChar w:fldCharType="end"/>
      </w:r>
    </w:p>
    <w:p w14:paraId="2C3A0EBC">
      <w:pPr>
        <w:pStyle w:val="12"/>
        <w:tabs>
          <w:tab w:val="right" w:leader="dot" w:pos="8845"/>
          <w:tab w:val="clear" w:pos="8835"/>
        </w:tabs>
        <w:rPr>
          <w:color w:val="auto"/>
        </w:rPr>
      </w:pPr>
      <w:r>
        <w:rPr>
          <w:rFonts w:ascii="宋体" w:hAnsi="宋体"/>
          <w:bCs/>
          <w:color w:val="auto"/>
          <w:szCs w:val="28"/>
          <w:highlight w:val="none"/>
        </w:rPr>
        <w:fldChar w:fldCharType="begin"/>
      </w:r>
      <w:r>
        <w:rPr>
          <w:rFonts w:ascii="宋体" w:hAnsi="宋体"/>
          <w:bCs/>
          <w:color w:val="auto"/>
          <w:szCs w:val="28"/>
          <w:highlight w:val="none"/>
        </w:rPr>
        <w:instrText xml:space="preserve"> HYPERLINK \l _Toc20699 </w:instrText>
      </w:r>
      <w:r>
        <w:rPr>
          <w:rFonts w:ascii="宋体" w:hAnsi="宋体"/>
          <w:bCs/>
          <w:color w:val="auto"/>
          <w:szCs w:val="28"/>
          <w:highlight w:val="none"/>
        </w:rPr>
        <w:fldChar w:fldCharType="separate"/>
      </w:r>
      <w:r>
        <w:rPr>
          <w:rFonts w:ascii="宋体" w:hAnsi="宋体"/>
          <w:color w:val="auto"/>
          <w:szCs w:val="36"/>
          <w:highlight w:val="none"/>
        </w:rPr>
        <w:t>第</w:t>
      </w:r>
      <w:r>
        <w:rPr>
          <w:rFonts w:hint="eastAsia" w:ascii="宋体" w:hAnsi="宋体"/>
          <w:color w:val="auto"/>
          <w:szCs w:val="36"/>
          <w:highlight w:val="none"/>
        </w:rPr>
        <w:t>四</w:t>
      </w:r>
      <w:r>
        <w:rPr>
          <w:rFonts w:ascii="宋体" w:hAnsi="宋体"/>
          <w:color w:val="auto"/>
          <w:szCs w:val="36"/>
          <w:highlight w:val="none"/>
        </w:rPr>
        <w:t xml:space="preserve">章   </w:t>
      </w:r>
      <w:r>
        <w:rPr>
          <w:rFonts w:hint="eastAsia" w:ascii="宋体" w:hAnsi="宋体"/>
          <w:color w:val="auto"/>
          <w:szCs w:val="36"/>
          <w:highlight w:val="none"/>
        </w:rPr>
        <w:t>采购需求</w:t>
      </w:r>
      <w:r>
        <w:rPr>
          <w:color w:val="auto"/>
        </w:rPr>
        <w:tab/>
      </w:r>
      <w:r>
        <w:rPr>
          <w:color w:val="auto"/>
        </w:rPr>
        <w:fldChar w:fldCharType="begin"/>
      </w:r>
      <w:r>
        <w:rPr>
          <w:color w:val="auto"/>
        </w:rPr>
        <w:instrText xml:space="preserve"> PAGEREF _Toc20699 \h </w:instrText>
      </w:r>
      <w:r>
        <w:rPr>
          <w:color w:val="auto"/>
        </w:rPr>
        <w:fldChar w:fldCharType="separate"/>
      </w:r>
      <w:r>
        <w:rPr>
          <w:color w:val="auto"/>
        </w:rPr>
        <w:t>32</w:t>
      </w:r>
      <w:r>
        <w:rPr>
          <w:color w:val="auto"/>
        </w:rPr>
        <w:fldChar w:fldCharType="end"/>
      </w:r>
      <w:r>
        <w:rPr>
          <w:rFonts w:ascii="宋体" w:hAnsi="宋体"/>
          <w:bCs/>
          <w:color w:val="auto"/>
          <w:szCs w:val="28"/>
          <w:highlight w:val="none"/>
        </w:rPr>
        <w:fldChar w:fldCharType="end"/>
      </w:r>
    </w:p>
    <w:p w14:paraId="522438A1">
      <w:pPr>
        <w:pStyle w:val="12"/>
        <w:tabs>
          <w:tab w:val="right" w:leader="dot" w:pos="8845"/>
          <w:tab w:val="clear" w:pos="8835"/>
        </w:tabs>
        <w:rPr>
          <w:color w:val="auto"/>
        </w:rPr>
      </w:pPr>
      <w:r>
        <w:rPr>
          <w:rFonts w:ascii="宋体" w:hAnsi="宋体"/>
          <w:bCs/>
          <w:color w:val="auto"/>
          <w:szCs w:val="28"/>
          <w:highlight w:val="none"/>
        </w:rPr>
        <w:fldChar w:fldCharType="begin"/>
      </w:r>
      <w:r>
        <w:rPr>
          <w:rFonts w:ascii="宋体" w:hAnsi="宋体"/>
          <w:bCs/>
          <w:color w:val="auto"/>
          <w:szCs w:val="28"/>
          <w:highlight w:val="none"/>
        </w:rPr>
        <w:instrText xml:space="preserve"> HYPERLINK \l _Toc24690 </w:instrText>
      </w:r>
      <w:r>
        <w:rPr>
          <w:rFonts w:ascii="宋体" w:hAnsi="宋体"/>
          <w:bCs/>
          <w:color w:val="auto"/>
          <w:szCs w:val="28"/>
          <w:highlight w:val="none"/>
        </w:rPr>
        <w:fldChar w:fldCharType="separate"/>
      </w:r>
      <w:r>
        <w:rPr>
          <w:rFonts w:ascii="宋体" w:hAnsi="宋体"/>
          <w:color w:val="auto"/>
          <w:szCs w:val="36"/>
          <w:highlight w:val="none"/>
        </w:rPr>
        <w:t>第</w:t>
      </w:r>
      <w:r>
        <w:rPr>
          <w:rFonts w:hint="eastAsia" w:ascii="宋体" w:hAnsi="宋体"/>
          <w:color w:val="auto"/>
          <w:szCs w:val="36"/>
          <w:highlight w:val="none"/>
        </w:rPr>
        <w:t>五</w:t>
      </w:r>
      <w:r>
        <w:rPr>
          <w:rFonts w:ascii="宋体" w:hAnsi="宋体"/>
          <w:color w:val="auto"/>
          <w:szCs w:val="36"/>
          <w:highlight w:val="none"/>
        </w:rPr>
        <w:t>章   合同草案条款</w:t>
      </w:r>
      <w:r>
        <w:rPr>
          <w:color w:val="auto"/>
        </w:rPr>
        <w:tab/>
      </w:r>
      <w:r>
        <w:rPr>
          <w:color w:val="auto"/>
        </w:rPr>
        <w:fldChar w:fldCharType="begin"/>
      </w:r>
      <w:r>
        <w:rPr>
          <w:color w:val="auto"/>
        </w:rPr>
        <w:instrText xml:space="preserve"> PAGEREF _Toc24690 \h </w:instrText>
      </w:r>
      <w:r>
        <w:rPr>
          <w:color w:val="auto"/>
        </w:rPr>
        <w:fldChar w:fldCharType="separate"/>
      </w:r>
      <w:r>
        <w:rPr>
          <w:color w:val="auto"/>
        </w:rPr>
        <w:t>38</w:t>
      </w:r>
      <w:r>
        <w:rPr>
          <w:color w:val="auto"/>
        </w:rPr>
        <w:fldChar w:fldCharType="end"/>
      </w:r>
      <w:r>
        <w:rPr>
          <w:rFonts w:ascii="宋体" w:hAnsi="宋体"/>
          <w:bCs/>
          <w:color w:val="auto"/>
          <w:szCs w:val="28"/>
          <w:highlight w:val="none"/>
        </w:rPr>
        <w:fldChar w:fldCharType="end"/>
      </w:r>
    </w:p>
    <w:p w14:paraId="12034615">
      <w:pPr>
        <w:pStyle w:val="12"/>
        <w:tabs>
          <w:tab w:val="right" w:leader="dot" w:pos="8845"/>
          <w:tab w:val="clear" w:pos="8835"/>
        </w:tabs>
        <w:rPr>
          <w:color w:val="auto"/>
        </w:rPr>
      </w:pPr>
      <w:r>
        <w:rPr>
          <w:rFonts w:ascii="宋体" w:hAnsi="宋体"/>
          <w:bCs/>
          <w:color w:val="auto"/>
          <w:szCs w:val="28"/>
          <w:highlight w:val="none"/>
        </w:rPr>
        <w:fldChar w:fldCharType="begin"/>
      </w:r>
      <w:r>
        <w:rPr>
          <w:rFonts w:ascii="宋体" w:hAnsi="宋体"/>
          <w:bCs/>
          <w:color w:val="auto"/>
          <w:szCs w:val="28"/>
          <w:highlight w:val="none"/>
        </w:rPr>
        <w:instrText xml:space="preserve"> HYPERLINK \l _Toc20538 </w:instrText>
      </w:r>
      <w:r>
        <w:rPr>
          <w:rFonts w:ascii="宋体" w:hAnsi="宋体"/>
          <w:bCs/>
          <w:color w:val="auto"/>
          <w:szCs w:val="28"/>
          <w:highlight w:val="none"/>
        </w:rPr>
        <w:fldChar w:fldCharType="separate"/>
      </w:r>
      <w:r>
        <w:rPr>
          <w:rFonts w:ascii="宋体" w:hAnsi="宋体"/>
          <w:color w:val="auto"/>
          <w:szCs w:val="36"/>
          <w:highlight w:val="none"/>
        </w:rPr>
        <w:t>第</w:t>
      </w:r>
      <w:r>
        <w:rPr>
          <w:rFonts w:hint="eastAsia" w:ascii="宋体" w:hAnsi="宋体"/>
          <w:color w:val="auto"/>
          <w:szCs w:val="36"/>
          <w:highlight w:val="none"/>
        </w:rPr>
        <w:t>六</w:t>
      </w:r>
      <w:r>
        <w:rPr>
          <w:rFonts w:ascii="宋体" w:hAnsi="宋体"/>
          <w:color w:val="auto"/>
          <w:szCs w:val="36"/>
          <w:highlight w:val="none"/>
        </w:rPr>
        <w:t>章   响应文件格式</w:t>
      </w:r>
      <w:r>
        <w:rPr>
          <w:color w:val="auto"/>
        </w:rPr>
        <w:tab/>
      </w:r>
      <w:r>
        <w:rPr>
          <w:color w:val="auto"/>
        </w:rPr>
        <w:fldChar w:fldCharType="begin"/>
      </w:r>
      <w:r>
        <w:rPr>
          <w:color w:val="auto"/>
        </w:rPr>
        <w:instrText xml:space="preserve"> PAGEREF _Toc20538 \h </w:instrText>
      </w:r>
      <w:r>
        <w:rPr>
          <w:color w:val="auto"/>
        </w:rPr>
        <w:fldChar w:fldCharType="separate"/>
      </w:r>
      <w:r>
        <w:rPr>
          <w:color w:val="auto"/>
        </w:rPr>
        <w:t>122</w:t>
      </w:r>
      <w:r>
        <w:rPr>
          <w:color w:val="auto"/>
        </w:rPr>
        <w:fldChar w:fldCharType="end"/>
      </w:r>
      <w:r>
        <w:rPr>
          <w:rFonts w:ascii="宋体" w:hAnsi="宋体"/>
          <w:bCs/>
          <w:color w:val="auto"/>
          <w:szCs w:val="28"/>
          <w:highlight w:val="none"/>
        </w:rPr>
        <w:fldChar w:fldCharType="end"/>
      </w:r>
    </w:p>
    <w:p w14:paraId="017553F5">
      <w:pPr>
        <w:pStyle w:val="12"/>
        <w:tabs>
          <w:tab w:val="right" w:leader="dot" w:pos="8845"/>
          <w:tab w:val="clear" w:pos="8835"/>
        </w:tabs>
        <w:rPr>
          <w:color w:val="auto"/>
        </w:rPr>
      </w:pPr>
      <w:r>
        <w:rPr>
          <w:rFonts w:ascii="宋体" w:hAnsi="宋体"/>
          <w:bCs/>
          <w:color w:val="auto"/>
          <w:szCs w:val="28"/>
          <w:highlight w:val="none"/>
        </w:rPr>
        <w:fldChar w:fldCharType="begin"/>
      </w:r>
      <w:r>
        <w:rPr>
          <w:rFonts w:ascii="宋体" w:hAnsi="宋体"/>
          <w:bCs/>
          <w:color w:val="auto"/>
          <w:szCs w:val="28"/>
          <w:highlight w:val="none"/>
        </w:rPr>
        <w:instrText xml:space="preserve"> HYPERLINK \l _Toc8488 </w:instrText>
      </w:r>
      <w:r>
        <w:rPr>
          <w:rFonts w:ascii="宋体" w:hAnsi="宋体"/>
          <w:bCs/>
          <w:color w:val="auto"/>
          <w:szCs w:val="28"/>
          <w:highlight w:val="none"/>
        </w:rPr>
        <w:fldChar w:fldCharType="separate"/>
      </w:r>
      <w:r>
        <w:rPr>
          <w:rFonts w:hint="eastAsia"/>
          <w:color w:val="auto"/>
          <w:szCs w:val="32"/>
          <w:lang w:val="en-US" w:eastAsia="zh-CN"/>
        </w:rPr>
        <w:t>第七章   附件</w:t>
      </w:r>
      <w:r>
        <w:rPr>
          <w:color w:val="auto"/>
        </w:rPr>
        <w:tab/>
      </w:r>
      <w:r>
        <w:rPr>
          <w:color w:val="auto"/>
        </w:rPr>
        <w:fldChar w:fldCharType="begin"/>
      </w:r>
      <w:r>
        <w:rPr>
          <w:color w:val="auto"/>
        </w:rPr>
        <w:instrText xml:space="preserve"> PAGEREF _Toc8488 \h </w:instrText>
      </w:r>
      <w:r>
        <w:rPr>
          <w:color w:val="auto"/>
        </w:rPr>
        <w:fldChar w:fldCharType="separate"/>
      </w:r>
      <w:r>
        <w:rPr>
          <w:color w:val="auto"/>
        </w:rPr>
        <w:t>143</w:t>
      </w:r>
      <w:r>
        <w:rPr>
          <w:color w:val="auto"/>
        </w:rPr>
        <w:fldChar w:fldCharType="end"/>
      </w:r>
      <w:r>
        <w:rPr>
          <w:rFonts w:ascii="宋体" w:hAnsi="宋体"/>
          <w:bCs/>
          <w:color w:val="auto"/>
          <w:szCs w:val="28"/>
          <w:highlight w:val="none"/>
        </w:rPr>
        <w:fldChar w:fldCharType="end"/>
      </w:r>
    </w:p>
    <w:p w14:paraId="4D4A3581">
      <w:pPr>
        <w:tabs>
          <w:tab w:val="left" w:pos="3240"/>
          <w:tab w:val="left" w:pos="3420"/>
        </w:tabs>
        <w:spacing w:line="720" w:lineRule="auto"/>
        <w:ind w:left="2040" w:leftChars="444" w:hanging="1108" w:hangingChars="528"/>
        <w:jc w:val="left"/>
        <w:rPr>
          <w:rFonts w:hint="eastAsia" w:ascii="宋体" w:hAnsi="宋体"/>
          <w:bCs/>
          <w:color w:val="auto"/>
          <w:sz w:val="36"/>
          <w:szCs w:val="36"/>
          <w:highlight w:val="none"/>
        </w:rPr>
        <w:sectPr>
          <w:footerReference r:id="rId3" w:type="default"/>
          <w:pgSz w:w="11906" w:h="16838"/>
          <w:pgMar w:top="1911" w:right="1474" w:bottom="1882" w:left="1587" w:header="851" w:footer="992" w:gutter="0"/>
          <w:pgNumType w:start="1"/>
          <w:cols w:space="720" w:num="1"/>
          <w:docGrid w:linePitch="312" w:charSpace="0"/>
        </w:sectPr>
      </w:pPr>
      <w:r>
        <w:rPr>
          <w:rFonts w:ascii="宋体" w:hAnsi="宋体"/>
          <w:bCs/>
          <w:color w:val="auto"/>
          <w:szCs w:val="28"/>
          <w:highlight w:val="none"/>
        </w:rPr>
        <w:fldChar w:fldCharType="end"/>
      </w:r>
    </w:p>
    <w:p w14:paraId="1780CE72">
      <w:pPr>
        <w:spacing w:line="360" w:lineRule="auto"/>
        <w:jc w:val="center"/>
        <w:outlineLvl w:val="0"/>
        <w:rPr>
          <w:rFonts w:hint="eastAsia" w:ascii="宋体" w:hAnsi="宋体"/>
          <w:b/>
          <w:color w:val="auto"/>
          <w:sz w:val="36"/>
          <w:szCs w:val="36"/>
          <w:highlight w:val="none"/>
        </w:rPr>
      </w:pPr>
      <w:bookmarkStart w:id="0" w:name="_Toc103153301"/>
      <w:bookmarkStart w:id="1" w:name="_Toc16421"/>
      <w:r>
        <w:rPr>
          <w:rFonts w:ascii="宋体" w:hAnsi="宋体"/>
          <w:b/>
          <w:color w:val="auto"/>
          <w:sz w:val="36"/>
          <w:szCs w:val="36"/>
          <w:highlight w:val="none"/>
        </w:rPr>
        <w:t>第一章   采购邀请</w:t>
      </w:r>
      <w:bookmarkEnd w:id="0"/>
      <w:bookmarkEnd w:id="1"/>
      <w:bookmarkStart w:id="2" w:name="_Toc28359002"/>
      <w:bookmarkStart w:id="3" w:name="_Toc35393621"/>
      <w:bookmarkStart w:id="4" w:name="_Toc28359079"/>
      <w:bookmarkStart w:id="5" w:name="_Toc35393790"/>
      <w:bookmarkStart w:id="6" w:name="_Hlk24379207"/>
    </w:p>
    <w:p w14:paraId="380EA898">
      <w:pPr>
        <w:pStyle w:val="4"/>
        <w:spacing w:before="0" w:line="360" w:lineRule="auto"/>
        <w:jc w:val="left"/>
        <w:rPr>
          <w:rFonts w:hint="eastAsia" w:ascii="宋体" w:hAnsi="宋体" w:eastAsia="宋体"/>
          <w:color w:val="auto"/>
          <w:sz w:val="24"/>
          <w:szCs w:val="24"/>
          <w:highlight w:val="none"/>
        </w:rPr>
      </w:pPr>
      <w:r>
        <w:rPr>
          <w:rFonts w:ascii="宋体" w:hAnsi="宋体" w:eastAsia="宋体"/>
          <w:color w:val="auto"/>
          <w:sz w:val="24"/>
          <w:szCs w:val="24"/>
          <w:highlight w:val="none"/>
        </w:rPr>
        <w:t>一、项目基本情况</w:t>
      </w:r>
      <w:bookmarkEnd w:id="2"/>
      <w:bookmarkEnd w:id="3"/>
      <w:bookmarkEnd w:id="4"/>
      <w:bookmarkEnd w:id="5"/>
    </w:p>
    <w:p w14:paraId="455B4E3C">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1.项目编号：ZYZX-GC-2488</w:t>
      </w:r>
    </w:p>
    <w:p w14:paraId="49A1AC47">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2.项目名称：</w:t>
      </w:r>
      <w:r>
        <w:rPr>
          <w:rFonts w:hint="eastAsia" w:ascii="宋体" w:hAnsi="宋体"/>
          <w:color w:val="auto"/>
          <w:sz w:val="24"/>
          <w:highlight w:val="none"/>
        </w:rPr>
        <w:t>水利工程日常维修养护经费（中央）-2024年度水工建筑物维修养护工程</w:t>
      </w:r>
    </w:p>
    <w:p w14:paraId="482EDB88">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3.采购方式：竞争性磋商</w:t>
      </w:r>
    </w:p>
    <w:bookmarkEnd w:id="6"/>
    <w:p w14:paraId="74653574">
      <w:pPr>
        <w:spacing w:line="360" w:lineRule="auto"/>
        <w:ind w:firstLine="480" w:firstLineChars="200"/>
        <w:rPr>
          <w:rFonts w:hint="eastAsia" w:ascii="宋体" w:hAnsi="宋体" w:eastAsia="宋体"/>
          <w:color w:val="auto"/>
          <w:sz w:val="24"/>
          <w:highlight w:val="none"/>
          <w:lang w:val="en-US" w:eastAsia="zh-CN"/>
        </w:rPr>
      </w:pPr>
      <w:r>
        <w:rPr>
          <w:rFonts w:ascii="宋体" w:hAnsi="宋体"/>
          <w:color w:val="auto"/>
          <w:sz w:val="24"/>
          <w:highlight w:val="none"/>
        </w:rPr>
        <w:t>4.项目预算金额：</w:t>
      </w:r>
      <w:r>
        <w:rPr>
          <w:rFonts w:hint="eastAsia" w:ascii="宋体" w:hAnsi="宋体"/>
          <w:color w:val="auto"/>
          <w:sz w:val="24"/>
          <w:highlight w:val="none"/>
        </w:rPr>
        <w:t>319.670407万元</w:t>
      </w:r>
      <w:r>
        <w:rPr>
          <w:rFonts w:ascii="宋体" w:hAnsi="宋体"/>
          <w:color w:val="auto"/>
          <w:sz w:val="24"/>
          <w:highlight w:val="none"/>
        </w:rPr>
        <w:t>、项目最高限价（如有）：</w:t>
      </w:r>
      <w:r>
        <w:rPr>
          <w:rFonts w:hint="eastAsia" w:ascii="宋体" w:hAnsi="宋体"/>
          <w:color w:val="auto"/>
          <w:sz w:val="24"/>
          <w:highlight w:val="none"/>
        </w:rPr>
        <w:t>319.670407万元</w:t>
      </w:r>
      <w:r>
        <w:rPr>
          <w:rFonts w:hint="eastAsia" w:ascii="宋体" w:hAnsi="宋体"/>
          <w:color w:val="auto"/>
          <w:sz w:val="24"/>
          <w:highlight w:val="none"/>
          <w:lang w:val="en-US" w:eastAsia="zh-CN"/>
        </w:rPr>
        <w:t xml:space="preserve"> </w:t>
      </w:r>
    </w:p>
    <w:p w14:paraId="5BF75AF2">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5.采购需求：</w:t>
      </w:r>
    </w:p>
    <w:tbl>
      <w:tblPr>
        <w:tblStyle w:val="16"/>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984"/>
        <w:gridCol w:w="1418"/>
        <w:gridCol w:w="850"/>
        <w:gridCol w:w="4111"/>
      </w:tblGrid>
      <w:tr w14:paraId="26F32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846" w:type="dxa"/>
            <w:shd w:val="clear" w:color="auto" w:fill="auto"/>
            <w:vAlign w:val="center"/>
          </w:tcPr>
          <w:p w14:paraId="24862E67">
            <w:pPr>
              <w:spacing w:line="360" w:lineRule="auto"/>
              <w:jc w:val="center"/>
              <w:rPr>
                <w:rFonts w:hint="eastAsia" w:ascii="宋体" w:hAnsi="宋体"/>
                <w:color w:val="auto"/>
                <w:sz w:val="24"/>
                <w:highlight w:val="none"/>
              </w:rPr>
            </w:pPr>
            <w:r>
              <w:rPr>
                <w:rFonts w:hint="eastAsia" w:ascii="宋体" w:hAnsi="宋体" w:cs="宋体"/>
                <w:color w:val="auto"/>
                <w:spacing w:val="5"/>
                <w:sz w:val="24"/>
                <w:highlight w:val="none"/>
              </w:rPr>
              <w:t>序号</w:t>
            </w:r>
          </w:p>
        </w:tc>
        <w:tc>
          <w:tcPr>
            <w:tcW w:w="1984" w:type="dxa"/>
            <w:shd w:val="clear" w:color="auto" w:fill="auto"/>
            <w:vAlign w:val="center"/>
          </w:tcPr>
          <w:p w14:paraId="74D2A152">
            <w:pPr>
              <w:spacing w:line="360" w:lineRule="auto"/>
              <w:jc w:val="center"/>
              <w:rPr>
                <w:rFonts w:hint="eastAsia" w:ascii="宋体" w:hAnsi="宋体"/>
                <w:color w:val="auto"/>
                <w:sz w:val="24"/>
                <w:highlight w:val="none"/>
              </w:rPr>
            </w:pPr>
            <w:r>
              <w:rPr>
                <w:rFonts w:ascii="宋体" w:hAnsi="宋体" w:cs="宋体"/>
                <w:color w:val="auto"/>
                <w:spacing w:val="8"/>
                <w:sz w:val="24"/>
                <w:highlight w:val="none"/>
              </w:rPr>
              <w:t>标</w:t>
            </w:r>
            <w:r>
              <w:rPr>
                <w:rFonts w:ascii="宋体" w:hAnsi="宋体" w:cs="宋体"/>
                <w:color w:val="auto"/>
                <w:spacing w:val="7"/>
                <w:sz w:val="24"/>
                <w:highlight w:val="none"/>
              </w:rPr>
              <w:t>的名称</w:t>
            </w:r>
          </w:p>
        </w:tc>
        <w:tc>
          <w:tcPr>
            <w:tcW w:w="1418" w:type="dxa"/>
            <w:shd w:val="clear" w:color="auto" w:fill="auto"/>
            <w:vAlign w:val="center"/>
          </w:tcPr>
          <w:p w14:paraId="59563A1F">
            <w:pPr>
              <w:spacing w:before="36" w:line="228" w:lineRule="auto"/>
              <w:ind w:left="119"/>
              <w:jc w:val="center"/>
              <w:rPr>
                <w:rFonts w:hint="eastAsia" w:ascii="宋体" w:hAnsi="宋体" w:cs="宋体"/>
                <w:color w:val="auto"/>
                <w:sz w:val="24"/>
                <w:highlight w:val="none"/>
              </w:rPr>
            </w:pPr>
            <w:r>
              <w:rPr>
                <w:rFonts w:ascii="宋体" w:hAnsi="宋体" w:cs="宋体"/>
                <w:color w:val="auto"/>
                <w:spacing w:val="9"/>
                <w:sz w:val="24"/>
                <w:highlight w:val="none"/>
              </w:rPr>
              <w:t>预算金</w:t>
            </w:r>
            <w:r>
              <w:rPr>
                <w:rFonts w:ascii="宋体" w:hAnsi="宋体" w:cs="宋体"/>
                <w:color w:val="auto"/>
                <w:spacing w:val="8"/>
                <w:sz w:val="24"/>
                <w:highlight w:val="none"/>
              </w:rPr>
              <w:t>额</w:t>
            </w:r>
          </w:p>
          <w:p w14:paraId="701C4B61">
            <w:pPr>
              <w:spacing w:line="360" w:lineRule="auto"/>
              <w:jc w:val="center"/>
              <w:rPr>
                <w:rFonts w:hint="eastAsia" w:ascii="宋体" w:hAnsi="宋体"/>
                <w:color w:val="auto"/>
                <w:sz w:val="24"/>
                <w:highlight w:val="none"/>
              </w:rPr>
            </w:pPr>
            <w:r>
              <w:rPr>
                <w:rFonts w:ascii="宋体" w:hAnsi="宋体" w:cs="宋体"/>
                <w:color w:val="auto"/>
                <w:spacing w:val="26"/>
                <w:sz w:val="24"/>
                <w:highlight w:val="none"/>
              </w:rPr>
              <w:t>(</w:t>
            </w:r>
            <w:r>
              <w:rPr>
                <w:rFonts w:ascii="宋体" w:hAnsi="宋体" w:cs="宋体"/>
                <w:color w:val="auto"/>
                <w:spacing w:val="25"/>
                <w:sz w:val="24"/>
                <w:highlight w:val="none"/>
              </w:rPr>
              <w:t>万元)</w:t>
            </w:r>
          </w:p>
        </w:tc>
        <w:tc>
          <w:tcPr>
            <w:tcW w:w="850" w:type="dxa"/>
            <w:shd w:val="clear" w:color="auto" w:fill="auto"/>
            <w:vAlign w:val="center"/>
          </w:tcPr>
          <w:p w14:paraId="4906316F">
            <w:pPr>
              <w:spacing w:line="360" w:lineRule="auto"/>
              <w:jc w:val="center"/>
              <w:rPr>
                <w:rFonts w:hint="eastAsia" w:ascii="宋体" w:hAnsi="宋体"/>
                <w:color w:val="auto"/>
                <w:sz w:val="24"/>
                <w:highlight w:val="none"/>
              </w:rPr>
            </w:pPr>
            <w:r>
              <w:rPr>
                <w:rFonts w:ascii="宋体" w:hAnsi="宋体" w:cs="宋体"/>
                <w:color w:val="auto"/>
                <w:spacing w:val="4"/>
                <w:sz w:val="24"/>
                <w:highlight w:val="none"/>
              </w:rPr>
              <w:t>数量</w:t>
            </w:r>
          </w:p>
        </w:tc>
        <w:tc>
          <w:tcPr>
            <w:tcW w:w="4111" w:type="dxa"/>
            <w:shd w:val="clear" w:color="auto" w:fill="auto"/>
            <w:vAlign w:val="center"/>
          </w:tcPr>
          <w:p w14:paraId="18D942B0">
            <w:pPr>
              <w:spacing w:line="360" w:lineRule="auto"/>
              <w:jc w:val="center"/>
              <w:rPr>
                <w:rFonts w:hint="eastAsia" w:ascii="宋体" w:hAnsi="宋体"/>
                <w:color w:val="auto"/>
                <w:sz w:val="24"/>
                <w:highlight w:val="none"/>
              </w:rPr>
            </w:pPr>
            <w:r>
              <w:rPr>
                <w:rFonts w:ascii="宋体" w:hAnsi="宋体" w:cs="宋体"/>
                <w:color w:val="auto"/>
                <w:spacing w:val="9"/>
                <w:sz w:val="24"/>
                <w:highlight w:val="none"/>
              </w:rPr>
              <w:t>简要技术需求或服务要</w:t>
            </w:r>
            <w:r>
              <w:rPr>
                <w:rFonts w:ascii="宋体" w:hAnsi="宋体" w:cs="宋体"/>
                <w:color w:val="auto"/>
                <w:spacing w:val="8"/>
                <w:sz w:val="24"/>
                <w:highlight w:val="none"/>
              </w:rPr>
              <w:t>求</w:t>
            </w:r>
          </w:p>
        </w:tc>
      </w:tr>
      <w:tr w14:paraId="74BB7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trPr>
        <w:tc>
          <w:tcPr>
            <w:tcW w:w="846" w:type="dxa"/>
            <w:shd w:val="clear" w:color="auto" w:fill="auto"/>
            <w:vAlign w:val="center"/>
          </w:tcPr>
          <w:p w14:paraId="2C52682D">
            <w:pPr>
              <w:spacing w:line="360" w:lineRule="auto"/>
              <w:jc w:val="center"/>
              <w:rPr>
                <w:rFonts w:hint="eastAsia" w:ascii="宋体" w:hAnsi="宋体"/>
                <w:color w:val="auto"/>
                <w:sz w:val="24"/>
                <w:highlight w:val="none"/>
              </w:rPr>
            </w:pPr>
            <w:r>
              <w:rPr>
                <w:rFonts w:ascii="宋体" w:hAnsi="宋体" w:cs="Arial"/>
                <w:color w:val="auto"/>
                <w:spacing w:val="14"/>
                <w:sz w:val="24"/>
                <w:highlight w:val="none"/>
              </w:rPr>
              <w:t>1</w:t>
            </w:r>
          </w:p>
        </w:tc>
        <w:tc>
          <w:tcPr>
            <w:tcW w:w="1984" w:type="dxa"/>
            <w:shd w:val="clear" w:color="auto" w:fill="auto"/>
            <w:vAlign w:val="center"/>
          </w:tcPr>
          <w:p w14:paraId="755C43D7">
            <w:pPr>
              <w:spacing w:line="360" w:lineRule="auto"/>
              <w:jc w:val="center"/>
              <w:rPr>
                <w:rFonts w:hint="eastAsia" w:ascii="宋体" w:hAnsi="宋体"/>
                <w:color w:val="auto"/>
                <w:sz w:val="24"/>
                <w:highlight w:val="none"/>
              </w:rPr>
            </w:pPr>
            <w:r>
              <w:rPr>
                <w:rFonts w:hint="eastAsia" w:ascii="宋体" w:hAnsi="宋体"/>
                <w:color w:val="auto"/>
                <w:sz w:val="24"/>
                <w:highlight w:val="none"/>
              </w:rPr>
              <w:t>水利工程日常维修养护经费（中央）-2024年度水工建筑物维修养护工程</w:t>
            </w:r>
          </w:p>
        </w:tc>
        <w:tc>
          <w:tcPr>
            <w:tcW w:w="1418" w:type="dxa"/>
            <w:shd w:val="clear" w:color="auto" w:fill="auto"/>
            <w:vAlign w:val="center"/>
          </w:tcPr>
          <w:p w14:paraId="607C61D3">
            <w:pPr>
              <w:spacing w:line="360" w:lineRule="auto"/>
              <w:jc w:val="center"/>
              <w:rPr>
                <w:rFonts w:hint="eastAsia" w:ascii="宋体" w:hAnsi="宋体"/>
                <w:color w:val="auto"/>
                <w:sz w:val="24"/>
                <w:highlight w:val="none"/>
              </w:rPr>
            </w:pPr>
            <w:r>
              <w:rPr>
                <w:rFonts w:hint="eastAsia" w:ascii="宋体" w:hAnsi="宋体"/>
                <w:color w:val="auto"/>
                <w:sz w:val="24"/>
                <w:highlight w:val="none"/>
              </w:rPr>
              <w:t>319.670407</w:t>
            </w:r>
          </w:p>
        </w:tc>
        <w:tc>
          <w:tcPr>
            <w:tcW w:w="850" w:type="dxa"/>
            <w:shd w:val="clear" w:color="auto" w:fill="auto"/>
            <w:vAlign w:val="center"/>
          </w:tcPr>
          <w:p w14:paraId="5A276A68">
            <w:pPr>
              <w:spacing w:line="360" w:lineRule="auto"/>
              <w:jc w:val="center"/>
              <w:rPr>
                <w:rFonts w:hint="eastAsia" w:ascii="宋体" w:hAnsi="宋体"/>
                <w:color w:val="auto"/>
                <w:sz w:val="24"/>
                <w:highlight w:val="none"/>
              </w:rPr>
            </w:pPr>
            <w:r>
              <w:rPr>
                <w:rFonts w:hint="eastAsia" w:ascii="宋体" w:hAnsi="宋体"/>
                <w:color w:val="auto"/>
                <w:sz w:val="24"/>
                <w:highlight w:val="none"/>
              </w:rPr>
              <w:t>1</w:t>
            </w:r>
          </w:p>
        </w:tc>
        <w:tc>
          <w:tcPr>
            <w:tcW w:w="4111" w:type="dxa"/>
            <w:shd w:val="clear" w:color="auto" w:fill="auto"/>
            <w:vAlign w:val="center"/>
          </w:tcPr>
          <w:p w14:paraId="52A2D099">
            <w:pPr>
              <w:spacing w:line="360" w:lineRule="auto"/>
              <w:jc w:val="center"/>
              <w:rPr>
                <w:rFonts w:hint="eastAsia" w:ascii="宋体" w:hAnsi="宋体"/>
                <w:color w:val="auto"/>
                <w:sz w:val="24"/>
                <w:highlight w:val="none"/>
              </w:rPr>
            </w:pPr>
            <w:r>
              <w:rPr>
                <w:rFonts w:hint="eastAsia" w:ascii="宋体" w:hAnsi="宋体"/>
                <w:color w:val="auto"/>
                <w:sz w:val="24"/>
                <w:highlight w:val="none"/>
              </w:rPr>
              <w:t>对峰山口输水闸闸室边墙、下游护坡、底板等进行混凝土缺陷处理，对西台上节制闸闸墩、翼墙及启闭机平台等混凝土缺陷进行处理，对怀柔水库进水闸闸室等房屋进行修缮，确保水工建筑物及附属设施正常运行，具体详见采购需求。</w:t>
            </w:r>
          </w:p>
        </w:tc>
      </w:tr>
    </w:tbl>
    <w:p w14:paraId="40539A66">
      <w:pPr>
        <w:spacing w:line="360" w:lineRule="auto"/>
        <w:ind w:firstLine="480" w:firstLineChars="200"/>
        <w:rPr>
          <w:rFonts w:hint="eastAsia" w:ascii="宋体" w:hAnsi="宋体"/>
          <w:color w:val="auto"/>
          <w:sz w:val="24"/>
          <w:highlight w:val="none"/>
          <w:u w:val="single"/>
        </w:rPr>
      </w:pPr>
      <w:r>
        <w:rPr>
          <w:rFonts w:ascii="宋体" w:hAnsi="宋体"/>
          <w:color w:val="auto"/>
          <w:sz w:val="24"/>
          <w:highlight w:val="none"/>
        </w:rPr>
        <w:t>6.</w:t>
      </w:r>
      <w:r>
        <w:rPr>
          <w:rFonts w:hint="eastAsia" w:ascii="宋体" w:hAnsi="宋体"/>
          <w:color w:val="auto"/>
          <w:sz w:val="24"/>
          <w:highlight w:val="none"/>
        </w:rPr>
        <w:t>合同履行期限</w:t>
      </w:r>
      <w:r>
        <w:rPr>
          <w:rFonts w:ascii="宋体" w:hAnsi="宋体"/>
          <w:color w:val="auto"/>
          <w:sz w:val="24"/>
          <w:highlight w:val="none"/>
        </w:rPr>
        <w:t>：</w:t>
      </w:r>
      <w:r>
        <w:rPr>
          <w:rFonts w:hint="eastAsia" w:ascii="宋体" w:hAnsi="宋体"/>
          <w:color w:val="auto"/>
          <w:sz w:val="24"/>
          <w:highlight w:val="none"/>
          <w:u w:val="single"/>
        </w:rPr>
        <w:t>合同签订之日起至2025年12月底</w:t>
      </w:r>
      <w:r>
        <w:rPr>
          <w:rFonts w:hint="eastAsia" w:ascii="宋体" w:hAnsi="宋体"/>
          <w:color w:val="auto"/>
          <w:sz w:val="24"/>
          <w:highlight w:val="none"/>
        </w:rPr>
        <w:t>。</w:t>
      </w:r>
    </w:p>
    <w:p w14:paraId="662E1DC1">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7.本项目是否接受联合体：</w:t>
      </w:r>
      <w:r>
        <w:rPr>
          <w:rFonts w:ascii="宋体" w:hAnsi="宋体"/>
          <w:color w:val="auto"/>
          <w:highlight w:val="none"/>
        </w:rPr>
        <w:t>□</w:t>
      </w:r>
      <w:r>
        <w:rPr>
          <w:rFonts w:ascii="宋体" w:hAnsi="宋体"/>
          <w:color w:val="auto"/>
          <w:sz w:val="24"/>
          <w:highlight w:val="none"/>
        </w:rPr>
        <w:t xml:space="preserve">是  </w:t>
      </w:r>
      <w:r>
        <w:rPr>
          <w:rFonts w:ascii="宋体" w:hAnsi="宋体"/>
          <w:color w:val="auto"/>
          <w:sz w:val="32"/>
          <w:szCs w:val="32"/>
          <w:highlight w:val="none"/>
        </w:rPr>
        <w:t>■</w:t>
      </w:r>
      <w:r>
        <w:rPr>
          <w:rFonts w:ascii="宋体" w:hAnsi="宋体"/>
          <w:color w:val="auto"/>
          <w:sz w:val="24"/>
          <w:highlight w:val="none"/>
        </w:rPr>
        <w:t>否。</w:t>
      </w:r>
    </w:p>
    <w:p w14:paraId="1BD6E40C">
      <w:pPr>
        <w:pStyle w:val="4"/>
        <w:spacing w:before="0" w:line="360" w:lineRule="auto"/>
        <w:jc w:val="left"/>
        <w:rPr>
          <w:rFonts w:hint="eastAsia" w:ascii="宋体" w:hAnsi="宋体" w:eastAsia="宋体"/>
          <w:color w:val="auto"/>
          <w:sz w:val="24"/>
          <w:szCs w:val="24"/>
          <w:highlight w:val="none"/>
        </w:rPr>
      </w:pPr>
      <w:bookmarkStart w:id="7" w:name="_Toc35393622"/>
      <w:bookmarkStart w:id="8" w:name="_Toc28359080"/>
      <w:bookmarkStart w:id="9" w:name="_Toc28359003"/>
      <w:bookmarkStart w:id="10" w:name="_Toc35393791"/>
      <w:r>
        <w:rPr>
          <w:rFonts w:ascii="宋体" w:hAnsi="宋体" w:eastAsia="宋体"/>
          <w:color w:val="auto"/>
          <w:sz w:val="24"/>
          <w:szCs w:val="24"/>
          <w:highlight w:val="none"/>
        </w:rPr>
        <w:t>二、申请人的资格要求（须同时满足）</w:t>
      </w:r>
      <w:bookmarkEnd w:id="7"/>
      <w:bookmarkEnd w:id="8"/>
      <w:bookmarkEnd w:id="9"/>
      <w:bookmarkEnd w:id="10"/>
    </w:p>
    <w:p w14:paraId="02EF27C8">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1.满足《中华人民共和国政府采购法》第二十二条规定；</w:t>
      </w:r>
    </w:p>
    <w:p w14:paraId="54FAFFA4">
      <w:pPr>
        <w:spacing w:line="360" w:lineRule="auto"/>
        <w:ind w:firstLine="480" w:firstLineChars="200"/>
        <w:rPr>
          <w:rFonts w:hint="eastAsia" w:ascii="宋体" w:hAnsi="宋体"/>
          <w:color w:val="auto"/>
          <w:sz w:val="24"/>
          <w:highlight w:val="none"/>
        </w:rPr>
      </w:pPr>
      <w:bookmarkStart w:id="11" w:name="_Toc28359004"/>
      <w:bookmarkStart w:id="12" w:name="_Toc28359081"/>
      <w:r>
        <w:rPr>
          <w:rFonts w:ascii="宋体" w:hAnsi="宋体"/>
          <w:color w:val="auto"/>
          <w:sz w:val="24"/>
          <w:highlight w:val="none"/>
        </w:rPr>
        <w:t>2.落实政府采购政策需满足的资格要求：</w:t>
      </w:r>
    </w:p>
    <w:p w14:paraId="328421DE">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2.1 中小企业政策</w:t>
      </w:r>
    </w:p>
    <w:p w14:paraId="39DEA2A6">
      <w:pPr>
        <w:spacing w:line="360" w:lineRule="auto"/>
        <w:ind w:firstLine="420" w:firstLineChars="200"/>
        <w:rPr>
          <w:rFonts w:hint="eastAsia" w:ascii="宋体" w:hAnsi="宋体"/>
          <w:color w:val="auto"/>
          <w:sz w:val="24"/>
          <w:highlight w:val="none"/>
        </w:rPr>
      </w:pPr>
      <w:r>
        <w:rPr>
          <w:rFonts w:ascii="宋体" w:hAnsi="宋体"/>
          <w:color w:val="auto"/>
          <w:highlight w:val="none"/>
        </w:rPr>
        <w:t>□</w:t>
      </w:r>
      <w:r>
        <w:rPr>
          <w:rFonts w:ascii="宋体" w:hAnsi="宋体"/>
          <w:color w:val="auto"/>
          <w:sz w:val="24"/>
          <w:highlight w:val="none"/>
        </w:rPr>
        <w:t>本项目不专门面向中小企业预留采购份额。</w:t>
      </w:r>
    </w:p>
    <w:p w14:paraId="400EC8CB">
      <w:pPr>
        <w:spacing w:line="360" w:lineRule="auto"/>
        <w:ind w:firstLine="420" w:firstLineChars="200"/>
        <w:rPr>
          <w:rFonts w:hint="eastAsia" w:ascii="宋体" w:hAnsi="宋体"/>
          <w:color w:val="auto"/>
          <w:sz w:val="24"/>
          <w:highlight w:val="none"/>
        </w:rPr>
      </w:pPr>
      <w:r>
        <w:rPr>
          <w:rFonts w:hint="eastAsia" w:ascii="宋体" w:hAnsi="宋体"/>
          <w:color w:val="auto"/>
          <w:highlight w:val="none"/>
        </w:rPr>
        <w:t>■</w:t>
      </w:r>
      <w:r>
        <w:rPr>
          <w:rFonts w:ascii="宋体" w:hAnsi="宋体"/>
          <w:color w:val="auto"/>
          <w:sz w:val="24"/>
          <w:highlight w:val="none"/>
        </w:rPr>
        <w:t xml:space="preserve">本项目专门面向  </w:t>
      </w:r>
      <w:r>
        <w:rPr>
          <w:rFonts w:hint="eastAsia" w:ascii="宋体" w:hAnsi="宋体"/>
          <w:color w:val="auto"/>
          <w:highlight w:val="none"/>
        </w:rPr>
        <w:t>■</w:t>
      </w:r>
      <w:r>
        <w:rPr>
          <w:rFonts w:ascii="宋体" w:hAnsi="宋体"/>
          <w:color w:val="auto"/>
          <w:sz w:val="24"/>
          <w:highlight w:val="none"/>
        </w:rPr>
        <w:t>中小</w:t>
      </w:r>
      <w:r>
        <w:rPr>
          <w:rFonts w:hint="eastAsia" w:ascii="宋体" w:hAnsi="宋体"/>
          <w:color w:val="auto"/>
          <w:sz w:val="24"/>
          <w:highlight w:val="none"/>
          <w:lang w:val="en-US" w:eastAsia="zh-CN"/>
        </w:rPr>
        <w:t>企业</w:t>
      </w:r>
      <w:r>
        <w:rPr>
          <w:rFonts w:ascii="宋体" w:hAnsi="宋体"/>
          <w:color w:val="auto"/>
          <w:sz w:val="24"/>
          <w:highlight w:val="none"/>
        </w:rPr>
        <w:t xml:space="preserve">  </w:t>
      </w:r>
      <w:r>
        <w:rPr>
          <w:rFonts w:ascii="宋体" w:hAnsi="宋体"/>
          <w:color w:val="auto"/>
          <w:highlight w:val="none"/>
        </w:rPr>
        <w:t>□</w:t>
      </w:r>
      <w:r>
        <w:rPr>
          <w:rFonts w:ascii="宋体" w:hAnsi="宋体"/>
          <w:color w:val="auto"/>
          <w:sz w:val="24"/>
          <w:highlight w:val="none"/>
        </w:rPr>
        <w:t>小微企业  采购。即：提供的货物全部由符合政策要求的中小/小微企业制造、服务</w:t>
      </w:r>
      <w:r>
        <w:rPr>
          <w:rFonts w:hint="eastAsia" w:ascii="宋体" w:hAnsi="宋体"/>
          <w:color w:val="auto"/>
          <w:sz w:val="24"/>
          <w:highlight w:val="none"/>
        </w:rPr>
        <w:t>或工程</w:t>
      </w:r>
      <w:r>
        <w:rPr>
          <w:rFonts w:ascii="宋体" w:hAnsi="宋体"/>
          <w:color w:val="auto"/>
          <w:sz w:val="24"/>
          <w:highlight w:val="none"/>
        </w:rPr>
        <w:t>全部由符合政策要求的中小/小微企业承接。</w:t>
      </w:r>
    </w:p>
    <w:p w14:paraId="553BE8FE">
      <w:pPr>
        <w:spacing w:line="360" w:lineRule="auto"/>
        <w:ind w:firstLine="420" w:firstLineChars="200"/>
        <w:rPr>
          <w:rFonts w:hint="eastAsia" w:ascii="宋体" w:hAnsi="宋体"/>
          <w:color w:val="auto"/>
          <w:sz w:val="24"/>
          <w:highlight w:val="none"/>
        </w:rPr>
      </w:pPr>
      <w:r>
        <w:rPr>
          <w:rFonts w:ascii="宋体" w:hAnsi="宋体"/>
          <w:color w:val="auto"/>
          <w:highlight w:val="none"/>
        </w:rPr>
        <w:t>□</w:t>
      </w:r>
      <w:r>
        <w:rPr>
          <w:rFonts w:ascii="宋体" w:hAnsi="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ascii="宋体" w:hAnsi="宋体"/>
          <w:color w:val="auto"/>
          <w:sz w:val="24"/>
          <w:highlight w:val="none"/>
          <w:u w:val="single"/>
        </w:rPr>
        <w:t>____/___</w:t>
      </w:r>
      <w:r>
        <w:rPr>
          <w:rFonts w:hint="eastAsia" w:ascii="宋体" w:hAnsi="宋体"/>
          <w:color w:val="auto"/>
          <w:sz w:val="24"/>
          <w:highlight w:val="none"/>
        </w:rPr>
        <w:t>。</w:t>
      </w:r>
    </w:p>
    <w:p w14:paraId="2E6AE318">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2.2 其它落实政府采购政策的资格要求（如有）：</w:t>
      </w:r>
      <w:r>
        <w:rPr>
          <w:rFonts w:ascii="宋体" w:hAnsi="宋体"/>
          <w:color w:val="auto"/>
          <w:sz w:val="24"/>
          <w:highlight w:val="none"/>
          <w:u w:val="single"/>
        </w:rPr>
        <w:t xml:space="preserve"> ___/___</w:t>
      </w:r>
      <w:r>
        <w:rPr>
          <w:rFonts w:hint="eastAsia" w:ascii="宋体" w:hAnsi="宋体"/>
          <w:color w:val="auto"/>
          <w:sz w:val="24"/>
          <w:highlight w:val="none"/>
        </w:rPr>
        <w:t>。</w:t>
      </w:r>
    </w:p>
    <w:p w14:paraId="312F001C">
      <w:pPr>
        <w:spacing w:line="360" w:lineRule="auto"/>
        <w:ind w:firstLine="480" w:firstLineChars="200"/>
        <w:rPr>
          <w:rFonts w:hint="eastAsia" w:ascii="宋体" w:hAnsi="宋体"/>
          <w:i/>
          <w:iCs/>
          <w:color w:val="auto"/>
          <w:sz w:val="24"/>
          <w:highlight w:val="none"/>
          <w:u w:val="single"/>
        </w:rPr>
      </w:pPr>
      <w:r>
        <w:rPr>
          <w:rFonts w:ascii="宋体" w:hAnsi="宋体"/>
          <w:color w:val="auto"/>
          <w:sz w:val="24"/>
          <w:highlight w:val="none"/>
        </w:rPr>
        <w:t>3.本项目的特定资格要求：</w:t>
      </w:r>
    </w:p>
    <w:p w14:paraId="1201C235">
      <w:pPr>
        <w:tabs>
          <w:tab w:val="left" w:pos="900"/>
          <w:tab w:val="left" w:pos="1134"/>
          <w:tab w:val="left" w:pos="1589"/>
          <w:tab w:val="left" w:pos="5521"/>
        </w:tabs>
        <w:snapToGrid w:val="0"/>
        <w:spacing w:line="360" w:lineRule="auto"/>
        <w:ind w:firstLine="480" w:firstLineChars="200"/>
        <w:rPr>
          <w:rFonts w:hint="eastAsia" w:ascii="宋体" w:hAnsi="宋体"/>
          <w:color w:val="auto"/>
          <w:sz w:val="24"/>
          <w:highlight w:val="none"/>
        </w:rPr>
      </w:pPr>
      <w:r>
        <w:rPr>
          <w:rFonts w:ascii="宋体" w:hAnsi="宋体"/>
          <w:color w:val="auto"/>
          <w:sz w:val="24"/>
          <w:highlight w:val="none"/>
        </w:rPr>
        <w:t>3.1本项目是否接受分支机构参与响应：</w:t>
      </w:r>
      <w:r>
        <w:rPr>
          <w:rFonts w:hint="eastAsia" w:ascii="宋体" w:hAnsi="宋体"/>
          <w:color w:val="auto"/>
          <w:highlight w:val="none"/>
          <w:lang w:eastAsia="zh-CN"/>
        </w:rPr>
        <w:t>□</w:t>
      </w:r>
      <w:r>
        <w:rPr>
          <w:rFonts w:ascii="宋体" w:hAnsi="宋体"/>
          <w:color w:val="auto"/>
          <w:sz w:val="24"/>
          <w:highlight w:val="none"/>
        </w:rPr>
        <w:t xml:space="preserve">是  </w:t>
      </w:r>
      <w:r>
        <w:rPr>
          <w:rFonts w:hint="eastAsia" w:ascii="宋体" w:hAnsi="宋体"/>
          <w:color w:val="auto"/>
          <w:highlight w:val="none"/>
        </w:rPr>
        <w:t>■</w:t>
      </w:r>
      <w:r>
        <w:rPr>
          <w:rFonts w:ascii="宋体" w:hAnsi="宋体"/>
          <w:color w:val="auto"/>
          <w:sz w:val="24"/>
          <w:highlight w:val="none"/>
        </w:rPr>
        <w:t>否；</w:t>
      </w:r>
    </w:p>
    <w:p w14:paraId="1770E577">
      <w:pPr>
        <w:tabs>
          <w:tab w:val="left" w:pos="900"/>
          <w:tab w:val="left" w:pos="1134"/>
          <w:tab w:val="left" w:pos="1589"/>
          <w:tab w:val="left" w:pos="5521"/>
        </w:tabs>
        <w:snapToGrid w:val="0"/>
        <w:spacing w:line="360" w:lineRule="auto"/>
        <w:ind w:firstLine="480" w:firstLineChars="200"/>
        <w:rPr>
          <w:rFonts w:hint="eastAsia" w:ascii="宋体" w:hAnsi="宋体"/>
          <w:color w:val="auto"/>
          <w:sz w:val="24"/>
          <w:highlight w:val="none"/>
        </w:rPr>
      </w:pPr>
      <w:r>
        <w:rPr>
          <w:rFonts w:ascii="宋体" w:hAnsi="宋体"/>
          <w:color w:val="auto"/>
          <w:sz w:val="24"/>
          <w:highlight w:val="none"/>
        </w:rPr>
        <w:t>3.2 本项目是否属于政府购买服务：</w:t>
      </w:r>
    </w:p>
    <w:p w14:paraId="256FD9C5">
      <w:pPr>
        <w:tabs>
          <w:tab w:val="left" w:pos="900"/>
          <w:tab w:val="left" w:pos="1134"/>
          <w:tab w:val="left" w:pos="1589"/>
          <w:tab w:val="left" w:pos="5521"/>
        </w:tabs>
        <w:snapToGrid w:val="0"/>
        <w:spacing w:line="360" w:lineRule="auto"/>
        <w:ind w:left="991" w:leftChars="472" w:firstLine="2"/>
        <w:rPr>
          <w:rFonts w:hint="eastAsia" w:ascii="宋体" w:hAnsi="宋体"/>
          <w:color w:val="auto"/>
          <w:sz w:val="24"/>
          <w:highlight w:val="none"/>
        </w:rPr>
      </w:pPr>
      <w:r>
        <w:rPr>
          <w:rFonts w:hint="eastAsia" w:ascii="宋体" w:hAnsi="宋体"/>
          <w:color w:val="auto"/>
          <w:highlight w:val="none"/>
        </w:rPr>
        <w:t>■</w:t>
      </w:r>
      <w:r>
        <w:rPr>
          <w:rFonts w:ascii="宋体" w:hAnsi="宋体"/>
          <w:color w:val="auto"/>
          <w:sz w:val="24"/>
          <w:highlight w:val="none"/>
        </w:rPr>
        <w:t>否</w:t>
      </w:r>
    </w:p>
    <w:p w14:paraId="7F85BBF0">
      <w:pPr>
        <w:tabs>
          <w:tab w:val="left" w:pos="900"/>
          <w:tab w:val="left" w:pos="1134"/>
          <w:tab w:val="left" w:pos="1589"/>
          <w:tab w:val="left" w:pos="5521"/>
        </w:tabs>
        <w:snapToGrid w:val="0"/>
        <w:spacing w:line="360" w:lineRule="auto"/>
        <w:ind w:left="991" w:leftChars="472" w:firstLine="2"/>
        <w:rPr>
          <w:rFonts w:hint="eastAsia" w:ascii="宋体" w:hAnsi="宋体"/>
          <w:color w:val="auto"/>
          <w:sz w:val="24"/>
          <w:highlight w:val="none"/>
        </w:rPr>
      </w:pPr>
      <w:r>
        <w:rPr>
          <w:rFonts w:ascii="宋体" w:hAnsi="宋体"/>
          <w:color w:val="auto"/>
          <w:highlight w:val="none"/>
        </w:rPr>
        <w:t>□</w:t>
      </w:r>
      <w:r>
        <w:rPr>
          <w:rFonts w:ascii="宋体" w:hAnsi="宋体"/>
          <w:color w:val="auto"/>
          <w:sz w:val="24"/>
          <w:highlight w:val="none"/>
        </w:rPr>
        <w:t>是，公益一类事业单位、使用事业编制且由财政拨款保障的群团组织，不得作为承接主体；</w:t>
      </w:r>
    </w:p>
    <w:p w14:paraId="5DF33D53">
      <w:pPr>
        <w:tabs>
          <w:tab w:val="left" w:pos="900"/>
          <w:tab w:val="left" w:pos="1134"/>
          <w:tab w:val="left" w:pos="1589"/>
          <w:tab w:val="left" w:pos="5521"/>
        </w:tabs>
        <w:snapToGrid w:val="0"/>
        <w:spacing w:line="360" w:lineRule="auto"/>
        <w:ind w:firstLine="480" w:firstLineChars="200"/>
        <w:rPr>
          <w:rFonts w:hint="eastAsia" w:ascii="宋体" w:hAnsi="宋体"/>
          <w:color w:val="auto"/>
          <w:sz w:val="24"/>
          <w:highlight w:val="none"/>
          <w:u w:val="single"/>
        </w:rPr>
      </w:pPr>
      <w:r>
        <w:rPr>
          <w:rFonts w:ascii="宋体" w:hAnsi="宋体"/>
          <w:color w:val="auto"/>
          <w:sz w:val="24"/>
          <w:highlight w:val="none"/>
        </w:rPr>
        <w:t>3.3其他特定资格要求：</w:t>
      </w:r>
    </w:p>
    <w:p w14:paraId="62E46C5A">
      <w:pPr>
        <w:tabs>
          <w:tab w:val="left" w:pos="900"/>
          <w:tab w:val="left" w:pos="1134"/>
          <w:tab w:val="left" w:pos="1589"/>
          <w:tab w:val="left" w:pos="5521"/>
        </w:tabs>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eastAsia="zh-CN"/>
        </w:rPr>
        <w:t>供应商</w:t>
      </w:r>
      <w:r>
        <w:rPr>
          <w:rFonts w:hint="eastAsia" w:ascii="宋体" w:hAnsi="宋体"/>
          <w:color w:val="auto"/>
          <w:sz w:val="24"/>
          <w:highlight w:val="none"/>
        </w:rPr>
        <w:t xml:space="preserve">具备水利水电工程施工总承包二级（含）以上资质； </w:t>
      </w:r>
    </w:p>
    <w:p w14:paraId="573E62D6">
      <w:pPr>
        <w:tabs>
          <w:tab w:val="left" w:pos="900"/>
          <w:tab w:val="left" w:pos="1134"/>
          <w:tab w:val="left" w:pos="1589"/>
          <w:tab w:val="left" w:pos="5521"/>
        </w:tabs>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eastAsia="zh-CN"/>
        </w:rPr>
        <w:t>供应商</w:t>
      </w:r>
      <w:r>
        <w:rPr>
          <w:rFonts w:hint="eastAsia" w:ascii="宋体" w:hAnsi="宋体"/>
          <w:color w:val="auto"/>
          <w:sz w:val="24"/>
          <w:highlight w:val="none"/>
        </w:rPr>
        <w:t>具有建设行政主管部门核发的有效的安全生产许可证；</w:t>
      </w:r>
    </w:p>
    <w:p w14:paraId="3F1D59C4">
      <w:pPr>
        <w:tabs>
          <w:tab w:val="left" w:pos="900"/>
          <w:tab w:val="left" w:pos="1134"/>
          <w:tab w:val="left" w:pos="1589"/>
          <w:tab w:val="left" w:pos="5521"/>
        </w:tabs>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3）拟任项目经理须在</w:t>
      </w:r>
      <w:r>
        <w:rPr>
          <w:rFonts w:hint="eastAsia" w:ascii="宋体" w:hAnsi="宋体"/>
          <w:color w:val="auto"/>
          <w:sz w:val="24"/>
          <w:highlight w:val="none"/>
          <w:lang w:eastAsia="zh-CN"/>
        </w:rPr>
        <w:t>供应商</w:t>
      </w:r>
      <w:r>
        <w:rPr>
          <w:rFonts w:hint="eastAsia" w:ascii="宋体" w:hAnsi="宋体"/>
          <w:color w:val="auto"/>
          <w:sz w:val="24"/>
          <w:highlight w:val="none"/>
        </w:rPr>
        <w:t>本单位注册，具有水利水电工程专业二级</w:t>
      </w:r>
      <w:r>
        <w:rPr>
          <w:rFonts w:hint="eastAsia" w:ascii="宋体" w:hAnsi="宋体"/>
          <w:color w:val="auto"/>
          <w:szCs w:val="21"/>
          <w:highlight w:val="none"/>
        </w:rPr>
        <w:t>（含）以上</w:t>
      </w:r>
      <w:r>
        <w:rPr>
          <w:rFonts w:hint="eastAsia" w:ascii="宋体" w:hAnsi="宋体"/>
          <w:color w:val="auto"/>
          <w:sz w:val="24"/>
          <w:highlight w:val="none"/>
        </w:rPr>
        <w:t>注册建造师资格及B类安全生产考核合格证书；</w:t>
      </w:r>
    </w:p>
    <w:bookmarkEnd w:id="11"/>
    <w:bookmarkEnd w:id="12"/>
    <w:p w14:paraId="250CC7A2">
      <w:pPr>
        <w:pStyle w:val="4"/>
        <w:widowControl/>
        <w:spacing w:before="0" w:line="360" w:lineRule="auto"/>
        <w:jc w:val="left"/>
        <w:rPr>
          <w:rFonts w:hint="eastAsia" w:ascii="宋体" w:hAnsi="宋体" w:eastAsia="宋体"/>
          <w:color w:val="auto"/>
          <w:sz w:val="24"/>
          <w:szCs w:val="24"/>
          <w:highlight w:val="none"/>
        </w:rPr>
      </w:pPr>
      <w:bookmarkStart w:id="13" w:name="_Toc35393623"/>
      <w:bookmarkStart w:id="14" w:name="_Toc35393792"/>
      <w:r>
        <w:rPr>
          <w:rFonts w:ascii="宋体" w:hAnsi="宋体" w:eastAsia="宋体"/>
          <w:color w:val="auto"/>
          <w:sz w:val="24"/>
          <w:szCs w:val="24"/>
          <w:highlight w:val="none"/>
        </w:rPr>
        <w:t>三、获取采购文件</w:t>
      </w:r>
      <w:bookmarkEnd w:id="13"/>
      <w:bookmarkEnd w:id="14"/>
    </w:p>
    <w:p w14:paraId="2FEDD670">
      <w:pPr>
        <w:adjustRightInd w:val="0"/>
        <w:snapToGrid w:val="0"/>
        <w:spacing w:line="360" w:lineRule="auto"/>
        <w:ind w:firstLine="480" w:firstLineChars="200"/>
        <w:rPr>
          <w:rFonts w:hint="eastAsia" w:ascii="宋体" w:hAnsi="宋体"/>
          <w:color w:val="auto"/>
          <w:sz w:val="24"/>
          <w:highlight w:val="none"/>
          <w:lang w:bidi="ar"/>
        </w:rPr>
      </w:pPr>
      <w:r>
        <w:rPr>
          <w:rFonts w:ascii="宋体" w:hAnsi="宋体"/>
          <w:color w:val="auto"/>
          <w:sz w:val="24"/>
          <w:highlight w:val="none"/>
          <w:lang w:bidi="ar"/>
        </w:rPr>
        <w:t>1.时间：</w:t>
      </w:r>
      <w:r>
        <w:rPr>
          <w:rFonts w:ascii="宋体" w:hAnsi="宋体"/>
          <w:color w:val="auto"/>
          <w:sz w:val="24"/>
          <w:highlight w:val="none"/>
        </w:rPr>
        <w:t>202</w:t>
      </w:r>
      <w:r>
        <w:rPr>
          <w:rFonts w:hint="eastAsia" w:ascii="宋体" w:hAnsi="宋体"/>
          <w:color w:val="auto"/>
          <w:sz w:val="24"/>
          <w:highlight w:val="none"/>
        </w:rPr>
        <w:t>4</w:t>
      </w:r>
      <w:r>
        <w:rPr>
          <w:rFonts w:ascii="宋体" w:hAnsi="宋体"/>
          <w:color w:val="auto"/>
          <w:sz w:val="24"/>
          <w:highlight w:val="none"/>
          <w:lang w:bidi="ar"/>
        </w:rPr>
        <w:t>年</w:t>
      </w:r>
      <w:r>
        <w:rPr>
          <w:rFonts w:hint="eastAsia" w:ascii="宋体" w:hAnsi="宋体"/>
          <w:color w:val="auto"/>
          <w:sz w:val="24"/>
          <w:highlight w:val="none"/>
          <w:lang w:val="en-US" w:eastAsia="zh-CN"/>
        </w:rPr>
        <w:t>9</w:t>
      </w:r>
      <w:r>
        <w:rPr>
          <w:rFonts w:ascii="宋体" w:hAnsi="宋体"/>
          <w:color w:val="auto"/>
          <w:sz w:val="24"/>
          <w:highlight w:val="none"/>
          <w:lang w:bidi="ar"/>
        </w:rPr>
        <w:t>月</w:t>
      </w:r>
      <w:r>
        <w:rPr>
          <w:rFonts w:hint="eastAsia" w:ascii="宋体" w:hAnsi="宋体"/>
          <w:color w:val="auto"/>
          <w:sz w:val="24"/>
          <w:highlight w:val="none"/>
          <w:lang w:val="en-US" w:eastAsia="zh-CN"/>
        </w:rPr>
        <w:t>14</w:t>
      </w:r>
      <w:r>
        <w:rPr>
          <w:rFonts w:ascii="宋体" w:hAnsi="宋体"/>
          <w:color w:val="auto"/>
          <w:sz w:val="24"/>
          <w:highlight w:val="none"/>
          <w:lang w:bidi="ar"/>
        </w:rPr>
        <w:t>日至</w:t>
      </w:r>
      <w:r>
        <w:rPr>
          <w:rFonts w:ascii="宋体" w:hAnsi="宋体"/>
          <w:color w:val="auto"/>
          <w:sz w:val="24"/>
          <w:highlight w:val="none"/>
        </w:rPr>
        <w:t>202</w:t>
      </w:r>
      <w:r>
        <w:rPr>
          <w:rFonts w:hint="eastAsia" w:ascii="宋体" w:hAnsi="宋体"/>
          <w:color w:val="auto"/>
          <w:sz w:val="24"/>
          <w:highlight w:val="none"/>
        </w:rPr>
        <w:t>4</w:t>
      </w:r>
      <w:r>
        <w:rPr>
          <w:rFonts w:ascii="宋体" w:hAnsi="宋体"/>
          <w:color w:val="auto"/>
          <w:sz w:val="24"/>
          <w:highlight w:val="none"/>
          <w:lang w:bidi="ar"/>
        </w:rPr>
        <w:t>年</w:t>
      </w:r>
      <w:r>
        <w:rPr>
          <w:rFonts w:hint="eastAsia" w:ascii="宋体" w:hAnsi="宋体"/>
          <w:color w:val="auto"/>
          <w:sz w:val="24"/>
          <w:highlight w:val="none"/>
          <w:lang w:val="en-US" w:eastAsia="zh-CN"/>
        </w:rPr>
        <w:t>9</w:t>
      </w:r>
      <w:r>
        <w:rPr>
          <w:rFonts w:ascii="宋体" w:hAnsi="宋体"/>
          <w:color w:val="auto"/>
          <w:sz w:val="24"/>
          <w:highlight w:val="none"/>
          <w:lang w:bidi="ar"/>
        </w:rPr>
        <w:t>月</w:t>
      </w:r>
      <w:r>
        <w:rPr>
          <w:rFonts w:hint="eastAsia" w:ascii="宋体" w:hAnsi="宋体"/>
          <w:color w:val="auto"/>
          <w:sz w:val="24"/>
          <w:highlight w:val="none"/>
          <w:lang w:val="en-US" w:eastAsia="zh-CN"/>
        </w:rPr>
        <w:t>23</w:t>
      </w:r>
      <w:r>
        <w:rPr>
          <w:rFonts w:ascii="宋体" w:hAnsi="宋体"/>
          <w:color w:val="auto"/>
          <w:sz w:val="24"/>
          <w:highlight w:val="none"/>
          <w:lang w:bidi="ar"/>
        </w:rPr>
        <w:t>日</w:t>
      </w:r>
      <w:r>
        <w:rPr>
          <w:rFonts w:hint="eastAsia" w:ascii="宋体" w:hAnsi="宋体"/>
          <w:color w:val="auto"/>
          <w:sz w:val="24"/>
          <w:highlight w:val="none"/>
          <w:lang w:bidi="ar"/>
        </w:rPr>
        <w:t>，每日</w:t>
      </w:r>
      <w:r>
        <w:rPr>
          <w:rFonts w:ascii="宋体" w:hAnsi="宋体"/>
          <w:color w:val="auto"/>
          <w:sz w:val="24"/>
          <w:highlight w:val="none"/>
          <w:lang w:bidi="ar"/>
        </w:rPr>
        <w:t>上午</w:t>
      </w:r>
      <w:r>
        <w:rPr>
          <w:rFonts w:hint="eastAsia" w:ascii="宋体" w:hAnsi="宋体"/>
          <w:color w:val="auto"/>
          <w:sz w:val="24"/>
          <w:highlight w:val="none"/>
          <w:lang w:bidi="ar"/>
        </w:rPr>
        <w:t>9:00至12:00，</w:t>
      </w:r>
      <w:r>
        <w:rPr>
          <w:rFonts w:ascii="宋体" w:hAnsi="宋体"/>
          <w:color w:val="auto"/>
          <w:sz w:val="24"/>
          <w:highlight w:val="none"/>
          <w:lang w:bidi="ar"/>
        </w:rPr>
        <w:t>下午</w:t>
      </w:r>
      <w:r>
        <w:rPr>
          <w:rFonts w:hint="eastAsia" w:ascii="宋体" w:hAnsi="宋体"/>
          <w:color w:val="auto"/>
          <w:sz w:val="24"/>
          <w:highlight w:val="none"/>
          <w:lang w:bidi="ar"/>
        </w:rPr>
        <w:t>13:00至16:00</w:t>
      </w:r>
      <w:r>
        <w:rPr>
          <w:rFonts w:ascii="宋体" w:hAnsi="宋体"/>
          <w:color w:val="auto"/>
          <w:sz w:val="24"/>
          <w:highlight w:val="none"/>
          <w:lang w:bidi="ar"/>
        </w:rPr>
        <w:t>。</w:t>
      </w:r>
    </w:p>
    <w:p w14:paraId="777870BE">
      <w:pPr>
        <w:adjustRightInd w:val="0"/>
        <w:snapToGrid w:val="0"/>
        <w:spacing w:line="360" w:lineRule="auto"/>
        <w:ind w:firstLine="480" w:firstLineChars="200"/>
        <w:rPr>
          <w:rFonts w:hint="eastAsia" w:ascii="宋体" w:hAnsi="宋体"/>
          <w:color w:val="auto"/>
          <w:sz w:val="24"/>
          <w:highlight w:val="none"/>
        </w:rPr>
      </w:pPr>
      <w:r>
        <w:rPr>
          <w:rFonts w:ascii="宋体" w:hAnsi="宋体"/>
          <w:color w:val="auto"/>
          <w:sz w:val="24"/>
          <w:highlight w:val="none"/>
          <w:lang w:bidi="ar"/>
        </w:rPr>
        <w:t>2.地点：</w:t>
      </w:r>
      <w:r>
        <w:rPr>
          <w:rFonts w:hint="eastAsia" w:ascii="宋体" w:hAnsi="宋体"/>
          <w:color w:val="auto"/>
          <w:sz w:val="24"/>
          <w:highlight w:val="none"/>
          <w:lang w:bidi="ar"/>
        </w:rPr>
        <w:t>北京市昌平区碧水庄园3-20</w:t>
      </w:r>
    </w:p>
    <w:p w14:paraId="07833706">
      <w:pPr>
        <w:widowControl/>
        <w:adjustRightInd w:val="0"/>
        <w:snapToGrid w:val="0"/>
        <w:spacing w:line="360" w:lineRule="auto"/>
        <w:ind w:firstLine="480" w:firstLineChars="200"/>
        <w:jc w:val="left"/>
        <w:rPr>
          <w:rFonts w:hint="eastAsia" w:ascii="宋体" w:hAnsi="宋体"/>
          <w:color w:val="auto"/>
          <w:sz w:val="24"/>
          <w:highlight w:val="none"/>
          <w:lang w:bidi="ar"/>
        </w:rPr>
      </w:pPr>
      <w:r>
        <w:rPr>
          <w:rFonts w:ascii="宋体" w:hAnsi="宋体"/>
          <w:color w:val="auto"/>
          <w:sz w:val="24"/>
          <w:highlight w:val="none"/>
          <w:lang w:bidi="ar"/>
        </w:rPr>
        <w:t>3.方式：</w:t>
      </w:r>
      <w:r>
        <w:rPr>
          <w:rFonts w:hint="eastAsia" w:ascii="宋体" w:hAnsi="宋体"/>
          <w:color w:val="auto"/>
          <w:sz w:val="24"/>
          <w:highlight w:val="none"/>
          <w:lang w:bidi="ar"/>
        </w:rPr>
        <w:t>现场获取，领取</w:t>
      </w:r>
      <w:r>
        <w:rPr>
          <w:rFonts w:ascii="宋体" w:hAnsi="宋体"/>
          <w:color w:val="auto"/>
          <w:sz w:val="24"/>
          <w:highlight w:val="none"/>
          <w:lang w:bidi="ar"/>
        </w:rPr>
        <w:t>竞争性磋商文件需</w:t>
      </w:r>
      <w:r>
        <w:rPr>
          <w:rFonts w:hint="eastAsia" w:ascii="宋体" w:hAnsi="宋体"/>
          <w:color w:val="auto"/>
          <w:sz w:val="24"/>
          <w:highlight w:val="none"/>
          <w:lang w:bidi="ar"/>
        </w:rPr>
        <w:t>携带法人代表授权委托书原件、经办人身份证原件和复印件（法定代表人办理提供法人证明书原件和法人有效身份证原件和复印件），逾期不予受理。</w:t>
      </w:r>
    </w:p>
    <w:p w14:paraId="12773EE7">
      <w:pPr>
        <w:widowControl/>
        <w:adjustRightInd w:val="0"/>
        <w:snapToGrid w:val="0"/>
        <w:spacing w:line="360" w:lineRule="auto"/>
        <w:ind w:firstLine="480" w:firstLineChars="200"/>
        <w:jc w:val="left"/>
        <w:rPr>
          <w:rFonts w:hint="eastAsia" w:ascii="宋体" w:hAnsi="宋体"/>
          <w:color w:val="auto"/>
          <w:sz w:val="24"/>
          <w:highlight w:val="none"/>
        </w:rPr>
      </w:pPr>
      <w:r>
        <w:rPr>
          <w:rFonts w:ascii="宋体" w:hAnsi="宋体"/>
          <w:color w:val="auto"/>
          <w:sz w:val="24"/>
          <w:highlight w:val="none"/>
          <w:lang w:bidi="ar"/>
        </w:rPr>
        <w:t>4.售价：300</w:t>
      </w:r>
      <w:r>
        <w:rPr>
          <w:rFonts w:hint="eastAsia" w:ascii="宋体" w:hAnsi="宋体"/>
          <w:color w:val="auto"/>
          <w:sz w:val="24"/>
          <w:highlight w:val="none"/>
          <w:lang w:bidi="ar"/>
        </w:rPr>
        <w:t>元/本</w:t>
      </w:r>
      <w:r>
        <w:rPr>
          <w:rFonts w:ascii="宋体" w:hAnsi="宋体"/>
          <w:color w:val="auto"/>
          <w:sz w:val="24"/>
          <w:highlight w:val="none"/>
          <w:lang w:bidi="ar"/>
        </w:rPr>
        <w:t>。</w:t>
      </w:r>
    </w:p>
    <w:p w14:paraId="6B1727E8">
      <w:pPr>
        <w:pStyle w:val="4"/>
        <w:widowControl/>
        <w:spacing w:before="0" w:line="360" w:lineRule="auto"/>
        <w:jc w:val="left"/>
        <w:rPr>
          <w:rFonts w:hint="eastAsia" w:ascii="宋体" w:hAnsi="宋体" w:eastAsia="宋体"/>
          <w:color w:val="auto"/>
          <w:sz w:val="24"/>
          <w:szCs w:val="24"/>
          <w:highlight w:val="none"/>
        </w:rPr>
      </w:pPr>
      <w:bookmarkStart w:id="15" w:name="_Toc28359082"/>
      <w:bookmarkStart w:id="16" w:name="_Toc28359005"/>
      <w:bookmarkStart w:id="17" w:name="_Toc35393793"/>
      <w:bookmarkStart w:id="18" w:name="_Toc35393624"/>
      <w:r>
        <w:rPr>
          <w:rFonts w:ascii="宋体" w:hAnsi="宋体" w:eastAsia="宋体"/>
          <w:color w:val="auto"/>
          <w:sz w:val="24"/>
          <w:szCs w:val="24"/>
          <w:highlight w:val="none"/>
        </w:rPr>
        <w:t>四、</w:t>
      </w:r>
      <w:bookmarkEnd w:id="15"/>
      <w:bookmarkEnd w:id="16"/>
      <w:bookmarkEnd w:id="17"/>
      <w:bookmarkEnd w:id="18"/>
      <w:r>
        <w:rPr>
          <w:rFonts w:ascii="宋体" w:hAnsi="宋体" w:eastAsia="宋体"/>
          <w:color w:val="auto"/>
          <w:sz w:val="24"/>
          <w:szCs w:val="24"/>
          <w:highlight w:val="none"/>
        </w:rPr>
        <w:t>响应文件提交</w:t>
      </w:r>
    </w:p>
    <w:p w14:paraId="6304DDC2">
      <w:pPr>
        <w:spacing w:line="360" w:lineRule="auto"/>
        <w:ind w:firstLine="480" w:firstLineChars="200"/>
        <w:rPr>
          <w:rFonts w:hint="eastAsia" w:ascii="宋体" w:hAnsi="宋体"/>
          <w:bCs/>
          <w:color w:val="auto"/>
          <w:sz w:val="24"/>
          <w:highlight w:val="none"/>
          <w:u w:val="single"/>
        </w:rPr>
      </w:pPr>
      <w:r>
        <w:rPr>
          <w:rFonts w:ascii="宋体" w:hAnsi="宋体"/>
          <w:color w:val="auto"/>
          <w:sz w:val="24"/>
          <w:highlight w:val="none"/>
          <w:lang w:bidi="ar"/>
        </w:rPr>
        <w:t>截止时间：</w:t>
      </w:r>
      <w:r>
        <w:rPr>
          <w:rFonts w:ascii="宋体" w:hAnsi="宋体"/>
          <w:color w:val="auto"/>
          <w:sz w:val="24"/>
          <w:highlight w:val="none"/>
        </w:rPr>
        <w:t>202</w:t>
      </w:r>
      <w:r>
        <w:rPr>
          <w:rFonts w:hint="eastAsia" w:ascii="宋体" w:hAnsi="宋体"/>
          <w:color w:val="auto"/>
          <w:sz w:val="24"/>
          <w:highlight w:val="none"/>
        </w:rPr>
        <w:t>4</w:t>
      </w:r>
      <w:r>
        <w:rPr>
          <w:rFonts w:ascii="宋体" w:hAnsi="宋体"/>
          <w:color w:val="auto"/>
          <w:sz w:val="24"/>
          <w:highlight w:val="none"/>
          <w:lang w:bidi="ar"/>
        </w:rPr>
        <w:t>年</w:t>
      </w:r>
      <w:r>
        <w:rPr>
          <w:rFonts w:hint="eastAsia" w:ascii="宋体" w:hAnsi="宋体"/>
          <w:color w:val="auto"/>
          <w:sz w:val="24"/>
          <w:highlight w:val="none"/>
          <w:lang w:val="en-US" w:eastAsia="zh-CN"/>
        </w:rPr>
        <w:t>9</w:t>
      </w:r>
      <w:r>
        <w:rPr>
          <w:rFonts w:ascii="宋体" w:hAnsi="宋体"/>
          <w:color w:val="auto"/>
          <w:sz w:val="24"/>
          <w:highlight w:val="none"/>
          <w:lang w:bidi="ar"/>
        </w:rPr>
        <w:t>月</w:t>
      </w:r>
      <w:r>
        <w:rPr>
          <w:rFonts w:hint="eastAsia" w:ascii="宋体" w:hAnsi="宋体"/>
          <w:color w:val="auto"/>
          <w:sz w:val="24"/>
          <w:highlight w:val="none"/>
          <w:lang w:val="en-US" w:eastAsia="zh-CN"/>
        </w:rPr>
        <w:t>24</w:t>
      </w:r>
      <w:r>
        <w:rPr>
          <w:rFonts w:ascii="宋体" w:hAnsi="宋体"/>
          <w:color w:val="auto"/>
          <w:sz w:val="24"/>
          <w:highlight w:val="none"/>
          <w:lang w:bidi="ar"/>
        </w:rPr>
        <w:t>日</w:t>
      </w:r>
      <w:r>
        <w:rPr>
          <w:rFonts w:ascii="宋体" w:hAnsi="宋体"/>
          <w:color w:val="auto"/>
          <w:sz w:val="24"/>
          <w:highlight w:val="none"/>
        </w:rPr>
        <w:t>09</w:t>
      </w:r>
      <w:r>
        <w:rPr>
          <w:rFonts w:ascii="宋体" w:hAnsi="宋体"/>
          <w:color w:val="auto"/>
          <w:sz w:val="24"/>
          <w:highlight w:val="none"/>
          <w:lang w:bidi="ar"/>
        </w:rPr>
        <w:t>点</w:t>
      </w:r>
      <w:r>
        <w:rPr>
          <w:rFonts w:ascii="宋体" w:hAnsi="宋体"/>
          <w:color w:val="auto"/>
          <w:sz w:val="24"/>
          <w:highlight w:val="none"/>
        </w:rPr>
        <w:t>30</w:t>
      </w:r>
      <w:r>
        <w:rPr>
          <w:rFonts w:ascii="宋体" w:hAnsi="宋体"/>
          <w:color w:val="auto"/>
          <w:sz w:val="24"/>
          <w:highlight w:val="none"/>
          <w:lang w:bidi="ar"/>
        </w:rPr>
        <w:t>分</w:t>
      </w:r>
      <w:r>
        <w:rPr>
          <w:rFonts w:ascii="宋体" w:hAnsi="宋体"/>
          <w:bCs/>
          <w:color w:val="auto"/>
          <w:sz w:val="24"/>
          <w:highlight w:val="none"/>
          <w:lang w:bidi="ar"/>
        </w:rPr>
        <w:t>（北京时间）</w:t>
      </w:r>
      <w:r>
        <w:rPr>
          <w:rFonts w:ascii="宋体" w:hAnsi="宋体"/>
          <w:iCs/>
          <w:color w:val="auto"/>
          <w:sz w:val="24"/>
          <w:highlight w:val="none"/>
          <w:lang w:bidi="ar"/>
        </w:rPr>
        <w:t>。</w:t>
      </w:r>
    </w:p>
    <w:p w14:paraId="3F371FA3">
      <w:pPr>
        <w:spacing w:line="360" w:lineRule="auto"/>
        <w:ind w:firstLine="480" w:firstLineChars="200"/>
        <w:rPr>
          <w:rFonts w:hint="eastAsia" w:ascii="宋体" w:hAnsi="宋体"/>
          <w:color w:val="auto"/>
          <w:sz w:val="24"/>
          <w:highlight w:val="none"/>
          <w:lang w:val="zh-TW" w:bidi="ar"/>
        </w:rPr>
      </w:pPr>
      <w:r>
        <w:rPr>
          <w:rFonts w:ascii="宋体" w:hAnsi="宋体"/>
          <w:color w:val="auto"/>
          <w:sz w:val="24"/>
          <w:highlight w:val="none"/>
          <w:lang w:bidi="ar"/>
        </w:rPr>
        <w:t>地点：</w:t>
      </w:r>
      <w:r>
        <w:rPr>
          <w:rFonts w:hint="eastAsia" w:ascii="宋体" w:hAnsi="宋体"/>
          <w:color w:val="auto"/>
          <w:sz w:val="24"/>
          <w:highlight w:val="none"/>
        </w:rPr>
        <w:t>北京市昌平区碧水庄园3-20</w:t>
      </w:r>
      <w:r>
        <w:rPr>
          <w:rFonts w:ascii="宋体" w:hAnsi="宋体"/>
          <w:color w:val="auto"/>
          <w:sz w:val="24"/>
          <w:highlight w:val="none"/>
          <w:lang w:val="zh-TW" w:bidi="ar"/>
        </w:rPr>
        <w:t>。</w:t>
      </w:r>
    </w:p>
    <w:p w14:paraId="1BC3ED6C">
      <w:pPr>
        <w:pStyle w:val="4"/>
        <w:spacing w:before="0" w:line="360" w:lineRule="auto"/>
        <w:jc w:val="left"/>
        <w:rPr>
          <w:rFonts w:hint="eastAsia" w:ascii="宋体" w:hAnsi="宋体" w:eastAsia="宋体"/>
          <w:color w:val="auto"/>
          <w:sz w:val="24"/>
          <w:szCs w:val="24"/>
          <w:highlight w:val="none"/>
        </w:rPr>
      </w:pPr>
      <w:r>
        <w:rPr>
          <w:rFonts w:ascii="宋体" w:hAnsi="宋体" w:eastAsia="宋体"/>
          <w:color w:val="auto"/>
          <w:sz w:val="24"/>
          <w:szCs w:val="24"/>
          <w:highlight w:val="none"/>
        </w:rPr>
        <w:t>五、开启</w:t>
      </w:r>
    </w:p>
    <w:p w14:paraId="2A168BD5">
      <w:pPr>
        <w:spacing w:line="360" w:lineRule="auto"/>
        <w:ind w:firstLine="480" w:firstLineChars="200"/>
        <w:rPr>
          <w:rFonts w:hint="eastAsia" w:ascii="宋体" w:hAnsi="宋体"/>
          <w:bCs/>
          <w:color w:val="auto"/>
          <w:sz w:val="24"/>
          <w:highlight w:val="none"/>
          <w:u w:val="single"/>
        </w:rPr>
      </w:pPr>
      <w:r>
        <w:rPr>
          <w:rFonts w:ascii="宋体" w:hAnsi="宋体"/>
          <w:color w:val="auto"/>
          <w:sz w:val="24"/>
          <w:highlight w:val="none"/>
          <w:lang w:bidi="ar"/>
        </w:rPr>
        <w:t>时间：</w:t>
      </w:r>
      <w:r>
        <w:rPr>
          <w:rFonts w:ascii="宋体" w:hAnsi="宋体"/>
          <w:color w:val="auto"/>
          <w:sz w:val="24"/>
          <w:highlight w:val="none"/>
        </w:rPr>
        <w:t>202</w:t>
      </w:r>
      <w:r>
        <w:rPr>
          <w:rFonts w:hint="eastAsia" w:ascii="宋体" w:hAnsi="宋体"/>
          <w:color w:val="auto"/>
          <w:sz w:val="24"/>
          <w:highlight w:val="none"/>
        </w:rPr>
        <w:t>4</w:t>
      </w:r>
      <w:r>
        <w:rPr>
          <w:rFonts w:ascii="宋体" w:hAnsi="宋体"/>
          <w:color w:val="auto"/>
          <w:sz w:val="24"/>
          <w:highlight w:val="none"/>
          <w:lang w:bidi="ar"/>
        </w:rPr>
        <w:t>年</w:t>
      </w:r>
      <w:r>
        <w:rPr>
          <w:rFonts w:hint="eastAsia" w:ascii="宋体" w:hAnsi="宋体"/>
          <w:color w:val="auto"/>
          <w:sz w:val="24"/>
          <w:highlight w:val="none"/>
          <w:lang w:val="en-US" w:eastAsia="zh-CN"/>
        </w:rPr>
        <w:t>9</w:t>
      </w:r>
      <w:r>
        <w:rPr>
          <w:rFonts w:ascii="宋体" w:hAnsi="宋体"/>
          <w:color w:val="auto"/>
          <w:sz w:val="24"/>
          <w:highlight w:val="none"/>
          <w:lang w:bidi="ar"/>
        </w:rPr>
        <w:t>月</w:t>
      </w:r>
      <w:r>
        <w:rPr>
          <w:rFonts w:hint="eastAsia" w:ascii="宋体" w:hAnsi="宋体"/>
          <w:color w:val="auto"/>
          <w:sz w:val="24"/>
          <w:highlight w:val="none"/>
          <w:lang w:val="en-US" w:eastAsia="zh-CN"/>
        </w:rPr>
        <w:t>24</w:t>
      </w:r>
      <w:r>
        <w:rPr>
          <w:rFonts w:ascii="宋体" w:hAnsi="宋体"/>
          <w:color w:val="auto"/>
          <w:sz w:val="24"/>
          <w:highlight w:val="none"/>
          <w:lang w:bidi="ar"/>
        </w:rPr>
        <w:t>日</w:t>
      </w:r>
      <w:r>
        <w:rPr>
          <w:rFonts w:ascii="宋体" w:hAnsi="宋体"/>
          <w:color w:val="auto"/>
          <w:sz w:val="24"/>
          <w:highlight w:val="none"/>
        </w:rPr>
        <w:t>09</w:t>
      </w:r>
      <w:r>
        <w:rPr>
          <w:rFonts w:ascii="宋体" w:hAnsi="宋体"/>
          <w:color w:val="auto"/>
          <w:sz w:val="24"/>
          <w:highlight w:val="none"/>
          <w:lang w:bidi="ar"/>
        </w:rPr>
        <w:t>点</w:t>
      </w:r>
      <w:r>
        <w:rPr>
          <w:rFonts w:ascii="宋体" w:hAnsi="宋体"/>
          <w:color w:val="auto"/>
          <w:sz w:val="24"/>
          <w:highlight w:val="none"/>
        </w:rPr>
        <w:t>30</w:t>
      </w:r>
      <w:r>
        <w:rPr>
          <w:rFonts w:ascii="宋体" w:hAnsi="宋体"/>
          <w:color w:val="auto"/>
          <w:sz w:val="24"/>
          <w:highlight w:val="none"/>
          <w:lang w:bidi="ar"/>
        </w:rPr>
        <w:t>分</w:t>
      </w:r>
      <w:r>
        <w:rPr>
          <w:rFonts w:ascii="宋体" w:hAnsi="宋体"/>
          <w:bCs/>
          <w:color w:val="auto"/>
          <w:sz w:val="24"/>
          <w:highlight w:val="none"/>
          <w:lang w:bidi="ar"/>
        </w:rPr>
        <w:t>（北京时间）</w:t>
      </w:r>
      <w:r>
        <w:rPr>
          <w:rFonts w:ascii="宋体" w:hAnsi="宋体"/>
          <w:iCs/>
          <w:color w:val="auto"/>
          <w:sz w:val="24"/>
          <w:highlight w:val="none"/>
          <w:lang w:bidi="ar"/>
        </w:rPr>
        <w:t>。</w:t>
      </w:r>
    </w:p>
    <w:p w14:paraId="10104B24">
      <w:pPr>
        <w:spacing w:line="360" w:lineRule="auto"/>
        <w:ind w:firstLine="480" w:firstLineChars="200"/>
        <w:rPr>
          <w:rFonts w:hint="eastAsia" w:ascii="宋体" w:hAnsi="宋体"/>
          <w:color w:val="auto"/>
          <w:sz w:val="24"/>
          <w:highlight w:val="none"/>
          <w:u w:val="single"/>
          <w:lang w:val="zh-TW" w:bidi="ar"/>
        </w:rPr>
      </w:pPr>
      <w:r>
        <w:rPr>
          <w:rFonts w:ascii="宋体" w:hAnsi="宋体"/>
          <w:color w:val="auto"/>
          <w:sz w:val="24"/>
          <w:highlight w:val="none"/>
          <w:lang w:bidi="ar"/>
        </w:rPr>
        <w:t>地点：</w:t>
      </w:r>
      <w:r>
        <w:rPr>
          <w:rFonts w:hint="eastAsia" w:ascii="宋体" w:hAnsi="宋体"/>
          <w:color w:val="auto"/>
          <w:sz w:val="24"/>
          <w:highlight w:val="none"/>
          <w:lang w:bidi="ar"/>
        </w:rPr>
        <w:t>北京市昌平区碧水庄园3-20。</w:t>
      </w:r>
    </w:p>
    <w:p w14:paraId="7D660BF1">
      <w:pPr>
        <w:pStyle w:val="4"/>
        <w:spacing w:before="0" w:line="360" w:lineRule="auto"/>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六、公告期限</w:t>
      </w:r>
    </w:p>
    <w:p w14:paraId="5707FD6F">
      <w:pPr>
        <w:spacing w:line="360" w:lineRule="auto"/>
        <w:rPr>
          <w:rFonts w:hint="eastAsia" w:ascii="宋体" w:hAnsi="宋体"/>
          <w:color w:val="auto"/>
          <w:sz w:val="24"/>
          <w:highlight w:val="none"/>
          <w:lang w:val="zh-TW" w:bidi="ar"/>
        </w:rPr>
      </w:pPr>
      <w:r>
        <w:rPr>
          <w:rFonts w:hint="eastAsia" w:ascii="宋体" w:hAnsi="宋体"/>
          <w:color w:val="auto"/>
          <w:sz w:val="24"/>
          <w:highlight w:val="none"/>
          <w:lang w:val="zh-TW" w:bidi="ar"/>
        </w:rPr>
        <w:t>自本公告发布之日起3个工作日。</w:t>
      </w:r>
    </w:p>
    <w:p w14:paraId="4FAB6E02">
      <w:pPr>
        <w:pStyle w:val="4"/>
        <w:spacing w:before="0" w:line="360" w:lineRule="auto"/>
        <w:jc w:val="left"/>
        <w:rPr>
          <w:rFonts w:hint="eastAsia" w:ascii="宋体" w:hAnsi="宋体" w:eastAsia="宋体"/>
          <w:color w:val="auto"/>
          <w:sz w:val="24"/>
          <w:szCs w:val="24"/>
          <w:highlight w:val="none"/>
        </w:rPr>
      </w:pPr>
      <w:bookmarkStart w:id="19" w:name="_Toc35393795"/>
      <w:bookmarkStart w:id="20" w:name="_Toc35393626"/>
      <w:r>
        <w:rPr>
          <w:rFonts w:hint="eastAsia" w:ascii="宋体" w:hAnsi="宋体" w:eastAsia="宋体"/>
          <w:color w:val="auto"/>
          <w:sz w:val="24"/>
          <w:szCs w:val="24"/>
          <w:highlight w:val="none"/>
        </w:rPr>
        <w:t>七</w:t>
      </w:r>
      <w:r>
        <w:rPr>
          <w:rFonts w:ascii="宋体" w:hAnsi="宋体" w:eastAsia="宋体"/>
          <w:color w:val="auto"/>
          <w:sz w:val="24"/>
          <w:szCs w:val="24"/>
          <w:highlight w:val="none"/>
        </w:rPr>
        <w:t>、其他补充事宜</w:t>
      </w:r>
      <w:bookmarkEnd w:id="19"/>
      <w:bookmarkEnd w:id="20"/>
    </w:p>
    <w:p w14:paraId="3FE962C4">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.本项目需要落实的政府采购政策：</w:t>
      </w:r>
      <w:bookmarkStart w:id="1148" w:name="_GoBack"/>
      <w:bookmarkEnd w:id="1148"/>
    </w:p>
    <w:p w14:paraId="4594F345">
      <w:pPr>
        <w:widowControl/>
        <w:snapToGrid w:val="0"/>
        <w:spacing w:line="360" w:lineRule="auto"/>
        <w:ind w:left="481" w:leftChars="229" w:right="17"/>
        <w:rPr>
          <w:rFonts w:hint="eastAsia" w:ascii="宋体" w:hAnsi="宋体"/>
          <w:color w:val="auto"/>
          <w:sz w:val="24"/>
          <w:highlight w:val="none"/>
        </w:rPr>
      </w:pPr>
      <w:r>
        <w:rPr>
          <w:rFonts w:hint="eastAsia" w:ascii="宋体" w:hAnsi="宋体"/>
          <w:color w:val="auto"/>
          <w:sz w:val="24"/>
          <w:highlight w:val="none"/>
        </w:rPr>
        <w:t>（1）《政府采购促进中小企业发展管理办法》（财库（2020）46号）；</w:t>
      </w:r>
    </w:p>
    <w:p w14:paraId="0E3147F7">
      <w:pPr>
        <w:widowControl/>
        <w:snapToGrid w:val="0"/>
        <w:spacing w:line="360" w:lineRule="auto"/>
        <w:ind w:left="481" w:leftChars="229" w:right="17"/>
        <w:rPr>
          <w:rFonts w:hint="eastAsia" w:ascii="宋体" w:hAnsi="宋体"/>
          <w:color w:val="auto"/>
          <w:sz w:val="24"/>
          <w:highlight w:val="none"/>
        </w:rPr>
      </w:pPr>
      <w:r>
        <w:rPr>
          <w:rFonts w:hint="eastAsia" w:ascii="宋体" w:hAnsi="宋体"/>
          <w:color w:val="auto"/>
          <w:sz w:val="24"/>
          <w:highlight w:val="none"/>
        </w:rPr>
        <w:t>（2）财政部司法部关于政府采购支持监狱企业发展有关问题的通知--财库〔2014〕68号；</w:t>
      </w:r>
    </w:p>
    <w:p w14:paraId="74CBE273">
      <w:pPr>
        <w:widowControl/>
        <w:snapToGrid w:val="0"/>
        <w:spacing w:line="360" w:lineRule="auto"/>
        <w:ind w:right="17" w:firstLine="480" w:firstLineChars="200"/>
        <w:rPr>
          <w:rFonts w:hint="eastAsia" w:ascii="宋体" w:hAnsi="宋体"/>
          <w:color w:val="auto"/>
          <w:sz w:val="24"/>
          <w:highlight w:val="none"/>
        </w:rPr>
      </w:pPr>
      <w:r>
        <w:rPr>
          <w:rFonts w:hint="eastAsia" w:ascii="宋体" w:hAnsi="宋体"/>
          <w:color w:val="auto"/>
          <w:sz w:val="24"/>
          <w:highlight w:val="none"/>
        </w:rPr>
        <w:t>（3）《关于促进残疾人就业政府采购政策的通知》--财库〔2017〕141号；</w:t>
      </w:r>
    </w:p>
    <w:p w14:paraId="0D817BF1">
      <w:pPr>
        <w:widowControl/>
        <w:snapToGrid w:val="0"/>
        <w:spacing w:line="360" w:lineRule="auto"/>
        <w:ind w:left="481" w:leftChars="229" w:right="17"/>
        <w:rPr>
          <w:rFonts w:hint="eastAsia" w:ascii="宋体" w:hAnsi="宋体"/>
          <w:color w:val="auto"/>
          <w:sz w:val="24"/>
          <w:highlight w:val="none"/>
        </w:rPr>
      </w:pPr>
      <w:r>
        <w:rPr>
          <w:rFonts w:hint="eastAsia" w:ascii="宋体" w:hAnsi="宋体"/>
          <w:color w:val="auto"/>
          <w:sz w:val="24"/>
          <w:highlight w:val="none"/>
        </w:rPr>
        <w:t>（4）《国务院办公厅关于建立政府强制采购节能产品制度的通知》-国办发〔2007〕51号；</w:t>
      </w:r>
    </w:p>
    <w:p w14:paraId="5A591C3F">
      <w:pPr>
        <w:widowControl/>
        <w:snapToGrid w:val="0"/>
        <w:spacing w:line="360" w:lineRule="auto"/>
        <w:ind w:right="17" w:firstLine="480" w:firstLineChars="200"/>
        <w:rPr>
          <w:rFonts w:hint="eastAsia" w:ascii="宋体" w:hAnsi="宋体"/>
          <w:color w:val="auto"/>
          <w:sz w:val="24"/>
          <w:highlight w:val="none"/>
        </w:rPr>
      </w:pPr>
      <w:r>
        <w:rPr>
          <w:rFonts w:hint="eastAsia" w:ascii="宋体" w:hAnsi="宋体"/>
          <w:color w:val="auto"/>
          <w:sz w:val="24"/>
          <w:highlight w:val="none"/>
        </w:rPr>
        <w:t>（5）《环境标志产品政府采购实施的意见》-财库[2006]90号；</w:t>
      </w:r>
    </w:p>
    <w:p w14:paraId="4AF2D619">
      <w:pPr>
        <w:widowControl/>
        <w:snapToGrid w:val="0"/>
        <w:spacing w:line="360" w:lineRule="auto"/>
        <w:ind w:left="481" w:leftChars="229" w:right="17"/>
        <w:rPr>
          <w:rFonts w:hint="eastAsia" w:ascii="宋体" w:hAnsi="宋体"/>
          <w:color w:val="auto"/>
          <w:sz w:val="24"/>
          <w:highlight w:val="none"/>
        </w:rPr>
      </w:pPr>
      <w:r>
        <w:rPr>
          <w:rFonts w:hint="eastAsia" w:ascii="宋体" w:hAnsi="宋体"/>
          <w:color w:val="auto"/>
          <w:sz w:val="24"/>
          <w:highlight w:val="none"/>
        </w:rPr>
        <w:t>（6）《关于调整优化节能产品、环境标志产品政府采购执行机制的通知》-财库〔2019〕9号；</w:t>
      </w:r>
    </w:p>
    <w:p w14:paraId="355708A4">
      <w:pPr>
        <w:widowControl/>
        <w:snapToGrid w:val="0"/>
        <w:spacing w:line="360" w:lineRule="auto"/>
        <w:ind w:right="17" w:firstLine="480" w:firstLineChars="200"/>
        <w:rPr>
          <w:rFonts w:hint="eastAsia" w:ascii="宋体" w:hAnsi="宋体"/>
          <w:color w:val="auto"/>
          <w:sz w:val="24"/>
          <w:highlight w:val="none"/>
        </w:rPr>
      </w:pPr>
      <w:r>
        <w:rPr>
          <w:rFonts w:hint="eastAsia" w:ascii="宋体" w:hAnsi="宋体"/>
          <w:color w:val="auto"/>
          <w:sz w:val="24"/>
          <w:highlight w:val="none"/>
        </w:rPr>
        <w:t>（7）《关于印发环境标志产品政府采购品目清单的通知》（财库〔2019〕18号）。</w:t>
      </w:r>
    </w:p>
    <w:p w14:paraId="04DE498B">
      <w:pPr>
        <w:widowControl/>
        <w:snapToGrid w:val="0"/>
        <w:spacing w:line="360" w:lineRule="auto"/>
        <w:ind w:right="17" w:firstLine="480" w:firstLineChars="200"/>
        <w:rPr>
          <w:rFonts w:hint="eastAsia" w:ascii="宋体" w:hAnsi="宋体"/>
          <w:color w:val="auto"/>
          <w:sz w:val="24"/>
          <w:highlight w:val="none"/>
        </w:rPr>
      </w:pPr>
      <w:r>
        <w:rPr>
          <w:rFonts w:hint="eastAsia" w:ascii="宋体" w:hAnsi="宋体"/>
          <w:color w:val="auto"/>
          <w:sz w:val="24"/>
          <w:highlight w:val="none"/>
        </w:rPr>
        <w:t>2.供应商属于下列情形之一的，不得参与本项目采购活动：</w:t>
      </w:r>
    </w:p>
    <w:p w14:paraId="6E4F4170">
      <w:pPr>
        <w:widowControl/>
        <w:snapToGrid w:val="0"/>
        <w:spacing w:line="360" w:lineRule="auto"/>
        <w:ind w:right="17" w:firstLine="480" w:firstLineChars="200"/>
        <w:rPr>
          <w:rFonts w:hint="eastAsia" w:ascii="宋体" w:hAnsi="宋体"/>
          <w:color w:val="auto"/>
          <w:sz w:val="24"/>
          <w:highlight w:val="none"/>
        </w:rPr>
      </w:pPr>
      <w:r>
        <w:rPr>
          <w:rFonts w:hint="eastAsia" w:ascii="宋体" w:hAnsi="宋体"/>
          <w:color w:val="auto"/>
          <w:sz w:val="24"/>
          <w:highlight w:val="none"/>
        </w:rPr>
        <w:t>（1）被“信用中国”网站（www.creditchian.gov.cn）中列入失信被执行人或重大税收违法案件当事人名单、被中国政府采购网(wnw.ccgp.gov.cn)列入政府采购严重违法失信行为记录名单中被财政部门禁止参加政府采购活动的供应商，无资格参加本项目的采购活动;</w:t>
      </w:r>
    </w:p>
    <w:p w14:paraId="694A3EE8">
      <w:pPr>
        <w:widowControl/>
        <w:snapToGrid w:val="0"/>
        <w:spacing w:line="360" w:lineRule="auto"/>
        <w:ind w:right="17" w:firstLine="480" w:firstLineChars="200"/>
        <w:rPr>
          <w:rFonts w:hint="eastAsia" w:ascii="宋体" w:hAnsi="宋体"/>
          <w:color w:val="auto"/>
          <w:sz w:val="24"/>
          <w:highlight w:val="none"/>
        </w:rPr>
      </w:pPr>
      <w:r>
        <w:rPr>
          <w:rFonts w:hint="eastAsia" w:ascii="宋体" w:hAnsi="宋体"/>
          <w:color w:val="auto"/>
          <w:sz w:val="24"/>
          <w:highlight w:val="none"/>
        </w:rPr>
        <w:t>(2)单位负责人为同一人或者存在直接控股、管理关系的不同供应商，不得同时参加本项目的响应;</w:t>
      </w:r>
    </w:p>
    <w:p w14:paraId="018C6114">
      <w:pPr>
        <w:widowControl/>
        <w:snapToGrid w:val="0"/>
        <w:spacing w:line="360" w:lineRule="auto"/>
        <w:ind w:right="17" w:firstLine="480" w:firstLineChars="200"/>
        <w:rPr>
          <w:rFonts w:hint="eastAsia" w:ascii="宋体" w:hAnsi="宋体"/>
          <w:color w:val="auto"/>
          <w:sz w:val="24"/>
          <w:highlight w:val="none"/>
        </w:rPr>
      </w:pPr>
      <w:r>
        <w:rPr>
          <w:rFonts w:hint="eastAsia" w:ascii="宋体" w:hAnsi="宋体"/>
          <w:color w:val="auto"/>
          <w:sz w:val="24"/>
          <w:highlight w:val="none"/>
        </w:rPr>
        <w:t>(3)为本项目提供整体设计、规范编制或者项目管理、监理、检测等服务的供应商，不得再参加本项目响应;</w:t>
      </w:r>
    </w:p>
    <w:p w14:paraId="0ABFC86D">
      <w:pPr>
        <w:widowControl/>
        <w:snapToGrid w:val="0"/>
        <w:spacing w:line="360" w:lineRule="auto"/>
        <w:ind w:right="17" w:firstLine="480" w:firstLineChars="200"/>
        <w:rPr>
          <w:rFonts w:hint="eastAsia" w:ascii="宋体" w:hAnsi="宋体"/>
          <w:color w:val="auto"/>
          <w:sz w:val="24"/>
          <w:highlight w:val="none"/>
        </w:rPr>
      </w:pPr>
      <w:r>
        <w:rPr>
          <w:rFonts w:hint="eastAsia" w:ascii="宋体" w:hAnsi="宋体"/>
          <w:color w:val="auto"/>
          <w:sz w:val="24"/>
          <w:highlight w:val="none"/>
        </w:rPr>
        <w:t>(4)本项目不接受进口产品响应。</w:t>
      </w:r>
    </w:p>
    <w:p w14:paraId="444321B4">
      <w:pPr>
        <w:widowControl/>
        <w:snapToGrid w:val="0"/>
        <w:spacing w:line="360" w:lineRule="auto"/>
        <w:ind w:right="17" w:firstLine="480" w:firstLineChars="200"/>
        <w:rPr>
          <w:rFonts w:hint="eastAsia" w:ascii="宋体" w:hAnsi="宋体"/>
          <w:color w:val="auto"/>
          <w:sz w:val="24"/>
          <w:highlight w:val="none"/>
        </w:rPr>
      </w:pPr>
      <w:r>
        <w:rPr>
          <w:rFonts w:hint="eastAsia" w:ascii="宋体" w:hAnsi="宋体"/>
          <w:color w:val="auto"/>
          <w:sz w:val="24"/>
          <w:highlight w:val="none"/>
        </w:rPr>
        <w:t>3. 本公告同时在中国政府采购网（http://www.ccgp.gov.cn）、北京市政府采购网（http://www.ccgp-beijing.gov.cn/）发布。</w:t>
      </w:r>
    </w:p>
    <w:p w14:paraId="1C23CECB">
      <w:pPr>
        <w:widowControl/>
        <w:snapToGrid w:val="0"/>
        <w:spacing w:line="360" w:lineRule="auto"/>
        <w:ind w:left="481" w:leftChars="229" w:right="17"/>
        <w:rPr>
          <w:rFonts w:hint="eastAsia"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highlight w:val="none"/>
        </w:rPr>
        <w:t xml:space="preserve"> </w:t>
      </w:r>
      <w:bookmarkStart w:id="21" w:name="_Toc28359008"/>
      <w:bookmarkStart w:id="22" w:name="_Toc28359085"/>
      <w:bookmarkStart w:id="23" w:name="_Toc35393796"/>
      <w:bookmarkStart w:id="24" w:name="_Toc35393627"/>
      <w:r>
        <w:rPr>
          <w:rFonts w:hint="eastAsia" w:ascii="宋体" w:hAnsi="宋体"/>
          <w:color w:val="auto"/>
          <w:sz w:val="24"/>
          <w:highlight w:val="none"/>
        </w:rPr>
        <w:t>如仅领取电子版文件不收费。</w:t>
      </w:r>
    </w:p>
    <w:p w14:paraId="3F6FCDDA">
      <w:pPr>
        <w:pStyle w:val="4"/>
        <w:spacing w:before="0" w:line="360" w:lineRule="auto"/>
        <w:jc w:val="left"/>
        <w:rPr>
          <w:rFonts w:hint="eastAsia" w:ascii="宋体" w:hAnsi="宋体" w:eastAsia="宋体"/>
          <w:color w:val="auto"/>
          <w:sz w:val="24"/>
          <w:szCs w:val="24"/>
          <w:highlight w:val="none"/>
        </w:rPr>
      </w:pPr>
      <w:r>
        <w:rPr>
          <w:rFonts w:ascii="宋体" w:hAnsi="宋体" w:eastAsia="宋体"/>
          <w:color w:val="auto"/>
          <w:sz w:val="24"/>
          <w:szCs w:val="24"/>
          <w:highlight w:val="none"/>
        </w:rPr>
        <w:t>八、对本项目提出询问，请按以下方式联系。</w:t>
      </w:r>
      <w:bookmarkEnd w:id="21"/>
      <w:bookmarkEnd w:id="22"/>
      <w:bookmarkEnd w:id="23"/>
      <w:bookmarkEnd w:id="24"/>
    </w:p>
    <w:p w14:paraId="2B2F6A7E">
      <w:pPr>
        <w:widowControl/>
        <w:spacing w:line="360" w:lineRule="auto"/>
        <w:jc w:val="left"/>
        <w:rPr>
          <w:rFonts w:hint="eastAsia" w:ascii="宋体" w:hAnsi="宋体"/>
          <w:b/>
          <w:color w:val="auto"/>
          <w:sz w:val="24"/>
          <w:highlight w:val="none"/>
        </w:rPr>
      </w:pPr>
      <w:r>
        <w:rPr>
          <w:rFonts w:ascii="宋体" w:hAnsi="宋体"/>
          <w:color w:val="auto"/>
          <w:sz w:val="24"/>
          <w:highlight w:val="none"/>
        </w:rPr>
        <w:t>　　　</w:t>
      </w:r>
      <w:r>
        <w:rPr>
          <w:rFonts w:ascii="宋体" w:hAnsi="宋体"/>
          <w:b/>
          <w:color w:val="auto"/>
          <w:sz w:val="24"/>
          <w:highlight w:val="none"/>
        </w:rPr>
        <w:t>1.采购人信息</w:t>
      </w:r>
    </w:p>
    <w:p w14:paraId="0D5077C6">
      <w:pPr>
        <w:spacing w:line="360" w:lineRule="auto"/>
        <w:ind w:left="1079" w:leftChars="371" w:hanging="300" w:hangingChars="125"/>
        <w:jc w:val="left"/>
        <w:rPr>
          <w:rFonts w:hint="eastAsia" w:ascii="宋体" w:hAnsi="宋体"/>
          <w:color w:val="auto"/>
          <w:sz w:val="24"/>
          <w:highlight w:val="none"/>
        </w:rPr>
      </w:pPr>
      <w:bookmarkStart w:id="25" w:name="_Toc28359009"/>
      <w:bookmarkStart w:id="26" w:name="_Toc28359086"/>
      <w:r>
        <w:rPr>
          <w:rFonts w:ascii="宋体" w:hAnsi="宋体"/>
          <w:color w:val="auto"/>
          <w:sz w:val="24"/>
          <w:highlight w:val="none"/>
        </w:rPr>
        <w:t>名称：</w:t>
      </w:r>
      <w:r>
        <w:rPr>
          <w:rFonts w:hint="eastAsia" w:ascii="宋体" w:hAnsi="宋体"/>
          <w:color w:val="auto"/>
          <w:sz w:val="24"/>
          <w:highlight w:val="none"/>
        </w:rPr>
        <w:t>北京市水利工程管理中心</w:t>
      </w:r>
      <w:r>
        <w:rPr>
          <w:rFonts w:ascii="宋体" w:hAnsi="宋体"/>
          <w:color w:val="auto"/>
          <w:sz w:val="24"/>
          <w:highlight w:val="none"/>
        </w:rPr>
        <w:t xml:space="preserve"> </w:t>
      </w:r>
    </w:p>
    <w:p w14:paraId="6E75721E">
      <w:pPr>
        <w:spacing w:line="360" w:lineRule="auto"/>
        <w:ind w:left="1079" w:leftChars="371" w:hanging="300" w:hangingChars="125"/>
        <w:jc w:val="left"/>
        <w:rPr>
          <w:rFonts w:hint="eastAsia" w:ascii="宋体" w:hAnsi="宋体"/>
          <w:color w:val="auto"/>
          <w:sz w:val="24"/>
          <w:highlight w:val="none"/>
          <w:u w:val="single"/>
        </w:rPr>
      </w:pPr>
      <w:r>
        <w:rPr>
          <w:rFonts w:ascii="宋体" w:hAnsi="宋体"/>
          <w:color w:val="auto"/>
          <w:sz w:val="24"/>
          <w:highlight w:val="none"/>
        </w:rPr>
        <w:t>地址：</w:t>
      </w:r>
      <w:r>
        <w:rPr>
          <w:rFonts w:hint="eastAsia" w:ascii="宋体" w:hAnsi="宋体"/>
          <w:color w:val="auto"/>
          <w:sz w:val="24"/>
          <w:highlight w:val="none"/>
        </w:rPr>
        <w:t>北京市海淀区玉渊潭南路5号</w:t>
      </w:r>
    </w:p>
    <w:p w14:paraId="3305D96F">
      <w:pPr>
        <w:spacing w:line="360" w:lineRule="auto"/>
        <w:ind w:left="1079" w:leftChars="371" w:hanging="300" w:hangingChars="125"/>
        <w:jc w:val="left"/>
        <w:rPr>
          <w:rFonts w:hint="eastAsia" w:ascii="宋体" w:hAnsi="宋体"/>
          <w:color w:val="auto"/>
          <w:sz w:val="24"/>
          <w:highlight w:val="none"/>
          <w:u w:val="single"/>
        </w:rPr>
      </w:pPr>
      <w:r>
        <w:rPr>
          <w:rFonts w:ascii="宋体" w:hAnsi="宋体"/>
          <w:color w:val="auto"/>
          <w:sz w:val="24"/>
          <w:highlight w:val="none"/>
        </w:rPr>
        <w:t>联系方式</w:t>
      </w:r>
      <w:r>
        <w:rPr>
          <w:rFonts w:hint="eastAsia" w:ascii="宋体" w:hAnsi="宋体"/>
          <w:color w:val="auto"/>
          <w:sz w:val="24"/>
          <w:highlight w:val="none"/>
        </w:rPr>
        <w:t>：张工</w:t>
      </w:r>
    </w:p>
    <w:p w14:paraId="6BA6412E">
      <w:pPr>
        <w:spacing w:line="360" w:lineRule="auto"/>
        <w:ind w:left="1080" w:leftChars="371" w:hanging="301" w:hangingChars="125"/>
        <w:jc w:val="left"/>
        <w:rPr>
          <w:rFonts w:hint="eastAsia" w:ascii="宋体" w:hAnsi="宋体"/>
          <w:b/>
          <w:color w:val="auto"/>
          <w:sz w:val="24"/>
          <w:highlight w:val="none"/>
        </w:rPr>
      </w:pPr>
      <w:r>
        <w:rPr>
          <w:rFonts w:ascii="宋体" w:hAnsi="宋体"/>
          <w:b/>
          <w:color w:val="auto"/>
          <w:sz w:val="24"/>
          <w:highlight w:val="none"/>
        </w:rPr>
        <w:t>2.采购代理机构信息</w:t>
      </w:r>
      <w:bookmarkEnd w:id="25"/>
      <w:bookmarkEnd w:id="26"/>
    </w:p>
    <w:p w14:paraId="3AE83B97">
      <w:pPr>
        <w:spacing w:line="360" w:lineRule="auto"/>
        <w:ind w:left="1076" w:leftChars="371" w:hanging="297" w:hangingChars="124"/>
        <w:jc w:val="left"/>
        <w:rPr>
          <w:rFonts w:hint="eastAsia" w:ascii="宋体" w:hAnsi="宋体"/>
          <w:color w:val="auto"/>
          <w:sz w:val="24"/>
          <w:highlight w:val="none"/>
        </w:rPr>
      </w:pPr>
      <w:bookmarkStart w:id="27" w:name="_Toc28359087"/>
      <w:bookmarkStart w:id="28" w:name="_Toc28359010"/>
      <w:r>
        <w:rPr>
          <w:rFonts w:ascii="宋体" w:hAnsi="宋体"/>
          <w:color w:val="auto"/>
          <w:sz w:val="24"/>
          <w:highlight w:val="none"/>
        </w:rPr>
        <w:t>名    称：</w:t>
      </w:r>
      <w:r>
        <w:rPr>
          <w:rFonts w:hint="eastAsia" w:ascii="宋体" w:hAnsi="宋体"/>
          <w:color w:val="auto"/>
          <w:sz w:val="24"/>
          <w:highlight w:val="none"/>
        </w:rPr>
        <w:t>北京中域正信工程咨询有限公司</w:t>
      </w:r>
    </w:p>
    <w:p w14:paraId="590B6D2A">
      <w:pPr>
        <w:spacing w:line="360" w:lineRule="auto"/>
        <w:ind w:left="1076" w:leftChars="371" w:hanging="297" w:hangingChars="124"/>
        <w:jc w:val="left"/>
        <w:rPr>
          <w:rFonts w:hint="eastAsia" w:ascii="宋体" w:hAnsi="宋体"/>
          <w:color w:val="auto"/>
          <w:sz w:val="24"/>
          <w:highlight w:val="none"/>
        </w:rPr>
      </w:pPr>
      <w:r>
        <w:rPr>
          <w:rFonts w:ascii="宋体" w:hAnsi="宋体"/>
          <w:color w:val="auto"/>
          <w:sz w:val="24"/>
          <w:highlight w:val="none"/>
        </w:rPr>
        <w:t>地    址：</w:t>
      </w:r>
      <w:r>
        <w:rPr>
          <w:rFonts w:hint="eastAsia" w:ascii="宋体" w:hAnsi="宋体"/>
          <w:color w:val="auto"/>
          <w:sz w:val="24"/>
          <w:highlight w:val="none"/>
        </w:rPr>
        <w:t>北京市昌平区碧水庄园3-20</w:t>
      </w:r>
    </w:p>
    <w:p w14:paraId="2873D17F">
      <w:pPr>
        <w:spacing w:line="360" w:lineRule="auto"/>
        <w:ind w:left="1076" w:leftChars="371" w:hanging="297" w:hangingChars="124"/>
        <w:jc w:val="left"/>
        <w:rPr>
          <w:rFonts w:hint="default" w:ascii="宋体" w:hAnsi="宋体" w:eastAsia="宋体"/>
          <w:color w:val="auto"/>
          <w:sz w:val="24"/>
          <w:highlight w:val="none"/>
          <w:lang w:val="en-US" w:eastAsia="zh-CN"/>
        </w:rPr>
      </w:pPr>
      <w:r>
        <w:rPr>
          <w:rFonts w:ascii="宋体" w:hAnsi="宋体"/>
          <w:color w:val="auto"/>
          <w:sz w:val="24"/>
          <w:highlight w:val="none"/>
        </w:rPr>
        <w:t>联系方式：</w:t>
      </w:r>
      <w:r>
        <w:rPr>
          <w:rFonts w:hint="eastAsia" w:ascii="宋体" w:hAnsi="宋体"/>
          <w:color w:val="auto"/>
          <w:sz w:val="24"/>
          <w:highlight w:val="none"/>
          <w:lang w:val="en-US" w:eastAsia="zh-CN"/>
        </w:rPr>
        <w:t>张建明</w:t>
      </w:r>
    </w:p>
    <w:p w14:paraId="48104783">
      <w:pPr>
        <w:spacing w:line="360" w:lineRule="auto"/>
        <w:ind w:left="1078" w:leftChars="371" w:hanging="299" w:hangingChars="124"/>
        <w:rPr>
          <w:rFonts w:hint="eastAsia" w:ascii="宋体" w:hAnsi="宋体"/>
          <w:b/>
          <w:color w:val="auto"/>
          <w:sz w:val="24"/>
          <w:highlight w:val="none"/>
        </w:rPr>
      </w:pPr>
      <w:r>
        <w:rPr>
          <w:rFonts w:ascii="宋体" w:hAnsi="宋体"/>
          <w:b/>
          <w:color w:val="auto"/>
          <w:sz w:val="24"/>
          <w:highlight w:val="none"/>
        </w:rPr>
        <w:t>3.项目联系方式</w:t>
      </w:r>
      <w:bookmarkEnd w:id="27"/>
      <w:bookmarkEnd w:id="28"/>
    </w:p>
    <w:p w14:paraId="17D707ED">
      <w:pPr>
        <w:pStyle w:val="9"/>
        <w:spacing w:line="360" w:lineRule="auto"/>
        <w:ind w:left="1076" w:leftChars="371" w:hanging="297" w:hangingChars="124"/>
        <w:rPr>
          <w:rFonts w:hint="default" w:hAnsi="宋体" w:eastAsia="宋体"/>
          <w:color w:val="auto"/>
          <w:sz w:val="24"/>
          <w:highlight w:val="none"/>
          <w:lang w:val="en-US" w:eastAsia="zh-CN" w:bidi="ar"/>
        </w:rPr>
      </w:pPr>
      <w:r>
        <w:rPr>
          <w:rFonts w:hAnsi="宋体"/>
          <w:color w:val="auto"/>
          <w:sz w:val="24"/>
          <w:szCs w:val="24"/>
          <w:highlight w:val="none"/>
        </w:rPr>
        <w:t>项目联系人：</w:t>
      </w:r>
      <w:r>
        <w:rPr>
          <w:rFonts w:hint="eastAsia" w:hAnsi="宋体"/>
          <w:color w:val="auto"/>
          <w:sz w:val="24"/>
          <w:highlight w:val="none"/>
          <w:lang w:val="en-US" w:eastAsia="zh-CN"/>
        </w:rPr>
        <w:t>张建明</w:t>
      </w:r>
      <w:r>
        <w:rPr>
          <w:rFonts w:hint="eastAsia" w:hAnsi="宋体"/>
          <w:color w:val="auto"/>
          <w:sz w:val="24"/>
          <w:highlight w:val="none"/>
          <w:lang w:val="en-US" w:eastAsia="zh-CN"/>
        </w:rPr>
        <w:tab/>
      </w:r>
    </w:p>
    <w:p w14:paraId="3CB2948C">
      <w:pPr>
        <w:spacing w:line="360" w:lineRule="auto"/>
        <w:ind w:left="1076" w:leftChars="371" w:hanging="297" w:hangingChars="124"/>
        <w:jc w:val="left"/>
        <w:rPr>
          <w:rFonts w:hint="default" w:ascii="宋体" w:hAnsi="宋体" w:eastAsia="宋体"/>
          <w:color w:val="auto"/>
          <w:sz w:val="24"/>
          <w:highlight w:val="none"/>
          <w:lang w:val="en-US" w:eastAsia="zh-CN"/>
        </w:rPr>
      </w:pPr>
      <w:r>
        <w:rPr>
          <w:rFonts w:ascii="宋体" w:hAnsi="宋体"/>
          <w:color w:val="auto"/>
          <w:sz w:val="24"/>
          <w:highlight w:val="none"/>
        </w:rPr>
        <w:t>电      话：</w:t>
      </w:r>
      <w:r>
        <w:rPr>
          <w:rFonts w:hint="eastAsia" w:ascii="宋体" w:hAnsi="宋体"/>
          <w:color w:val="auto"/>
          <w:sz w:val="24"/>
          <w:highlight w:val="none"/>
        </w:rPr>
        <w:t>15</w:t>
      </w:r>
      <w:r>
        <w:rPr>
          <w:rFonts w:hint="eastAsia" w:ascii="宋体" w:hAnsi="宋体"/>
          <w:color w:val="auto"/>
          <w:sz w:val="24"/>
          <w:highlight w:val="none"/>
          <w:lang w:val="en-US" w:eastAsia="zh-CN"/>
        </w:rPr>
        <w:t>011275036</w:t>
      </w:r>
    </w:p>
    <w:p w14:paraId="34779C80">
      <w:pPr>
        <w:rPr>
          <w:rFonts w:hint="eastAsia" w:ascii="宋体" w:hAnsi="宋体"/>
          <w:color w:val="auto"/>
          <w:highlight w:val="none"/>
        </w:rPr>
      </w:pPr>
    </w:p>
    <w:p w14:paraId="56BD5D03">
      <w:pPr>
        <w:widowControl/>
        <w:jc w:val="left"/>
        <w:rPr>
          <w:rFonts w:hint="eastAsia" w:ascii="宋体" w:hAnsi="宋体"/>
          <w:color w:val="auto"/>
          <w:highlight w:val="none"/>
        </w:rPr>
      </w:pPr>
      <w:r>
        <w:rPr>
          <w:rFonts w:ascii="宋体" w:hAnsi="宋体"/>
          <w:color w:val="auto"/>
          <w:highlight w:val="none"/>
        </w:rPr>
        <w:br w:type="page"/>
      </w:r>
    </w:p>
    <w:p w14:paraId="45CE2170">
      <w:pPr>
        <w:spacing w:line="360" w:lineRule="auto"/>
        <w:jc w:val="center"/>
        <w:outlineLvl w:val="0"/>
        <w:rPr>
          <w:rFonts w:hint="eastAsia" w:ascii="宋体" w:hAnsi="宋体"/>
          <w:b/>
          <w:color w:val="auto"/>
          <w:sz w:val="32"/>
          <w:szCs w:val="32"/>
          <w:highlight w:val="none"/>
        </w:rPr>
      </w:pPr>
      <w:bookmarkStart w:id="29" w:name="_Toc265228423"/>
      <w:bookmarkStart w:id="30" w:name="_Toc195842950"/>
      <w:bookmarkStart w:id="31" w:name="_Toc103153302"/>
      <w:bookmarkStart w:id="32" w:name="_Toc353825548"/>
      <w:bookmarkStart w:id="33" w:name="_Toc150774783"/>
      <w:bookmarkStart w:id="34" w:name="_Toc127151777"/>
      <w:bookmarkStart w:id="35" w:name="_Toc305158928"/>
      <w:bookmarkStart w:id="36" w:name="_Toc264969275"/>
      <w:bookmarkStart w:id="37" w:name="_Toc127161488"/>
      <w:bookmarkStart w:id="38" w:name="_Toc512937850"/>
      <w:bookmarkStart w:id="39" w:name="_Toc226965856"/>
      <w:bookmarkStart w:id="40" w:name="_Toc353873938"/>
      <w:bookmarkStart w:id="41" w:name="_Toc32191"/>
      <w:bookmarkStart w:id="42" w:name="_Toc305158854"/>
      <w:r>
        <w:rPr>
          <w:rFonts w:ascii="宋体" w:hAnsi="宋体"/>
          <w:b/>
          <w:color w:val="auto"/>
          <w:sz w:val="36"/>
          <w:szCs w:val="36"/>
          <w:highlight w:val="none"/>
        </w:rPr>
        <w:t>第二章   供应商须知</w:t>
      </w:r>
      <w:bookmarkEnd w:id="29"/>
      <w:bookmarkEnd w:id="30"/>
      <w:bookmarkEnd w:id="31"/>
      <w:bookmarkEnd w:id="32"/>
      <w:bookmarkEnd w:id="33"/>
      <w:bookmarkEnd w:id="34"/>
      <w:bookmarkEnd w:id="35"/>
      <w:bookmarkEnd w:id="36"/>
      <w:bookmarkEnd w:id="37"/>
      <w:bookmarkEnd w:id="38"/>
      <w:bookmarkEnd w:id="39"/>
      <w:bookmarkEnd w:id="40"/>
      <w:bookmarkEnd w:id="41"/>
      <w:bookmarkEnd w:id="42"/>
    </w:p>
    <w:p w14:paraId="6F477F35">
      <w:pPr>
        <w:pStyle w:val="32"/>
        <w:jc w:val="center"/>
        <w:rPr>
          <w:rFonts w:hint="eastAsia" w:ascii="宋体" w:hAnsi="宋体" w:eastAsia="宋体"/>
          <w:b/>
          <w:bCs/>
          <w:color w:val="auto"/>
          <w:sz w:val="28"/>
          <w:szCs w:val="36"/>
          <w:highlight w:val="none"/>
        </w:rPr>
      </w:pPr>
      <w:r>
        <w:rPr>
          <w:rFonts w:ascii="宋体" w:hAnsi="宋体" w:eastAsia="宋体"/>
          <w:b/>
          <w:bCs/>
          <w:color w:val="auto"/>
          <w:sz w:val="28"/>
          <w:szCs w:val="36"/>
          <w:highlight w:val="none"/>
        </w:rPr>
        <w:t>供应商须知资料表</w:t>
      </w:r>
    </w:p>
    <w:p w14:paraId="5C18510D">
      <w:pPr>
        <w:spacing w:line="360" w:lineRule="auto"/>
        <w:ind w:firstLine="480"/>
        <w:rPr>
          <w:rFonts w:hint="eastAsia" w:ascii="宋体" w:hAnsi="宋体"/>
          <w:color w:val="auto"/>
          <w:sz w:val="24"/>
          <w:highlight w:val="none"/>
        </w:rPr>
      </w:pPr>
      <w:r>
        <w:rPr>
          <w:rFonts w:ascii="宋体" w:hAnsi="宋体"/>
          <w:color w:val="auto"/>
          <w:sz w:val="24"/>
          <w:highlight w:val="none"/>
        </w:rPr>
        <w:t>本表是对供应商须知的具体补充和修改，如有矛盾，均以本资料表为准。标记“</w:t>
      </w:r>
      <w:r>
        <w:rPr>
          <w:rFonts w:ascii="宋体" w:hAnsi="宋体"/>
          <w:b/>
          <w:color w:val="auto"/>
          <w:sz w:val="24"/>
          <w:highlight w:val="none"/>
        </w:rPr>
        <w:t>■</w:t>
      </w:r>
      <w:r>
        <w:rPr>
          <w:rFonts w:ascii="宋体" w:hAnsi="宋体"/>
          <w:color w:val="auto"/>
          <w:sz w:val="24"/>
          <w:highlight w:val="none"/>
        </w:rPr>
        <w:t>”的选项意为适用于本项目，标记“</w:t>
      </w:r>
      <w:r>
        <w:rPr>
          <w:rFonts w:ascii="宋体" w:hAnsi="宋体"/>
          <w:color w:val="auto"/>
          <w:highlight w:val="none"/>
        </w:rPr>
        <w:t>□</w:t>
      </w:r>
      <w:r>
        <w:rPr>
          <w:rFonts w:ascii="宋体" w:hAnsi="宋体"/>
          <w:color w:val="auto"/>
          <w:sz w:val="24"/>
          <w:highlight w:val="none"/>
        </w:rPr>
        <w:t>”的选项意为不适用于本项目。</w:t>
      </w:r>
    </w:p>
    <w:tbl>
      <w:tblPr>
        <w:tblStyle w:val="16"/>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2B877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46B22B27">
            <w:pPr>
              <w:jc w:val="center"/>
              <w:rPr>
                <w:rFonts w:hint="eastAsia" w:ascii="宋体" w:hAnsi="宋体"/>
                <w:b/>
                <w:bCs/>
                <w:color w:val="auto"/>
                <w:sz w:val="24"/>
                <w:highlight w:val="none"/>
              </w:rPr>
            </w:pPr>
            <w:r>
              <w:rPr>
                <w:rFonts w:ascii="宋体" w:hAnsi="宋体"/>
                <w:b/>
                <w:color w:val="auto"/>
                <w:sz w:val="24"/>
                <w:highlight w:val="none"/>
              </w:rPr>
              <w:t>条款号</w:t>
            </w:r>
          </w:p>
        </w:tc>
        <w:tc>
          <w:tcPr>
            <w:tcW w:w="1701" w:type="dxa"/>
            <w:vAlign w:val="center"/>
          </w:tcPr>
          <w:p w14:paraId="2BE80465">
            <w:pPr>
              <w:jc w:val="center"/>
              <w:rPr>
                <w:rFonts w:hint="eastAsia" w:ascii="宋体" w:hAnsi="宋体"/>
                <w:b/>
                <w:bCs/>
                <w:color w:val="auto"/>
                <w:sz w:val="24"/>
                <w:highlight w:val="none"/>
              </w:rPr>
            </w:pPr>
            <w:r>
              <w:rPr>
                <w:rFonts w:ascii="宋体" w:hAnsi="宋体"/>
                <w:b/>
                <w:bCs/>
                <w:color w:val="auto"/>
                <w:sz w:val="24"/>
                <w:highlight w:val="none"/>
              </w:rPr>
              <w:t>条目</w:t>
            </w:r>
          </w:p>
        </w:tc>
        <w:tc>
          <w:tcPr>
            <w:tcW w:w="7253" w:type="dxa"/>
            <w:vAlign w:val="center"/>
          </w:tcPr>
          <w:p w14:paraId="77891C42">
            <w:pPr>
              <w:jc w:val="center"/>
              <w:rPr>
                <w:rFonts w:hint="eastAsia" w:ascii="宋体" w:hAnsi="宋体"/>
                <w:b/>
                <w:bCs/>
                <w:color w:val="auto"/>
                <w:sz w:val="24"/>
                <w:highlight w:val="none"/>
              </w:rPr>
            </w:pPr>
            <w:r>
              <w:rPr>
                <w:rFonts w:ascii="宋体" w:hAnsi="宋体"/>
                <w:b/>
                <w:bCs/>
                <w:color w:val="auto"/>
                <w:sz w:val="24"/>
                <w:highlight w:val="none"/>
              </w:rPr>
              <w:t>内容</w:t>
            </w:r>
          </w:p>
        </w:tc>
      </w:tr>
      <w:tr w14:paraId="5A3E5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CF7FB4D">
            <w:pPr>
              <w:pStyle w:val="9"/>
              <w:adjustRightInd w:val="0"/>
              <w:snapToGrid w:val="0"/>
              <w:jc w:val="center"/>
              <w:rPr>
                <w:rFonts w:hint="eastAsia" w:hAnsi="宋体"/>
                <w:color w:val="auto"/>
                <w:sz w:val="24"/>
                <w:szCs w:val="24"/>
                <w:highlight w:val="none"/>
              </w:rPr>
            </w:pPr>
            <w:r>
              <w:rPr>
                <w:rFonts w:hAnsi="宋体"/>
                <w:color w:val="auto"/>
                <w:sz w:val="24"/>
                <w:szCs w:val="24"/>
                <w:highlight w:val="none"/>
              </w:rPr>
              <w:t>2.2</w:t>
            </w:r>
          </w:p>
        </w:tc>
        <w:tc>
          <w:tcPr>
            <w:tcW w:w="1701" w:type="dxa"/>
            <w:vAlign w:val="center"/>
          </w:tcPr>
          <w:p w14:paraId="4F1C2B33">
            <w:pPr>
              <w:jc w:val="center"/>
              <w:rPr>
                <w:rFonts w:hint="eastAsia" w:ascii="宋体" w:hAnsi="宋体"/>
                <w:color w:val="auto"/>
                <w:sz w:val="24"/>
                <w:highlight w:val="none"/>
              </w:rPr>
            </w:pPr>
            <w:r>
              <w:rPr>
                <w:rFonts w:ascii="宋体" w:hAnsi="宋体"/>
                <w:color w:val="auto"/>
                <w:sz w:val="24"/>
                <w:highlight w:val="none"/>
              </w:rPr>
              <w:t>项目属性</w:t>
            </w:r>
          </w:p>
        </w:tc>
        <w:tc>
          <w:tcPr>
            <w:tcW w:w="7253" w:type="dxa"/>
            <w:vAlign w:val="center"/>
          </w:tcPr>
          <w:p w14:paraId="7BB7515D">
            <w:pPr>
              <w:spacing w:line="360" w:lineRule="auto"/>
              <w:jc w:val="left"/>
              <w:rPr>
                <w:rFonts w:hint="eastAsia" w:ascii="宋体" w:hAnsi="宋体"/>
                <w:color w:val="auto"/>
                <w:sz w:val="24"/>
                <w:highlight w:val="none"/>
                <w:u w:val="single"/>
              </w:rPr>
            </w:pPr>
            <w:r>
              <w:rPr>
                <w:rFonts w:ascii="宋体" w:hAnsi="宋体"/>
                <w:color w:val="auto"/>
                <w:sz w:val="24"/>
                <w:highlight w:val="none"/>
              </w:rPr>
              <w:t>项目属性：□服务</w:t>
            </w:r>
            <w:r>
              <w:rPr>
                <w:rFonts w:hint="eastAsia" w:ascii="宋体" w:hAnsi="宋体"/>
                <w:color w:val="auto"/>
                <w:sz w:val="24"/>
                <w:highlight w:val="none"/>
              </w:rPr>
              <w:t xml:space="preserve">      </w:t>
            </w:r>
            <w:r>
              <w:rPr>
                <w:rFonts w:ascii="宋体" w:hAnsi="宋体"/>
                <w:color w:val="auto"/>
                <w:sz w:val="24"/>
                <w:highlight w:val="none"/>
              </w:rPr>
              <w:t>□货物</w:t>
            </w:r>
            <w:r>
              <w:rPr>
                <w:rFonts w:hint="eastAsia" w:ascii="宋体" w:hAnsi="宋体"/>
                <w:color w:val="auto"/>
                <w:sz w:val="24"/>
                <w:highlight w:val="none"/>
              </w:rPr>
              <w:t xml:space="preserve">      </w:t>
            </w:r>
            <w:r>
              <w:rPr>
                <w:rFonts w:ascii="宋体" w:hAnsi="宋体"/>
                <w:b/>
                <w:color w:val="auto"/>
                <w:sz w:val="24"/>
                <w:highlight w:val="none"/>
              </w:rPr>
              <w:t>■</w:t>
            </w:r>
            <w:r>
              <w:rPr>
                <w:rFonts w:hint="eastAsia" w:ascii="宋体" w:hAnsi="宋体"/>
                <w:color w:val="auto"/>
                <w:sz w:val="24"/>
                <w:highlight w:val="none"/>
              </w:rPr>
              <w:t>工程</w:t>
            </w:r>
          </w:p>
        </w:tc>
      </w:tr>
      <w:tr w14:paraId="4A763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273A2C3">
            <w:pPr>
              <w:pStyle w:val="9"/>
              <w:adjustRightInd w:val="0"/>
              <w:snapToGrid w:val="0"/>
              <w:jc w:val="center"/>
              <w:rPr>
                <w:rFonts w:hint="eastAsia" w:hAnsi="宋体"/>
                <w:color w:val="auto"/>
                <w:sz w:val="24"/>
                <w:szCs w:val="24"/>
                <w:highlight w:val="none"/>
              </w:rPr>
            </w:pPr>
            <w:r>
              <w:rPr>
                <w:rFonts w:hAnsi="宋体"/>
                <w:color w:val="auto"/>
                <w:sz w:val="24"/>
                <w:szCs w:val="24"/>
                <w:highlight w:val="none"/>
              </w:rPr>
              <w:t>2.3</w:t>
            </w:r>
          </w:p>
        </w:tc>
        <w:tc>
          <w:tcPr>
            <w:tcW w:w="1701" w:type="dxa"/>
            <w:vAlign w:val="center"/>
          </w:tcPr>
          <w:p w14:paraId="44DE1BBA">
            <w:pPr>
              <w:jc w:val="center"/>
              <w:rPr>
                <w:rFonts w:hint="eastAsia" w:ascii="宋体" w:hAnsi="宋体"/>
                <w:color w:val="auto"/>
                <w:sz w:val="24"/>
                <w:highlight w:val="none"/>
              </w:rPr>
            </w:pPr>
            <w:r>
              <w:rPr>
                <w:rFonts w:ascii="宋体" w:hAnsi="宋体"/>
                <w:color w:val="auto"/>
                <w:sz w:val="24"/>
                <w:highlight w:val="none"/>
              </w:rPr>
              <w:t>科研仪器设备</w:t>
            </w:r>
          </w:p>
        </w:tc>
        <w:tc>
          <w:tcPr>
            <w:tcW w:w="7253" w:type="dxa"/>
            <w:vAlign w:val="center"/>
          </w:tcPr>
          <w:p w14:paraId="7EE05281">
            <w:pPr>
              <w:spacing w:line="360" w:lineRule="auto"/>
              <w:jc w:val="left"/>
              <w:rPr>
                <w:rFonts w:hint="eastAsia" w:ascii="宋体" w:hAnsi="宋体"/>
                <w:color w:val="auto"/>
                <w:sz w:val="24"/>
                <w:highlight w:val="none"/>
              </w:rPr>
            </w:pPr>
            <w:r>
              <w:rPr>
                <w:rFonts w:ascii="宋体" w:hAnsi="宋体"/>
                <w:color w:val="auto"/>
                <w:sz w:val="24"/>
                <w:highlight w:val="none"/>
              </w:rPr>
              <w:t>是否属于科研仪器设备采购项目：□是</w:t>
            </w:r>
            <w:r>
              <w:rPr>
                <w:rFonts w:hint="eastAsia" w:ascii="宋体" w:hAnsi="宋体"/>
                <w:color w:val="auto"/>
                <w:sz w:val="24"/>
                <w:highlight w:val="none"/>
              </w:rPr>
              <w:t xml:space="preserve">         </w:t>
            </w:r>
            <w:r>
              <w:rPr>
                <w:rFonts w:ascii="宋体" w:hAnsi="宋体"/>
                <w:b/>
                <w:color w:val="auto"/>
                <w:sz w:val="24"/>
                <w:highlight w:val="none"/>
              </w:rPr>
              <w:t>■</w:t>
            </w:r>
            <w:r>
              <w:rPr>
                <w:rFonts w:ascii="宋体" w:hAnsi="宋体"/>
                <w:color w:val="auto"/>
                <w:sz w:val="24"/>
                <w:highlight w:val="none"/>
              </w:rPr>
              <w:t>否</w:t>
            </w:r>
          </w:p>
        </w:tc>
      </w:tr>
      <w:tr w14:paraId="65DAE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1E1D2B48">
            <w:pPr>
              <w:pStyle w:val="9"/>
              <w:adjustRightInd w:val="0"/>
              <w:snapToGrid w:val="0"/>
              <w:jc w:val="center"/>
              <w:rPr>
                <w:rFonts w:hint="eastAsia" w:hAnsi="宋体"/>
                <w:color w:val="auto"/>
                <w:sz w:val="24"/>
                <w:szCs w:val="24"/>
                <w:highlight w:val="none"/>
              </w:rPr>
            </w:pPr>
            <w:r>
              <w:rPr>
                <w:rFonts w:hAnsi="宋体"/>
                <w:color w:val="auto"/>
                <w:sz w:val="24"/>
                <w:szCs w:val="24"/>
                <w:highlight w:val="none"/>
              </w:rPr>
              <w:t>3.1</w:t>
            </w:r>
          </w:p>
        </w:tc>
        <w:tc>
          <w:tcPr>
            <w:tcW w:w="1701" w:type="dxa"/>
            <w:vAlign w:val="center"/>
          </w:tcPr>
          <w:p w14:paraId="0C0BA82E">
            <w:pPr>
              <w:jc w:val="center"/>
              <w:rPr>
                <w:rFonts w:hint="eastAsia" w:ascii="宋体" w:hAnsi="宋体"/>
                <w:color w:val="auto"/>
                <w:sz w:val="24"/>
                <w:highlight w:val="none"/>
              </w:rPr>
            </w:pPr>
            <w:r>
              <w:rPr>
                <w:rFonts w:ascii="宋体" w:hAnsi="宋体"/>
                <w:color w:val="auto"/>
                <w:sz w:val="24"/>
                <w:highlight w:val="none"/>
              </w:rPr>
              <w:t>现场考察</w:t>
            </w:r>
          </w:p>
        </w:tc>
        <w:tc>
          <w:tcPr>
            <w:tcW w:w="7253" w:type="dxa"/>
            <w:vAlign w:val="center"/>
          </w:tcPr>
          <w:p w14:paraId="3C49816B">
            <w:pPr>
              <w:spacing w:line="360" w:lineRule="auto"/>
              <w:jc w:val="left"/>
              <w:rPr>
                <w:rFonts w:hint="eastAsia" w:ascii="宋体" w:hAnsi="宋体"/>
                <w:color w:val="auto"/>
                <w:sz w:val="24"/>
                <w:highlight w:val="none"/>
              </w:rPr>
            </w:pPr>
            <w:r>
              <w:rPr>
                <w:rFonts w:ascii="宋体" w:hAnsi="宋体"/>
                <w:b/>
                <w:color w:val="auto"/>
                <w:sz w:val="24"/>
                <w:highlight w:val="none"/>
              </w:rPr>
              <w:t>■</w:t>
            </w:r>
            <w:r>
              <w:rPr>
                <w:rFonts w:ascii="宋体" w:hAnsi="宋体"/>
                <w:color w:val="auto"/>
                <w:sz w:val="24"/>
                <w:highlight w:val="none"/>
              </w:rPr>
              <w:t>不组织</w:t>
            </w:r>
          </w:p>
          <w:p w14:paraId="7AF7BC44">
            <w:pPr>
              <w:spacing w:line="360" w:lineRule="auto"/>
              <w:jc w:val="left"/>
              <w:rPr>
                <w:rFonts w:hint="eastAsia" w:ascii="宋体" w:hAnsi="宋体"/>
                <w:bCs/>
                <w:color w:val="auto"/>
                <w:sz w:val="24"/>
                <w:highlight w:val="none"/>
              </w:rPr>
            </w:pPr>
            <w:r>
              <w:rPr>
                <w:rFonts w:ascii="宋体" w:hAnsi="宋体"/>
                <w:color w:val="auto"/>
                <w:sz w:val="24"/>
                <w:highlight w:val="none"/>
              </w:rPr>
              <w:t>□组织，考察时间：*</w:t>
            </w:r>
            <w:r>
              <w:rPr>
                <w:rFonts w:ascii="宋体" w:hAnsi="宋体"/>
                <w:color w:val="auto"/>
                <w:sz w:val="24"/>
                <w:highlight w:val="none"/>
                <w:lang w:bidi="ar"/>
              </w:rPr>
              <w:t>年</w:t>
            </w:r>
            <w:r>
              <w:rPr>
                <w:rFonts w:ascii="宋体" w:hAnsi="宋体"/>
                <w:color w:val="auto"/>
                <w:sz w:val="24"/>
                <w:highlight w:val="none"/>
              </w:rPr>
              <w:t>*</w:t>
            </w:r>
            <w:r>
              <w:rPr>
                <w:rFonts w:ascii="宋体" w:hAnsi="宋体"/>
                <w:color w:val="auto"/>
                <w:sz w:val="24"/>
                <w:highlight w:val="none"/>
                <w:lang w:bidi="ar"/>
              </w:rPr>
              <w:t>月</w:t>
            </w:r>
            <w:r>
              <w:rPr>
                <w:rFonts w:ascii="宋体" w:hAnsi="宋体"/>
                <w:color w:val="auto"/>
                <w:sz w:val="24"/>
                <w:highlight w:val="none"/>
              </w:rPr>
              <w:t>*</w:t>
            </w:r>
            <w:r>
              <w:rPr>
                <w:rFonts w:ascii="宋体" w:hAnsi="宋体"/>
                <w:color w:val="auto"/>
                <w:sz w:val="24"/>
                <w:highlight w:val="none"/>
                <w:lang w:bidi="ar"/>
              </w:rPr>
              <w:t>日至</w:t>
            </w:r>
            <w:r>
              <w:rPr>
                <w:rFonts w:ascii="宋体" w:hAnsi="宋体"/>
                <w:color w:val="auto"/>
                <w:sz w:val="24"/>
                <w:highlight w:val="none"/>
              </w:rPr>
              <w:t>202</w:t>
            </w:r>
            <w:r>
              <w:rPr>
                <w:rFonts w:hint="eastAsia" w:ascii="宋体" w:hAnsi="宋体"/>
                <w:color w:val="auto"/>
                <w:sz w:val="24"/>
                <w:highlight w:val="none"/>
              </w:rPr>
              <w:t>3</w:t>
            </w:r>
            <w:r>
              <w:rPr>
                <w:rFonts w:ascii="宋体" w:hAnsi="宋体"/>
                <w:color w:val="auto"/>
                <w:sz w:val="24"/>
                <w:highlight w:val="none"/>
                <w:lang w:bidi="ar"/>
              </w:rPr>
              <w:t>年</w:t>
            </w:r>
            <w:r>
              <w:rPr>
                <w:rFonts w:ascii="宋体" w:hAnsi="宋体"/>
                <w:color w:val="auto"/>
                <w:sz w:val="24"/>
                <w:highlight w:val="none"/>
              </w:rPr>
              <w:t>*</w:t>
            </w:r>
            <w:r>
              <w:rPr>
                <w:rFonts w:ascii="宋体" w:hAnsi="宋体"/>
                <w:color w:val="auto"/>
                <w:sz w:val="24"/>
                <w:highlight w:val="none"/>
                <w:lang w:bidi="ar"/>
              </w:rPr>
              <w:t>月</w:t>
            </w:r>
            <w:r>
              <w:rPr>
                <w:rFonts w:ascii="宋体" w:hAnsi="宋体"/>
                <w:color w:val="auto"/>
                <w:sz w:val="24"/>
                <w:highlight w:val="none"/>
              </w:rPr>
              <w:t>*</w:t>
            </w:r>
            <w:r>
              <w:rPr>
                <w:rFonts w:ascii="宋体" w:hAnsi="宋体"/>
                <w:color w:val="auto"/>
                <w:sz w:val="24"/>
                <w:highlight w:val="none"/>
                <w:lang w:bidi="ar"/>
              </w:rPr>
              <w:t>日</w:t>
            </w:r>
            <w:r>
              <w:rPr>
                <w:rFonts w:ascii="宋体" w:hAnsi="宋体"/>
                <w:color w:val="auto"/>
                <w:sz w:val="24"/>
                <w:highlight w:val="none"/>
              </w:rPr>
              <w:t>*</w:t>
            </w:r>
            <w:r>
              <w:rPr>
                <w:rFonts w:ascii="宋体" w:hAnsi="宋体"/>
                <w:color w:val="auto"/>
                <w:sz w:val="24"/>
                <w:highlight w:val="none"/>
                <w:lang w:bidi="ar"/>
              </w:rPr>
              <w:t>点</w:t>
            </w:r>
            <w:r>
              <w:rPr>
                <w:rFonts w:ascii="宋体" w:hAnsi="宋体"/>
                <w:color w:val="auto"/>
                <w:sz w:val="24"/>
                <w:highlight w:val="none"/>
              </w:rPr>
              <w:t>*</w:t>
            </w:r>
            <w:r>
              <w:rPr>
                <w:rFonts w:ascii="宋体" w:hAnsi="宋体"/>
                <w:color w:val="auto"/>
                <w:sz w:val="24"/>
                <w:highlight w:val="none"/>
                <w:lang w:bidi="ar"/>
              </w:rPr>
              <w:t>分</w:t>
            </w:r>
          </w:p>
          <w:p w14:paraId="5FB1E9D8">
            <w:pPr>
              <w:pStyle w:val="9"/>
              <w:adjustRightInd w:val="0"/>
              <w:snapToGrid w:val="0"/>
              <w:spacing w:line="360" w:lineRule="auto"/>
              <w:rPr>
                <w:rFonts w:hint="eastAsia" w:hAnsi="宋体"/>
                <w:color w:val="auto"/>
                <w:sz w:val="24"/>
                <w:szCs w:val="24"/>
                <w:highlight w:val="none"/>
              </w:rPr>
            </w:pPr>
            <w:r>
              <w:rPr>
                <w:rFonts w:hAnsi="宋体"/>
                <w:color w:val="auto"/>
                <w:sz w:val="24"/>
                <w:szCs w:val="24"/>
                <w:highlight w:val="none"/>
              </w:rPr>
              <w:t>考察地点：___________。</w:t>
            </w:r>
          </w:p>
        </w:tc>
      </w:tr>
      <w:tr w14:paraId="05CAD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 w:hRule="atLeast"/>
          <w:jc w:val="center"/>
        </w:trPr>
        <w:tc>
          <w:tcPr>
            <w:tcW w:w="988" w:type="dxa"/>
            <w:vMerge w:val="continue"/>
            <w:vAlign w:val="center"/>
          </w:tcPr>
          <w:p w14:paraId="3352F25C">
            <w:pPr>
              <w:pStyle w:val="9"/>
              <w:adjustRightInd w:val="0"/>
              <w:snapToGrid w:val="0"/>
              <w:jc w:val="center"/>
              <w:rPr>
                <w:rFonts w:hint="eastAsia" w:hAnsi="宋体"/>
                <w:color w:val="auto"/>
                <w:sz w:val="24"/>
                <w:szCs w:val="24"/>
                <w:highlight w:val="none"/>
              </w:rPr>
            </w:pPr>
          </w:p>
        </w:tc>
        <w:tc>
          <w:tcPr>
            <w:tcW w:w="1701" w:type="dxa"/>
            <w:vAlign w:val="center"/>
          </w:tcPr>
          <w:p w14:paraId="1D23FADA">
            <w:pPr>
              <w:jc w:val="center"/>
              <w:rPr>
                <w:rFonts w:hint="eastAsia" w:ascii="宋体" w:hAnsi="宋体"/>
                <w:color w:val="auto"/>
                <w:sz w:val="24"/>
                <w:highlight w:val="none"/>
              </w:rPr>
            </w:pPr>
            <w:r>
              <w:rPr>
                <w:rFonts w:ascii="宋体" w:hAnsi="宋体"/>
                <w:color w:val="auto"/>
                <w:sz w:val="24"/>
                <w:highlight w:val="none"/>
              </w:rPr>
              <w:t>磋商前答疑会</w:t>
            </w:r>
          </w:p>
        </w:tc>
        <w:tc>
          <w:tcPr>
            <w:tcW w:w="7253" w:type="dxa"/>
            <w:vAlign w:val="center"/>
          </w:tcPr>
          <w:p w14:paraId="49194554">
            <w:pPr>
              <w:spacing w:line="360" w:lineRule="auto"/>
              <w:jc w:val="left"/>
              <w:rPr>
                <w:rFonts w:hint="eastAsia" w:ascii="宋体" w:hAnsi="宋体"/>
                <w:color w:val="auto"/>
                <w:sz w:val="24"/>
                <w:highlight w:val="none"/>
              </w:rPr>
            </w:pPr>
            <w:r>
              <w:rPr>
                <w:rFonts w:ascii="宋体" w:hAnsi="宋体"/>
                <w:b/>
                <w:color w:val="auto"/>
                <w:sz w:val="24"/>
                <w:highlight w:val="none"/>
              </w:rPr>
              <w:t>■</w:t>
            </w:r>
            <w:r>
              <w:rPr>
                <w:rFonts w:ascii="宋体" w:hAnsi="宋体"/>
                <w:color w:val="auto"/>
                <w:sz w:val="24"/>
                <w:highlight w:val="none"/>
              </w:rPr>
              <w:t>不召开</w:t>
            </w:r>
          </w:p>
          <w:p w14:paraId="18C2EA61">
            <w:pPr>
              <w:spacing w:line="360" w:lineRule="auto"/>
              <w:jc w:val="left"/>
              <w:rPr>
                <w:rFonts w:hint="eastAsia" w:ascii="宋体" w:hAnsi="宋体"/>
                <w:color w:val="auto"/>
                <w:sz w:val="24"/>
                <w:highlight w:val="none"/>
              </w:rPr>
            </w:pPr>
            <w:r>
              <w:rPr>
                <w:rFonts w:ascii="宋体" w:hAnsi="宋体"/>
                <w:color w:val="auto"/>
                <w:sz w:val="24"/>
                <w:highlight w:val="none"/>
              </w:rPr>
              <w:t>□召开，召开时间：*</w:t>
            </w:r>
            <w:r>
              <w:rPr>
                <w:rFonts w:ascii="宋体" w:hAnsi="宋体"/>
                <w:color w:val="auto"/>
                <w:sz w:val="24"/>
                <w:highlight w:val="none"/>
                <w:lang w:bidi="ar"/>
              </w:rPr>
              <w:t>年</w:t>
            </w:r>
            <w:r>
              <w:rPr>
                <w:rFonts w:ascii="宋体" w:hAnsi="宋体"/>
                <w:color w:val="auto"/>
                <w:sz w:val="24"/>
                <w:highlight w:val="none"/>
              </w:rPr>
              <w:t>*</w:t>
            </w:r>
            <w:r>
              <w:rPr>
                <w:rFonts w:ascii="宋体" w:hAnsi="宋体"/>
                <w:color w:val="auto"/>
                <w:sz w:val="24"/>
                <w:highlight w:val="none"/>
                <w:lang w:bidi="ar"/>
              </w:rPr>
              <w:t>月</w:t>
            </w:r>
            <w:r>
              <w:rPr>
                <w:rFonts w:ascii="宋体" w:hAnsi="宋体"/>
                <w:color w:val="auto"/>
                <w:sz w:val="24"/>
                <w:highlight w:val="none"/>
              </w:rPr>
              <w:t>*</w:t>
            </w:r>
            <w:r>
              <w:rPr>
                <w:rFonts w:ascii="宋体" w:hAnsi="宋体"/>
                <w:color w:val="auto"/>
                <w:sz w:val="24"/>
                <w:highlight w:val="none"/>
                <w:lang w:bidi="ar"/>
              </w:rPr>
              <w:t>日至</w:t>
            </w:r>
            <w:r>
              <w:rPr>
                <w:rFonts w:ascii="宋体" w:hAnsi="宋体"/>
                <w:color w:val="auto"/>
                <w:sz w:val="24"/>
                <w:highlight w:val="none"/>
              </w:rPr>
              <w:t>202</w:t>
            </w:r>
            <w:r>
              <w:rPr>
                <w:rFonts w:hint="eastAsia" w:ascii="宋体" w:hAnsi="宋体"/>
                <w:color w:val="auto"/>
                <w:sz w:val="24"/>
                <w:highlight w:val="none"/>
              </w:rPr>
              <w:t>3</w:t>
            </w:r>
            <w:r>
              <w:rPr>
                <w:rFonts w:ascii="宋体" w:hAnsi="宋体"/>
                <w:color w:val="auto"/>
                <w:sz w:val="24"/>
                <w:highlight w:val="none"/>
                <w:lang w:bidi="ar"/>
              </w:rPr>
              <w:t>年</w:t>
            </w:r>
            <w:r>
              <w:rPr>
                <w:rFonts w:ascii="宋体" w:hAnsi="宋体"/>
                <w:color w:val="auto"/>
                <w:sz w:val="24"/>
                <w:highlight w:val="none"/>
              </w:rPr>
              <w:t>*</w:t>
            </w:r>
            <w:r>
              <w:rPr>
                <w:rFonts w:ascii="宋体" w:hAnsi="宋体"/>
                <w:color w:val="auto"/>
                <w:sz w:val="24"/>
                <w:highlight w:val="none"/>
                <w:lang w:bidi="ar"/>
              </w:rPr>
              <w:t>月</w:t>
            </w:r>
            <w:r>
              <w:rPr>
                <w:rFonts w:ascii="宋体" w:hAnsi="宋体"/>
                <w:color w:val="auto"/>
                <w:sz w:val="24"/>
                <w:highlight w:val="none"/>
              </w:rPr>
              <w:t>*</w:t>
            </w:r>
            <w:r>
              <w:rPr>
                <w:rFonts w:ascii="宋体" w:hAnsi="宋体"/>
                <w:color w:val="auto"/>
                <w:sz w:val="24"/>
                <w:highlight w:val="none"/>
                <w:lang w:bidi="ar"/>
              </w:rPr>
              <w:t>日</w:t>
            </w:r>
            <w:r>
              <w:rPr>
                <w:rFonts w:ascii="宋体" w:hAnsi="宋体"/>
                <w:color w:val="auto"/>
                <w:sz w:val="24"/>
                <w:highlight w:val="none"/>
              </w:rPr>
              <w:t>*</w:t>
            </w:r>
            <w:r>
              <w:rPr>
                <w:rFonts w:ascii="宋体" w:hAnsi="宋体"/>
                <w:color w:val="auto"/>
                <w:sz w:val="24"/>
                <w:highlight w:val="none"/>
                <w:lang w:bidi="ar"/>
              </w:rPr>
              <w:t>点</w:t>
            </w:r>
            <w:r>
              <w:rPr>
                <w:rFonts w:ascii="宋体" w:hAnsi="宋体"/>
                <w:color w:val="auto"/>
                <w:sz w:val="24"/>
                <w:highlight w:val="none"/>
              </w:rPr>
              <w:t>*</w:t>
            </w:r>
            <w:r>
              <w:rPr>
                <w:rFonts w:ascii="宋体" w:hAnsi="宋体"/>
                <w:color w:val="auto"/>
                <w:sz w:val="24"/>
                <w:highlight w:val="none"/>
                <w:lang w:bidi="ar"/>
              </w:rPr>
              <w:t>分</w:t>
            </w:r>
          </w:p>
          <w:p w14:paraId="3A5EDEC1">
            <w:pPr>
              <w:spacing w:line="360" w:lineRule="auto"/>
              <w:jc w:val="left"/>
              <w:rPr>
                <w:rFonts w:hint="eastAsia" w:ascii="宋体" w:hAnsi="宋体"/>
                <w:color w:val="auto"/>
                <w:sz w:val="24"/>
                <w:highlight w:val="none"/>
              </w:rPr>
            </w:pPr>
            <w:r>
              <w:rPr>
                <w:rFonts w:ascii="宋体" w:hAnsi="宋体"/>
                <w:color w:val="auto"/>
                <w:sz w:val="24"/>
                <w:highlight w:val="none"/>
              </w:rPr>
              <w:t>召开地点：___________</w:t>
            </w:r>
            <w:r>
              <w:rPr>
                <w:rFonts w:hint="eastAsia" w:ascii="宋体" w:hAnsi="宋体"/>
                <w:color w:val="auto"/>
                <w:sz w:val="24"/>
                <w:highlight w:val="none"/>
              </w:rPr>
              <w:t>。</w:t>
            </w:r>
          </w:p>
        </w:tc>
      </w:tr>
      <w:tr w14:paraId="2CE64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273AF906">
            <w:pPr>
              <w:pStyle w:val="9"/>
              <w:adjustRightInd w:val="0"/>
              <w:snapToGrid w:val="0"/>
              <w:jc w:val="center"/>
              <w:rPr>
                <w:rFonts w:hint="eastAsia" w:hAnsi="宋体"/>
                <w:color w:val="auto"/>
                <w:sz w:val="24"/>
                <w:szCs w:val="24"/>
                <w:highlight w:val="none"/>
              </w:rPr>
            </w:pPr>
            <w:r>
              <w:rPr>
                <w:rFonts w:hAnsi="宋体"/>
                <w:color w:val="auto"/>
                <w:sz w:val="24"/>
                <w:szCs w:val="24"/>
                <w:highlight w:val="none"/>
              </w:rPr>
              <w:t>4.2.5</w:t>
            </w:r>
          </w:p>
        </w:tc>
        <w:tc>
          <w:tcPr>
            <w:tcW w:w="1701" w:type="dxa"/>
            <w:vAlign w:val="center"/>
          </w:tcPr>
          <w:p w14:paraId="3A5C4FF4">
            <w:pPr>
              <w:jc w:val="center"/>
              <w:rPr>
                <w:rFonts w:hint="eastAsia" w:ascii="宋体" w:hAnsi="宋体"/>
                <w:color w:val="auto"/>
                <w:sz w:val="24"/>
                <w:highlight w:val="none"/>
              </w:rPr>
            </w:pPr>
            <w:r>
              <w:rPr>
                <w:rFonts w:ascii="宋体" w:hAnsi="宋体"/>
                <w:color w:val="auto"/>
                <w:sz w:val="24"/>
                <w:highlight w:val="none"/>
              </w:rPr>
              <w:t>标的所属行业</w:t>
            </w:r>
          </w:p>
        </w:tc>
        <w:tc>
          <w:tcPr>
            <w:tcW w:w="7253" w:type="dxa"/>
            <w:vAlign w:val="center"/>
          </w:tcPr>
          <w:p w14:paraId="6608FA1A">
            <w:pPr>
              <w:spacing w:line="360" w:lineRule="auto"/>
              <w:jc w:val="left"/>
              <w:rPr>
                <w:rFonts w:hint="eastAsia" w:ascii="宋体" w:hAnsi="宋体"/>
                <w:color w:val="auto"/>
                <w:sz w:val="24"/>
                <w:highlight w:val="none"/>
              </w:rPr>
            </w:pPr>
            <w:r>
              <w:rPr>
                <w:rFonts w:ascii="宋体" w:hAnsi="宋体"/>
                <w:color w:val="auto"/>
                <w:sz w:val="24"/>
                <w:highlight w:val="none"/>
              </w:rPr>
              <w:t>本项目采购标的对应的中小企业划分标准所属行业：</w:t>
            </w:r>
          </w:p>
          <w:tbl>
            <w:tblPr>
              <w:tblStyle w:val="16"/>
              <w:tblW w:w="70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3521"/>
            </w:tblGrid>
            <w:tr w14:paraId="773F3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6" w:type="dxa"/>
                  <w:tcBorders>
                    <w:top w:val="single" w:color="auto" w:sz="4" w:space="0"/>
                    <w:left w:val="single" w:color="auto" w:sz="4" w:space="0"/>
                    <w:bottom w:val="single" w:color="auto" w:sz="4" w:space="0"/>
                    <w:right w:val="single" w:color="auto" w:sz="4" w:space="0"/>
                  </w:tcBorders>
                  <w:vAlign w:val="center"/>
                </w:tcPr>
                <w:p w14:paraId="2E0D3041">
                  <w:pPr>
                    <w:spacing w:line="360" w:lineRule="auto"/>
                    <w:jc w:val="center"/>
                    <w:rPr>
                      <w:rFonts w:hint="eastAsia" w:ascii="宋体" w:hAnsi="宋体"/>
                      <w:bCs/>
                      <w:color w:val="auto"/>
                      <w:sz w:val="24"/>
                      <w:highlight w:val="none"/>
                    </w:rPr>
                  </w:pPr>
                  <w:r>
                    <w:rPr>
                      <w:rFonts w:ascii="宋体" w:hAnsi="宋体"/>
                      <w:bCs/>
                      <w:color w:val="auto"/>
                      <w:sz w:val="24"/>
                      <w:highlight w:val="none"/>
                    </w:rPr>
                    <w:t>标的名称</w:t>
                  </w:r>
                </w:p>
              </w:tc>
              <w:tc>
                <w:tcPr>
                  <w:tcW w:w="3521" w:type="dxa"/>
                  <w:tcBorders>
                    <w:top w:val="single" w:color="auto" w:sz="4" w:space="0"/>
                    <w:left w:val="single" w:color="auto" w:sz="4" w:space="0"/>
                    <w:bottom w:val="single" w:color="auto" w:sz="4" w:space="0"/>
                    <w:right w:val="single" w:color="auto" w:sz="4" w:space="0"/>
                  </w:tcBorders>
                  <w:vAlign w:val="center"/>
                </w:tcPr>
                <w:p w14:paraId="67AA2299">
                  <w:pPr>
                    <w:spacing w:line="360" w:lineRule="auto"/>
                    <w:jc w:val="center"/>
                    <w:rPr>
                      <w:rFonts w:hint="eastAsia" w:ascii="宋体" w:hAnsi="宋体"/>
                      <w:color w:val="auto"/>
                      <w:sz w:val="24"/>
                      <w:highlight w:val="none"/>
                    </w:rPr>
                  </w:pPr>
                  <w:r>
                    <w:rPr>
                      <w:rFonts w:ascii="宋体" w:hAnsi="宋体"/>
                      <w:color w:val="auto"/>
                      <w:sz w:val="24"/>
                      <w:highlight w:val="none"/>
                    </w:rPr>
                    <w:t>中小企业划分标准所属行业</w:t>
                  </w:r>
                </w:p>
              </w:tc>
            </w:tr>
            <w:tr w14:paraId="70136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6" w:type="dxa"/>
                  <w:tcBorders>
                    <w:top w:val="single" w:color="auto" w:sz="4" w:space="0"/>
                    <w:left w:val="single" w:color="auto" w:sz="4" w:space="0"/>
                    <w:bottom w:val="single" w:color="auto" w:sz="4" w:space="0"/>
                    <w:right w:val="single" w:color="auto" w:sz="4" w:space="0"/>
                  </w:tcBorders>
                  <w:vAlign w:val="center"/>
                </w:tcPr>
                <w:p w14:paraId="61C35364">
                  <w:pPr>
                    <w:spacing w:line="360" w:lineRule="auto"/>
                    <w:jc w:val="center"/>
                    <w:rPr>
                      <w:rFonts w:hint="eastAsia" w:ascii="宋体" w:hAnsi="宋体"/>
                      <w:bCs/>
                      <w:color w:val="auto"/>
                      <w:sz w:val="24"/>
                      <w:highlight w:val="none"/>
                    </w:rPr>
                  </w:pPr>
                  <w:r>
                    <w:rPr>
                      <w:rFonts w:hint="eastAsia" w:ascii="宋体" w:hAnsi="宋体"/>
                      <w:color w:val="auto"/>
                      <w:sz w:val="24"/>
                      <w:highlight w:val="none"/>
                    </w:rPr>
                    <w:t>水利工程日常维修养护经费（中央）-2024年度水工建筑物维修养护工程</w:t>
                  </w:r>
                </w:p>
              </w:tc>
              <w:tc>
                <w:tcPr>
                  <w:tcW w:w="3521" w:type="dxa"/>
                  <w:tcBorders>
                    <w:top w:val="single" w:color="auto" w:sz="4" w:space="0"/>
                    <w:left w:val="single" w:color="auto" w:sz="4" w:space="0"/>
                    <w:bottom w:val="single" w:color="auto" w:sz="4" w:space="0"/>
                    <w:right w:val="single" w:color="auto" w:sz="4" w:space="0"/>
                  </w:tcBorders>
                  <w:vAlign w:val="center"/>
                </w:tcPr>
                <w:p w14:paraId="596C9E9E">
                  <w:pPr>
                    <w:spacing w:line="360" w:lineRule="auto"/>
                    <w:jc w:val="center"/>
                    <w:rPr>
                      <w:rFonts w:hint="eastAsia" w:ascii="宋体" w:hAnsi="宋体"/>
                      <w:color w:val="auto"/>
                      <w:kern w:val="0"/>
                      <w:sz w:val="24"/>
                      <w:highlight w:val="none"/>
                    </w:rPr>
                  </w:pPr>
                  <w:r>
                    <w:rPr>
                      <w:rFonts w:hint="eastAsia" w:ascii="宋体" w:hAnsi="宋体"/>
                      <w:color w:val="auto"/>
                      <w:kern w:val="0"/>
                      <w:sz w:val="24"/>
                      <w:highlight w:val="none"/>
                    </w:rPr>
                    <w:t>建筑业</w:t>
                  </w:r>
                </w:p>
              </w:tc>
            </w:tr>
          </w:tbl>
          <w:p w14:paraId="50D54DEB">
            <w:pPr>
              <w:spacing w:line="360" w:lineRule="auto"/>
              <w:jc w:val="left"/>
              <w:rPr>
                <w:rFonts w:hint="eastAsia" w:ascii="宋体" w:hAnsi="宋体"/>
                <w:color w:val="auto"/>
                <w:sz w:val="24"/>
                <w:highlight w:val="none"/>
              </w:rPr>
            </w:pPr>
          </w:p>
        </w:tc>
      </w:tr>
      <w:tr w14:paraId="53D3B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71535D94">
            <w:pPr>
              <w:pStyle w:val="9"/>
              <w:adjustRightInd w:val="0"/>
              <w:snapToGrid w:val="0"/>
              <w:jc w:val="center"/>
              <w:rPr>
                <w:rFonts w:hint="eastAsia" w:hAnsi="宋体"/>
                <w:color w:val="auto"/>
                <w:sz w:val="24"/>
                <w:szCs w:val="24"/>
                <w:highlight w:val="none"/>
              </w:rPr>
            </w:pPr>
            <w:r>
              <w:rPr>
                <w:rFonts w:hAnsi="宋体"/>
                <w:color w:val="auto"/>
                <w:sz w:val="24"/>
                <w:szCs w:val="24"/>
                <w:highlight w:val="none"/>
              </w:rPr>
              <w:t>10.2</w:t>
            </w:r>
          </w:p>
        </w:tc>
        <w:tc>
          <w:tcPr>
            <w:tcW w:w="1701" w:type="dxa"/>
            <w:vAlign w:val="center"/>
          </w:tcPr>
          <w:p w14:paraId="2EBA243E">
            <w:pPr>
              <w:jc w:val="center"/>
              <w:rPr>
                <w:rFonts w:hint="eastAsia" w:ascii="宋体" w:hAnsi="宋体"/>
                <w:color w:val="auto"/>
                <w:sz w:val="24"/>
                <w:highlight w:val="none"/>
              </w:rPr>
            </w:pPr>
            <w:r>
              <w:rPr>
                <w:rFonts w:ascii="宋体" w:hAnsi="宋体"/>
                <w:color w:val="auto"/>
                <w:sz w:val="24"/>
                <w:highlight w:val="none"/>
              </w:rPr>
              <w:t>报价</w:t>
            </w:r>
          </w:p>
        </w:tc>
        <w:tc>
          <w:tcPr>
            <w:tcW w:w="7253" w:type="dxa"/>
            <w:vAlign w:val="center"/>
          </w:tcPr>
          <w:p w14:paraId="7C0C0003">
            <w:pPr>
              <w:spacing w:line="360" w:lineRule="auto"/>
              <w:jc w:val="left"/>
              <w:rPr>
                <w:rFonts w:hint="eastAsia" w:ascii="宋体" w:hAnsi="宋体"/>
                <w:color w:val="auto"/>
                <w:sz w:val="24"/>
                <w:highlight w:val="none"/>
              </w:rPr>
            </w:pPr>
            <w:r>
              <w:rPr>
                <w:rFonts w:ascii="宋体" w:hAnsi="宋体"/>
                <w:color w:val="auto"/>
                <w:sz w:val="24"/>
                <w:highlight w:val="none"/>
              </w:rPr>
              <w:t>报价的特殊规定：</w:t>
            </w:r>
          </w:p>
          <w:p w14:paraId="5DF6100B">
            <w:pPr>
              <w:spacing w:line="360" w:lineRule="auto"/>
              <w:jc w:val="left"/>
              <w:rPr>
                <w:rFonts w:hint="eastAsia" w:ascii="宋体" w:hAnsi="宋体"/>
                <w:color w:val="auto"/>
                <w:sz w:val="24"/>
                <w:highlight w:val="none"/>
              </w:rPr>
            </w:pPr>
            <w:r>
              <w:rPr>
                <w:rFonts w:ascii="宋体" w:hAnsi="宋体"/>
                <w:b/>
                <w:color w:val="auto"/>
                <w:sz w:val="24"/>
                <w:highlight w:val="none"/>
              </w:rPr>
              <w:t>■</w:t>
            </w:r>
            <w:r>
              <w:rPr>
                <w:rFonts w:ascii="宋体" w:hAnsi="宋体"/>
                <w:color w:val="auto"/>
                <w:sz w:val="24"/>
                <w:highlight w:val="none"/>
              </w:rPr>
              <w:t>无</w:t>
            </w:r>
          </w:p>
          <w:p w14:paraId="5CD64CF5">
            <w:pPr>
              <w:spacing w:line="360" w:lineRule="auto"/>
              <w:jc w:val="left"/>
              <w:rPr>
                <w:rFonts w:hint="eastAsia" w:ascii="宋体" w:hAnsi="宋体"/>
                <w:color w:val="auto"/>
                <w:sz w:val="24"/>
                <w:highlight w:val="none"/>
              </w:rPr>
            </w:pPr>
            <w:r>
              <w:rPr>
                <w:rFonts w:ascii="宋体" w:hAnsi="宋体"/>
                <w:color w:val="auto"/>
                <w:sz w:val="24"/>
                <w:highlight w:val="none"/>
              </w:rPr>
              <w:t>□有，具体情形：</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ascii="宋体" w:hAnsi="宋体"/>
                <w:color w:val="auto"/>
                <w:sz w:val="24"/>
                <w:highlight w:val="none"/>
                <w:u w:val="single"/>
              </w:rPr>
              <w:t xml:space="preserve"> </w:t>
            </w:r>
          </w:p>
        </w:tc>
      </w:tr>
      <w:tr w14:paraId="66091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5FD0D4E">
            <w:pPr>
              <w:pStyle w:val="9"/>
              <w:adjustRightInd w:val="0"/>
              <w:snapToGrid w:val="0"/>
              <w:jc w:val="center"/>
              <w:rPr>
                <w:rFonts w:hint="eastAsia" w:hAnsi="宋体"/>
                <w:color w:val="auto"/>
                <w:sz w:val="24"/>
                <w:szCs w:val="24"/>
                <w:highlight w:val="none"/>
              </w:rPr>
            </w:pPr>
            <w:r>
              <w:rPr>
                <w:rFonts w:hAnsi="宋体"/>
                <w:color w:val="auto"/>
                <w:sz w:val="24"/>
                <w:szCs w:val="24"/>
                <w:highlight w:val="none"/>
              </w:rPr>
              <w:t>11.1</w:t>
            </w:r>
          </w:p>
        </w:tc>
        <w:tc>
          <w:tcPr>
            <w:tcW w:w="1701" w:type="dxa"/>
            <w:vMerge w:val="restart"/>
            <w:vAlign w:val="center"/>
          </w:tcPr>
          <w:p w14:paraId="338055FC">
            <w:pPr>
              <w:jc w:val="center"/>
              <w:rPr>
                <w:rFonts w:hint="eastAsia" w:ascii="宋体" w:hAnsi="宋体"/>
                <w:color w:val="auto"/>
                <w:sz w:val="24"/>
                <w:highlight w:val="none"/>
              </w:rPr>
            </w:pPr>
            <w:r>
              <w:rPr>
                <w:rFonts w:ascii="宋体" w:hAnsi="宋体"/>
                <w:color w:val="auto"/>
                <w:sz w:val="24"/>
                <w:highlight w:val="none"/>
              </w:rPr>
              <w:t>磋商保证金</w:t>
            </w:r>
          </w:p>
        </w:tc>
        <w:tc>
          <w:tcPr>
            <w:tcW w:w="7253" w:type="dxa"/>
            <w:vAlign w:val="center"/>
          </w:tcPr>
          <w:p w14:paraId="5F2D2E30">
            <w:pPr>
              <w:pStyle w:val="9"/>
              <w:adjustRightInd w:val="0"/>
              <w:snapToGrid w:val="0"/>
              <w:spacing w:line="360" w:lineRule="auto"/>
              <w:rPr>
                <w:rFonts w:hint="eastAsia" w:hAnsi="宋体"/>
                <w:color w:val="auto"/>
                <w:sz w:val="24"/>
                <w:szCs w:val="24"/>
                <w:highlight w:val="none"/>
              </w:rPr>
            </w:pPr>
            <w:r>
              <w:rPr>
                <w:rFonts w:hAnsi="宋体"/>
                <w:color w:val="auto"/>
                <w:sz w:val="24"/>
                <w:szCs w:val="24"/>
                <w:highlight w:val="none"/>
              </w:rPr>
              <w:t>磋商保证金金额：</w:t>
            </w:r>
            <w:r>
              <w:rPr>
                <w:rFonts w:hint="eastAsia" w:hAnsi="宋体"/>
                <w:color w:val="auto"/>
                <w:sz w:val="24"/>
                <w:szCs w:val="24"/>
                <w:highlight w:val="none"/>
                <w:u w:val="single"/>
              </w:rPr>
              <w:t>10000</w:t>
            </w:r>
            <w:r>
              <w:rPr>
                <w:rFonts w:hAnsi="宋体"/>
                <w:color w:val="auto"/>
                <w:sz w:val="24"/>
                <w:szCs w:val="24"/>
                <w:highlight w:val="none"/>
              </w:rPr>
              <w:t>元</w:t>
            </w:r>
          </w:p>
          <w:p w14:paraId="5D646909">
            <w:pPr>
              <w:spacing w:line="360" w:lineRule="auto"/>
              <w:jc w:val="left"/>
              <w:rPr>
                <w:rFonts w:hint="eastAsia" w:ascii="宋体" w:hAnsi="宋体"/>
                <w:color w:val="auto"/>
                <w:sz w:val="24"/>
                <w:highlight w:val="none"/>
              </w:rPr>
            </w:pPr>
            <w:r>
              <w:rPr>
                <w:rFonts w:ascii="宋体" w:hAnsi="宋体"/>
                <w:color w:val="auto"/>
                <w:sz w:val="24"/>
                <w:highlight w:val="none"/>
              </w:rPr>
              <w:t>磋商保证金收受人信息：</w:t>
            </w:r>
          </w:p>
          <w:p w14:paraId="76FC72F8">
            <w:pPr>
              <w:spacing w:line="360" w:lineRule="auto"/>
              <w:jc w:val="left"/>
              <w:rPr>
                <w:rFonts w:hint="eastAsia" w:ascii="宋体" w:hAnsi="宋体"/>
                <w:color w:val="auto"/>
                <w:sz w:val="24"/>
                <w:highlight w:val="none"/>
              </w:rPr>
            </w:pPr>
            <w:r>
              <w:rPr>
                <w:rFonts w:hint="eastAsia" w:ascii="宋体" w:hAnsi="宋体"/>
                <w:color w:val="auto"/>
                <w:sz w:val="24"/>
                <w:highlight w:val="none"/>
              </w:rPr>
              <w:t>户    名：北京中域正信工程咨询有限公司</w:t>
            </w:r>
          </w:p>
          <w:p w14:paraId="79AB539B">
            <w:pPr>
              <w:spacing w:line="360" w:lineRule="auto"/>
              <w:jc w:val="left"/>
              <w:rPr>
                <w:rFonts w:hint="eastAsia" w:ascii="宋体" w:hAnsi="宋体"/>
                <w:color w:val="auto"/>
                <w:sz w:val="24"/>
                <w:highlight w:val="none"/>
              </w:rPr>
            </w:pPr>
            <w:r>
              <w:rPr>
                <w:rFonts w:hint="eastAsia" w:ascii="宋体" w:hAnsi="宋体"/>
                <w:color w:val="auto"/>
                <w:sz w:val="24"/>
                <w:highlight w:val="none"/>
              </w:rPr>
              <w:t>开户银行：中国光大银行股份有限公司北京京广桥支行</w:t>
            </w:r>
          </w:p>
          <w:p w14:paraId="3DC11BEE">
            <w:pPr>
              <w:spacing w:line="360" w:lineRule="auto"/>
              <w:jc w:val="left"/>
              <w:rPr>
                <w:rFonts w:hint="eastAsia" w:ascii="宋体" w:hAnsi="宋体"/>
                <w:color w:val="auto"/>
                <w:sz w:val="24"/>
                <w:highlight w:val="none"/>
              </w:rPr>
            </w:pPr>
            <w:r>
              <w:rPr>
                <w:rFonts w:hint="eastAsia" w:ascii="宋体" w:hAnsi="宋体"/>
                <w:color w:val="auto"/>
                <w:sz w:val="24"/>
                <w:highlight w:val="none"/>
              </w:rPr>
              <w:t>帐    号：</w:t>
            </w:r>
            <w:r>
              <w:rPr>
                <w:rFonts w:ascii="宋体" w:hAnsi="宋体"/>
                <w:color w:val="auto"/>
                <w:sz w:val="24"/>
                <w:highlight w:val="none"/>
              </w:rPr>
              <w:t>35310180809799668</w:t>
            </w:r>
          </w:p>
        </w:tc>
      </w:tr>
      <w:tr w14:paraId="14FA0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B64922D">
            <w:pPr>
              <w:pStyle w:val="9"/>
              <w:adjustRightInd w:val="0"/>
              <w:snapToGrid w:val="0"/>
              <w:jc w:val="center"/>
              <w:rPr>
                <w:rFonts w:hint="eastAsia" w:hAnsi="宋体"/>
                <w:color w:val="auto"/>
                <w:sz w:val="24"/>
                <w:szCs w:val="24"/>
                <w:highlight w:val="none"/>
              </w:rPr>
            </w:pPr>
            <w:r>
              <w:rPr>
                <w:rFonts w:hAnsi="宋体"/>
                <w:color w:val="auto"/>
                <w:sz w:val="24"/>
                <w:szCs w:val="24"/>
                <w:highlight w:val="none"/>
              </w:rPr>
              <w:t>11.7.5</w:t>
            </w:r>
          </w:p>
        </w:tc>
        <w:tc>
          <w:tcPr>
            <w:tcW w:w="1701" w:type="dxa"/>
            <w:vMerge w:val="continue"/>
            <w:vAlign w:val="center"/>
          </w:tcPr>
          <w:p w14:paraId="77281717">
            <w:pPr>
              <w:jc w:val="center"/>
              <w:rPr>
                <w:rFonts w:hint="eastAsia" w:ascii="宋体" w:hAnsi="宋体"/>
                <w:color w:val="auto"/>
                <w:sz w:val="24"/>
                <w:highlight w:val="none"/>
              </w:rPr>
            </w:pPr>
          </w:p>
        </w:tc>
        <w:tc>
          <w:tcPr>
            <w:tcW w:w="7253" w:type="dxa"/>
            <w:vAlign w:val="center"/>
          </w:tcPr>
          <w:p w14:paraId="7539C801">
            <w:pPr>
              <w:spacing w:line="360" w:lineRule="auto"/>
              <w:jc w:val="left"/>
              <w:rPr>
                <w:rFonts w:hint="eastAsia" w:ascii="宋体" w:hAnsi="宋体"/>
                <w:color w:val="auto"/>
                <w:sz w:val="24"/>
                <w:highlight w:val="none"/>
              </w:rPr>
            </w:pPr>
            <w:r>
              <w:rPr>
                <w:rFonts w:ascii="宋体" w:hAnsi="宋体"/>
                <w:color w:val="auto"/>
                <w:sz w:val="24"/>
                <w:highlight w:val="none"/>
              </w:rPr>
              <w:t>磋商保证金不予退还的其他情形：</w:t>
            </w:r>
          </w:p>
          <w:p w14:paraId="70AA6F15">
            <w:pPr>
              <w:spacing w:line="360" w:lineRule="auto"/>
              <w:jc w:val="left"/>
              <w:rPr>
                <w:rFonts w:hint="eastAsia" w:ascii="宋体" w:hAnsi="宋体"/>
                <w:color w:val="auto"/>
                <w:sz w:val="24"/>
                <w:highlight w:val="none"/>
              </w:rPr>
            </w:pPr>
            <w:r>
              <w:rPr>
                <w:rFonts w:ascii="宋体" w:hAnsi="宋体"/>
                <w:b/>
                <w:color w:val="auto"/>
                <w:sz w:val="24"/>
                <w:highlight w:val="none"/>
              </w:rPr>
              <w:t>■</w:t>
            </w:r>
            <w:r>
              <w:rPr>
                <w:rFonts w:ascii="宋体" w:hAnsi="宋体"/>
                <w:color w:val="auto"/>
                <w:sz w:val="24"/>
                <w:highlight w:val="none"/>
              </w:rPr>
              <w:t>无</w:t>
            </w:r>
          </w:p>
          <w:p w14:paraId="140D2822">
            <w:pPr>
              <w:pStyle w:val="9"/>
              <w:adjustRightInd w:val="0"/>
              <w:snapToGrid w:val="0"/>
              <w:spacing w:line="360" w:lineRule="auto"/>
              <w:rPr>
                <w:rFonts w:hint="eastAsia" w:hAnsi="宋体"/>
                <w:color w:val="auto"/>
                <w:sz w:val="24"/>
                <w:szCs w:val="24"/>
                <w:highlight w:val="none"/>
              </w:rPr>
            </w:pPr>
            <w:r>
              <w:rPr>
                <w:rFonts w:hAnsi="宋体"/>
                <w:color w:val="auto"/>
                <w:sz w:val="24"/>
                <w:szCs w:val="24"/>
                <w:highlight w:val="none"/>
              </w:rPr>
              <w:t>□有，具体情形：___________。</w:t>
            </w:r>
          </w:p>
        </w:tc>
      </w:tr>
      <w:tr w14:paraId="3F4C1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9F70EC6">
            <w:pPr>
              <w:pStyle w:val="9"/>
              <w:adjustRightInd w:val="0"/>
              <w:snapToGrid w:val="0"/>
              <w:jc w:val="center"/>
              <w:rPr>
                <w:rFonts w:hint="eastAsia" w:hAnsi="宋体"/>
                <w:color w:val="auto"/>
                <w:sz w:val="24"/>
                <w:szCs w:val="24"/>
                <w:highlight w:val="none"/>
              </w:rPr>
            </w:pPr>
            <w:r>
              <w:rPr>
                <w:rFonts w:hAnsi="宋体"/>
                <w:color w:val="auto"/>
                <w:sz w:val="24"/>
                <w:szCs w:val="24"/>
                <w:highlight w:val="none"/>
              </w:rPr>
              <w:t>12.1</w:t>
            </w:r>
          </w:p>
        </w:tc>
        <w:tc>
          <w:tcPr>
            <w:tcW w:w="1701" w:type="dxa"/>
            <w:vAlign w:val="center"/>
          </w:tcPr>
          <w:p w14:paraId="073713E4">
            <w:pPr>
              <w:jc w:val="center"/>
              <w:rPr>
                <w:rFonts w:hint="eastAsia" w:ascii="宋体" w:hAnsi="宋体"/>
                <w:color w:val="auto"/>
                <w:sz w:val="24"/>
                <w:highlight w:val="none"/>
              </w:rPr>
            </w:pPr>
            <w:r>
              <w:rPr>
                <w:rFonts w:ascii="宋体" w:hAnsi="宋体"/>
                <w:color w:val="auto"/>
                <w:sz w:val="24"/>
                <w:highlight w:val="none"/>
              </w:rPr>
              <w:t>响应有效期</w:t>
            </w:r>
          </w:p>
        </w:tc>
        <w:tc>
          <w:tcPr>
            <w:tcW w:w="7253" w:type="dxa"/>
            <w:vAlign w:val="center"/>
          </w:tcPr>
          <w:p w14:paraId="34B8625A">
            <w:pPr>
              <w:spacing w:line="360" w:lineRule="auto"/>
              <w:jc w:val="left"/>
              <w:rPr>
                <w:rFonts w:hint="eastAsia" w:ascii="宋体" w:hAnsi="宋体"/>
                <w:color w:val="auto"/>
                <w:sz w:val="24"/>
                <w:highlight w:val="none"/>
              </w:rPr>
            </w:pPr>
            <w:r>
              <w:rPr>
                <w:rFonts w:ascii="宋体" w:hAnsi="宋体"/>
                <w:color w:val="auto"/>
                <w:sz w:val="24"/>
                <w:highlight w:val="none"/>
              </w:rPr>
              <w:t>自提交响应文件的截止之日起算</w:t>
            </w:r>
            <w:r>
              <w:rPr>
                <w:rFonts w:ascii="宋体" w:hAnsi="宋体"/>
                <w:color w:val="auto"/>
                <w:sz w:val="24"/>
                <w:highlight w:val="none"/>
                <w:u w:val="single"/>
              </w:rPr>
              <w:t>90</w:t>
            </w:r>
            <w:r>
              <w:rPr>
                <w:rFonts w:ascii="宋体" w:hAnsi="宋体"/>
                <w:color w:val="auto"/>
                <w:sz w:val="24"/>
                <w:highlight w:val="none"/>
              </w:rPr>
              <w:t>日历天。</w:t>
            </w:r>
          </w:p>
        </w:tc>
      </w:tr>
      <w:tr w14:paraId="0A83E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B9E3055">
            <w:pPr>
              <w:pStyle w:val="9"/>
              <w:adjustRightInd w:val="0"/>
              <w:snapToGrid w:val="0"/>
              <w:jc w:val="center"/>
              <w:rPr>
                <w:rFonts w:hint="eastAsia" w:hAnsi="宋体"/>
                <w:color w:val="auto"/>
                <w:sz w:val="24"/>
                <w:szCs w:val="24"/>
                <w:highlight w:val="none"/>
              </w:rPr>
            </w:pPr>
            <w:r>
              <w:rPr>
                <w:rFonts w:hAnsi="宋体"/>
                <w:color w:val="auto"/>
                <w:sz w:val="24"/>
                <w:szCs w:val="24"/>
                <w:highlight w:val="none"/>
              </w:rPr>
              <w:t>20.1</w:t>
            </w:r>
          </w:p>
        </w:tc>
        <w:tc>
          <w:tcPr>
            <w:tcW w:w="1701" w:type="dxa"/>
            <w:vAlign w:val="center"/>
          </w:tcPr>
          <w:p w14:paraId="061C07DF">
            <w:pPr>
              <w:jc w:val="center"/>
              <w:rPr>
                <w:rFonts w:hint="eastAsia" w:ascii="宋体" w:hAnsi="宋体"/>
                <w:color w:val="auto"/>
                <w:sz w:val="24"/>
                <w:highlight w:val="none"/>
              </w:rPr>
            </w:pPr>
            <w:r>
              <w:rPr>
                <w:rFonts w:ascii="宋体" w:hAnsi="宋体"/>
                <w:color w:val="auto"/>
                <w:sz w:val="24"/>
                <w:highlight w:val="none"/>
              </w:rPr>
              <w:t>成交供应商的确认</w:t>
            </w:r>
          </w:p>
        </w:tc>
        <w:tc>
          <w:tcPr>
            <w:tcW w:w="7253" w:type="dxa"/>
            <w:vAlign w:val="center"/>
          </w:tcPr>
          <w:p w14:paraId="21826195">
            <w:pPr>
              <w:pStyle w:val="9"/>
              <w:adjustRightInd w:val="0"/>
              <w:snapToGrid w:val="0"/>
              <w:spacing w:line="360" w:lineRule="auto"/>
              <w:rPr>
                <w:rFonts w:hint="eastAsia" w:hAnsi="宋体"/>
                <w:color w:val="auto"/>
                <w:sz w:val="24"/>
                <w:szCs w:val="24"/>
                <w:highlight w:val="none"/>
              </w:rPr>
            </w:pPr>
            <w:r>
              <w:rPr>
                <w:rFonts w:hAnsi="宋体"/>
                <w:color w:val="auto"/>
                <w:sz w:val="24"/>
                <w:szCs w:val="24"/>
                <w:highlight w:val="none"/>
              </w:rPr>
              <w:t>采购人是否授权磋商小组直接确定成交供应商：</w:t>
            </w:r>
          </w:p>
          <w:p w14:paraId="0B38F5D6">
            <w:pPr>
              <w:pStyle w:val="9"/>
              <w:adjustRightInd w:val="0"/>
              <w:snapToGrid w:val="0"/>
              <w:spacing w:line="360" w:lineRule="auto"/>
              <w:rPr>
                <w:rFonts w:hint="eastAsia" w:hAnsi="宋体"/>
                <w:color w:val="auto"/>
                <w:sz w:val="24"/>
                <w:szCs w:val="24"/>
                <w:highlight w:val="none"/>
              </w:rPr>
            </w:pPr>
            <w:r>
              <w:rPr>
                <w:rFonts w:hAnsi="宋体"/>
                <w:b/>
                <w:color w:val="auto"/>
                <w:sz w:val="24"/>
                <w:szCs w:val="24"/>
                <w:highlight w:val="none"/>
              </w:rPr>
              <w:t>■</w:t>
            </w:r>
            <w:r>
              <w:rPr>
                <w:rFonts w:hAnsi="宋体"/>
                <w:color w:val="auto"/>
                <w:sz w:val="24"/>
                <w:szCs w:val="24"/>
                <w:highlight w:val="none"/>
              </w:rPr>
              <w:t>否</w:t>
            </w:r>
          </w:p>
          <w:p w14:paraId="115A4FD4">
            <w:pPr>
              <w:spacing w:line="360" w:lineRule="auto"/>
              <w:jc w:val="left"/>
              <w:rPr>
                <w:rFonts w:hint="eastAsia" w:ascii="宋体" w:hAnsi="宋体"/>
                <w:color w:val="auto"/>
                <w:sz w:val="24"/>
                <w:highlight w:val="none"/>
              </w:rPr>
            </w:pPr>
            <w:r>
              <w:rPr>
                <w:rFonts w:ascii="宋体" w:hAnsi="宋体"/>
                <w:color w:val="auto"/>
                <w:sz w:val="24"/>
                <w:highlight w:val="none"/>
              </w:rPr>
              <w:t>□是</w:t>
            </w:r>
          </w:p>
          <w:p w14:paraId="4C338DC0">
            <w:pPr>
              <w:spacing w:line="360" w:lineRule="auto"/>
              <w:jc w:val="left"/>
              <w:rPr>
                <w:rFonts w:hint="eastAsia" w:ascii="宋体" w:hAnsi="宋体"/>
                <w:color w:val="auto"/>
                <w:sz w:val="24"/>
                <w:highlight w:val="none"/>
                <w:u w:val="single"/>
              </w:rPr>
            </w:pPr>
            <w:r>
              <w:rPr>
                <w:rFonts w:ascii="宋体" w:hAnsi="宋体"/>
                <w:color w:val="auto"/>
                <w:sz w:val="24"/>
                <w:highlight w:val="none"/>
              </w:rPr>
              <w:t>成交候选人并列的，按照以下方式确定成交供应商：</w:t>
            </w:r>
            <w:r>
              <w:rPr>
                <w:rFonts w:hint="eastAsia" w:ascii="宋体" w:hAnsi="宋体"/>
                <w:color w:val="auto"/>
                <w:sz w:val="24"/>
                <w:highlight w:val="none"/>
                <w:u w:val="single"/>
              </w:rPr>
              <w:t>评审得分相同的，按照最后报价由低到高的顺序推荐。</w:t>
            </w:r>
          </w:p>
        </w:tc>
      </w:tr>
      <w:tr w14:paraId="18378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961F8F6">
            <w:pPr>
              <w:pStyle w:val="9"/>
              <w:adjustRightInd w:val="0"/>
              <w:snapToGrid w:val="0"/>
              <w:jc w:val="center"/>
              <w:rPr>
                <w:rFonts w:hint="eastAsia" w:hAnsi="宋体"/>
                <w:color w:val="auto"/>
                <w:sz w:val="24"/>
                <w:szCs w:val="24"/>
                <w:highlight w:val="none"/>
              </w:rPr>
            </w:pPr>
            <w:r>
              <w:rPr>
                <w:rFonts w:hAnsi="宋体"/>
                <w:color w:val="auto"/>
                <w:sz w:val="24"/>
                <w:szCs w:val="24"/>
                <w:highlight w:val="none"/>
              </w:rPr>
              <w:t>23.5</w:t>
            </w:r>
          </w:p>
        </w:tc>
        <w:tc>
          <w:tcPr>
            <w:tcW w:w="1701" w:type="dxa"/>
            <w:vAlign w:val="center"/>
          </w:tcPr>
          <w:p w14:paraId="5221C932">
            <w:pPr>
              <w:jc w:val="center"/>
              <w:rPr>
                <w:rFonts w:hint="eastAsia" w:ascii="宋体" w:hAnsi="宋体"/>
                <w:color w:val="auto"/>
                <w:sz w:val="24"/>
                <w:highlight w:val="none"/>
              </w:rPr>
            </w:pPr>
            <w:r>
              <w:rPr>
                <w:rFonts w:ascii="宋体" w:hAnsi="宋体"/>
                <w:color w:val="auto"/>
                <w:sz w:val="24"/>
                <w:highlight w:val="none"/>
              </w:rPr>
              <w:t>分包</w:t>
            </w:r>
          </w:p>
        </w:tc>
        <w:tc>
          <w:tcPr>
            <w:tcW w:w="7253" w:type="dxa"/>
            <w:vAlign w:val="center"/>
          </w:tcPr>
          <w:p w14:paraId="6DA74AA3">
            <w:pPr>
              <w:spacing w:line="360" w:lineRule="auto"/>
              <w:jc w:val="left"/>
              <w:rPr>
                <w:rFonts w:hint="eastAsia" w:ascii="宋体" w:hAnsi="宋体"/>
                <w:color w:val="auto"/>
                <w:sz w:val="24"/>
                <w:highlight w:val="none"/>
              </w:rPr>
            </w:pPr>
            <w:r>
              <w:rPr>
                <w:rFonts w:ascii="宋体" w:hAnsi="宋体"/>
                <w:color w:val="auto"/>
                <w:sz w:val="24"/>
                <w:highlight w:val="none"/>
              </w:rPr>
              <w:t xml:space="preserve">本项目是否允许分包： </w:t>
            </w:r>
          </w:p>
          <w:p w14:paraId="340CBFF1">
            <w:pPr>
              <w:spacing w:line="360" w:lineRule="auto"/>
              <w:jc w:val="left"/>
              <w:rPr>
                <w:rFonts w:hint="eastAsia" w:ascii="宋体" w:hAnsi="宋体"/>
                <w:color w:val="auto"/>
                <w:sz w:val="24"/>
                <w:highlight w:val="none"/>
              </w:rPr>
            </w:pPr>
            <w:r>
              <w:rPr>
                <w:rFonts w:ascii="宋体" w:hAnsi="宋体"/>
                <w:b/>
                <w:color w:val="auto"/>
                <w:sz w:val="24"/>
                <w:highlight w:val="none"/>
              </w:rPr>
              <w:t>■</w:t>
            </w:r>
            <w:r>
              <w:rPr>
                <w:rFonts w:ascii="宋体" w:hAnsi="宋体"/>
                <w:color w:val="auto"/>
                <w:sz w:val="24"/>
                <w:highlight w:val="none"/>
              </w:rPr>
              <w:t>不允许</w:t>
            </w:r>
          </w:p>
          <w:p w14:paraId="1829808C">
            <w:pPr>
              <w:spacing w:line="360" w:lineRule="auto"/>
              <w:jc w:val="left"/>
              <w:rPr>
                <w:rFonts w:hint="eastAsia" w:ascii="宋体" w:hAnsi="宋体"/>
                <w:color w:val="auto"/>
                <w:sz w:val="24"/>
                <w:highlight w:val="none"/>
              </w:rPr>
            </w:pPr>
            <w:r>
              <w:rPr>
                <w:rFonts w:ascii="宋体" w:hAnsi="宋体"/>
                <w:color w:val="auto"/>
                <w:sz w:val="24"/>
                <w:highlight w:val="none"/>
              </w:rPr>
              <w:t>□允许，具体要求：_______。</w:t>
            </w:r>
          </w:p>
          <w:p w14:paraId="1DE2150A">
            <w:pPr>
              <w:spacing w:line="360" w:lineRule="auto"/>
              <w:jc w:val="left"/>
              <w:rPr>
                <w:rFonts w:hint="eastAsia" w:ascii="宋体" w:hAnsi="宋体"/>
                <w:color w:val="auto"/>
                <w:sz w:val="24"/>
                <w:highlight w:val="none"/>
              </w:rPr>
            </w:pPr>
            <w:r>
              <w:rPr>
                <w:rFonts w:ascii="宋体" w:hAnsi="宋体"/>
                <w:color w:val="auto"/>
                <w:sz w:val="24"/>
                <w:highlight w:val="none"/>
              </w:rPr>
              <w:t>（1）可以分包履行的具体内容：_______；</w:t>
            </w:r>
          </w:p>
          <w:p w14:paraId="4C5987A8">
            <w:pPr>
              <w:spacing w:line="360" w:lineRule="auto"/>
              <w:jc w:val="left"/>
              <w:rPr>
                <w:rFonts w:hint="eastAsia" w:ascii="宋体" w:hAnsi="宋体"/>
                <w:color w:val="auto"/>
                <w:sz w:val="24"/>
                <w:highlight w:val="none"/>
              </w:rPr>
            </w:pPr>
            <w:r>
              <w:rPr>
                <w:rFonts w:ascii="宋体" w:hAnsi="宋体"/>
                <w:color w:val="auto"/>
                <w:sz w:val="24"/>
                <w:highlight w:val="none"/>
              </w:rPr>
              <w:t>（2）允许分包的金额或者比例：_______；</w:t>
            </w:r>
          </w:p>
          <w:p w14:paraId="516E09CE">
            <w:pPr>
              <w:spacing w:line="360" w:lineRule="auto"/>
              <w:jc w:val="left"/>
              <w:rPr>
                <w:rFonts w:hint="eastAsia" w:ascii="宋体" w:hAnsi="宋体"/>
                <w:color w:val="auto"/>
                <w:sz w:val="24"/>
                <w:highlight w:val="none"/>
                <w:u w:val="single"/>
              </w:rPr>
            </w:pPr>
            <w:r>
              <w:rPr>
                <w:rFonts w:ascii="宋体" w:hAnsi="宋体"/>
                <w:color w:val="auto"/>
                <w:sz w:val="24"/>
                <w:highlight w:val="none"/>
              </w:rPr>
              <w:t>（3）其他要求：_______。</w:t>
            </w:r>
          </w:p>
        </w:tc>
      </w:tr>
      <w:tr w14:paraId="68A07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103BC11">
            <w:pPr>
              <w:pStyle w:val="9"/>
              <w:adjustRightInd w:val="0"/>
              <w:snapToGrid w:val="0"/>
              <w:jc w:val="center"/>
              <w:rPr>
                <w:rFonts w:hint="eastAsia" w:hAnsi="宋体"/>
                <w:color w:val="auto"/>
                <w:sz w:val="24"/>
                <w:szCs w:val="24"/>
                <w:highlight w:val="none"/>
              </w:rPr>
            </w:pPr>
            <w:r>
              <w:rPr>
                <w:rFonts w:hAnsi="宋体"/>
                <w:color w:val="auto"/>
                <w:sz w:val="24"/>
                <w:szCs w:val="24"/>
                <w:highlight w:val="none"/>
              </w:rPr>
              <w:t>24.1.1</w:t>
            </w:r>
          </w:p>
        </w:tc>
        <w:tc>
          <w:tcPr>
            <w:tcW w:w="1701" w:type="dxa"/>
            <w:vAlign w:val="center"/>
          </w:tcPr>
          <w:p w14:paraId="4CC38D42">
            <w:pPr>
              <w:jc w:val="center"/>
              <w:rPr>
                <w:rFonts w:hint="eastAsia" w:ascii="宋体" w:hAnsi="宋体"/>
                <w:color w:val="auto"/>
                <w:sz w:val="24"/>
                <w:highlight w:val="none"/>
              </w:rPr>
            </w:pPr>
            <w:r>
              <w:rPr>
                <w:rFonts w:ascii="宋体" w:hAnsi="宋体"/>
                <w:color w:val="auto"/>
                <w:sz w:val="24"/>
                <w:highlight w:val="none"/>
              </w:rPr>
              <w:t>询问</w:t>
            </w:r>
          </w:p>
        </w:tc>
        <w:tc>
          <w:tcPr>
            <w:tcW w:w="7253" w:type="dxa"/>
            <w:vAlign w:val="center"/>
          </w:tcPr>
          <w:p w14:paraId="72CF3E0C">
            <w:pPr>
              <w:spacing w:line="360" w:lineRule="auto"/>
              <w:jc w:val="left"/>
              <w:rPr>
                <w:rFonts w:hint="eastAsia" w:ascii="宋体" w:hAnsi="宋体"/>
                <w:color w:val="auto"/>
                <w:sz w:val="24"/>
                <w:highlight w:val="none"/>
              </w:rPr>
            </w:pPr>
            <w:r>
              <w:rPr>
                <w:rFonts w:ascii="宋体" w:hAnsi="宋体"/>
                <w:color w:val="auto"/>
                <w:sz w:val="24"/>
                <w:highlight w:val="none"/>
              </w:rPr>
              <w:t>询问送达形式：</w:t>
            </w:r>
            <w:r>
              <w:rPr>
                <w:rFonts w:hint="eastAsia" w:ascii="宋体" w:hAnsi="宋体"/>
                <w:color w:val="auto"/>
                <w:sz w:val="24"/>
                <w:highlight w:val="none"/>
                <w:u w:val="single"/>
              </w:rPr>
              <w:t>以书面加盖单位公章形式</w:t>
            </w:r>
            <w:r>
              <w:rPr>
                <w:rFonts w:ascii="宋体" w:hAnsi="宋体"/>
                <w:color w:val="auto"/>
                <w:sz w:val="24"/>
                <w:highlight w:val="none"/>
              </w:rPr>
              <w:t>。</w:t>
            </w:r>
          </w:p>
        </w:tc>
      </w:tr>
      <w:tr w14:paraId="1A4DC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A4BCBE6">
            <w:pPr>
              <w:pStyle w:val="9"/>
              <w:adjustRightInd w:val="0"/>
              <w:snapToGrid w:val="0"/>
              <w:jc w:val="center"/>
              <w:rPr>
                <w:rFonts w:hint="eastAsia" w:hAnsi="宋体"/>
                <w:color w:val="auto"/>
                <w:sz w:val="24"/>
                <w:szCs w:val="24"/>
                <w:highlight w:val="none"/>
              </w:rPr>
            </w:pPr>
            <w:r>
              <w:rPr>
                <w:rFonts w:hAnsi="宋体"/>
                <w:color w:val="auto"/>
                <w:sz w:val="24"/>
                <w:szCs w:val="24"/>
                <w:highlight w:val="none"/>
              </w:rPr>
              <w:t>24.3</w:t>
            </w:r>
          </w:p>
        </w:tc>
        <w:tc>
          <w:tcPr>
            <w:tcW w:w="1701" w:type="dxa"/>
            <w:vAlign w:val="center"/>
          </w:tcPr>
          <w:p w14:paraId="1FA9FEDE">
            <w:pPr>
              <w:jc w:val="center"/>
              <w:rPr>
                <w:rFonts w:hint="eastAsia" w:ascii="宋体" w:hAnsi="宋体"/>
                <w:color w:val="auto"/>
                <w:sz w:val="24"/>
                <w:highlight w:val="none"/>
              </w:rPr>
            </w:pPr>
            <w:r>
              <w:rPr>
                <w:rFonts w:ascii="宋体" w:hAnsi="宋体"/>
                <w:color w:val="auto"/>
                <w:sz w:val="24"/>
                <w:highlight w:val="none"/>
              </w:rPr>
              <w:t>联系方式</w:t>
            </w:r>
          </w:p>
        </w:tc>
        <w:tc>
          <w:tcPr>
            <w:tcW w:w="7253" w:type="dxa"/>
            <w:vAlign w:val="center"/>
          </w:tcPr>
          <w:p w14:paraId="42F6D637">
            <w:pPr>
              <w:spacing w:line="360" w:lineRule="auto"/>
              <w:jc w:val="left"/>
              <w:rPr>
                <w:rFonts w:hint="eastAsia" w:ascii="宋体" w:hAnsi="宋体"/>
                <w:color w:val="auto"/>
                <w:sz w:val="24"/>
                <w:highlight w:val="none"/>
              </w:rPr>
            </w:pPr>
            <w:r>
              <w:rPr>
                <w:rFonts w:ascii="宋体" w:hAnsi="宋体"/>
                <w:color w:val="auto"/>
                <w:sz w:val="24"/>
                <w:highlight w:val="none"/>
              </w:rPr>
              <w:t>接收询问和质疑的联系方式</w:t>
            </w:r>
          </w:p>
          <w:p w14:paraId="346CD52A">
            <w:pPr>
              <w:spacing w:line="360" w:lineRule="auto"/>
              <w:jc w:val="left"/>
              <w:rPr>
                <w:rFonts w:hint="eastAsia" w:ascii="宋体" w:hAnsi="宋体"/>
                <w:color w:val="auto"/>
                <w:sz w:val="24"/>
                <w:highlight w:val="none"/>
              </w:rPr>
            </w:pPr>
            <w:r>
              <w:rPr>
                <w:rFonts w:ascii="宋体" w:hAnsi="宋体"/>
                <w:color w:val="auto"/>
                <w:sz w:val="24"/>
                <w:highlight w:val="none"/>
              </w:rPr>
              <w:t>联系部门：</w:t>
            </w:r>
            <w:r>
              <w:rPr>
                <w:rFonts w:hint="eastAsia" w:ascii="宋体" w:hAnsi="宋体"/>
                <w:color w:val="auto"/>
                <w:sz w:val="24"/>
                <w:highlight w:val="none"/>
                <w:u w:val="single"/>
              </w:rPr>
              <w:t>北京中域正信工程咨询有限公司</w:t>
            </w:r>
            <w:r>
              <w:rPr>
                <w:rFonts w:ascii="宋体" w:hAnsi="宋体"/>
                <w:color w:val="auto"/>
                <w:sz w:val="24"/>
                <w:highlight w:val="none"/>
              </w:rPr>
              <w:t>；</w:t>
            </w:r>
          </w:p>
          <w:p w14:paraId="5E743874">
            <w:pPr>
              <w:spacing w:line="360" w:lineRule="auto"/>
              <w:jc w:val="left"/>
              <w:rPr>
                <w:rFonts w:hint="eastAsia" w:ascii="宋体" w:hAnsi="宋体"/>
                <w:color w:val="auto"/>
                <w:sz w:val="24"/>
                <w:highlight w:val="none"/>
              </w:rPr>
            </w:pPr>
            <w:r>
              <w:rPr>
                <w:rFonts w:ascii="宋体" w:hAnsi="宋体"/>
                <w:color w:val="auto"/>
                <w:sz w:val="24"/>
                <w:highlight w:val="none"/>
              </w:rPr>
              <w:t>联系电话：</w:t>
            </w:r>
            <w:r>
              <w:rPr>
                <w:rFonts w:ascii="宋体" w:hAnsi="宋体"/>
                <w:color w:val="auto"/>
                <w:sz w:val="24"/>
                <w:highlight w:val="none"/>
                <w:u w:val="single"/>
              </w:rPr>
              <w:t>15011275036；</w:t>
            </w:r>
          </w:p>
          <w:p w14:paraId="1F71F1AA">
            <w:pPr>
              <w:spacing w:line="360" w:lineRule="auto"/>
              <w:jc w:val="left"/>
              <w:rPr>
                <w:rFonts w:hint="eastAsia" w:ascii="宋体" w:hAnsi="宋体"/>
                <w:color w:val="auto"/>
                <w:sz w:val="24"/>
                <w:highlight w:val="none"/>
              </w:rPr>
            </w:pPr>
            <w:r>
              <w:rPr>
                <w:rFonts w:ascii="宋体" w:hAnsi="宋体"/>
                <w:color w:val="auto"/>
                <w:sz w:val="24"/>
                <w:highlight w:val="none"/>
              </w:rPr>
              <w:t>通讯地址：</w:t>
            </w:r>
            <w:r>
              <w:rPr>
                <w:rFonts w:hint="eastAsia" w:ascii="宋体" w:hAnsi="宋体" w:cs="宋体"/>
                <w:color w:val="auto"/>
                <w:sz w:val="24"/>
                <w:highlight w:val="none"/>
                <w:u w:val="single"/>
              </w:rPr>
              <w:t>北京市昌平区碧水庄园3-20</w:t>
            </w:r>
            <w:r>
              <w:rPr>
                <w:rFonts w:ascii="宋体" w:hAnsi="宋体"/>
                <w:color w:val="auto"/>
                <w:sz w:val="24"/>
                <w:highlight w:val="none"/>
              </w:rPr>
              <w:t>。</w:t>
            </w:r>
          </w:p>
        </w:tc>
      </w:tr>
      <w:tr w14:paraId="368EB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18C76CE">
            <w:pPr>
              <w:pStyle w:val="9"/>
              <w:adjustRightInd w:val="0"/>
              <w:snapToGrid w:val="0"/>
              <w:jc w:val="center"/>
              <w:rPr>
                <w:rFonts w:hint="eastAsia" w:hAnsi="宋体"/>
                <w:color w:val="auto"/>
                <w:sz w:val="24"/>
                <w:szCs w:val="24"/>
                <w:highlight w:val="none"/>
              </w:rPr>
            </w:pPr>
            <w:r>
              <w:rPr>
                <w:rFonts w:hAnsi="宋体"/>
                <w:color w:val="auto"/>
                <w:sz w:val="24"/>
                <w:szCs w:val="24"/>
                <w:highlight w:val="none"/>
              </w:rPr>
              <w:t>25</w:t>
            </w:r>
          </w:p>
        </w:tc>
        <w:tc>
          <w:tcPr>
            <w:tcW w:w="1701" w:type="dxa"/>
            <w:vAlign w:val="center"/>
          </w:tcPr>
          <w:p w14:paraId="3C02A0D8">
            <w:pPr>
              <w:jc w:val="center"/>
              <w:rPr>
                <w:rFonts w:hint="eastAsia" w:ascii="宋体" w:hAnsi="宋体"/>
                <w:color w:val="auto"/>
                <w:sz w:val="24"/>
                <w:highlight w:val="none"/>
              </w:rPr>
            </w:pPr>
            <w:r>
              <w:rPr>
                <w:rFonts w:ascii="宋体" w:hAnsi="宋体"/>
                <w:color w:val="auto"/>
                <w:sz w:val="24"/>
                <w:highlight w:val="none"/>
              </w:rPr>
              <w:t>代理费</w:t>
            </w:r>
          </w:p>
        </w:tc>
        <w:tc>
          <w:tcPr>
            <w:tcW w:w="7253" w:type="dxa"/>
            <w:vAlign w:val="center"/>
          </w:tcPr>
          <w:p w14:paraId="74CD8958">
            <w:pPr>
              <w:spacing w:line="360" w:lineRule="auto"/>
              <w:jc w:val="left"/>
              <w:rPr>
                <w:rFonts w:hint="eastAsia" w:ascii="宋体" w:hAnsi="宋体"/>
                <w:color w:val="auto"/>
                <w:sz w:val="24"/>
                <w:highlight w:val="none"/>
              </w:rPr>
            </w:pPr>
            <w:r>
              <w:rPr>
                <w:rFonts w:ascii="宋体" w:hAnsi="宋体"/>
                <w:color w:val="auto"/>
                <w:sz w:val="24"/>
                <w:highlight w:val="none"/>
              </w:rPr>
              <w:t>收费对象：</w:t>
            </w:r>
          </w:p>
          <w:p w14:paraId="4E114278">
            <w:pPr>
              <w:spacing w:line="360" w:lineRule="auto"/>
              <w:jc w:val="left"/>
              <w:rPr>
                <w:rFonts w:hint="eastAsia" w:ascii="宋体" w:hAnsi="宋体"/>
                <w:color w:val="auto"/>
                <w:sz w:val="24"/>
                <w:highlight w:val="none"/>
              </w:rPr>
            </w:pPr>
            <w:r>
              <w:rPr>
                <w:rFonts w:ascii="宋体" w:hAnsi="宋体"/>
                <w:color w:val="auto"/>
                <w:sz w:val="24"/>
                <w:highlight w:val="none"/>
              </w:rPr>
              <w:t>□采购人</w:t>
            </w:r>
          </w:p>
          <w:p w14:paraId="65B3B622">
            <w:pPr>
              <w:spacing w:line="360" w:lineRule="auto"/>
              <w:jc w:val="left"/>
              <w:rPr>
                <w:rFonts w:hint="eastAsia" w:ascii="宋体" w:hAnsi="宋体"/>
                <w:color w:val="auto"/>
                <w:sz w:val="24"/>
                <w:highlight w:val="none"/>
              </w:rPr>
            </w:pPr>
            <w:r>
              <w:rPr>
                <w:rFonts w:ascii="宋体" w:hAnsi="宋体"/>
                <w:b/>
                <w:color w:val="auto"/>
                <w:sz w:val="24"/>
                <w:highlight w:val="none"/>
              </w:rPr>
              <w:t>■</w:t>
            </w:r>
            <w:r>
              <w:rPr>
                <w:rFonts w:ascii="宋体" w:hAnsi="宋体"/>
                <w:color w:val="auto"/>
                <w:sz w:val="24"/>
                <w:highlight w:val="none"/>
              </w:rPr>
              <w:t>成交供应商</w:t>
            </w:r>
          </w:p>
          <w:p w14:paraId="1AE80A7B">
            <w:pPr>
              <w:spacing w:line="360" w:lineRule="auto"/>
              <w:jc w:val="left"/>
              <w:rPr>
                <w:rStyle w:val="33"/>
                <w:rFonts w:hint="eastAsia" w:ascii="宋体" w:hAnsi="宋体"/>
                <w:color w:val="auto"/>
                <w:sz w:val="24"/>
                <w:highlight w:val="none"/>
                <w:u w:val="single"/>
              </w:rPr>
            </w:pPr>
            <w:r>
              <w:rPr>
                <w:rFonts w:ascii="宋体" w:hAnsi="宋体"/>
                <w:color w:val="auto"/>
                <w:sz w:val="24"/>
                <w:highlight w:val="none"/>
              </w:rPr>
              <w:t>收费标准：</w:t>
            </w:r>
            <w:r>
              <w:rPr>
                <w:rStyle w:val="33"/>
                <w:rFonts w:ascii="宋体" w:hAnsi="宋体"/>
                <w:color w:val="auto"/>
                <w:sz w:val="24"/>
                <w:highlight w:val="none"/>
                <w:u w:val="single"/>
              </w:rPr>
              <w:t>采购代理服务费</w:t>
            </w:r>
            <w:r>
              <w:rPr>
                <w:rStyle w:val="33"/>
                <w:rFonts w:hint="eastAsia" w:ascii="宋体" w:hAnsi="宋体"/>
                <w:color w:val="auto"/>
                <w:sz w:val="24"/>
                <w:highlight w:val="none"/>
                <w:u w:val="single"/>
              </w:rPr>
              <w:t>参照国家计委计价格[2002]1980号文件及国家发改委发改办价格[2003]857号文件规定执行。</w:t>
            </w:r>
          </w:p>
          <w:p w14:paraId="200D83EB">
            <w:pPr>
              <w:spacing w:line="360" w:lineRule="auto"/>
              <w:jc w:val="left"/>
              <w:rPr>
                <w:rFonts w:hint="eastAsia" w:ascii="宋体" w:hAnsi="宋体"/>
                <w:color w:val="auto"/>
                <w:sz w:val="24"/>
                <w:highlight w:val="none"/>
              </w:rPr>
            </w:pPr>
            <w:r>
              <w:rPr>
                <w:rFonts w:ascii="宋体" w:hAnsi="宋体"/>
                <w:color w:val="auto"/>
                <w:sz w:val="24"/>
                <w:highlight w:val="none"/>
              </w:rPr>
              <w:t>缴纳时间：</w:t>
            </w:r>
            <w:r>
              <w:rPr>
                <w:rStyle w:val="33"/>
                <w:rFonts w:ascii="宋体" w:hAnsi="宋体"/>
                <w:color w:val="auto"/>
                <w:sz w:val="24"/>
                <w:highlight w:val="none"/>
                <w:u w:val="single"/>
              </w:rPr>
              <w:t>领取成交通</w:t>
            </w:r>
            <w:r>
              <w:rPr>
                <w:rStyle w:val="33"/>
                <w:rFonts w:hint="eastAsia" w:ascii="宋体" w:hAnsi="宋体"/>
                <w:color w:val="auto"/>
                <w:sz w:val="24"/>
                <w:highlight w:val="none"/>
                <w:u w:val="single"/>
              </w:rPr>
              <w:t>知书时</w:t>
            </w:r>
            <w:r>
              <w:rPr>
                <w:rStyle w:val="33"/>
                <w:rFonts w:ascii="宋体" w:hAnsi="宋体"/>
                <w:color w:val="auto"/>
                <w:sz w:val="24"/>
                <w:highlight w:val="none"/>
                <w:u w:val="single"/>
              </w:rPr>
              <w:t>向贵公司即</w:t>
            </w:r>
            <w:r>
              <w:rPr>
                <w:rStyle w:val="33"/>
                <w:rFonts w:hint="eastAsia" w:ascii="宋体" w:hAnsi="宋体"/>
                <w:color w:val="auto"/>
                <w:sz w:val="24"/>
                <w:highlight w:val="none"/>
                <w:u w:val="single"/>
              </w:rPr>
              <w:t>北京中域正信工程咨询有限公司</w:t>
            </w:r>
            <w:r>
              <w:rPr>
                <w:rStyle w:val="33"/>
                <w:rFonts w:ascii="宋体" w:hAnsi="宋体"/>
                <w:color w:val="auto"/>
                <w:sz w:val="24"/>
                <w:highlight w:val="none"/>
                <w:u w:val="single"/>
              </w:rPr>
              <w:t>，一次性支付应该交纳的采购代理服务费用</w:t>
            </w:r>
            <w:r>
              <w:rPr>
                <w:rFonts w:ascii="宋体" w:hAnsi="宋体"/>
                <w:color w:val="auto"/>
                <w:sz w:val="24"/>
                <w:highlight w:val="none"/>
                <w:u w:val="single"/>
              </w:rPr>
              <w:t>。</w:t>
            </w:r>
          </w:p>
        </w:tc>
      </w:tr>
      <w:tr w14:paraId="6FCCD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AEA220C">
            <w:pPr>
              <w:pStyle w:val="9"/>
              <w:adjustRightInd w:val="0"/>
              <w:snapToGrid w:val="0"/>
              <w:jc w:val="center"/>
              <w:rPr>
                <w:rFonts w:hint="eastAsia" w:hAnsi="宋体"/>
                <w:color w:val="auto"/>
                <w:sz w:val="24"/>
                <w:szCs w:val="24"/>
                <w:highlight w:val="none"/>
              </w:rPr>
            </w:pPr>
            <w:r>
              <w:rPr>
                <w:rFonts w:hint="eastAsia" w:hAnsi="宋体"/>
                <w:color w:val="auto"/>
                <w:sz w:val="24"/>
                <w:szCs w:val="24"/>
                <w:highlight w:val="none"/>
              </w:rPr>
              <w:t>26.1</w:t>
            </w:r>
          </w:p>
        </w:tc>
        <w:tc>
          <w:tcPr>
            <w:tcW w:w="1701" w:type="dxa"/>
            <w:vAlign w:val="center"/>
          </w:tcPr>
          <w:p w14:paraId="58617A7E">
            <w:pPr>
              <w:jc w:val="center"/>
              <w:rPr>
                <w:rFonts w:hint="eastAsia" w:ascii="宋体" w:hAnsi="宋体"/>
                <w:color w:val="auto"/>
                <w:sz w:val="24"/>
                <w:highlight w:val="none"/>
              </w:rPr>
            </w:pPr>
            <w:r>
              <w:rPr>
                <w:rFonts w:hint="eastAsia" w:ascii="宋体" w:hAnsi="宋体"/>
                <w:color w:val="auto"/>
                <w:sz w:val="24"/>
                <w:highlight w:val="none"/>
              </w:rPr>
              <w:t>履约保证金</w:t>
            </w:r>
          </w:p>
        </w:tc>
        <w:tc>
          <w:tcPr>
            <w:tcW w:w="7253" w:type="dxa"/>
            <w:vAlign w:val="center"/>
          </w:tcPr>
          <w:p w14:paraId="07F6EDEA">
            <w:pPr>
              <w:spacing w:line="360" w:lineRule="auto"/>
              <w:jc w:val="left"/>
              <w:rPr>
                <w:rFonts w:hint="eastAsia" w:ascii="宋体" w:hAnsi="宋体"/>
                <w:color w:val="auto"/>
                <w:sz w:val="24"/>
                <w:highlight w:val="none"/>
              </w:rPr>
            </w:pPr>
            <w:r>
              <w:rPr>
                <w:rFonts w:hint="eastAsia" w:ascii="宋体" w:hAnsi="宋体"/>
                <w:color w:val="auto"/>
                <w:sz w:val="24"/>
                <w:highlight w:val="none"/>
              </w:rPr>
              <w:t>是否提交履约保证金：</w:t>
            </w:r>
          </w:p>
          <w:p w14:paraId="54E47DE0">
            <w:pPr>
              <w:pStyle w:val="2"/>
              <w:ind w:firstLine="0" w:firstLineChars="0"/>
              <w:rPr>
                <w:rFonts w:hint="eastAsia" w:ascii="宋体" w:hAnsi="宋体"/>
                <w:color w:val="auto"/>
                <w:sz w:val="24"/>
                <w:highlight w:val="none"/>
              </w:rPr>
            </w:pPr>
            <w:r>
              <w:rPr>
                <w:rFonts w:hint="eastAsia" w:ascii="宋体" w:hAnsi="宋体"/>
                <w:color w:val="auto"/>
                <w:sz w:val="24"/>
                <w:highlight w:val="none"/>
              </w:rPr>
              <w:t>□否</w:t>
            </w:r>
          </w:p>
          <w:p w14:paraId="00DD0866">
            <w:pPr>
              <w:pStyle w:val="2"/>
              <w:ind w:firstLine="0" w:firstLineChars="0"/>
              <w:rPr>
                <w:rFonts w:hint="eastAsia" w:ascii="宋体" w:hAnsi="宋体"/>
                <w:color w:val="auto"/>
                <w:sz w:val="24"/>
                <w:highlight w:val="none"/>
              </w:rPr>
            </w:pPr>
            <w:r>
              <w:rPr>
                <w:rFonts w:ascii="宋体" w:hAnsi="宋体"/>
                <w:b/>
                <w:color w:val="auto"/>
                <w:sz w:val="24"/>
                <w:highlight w:val="none"/>
              </w:rPr>
              <w:t>■</w:t>
            </w:r>
            <w:r>
              <w:rPr>
                <w:rFonts w:hint="eastAsia" w:ascii="宋体" w:hAnsi="宋体"/>
                <w:bCs/>
                <w:color w:val="auto"/>
                <w:sz w:val="24"/>
                <w:highlight w:val="none"/>
              </w:rPr>
              <w:t>是，履约保证金金额：</w:t>
            </w:r>
            <w:r>
              <w:rPr>
                <w:rFonts w:hint="eastAsia" w:ascii="宋体" w:hAnsi="宋体"/>
                <w:bCs/>
                <w:color w:val="auto"/>
                <w:sz w:val="24"/>
                <w:highlight w:val="none"/>
                <w:u w:val="single"/>
              </w:rPr>
              <w:t>签约合同价的10%。</w:t>
            </w:r>
          </w:p>
        </w:tc>
      </w:tr>
      <w:tr w14:paraId="47F5E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3" w:hRule="atLeast"/>
          <w:jc w:val="center"/>
        </w:trPr>
        <w:tc>
          <w:tcPr>
            <w:tcW w:w="988" w:type="dxa"/>
            <w:vAlign w:val="center"/>
          </w:tcPr>
          <w:p w14:paraId="77978DFA">
            <w:pPr>
              <w:pStyle w:val="9"/>
              <w:adjustRightInd w:val="0"/>
              <w:snapToGrid w:val="0"/>
              <w:jc w:val="center"/>
              <w:rPr>
                <w:rFonts w:hint="eastAsia" w:hAnsi="宋体"/>
                <w:color w:val="auto"/>
                <w:sz w:val="24"/>
                <w:szCs w:val="24"/>
                <w:highlight w:val="none"/>
              </w:rPr>
            </w:pPr>
            <w:r>
              <w:rPr>
                <w:rFonts w:hAnsi="宋体"/>
                <w:color w:val="auto"/>
                <w:sz w:val="24"/>
                <w:szCs w:val="24"/>
                <w:highlight w:val="none"/>
              </w:rPr>
              <w:t>26</w:t>
            </w:r>
            <w:r>
              <w:rPr>
                <w:rFonts w:hint="eastAsia" w:hAnsi="宋体"/>
                <w:color w:val="auto"/>
                <w:sz w:val="24"/>
                <w:szCs w:val="24"/>
                <w:highlight w:val="none"/>
              </w:rPr>
              <w:t>.2</w:t>
            </w:r>
          </w:p>
        </w:tc>
        <w:tc>
          <w:tcPr>
            <w:tcW w:w="1701" w:type="dxa"/>
            <w:vAlign w:val="center"/>
          </w:tcPr>
          <w:p w14:paraId="7E20DF11">
            <w:pPr>
              <w:jc w:val="center"/>
              <w:rPr>
                <w:rFonts w:hint="eastAsia" w:ascii="宋体" w:hAnsi="宋体"/>
                <w:color w:val="auto"/>
                <w:sz w:val="24"/>
                <w:highlight w:val="none"/>
              </w:rPr>
            </w:pPr>
            <w:r>
              <w:rPr>
                <w:rFonts w:hint="eastAsia" w:ascii="宋体" w:hAnsi="宋体"/>
                <w:color w:val="auto"/>
                <w:sz w:val="24"/>
                <w:highlight w:val="none"/>
              </w:rPr>
              <w:t>其他补充事项</w:t>
            </w:r>
          </w:p>
        </w:tc>
        <w:tc>
          <w:tcPr>
            <w:tcW w:w="7253" w:type="dxa"/>
            <w:vAlign w:val="center"/>
          </w:tcPr>
          <w:p w14:paraId="2156D23F">
            <w:pPr>
              <w:spacing w:line="360" w:lineRule="auto"/>
              <w:jc w:val="left"/>
              <w:rPr>
                <w:rFonts w:hint="eastAsia" w:ascii="宋体" w:hAnsi="宋体"/>
                <w:color w:val="auto"/>
                <w:sz w:val="24"/>
                <w:highlight w:val="none"/>
              </w:rPr>
            </w:pPr>
            <w:r>
              <w:rPr>
                <w:rFonts w:hint="eastAsia" w:ascii="宋体" w:hAnsi="宋体"/>
                <w:color w:val="auto"/>
                <w:sz w:val="24"/>
                <w:highlight w:val="none"/>
              </w:rPr>
              <w:t xml:space="preserve">响应文件份数：纸质正本1份；纸质副本2份；电子版文件 </w:t>
            </w:r>
            <w:r>
              <w:rPr>
                <w:rFonts w:ascii="宋体" w:hAnsi="宋体"/>
                <w:color w:val="auto"/>
                <w:sz w:val="24"/>
                <w:highlight w:val="none"/>
              </w:rPr>
              <w:t>1</w:t>
            </w:r>
            <w:r>
              <w:rPr>
                <w:rFonts w:hint="eastAsia" w:ascii="宋体" w:hAnsi="宋体"/>
                <w:color w:val="auto"/>
                <w:sz w:val="24"/>
                <w:highlight w:val="none"/>
              </w:rPr>
              <w:t xml:space="preserve"> 份（应为正本的扫描件，载体为U盘，为了便于区分，在U盘表面粘帖单位标识,如：供应商简称+采购项目编号后三位）。投标保证金汇款底单：1份</w:t>
            </w:r>
          </w:p>
        </w:tc>
      </w:tr>
    </w:tbl>
    <w:p w14:paraId="34A0FC0F">
      <w:pPr>
        <w:widowControl/>
        <w:jc w:val="center"/>
        <w:rPr>
          <w:rFonts w:hint="eastAsia" w:ascii="宋体" w:hAnsi="宋体"/>
          <w:b/>
          <w:bCs/>
          <w:color w:val="auto"/>
          <w:sz w:val="28"/>
          <w:szCs w:val="36"/>
          <w:highlight w:val="none"/>
        </w:rPr>
      </w:pPr>
      <w:r>
        <w:rPr>
          <w:rFonts w:ascii="宋体" w:hAnsi="宋体"/>
          <w:color w:val="auto"/>
          <w:highlight w:val="none"/>
        </w:rPr>
        <w:br w:type="page"/>
      </w:r>
      <w:r>
        <w:rPr>
          <w:rFonts w:ascii="宋体" w:hAnsi="宋体"/>
          <w:b/>
          <w:bCs/>
          <w:color w:val="auto"/>
          <w:sz w:val="28"/>
          <w:szCs w:val="36"/>
          <w:highlight w:val="none"/>
        </w:rPr>
        <w:t>供应商须知</w:t>
      </w:r>
    </w:p>
    <w:p w14:paraId="05570D9A">
      <w:pPr>
        <w:jc w:val="center"/>
        <w:outlineLvl w:val="1"/>
        <w:rPr>
          <w:rFonts w:hint="eastAsia" w:ascii="宋体" w:hAnsi="宋体"/>
          <w:b/>
          <w:bCs/>
          <w:color w:val="auto"/>
          <w:sz w:val="28"/>
          <w:highlight w:val="none"/>
        </w:rPr>
      </w:pPr>
      <w:bookmarkStart w:id="43" w:name="_Toc226965708"/>
      <w:bookmarkStart w:id="44" w:name="_Toc265228356"/>
      <w:bookmarkStart w:id="45" w:name="_Toc150480756"/>
      <w:bookmarkStart w:id="46" w:name="_Toc151190145"/>
      <w:bookmarkStart w:id="47" w:name="_Toc151193760"/>
      <w:bookmarkStart w:id="48" w:name="_Toc226965791"/>
      <w:bookmarkStart w:id="49" w:name="_Toc305158786"/>
      <w:bookmarkStart w:id="50" w:name="_Toc150509269"/>
      <w:bookmarkStart w:id="51" w:name="_Toc226337214"/>
      <w:bookmarkStart w:id="52" w:name="_Toc305158860"/>
      <w:bookmarkStart w:id="53" w:name="_Toc151193688"/>
      <w:bookmarkStart w:id="54" w:name="_Toc264969208"/>
      <w:bookmarkStart w:id="55" w:name="_Toc150774618"/>
      <w:bookmarkStart w:id="56" w:name="_Toc151193616"/>
      <w:bookmarkStart w:id="57" w:name="_Toc151193832"/>
      <w:bookmarkStart w:id="58" w:name="_Toc142311020"/>
      <w:bookmarkStart w:id="59" w:name="_Toc127151518"/>
      <w:bookmarkStart w:id="60" w:name="_Toc151193906"/>
      <w:bookmarkStart w:id="61" w:name="_Toc520356143"/>
      <w:bookmarkStart w:id="62" w:name="_Toc195842883"/>
      <w:bookmarkStart w:id="63" w:name="_Toc150774723"/>
      <w:bookmarkStart w:id="64" w:name="_Toc226309762"/>
      <w:r>
        <w:rPr>
          <w:rFonts w:ascii="宋体" w:hAnsi="宋体"/>
          <w:b/>
          <w:bCs/>
          <w:color w:val="auto"/>
          <w:sz w:val="28"/>
          <w:szCs w:val="36"/>
          <w:highlight w:val="none"/>
        </w:rPr>
        <w:t>一   说  明</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24A7EF2F">
      <w:pPr>
        <w:numPr>
          <w:ilvl w:val="0"/>
          <w:numId w:val="1"/>
        </w:numPr>
        <w:tabs>
          <w:tab w:val="left" w:pos="360"/>
          <w:tab w:val="clear" w:pos="900"/>
        </w:tabs>
        <w:snapToGrid w:val="0"/>
        <w:spacing w:line="360" w:lineRule="auto"/>
        <w:ind w:left="357" w:hanging="357"/>
        <w:outlineLvl w:val="2"/>
        <w:rPr>
          <w:rFonts w:hint="eastAsia" w:ascii="宋体" w:hAnsi="宋体"/>
          <w:color w:val="auto"/>
          <w:sz w:val="24"/>
          <w:highlight w:val="none"/>
        </w:rPr>
      </w:pPr>
      <w:bookmarkStart w:id="65" w:name="_Toc305158787"/>
      <w:bookmarkStart w:id="66" w:name="_Toc265228357"/>
      <w:bookmarkStart w:id="67" w:name="_Toc264969209"/>
      <w:bookmarkStart w:id="68" w:name="_Toc305158861"/>
      <w:r>
        <w:rPr>
          <w:rFonts w:ascii="宋体" w:hAnsi="宋体"/>
          <w:color w:val="auto"/>
          <w:sz w:val="24"/>
          <w:highlight w:val="none"/>
        </w:rPr>
        <w:t>采购人、采购代理机构、供应商</w:t>
      </w:r>
      <w:bookmarkEnd w:id="65"/>
      <w:bookmarkEnd w:id="66"/>
      <w:bookmarkEnd w:id="67"/>
      <w:bookmarkEnd w:id="68"/>
      <w:r>
        <w:rPr>
          <w:rFonts w:ascii="宋体" w:hAnsi="宋体"/>
          <w:color w:val="auto"/>
          <w:sz w:val="24"/>
          <w:highlight w:val="none"/>
        </w:rPr>
        <w:t>、联合体</w:t>
      </w:r>
    </w:p>
    <w:p w14:paraId="5253C640">
      <w:pPr>
        <w:numPr>
          <w:ilvl w:val="1"/>
          <w:numId w:val="1"/>
        </w:numPr>
        <w:tabs>
          <w:tab w:val="left" w:pos="1080"/>
          <w:tab w:val="left" w:pos="2014"/>
          <w:tab w:val="left" w:pos="5521"/>
        </w:tabs>
        <w:snapToGrid w:val="0"/>
        <w:spacing w:line="360" w:lineRule="auto"/>
        <w:ind w:left="1080" w:hanging="720"/>
        <w:rPr>
          <w:rFonts w:hint="eastAsia" w:ascii="宋体" w:hAnsi="宋体"/>
          <w:color w:val="auto"/>
          <w:sz w:val="24"/>
          <w:highlight w:val="none"/>
        </w:rPr>
      </w:pPr>
      <w:r>
        <w:rPr>
          <w:rFonts w:ascii="宋体" w:hAnsi="宋体"/>
          <w:color w:val="auto"/>
          <w:sz w:val="24"/>
          <w:highlight w:val="none"/>
        </w:rPr>
        <w:t>采购人、采购代理机构：指依法进行政府采购的国家机关、事业单位、团体组织，及其委托的采购代理机构。本项目采购人、采购代理机构见第一章《采购邀请》。</w:t>
      </w:r>
    </w:p>
    <w:p w14:paraId="2924560C">
      <w:pPr>
        <w:numPr>
          <w:ilvl w:val="1"/>
          <w:numId w:val="1"/>
        </w:numPr>
        <w:tabs>
          <w:tab w:val="left" w:pos="1080"/>
          <w:tab w:val="left" w:pos="2014"/>
          <w:tab w:val="left" w:pos="5521"/>
        </w:tabs>
        <w:snapToGrid w:val="0"/>
        <w:spacing w:line="360" w:lineRule="auto"/>
        <w:ind w:left="1080" w:hanging="720"/>
        <w:rPr>
          <w:rFonts w:hint="eastAsia" w:ascii="宋体" w:hAnsi="宋体"/>
          <w:color w:val="auto"/>
          <w:sz w:val="24"/>
          <w:highlight w:val="none"/>
        </w:rPr>
      </w:pPr>
      <w:r>
        <w:rPr>
          <w:rFonts w:ascii="宋体" w:hAnsi="宋体"/>
          <w:color w:val="auto"/>
          <w:sz w:val="24"/>
          <w:highlight w:val="none"/>
        </w:rPr>
        <w:t>供应商（也称“申请人”）：指向采购人提供货物、工程或者服务的法人、其他组织或者自然人。</w:t>
      </w:r>
    </w:p>
    <w:p w14:paraId="15072F1A">
      <w:pPr>
        <w:numPr>
          <w:ilvl w:val="1"/>
          <w:numId w:val="1"/>
        </w:numPr>
        <w:tabs>
          <w:tab w:val="left" w:pos="1080"/>
          <w:tab w:val="left" w:pos="2014"/>
          <w:tab w:val="left" w:pos="5521"/>
        </w:tabs>
        <w:snapToGrid w:val="0"/>
        <w:spacing w:line="360" w:lineRule="auto"/>
        <w:ind w:left="1080" w:hanging="720"/>
        <w:rPr>
          <w:rFonts w:hint="eastAsia" w:ascii="宋体" w:hAnsi="宋体"/>
          <w:color w:val="auto"/>
          <w:sz w:val="24"/>
          <w:highlight w:val="none"/>
        </w:rPr>
      </w:pPr>
      <w:r>
        <w:rPr>
          <w:rFonts w:ascii="宋体" w:hAnsi="宋体"/>
          <w:color w:val="auto"/>
          <w:sz w:val="24"/>
          <w:highlight w:val="none"/>
        </w:rPr>
        <w:t>联合体：指两个以上的自然人、法人或者其他组织组成一个联合体，以一个供应商的身份共同参加政府采购。</w:t>
      </w:r>
    </w:p>
    <w:p w14:paraId="5468EED5">
      <w:pPr>
        <w:numPr>
          <w:ilvl w:val="0"/>
          <w:numId w:val="1"/>
        </w:numPr>
        <w:tabs>
          <w:tab w:val="left" w:pos="360"/>
          <w:tab w:val="clear" w:pos="900"/>
        </w:tabs>
        <w:snapToGrid w:val="0"/>
        <w:spacing w:line="360" w:lineRule="auto"/>
        <w:ind w:left="357" w:hanging="357"/>
        <w:outlineLvl w:val="2"/>
        <w:rPr>
          <w:rFonts w:hint="eastAsia" w:ascii="宋体" w:hAnsi="宋体"/>
          <w:color w:val="auto"/>
          <w:sz w:val="24"/>
          <w:highlight w:val="none"/>
        </w:rPr>
      </w:pPr>
      <w:bookmarkStart w:id="69" w:name="_Toc305158788"/>
      <w:bookmarkStart w:id="70" w:name="_Toc164608789"/>
      <w:bookmarkStart w:id="71" w:name="_Toc151193762"/>
      <w:bookmarkStart w:id="72" w:name="_Toc164608634"/>
      <w:bookmarkStart w:id="73" w:name="_Toc164351614"/>
      <w:bookmarkStart w:id="74" w:name="_Toc150774620"/>
      <w:bookmarkStart w:id="75" w:name="_Toc149720813"/>
      <w:bookmarkStart w:id="76" w:name="_Toc151193834"/>
      <w:bookmarkStart w:id="77" w:name="_Toc195842885"/>
      <w:bookmarkStart w:id="78" w:name="_Toc151193690"/>
      <w:bookmarkStart w:id="79" w:name="_Toc264969210"/>
      <w:bookmarkStart w:id="80" w:name="_Toc305158862"/>
      <w:bookmarkStart w:id="81" w:name="_Toc226965793"/>
      <w:bookmarkStart w:id="82" w:name="_Toc265228358"/>
      <w:bookmarkStart w:id="83" w:name="_Toc164229215"/>
      <w:bookmarkStart w:id="84" w:name="_Toc150509271"/>
      <w:bookmarkStart w:id="85" w:name="_Toc142311022"/>
      <w:bookmarkStart w:id="86" w:name="_Toc127161434"/>
      <w:bookmarkStart w:id="87" w:name="_Toc164229361"/>
      <w:bookmarkStart w:id="88" w:name="_Toc127151520"/>
      <w:bookmarkStart w:id="89" w:name="_Toc151193618"/>
      <w:bookmarkStart w:id="90" w:name="_Toc127151721"/>
      <w:bookmarkStart w:id="91" w:name="_Toc150774725"/>
      <w:bookmarkStart w:id="92" w:name="_Toc226309764"/>
      <w:bookmarkStart w:id="93" w:name="_Toc226337216"/>
      <w:bookmarkStart w:id="94" w:name="_Toc151190147"/>
      <w:bookmarkStart w:id="95" w:name="_Toc151193908"/>
      <w:bookmarkStart w:id="96" w:name="_Toc150480758"/>
      <w:bookmarkStart w:id="97" w:name="_Toc226965710"/>
      <w:r>
        <w:rPr>
          <w:rFonts w:ascii="宋体" w:hAnsi="宋体"/>
          <w:color w:val="auto"/>
          <w:sz w:val="24"/>
          <w:highlight w:val="none"/>
        </w:rPr>
        <w:t>资金来源</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Pr>
          <w:rFonts w:ascii="宋体" w:hAnsi="宋体"/>
          <w:color w:val="auto"/>
          <w:sz w:val="24"/>
          <w:highlight w:val="none"/>
        </w:rPr>
        <w:t>、项目属性、科研仪器设备采购</w:t>
      </w:r>
    </w:p>
    <w:p w14:paraId="0DBA4C8C">
      <w:pPr>
        <w:numPr>
          <w:ilvl w:val="1"/>
          <w:numId w:val="1"/>
        </w:numPr>
        <w:tabs>
          <w:tab w:val="left" w:pos="1080"/>
          <w:tab w:val="left" w:pos="2014"/>
        </w:tabs>
        <w:snapToGrid w:val="0"/>
        <w:spacing w:line="360" w:lineRule="auto"/>
        <w:ind w:left="1080" w:hanging="720"/>
        <w:rPr>
          <w:rFonts w:hint="eastAsia" w:ascii="宋体" w:hAnsi="宋体"/>
          <w:color w:val="auto"/>
          <w:sz w:val="24"/>
          <w:highlight w:val="none"/>
        </w:rPr>
      </w:pPr>
      <w:r>
        <w:rPr>
          <w:rFonts w:ascii="宋体" w:hAnsi="宋体"/>
          <w:color w:val="auto"/>
          <w:sz w:val="24"/>
          <w:highlight w:val="none"/>
        </w:rPr>
        <w:t>资金来源为财政性资金和/或本项目采购中无法与财政性资金分割的非财政性资金。</w:t>
      </w:r>
    </w:p>
    <w:p w14:paraId="5954E269">
      <w:pPr>
        <w:numPr>
          <w:ilvl w:val="1"/>
          <w:numId w:val="1"/>
        </w:numPr>
        <w:tabs>
          <w:tab w:val="left" w:pos="1080"/>
          <w:tab w:val="left" w:pos="2014"/>
        </w:tabs>
        <w:snapToGrid w:val="0"/>
        <w:spacing w:line="360" w:lineRule="auto"/>
        <w:ind w:left="1080" w:hanging="720"/>
        <w:rPr>
          <w:rFonts w:hint="eastAsia" w:ascii="宋体" w:hAnsi="宋体"/>
          <w:color w:val="auto"/>
          <w:sz w:val="24"/>
          <w:highlight w:val="none"/>
        </w:rPr>
      </w:pPr>
      <w:r>
        <w:rPr>
          <w:rFonts w:ascii="宋体" w:hAnsi="宋体"/>
          <w:color w:val="auto"/>
          <w:sz w:val="24"/>
          <w:highlight w:val="none"/>
        </w:rPr>
        <w:t>项目属性见《供应商须知资料表》。</w:t>
      </w:r>
    </w:p>
    <w:p w14:paraId="5876C1EE">
      <w:pPr>
        <w:numPr>
          <w:ilvl w:val="1"/>
          <w:numId w:val="1"/>
        </w:numPr>
        <w:tabs>
          <w:tab w:val="left" w:pos="1080"/>
          <w:tab w:val="left" w:pos="2014"/>
        </w:tabs>
        <w:snapToGrid w:val="0"/>
        <w:spacing w:line="360" w:lineRule="auto"/>
        <w:ind w:left="1080" w:hanging="720"/>
        <w:rPr>
          <w:rFonts w:hint="eastAsia" w:ascii="宋体" w:hAnsi="宋体"/>
          <w:color w:val="auto"/>
          <w:sz w:val="24"/>
          <w:highlight w:val="none"/>
        </w:rPr>
      </w:pPr>
      <w:r>
        <w:rPr>
          <w:rFonts w:ascii="宋体" w:hAnsi="宋体"/>
          <w:color w:val="auto"/>
          <w:sz w:val="24"/>
          <w:highlight w:val="none"/>
        </w:rPr>
        <w:t>是否属于科研仪器设备采购见《供应商须知资料表》。</w:t>
      </w:r>
    </w:p>
    <w:p w14:paraId="551CE702">
      <w:pPr>
        <w:numPr>
          <w:ilvl w:val="0"/>
          <w:numId w:val="1"/>
        </w:numPr>
        <w:tabs>
          <w:tab w:val="left" w:pos="360"/>
        </w:tabs>
        <w:snapToGrid w:val="0"/>
        <w:spacing w:line="360" w:lineRule="auto"/>
        <w:ind w:left="357" w:hanging="357"/>
        <w:outlineLvl w:val="2"/>
        <w:rPr>
          <w:rFonts w:hint="eastAsia" w:ascii="宋体" w:hAnsi="宋体"/>
          <w:color w:val="auto"/>
          <w:sz w:val="24"/>
          <w:highlight w:val="none"/>
        </w:rPr>
      </w:pPr>
      <w:r>
        <w:rPr>
          <w:rFonts w:ascii="宋体" w:hAnsi="宋体"/>
          <w:color w:val="auto"/>
          <w:sz w:val="24"/>
          <w:highlight w:val="none"/>
        </w:rPr>
        <w:t>现场考察、磋商前答疑会</w:t>
      </w:r>
    </w:p>
    <w:p w14:paraId="0C060AB9">
      <w:pPr>
        <w:numPr>
          <w:ilvl w:val="1"/>
          <w:numId w:val="1"/>
        </w:numPr>
        <w:tabs>
          <w:tab w:val="left" w:pos="1080"/>
          <w:tab w:val="left" w:pos="2014"/>
        </w:tabs>
        <w:snapToGrid w:val="0"/>
        <w:spacing w:line="360" w:lineRule="auto"/>
        <w:ind w:left="1080" w:hanging="720"/>
        <w:rPr>
          <w:rFonts w:hint="eastAsia" w:ascii="宋体" w:hAnsi="宋体"/>
          <w:color w:val="auto"/>
          <w:sz w:val="28"/>
          <w:highlight w:val="none"/>
        </w:rPr>
      </w:pPr>
      <w:r>
        <w:rPr>
          <w:rFonts w:ascii="宋体" w:hAnsi="宋体"/>
          <w:color w:val="auto"/>
          <w:sz w:val="24"/>
          <w:highlight w:val="none"/>
        </w:rPr>
        <w:t>若《供应商须知资料表》中规定了组织现场考察、召开磋商前答疑会，则供应商应按要求在规定的时间和地点参加。</w:t>
      </w:r>
    </w:p>
    <w:p w14:paraId="764DBFB6">
      <w:pPr>
        <w:numPr>
          <w:ilvl w:val="1"/>
          <w:numId w:val="1"/>
        </w:numPr>
        <w:tabs>
          <w:tab w:val="left" w:pos="1080"/>
          <w:tab w:val="left" w:pos="2014"/>
        </w:tabs>
        <w:snapToGrid w:val="0"/>
        <w:spacing w:line="360" w:lineRule="auto"/>
        <w:ind w:left="1080" w:hanging="720"/>
        <w:rPr>
          <w:rFonts w:hint="eastAsia" w:ascii="宋体" w:hAnsi="宋体"/>
          <w:color w:val="auto"/>
          <w:sz w:val="24"/>
          <w:highlight w:val="none"/>
        </w:rPr>
      </w:pPr>
      <w:r>
        <w:rPr>
          <w:rFonts w:ascii="宋体" w:hAnsi="宋体"/>
          <w:color w:val="auto"/>
          <w:sz w:val="24"/>
          <w:highlight w:val="none"/>
        </w:rPr>
        <w:t>由于未参加现场考察或磋商前答疑会而导致对项目实际情况不了解，影响响应文件编制、报价准确性、综合因素响应不全面等问题的，由供应商自行承担不利评审后果。</w:t>
      </w:r>
    </w:p>
    <w:p w14:paraId="6740D2A3">
      <w:pPr>
        <w:numPr>
          <w:ilvl w:val="0"/>
          <w:numId w:val="1"/>
        </w:numPr>
        <w:tabs>
          <w:tab w:val="left" w:pos="360"/>
          <w:tab w:val="clear" w:pos="900"/>
        </w:tabs>
        <w:snapToGrid w:val="0"/>
        <w:spacing w:line="360" w:lineRule="auto"/>
        <w:ind w:left="357" w:hanging="357"/>
        <w:outlineLvl w:val="2"/>
        <w:rPr>
          <w:rFonts w:hint="eastAsia" w:ascii="宋体" w:hAnsi="宋体"/>
          <w:color w:val="auto"/>
          <w:sz w:val="24"/>
          <w:highlight w:val="none"/>
        </w:rPr>
      </w:pPr>
      <w:r>
        <w:rPr>
          <w:rFonts w:ascii="宋体" w:hAnsi="宋体"/>
          <w:color w:val="auto"/>
          <w:sz w:val="24"/>
          <w:highlight w:val="none"/>
        </w:rPr>
        <w:t>政府采购政策（包括但不限于下列具体政策要求）</w:t>
      </w:r>
    </w:p>
    <w:p w14:paraId="62E2042C">
      <w:pPr>
        <w:numPr>
          <w:ilvl w:val="1"/>
          <w:numId w:val="1"/>
        </w:numPr>
        <w:tabs>
          <w:tab w:val="left" w:pos="1080"/>
          <w:tab w:val="left" w:pos="2014"/>
        </w:tabs>
        <w:snapToGrid w:val="0"/>
        <w:spacing w:line="360" w:lineRule="auto"/>
        <w:ind w:left="1080" w:hanging="720"/>
        <w:rPr>
          <w:rFonts w:hint="eastAsia" w:ascii="宋体" w:hAnsi="宋体"/>
          <w:color w:val="auto"/>
          <w:sz w:val="24"/>
          <w:highlight w:val="none"/>
        </w:rPr>
      </w:pPr>
      <w:r>
        <w:rPr>
          <w:rFonts w:ascii="宋体" w:hAnsi="宋体"/>
          <w:color w:val="auto"/>
          <w:sz w:val="24"/>
          <w:highlight w:val="none"/>
        </w:rPr>
        <w:t>进口产品</w:t>
      </w:r>
    </w:p>
    <w:p w14:paraId="052DDDE0">
      <w:pPr>
        <w:numPr>
          <w:ilvl w:val="2"/>
          <w:numId w:val="1"/>
        </w:numPr>
        <w:tabs>
          <w:tab w:val="left" w:pos="2014"/>
        </w:tabs>
        <w:snapToGrid w:val="0"/>
        <w:spacing w:line="360" w:lineRule="auto"/>
        <w:rPr>
          <w:rFonts w:hint="eastAsia" w:ascii="宋体" w:hAnsi="宋体"/>
          <w:color w:val="auto"/>
          <w:sz w:val="24"/>
          <w:highlight w:val="none"/>
        </w:rPr>
      </w:pPr>
      <w:r>
        <w:rPr>
          <w:rFonts w:ascii="宋体" w:hAnsi="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21C8710">
      <w:pPr>
        <w:numPr>
          <w:ilvl w:val="2"/>
          <w:numId w:val="1"/>
        </w:numPr>
        <w:tabs>
          <w:tab w:val="left" w:pos="2014"/>
        </w:tabs>
        <w:snapToGrid w:val="0"/>
        <w:spacing w:line="360" w:lineRule="auto"/>
        <w:rPr>
          <w:rFonts w:hint="eastAsia" w:ascii="宋体" w:hAnsi="宋体"/>
          <w:color w:val="auto"/>
          <w:sz w:val="24"/>
          <w:highlight w:val="none"/>
        </w:rPr>
      </w:pPr>
      <w:r>
        <w:rPr>
          <w:rFonts w:ascii="宋体" w:hAnsi="宋体"/>
          <w:color w:val="auto"/>
          <w:sz w:val="24"/>
          <w:highlight w:val="none"/>
        </w:rPr>
        <w:t>本项目是否接受进口产品见第四章《采购需求》。</w:t>
      </w:r>
    </w:p>
    <w:p w14:paraId="2D9D712D">
      <w:pPr>
        <w:numPr>
          <w:ilvl w:val="1"/>
          <w:numId w:val="1"/>
        </w:numPr>
        <w:tabs>
          <w:tab w:val="left" w:pos="1080"/>
          <w:tab w:val="left" w:pos="2014"/>
        </w:tabs>
        <w:snapToGrid w:val="0"/>
        <w:spacing w:line="360" w:lineRule="auto"/>
        <w:ind w:left="1080" w:hanging="720"/>
        <w:rPr>
          <w:rFonts w:hint="eastAsia" w:ascii="宋体" w:hAnsi="宋体"/>
          <w:color w:val="auto"/>
          <w:sz w:val="24"/>
          <w:highlight w:val="none"/>
        </w:rPr>
      </w:pPr>
      <w:r>
        <w:rPr>
          <w:rFonts w:ascii="宋体" w:hAnsi="宋体"/>
          <w:color w:val="auto"/>
          <w:sz w:val="24"/>
          <w:highlight w:val="none"/>
        </w:rPr>
        <w:t>中小企业、监狱企业及残疾人福利性单位</w:t>
      </w:r>
    </w:p>
    <w:p w14:paraId="69AA0F97">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中小企业定义：</w:t>
      </w:r>
    </w:p>
    <w:p w14:paraId="63B44278">
      <w:pPr>
        <w:pStyle w:val="36"/>
        <w:numPr>
          <w:ilvl w:val="0"/>
          <w:numId w:val="2"/>
        </w:numPr>
        <w:tabs>
          <w:tab w:val="left" w:pos="1980"/>
          <w:tab w:val="left" w:pos="2035"/>
          <w:tab w:val="left" w:pos="2977"/>
        </w:tabs>
        <w:snapToGrid w:val="0"/>
        <w:spacing w:line="360" w:lineRule="auto"/>
        <w:ind w:firstLineChars="0"/>
        <w:rPr>
          <w:rFonts w:hint="eastAsia" w:ascii="宋体" w:hAnsi="宋体"/>
          <w:vanish/>
          <w:color w:val="auto"/>
          <w:sz w:val="24"/>
          <w:szCs w:val="24"/>
          <w:highlight w:val="none"/>
        </w:rPr>
      </w:pPr>
    </w:p>
    <w:p w14:paraId="66A68F20">
      <w:pPr>
        <w:pStyle w:val="36"/>
        <w:numPr>
          <w:ilvl w:val="0"/>
          <w:numId w:val="2"/>
        </w:numPr>
        <w:tabs>
          <w:tab w:val="left" w:pos="1980"/>
          <w:tab w:val="left" w:pos="2035"/>
          <w:tab w:val="left" w:pos="2977"/>
        </w:tabs>
        <w:snapToGrid w:val="0"/>
        <w:spacing w:line="360" w:lineRule="auto"/>
        <w:ind w:firstLineChars="0"/>
        <w:rPr>
          <w:rFonts w:hint="eastAsia" w:ascii="宋体" w:hAnsi="宋体"/>
          <w:vanish/>
          <w:color w:val="auto"/>
          <w:sz w:val="24"/>
          <w:szCs w:val="24"/>
          <w:highlight w:val="none"/>
        </w:rPr>
      </w:pPr>
    </w:p>
    <w:p w14:paraId="2B00FB36">
      <w:pPr>
        <w:pStyle w:val="36"/>
        <w:numPr>
          <w:ilvl w:val="0"/>
          <w:numId w:val="2"/>
        </w:numPr>
        <w:tabs>
          <w:tab w:val="left" w:pos="1980"/>
          <w:tab w:val="left" w:pos="2035"/>
          <w:tab w:val="left" w:pos="2977"/>
        </w:tabs>
        <w:snapToGrid w:val="0"/>
        <w:spacing w:line="360" w:lineRule="auto"/>
        <w:ind w:firstLineChars="0"/>
        <w:rPr>
          <w:rFonts w:hint="eastAsia" w:ascii="宋体" w:hAnsi="宋体"/>
          <w:vanish/>
          <w:color w:val="auto"/>
          <w:sz w:val="24"/>
          <w:szCs w:val="24"/>
          <w:highlight w:val="none"/>
        </w:rPr>
      </w:pPr>
    </w:p>
    <w:p w14:paraId="0BBA9E60">
      <w:pPr>
        <w:pStyle w:val="36"/>
        <w:numPr>
          <w:ilvl w:val="0"/>
          <w:numId w:val="2"/>
        </w:numPr>
        <w:tabs>
          <w:tab w:val="left" w:pos="1980"/>
          <w:tab w:val="left" w:pos="2035"/>
          <w:tab w:val="left" w:pos="2977"/>
        </w:tabs>
        <w:snapToGrid w:val="0"/>
        <w:spacing w:line="360" w:lineRule="auto"/>
        <w:ind w:firstLineChars="0"/>
        <w:rPr>
          <w:rFonts w:hint="eastAsia" w:ascii="宋体" w:hAnsi="宋体"/>
          <w:vanish/>
          <w:color w:val="auto"/>
          <w:sz w:val="24"/>
          <w:szCs w:val="24"/>
          <w:highlight w:val="none"/>
        </w:rPr>
      </w:pPr>
    </w:p>
    <w:p w14:paraId="227BD6E5">
      <w:pPr>
        <w:pStyle w:val="36"/>
        <w:numPr>
          <w:ilvl w:val="1"/>
          <w:numId w:val="2"/>
        </w:numPr>
        <w:tabs>
          <w:tab w:val="left" w:pos="1980"/>
          <w:tab w:val="left" w:pos="2035"/>
          <w:tab w:val="left" w:pos="2977"/>
        </w:tabs>
        <w:snapToGrid w:val="0"/>
        <w:spacing w:line="360" w:lineRule="auto"/>
        <w:ind w:firstLineChars="0"/>
        <w:rPr>
          <w:rFonts w:hint="eastAsia" w:ascii="宋体" w:hAnsi="宋体"/>
          <w:vanish/>
          <w:color w:val="auto"/>
          <w:sz w:val="24"/>
          <w:szCs w:val="24"/>
          <w:highlight w:val="none"/>
        </w:rPr>
      </w:pPr>
    </w:p>
    <w:p w14:paraId="2BFE9354">
      <w:pPr>
        <w:pStyle w:val="36"/>
        <w:numPr>
          <w:ilvl w:val="1"/>
          <w:numId w:val="2"/>
        </w:numPr>
        <w:tabs>
          <w:tab w:val="left" w:pos="1980"/>
          <w:tab w:val="left" w:pos="2035"/>
          <w:tab w:val="left" w:pos="2977"/>
        </w:tabs>
        <w:snapToGrid w:val="0"/>
        <w:spacing w:line="360" w:lineRule="auto"/>
        <w:ind w:firstLineChars="0"/>
        <w:rPr>
          <w:rFonts w:hint="eastAsia" w:ascii="宋体" w:hAnsi="宋体"/>
          <w:vanish/>
          <w:color w:val="auto"/>
          <w:sz w:val="24"/>
          <w:szCs w:val="24"/>
          <w:highlight w:val="none"/>
        </w:rPr>
      </w:pPr>
    </w:p>
    <w:p w14:paraId="5D3D1C91">
      <w:pPr>
        <w:pStyle w:val="36"/>
        <w:numPr>
          <w:ilvl w:val="2"/>
          <w:numId w:val="2"/>
        </w:numPr>
        <w:tabs>
          <w:tab w:val="left" w:pos="2035"/>
          <w:tab w:val="left" w:pos="2977"/>
        </w:tabs>
        <w:snapToGrid w:val="0"/>
        <w:spacing w:line="360" w:lineRule="auto"/>
        <w:ind w:firstLineChars="0"/>
        <w:rPr>
          <w:rFonts w:hint="eastAsia" w:ascii="宋体" w:hAnsi="宋体"/>
          <w:vanish/>
          <w:color w:val="auto"/>
          <w:sz w:val="24"/>
          <w:szCs w:val="24"/>
          <w:highlight w:val="none"/>
        </w:rPr>
      </w:pPr>
    </w:p>
    <w:p w14:paraId="04391130">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color w:val="auto"/>
          <w:sz w:val="24"/>
          <w:highlight w:val="none"/>
        </w:rPr>
      </w:pPr>
      <w:r>
        <w:rPr>
          <w:rFonts w:ascii="宋体" w:hAnsi="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A802211">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color w:val="auto"/>
          <w:sz w:val="24"/>
          <w:highlight w:val="none"/>
        </w:rPr>
      </w:pPr>
      <w:r>
        <w:rPr>
          <w:rFonts w:ascii="宋体" w:hAnsi="宋体"/>
          <w:color w:val="auto"/>
          <w:sz w:val="24"/>
          <w:highlight w:val="none"/>
        </w:rPr>
        <w:t>供应商提供的货物、工程或者服务符合下列情形的，享受中小企业扶持政策：</w:t>
      </w:r>
    </w:p>
    <w:p w14:paraId="6DF57A13">
      <w:pPr>
        <w:tabs>
          <w:tab w:val="left" w:pos="1980"/>
        </w:tabs>
        <w:snapToGrid w:val="0"/>
        <w:spacing w:line="360" w:lineRule="auto"/>
        <w:ind w:left="2835" w:leftChars="1350"/>
        <w:rPr>
          <w:rFonts w:hint="eastAsia" w:ascii="宋体" w:hAnsi="宋体"/>
          <w:color w:val="auto"/>
          <w:sz w:val="24"/>
          <w:highlight w:val="none"/>
        </w:rPr>
      </w:pPr>
      <w:r>
        <w:rPr>
          <w:rFonts w:ascii="宋体" w:hAnsi="宋体"/>
          <w:color w:val="auto"/>
          <w:sz w:val="24"/>
          <w:highlight w:val="none"/>
        </w:rPr>
        <w:t>（1）在货物采购项目中，货物由中小企业制造，即货物由中小企业生产且使用该中小企业商号或者注册商标；</w:t>
      </w:r>
    </w:p>
    <w:p w14:paraId="20046BE0">
      <w:pPr>
        <w:tabs>
          <w:tab w:val="left" w:pos="1980"/>
        </w:tabs>
        <w:snapToGrid w:val="0"/>
        <w:spacing w:line="360" w:lineRule="auto"/>
        <w:ind w:left="2835" w:leftChars="1350"/>
        <w:rPr>
          <w:rFonts w:hint="eastAsia" w:ascii="宋体" w:hAnsi="宋体"/>
          <w:color w:val="auto"/>
          <w:sz w:val="24"/>
          <w:highlight w:val="none"/>
        </w:rPr>
      </w:pPr>
      <w:r>
        <w:rPr>
          <w:rFonts w:ascii="宋体" w:hAnsi="宋体"/>
          <w:color w:val="auto"/>
          <w:sz w:val="24"/>
          <w:highlight w:val="none"/>
        </w:rPr>
        <w:t>（2）在工程采购项目中，工程由中小企业承建，即工程施工单位为中小企业；</w:t>
      </w:r>
    </w:p>
    <w:p w14:paraId="0ED9A57A">
      <w:pPr>
        <w:tabs>
          <w:tab w:val="left" w:pos="1980"/>
        </w:tabs>
        <w:snapToGrid w:val="0"/>
        <w:spacing w:line="360" w:lineRule="auto"/>
        <w:ind w:left="2835" w:leftChars="1350"/>
        <w:rPr>
          <w:rFonts w:hint="eastAsia" w:ascii="宋体" w:hAnsi="宋体"/>
          <w:color w:val="auto"/>
          <w:sz w:val="24"/>
          <w:highlight w:val="none"/>
        </w:rPr>
      </w:pPr>
      <w:r>
        <w:rPr>
          <w:rFonts w:ascii="宋体" w:hAnsi="宋体"/>
          <w:color w:val="auto"/>
          <w:sz w:val="24"/>
          <w:highlight w:val="none"/>
        </w:rPr>
        <w:t>（3）在服务采购项目中，服务由中小企业承接，即提供服务的人员为中小企业依照《中华人民共和国劳动合同法》订立劳动合同的从业人员。</w:t>
      </w:r>
    </w:p>
    <w:p w14:paraId="45B4CB22">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color w:val="auto"/>
          <w:sz w:val="24"/>
          <w:highlight w:val="none"/>
        </w:rPr>
      </w:pPr>
      <w:r>
        <w:rPr>
          <w:rFonts w:ascii="宋体" w:hAnsi="宋体"/>
          <w:color w:val="auto"/>
          <w:sz w:val="24"/>
          <w:highlight w:val="none"/>
        </w:rPr>
        <w:t>在货物采购项目中，供应商提供的货物既有中小企业制造货物，也有大型企业制造货物的，不享受中小企业扶持政策。</w:t>
      </w:r>
    </w:p>
    <w:p w14:paraId="0417BF7F">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color w:val="auto"/>
          <w:sz w:val="24"/>
          <w:highlight w:val="none"/>
        </w:rPr>
      </w:pPr>
      <w:r>
        <w:rPr>
          <w:rFonts w:ascii="宋体" w:hAnsi="宋体"/>
          <w:color w:val="auto"/>
          <w:sz w:val="24"/>
          <w:highlight w:val="none"/>
        </w:rPr>
        <w:t>以联合体形式参加政府采购活动，联合体各方均为中小企业的，联合体视同中小企业。其中，联合体各方均为小微企业的，联合体视同小微企业。</w:t>
      </w:r>
    </w:p>
    <w:p w14:paraId="12958D9D">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E688296">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残疾人福利单位定义：享受政府采购支持政策的残疾人福利性单位应当同时满足以下条件：</w:t>
      </w:r>
    </w:p>
    <w:p w14:paraId="7DB414FD">
      <w:pPr>
        <w:pStyle w:val="36"/>
        <w:numPr>
          <w:ilvl w:val="2"/>
          <w:numId w:val="2"/>
        </w:numPr>
        <w:tabs>
          <w:tab w:val="left" w:pos="2035"/>
          <w:tab w:val="left" w:pos="2977"/>
        </w:tabs>
        <w:snapToGrid w:val="0"/>
        <w:spacing w:line="360" w:lineRule="auto"/>
        <w:ind w:firstLineChars="0"/>
        <w:rPr>
          <w:rFonts w:hint="eastAsia" w:ascii="宋体" w:hAnsi="宋体"/>
          <w:vanish/>
          <w:color w:val="auto"/>
          <w:sz w:val="24"/>
          <w:szCs w:val="24"/>
          <w:highlight w:val="none"/>
        </w:rPr>
      </w:pPr>
    </w:p>
    <w:p w14:paraId="6A15F20A">
      <w:pPr>
        <w:pStyle w:val="36"/>
        <w:numPr>
          <w:ilvl w:val="2"/>
          <w:numId w:val="2"/>
        </w:numPr>
        <w:tabs>
          <w:tab w:val="left" w:pos="2035"/>
          <w:tab w:val="left" w:pos="2977"/>
        </w:tabs>
        <w:snapToGrid w:val="0"/>
        <w:spacing w:line="360" w:lineRule="auto"/>
        <w:ind w:firstLineChars="0"/>
        <w:rPr>
          <w:rFonts w:hint="eastAsia" w:ascii="宋体" w:hAnsi="宋体"/>
          <w:vanish/>
          <w:color w:val="auto"/>
          <w:sz w:val="24"/>
          <w:szCs w:val="24"/>
          <w:highlight w:val="none"/>
        </w:rPr>
      </w:pPr>
    </w:p>
    <w:p w14:paraId="1F9D2B75">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color w:val="auto"/>
          <w:sz w:val="24"/>
          <w:highlight w:val="none"/>
        </w:rPr>
      </w:pPr>
      <w:r>
        <w:rPr>
          <w:rFonts w:ascii="宋体" w:hAnsi="宋体"/>
          <w:color w:val="auto"/>
          <w:sz w:val="24"/>
          <w:highlight w:val="none"/>
        </w:rPr>
        <w:t>安置的残疾人占本单位在职职工人数的比例不低于25%（含25%），并且安置的残疾人人数不少于10 人（含10 人）；</w:t>
      </w:r>
    </w:p>
    <w:p w14:paraId="2DA0F7E1">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color w:val="auto"/>
          <w:sz w:val="24"/>
          <w:highlight w:val="none"/>
        </w:rPr>
      </w:pPr>
      <w:r>
        <w:rPr>
          <w:rFonts w:ascii="宋体" w:hAnsi="宋体"/>
          <w:color w:val="auto"/>
          <w:sz w:val="24"/>
          <w:highlight w:val="none"/>
        </w:rPr>
        <w:t>依法与安置的每位残疾人签订了一年以上（含一年）的劳动合同或服务协议；</w:t>
      </w:r>
    </w:p>
    <w:p w14:paraId="703152C2">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color w:val="auto"/>
          <w:sz w:val="24"/>
          <w:highlight w:val="none"/>
        </w:rPr>
      </w:pPr>
      <w:r>
        <w:rPr>
          <w:rFonts w:ascii="宋体" w:hAnsi="宋体"/>
          <w:color w:val="auto"/>
          <w:sz w:val="24"/>
          <w:highlight w:val="none"/>
        </w:rPr>
        <w:t>为安置的每位残疾人按月足额缴纳了基本养老保险、基本医疗保险、失业保险、工伤保险和生育保险等社会保险费；</w:t>
      </w:r>
    </w:p>
    <w:p w14:paraId="56E4DB30">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color w:val="auto"/>
          <w:sz w:val="24"/>
          <w:highlight w:val="none"/>
        </w:rPr>
      </w:pPr>
      <w:r>
        <w:rPr>
          <w:rFonts w:ascii="宋体" w:hAnsi="宋体"/>
          <w:color w:val="auto"/>
          <w:sz w:val="24"/>
          <w:highlight w:val="none"/>
        </w:rPr>
        <w:t>通过银行等金融机构向安置的每位残疾人，按月支付了不低于单位所在区县适用的经省级人民政府批准的月最低工资标准的工资；</w:t>
      </w:r>
    </w:p>
    <w:p w14:paraId="05EDEE09">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color w:val="auto"/>
          <w:sz w:val="24"/>
          <w:highlight w:val="none"/>
        </w:rPr>
      </w:pPr>
      <w:r>
        <w:rPr>
          <w:rFonts w:ascii="宋体" w:hAnsi="宋体"/>
          <w:color w:val="auto"/>
          <w:sz w:val="24"/>
          <w:highlight w:val="none"/>
        </w:rPr>
        <w:t>提供本单位制造的货物、承担的工程或者服务（以下简称产品），或者提供其他残疾人福利性单位制造的货物（不包括使用非残疾人福利性单位注册商标的货物）；</w:t>
      </w:r>
    </w:p>
    <w:p w14:paraId="0D9B43CA">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color w:val="auto"/>
          <w:sz w:val="24"/>
          <w:highlight w:val="none"/>
        </w:rPr>
      </w:pPr>
      <w:r>
        <w:rPr>
          <w:rFonts w:ascii="宋体" w:hAnsi="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31C48AC">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本项目是否专门面向中小企业预留采购份额见第一章《采购邀请》。</w:t>
      </w:r>
    </w:p>
    <w:p w14:paraId="55E9FD04">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采购标的对应的中小企业划分标准所属行业见《供应商须知资料表》。</w:t>
      </w:r>
    </w:p>
    <w:p w14:paraId="642D4923">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小微企业价格评审优惠的政策调整：见第三章《评审方法和评审标准》。</w:t>
      </w:r>
    </w:p>
    <w:p w14:paraId="5386A7F6">
      <w:pPr>
        <w:numPr>
          <w:ilvl w:val="1"/>
          <w:numId w:val="1"/>
        </w:numPr>
        <w:tabs>
          <w:tab w:val="left" w:pos="1080"/>
          <w:tab w:val="left" w:pos="2014"/>
        </w:tabs>
        <w:snapToGrid w:val="0"/>
        <w:spacing w:line="360" w:lineRule="auto"/>
        <w:ind w:left="1080" w:hanging="720"/>
        <w:rPr>
          <w:rFonts w:hint="eastAsia" w:ascii="宋体" w:hAnsi="宋体"/>
          <w:color w:val="auto"/>
          <w:sz w:val="24"/>
          <w:highlight w:val="none"/>
        </w:rPr>
      </w:pPr>
      <w:r>
        <w:rPr>
          <w:rFonts w:ascii="宋体" w:hAnsi="宋体"/>
          <w:color w:val="auto"/>
          <w:sz w:val="24"/>
          <w:highlight w:val="none"/>
        </w:rPr>
        <w:t>政府采购节能产品、环境标志产品</w:t>
      </w:r>
    </w:p>
    <w:p w14:paraId="2F049C8A">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DF1F609">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45116A0">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如本项目采购产品属于实施政府强制采购品目清单范围的节能产品，则供应商所报产品必须获得国家确定的认证机构出具的、处于有效期之内的节能产品认证证书，</w:t>
      </w:r>
      <w:r>
        <w:rPr>
          <w:rFonts w:ascii="宋体" w:hAnsi="宋体"/>
          <w:color w:val="auto"/>
          <w:kern w:val="0"/>
          <w:sz w:val="24"/>
          <w:highlight w:val="none"/>
        </w:rPr>
        <w:t>否则</w:t>
      </w:r>
      <w:r>
        <w:rPr>
          <w:rFonts w:ascii="宋体" w:hAnsi="宋体"/>
          <w:b/>
          <w:color w:val="auto"/>
          <w:kern w:val="0"/>
          <w:sz w:val="24"/>
          <w:highlight w:val="none"/>
        </w:rPr>
        <w:t>响应无效</w:t>
      </w:r>
      <w:r>
        <w:rPr>
          <w:rFonts w:ascii="宋体" w:hAnsi="宋体"/>
          <w:color w:val="auto"/>
          <w:sz w:val="24"/>
          <w:highlight w:val="none"/>
        </w:rPr>
        <w:t>；</w:t>
      </w:r>
    </w:p>
    <w:p w14:paraId="0056579C">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非政府强制采购的节能产品或环境标志产品，依据品目清单和认证证书实施政府优先采购。优先采购的具体规定见第三章《评审方法和评审标准》（如涉及）。</w:t>
      </w:r>
    </w:p>
    <w:p w14:paraId="502EF729">
      <w:pPr>
        <w:numPr>
          <w:ilvl w:val="1"/>
          <w:numId w:val="1"/>
        </w:numPr>
        <w:tabs>
          <w:tab w:val="left" w:pos="1080"/>
          <w:tab w:val="left" w:pos="2014"/>
        </w:tabs>
        <w:snapToGrid w:val="0"/>
        <w:spacing w:line="360" w:lineRule="auto"/>
        <w:ind w:left="1080" w:hanging="720"/>
        <w:rPr>
          <w:rFonts w:hint="eastAsia" w:ascii="宋体" w:hAnsi="宋体"/>
          <w:color w:val="auto"/>
          <w:sz w:val="24"/>
          <w:highlight w:val="none"/>
        </w:rPr>
      </w:pPr>
      <w:r>
        <w:rPr>
          <w:rFonts w:ascii="宋体" w:hAnsi="宋体"/>
          <w:color w:val="auto"/>
          <w:sz w:val="24"/>
          <w:highlight w:val="none"/>
        </w:rPr>
        <w:t>支持乡村产业振兴管理</w:t>
      </w:r>
    </w:p>
    <w:p w14:paraId="1A17A1A9">
      <w:pPr>
        <w:numPr>
          <w:ilvl w:val="2"/>
          <w:numId w:val="1"/>
        </w:numPr>
        <w:tabs>
          <w:tab w:val="left" w:pos="2014"/>
        </w:tabs>
        <w:snapToGrid w:val="0"/>
        <w:spacing w:line="360" w:lineRule="auto"/>
        <w:rPr>
          <w:rFonts w:hint="eastAsia" w:ascii="宋体" w:hAnsi="宋体"/>
          <w:color w:val="auto"/>
          <w:sz w:val="24"/>
          <w:highlight w:val="none"/>
        </w:rPr>
      </w:pPr>
      <w:r>
        <w:rPr>
          <w:rFonts w:ascii="宋体" w:hAnsi="宋体"/>
          <w:color w:val="auto"/>
          <w:sz w:val="24"/>
          <w:highlight w:val="none"/>
        </w:rPr>
        <w:t>为落实《关于运用政府采购政策支持乡村产业振兴的通知》（财库〔2021〕19号）有关要求，做好支持脱贫攻坚工作，本项目采购活动中对于支持乡村振兴管理的相关要求见第四章《采购需求》（如涉及）。</w:t>
      </w:r>
    </w:p>
    <w:p w14:paraId="1668348A">
      <w:pPr>
        <w:numPr>
          <w:ilvl w:val="1"/>
          <w:numId w:val="1"/>
        </w:numPr>
        <w:tabs>
          <w:tab w:val="left" w:pos="1080"/>
          <w:tab w:val="left" w:pos="2014"/>
        </w:tabs>
        <w:snapToGrid w:val="0"/>
        <w:spacing w:line="360" w:lineRule="auto"/>
        <w:ind w:left="1080" w:hanging="720"/>
        <w:rPr>
          <w:rFonts w:hint="eastAsia" w:ascii="宋体" w:hAnsi="宋体"/>
          <w:color w:val="auto"/>
          <w:sz w:val="24"/>
          <w:highlight w:val="none"/>
        </w:rPr>
      </w:pPr>
      <w:r>
        <w:rPr>
          <w:rFonts w:ascii="宋体" w:hAnsi="宋体"/>
          <w:color w:val="auto"/>
          <w:sz w:val="24"/>
          <w:highlight w:val="none"/>
        </w:rPr>
        <w:t>正版软件</w:t>
      </w:r>
    </w:p>
    <w:p w14:paraId="4FAA5AF4">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color w:val="auto"/>
          <w:kern w:val="0"/>
          <w:sz w:val="24"/>
          <w:highlight w:val="none"/>
        </w:rPr>
        <w:t>否则</w:t>
      </w:r>
      <w:r>
        <w:rPr>
          <w:rFonts w:ascii="宋体" w:hAnsi="宋体"/>
          <w:b/>
          <w:color w:val="auto"/>
          <w:kern w:val="0"/>
          <w:sz w:val="24"/>
          <w:highlight w:val="none"/>
        </w:rPr>
        <w:t>响应无效</w:t>
      </w:r>
      <w:r>
        <w:rPr>
          <w:rFonts w:ascii="宋体" w:hAnsi="宋体"/>
          <w:color w:val="auto"/>
          <w:sz w:val="24"/>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7395B69">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69532FD">
      <w:pPr>
        <w:numPr>
          <w:ilvl w:val="1"/>
          <w:numId w:val="1"/>
        </w:numPr>
        <w:tabs>
          <w:tab w:val="left" w:pos="1080"/>
          <w:tab w:val="left" w:pos="2014"/>
        </w:tabs>
        <w:snapToGrid w:val="0"/>
        <w:spacing w:line="360" w:lineRule="auto"/>
        <w:ind w:left="1080" w:hanging="720"/>
        <w:rPr>
          <w:rFonts w:hint="eastAsia" w:ascii="宋体" w:hAnsi="宋体"/>
          <w:color w:val="auto"/>
          <w:sz w:val="24"/>
          <w:highlight w:val="none"/>
        </w:rPr>
      </w:pPr>
      <w:r>
        <w:rPr>
          <w:rFonts w:ascii="宋体" w:hAnsi="宋体"/>
          <w:color w:val="auto"/>
          <w:sz w:val="24"/>
          <w:highlight w:val="none"/>
        </w:rPr>
        <w:t>信息安全产品</w:t>
      </w:r>
    </w:p>
    <w:p w14:paraId="55FC0FF7">
      <w:pPr>
        <w:numPr>
          <w:ilvl w:val="2"/>
          <w:numId w:val="1"/>
        </w:numPr>
        <w:tabs>
          <w:tab w:val="left" w:pos="2014"/>
        </w:tabs>
        <w:snapToGrid w:val="0"/>
        <w:spacing w:line="360" w:lineRule="auto"/>
        <w:rPr>
          <w:rFonts w:hint="eastAsia" w:ascii="宋体" w:hAnsi="宋体"/>
          <w:color w:val="auto"/>
          <w:sz w:val="24"/>
          <w:highlight w:val="none"/>
        </w:rPr>
      </w:pPr>
      <w:r>
        <w:rPr>
          <w:rFonts w:ascii="宋体" w:hAnsi="宋体"/>
          <w:color w:val="auto"/>
          <w:sz w:val="24"/>
          <w:highlight w:val="none"/>
        </w:rPr>
        <w:t>所投产品属于《关于调整信息安全产品强制性认证实施要求的公告》（2009 年第33 号）范围的，采购经国家认证的信息安全产品，</w:t>
      </w:r>
      <w:r>
        <w:rPr>
          <w:rFonts w:ascii="宋体" w:hAnsi="宋体"/>
          <w:color w:val="auto"/>
          <w:kern w:val="0"/>
          <w:sz w:val="24"/>
          <w:highlight w:val="none"/>
        </w:rPr>
        <w:t>否则</w:t>
      </w:r>
      <w:r>
        <w:rPr>
          <w:rFonts w:ascii="宋体" w:hAnsi="宋体"/>
          <w:b/>
          <w:color w:val="auto"/>
          <w:kern w:val="0"/>
          <w:sz w:val="24"/>
          <w:highlight w:val="none"/>
        </w:rPr>
        <w:t>响应无效</w:t>
      </w:r>
      <w:r>
        <w:rPr>
          <w:rFonts w:ascii="宋体" w:hAnsi="宋体"/>
          <w:color w:val="auto"/>
          <w:sz w:val="24"/>
          <w:highlight w:val="none"/>
        </w:rPr>
        <w:t>。关于信息安全相关规定依据《关于信息安全产品实施政府采购的通知》（财库〔2010〕48 号）。</w:t>
      </w:r>
    </w:p>
    <w:p w14:paraId="308819BE">
      <w:pPr>
        <w:numPr>
          <w:ilvl w:val="1"/>
          <w:numId w:val="1"/>
        </w:numPr>
        <w:tabs>
          <w:tab w:val="left" w:pos="1080"/>
          <w:tab w:val="left" w:pos="2014"/>
        </w:tabs>
        <w:snapToGrid w:val="0"/>
        <w:spacing w:line="360" w:lineRule="auto"/>
        <w:ind w:left="1080" w:hanging="720"/>
        <w:rPr>
          <w:rFonts w:hint="eastAsia" w:ascii="宋体" w:hAnsi="宋体"/>
          <w:color w:val="auto"/>
          <w:sz w:val="24"/>
          <w:highlight w:val="none"/>
        </w:rPr>
      </w:pPr>
      <w:r>
        <w:rPr>
          <w:rFonts w:ascii="宋体" w:hAnsi="宋体"/>
          <w:color w:val="auto"/>
          <w:sz w:val="24"/>
          <w:highlight w:val="none"/>
        </w:rPr>
        <w:t>推广使用低挥发性有机化合物（VOCs）</w:t>
      </w:r>
    </w:p>
    <w:p w14:paraId="5C6E4DA4">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ascii="宋体" w:hAnsi="宋体"/>
          <w:color w:val="auto"/>
          <w:kern w:val="0"/>
          <w:sz w:val="24"/>
          <w:highlight w:val="none"/>
        </w:rPr>
        <w:t>否则</w:t>
      </w:r>
      <w:r>
        <w:rPr>
          <w:rFonts w:ascii="宋体" w:hAnsi="宋体"/>
          <w:b/>
          <w:color w:val="auto"/>
          <w:kern w:val="0"/>
          <w:sz w:val="24"/>
          <w:highlight w:val="none"/>
        </w:rPr>
        <w:t>响应无效</w:t>
      </w:r>
      <w:r>
        <w:rPr>
          <w:rFonts w:ascii="宋体" w:hAnsi="宋体"/>
          <w:color w:val="auto"/>
          <w:sz w:val="24"/>
          <w:highlight w:val="none"/>
        </w:rPr>
        <w:t>；属于推荐性标准的，优先采购，具体见第三章《评审方法和评审标准》。</w:t>
      </w:r>
    </w:p>
    <w:p w14:paraId="6555A634">
      <w:pPr>
        <w:numPr>
          <w:ilvl w:val="0"/>
          <w:numId w:val="1"/>
        </w:numPr>
        <w:tabs>
          <w:tab w:val="left" w:pos="360"/>
        </w:tabs>
        <w:snapToGrid w:val="0"/>
        <w:spacing w:line="360" w:lineRule="auto"/>
        <w:ind w:left="357" w:hanging="357"/>
        <w:outlineLvl w:val="2"/>
        <w:rPr>
          <w:rFonts w:hint="eastAsia" w:ascii="宋体" w:hAnsi="宋体"/>
          <w:color w:val="auto"/>
          <w:sz w:val="24"/>
          <w:highlight w:val="none"/>
        </w:rPr>
      </w:pPr>
      <w:r>
        <w:rPr>
          <w:rFonts w:ascii="宋体" w:hAnsi="宋体"/>
          <w:color w:val="auto"/>
          <w:sz w:val="24"/>
          <w:highlight w:val="none"/>
        </w:rPr>
        <w:t>响应费用</w:t>
      </w:r>
    </w:p>
    <w:p w14:paraId="69D95B7C">
      <w:pPr>
        <w:numPr>
          <w:ilvl w:val="1"/>
          <w:numId w:val="1"/>
        </w:numPr>
        <w:tabs>
          <w:tab w:val="left" w:pos="1080"/>
          <w:tab w:val="left" w:pos="2014"/>
        </w:tabs>
        <w:snapToGrid w:val="0"/>
        <w:spacing w:line="360" w:lineRule="auto"/>
        <w:ind w:left="1080" w:hanging="720"/>
        <w:rPr>
          <w:rFonts w:hint="eastAsia" w:ascii="宋体" w:hAnsi="宋体"/>
          <w:color w:val="auto"/>
          <w:sz w:val="24"/>
          <w:highlight w:val="none"/>
        </w:rPr>
      </w:pPr>
      <w:r>
        <w:rPr>
          <w:rFonts w:ascii="宋体" w:hAnsi="宋体"/>
          <w:color w:val="auto"/>
          <w:sz w:val="24"/>
          <w:highlight w:val="none"/>
        </w:rPr>
        <w:t>供应商应自行承担所有与准备和参加磋商有关的费用，无论磋商的结果如何，采购人或采购代理机构在任何情况下均无承担这些费用的义务和责任。</w:t>
      </w:r>
    </w:p>
    <w:p w14:paraId="59386EA5">
      <w:pPr>
        <w:jc w:val="center"/>
        <w:outlineLvl w:val="1"/>
        <w:rPr>
          <w:rFonts w:hint="eastAsia" w:ascii="宋体" w:hAnsi="宋体"/>
          <w:b/>
          <w:bCs/>
          <w:color w:val="auto"/>
          <w:sz w:val="28"/>
          <w:szCs w:val="36"/>
          <w:highlight w:val="none"/>
        </w:rPr>
      </w:pPr>
      <w:r>
        <w:rPr>
          <w:rFonts w:ascii="宋体" w:hAnsi="宋体"/>
          <w:b/>
          <w:bCs/>
          <w:color w:val="auto"/>
          <w:sz w:val="28"/>
          <w:szCs w:val="36"/>
          <w:highlight w:val="none"/>
        </w:rPr>
        <w:t>二   竞争性磋商文件</w:t>
      </w:r>
    </w:p>
    <w:p w14:paraId="6AAD3DA9">
      <w:pPr>
        <w:numPr>
          <w:ilvl w:val="0"/>
          <w:numId w:val="1"/>
        </w:numPr>
        <w:tabs>
          <w:tab w:val="left" w:pos="360"/>
        </w:tabs>
        <w:snapToGrid w:val="0"/>
        <w:spacing w:line="360" w:lineRule="auto"/>
        <w:ind w:left="357" w:hanging="357"/>
        <w:outlineLvl w:val="2"/>
        <w:rPr>
          <w:rFonts w:hint="eastAsia" w:ascii="宋体" w:hAnsi="宋体"/>
          <w:color w:val="auto"/>
          <w:sz w:val="24"/>
          <w:highlight w:val="none"/>
        </w:rPr>
      </w:pPr>
      <w:bookmarkStart w:id="98" w:name="_Toc226965796"/>
      <w:bookmarkStart w:id="99" w:name="_Toc150480761"/>
      <w:bookmarkStart w:id="100" w:name="_Toc151193621"/>
      <w:bookmarkStart w:id="101" w:name="_Toc264969213"/>
      <w:bookmarkStart w:id="102" w:name="_Toc151193693"/>
      <w:bookmarkStart w:id="103" w:name="_Toc151190150"/>
      <w:bookmarkStart w:id="104" w:name="_Toc151193911"/>
      <w:bookmarkStart w:id="105" w:name="_Toc164229218"/>
      <w:bookmarkStart w:id="106" w:name="_Toc195842888"/>
      <w:bookmarkStart w:id="107" w:name="_Toc150774623"/>
      <w:bookmarkStart w:id="108" w:name="_Toc164608637"/>
      <w:bookmarkStart w:id="109" w:name="_Toc226337219"/>
      <w:bookmarkStart w:id="110" w:name="_Toc142311025"/>
      <w:bookmarkStart w:id="111" w:name="_Toc226965713"/>
      <w:bookmarkStart w:id="112" w:name="_Toc164608792"/>
      <w:bookmarkStart w:id="113" w:name="_Toc127161437"/>
      <w:bookmarkStart w:id="114" w:name="_Toc150509274"/>
      <w:bookmarkStart w:id="115" w:name="_Toc151193837"/>
      <w:bookmarkStart w:id="116" w:name="_Toc265228361"/>
      <w:bookmarkStart w:id="117" w:name="_Toc150774728"/>
      <w:bookmarkStart w:id="118" w:name="_Toc127151724"/>
      <w:bookmarkStart w:id="119" w:name="_Toc305158791"/>
      <w:bookmarkStart w:id="120" w:name="_Toc226309767"/>
      <w:bookmarkStart w:id="121" w:name="_Toc164229364"/>
      <w:bookmarkStart w:id="122" w:name="_Toc520356147"/>
      <w:bookmarkStart w:id="123" w:name="_Toc164351617"/>
      <w:bookmarkStart w:id="124" w:name="_Toc151193765"/>
      <w:bookmarkStart w:id="125" w:name="_Toc305158865"/>
      <w:bookmarkStart w:id="126" w:name="_Toc149720816"/>
      <w:bookmarkStart w:id="127" w:name="_Toc127151523"/>
      <w:r>
        <w:rPr>
          <w:rFonts w:ascii="宋体" w:hAnsi="宋体"/>
          <w:color w:val="auto"/>
          <w:sz w:val="24"/>
          <w:highlight w:val="none"/>
        </w:rPr>
        <w:t>竞争性磋商文件构</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rFonts w:ascii="宋体" w:hAnsi="宋体"/>
          <w:color w:val="auto"/>
          <w:sz w:val="24"/>
          <w:highlight w:val="none"/>
        </w:rPr>
        <w:t>成</w:t>
      </w:r>
    </w:p>
    <w:p w14:paraId="7B11889C">
      <w:pPr>
        <w:numPr>
          <w:ilvl w:val="1"/>
          <w:numId w:val="1"/>
        </w:numPr>
        <w:tabs>
          <w:tab w:val="left" w:pos="1080"/>
          <w:tab w:val="left" w:pos="2014"/>
        </w:tabs>
        <w:snapToGrid w:val="0"/>
        <w:spacing w:line="360" w:lineRule="auto"/>
        <w:ind w:left="1080" w:hanging="720"/>
        <w:rPr>
          <w:rFonts w:hint="eastAsia" w:ascii="宋体" w:hAnsi="宋体"/>
          <w:color w:val="auto"/>
          <w:sz w:val="24"/>
          <w:highlight w:val="none"/>
        </w:rPr>
      </w:pPr>
      <w:r>
        <w:rPr>
          <w:rFonts w:ascii="宋体" w:hAnsi="宋体"/>
          <w:color w:val="auto"/>
          <w:sz w:val="24"/>
          <w:highlight w:val="none"/>
        </w:rPr>
        <w:t>竞争性磋商文件包括以下部分：</w:t>
      </w:r>
    </w:p>
    <w:p w14:paraId="63893D87">
      <w:pPr>
        <w:numPr>
          <w:ilvl w:val="0"/>
          <w:numId w:val="0"/>
        </w:numPr>
        <w:tabs>
          <w:tab w:val="left" w:pos="1980"/>
          <w:tab w:val="left" w:pos="2520"/>
        </w:tabs>
        <w:snapToGrid w:val="0"/>
        <w:spacing w:line="360" w:lineRule="auto"/>
        <w:ind w:left="1440" w:leftChars="0" w:firstLine="5" w:firstLineChars="0"/>
        <w:rPr>
          <w:rFonts w:hint="eastAsia" w:ascii="宋体" w:hAnsi="宋体"/>
          <w:color w:val="auto"/>
          <w:sz w:val="24"/>
          <w:highlight w:val="none"/>
        </w:rPr>
      </w:pPr>
      <w:r>
        <w:rPr>
          <w:rFonts w:hint="eastAsia" w:ascii="宋体" w:hAnsi="宋体" w:eastAsia="宋体" w:cs="Times New Roman"/>
          <w:color w:val="auto"/>
          <w:kern w:val="2"/>
          <w:sz w:val="24"/>
          <w:szCs w:val="24"/>
          <w:lang w:val="en-US" w:eastAsia="zh-CN" w:bidi="ar-SA"/>
        </w:rPr>
        <w:t>第一章</w:t>
      </w:r>
      <w:r>
        <w:rPr>
          <w:rFonts w:ascii="宋体" w:hAnsi="宋体"/>
          <w:color w:val="auto"/>
          <w:sz w:val="24"/>
          <w:highlight w:val="none"/>
        </w:rPr>
        <w:t>采购邀请</w:t>
      </w:r>
    </w:p>
    <w:p w14:paraId="69AECABF">
      <w:pPr>
        <w:numPr>
          <w:ilvl w:val="0"/>
          <w:numId w:val="0"/>
        </w:numPr>
        <w:tabs>
          <w:tab w:val="left" w:pos="1980"/>
          <w:tab w:val="left" w:pos="2520"/>
        </w:tabs>
        <w:snapToGrid w:val="0"/>
        <w:spacing w:line="360" w:lineRule="auto"/>
        <w:ind w:left="1440" w:leftChars="0" w:firstLine="5" w:firstLineChars="0"/>
        <w:rPr>
          <w:rFonts w:hint="eastAsia" w:ascii="宋体" w:hAnsi="宋体"/>
          <w:color w:val="auto"/>
          <w:sz w:val="24"/>
          <w:highlight w:val="none"/>
        </w:rPr>
      </w:pPr>
      <w:r>
        <w:rPr>
          <w:rFonts w:hint="eastAsia" w:ascii="宋体" w:hAnsi="宋体" w:eastAsia="宋体" w:cs="Times New Roman"/>
          <w:color w:val="auto"/>
          <w:kern w:val="2"/>
          <w:sz w:val="24"/>
          <w:szCs w:val="24"/>
          <w:lang w:val="en-US" w:eastAsia="zh-CN" w:bidi="ar-SA"/>
        </w:rPr>
        <w:t>第二章</w:t>
      </w:r>
      <w:r>
        <w:rPr>
          <w:rFonts w:ascii="宋体" w:hAnsi="宋体"/>
          <w:color w:val="auto"/>
          <w:sz w:val="24"/>
          <w:highlight w:val="none"/>
        </w:rPr>
        <w:t>供应商须知</w:t>
      </w:r>
    </w:p>
    <w:p w14:paraId="280A097B">
      <w:pPr>
        <w:numPr>
          <w:ilvl w:val="0"/>
          <w:numId w:val="0"/>
        </w:numPr>
        <w:tabs>
          <w:tab w:val="left" w:pos="1980"/>
          <w:tab w:val="left" w:pos="2520"/>
        </w:tabs>
        <w:snapToGrid w:val="0"/>
        <w:spacing w:line="360" w:lineRule="auto"/>
        <w:ind w:left="1440" w:leftChars="0" w:firstLine="5" w:firstLineChars="0"/>
        <w:rPr>
          <w:rFonts w:hint="eastAsia" w:ascii="宋体" w:hAnsi="宋体"/>
          <w:color w:val="auto"/>
          <w:sz w:val="24"/>
          <w:highlight w:val="none"/>
        </w:rPr>
      </w:pPr>
      <w:r>
        <w:rPr>
          <w:rFonts w:hint="eastAsia" w:ascii="宋体" w:hAnsi="宋体" w:eastAsia="宋体" w:cs="Times New Roman"/>
          <w:color w:val="auto"/>
          <w:kern w:val="2"/>
          <w:sz w:val="24"/>
          <w:szCs w:val="24"/>
          <w:lang w:val="en-US" w:eastAsia="zh-CN" w:bidi="ar-SA"/>
        </w:rPr>
        <w:t>第三章</w:t>
      </w:r>
      <w:r>
        <w:rPr>
          <w:rFonts w:ascii="宋体" w:hAnsi="宋体"/>
          <w:color w:val="auto"/>
          <w:sz w:val="24"/>
          <w:highlight w:val="none"/>
        </w:rPr>
        <w:t>评审方法和评审标准</w:t>
      </w:r>
    </w:p>
    <w:p w14:paraId="22F29970">
      <w:pPr>
        <w:numPr>
          <w:ilvl w:val="0"/>
          <w:numId w:val="0"/>
        </w:numPr>
        <w:tabs>
          <w:tab w:val="left" w:pos="1980"/>
          <w:tab w:val="left" w:pos="2520"/>
        </w:tabs>
        <w:snapToGrid w:val="0"/>
        <w:spacing w:line="360" w:lineRule="auto"/>
        <w:ind w:left="1440" w:leftChars="0" w:firstLine="5" w:firstLineChars="0"/>
        <w:rPr>
          <w:rFonts w:hint="eastAsia" w:ascii="宋体" w:hAnsi="宋体"/>
          <w:color w:val="auto"/>
          <w:sz w:val="24"/>
          <w:highlight w:val="none"/>
        </w:rPr>
      </w:pPr>
      <w:r>
        <w:rPr>
          <w:rFonts w:hint="eastAsia" w:ascii="宋体" w:hAnsi="宋体" w:eastAsia="宋体" w:cs="Times New Roman"/>
          <w:color w:val="auto"/>
          <w:kern w:val="2"/>
          <w:sz w:val="24"/>
          <w:szCs w:val="24"/>
          <w:lang w:val="en-US" w:eastAsia="zh-CN" w:bidi="ar-SA"/>
        </w:rPr>
        <w:t>第四章</w:t>
      </w:r>
      <w:r>
        <w:rPr>
          <w:rFonts w:ascii="宋体" w:hAnsi="宋体"/>
          <w:color w:val="auto"/>
          <w:sz w:val="24"/>
          <w:highlight w:val="none"/>
        </w:rPr>
        <w:t>采购需求</w:t>
      </w:r>
    </w:p>
    <w:p w14:paraId="002A3F3F">
      <w:pPr>
        <w:numPr>
          <w:ilvl w:val="0"/>
          <w:numId w:val="0"/>
        </w:numPr>
        <w:tabs>
          <w:tab w:val="left" w:pos="1980"/>
          <w:tab w:val="left" w:pos="2520"/>
        </w:tabs>
        <w:snapToGrid w:val="0"/>
        <w:spacing w:line="360" w:lineRule="auto"/>
        <w:ind w:left="1440" w:leftChars="0" w:firstLine="5" w:firstLineChars="0"/>
        <w:rPr>
          <w:rFonts w:hint="eastAsia" w:ascii="宋体" w:hAnsi="宋体"/>
          <w:color w:val="auto"/>
          <w:sz w:val="24"/>
          <w:highlight w:val="none"/>
        </w:rPr>
      </w:pPr>
      <w:r>
        <w:rPr>
          <w:rFonts w:hint="eastAsia" w:ascii="宋体" w:hAnsi="宋体" w:eastAsia="宋体" w:cs="Times New Roman"/>
          <w:color w:val="auto"/>
          <w:kern w:val="2"/>
          <w:sz w:val="24"/>
          <w:szCs w:val="24"/>
          <w:lang w:val="en-US" w:eastAsia="zh-CN" w:bidi="ar-SA"/>
        </w:rPr>
        <w:t>第五章</w:t>
      </w:r>
      <w:r>
        <w:rPr>
          <w:rFonts w:ascii="宋体" w:hAnsi="宋体"/>
          <w:color w:val="auto"/>
          <w:sz w:val="24"/>
          <w:highlight w:val="none"/>
        </w:rPr>
        <w:t>合同草案条款</w:t>
      </w:r>
    </w:p>
    <w:p w14:paraId="74AE7507">
      <w:pPr>
        <w:numPr>
          <w:ilvl w:val="0"/>
          <w:numId w:val="0"/>
        </w:numPr>
        <w:tabs>
          <w:tab w:val="left" w:pos="1980"/>
          <w:tab w:val="left" w:pos="2520"/>
        </w:tabs>
        <w:snapToGrid w:val="0"/>
        <w:spacing w:line="360" w:lineRule="auto"/>
        <w:ind w:left="1440" w:leftChars="0" w:firstLine="5" w:firstLineChars="0"/>
        <w:rPr>
          <w:rFonts w:hint="eastAsia" w:ascii="宋体" w:hAnsi="宋体"/>
          <w:color w:val="auto"/>
          <w:sz w:val="24"/>
          <w:highlight w:val="none"/>
        </w:rPr>
      </w:pPr>
      <w:r>
        <w:rPr>
          <w:rFonts w:hint="eastAsia" w:ascii="宋体" w:hAnsi="宋体" w:eastAsia="宋体" w:cs="Times New Roman"/>
          <w:color w:val="auto"/>
          <w:kern w:val="2"/>
          <w:sz w:val="24"/>
          <w:szCs w:val="24"/>
          <w:lang w:val="en-US" w:eastAsia="zh-CN" w:bidi="ar-SA"/>
        </w:rPr>
        <w:t>第六章</w:t>
      </w:r>
      <w:r>
        <w:rPr>
          <w:rFonts w:ascii="宋体" w:hAnsi="宋体"/>
          <w:color w:val="auto"/>
          <w:sz w:val="24"/>
          <w:highlight w:val="none"/>
        </w:rPr>
        <w:t>响应文件格式</w:t>
      </w:r>
    </w:p>
    <w:p w14:paraId="0372A975">
      <w:pPr>
        <w:numPr>
          <w:ilvl w:val="1"/>
          <w:numId w:val="1"/>
        </w:numPr>
        <w:tabs>
          <w:tab w:val="left" w:pos="1080"/>
          <w:tab w:val="left" w:pos="2014"/>
        </w:tabs>
        <w:snapToGrid w:val="0"/>
        <w:spacing w:line="360" w:lineRule="auto"/>
        <w:ind w:left="1080" w:hanging="720"/>
        <w:rPr>
          <w:rFonts w:hint="eastAsia" w:ascii="宋体" w:hAnsi="宋体"/>
          <w:color w:val="auto"/>
          <w:sz w:val="24"/>
          <w:highlight w:val="none"/>
        </w:rPr>
      </w:pPr>
      <w:r>
        <w:rPr>
          <w:rFonts w:ascii="宋体" w:hAnsi="宋体"/>
          <w:color w:val="auto"/>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ascii="宋体" w:hAnsi="宋体"/>
          <w:b/>
          <w:color w:val="auto"/>
          <w:sz w:val="24"/>
          <w:highlight w:val="none"/>
        </w:rPr>
        <w:t>响应无效</w:t>
      </w:r>
      <w:r>
        <w:rPr>
          <w:rFonts w:ascii="宋体" w:hAnsi="宋体"/>
          <w:color w:val="auto"/>
          <w:sz w:val="24"/>
          <w:highlight w:val="none"/>
        </w:rPr>
        <w:t>。</w:t>
      </w:r>
    </w:p>
    <w:p w14:paraId="021F2CB6">
      <w:pPr>
        <w:numPr>
          <w:ilvl w:val="0"/>
          <w:numId w:val="1"/>
        </w:numPr>
        <w:tabs>
          <w:tab w:val="left" w:pos="1080"/>
          <w:tab w:val="left" w:pos="2014"/>
        </w:tabs>
        <w:snapToGrid w:val="0"/>
        <w:spacing w:line="360" w:lineRule="auto"/>
        <w:ind w:left="357" w:hanging="357"/>
        <w:outlineLvl w:val="2"/>
        <w:rPr>
          <w:rFonts w:hint="eastAsia" w:ascii="宋体" w:hAnsi="宋体"/>
          <w:color w:val="auto"/>
          <w:sz w:val="24"/>
          <w:highlight w:val="none"/>
        </w:rPr>
      </w:pPr>
      <w:r>
        <w:rPr>
          <w:rFonts w:ascii="宋体" w:hAnsi="宋体"/>
          <w:color w:val="auto"/>
          <w:sz w:val="24"/>
          <w:highlight w:val="none"/>
        </w:rPr>
        <w:t>对竞争性磋商文件的澄清或修改</w:t>
      </w:r>
    </w:p>
    <w:p w14:paraId="18E26658">
      <w:pPr>
        <w:numPr>
          <w:ilvl w:val="1"/>
          <w:numId w:val="1"/>
        </w:numPr>
        <w:tabs>
          <w:tab w:val="left" w:pos="1080"/>
          <w:tab w:val="left" w:pos="1561"/>
          <w:tab w:val="left" w:pos="2014"/>
        </w:tabs>
        <w:snapToGrid w:val="0"/>
        <w:spacing w:line="360" w:lineRule="auto"/>
        <w:ind w:left="1080" w:hanging="720"/>
        <w:rPr>
          <w:rFonts w:hint="eastAsia" w:ascii="宋体" w:hAnsi="宋体"/>
          <w:color w:val="auto"/>
          <w:sz w:val="24"/>
          <w:highlight w:val="none"/>
        </w:rPr>
      </w:pPr>
      <w:r>
        <w:rPr>
          <w:rFonts w:ascii="宋体" w:hAnsi="宋体"/>
          <w:color w:val="auto"/>
          <w:sz w:val="24"/>
          <w:highlight w:val="none"/>
        </w:rPr>
        <w:t>采购人或采购代理机构对已发出的竞争性磋商文件进行必要澄清或者修改的，</w:t>
      </w:r>
      <w:r>
        <w:rPr>
          <w:rFonts w:hint="eastAsia" w:ascii="宋体" w:hAnsi="宋体"/>
          <w:color w:val="auto"/>
          <w:sz w:val="24"/>
          <w:highlight w:val="none"/>
        </w:rPr>
        <w:t>将</w:t>
      </w:r>
      <w:r>
        <w:rPr>
          <w:rFonts w:ascii="宋体" w:hAnsi="宋体"/>
          <w:color w:val="auto"/>
          <w:sz w:val="24"/>
          <w:highlight w:val="none"/>
        </w:rPr>
        <w:t>以书面形式通知所有获取竞争性磋商文件的潜在供应商。</w:t>
      </w:r>
      <w:r>
        <w:rPr>
          <w:rFonts w:hint="eastAsia" w:ascii="宋体" w:hAnsi="宋体"/>
          <w:color w:val="auto"/>
          <w:sz w:val="24"/>
          <w:highlight w:val="none"/>
        </w:rPr>
        <w:t>采用公告方式邀请供应商参与的，还将</w:t>
      </w:r>
      <w:r>
        <w:rPr>
          <w:rFonts w:ascii="宋体" w:hAnsi="宋体"/>
          <w:color w:val="auto"/>
          <w:sz w:val="24"/>
          <w:highlight w:val="none"/>
        </w:rPr>
        <w:t>在原公告发布媒体上发布更正公告</w:t>
      </w:r>
      <w:r>
        <w:rPr>
          <w:rFonts w:hint="eastAsia" w:ascii="宋体" w:hAnsi="宋体"/>
          <w:color w:val="auto"/>
          <w:sz w:val="24"/>
          <w:highlight w:val="none"/>
        </w:rPr>
        <w:t>。</w:t>
      </w:r>
    </w:p>
    <w:p w14:paraId="312FE3AF">
      <w:pPr>
        <w:numPr>
          <w:ilvl w:val="1"/>
          <w:numId w:val="1"/>
        </w:numPr>
        <w:tabs>
          <w:tab w:val="left" w:pos="1080"/>
          <w:tab w:val="left" w:pos="1561"/>
          <w:tab w:val="left" w:pos="2014"/>
        </w:tabs>
        <w:snapToGrid w:val="0"/>
        <w:spacing w:line="360" w:lineRule="auto"/>
        <w:ind w:left="1080" w:hanging="720"/>
        <w:rPr>
          <w:rFonts w:hint="eastAsia" w:ascii="宋体" w:hAnsi="宋体"/>
          <w:color w:val="auto"/>
          <w:sz w:val="24"/>
          <w:highlight w:val="none"/>
        </w:rPr>
      </w:pPr>
      <w:r>
        <w:rPr>
          <w:rFonts w:ascii="宋体" w:hAnsi="宋体"/>
          <w:color w:val="auto"/>
          <w:sz w:val="24"/>
          <w:highlight w:val="none"/>
        </w:rPr>
        <w:t>上述书面通知，按照获取竞争性磋商文件的潜在供应商提供的联系方式发出，因提供的信息有误导致通知延迟或无法通知的，采购人或采购代理机构不承担责任。</w:t>
      </w:r>
    </w:p>
    <w:p w14:paraId="62CE43E1">
      <w:pPr>
        <w:numPr>
          <w:ilvl w:val="1"/>
          <w:numId w:val="1"/>
        </w:numPr>
        <w:tabs>
          <w:tab w:val="left" w:pos="1080"/>
          <w:tab w:val="left" w:pos="1561"/>
          <w:tab w:val="left" w:pos="2014"/>
        </w:tabs>
        <w:snapToGrid w:val="0"/>
        <w:spacing w:line="360" w:lineRule="auto"/>
        <w:ind w:left="1080" w:hanging="720"/>
        <w:rPr>
          <w:rFonts w:hint="eastAsia" w:ascii="宋体" w:hAnsi="宋体"/>
          <w:color w:val="auto"/>
          <w:sz w:val="24"/>
          <w:highlight w:val="none"/>
        </w:rPr>
      </w:pPr>
      <w:r>
        <w:rPr>
          <w:rFonts w:ascii="宋体" w:hAnsi="宋体"/>
          <w:color w:val="auto"/>
          <w:sz w:val="24"/>
          <w:highlight w:val="none"/>
        </w:rPr>
        <w:t>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color w:val="auto"/>
          <w:sz w:val="24"/>
          <w:highlight w:val="none"/>
        </w:rPr>
        <w:t>5个</w:t>
      </w:r>
      <w:r>
        <w:rPr>
          <w:rFonts w:ascii="宋体" w:hAnsi="宋体"/>
          <w:color w:val="auto"/>
          <w:sz w:val="24"/>
          <w:highlight w:val="none"/>
        </w:rPr>
        <w:t>工作日前；不足上述时间的，将顺延提交响应文件的截止时间。</w:t>
      </w:r>
    </w:p>
    <w:p w14:paraId="0EFFA3D0">
      <w:pPr>
        <w:jc w:val="center"/>
        <w:outlineLvl w:val="1"/>
        <w:rPr>
          <w:rFonts w:hint="eastAsia" w:ascii="宋体" w:hAnsi="宋体"/>
          <w:b/>
          <w:bCs/>
          <w:color w:val="auto"/>
          <w:sz w:val="28"/>
          <w:szCs w:val="36"/>
          <w:highlight w:val="none"/>
        </w:rPr>
      </w:pPr>
      <w:r>
        <w:rPr>
          <w:rFonts w:ascii="宋体" w:hAnsi="宋体"/>
          <w:b/>
          <w:bCs/>
          <w:color w:val="auto"/>
          <w:sz w:val="28"/>
          <w:szCs w:val="36"/>
          <w:highlight w:val="none"/>
        </w:rPr>
        <w:t>三   响应文件的编制</w:t>
      </w:r>
    </w:p>
    <w:p w14:paraId="0FC1472C">
      <w:pPr>
        <w:numPr>
          <w:ilvl w:val="0"/>
          <w:numId w:val="1"/>
        </w:numPr>
        <w:tabs>
          <w:tab w:val="left" w:pos="360"/>
        </w:tabs>
        <w:snapToGrid w:val="0"/>
        <w:spacing w:line="360" w:lineRule="auto"/>
        <w:ind w:left="357" w:hanging="357"/>
        <w:outlineLvl w:val="2"/>
        <w:rPr>
          <w:rFonts w:hint="eastAsia" w:ascii="宋体" w:hAnsi="宋体"/>
          <w:color w:val="auto"/>
          <w:sz w:val="24"/>
          <w:highlight w:val="none"/>
        </w:rPr>
      </w:pPr>
      <w:bookmarkStart w:id="128" w:name="_Toc127151728"/>
      <w:bookmarkStart w:id="129" w:name="_Toc151193697"/>
      <w:bookmarkStart w:id="130" w:name="_Toc226337223"/>
      <w:bookmarkStart w:id="131" w:name="_Toc164351621"/>
      <w:bookmarkStart w:id="132" w:name="_Toc520356151"/>
      <w:bookmarkStart w:id="133" w:name="_Toc226965717"/>
      <w:bookmarkStart w:id="134" w:name="_Toc151193769"/>
      <w:bookmarkStart w:id="135" w:name="_Toc164608641"/>
      <w:bookmarkStart w:id="136" w:name="_Toc164608796"/>
      <w:bookmarkStart w:id="137" w:name="_Toc149720820"/>
      <w:bookmarkStart w:id="138" w:name="_Toc150480765"/>
      <w:bookmarkStart w:id="139" w:name="_Toc151193625"/>
      <w:bookmarkStart w:id="140" w:name="_Toc265228365"/>
      <w:bookmarkStart w:id="141" w:name="_Toc264969217"/>
      <w:bookmarkStart w:id="142" w:name="_Toc151193915"/>
      <w:bookmarkStart w:id="143" w:name="_Toc150774732"/>
      <w:bookmarkStart w:id="144" w:name="_Toc226965800"/>
      <w:bookmarkStart w:id="145" w:name="_Toc195842892"/>
      <w:bookmarkStart w:id="146" w:name="_Toc151193841"/>
      <w:bookmarkStart w:id="147" w:name="_Toc516367021"/>
      <w:bookmarkStart w:id="148" w:name="_Toc305158869"/>
      <w:bookmarkStart w:id="149" w:name="_Toc150774627"/>
      <w:bookmarkStart w:id="150" w:name="_Toc127151527"/>
      <w:bookmarkStart w:id="151" w:name="_Toc305158795"/>
      <w:bookmarkStart w:id="152" w:name="_Toc226309771"/>
      <w:bookmarkStart w:id="153" w:name="_Toc142311029"/>
      <w:bookmarkStart w:id="154" w:name="_Toc150509278"/>
      <w:bookmarkStart w:id="155" w:name="_Toc164229222"/>
      <w:bookmarkStart w:id="156" w:name="_Toc164229368"/>
      <w:bookmarkStart w:id="157" w:name="_Toc127161441"/>
      <w:bookmarkStart w:id="158" w:name="_Toc151190154"/>
      <w:r>
        <w:rPr>
          <w:rFonts w:ascii="宋体" w:hAnsi="宋体"/>
          <w:color w:val="auto"/>
          <w:sz w:val="24"/>
          <w:highlight w:val="none"/>
        </w:rPr>
        <w:t>响应范围、竞争性磋商文件中计量单位的使用</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Pr>
          <w:rFonts w:ascii="宋体" w:hAnsi="宋体"/>
          <w:color w:val="auto"/>
          <w:sz w:val="24"/>
          <w:highlight w:val="none"/>
        </w:rPr>
        <w:t>及磋商语言</w:t>
      </w:r>
    </w:p>
    <w:p w14:paraId="7E45F958">
      <w:pPr>
        <w:numPr>
          <w:ilvl w:val="1"/>
          <w:numId w:val="1"/>
        </w:numPr>
        <w:tabs>
          <w:tab w:val="left" w:pos="1080"/>
          <w:tab w:val="left" w:pos="2014"/>
        </w:tabs>
        <w:snapToGrid w:val="0"/>
        <w:spacing w:line="360" w:lineRule="auto"/>
        <w:ind w:left="1080" w:hanging="720"/>
        <w:rPr>
          <w:rFonts w:hint="eastAsia" w:ascii="宋体" w:hAnsi="宋体"/>
          <w:color w:val="auto"/>
          <w:sz w:val="24"/>
          <w:highlight w:val="none"/>
        </w:rPr>
      </w:pPr>
      <w:r>
        <w:rPr>
          <w:rFonts w:ascii="宋体" w:hAnsi="宋体"/>
          <w:color w:val="auto"/>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b/>
          <w:color w:val="auto"/>
          <w:sz w:val="24"/>
          <w:highlight w:val="none"/>
        </w:rPr>
        <w:t>响应无效</w:t>
      </w:r>
      <w:r>
        <w:rPr>
          <w:rFonts w:ascii="宋体" w:hAnsi="宋体"/>
          <w:color w:val="auto"/>
          <w:sz w:val="24"/>
          <w:highlight w:val="none"/>
        </w:rPr>
        <w:t>。</w:t>
      </w:r>
    </w:p>
    <w:p w14:paraId="6BE4D5B7">
      <w:pPr>
        <w:numPr>
          <w:ilvl w:val="1"/>
          <w:numId w:val="1"/>
        </w:numPr>
        <w:tabs>
          <w:tab w:val="left" w:pos="1080"/>
          <w:tab w:val="left" w:pos="2014"/>
        </w:tabs>
        <w:snapToGrid w:val="0"/>
        <w:spacing w:line="360" w:lineRule="auto"/>
        <w:ind w:left="1080" w:hanging="720"/>
        <w:rPr>
          <w:rFonts w:hint="eastAsia" w:ascii="宋体" w:hAnsi="宋体"/>
          <w:color w:val="auto"/>
          <w:sz w:val="24"/>
          <w:highlight w:val="none"/>
        </w:rPr>
      </w:pPr>
      <w:r>
        <w:rPr>
          <w:rFonts w:ascii="宋体" w:hAnsi="宋体"/>
          <w:color w:val="auto"/>
          <w:sz w:val="24"/>
          <w:highlight w:val="none"/>
        </w:rPr>
        <w:t>除竞争性磋商文件有特殊要求外，本项目磋商所使用的计量单位，应采用中华人民共和国法定计量单位。</w:t>
      </w:r>
    </w:p>
    <w:p w14:paraId="17381B4D">
      <w:pPr>
        <w:numPr>
          <w:ilvl w:val="1"/>
          <w:numId w:val="1"/>
        </w:numPr>
        <w:tabs>
          <w:tab w:val="left" w:pos="1080"/>
          <w:tab w:val="left" w:pos="2014"/>
        </w:tabs>
        <w:snapToGrid w:val="0"/>
        <w:spacing w:line="360" w:lineRule="auto"/>
        <w:ind w:left="1080" w:hanging="720"/>
        <w:rPr>
          <w:rFonts w:hint="eastAsia" w:ascii="宋体" w:hAnsi="宋体"/>
          <w:color w:val="auto"/>
          <w:sz w:val="24"/>
          <w:highlight w:val="none"/>
        </w:rPr>
      </w:pPr>
      <w:r>
        <w:rPr>
          <w:rFonts w:ascii="宋体" w:hAnsi="宋体"/>
          <w:color w:val="auto"/>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6FBB90AB">
      <w:pPr>
        <w:numPr>
          <w:ilvl w:val="0"/>
          <w:numId w:val="1"/>
        </w:numPr>
        <w:tabs>
          <w:tab w:val="left" w:pos="360"/>
        </w:tabs>
        <w:snapToGrid w:val="0"/>
        <w:spacing w:line="360" w:lineRule="auto"/>
        <w:ind w:left="357" w:hanging="357"/>
        <w:outlineLvl w:val="2"/>
        <w:rPr>
          <w:rFonts w:hint="eastAsia" w:ascii="宋体" w:hAnsi="宋体"/>
          <w:color w:val="auto"/>
          <w:sz w:val="24"/>
          <w:highlight w:val="none"/>
        </w:rPr>
      </w:pPr>
      <w:bookmarkStart w:id="159" w:name="_Ref467306195"/>
      <w:bookmarkStart w:id="160" w:name="_Ref467306676"/>
      <w:bookmarkStart w:id="161" w:name="_Toc516367022"/>
      <w:bookmarkStart w:id="162" w:name="_Toc164229223"/>
      <w:bookmarkStart w:id="163" w:name="_Toc226965801"/>
      <w:bookmarkStart w:id="164" w:name="_Toc151193698"/>
      <w:bookmarkStart w:id="165" w:name="_Toc150509279"/>
      <w:bookmarkStart w:id="166" w:name="_Toc127151729"/>
      <w:bookmarkStart w:id="167" w:name="_Toc151193770"/>
      <w:bookmarkStart w:id="168" w:name="_Toc151193842"/>
      <w:bookmarkStart w:id="169" w:name="_Toc149720821"/>
      <w:bookmarkStart w:id="170" w:name="_Toc127151528"/>
      <w:bookmarkStart w:id="171" w:name="_Toc305158870"/>
      <w:bookmarkStart w:id="172" w:name="_Toc305158796"/>
      <w:bookmarkStart w:id="173" w:name="_Toc520356152"/>
      <w:bookmarkStart w:id="174" w:name="_Toc142311030"/>
      <w:bookmarkStart w:id="175" w:name="_Toc164229369"/>
      <w:bookmarkStart w:id="176" w:name="_Toc151193916"/>
      <w:bookmarkStart w:id="177" w:name="_Toc151190155"/>
      <w:bookmarkStart w:id="178" w:name="_Toc164608797"/>
      <w:bookmarkStart w:id="179" w:name="_Toc164351622"/>
      <w:bookmarkStart w:id="180" w:name="_Toc151193626"/>
      <w:bookmarkStart w:id="181" w:name="_Toc264969218"/>
      <w:bookmarkStart w:id="182" w:name="_Toc127161442"/>
      <w:bookmarkStart w:id="183" w:name="_Toc226337224"/>
      <w:bookmarkStart w:id="184" w:name="_Toc150774628"/>
      <w:bookmarkStart w:id="185" w:name="_Toc150774733"/>
      <w:bookmarkStart w:id="186" w:name="_Toc265228366"/>
      <w:bookmarkStart w:id="187" w:name="_Toc195842893"/>
      <w:bookmarkStart w:id="188" w:name="_Toc226965718"/>
      <w:bookmarkStart w:id="189" w:name="_Toc226309772"/>
      <w:bookmarkStart w:id="190" w:name="_Toc164608642"/>
      <w:bookmarkStart w:id="191" w:name="_Toc150480766"/>
      <w:r>
        <w:rPr>
          <w:rFonts w:ascii="宋体" w:hAnsi="宋体"/>
          <w:color w:val="auto"/>
          <w:sz w:val="24"/>
          <w:highlight w:val="none"/>
        </w:rPr>
        <w:t>响应文件</w:t>
      </w:r>
      <w:bookmarkEnd w:id="159"/>
      <w:bookmarkEnd w:id="160"/>
      <w:bookmarkEnd w:id="161"/>
      <w:r>
        <w:rPr>
          <w:rFonts w:ascii="宋体" w:hAnsi="宋体"/>
          <w:color w:val="auto"/>
          <w:sz w:val="24"/>
          <w:highlight w:val="none"/>
        </w:rPr>
        <w:t>构成</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14:paraId="06E8DE6E">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bookmarkStart w:id="192" w:name="_Ref467052588"/>
      <w:r>
        <w:rPr>
          <w:rFonts w:ascii="宋体" w:hAnsi="宋体"/>
          <w:color w:val="auto"/>
          <w:sz w:val="24"/>
          <w:highlight w:val="none"/>
        </w:rPr>
        <w:t>供应商应当按照竞争性磋商文件的要求编制响应文件，</w:t>
      </w:r>
      <w:r>
        <w:rPr>
          <w:rFonts w:ascii="宋体" w:hAnsi="宋体"/>
          <w:color w:val="auto"/>
          <w:kern w:val="0"/>
          <w:sz w:val="24"/>
          <w:highlight w:val="none"/>
        </w:rPr>
        <w:t>并对其提交的响应文件的真实性、合法性承担法律责任</w:t>
      </w:r>
      <w:r>
        <w:rPr>
          <w:rFonts w:ascii="宋体" w:hAnsi="宋体"/>
          <w:color w:val="auto"/>
          <w:sz w:val="24"/>
          <w:highlight w:val="none"/>
        </w:rPr>
        <w:t>。响应文件的部分格式要求，见第六章《响应文件格式》。</w:t>
      </w:r>
    </w:p>
    <w:p w14:paraId="1BCA7A8E">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kern w:val="0"/>
          <w:sz w:val="24"/>
          <w:highlight w:val="none"/>
        </w:rPr>
        <w:t>对于竞争性磋商文件中标记了“实质性格式”文件的，</w:t>
      </w:r>
      <w:r>
        <w:rPr>
          <w:rFonts w:ascii="宋体" w:hAnsi="宋体"/>
          <w:color w:val="auto"/>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color w:val="auto"/>
          <w:kern w:val="0"/>
          <w:sz w:val="24"/>
          <w:highlight w:val="none"/>
        </w:rPr>
        <w:t>否则响应无效</w:t>
      </w:r>
      <w:r>
        <w:rPr>
          <w:rFonts w:ascii="宋体" w:hAnsi="宋体"/>
          <w:color w:val="auto"/>
          <w:kern w:val="0"/>
          <w:sz w:val="24"/>
          <w:highlight w:val="none"/>
        </w:rPr>
        <w:t>。未标记“实质性格式”的文件和竞争性磋商文件未提供格式的内容，可由供应商自行编写。</w:t>
      </w:r>
    </w:p>
    <w:p w14:paraId="6D739980">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第三章《评审方法和评审标准》中涉及的证明文件。</w:t>
      </w:r>
    </w:p>
    <w:p w14:paraId="3B04A9FB">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6E204DB">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供应商认为应附的其他材料。</w:t>
      </w:r>
      <w:bookmarkEnd w:id="192"/>
    </w:p>
    <w:p w14:paraId="0B254FA4">
      <w:pPr>
        <w:numPr>
          <w:ilvl w:val="0"/>
          <w:numId w:val="1"/>
        </w:numPr>
        <w:tabs>
          <w:tab w:val="left" w:pos="360"/>
        </w:tabs>
        <w:snapToGrid w:val="0"/>
        <w:spacing w:line="360" w:lineRule="auto"/>
        <w:ind w:left="357" w:hanging="357"/>
        <w:outlineLvl w:val="2"/>
        <w:rPr>
          <w:rFonts w:hint="eastAsia" w:ascii="宋体" w:hAnsi="宋体"/>
          <w:color w:val="auto"/>
          <w:sz w:val="24"/>
          <w:highlight w:val="none"/>
        </w:rPr>
      </w:pPr>
      <w:bookmarkStart w:id="193" w:name="_Toc127161444"/>
      <w:bookmarkStart w:id="194" w:name="_Toc142311032"/>
      <w:bookmarkStart w:id="195" w:name="_Toc195842895"/>
      <w:bookmarkStart w:id="196" w:name="_Toc151193700"/>
      <w:bookmarkStart w:id="197" w:name="_Toc164608799"/>
      <w:bookmarkStart w:id="198" w:name="_Toc150509281"/>
      <w:bookmarkStart w:id="199" w:name="_Toc164229225"/>
      <w:bookmarkStart w:id="200" w:name="_Toc151190157"/>
      <w:bookmarkStart w:id="201" w:name="_Toc520356155"/>
      <w:bookmarkStart w:id="202" w:name="_Toc164608644"/>
      <w:bookmarkStart w:id="203" w:name="_Toc150774735"/>
      <w:bookmarkStart w:id="204" w:name="_Toc150774630"/>
      <w:bookmarkStart w:id="205" w:name="_Toc151193772"/>
      <w:bookmarkStart w:id="206" w:name="_Toc164229371"/>
      <w:bookmarkStart w:id="207" w:name="_Toc127151731"/>
      <w:bookmarkStart w:id="208" w:name="_Toc151193628"/>
      <w:bookmarkStart w:id="209" w:name="_Toc127151530"/>
      <w:bookmarkStart w:id="210" w:name="_Toc151193844"/>
      <w:bookmarkStart w:id="211" w:name="_Toc149720823"/>
      <w:bookmarkStart w:id="212" w:name="_Toc151193918"/>
      <w:bookmarkStart w:id="213" w:name="_Toc150480768"/>
      <w:bookmarkStart w:id="214" w:name="_Toc164351624"/>
      <w:r>
        <w:rPr>
          <w:rFonts w:ascii="宋体" w:hAnsi="宋体"/>
          <w:color w:val="auto"/>
          <w:sz w:val="24"/>
          <w:highlight w:val="none"/>
        </w:rPr>
        <w:t>报价</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077604BC">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所有响应均以人民币报价。</w:t>
      </w:r>
    </w:p>
    <w:p w14:paraId="434460FF">
      <w:pPr>
        <w:numPr>
          <w:ilvl w:val="1"/>
          <w:numId w:val="1"/>
        </w:numPr>
        <w:tabs>
          <w:tab w:val="left" w:pos="1080"/>
        </w:tabs>
        <w:snapToGrid w:val="0"/>
        <w:spacing w:line="360" w:lineRule="auto"/>
        <w:rPr>
          <w:rFonts w:hint="eastAsia" w:ascii="宋体" w:hAnsi="宋体"/>
          <w:color w:val="auto"/>
          <w:sz w:val="24"/>
          <w:highlight w:val="none"/>
        </w:rPr>
      </w:pPr>
      <w:r>
        <w:rPr>
          <w:rFonts w:ascii="宋体" w:hAnsi="宋体"/>
          <w:color w:val="auto"/>
          <w:sz w:val="24"/>
          <w:highlight w:val="none"/>
        </w:rPr>
        <w:t>供应商的报价应包括为完成本项目所发生的一切费用和税费，采购人将不再支付报价以外的任何费用。</w:t>
      </w:r>
      <w:r>
        <w:rPr>
          <w:rFonts w:hint="eastAsia" w:ascii="宋体" w:hAnsi="宋体"/>
          <w:color w:val="auto"/>
          <w:sz w:val="24"/>
          <w:highlight w:val="none"/>
        </w:rPr>
        <w:t>供应商的报价应包括但不限于下列内容，《供应商须知资料表》中有特殊规定的，从其规定。</w:t>
      </w:r>
    </w:p>
    <w:p w14:paraId="768967C5">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1206C09B">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按照竞争性磋商文件要求完成本项</w:t>
      </w:r>
      <w:r>
        <w:rPr>
          <w:rFonts w:hint="eastAsia" w:ascii="宋体" w:hAnsi="宋体"/>
          <w:color w:val="auto"/>
          <w:sz w:val="24"/>
          <w:highlight w:val="none"/>
        </w:rPr>
        <w:t>目的全部相关工程或服务费用。</w:t>
      </w:r>
    </w:p>
    <w:p w14:paraId="04898F41">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采购人不得向供应商索要或者接受其给予的赠品、回扣或者与采购无关的其他商品、服务。</w:t>
      </w:r>
    </w:p>
    <w:p w14:paraId="6989DB1C">
      <w:pPr>
        <w:numPr>
          <w:ilvl w:val="1"/>
          <w:numId w:val="1"/>
        </w:numPr>
        <w:tabs>
          <w:tab w:val="left" w:pos="1080"/>
          <w:tab w:val="left" w:pos="2014"/>
        </w:tabs>
        <w:snapToGrid w:val="0"/>
        <w:spacing w:line="360" w:lineRule="auto"/>
        <w:ind w:left="1080" w:hanging="720"/>
        <w:rPr>
          <w:rFonts w:hint="eastAsia" w:ascii="宋体" w:hAnsi="宋体"/>
          <w:color w:val="auto"/>
          <w:sz w:val="24"/>
          <w:highlight w:val="none"/>
        </w:rPr>
      </w:pPr>
      <w:r>
        <w:rPr>
          <w:rFonts w:ascii="宋体" w:hAnsi="宋体"/>
          <w:color w:val="auto"/>
          <w:sz w:val="24"/>
          <w:highlight w:val="none"/>
        </w:rPr>
        <w:t>供应商不能提供任何有选择性或可调整的最后报价（</w:t>
      </w:r>
      <w:r>
        <w:rPr>
          <w:rFonts w:ascii="宋体" w:hAnsi="宋体"/>
          <w:color w:val="auto"/>
          <w:kern w:val="0"/>
          <w:sz w:val="24"/>
          <w:highlight w:val="none"/>
        </w:rPr>
        <w:t>竞争性磋商文件</w:t>
      </w:r>
      <w:r>
        <w:rPr>
          <w:rFonts w:ascii="宋体" w:hAnsi="宋体"/>
          <w:color w:val="auto"/>
          <w:sz w:val="24"/>
          <w:highlight w:val="none"/>
        </w:rPr>
        <w:t>另有规定的除外），否则其</w:t>
      </w:r>
      <w:r>
        <w:rPr>
          <w:rFonts w:ascii="宋体" w:hAnsi="宋体"/>
          <w:b/>
          <w:color w:val="auto"/>
          <w:sz w:val="24"/>
          <w:highlight w:val="none"/>
        </w:rPr>
        <w:t>响应无效</w:t>
      </w:r>
      <w:r>
        <w:rPr>
          <w:rFonts w:ascii="宋体" w:hAnsi="宋体"/>
          <w:color w:val="auto"/>
          <w:sz w:val="24"/>
          <w:highlight w:val="none"/>
        </w:rPr>
        <w:t>。</w:t>
      </w:r>
    </w:p>
    <w:p w14:paraId="40B3B262">
      <w:pPr>
        <w:numPr>
          <w:ilvl w:val="0"/>
          <w:numId w:val="1"/>
        </w:numPr>
        <w:tabs>
          <w:tab w:val="left" w:pos="360"/>
        </w:tabs>
        <w:snapToGrid w:val="0"/>
        <w:spacing w:line="360" w:lineRule="auto"/>
        <w:ind w:left="357" w:hanging="357"/>
        <w:outlineLvl w:val="2"/>
        <w:rPr>
          <w:rFonts w:hint="eastAsia" w:ascii="宋体" w:hAnsi="宋体"/>
          <w:color w:val="auto"/>
          <w:sz w:val="24"/>
          <w:highlight w:val="none"/>
        </w:rPr>
      </w:pPr>
      <w:r>
        <w:rPr>
          <w:rFonts w:ascii="宋体" w:hAnsi="宋体"/>
          <w:color w:val="auto"/>
          <w:sz w:val="24"/>
          <w:highlight w:val="none"/>
        </w:rPr>
        <w:t>磋商保证金</w:t>
      </w:r>
    </w:p>
    <w:p w14:paraId="78672F20">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bookmarkStart w:id="215" w:name="_Ref467306302"/>
      <w:r>
        <w:rPr>
          <w:rFonts w:ascii="宋体" w:hAnsi="宋体"/>
          <w:color w:val="auto"/>
          <w:sz w:val="24"/>
          <w:highlight w:val="none"/>
        </w:rPr>
        <w:t>供应商应按《供应商须知资料表》中规定的金额及要求交纳磋商保证金</w:t>
      </w:r>
      <w:bookmarkEnd w:id="215"/>
      <w:r>
        <w:rPr>
          <w:rFonts w:ascii="宋体" w:hAnsi="宋体"/>
          <w:color w:val="auto"/>
          <w:sz w:val="24"/>
          <w:highlight w:val="none"/>
        </w:rPr>
        <w:t>，并作为其响应文件的一部分。</w:t>
      </w:r>
    </w:p>
    <w:p w14:paraId="04EDC76B">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交纳磋商保证金可采用的形式：政府采购法律法规接受的支票、汇票、本票、网上银行支付或者金融机构、担保机构出具的保函等非现金形式。</w:t>
      </w:r>
    </w:p>
    <w:p w14:paraId="125DE6B3">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磋商保证金到账（保函提交）截止时间同首次响应文件提交截止时间。以支票、汇票、本票、网上银行支付等形式提交磋商保证金的，应在首次响应文件提交截止时间前</w:t>
      </w:r>
      <w:r>
        <w:rPr>
          <w:rFonts w:hint="eastAsia" w:ascii="宋体" w:hAnsi="宋体"/>
          <w:color w:val="auto"/>
          <w:sz w:val="24"/>
          <w:highlight w:val="none"/>
        </w:rPr>
        <w:t>到账</w:t>
      </w:r>
      <w:r>
        <w:rPr>
          <w:rFonts w:ascii="宋体" w:hAnsi="宋体"/>
          <w:color w:val="auto"/>
          <w:sz w:val="24"/>
          <w:highlight w:val="none"/>
        </w:rPr>
        <w:t>；</w:t>
      </w:r>
      <w:r>
        <w:rPr>
          <w:rFonts w:hint="eastAsia" w:ascii="宋体" w:hAnsi="宋体"/>
          <w:color w:val="auto"/>
          <w:sz w:val="24"/>
          <w:highlight w:val="none"/>
        </w:rPr>
        <w:t>以</w:t>
      </w:r>
      <w:r>
        <w:rPr>
          <w:rFonts w:ascii="宋体" w:hAnsi="宋体"/>
          <w:color w:val="auto"/>
          <w:sz w:val="24"/>
          <w:highlight w:val="none"/>
        </w:rPr>
        <w:t>金融机构、担保机构出具的保函等形式提交</w:t>
      </w:r>
      <w:r>
        <w:rPr>
          <w:rFonts w:hint="eastAsia" w:ascii="宋体" w:hAnsi="宋体"/>
          <w:color w:val="auto"/>
          <w:sz w:val="24"/>
          <w:highlight w:val="none"/>
        </w:rPr>
        <w:t>磋商</w:t>
      </w:r>
      <w:r>
        <w:rPr>
          <w:rFonts w:ascii="宋体" w:hAnsi="宋体"/>
          <w:color w:val="auto"/>
          <w:sz w:val="24"/>
          <w:highlight w:val="none"/>
        </w:rPr>
        <w:t>保证金的，应在首次响应文件</w:t>
      </w:r>
      <w:r>
        <w:rPr>
          <w:rFonts w:hint="eastAsia" w:ascii="宋体" w:hAnsi="宋体"/>
          <w:color w:val="auto"/>
          <w:sz w:val="24"/>
          <w:highlight w:val="none"/>
        </w:rPr>
        <w:t>提交</w:t>
      </w:r>
      <w:r>
        <w:rPr>
          <w:rFonts w:ascii="宋体" w:hAnsi="宋体"/>
          <w:color w:val="auto"/>
          <w:sz w:val="24"/>
          <w:highlight w:val="none"/>
        </w:rPr>
        <w:t>截止时间前将原件提交至采购代理机构；由于</w:t>
      </w:r>
      <w:r>
        <w:rPr>
          <w:rFonts w:hint="eastAsia" w:ascii="宋体" w:hAnsi="宋体"/>
          <w:color w:val="auto"/>
          <w:sz w:val="24"/>
          <w:highlight w:val="none"/>
        </w:rPr>
        <w:t>到账时间</w:t>
      </w:r>
      <w:r>
        <w:rPr>
          <w:rFonts w:ascii="宋体" w:hAnsi="宋体"/>
          <w:color w:val="auto"/>
          <w:sz w:val="24"/>
          <w:highlight w:val="none"/>
        </w:rPr>
        <w:t>晚于首次响应文件提交截止时间的，或者票据错误、印鉴不清等原因导致不能到账的，其</w:t>
      </w:r>
      <w:r>
        <w:rPr>
          <w:rFonts w:ascii="宋体" w:hAnsi="宋体"/>
          <w:b/>
          <w:color w:val="auto"/>
          <w:sz w:val="24"/>
          <w:highlight w:val="none"/>
        </w:rPr>
        <w:t>响应无效</w:t>
      </w:r>
      <w:r>
        <w:rPr>
          <w:rFonts w:ascii="宋体" w:hAnsi="宋体"/>
          <w:color w:val="auto"/>
          <w:sz w:val="24"/>
          <w:highlight w:val="none"/>
        </w:rPr>
        <w:t>。</w:t>
      </w:r>
    </w:p>
    <w:p w14:paraId="36E3D8F8">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磋商保证金（保函）有效期同响应有效期。</w:t>
      </w:r>
    </w:p>
    <w:p w14:paraId="036D5627">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供应商为联合体的，可以由联合体中的一方或者多方共同交纳磋商保证金，其交纳的保证金对联合体各方均具有约束力。</w:t>
      </w:r>
    </w:p>
    <w:p w14:paraId="4DD7C860">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41A0E2F4">
      <w:pPr>
        <w:numPr>
          <w:ilvl w:val="2"/>
          <w:numId w:val="1"/>
        </w:numPr>
        <w:snapToGrid w:val="0"/>
        <w:spacing w:line="360" w:lineRule="auto"/>
        <w:rPr>
          <w:rFonts w:hint="eastAsia" w:ascii="宋体" w:hAnsi="宋体"/>
          <w:color w:val="auto"/>
          <w:sz w:val="24"/>
          <w:highlight w:val="none"/>
        </w:rPr>
      </w:pPr>
      <w:r>
        <w:rPr>
          <w:rFonts w:ascii="宋体" w:hAnsi="宋体"/>
          <w:snapToGrid w:val="0"/>
          <w:color w:val="auto"/>
          <w:kern w:val="0"/>
          <w:sz w:val="24"/>
          <w:highlight w:val="none"/>
        </w:rPr>
        <w:t>已提交响应文件的供应商，在提交最后报价之前，可以根据磋商情况退出磋商。采购人、采购代理机构将退还退出磋商的供应商的磋商保证金</w:t>
      </w:r>
      <w:r>
        <w:rPr>
          <w:rFonts w:hint="eastAsia" w:ascii="宋体" w:hAnsi="宋体"/>
          <w:snapToGrid w:val="0"/>
          <w:color w:val="auto"/>
          <w:kern w:val="0"/>
          <w:sz w:val="24"/>
          <w:highlight w:val="none"/>
        </w:rPr>
        <w:t>；</w:t>
      </w:r>
    </w:p>
    <w:p w14:paraId="0EC10CA0">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成交供应商的磋商保证金，在采购合同签订后5个工作日内退还成交供应商；</w:t>
      </w:r>
    </w:p>
    <w:p w14:paraId="6A697307">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未成交供应商的磋商保证金，在成交通知书发出后5个工作日内退还</w:t>
      </w:r>
      <w:r>
        <w:rPr>
          <w:rFonts w:hint="eastAsia" w:ascii="宋体" w:hAnsi="宋体"/>
          <w:color w:val="auto"/>
          <w:sz w:val="24"/>
          <w:highlight w:val="none"/>
        </w:rPr>
        <w:t>。</w:t>
      </w:r>
    </w:p>
    <w:p w14:paraId="441EA052">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有下列情形之一的，采购人或采购代理机构不予退还磋商保证金：</w:t>
      </w:r>
    </w:p>
    <w:p w14:paraId="729305B4">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供应商在提交响应文件截止时间后撤回响应文件的；</w:t>
      </w:r>
    </w:p>
    <w:p w14:paraId="3FEA668B">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供应商在响应文件中提供虚假材料的；</w:t>
      </w:r>
    </w:p>
    <w:p w14:paraId="0DF96561">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除因不可抗力或磋商文件认可的情形以外，成交供应商不与采购人签订合同的；</w:t>
      </w:r>
    </w:p>
    <w:p w14:paraId="12A00421">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供应商与采购人、其他供应商或者采购代理机构恶意串通的；</w:t>
      </w:r>
    </w:p>
    <w:p w14:paraId="00FF749C">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《供应商须知资料表》规定的其他情形。</w:t>
      </w:r>
    </w:p>
    <w:p w14:paraId="321132EF">
      <w:pPr>
        <w:numPr>
          <w:ilvl w:val="0"/>
          <w:numId w:val="1"/>
        </w:numPr>
        <w:tabs>
          <w:tab w:val="left" w:pos="360"/>
        </w:tabs>
        <w:snapToGrid w:val="0"/>
        <w:spacing w:line="360" w:lineRule="auto"/>
        <w:ind w:left="357" w:hanging="357"/>
        <w:outlineLvl w:val="2"/>
        <w:rPr>
          <w:rFonts w:hint="eastAsia" w:ascii="宋体" w:hAnsi="宋体"/>
          <w:color w:val="auto"/>
          <w:sz w:val="24"/>
          <w:highlight w:val="none"/>
        </w:rPr>
      </w:pPr>
      <w:r>
        <w:rPr>
          <w:rFonts w:ascii="宋体" w:hAnsi="宋体"/>
          <w:color w:val="auto"/>
          <w:sz w:val="24"/>
          <w:highlight w:val="none"/>
        </w:rPr>
        <w:t>响应有效期</w:t>
      </w:r>
    </w:p>
    <w:p w14:paraId="1C661C88">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响应文件应在本竞争性磋商文件《供应商须知资料表》中规定的响应有效期内保持有效，响应有效期少于竞争性磋商文件规定期限的，其</w:t>
      </w:r>
      <w:r>
        <w:rPr>
          <w:rFonts w:ascii="宋体" w:hAnsi="宋体"/>
          <w:b/>
          <w:color w:val="auto"/>
          <w:sz w:val="24"/>
          <w:highlight w:val="none"/>
        </w:rPr>
        <w:t>响应无效</w:t>
      </w:r>
      <w:r>
        <w:rPr>
          <w:rFonts w:ascii="宋体" w:hAnsi="宋体"/>
          <w:color w:val="auto"/>
          <w:sz w:val="24"/>
          <w:highlight w:val="none"/>
        </w:rPr>
        <w:t>。</w:t>
      </w:r>
    </w:p>
    <w:p w14:paraId="7B4A5704">
      <w:pPr>
        <w:numPr>
          <w:ilvl w:val="0"/>
          <w:numId w:val="1"/>
        </w:numPr>
        <w:tabs>
          <w:tab w:val="left" w:pos="360"/>
        </w:tabs>
        <w:snapToGrid w:val="0"/>
        <w:spacing w:line="360" w:lineRule="auto"/>
        <w:ind w:left="357" w:hanging="357"/>
        <w:outlineLvl w:val="2"/>
        <w:rPr>
          <w:rFonts w:hint="eastAsia" w:ascii="宋体" w:hAnsi="宋体"/>
          <w:color w:val="auto"/>
          <w:sz w:val="24"/>
          <w:highlight w:val="none"/>
        </w:rPr>
      </w:pPr>
      <w:bookmarkStart w:id="216" w:name="_Toc127151533"/>
      <w:bookmarkStart w:id="217" w:name="_Toc164351627"/>
      <w:bookmarkStart w:id="218" w:name="_Toc226965723"/>
      <w:bookmarkStart w:id="219" w:name="_Toc305158801"/>
      <w:bookmarkStart w:id="220" w:name="_Toc164229228"/>
      <w:bookmarkStart w:id="221" w:name="_Toc151193703"/>
      <w:bookmarkStart w:id="222" w:name="_Toc264969223"/>
      <w:bookmarkStart w:id="223" w:name="_Toc226337229"/>
      <w:bookmarkStart w:id="224" w:name="_Toc151193847"/>
      <w:bookmarkStart w:id="225" w:name="_Toc149720826"/>
      <w:bookmarkStart w:id="226" w:name="_Toc142311035"/>
      <w:bookmarkStart w:id="227" w:name="_Toc195842898"/>
      <w:bookmarkStart w:id="228" w:name="_Toc265228371"/>
      <w:bookmarkStart w:id="229" w:name="_Toc151193775"/>
      <w:bookmarkStart w:id="230" w:name="_Toc151193921"/>
      <w:bookmarkStart w:id="231" w:name="_Toc127161447"/>
      <w:bookmarkStart w:id="232" w:name="_Toc151190160"/>
      <w:bookmarkStart w:id="233" w:name="_Toc164608802"/>
      <w:bookmarkStart w:id="234" w:name="_Toc305158875"/>
      <w:bookmarkStart w:id="235" w:name="_Toc150480771"/>
      <w:bookmarkStart w:id="236" w:name="_Toc127151734"/>
      <w:bookmarkStart w:id="237" w:name="_Toc150774738"/>
      <w:bookmarkStart w:id="238" w:name="_Toc164229374"/>
      <w:bookmarkStart w:id="239" w:name="_Toc164608647"/>
      <w:bookmarkStart w:id="240" w:name="_Toc226965806"/>
      <w:bookmarkStart w:id="241" w:name="_Toc150774633"/>
      <w:bookmarkStart w:id="242" w:name="_Toc150509284"/>
      <w:bookmarkStart w:id="243" w:name="_Toc226309777"/>
      <w:bookmarkStart w:id="244" w:name="_Toc520356158"/>
      <w:bookmarkStart w:id="245" w:name="_Toc151193631"/>
      <w:r>
        <w:rPr>
          <w:rFonts w:ascii="宋体" w:hAnsi="宋体"/>
          <w:color w:val="auto"/>
          <w:sz w:val="24"/>
          <w:highlight w:val="none"/>
        </w:rPr>
        <w:t>响应文件的签署</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Pr>
          <w:rFonts w:ascii="宋体" w:hAnsi="宋体"/>
          <w:color w:val="auto"/>
          <w:sz w:val="24"/>
          <w:highlight w:val="none"/>
        </w:rPr>
        <w:t>、盖章</w:t>
      </w:r>
    </w:p>
    <w:p w14:paraId="741F1690">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hint="eastAsia" w:ascii="宋体" w:hAnsi="宋体"/>
          <w:color w:val="auto"/>
          <w:sz w:val="24"/>
          <w:highlight w:val="none"/>
        </w:rPr>
        <w:t>响应</w:t>
      </w:r>
      <w:r>
        <w:rPr>
          <w:rFonts w:ascii="宋体" w:hAnsi="宋体"/>
          <w:color w:val="auto"/>
          <w:sz w:val="24"/>
          <w:highlight w:val="none"/>
        </w:rPr>
        <w:t>文件</w:t>
      </w:r>
      <w:r>
        <w:rPr>
          <w:rFonts w:hint="eastAsia" w:ascii="宋体" w:hAnsi="宋体"/>
          <w:color w:val="auto"/>
          <w:sz w:val="24"/>
          <w:highlight w:val="none"/>
        </w:rPr>
        <w:t>的规格尺寸为A4（29.7厘米×21厘米）纸型。按统一格式填写，并按本须知规定的顺序排列，左侧胶封装订成册，不得采用活页装订。由于编排混乱导致</w:t>
      </w:r>
      <w:r>
        <w:rPr>
          <w:rFonts w:hint="eastAsia" w:ascii="宋体" w:hAnsi="宋体"/>
          <w:color w:val="auto"/>
          <w:sz w:val="24"/>
          <w:highlight w:val="none"/>
          <w:lang w:eastAsia="zh-CN"/>
        </w:rPr>
        <w:t>响应文件</w:t>
      </w:r>
      <w:r>
        <w:rPr>
          <w:rFonts w:hint="eastAsia" w:ascii="宋体" w:hAnsi="宋体"/>
          <w:color w:val="auto"/>
          <w:sz w:val="24"/>
          <w:highlight w:val="none"/>
        </w:rPr>
        <w:t>被误读或查找不到，其后果由各供应商承担。</w:t>
      </w:r>
    </w:p>
    <w:p w14:paraId="035290EF">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hint="eastAsia" w:ascii="宋体" w:hAnsi="宋体"/>
          <w:color w:val="auto"/>
          <w:sz w:val="24"/>
          <w:highlight w:val="none"/>
        </w:rPr>
        <w:t>应准备响应文件正本：详见磋商文件第二章</w:t>
      </w:r>
      <w:r>
        <w:rPr>
          <w:rFonts w:hint="eastAsia" w:ascii="宋体" w:hAnsi="宋体"/>
          <w:b/>
          <w:bCs/>
          <w:color w:val="auto"/>
          <w:sz w:val="24"/>
          <w:highlight w:val="none"/>
        </w:rPr>
        <w:t>供应商须知资料表。</w:t>
      </w:r>
    </w:p>
    <w:p w14:paraId="76309687">
      <w:pPr>
        <w:jc w:val="center"/>
        <w:outlineLvl w:val="1"/>
        <w:rPr>
          <w:rFonts w:hint="eastAsia" w:ascii="宋体" w:hAnsi="宋体"/>
          <w:b/>
          <w:bCs/>
          <w:color w:val="auto"/>
          <w:sz w:val="28"/>
          <w:szCs w:val="36"/>
          <w:highlight w:val="none"/>
        </w:rPr>
      </w:pPr>
      <w:r>
        <w:rPr>
          <w:rFonts w:ascii="宋体" w:hAnsi="宋体"/>
          <w:b/>
          <w:bCs/>
          <w:color w:val="auto"/>
          <w:sz w:val="28"/>
          <w:szCs w:val="36"/>
          <w:highlight w:val="none"/>
        </w:rPr>
        <w:t>四   响应文件的提交</w:t>
      </w:r>
    </w:p>
    <w:p w14:paraId="7E8F486E">
      <w:pPr>
        <w:numPr>
          <w:ilvl w:val="0"/>
          <w:numId w:val="1"/>
        </w:numPr>
        <w:tabs>
          <w:tab w:val="left" w:pos="360"/>
        </w:tabs>
        <w:snapToGrid w:val="0"/>
        <w:spacing w:line="360" w:lineRule="auto"/>
        <w:ind w:left="357" w:hanging="357"/>
        <w:outlineLvl w:val="2"/>
        <w:rPr>
          <w:rFonts w:hint="eastAsia" w:ascii="宋体" w:hAnsi="宋体"/>
          <w:color w:val="auto"/>
          <w:sz w:val="24"/>
          <w:highlight w:val="none"/>
        </w:rPr>
      </w:pPr>
      <w:bookmarkStart w:id="246" w:name="_Toc164608804"/>
      <w:bookmarkStart w:id="247" w:name="_Toc264969225"/>
      <w:bookmarkStart w:id="248" w:name="_Toc226965725"/>
      <w:bookmarkStart w:id="249" w:name="_Toc164229376"/>
      <w:bookmarkStart w:id="250" w:name="_Toc150480773"/>
      <w:bookmarkStart w:id="251" w:name="_Toc127151736"/>
      <w:bookmarkStart w:id="252" w:name="_Toc151193633"/>
      <w:bookmarkStart w:id="253" w:name="_Toc151193705"/>
      <w:bookmarkStart w:id="254" w:name="_Toc142311037"/>
      <w:bookmarkStart w:id="255" w:name="_Toc520356160"/>
      <w:bookmarkStart w:id="256" w:name="_Toc226337231"/>
      <w:bookmarkStart w:id="257" w:name="_Toc305158803"/>
      <w:bookmarkStart w:id="258" w:name="_Toc127151535"/>
      <w:bookmarkStart w:id="259" w:name="_Toc305158877"/>
      <w:bookmarkStart w:id="260" w:name="_Toc151193849"/>
      <w:bookmarkStart w:id="261" w:name="_Toc164229230"/>
      <w:bookmarkStart w:id="262" w:name="_Toc195842900"/>
      <w:bookmarkStart w:id="263" w:name="_Toc149720828"/>
      <w:bookmarkStart w:id="264" w:name="_Toc127161449"/>
      <w:bookmarkStart w:id="265" w:name="_Toc164351629"/>
      <w:bookmarkStart w:id="266" w:name="_Toc226309779"/>
      <w:bookmarkStart w:id="267" w:name="_Toc151190162"/>
      <w:bookmarkStart w:id="268" w:name="_Toc150774740"/>
      <w:bookmarkStart w:id="269" w:name="_Toc151193923"/>
      <w:bookmarkStart w:id="270" w:name="_Toc226965808"/>
      <w:bookmarkStart w:id="271" w:name="_Toc150774635"/>
      <w:bookmarkStart w:id="272" w:name="_Toc150509286"/>
      <w:bookmarkStart w:id="273" w:name="_Toc164608649"/>
      <w:bookmarkStart w:id="274" w:name="_Toc151193777"/>
      <w:bookmarkStart w:id="275" w:name="_Toc265228373"/>
      <w:r>
        <w:rPr>
          <w:rFonts w:ascii="宋体" w:hAnsi="宋体"/>
          <w:color w:val="auto"/>
          <w:sz w:val="24"/>
          <w:highlight w:val="none"/>
        </w:rPr>
        <w:t>响应文件的</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r>
        <w:rPr>
          <w:rFonts w:ascii="宋体" w:hAnsi="宋体"/>
          <w:color w:val="auto"/>
          <w:sz w:val="24"/>
          <w:highlight w:val="none"/>
        </w:rPr>
        <w:t>提交</w:t>
      </w:r>
    </w:p>
    <w:p w14:paraId="236893DE">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hint="eastAsia" w:ascii="宋体" w:hAnsi="宋体"/>
          <w:color w:val="auto"/>
          <w:sz w:val="24"/>
          <w:highlight w:val="none"/>
        </w:rPr>
        <w:t>应在竞争性磋商公告或采购邀请中规定的截止日期和时间内，将响应文件提交至指定地点</w:t>
      </w:r>
      <w:r>
        <w:rPr>
          <w:rFonts w:ascii="宋体" w:hAnsi="宋体"/>
          <w:color w:val="auto"/>
          <w:sz w:val="24"/>
          <w:highlight w:val="none"/>
        </w:rPr>
        <w:t>。</w:t>
      </w:r>
    </w:p>
    <w:p w14:paraId="768E600B">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采购人及采购代理机构</w:t>
      </w:r>
      <w:r>
        <w:rPr>
          <w:rFonts w:hint="eastAsia" w:ascii="宋体" w:hAnsi="宋体"/>
          <w:color w:val="auto"/>
          <w:sz w:val="24"/>
          <w:highlight w:val="none"/>
        </w:rPr>
        <w:t>有权将拒绝并原封退回在本须知规定的投标截止期后收到的任何响应文件</w:t>
      </w:r>
      <w:r>
        <w:rPr>
          <w:rFonts w:ascii="宋体" w:hAnsi="宋体"/>
          <w:color w:val="auto"/>
          <w:sz w:val="24"/>
          <w:highlight w:val="none"/>
        </w:rPr>
        <w:t>。</w:t>
      </w:r>
    </w:p>
    <w:p w14:paraId="579B6FD9">
      <w:pPr>
        <w:numPr>
          <w:ilvl w:val="0"/>
          <w:numId w:val="1"/>
        </w:numPr>
        <w:tabs>
          <w:tab w:val="left" w:pos="360"/>
        </w:tabs>
        <w:snapToGrid w:val="0"/>
        <w:spacing w:line="360" w:lineRule="auto"/>
        <w:ind w:left="357" w:hanging="357"/>
        <w:outlineLvl w:val="2"/>
        <w:rPr>
          <w:rFonts w:hint="eastAsia" w:ascii="宋体" w:hAnsi="宋体"/>
          <w:color w:val="auto"/>
          <w:sz w:val="24"/>
          <w:highlight w:val="none"/>
        </w:rPr>
      </w:pPr>
      <w:bookmarkStart w:id="276" w:name="_Toc151193634"/>
      <w:bookmarkStart w:id="277" w:name="_Toc226965809"/>
      <w:bookmarkStart w:id="278" w:name="_Toc127161450"/>
      <w:bookmarkStart w:id="279" w:name="_Toc164229231"/>
      <w:bookmarkStart w:id="280" w:name="_Toc150774636"/>
      <w:bookmarkStart w:id="281" w:name="_Toc150774741"/>
      <w:bookmarkStart w:id="282" w:name="_Toc520356161"/>
      <w:bookmarkStart w:id="283" w:name="_Toc226965726"/>
      <w:bookmarkStart w:id="284" w:name="_Toc127151737"/>
      <w:bookmarkStart w:id="285" w:name="_Toc127151536"/>
      <w:bookmarkStart w:id="286" w:name="_Toc264969226"/>
      <w:bookmarkStart w:id="287" w:name="_Toc151193706"/>
      <w:bookmarkStart w:id="288" w:name="_Toc226309780"/>
      <w:bookmarkStart w:id="289" w:name="_Toc195842901"/>
      <w:bookmarkStart w:id="290" w:name="_Toc164229377"/>
      <w:bookmarkStart w:id="291" w:name="_Toc151193924"/>
      <w:bookmarkStart w:id="292" w:name="_Toc226337232"/>
      <w:bookmarkStart w:id="293" w:name="_Toc150480774"/>
      <w:bookmarkStart w:id="294" w:name="_Toc150509287"/>
      <w:bookmarkStart w:id="295" w:name="_Toc151193778"/>
      <w:bookmarkStart w:id="296" w:name="_Toc305158804"/>
      <w:bookmarkStart w:id="297" w:name="_Toc265228374"/>
      <w:bookmarkStart w:id="298" w:name="_Toc305158878"/>
      <w:bookmarkStart w:id="299" w:name="_Toc151193850"/>
      <w:bookmarkStart w:id="300" w:name="_Toc164608650"/>
      <w:bookmarkStart w:id="301" w:name="_Toc164608805"/>
      <w:bookmarkStart w:id="302" w:name="_Toc142311038"/>
      <w:bookmarkStart w:id="303" w:name="_Toc164351630"/>
      <w:bookmarkStart w:id="304" w:name="_Toc151190163"/>
      <w:bookmarkStart w:id="305" w:name="_Toc149720829"/>
      <w:r>
        <w:rPr>
          <w:rFonts w:ascii="宋体" w:hAnsi="宋体"/>
          <w:color w:val="auto"/>
          <w:sz w:val="24"/>
          <w:highlight w:val="none"/>
        </w:rPr>
        <w:t>响应文件截止</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r>
        <w:rPr>
          <w:rFonts w:ascii="宋体" w:hAnsi="宋体"/>
          <w:color w:val="auto"/>
          <w:sz w:val="24"/>
          <w:highlight w:val="none"/>
        </w:rPr>
        <w:t>时间</w:t>
      </w:r>
    </w:p>
    <w:p w14:paraId="74F8D078">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hint="eastAsia" w:ascii="宋体" w:hAnsi="宋体"/>
          <w:color w:val="auto"/>
          <w:sz w:val="24"/>
          <w:highlight w:val="none"/>
        </w:rPr>
        <w:t>见《供应商须知资料表》。</w:t>
      </w:r>
    </w:p>
    <w:p w14:paraId="6B28A3CD">
      <w:pPr>
        <w:numPr>
          <w:ilvl w:val="0"/>
          <w:numId w:val="1"/>
        </w:numPr>
        <w:tabs>
          <w:tab w:val="left" w:pos="360"/>
        </w:tabs>
        <w:snapToGrid w:val="0"/>
        <w:spacing w:line="360" w:lineRule="auto"/>
        <w:ind w:left="357" w:hanging="357"/>
        <w:outlineLvl w:val="2"/>
        <w:rPr>
          <w:rFonts w:hint="eastAsia" w:ascii="宋体" w:hAnsi="宋体"/>
          <w:color w:val="auto"/>
          <w:sz w:val="24"/>
          <w:highlight w:val="none"/>
        </w:rPr>
      </w:pPr>
      <w:bookmarkStart w:id="306" w:name="_Toc151193707"/>
      <w:bookmarkStart w:id="307" w:name="_Toc151193779"/>
      <w:bookmarkStart w:id="308" w:name="_Toc164608651"/>
      <w:bookmarkStart w:id="309" w:name="_Toc164229232"/>
      <w:bookmarkStart w:id="310" w:name="_Toc305158879"/>
      <w:bookmarkStart w:id="311" w:name="_Toc151193635"/>
      <w:bookmarkStart w:id="312" w:name="_Toc164229378"/>
      <w:bookmarkStart w:id="313" w:name="_Toc164608806"/>
      <w:bookmarkStart w:id="314" w:name="_Toc150774637"/>
      <w:bookmarkStart w:id="315" w:name="_Toc127151537"/>
      <w:bookmarkStart w:id="316" w:name="_Toc520356162"/>
      <w:bookmarkStart w:id="317" w:name="_Toc265228375"/>
      <w:bookmarkStart w:id="318" w:name="_Toc195842902"/>
      <w:bookmarkStart w:id="319" w:name="_Toc164351631"/>
      <w:bookmarkStart w:id="320" w:name="_Toc226965810"/>
      <w:bookmarkStart w:id="321" w:name="_Toc150480775"/>
      <w:bookmarkStart w:id="322" w:name="_Toc151193925"/>
      <w:bookmarkStart w:id="323" w:name="_Toc264969227"/>
      <w:bookmarkStart w:id="324" w:name="_Toc150774742"/>
      <w:bookmarkStart w:id="325" w:name="_Toc226965727"/>
      <w:bookmarkStart w:id="326" w:name="_Toc150509288"/>
      <w:bookmarkStart w:id="327" w:name="_Toc226337233"/>
      <w:bookmarkStart w:id="328" w:name="_Toc151193851"/>
      <w:bookmarkStart w:id="329" w:name="_Toc149720830"/>
      <w:bookmarkStart w:id="330" w:name="_Toc226309781"/>
      <w:bookmarkStart w:id="331" w:name="_Toc127151738"/>
      <w:bookmarkStart w:id="332" w:name="_Toc127161451"/>
      <w:bookmarkStart w:id="333" w:name="_Toc151190164"/>
      <w:bookmarkStart w:id="334" w:name="_Toc142311039"/>
      <w:bookmarkStart w:id="335" w:name="_Toc305158805"/>
      <w:r>
        <w:rPr>
          <w:rFonts w:ascii="宋体" w:hAnsi="宋体"/>
          <w:color w:val="auto"/>
          <w:sz w:val="24"/>
          <w:highlight w:val="none"/>
        </w:rPr>
        <w:t>响应文件的修改与撤回</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14:paraId="3816C267">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提交响应文件截止时间前，供应商可以对所提交的响应文件进行补充、修改或者撤回。</w:t>
      </w:r>
    </w:p>
    <w:p w14:paraId="3E0C6E17">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供应商对响应文件的补充、修改的内容应当按照竞争性磋商文件要求签署、盖章，作为响应文件的组成部分。</w:t>
      </w:r>
      <w:r>
        <w:rPr>
          <w:rFonts w:ascii="宋体" w:hAnsi="宋体"/>
          <w:color w:val="auto"/>
          <w:kern w:val="0"/>
          <w:sz w:val="24"/>
          <w:highlight w:val="none"/>
        </w:rPr>
        <w:t>补充、修改的内容与响应文件不一致的，以补充、修改的内容为准。</w:t>
      </w:r>
    </w:p>
    <w:p w14:paraId="7C165F69">
      <w:pPr>
        <w:jc w:val="center"/>
        <w:outlineLvl w:val="1"/>
        <w:rPr>
          <w:rFonts w:hint="eastAsia" w:ascii="宋体" w:hAnsi="宋体"/>
          <w:b/>
          <w:bCs/>
          <w:color w:val="auto"/>
          <w:sz w:val="28"/>
          <w:szCs w:val="36"/>
          <w:highlight w:val="none"/>
        </w:rPr>
      </w:pPr>
      <w:bookmarkStart w:id="336" w:name="_Toc520356163"/>
      <w:bookmarkStart w:id="337" w:name="_Toc195842903"/>
      <w:bookmarkStart w:id="338" w:name="_Toc150774743"/>
      <w:bookmarkStart w:id="339" w:name="_Toc150480776"/>
      <w:bookmarkStart w:id="340" w:name="_Toc305158880"/>
      <w:bookmarkStart w:id="341" w:name="_Toc150774638"/>
      <w:bookmarkStart w:id="342" w:name="_Toc127151538"/>
      <w:bookmarkStart w:id="343" w:name="_Toc226337234"/>
      <w:bookmarkStart w:id="344" w:name="_Toc151193708"/>
      <w:bookmarkStart w:id="345" w:name="_Toc151193780"/>
      <w:bookmarkStart w:id="346" w:name="_Toc265228376"/>
      <w:bookmarkStart w:id="347" w:name="_Toc151193852"/>
      <w:bookmarkStart w:id="348" w:name="_Toc151190165"/>
      <w:bookmarkStart w:id="349" w:name="_Toc226309782"/>
      <w:bookmarkStart w:id="350" w:name="_Toc226965811"/>
      <w:bookmarkStart w:id="351" w:name="_Toc151193926"/>
      <w:bookmarkStart w:id="352" w:name="_Toc151193636"/>
      <w:bookmarkStart w:id="353" w:name="_Toc264969228"/>
      <w:bookmarkStart w:id="354" w:name="_Toc305158806"/>
      <w:bookmarkStart w:id="355" w:name="_Toc226965728"/>
      <w:bookmarkStart w:id="356" w:name="_Toc142311040"/>
      <w:bookmarkStart w:id="357" w:name="_Toc150509289"/>
      <w:r>
        <w:rPr>
          <w:rFonts w:ascii="宋体" w:hAnsi="宋体"/>
          <w:b/>
          <w:bCs/>
          <w:color w:val="auto"/>
          <w:sz w:val="28"/>
          <w:szCs w:val="36"/>
          <w:highlight w:val="none"/>
        </w:rPr>
        <w:t xml:space="preserve">五   </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r>
        <w:rPr>
          <w:rFonts w:ascii="宋体" w:hAnsi="宋体"/>
          <w:b/>
          <w:bCs/>
          <w:color w:val="auto"/>
          <w:sz w:val="28"/>
          <w:szCs w:val="36"/>
          <w:highlight w:val="none"/>
        </w:rPr>
        <w:t>响应文件的开启</w:t>
      </w:r>
      <w:r>
        <w:rPr>
          <w:rFonts w:hint="eastAsia" w:ascii="宋体" w:hAnsi="宋体"/>
          <w:b/>
          <w:bCs/>
          <w:color w:val="auto"/>
          <w:sz w:val="28"/>
          <w:szCs w:val="36"/>
          <w:highlight w:val="none"/>
        </w:rPr>
        <w:t>、</w:t>
      </w:r>
      <w:r>
        <w:rPr>
          <w:rFonts w:ascii="宋体" w:hAnsi="宋体"/>
          <w:b/>
          <w:bCs/>
          <w:color w:val="auto"/>
          <w:sz w:val="28"/>
          <w:szCs w:val="36"/>
          <w:highlight w:val="none"/>
        </w:rPr>
        <w:t>评审</w:t>
      </w:r>
    </w:p>
    <w:p w14:paraId="546D976C">
      <w:pPr>
        <w:numPr>
          <w:ilvl w:val="0"/>
          <w:numId w:val="1"/>
        </w:numPr>
        <w:tabs>
          <w:tab w:val="left" w:pos="360"/>
        </w:tabs>
        <w:snapToGrid w:val="0"/>
        <w:spacing w:line="360" w:lineRule="auto"/>
        <w:ind w:left="357" w:hanging="357"/>
        <w:outlineLvl w:val="2"/>
        <w:rPr>
          <w:rFonts w:hint="eastAsia" w:ascii="宋体" w:hAnsi="宋体"/>
          <w:color w:val="auto"/>
          <w:sz w:val="24"/>
          <w:highlight w:val="none"/>
        </w:rPr>
      </w:pPr>
      <w:r>
        <w:rPr>
          <w:rFonts w:ascii="宋体" w:hAnsi="宋体"/>
          <w:color w:val="auto"/>
          <w:sz w:val="24"/>
          <w:highlight w:val="none"/>
        </w:rPr>
        <w:t>响应文件的</w:t>
      </w:r>
      <w:r>
        <w:rPr>
          <w:rFonts w:hint="eastAsia" w:ascii="宋体" w:hAnsi="宋体"/>
          <w:color w:val="auto"/>
          <w:sz w:val="24"/>
          <w:highlight w:val="none"/>
        </w:rPr>
        <w:t>解密与</w:t>
      </w:r>
      <w:r>
        <w:rPr>
          <w:rFonts w:ascii="宋体" w:hAnsi="宋体"/>
          <w:color w:val="auto"/>
          <w:sz w:val="24"/>
          <w:highlight w:val="none"/>
        </w:rPr>
        <w:t>开启</w:t>
      </w:r>
    </w:p>
    <w:p w14:paraId="0CF81FC6">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采购人或采购代理机构将按竞争性磋商文件的规定，在响应文件提交截止时间的同一时间和竞争性磋商文件预先确定的地点开启响应文件。</w:t>
      </w:r>
    </w:p>
    <w:p w14:paraId="73237C1E">
      <w:pPr>
        <w:numPr>
          <w:ilvl w:val="1"/>
          <w:numId w:val="1"/>
        </w:numPr>
        <w:tabs>
          <w:tab w:val="left" w:pos="1080"/>
          <w:tab w:val="left" w:pos="2014"/>
        </w:tabs>
        <w:snapToGrid w:val="0"/>
        <w:spacing w:line="360" w:lineRule="auto"/>
        <w:ind w:left="1077" w:hanging="720"/>
        <w:rPr>
          <w:rFonts w:hint="eastAsia" w:ascii="宋体" w:hAnsi="宋体"/>
          <w:b/>
          <w:bCs/>
          <w:color w:val="auto"/>
          <w:sz w:val="24"/>
          <w:highlight w:val="none"/>
        </w:rPr>
      </w:pPr>
      <w:r>
        <w:rPr>
          <w:rFonts w:hint="eastAsia" w:ascii="宋体" w:hAnsi="宋体"/>
          <w:color w:val="auto"/>
          <w:sz w:val="24"/>
          <w:highlight w:val="none"/>
        </w:rPr>
        <w:t>开启时邀请所有供应商代表、采购代表人和有关方面代表参加。参加开标的代表应签名报到以证明其出席，并由供应商代表对开标记录进行签字确认。各供应商参加开标会的人数为1人。参与开标人员须配合开标现场工作人员进行体温监测和人员信息登记。对于有发烧、发热、干咳等症状以及不符合防控管理要求的人员，不得进入开标现场。参加开标的人员自觉做好个人防护，佩戴口罩，听从工作人员的引导。</w:t>
      </w:r>
    </w:p>
    <w:p w14:paraId="66FAE274">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310EAD78">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供应商不足3家的，不予</w:t>
      </w:r>
      <w:r>
        <w:rPr>
          <w:rFonts w:hint="eastAsia" w:ascii="宋体" w:hAnsi="宋体"/>
          <w:color w:val="auto"/>
          <w:sz w:val="24"/>
          <w:highlight w:val="none"/>
        </w:rPr>
        <w:t>开启</w:t>
      </w:r>
      <w:r>
        <w:rPr>
          <w:rFonts w:ascii="宋体" w:hAnsi="宋体"/>
          <w:color w:val="auto"/>
          <w:sz w:val="24"/>
          <w:highlight w:val="none"/>
        </w:rPr>
        <w:t>。</w:t>
      </w:r>
    </w:p>
    <w:p w14:paraId="2B5F7018">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bookmarkStart w:id="358" w:name="_Toc520356165"/>
      <w:r>
        <w:rPr>
          <w:rFonts w:ascii="宋体" w:hAnsi="宋体"/>
          <w:color w:val="auto"/>
          <w:sz w:val="24"/>
          <w:highlight w:val="none"/>
        </w:rPr>
        <w:t>本项目不公开报价。</w:t>
      </w:r>
    </w:p>
    <w:bookmarkEnd w:id="358"/>
    <w:p w14:paraId="74E9E81F">
      <w:pPr>
        <w:numPr>
          <w:ilvl w:val="0"/>
          <w:numId w:val="1"/>
        </w:numPr>
        <w:tabs>
          <w:tab w:val="left" w:pos="360"/>
        </w:tabs>
        <w:snapToGrid w:val="0"/>
        <w:spacing w:line="360" w:lineRule="auto"/>
        <w:ind w:left="357" w:hanging="357"/>
        <w:outlineLvl w:val="2"/>
        <w:rPr>
          <w:rFonts w:hint="eastAsia" w:ascii="宋体" w:hAnsi="宋体"/>
          <w:color w:val="auto"/>
          <w:sz w:val="24"/>
          <w:highlight w:val="none"/>
        </w:rPr>
      </w:pPr>
      <w:r>
        <w:rPr>
          <w:rFonts w:ascii="宋体" w:hAnsi="宋体"/>
          <w:color w:val="auto"/>
          <w:sz w:val="24"/>
          <w:highlight w:val="none"/>
        </w:rPr>
        <w:t>磋商小组</w:t>
      </w:r>
    </w:p>
    <w:p w14:paraId="252B08A8">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hint="eastAsia" w:ascii="宋体" w:hAnsi="宋体"/>
          <w:color w:val="auto"/>
          <w:sz w:val="24"/>
          <w:highlight w:val="none"/>
        </w:rPr>
        <w:t>磋商小组根据政府采购有关规定和本次采购项目的特点进行组建，并负责具体评审事务，独立履行职责。本项目在北京市专家库共抽取三位专家评审本项目</w:t>
      </w:r>
      <w:r>
        <w:rPr>
          <w:rFonts w:ascii="宋体" w:hAnsi="宋体"/>
          <w:color w:val="auto"/>
          <w:sz w:val="24"/>
          <w:highlight w:val="none"/>
        </w:rPr>
        <w:t>。</w:t>
      </w:r>
      <w:bookmarkStart w:id="359" w:name="_Toc520356166"/>
    </w:p>
    <w:p w14:paraId="33CA76A5">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359"/>
      <w:bookmarkStart w:id="360" w:name="_Toc520356169"/>
    </w:p>
    <w:p w14:paraId="61B69C41">
      <w:pPr>
        <w:numPr>
          <w:ilvl w:val="0"/>
          <w:numId w:val="1"/>
        </w:numPr>
        <w:tabs>
          <w:tab w:val="left" w:pos="360"/>
        </w:tabs>
        <w:snapToGrid w:val="0"/>
        <w:spacing w:line="360" w:lineRule="auto"/>
        <w:ind w:left="902" w:hanging="902"/>
        <w:outlineLvl w:val="2"/>
        <w:rPr>
          <w:rFonts w:hint="eastAsia" w:ascii="宋体" w:hAnsi="宋体"/>
          <w:color w:val="auto"/>
          <w:sz w:val="24"/>
          <w:highlight w:val="none"/>
        </w:rPr>
      </w:pPr>
      <w:r>
        <w:rPr>
          <w:rFonts w:ascii="宋体" w:hAnsi="宋体"/>
          <w:color w:val="auto"/>
          <w:sz w:val="24"/>
          <w:highlight w:val="none"/>
        </w:rPr>
        <w:t>评审方法和评审标准</w:t>
      </w:r>
    </w:p>
    <w:p w14:paraId="550D43BC">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见第</w:t>
      </w:r>
      <w:r>
        <w:rPr>
          <w:rFonts w:hint="eastAsia" w:ascii="宋体" w:hAnsi="宋体"/>
          <w:color w:val="auto"/>
          <w:sz w:val="24"/>
          <w:highlight w:val="none"/>
        </w:rPr>
        <w:t>五</w:t>
      </w:r>
      <w:r>
        <w:rPr>
          <w:rFonts w:ascii="宋体" w:hAnsi="宋体"/>
          <w:color w:val="auto"/>
          <w:sz w:val="24"/>
          <w:highlight w:val="none"/>
        </w:rPr>
        <w:t>章《评审方法和评审标准》。</w:t>
      </w:r>
    </w:p>
    <w:p w14:paraId="7C2DAFD7">
      <w:pPr>
        <w:jc w:val="center"/>
        <w:outlineLvl w:val="1"/>
        <w:rPr>
          <w:rFonts w:hint="eastAsia" w:ascii="宋体" w:hAnsi="宋体"/>
          <w:b/>
          <w:bCs/>
          <w:color w:val="auto"/>
          <w:sz w:val="28"/>
          <w:szCs w:val="36"/>
          <w:highlight w:val="none"/>
        </w:rPr>
      </w:pPr>
      <w:bookmarkStart w:id="361" w:name="_Toc151193859"/>
      <w:bookmarkStart w:id="362" w:name="_Toc142311047"/>
      <w:bookmarkStart w:id="363" w:name="_Toc151193933"/>
      <w:bookmarkStart w:id="364" w:name="_Toc150774750"/>
      <w:bookmarkStart w:id="365" w:name="_Toc264969235"/>
      <w:bookmarkStart w:id="366" w:name="_Toc150480783"/>
      <w:bookmarkStart w:id="367" w:name="_Toc305158887"/>
      <w:bookmarkStart w:id="368" w:name="_Toc226337241"/>
      <w:bookmarkStart w:id="369" w:name="_Toc150509296"/>
      <w:bookmarkStart w:id="370" w:name="_Toc127151545"/>
      <w:bookmarkStart w:id="371" w:name="_Toc226965818"/>
      <w:bookmarkStart w:id="372" w:name="_Toc151193787"/>
      <w:bookmarkStart w:id="373" w:name="_Toc151193643"/>
      <w:bookmarkStart w:id="374" w:name="_Toc305158813"/>
      <w:bookmarkStart w:id="375" w:name="_Toc265228383"/>
      <w:bookmarkStart w:id="376" w:name="_Toc226309789"/>
      <w:bookmarkStart w:id="377" w:name="_Toc226965735"/>
      <w:bookmarkStart w:id="378" w:name="_Toc195842910"/>
      <w:bookmarkStart w:id="379" w:name="_Toc151190172"/>
      <w:bookmarkStart w:id="380" w:name="_Toc150774645"/>
      <w:bookmarkStart w:id="381" w:name="_Toc151193715"/>
      <w:r>
        <w:rPr>
          <w:rFonts w:ascii="宋体" w:hAnsi="宋体"/>
          <w:b/>
          <w:bCs/>
          <w:color w:val="auto"/>
          <w:sz w:val="28"/>
          <w:szCs w:val="36"/>
          <w:highlight w:val="none"/>
        </w:rPr>
        <w:t xml:space="preserve">六   </w:t>
      </w:r>
      <w:bookmarkEnd w:id="360"/>
      <w:r>
        <w:rPr>
          <w:rFonts w:ascii="宋体" w:hAnsi="宋体"/>
          <w:b/>
          <w:bCs/>
          <w:color w:val="auto"/>
          <w:sz w:val="28"/>
          <w:szCs w:val="36"/>
          <w:highlight w:val="none"/>
        </w:rPr>
        <w:t>确定</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r>
        <w:rPr>
          <w:rFonts w:ascii="宋体" w:hAnsi="宋体"/>
          <w:b/>
          <w:bCs/>
          <w:color w:val="auto"/>
          <w:sz w:val="28"/>
          <w:szCs w:val="36"/>
          <w:highlight w:val="none"/>
        </w:rPr>
        <w:t>成交</w:t>
      </w:r>
    </w:p>
    <w:p w14:paraId="6CBA6770">
      <w:pPr>
        <w:numPr>
          <w:ilvl w:val="0"/>
          <w:numId w:val="1"/>
        </w:numPr>
        <w:tabs>
          <w:tab w:val="left" w:pos="360"/>
        </w:tabs>
        <w:snapToGrid w:val="0"/>
        <w:spacing w:line="360" w:lineRule="auto"/>
        <w:ind w:left="357" w:hanging="357"/>
        <w:outlineLvl w:val="2"/>
        <w:rPr>
          <w:rFonts w:hint="eastAsia" w:ascii="宋体" w:hAnsi="宋体"/>
          <w:color w:val="auto"/>
          <w:sz w:val="24"/>
          <w:highlight w:val="none"/>
        </w:rPr>
      </w:pPr>
      <w:bookmarkStart w:id="382" w:name="_Toc226309791"/>
      <w:bookmarkStart w:id="383" w:name="_Toc264969237"/>
      <w:bookmarkStart w:id="384" w:name="_Toc265228385"/>
      <w:bookmarkStart w:id="385" w:name="_Toc305158889"/>
      <w:bookmarkStart w:id="386" w:name="_Toc150509298"/>
      <w:bookmarkStart w:id="387" w:name="_Toc150774647"/>
      <w:bookmarkStart w:id="388" w:name="_Toc164229242"/>
      <w:bookmarkStart w:id="389" w:name="_Toc164608661"/>
      <w:bookmarkStart w:id="390" w:name="_Toc151193861"/>
      <w:bookmarkStart w:id="391" w:name="_Toc195842912"/>
      <w:bookmarkStart w:id="392" w:name="_Toc150774752"/>
      <w:bookmarkStart w:id="393" w:name="_Toc151193645"/>
      <w:bookmarkStart w:id="394" w:name="_Toc151193717"/>
      <w:bookmarkStart w:id="395" w:name="_Toc226965737"/>
      <w:bookmarkStart w:id="396" w:name="_Toc127151547"/>
      <w:bookmarkStart w:id="397" w:name="_Toc127151748"/>
      <w:bookmarkStart w:id="398" w:name="_Toc164229388"/>
      <w:bookmarkStart w:id="399" w:name="_Toc151193789"/>
      <w:bookmarkStart w:id="400" w:name="_Toc142311049"/>
      <w:bookmarkStart w:id="401" w:name="_Toc150480785"/>
      <w:bookmarkStart w:id="402" w:name="_Toc151190174"/>
      <w:bookmarkStart w:id="403" w:name="_Toc127161461"/>
      <w:bookmarkStart w:id="404" w:name="_Toc151193935"/>
      <w:bookmarkStart w:id="405" w:name="_Toc226965820"/>
      <w:bookmarkStart w:id="406" w:name="_Toc305158815"/>
      <w:bookmarkStart w:id="407" w:name="_Toc164608816"/>
      <w:bookmarkStart w:id="408" w:name="_Toc164351641"/>
      <w:bookmarkStart w:id="409" w:name="_Toc149720840"/>
      <w:bookmarkStart w:id="410" w:name="_Toc226337243"/>
      <w:r>
        <w:rPr>
          <w:rFonts w:ascii="宋体" w:hAnsi="宋体"/>
          <w:color w:val="auto"/>
          <w:sz w:val="24"/>
          <w:highlight w:val="none"/>
        </w:rPr>
        <w:t>确定成交供应商</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14:paraId="2004514C">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采购人将在收到评审报告后，从评审报告提出的成交候选供应商中，按照排序由高到低的原则确定成交供应商</w:t>
      </w:r>
      <w:r>
        <w:rPr>
          <w:rFonts w:hint="eastAsia" w:ascii="宋体" w:hAnsi="宋体"/>
          <w:color w:val="auto"/>
          <w:sz w:val="24"/>
          <w:highlight w:val="none"/>
        </w:rPr>
        <w:t>。</w:t>
      </w:r>
      <w:r>
        <w:rPr>
          <w:rFonts w:ascii="宋体" w:hAnsi="宋体"/>
          <w:color w:val="auto"/>
          <w:sz w:val="24"/>
          <w:highlight w:val="none"/>
        </w:rPr>
        <w:t>采购人是否授权</w:t>
      </w:r>
      <w:r>
        <w:rPr>
          <w:rFonts w:hint="eastAsia" w:ascii="宋体" w:hAnsi="宋体"/>
          <w:color w:val="auto"/>
          <w:sz w:val="24"/>
          <w:highlight w:val="none"/>
        </w:rPr>
        <w:t>磋商</w:t>
      </w:r>
      <w:r>
        <w:rPr>
          <w:rFonts w:ascii="宋体" w:hAnsi="宋体"/>
          <w:color w:val="auto"/>
          <w:sz w:val="24"/>
          <w:highlight w:val="none"/>
        </w:rPr>
        <w:t>小组直接确定成交供应商，见《供应商须知资料表》。成交候选人并列的，按照《供应商须知资料表》要求确定成交供应商。</w:t>
      </w:r>
    </w:p>
    <w:p w14:paraId="72E5DBB8">
      <w:pPr>
        <w:numPr>
          <w:ilvl w:val="0"/>
          <w:numId w:val="1"/>
        </w:numPr>
        <w:tabs>
          <w:tab w:val="left" w:pos="360"/>
        </w:tabs>
        <w:snapToGrid w:val="0"/>
        <w:spacing w:line="360" w:lineRule="auto"/>
        <w:ind w:left="357" w:hanging="357"/>
        <w:outlineLvl w:val="2"/>
        <w:rPr>
          <w:rFonts w:hint="eastAsia" w:ascii="宋体" w:hAnsi="宋体"/>
          <w:color w:val="auto"/>
          <w:sz w:val="24"/>
          <w:highlight w:val="none"/>
        </w:rPr>
      </w:pPr>
      <w:bookmarkStart w:id="411" w:name="_Toc305158817"/>
      <w:bookmarkStart w:id="412" w:name="_Toc305158891"/>
      <w:bookmarkStart w:id="413" w:name="_Toc164608663"/>
      <w:bookmarkStart w:id="414" w:name="_Toc151193791"/>
      <w:bookmarkStart w:id="415" w:name="_Toc150774649"/>
      <w:bookmarkStart w:id="416" w:name="_Toc142311051"/>
      <w:bookmarkStart w:id="417" w:name="_Toc151193647"/>
      <w:bookmarkStart w:id="418" w:name="_Toc226965739"/>
      <w:bookmarkStart w:id="419" w:name="_Toc164608818"/>
      <w:bookmarkStart w:id="420" w:name="_Toc195842914"/>
      <w:bookmarkStart w:id="421" w:name="_Toc164229244"/>
      <w:bookmarkStart w:id="422" w:name="_Toc226337245"/>
      <w:bookmarkStart w:id="423" w:name="_Toc127161463"/>
      <w:bookmarkStart w:id="424" w:name="_Toc151190176"/>
      <w:bookmarkStart w:id="425" w:name="_Toc264969239"/>
      <w:bookmarkStart w:id="426" w:name="_Toc226965822"/>
      <w:bookmarkStart w:id="427" w:name="_Toc150480787"/>
      <w:bookmarkStart w:id="428" w:name="_Toc164351643"/>
      <w:bookmarkStart w:id="429" w:name="_Toc265228387"/>
      <w:bookmarkStart w:id="430" w:name="_Toc127151750"/>
      <w:bookmarkStart w:id="431" w:name="_Toc151193719"/>
      <w:bookmarkStart w:id="432" w:name="_Toc150509300"/>
      <w:bookmarkStart w:id="433" w:name="_Toc151193863"/>
      <w:bookmarkStart w:id="434" w:name="_Toc149720842"/>
      <w:bookmarkStart w:id="435" w:name="_Toc164229390"/>
      <w:bookmarkStart w:id="436" w:name="_Toc226309793"/>
      <w:bookmarkStart w:id="437" w:name="_Toc127151549"/>
      <w:bookmarkStart w:id="438" w:name="_Toc150774754"/>
      <w:bookmarkStart w:id="439" w:name="_Toc151193937"/>
      <w:bookmarkStart w:id="440" w:name="_Ref467307090"/>
      <w:bookmarkStart w:id="441" w:name="_Ref467306425"/>
      <w:bookmarkStart w:id="442" w:name="_Toc520356176"/>
      <w:r>
        <w:rPr>
          <w:rFonts w:ascii="宋体" w:hAnsi="宋体"/>
          <w:color w:val="auto"/>
          <w:sz w:val="24"/>
          <w:highlight w:val="none"/>
        </w:rPr>
        <w:t>成交公告与成交通知书</w:t>
      </w:r>
      <w:bookmarkEnd w:id="411"/>
      <w:bookmarkEnd w:id="412"/>
    </w:p>
    <w:p w14:paraId="42D98AC7">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采购人或采购代理机构将</w:t>
      </w:r>
      <w:r>
        <w:rPr>
          <w:rFonts w:ascii="宋体" w:hAnsi="宋体"/>
          <w:color w:val="auto"/>
          <w:kern w:val="0"/>
          <w:sz w:val="24"/>
          <w:highlight w:val="none"/>
        </w:rPr>
        <w:t>在成交供应商确定后2个工作日内，在</w:t>
      </w:r>
      <w:r>
        <w:rPr>
          <w:rFonts w:hint="eastAsia" w:ascii="宋体" w:hAnsi="宋体"/>
          <w:color w:val="auto"/>
          <w:sz w:val="24"/>
          <w:highlight w:val="none"/>
        </w:rPr>
        <w:t>北京市政府采购网</w:t>
      </w:r>
      <w:r>
        <w:rPr>
          <w:rFonts w:ascii="宋体" w:hAnsi="宋体"/>
          <w:color w:val="auto"/>
          <w:kern w:val="0"/>
          <w:sz w:val="24"/>
          <w:highlight w:val="none"/>
        </w:rPr>
        <w:t>公告成交结果，同时向成交供应商发出成交通知书，</w:t>
      </w:r>
      <w:r>
        <w:rPr>
          <w:rFonts w:ascii="宋体" w:hAnsi="宋体"/>
          <w:color w:val="auto"/>
          <w:sz w:val="24"/>
          <w:highlight w:val="none"/>
        </w:rPr>
        <w:t>成交公告期限为1个工作日。</w:t>
      </w:r>
    </w:p>
    <w:p w14:paraId="557F61D4">
      <w:pPr>
        <w:numPr>
          <w:ilvl w:val="1"/>
          <w:numId w:val="1"/>
        </w:numPr>
        <w:tabs>
          <w:tab w:val="left" w:pos="1080"/>
          <w:tab w:val="left" w:pos="2014"/>
        </w:tabs>
        <w:snapToGrid w:val="0"/>
        <w:spacing w:line="360" w:lineRule="auto"/>
        <w:ind w:left="1080" w:hanging="720"/>
        <w:rPr>
          <w:rFonts w:hint="eastAsia" w:ascii="宋体" w:hAnsi="宋体"/>
          <w:color w:val="auto"/>
          <w:sz w:val="24"/>
          <w:highlight w:val="none"/>
        </w:rPr>
      </w:pPr>
      <w:r>
        <w:rPr>
          <w:rFonts w:ascii="宋体" w:hAnsi="宋体"/>
          <w:color w:val="auto"/>
          <w:sz w:val="24"/>
          <w:highlight w:val="none"/>
        </w:rPr>
        <w:t>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olor w:val="auto"/>
          <w:sz w:val="24"/>
          <w:highlight w:val="none"/>
        </w:rPr>
        <w:t>。</w:t>
      </w:r>
    </w:p>
    <w:p w14:paraId="653C17EB">
      <w:pPr>
        <w:numPr>
          <w:ilvl w:val="0"/>
          <w:numId w:val="1"/>
        </w:numPr>
        <w:tabs>
          <w:tab w:val="left" w:pos="360"/>
        </w:tabs>
        <w:snapToGrid w:val="0"/>
        <w:spacing w:line="360" w:lineRule="auto"/>
        <w:ind w:left="357" w:hanging="357"/>
        <w:outlineLvl w:val="2"/>
        <w:rPr>
          <w:rFonts w:hint="eastAsia" w:ascii="宋体" w:hAnsi="宋体"/>
          <w:color w:val="auto"/>
          <w:sz w:val="24"/>
          <w:highlight w:val="none"/>
        </w:rPr>
      </w:pPr>
      <w:r>
        <w:rPr>
          <w:rFonts w:ascii="宋体" w:hAnsi="宋体"/>
          <w:color w:val="auto"/>
          <w:sz w:val="24"/>
          <w:highlight w:val="none"/>
        </w:rPr>
        <w:t>终止</w:t>
      </w:r>
    </w:p>
    <w:p w14:paraId="567C9422">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在采购中，出现下列情形之一的，采购人或采购代理机构将终止竞争性磋商采购活动，发布项目终止公告并说明原因，重新开展采购活动：</w:t>
      </w:r>
    </w:p>
    <w:p w14:paraId="70201852">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因情况变化，不再符合规定的竞争性磋商采购方式适用情形的；</w:t>
      </w:r>
    </w:p>
    <w:p w14:paraId="1B5CE474">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出现影响采购公正的违法、违规行为的；</w:t>
      </w:r>
    </w:p>
    <w:p w14:paraId="6534C57C">
      <w:pPr>
        <w:numPr>
          <w:ilvl w:val="2"/>
          <w:numId w:val="1"/>
        </w:numPr>
        <w:snapToGrid w:val="0"/>
        <w:spacing w:line="360" w:lineRule="auto"/>
        <w:rPr>
          <w:rFonts w:hint="eastAsia" w:ascii="宋体" w:hAnsi="宋体"/>
          <w:color w:val="auto"/>
          <w:sz w:val="24"/>
          <w:highlight w:val="none"/>
        </w:rPr>
      </w:pPr>
      <w:r>
        <w:rPr>
          <w:rFonts w:ascii="宋体" w:hAnsi="宋体"/>
          <w:snapToGrid w:val="0"/>
          <w:color w:val="auto"/>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p w14:paraId="2FAF9B27">
      <w:pPr>
        <w:numPr>
          <w:ilvl w:val="0"/>
          <w:numId w:val="1"/>
        </w:numPr>
        <w:tabs>
          <w:tab w:val="left" w:pos="360"/>
        </w:tabs>
        <w:snapToGrid w:val="0"/>
        <w:spacing w:line="360" w:lineRule="auto"/>
        <w:ind w:left="357" w:hanging="357"/>
        <w:outlineLvl w:val="2"/>
        <w:rPr>
          <w:rFonts w:hint="eastAsia" w:ascii="宋体" w:hAnsi="宋体"/>
          <w:color w:val="auto"/>
          <w:sz w:val="24"/>
          <w:highlight w:val="none"/>
        </w:rPr>
      </w:pPr>
      <w:bookmarkStart w:id="443" w:name="_Toc127151550"/>
      <w:bookmarkStart w:id="444" w:name="_Toc151193938"/>
      <w:bookmarkStart w:id="445" w:name="_Toc151193648"/>
      <w:bookmarkStart w:id="446" w:name="_Toc149720843"/>
      <w:bookmarkStart w:id="447" w:name="_Ref467306978"/>
      <w:bookmarkStart w:id="448" w:name="_Toc150509301"/>
      <w:bookmarkStart w:id="449" w:name="_Ref467306377"/>
      <w:bookmarkStart w:id="450" w:name="_Toc142311052"/>
      <w:bookmarkStart w:id="451" w:name="_Ref467307204"/>
      <w:bookmarkStart w:id="452" w:name="_Toc151193792"/>
      <w:bookmarkStart w:id="453" w:name="_Toc305158892"/>
      <w:bookmarkStart w:id="454" w:name="_Toc150774650"/>
      <w:bookmarkStart w:id="455" w:name="_Toc265228388"/>
      <w:bookmarkStart w:id="456" w:name="_Toc127151751"/>
      <w:bookmarkStart w:id="457" w:name="_Toc150480788"/>
      <w:bookmarkStart w:id="458" w:name="_Toc164229245"/>
      <w:bookmarkStart w:id="459" w:name="_Toc226965740"/>
      <w:bookmarkStart w:id="460" w:name="_Toc520356175"/>
      <w:bookmarkStart w:id="461" w:name="_Toc164351644"/>
      <w:bookmarkStart w:id="462" w:name="_Toc164608664"/>
      <w:bookmarkStart w:id="463" w:name="_Toc151193864"/>
      <w:bookmarkStart w:id="464" w:name="_Toc226309794"/>
      <w:bookmarkStart w:id="465" w:name="_Toc150774755"/>
      <w:bookmarkStart w:id="466" w:name="_Toc264969240"/>
      <w:bookmarkStart w:id="467" w:name="_Toc195842915"/>
      <w:bookmarkStart w:id="468" w:name="_Toc151193720"/>
      <w:bookmarkStart w:id="469" w:name="_Toc151190177"/>
      <w:bookmarkStart w:id="470" w:name="_Toc127161464"/>
      <w:bookmarkStart w:id="471" w:name="_Toc226965823"/>
      <w:bookmarkStart w:id="472" w:name="_Toc164229391"/>
      <w:bookmarkStart w:id="473" w:name="_Toc305158818"/>
      <w:bookmarkStart w:id="474" w:name="_Toc226337246"/>
      <w:bookmarkStart w:id="475" w:name="_Toc164608819"/>
      <w:bookmarkStart w:id="476" w:name="_Ref467307062"/>
      <w:r>
        <w:rPr>
          <w:rFonts w:ascii="宋体" w:hAnsi="宋体"/>
          <w:color w:val="auto"/>
          <w:sz w:val="24"/>
          <w:highlight w:val="none"/>
        </w:rPr>
        <w:t>签订合同</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14:paraId="3BC44AC6">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采购人与成交供应商将在成交通知书发出之日起30日内，按照磋商文件确定的合同文本以及采购标的、规格型号、采购金额、采购数量、技术和服务要求等事项签订政府采购合同。</w:t>
      </w:r>
    </w:p>
    <w:p w14:paraId="6B3235AB">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756DEF07">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联合体获得成交资格的，联合体各方应当共同与采购人签订合同，就成交项目向采购人承担连带责任。</w:t>
      </w:r>
    </w:p>
    <w:p w14:paraId="1407C43C">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政府采购合同不能转包。</w:t>
      </w:r>
    </w:p>
    <w:p w14:paraId="20315BFE">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采购人允许采用分包方式履行合同的，成交供应商可以依法采取分包方式履行合同。本项目</w:t>
      </w:r>
      <w:r>
        <w:rPr>
          <w:rFonts w:hint="eastAsia" w:ascii="宋体" w:hAnsi="宋体"/>
          <w:color w:val="auto"/>
          <w:sz w:val="24"/>
          <w:highlight w:val="none"/>
        </w:rPr>
        <w:t>是</w:t>
      </w:r>
      <w:r>
        <w:rPr>
          <w:rFonts w:ascii="宋体" w:hAnsi="宋体"/>
          <w:color w:val="auto"/>
          <w:sz w:val="24"/>
          <w:highlight w:val="none"/>
        </w:rPr>
        <w:t>否允许分包，见《供应商须知资料表》。政府采购合同分包履行的，应当在响应文件中载明分包承担主体，分包承担主体应当具备相应资质条件且不得再次分包，</w:t>
      </w:r>
      <w:r>
        <w:rPr>
          <w:rFonts w:ascii="宋体" w:hAnsi="宋体"/>
          <w:b/>
          <w:color w:val="auto"/>
          <w:sz w:val="24"/>
          <w:highlight w:val="none"/>
        </w:rPr>
        <w:t>否则响应无效</w:t>
      </w:r>
      <w:r>
        <w:rPr>
          <w:rFonts w:ascii="宋体" w:hAnsi="宋体"/>
          <w:color w:val="auto"/>
          <w:sz w:val="24"/>
          <w:highlight w:val="none"/>
        </w:rPr>
        <w:t>。成交供应商就采购项目和分包项目向采购人负责，分包供应商就分包项目承担责任。</w:t>
      </w:r>
    </w:p>
    <w:p w14:paraId="07634C46">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hint="eastAsia" w:ascii="宋体" w:hAnsi="宋体"/>
          <w:color w:val="auto"/>
          <w:sz w:val="24"/>
          <w:highlight w:val="none"/>
        </w:rPr>
        <w:t>依据《政府采购促进中小企业发展管理办法》（财库（2020）46号）规定享受扶持政策获得本项目政府采购合同的，小微企业不得将合同分包给大中型企业，中型企业不得将合同分包给大型企业。</w:t>
      </w:r>
    </w:p>
    <w:bookmarkEnd w:id="440"/>
    <w:bookmarkEnd w:id="441"/>
    <w:bookmarkEnd w:id="442"/>
    <w:p w14:paraId="57E4F619">
      <w:pPr>
        <w:numPr>
          <w:ilvl w:val="0"/>
          <w:numId w:val="1"/>
        </w:numPr>
        <w:tabs>
          <w:tab w:val="left" w:pos="360"/>
        </w:tabs>
        <w:snapToGrid w:val="0"/>
        <w:spacing w:line="360" w:lineRule="auto"/>
        <w:ind w:left="357" w:hanging="357"/>
        <w:outlineLvl w:val="2"/>
        <w:rPr>
          <w:rFonts w:hint="eastAsia" w:ascii="宋体" w:hAnsi="宋体"/>
          <w:color w:val="auto"/>
          <w:sz w:val="24"/>
          <w:highlight w:val="none"/>
        </w:rPr>
      </w:pPr>
      <w:r>
        <w:rPr>
          <w:rFonts w:ascii="宋体" w:hAnsi="宋体"/>
          <w:color w:val="auto"/>
          <w:sz w:val="24"/>
          <w:highlight w:val="none"/>
        </w:rPr>
        <w:t>询问与质疑</w:t>
      </w:r>
    </w:p>
    <w:p w14:paraId="0B71D81F">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询问</w:t>
      </w:r>
    </w:p>
    <w:p w14:paraId="455BFA05">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供应商对政府采购活动事项有疑问的，可依法提出询问，并按《供应商须知资料表》载明的形式送达采购人或采购代理机构。</w:t>
      </w:r>
    </w:p>
    <w:p w14:paraId="354AAD4C">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采购人或采购代理机构对供应商依法提出的询问，在3个工作日内作出答复，但答复的内容不得涉及商业秘密。</w:t>
      </w:r>
    </w:p>
    <w:p w14:paraId="6B88F8D3">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质疑</w:t>
      </w:r>
    </w:p>
    <w:p w14:paraId="5C2C2347">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16AA6B51">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质疑函须使用财政部制定的范本文件。</w:t>
      </w:r>
    </w:p>
    <w:p w14:paraId="16448871">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供应商为自然人的，应当由本人签字；供应商为法人或者其他组织的，应当由法定代表人、主要负责人，或者其授权代表签字或者盖章，并加盖公章。</w:t>
      </w:r>
    </w:p>
    <w:p w14:paraId="0AFB3B6E">
      <w:pPr>
        <w:numPr>
          <w:ilvl w:val="2"/>
          <w:numId w:val="1"/>
        </w:numPr>
        <w:snapToGrid w:val="0"/>
        <w:spacing w:line="360" w:lineRule="auto"/>
        <w:rPr>
          <w:rFonts w:hint="eastAsia" w:ascii="宋体" w:hAnsi="宋体"/>
          <w:color w:val="auto"/>
          <w:sz w:val="24"/>
          <w:highlight w:val="none"/>
        </w:rPr>
      </w:pPr>
      <w:r>
        <w:rPr>
          <w:rFonts w:ascii="宋体" w:hAnsi="宋体"/>
          <w:color w:val="auto"/>
          <w:sz w:val="24"/>
          <w:highlight w:val="none"/>
        </w:rPr>
        <w:t>供应商应在法定质疑期内一次性提出针对同一采购程序环节的质疑，法定质疑期内针对同一采购程序环节再次提出的质疑，采购人、采购代理机构有权不予答复。</w:t>
      </w:r>
    </w:p>
    <w:p w14:paraId="4A1B6506">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接收询问和质疑的联系部门、联系电话和通讯地址见《供应商须知资料表》</w:t>
      </w:r>
      <w:r>
        <w:rPr>
          <w:rFonts w:hint="eastAsia" w:ascii="宋体" w:hAnsi="宋体"/>
          <w:color w:val="auto"/>
          <w:sz w:val="24"/>
          <w:highlight w:val="none"/>
        </w:rPr>
        <w:t>。</w:t>
      </w:r>
    </w:p>
    <w:p w14:paraId="14F15C91">
      <w:pPr>
        <w:numPr>
          <w:ilvl w:val="0"/>
          <w:numId w:val="1"/>
        </w:numPr>
        <w:tabs>
          <w:tab w:val="left" w:pos="360"/>
        </w:tabs>
        <w:snapToGrid w:val="0"/>
        <w:spacing w:line="360" w:lineRule="auto"/>
        <w:ind w:left="357" w:hanging="357"/>
        <w:outlineLvl w:val="2"/>
        <w:rPr>
          <w:rFonts w:hint="eastAsia" w:ascii="宋体" w:hAnsi="宋体"/>
          <w:color w:val="auto"/>
          <w:sz w:val="24"/>
          <w:highlight w:val="none"/>
        </w:rPr>
      </w:pPr>
      <w:r>
        <w:rPr>
          <w:rFonts w:ascii="宋体" w:hAnsi="宋体"/>
          <w:color w:val="auto"/>
          <w:sz w:val="24"/>
          <w:highlight w:val="none"/>
        </w:rPr>
        <w:t>代理费</w:t>
      </w:r>
    </w:p>
    <w:p w14:paraId="0D87FC55">
      <w:pPr>
        <w:numPr>
          <w:ilvl w:val="1"/>
          <w:numId w:val="1"/>
        </w:numPr>
        <w:tabs>
          <w:tab w:val="left" w:pos="1080"/>
          <w:tab w:val="left" w:pos="2014"/>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收费对象、收费标准及缴纳时间见《供应商须知资料表》。由成交供应商支付的，成交供应商须一次性向采购代理机构缴纳代理费，报价应包含代理费用。</w:t>
      </w:r>
    </w:p>
    <w:p w14:paraId="22EEF0C3">
      <w:pPr>
        <w:tabs>
          <w:tab w:val="left" w:pos="1080"/>
          <w:tab w:val="left" w:pos="1589"/>
          <w:tab w:val="left" w:pos="2014"/>
        </w:tabs>
        <w:snapToGrid w:val="0"/>
        <w:spacing w:line="360" w:lineRule="auto"/>
        <w:rPr>
          <w:rFonts w:hint="eastAsia" w:ascii="宋体" w:hAnsi="宋体"/>
          <w:color w:val="auto"/>
          <w:sz w:val="24"/>
          <w:highlight w:val="none"/>
        </w:rPr>
      </w:pPr>
    </w:p>
    <w:p w14:paraId="4D6CEE5A">
      <w:pPr>
        <w:tabs>
          <w:tab w:val="left" w:pos="1080"/>
          <w:tab w:val="left" w:pos="1589"/>
          <w:tab w:val="left" w:pos="2014"/>
        </w:tabs>
        <w:snapToGrid w:val="0"/>
        <w:spacing w:line="360" w:lineRule="auto"/>
        <w:rPr>
          <w:rFonts w:hint="eastAsia" w:ascii="宋体" w:hAnsi="宋体"/>
          <w:color w:val="auto"/>
          <w:sz w:val="24"/>
          <w:highlight w:val="none"/>
        </w:rPr>
      </w:pPr>
    </w:p>
    <w:p w14:paraId="5DDEB5B0">
      <w:pPr>
        <w:tabs>
          <w:tab w:val="left" w:pos="1080"/>
          <w:tab w:val="left" w:pos="1589"/>
          <w:tab w:val="left" w:pos="2014"/>
        </w:tabs>
        <w:snapToGrid w:val="0"/>
        <w:spacing w:line="360" w:lineRule="auto"/>
        <w:rPr>
          <w:rFonts w:hint="eastAsia" w:ascii="宋体" w:hAnsi="宋体"/>
          <w:color w:val="auto"/>
          <w:sz w:val="24"/>
          <w:highlight w:val="none"/>
        </w:rPr>
      </w:pPr>
    </w:p>
    <w:p w14:paraId="520537D0">
      <w:pPr>
        <w:tabs>
          <w:tab w:val="left" w:pos="1080"/>
          <w:tab w:val="left" w:pos="1589"/>
          <w:tab w:val="left" w:pos="2014"/>
        </w:tabs>
        <w:snapToGrid w:val="0"/>
        <w:spacing w:line="360" w:lineRule="auto"/>
        <w:rPr>
          <w:rFonts w:hint="eastAsia" w:ascii="宋体" w:hAnsi="宋体"/>
          <w:color w:val="auto"/>
          <w:sz w:val="24"/>
          <w:highlight w:val="none"/>
        </w:rPr>
      </w:pPr>
    </w:p>
    <w:p w14:paraId="7708CC5C">
      <w:pPr>
        <w:spacing w:line="360" w:lineRule="auto"/>
        <w:jc w:val="center"/>
        <w:outlineLvl w:val="0"/>
        <w:rPr>
          <w:rFonts w:hint="eastAsia" w:ascii="宋体" w:hAnsi="宋体"/>
          <w:b/>
          <w:color w:val="auto"/>
          <w:sz w:val="36"/>
          <w:szCs w:val="36"/>
          <w:highlight w:val="none"/>
        </w:rPr>
      </w:pPr>
      <w:bookmarkStart w:id="477" w:name="_Toc353873934"/>
      <w:bookmarkStart w:id="478" w:name="_Toc353873664"/>
      <w:bookmarkStart w:id="479" w:name="_Toc226337250"/>
      <w:bookmarkStart w:id="480" w:name="_Toc265228392"/>
      <w:bookmarkStart w:id="481" w:name="_Toc305158896"/>
      <w:bookmarkStart w:id="482" w:name="_Toc127151554"/>
      <w:bookmarkStart w:id="483" w:name="_Toc150480792"/>
      <w:bookmarkStart w:id="484" w:name="_Toc264969244"/>
      <w:bookmarkStart w:id="485" w:name="_Toc226965827"/>
      <w:bookmarkStart w:id="486" w:name="_Toc150774759"/>
      <w:bookmarkStart w:id="487" w:name="_Toc305158822"/>
      <w:bookmarkStart w:id="488" w:name="_Toc353825544"/>
      <w:bookmarkStart w:id="489" w:name="_Toc142311056"/>
      <w:bookmarkStart w:id="490" w:name="_Toc14971"/>
      <w:bookmarkStart w:id="491" w:name="_Toc103153303"/>
      <w:r>
        <w:rPr>
          <w:rFonts w:ascii="宋体" w:hAnsi="宋体"/>
          <w:b/>
          <w:color w:val="auto"/>
          <w:sz w:val="36"/>
          <w:szCs w:val="36"/>
          <w:highlight w:val="none"/>
        </w:rPr>
        <w:t>第</w:t>
      </w:r>
      <w:r>
        <w:rPr>
          <w:rFonts w:hint="eastAsia" w:ascii="宋体" w:hAnsi="宋体"/>
          <w:b/>
          <w:color w:val="auto"/>
          <w:sz w:val="36"/>
          <w:szCs w:val="36"/>
          <w:highlight w:val="none"/>
        </w:rPr>
        <w:t>三</w:t>
      </w:r>
      <w:r>
        <w:rPr>
          <w:rFonts w:ascii="宋体" w:hAnsi="宋体"/>
          <w:b/>
          <w:color w:val="auto"/>
          <w:sz w:val="36"/>
          <w:szCs w:val="36"/>
          <w:highlight w:val="none"/>
        </w:rPr>
        <w:t xml:space="preserve">章   </w:t>
      </w:r>
      <w:bookmarkEnd w:id="477"/>
      <w:bookmarkEnd w:id="478"/>
      <w:bookmarkEnd w:id="479"/>
      <w:bookmarkEnd w:id="480"/>
      <w:bookmarkEnd w:id="481"/>
      <w:bookmarkEnd w:id="482"/>
      <w:bookmarkEnd w:id="483"/>
      <w:bookmarkEnd w:id="484"/>
      <w:bookmarkEnd w:id="485"/>
      <w:bookmarkEnd w:id="486"/>
      <w:bookmarkEnd w:id="487"/>
      <w:bookmarkEnd w:id="488"/>
      <w:bookmarkEnd w:id="489"/>
      <w:r>
        <w:rPr>
          <w:rFonts w:ascii="宋体" w:hAnsi="宋体"/>
          <w:b/>
          <w:color w:val="auto"/>
          <w:sz w:val="36"/>
          <w:szCs w:val="36"/>
          <w:highlight w:val="none"/>
        </w:rPr>
        <w:t>评审方法和评审标准</w:t>
      </w:r>
      <w:bookmarkEnd w:id="490"/>
      <w:bookmarkEnd w:id="491"/>
      <w:bookmarkStart w:id="492" w:name="_Toc487900382"/>
    </w:p>
    <w:p w14:paraId="50ECDED2">
      <w:pPr>
        <w:jc w:val="center"/>
        <w:outlineLvl w:val="1"/>
        <w:rPr>
          <w:rFonts w:hint="eastAsia" w:ascii="宋体" w:hAnsi="宋体"/>
          <w:b/>
          <w:bCs/>
          <w:color w:val="auto"/>
          <w:sz w:val="28"/>
          <w:szCs w:val="36"/>
          <w:highlight w:val="none"/>
        </w:rPr>
      </w:pPr>
      <w:r>
        <w:rPr>
          <w:rFonts w:ascii="宋体" w:hAnsi="宋体"/>
          <w:b/>
          <w:bCs/>
          <w:color w:val="auto"/>
          <w:sz w:val="28"/>
          <w:szCs w:val="36"/>
          <w:highlight w:val="none"/>
        </w:rPr>
        <w:t>一、资格审查程序</w:t>
      </w:r>
    </w:p>
    <w:bookmarkEnd w:id="492"/>
    <w:p w14:paraId="3997ACF2">
      <w:pPr>
        <w:tabs>
          <w:tab w:val="left" w:pos="360"/>
        </w:tabs>
        <w:snapToGrid w:val="0"/>
        <w:spacing w:line="360" w:lineRule="auto"/>
        <w:ind w:left="902" w:hanging="902"/>
        <w:outlineLvl w:val="2"/>
        <w:rPr>
          <w:rFonts w:hint="eastAsia" w:ascii="宋体" w:hAnsi="宋体"/>
          <w:color w:val="auto"/>
          <w:sz w:val="24"/>
          <w:highlight w:val="none"/>
        </w:rPr>
      </w:pPr>
      <w:bookmarkStart w:id="493" w:name="_Toc151190168"/>
      <w:bookmarkStart w:id="494" w:name="_Toc164229236"/>
      <w:bookmarkStart w:id="495" w:name="_Toc305158883"/>
      <w:bookmarkStart w:id="496" w:name="_Toc151193783"/>
      <w:bookmarkStart w:id="497" w:name="_Toc195842906"/>
      <w:bookmarkStart w:id="498" w:name="_Toc151193929"/>
      <w:bookmarkStart w:id="499" w:name="_Toc226965731"/>
      <w:bookmarkStart w:id="500" w:name="_Toc265228379"/>
      <w:bookmarkStart w:id="501" w:name="_Toc226965814"/>
      <w:bookmarkStart w:id="502" w:name="_Toc150774746"/>
      <w:bookmarkStart w:id="503" w:name="_Toc164608810"/>
      <w:bookmarkStart w:id="504" w:name="_Toc305158809"/>
      <w:bookmarkStart w:id="505" w:name="_Toc127151541"/>
      <w:bookmarkStart w:id="506" w:name="_Toc164229382"/>
      <w:bookmarkStart w:id="507" w:name="_Toc150480779"/>
      <w:bookmarkStart w:id="508" w:name="_Toc226309785"/>
      <w:bookmarkStart w:id="509" w:name="_Toc151193855"/>
      <w:bookmarkStart w:id="510" w:name="_Toc164351635"/>
      <w:bookmarkStart w:id="511" w:name="_Toc226337237"/>
      <w:bookmarkStart w:id="512" w:name="_Toc151193711"/>
      <w:bookmarkStart w:id="513" w:name="_Toc164608655"/>
      <w:bookmarkStart w:id="514" w:name="_Toc127151742"/>
      <w:bookmarkStart w:id="515" w:name="_Toc150774641"/>
      <w:bookmarkStart w:id="516" w:name="_Toc149720834"/>
      <w:bookmarkStart w:id="517" w:name="_Toc127161455"/>
      <w:bookmarkStart w:id="518" w:name="_Toc142311043"/>
      <w:bookmarkStart w:id="519" w:name="_Toc151193639"/>
      <w:bookmarkStart w:id="520" w:name="_Toc264969231"/>
      <w:bookmarkStart w:id="521" w:name="_Toc150509292"/>
      <w:r>
        <w:rPr>
          <w:rFonts w:hint="eastAsia" w:ascii="宋体" w:hAnsi="宋体"/>
          <w:color w:val="auto"/>
          <w:sz w:val="24"/>
          <w:highlight w:val="none"/>
        </w:rPr>
        <w:t>1</w:t>
      </w:r>
      <w:r>
        <w:rPr>
          <w:rFonts w:ascii="宋体" w:hAnsi="宋体"/>
          <w:color w:val="auto"/>
          <w:sz w:val="24"/>
          <w:highlight w:val="none"/>
        </w:rPr>
        <w:t>响应文件的</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r>
        <w:rPr>
          <w:rFonts w:ascii="宋体" w:hAnsi="宋体"/>
          <w:color w:val="auto"/>
          <w:sz w:val="24"/>
          <w:highlight w:val="none"/>
        </w:rPr>
        <w:t>资格性检查和符合性审查</w:t>
      </w:r>
    </w:p>
    <w:p w14:paraId="17AD5799">
      <w:pPr>
        <w:numPr>
          <w:ilvl w:val="1"/>
          <w:numId w:val="0"/>
        </w:numPr>
        <w:tabs>
          <w:tab w:val="left" w:pos="1080"/>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b/>
          <w:color w:val="auto"/>
          <w:sz w:val="24"/>
          <w:highlight w:val="none"/>
        </w:rPr>
        <w:t>无效响应</w:t>
      </w:r>
      <w:r>
        <w:rPr>
          <w:rFonts w:ascii="宋体" w:hAnsi="宋体"/>
          <w:color w:val="auto"/>
          <w:sz w:val="24"/>
          <w:highlight w:val="none"/>
        </w:rPr>
        <w:t>处理，磋商小组应当告知提交响应文件的供应商。</w:t>
      </w:r>
    </w:p>
    <w:p w14:paraId="70EDD270">
      <w:pPr>
        <w:numPr>
          <w:ilvl w:val="1"/>
          <w:numId w:val="0"/>
        </w:numPr>
        <w:tabs>
          <w:tab w:val="left" w:pos="1080"/>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1.2《资格性检查要求》中对格式有要求的，除竞争性磋商文件另有规定外，均为“实质性格式”文件。</w:t>
      </w:r>
    </w:p>
    <w:p w14:paraId="1BB30034">
      <w:pPr>
        <w:numPr>
          <w:ilvl w:val="1"/>
          <w:numId w:val="0"/>
        </w:numPr>
        <w:tabs>
          <w:tab w:val="left" w:pos="1080"/>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1.3《资格性检查要求》见下表：</w:t>
      </w:r>
    </w:p>
    <w:p w14:paraId="7403BA17">
      <w:pPr>
        <w:tabs>
          <w:tab w:val="left" w:pos="900"/>
          <w:tab w:val="left" w:pos="1080"/>
        </w:tabs>
        <w:snapToGrid w:val="0"/>
        <w:spacing w:line="360" w:lineRule="auto"/>
        <w:ind w:left="1077" w:firstLine="2650" w:firstLineChars="1100"/>
        <w:rPr>
          <w:rFonts w:hint="eastAsia" w:ascii="宋体" w:hAnsi="宋体"/>
          <w:b/>
          <w:color w:val="auto"/>
          <w:sz w:val="24"/>
          <w:highlight w:val="none"/>
        </w:rPr>
      </w:pPr>
      <w:r>
        <w:rPr>
          <w:rFonts w:ascii="宋体" w:hAnsi="宋体"/>
          <w:b/>
          <w:color w:val="auto"/>
          <w:sz w:val="24"/>
          <w:highlight w:val="none"/>
        </w:rPr>
        <w:t>资格性检查要求</w:t>
      </w:r>
    </w:p>
    <w:tbl>
      <w:tblPr>
        <w:tblStyle w:val="16"/>
        <w:tblW w:w="89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2"/>
        <w:gridCol w:w="2308"/>
        <w:gridCol w:w="4667"/>
        <w:gridCol w:w="1199"/>
      </w:tblGrid>
      <w:tr w14:paraId="1DF461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tblHeader/>
        </w:trPr>
        <w:tc>
          <w:tcPr>
            <w:tcW w:w="812" w:type="dxa"/>
            <w:vAlign w:val="center"/>
          </w:tcPr>
          <w:p w14:paraId="28F08159">
            <w:pPr>
              <w:tabs>
                <w:tab w:val="left" w:pos="1080"/>
              </w:tabs>
              <w:snapToGrid w:val="0"/>
              <w:jc w:val="center"/>
              <w:rPr>
                <w:rFonts w:hint="eastAsia" w:ascii="宋体" w:hAnsi="宋体"/>
                <w:b/>
                <w:color w:val="auto"/>
                <w:szCs w:val="21"/>
                <w:highlight w:val="none"/>
              </w:rPr>
            </w:pPr>
            <w:bookmarkStart w:id="522" w:name="_Hlt487972895"/>
            <w:bookmarkEnd w:id="522"/>
            <w:r>
              <w:rPr>
                <w:rFonts w:ascii="宋体" w:hAnsi="宋体"/>
                <w:b/>
                <w:color w:val="auto"/>
                <w:szCs w:val="21"/>
                <w:highlight w:val="none"/>
              </w:rPr>
              <w:t>序号</w:t>
            </w:r>
          </w:p>
        </w:tc>
        <w:tc>
          <w:tcPr>
            <w:tcW w:w="2308" w:type="dxa"/>
            <w:vAlign w:val="center"/>
          </w:tcPr>
          <w:p w14:paraId="11911276">
            <w:pPr>
              <w:tabs>
                <w:tab w:val="left" w:pos="1080"/>
              </w:tabs>
              <w:snapToGrid w:val="0"/>
              <w:jc w:val="center"/>
              <w:rPr>
                <w:rFonts w:hint="eastAsia" w:ascii="宋体" w:hAnsi="宋体"/>
                <w:b/>
                <w:color w:val="auto"/>
                <w:szCs w:val="21"/>
                <w:highlight w:val="none"/>
              </w:rPr>
            </w:pPr>
            <w:r>
              <w:rPr>
                <w:rFonts w:ascii="宋体" w:hAnsi="宋体"/>
                <w:b/>
                <w:color w:val="auto"/>
                <w:szCs w:val="21"/>
                <w:highlight w:val="none"/>
              </w:rPr>
              <w:t>检查因素</w:t>
            </w:r>
          </w:p>
        </w:tc>
        <w:tc>
          <w:tcPr>
            <w:tcW w:w="4667" w:type="dxa"/>
            <w:vAlign w:val="center"/>
          </w:tcPr>
          <w:p w14:paraId="797EA597">
            <w:pPr>
              <w:tabs>
                <w:tab w:val="left" w:pos="1080"/>
              </w:tabs>
              <w:snapToGrid w:val="0"/>
              <w:jc w:val="center"/>
              <w:rPr>
                <w:rFonts w:hint="eastAsia" w:ascii="宋体" w:hAnsi="宋体"/>
                <w:b/>
                <w:color w:val="auto"/>
                <w:szCs w:val="21"/>
                <w:highlight w:val="none"/>
              </w:rPr>
            </w:pPr>
            <w:r>
              <w:rPr>
                <w:rFonts w:ascii="宋体" w:hAnsi="宋体"/>
                <w:b/>
                <w:color w:val="auto"/>
                <w:szCs w:val="21"/>
                <w:highlight w:val="none"/>
              </w:rPr>
              <w:t>检查内容</w:t>
            </w:r>
          </w:p>
        </w:tc>
        <w:tc>
          <w:tcPr>
            <w:tcW w:w="1199" w:type="dxa"/>
            <w:vAlign w:val="center"/>
          </w:tcPr>
          <w:p w14:paraId="4603DA16">
            <w:pPr>
              <w:tabs>
                <w:tab w:val="left" w:pos="1080"/>
              </w:tabs>
              <w:snapToGrid w:val="0"/>
              <w:jc w:val="center"/>
              <w:rPr>
                <w:rFonts w:hint="eastAsia" w:ascii="宋体" w:hAnsi="宋体"/>
                <w:b/>
                <w:color w:val="auto"/>
                <w:szCs w:val="21"/>
                <w:highlight w:val="none"/>
              </w:rPr>
            </w:pPr>
            <w:r>
              <w:rPr>
                <w:rFonts w:ascii="宋体" w:hAnsi="宋体"/>
                <w:b/>
                <w:color w:val="auto"/>
                <w:szCs w:val="21"/>
                <w:highlight w:val="none"/>
              </w:rPr>
              <w:t>格式要求</w:t>
            </w:r>
          </w:p>
        </w:tc>
      </w:tr>
      <w:tr w14:paraId="7CA781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trPr>
        <w:tc>
          <w:tcPr>
            <w:tcW w:w="812" w:type="dxa"/>
            <w:vAlign w:val="center"/>
          </w:tcPr>
          <w:p w14:paraId="2E1BB830">
            <w:pPr>
              <w:tabs>
                <w:tab w:val="left" w:pos="1080"/>
              </w:tabs>
              <w:snapToGrid w:val="0"/>
              <w:jc w:val="center"/>
              <w:rPr>
                <w:rFonts w:hint="eastAsia" w:ascii="宋体" w:hAnsi="宋体"/>
                <w:color w:val="auto"/>
                <w:szCs w:val="21"/>
                <w:highlight w:val="none"/>
              </w:rPr>
            </w:pPr>
            <w:r>
              <w:rPr>
                <w:rFonts w:ascii="宋体" w:hAnsi="宋体"/>
                <w:color w:val="auto"/>
                <w:szCs w:val="21"/>
                <w:highlight w:val="none"/>
              </w:rPr>
              <w:t>1</w:t>
            </w:r>
          </w:p>
        </w:tc>
        <w:tc>
          <w:tcPr>
            <w:tcW w:w="2308" w:type="dxa"/>
            <w:vAlign w:val="center"/>
          </w:tcPr>
          <w:p w14:paraId="796DA8E8">
            <w:pPr>
              <w:tabs>
                <w:tab w:val="left" w:pos="1080"/>
              </w:tabs>
              <w:snapToGrid w:val="0"/>
              <w:jc w:val="left"/>
              <w:rPr>
                <w:rFonts w:hint="eastAsia" w:ascii="宋体" w:hAnsi="宋体"/>
                <w:color w:val="auto"/>
                <w:szCs w:val="21"/>
                <w:highlight w:val="none"/>
              </w:rPr>
            </w:pPr>
            <w:r>
              <w:rPr>
                <w:rFonts w:ascii="宋体" w:hAnsi="宋体"/>
                <w:color w:val="auto"/>
                <w:szCs w:val="21"/>
                <w:highlight w:val="none"/>
              </w:rPr>
              <w:t>满足《中华人民共和国政府采购法》第二十二条规定及法律法规的其他规定</w:t>
            </w:r>
          </w:p>
        </w:tc>
        <w:tc>
          <w:tcPr>
            <w:tcW w:w="4667" w:type="dxa"/>
            <w:vAlign w:val="center"/>
          </w:tcPr>
          <w:p w14:paraId="6991C0DF">
            <w:pPr>
              <w:tabs>
                <w:tab w:val="left" w:pos="1080"/>
              </w:tabs>
              <w:snapToGrid w:val="0"/>
              <w:jc w:val="left"/>
              <w:rPr>
                <w:rFonts w:hint="eastAsia" w:ascii="宋体" w:hAnsi="宋体"/>
                <w:color w:val="auto"/>
                <w:szCs w:val="21"/>
                <w:highlight w:val="none"/>
              </w:rPr>
            </w:pPr>
            <w:r>
              <w:rPr>
                <w:rFonts w:ascii="宋体" w:hAnsi="宋体"/>
                <w:color w:val="auto"/>
                <w:szCs w:val="21"/>
                <w:highlight w:val="none"/>
              </w:rPr>
              <w:t>具体规定见第一章《采购邀请》</w:t>
            </w:r>
          </w:p>
        </w:tc>
        <w:tc>
          <w:tcPr>
            <w:tcW w:w="1199" w:type="dxa"/>
            <w:vAlign w:val="center"/>
          </w:tcPr>
          <w:p w14:paraId="2DE05FF0">
            <w:pPr>
              <w:tabs>
                <w:tab w:val="left" w:pos="1080"/>
              </w:tabs>
              <w:snapToGrid w:val="0"/>
              <w:jc w:val="left"/>
              <w:rPr>
                <w:rFonts w:hint="eastAsia" w:ascii="宋体" w:hAnsi="宋体"/>
                <w:color w:val="auto"/>
                <w:szCs w:val="21"/>
                <w:highlight w:val="none"/>
              </w:rPr>
            </w:pPr>
          </w:p>
        </w:tc>
      </w:tr>
      <w:tr w14:paraId="61925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trPr>
        <w:tc>
          <w:tcPr>
            <w:tcW w:w="812" w:type="dxa"/>
            <w:vAlign w:val="center"/>
          </w:tcPr>
          <w:p w14:paraId="25C9EC9C">
            <w:pPr>
              <w:tabs>
                <w:tab w:val="left" w:pos="1080"/>
              </w:tabs>
              <w:snapToGrid w:val="0"/>
              <w:jc w:val="center"/>
              <w:rPr>
                <w:rFonts w:hint="eastAsia" w:ascii="宋体" w:hAnsi="宋体"/>
                <w:color w:val="auto"/>
                <w:szCs w:val="21"/>
                <w:highlight w:val="none"/>
              </w:rPr>
            </w:pPr>
            <w:r>
              <w:rPr>
                <w:rFonts w:ascii="宋体" w:hAnsi="宋体"/>
                <w:color w:val="auto"/>
                <w:szCs w:val="21"/>
                <w:highlight w:val="none"/>
              </w:rPr>
              <w:t>1-1</w:t>
            </w:r>
          </w:p>
        </w:tc>
        <w:tc>
          <w:tcPr>
            <w:tcW w:w="2308" w:type="dxa"/>
            <w:vAlign w:val="center"/>
          </w:tcPr>
          <w:p w14:paraId="43F9DF75">
            <w:pPr>
              <w:tabs>
                <w:tab w:val="left" w:pos="1080"/>
              </w:tabs>
              <w:snapToGrid w:val="0"/>
              <w:jc w:val="left"/>
              <w:rPr>
                <w:rFonts w:hint="eastAsia" w:ascii="宋体" w:hAnsi="宋体"/>
                <w:color w:val="auto"/>
                <w:szCs w:val="21"/>
                <w:highlight w:val="none"/>
              </w:rPr>
            </w:pPr>
            <w:r>
              <w:rPr>
                <w:rFonts w:ascii="宋体" w:hAnsi="宋体"/>
                <w:color w:val="auto"/>
                <w:szCs w:val="21"/>
                <w:highlight w:val="none"/>
              </w:rPr>
              <w:t>营业执照等证明文件</w:t>
            </w:r>
          </w:p>
        </w:tc>
        <w:tc>
          <w:tcPr>
            <w:tcW w:w="4667" w:type="dxa"/>
            <w:vAlign w:val="center"/>
          </w:tcPr>
          <w:p w14:paraId="5AC15BA7">
            <w:pPr>
              <w:tabs>
                <w:tab w:val="left" w:pos="1080"/>
              </w:tabs>
              <w:snapToGrid w:val="0"/>
              <w:jc w:val="left"/>
              <w:rPr>
                <w:rFonts w:hint="eastAsia" w:ascii="宋体" w:hAnsi="宋体"/>
                <w:color w:val="auto"/>
                <w:szCs w:val="21"/>
                <w:highlight w:val="none"/>
              </w:rPr>
            </w:pPr>
            <w:r>
              <w:rPr>
                <w:rFonts w:ascii="宋体" w:hAnsi="宋体"/>
                <w:color w:val="auto"/>
                <w:szCs w:val="21"/>
                <w:highlight w:val="none"/>
              </w:rPr>
              <w:t>供应商为企业（包括合伙企业）的，应提供有效的“营业执照”；</w:t>
            </w:r>
          </w:p>
          <w:p w14:paraId="6F3296D0">
            <w:pPr>
              <w:tabs>
                <w:tab w:val="left" w:pos="1080"/>
              </w:tabs>
              <w:snapToGrid w:val="0"/>
              <w:jc w:val="left"/>
              <w:rPr>
                <w:rFonts w:hint="eastAsia" w:ascii="宋体" w:hAnsi="宋体"/>
                <w:color w:val="auto"/>
                <w:szCs w:val="21"/>
                <w:highlight w:val="none"/>
              </w:rPr>
            </w:pPr>
            <w:r>
              <w:rPr>
                <w:rFonts w:ascii="宋体" w:hAnsi="宋体"/>
                <w:color w:val="auto"/>
                <w:szCs w:val="21"/>
                <w:highlight w:val="none"/>
              </w:rPr>
              <w:t>供应商为事业单位的，应提供有效的“事业单位法人证书”；</w:t>
            </w:r>
          </w:p>
          <w:p w14:paraId="31185B43">
            <w:pPr>
              <w:tabs>
                <w:tab w:val="left" w:pos="1080"/>
              </w:tabs>
              <w:snapToGrid w:val="0"/>
              <w:jc w:val="left"/>
              <w:rPr>
                <w:rFonts w:hint="eastAsia" w:ascii="宋体" w:hAnsi="宋体"/>
                <w:color w:val="auto"/>
                <w:szCs w:val="21"/>
                <w:highlight w:val="none"/>
              </w:rPr>
            </w:pPr>
            <w:r>
              <w:rPr>
                <w:rFonts w:ascii="宋体" w:hAnsi="宋体"/>
                <w:color w:val="auto"/>
                <w:szCs w:val="21"/>
                <w:highlight w:val="none"/>
              </w:rPr>
              <w:t>供应商</w:t>
            </w:r>
            <w:r>
              <w:rPr>
                <w:rFonts w:hint="eastAsia" w:ascii="宋体" w:hAnsi="宋体"/>
                <w:color w:val="auto"/>
                <w:szCs w:val="21"/>
                <w:highlight w:val="none"/>
              </w:rPr>
              <w:t>是非企业机构的，应提供有效的“执业许可证”、“登记证书”等证明文件</w:t>
            </w:r>
            <w:r>
              <w:rPr>
                <w:rFonts w:ascii="宋体" w:hAnsi="宋体"/>
                <w:color w:val="auto"/>
                <w:szCs w:val="21"/>
                <w:highlight w:val="none"/>
              </w:rPr>
              <w:t>；</w:t>
            </w:r>
          </w:p>
          <w:p w14:paraId="400F190C">
            <w:pPr>
              <w:tabs>
                <w:tab w:val="left" w:pos="1080"/>
              </w:tabs>
              <w:snapToGrid w:val="0"/>
              <w:jc w:val="left"/>
              <w:rPr>
                <w:rFonts w:hint="eastAsia" w:ascii="宋体" w:hAnsi="宋体"/>
                <w:color w:val="auto"/>
                <w:szCs w:val="21"/>
                <w:highlight w:val="none"/>
              </w:rPr>
            </w:pPr>
            <w:r>
              <w:rPr>
                <w:rFonts w:ascii="宋体" w:hAnsi="宋体"/>
                <w:color w:val="auto"/>
                <w:szCs w:val="21"/>
                <w:highlight w:val="none"/>
              </w:rPr>
              <w:t>供应商是个体工商户的，应提供有效的“个体工商户营业执照”；</w:t>
            </w:r>
          </w:p>
          <w:p w14:paraId="51C0342A">
            <w:pPr>
              <w:tabs>
                <w:tab w:val="left" w:pos="1080"/>
              </w:tabs>
              <w:snapToGrid w:val="0"/>
              <w:jc w:val="left"/>
              <w:rPr>
                <w:rFonts w:hint="eastAsia" w:ascii="宋体" w:hAnsi="宋体"/>
                <w:color w:val="auto"/>
                <w:szCs w:val="21"/>
                <w:highlight w:val="none"/>
              </w:rPr>
            </w:pPr>
            <w:r>
              <w:rPr>
                <w:rFonts w:ascii="宋体" w:hAnsi="宋体"/>
                <w:color w:val="auto"/>
                <w:szCs w:val="21"/>
                <w:highlight w:val="none"/>
              </w:rPr>
              <w:t>供应商是自然人的，应提供有效的自然人身份证明。</w:t>
            </w:r>
          </w:p>
          <w:p w14:paraId="253F2CFE">
            <w:pPr>
              <w:tabs>
                <w:tab w:val="left" w:pos="1080"/>
              </w:tabs>
              <w:snapToGrid w:val="0"/>
              <w:jc w:val="left"/>
              <w:rPr>
                <w:rFonts w:hint="eastAsia" w:ascii="宋体" w:hAnsi="宋体"/>
                <w:color w:val="auto"/>
                <w:szCs w:val="21"/>
                <w:highlight w:val="none"/>
              </w:rPr>
            </w:pPr>
            <w:r>
              <w:rPr>
                <w:rFonts w:ascii="宋体" w:hAnsi="宋体"/>
                <w:color w:val="auto"/>
                <w:szCs w:val="21"/>
                <w:highlight w:val="none"/>
              </w:rPr>
              <w:t>若本项目允许分支机构参加响应，则分支机构参加</w:t>
            </w:r>
            <w:r>
              <w:rPr>
                <w:rFonts w:ascii="宋体" w:hAnsi="宋体"/>
                <w:color w:val="auto"/>
                <w:kern w:val="0"/>
                <w:szCs w:val="21"/>
                <w:highlight w:val="none"/>
              </w:rPr>
              <w:t>响应</w:t>
            </w:r>
            <w:r>
              <w:rPr>
                <w:rFonts w:ascii="宋体" w:hAnsi="宋体"/>
                <w:color w:val="auto"/>
                <w:szCs w:val="21"/>
                <w:highlight w:val="none"/>
              </w:rPr>
              <w:t>的，此处可提供该分支机构或其所属法人或其他组织的相应证明文件。</w:t>
            </w:r>
          </w:p>
        </w:tc>
        <w:tc>
          <w:tcPr>
            <w:tcW w:w="1199" w:type="dxa"/>
            <w:vAlign w:val="center"/>
          </w:tcPr>
          <w:p w14:paraId="1F1D709C">
            <w:pPr>
              <w:tabs>
                <w:tab w:val="left" w:pos="1080"/>
              </w:tabs>
              <w:snapToGrid w:val="0"/>
              <w:jc w:val="left"/>
              <w:rPr>
                <w:rFonts w:hint="eastAsia" w:ascii="宋体" w:hAnsi="宋体"/>
                <w:color w:val="auto"/>
                <w:szCs w:val="21"/>
                <w:highlight w:val="none"/>
              </w:rPr>
            </w:pPr>
            <w:r>
              <w:rPr>
                <w:rFonts w:ascii="宋体" w:hAnsi="宋体"/>
                <w:color w:val="auto"/>
                <w:szCs w:val="21"/>
                <w:highlight w:val="none"/>
              </w:rPr>
              <w:t>提供证明文件盖单位公章</w:t>
            </w:r>
          </w:p>
        </w:tc>
      </w:tr>
      <w:tr w14:paraId="584B6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trPr>
        <w:tc>
          <w:tcPr>
            <w:tcW w:w="812" w:type="dxa"/>
            <w:vAlign w:val="center"/>
          </w:tcPr>
          <w:p w14:paraId="6666723F">
            <w:pPr>
              <w:tabs>
                <w:tab w:val="left" w:pos="1080"/>
              </w:tabs>
              <w:snapToGrid w:val="0"/>
              <w:jc w:val="center"/>
              <w:rPr>
                <w:rFonts w:hint="eastAsia" w:ascii="宋体" w:hAnsi="宋体"/>
                <w:color w:val="auto"/>
                <w:szCs w:val="21"/>
                <w:highlight w:val="none"/>
              </w:rPr>
            </w:pPr>
            <w:r>
              <w:rPr>
                <w:rFonts w:ascii="宋体" w:hAnsi="宋体"/>
                <w:color w:val="auto"/>
                <w:szCs w:val="21"/>
                <w:highlight w:val="none"/>
              </w:rPr>
              <w:t>1-2</w:t>
            </w:r>
          </w:p>
        </w:tc>
        <w:tc>
          <w:tcPr>
            <w:tcW w:w="2308" w:type="dxa"/>
            <w:vAlign w:val="center"/>
          </w:tcPr>
          <w:p w14:paraId="41A5050F">
            <w:pPr>
              <w:tabs>
                <w:tab w:val="left" w:pos="1080"/>
              </w:tabs>
              <w:snapToGrid w:val="0"/>
              <w:jc w:val="left"/>
              <w:rPr>
                <w:rFonts w:hint="eastAsia" w:ascii="宋体" w:hAnsi="宋体"/>
                <w:color w:val="auto"/>
                <w:szCs w:val="21"/>
                <w:highlight w:val="none"/>
              </w:rPr>
            </w:pPr>
            <w:r>
              <w:rPr>
                <w:rFonts w:ascii="宋体" w:hAnsi="宋体"/>
                <w:color w:val="auto"/>
                <w:szCs w:val="21"/>
                <w:highlight w:val="none"/>
              </w:rPr>
              <w:t>供应商资格声明书</w:t>
            </w:r>
          </w:p>
        </w:tc>
        <w:tc>
          <w:tcPr>
            <w:tcW w:w="4667" w:type="dxa"/>
            <w:vAlign w:val="center"/>
          </w:tcPr>
          <w:p w14:paraId="047122BB">
            <w:pPr>
              <w:tabs>
                <w:tab w:val="left" w:pos="1080"/>
              </w:tabs>
              <w:snapToGrid w:val="0"/>
              <w:jc w:val="left"/>
              <w:rPr>
                <w:rFonts w:hint="eastAsia" w:ascii="宋体" w:hAnsi="宋体"/>
                <w:color w:val="auto"/>
                <w:szCs w:val="21"/>
                <w:highlight w:val="none"/>
              </w:rPr>
            </w:pPr>
            <w:r>
              <w:rPr>
                <w:rFonts w:ascii="宋体" w:hAnsi="宋体"/>
                <w:color w:val="auto"/>
                <w:szCs w:val="21"/>
                <w:highlight w:val="none"/>
              </w:rPr>
              <w:t>提供了符合竞争性磋商文件要求的《供应商资格声明书》。</w:t>
            </w:r>
          </w:p>
        </w:tc>
        <w:tc>
          <w:tcPr>
            <w:tcW w:w="1199" w:type="dxa"/>
            <w:vAlign w:val="center"/>
          </w:tcPr>
          <w:p w14:paraId="76BA8C76">
            <w:pPr>
              <w:tabs>
                <w:tab w:val="left" w:pos="1080"/>
              </w:tabs>
              <w:snapToGrid w:val="0"/>
              <w:jc w:val="left"/>
              <w:rPr>
                <w:rFonts w:hint="eastAsia" w:ascii="宋体" w:hAnsi="宋体"/>
                <w:color w:val="auto"/>
                <w:szCs w:val="21"/>
                <w:highlight w:val="none"/>
              </w:rPr>
            </w:pPr>
            <w:r>
              <w:rPr>
                <w:rFonts w:ascii="宋体" w:hAnsi="宋体"/>
                <w:color w:val="auto"/>
                <w:szCs w:val="21"/>
                <w:highlight w:val="none"/>
              </w:rPr>
              <w:t>格式见《响应文件格式》</w:t>
            </w:r>
          </w:p>
        </w:tc>
      </w:tr>
      <w:tr w14:paraId="6C63A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trPr>
        <w:tc>
          <w:tcPr>
            <w:tcW w:w="812" w:type="dxa"/>
            <w:vAlign w:val="center"/>
          </w:tcPr>
          <w:p w14:paraId="78003A1F">
            <w:pPr>
              <w:tabs>
                <w:tab w:val="left" w:pos="1080"/>
              </w:tabs>
              <w:snapToGrid w:val="0"/>
              <w:jc w:val="center"/>
              <w:rPr>
                <w:rFonts w:hint="eastAsia"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3</w:t>
            </w:r>
          </w:p>
        </w:tc>
        <w:tc>
          <w:tcPr>
            <w:tcW w:w="2308" w:type="dxa"/>
            <w:vAlign w:val="center"/>
          </w:tcPr>
          <w:p w14:paraId="3C8EFEEF">
            <w:pPr>
              <w:tabs>
                <w:tab w:val="left" w:pos="1080"/>
              </w:tabs>
              <w:snapToGrid w:val="0"/>
              <w:rPr>
                <w:rFonts w:hint="eastAsia" w:ascii="宋体" w:hAnsi="宋体"/>
                <w:color w:val="auto"/>
                <w:szCs w:val="21"/>
                <w:highlight w:val="none"/>
              </w:rPr>
            </w:pPr>
            <w:r>
              <w:rPr>
                <w:rFonts w:ascii="宋体" w:hAnsi="宋体"/>
                <w:color w:val="auto"/>
                <w:szCs w:val="21"/>
                <w:highlight w:val="none"/>
              </w:rPr>
              <w:t>供应商信用记录</w:t>
            </w:r>
          </w:p>
        </w:tc>
        <w:tc>
          <w:tcPr>
            <w:tcW w:w="4667" w:type="dxa"/>
            <w:vAlign w:val="center"/>
          </w:tcPr>
          <w:p w14:paraId="3AACB7A6">
            <w:pPr>
              <w:tabs>
                <w:tab w:val="left" w:pos="1080"/>
              </w:tabs>
              <w:snapToGrid w:val="0"/>
              <w:rPr>
                <w:rFonts w:hint="eastAsia" w:ascii="宋体" w:hAnsi="宋体"/>
                <w:color w:val="auto"/>
                <w:szCs w:val="21"/>
                <w:highlight w:val="none"/>
              </w:rPr>
            </w:pPr>
            <w:r>
              <w:rPr>
                <w:rFonts w:ascii="宋体" w:hAnsi="宋体"/>
                <w:color w:val="auto"/>
                <w:szCs w:val="21"/>
                <w:highlight w:val="none"/>
              </w:rPr>
              <w:t>查询渠道：信用中国网站和中国政府采购网（www.creditchina.gov.cn、www.ccgp.gov.cn）；</w:t>
            </w:r>
          </w:p>
          <w:p w14:paraId="2DF4C755">
            <w:pPr>
              <w:tabs>
                <w:tab w:val="left" w:pos="900"/>
                <w:tab w:val="left" w:pos="1980"/>
              </w:tabs>
              <w:snapToGrid w:val="0"/>
              <w:rPr>
                <w:rFonts w:hint="eastAsia" w:ascii="宋体" w:hAnsi="宋体"/>
                <w:color w:val="auto"/>
                <w:szCs w:val="21"/>
                <w:highlight w:val="none"/>
              </w:rPr>
            </w:pPr>
            <w:r>
              <w:rPr>
                <w:rFonts w:ascii="宋体" w:hAnsi="宋体"/>
                <w:color w:val="auto"/>
                <w:szCs w:val="21"/>
                <w:highlight w:val="none"/>
              </w:rPr>
              <w:t>截止时点：</w:t>
            </w:r>
            <w:r>
              <w:rPr>
                <w:rFonts w:ascii="宋体" w:hAnsi="宋体"/>
                <w:color w:val="auto"/>
                <w:kern w:val="0"/>
                <w:szCs w:val="21"/>
                <w:highlight w:val="none"/>
              </w:rPr>
              <w:t>首次响应文件提交截止时间以后</w:t>
            </w:r>
            <w:r>
              <w:rPr>
                <w:rFonts w:ascii="宋体" w:hAnsi="宋体"/>
                <w:color w:val="auto"/>
                <w:szCs w:val="21"/>
                <w:highlight w:val="none"/>
              </w:rPr>
              <w:t>、资格性检查阶段采购人或采购代理机构的实际查询时间为准；</w:t>
            </w:r>
          </w:p>
          <w:p w14:paraId="43C13CFB">
            <w:pPr>
              <w:tabs>
                <w:tab w:val="left" w:pos="900"/>
                <w:tab w:val="left" w:pos="1980"/>
              </w:tabs>
              <w:snapToGrid w:val="0"/>
              <w:rPr>
                <w:rFonts w:hint="eastAsia" w:ascii="宋体" w:hAnsi="宋体"/>
                <w:color w:val="auto"/>
                <w:szCs w:val="21"/>
                <w:highlight w:val="none"/>
              </w:rPr>
            </w:pPr>
            <w:r>
              <w:rPr>
                <w:rFonts w:ascii="宋体" w:hAnsi="宋体"/>
                <w:color w:val="auto"/>
                <w:szCs w:val="21"/>
                <w:highlight w:val="none"/>
              </w:rPr>
              <w:t>信用信息查询记录和证据留存具体方式：查询结果网页打印页作为查询记录和证据，与其他竞争性磋商文件一并保存；</w:t>
            </w:r>
          </w:p>
          <w:p w14:paraId="3431279E">
            <w:pPr>
              <w:tabs>
                <w:tab w:val="left" w:pos="1080"/>
              </w:tabs>
              <w:snapToGrid w:val="0"/>
              <w:rPr>
                <w:rFonts w:hint="eastAsia" w:ascii="宋体" w:hAnsi="宋体"/>
                <w:color w:val="auto"/>
                <w:szCs w:val="21"/>
                <w:highlight w:val="none"/>
              </w:rPr>
            </w:pPr>
            <w:r>
              <w:rPr>
                <w:rFonts w:ascii="宋体" w:hAnsi="宋体"/>
                <w:color w:val="auto"/>
                <w:szCs w:val="21"/>
                <w:highlight w:val="none"/>
              </w:rPr>
              <w:t>信用信息的使用原则：经认定的被列入失信被执行人、重大税收违法案件当事人名单、政府采购严重违法失信行为记录名单的供应商，其</w:t>
            </w:r>
            <w:r>
              <w:rPr>
                <w:rFonts w:ascii="宋体" w:hAnsi="宋体"/>
                <w:b/>
                <w:color w:val="auto"/>
                <w:szCs w:val="21"/>
                <w:highlight w:val="none"/>
              </w:rPr>
              <w:t>响应无效</w:t>
            </w:r>
            <w:r>
              <w:rPr>
                <w:rFonts w:ascii="宋体" w:hAnsi="宋体"/>
                <w:color w:val="auto"/>
                <w:szCs w:val="21"/>
                <w:highlight w:val="none"/>
              </w:rPr>
              <w:t>。联合体形式磋商的，联合体成员存在不良信用记录，视同联合体存在不良信用记录。</w:t>
            </w:r>
          </w:p>
        </w:tc>
        <w:tc>
          <w:tcPr>
            <w:tcW w:w="1199" w:type="dxa"/>
            <w:vAlign w:val="center"/>
          </w:tcPr>
          <w:p w14:paraId="443CA494">
            <w:pPr>
              <w:tabs>
                <w:tab w:val="left" w:pos="1080"/>
              </w:tabs>
              <w:snapToGrid w:val="0"/>
              <w:rPr>
                <w:rFonts w:hint="eastAsia" w:ascii="宋体" w:hAnsi="宋体"/>
                <w:color w:val="auto"/>
                <w:szCs w:val="21"/>
                <w:highlight w:val="none"/>
              </w:rPr>
            </w:pPr>
            <w:r>
              <w:rPr>
                <w:rFonts w:ascii="宋体" w:hAnsi="宋体"/>
                <w:color w:val="auto"/>
                <w:szCs w:val="21"/>
                <w:highlight w:val="none"/>
              </w:rPr>
              <w:t>无须供应商提供，由采购人或采购代理机构查询</w:t>
            </w:r>
          </w:p>
        </w:tc>
      </w:tr>
      <w:tr w14:paraId="77B65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trPr>
        <w:tc>
          <w:tcPr>
            <w:tcW w:w="812" w:type="dxa"/>
            <w:vAlign w:val="center"/>
          </w:tcPr>
          <w:p w14:paraId="1B72E43C">
            <w:pPr>
              <w:tabs>
                <w:tab w:val="left" w:pos="1080"/>
              </w:tabs>
              <w:snapToGrid w:val="0"/>
              <w:jc w:val="center"/>
              <w:rPr>
                <w:rFonts w:hint="eastAsia" w:ascii="宋体" w:hAnsi="宋体"/>
                <w:color w:val="auto"/>
                <w:szCs w:val="21"/>
                <w:highlight w:val="none"/>
              </w:rPr>
            </w:pPr>
            <w:r>
              <w:rPr>
                <w:rFonts w:ascii="宋体" w:hAnsi="宋体"/>
                <w:color w:val="auto"/>
                <w:szCs w:val="21"/>
                <w:highlight w:val="none"/>
              </w:rPr>
              <w:t>2</w:t>
            </w:r>
          </w:p>
        </w:tc>
        <w:tc>
          <w:tcPr>
            <w:tcW w:w="2308" w:type="dxa"/>
            <w:vAlign w:val="center"/>
          </w:tcPr>
          <w:p w14:paraId="78579D01">
            <w:pPr>
              <w:tabs>
                <w:tab w:val="left" w:pos="1080"/>
              </w:tabs>
              <w:snapToGrid w:val="0"/>
              <w:jc w:val="left"/>
              <w:rPr>
                <w:rFonts w:hint="eastAsia" w:ascii="宋体" w:hAnsi="宋体"/>
                <w:color w:val="auto"/>
                <w:szCs w:val="21"/>
                <w:highlight w:val="none"/>
              </w:rPr>
            </w:pPr>
            <w:r>
              <w:rPr>
                <w:rFonts w:ascii="宋体" w:hAnsi="宋体"/>
                <w:color w:val="auto"/>
                <w:szCs w:val="21"/>
                <w:highlight w:val="none"/>
              </w:rPr>
              <w:t>落实政府采购政策需满足的资格要求</w:t>
            </w:r>
          </w:p>
        </w:tc>
        <w:tc>
          <w:tcPr>
            <w:tcW w:w="4667" w:type="dxa"/>
            <w:vAlign w:val="center"/>
          </w:tcPr>
          <w:p w14:paraId="22887056">
            <w:pPr>
              <w:tabs>
                <w:tab w:val="left" w:pos="1080"/>
              </w:tabs>
              <w:snapToGrid w:val="0"/>
              <w:jc w:val="left"/>
              <w:rPr>
                <w:rFonts w:hint="eastAsia" w:ascii="宋体" w:hAnsi="宋体"/>
                <w:color w:val="auto"/>
                <w:szCs w:val="21"/>
                <w:highlight w:val="none"/>
              </w:rPr>
            </w:pPr>
            <w:r>
              <w:rPr>
                <w:rFonts w:ascii="宋体" w:hAnsi="宋体"/>
                <w:color w:val="auto"/>
                <w:szCs w:val="21"/>
                <w:highlight w:val="none"/>
              </w:rPr>
              <w:t>具体要求见第一章《采购邀请》</w:t>
            </w:r>
          </w:p>
        </w:tc>
        <w:tc>
          <w:tcPr>
            <w:tcW w:w="1199" w:type="dxa"/>
            <w:vAlign w:val="center"/>
          </w:tcPr>
          <w:p w14:paraId="3B776178">
            <w:pPr>
              <w:tabs>
                <w:tab w:val="left" w:pos="1080"/>
              </w:tabs>
              <w:snapToGrid w:val="0"/>
              <w:jc w:val="left"/>
              <w:rPr>
                <w:rFonts w:hint="eastAsia" w:ascii="宋体" w:hAnsi="宋体"/>
                <w:color w:val="auto"/>
                <w:szCs w:val="21"/>
                <w:highlight w:val="none"/>
              </w:rPr>
            </w:pPr>
          </w:p>
        </w:tc>
      </w:tr>
      <w:tr w14:paraId="0D89E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trPr>
        <w:tc>
          <w:tcPr>
            <w:tcW w:w="812" w:type="dxa"/>
            <w:vAlign w:val="center"/>
          </w:tcPr>
          <w:p w14:paraId="7E1F6983">
            <w:pPr>
              <w:tabs>
                <w:tab w:val="left" w:pos="1080"/>
              </w:tabs>
              <w:snapToGrid w:val="0"/>
              <w:jc w:val="center"/>
              <w:rPr>
                <w:rFonts w:hint="eastAsia" w:ascii="宋体" w:hAnsi="宋体"/>
                <w:color w:val="auto"/>
                <w:szCs w:val="21"/>
                <w:highlight w:val="none"/>
              </w:rPr>
            </w:pPr>
            <w:r>
              <w:rPr>
                <w:rFonts w:ascii="宋体" w:hAnsi="宋体"/>
                <w:color w:val="auto"/>
                <w:szCs w:val="21"/>
                <w:highlight w:val="none"/>
              </w:rPr>
              <w:t>2-1</w:t>
            </w:r>
          </w:p>
        </w:tc>
        <w:tc>
          <w:tcPr>
            <w:tcW w:w="2308" w:type="dxa"/>
            <w:vAlign w:val="center"/>
          </w:tcPr>
          <w:p w14:paraId="0D6AB591">
            <w:pPr>
              <w:tabs>
                <w:tab w:val="left" w:pos="1080"/>
              </w:tabs>
              <w:snapToGrid w:val="0"/>
              <w:jc w:val="left"/>
              <w:rPr>
                <w:rFonts w:hint="eastAsia" w:ascii="宋体" w:hAnsi="宋体"/>
                <w:color w:val="auto"/>
                <w:szCs w:val="21"/>
                <w:highlight w:val="none"/>
              </w:rPr>
            </w:pPr>
            <w:r>
              <w:rPr>
                <w:rFonts w:ascii="宋体" w:hAnsi="宋体"/>
                <w:color w:val="auto"/>
                <w:szCs w:val="21"/>
                <w:highlight w:val="none"/>
              </w:rPr>
              <w:t>中小企业声明函</w:t>
            </w:r>
          </w:p>
        </w:tc>
        <w:tc>
          <w:tcPr>
            <w:tcW w:w="4667" w:type="dxa"/>
            <w:vAlign w:val="center"/>
          </w:tcPr>
          <w:p w14:paraId="25F3EA2A">
            <w:pPr>
              <w:tabs>
                <w:tab w:val="left" w:pos="1080"/>
              </w:tabs>
              <w:snapToGrid w:val="0"/>
              <w:jc w:val="left"/>
              <w:rPr>
                <w:rFonts w:hint="eastAsia" w:ascii="宋体" w:hAnsi="宋体"/>
                <w:color w:val="auto"/>
                <w:szCs w:val="21"/>
                <w:highlight w:val="none"/>
              </w:rPr>
            </w:pPr>
            <w:r>
              <w:rPr>
                <w:rFonts w:ascii="宋体" w:hAnsi="宋体"/>
                <w:color w:val="auto"/>
                <w:szCs w:val="21"/>
                <w:highlight w:val="none"/>
              </w:rPr>
              <w:t xml:space="preserve">当本项目（包）涉及预留份额专门面向中小企业采购，提供如下资料： </w:t>
            </w:r>
          </w:p>
          <w:p w14:paraId="1B174EEE">
            <w:pPr>
              <w:tabs>
                <w:tab w:val="left" w:pos="1080"/>
              </w:tabs>
              <w:snapToGrid w:val="0"/>
              <w:jc w:val="left"/>
              <w:rPr>
                <w:rFonts w:hint="eastAsia" w:ascii="宋体" w:hAnsi="宋体"/>
                <w:color w:val="auto"/>
                <w:szCs w:val="21"/>
                <w:highlight w:val="none"/>
              </w:rPr>
            </w:pPr>
            <w:r>
              <w:rPr>
                <w:rFonts w:ascii="宋体" w:hAnsi="宋体"/>
                <w:color w:val="auto"/>
                <w:szCs w:val="21"/>
                <w:highlight w:val="none"/>
              </w:rPr>
              <w:t>1、供应商单独响应的，应提供中小企业声明函；如为监狱企业或残疾人福利性单位，不必提供中小企业声明函，但须按注1或注2要求提供证明材料。</w:t>
            </w:r>
          </w:p>
          <w:p w14:paraId="2486F04A">
            <w:pPr>
              <w:tabs>
                <w:tab w:val="left" w:pos="1080"/>
              </w:tabs>
              <w:snapToGrid w:val="0"/>
              <w:jc w:val="left"/>
              <w:rPr>
                <w:rFonts w:hint="eastAsia" w:ascii="宋体" w:hAnsi="宋体"/>
                <w:color w:val="auto"/>
                <w:szCs w:val="21"/>
                <w:highlight w:val="none"/>
              </w:rPr>
            </w:pPr>
            <w:r>
              <w:rPr>
                <w:rFonts w:ascii="宋体" w:hAnsi="宋体"/>
                <w:color w:val="auto"/>
                <w:szCs w:val="21"/>
                <w:highlight w:val="none"/>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3F5D3105">
            <w:pPr>
              <w:tabs>
                <w:tab w:val="left" w:pos="1080"/>
              </w:tabs>
              <w:snapToGrid w:val="0"/>
              <w:jc w:val="left"/>
              <w:rPr>
                <w:rFonts w:hint="eastAsia" w:ascii="宋体" w:hAnsi="宋体"/>
                <w:color w:val="auto"/>
                <w:szCs w:val="21"/>
                <w:highlight w:val="none"/>
              </w:rPr>
            </w:pPr>
            <w:r>
              <w:rPr>
                <w:rFonts w:ascii="宋体" w:hAnsi="宋体"/>
                <w:color w:val="auto"/>
                <w:szCs w:val="21"/>
                <w:highlight w:val="none"/>
              </w:rPr>
              <w:t>注1：监狱企业须提供由省级以上监狱管理局（北京市含教育矫治局）、戒毒管理局（含新疆生产建设兵团）出具的属于监狱企业的证明文件。</w:t>
            </w:r>
          </w:p>
          <w:p w14:paraId="1E47E654">
            <w:pPr>
              <w:tabs>
                <w:tab w:val="left" w:pos="1080"/>
              </w:tabs>
              <w:snapToGrid w:val="0"/>
              <w:jc w:val="left"/>
              <w:rPr>
                <w:rFonts w:hint="eastAsia" w:ascii="宋体" w:hAnsi="宋体"/>
                <w:color w:val="auto"/>
                <w:szCs w:val="21"/>
                <w:highlight w:val="none"/>
              </w:rPr>
            </w:pPr>
            <w:r>
              <w:rPr>
                <w:rFonts w:ascii="宋体" w:hAnsi="宋体"/>
                <w:color w:val="auto"/>
                <w:szCs w:val="21"/>
                <w:highlight w:val="none"/>
              </w:rPr>
              <w:t>注2：残疾人福利性单位须按磋商文件要求提供《残疾人福利性单位声明函》。</w:t>
            </w:r>
          </w:p>
        </w:tc>
        <w:tc>
          <w:tcPr>
            <w:tcW w:w="1199" w:type="dxa"/>
            <w:vAlign w:val="center"/>
          </w:tcPr>
          <w:p w14:paraId="1F84463F">
            <w:pPr>
              <w:tabs>
                <w:tab w:val="left" w:pos="1080"/>
              </w:tabs>
              <w:snapToGrid w:val="0"/>
              <w:jc w:val="left"/>
              <w:rPr>
                <w:rFonts w:hint="eastAsia" w:ascii="宋体" w:hAnsi="宋体"/>
                <w:color w:val="auto"/>
                <w:szCs w:val="21"/>
                <w:highlight w:val="none"/>
              </w:rPr>
            </w:pPr>
            <w:r>
              <w:rPr>
                <w:rFonts w:ascii="宋体" w:hAnsi="宋体"/>
                <w:color w:val="auto"/>
                <w:szCs w:val="21"/>
                <w:highlight w:val="none"/>
              </w:rPr>
              <w:t>格式见《响应文件格式》</w:t>
            </w:r>
          </w:p>
        </w:tc>
      </w:tr>
      <w:tr w14:paraId="037CB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trPr>
        <w:tc>
          <w:tcPr>
            <w:tcW w:w="812" w:type="dxa"/>
            <w:vAlign w:val="center"/>
          </w:tcPr>
          <w:p w14:paraId="5F26E016">
            <w:pPr>
              <w:tabs>
                <w:tab w:val="left" w:pos="1080"/>
              </w:tabs>
              <w:snapToGrid w:val="0"/>
              <w:jc w:val="center"/>
              <w:rPr>
                <w:rFonts w:hint="eastAsia" w:ascii="宋体" w:hAnsi="宋体"/>
                <w:color w:val="auto"/>
                <w:szCs w:val="21"/>
                <w:highlight w:val="none"/>
              </w:rPr>
            </w:pPr>
            <w:r>
              <w:rPr>
                <w:rFonts w:ascii="宋体" w:hAnsi="宋体"/>
                <w:color w:val="auto"/>
                <w:szCs w:val="21"/>
                <w:highlight w:val="none"/>
              </w:rPr>
              <w:t>3</w:t>
            </w:r>
          </w:p>
        </w:tc>
        <w:tc>
          <w:tcPr>
            <w:tcW w:w="2308" w:type="dxa"/>
            <w:vAlign w:val="center"/>
          </w:tcPr>
          <w:p w14:paraId="22254599">
            <w:pPr>
              <w:tabs>
                <w:tab w:val="left" w:pos="1080"/>
              </w:tabs>
              <w:snapToGrid w:val="0"/>
              <w:jc w:val="left"/>
              <w:rPr>
                <w:rFonts w:hint="eastAsia" w:ascii="宋体" w:hAnsi="宋体"/>
                <w:color w:val="auto"/>
                <w:szCs w:val="21"/>
                <w:highlight w:val="none"/>
              </w:rPr>
            </w:pPr>
            <w:r>
              <w:rPr>
                <w:rFonts w:ascii="宋体" w:hAnsi="宋体"/>
                <w:color w:val="auto"/>
                <w:szCs w:val="21"/>
                <w:highlight w:val="none"/>
              </w:rPr>
              <w:t>本项目的特定资格要求</w:t>
            </w:r>
          </w:p>
        </w:tc>
        <w:tc>
          <w:tcPr>
            <w:tcW w:w="4667" w:type="dxa"/>
            <w:vAlign w:val="center"/>
          </w:tcPr>
          <w:p w14:paraId="28E10047">
            <w:pPr>
              <w:tabs>
                <w:tab w:val="left" w:pos="1080"/>
              </w:tabs>
              <w:snapToGrid w:val="0"/>
              <w:jc w:val="left"/>
              <w:rPr>
                <w:rFonts w:hint="eastAsia" w:ascii="宋体" w:hAnsi="宋体"/>
                <w:color w:val="auto"/>
                <w:szCs w:val="21"/>
                <w:highlight w:val="none"/>
              </w:rPr>
            </w:pPr>
            <w:r>
              <w:rPr>
                <w:rFonts w:ascii="宋体" w:hAnsi="宋体"/>
                <w:color w:val="auto"/>
                <w:szCs w:val="21"/>
                <w:highlight w:val="none"/>
              </w:rPr>
              <w:t>如有，见第一章《采购邀请》</w:t>
            </w:r>
          </w:p>
        </w:tc>
        <w:tc>
          <w:tcPr>
            <w:tcW w:w="1199" w:type="dxa"/>
            <w:vAlign w:val="center"/>
          </w:tcPr>
          <w:p w14:paraId="0025FEB3">
            <w:pPr>
              <w:tabs>
                <w:tab w:val="left" w:pos="1080"/>
              </w:tabs>
              <w:snapToGrid w:val="0"/>
              <w:jc w:val="left"/>
              <w:rPr>
                <w:rFonts w:hint="eastAsia" w:ascii="宋体" w:hAnsi="宋体"/>
                <w:color w:val="auto"/>
                <w:szCs w:val="21"/>
                <w:highlight w:val="none"/>
              </w:rPr>
            </w:pPr>
          </w:p>
        </w:tc>
      </w:tr>
      <w:tr w14:paraId="7C856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trPr>
        <w:tc>
          <w:tcPr>
            <w:tcW w:w="812" w:type="dxa"/>
            <w:vAlign w:val="center"/>
          </w:tcPr>
          <w:p w14:paraId="7F3A3B96">
            <w:pPr>
              <w:tabs>
                <w:tab w:val="left" w:pos="1080"/>
              </w:tabs>
              <w:snapToGrid w:val="0"/>
              <w:jc w:val="center"/>
              <w:rPr>
                <w:rFonts w:hint="eastAsia"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1</w:t>
            </w:r>
          </w:p>
        </w:tc>
        <w:tc>
          <w:tcPr>
            <w:tcW w:w="2308" w:type="dxa"/>
            <w:vAlign w:val="center"/>
          </w:tcPr>
          <w:p w14:paraId="1006FDAD">
            <w:pPr>
              <w:tabs>
                <w:tab w:val="left" w:pos="1080"/>
              </w:tabs>
              <w:snapToGrid w:val="0"/>
              <w:rPr>
                <w:rFonts w:hint="eastAsia" w:ascii="宋体" w:hAnsi="宋体"/>
                <w:color w:val="auto"/>
                <w:szCs w:val="21"/>
                <w:highlight w:val="none"/>
              </w:rPr>
            </w:pPr>
            <w:r>
              <w:rPr>
                <w:rFonts w:ascii="宋体" w:hAnsi="宋体"/>
                <w:color w:val="auto"/>
                <w:szCs w:val="21"/>
                <w:highlight w:val="none"/>
              </w:rPr>
              <w:t>其他特定资格要求</w:t>
            </w:r>
          </w:p>
        </w:tc>
        <w:tc>
          <w:tcPr>
            <w:tcW w:w="4667" w:type="dxa"/>
            <w:vAlign w:val="center"/>
          </w:tcPr>
          <w:p w14:paraId="337B1AC9">
            <w:pPr>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供应商</w:t>
            </w:r>
            <w:r>
              <w:rPr>
                <w:rFonts w:hint="eastAsia" w:ascii="宋体" w:hAnsi="宋体"/>
                <w:color w:val="auto"/>
                <w:szCs w:val="21"/>
                <w:highlight w:val="none"/>
              </w:rPr>
              <w:t xml:space="preserve">具备水利水电工程施工总承包二级（含）以上资质； </w:t>
            </w:r>
          </w:p>
          <w:p w14:paraId="10416255">
            <w:pPr>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eastAsia="zh-CN"/>
              </w:rPr>
              <w:t>供应商</w:t>
            </w:r>
            <w:r>
              <w:rPr>
                <w:rFonts w:hint="eastAsia" w:ascii="宋体" w:hAnsi="宋体"/>
                <w:color w:val="auto"/>
                <w:szCs w:val="21"/>
                <w:highlight w:val="none"/>
              </w:rPr>
              <w:t>具有建设行政主管部门核发的有效的安全生产许可证；</w:t>
            </w:r>
          </w:p>
          <w:p w14:paraId="6C7324B8">
            <w:pPr>
              <w:rPr>
                <w:rFonts w:hint="eastAsia" w:ascii="宋体" w:hAnsi="宋体"/>
                <w:color w:val="auto"/>
                <w:szCs w:val="21"/>
                <w:highlight w:val="none"/>
              </w:rPr>
            </w:pPr>
            <w:r>
              <w:rPr>
                <w:rFonts w:hint="eastAsia" w:ascii="宋体" w:hAnsi="宋体"/>
                <w:color w:val="auto"/>
                <w:szCs w:val="21"/>
                <w:highlight w:val="none"/>
              </w:rPr>
              <w:t>3）拟任项目经理须在</w:t>
            </w:r>
            <w:r>
              <w:rPr>
                <w:rFonts w:hint="eastAsia" w:ascii="宋体" w:hAnsi="宋体"/>
                <w:color w:val="auto"/>
                <w:szCs w:val="21"/>
                <w:highlight w:val="none"/>
                <w:lang w:eastAsia="zh-CN"/>
              </w:rPr>
              <w:t>供应商</w:t>
            </w:r>
            <w:r>
              <w:rPr>
                <w:rFonts w:hint="eastAsia" w:ascii="宋体" w:hAnsi="宋体"/>
                <w:color w:val="auto"/>
                <w:szCs w:val="21"/>
                <w:highlight w:val="none"/>
              </w:rPr>
              <w:t>本单位注册，具有水利水电工程专业二级（含）以上注册建造师资格及B类安全生产考核合格证书</w:t>
            </w:r>
          </w:p>
        </w:tc>
        <w:tc>
          <w:tcPr>
            <w:tcW w:w="1199" w:type="dxa"/>
            <w:vAlign w:val="center"/>
          </w:tcPr>
          <w:p w14:paraId="648C0EDC">
            <w:pPr>
              <w:tabs>
                <w:tab w:val="left" w:pos="1080"/>
              </w:tabs>
              <w:snapToGrid w:val="0"/>
              <w:rPr>
                <w:rFonts w:hint="eastAsia" w:ascii="宋体" w:hAnsi="宋体"/>
                <w:color w:val="auto"/>
                <w:szCs w:val="21"/>
                <w:highlight w:val="none"/>
              </w:rPr>
            </w:pPr>
            <w:r>
              <w:rPr>
                <w:rFonts w:ascii="宋体" w:hAnsi="宋体"/>
                <w:color w:val="auto"/>
                <w:szCs w:val="21"/>
                <w:highlight w:val="none"/>
              </w:rPr>
              <w:t>提供证明文件的</w:t>
            </w:r>
            <w:r>
              <w:rPr>
                <w:rFonts w:hint="eastAsia" w:ascii="宋体" w:hAnsi="宋体"/>
                <w:color w:val="auto"/>
                <w:szCs w:val="21"/>
                <w:highlight w:val="none"/>
              </w:rPr>
              <w:t>复印件盖单位公章</w:t>
            </w:r>
          </w:p>
        </w:tc>
      </w:tr>
      <w:tr w14:paraId="4AE2E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4" w:hRule="atLeast"/>
        </w:trPr>
        <w:tc>
          <w:tcPr>
            <w:tcW w:w="812" w:type="dxa"/>
            <w:vAlign w:val="center"/>
          </w:tcPr>
          <w:p w14:paraId="4BCA4D23">
            <w:pPr>
              <w:tabs>
                <w:tab w:val="left" w:pos="1080"/>
              </w:tabs>
              <w:snapToGrid w:val="0"/>
              <w:jc w:val="center"/>
              <w:rPr>
                <w:rFonts w:hint="eastAsia" w:ascii="宋体" w:hAnsi="宋体"/>
                <w:color w:val="auto"/>
                <w:szCs w:val="21"/>
                <w:highlight w:val="none"/>
              </w:rPr>
            </w:pPr>
            <w:r>
              <w:rPr>
                <w:rFonts w:ascii="宋体" w:hAnsi="宋体"/>
                <w:color w:val="auto"/>
                <w:szCs w:val="21"/>
                <w:highlight w:val="none"/>
              </w:rPr>
              <w:t>4</w:t>
            </w:r>
          </w:p>
        </w:tc>
        <w:tc>
          <w:tcPr>
            <w:tcW w:w="2308" w:type="dxa"/>
            <w:vAlign w:val="center"/>
          </w:tcPr>
          <w:p w14:paraId="3779B81D">
            <w:pPr>
              <w:tabs>
                <w:tab w:val="left" w:pos="1080"/>
              </w:tabs>
              <w:snapToGrid w:val="0"/>
              <w:rPr>
                <w:rFonts w:hint="eastAsia" w:ascii="宋体" w:hAnsi="宋体"/>
                <w:color w:val="auto"/>
                <w:szCs w:val="21"/>
                <w:highlight w:val="none"/>
              </w:rPr>
            </w:pPr>
            <w:r>
              <w:rPr>
                <w:rFonts w:ascii="宋体" w:hAnsi="宋体"/>
                <w:color w:val="auto"/>
                <w:kern w:val="0"/>
                <w:szCs w:val="21"/>
                <w:highlight w:val="none"/>
              </w:rPr>
              <w:t>磋商保证金</w:t>
            </w:r>
          </w:p>
        </w:tc>
        <w:tc>
          <w:tcPr>
            <w:tcW w:w="4667" w:type="dxa"/>
            <w:vAlign w:val="center"/>
          </w:tcPr>
          <w:p w14:paraId="6C02F4B5">
            <w:pPr>
              <w:tabs>
                <w:tab w:val="left" w:pos="1080"/>
              </w:tabs>
              <w:snapToGrid w:val="0"/>
              <w:rPr>
                <w:rFonts w:hint="eastAsia" w:ascii="宋体" w:hAnsi="宋体"/>
                <w:color w:val="auto"/>
                <w:szCs w:val="21"/>
                <w:highlight w:val="none"/>
              </w:rPr>
            </w:pPr>
            <w:r>
              <w:rPr>
                <w:rFonts w:ascii="宋体" w:hAnsi="宋体"/>
                <w:color w:val="auto"/>
                <w:kern w:val="0"/>
                <w:szCs w:val="21"/>
                <w:highlight w:val="none"/>
              </w:rPr>
              <w:t>按照竞争性磋商文件的要求提交磋商保证金</w:t>
            </w:r>
            <w:r>
              <w:rPr>
                <w:rFonts w:hint="eastAsia" w:ascii="宋体" w:hAnsi="宋体"/>
                <w:color w:val="auto"/>
                <w:kern w:val="0"/>
                <w:szCs w:val="21"/>
                <w:highlight w:val="none"/>
              </w:rPr>
              <w:t>(如有)。</w:t>
            </w:r>
          </w:p>
        </w:tc>
        <w:tc>
          <w:tcPr>
            <w:tcW w:w="1199" w:type="dxa"/>
            <w:vAlign w:val="center"/>
          </w:tcPr>
          <w:p w14:paraId="43AB40F0">
            <w:pPr>
              <w:tabs>
                <w:tab w:val="left" w:pos="1080"/>
              </w:tabs>
              <w:snapToGrid w:val="0"/>
              <w:rPr>
                <w:rFonts w:hint="eastAsia" w:ascii="宋体" w:hAnsi="宋体"/>
                <w:color w:val="auto"/>
                <w:szCs w:val="21"/>
                <w:highlight w:val="none"/>
              </w:rPr>
            </w:pPr>
          </w:p>
        </w:tc>
      </w:tr>
    </w:tbl>
    <w:p w14:paraId="6BB1A38D">
      <w:pPr>
        <w:tabs>
          <w:tab w:val="left" w:pos="1080"/>
          <w:tab w:val="left" w:pos="1589"/>
        </w:tabs>
        <w:snapToGrid w:val="0"/>
        <w:spacing w:line="360" w:lineRule="auto"/>
        <w:ind w:left="568"/>
        <w:rPr>
          <w:rFonts w:hint="eastAsia" w:ascii="宋体" w:hAnsi="宋体"/>
          <w:color w:val="auto"/>
          <w:sz w:val="24"/>
          <w:highlight w:val="none"/>
        </w:rPr>
      </w:pPr>
    </w:p>
    <w:p w14:paraId="381FA396">
      <w:pPr>
        <w:tabs>
          <w:tab w:val="left" w:pos="1080"/>
          <w:tab w:val="left" w:pos="1589"/>
        </w:tabs>
        <w:snapToGrid w:val="0"/>
        <w:spacing w:line="360" w:lineRule="auto"/>
        <w:ind w:left="568"/>
        <w:rPr>
          <w:rFonts w:hint="eastAsia" w:ascii="宋体" w:hAnsi="宋体"/>
          <w:color w:val="auto"/>
          <w:sz w:val="24"/>
          <w:highlight w:val="none"/>
        </w:rPr>
      </w:pPr>
    </w:p>
    <w:p w14:paraId="4EE8F001">
      <w:pPr>
        <w:numPr>
          <w:ilvl w:val="1"/>
          <w:numId w:val="0"/>
        </w:numPr>
        <w:tabs>
          <w:tab w:val="left" w:pos="1080"/>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1.4《符合性审查要求》见下表：</w:t>
      </w:r>
    </w:p>
    <w:p w14:paraId="78DC8CAD">
      <w:pPr>
        <w:widowControl/>
        <w:spacing w:line="360" w:lineRule="auto"/>
        <w:jc w:val="center"/>
        <w:rPr>
          <w:rFonts w:hint="eastAsia" w:ascii="宋体" w:hAnsi="宋体"/>
          <w:b/>
          <w:color w:val="auto"/>
          <w:kern w:val="0"/>
          <w:sz w:val="24"/>
          <w:highlight w:val="none"/>
        </w:rPr>
      </w:pPr>
      <w:r>
        <w:rPr>
          <w:rFonts w:ascii="宋体" w:hAnsi="宋体"/>
          <w:b/>
          <w:color w:val="auto"/>
          <w:kern w:val="0"/>
          <w:sz w:val="24"/>
          <w:highlight w:val="none"/>
        </w:rPr>
        <w:t>符合性审查要求</w:t>
      </w:r>
    </w:p>
    <w:tbl>
      <w:tblPr>
        <w:tblStyle w:val="16"/>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1976"/>
        <w:gridCol w:w="4379"/>
        <w:gridCol w:w="1958"/>
      </w:tblGrid>
      <w:tr w14:paraId="0B305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71" w:type="dxa"/>
            <w:shd w:val="clear" w:color="000000" w:fill="FFFFFF"/>
            <w:vAlign w:val="center"/>
          </w:tcPr>
          <w:p w14:paraId="5A7DBFD1">
            <w:pPr>
              <w:widowControl/>
              <w:jc w:val="center"/>
              <w:rPr>
                <w:rFonts w:hint="eastAsia" w:ascii="宋体" w:hAnsi="宋体"/>
                <w:b/>
                <w:color w:val="auto"/>
                <w:kern w:val="0"/>
                <w:szCs w:val="21"/>
                <w:highlight w:val="none"/>
              </w:rPr>
            </w:pPr>
            <w:r>
              <w:rPr>
                <w:rFonts w:ascii="宋体" w:hAnsi="宋体"/>
                <w:b/>
                <w:color w:val="auto"/>
                <w:kern w:val="0"/>
                <w:szCs w:val="21"/>
                <w:highlight w:val="none"/>
              </w:rPr>
              <w:t>序号</w:t>
            </w:r>
          </w:p>
        </w:tc>
        <w:tc>
          <w:tcPr>
            <w:tcW w:w="1976" w:type="dxa"/>
            <w:shd w:val="clear" w:color="000000" w:fill="FFFFFF"/>
            <w:vAlign w:val="center"/>
          </w:tcPr>
          <w:p w14:paraId="7CCB3843">
            <w:pPr>
              <w:widowControl/>
              <w:jc w:val="center"/>
              <w:rPr>
                <w:rFonts w:hint="eastAsia" w:ascii="宋体" w:hAnsi="宋体"/>
                <w:b/>
                <w:color w:val="auto"/>
                <w:kern w:val="0"/>
                <w:szCs w:val="21"/>
                <w:highlight w:val="none"/>
              </w:rPr>
            </w:pPr>
            <w:r>
              <w:rPr>
                <w:rFonts w:ascii="宋体" w:hAnsi="宋体"/>
                <w:b/>
                <w:color w:val="auto"/>
                <w:szCs w:val="21"/>
                <w:highlight w:val="none"/>
              </w:rPr>
              <w:t>检查</w:t>
            </w:r>
            <w:r>
              <w:rPr>
                <w:rFonts w:ascii="宋体" w:hAnsi="宋体"/>
                <w:b/>
                <w:color w:val="auto"/>
                <w:kern w:val="0"/>
                <w:szCs w:val="21"/>
                <w:highlight w:val="none"/>
              </w:rPr>
              <w:t>因素</w:t>
            </w:r>
          </w:p>
        </w:tc>
        <w:tc>
          <w:tcPr>
            <w:tcW w:w="4379" w:type="dxa"/>
            <w:shd w:val="clear" w:color="000000" w:fill="FFFFFF"/>
            <w:vAlign w:val="center"/>
          </w:tcPr>
          <w:p w14:paraId="28363DA4">
            <w:pPr>
              <w:widowControl/>
              <w:jc w:val="center"/>
              <w:rPr>
                <w:rFonts w:hint="eastAsia" w:ascii="宋体" w:hAnsi="宋体"/>
                <w:b/>
                <w:color w:val="auto"/>
                <w:kern w:val="0"/>
                <w:szCs w:val="21"/>
                <w:highlight w:val="none"/>
              </w:rPr>
            </w:pPr>
            <w:r>
              <w:rPr>
                <w:rFonts w:ascii="宋体" w:hAnsi="宋体"/>
                <w:b/>
                <w:color w:val="auto"/>
                <w:szCs w:val="21"/>
                <w:highlight w:val="none"/>
              </w:rPr>
              <w:t>检查</w:t>
            </w:r>
            <w:r>
              <w:rPr>
                <w:rFonts w:ascii="宋体" w:hAnsi="宋体"/>
                <w:b/>
                <w:color w:val="auto"/>
                <w:kern w:val="0"/>
                <w:szCs w:val="21"/>
                <w:highlight w:val="none"/>
              </w:rPr>
              <w:t>内容</w:t>
            </w:r>
          </w:p>
        </w:tc>
        <w:tc>
          <w:tcPr>
            <w:tcW w:w="1958" w:type="dxa"/>
            <w:shd w:val="clear" w:color="000000" w:fill="FFFFFF"/>
            <w:vAlign w:val="center"/>
          </w:tcPr>
          <w:p w14:paraId="31F0D00E">
            <w:pPr>
              <w:widowControl/>
              <w:jc w:val="center"/>
              <w:rPr>
                <w:rFonts w:hint="eastAsia" w:ascii="宋体" w:hAnsi="宋体"/>
                <w:b/>
                <w:color w:val="auto"/>
                <w:kern w:val="0"/>
                <w:szCs w:val="21"/>
                <w:highlight w:val="none"/>
              </w:rPr>
            </w:pPr>
            <w:r>
              <w:rPr>
                <w:rFonts w:ascii="宋体" w:hAnsi="宋体"/>
                <w:b/>
                <w:color w:val="auto"/>
                <w:kern w:val="0"/>
                <w:szCs w:val="21"/>
                <w:highlight w:val="none"/>
              </w:rPr>
              <w:t>是否允许澄清、说明或者更正</w:t>
            </w:r>
          </w:p>
        </w:tc>
      </w:tr>
      <w:tr w14:paraId="10BF3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871" w:type="dxa"/>
            <w:shd w:val="clear" w:color="000000" w:fill="FFFFFF"/>
            <w:vAlign w:val="center"/>
          </w:tcPr>
          <w:p w14:paraId="6B4B9EF3">
            <w:pPr>
              <w:tabs>
                <w:tab w:val="left" w:pos="1080"/>
              </w:tabs>
              <w:snapToGrid w:val="0"/>
              <w:jc w:val="center"/>
              <w:rPr>
                <w:rFonts w:hint="eastAsia" w:ascii="宋体" w:hAnsi="宋体"/>
                <w:color w:val="auto"/>
                <w:szCs w:val="21"/>
                <w:highlight w:val="none"/>
              </w:rPr>
            </w:pPr>
            <w:r>
              <w:rPr>
                <w:rFonts w:hint="eastAsia" w:ascii="宋体" w:hAnsi="宋体"/>
                <w:color w:val="auto"/>
                <w:szCs w:val="21"/>
                <w:highlight w:val="none"/>
              </w:rPr>
              <w:t>1</w:t>
            </w:r>
          </w:p>
        </w:tc>
        <w:tc>
          <w:tcPr>
            <w:tcW w:w="1976" w:type="dxa"/>
            <w:shd w:val="clear" w:color="000000" w:fill="FFFFFF"/>
            <w:vAlign w:val="center"/>
          </w:tcPr>
          <w:p w14:paraId="228D860E">
            <w:pPr>
              <w:tabs>
                <w:tab w:val="left" w:pos="1080"/>
              </w:tabs>
              <w:snapToGrid w:val="0"/>
              <w:rPr>
                <w:rFonts w:hint="eastAsia" w:ascii="宋体" w:hAnsi="宋体"/>
                <w:color w:val="auto"/>
                <w:szCs w:val="21"/>
                <w:highlight w:val="none"/>
              </w:rPr>
            </w:pPr>
            <w:r>
              <w:rPr>
                <w:rFonts w:hint="eastAsia" w:ascii="宋体" w:hAnsi="宋体"/>
                <w:color w:val="auto"/>
                <w:szCs w:val="21"/>
                <w:highlight w:val="none"/>
              </w:rPr>
              <w:t>响应文件签字盖章</w:t>
            </w:r>
          </w:p>
        </w:tc>
        <w:tc>
          <w:tcPr>
            <w:tcW w:w="4379" w:type="dxa"/>
            <w:shd w:val="clear" w:color="000000" w:fill="FFFFFF"/>
            <w:vAlign w:val="center"/>
          </w:tcPr>
          <w:p w14:paraId="2E96A43B">
            <w:pPr>
              <w:tabs>
                <w:tab w:val="left" w:pos="1080"/>
              </w:tabs>
              <w:snapToGrid w:val="0"/>
              <w:rPr>
                <w:rFonts w:hint="eastAsia" w:ascii="宋体" w:hAnsi="宋体"/>
                <w:color w:val="auto"/>
                <w:szCs w:val="21"/>
                <w:highlight w:val="none"/>
              </w:rPr>
            </w:pPr>
            <w:r>
              <w:rPr>
                <w:rFonts w:hint="eastAsia" w:ascii="宋体" w:hAnsi="宋体"/>
                <w:color w:val="auto"/>
                <w:szCs w:val="21"/>
                <w:highlight w:val="none"/>
              </w:rPr>
              <w:t>相应文件均按磋商文件要求加盖供应商公章，或法定代表人或其委托代理人签字或盖章。</w:t>
            </w:r>
          </w:p>
        </w:tc>
        <w:tc>
          <w:tcPr>
            <w:tcW w:w="1958" w:type="dxa"/>
            <w:shd w:val="clear" w:color="000000" w:fill="FFFFFF"/>
            <w:vAlign w:val="center"/>
          </w:tcPr>
          <w:p w14:paraId="0D9C4BB7">
            <w:pPr>
              <w:tabs>
                <w:tab w:val="left" w:pos="1080"/>
              </w:tabs>
              <w:snapToGrid w:val="0"/>
              <w:jc w:val="center"/>
              <w:rPr>
                <w:rFonts w:hint="eastAsia" w:ascii="宋体" w:hAnsi="宋体"/>
                <w:color w:val="auto"/>
                <w:szCs w:val="21"/>
                <w:highlight w:val="none"/>
              </w:rPr>
            </w:pPr>
            <w:r>
              <w:rPr>
                <w:rFonts w:hint="eastAsia" w:ascii="宋体" w:hAnsi="宋体"/>
                <w:color w:val="auto"/>
                <w:szCs w:val="21"/>
                <w:highlight w:val="none"/>
              </w:rPr>
              <w:t>否</w:t>
            </w:r>
          </w:p>
        </w:tc>
      </w:tr>
      <w:tr w14:paraId="36A9C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871" w:type="dxa"/>
            <w:shd w:val="clear" w:color="000000" w:fill="FFFFFF"/>
            <w:vAlign w:val="center"/>
          </w:tcPr>
          <w:p w14:paraId="693C6214">
            <w:pPr>
              <w:tabs>
                <w:tab w:val="left" w:pos="1080"/>
              </w:tabs>
              <w:snapToGrid w:val="0"/>
              <w:jc w:val="center"/>
              <w:rPr>
                <w:rFonts w:hint="eastAsia" w:ascii="宋体" w:hAnsi="宋体"/>
                <w:color w:val="auto"/>
                <w:szCs w:val="21"/>
                <w:highlight w:val="none"/>
              </w:rPr>
            </w:pPr>
            <w:r>
              <w:rPr>
                <w:rFonts w:hint="eastAsia" w:ascii="宋体" w:hAnsi="宋体"/>
                <w:color w:val="auto"/>
                <w:szCs w:val="21"/>
                <w:highlight w:val="none"/>
              </w:rPr>
              <w:t>2</w:t>
            </w:r>
          </w:p>
        </w:tc>
        <w:tc>
          <w:tcPr>
            <w:tcW w:w="1976" w:type="dxa"/>
            <w:shd w:val="clear" w:color="000000" w:fill="FFFFFF"/>
            <w:vAlign w:val="center"/>
          </w:tcPr>
          <w:p w14:paraId="0C3C700A">
            <w:pPr>
              <w:tabs>
                <w:tab w:val="left" w:pos="1080"/>
              </w:tabs>
              <w:snapToGrid w:val="0"/>
              <w:rPr>
                <w:rFonts w:hint="eastAsia" w:ascii="宋体" w:hAnsi="宋体"/>
                <w:color w:val="auto"/>
                <w:szCs w:val="21"/>
                <w:highlight w:val="none"/>
              </w:rPr>
            </w:pPr>
            <w:r>
              <w:rPr>
                <w:rFonts w:hint="eastAsia" w:ascii="宋体" w:hAnsi="宋体"/>
                <w:color w:val="auto"/>
                <w:szCs w:val="21"/>
                <w:highlight w:val="none"/>
              </w:rPr>
              <w:t>磋商报价唯一</w:t>
            </w:r>
          </w:p>
        </w:tc>
        <w:tc>
          <w:tcPr>
            <w:tcW w:w="4379" w:type="dxa"/>
            <w:shd w:val="clear" w:color="000000" w:fill="FFFFFF"/>
            <w:vAlign w:val="center"/>
          </w:tcPr>
          <w:p w14:paraId="2853400F">
            <w:pPr>
              <w:tabs>
                <w:tab w:val="left" w:pos="1080"/>
              </w:tabs>
              <w:snapToGrid w:val="0"/>
              <w:rPr>
                <w:rFonts w:hint="eastAsia" w:ascii="宋体" w:hAnsi="宋体"/>
                <w:color w:val="auto"/>
                <w:szCs w:val="21"/>
                <w:highlight w:val="none"/>
              </w:rPr>
            </w:pPr>
            <w:r>
              <w:rPr>
                <w:rFonts w:hint="eastAsia" w:ascii="宋体" w:hAnsi="宋体"/>
                <w:color w:val="auto"/>
                <w:szCs w:val="21"/>
                <w:highlight w:val="none"/>
              </w:rPr>
              <w:t>供应商是否存在提交两份或多份内容不同的响应文件，或在一份响应文件中对本招标项目报有两个或多个报价</w:t>
            </w:r>
          </w:p>
        </w:tc>
        <w:tc>
          <w:tcPr>
            <w:tcW w:w="1958" w:type="dxa"/>
            <w:shd w:val="clear" w:color="000000" w:fill="FFFFFF"/>
            <w:vAlign w:val="center"/>
          </w:tcPr>
          <w:p w14:paraId="2A39225A">
            <w:pPr>
              <w:tabs>
                <w:tab w:val="left" w:pos="1080"/>
              </w:tabs>
              <w:snapToGrid w:val="0"/>
              <w:jc w:val="center"/>
              <w:rPr>
                <w:rFonts w:hint="eastAsia" w:ascii="宋体" w:hAnsi="宋体"/>
                <w:color w:val="auto"/>
                <w:szCs w:val="21"/>
                <w:highlight w:val="none"/>
              </w:rPr>
            </w:pPr>
            <w:r>
              <w:rPr>
                <w:rFonts w:hint="eastAsia" w:ascii="宋体" w:hAnsi="宋体"/>
                <w:color w:val="auto"/>
                <w:szCs w:val="21"/>
                <w:highlight w:val="none"/>
              </w:rPr>
              <w:t>否</w:t>
            </w:r>
          </w:p>
        </w:tc>
      </w:tr>
      <w:tr w14:paraId="4AEDB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871" w:type="dxa"/>
            <w:shd w:val="clear" w:color="000000" w:fill="FFFFFF"/>
            <w:vAlign w:val="center"/>
          </w:tcPr>
          <w:p w14:paraId="6C68B360">
            <w:pPr>
              <w:tabs>
                <w:tab w:val="left" w:pos="1080"/>
              </w:tabs>
              <w:snapToGrid w:val="0"/>
              <w:jc w:val="center"/>
              <w:rPr>
                <w:rFonts w:hint="eastAsia" w:ascii="宋体" w:hAnsi="宋体"/>
                <w:color w:val="auto"/>
                <w:szCs w:val="21"/>
                <w:highlight w:val="none"/>
              </w:rPr>
            </w:pPr>
            <w:r>
              <w:rPr>
                <w:rFonts w:hint="eastAsia" w:ascii="宋体" w:hAnsi="宋体"/>
                <w:color w:val="auto"/>
                <w:szCs w:val="21"/>
                <w:highlight w:val="none"/>
              </w:rPr>
              <w:t>3</w:t>
            </w:r>
          </w:p>
        </w:tc>
        <w:tc>
          <w:tcPr>
            <w:tcW w:w="1976" w:type="dxa"/>
            <w:shd w:val="clear" w:color="000000" w:fill="FFFFFF"/>
            <w:vAlign w:val="center"/>
          </w:tcPr>
          <w:p w14:paraId="404C4A7C">
            <w:pPr>
              <w:tabs>
                <w:tab w:val="left" w:pos="1080"/>
              </w:tabs>
              <w:snapToGrid w:val="0"/>
              <w:rPr>
                <w:rFonts w:hint="eastAsia" w:ascii="宋体" w:hAnsi="宋体"/>
                <w:color w:val="auto"/>
                <w:szCs w:val="21"/>
                <w:highlight w:val="none"/>
              </w:rPr>
            </w:pPr>
            <w:r>
              <w:rPr>
                <w:rFonts w:hint="eastAsia" w:ascii="宋体" w:hAnsi="宋体"/>
                <w:color w:val="auto"/>
                <w:szCs w:val="21"/>
                <w:highlight w:val="none"/>
              </w:rPr>
              <w:t>磋商报价</w:t>
            </w:r>
          </w:p>
        </w:tc>
        <w:tc>
          <w:tcPr>
            <w:tcW w:w="4379" w:type="dxa"/>
            <w:shd w:val="clear" w:color="000000" w:fill="FFFFFF"/>
            <w:vAlign w:val="center"/>
          </w:tcPr>
          <w:p w14:paraId="66192B23">
            <w:pPr>
              <w:tabs>
                <w:tab w:val="left" w:pos="1080"/>
              </w:tabs>
              <w:snapToGrid w:val="0"/>
              <w:rPr>
                <w:rFonts w:hint="eastAsia" w:ascii="宋体" w:hAnsi="宋体"/>
                <w:color w:val="auto"/>
                <w:szCs w:val="21"/>
                <w:highlight w:val="none"/>
              </w:rPr>
            </w:pPr>
            <w:r>
              <w:rPr>
                <w:rFonts w:hint="eastAsia" w:ascii="宋体" w:hAnsi="宋体"/>
                <w:color w:val="auto"/>
                <w:szCs w:val="21"/>
                <w:highlight w:val="none"/>
              </w:rPr>
              <w:t>磋商报价未超出磋商文件要求</w:t>
            </w:r>
          </w:p>
        </w:tc>
        <w:tc>
          <w:tcPr>
            <w:tcW w:w="1958" w:type="dxa"/>
            <w:shd w:val="clear" w:color="000000" w:fill="FFFFFF"/>
            <w:vAlign w:val="center"/>
          </w:tcPr>
          <w:p w14:paraId="6A8D7E88">
            <w:pPr>
              <w:tabs>
                <w:tab w:val="left" w:pos="1080"/>
              </w:tabs>
              <w:snapToGrid w:val="0"/>
              <w:jc w:val="center"/>
              <w:rPr>
                <w:rFonts w:hint="eastAsia" w:ascii="宋体" w:hAnsi="宋体"/>
                <w:color w:val="auto"/>
                <w:szCs w:val="21"/>
                <w:highlight w:val="none"/>
              </w:rPr>
            </w:pPr>
            <w:r>
              <w:rPr>
                <w:rFonts w:hint="eastAsia" w:ascii="宋体" w:hAnsi="宋体"/>
                <w:color w:val="auto"/>
                <w:szCs w:val="21"/>
                <w:highlight w:val="none"/>
              </w:rPr>
              <w:t>否</w:t>
            </w:r>
          </w:p>
        </w:tc>
      </w:tr>
      <w:tr w14:paraId="0A338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871" w:type="dxa"/>
            <w:shd w:val="clear" w:color="000000" w:fill="FFFFFF"/>
            <w:vAlign w:val="center"/>
          </w:tcPr>
          <w:p w14:paraId="3D40CFB6">
            <w:pPr>
              <w:tabs>
                <w:tab w:val="left" w:pos="1080"/>
              </w:tabs>
              <w:snapToGrid w:val="0"/>
              <w:jc w:val="center"/>
              <w:rPr>
                <w:rFonts w:hint="eastAsia" w:ascii="宋体" w:hAnsi="宋体"/>
                <w:color w:val="auto"/>
                <w:szCs w:val="21"/>
                <w:highlight w:val="none"/>
              </w:rPr>
            </w:pPr>
            <w:r>
              <w:rPr>
                <w:rFonts w:hint="eastAsia" w:ascii="宋体" w:hAnsi="宋体"/>
                <w:color w:val="auto"/>
                <w:szCs w:val="21"/>
                <w:highlight w:val="none"/>
              </w:rPr>
              <w:t>4</w:t>
            </w:r>
          </w:p>
        </w:tc>
        <w:tc>
          <w:tcPr>
            <w:tcW w:w="1976" w:type="dxa"/>
            <w:shd w:val="clear" w:color="000000" w:fill="FFFFFF"/>
            <w:vAlign w:val="center"/>
          </w:tcPr>
          <w:p w14:paraId="3CF9EE74">
            <w:pPr>
              <w:tabs>
                <w:tab w:val="left" w:pos="1080"/>
              </w:tabs>
              <w:snapToGrid w:val="0"/>
              <w:rPr>
                <w:rFonts w:hint="eastAsia" w:ascii="宋体" w:hAnsi="宋体"/>
                <w:color w:val="auto"/>
                <w:szCs w:val="21"/>
                <w:highlight w:val="none"/>
              </w:rPr>
            </w:pPr>
            <w:r>
              <w:rPr>
                <w:rFonts w:hint="eastAsia" w:ascii="宋体" w:hAnsi="宋体"/>
                <w:color w:val="auto"/>
                <w:szCs w:val="21"/>
                <w:highlight w:val="none"/>
              </w:rPr>
              <w:t>是否按磋商文件要求进行密封、装订</w:t>
            </w:r>
          </w:p>
        </w:tc>
        <w:tc>
          <w:tcPr>
            <w:tcW w:w="4379" w:type="dxa"/>
            <w:shd w:val="clear" w:color="000000" w:fill="FFFFFF"/>
            <w:vAlign w:val="center"/>
          </w:tcPr>
          <w:p w14:paraId="15B9B4DA">
            <w:pPr>
              <w:tabs>
                <w:tab w:val="left" w:pos="1080"/>
              </w:tabs>
              <w:snapToGrid w:val="0"/>
              <w:rPr>
                <w:rFonts w:hint="eastAsia" w:ascii="宋体" w:hAnsi="宋体"/>
                <w:color w:val="auto"/>
                <w:szCs w:val="21"/>
                <w:highlight w:val="none"/>
              </w:rPr>
            </w:pPr>
            <w:r>
              <w:rPr>
                <w:rFonts w:hint="eastAsia" w:ascii="宋体" w:hAnsi="宋体"/>
                <w:color w:val="auto"/>
                <w:szCs w:val="21"/>
                <w:highlight w:val="none"/>
              </w:rPr>
              <w:t>是否按磋商文件要求进行密封、装订</w:t>
            </w:r>
          </w:p>
        </w:tc>
        <w:tc>
          <w:tcPr>
            <w:tcW w:w="1958" w:type="dxa"/>
            <w:shd w:val="clear" w:color="000000" w:fill="FFFFFF"/>
            <w:vAlign w:val="center"/>
          </w:tcPr>
          <w:p w14:paraId="1BC59E43">
            <w:pPr>
              <w:tabs>
                <w:tab w:val="left" w:pos="1080"/>
              </w:tabs>
              <w:snapToGrid w:val="0"/>
              <w:jc w:val="center"/>
              <w:rPr>
                <w:rFonts w:hint="eastAsia" w:ascii="宋体" w:hAnsi="宋体"/>
                <w:color w:val="auto"/>
                <w:szCs w:val="21"/>
                <w:highlight w:val="none"/>
              </w:rPr>
            </w:pPr>
            <w:r>
              <w:rPr>
                <w:rFonts w:hint="eastAsia" w:ascii="宋体" w:hAnsi="宋体"/>
                <w:color w:val="auto"/>
                <w:szCs w:val="21"/>
                <w:highlight w:val="none"/>
              </w:rPr>
              <w:t>否</w:t>
            </w:r>
          </w:p>
        </w:tc>
      </w:tr>
      <w:tr w14:paraId="25ECA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871" w:type="dxa"/>
            <w:shd w:val="clear" w:color="000000" w:fill="FFFFFF"/>
            <w:vAlign w:val="center"/>
          </w:tcPr>
          <w:p w14:paraId="3A51189C">
            <w:pPr>
              <w:tabs>
                <w:tab w:val="left" w:pos="1080"/>
              </w:tabs>
              <w:snapToGrid w:val="0"/>
              <w:jc w:val="center"/>
              <w:rPr>
                <w:rFonts w:hint="eastAsia" w:ascii="宋体" w:hAnsi="宋体"/>
                <w:color w:val="auto"/>
                <w:szCs w:val="21"/>
                <w:highlight w:val="none"/>
              </w:rPr>
            </w:pPr>
            <w:r>
              <w:rPr>
                <w:rFonts w:hint="eastAsia" w:ascii="宋体" w:hAnsi="宋体"/>
                <w:color w:val="auto"/>
                <w:szCs w:val="21"/>
                <w:highlight w:val="none"/>
              </w:rPr>
              <w:t>5</w:t>
            </w:r>
          </w:p>
        </w:tc>
        <w:tc>
          <w:tcPr>
            <w:tcW w:w="1976" w:type="dxa"/>
            <w:shd w:val="clear" w:color="000000" w:fill="FFFFFF"/>
            <w:vAlign w:val="center"/>
          </w:tcPr>
          <w:p w14:paraId="1AF7DEEC">
            <w:pPr>
              <w:tabs>
                <w:tab w:val="left" w:pos="1080"/>
              </w:tabs>
              <w:snapToGrid w:val="0"/>
              <w:rPr>
                <w:rFonts w:hint="eastAsia" w:ascii="宋体" w:hAnsi="宋体"/>
                <w:color w:val="auto"/>
                <w:szCs w:val="21"/>
                <w:highlight w:val="none"/>
              </w:rPr>
            </w:pPr>
            <w:r>
              <w:rPr>
                <w:rFonts w:hint="eastAsia" w:ascii="宋体" w:hAnsi="宋体"/>
                <w:color w:val="auto"/>
                <w:szCs w:val="21"/>
                <w:highlight w:val="none"/>
              </w:rPr>
              <w:t>磋商有效期</w:t>
            </w:r>
          </w:p>
        </w:tc>
        <w:tc>
          <w:tcPr>
            <w:tcW w:w="4379" w:type="dxa"/>
            <w:shd w:val="clear" w:color="000000" w:fill="FFFFFF"/>
            <w:vAlign w:val="center"/>
          </w:tcPr>
          <w:p w14:paraId="73FBC56C">
            <w:pPr>
              <w:tabs>
                <w:tab w:val="left" w:pos="1080"/>
              </w:tabs>
              <w:snapToGrid w:val="0"/>
              <w:rPr>
                <w:rFonts w:hint="eastAsia" w:ascii="宋体" w:hAnsi="宋体"/>
                <w:color w:val="auto"/>
                <w:szCs w:val="21"/>
                <w:highlight w:val="none"/>
              </w:rPr>
            </w:pPr>
            <w:r>
              <w:rPr>
                <w:rFonts w:hint="eastAsia" w:ascii="宋体" w:hAnsi="宋体"/>
                <w:color w:val="auto"/>
                <w:szCs w:val="21"/>
                <w:highlight w:val="none"/>
              </w:rPr>
              <w:t>磋商有效期满足磋商文件要求</w:t>
            </w:r>
          </w:p>
        </w:tc>
        <w:tc>
          <w:tcPr>
            <w:tcW w:w="1958" w:type="dxa"/>
            <w:shd w:val="clear" w:color="000000" w:fill="FFFFFF"/>
            <w:vAlign w:val="center"/>
          </w:tcPr>
          <w:p w14:paraId="3DCB01BC">
            <w:pPr>
              <w:tabs>
                <w:tab w:val="left" w:pos="1080"/>
              </w:tabs>
              <w:snapToGrid w:val="0"/>
              <w:jc w:val="center"/>
              <w:rPr>
                <w:rFonts w:hint="eastAsia" w:ascii="宋体" w:hAnsi="宋体"/>
                <w:color w:val="auto"/>
                <w:szCs w:val="21"/>
                <w:highlight w:val="none"/>
              </w:rPr>
            </w:pPr>
            <w:r>
              <w:rPr>
                <w:rFonts w:hint="eastAsia" w:ascii="宋体" w:hAnsi="宋体"/>
                <w:color w:val="auto"/>
                <w:szCs w:val="21"/>
                <w:highlight w:val="none"/>
              </w:rPr>
              <w:t>否</w:t>
            </w:r>
          </w:p>
        </w:tc>
      </w:tr>
      <w:tr w14:paraId="79ED9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871" w:type="dxa"/>
            <w:shd w:val="clear" w:color="000000" w:fill="FFFFFF"/>
            <w:vAlign w:val="center"/>
          </w:tcPr>
          <w:p w14:paraId="668A1962">
            <w:pPr>
              <w:tabs>
                <w:tab w:val="left" w:pos="1080"/>
              </w:tabs>
              <w:snapToGrid w:val="0"/>
              <w:jc w:val="center"/>
              <w:rPr>
                <w:rFonts w:hint="eastAsia" w:ascii="宋体" w:hAnsi="宋体"/>
                <w:color w:val="auto"/>
                <w:szCs w:val="21"/>
                <w:highlight w:val="none"/>
              </w:rPr>
            </w:pPr>
            <w:r>
              <w:rPr>
                <w:rFonts w:hint="eastAsia" w:ascii="宋体" w:hAnsi="宋体"/>
                <w:color w:val="auto"/>
                <w:szCs w:val="21"/>
                <w:highlight w:val="none"/>
              </w:rPr>
              <w:t>6</w:t>
            </w:r>
          </w:p>
        </w:tc>
        <w:tc>
          <w:tcPr>
            <w:tcW w:w="1976" w:type="dxa"/>
            <w:shd w:val="clear" w:color="000000" w:fill="FFFFFF"/>
            <w:vAlign w:val="center"/>
          </w:tcPr>
          <w:p w14:paraId="6381D9EA">
            <w:pPr>
              <w:tabs>
                <w:tab w:val="left" w:pos="1080"/>
              </w:tabs>
              <w:snapToGrid w:val="0"/>
              <w:rPr>
                <w:rFonts w:hint="eastAsia" w:ascii="宋体" w:hAnsi="宋体"/>
                <w:color w:val="auto"/>
                <w:szCs w:val="21"/>
                <w:highlight w:val="none"/>
              </w:rPr>
            </w:pPr>
            <w:r>
              <w:rPr>
                <w:rFonts w:hint="eastAsia" w:ascii="宋体" w:hAnsi="宋体"/>
                <w:color w:val="auto"/>
                <w:szCs w:val="21"/>
                <w:highlight w:val="none"/>
              </w:rPr>
              <w:t>合同履行期限</w:t>
            </w:r>
          </w:p>
        </w:tc>
        <w:tc>
          <w:tcPr>
            <w:tcW w:w="4379" w:type="dxa"/>
            <w:shd w:val="clear" w:color="000000" w:fill="FFFFFF"/>
            <w:vAlign w:val="center"/>
          </w:tcPr>
          <w:p w14:paraId="7B236F1D">
            <w:pPr>
              <w:tabs>
                <w:tab w:val="left" w:pos="1080"/>
              </w:tabs>
              <w:snapToGrid w:val="0"/>
              <w:rPr>
                <w:rFonts w:hint="eastAsia" w:ascii="宋体" w:hAnsi="宋体"/>
                <w:color w:val="auto"/>
                <w:szCs w:val="21"/>
                <w:highlight w:val="none"/>
              </w:rPr>
            </w:pPr>
            <w:r>
              <w:rPr>
                <w:rFonts w:hint="eastAsia" w:ascii="宋体" w:hAnsi="宋体"/>
                <w:color w:val="auto"/>
                <w:szCs w:val="21"/>
                <w:highlight w:val="none"/>
              </w:rPr>
              <w:t>服务期（或者工期）</w:t>
            </w:r>
            <w:r>
              <w:rPr>
                <w:rFonts w:ascii="宋体" w:hAnsi="宋体"/>
                <w:color w:val="auto"/>
                <w:szCs w:val="21"/>
                <w:highlight w:val="none"/>
              </w:rPr>
              <w:t>是否满足</w:t>
            </w:r>
            <w:r>
              <w:rPr>
                <w:rFonts w:hint="eastAsia" w:ascii="宋体" w:hAnsi="宋体"/>
                <w:color w:val="auto"/>
                <w:szCs w:val="21"/>
                <w:highlight w:val="none"/>
              </w:rPr>
              <w:t>磋商</w:t>
            </w:r>
            <w:r>
              <w:rPr>
                <w:rFonts w:ascii="宋体" w:hAnsi="宋体"/>
                <w:color w:val="auto"/>
                <w:szCs w:val="21"/>
                <w:highlight w:val="none"/>
              </w:rPr>
              <w:t>文件要求</w:t>
            </w:r>
          </w:p>
        </w:tc>
        <w:tc>
          <w:tcPr>
            <w:tcW w:w="1958" w:type="dxa"/>
            <w:shd w:val="clear" w:color="000000" w:fill="FFFFFF"/>
            <w:vAlign w:val="center"/>
          </w:tcPr>
          <w:p w14:paraId="40E7AB77">
            <w:pPr>
              <w:tabs>
                <w:tab w:val="left" w:pos="1080"/>
              </w:tabs>
              <w:snapToGrid w:val="0"/>
              <w:jc w:val="center"/>
              <w:rPr>
                <w:rFonts w:hint="eastAsia" w:ascii="宋体" w:hAnsi="宋体"/>
                <w:color w:val="auto"/>
                <w:szCs w:val="21"/>
                <w:highlight w:val="none"/>
              </w:rPr>
            </w:pPr>
          </w:p>
        </w:tc>
      </w:tr>
      <w:tr w14:paraId="2E646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871" w:type="dxa"/>
            <w:shd w:val="clear" w:color="000000" w:fill="FFFFFF"/>
            <w:vAlign w:val="center"/>
          </w:tcPr>
          <w:p w14:paraId="27C128D4">
            <w:pPr>
              <w:tabs>
                <w:tab w:val="left" w:pos="1080"/>
              </w:tabs>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7</w:t>
            </w:r>
          </w:p>
        </w:tc>
        <w:tc>
          <w:tcPr>
            <w:tcW w:w="1976" w:type="dxa"/>
            <w:shd w:val="clear" w:color="000000" w:fill="FFFFFF"/>
            <w:vAlign w:val="center"/>
          </w:tcPr>
          <w:p w14:paraId="6D2E157A">
            <w:pPr>
              <w:tabs>
                <w:tab w:val="left" w:pos="1080"/>
              </w:tabs>
              <w:snapToGrid w:val="0"/>
              <w:spacing w:line="360" w:lineRule="auto"/>
              <w:rPr>
                <w:rFonts w:hint="eastAsia" w:ascii="宋体" w:hAnsi="宋体"/>
                <w:color w:val="auto"/>
                <w:szCs w:val="21"/>
                <w:highlight w:val="none"/>
              </w:rPr>
            </w:pPr>
            <w:r>
              <w:rPr>
                <w:rFonts w:hint="eastAsia" w:ascii="宋体" w:hAnsi="宋体"/>
                <w:color w:val="auto"/>
                <w:szCs w:val="21"/>
                <w:highlight w:val="none"/>
              </w:rPr>
              <w:t>其他条款</w:t>
            </w:r>
          </w:p>
        </w:tc>
        <w:tc>
          <w:tcPr>
            <w:tcW w:w="4379" w:type="dxa"/>
            <w:shd w:val="clear" w:color="000000" w:fill="FFFFFF"/>
            <w:vAlign w:val="center"/>
          </w:tcPr>
          <w:p w14:paraId="46FD3D68">
            <w:pPr>
              <w:tabs>
                <w:tab w:val="left" w:pos="1080"/>
              </w:tabs>
              <w:snapToGrid w:val="0"/>
              <w:spacing w:line="360" w:lineRule="auto"/>
              <w:rPr>
                <w:rFonts w:hint="eastAsia" w:ascii="宋体" w:hAnsi="宋体"/>
                <w:color w:val="auto"/>
                <w:szCs w:val="21"/>
                <w:highlight w:val="none"/>
              </w:rPr>
            </w:pPr>
            <w:r>
              <w:rPr>
                <w:rFonts w:hint="eastAsia" w:ascii="宋体" w:hAnsi="宋体"/>
                <w:color w:val="auto"/>
                <w:szCs w:val="21"/>
                <w:highlight w:val="none"/>
              </w:rPr>
              <w:t>供应商是否存在《政府采购法》等相关法律法规等规定的废标条件</w:t>
            </w:r>
          </w:p>
        </w:tc>
        <w:tc>
          <w:tcPr>
            <w:tcW w:w="1958" w:type="dxa"/>
            <w:shd w:val="clear" w:color="000000" w:fill="FFFFFF"/>
            <w:vAlign w:val="center"/>
          </w:tcPr>
          <w:p w14:paraId="291633C0">
            <w:pPr>
              <w:tabs>
                <w:tab w:val="left" w:pos="1080"/>
              </w:tabs>
              <w:snapToGrid w:val="0"/>
              <w:spacing w:line="360" w:lineRule="auto"/>
              <w:jc w:val="center"/>
              <w:rPr>
                <w:rFonts w:hint="eastAsia" w:ascii="宋体" w:hAnsi="宋体"/>
                <w:color w:val="auto"/>
                <w:szCs w:val="21"/>
                <w:highlight w:val="none"/>
              </w:rPr>
            </w:pPr>
          </w:p>
        </w:tc>
      </w:tr>
    </w:tbl>
    <w:p w14:paraId="375C97CB">
      <w:pPr>
        <w:tabs>
          <w:tab w:val="left" w:pos="360"/>
        </w:tabs>
        <w:snapToGrid w:val="0"/>
        <w:spacing w:line="360" w:lineRule="auto"/>
        <w:ind w:left="902" w:hanging="902"/>
        <w:outlineLvl w:val="2"/>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磋商、响应文件有关事项的澄清、说明或者更正和最后报价</w:t>
      </w:r>
    </w:p>
    <w:p w14:paraId="7C47A785">
      <w:pPr>
        <w:numPr>
          <w:ilvl w:val="1"/>
          <w:numId w:val="0"/>
        </w:numPr>
        <w:tabs>
          <w:tab w:val="left" w:pos="1080"/>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2.1磋商小组所有成员应当集中与单一供应商分别进行磋商，并给予所有参加磋商的供应商平等的磋商机会。</w:t>
      </w:r>
    </w:p>
    <w:p w14:paraId="2421A529">
      <w:pPr>
        <w:numPr>
          <w:ilvl w:val="1"/>
          <w:numId w:val="0"/>
        </w:numPr>
        <w:tabs>
          <w:tab w:val="left" w:pos="1080"/>
          <w:tab w:val="left" w:pos="1872"/>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2.2</w:t>
      </w:r>
      <w:r>
        <w:rPr>
          <w:rFonts w:ascii="宋体" w:hAnsi="宋体"/>
          <w:color w:val="auto"/>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11CFA9A1">
      <w:pPr>
        <w:numPr>
          <w:ilvl w:val="1"/>
          <w:numId w:val="0"/>
        </w:numPr>
        <w:tabs>
          <w:tab w:val="left" w:pos="1080"/>
          <w:tab w:val="left" w:pos="1872"/>
        </w:tabs>
        <w:snapToGrid w:val="0"/>
        <w:spacing w:line="360" w:lineRule="auto"/>
        <w:ind w:left="1077" w:hanging="720"/>
        <w:rPr>
          <w:rFonts w:hint="eastAsia" w:ascii="宋体" w:hAnsi="宋体"/>
          <w:color w:val="auto"/>
          <w:kern w:val="0"/>
          <w:sz w:val="24"/>
          <w:highlight w:val="none"/>
        </w:rPr>
      </w:pPr>
      <w:r>
        <w:rPr>
          <w:rFonts w:ascii="宋体" w:hAnsi="宋体"/>
          <w:color w:val="auto"/>
          <w:kern w:val="0"/>
          <w:sz w:val="24"/>
          <w:highlight w:val="none"/>
        </w:rPr>
        <w:t>2.3对磋商文件作出的实质性变动是磋商文件的有效组成部分，磋商小组应当及时以书面形式同时通知所有参加磋商的供应商。</w:t>
      </w:r>
    </w:p>
    <w:p w14:paraId="795F0952">
      <w:pPr>
        <w:numPr>
          <w:ilvl w:val="1"/>
          <w:numId w:val="0"/>
        </w:numPr>
        <w:tabs>
          <w:tab w:val="left" w:pos="1080"/>
          <w:tab w:val="left" w:pos="1872"/>
        </w:tabs>
        <w:snapToGrid w:val="0"/>
        <w:spacing w:line="360" w:lineRule="auto"/>
        <w:ind w:left="1077" w:hanging="720"/>
        <w:rPr>
          <w:rFonts w:hint="eastAsia" w:ascii="宋体" w:hAnsi="宋体"/>
          <w:color w:val="auto"/>
          <w:kern w:val="0"/>
          <w:sz w:val="24"/>
          <w:highlight w:val="none"/>
        </w:rPr>
      </w:pPr>
      <w:r>
        <w:rPr>
          <w:rFonts w:ascii="宋体" w:hAnsi="宋体"/>
          <w:color w:val="auto"/>
          <w:kern w:val="0"/>
          <w:sz w:val="24"/>
          <w:highlight w:val="none"/>
        </w:rPr>
        <w:t>2.4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0017B971">
      <w:pPr>
        <w:numPr>
          <w:ilvl w:val="1"/>
          <w:numId w:val="0"/>
        </w:numPr>
        <w:tabs>
          <w:tab w:val="left" w:pos="1080"/>
          <w:tab w:val="left" w:pos="1872"/>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2.5响应文件的澄清、说明或者更正</w:t>
      </w:r>
      <w:r>
        <w:rPr>
          <w:rFonts w:hint="eastAsia" w:ascii="宋体" w:hAnsi="宋体"/>
          <w:color w:val="auto"/>
          <w:sz w:val="24"/>
          <w:highlight w:val="none"/>
        </w:rPr>
        <w:t>：</w:t>
      </w:r>
    </w:p>
    <w:p w14:paraId="45614CD8">
      <w:pPr>
        <w:numPr>
          <w:ilvl w:val="2"/>
          <w:numId w:val="0"/>
        </w:numPr>
        <w:snapToGrid w:val="0"/>
        <w:spacing w:line="360" w:lineRule="auto"/>
        <w:ind w:left="1980" w:hanging="900"/>
        <w:rPr>
          <w:rFonts w:hint="eastAsia" w:ascii="宋体" w:hAnsi="宋体"/>
          <w:color w:val="auto"/>
          <w:sz w:val="24"/>
          <w:highlight w:val="none"/>
        </w:rPr>
      </w:pPr>
      <w:r>
        <w:rPr>
          <w:rFonts w:hint="eastAsia" w:ascii="宋体" w:hAnsi="宋体"/>
          <w:color w:val="auto"/>
          <w:sz w:val="24"/>
          <w:highlight w:val="none"/>
        </w:rPr>
        <w:t>2.5.1</w:t>
      </w:r>
      <w:r>
        <w:rPr>
          <w:rFonts w:ascii="宋体" w:hAnsi="宋体"/>
          <w:color w:val="auto"/>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14:paraId="68299C08">
      <w:pPr>
        <w:numPr>
          <w:ilvl w:val="2"/>
          <w:numId w:val="0"/>
        </w:numPr>
        <w:snapToGrid w:val="0"/>
        <w:spacing w:line="360" w:lineRule="auto"/>
        <w:ind w:left="1980" w:hanging="900"/>
        <w:rPr>
          <w:rFonts w:hint="eastAsia" w:ascii="宋体" w:hAnsi="宋体"/>
          <w:color w:val="auto"/>
          <w:sz w:val="24"/>
          <w:highlight w:val="none"/>
        </w:rPr>
      </w:pPr>
      <w:r>
        <w:rPr>
          <w:rFonts w:hint="eastAsia" w:ascii="宋体" w:hAnsi="宋体"/>
          <w:color w:val="auto"/>
          <w:sz w:val="24"/>
          <w:highlight w:val="none"/>
        </w:rPr>
        <w:t>2.5.2</w:t>
      </w:r>
      <w:r>
        <w:rPr>
          <w:rFonts w:ascii="宋体" w:hAnsi="宋体"/>
          <w:color w:val="auto"/>
          <w:sz w:val="24"/>
          <w:highlight w:val="none"/>
        </w:rPr>
        <w:t>磋商小组对响应文件进行审查，如发现供应商提交的响应文件存在不满足《符合性审查要求》的内容，如属于表中“不允许”澄清、说明或者更正的内容，则供应商响应文件按</w:t>
      </w:r>
      <w:r>
        <w:rPr>
          <w:rFonts w:ascii="宋体" w:hAnsi="宋体"/>
          <w:b/>
          <w:color w:val="auto"/>
          <w:sz w:val="24"/>
          <w:highlight w:val="none"/>
        </w:rPr>
        <w:t>无效处理</w:t>
      </w:r>
      <w:r>
        <w:rPr>
          <w:rFonts w:ascii="宋体" w:hAnsi="宋体"/>
          <w:color w:val="auto"/>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ascii="宋体" w:hAnsi="宋体"/>
          <w:b/>
          <w:color w:val="auto"/>
          <w:sz w:val="24"/>
          <w:highlight w:val="none"/>
        </w:rPr>
        <w:t>无效处理</w:t>
      </w:r>
      <w:r>
        <w:rPr>
          <w:rFonts w:ascii="宋体" w:hAnsi="宋体"/>
          <w:color w:val="auto"/>
          <w:sz w:val="24"/>
          <w:highlight w:val="none"/>
        </w:rPr>
        <w:t>。</w:t>
      </w:r>
    </w:p>
    <w:p w14:paraId="1348CEAC">
      <w:pPr>
        <w:numPr>
          <w:ilvl w:val="2"/>
          <w:numId w:val="0"/>
        </w:numPr>
        <w:snapToGrid w:val="0"/>
        <w:spacing w:line="360" w:lineRule="auto"/>
        <w:ind w:left="1980" w:hanging="900"/>
        <w:rPr>
          <w:rFonts w:hint="eastAsia" w:ascii="宋体" w:hAnsi="宋体"/>
          <w:color w:val="auto"/>
          <w:sz w:val="24"/>
          <w:highlight w:val="none"/>
        </w:rPr>
      </w:pPr>
      <w:r>
        <w:rPr>
          <w:rFonts w:hint="eastAsia" w:ascii="宋体" w:hAnsi="宋体"/>
          <w:color w:val="auto"/>
          <w:sz w:val="24"/>
          <w:highlight w:val="none"/>
        </w:rPr>
        <w:t>2.5.3</w:t>
      </w:r>
      <w:r>
        <w:rPr>
          <w:rFonts w:ascii="宋体" w:hAnsi="宋体"/>
          <w:color w:val="auto"/>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66A9C4E1">
      <w:pPr>
        <w:numPr>
          <w:ilvl w:val="1"/>
          <w:numId w:val="0"/>
        </w:numPr>
        <w:tabs>
          <w:tab w:val="left" w:pos="1080"/>
          <w:tab w:val="left" w:pos="1872"/>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2.6磋商结束后，磋商小组将要求所有实质性响应的供应商在规定时间内提交最后报价。最后报价时间为磋商小组指定的时间，具体时间根据磋商进度另行通知。</w:t>
      </w:r>
    </w:p>
    <w:p w14:paraId="00600D2F">
      <w:pPr>
        <w:numPr>
          <w:ilvl w:val="1"/>
          <w:numId w:val="0"/>
        </w:numPr>
        <w:tabs>
          <w:tab w:val="left" w:pos="1080"/>
          <w:tab w:val="left" w:pos="1872"/>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2.7</w:t>
      </w:r>
      <w:r>
        <w:rPr>
          <w:rFonts w:ascii="宋体" w:hAnsi="宋体"/>
          <w:snapToGrid w:val="0"/>
          <w:color w:val="auto"/>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ascii="宋体" w:hAnsi="宋体"/>
          <w:color w:val="auto"/>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072D74BE">
      <w:pPr>
        <w:numPr>
          <w:ilvl w:val="1"/>
          <w:numId w:val="0"/>
        </w:numPr>
        <w:tabs>
          <w:tab w:val="left" w:pos="1080"/>
          <w:tab w:val="left" w:pos="1872"/>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2.8最后报价是供应商响应文件的有效组成部分。</w:t>
      </w:r>
    </w:p>
    <w:p w14:paraId="4523C226">
      <w:pPr>
        <w:numPr>
          <w:ilvl w:val="1"/>
          <w:numId w:val="0"/>
        </w:numPr>
        <w:tabs>
          <w:tab w:val="left" w:pos="1080"/>
          <w:tab w:val="left" w:pos="1872"/>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2.9已提交响应文件的供应商，在提交最后报价之前，可以根据磋商情况退出磋商。</w:t>
      </w:r>
    </w:p>
    <w:p w14:paraId="1618A630">
      <w:pPr>
        <w:tabs>
          <w:tab w:val="left" w:pos="360"/>
        </w:tabs>
        <w:snapToGrid w:val="0"/>
        <w:spacing w:line="360" w:lineRule="auto"/>
        <w:ind w:left="902" w:hanging="902"/>
        <w:outlineLvl w:val="2"/>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最后报价的算术修正及政策调整</w:t>
      </w:r>
    </w:p>
    <w:p w14:paraId="2451418E">
      <w:pPr>
        <w:numPr>
          <w:ilvl w:val="1"/>
          <w:numId w:val="0"/>
        </w:numPr>
        <w:tabs>
          <w:tab w:val="left" w:pos="1080"/>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3.1最后报价须包含竞争性磋商文件全部内容，如</w:t>
      </w:r>
      <w:r>
        <w:rPr>
          <w:rFonts w:hint="eastAsia" w:ascii="宋体" w:hAnsi="宋体"/>
          <w:color w:val="auto"/>
          <w:sz w:val="24"/>
          <w:highlight w:val="none"/>
        </w:rPr>
        <w:t>最后</w:t>
      </w:r>
      <w:r>
        <w:rPr>
          <w:rFonts w:ascii="宋体" w:hAnsi="宋体"/>
          <w:color w:val="auto"/>
          <w:sz w:val="24"/>
          <w:highlight w:val="none"/>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b/>
          <w:color w:val="auto"/>
          <w:sz w:val="24"/>
          <w:highlight w:val="none"/>
        </w:rPr>
        <w:t>响应无效</w:t>
      </w:r>
      <w:r>
        <w:rPr>
          <w:rFonts w:ascii="宋体" w:hAnsi="宋体"/>
          <w:color w:val="auto"/>
          <w:sz w:val="24"/>
          <w:highlight w:val="none"/>
        </w:rPr>
        <w:t>。</w:t>
      </w:r>
    </w:p>
    <w:p w14:paraId="26EDED7C">
      <w:pPr>
        <w:numPr>
          <w:ilvl w:val="1"/>
          <w:numId w:val="0"/>
        </w:numPr>
        <w:tabs>
          <w:tab w:val="left" w:pos="1080"/>
          <w:tab w:val="left" w:pos="1872"/>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3.2最后报价出现前后不一致的，按照下列规定修正：</w:t>
      </w:r>
    </w:p>
    <w:p w14:paraId="353E1756">
      <w:pPr>
        <w:numPr>
          <w:ilvl w:val="2"/>
          <w:numId w:val="0"/>
        </w:numPr>
        <w:tabs>
          <w:tab w:val="left" w:pos="1080"/>
          <w:tab w:val="left" w:pos="1589"/>
          <w:tab w:val="left" w:pos="2035"/>
          <w:tab w:val="left" w:pos="2114"/>
        </w:tabs>
        <w:snapToGrid w:val="0"/>
        <w:spacing w:line="360" w:lineRule="auto"/>
        <w:ind w:left="2035" w:hanging="900"/>
        <w:rPr>
          <w:rFonts w:hint="eastAsia" w:ascii="宋体" w:hAnsi="宋体"/>
          <w:color w:val="auto"/>
          <w:sz w:val="24"/>
          <w:highlight w:val="none"/>
        </w:rPr>
      </w:pPr>
      <w:r>
        <w:rPr>
          <w:rFonts w:hint="eastAsia" w:ascii="宋体" w:hAnsi="宋体"/>
          <w:color w:val="auto"/>
          <w:sz w:val="24"/>
          <w:highlight w:val="none"/>
        </w:rPr>
        <w:t>3.2.1</w:t>
      </w:r>
      <w:r>
        <w:rPr>
          <w:rFonts w:ascii="宋体" w:hAnsi="宋体"/>
          <w:color w:val="auto"/>
          <w:sz w:val="24"/>
          <w:highlight w:val="none"/>
        </w:rPr>
        <w:t>竞争性磋商文件对于报价修正是否另有规定：</w:t>
      </w:r>
    </w:p>
    <w:p w14:paraId="2A0883E9">
      <w:pPr>
        <w:tabs>
          <w:tab w:val="left" w:pos="1080"/>
          <w:tab w:val="left" w:pos="1589"/>
          <w:tab w:val="left" w:pos="2035"/>
          <w:tab w:val="left" w:pos="2114"/>
        </w:tabs>
        <w:snapToGrid w:val="0"/>
        <w:spacing w:line="360" w:lineRule="auto"/>
        <w:ind w:left="2035"/>
        <w:rPr>
          <w:rFonts w:hint="eastAsia" w:ascii="宋体" w:hAnsi="宋体"/>
          <w:color w:val="auto"/>
          <w:sz w:val="24"/>
          <w:highlight w:val="none"/>
          <w:u w:val="single"/>
        </w:rPr>
      </w:pPr>
      <w:r>
        <w:rPr>
          <w:rFonts w:ascii="宋体" w:hAnsi="宋体"/>
          <w:color w:val="auto"/>
          <w:sz w:val="24"/>
          <w:highlight w:val="none"/>
        </w:rPr>
        <w:t>□有，具体规定为：___________</w:t>
      </w:r>
    </w:p>
    <w:p w14:paraId="5C7F5424">
      <w:pPr>
        <w:tabs>
          <w:tab w:val="left" w:pos="1080"/>
          <w:tab w:val="left" w:pos="1589"/>
          <w:tab w:val="left" w:pos="2035"/>
          <w:tab w:val="left" w:pos="2114"/>
        </w:tabs>
        <w:snapToGrid w:val="0"/>
        <w:spacing w:line="360" w:lineRule="auto"/>
        <w:ind w:left="2035"/>
        <w:rPr>
          <w:rFonts w:hint="eastAsia" w:ascii="宋体" w:hAnsi="宋体"/>
          <w:color w:val="auto"/>
          <w:sz w:val="24"/>
          <w:highlight w:val="none"/>
        </w:rPr>
      </w:pPr>
      <w:r>
        <w:rPr>
          <w:rFonts w:ascii="宋体" w:hAnsi="宋体"/>
          <w:b/>
          <w:color w:val="auto"/>
          <w:sz w:val="24"/>
          <w:highlight w:val="none"/>
        </w:rPr>
        <w:t>■</w:t>
      </w:r>
      <w:r>
        <w:rPr>
          <w:rFonts w:ascii="宋体" w:hAnsi="宋体"/>
          <w:color w:val="auto"/>
          <w:sz w:val="24"/>
          <w:highlight w:val="none"/>
        </w:rPr>
        <w:t>无，按下述3.2.2-3.2.5项规定修正。</w:t>
      </w:r>
    </w:p>
    <w:p w14:paraId="10619AA2">
      <w:pPr>
        <w:numPr>
          <w:ilvl w:val="2"/>
          <w:numId w:val="0"/>
        </w:numPr>
        <w:tabs>
          <w:tab w:val="left" w:pos="2035"/>
          <w:tab w:val="left" w:pos="2114"/>
          <w:tab w:val="left" w:pos="2977"/>
        </w:tabs>
        <w:snapToGrid w:val="0"/>
        <w:spacing w:line="360" w:lineRule="auto"/>
        <w:ind w:left="2035" w:hanging="900"/>
        <w:rPr>
          <w:rFonts w:hint="eastAsia" w:ascii="宋体" w:hAnsi="宋体"/>
          <w:color w:val="auto"/>
          <w:sz w:val="24"/>
          <w:highlight w:val="none"/>
        </w:rPr>
      </w:pPr>
      <w:r>
        <w:rPr>
          <w:rFonts w:hint="eastAsia" w:ascii="宋体" w:hAnsi="宋体"/>
          <w:color w:val="auto"/>
          <w:sz w:val="24"/>
          <w:highlight w:val="none"/>
        </w:rPr>
        <w:t>3.2.2</w:t>
      </w:r>
      <w:r>
        <w:rPr>
          <w:rFonts w:ascii="宋体" w:hAnsi="宋体"/>
          <w:color w:val="auto"/>
          <w:sz w:val="24"/>
          <w:highlight w:val="none"/>
        </w:rPr>
        <w:t>大写金额和小写金额不一致的，以大写金额为准；</w:t>
      </w:r>
    </w:p>
    <w:p w14:paraId="22C1D47F">
      <w:pPr>
        <w:numPr>
          <w:ilvl w:val="2"/>
          <w:numId w:val="0"/>
        </w:numPr>
        <w:tabs>
          <w:tab w:val="left" w:pos="2035"/>
          <w:tab w:val="left" w:pos="2114"/>
          <w:tab w:val="left" w:pos="2977"/>
        </w:tabs>
        <w:snapToGrid w:val="0"/>
        <w:spacing w:line="360" w:lineRule="auto"/>
        <w:ind w:left="2035" w:hanging="900"/>
        <w:rPr>
          <w:rFonts w:hint="eastAsia" w:ascii="宋体" w:hAnsi="宋体"/>
          <w:color w:val="auto"/>
          <w:sz w:val="24"/>
          <w:highlight w:val="none"/>
        </w:rPr>
      </w:pPr>
      <w:r>
        <w:rPr>
          <w:rFonts w:hint="eastAsia" w:ascii="宋体" w:hAnsi="宋体"/>
          <w:color w:val="auto"/>
          <w:sz w:val="24"/>
          <w:highlight w:val="none"/>
        </w:rPr>
        <w:t>3.2.3</w:t>
      </w:r>
      <w:r>
        <w:rPr>
          <w:rFonts w:ascii="宋体" w:hAnsi="宋体"/>
          <w:color w:val="auto"/>
          <w:sz w:val="24"/>
          <w:highlight w:val="none"/>
        </w:rPr>
        <w:t>单价金额小数点或者百分比有明显错位的，以最后报价一览表的总价为准，并修改单价；</w:t>
      </w:r>
    </w:p>
    <w:p w14:paraId="7EADCF2F">
      <w:pPr>
        <w:numPr>
          <w:ilvl w:val="2"/>
          <w:numId w:val="0"/>
        </w:numPr>
        <w:tabs>
          <w:tab w:val="left" w:pos="2035"/>
          <w:tab w:val="left" w:pos="2114"/>
          <w:tab w:val="left" w:pos="2977"/>
        </w:tabs>
        <w:snapToGrid w:val="0"/>
        <w:spacing w:line="360" w:lineRule="auto"/>
        <w:ind w:left="2035" w:hanging="900"/>
        <w:rPr>
          <w:rFonts w:hint="eastAsia" w:ascii="宋体" w:hAnsi="宋体"/>
          <w:color w:val="auto"/>
          <w:sz w:val="24"/>
          <w:highlight w:val="none"/>
        </w:rPr>
      </w:pPr>
      <w:r>
        <w:rPr>
          <w:rFonts w:hint="eastAsia" w:ascii="宋体" w:hAnsi="宋体"/>
          <w:color w:val="auto"/>
          <w:sz w:val="24"/>
          <w:highlight w:val="none"/>
        </w:rPr>
        <w:t>3.2.4</w:t>
      </w:r>
      <w:r>
        <w:rPr>
          <w:rFonts w:ascii="宋体" w:hAnsi="宋体"/>
          <w:color w:val="auto"/>
          <w:sz w:val="24"/>
          <w:highlight w:val="none"/>
        </w:rPr>
        <w:t>总价金额与按单价汇总金额不一致的，以单价金额计算结果为准。</w:t>
      </w:r>
    </w:p>
    <w:p w14:paraId="330E5756">
      <w:pPr>
        <w:numPr>
          <w:ilvl w:val="2"/>
          <w:numId w:val="0"/>
        </w:numPr>
        <w:tabs>
          <w:tab w:val="left" w:pos="1080"/>
          <w:tab w:val="left" w:pos="1589"/>
          <w:tab w:val="left" w:pos="2035"/>
          <w:tab w:val="left" w:pos="2114"/>
        </w:tabs>
        <w:snapToGrid w:val="0"/>
        <w:spacing w:line="360" w:lineRule="auto"/>
        <w:ind w:left="2035" w:hanging="900"/>
        <w:rPr>
          <w:rFonts w:hint="eastAsia" w:ascii="宋体" w:hAnsi="宋体"/>
          <w:color w:val="auto"/>
          <w:sz w:val="24"/>
          <w:highlight w:val="none"/>
        </w:rPr>
      </w:pPr>
      <w:r>
        <w:rPr>
          <w:rFonts w:hint="eastAsia" w:ascii="宋体" w:hAnsi="宋体"/>
          <w:color w:val="auto"/>
          <w:sz w:val="24"/>
          <w:highlight w:val="none"/>
        </w:rPr>
        <w:t>3.2.5</w:t>
      </w:r>
      <w:r>
        <w:rPr>
          <w:rFonts w:ascii="宋体" w:hAnsi="宋体"/>
          <w:color w:val="auto"/>
          <w:sz w:val="24"/>
          <w:highlight w:val="none"/>
        </w:rPr>
        <w:t>同时出现两种以上不一致的，按照前款规定的顺序修正。修正后的报价经供应商书面确认后产生约束力，供应商不确认的，</w:t>
      </w:r>
      <w:r>
        <w:rPr>
          <w:rFonts w:ascii="宋体" w:hAnsi="宋体"/>
          <w:b/>
          <w:color w:val="auto"/>
          <w:sz w:val="24"/>
          <w:highlight w:val="none"/>
        </w:rPr>
        <w:t>其响应无效</w:t>
      </w:r>
      <w:r>
        <w:rPr>
          <w:rFonts w:ascii="宋体" w:hAnsi="宋体"/>
          <w:color w:val="auto"/>
          <w:sz w:val="24"/>
          <w:highlight w:val="none"/>
        </w:rPr>
        <w:t>。</w:t>
      </w:r>
    </w:p>
    <w:p w14:paraId="6842BC78">
      <w:pPr>
        <w:numPr>
          <w:ilvl w:val="1"/>
          <w:numId w:val="0"/>
        </w:numPr>
        <w:tabs>
          <w:tab w:val="left" w:pos="1080"/>
          <w:tab w:val="left" w:pos="1872"/>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3.3落实政府采购政策的价格调整：只有符合第二章《供应商须知》4.2条规定情形的，可以享受中小企业扶持政策，用扣除后的价格参加评审；否则，评审时价格不予扣除。</w:t>
      </w:r>
    </w:p>
    <w:p w14:paraId="522F4F23">
      <w:pPr>
        <w:numPr>
          <w:ilvl w:val="2"/>
          <w:numId w:val="0"/>
        </w:numPr>
        <w:tabs>
          <w:tab w:val="left" w:pos="1080"/>
          <w:tab w:val="left" w:pos="1589"/>
          <w:tab w:val="left" w:pos="2035"/>
        </w:tabs>
        <w:snapToGrid w:val="0"/>
        <w:spacing w:line="360" w:lineRule="auto"/>
        <w:ind w:left="2035" w:hanging="900"/>
        <w:rPr>
          <w:rFonts w:hint="eastAsia" w:ascii="宋体" w:hAnsi="宋体"/>
          <w:color w:val="auto"/>
          <w:sz w:val="24"/>
          <w:highlight w:val="none"/>
        </w:rPr>
      </w:pPr>
      <w:r>
        <w:rPr>
          <w:rFonts w:hint="eastAsia" w:ascii="宋体" w:hAnsi="宋体"/>
          <w:color w:val="auto"/>
          <w:sz w:val="24"/>
          <w:highlight w:val="none"/>
        </w:rPr>
        <w:t>3.3.1对于未预留份额专门面向中小企业采购的采购项目，以及预留份额项目中的非预留部分采购包，对小微企业报价给予</w:t>
      </w:r>
      <w:r>
        <w:rPr>
          <w:rFonts w:ascii="宋体" w:hAnsi="宋体"/>
          <w:color w:val="auto"/>
          <w:sz w:val="24"/>
          <w:highlight w:val="none"/>
          <w:u w:val="single"/>
        </w:rPr>
        <w:t>_10_</w:t>
      </w:r>
      <w:r>
        <w:rPr>
          <w:rFonts w:ascii="宋体" w:hAnsi="宋体"/>
          <w:color w:val="auto"/>
          <w:sz w:val="24"/>
          <w:highlight w:val="none"/>
        </w:rPr>
        <w:t>%</w:t>
      </w:r>
      <w:r>
        <w:rPr>
          <w:rFonts w:hint="eastAsia" w:ascii="宋体" w:hAnsi="宋体"/>
          <w:color w:val="auto"/>
          <w:sz w:val="24"/>
          <w:highlight w:val="none"/>
        </w:rPr>
        <w:t>的扣除，用扣除后的价格参加评审。</w:t>
      </w:r>
    </w:p>
    <w:p w14:paraId="2891EB06">
      <w:pPr>
        <w:numPr>
          <w:ilvl w:val="2"/>
          <w:numId w:val="0"/>
        </w:numPr>
        <w:tabs>
          <w:tab w:val="left" w:pos="1080"/>
          <w:tab w:val="left" w:pos="1589"/>
          <w:tab w:val="left" w:pos="2035"/>
        </w:tabs>
        <w:snapToGrid w:val="0"/>
        <w:spacing w:line="360" w:lineRule="auto"/>
        <w:ind w:left="2035" w:hanging="900"/>
        <w:rPr>
          <w:rFonts w:hint="eastAsia" w:ascii="宋体" w:hAnsi="宋体"/>
          <w:color w:val="auto"/>
          <w:sz w:val="24"/>
          <w:highlight w:val="none"/>
        </w:rPr>
      </w:pPr>
      <w:r>
        <w:rPr>
          <w:rFonts w:hint="eastAsia" w:ascii="宋体" w:hAnsi="宋体"/>
          <w:color w:val="auto"/>
          <w:sz w:val="24"/>
          <w:highlight w:val="none"/>
        </w:rPr>
        <w:t>3.3.2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ascii="宋体" w:hAnsi="宋体"/>
          <w:color w:val="auto"/>
          <w:sz w:val="24"/>
          <w:highlight w:val="none"/>
        </w:rPr>
        <w:t xml:space="preserve"> 30%</w:t>
      </w:r>
      <w:r>
        <w:rPr>
          <w:rFonts w:hint="eastAsia" w:ascii="宋体" w:hAnsi="宋体"/>
          <w:color w:val="auto"/>
          <w:sz w:val="24"/>
          <w:highlight w:val="none"/>
        </w:rPr>
        <w:t>以上的联合体或者大中型企业的报价给予</w:t>
      </w:r>
      <w:r>
        <w:rPr>
          <w:rFonts w:ascii="宋体" w:hAnsi="宋体"/>
          <w:color w:val="auto"/>
          <w:sz w:val="24"/>
          <w:highlight w:val="none"/>
          <w:u w:val="single"/>
        </w:rPr>
        <w:t>___/___</w:t>
      </w:r>
      <w:r>
        <w:rPr>
          <w:rFonts w:ascii="宋体" w:hAnsi="宋体"/>
          <w:color w:val="auto"/>
          <w:sz w:val="24"/>
          <w:highlight w:val="none"/>
        </w:rPr>
        <w:t>%</w:t>
      </w:r>
      <w:r>
        <w:rPr>
          <w:rFonts w:hint="eastAsia" w:ascii="宋体" w:hAnsi="宋体"/>
          <w:color w:val="auto"/>
          <w:sz w:val="24"/>
          <w:highlight w:val="none"/>
        </w:rPr>
        <w:t>的扣除，用扣除后的价格参加评审。</w:t>
      </w:r>
    </w:p>
    <w:p w14:paraId="07637DBE">
      <w:pPr>
        <w:numPr>
          <w:ilvl w:val="2"/>
          <w:numId w:val="0"/>
        </w:numPr>
        <w:tabs>
          <w:tab w:val="left" w:pos="1080"/>
          <w:tab w:val="left" w:pos="1589"/>
          <w:tab w:val="left" w:pos="2035"/>
        </w:tabs>
        <w:snapToGrid w:val="0"/>
        <w:spacing w:line="360" w:lineRule="auto"/>
        <w:ind w:left="2035" w:hanging="900"/>
        <w:rPr>
          <w:rFonts w:hint="eastAsia" w:ascii="宋体" w:hAnsi="宋体"/>
          <w:color w:val="auto"/>
          <w:sz w:val="24"/>
          <w:highlight w:val="none"/>
        </w:rPr>
      </w:pPr>
      <w:r>
        <w:rPr>
          <w:rFonts w:hint="eastAsia" w:ascii="宋体" w:hAnsi="宋体"/>
          <w:color w:val="auto"/>
          <w:sz w:val="24"/>
          <w:highlight w:val="none"/>
        </w:rPr>
        <w:t>3.3.3</w:t>
      </w:r>
      <w:r>
        <w:rPr>
          <w:rFonts w:ascii="宋体" w:hAnsi="宋体"/>
          <w:color w:val="auto"/>
          <w:sz w:val="24"/>
          <w:highlight w:val="none"/>
        </w:rPr>
        <w:t>组成联合体或者接受分包的小微企业与联合体内其他企业、分包企业之间存在直接控股、管理关系的，不享受价格扣除优惠政策。</w:t>
      </w:r>
    </w:p>
    <w:p w14:paraId="5D3779C0">
      <w:pPr>
        <w:numPr>
          <w:ilvl w:val="2"/>
          <w:numId w:val="0"/>
        </w:numPr>
        <w:tabs>
          <w:tab w:val="left" w:pos="1080"/>
          <w:tab w:val="left" w:pos="1589"/>
          <w:tab w:val="left" w:pos="2035"/>
        </w:tabs>
        <w:snapToGrid w:val="0"/>
        <w:spacing w:line="360" w:lineRule="auto"/>
        <w:ind w:left="2035" w:hanging="900"/>
        <w:rPr>
          <w:rFonts w:hint="eastAsia" w:ascii="宋体" w:hAnsi="宋体"/>
          <w:color w:val="auto"/>
          <w:sz w:val="24"/>
          <w:highlight w:val="none"/>
        </w:rPr>
      </w:pPr>
      <w:r>
        <w:rPr>
          <w:rFonts w:hint="eastAsia" w:ascii="宋体" w:hAnsi="宋体"/>
          <w:color w:val="auto"/>
          <w:sz w:val="24"/>
          <w:highlight w:val="none"/>
        </w:rPr>
        <w:t>3.3.4</w:t>
      </w:r>
      <w:r>
        <w:rPr>
          <w:rFonts w:ascii="宋体" w:hAnsi="宋体"/>
          <w:color w:val="auto"/>
          <w:sz w:val="24"/>
          <w:highlight w:val="none"/>
        </w:rPr>
        <w:t>价格扣除比例对小型企业和微型企业同等对待，不作区分。</w:t>
      </w:r>
    </w:p>
    <w:p w14:paraId="63A8FBA8">
      <w:pPr>
        <w:numPr>
          <w:ilvl w:val="2"/>
          <w:numId w:val="0"/>
        </w:numPr>
        <w:tabs>
          <w:tab w:val="left" w:pos="1080"/>
          <w:tab w:val="left" w:pos="1589"/>
          <w:tab w:val="left" w:pos="2035"/>
        </w:tabs>
        <w:snapToGrid w:val="0"/>
        <w:spacing w:line="360" w:lineRule="auto"/>
        <w:ind w:left="2035" w:hanging="900"/>
        <w:rPr>
          <w:rFonts w:hint="eastAsia" w:ascii="宋体" w:hAnsi="宋体"/>
          <w:color w:val="auto"/>
          <w:sz w:val="24"/>
          <w:highlight w:val="none"/>
        </w:rPr>
      </w:pPr>
      <w:r>
        <w:rPr>
          <w:rFonts w:hint="eastAsia" w:ascii="宋体" w:hAnsi="宋体"/>
          <w:color w:val="auto"/>
          <w:sz w:val="24"/>
          <w:highlight w:val="none"/>
        </w:rPr>
        <w:t>3.3.5</w:t>
      </w:r>
      <w:r>
        <w:rPr>
          <w:rFonts w:ascii="宋体" w:hAnsi="宋体"/>
          <w:color w:val="auto"/>
          <w:sz w:val="24"/>
          <w:highlight w:val="none"/>
        </w:rPr>
        <w:t>中小企业参加政府采购活动，应当按照竞争性磋商文件给定的格式出具《中小企业声明函》，否则不得享受相关中小企业扶持政策。</w:t>
      </w:r>
    </w:p>
    <w:p w14:paraId="3FE7FB8E">
      <w:pPr>
        <w:numPr>
          <w:ilvl w:val="2"/>
          <w:numId w:val="0"/>
        </w:numPr>
        <w:tabs>
          <w:tab w:val="left" w:pos="1080"/>
          <w:tab w:val="left" w:pos="1589"/>
          <w:tab w:val="left" w:pos="2035"/>
        </w:tabs>
        <w:snapToGrid w:val="0"/>
        <w:spacing w:line="360" w:lineRule="auto"/>
        <w:ind w:left="2035" w:hanging="900"/>
        <w:rPr>
          <w:rFonts w:hint="eastAsia" w:ascii="宋体" w:hAnsi="宋体"/>
          <w:color w:val="auto"/>
          <w:sz w:val="24"/>
          <w:highlight w:val="none"/>
        </w:rPr>
      </w:pPr>
      <w:r>
        <w:rPr>
          <w:rFonts w:hint="eastAsia" w:ascii="宋体" w:hAnsi="宋体"/>
          <w:color w:val="auto"/>
          <w:sz w:val="24"/>
          <w:highlight w:val="none"/>
        </w:rPr>
        <w:t>3.3.6</w:t>
      </w:r>
      <w:r>
        <w:rPr>
          <w:rFonts w:ascii="宋体" w:hAnsi="宋体"/>
          <w:color w:val="auto"/>
          <w:sz w:val="24"/>
          <w:highlight w:val="none"/>
        </w:rPr>
        <w:t>监狱企业提供了由省级以上监狱管理局（北京市含教育矫治局）、戒毒管理局（含新疆生产建设兵团）出具的属于监狱企业的证明文件的，视同小微企业。</w:t>
      </w:r>
    </w:p>
    <w:p w14:paraId="168E1A68">
      <w:pPr>
        <w:numPr>
          <w:ilvl w:val="2"/>
          <w:numId w:val="0"/>
        </w:numPr>
        <w:tabs>
          <w:tab w:val="left" w:pos="1080"/>
          <w:tab w:val="left" w:pos="1589"/>
          <w:tab w:val="left" w:pos="2035"/>
        </w:tabs>
        <w:snapToGrid w:val="0"/>
        <w:spacing w:line="360" w:lineRule="auto"/>
        <w:ind w:left="2035" w:hanging="900"/>
        <w:rPr>
          <w:rFonts w:hint="eastAsia" w:ascii="宋体" w:hAnsi="宋体"/>
          <w:color w:val="auto"/>
          <w:sz w:val="24"/>
          <w:highlight w:val="none"/>
        </w:rPr>
      </w:pPr>
      <w:r>
        <w:rPr>
          <w:rFonts w:hint="eastAsia" w:ascii="宋体" w:hAnsi="宋体"/>
          <w:color w:val="auto"/>
          <w:sz w:val="24"/>
          <w:highlight w:val="none"/>
        </w:rPr>
        <w:t>3.3.7</w:t>
      </w:r>
      <w:r>
        <w:rPr>
          <w:rFonts w:ascii="宋体" w:hAnsi="宋体"/>
          <w:color w:val="auto"/>
          <w:sz w:val="24"/>
          <w:highlight w:val="none"/>
        </w:rPr>
        <w:t>残疾人福利性单位按竞争性磋商文件要求提供了《残疾人福利性单位声明函》（见附件）的，视同小微企业。</w:t>
      </w:r>
    </w:p>
    <w:p w14:paraId="1652B66F">
      <w:pPr>
        <w:numPr>
          <w:ilvl w:val="2"/>
          <w:numId w:val="0"/>
        </w:numPr>
        <w:tabs>
          <w:tab w:val="left" w:pos="1080"/>
          <w:tab w:val="left" w:pos="1589"/>
          <w:tab w:val="left" w:pos="2014"/>
        </w:tabs>
        <w:snapToGrid w:val="0"/>
        <w:spacing w:line="360" w:lineRule="auto"/>
        <w:ind w:left="2035" w:hanging="900"/>
        <w:rPr>
          <w:rFonts w:hint="eastAsia" w:ascii="宋体" w:hAnsi="宋体"/>
          <w:color w:val="auto"/>
          <w:sz w:val="24"/>
          <w:highlight w:val="none"/>
        </w:rPr>
      </w:pPr>
      <w:r>
        <w:rPr>
          <w:rFonts w:hint="eastAsia" w:ascii="宋体" w:hAnsi="宋体"/>
          <w:color w:val="auto"/>
          <w:sz w:val="24"/>
          <w:highlight w:val="none"/>
        </w:rPr>
        <w:t>3.3.8</w:t>
      </w:r>
      <w:r>
        <w:rPr>
          <w:rFonts w:ascii="宋体" w:hAnsi="宋体"/>
          <w:color w:val="auto"/>
          <w:sz w:val="24"/>
          <w:highlight w:val="none"/>
        </w:rPr>
        <w:t>若供应商同时属于小型或微型企业、监狱企业、残疾人福利性单位中的两种及以上，将不重复享受小微企业价格扣减的优惠政策。</w:t>
      </w:r>
    </w:p>
    <w:p w14:paraId="24AD4F78">
      <w:pPr>
        <w:numPr>
          <w:ilvl w:val="2"/>
          <w:numId w:val="0"/>
        </w:numPr>
        <w:tabs>
          <w:tab w:val="left" w:pos="1080"/>
          <w:tab w:val="left" w:pos="1589"/>
          <w:tab w:val="left" w:pos="2014"/>
        </w:tabs>
        <w:snapToGrid w:val="0"/>
        <w:spacing w:line="360" w:lineRule="auto"/>
        <w:ind w:left="2035" w:hanging="900"/>
        <w:rPr>
          <w:rFonts w:hint="eastAsia" w:ascii="宋体" w:hAnsi="宋体"/>
          <w:color w:val="auto"/>
          <w:sz w:val="24"/>
          <w:highlight w:val="none"/>
        </w:rPr>
      </w:pPr>
      <w:r>
        <w:rPr>
          <w:rFonts w:hint="eastAsia" w:ascii="宋体" w:hAnsi="宋体"/>
          <w:color w:val="auto"/>
          <w:sz w:val="24"/>
          <w:highlight w:val="none"/>
        </w:rPr>
        <w:t>3.3.9</w:t>
      </w:r>
      <w:r>
        <w:rPr>
          <w:rFonts w:ascii="宋体" w:hAnsi="宋体"/>
          <w:color w:val="auto"/>
          <w:sz w:val="24"/>
          <w:highlight w:val="none"/>
        </w:rPr>
        <w:t>其他为落实政府采购政策实施的优先采购：</w:t>
      </w:r>
      <w:r>
        <w:rPr>
          <w:rFonts w:ascii="宋体" w:hAnsi="宋体"/>
          <w:color w:val="auto"/>
          <w:sz w:val="24"/>
          <w:highlight w:val="none"/>
          <w:u w:val="single"/>
        </w:rPr>
        <w:t xml:space="preserve">   /   </w:t>
      </w:r>
      <w:r>
        <w:rPr>
          <w:rFonts w:ascii="宋体" w:hAnsi="宋体"/>
          <w:color w:val="auto"/>
          <w:sz w:val="24"/>
          <w:highlight w:val="none"/>
        </w:rPr>
        <w:t>。</w:t>
      </w:r>
    </w:p>
    <w:p w14:paraId="7B2450BC">
      <w:pPr>
        <w:tabs>
          <w:tab w:val="left" w:pos="360"/>
        </w:tabs>
        <w:snapToGrid w:val="0"/>
        <w:spacing w:line="360" w:lineRule="auto"/>
        <w:ind w:left="902" w:hanging="902"/>
        <w:outlineLvl w:val="2"/>
        <w:rPr>
          <w:rFonts w:hint="eastAsia"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磋商环节及提交最后报价后如出现以下情况的，供应商的</w:t>
      </w:r>
      <w:r>
        <w:rPr>
          <w:rFonts w:ascii="宋体" w:hAnsi="宋体"/>
          <w:b/>
          <w:color w:val="auto"/>
          <w:sz w:val="24"/>
          <w:highlight w:val="none"/>
        </w:rPr>
        <w:t>响应文件无效</w:t>
      </w:r>
      <w:r>
        <w:rPr>
          <w:rFonts w:ascii="宋体" w:hAnsi="宋体"/>
          <w:color w:val="auto"/>
          <w:sz w:val="24"/>
          <w:highlight w:val="none"/>
        </w:rPr>
        <w:t>：</w:t>
      </w:r>
    </w:p>
    <w:p w14:paraId="24EB4F9D">
      <w:pPr>
        <w:numPr>
          <w:ilvl w:val="1"/>
          <w:numId w:val="0"/>
        </w:numPr>
        <w:tabs>
          <w:tab w:val="left" w:pos="1080"/>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4.1供应商对实质性变动不予确认的；</w:t>
      </w:r>
    </w:p>
    <w:p w14:paraId="27266692">
      <w:pPr>
        <w:numPr>
          <w:ilvl w:val="1"/>
          <w:numId w:val="0"/>
        </w:numPr>
        <w:tabs>
          <w:tab w:val="left" w:pos="1080"/>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4.2不满足磋商文件</w:t>
      </w:r>
      <w:r>
        <w:rPr>
          <w:rFonts w:ascii="宋体" w:hAnsi="宋体" w:cs="Segoe UI Symbol"/>
          <w:color w:val="auto"/>
          <w:sz w:val="24"/>
          <w:highlight w:val="none"/>
        </w:rPr>
        <w:t>★</w:t>
      </w:r>
      <w:r>
        <w:rPr>
          <w:rFonts w:ascii="宋体" w:hAnsi="宋体"/>
          <w:color w:val="auto"/>
          <w:sz w:val="24"/>
          <w:highlight w:val="none"/>
        </w:rPr>
        <w:t>号条款或磋商文件技术指标超出磋商文件</w:t>
      </w:r>
      <w:r>
        <w:rPr>
          <w:rFonts w:hint="eastAsia" w:ascii="宋体" w:hAnsi="宋体"/>
          <w:color w:val="auto"/>
          <w:sz w:val="24"/>
          <w:highlight w:val="none"/>
        </w:rPr>
        <w:t>《</w:t>
      </w:r>
      <w:r>
        <w:rPr>
          <w:rFonts w:ascii="宋体" w:hAnsi="宋体"/>
          <w:color w:val="auto"/>
          <w:sz w:val="24"/>
          <w:highlight w:val="none"/>
        </w:rPr>
        <w:t>采购需求</w:t>
      </w:r>
      <w:r>
        <w:rPr>
          <w:rFonts w:hint="eastAsia" w:ascii="宋体" w:hAnsi="宋体"/>
          <w:color w:val="auto"/>
          <w:sz w:val="24"/>
          <w:highlight w:val="none"/>
        </w:rPr>
        <w:t>》</w:t>
      </w:r>
      <w:r>
        <w:rPr>
          <w:rFonts w:ascii="宋体" w:hAnsi="宋体"/>
          <w:color w:val="auto"/>
          <w:sz w:val="24"/>
          <w:highlight w:val="none"/>
        </w:rPr>
        <w:t>中主要技术参数允许偏差的最大范围的（如有）；</w:t>
      </w:r>
    </w:p>
    <w:p w14:paraId="5B033CDA">
      <w:pPr>
        <w:numPr>
          <w:ilvl w:val="1"/>
          <w:numId w:val="0"/>
        </w:numPr>
        <w:tabs>
          <w:tab w:val="left" w:pos="1080"/>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4.3未按照磋商小组规定的时间、逾期提交最后报价的；</w:t>
      </w:r>
    </w:p>
    <w:p w14:paraId="57A6224D">
      <w:pPr>
        <w:numPr>
          <w:ilvl w:val="1"/>
          <w:numId w:val="0"/>
        </w:numPr>
        <w:tabs>
          <w:tab w:val="left" w:pos="1080"/>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4.4如供应商的最后报价超过竞争性磋商文件中规定的项目/采购包预算金额或者项目/采购包最高限价的；</w:t>
      </w:r>
    </w:p>
    <w:p w14:paraId="232264A9">
      <w:pPr>
        <w:numPr>
          <w:ilvl w:val="1"/>
          <w:numId w:val="0"/>
        </w:numPr>
        <w:tabs>
          <w:tab w:val="left" w:pos="1080"/>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4.5响应文件中出现可选择性或可调整的报价的（竞争性磋商文件另有规定的除外）；</w:t>
      </w:r>
    </w:p>
    <w:p w14:paraId="15765674">
      <w:pPr>
        <w:numPr>
          <w:ilvl w:val="1"/>
          <w:numId w:val="0"/>
        </w:numPr>
        <w:tabs>
          <w:tab w:val="left" w:pos="1080"/>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4.6最后报价出现前后不一致，供应商对修正后的报价不予确认的；</w:t>
      </w:r>
    </w:p>
    <w:p w14:paraId="1293B101">
      <w:pPr>
        <w:numPr>
          <w:ilvl w:val="1"/>
          <w:numId w:val="0"/>
        </w:numPr>
        <w:tabs>
          <w:tab w:val="left" w:pos="1080"/>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4.7其他：</w:t>
      </w:r>
      <w:r>
        <w:rPr>
          <w:rFonts w:ascii="宋体" w:hAnsi="宋体"/>
          <w:color w:val="auto"/>
          <w:sz w:val="24"/>
          <w:highlight w:val="none"/>
          <w:u w:val="single"/>
        </w:rPr>
        <w:t xml:space="preserve">   /   </w:t>
      </w:r>
      <w:r>
        <w:rPr>
          <w:rFonts w:ascii="宋体" w:hAnsi="宋体"/>
          <w:color w:val="auto"/>
          <w:sz w:val="24"/>
          <w:highlight w:val="none"/>
        </w:rPr>
        <w:t>。</w:t>
      </w:r>
    </w:p>
    <w:p w14:paraId="7C7EA349">
      <w:pPr>
        <w:tabs>
          <w:tab w:val="left" w:pos="360"/>
        </w:tabs>
        <w:snapToGrid w:val="0"/>
        <w:spacing w:line="360" w:lineRule="auto"/>
        <w:ind w:left="902" w:hanging="902"/>
        <w:outlineLvl w:val="2"/>
        <w:rPr>
          <w:rFonts w:hint="eastAsia" w:ascii="宋体" w:hAnsi="宋体"/>
          <w:color w:val="auto"/>
          <w:sz w:val="24"/>
          <w:highlight w:val="none"/>
        </w:rPr>
      </w:pPr>
      <w:r>
        <w:rPr>
          <w:rFonts w:hint="eastAsia" w:ascii="宋体" w:hAnsi="宋体"/>
          <w:color w:val="auto"/>
          <w:sz w:val="24"/>
          <w:highlight w:val="none"/>
        </w:rPr>
        <w:t>5</w:t>
      </w:r>
      <w:r>
        <w:rPr>
          <w:rFonts w:ascii="宋体" w:hAnsi="宋体"/>
          <w:color w:val="auto"/>
          <w:sz w:val="24"/>
          <w:highlight w:val="none"/>
        </w:rPr>
        <w:t>评审方法和评审标准</w:t>
      </w:r>
    </w:p>
    <w:p w14:paraId="32AE10F1">
      <w:pPr>
        <w:numPr>
          <w:ilvl w:val="1"/>
          <w:numId w:val="0"/>
        </w:numPr>
        <w:tabs>
          <w:tab w:val="left" w:pos="1080"/>
          <w:tab w:val="left" w:pos="1872"/>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p>
    <w:p w14:paraId="64780CB7">
      <w:pPr>
        <w:numPr>
          <w:ilvl w:val="1"/>
          <w:numId w:val="0"/>
        </w:numPr>
        <w:tabs>
          <w:tab w:val="left" w:pos="1080"/>
          <w:tab w:val="left" w:pos="1872"/>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5.2竞争性磋商文件中没有规定的评审标准不得作为评审依据。</w:t>
      </w:r>
    </w:p>
    <w:p w14:paraId="33ABA806">
      <w:pPr>
        <w:numPr>
          <w:ilvl w:val="1"/>
          <w:numId w:val="0"/>
        </w:numPr>
        <w:tabs>
          <w:tab w:val="left" w:pos="1080"/>
          <w:tab w:val="left" w:pos="1872"/>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5.3非政府强制采购的节能产品或环境标志产品，依据品目清单和认证证书实施政府优先采购。优先采购的具体规定（如涉及）</w:t>
      </w:r>
      <w:r>
        <w:rPr>
          <w:rFonts w:ascii="宋体" w:hAnsi="宋体"/>
          <w:color w:val="auto"/>
          <w:sz w:val="24"/>
          <w:highlight w:val="none"/>
          <w:u w:val="single"/>
        </w:rPr>
        <w:t xml:space="preserve">   /   </w:t>
      </w:r>
      <w:r>
        <w:rPr>
          <w:rFonts w:ascii="宋体" w:hAnsi="宋体"/>
          <w:color w:val="auto"/>
          <w:sz w:val="24"/>
          <w:highlight w:val="none"/>
        </w:rPr>
        <w:t>。</w:t>
      </w:r>
    </w:p>
    <w:p w14:paraId="11D925B5">
      <w:pPr>
        <w:numPr>
          <w:ilvl w:val="1"/>
          <w:numId w:val="0"/>
        </w:numPr>
        <w:tabs>
          <w:tab w:val="left" w:pos="1080"/>
          <w:tab w:val="left" w:pos="1872"/>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5.4关于无线局域网认证产品政府采购清单中的产品，优先采购的具体规定（如涉及）</w:t>
      </w:r>
      <w:r>
        <w:rPr>
          <w:rFonts w:ascii="宋体" w:hAnsi="宋体"/>
          <w:color w:val="auto"/>
          <w:sz w:val="24"/>
          <w:highlight w:val="none"/>
          <w:u w:val="single"/>
        </w:rPr>
        <w:t xml:space="preserve">   /   </w:t>
      </w:r>
      <w:r>
        <w:rPr>
          <w:rFonts w:ascii="宋体" w:hAnsi="宋体"/>
          <w:color w:val="auto"/>
          <w:sz w:val="24"/>
          <w:highlight w:val="none"/>
        </w:rPr>
        <w:t>。</w:t>
      </w:r>
    </w:p>
    <w:p w14:paraId="7A6F0C3D">
      <w:pPr>
        <w:tabs>
          <w:tab w:val="left" w:pos="360"/>
        </w:tabs>
        <w:snapToGrid w:val="0"/>
        <w:spacing w:line="360" w:lineRule="auto"/>
        <w:ind w:left="902" w:hanging="902"/>
        <w:outlineLvl w:val="2"/>
        <w:rPr>
          <w:rFonts w:hint="eastAsia" w:ascii="宋体" w:hAnsi="宋体"/>
          <w:color w:val="auto"/>
          <w:sz w:val="24"/>
          <w:highlight w:val="none"/>
        </w:rPr>
      </w:pPr>
      <w:r>
        <w:rPr>
          <w:rFonts w:hint="eastAsia" w:ascii="宋体" w:hAnsi="宋体"/>
          <w:color w:val="auto"/>
          <w:sz w:val="24"/>
          <w:highlight w:val="none"/>
        </w:rPr>
        <w:t>6</w:t>
      </w:r>
      <w:r>
        <w:rPr>
          <w:rFonts w:ascii="宋体" w:hAnsi="宋体"/>
          <w:color w:val="auto"/>
          <w:sz w:val="24"/>
          <w:highlight w:val="none"/>
        </w:rPr>
        <w:t>确定</w:t>
      </w:r>
      <w:bookmarkStart w:id="523" w:name="_Toc164608660"/>
      <w:bookmarkStart w:id="524" w:name="_Toc226337242"/>
      <w:bookmarkStart w:id="525" w:name="_Toc151193788"/>
      <w:bookmarkStart w:id="526" w:name="_Toc150774646"/>
      <w:bookmarkStart w:id="527" w:name="_Toc127151546"/>
      <w:bookmarkStart w:id="528" w:name="_Toc150480784"/>
      <w:bookmarkStart w:id="529" w:name="_Toc164351640"/>
      <w:bookmarkStart w:id="530" w:name="_Toc164608815"/>
      <w:bookmarkStart w:id="531" w:name="_Toc150774751"/>
      <w:bookmarkStart w:id="532" w:name="_Toc151193860"/>
      <w:bookmarkStart w:id="533" w:name="_Toc164229387"/>
      <w:bookmarkStart w:id="534" w:name="_Toc226965736"/>
      <w:bookmarkStart w:id="535" w:name="_Toc195842911"/>
      <w:bookmarkStart w:id="536" w:name="_Toc127161460"/>
      <w:bookmarkStart w:id="537" w:name="_Toc164229241"/>
      <w:bookmarkStart w:id="538" w:name="_Ref467307010"/>
      <w:bookmarkStart w:id="539" w:name="_Toc265228384"/>
      <w:bookmarkStart w:id="540" w:name="_Toc226309790"/>
      <w:bookmarkStart w:id="541" w:name="_Toc520356170"/>
      <w:bookmarkStart w:id="542" w:name="_Toc142311048"/>
      <w:bookmarkStart w:id="543" w:name="_Toc150509297"/>
      <w:bookmarkStart w:id="544" w:name="_Toc305158888"/>
      <w:bookmarkStart w:id="545" w:name="_Toc151193716"/>
      <w:bookmarkStart w:id="546" w:name="_Toc151193644"/>
      <w:bookmarkStart w:id="547" w:name="_Toc149720839"/>
      <w:bookmarkStart w:id="548" w:name="_Toc151190173"/>
      <w:bookmarkStart w:id="549" w:name="_Toc127151747"/>
      <w:bookmarkStart w:id="550" w:name="_Toc264969236"/>
      <w:bookmarkStart w:id="551" w:name="_Toc226965819"/>
      <w:bookmarkStart w:id="552" w:name="_Toc151193934"/>
      <w:bookmarkStart w:id="553" w:name="_Toc305158814"/>
      <w:r>
        <w:rPr>
          <w:rFonts w:ascii="宋体" w:hAnsi="宋体"/>
          <w:color w:val="auto"/>
          <w:sz w:val="24"/>
          <w:highlight w:val="none"/>
        </w:rPr>
        <w:t>成交候选人名单</w:t>
      </w:r>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14:paraId="10D1EEA7">
      <w:pPr>
        <w:numPr>
          <w:ilvl w:val="1"/>
          <w:numId w:val="0"/>
        </w:numPr>
        <w:tabs>
          <w:tab w:val="left" w:pos="1080"/>
          <w:tab w:val="left" w:pos="1872"/>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7A3F46D0">
      <w:pPr>
        <w:numPr>
          <w:ilvl w:val="1"/>
          <w:numId w:val="0"/>
        </w:numPr>
        <w:tabs>
          <w:tab w:val="left" w:pos="1080"/>
          <w:tab w:val="left" w:pos="1872"/>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6.2</w:t>
      </w:r>
      <w:r>
        <w:rPr>
          <w:rFonts w:ascii="宋体" w:hAnsi="宋体"/>
          <w:color w:val="auto"/>
          <w:kern w:val="0"/>
          <w:sz w:val="24"/>
          <w:szCs w:val="20"/>
          <w:highlight w:val="none"/>
        </w:rPr>
        <w:t>磋商小组根据上述供应商排序，依次推荐排序前</w:t>
      </w:r>
      <w:r>
        <w:rPr>
          <w:rFonts w:ascii="宋体" w:hAnsi="宋体"/>
          <w:color w:val="auto"/>
          <w:sz w:val="24"/>
          <w:highlight w:val="none"/>
          <w:u w:val="single"/>
        </w:rPr>
        <w:t xml:space="preserve">  3  </w:t>
      </w:r>
      <w:r>
        <w:rPr>
          <w:rFonts w:ascii="宋体" w:hAnsi="宋体"/>
          <w:color w:val="auto"/>
          <w:sz w:val="24"/>
          <w:highlight w:val="none"/>
        </w:rPr>
        <w:t>名</w:t>
      </w:r>
      <w:r>
        <w:rPr>
          <w:rFonts w:ascii="宋体" w:hAnsi="宋体"/>
          <w:color w:val="auto"/>
          <w:kern w:val="0"/>
          <w:sz w:val="24"/>
          <w:szCs w:val="20"/>
          <w:highlight w:val="none"/>
        </w:rPr>
        <w:t>的供应商为</w:t>
      </w:r>
      <w:r>
        <w:rPr>
          <w:rFonts w:ascii="宋体" w:hAnsi="宋体"/>
          <w:snapToGrid w:val="0"/>
          <w:color w:val="auto"/>
          <w:kern w:val="0"/>
          <w:sz w:val="24"/>
          <w:szCs w:val="21"/>
          <w:highlight w:val="none"/>
        </w:rPr>
        <w:t>成交候选供应商</w:t>
      </w:r>
      <w:r>
        <w:rPr>
          <w:rFonts w:ascii="宋体" w:hAnsi="宋体"/>
          <w:color w:val="auto"/>
          <w:kern w:val="0"/>
          <w:sz w:val="24"/>
          <w:szCs w:val="20"/>
          <w:highlight w:val="none"/>
        </w:rPr>
        <w:t>（若在磋商文件允许的情形下提交最后报价的供应商为二家，则依次推荐二名供应商为成交候选供应商），并编写评审报告。</w:t>
      </w:r>
    </w:p>
    <w:p w14:paraId="629C9E5A">
      <w:pPr>
        <w:numPr>
          <w:ilvl w:val="1"/>
          <w:numId w:val="0"/>
        </w:numPr>
        <w:tabs>
          <w:tab w:val="left" w:pos="1080"/>
          <w:tab w:val="left" w:pos="1872"/>
        </w:tabs>
        <w:snapToGrid w:val="0"/>
        <w:spacing w:line="360" w:lineRule="auto"/>
        <w:ind w:left="1077" w:hanging="720"/>
        <w:rPr>
          <w:rFonts w:hint="eastAsia" w:ascii="宋体" w:hAnsi="宋体"/>
          <w:color w:val="auto"/>
          <w:sz w:val="24"/>
          <w:highlight w:val="none"/>
        </w:rPr>
      </w:pPr>
      <w:r>
        <w:rPr>
          <w:rFonts w:ascii="宋体" w:hAnsi="宋体"/>
          <w:color w:val="auto"/>
          <w:sz w:val="24"/>
          <w:highlight w:val="none"/>
        </w:rPr>
        <w:t>6.3磋商小组要对评分汇总情况进行复核，特别是对排名第一的、报价最低的、响应文件被认定为无效的情形进行重点复核。</w:t>
      </w:r>
    </w:p>
    <w:p w14:paraId="26C7C545">
      <w:pPr>
        <w:tabs>
          <w:tab w:val="left" w:pos="360"/>
        </w:tabs>
        <w:snapToGrid w:val="0"/>
        <w:spacing w:line="360" w:lineRule="auto"/>
        <w:ind w:left="902" w:hanging="902"/>
        <w:outlineLvl w:val="2"/>
        <w:rPr>
          <w:rFonts w:hint="eastAsia" w:ascii="宋体" w:hAnsi="宋体"/>
          <w:color w:val="auto"/>
          <w:sz w:val="24"/>
          <w:highlight w:val="none"/>
        </w:rPr>
      </w:pPr>
      <w:r>
        <w:rPr>
          <w:rFonts w:hint="eastAsia" w:ascii="宋体" w:hAnsi="宋体"/>
          <w:color w:val="auto"/>
          <w:sz w:val="24"/>
          <w:highlight w:val="none"/>
        </w:rPr>
        <w:t>7</w:t>
      </w:r>
      <w:r>
        <w:rPr>
          <w:rFonts w:ascii="宋体" w:hAnsi="宋体"/>
          <w:color w:val="auto"/>
          <w:sz w:val="24"/>
          <w:highlight w:val="none"/>
        </w:rPr>
        <w:t>报告违法行为</w:t>
      </w:r>
    </w:p>
    <w:p w14:paraId="03C89B00">
      <w:pPr>
        <w:tabs>
          <w:tab w:val="left" w:pos="1080"/>
          <w:tab w:val="left" w:pos="1589"/>
          <w:tab w:val="left" w:pos="2014"/>
        </w:tabs>
        <w:snapToGrid w:val="0"/>
        <w:spacing w:line="360" w:lineRule="auto"/>
        <w:ind w:firstLine="480" w:firstLineChars="200"/>
        <w:rPr>
          <w:rFonts w:hint="eastAsia" w:ascii="宋体" w:hAnsi="宋体"/>
          <w:color w:val="auto"/>
          <w:sz w:val="24"/>
          <w:highlight w:val="none"/>
        </w:rPr>
      </w:pPr>
      <w:r>
        <w:rPr>
          <w:rFonts w:ascii="宋体" w:hAnsi="宋体"/>
          <w:color w:val="auto"/>
          <w:sz w:val="24"/>
          <w:highlight w:val="none"/>
        </w:rPr>
        <w:t>磋商小组在评审过程中发现供应商有行贿、提供虚假材料或者串通等违法行为时，有向采购人、采购代理机构或者有关部门报告的职责。</w:t>
      </w:r>
    </w:p>
    <w:p w14:paraId="0F9DCF3D">
      <w:pPr>
        <w:jc w:val="center"/>
        <w:outlineLvl w:val="1"/>
        <w:rPr>
          <w:rFonts w:hint="eastAsia" w:ascii="宋体" w:hAnsi="宋体" w:eastAsia="宋体"/>
          <w:b/>
          <w:bCs/>
          <w:color w:val="auto"/>
          <w:sz w:val="28"/>
          <w:szCs w:val="36"/>
          <w:highlight w:val="none"/>
          <w:lang w:val="en-US" w:eastAsia="zh-CN"/>
        </w:rPr>
      </w:pPr>
      <w:r>
        <w:rPr>
          <w:rFonts w:ascii="宋体" w:hAnsi="宋体"/>
          <w:b/>
          <w:bCs/>
          <w:color w:val="auto"/>
          <w:sz w:val="28"/>
          <w:szCs w:val="36"/>
          <w:highlight w:val="none"/>
        </w:rPr>
        <w:t>二、评</w:t>
      </w:r>
      <w:r>
        <w:rPr>
          <w:rFonts w:hint="eastAsia" w:ascii="宋体" w:hAnsi="宋体"/>
          <w:b/>
          <w:bCs/>
          <w:color w:val="auto"/>
          <w:sz w:val="28"/>
          <w:szCs w:val="36"/>
          <w:highlight w:val="none"/>
        </w:rPr>
        <w:t>审</w:t>
      </w:r>
      <w:r>
        <w:rPr>
          <w:rFonts w:ascii="宋体" w:hAnsi="宋体"/>
          <w:b/>
          <w:bCs/>
          <w:color w:val="auto"/>
          <w:sz w:val="28"/>
          <w:szCs w:val="36"/>
          <w:highlight w:val="none"/>
        </w:rPr>
        <w:t>标准</w:t>
      </w:r>
      <w:r>
        <w:rPr>
          <w:rFonts w:hint="eastAsia" w:ascii="宋体" w:hAnsi="宋体"/>
          <w:b/>
          <w:bCs/>
          <w:color w:val="auto"/>
          <w:sz w:val="28"/>
          <w:szCs w:val="36"/>
          <w:highlight w:val="none"/>
          <w:lang w:val="en-US" w:eastAsia="zh-CN"/>
        </w:rPr>
        <w:tab/>
      </w:r>
    </w:p>
    <w:tbl>
      <w:tblPr>
        <w:tblStyle w:val="42"/>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798"/>
        <w:gridCol w:w="5716"/>
        <w:gridCol w:w="956"/>
      </w:tblGrid>
      <w:tr w14:paraId="50923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4C4DAAC5">
            <w:pPr>
              <w:adjustRightInd w:val="0"/>
              <w:snapToGrid w:val="0"/>
              <w:spacing w:line="480" w:lineRule="atLeast"/>
              <w:jc w:val="center"/>
              <w:textAlignment w:val="baseline"/>
              <w:rPr>
                <w:rFonts w:hint="eastAsia" w:ascii="宋体" w:hAnsi="宋体" w:cs="宋体"/>
                <w:b/>
                <w:bCs/>
                <w:color w:val="auto"/>
                <w:sz w:val="24"/>
                <w:szCs w:val="32"/>
                <w:highlight w:val="none"/>
              </w:rPr>
            </w:pPr>
            <w:bookmarkStart w:id="554" w:name="_Hlk128324614"/>
            <w:r>
              <w:rPr>
                <w:rFonts w:hint="eastAsia" w:ascii="宋体" w:hAnsi="宋体" w:cs="宋体"/>
                <w:b/>
                <w:bCs/>
                <w:color w:val="auto"/>
                <w:sz w:val="24"/>
                <w:szCs w:val="32"/>
                <w:highlight w:val="none"/>
              </w:rPr>
              <w:t>序号</w:t>
            </w:r>
          </w:p>
        </w:tc>
        <w:tc>
          <w:tcPr>
            <w:tcW w:w="1798" w:type="dxa"/>
            <w:vAlign w:val="center"/>
          </w:tcPr>
          <w:p w14:paraId="6681B62F">
            <w:pPr>
              <w:adjustRightInd w:val="0"/>
              <w:snapToGrid w:val="0"/>
              <w:spacing w:line="480" w:lineRule="atLeast"/>
              <w:jc w:val="center"/>
              <w:textAlignment w:val="baseline"/>
              <w:rPr>
                <w:rFonts w:hint="eastAsia" w:ascii="宋体" w:hAnsi="宋体" w:cs="宋体"/>
                <w:b/>
                <w:bCs/>
                <w:color w:val="auto"/>
                <w:sz w:val="24"/>
                <w:szCs w:val="32"/>
                <w:highlight w:val="none"/>
              </w:rPr>
            </w:pPr>
            <w:r>
              <w:rPr>
                <w:rFonts w:hint="eastAsia" w:ascii="宋体" w:hAnsi="宋体" w:cs="宋体"/>
                <w:b/>
                <w:bCs/>
                <w:color w:val="auto"/>
                <w:sz w:val="24"/>
                <w:szCs w:val="32"/>
                <w:highlight w:val="none"/>
              </w:rPr>
              <w:t>评审因素</w:t>
            </w:r>
          </w:p>
        </w:tc>
        <w:tc>
          <w:tcPr>
            <w:tcW w:w="5716" w:type="dxa"/>
            <w:vAlign w:val="center"/>
          </w:tcPr>
          <w:p w14:paraId="5F04E553">
            <w:pPr>
              <w:adjustRightInd w:val="0"/>
              <w:snapToGrid w:val="0"/>
              <w:spacing w:line="480" w:lineRule="atLeast"/>
              <w:jc w:val="center"/>
              <w:textAlignment w:val="baseline"/>
              <w:rPr>
                <w:rFonts w:hint="eastAsia" w:ascii="宋体" w:hAnsi="宋体" w:cs="宋体"/>
                <w:b/>
                <w:bCs/>
                <w:color w:val="auto"/>
                <w:sz w:val="24"/>
                <w:szCs w:val="32"/>
                <w:highlight w:val="none"/>
              </w:rPr>
            </w:pPr>
            <w:r>
              <w:rPr>
                <w:rFonts w:hint="eastAsia" w:ascii="宋体" w:hAnsi="宋体" w:cs="宋体"/>
                <w:b/>
                <w:bCs/>
                <w:color w:val="auto"/>
                <w:sz w:val="24"/>
                <w:szCs w:val="32"/>
                <w:highlight w:val="none"/>
              </w:rPr>
              <w:t>评审标准</w:t>
            </w:r>
          </w:p>
        </w:tc>
        <w:tc>
          <w:tcPr>
            <w:tcW w:w="956" w:type="dxa"/>
            <w:vAlign w:val="center"/>
          </w:tcPr>
          <w:p w14:paraId="3E2E7ABA">
            <w:pPr>
              <w:adjustRightInd w:val="0"/>
              <w:snapToGrid w:val="0"/>
              <w:spacing w:line="480" w:lineRule="atLeast"/>
              <w:jc w:val="center"/>
              <w:textAlignment w:val="baseline"/>
              <w:rPr>
                <w:rFonts w:hint="eastAsia" w:ascii="宋体" w:hAnsi="宋体" w:cs="宋体"/>
                <w:b/>
                <w:bCs/>
                <w:color w:val="auto"/>
                <w:sz w:val="24"/>
                <w:szCs w:val="32"/>
                <w:highlight w:val="none"/>
              </w:rPr>
            </w:pPr>
            <w:r>
              <w:rPr>
                <w:rFonts w:hint="eastAsia" w:ascii="宋体" w:hAnsi="宋体" w:cs="宋体"/>
                <w:b/>
                <w:bCs/>
                <w:color w:val="auto"/>
                <w:sz w:val="24"/>
                <w:szCs w:val="32"/>
                <w:highlight w:val="none"/>
              </w:rPr>
              <w:t>分值</w:t>
            </w:r>
          </w:p>
        </w:tc>
      </w:tr>
      <w:tr w14:paraId="755BE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663E77A6">
            <w:pPr>
              <w:adjustRightInd w:val="0"/>
              <w:snapToGrid w:val="0"/>
              <w:spacing w:line="480" w:lineRule="atLeast"/>
              <w:jc w:val="center"/>
              <w:textAlignment w:val="baseline"/>
              <w:rPr>
                <w:rFonts w:hint="eastAsia" w:ascii="宋体" w:hAnsi="宋体" w:cs="宋体"/>
                <w:b/>
                <w:bCs/>
                <w:color w:val="auto"/>
                <w:sz w:val="24"/>
                <w:szCs w:val="32"/>
                <w:highlight w:val="none"/>
              </w:rPr>
            </w:pPr>
            <w:r>
              <w:rPr>
                <w:rFonts w:hint="eastAsia" w:ascii="宋体" w:hAnsi="宋体" w:cs="宋体"/>
                <w:b/>
                <w:bCs/>
                <w:color w:val="auto"/>
                <w:sz w:val="24"/>
                <w:szCs w:val="32"/>
                <w:highlight w:val="none"/>
              </w:rPr>
              <w:t>一</w:t>
            </w:r>
          </w:p>
        </w:tc>
        <w:tc>
          <w:tcPr>
            <w:tcW w:w="1798" w:type="dxa"/>
            <w:vAlign w:val="center"/>
          </w:tcPr>
          <w:p w14:paraId="54205227">
            <w:pPr>
              <w:adjustRightInd w:val="0"/>
              <w:snapToGrid w:val="0"/>
              <w:spacing w:line="480" w:lineRule="atLeast"/>
              <w:jc w:val="left"/>
              <w:textAlignment w:val="baseline"/>
              <w:rPr>
                <w:rFonts w:hint="eastAsia" w:ascii="宋体" w:hAnsi="宋体" w:cs="宋体"/>
                <w:b/>
                <w:bCs/>
                <w:color w:val="auto"/>
                <w:sz w:val="24"/>
                <w:szCs w:val="32"/>
                <w:highlight w:val="none"/>
              </w:rPr>
            </w:pPr>
            <w:r>
              <w:rPr>
                <w:rFonts w:hint="eastAsia" w:ascii="宋体" w:hAnsi="宋体" w:cs="宋体"/>
                <w:b/>
                <w:bCs/>
                <w:color w:val="auto"/>
                <w:sz w:val="24"/>
                <w:szCs w:val="32"/>
                <w:highlight w:val="none"/>
              </w:rPr>
              <w:t>技术因素</w:t>
            </w:r>
          </w:p>
        </w:tc>
        <w:tc>
          <w:tcPr>
            <w:tcW w:w="5716" w:type="dxa"/>
            <w:vAlign w:val="center"/>
          </w:tcPr>
          <w:p w14:paraId="1608D9F3">
            <w:pPr>
              <w:adjustRightInd w:val="0"/>
              <w:snapToGrid w:val="0"/>
              <w:spacing w:line="480" w:lineRule="atLeast"/>
              <w:jc w:val="center"/>
              <w:textAlignment w:val="baseline"/>
              <w:rPr>
                <w:rFonts w:hint="eastAsia" w:ascii="宋体" w:hAnsi="宋体" w:cs="宋体"/>
                <w:b/>
                <w:bCs/>
                <w:color w:val="auto"/>
                <w:highlight w:val="none"/>
              </w:rPr>
            </w:pPr>
          </w:p>
        </w:tc>
        <w:tc>
          <w:tcPr>
            <w:tcW w:w="956" w:type="dxa"/>
            <w:vAlign w:val="center"/>
          </w:tcPr>
          <w:p w14:paraId="52AA5E1F">
            <w:pPr>
              <w:adjustRightInd w:val="0"/>
              <w:snapToGrid w:val="0"/>
              <w:spacing w:line="480" w:lineRule="atLeast"/>
              <w:jc w:val="center"/>
              <w:textAlignment w:val="baseline"/>
              <w:rPr>
                <w:rFonts w:hint="eastAsia" w:ascii="宋体" w:hAnsi="宋体" w:cs="宋体"/>
                <w:b/>
                <w:bCs/>
                <w:color w:val="auto"/>
                <w:highlight w:val="none"/>
              </w:rPr>
            </w:pPr>
            <w:r>
              <w:rPr>
                <w:rFonts w:hint="eastAsia" w:ascii="宋体" w:hAnsi="宋体" w:cs="宋体"/>
                <w:b/>
                <w:bCs/>
                <w:color w:val="auto"/>
                <w:sz w:val="24"/>
                <w:szCs w:val="32"/>
                <w:highlight w:val="none"/>
              </w:rPr>
              <w:t>84</w:t>
            </w:r>
          </w:p>
        </w:tc>
      </w:tr>
      <w:tr w14:paraId="171DA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216DF992">
            <w:pPr>
              <w:adjustRightInd w:val="0"/>
              <w:snapToGrid w:val="0"/>
              <w:spacing w:line="480" w:lineRule="atLeast"/>
              <w:jc w:val="center"/>
              <w:textAlignment w:val="baseline"/>
              <w:rPr>
                <w:rFonts w:hint="eastAsia" w:ascii="宋体" w:hAnsi="宋体" w:cs="宋体"/>
                <w:b/>
                <w:bCs/>
                <w:color w:val="auto"/>
                <w:sz w:val="22"/>
                <w:szCs w:val="28"/>
                <w:highlight w:val="none"/>
              </w:rPr>
            </w:pPr>
            <w:r>
              <w:rPr>
                <w:rFonts w:hint="eastAsia" w:ascii="宋体" w:hAnsi="宋体" w:cs="宋体"/>
                <w:b/>
                <w:bCs/>
                <w:color w:val="auto"/>
                <w:sz w:val="24"/>
                <w:szCs w:val="32"/>
                <w:highlight w:val="none"/>
              </w:rPr>
              <w:t>1</w:t>
            </w:r>
          </w:p>
        </w:tc>
        <w:tc>
          <w:tcPr>
            <w:tcW w:w="1798" w:type="dxa"/>
            <w:vAlign w:val="center"/>
          </w:tcPr>
          <w:p w14:paraId="2EC07335">
            <w:pPr>
              <w:adjustRightInd w:val="0"/>
              <w:snapToGrid w:val="0"/>
              <w:spacing w:line="480" w:lineRule="atLeast"/>
              <w:jc w:val="left"/>
              <w:textAlignment w:val="baseline"/>
              <w:rPr>
                <w:rFonts w:hint="eastAsia" w:ascii="宋体" w:hAnsi="宋体" w:cs="宋体"/>
                <w:b/>
                <w:bCs/>
                <w:color w:val="auto"/>
                <w:sz w:val="22"/>
                <w:szCs w:val="28"/>
                <w:highlight w:val="none"/>
              </w:rPr>
            </w:pPr>
            <w:r>
              <w:rPr>
                <w:rFonts w:hint="eastAsia" w:ascii="宋体" w:hAnsi="宋体" w:cs="宋体"/>
                <w:b/>
                <w:color w:val="auto"/>
                <w:sz w:val="24"/>
                <w:szCs w:val="21"/>
                <w:highlight w:val="none"/>
              </w:rPr>
              <w:t>施工组织设计</w:t>
            </w:r>
          </w:p>
        </w:tc>
        <w:tc>
          <w:tcPr>
            <w:tcW w:w="5716" w:type="dxa"/>
            <w:vAlign w:val="center"/>
          </w:tcPr>
          <w:p w14:paraId="69AB5FDA">
            <w:pPr>
              <w:adjustRightInd w:val="0"/>
              <w:snapToGrid w:val="0"/>
              <w:spacing w:line="480" w:lineRule="atLeast"/>
              <w:jc w:val="center"/>
              <w:textAlignment w:val="baseline"/>
              <w:rPr>
                <w:rFonts w:hint="eastAsia" w:ascii="宋体" w:hAnsi="宋体" w:cs="宋体"/>
                <w:b/>
                <w:bCs/>
                <w:color w:val="auto"/>
                <w:highlight w:val="none"/>
              </w:rPr>
            </w:pPr>
          </w:p>
        </w:tc>
        <w:tc>
          <w:tcPr>
            <w:tcW w:w="956" w:type="dxa"/>
            <w:vAlign w:val="center"/>
          </w:tcPr>
          <w:p w14:paraId="165115B9">
            <w:pPr>
              <w:adjustRightInd w:val="0"/>
              <w:snapToGrid w:val="0"/>
              <w:spacing w:line="480" w:lineRule="atLeast"/>
              <w:jc w:val="center"/>
              <w:textAlignment w:val="baseline"/>
              <w:rPr>
                <w:rFonts w:hint="eastAsia" w:ascii="宋体" w:hAnsi="宋体" w:cs="宋体"/>
                <w:b/>
                <w:bCs/>
                <w:color w:val="auto"/>
                <w:highlight w:val="none"/>
              </w:rPr>
            </w:pPr>
          </w:p>
        </w:tc>
      </w:tr>
      <w:tr w14:paraId="694E3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51D35FD4">
            <w:pPr>
              <w:adjustRightInd w:val="0"/>
              <w:snapToGrid w:val="0"/>
              <w:spacing w:line="480" w:lineRule="atLeast"/>
              <w:jc w:val="center"/>
              <w:textAlignment w:val="baseline"/>
              <w:rPr>
                <w:rFonts w:hint="eastAsia" w:ascii="宋体" w:hAnsi="宋体" w:cs="宋体"/>
                <w:color w:val="auto"/>
                <w:sz w:val="24"/>
                <w:szCs w:val="32"/>
                <w:highlight w:val="none"/>
              </w:rPr>
            </w:pPr>
            <w:r>
              <w:rPr>
                <w:rFonts w:hint="eastAsia" w:ascii="宋体" w:hAnsi="宋体" w:cs="宋体"/>
                <w:color w:val="auto"/>
                <w:sz w:val="24"/>
                <w:szCs w:val="32"/>
                <w:highlight w:val="none"/>
              </w:rPr>
              <w:t>（1）</w:t>
            </w:r>
          </w:p>
        </w:tc>
        <w:tc>
          <w:tcPr>
            <w:tcW w:w="1798" w:type="dxa"/>
            <w:vAlign w:val="center"/>
          </w:tcPr>
          <w:p w14:paraId="6A0ACCF6">
            <w:pPr>
              <w:adjustRightInd w:val="0"/>
              <w:snapToGrid w:val="0"/>
              <w:spacing w:line="480" w:lineRule="atLeast"/>
              <w:jc w:val="left"/>
              <w:textAlignment w:val="baseline"/>
              <w:rPr>
                <w:rFonts w:hint="eastAsia" w:ascii="宋体" w:hAnsi="宋体" w:cs="宋体"/>
                <w:bCs/>
                <w:color w:val="auto"/>
                <w:highlight w:val="none"/>
              </w:rPr>
            </w:pPr>
            <w:r>
              <w:rPr>
                <w:rFonts w:hint="eastAsia" w:ascii="宋体" w:hAnsi="宋体" w:cs="宋体"/>
                <w:color w:val="auto"/>
                <w:sz w:val="24"/>
                <w:szCs w:val="21"/>
                <w:highlight w:val="none"/>
              </w:rPr>
              <w:t>施工方案与技术措施</w:t>
            </w:r>
          </w:p>
        </w:tc>
        <w:tc>
          <w:tcPr>
            <w:tcW w:w="5716" w:type="dxa"/>
            <w:vAlign w:val="center"/>
          </w:tcPr>
          <w:p w14:paraId="2E69D3B7">
            <w:pPr>
              <w:adjustRightInd w:val="0"/>
              <w:snapToGrid w:val="0"/>
              <w:spacing w:line="24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第一等次：方案内容完整，包括施工方法和作业流程、季节性施工、劳动力计划、施工机具配备等，各部分内容合理清晰，得20分；</w:t>
            </w:r>
          </w:p>
          <w:p w14:paraId="4CB101DD">
            <w:pPr>
              <w:adjustRightInd w:val="0"/>
              <w:snapToGrid w:val="0"/>
              <w:spacing w:line="24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第二等次：方案内容完整，包括施工方法和作业流程、季节性施工、劳动力计划、施工机具配备等；各部分描述有欠缺，得15分； </w:t>
            </w:r>
          </w:p>
          <w:p w14:paraId="74FC979E">
            <w:pPr>
              <w:adjustRightInd w:val="0"/>
              <w:snapToGrid w:val="0"/>
              <w:spacing w:line="24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第三等次：方案内容较完整，部分内容描述有欠缺，得10分；</w:t>
            </w:r>
          </w:p>
          <w:p w14:paraId="13B5E918">
            <w:pPr>
              <w:adjustRightInd w:val="0"/>
              <w:snapToGrid w:val="0"/>
              <w:spacing w:line="24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第四等次：方案内容不完整，部分内容有缺失，得0分。</w:t>
            </w:r>
          </w:p>
        </w:tc>
        <w:tc>
          <w:tcPr>
            <w:tcW w:w="956" w:type="dxa"/>
            <w:vAlign w:val="center"/>
          </w:tcPr>
          <w:p w14:paraId="67B75D7E">
            <w:pPr>
              <w:adjustRightInd w:val="0"/>
              <w:snapToGrid w:val="0"/>
              <w:spacing w:line="480" w:lineRule="atLeast"/>
              <w:jc w:val="center"/>
              <w:textAlignment w:val="baseline"/>
              <w:rPr>
                <w:rFonts w:hint="eastAsia" w:ascii="宋体" w:hAnsi="宋体" w:cs="宋体"/>
                <w:color w:val="auto"/>
                <w:sz w:val="24"/>
                <w:szCs w:val="32"/>
                <w:highlight w:val="none"/>
              </w:rPr>
            </w:pPr>
            <w:r>
              <w:rPr>
                <w:rFonts w:hint="eastAsia" w:ascii="宋体" w:hAnsi="宋体" w:cs="宋体"/>
                <w:color w:val="auto"/>
                <w:sz w:val="24"/>
                <w:szCs w:val="32"/>
                <w:highlight w:val="none"/>
              </w:rPr>
              <w:t>20</w:t>
            </w:r>
          </w:p>
        </w:tc>
      </w:tr>
      <w:tr w14:paraId="444E0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708926E9">
            <w:pPr>
              <w:adjustRightInd w:val="0"/>
              <w:snapToGrid w:val="0"/>
              <w:spacing w:line="480" w:lineRule="atLeast"/>
              <w:jc w:val="center"/>
              <w:textAlignment w:val="baseline"/>
              <w:rPr>
                <w:rFonts w:hint="eastAsia" w:ascii="宋体" w:hAnsi="宋体" w:cs="宋体"/>
                <w:color w:val="auto"/>
                <w:sz w:val="24"/>
                <w:szCs w:val="32"/>
                <w:highlight w:val="none"/>
              </w:rPr>
            </w:pPr>
            <w:r>
              <w:rPr>
                <w:rFonts w:hint="eastAsia" w:ascii="宋体" w:hAnsi="宋体" w:cs="宋体"/>
                <w:color w:val="auto"/>
                <w:sz w:val="24"/>
                <w:szCs w:val="32"/>
                <w:highlight w:val="none"/>
              </w:rPr>
              <w:t>（2）</w:t>
            </w:r>
          </w:p>
        </w:tc>
        <w:tc>
          <w:tcPr>
            <w:tcW w:w="1798" w:type="dxa"/>
            <w:vAlign w:val="center"/>
          </w:tcPr>
          <w:p w14:paraId="549471A4">
            <w:pPr>
              <w:adjustRightInd w:val="0"/>
              <w:snapToGrid w:val="0"/>
              <w:spacing w:line="480" w:lineRule="atLeast"/>
              <w:jc w:val="left"/>
              <w:textAlignment w:val="baseline"/>
              <w:rPr>
                <w:rFonts w:hint="eastAsia" w:ascii="宋体" w:hAnsi="宋体" w:cs="宋体"/>
                <w:bCs/>
                <w:color w:val="auto"/>
                <w:highlight w:val="none"/>
              </w:rPr>
            </w:pPr>
            <w:r>
              <w:rPr>
                <w:rFonts w:hint="eastAsia" w:ascii="宋体" w:hAnsi="宋体" w:cs="宋体"/>
                <w:bCs/>
                <w:color w:val="auto"/>
                <w:sz w:val="24"/>
                <w:szCs w:val="28"/>
                <w:highlight w:val="none"/>
              </w:rPr>
              <w:t>质量管理体系与措施</w:t>
            </w:r>
          </w:p>
        </w:tc>
        <w:tc>
          <w:tcPr>
            <w:tcW w:w="5716" w:type="dxa"/>
            <w:vAlign w:val="center"/>
          </w:tcPr>
          <w:p w14:paraId="0DD04B29">
            <w:pPr>
              <w:adjustRightInd w:val="0"/>
              <w:snapToGrid w:val="0"/>
              <w:spacing w:line="240" w:lineRule="auto"/>
              <w:rPr>
                <w:rFonts w:hint="eastAsia" w:ascii="宋体" w:hAnsi="宋体" w:cs="宋体"/>
                <w:color w:val="auto"/>
                <w:sz w:val="24"/>
                <w:highlight w:val="none"/>
              </w:rPr>
            </w:pPr>
            <w:r>
              <w:rPr>
                <w:rFonts w:hint="eastAsia" w:ascii="宋体" w:hAnsi="宋体" w:cs="宋体"/>
                <w:color w:val="auto"/>
                <w:sz w:val="24"/>
                <w:highlight w:val="none"/>
              </w:rPr>
              <w:t>第一等次：质量目标明确，质量保证体系健全；质量控制关键点、重点明确，针对控制关键点、重点制定了针对性的保障措施，得10分；</w:t>
            </w:r>
          </w:p>
          <w:p w14:paraId="172FF2B7">
            <w:pPr>
              <w:adjustRightInd w:val="0"/>
              <w:snapToGrid w:val="0"/>
              <w:spacing w:line="240" w:lineRule="auto"/>
              <w:rPr>
                <w:rFonts w:hint="eastAsia" w:ascii="宋体" w:hAnsi="宋体" w:cs="宋体"/>
                <w:color w:val="auto"/>
                <w:sz w:val="24"/>
                <w:highlight w:val="none"/>
              </w:rPr>
            </w:pPr>
            <w:r>
              <w:rPr>
                <w:rFonts w:hint="eastAsia" w:ascii="宋体" w:hAnsi="宋体" w:cs="宋体"/>
                <w:color w:val="auto"/>
                <w:sz w:val="24"/>
                <w:highlight w:val="none"/>
              </w:rPr>
              <w:t>第二等次：质量目标明确，质量保证体系健全；质量控制关键点、重点明确，但未制定针对性的保障措施，得6分；</w:t>
            </w:r>
          </w:p>
          <w:p w14:paraId="0ABBA091">
            <w:pPr>
              <w:adjustRightInd w:val="0"/>
              <w:snapToGrid w:val="0"/>
              <w:spacing w:line="240" w:lineRule="auto"/>
              <w:rPr>
                <w:rFonts w:hint="eastAsia" w:ascii="宋体" w:hAnsi="宋体" w:cs="宋体"/>
                <w:color w:val="auto"/>
                <w:sz w:val="24"/>
                <w:highlight w:val="none"/>
              </w:rPr>
            </w:pPr>
            <w:r>
              <w:rPr>
                <w:rFonts w:hint="eastAsia" w:ascii="宋体" w:hAnsi="宋体" w:cs="宋体"/>
                <w:color w:val="auto"/>
                <w:sz w:val="24"/>
                <w:highlight w:val="none"/>
              </w:rPr>
              <w:t>第三等次：质量目标明确，质量保证体系健全，质量控制关键点、重点不明确，得2分；</w:t>
            </w:r>
          </w:p>
          <w:p w14:paraId="112D63BB">
            <w:pPr>
              <w:adjustRightInd w:val="0"/>
              <w:snapToGrid w:val="0"/>
              <w:spacing w:line="240" w:lineRule="auto"/>
              <w:rPr>
                <w:rFonts w:hint="eastAsia" w:ascii="宋体" w:hAnsi="宋体" w:cs="宋体"/>
                <w:color w:val="auto"/>
                <w:sz w:val="24"/>
                <w:highlight w:val="none"/>
              </w:rPr>
            </w:pPr>
            <w:r>
              <w:rPr>
                <w:rFonts w:hint="eastAsia" w:ascii="宋体" w:hAnsi="宋体" w:cs="宋体"/>
                <w:color w:val="auto"/>
                <w:sz w:val="24"/>
                <w:highlight w:val="none"/>
              </w:rPr>
              <w:t>第四等次：质量目标不明确或者质量保证体系不健全，得0分。</w:t>
            </w:r>
          </w:p>
        </w:tc>
        <w:tc>
          <w:tcPr>
            <w:tcW w:w="956" w:type="dxa"/>
            <w:vAlign w:val="center"/>
          </w:tcPr>
          <w:p w14:paraId="6C8AE7AF">
            <w:pPr>
              <w:adjustRightInd w:val="0"/>
              <w:snapToGrid w:val="0"/>
              <w:spacing w:line="480" w:lineRule="atLeast"/>
              <w:jc w:val="center"/>
              <w:textAlignment w:val="baseline"/>
              <w:rPr>
                <w:rFonts w:hint="eastAsia" w:ascii="宋体" w:hAnsi="宋体" w:cs="宋体"/>
                <w:color w:val="auto"/>
                <w:sz w:val="24"/>
                <w:szCs w:val="32"/>
                <w:highlight w:val="none"/>
              </w:rPr>
            </w:pPr>
            <w:r>
              <w:rPr>
                <w:rFonts w:hint="eastAsia" w:ascii="宋体" w:hAnsi="宋体" w:cs="宋体"/>
                <w:color w:val="auto"/>
                <w:sz w:val="24"/>
                <w:szCs w:val="32"/>
                <w:highlight w:val="none"/>
              </w:rPr>
              <w:t>10</w:t>
            </w:r>
          </w:p>
        </w:tc>
      </w:tr>
      <w:tr w14:paraId="309C7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38CA3D26">
            <w:pPr>
              <w:adjustRightInd w:val="0"/>
              <w:snapToGrid w:val="0"/>
              <w:spacing w:line="480" w:lineRule="atLeast"/>
              <w:jc w:val="center"/>
              <w:textAlignment w:val="baseline"/>
              <w:rPr>
                <w:rFonts w:hint="eastAsia" w:ascii="宋体" w:hAnsi="宋体" w:cs="宋体"/>
                <w:color w:val="auto"/>
                <w:sz w:val="24"/>
                <w:szCs w:val="32"/>
                <w:highlight w:val="none"/>
              </w:rPr>
            </w:pPr>
            <w:r>
              <w:rPr>
                <w:rFonts w:hint="eastAsia" w:ascii="宋体" w:hAnsi="宋体" w:cs="宋体"/>
                <w:color w:val="auto"/>
                <w:sz w:val="24"/>
                <w:szCs w:val="32"/>
                <w:highlight w:val="none"/>
              </w:rPr>
              <w:t>（3）</w:t>
            </w:r>
          </w:p>
        </w:tc>
        <w:tc>
          <w:tcPr>
            <w:tcW w:w="1798" w:type="dxa"/>
            <w:vAlign w:val="center"/>
          </w:tcPr>
          <w:p w14:paraId="11B0C6DB">
            <w:pPr>
              <w:adjustRightInd w:val="0"/>
              <w:snapToGrid w:val="0"/>
              <w:spacing w:line="480" w:lineRule="atLeast"/>
              <w:jc w:val="left"/>
              <w:textAlignment w:val="baseline"/>
              <w:rPr>
                <w:rFonts w:hint="eastAsia" w:ascii="宋体" w:hAnsi="宋体" w:cs="宋体"/>
                <w:color w:val="auto"/>
                <w:highlight w:val="none"/>
              </w:rPr>
            </w:pPr>
            <w:r>
              <w:rPr>
                <w:rFonts w:hint="eastAsia" w:ascii="宋体" w:hAnsi="宋体" w:cs="宋体"/>
                <w:bCs/>
                <w:color w:val="auto"/>
                <w:sz w:val="24"/>
                <w:szCs w:val="28"/>
                <w:highlight w:val="none"/>
              </w:rPr>
              <w:t>安全管理体系与措施</w:t>
            </w:r>
          </w:p>
        </w:tc>
        <w:tc>
          <w:tcPr>
            <w:tcW w:w="5716" w:type="dxa"/>
            <w:vAlign w:val="center"/>
          </w:tcPr>
          <w:p w14:paraId="141603EE">
            <w:pPr>
              <w:adjustRightInd w:val="0"/>
              <w:snapToGrid w:val="0"/>
              <w:spacing w:line="240" w:lineRule="auto"/>
              <w:rPr>
                <w:rFonts w:hint="eastAsia" w:ascii="宋体" w:hAnsi="宋体" w:cs="宋体"/>
                <w:color w:val="auto"/>
                <w:sz w:val="24"/>
                <w:highlight w:val="none"/>
              </w:rPr>
            </w:pPr>
            <w:r>
              <w:rPr>
                <w:rFonts w:hint="eastAsia" w:ascii="宋体" w:hAnsi="宋体" w:cs="宋体"/>
                <w:color w:val="auto"/>
                <w:sz w:val="24"/>
                <w:highlight w:val="none"/>
              </w:rPr>
              <w:t>第一等次：针对本项目中的施工作业、用电、防火、吊装、高空、水上作业、有限空间作业、场内外交通、疫情防控等制定了详细的安全管理专项方案；方案内容完整，包括安全教育、人员防护、现场安全措施等内容；安全防护措施到位，得15分。</w:t>
            </w:r>
          </w:p>
          <w:p w14:paraId="23711E19">
            <w:pPr>
              <w:adjustRightInd w:val="0"/>
              <w:snapToGrid w:val="0"/>
              <w:spacing w:line="240" w:lineRule="auto"/>
              <w:rPr>
                <w:rFonts w:hint="eastAsia" w:ascii="宋体" w:hAnsi="宋体" w:cs="宋体"/>
                <w:color w:val="auto"/>
                <w:sz w:val="24"/>
                <w:highlight w:val="none"/>
              </w:rPr>
            </w:pPr>
            <w:r>
              <w:rPr>
                <w:rFonts w:hint="eastAsia" w:ascii="宋体" w:hAnsi="宋体" w:cs="宋体"/>
                <w:color w:val="auto"/>
                <w:sz w:val="24"/>
                <w:highlight w:val="none"/>
              </w:rPr>
              <w:t>第二等次：针对本项目中的施工作业、用电、防火、吊装、高空、水上作业、有限空间作业、场内外交通、疫情防控等制定了详细的安全管理专项方案；方案内容完整，包括安全教育、人员防护、现场安全措施等内容；安全防护措施简单，保障性较差，得10分；</w:t>
            </w:r>
          </w:p>
          <w:p w14:paraId="3F884925">
            <w:pPr>
              <w:adjustRightInd w:val="0"/>
              <w:snapToGrid w:val="0"/>
              <w:spacing w:line="240" w:lineRule="auto"/>
              <w:rPr>
                <w:rFonts w:hint="eastAsia" w:ascii="宋体" w:hAnsi="宋体" w:cs="宋体"/>
                <w:color w:val="auto"/>
                <w:sz w:val="24"/>
                <w:highlight w:val="none"/>
              </w:rPr>
            </w:pPr>
            <w:r>
              <w:rPr>
                <w:rFonts w:hint="eastAsia" w:ascii="宋体" w:hAnsi="宋体" w:cs="宋体"/>
                <w:color w:val="auto"/>
                <w:sz w:val="24"/>
                <w:highlight w:val="none"/>
              </w:rPr>
              <w:t>第三等次：针对本项目中的施工作业、用电、防火、吊装、高空、水上作业、有限空间作业、场内外交通、疫情防控等制定了安全管理专项方案；方案内容不完整，得5分；</w:t>
            </w:r>
          </w:p>
          <w:p w14:paraId="00CDBD7B">
            <w:pPr>
              <w:adjustRightInd w:val="0"/>
              <w:snapToGrid w:val="0"/>
              <w:spacing w:line="240" w:lineRule="auto"/>
              <w:rPr>
                <w:rFonts w:hint="eastAsia" w:ascii="宋体" w:hAnsi="宋体" w:cs="宋体"/>
                <w:color w:val="auto"/>
                <w:sz w:val="24"/>
                <w:highlight w:val="none"/>
              </w:rPr>
            </w:pPr>
            <w:r>
              <w:rPr>
                <w:rFonts w:hint="eastAsia" w:ascii="宋体" w:hAnsi="宋体" w:cs="宋体"/>
                <w:color w:val="auto"/>
                <w:sz w:val="24"/>
                <w:highlight w:val="none"/>
              </w:rPr>
              <w:t>第四等次：安全管理专项方案没有针对性，与本项目中的施工作业内容结合不紧密，得0分。</w:t>
            </w:r>
          </w:p>
        </w:tc>
        <w:tc>
          <w:tcPr>
            <w:tcW w:w="956" w:type="dxa"/>
            <w:vAlign w:val="center"/>
          </w:tcPr>
          <w:p w14:paraId="01608F45">
            <w:pPr>
              <w:adjustRightInd w:val="0"/>
              <w:snapToGrid w:val="0"/>
              <w:spacing w:line="480" w:lineRule="atLeast"/>
              <w:jc w:val="center"/>
              <w:textAlignment w:val="baseline"/>
              <w:rPr>
                <w:rFonts w:hint="eastAsia" w:ascii="宋体" w:hAnsi="宋体" w:cs="宋体"/>
                <w:color w:val="auto"/>
                <w:sz w:val="24"/>
                <w:szCs w:val="32"/>
                <w:highlight w:val="none"/>
              </w:rPr>
            </w:pPr>
            <w:r>
              <w:rPr>
                <w:rFonts w:hint="eastAsia" w:ascii="宋体" w:hAnsi="宋体" w:cs="宋体"/>
                <w:color w:val="auto"/>
                <w:sz w:val="24"/>
                <w:szCs w:val="32"/>
                <w:highlight w:val="none"/>
              </w:rPr>
              <w:t>15</w:t>
            </w:r>
          </w:p>
        </w:tc>
      </w:tr>
      <w:tr w14:paraId="080A5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07EF286A">
            <w:pPr>
              <w:adjustRightInd w:val="0"/>
              <w:snapToGrid w:val="0"/>
              <w:spacing w:line="480" w:lineRule="atLeast"/>
              <w:jc w:val="center"/>
              <w:textAlignment w:val="baseline"/>
              <w:rPr>
                <w:rFonts w:hint="eastAsia" w:ascii="宋体" w:hAnsi="宋体" w:cs="宋体"/>
                <w:color w:val="auto"/>
                <w:sz w:val="24"/>
                <w:szCs w:val="32"/>
                <w:highlight w:val="none"/>
              </w:rPr>
            </w:pPr>
            <w:r>
              <w:rPr>
                <w:rFonts w:hint="eastAsia" w:ascii="宋体" w:hAnsi="宋体" w:cs="宋体"/>
                <w:color w:val="auto"/>
                <w:sz w:val="24"/>
                <w:szCs w:val="32"/>
                <w:highlight w:val="none"/>
              </w:rPr>
              <w:t>（4）</w:t>
            </w:r>
          </w:p>
        </w:tc>
        <w:tc>
          <w:tcPr>
            <w:tcW w:w="1798" w:type="dxa"/>
            <w:vAlign w:val="center"/>
          </w:tcPr>
          <w:p w14:paraId="0808E77A">
            <w:pPr>
              <w:adjustRightInd w:val="0"/>
              <w:snapToGrid w:val="0"/>
              <w:spacing w:line="480" w:lineRule="atLeast"/>
              <w:jc w:val="left"/>
              <w:textAlignment w:val="baseline"/>
              <w:rPr>
                <w:rFonts w:hint="eastAsia" w:ascii="宋体" w:hAnsi="宋体" w:cs="宋体"/>
                <w:bCs/>
                <w:color w:val="auto"/>
                <w:highlight w:val="none"/>
              </w:rPr>
            </w:pPr>
            <w:r>
              <w:rPr>
                <w:rFonts w:hint="eastAsia" w:ascii="宋体" w:hAnsi="宋体" w:cs="宋体"/>
                <w:color w:val="auto"/>
                <w:sz w:val="24"/>
                <w:szCs w:val="21"/>
                <w:highlight w:val="none"/>
              </w:rPr>
              <w:t>环境保护管理体系与措施</w:t>
            </w:r>
          </w:p>
        </w:tc>
        <w:tc>
          <w:tcPr>
            <w:tcW w:w="5716" w:type="dxa"/>
            <w:vAlign w:val="center"/>
          </w:tcPr>
          <w:p w14:paraId="08009612">
            <w:pPr>
              <w:adjustRightInd w:val="0"/>
              <w:snapToGrid w:val="0"/>
              <w:spacing w:line="240" w:lineRule="auto"/>
              <w:rPr>
                <w:rFonts w:hint="eastAsia" w:ascii="宋体" w:hAnsi="宋体" w:cs="宋体"/>
                <w:color w:val="auto"/>
                <w:sz w:val="24"/>
                <w:highlight w:val="none"/>
              </w:rPr>
            </w:pPr>
            <w:r>
              <w:rPr>
                <w:rFonts w:hint="eastAsia" w:ascii="宋体" w:hAnsi="宋体" w:cs="宋体"/>
                <w:color w:val="auto"/>
                <w:sz w:val="24"/>
                <w:highlight w:val="none"/>
              </w:rPr>
              <w:t>第一等次：结合本项目作业特点，全面识别可能影响周边环境的污染因素，并针对每一项污染因素制定了切实可行的作业现场环境保护措施，得10分；</w:t>
            </w:r>
          </w:p>
          <w:p w14:paraId="23066703">
            <w:pPr>
              <w:adjustRightInd w:val="0"/>
              <w:snapToGrid w:val="0"/>
              <w:spacing w:line="240" w:lineRule="auto"/>
              <w:rPr>
                <w:rFonts w:hint="eastAsia" w:ascii="宋体" w:hAnsi="宋体" w:cs="宋体"/>
                <w:color w:val="auto"/>
                <w:sz w:val="24"/>
                <w:highlight w:val="none"/>
              </w:rPr>
            </w:pPr>
            <w:r>
              <w:rPr>
                <w:rFonts w:hint="eastAsia" w:ascii="宋体" w:hAnsi="宋体" w:cs="宋体"/>
                <w:color w:val="auto"/>
                <w:sz w:val="24"/>
                <w:highlight w:val="none"/>
              </w:rPr>
              <w:t>第二等次：结合本项目作业特点，全面识别可能影响周边环境的污染因素，并制定了作业现场环境保护措施，措施总体可行，但未与污染因素结合，针对性有欠缺，得6分；</w:t>
            </w:r>
          </w:p>
          <w:p w14:paraId="589E63C1">
            <w:pPr>
              <w:adjustRightInd w:val="0"/>
              <w:snapToGrid w:val="0"/>
              <w:spacing w:line="240" w:lineRule="auto"/>
              <w:rPr>
                <w:rFonts w:hint="eastAsia" w:ascii="宋体" w:hAnsi="宋体" w:cs="宋体"/>
                <w:color w:val="auto"/>
                <w:sz w:val="24"/>
                <w:highlight w:val="none"/>
              </w:rPr>
            </w:pPr>
            <w:r>
              <w:rPr>
                <w:rFonts w:hint="eastAsia" w:ascii="宋体" w:hAnsi="宋体" w:cs="宋体"/>
                <w:color w:val="auto"/>
                <w:sz w:val="24"/>
                <w:highlight w:val="none"/>
              </w:rPr>
              <w:t>第三等次：污染因素识别不全，或制定的保护措施缺乏可行性，得2分；</w:t>
            </w:r>
          </w:p>
          <w:p w14:paraId="6C384FCC">
            <w:pPr>
              <w:adjustRightInd w:val="0"/>
              <w:snapToGrid w:val="0"/>
              <w:spacing w:line="240" w:lineRule="auto"/>
              <w:rPr>
                <w:rFonts w:hint="eastAsia" w:ascii="宋体" w:hAnsi="宋体" w:cs="宋体"/>
                <w:color w:val="auto"/>
                <w:sz w:val="24"/>
                <w:highlight w:val="none"/>
              </w:rPr>
            </w:pPr>
            <w:r>
              <w:rPr>
                <w:rFonts w:hint="eastAsia" w:ascii="宋体" w:hAnsi="宋体" w:cs="宋体"/>
                <w:color w:val="auto"/>
                <w:sz w:val="24"/>
                <w:highlight w:val="none"/>
              </w:rPr>
              <w:t>第四等次：未识别污染因素，或未制定相应的保护措施，得0分。</w:t>
            </w:r>
          </w:p>
        </w:tc>
        <w:tc>
          <w:tcPr>
            <w:tcW w:w="956" w:type="dxa"/>
            <w:vAlign w:val="center"/>
          </w:tcPr>
          <w:p w14:paraId="7E9A4E79">
            <w:pPr>
              <w:adjustRightInd w:val="0"/>
              <w:snapToGrid w:val="0"/>
              <w:spacing w:line="480" w:lineRule="atLeast"/>
              <w:jc w:val="center"/>
              <w:textAlignment w:val="baseline"/>
              <w:rPr>
                <w:rFonts w:hint="eastAsia" w:ascii="宋体" w:hAnsi="宋体" w:cs="宋体"/>
                <w:color w:val="auto"/>
                <w:sz w:val="24"/>
                <w:szCs w:val="32"/>
                <w:highlight w:val="none"/>
              </w:rPr>
            </w:pPr>
            <w:r>
              <w:rPr>
                <w:rFonts w:hint="eastAsia" w:ascii="宋体" w:hAnsi="宋体" w:cs="宋体"/>
                <w:color w:val="auto"/>
                <w:sz w:val="24"/>
                <w:szCs w:val="32"/>
                <w:highlight w:val="none"/>
              </w:rPr>
              <w:t>10</w:t>
            </w:r>
          </w:p>
        </w:tc>
      </w:tr>
      <w:tr w14:paraId="42EEE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12375069">
            <w:pPr>
              <w:adjustRightInd w:val="0"/>
              <w:snapToGrid w:val="0"/>
              <w:spacing w:line="480" w:lineRule="atLeast"/>
              <w:jc w:val="center"/>
              <w:textAlignment w:val="baseline"/>
              <w:rPr>
                <w:rFonts w:hint="eastAsia" w:ascii="宋体" w:hAnsi="宋体" w:cs="宋体"/>
                <w:color w:val="auto"/>
                <w:sz w:val="24"/>
                <w:szCs w:val="32"/>
                <w:highlight w:val="none"/>
              </w:rPr>
            </w:pPr>
            <w:r>
              <w:rPr>
                <w:rFonts w:hint="eastAsia" w:ascii="宋体" w:hAnsi="宋体" w:cs="宋体"/>
                <w:color w:val="auto"/>
                <w:sz w:val="24"/>
                <w:szCs w:val="32"/>
                <w:highlight w:val="none"/>
              </w:rPr>
              <w:t>（5）</w:t>
            </w:r>
          </w:p>
        </w:tc>
        <w:tc>
          <w:tcPr>
            <w:tcW w:w="1798" w:type="dxa"/>
            <w:vAlign w:val="center"/>
          </w:tcPr>
          <w:p w14:paraId="32E16B92">
            <w:pPr>
              <w:adjustRightInd w:val="0"/>
              <w:snapToGrid w:val="0"/>
              <w:spacing w:line="480" w:lineRule="atLeast"/>
              <w:jc w:val="left"/>
              <w:textAlignment w:val="baseline"/>
              <w:rPr>
                <w:rFonts w:hint="eastAsia" w:ascii="宋体" w:hAnsi="宋体" w:cs="宋体"/>
                <w:bCs/>
                <w:color w:val="auto"/>
                <w:highlight w:val="none"/>
              </w:rPr>
            </w:pPr>
            <w:r>
              <w:rPr>
                <w:rFonts w:hint="eastAsia" w:ascii="宋体" w:hAnsi="宋体" w:cs="宋体"/>
                <w:color w:val="auto"/>
                <w:sz w:val="24"/>
                <w:szCs w:val="21"/>
                <w:highlight w:val="none"/>
              </w:rPr>
              <w:t>工程进度计划与措施</w:t>
            </w:r>
          </w:p>
        </w:tc>
        <w:tc>
          <w:tcPr>
            <w:tcW w:w="5716" w:type="dxa"/>
            <w:vAlign w:val="center"/>
          </w:tcPr>
          <w:p w14:paraId="295ADAC3">
            <w:pPr>
              <w:adjustRightInd w:val="0"/>
              <w:snapToGrid w:val="0"/>
              <w:spacing w:line="240" w:lineRule="auto"/>
              <w:rPr>
                <w:rFonts w:hint="eastAsia" w:ascii="宋体" w:hAnsi="宋体" w:cs="宋体"/>
                <w:color w:val="auto"/>
                <w:sz w:val="24"/>
                <w:highlight w:val="none"/>
              </w:rPr>
            </w:pPr>
            <w:r>
              <w:rPr>
                <w:rFonts w:hint="eastAsia" w:ascii="宋体" w:hAnsi="宋体" w:cs="宋体"/>
                <w:color w:val="auto"/>
                <w:sz w:val="24"/>
                <w:highlight w:val="none"/>
              </w:rPr>
              <w:t>第一等次：项目进场、各项工作内容的具体实施时段、项目验收等关键时间节点明确，时间安排合理，并制定了针对性的保障措施，得15分；</w:t>
            </w:r>
          </w:p>
          <w:p w14:paraId="273ADF14">
            <w:pPr>
              <w:adjustRightInd w:val="0"/>
              <w:snapToGrid w:val="0"/>
              <w:spacing w:line="240" w:lineRule="auto"/>
              <w:rPr>
                <w:rFonts w:hint="eastAsia" w:ascii="宋体" w:hAnsi="宋体" w:cs="宋体"/>
                <w:color w:val="auto"/>
                <w:sz w:val="24"/>
                <w:highlight w:val="none"/>
              </w:rPr>
            </w:pPr>
            <w:r>
              <w:rPr>
                <w:rFonts w:hint="eastAsia" w:ascii="宋体" w:hAnsi="宋体" w:cs="宋体"/>
                <w:color w:val="auto"/>
                <w:sz w:val="24"/>
                <w:highlight w:val="none"/>
              </w:rPr>
              <w:t>第二等次：项目进场、各项工作内容的具体实施时段、项目验收等关键时间节点明确，时间安排合理，但未制定针对性的保障措施，得10分；</w:t>
            </w:r>
          </w:p>
          <w:p w14:paraId="014A616F">
            <w:pPr>
              <w:adjustRightInd w:val="0"/>
              <w:snapToGrid w:val="0"/>
              <w:spacing w:line="240" w:lineRule="auto"/>
              <w:rPr>
                <w:rFonts w:hint="eastAsia" w:ascii="宋体" w:hAnsi="宋体" w:cs="宋体"/>
                <w:color w:val="auto"/>
                <w:sz w:val="24"/>
                <w:highlight w:val="none"/>
              </w:rPr>
            </w:pPr>
            <w:r>
              <w:rPr>
                <w:rFonts w:hint="eastAsia" w:ascii="宋体" w:hAnsi="宋体" w:cs="宋体"/>
                <w:color w:val="auto"/>
                <w:sz w:val="24"/>
                <w:highlight w:val="none"/>
              </w:rPr>
              <w:t>第三等次：项目进场、各项工作内容的具体实施时段、项目验收等关键时间节点明确，但时间安排存在不合理，得5分；</w:t>
            </w:r>
          </w:p>
          <w:p w14:paraId="56366E1F">
            <w:pPr>
              <w:adjustRightInd w:val="0"/>
              <w:snapToGrid w:val="0"/>
              <w:spacing w:line="240" w:lineRule="auto"/>
              <w:rPr>
                <w:rFonts w:hint="eastAsia" w:ascii="宋体" w:hAnsi="宋体" w:cs="宋体"/>
                <w:color w:val="auto"/>
                <w:sz w:val="24"/>
                <w:highlight w:val="none"/>
              </w:rPr>
            </w:pPr>
            <w:r>
              <w:rPr>
                <w:rFonts w:hint="eastAsia" w:ascii="宋体" w:hAnsi="宋体" w:cs="宋体"/>
                <w:color w:val="auto"/>
                <w:sz w:val="24"/>
                <w:highlight w:val="none"/>
              </w:rPr>
              <w:t>第四等次：项目进场、各项工作内容的具体实施时段、项目验收等关键时间节点不明确，得0分。</w:t>
            </w:r>
          </w:p>
        </w:tc>
        <w:tc>
          <w:tcPr>
            <w:tcW w:w="956" w:type="dxa"/>
            <w:vAlign w:val="center"/>
          </w:tcPr>
          <w:p w14:paraId="120C0743">
            <w:pPr>
              <w:adjustRightInd w:val="0"/>
              <w:snapToGrid w:val="0"/>
              <w:spacing w:line="480" w:lineRule="atLeast"/>
              <w:jc w:val="center"/>
              <w:textAlignment w:val="baseline"/>
              <w:rPr>
                <w:rFonts w:hint="eastAsia" w:ascii="宋体" w:hAnsi="宋体" w:cs="宋体"/>
                <w:color w:val="auto"/>
                <w:sz w:val="24"/>
                <w:szCs w:val="32"/>
                <w:highlight w:val="none"/>
              </w:rPr>
            </w:pPr>
            <w:r>
              <w:rPr>
                <w:rFonts w:hint="eastAsia" w:ascii="宋体" w:hAnsi="宋体" w:cs="宋体"/>
                <w:color w:val="auto"/>
                <w:sz w:val="24"/>
                <w:szCs w:val="32"/>
                <w:highlight w:val="none"/>
              </w:rPr>
              <w:t>15</w:t>
            </w:r>
          </w:p>
        </w:tc>
      </w:tr>
      <w:tr w14:paraId="5A381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4CDCF3B8">
            <w:pPr>
              <w:adjustRightInd w:val="0"/>
              <w:snapToGrid w:val="0"/>
              <w:spacing w:line="480" w:lineRule="atLeast"/>
              <w:jc w:val="center"/>
              <w:textAlignment w:val="baseline"/>
              <w:rPr>
                <w:rFonts w:hint="eastAsia" w:ascii="宋体" w:hAnsi="宋体" w:cs="宋体"/>
                <w:b/>
                <w:bCs/>
                <w:color w:val="auto"/>
                <w:sz w:val="24"/>
                <w:szCs w:val="32"/>
                <w:highlight w:val="none"/>
              </w:rPr>
            </w:pPr>
            <w:r>
              <w:rPr>
                <w:rFonts w:hint="eastAsia" w:ascii="宋体" w:hAnsi="宋体" w:cs="宋体"/>
                <w:b/>
                <w:bCs/>
                <w:color w:val="auto"/>
                <w:sz w:val="24"/>
                <w:szCs w:val="32"/>
                <w:highlight w:val="none"/>
              </w:rPr>
              <w:t>2</w:t>
            </w:r>
          </w:p>
        </w:tc>
        <w:tc>
          <w:tcPr>
            <w:tcW w:w="1798" w:type="dxa"/>
            <w:vAlign w:val="center"/>
          </w:tcPr>
          <w:p w14:paraId="1823ECAF">
            <w:pPr>
              <w:adjustRightInd w:val="0"/>
              <w:snapToGrid w:val="0"/>
              <w:spacing w:line="480" w:lineRule="atLeast"/>
              <w:jc w:val="left"/>
              <w:textAlignment w:val="baseline"/>
              <w:rPr>
                <w:rFonts w:hint="eastAsia" w:ascii="宋体" w:hAnsi="宋体" w:cs="宋体"/>
                <w:b/>
                <w:bCs/>
                <w:color w:val="auto"/>
                <w:sz w:val="24"/>
                <w:szCs w:val="32"/>
                <w:highlight w:val="none"/>
              </w:rPr>
            </w:pPr>
            <w:r>
              <w:rPr>
                <w:rFonts w:hint="eastAsia" w:ascii="宋体" w:hAnsi="宋体" w:cs="宋体"/>
                <w:b/>
                <w:bCs/>
                <w:color w:val="auto"/>
                <w:sz w:val="24"/>
                <w:szCs w:val="32"/>
                <w:highlight w:val="none"/>
              </w:rPr>
              <w:t>项目管理机构</w:t>
            </w:r>
          </w:p>
        </w:tc>
        <w:tc>
          <w:tcPr>
            <w:tcW w:w="5716" w:type="dxa"/>
            <w:vAlign w:val="center"/>
          </w:tcPr>
          <w:p w14:paraId="00AE9ED0">
            <w:pPr>
              <w:adjustRightInd w:val="0"/>
              <w:snapToGrid w:val="0"/>
              <w:spacing w:line="240" w:lineRule="auto"/>
              <w:jc w:val="center"/>
              <w:textAlignment w:val="baseline"/>
              <w:rPr>
                <w:rFonts w:hint="eastAsia" w:ascii="宋体" w:hAnsi="宋体" w:cs="宋体"/>
                <w:b/>
                <w:bCs/>
                <w:color w:val="auto"/>
                <w:sz w:val="24"/>
                <w:highlight w:val="none"/>
              </w:rPr>
            </w:pPr>
          </w:p>
        </w:tc>
        <w:tc>
          <w:tcPr>
            <w:tcW w:w="956" w:type="dxa"/>
            <w:vAlign w:val="center"/>
          </w:tcPr>
          <w:p w14:paraId="7123E4F7">
            <w:pPr>
              <w:adjustRightInd w:val="0"/>
              <w:snapToGrid w:val="0"/>
              <w:spacing w:line="480" w:lineRule="atLeast"/>
              <w:jc w:val="center"/>
              <w:textAlignment w:val="baseline"/>
              <w:rPr>
                <w:rFonts w:hint="eastAsia" w:ascii="宋体" w:hAnsi="宋体" w:cs="宋体"/>
                <w:b/>
                <w:bCs/>
                <w:color w:val="auto"/>
                <w:sz w:val="24"/>
                <w:szCs w:val="32"/>
                <w:highlight w:val="none"/>
              </w:rPr>
            </w:pPr>
          </w:p>
        </w:tc>
      </w:tr>
      <w:tr w14:paraId="2D607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123A389F">
            <w:pPr>
              <w:adjustRightInd w:val="0"/>
              <w:snapToGrid w:val="0"/>
              <w:spacing w:line="480" w:lineRule="atLeast"/>
              <w:jc w:val="center"/>
              <w:textAlignment w:val="baseline"/>
              <w:rPr>
                <w:rFonts w:hint="eastAsia" w:ascii="宋体" w:hAnsi="宋体" w:cs="宋体"/>
                <w:color w:val="auto"/>
                <w:sz w:val="24"/>
                <w:szCs w:val="32"/>
                <w:highlight w:val="none"/>
              </w:rPr>
            </w:pPr>
            <w:r>
              <w:rPr>
                <w:rFonts w:hint="eastAsia" w:ascii="宋体" w:hAnsi="宋体" w:cs="宋体"/>
                <w:color w:val="auto"/>
                <w:sz w:val="24"/>
                <w:szCs w:val="32"/>
                <w:highlight w:val="none"/>
              </w:rPr>
              <w:t>（1）</w:t>
            </w:r>
          </w:p>
        </w:tc>
        <w:tc>
          <w:tcPr>
            <w:tcW w:w="1798" w:type="dxa"/>
            <w:vAlign w:val="center"/>
          </w:tcPr>
          <w:p w14:paraId="3B486E08">
            <w:pPr>
              <w:adjustRightInd w:val="0"/>
              <w:snapToGrid w:val="0"/>
              <w:spacing w:line="480" w:lineRule="atLeast"/>
              <w:jc w:val="left"/>
              <w:textAlignment w:val="baseline"/>
              <w:rPr>
                <w:rFonts w:hint="eastAsia" w:ascii="宋体" w:hAnsi="宋体" w:cs="宋体"/>
                <w:bCs/>
                <w:color w:val="auto"/>
                <w:highlight w:val="none"/>
              </w:rPr>
            </w:pPr>
            <w:r>
              <w:rPr>
                <w:rFonts w:hint="eastAsia" w:ascii="宋体" w:hAnsi="宋体" w:cs="宋体"/>
                <w:color w:val="auto"/>
                <w:sz w:val="24"/>
                <w:szCs w:val="21"/>
                <w:highlight w:val="none"/>
              </w:rPr>
              <w:t>项目经理职称</w:t>
            </w:r>
          </w:p>
        </w:tc>
        <w:tc>
          <w:tcPr>
            <w:tcW w:w="5716" w:type="dxa"/>
            <w:vAlign w:val="center"/>
          </w:tcPr>
          <w:p w14:paraId="26BE58CB">
            <w:pPr>
              <w:adjustRightInd w:val="0"/>
              <w:snapToGrid w:val="0"/>
              <w:spacing w:line="240" w:lineRule="auto"/>
              <w:rPr>
                <w:rFonts w:hint="eastAsia" w:ascii="宋体" w:hAnsi="宋体" w:cs="宋体"/>
                <w:color w:val="auto"/>
                <w:sz w:val="24"/>
                <w:highlight w:val="none"/>
              </w:rPr>
            </w:pPr>
            <w:r>
              <w:rPr>
                <w:rFonts w:hint="eastAsia" w:ascii="宋体" w:hAnsi="宋体" w:cs="宋体"/>
                <w:color w:val="auto"/>
                <w:sz w:val="24"/>
                <w:highlight w:val="none"/>
              </w:rPr>
              <w:t>第一等次：拟派项目经理具有中级及以上职称，得2分；</w:t>
            </w:r>
          </w:p>
          <w:p w14:paraId="44FFD40D">
            <w:pPr>
              <w:adjustRightInd w:val="0"/>
              <w:snapToGrid w:val="0"/>
              <w:spacing w:line="240" w:lineRule="auto"/>
              <w:rPr>
                <w:rFonts w:hint="eastAsia" w:ascii="宋体" w:hAnsi="宋体" w:cs="宋体"/>
                <w:color w:val="auto"/>
                <w:sz w:val="24"/>
                <w:highlight w:val="none"/>
              </w:rPr>
            </w:pPr>
            <w:r>
              <w:rPr>
                <w:rFonts w:hint="eastAsia" w:ascii="宋体" w:hAnsi="宋体" w:cs="宋体"/>
                <w:color w:val="auto"/>
                <w:sz w:val="24"/>
                <w:highlight w:val="none"/>
              </w:rPr>
              <w:t>第二等次：拟派项目经理不具有中级及以上职称，得0分。</w:t>
            </w:r>
          </w:p>
        </w:tc>
        <w:tc>
          <w:tcPr>
            <w:tcW w:w="956" w:type="dxa"/>
            <w:vAlign w:val="center"/>
          </w:tcPr>
          <w:p w14:paraId="41D5107A">
            <w:pPr>
              <w:adjustRightInd w:val="0"/>
              <w:snapToGrid w:val="0"/>
              <w:spacing w:line="480" w:lineRule="atLeast"/>
              <w:jc w:val="center"/>
              <w:textAlignment w:val="baseline"/>
              <w:rPr>
                <w:rFonts w:hint="eastAsia" w:ascii="宋体" w:hAnsi="宋体" w:cs="宋体"/>
                <w:color w:val="auto"/>
                <w:sz w:val="24"/>
                <w:szCs w:val="32"/>
                <w:highlight w:val="none"/>
              </w:rPr>
            </w:pPr>
            <w:r>
              <w:rPr>
                <w:rFonts w:hint="eastAsia" w:ascii="宋体" w:hAnsi="宋体" w:cs="宋体"/>
                <w:color w:val="auto"/>
                <w:sz w:val="24"/>
                <w:szCs w:val="32"/>
                <w:highlight w:val="none"/>
              </w:rPr>
              <w:t>2</w:t>
            </w:r>
          </w:p>
        </w:tc>
      </w:tr>
      <w:tr w14:paraId="3A644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458D660F">
            <w:pPr>
              <w:adjustRightInd w:val="0"/>
              <w:snapToGrid w:val="0"/>
              <w:spacing w:line="480" w:lineRule="atLeast"/>
              <w:jc w:val="center"/>
              <w:textAlignment w:val="baseline"/>
              <w:rPr>
                <w:rFonts w:hint="eastAsia" w:ascii="宋体" w:hAnsi="宋体" w:cs="宋体"/>
                <w:color w:val="auto"/>
                <w:sz w:val="24"/>
                <w:szCs w:val="32"/>
                <w:highlight w:val="none"/>
              </w:rPr>
            </w:pPr>
            <w:r>
              <w:rPr>
                <w:rFonts w:hint="eastAsia" w:ascii="宋体" w:hAnsi="宋体" w:cs="宋体"/>
                <w:color w:val="auto"/>
                <w:sz w:val="24"/>
                <w:szCs w:val="32"/>
                <w:highlight w:val="none"/>
              </w:rPr>
              <w:t>（2）</w:t>
            </w:r>
          </w:p>
        </w:tc>
        <w:tc>
          <w:tcPr>
            <w:tcW w:w="1798" w:type="dxa"/>
            <w:vAlign w:val="center"/>
          </w:tcPr>
          <w:p w14:paraId="67E240D0">
            <w:pPr>
              <w:adjustRightInd w:val="0"/>
              <w:snapToGrid w:val="0"/>
              <w:spacing w:line="480" w:lineRule="atLeast"/>
              <w:jc w:val="left"/>
              <w:textAlignment w:val="baseline"/>
              <w:rPr>
                <w:rFonts w:hint="eastAsia" w:ascii="宋体" w:hAnsi="宋体" w:cs="宋体"/>
                <w:bCs/>
                <w:color w:val="auto"/>
                <w:highlight w:val="none"/>
              </w:rPr>
            </w:pPr>
            <w:r>
              <w:rPr>
                <w:rFonts w:hint="eastAsia" w:ascii="宋体" w:hAnsi="宋体" w:cs="宋体"/>
                <w:color w:val="auto"/>
                <w:sz w:val="24"/>
                <w:szCs w:val="21"/>
                <w:highlight w:val="none"/>
              </w:rPr>
              <w:t>担任项目经理业绩</w:t>
            </w:r>
          </w:p>
        </w:tc>
        <w:tc>
          <w:tcPr>
            <w:tcW w:w="5716" w:type="dxa"/>
            <w:vAlign w:val="center"/>
          </w:tcPr>
          <w:p w14:paraId="4D656D64">
            <w:pPr>
              <w:adjustRightInd w:val="0"/>
              <w:snapToGrid w:val="0"/>
              <w:spacing w:line="240" w:lineRule="auto"/>
              <w:rPr>
                <w:rFonts w:hint="eastAsia" w:ascii="宋体" w:hAnsi="宋体" w:cs="宋体"/>
                <w:color w:val="auto"/>
                <w:sz w:val="24"/>
                <w:highlight w:val="none"/>
              </w:rPr>
            </w:pPr>
            <w:r>
              <w:rPr>
                <w:rFonts w:hint="eastAsia" w:ascii="宋体" w:hAnsi="宋体" w:cs="宋体"/>
                <w:color w:val="auto"/>
                <w:sz w:val="24"/>
                <w:highlight w:val="none"/>
              </w:rPr>
              <w:t>第一等次：2项（含）以上，得6分；</w:t>
            </w:r>
          </w:p>
          <w:p w14:paraId="501021A7">
            <w:pPr>
              <w:adjustRightInd w:val="0"/>
              <w:snapToGrid w:val="0"/>
              <w:spacing w:line="240" w:lineRule="auto"/>
              <w:rPr>
                <w:rFonts w:hint="eastAsia" w:ascii="宋体" w:hAnsi="宋体" w:cs="宋体"/>
                <w:color w:val="auto"/>
                <w:sz w:val="24"/>
                <w:highlight w:val="none"/>
              </w:rPr>
            </w:pPr>
            <w:r>
              <w:rPr>
                <w:rFonts w:hint="eastAsia" w:ascii="宋体" w:hAnsi="宋体" w:cs="宋体"/>
                <w:color w:val="auto"/>
                <w:sz w:val="24"/>
                <w:highlight w:val="none"/>
              </w:rPr>
              <w:t>第二等次：1项，得3分；</w:t>
            </w:r>
          </w:p>
          <w:p w14:paraId="16A52C41">
            <w:pPr>
              <w:adjustRightInd w:val="0"/>
              <w:snapToGrid w:val="0"/>
              <w:spacing w:line="240" w:lineRule="auto"/>
              <w:rPr>
                <w:rFonts w:hint="eastAsia" w:ascii="宋体" w:hAnsi="宋体" w:cs="宋体"/>
                <w:color w:val="auto"/>
                <w:sz w:val="24"/>
                <w:highlight w:val="none"/>
              </w:rPr>
            </w:pPr>
            <w:r>
              <w:rPr>
                <w:rFonts w:hint="eastAsia" w:ascii="宋体" w:hAnsi="宋体" w:cs="宋体"/>
                <w:color w:val="auto"/>
                <w:sz w:val="24"/>
                <w:highlight w:val="none"/>
              </w:rPr>
              <w:t>第三等次：0项，得0分。</w:t>
            </w:r>
          </w:p>
          <w:p w14:paraId="62890132">
            <w:pPr>
              <w:adjustRightInd w:val="0"/>
              <w:snapToGrid w:val="0"/>
              <w:spacing w:line="240" w:lineRule="auto"/>
              <w:rPr>
                <w:rFonts w:hint="eastAsia" w:ascii="宋体" w:hAnsi="宋体" w:cs="宋体"/>
                <w:color w:val="auto"/>
                <w:sz w:val="24"/>
                <w:highlight w:val="none"/>
              </w:rPr>
            </w:pPr>
            <w:r>
              <w:rPr>
                <w:rFonts w:hint="eastAsia" w:ascii="宋体" w:hAnsi="宋体" w:cs="宋体"/>
                <w:color w:val="auto"/>
                <w:sz w:val="24"/>
                <w:highlight w:val="none"/>
              </w:rPr>
              <w:t>注：项目经理业绩指担任水利工程施工项目业绩，须提供有效证明其担任项目经理的中标通知书或合同协议书，以及验收资料或业主证明等相关证明文件</w:t>
            </w:r>
          </w:p>
        </w:tc>
        <w:tc>
          <w:tcPr>
            <w:tcW w:w="956" w:type="dxa"/>
            <w:vAlign w:val="center"/>
          </w:tcPr>
          <w:p w14:paraId="0E0CE82B">
            <w:pPr>
              <w:adjustRightInd w:val="0"/>
              <w:snapToGrid w:val="0"/>
              <w:spacing w:line="480" w:lineRule="atLeast"/>
              <w:jc w:val="center"/>
              <w:textAlignment w:val="baseline"/>
              <w:rPr>
                <w:rFonts w:hint="eastAsia" w:ascii="宋体" w:hAnsi="宋体" w:cs="宋体"/>
                <w:color w:val="auto"/>
                <w:sz w:val="24"/>
                <w:szCs w:val="32"/>
                <w:highlight w:val="none"/>
              </w:rPr>
            </w:pPr>
            <w:r>
              <w:rPr>
                <w:rFonts w:hint="eastAsia" w:ascii="宋体" w:hAnsi="宋体" w:cs="宋体"/>
                <w:color w:val="auto"/>
                <w:sz w:val="24"/>
                <w:szCs w:val="32"/>
                <w:highlight w:val="none"/>
              </w:rPr>
              <w:t>6</w:t>
            </w:r>
          </w:p>
        </w:tc>
      </w:tr>
      <w:tr w14:paraId="61864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323AFE62">
            <w:pPr>
              <w:adjustRightInd w:val="0"/>
              <w:snapToGrid w:val="0"/>
              <w:spacing w:line="480" w:lineRule="atLeast"/>
              <w:jc w:val="center"/>
              <w:textAlignment w:val="baseline"/>
              <w:rPr>
                <w:rFonts w:hint="eastAsia" w:ascii="宋体" w:hAnsi="宋体" w:cs="宋体"/>
                <w:color w:val="auto"/>
                <w:sz w:val="24"/>
                <w:szCs w:val="32"/>
                <w:highlight w:val="none"/>
              </w:rPr>
            </w:pPr>
            <w:r>
              <w:rPr>
                <w:rFonts w:hint="eastAsia" w:ascii="宋体" w:hAnsi="宋体" w:cs="宋体"/>
                <w:color w:val="auto"/>
                <w:sz w:val="24"/>
                <w:szCs w:val="32"/>
                <w:highlight w:val="none"/>
              </w:rPr>
              <w:t>（3）</w:t>
            </w:r>
          </w:p>
        </w:tc>
        <w:tc>
          <w:tcPr>
            <w:tcW w:w="1798" w:type="dxa"/>
            <w:vAlign w:val="center"/>
          </w:tcPr>
          <w:p w14:paraId="3A926151">
            <w:pPr>
              <w:adjustRightInd w:val="0"/>
              <w:snapToGrid w:val="0"/>
              <w:spacing w:line="480" w:lineRule="atLeast"/>
              <w:jc w:val="left"/>
              <w:textAlignment w:val="baseline"/>
              <w:rPr>
                <w:rFonts w:hint="eastAsia" w:ascii="宋体" w:hAnsi="宋体" w:cs="宋体"/>
                <w:bCs/>
                <w:color w:val="auto"/>
                <w:highlight w:val="none"/>
              </w:rPr>
            </w:pPr>
            <w:r>
              <w:rPr>
                <w:rFonts w:hint="eastAsia" w:ascii="宋体" w:hAnsi="宋体" w:cs="宋体"/>
                <w:color w:val="auto"/>
                <w:sz w:val="24"/>
                <w:szCs w:val="21"/>
                <w:highlight w:val="none"/>
              </w:rPr>
              <w:t>项目管理机构人员构成情况</w:t>
            </w:r>
          </w:p>
        </w:tc>
        <w:tc>
          <w:tcPr>
            <w:tcW w:w="5716" w:type="dxa"/>
            <w:vAlign w:val="center"/>
          </w:tcPr>
          <w:p w14:paraId="233AFA92">
            <w:pPr>
              <w:widowControl/>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第一等次：为本项目实施配备的管理人员岗位包括施工、质量、材料、预算、资料管理岗位，得6分；</w:t>
            </w:r>
          </w:p>
          <w:p w14:paraId="1304D4F5">
            <w:pPr>
              <w:widowControl/>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第二等次：为本项目实施配备的管理人员岗位包括施工、质量、材料、资料管理岗位，得4分；</w:t>
            </w:r>
          </w:p>
          <w:p w14:paraId="1A529B9D">
            <w:pPr>
              <w:widowControl/>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第三等次：为本项目实施配备的管理人员岗位包括施工、质量、资料管理岗位，得2分；</w:t>
            </w:r>
          </w:p>
          <w:p w14:paraId="3F58CCB7">
            <w:pPr>
              <w:adjustRightInd w:val="0"/>
              <w:snapToGrid w:val="0"/>
              <w:spacing w:line="240" w:lineRule="auto"/>
              <w:rPr>
                <w:rFonts w:hint="eastAsia" w:ascii="宋体" w:hAnsi="宋体" w:cs="宋体"/>
                <w:color w:val="auto"/>
                <w:szCs w:val="21"/>
                <w:highlight w:val="none"/>
              </w:rPr>
            </w:pPr>
            <w:r>
              <w:rPr>
                <w:rFonts w:hint="eastAsia" w:ascii="宋体" w:hAnsi="宋体" w:cs="宋体"/>
                <w:color w:val="auto"/>
                <w:sz w:val="24"/>
                <w:szCs w:val="21"/>
                <w:highlight w:val="none"/>
              </w:rPr>
              <w:t>第四等次：岗位不明确，施工、质量、资料管理岗位有任一缺失，得0分。</w:t>
            </w:r>
          </w:p>
        </w:tc>
        <w:tc>
          <w:tcPr>
            <w:tcW w:w="956" w:type="dxa"/>
            <w:vAlign w:val="center"/>
          </w:tcPr>
          <w:p w14:paraId="1246E883">
            <w:pPr>
              <w:adjustRightInd w:val="0"/>
              <w:snapToGrid w:val="0"/>
              <w:spacing w:line="480" w:lineRule="atLeast"/>
              <w:jc w:val="center"/>
              <w:textAlignment w:val="baseline"/>
              <w:rPr>
                <w:rFonts w:hint="eastAsia" w:ascii="宋体" w:hAnsi="宋体" w:cs="宋体"/>
                <w:color w:val="auto"/>
                <w:sz w:val="24"/>
                <w:szCs w:val="32"/>
                <w:highlight w:val="none"/>
              </w:rPr>
            </w:pPr>
            <w:r>
              <w:rPr>
                <w:rFonts w:hint="eastAsia" w:ascii="宋体" w:hAnsi="宋体" w:cs="宋体"/>
                <w:color w:val="auto"/>
                <w:sz w:val="24"/>
                <w:szCs w:val="32"/>
                <w:highlight w:val="none"/>
              </w:rPr>
              <w:t>6</w:t>
            </w:r>
          </w:p>
        </w:tc>
      </w:tr>
      <w:tr w14:paraId="4B837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6EE7C4F7">
            <w:pPr>
              <w:adjustRightInd w:val="0"/>
              <w:snapToGrid w:val="0"/>
              <w:spacing w:line="480" w:lineRule="atLeast"/>
              <w:jc w:val="center"/>
              <w:textAlignment w:val="baseline"/>
              <w:rPr>
                <w:rFonts w:hint="eastAsia" w:ascii="宋体" w:hAnsi="宋体" w:cs="宋体"/>
                <w:b/>
                <w:color w:val="auto"/>
                <w:sz w:val="24"/>
                <w:szCs w:val="32"/>
                <w:highlight w:val="none"/>
              </w:rPr>
            </w:pPr>
            <w:r>
              <w:rPr>
                <w:rFonts w:hint="eastAsia" w:ascii="宋体" w:hAnsi="宋体" w:cs="宋体"/>
                <w:b/>
                <w:color w:val="auto"/>
                <w:sz w:val="24"/>
                <w:szCs w:val="32"/>
                <w:highlight w:val="none"/>
              </w:rPr>
              <w:t>二</w:t>
            </w:r>
          </w:p>
        </w:tc>
        <w:tc>
          <w:tcPr>
            <w:tcW w:w="1798" w:type="dxa"/>
            <w:vAlign w:val="center"/>
          </w:tcPr>
          <w:p w14:paraId="3E73B8BB">
            <w:pPr>
              <w:adjustRightInd w:val="0"/>
              <w:snapToGrid w:val="0"/>
              <w:spacing w:line="480" w:lineRule="atLeast"/>
              <w:jc w:val="left"/>
              <w:textAlignment w:val="baseline"/>
              <w:rPr>
                <w:rFonts w:hint="eastAsia" w:ascii="宋体" w:hAnsi="宋体" w:cs="宋体"/>
                <w:b/>
                <w:color w:val="auto"/>
                <w:sz w:val="24"/>
                <w:szCs w:val="32"/>
                <w:highlight w:val="none"/>
              </w:rPr>
            </w:pPr>
            <w:r>
              <w:rPr>
                <w:rFonts w:hint="eastAsia" w:ascii="宋体" w:hAnsi="宋体" w:cs="宋体"/>
                <w:b/>
                <w:bCs/>
                <w:color w:val="auto"/>
                <w:sz w:val="24"/>
                <w:szCs w:val="32"/>
                <w:highlight w:val="none"/>
              </w:rPr>
              <w:t>其他因素（供应商履约能力）</w:t>
            </w:r>
          </w:p>
        </w:tc>
        <w:tc>
          <w:tcPr>
            <w:tcW w:w="5716" w:type="dxa"/>
            <w:vAlign w:val="center"/>
          </w:tcPr>
          <w:p w14:paraId="0B01E11F">
            <w:pPr>
              <w:adjustRightInd w:val="0"/>
              <w:snapToGrid w:val="0"/>
              <w:spacing w:line="240" w:lineRule="auto"/>
              <w:jc w:val="center"/>
              <w:textAlignment w:val="baseline"/>
              <w:rPr>
                <w:rFonts w:hint="eastAsia" w:ascii="宋体" w:hAnsi="宋体" w:cs="宋体"/>
                <w:b/>
                <w:color w:val="auto"/>
                <w:sz w:val="24"/>
                <w:highlight w:val="none"/>
              </w:rPr>
            </w:pPr>
          </w:p>
        </w:tc>
        <w:tc>
          <w:tcPr>
            <w:tcW w:w="956" w:type="dxa"/>
            <w:vAlign w:val="center"/>
          </w:tcPr>
          <w:p w14:paraId="03579257">
            <w:pPr>
              <w:adjustRightInd w:val="0"/>
              <w:snapToGrid w:val="0"/>
              <w:spacing w:line="480" w:lineRule="atLeast"/>
              <w:jc w:val="center"/>
              <w:textAlignment w:val="baseline"/>
              <w:rPr>
                <w:rFonts w:hint="eastAsia" w:ascii="宋体" w:hAnsi="宋体" w:cs="宋体"/>
                <w:b/>
                <w:color w:val="auto"/>
                <w:sz w:val="24"/>
                <w:szCs w:val="32"/>
                <w:highlight w:val="none"/>
              </w:rPr>
            </w:pPr>
            <w:r>
              <w:rPr>
                <w:rFonts w:hint="eastAsia" w:ascii="宋体" w:hAnsi="宋体" w:cs="宋体"/>
                <w:b/>
                <w:color w:val="auto"/>
                <w:sz w:val="24"/>
                <w:szCs w:val="32"/>
                <w:highlight w:val="none"/>
              </w:rPr>
              <w:t>6</w:t>
            </w:r>
          </w:p>
        </w:tc>
      </w:tr>
      <w:tr w14:paraId="7DD0F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040C84F1">
            <w:pPr>
              <w:adjustRightInd w:val="0"/>
              <w:snapToGrid w:val="0"/>
              <w:spacing w:line="480" w:lineRule="atLeast"/>
              <w:jc w:val="center"/>
              <w:textAlignment w:val="baseline"/>
              <w:rPr>
                <w:rFonts w:hint="eastAsia" w:ascii="宋体" w:hAnsi="宋体" w:cs="宋体"/>
                <w:color w:val="auto"/>
                <w:sz w:val="24"/>
                <w:szCs w:val="32"/>
                <w:highlight w:val="none"/>
              </w:rPr>
            </w:pPr>
            <w:r>
              <w:rPr>
                <w:rFonts w:hint="eastAsia" w:ascii="宋体" w:hAnsi="宋体" w:cs="宋体"/>
                <w:color w:val="auto"/>
                <w:sz w:val="24"/>
                <w:szCs w:val="32"/>
                <w:highlight w:val="none"/>
              </w:rPr>
              <w:t>1</w:t>
            </w:r>
          </w:p>
        </w:tc>
        <w:tc>
          <w:tcPr>
            <w:tcW w:w="1798" w:type="dxa"/>
            <w:vAlign w:val="center"/>
          </w:tcPr>
          <w:p w14:paraId="6C87C28B">
            <w:pPr>
              <w:adjustRightInd w:val="0"/>
              <w:snapToGrid w:val="0"/>
              <w:spacing w:line="480" w:lineRule="atLeast"/>
              <w:jc w:val="left"/>
              <w:textAlignment w:val="baseline"/>
              <w:rPr>
                <w:rFonts w:hint="eastAsia" w:ascii="宋体" w:hAnsi="宋体" w:cs="宋体"/>
                <w:color w:val="auto"/>
                <w:sz w:val="24"/>
                <w:szCs w:val="32"/>
                <w:highlight w:val="none"/>
              </w:rPr>
            </w:pPr>
            <w:r>
              <w:rPr>
                <w:rFonts w:hint="eastAsia" w:ascii="宋体" w:hAnsi="宋体" w:cs="宋体"/>
                <w:color w:val="auto"/>
                <w:sz w:val="24"/>
                <w:szCs w:val="21"/>
                <w:highlight w:val="none"/>
              </w:rPr>
              <w:t>类似项目业绩</w:t>
            </w:r>
          </w:p>
        </w:tc>
        <w:tc>
          <w:tcPr>
            <w:tcW w:w="5716" w:type="dxa"/>
            <w:vAlign w:val="center"/>
          </w:tcPr>
          <w:p w14:paraId="2D5F6B76">
            <w:pPr>
              <w:adjustRightInd w:val="0"/>
              <w:snapToGrid w:val="0"/>
              <w:spacing w:line="240" w:lineRule="auto"/>
              <w:textAlignment w:val="baseline"/>
              <w:rPr>
                <w:rFonts w:hint="eastAsia" w:ascii="宋体" w:hAnsi="宋体" w:cs="宋体"/>
                <w:color w:val="auto"/>
                <w:sz w:val="24"/>
                <w:highlight w:val="none"/>
              </w:rPr>
            </w:pPr>
            <w:r>
              <w:rPr>
                <w:rFonts w:hint="eastAsia" w:ascii="宋体" w:hAnsi="宋体" w:cs="宋体"/>
                <w:color w:val="auto"/>
                <w:sz w:val="24"/>
                <w:highlight w:val="none"/>
                <w:lang w:eastAsia="zh-CN"/>
              </w:rPr>
              <w:t>供应商</w:t>
            </w:r>
            <w:r>
              <w:rPr>
                <w:rFonts w:hint="eastAsia" w:ascii="宋体" w:hAnsi="宋体" w:cs="宋体"/>
                <w:color w:val="auto"/>
                <w:sz w:val="24"/>
                <w:highlight w:val="none"/>
              </w:rPr>
              <w:t>近3年（2021年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月1日～2024年</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1日）承担水利工程施工项目经验：</w:t>
            </w:r>
          </w:p>
          <w:p w14:paraId="5E37F69A">
            <w:pPr>
              <w:adjustRightInd w:val="0"/>
              <w:snapToGrid w:val="0"/>
              <w:spacing w:line="240" w:lineRule="auto"/>
              <w:textAlignment w:val="baseline"/>
              <w:rPr>
                <w:rFonts w:hint="eastAsia" w:ascii="宋体" w:hAnsi="宋体" w:cs="宋体"/>
                <w:color w:val="auto"/>
                <w:sz w:val="24"/>
                <w:highlight w:val="none"/>
              </w:rPr>
            </w:pPr>
            <w:r>
              <w:rPr>
                <w:rFonts w:hint="eastAsia" w:ascii="宋体" w:hAnsi="宋体" w:cs="宋体"/>
                <w:color w:val="auto"/>
                <w:sz w:val="24"/>
                <w:highlight w:val="none"/>
              </w:rPr>
              <w:t>第一等次：已完成2项（含）以上，得5分；</w:t>
            </w:r>
          </w:p>
          <w:p w14:paraId="45EA3C69">
            <w:pPr>
              <w:adjustRightInd w:val="0"/>
              <w:snapToGrid w:val="0"/>
              <w:spacing w:line="240" w:lineRule="auto"/>
              <w:textAlignment w:val="baseline"/>
              <w:rPr>
                <w:rFonts w:hint="eastAsia" w:ascii="宋体" w:hAnsi="宋体" w:cs="宋体"/>
                <w:color w:val="auto"/>
                <w:sz w:val="24"/>
                <w:highlight w:val="none"/>
              </w:rPr>
            </w:pPr>
            <w:r>
              <w:rPr>
                <w:rFonts w:hint="eastAsia" w:ascii="宋体" w:hAnsi="宋体" w:cs="宋体"/>
                <w:color w:val="auto"/>
                <w:sz w:val="24"/>
                <w:highlight w:val="none"/>
              </w:rPr>
              <w:t>第二等次：已完成1项，得3分；</w:t>
            </w:r>
          </w:p>
          <w:p w14:paraId="1F1F700C">
            <w:pPr>
              <w:adjustRightInd w:val="0"/>
              <w:snapToGrid w:val="0"/>
              <w:spacing w:line="240" w:lineRule="auto"/>
              <w:textAlignment w:val="baseline"/>
              <w:rPr>
                <w:rFonts w:hint="eastAsia" w:ascii="宋体" w:hAnsi="宋体" w:cs="宋体"/>
                <w:color w:val="auto"/>
                <w:sz w:val="24"/>
                <w:highlight w:val="none"/>
              </w:rPr>
            </w:pPr>
            <w:r>
              <w:rPr>
                <w:rFonts w:hint="eastAsia" w:ascii="宋体" w:hAnsi="宋体" w:cs="宋体"/>
                <w:color w:val="auto"/>
                <w:sz w:val="24"/>
                <w:highlight w:val="none"/>
              </w:rPr>
              <w:t>第三等次：已完成0项，得0分。</w:t>
            </w:r>
          </w:p>
          <w:p w14:paraId="775A3579">
            <w:pPr>
              <w:adjustRightInd w:val="0"/>
              <w:snapToGrid w:val="0"/>
              <w:spacing w:line="240" w:lineRule="auto"/>
              <w:textAlignment w:val="baseline"/>
              <w:rPr>
                <w:rFonts w:hint="eastAsia" w:ascii="宋体" w:hAnsi="宋体" w:cs="宋体"/>
                <w:color w:val="auto"/>
                <w:sz w:val="24"/>
                <w:highlight w:val="none"/>
              </w:rPr>
            </w:pPr>
            <w:r>
              <w:rPr>
                <w:rFonts w:hint="eastAsia" w:ascii="宋体" w:hAnsi="宋体" w:cs="宋体"/>
                <w:color w:val="auto"/>
                <w:sz w:val="24"/>
                <w:highlight w:val="none"/>
              </w:rPr>
              <w:t>注：</w:t>
            </w:r>
          </w:p>
          <w:p w14:paraId="02956B9B">
            <w:pPr>
              <w:adjustRightInd w:val="0"/>
              <w:snapToGrid w:val="0"/>
              <w:spacing w:line="240" w:lineRule="auto"/>
              <w:textAlignment w:val="baseline"/>
              <w:rPr>
                <w:rFonts w:hint="eastAsia" w:ascii="宋体" w:hAnsi="宋体" w:cs="宋体"/>
                <w:color w:val="auto"/>
                <w:sz w:val="24"/>
                <w:highlight w:val="none"/>
              </w:rPr>
            </w:pPr>
            <w:r>
              <w:rPr>
                <w:rFonts w:hint="eastAsia" w:ascii="宋体" w:hAnsi="宋体" w:cs="宋体"/>
                <w:color w:val="auto"/>
                <w:sz w:val="24"/>
                <w:highlight w:val="none"/>
              </w:rPr>
              <w:t>（1）近3年完成指完成时间在此期限内；</w:t>
            </w:r>
          </w:p>
          <w:p w14:paraId="1978479B">
            <w:pPr>
              <w:adjustRightInd w:val="0"/>
              <w:snapToGrid w:val="0"/>
              <w:spacing w:line="240" w:lineRule="auto"/>
              <w:textAlignment w:val="baseline"/>
              <w:rPr>
                <w:rFonts w:hint="eastAsia" w:ascii="宋体" w:hAnsi="宋体" w:cs="宋体"/>
                <w:color w:val="auto"/>
                <w:sz w:val="24"/>
                <w:highlight w:val="none"/>
              </w:rPr>
            </w:pPr>
            <w:r>
              <w:rPr>
                <w:rFonts w:hint="eastAsia" w:ascii="宋体" w:hAnsi="宋体" w:cs="宋体"/>
                <w:color w:val="auto"/>
                <w:sz w:val="24"/>
                <w:highlight w:val="none"/>
              </w:rPr>
              <w:t>（2）类似工程指水利工程施工业绩；</w:t>
            </w:r>
          </w:p>
          <w:p w14:paraId="5EE7E873">
            <w:pPr>
              <w:adjustRightInd w:val="0"/>
              <w:snapToGrid w:val="0"/>
              <w:spacing w:line="240" w:lineRule="auto"/>
              <w:textAlignment w:val="baseline"/>
              <w:rPr>
                <w:rFonts w:hint="eastAsia" w:ascii="宋体" w:hAnsi="宋体" w:cs="宋体"/>
                <w:color w:val="auto"/>
                <w:szCs w:val="21"/>
                <w:highlight w:val="none"/>
              </w:rPr>
            </w:pPr>
            <w:r>
              <w:rPr>
                <w:rFonts w:hint="eastAsia" w:ascii="宋体" w:hAnsi="宋体" w:cs="宋体"/>
                <w:color w:val="auto"/>
                <w:sz w:val="24"/>
                <w:highlight w:val="none"/>
              </w:rPr>
              <w:t>（3）须提供中标通知书（或合同协议书）和工程完工证明（或工程竣工验收证书）等有效证明材料。</w:t>
            </w:r>
          </w:p>
        </w:tc>
        <w:tc>
          <w:tcPr>
            <w:tcW w:w="956" w:type="dxa"/>
            <w:vAlign w:val="center"/>
          </w:tcPr>
          <w:p w14:paraId="2A978932">
            <w:pPr>
              <w:adjustRightInd w:val="0"/>
              <w:snapToGrid w:val="0"/>
              <w:spacing w:line="480" w:lineRule="atLeast"/>
              <w:jc w:val="center"/>
              <w:textAlignment w:val="baseline"/>
              <w:rPr>
                <w:rFonts w:hint="eastAsia" w:ascii="宋体" w:hAnsi="宋体" w:cs="宋体"/>
                <w:color w:val="auto"/>
                <w:sz w:val="24"/>
                <w:szCs w:val="32"/>
                <w:highlight w:val="none"/>
              </w:rPr>
            </w:pPr>
            <w:r>
              <w:rPr>
                <w:rFonts w:hint="eastAsia" w:ascii="宋体" w:hAnsi="宋体" w:cs="宋体"/>
                <w:color w:val="auto"/>
                <w:sz w:val="24"/>
                <w:szCs w:val="32"/>
                <w:highlight w:val="none"/>
              </w:rPr>
              <w:t>5</w:t>
            </w:r>
          </w:p>
        </w:tc>
      </w:tr>
      <w:tr w14:paraId="0EB79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39E1437A">
            <w:pPr>
              <w:spacing w:line="480" w:lineRule="atLeast"/>
              <w:jc w:val="center"/>
              <w:textAlignment w:val="baseline"/>
              <w:rPr>
                <w:rFonts w:hint="eastAsia" w:ascii="宋体" w:hAnsi="宋体" w:cs="宋体"/>
                <w:color w:val="auto"/>
                <w:sz w:val="24"/>
                <w:szCs w:val="32"/>
                <w:highlight w:val="none"/>
              </w:rPr>
            </w:pPr>
            <w:r>
              <w:rPr>
                <w:rFonts w:hint="eastAsia" w:ascii="宋体" w:hAnsi="宋体"/>
                <w:bCs/>
                <w:color w:val="auto"/>
                <w:sz w:val="24"/>
                <w:highlight w:val="none"/>
              </w:rPr>
              <w:t>2</w:t>
            </w:r>
          </w:p>
        </w:tc>
        <w:tc>
          <w:tcPr>
            <w:tcW w:w="1798" w:type="dxa"/>
            <w:vAlign w:val="center"/>
          </w:tcPr>
          <w:p w14:paraId="42BE3675">
            <w:pPr>
              <w:spacing w:line="480" w:lineRule="atLeast"/>
              <w:jc w:val="center"/>
              <w:textAlignment w:val="baseline"/>
              <w:rPr>
                <w:rFonts w:hint="eastAsia" w:ascii="宋体" w:hAnsi="宋体" w:cs="宋体"/>
                <w:color w:val="auto"/>
                <w:sz w:val="24"/>
                <w:szCs w:val="21"/>
                <w:highlight w:val="none"/>
              </w:rPr>
            </w:pPr>
            <w:r>
              <w:rPr>
                <w:rFonts w:hint="eastAsia" w:ascii="宋体" w:hAnsi="宋体"/>
                <w:bCs/>
                <w:color w:val="auto"/>
                <w:sz w:val="24"/>
                <w:highlight w:val="none"/>
              </w:rPr>
              <w:t>节能产品优先采购</w:t>
            </w:r>
          </w:p>
        </w:tc>
        <w:tc>
          <w:tcPr>
            <w:tcW w:w="5716" w:type="dxa"/>
          </w:tcPr>
          <w:p w14:paraId="73792AE2">
            <w:pPr>
              <w:adjustRightInd w:val="0"/>
              <w:snapToGrid w:val="0"/>
              <w:spacing w:line="480" w:lineRule="atLeast"/>
              <w:rPr>
                <w:rFonts w:hint="eastAsia" w:ascii="宋体" w:hAnsi="宋体"/>
                <w:color w:val="auto"/>
                <w:sz w:val="24"/>
                <w:highlight w:val="none"/>
              </w:rPr>
            </w:pPr>
            <w:r>
              <w:rPr>
                <w:rFonts w:hint="eastAsia" w:ascii="宋体" w:hAnsi="宋体"/>
                <w:color w:val="auto"/>
                <w:sz w:val="24"/>
                <w:highlight w:val="none"/>
              </w:rPr>
              <w:t>项目实施中供应商提供的材料设备具有国家确定的认证机构出具的、处于有效期之内的节能产品认证证书。</w:t>
            </w:r>
          </w:p>
          <w:p w14:paraId="0156D1D2">
            <w:pPr>
              <w:adjustRightInd w:val="0"/>
              <w:snapToGrid w:val="0"/>
              <w:spacing w:line="480" w:lineRule="atLeast"/>
              <w:rPr>
                <w:rFonts w:hint="eastAsia" w:ascii="宋体" w:hAnsi="宋体"/>
                <w:color w:val="auto"/>
                <w:sz w:val="24"/>
                <w:highlight w:val="none"/>
              </w:rPr>
            </w:pPr>
            <w:r>
              <w:rPr>
                <w:rFonts w:hint="eastAsia" w:ascii="宋体" w:hAnsi="宋体"/>
                <w:color w:val="auto"/>
                <w:sz w:val="24"/>
                <w:highlight w:val="none"/>
              </w:rPr>
              <w:t>注：（1）投标产品须在本项目采购清单内（在“主要材料和工程设备选用表”内列明），且在国家现行政府采购节能产品目录清单内；</w:t>
            </w:r>
          </w:p>
          <w:p w14:paraId="742C5399">
            <w:pPr>
              <w:adjustRightInd w:val="0"/>
              <w:snapToGrid w:val="0"/>
              <w:spacing w:line="480" w:lineRule="atLeast"/>
              <w:rPr>
                <w:rFonts w:hint="eastAsia" w:ascii="宋体" w:hAnsi="宋体"/>
                <w:color w:val="auto"/>
                <w:sz w:val="24"/>
                <w:highlight w:val="none"/>
              </w:rPr>
            </w:pPr>
            <w:r>
              <w:rPr>
                <w:rFonts w:hint="eastAsia" w:ascii="宋体" w:hAnsi="宋体"/>
                <w:color w:val="auto"/>
                <w:sz w:val="24"/>
                <w:highlight w:val="none"/>
              </w:rPr>
              <w:t>（2）投标产品与节能产品认证证书中的产品型号一致；</w:t>
            </w:r>
          </w:p>
          <w:p w14:paraId="147BCCD8">
            <w:pPr>
              <w:adjustRightInd w:val="0"/>
              <w:snapToGrid w:val="0"/>
              <w:spacing w:line="480" w:lineRule="atLeast"/>
              <w:rPr>
                <w:rFonts w:hint="eastAsia" w:ascii="宋体" w:hAnsi="宋体" w:cs="宋体"/>
                <w:color w:val="auto"/>
                <w:sz w:val="24"/>
                <w:highlight w:val="none"/>
              </w:rPr>
            </w:pPr>
            <w:r>
              <w:rPr>
                <w:rFonts w:hint="eastAsia" w:ascii="宋体" w:hAnsi="宋体"/>
                <w:color w:val="auto"/>
                <w:sz w:val="24"/>
                <w:highlight w:val="none"/>
              </w:rPr>
              <w:t>（3）需提供国家确定的认证机构出具的，处于有效期内的节能产品认证证书复印件或扫描件。</w:t>
            </w:r>
          </w:p>
        </w:tc>
        <w:tc>
          <w:tcPr>
            <w:tcW w:w="956" w:type="dxa"/>
            <w:vAlign w:val="center"/>
          </w:tcPr>
          <w:p w14:paraId="0BA1DA51">
            <w:pPr>
              <w:spacing w:line="480" w:lineRule="atLeast"/>
              <w:jc w:val="center"/>
              <w:textAlignment w:val="baseline"/>
              <w:rPr>
                <w:rFonts w:hint="eastAsia" w:ascii="宋体" w:hAnsi="宋体" w:cs="宋体"/>
                <w:color w:val="auto"/>
                <w:sz w:val="24"/>
                <w:szCs w:val="32"/>
                <w:highlight w:val="none"/>
              </w:rPr>
            </w:pPr>
            <w:r>
              <w:rPr>
                <w:rFonts w:ascii="宋体" w:hAnsi="宋体"/>
                <w:color w:val="auto"/>
                <w:sz w:val="24"/>
                <w:highlight w:val="none"/>
              </w:rPr>
              <w:t>0.5</w:t>
            </w:r>
          </w:p>
        </w:tc>
      </w:tr>
      <w:tr w14:paraId="16468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14:paraId="22E528F0">
            <w:pPr>
              <w:spacing w:line="480" w:lineRule="atLeast"/>
              <w:jc w:val="center"/>
              <w:textAlignment w:val="baseline"/>
              <w:rPr>
                <w:rFonts w:hint="eastAsia" w:ascii="宋体" w:hAnsi="宋体" w:cs="宋体"/>
                <w:color w:val="auto"/>
                <w:sz w:val="24"/>
                <w:szCs w:val="32"/>
                <w:highlight w:val="none"/>
              </w:rPr>
            </w:pPr>
            <w:r>
              <w:rPr>
                <w:rFonts w:hint="eastAsia" w:ascii="宋体" w:hAnsi="宋体"/>
                <w:bCs/>
                <w:color w:val="auto"/>
                <w:sz w:val="24"/>
                <w:highlight w:val="none"/>
              </w:rPr>
              <w:t>3</w:t>
            </w:r>
          </w:p>
        </w:tc>
        <w:tc>
          <w:tcPr>
            <w:tcW w:w="1798" w:type="dxa"/>
            <w:vAlign w:val="center"/>
          </w:tcPr>
          <w:p w14:paraId="4D501D97">
            <w:pPr>
              <w:spacing w:line="480" w:lineRule="atLeast"/>
              <w:jc w:val="center"/>
              <w:textAlignment w:val="baseline"/>
              <w:rPr>
                <w:rFonts w:hint="eastAsia" w:ascii="宋体" w:hAnsi="宋体" w:cs="宋体"/>
                <w:color w:val="auto"/>
                <w:sz w:val="24"/>
                <w:szCs w:val="21"/>
                <w:highlight w:val="none"/>
              </w:rPr>
            </w:pPr>
            <w:r>
              <w:rPr>
                <w:rFonts w:hint="eastAsia" w:ascii="宋体" w:hAnsi="宋体"/>
                <w:color w:val="auto"/>
                <w:sz w:val="24"/>
                <w:highlight w:val="none"/>
              </w:rPr>
              <w:t>环保产品优先采购</w:t>
            </w:r>
          </w:p>
        </w:tc>
        <w:tc>
          <w:tcPr>
            <w:tcW w:w="5716" w:type="dxa"/>
          </w:tcPr>
          <w:p w14:paraId="5B0B4EE6">
            <w:pPr>
              <w:adjustRightInd w:val="0"/>
              <w:snapToGrid w:val="0"/>
              <w:spacing w:line="480" w:lineRule="atLeast"/>
              <w:rPr>
                <w:rFonts w:hint="eastAsia" w:ascii="宋体" w:hAnsi="宋体"/>
                <w:color w:val="auto"/>
                <w:sz w:val="24"/>
                <w:highlight w:val="none"/>
              </w:rPr>
            </w:pPr>
            <w:r>
              <w:rPr>
                <w:rFonts w:hint="eastAsia" w:ascii="宋体" w:hAnsi="宋体"/>
                <w:color w:val="auto"/>
                <w:sz w:val="24"/>
                <w:highlight w:val="none"/>
              </w:rPr>
              <w:t>项目实施中供应商提供的材料设备在政府采购环境标志产品实施品目清单范围内，且具有国家确定的认证机构出具的、处于有效期之内的环境标志产品认证证书。</w:t>
            </w:r>
          </w:p>
          <w:p w14:paraId="17AAB62E">
            <w:pPr>
              <w:adjustRightInd w:val="0"/>
              <w:snapToGrid w:val="0"/>
              <w:spacing w:line="480" w:lineRule="atLeast"/>
              <w:rPr>
                <w:rFonts w:hint="eastAsia" w:ascii="宋体" w:hAnsi="宋体"/>
                <w:color w:val="auto"/>
                <w:sz w:val="24"/>
                <w:highlight w:val="none"/>
              </w:rPr>
            </w:pPr>
            <w:r>
              <w:rPr>
                <w:rFonts w:hint="eastAsia" w:ascii="宋体" w:hAnsi="宋体"/>
                <w:color w:val="auto"/>
                <w:sz w:val="24"/>
                <w:highlight w:val="none"/>
              </w:rPr>
              <w:t>注：（1）投标产品须在本项目采购清单内（在“主要材料和工程设备选用表”内列明），且在国家现行政府采购环保产品目录清单内；</w:t>
            </w:r>
          </w:p>
          <w:p w14:paraId="6A722712">
            <w:pPr>
              <w:adjustRightInd w:val="0"/>
              <w:snapToGrid w:val="0"/>
              <w:spacing w:line="480" w:lineRule="atLeast"/>
              <w:rPr>
                <w:rFonts w:hint="eastAsia" w:ascii="宋体" w:hAnsi="宋体"/>
                <w:color w:val="auto"/>
                <w:sz w:val="24"/>
                <w:highlight w:val="none"/>
              </w:rPr>
            </w:pPr>
            <w:r>
              <w:rPr>
                <w:rFonts w:hint="eastAsia" w:ascii="宋体" w:hAnsi="宋体"/>
                <w:color w:val="auto"/>
                <w:sz w:val="24"/>
                <w:highlight w:val="none"/>
              </w:rPr>
              <w:t>（2）投标产品与环保产品认证证书中的产品型号一致；</w:t>
            </w:r>
          </w:p>
          <w:p w14:paraId="7063F497">
            <w:pPr>
              <w:adjustRightInd w:val="0"/>
              <w:snapToGrid w:val="0"/>
              <w:spacing w:line="480" w:lineRule="atLeast"/>
              <w:rPr>
                <w:rFonts w:hint="eastAsia" w:ascii="宋体" w:hAnsi="宋体" w:cs="宋体"/>
                <w:color w:val="auto"/>
                <w:sz w:val="24"/>
                <w:highlight w:val="none"/>
              </w:rPr>
            </w:pPr>
            <w:r>
              <w:rPr>
                <w:rFonts w:hint="eastAsia" w:ascii="宋体" w:hAnsi="宋体"/>
                <w:color w:val="auto"/>
                <w:sz w:val="24"/>
                <w:highlight w:val="none"/>
              </w:rPr>
              <w:t>（3）需提供国家确定的认证机构出具的，处于有效期内的环境标志产品认证证书复印件或扫描件。</w:t>
            </w:r>
          </w:p>
        </w:tc>
        <w:tc>
          <w:tcPr>
            <w:tcW w:w="956" w:type="dxa"/>
            <w:vAlign w:val="center"/>
          </w:tcPr>
          <w:p w14:paraId="001F25F7">
            <w:pPr>
              <w:spacing w:line="480" w:lineRule="atLeast"/>
              <w:jc w:val="center"/>
              <w:textAlignment w:val="baseline"/>
              <w:rPr>
                <w:rFonts w:hint="eastAsia" w:ascii="宋体" w:hAnsi="宋体" w:cs="宋体"/>
                <w:color w:val="auto"/>
                <w:sz w:val="24"/>
                <w:szCs w:val="32"/>
                <w:highlight w:val="none"/>
              </w:rPr>
            </w:pPr>
            <w:r>
              <w:rPr>
                <w:rFonts w:ascii="宋体" w:hAnsi="宋体"/>
                <w:color w:val="auto"/>
                <w:sz w:val="24"/>
                <w:highlight w:val="none"/>
              </w:rPr>
              <w:t>0.5</w:t>
            </w:r>
          </w:p>
        </w:tc>
      </w:tr>
      <w:bookmarkEnd w:id="554"/>
    </w:tbl>
    <w:p w14:paraId="6E700F11">
      <w:pPr>
        <w:pStyle w:val="2"/>
        <w:rPr>
          <w:rFonts w:hint="eastAsia" w:ascii="宋体" w:hAnsi="宋体"/>
          <w:color w:val="auto"/>
          <w:highlight w:val="none"/>
        </w:rPr>
      </w:pPr>
    </w:p>
    <w:p w14:paraId="7F03434C">
      <w:pPr>
        <w:snapToGrid w:val="0"/>
        <w:spacing w:line="360" w:lineRule="auto"/>
        <w:rPr>
          <w:rFonts w:hint="eastAsia" w:ascii="宋体" w:hAnsi="宋体"/>
          <w:color w:val="auto"/>
          <w:sz w:val="24"/>
          <w:highlight w:val="none"/>
        </w:rPr>
      </w:pPr>
      <w:r>
        <w:rPr>
          <w:rFonts w:hint="eastAsia" w:ascii="宋体" w:hAnsi="宋体"/>
          <w:color w:val="auto"/>
          <w:sz w:val="24"/>
          <w:highlight w:val="none"/>
        </w:rPr>
        <w:t>经济标评分的方法及有关说明</w:t>
      </w:r>
      <w:r>
        <w:rPr>
          <w:rFonts w:ascii="宋体" w:hAnsi="宋体"/>
          <w:color w:val="auto"/>
          <w:sz w:val="24"/>
          <w:highlight w:val="none"/>
        </w:rPr>
        <w:t>（</w:t>
      </w:r>
      <w:r>
        <w:rPr>
          <w:rFonts w:hint="eastAsia" w:ascii="宋体" w:hAnsi="宋体"/>
          <w:color w:val="auto"/>
          <w:sz w:val="24"/>
          <w:highlight w:val="none"/>
        </w:rPr>
        <w:t>10分</w:t>
      </w:r>
      <w:r>
        <w:rPr>
          <w:rFonts w:ascii="宋体" w:hAnsi="宋体"/>
          <w:color w:val="auto"/>
          <w:sz w:val="24"/>
          <w:highlight w:val="none"/>
        </w:rPr>
        <w:t>）</w:t>
      </w:r>
      <w:r>
        <w:rPr>
          <w:rFonts w:hint="eastAsia" w:ascii="宋体" w:hAnsi="宋体"/>
          <w:color w:val="auto"/>
          <w:sz w:val="24"/>
          <w:highlight w:val="none"/>
        </w:rPr>
        <w:t>：</w:t>
      </w:r>
    </w:p>
    <w:p w14:paraId="7983FE0D">
      <w:pPr>
        <w:spacing w:line="480" w:lineRule="exact"/>
        <w:rPr>
          <w:rFonts w:hint="eastAsia" w:ascii="宋体" w:hAnsi="宋体"/>
          <w:color w:val="auto"/>
          <w:sz w:val="24"/>
          <w:highlight w:val="none"/>
        </w:rPr>
      </w:pPr>
      <w:r>
        <w:rPr>
          <w:rFonts w:hint="eastAsia" w:ascii="宋体" w:hAnsi="宋体"/>
          <w:color w:val="auto"/>
          <w:sz w:val="24"/>
          <w:highlight w:val="none"/>
        </w:rPr>
        <w:t>1. 评标价格以人民币计价。</w:t>
      </w:r>
    </w:p>
    <w:p w14:paraId="7FC5F56D">
      <w:pPr>
        <w:spacing w:line="480" w:lineRule="exact"/>
        <w:rPr>
          <w:rFonts w:hint="eastAsia" w:ascii="宋体" w:hAnsi="宋体"/>
          <w:color w:val="auto"/>
          <w:sz w:val="24"/>
          <w:highlight w:val="none"/>
        </w:rPr>
      </w:pPr>
      <w:r>
        <w:rPr>
          <w:rFonts w:hint="eastAsia" w:ascii="宋体" w:hAnsi="宋体"/>
          <w:color w:val="auto"/>
          <w:sz w:val="24"/>
          <w:highlight w:val="none"/>
        </w:rPr>
        <w:t>2. 以供应商的二次报价，作为最后磋商报价；</w:t>
      </w:r>
    </w:p>
    <w:p w14:paraId="4C5FFDC8">
      <w:pPr>
        <w:spacing w:line="480" w:lineRule="exact"/>
        <w:rPr>
          <w:rFonts w:hint="eastAsia" w:ascii="宋体" w:hAnsi="宋体"/>
          <w:color w:val="auto"/>
          <w:sz w:val="24"/>
          <w:highlight w:val="none"/>
        </w:rPr>
      </w:pPr>
      <w:r>
        <w:rPr>
          <w:rFonts w:hint="eastAsia" w:ascii="宋体" w:hAnsi="宋体"/>
          <w:color w:val="auto"/>
          <w:sz w:val="24"/>
          <w:highlight w:val="none"/>
        </w:rPr>
        <w:t>3．价格分统一采用低价优先法计算即满足采购文件要求且最后磋商报价最低的有效报价（即除低于成本报价以外的所有报价）为磋商基准价，其价格分为满分。</w:t>
      </w:r>
    </w:p>
    <w:p w14:paraId="7828D064">
      <w:pPr>
        <w:spacing w:line="480" w:lineRule="exact"/>
        <w:rPr>
          <w:rFonts w:hint="eastAsia" w:ascii="宋体" w:hAnsi="宋体"/>
          <w:color w:val="auto"/>
          <w:sz w:val="24"/>
          <w:highlight w:val="none"/>
        </w:rPr>
      </w:pPr>
      <w:r>
        <w:rPr>
          <w:rFonts w:hint="eastAsia" w:ascii="宋体" w:hAnsi="宋体"/>
          <w:color w:val="auto"/>
          <w:sz w:val="24"/>
          <w:highlight w:val="none"/>
        </w:rPr>
        <w:t>4．其他供应商的价格分统一按照以下公式计算：</w:t>
      </w:r>
    </w:p>
    <w:p w14:paraId="160C4A78">
      <w:pPr>
        <w:spacing w:line="480" w:lineRule="exact"/>
        <w:rPr>
          <w:rFonts w:hint="eastAsia" w:ascii="宋体" w:hAnsi="宋体"/>
          <w:color w:val="auto"/>
          <w:sz w:val="24"/>
          <w:highlight w:val="none"/>
        </w:rPr>
      </w:pPr>
      <w:r>
        <w:rPr>
          <w:rFonts w:hint="eastAsia" w:ascii="宋体" w:hAnsi="宋体"/>
          <w:color w:val="auto"/>
          <w:sz w:val="24"/>
          <w:highlight w:val="none"/>
        </w:rPr>
        <w:t>磋商报价得分=（磋商基准价</w:t>
      </w:r>
      <w:r>
        <w:rPr>
          <w:rFonts w:ascii="宋体" w:hAnsi="宋体"/>
          <w:color w:val="auto"/>
          <w:sz w:val="24"/>
          <w:highlight w:val="none"/>
        </w:rPr>
        <w:t>/</w:t>
      </w:r>
      <w:r>
        <w:rPr>
          <w:rFonts w:hint="eastAsia" w:ascii="宋体" w:hAnsi="宋体"/>
          <w:color w:val="auto"/>
          <w:sz w:val="24"/>
          <w:highlight w:val="none"/>
        </w:rPr>
        <w:t>最后磋商报价）×10</w:t>
      </w:r>
    </w:p>
    <w:p w14:paraId="5B018F52">
      <w:pPr>
        <w:spacing w:line="480" w:lineRule="exact"/>
        <w:rPr>
          <w:rFonts w:hint="eastAsia" w:ascii="宋体" w:hAnsi="宋体"/>
          <w:color w:val="auto"/>
          <w:sz w:val="24"/>
          <w:highlight w:val="none"/>
        </w:rPr>
      </w:pPr>
      <w:r>
        <w:rPr>
          <w:rFonts w:hint="eastAsia" w:ascii="宋体" w:hAnsi="宋体"/>
          <w:color w:val="auto"/>
          <w:sz w:val="24"/>
          <w:highlight w:val="none"/>
        </w:rPr>
        <w:t>5.最低报价不作为成交的保证。</w:t>
      </w:r>
    </w:p>
    <w:p w14:paraId="67E7684A">
      <w:pPr>
        <w:spacing w:line="480" w:lineRule="exact"/>
        <w:rPr>
          <w:rFonts w:hint="eastAsia" w:ascii="宋体" w:hAnsi="宋体"/>
          <w:color w:val="auto"/>
          <w:sz w:val="24"/>
          <w:highlight w:val="none"/>
        </w:rPr>
      </w:pPr>
      <w:r>
        <w:rPr>
          <w:rFonts w:hint="eastAsia" w:ascii="宋体" w:hAnsi="宋体"/>
          <w:color w:val="auto"/>
          <w:sz w:val="24"/>
          <w:highlight w:val="none"/>
        </w:rPr>
        <w:t>6.“小型和微型企业产品”的价格按扣除</w:t>
      </w:r>
      <w:r>
        <w:rPr>
          <w:rFonts w:ascii="宋体" w:hAnsi="宋体"/>
          <w:color w:val="auto"/>
          <w:sz w:val="24"/>
          <w:highlight w:val="none"/>
        </w:rPr>
        <w:t>1</w:t>
      </w:r>
      <w:r>
        <w:rPr>
          <w:rFonts w:hint="eastAsia" w:ascii="宋体" w:hAnsi="宋体"/>
          <w:color w:val="auto"/>
          <w:sz w:val="24"/>
          <w:highlight w:val="none"/>
        </w:rPr>
        <w:t>0%后的价格参与评审。</w:t>
      </w:r>
    </w:p>
    <w:p w14:paraId="7243B92E">
      <w:pPr>
        <w:spacing w:line="480" w:lineRule="exact"/>
        <w:rPr>
          <w:rFonts w:hint="eastAsia" w:ascii="宋体" w:hAnsi="宋体"/>
          <w:color w:val="auto"/>
          <w:sz w:val="24"/>
          <w:highlight w:val="none"/>
        </w:rPr>
      </w:pPr>
      <w:r>
        <w:rPr>
          <w:rFonts w:ascii="宋体" w:hAnsi="宋体"/>
          <w:color w:val="auto"/>
          <w:sz w:val="24"/>
          <w:highlight w:val="none"/>
        </w:rPr>
        <w:t>6.1</w:t>
      </w:r>
      <w:r>
        <w:rPr>
          <w:rFonts w:hint="eastAsia" w:ascii="宋体" w:hAnsi="宋体"/>
          <w:color w:val="auto"/>
          <w:sz w:val="24"/>
          <w:highlight w:val="none"/>
        </w:rPr>
        <w:t>符合条件的供应商应按照《政府采购促进中小企业发展管理办法》的规定提供《中小企业声明函》（后附），并对声明的真实性负责。</w:t>
      </w:r>
    </w:p>
    <w:p w14:paraId="7872BF04">
      <w:pPr>
        <w:spacing w:line="480" w:lineRule="exact"/>
        <w:rPr>
          <w:rFonts w:hint="eastAsia" w:ascii="宋体" w:hAnsi="宋体"/>
          <w:color w:val="auto"/>
          <w:sz w:val="24"/>
          <w:highlight w:val="none"/>
        </w:rPr>
      </w:pPr>
      <w:r>
        <w:rPr>
          <w:rFonts w:ascii="宋体" w:hAnsi="宋体"/>
          <w:color w:val="auto"/>
          <w:sz w:val="24"/>
          <w:highlight w:val="none"/>
        </w:rPr>
        <w:t>6.2</w:t>
      </w:r>
      <w:r>
        <w:rPr>
          <w:rFonts w:hint="eastAsia" w:ascii="宋体" w:hAnsi="宋体"/>
          <w:color w:val="auto"/>
          <w:sz w:val="24"/>
          <w:highlight w:val="none"/>
        </w:rPr>
        <w:t>监狱企业视同小型、微型企业,监狱企业应当提供由省级以上监狱管理局、戒毒管理局(含新疆生产建设兵团)出具的属于监狱企业的证明文件。北京市监狱企业应当提供市监狱管理局、市教育矫治局出具的监狱企业的证明文件。</w:t>
      </w:r>
    </w:p>
    <w:p w14:paraId="73E666E3">
      <w:pPr>
        <w:spacing w:line="360" w:lineRule="auto"/>
        <w:rPr>
          <w:rFonts w:hint="eastAsia" w:ascii="宋体" w:hAnsi="宋体"/>
          <w:color w:val="auto"/>
          <w:sz w:val="24"/>
          <w:highlight w:val="none"/>
        </w:rPr>
      </w:pPr>
      <w:r>
        <w:rPr>
          <w:rFonts w:ascii="宋体" w:hAnsi="宋体"/>
          <w:color w:val="auto"/>
          <w:sz w:val="24"/>
          <w:highlight w:val="none"/>
        </w:rPr>
        <w:t>6.3</w:t>
      </w:r>
      <w:r>
        <w:rPr>
          <w:rFonts w:hint="eastAsia" w:ascii="宋体" w:hAnsi="宋体"/>
          <w:color w:val="auto"/>
          <w:sz w:val="24"/>
          <w:highlight w:val="none"/>
        </w:rPr>
        <w:t>残疾人福利性单位视同小型、微型企业，符合条件的残疾人福利性单位应按照《财政部 民政部 中国残疾人联合会关于促进残疾人就业政府采购政策的通知》的规定提供《残疾人福利性单位声明函》（后附），并对声明的真实性负责。</w:t>
      </w:r>
    </w:p>
    <w:p w14:paraId="7BEE41DB">
      <w:pPr>
        <w:spacing w:line="360" w:lineRule="auto"/>
        <w:jc w:val="center"/>
        <w:rPr>
          <w:rFonts w:hint="eastAsia" w:ascii="宋体" w:hAnsi="宋体"/>
          <w:b/>
          <w:color w:val="auto"/>
          <w:sz w:val="36"/>
          <w:szCs w:val="36"/>
          <w:highlight w:val="none"/>
        </w:rPr>
      </w:pPr>
      <w:bookmarkStart w:id="555" w:name="_Toc103153304"/>
    </w:p>
    <w:p w14:paraId="5B1BCE53">
      <w:pPr>
        <w:spacing w:line="360" w:lineRule="auto"/>
        <w:jc w:val="center"/>
        <w:rPr>
          <w:rFonts w:hint="eastAsia" w:ascii="宋体" w:hAnsi="宋体"/>
          <w:b/>
          <w:color w:val="auto"/>
          <w:sz w:val="36"/>
          <w:szCs w:val="36"/>
          <w:highlight w:val="none"/>
        </w:rPr>
      </w:pPr>
    </w:p>
    <w:p w14:paraId="4F126D3C">
      <w:pPr>
        <w:spacing w:line="360" w:lineRule="auto"/>
        <w:outlineLvl w:val="0"/>
        <w:rPr>
          <w:rFonts w:hint="eastAsia" w:ascii="宋体" w:hAnsi="宋体"/>
          <w:b/>
          <w:color w:val="auto"/>
          <w:sz w:val="36"/>
          <w:szCs w:val="36"/>
          <w:highlight w:val="none"/>
        </w:rPr>
        <w:sectPr>
          <w:headerReference r:id="rId4" w:type="default"/>
          <w:footerReference r:id="rId5" w:type="default"/>
          <w:pgSz w:w="11906" w:h="16838"/>
          <w:pgMar w:top="1440" w:right="1800" w:bottom="1440" w:left="1800" w:header="851" w:footer="992" w:gutter="0"/>
          <w:pgNumType w:start="1"/>
          <w:cols w:space="425" w:num="1"/>
          <w:docGrid w:type="lines" w:linePitch="312" w:charSpace="0"/>
        </w:sectPr>
      </w:pPr>
    </w:p>
    <w:p w14:paraId="4BA8D553">
      <w:pPr>
        <w:spacing w:line="360" w:lineRule="auto"/>
        <w:jc w:val="center"/>
        <w:outlineLvl w:val="0"/>
        <w:rPr>
          <w:rFonts w:hint="eastAsia" w:ascii="宋体" w:hAnsi="宋体"/>
          <w:b/>
          <w:color w:val="auto"/>
          <w:sz w:val="36"/>
          <w:szCs w:val="36"/>
          <w:highlight w:val="none"/>
        </w:rPr>
      </w:pPr>
      <w:bookmarkStart w:id="556" w:name="_Toc20699"/>
      <w:r>
        <w:rPr>
          <w:rFonts w:ascii="宋体" w:hAnsi="宋体"/>
          <w:b/>
          <w:color w:val="auto"/>
          <w:sz w:val="36"/>
          <w:szCs w:val="36"/>
          <w:highlight w:val="none"/>
        </w:rPr>
        <w:t>第</w:t>
      </w:r>
      <w:r>
        <w:rPr>
          <w:rFonts w:hint="eastAsia" w:ascii="宋体" w:hAnsi="宋体"/>
          <w:b/>
          <w:color w:val="auto"/>
          <w:sz w:val="36"/>
          <w:szCs w:val="36"/>
          <w:highlight w:val="none"/>
        </w:rPr>
        <w:t>四</w:t>
      </w:r>
      <w:r>
        <w:rPr>
          <w:rFonts w:ascii="宋体" w:hAnsi="宋体"/>
          <w:b/>
          <w:color w:val="auto"/>
          <w:sz w:val="36"/>
          <w:szCs w:val="36"/>
          <w:highlight w:val="none"/>
        </w:rPr>
        <w:t xml:space="preserve">章   </w:t>
      </w:r>
      <w:bookmarkEnd w:id="555"/>
      <w:r>
        <w:rPr>
          <w:rFonts w:hint="eastAsia" w:ascii="宋体" w:hAnsi="宋体"/>
          <w:b/>
          <w:color w:val="auto"/>
          <w:sz w:val="36"/>
          <w:szCs w:val="36"/>
          <w:highlight w:val="none"/>
        </w:rPr>
        <w:t>采购需求</w:t>
      </w:r>
      <w:bookmarkEnd w:id="556"/>
    </w:p>
    <w:p w14:paraId="7085069D">
      <w:pPr>
        <w:numPr>
          <w:ilvl w:val="255"/>
          <w:numId w:val="0"/>
        </w:numPr>
        <w:spacing w:line="360" w:lineRule="auto"/>
        <w:ind w:firstLine="506"/>
        <w:rPr>
          <w:color w:val="auto"/>
          <w:highlight w:val="none"/>
        </w:rPr>
      </w:pPr>
      <w:r>
        <w:rPr>
          <w:rFonts w:hint="eastAsia" w:ascii="宋体" w:hAnsi="宋体" w:cs="宋体"/>
          <w:b/>
          <w:bCs/>
          <w:color w:val="auto"/>
          <w:sz w:val="24"/>
          <w:highlight w:val="none"/>
        </w:rPr>
        <w:t>说明：采购需求中标注★号指标为实质性要求，实质性要求任一项不满足的将被作为无效投标否决。★号标注在序号前，指本序号所有内容均为实质性要求；★号标注在段落前，指仅本段落内容为实质性要求。</w:t>
      </w:r>
    </w:p>
    <w:p w14:paraId="02DDEFCA">
      <w:pPr>
        <w:pStyle w:val="4"/>
        <w:jc w:val="left"/>
        <w:rPr>
          <w:rFonts w:hint="eastAsia" w:ascii="宋体" w:hAnsi="宋体" w:eastAsia="宋体" w:cs="宋体"/>
          <w:color w:val="auto"/>
          <w:highlight w:val="none"/>
        </w:rPr>
      </w:pPr>
      <w:r>
        <w:rPr>
          <w:rFonts w:hint="eastAsia" w:ascii="宋体" w:hAnsi="宋体" w:eastAsia="宋体" w:cs="宋体"/>
          <w:color w:val="auto"/>
          <w:highlight w:val="none"/>
        </w:rPr>
        <w:t>一、项目概况</w:t>
      </w:r>
    </w:p>
    <w:p w14:paraId="27B04B02">
      <w:pPr>
        <w:spacing w:line="360" w:lineRule="auto"/>
        <w:ind w:firstLine="484" w:firstLineChars="202"/>
        <w:rPr>
          <w:rFonts w:hint="eastAsia" w:ascii="宋体" w:hAnsi="宋体" w:cs="宋体"/>
          <w:color w:val="auto"/>
          <w:sz w:val="24"/>
          <w:szCs w:val="28"/>
          <w:highlight w:val="none"/>
        </w:rPr>
      </w:pPr>
      <w:bookmarkStart w:id="557" w:name="_Toc12243"/>
      <w:r>
        <w:rPr>
          <w:rFonts w:hint="eastAsia" w:ascii="宋体" w:hAnsi="宋体" w:cs="宋体"/>
          <w:color w:val="auto"/>
          <w:sz w:val="24"/>
          <w:szCs w:val="28"/>
          <w:highlight w:val="none"/>
        </w:rPr>
        <w:t>京密引水渠，始建于1960年，1966年5月全线通水，是北京市供水“大动脉”，既担负着正向为北京城区输供生活和环境用水的重任，也担负着反向将南水北调来水输至密云水库，并沿途向水厂、城市河湖输水和回补地下水。渠首为龚庄子进水闸，流经怀柔水库、颐和园昆明湖，横贯密云、怀柔、顺义、昌平、海淀5区县，在滨角汇入永定河引水渠，全长105.059km，沿渠共有250余座水工建筑物。设计流量：渠首宫庄子～沙河倒虹吸70m</w:t>
      </w:r>
      <w:r>
        <w:rPr>
          <w:rFonts w:hint="eastAsia" w:ascii="宋体" w:hAnsi="宋体" w:cs="宋体"/>
          <w:color w:val="auto"/>
          <w:sz w:val="24"/>
          <w:szCs w:val="28"/>
          <w:highlight w:val="none"/>
          <w:vertAlign w:val="superscript"/>
        </w:rPr>
        <w:t>3</w:t>
      </w:r>
      <w:r>
        <w:rPr>
          <w:rFonts w:hint="eastAsia" w:ascii="宋体" w:hAnsi="宋体" w:cs="宋体"/>
          <w:color w:val="auto"/>
          <w:sz w:val="24"/>
          <w:szCs w:val="28"/>
          <w:highlight w:val="none"/>
        </w:rPr>
        <w:t>/s，沙河倒虹吸～李史山节制闸60m</w:t>
      </w:r>
      <w:r>
        <w:rPr>
          <w:rFonts w:hint="eastAsia" w:ascii="宋体" w:hAnsi="宋体" w:cs="宋体"/>
          <w:color w:val="auto"/>
          <w:sz w:val="24"/>
          <w:szCs w:val="28"/>
          <w:highlight w:val="none"/>
          <w:vertAlign w:val="superscript"/>
        </w:rPr>
        <w:t>3</w:t>
      </w:r>
      <w:r>
        <w:rPr>
          <w:rFonts w:hint="eastAsia" w:ascii="宋体" w:hAnsi="宋体" w:cs="宋体"/>
          <w:color w:val="auto"/>
          <w:sz w:val="24"/>
          <w:szCs w:val="28"/>
          <w:highlight w:val="none"/>
        </w:rPr>
        <w:t>/s，李史山节制闸以下40m</w:t>
      </w:r>
      <w:r>
        <w:rPr>
          <w:rFonts w:hint="eastAsia" w:ascii="宋体" w:hAnsi="宋体" w:cs="宋体"/>
          <w:color w:val="auto"/>
          <w:sz w:val="24"/>
          <w:szCs w:val="28"/>
          <w:highlight w:val="none"/>
          <w:vertAlign w:val="superscript"/>
        </w:rPr>
        <w:t>3</w:t>
      </w:r>
      <w:r>
        <w:rPr>
          <w:rFonts w:hint="eastAsia" w:ascii="宋体" w:hAnsi="宋体" w:cs="宋体"/>
          <w:color w:val="auto"/>
          <w:sz w:val="24"/>
          <w:szCs w:val="28"/>
          <w:highlight w:val="none"/>
        </w:rPr>
        <w:t>/s，设计水深2.8～3.5m，底宽8～20m，设计边坡1:2～1:2.5，纵坡0.00025～0.000059。</w:t>
      </w:r>
    </w:p>
    <w:bookmarkEnd w:id="557"/>
    <w:p w14:paraId="645C57E8">
      <w:pPr>
        <w:pStyle w:val="2"/>
        <w:spacing w:line="360" w:lineRule="auto"/>
        <w:ind w:firstLine="480"/>
        <w:rPr>
          <w:rFonts w:hint="eastAsia" w:ascii="宋体" w:hAnsi="宋体" w:cs="宋体"/>
          <w:color w:val="auto"/>
          <w:sz w:val="24"/>
          <w:szCs w:val="32"/>
          <w:highlight w:val="none"/>
        </w:rPr>
      </w:pPr>
      <w:r>
        <w:rPr>
          <w:rFonts w:hint="eastAsia" w:ascii="宋体" w:hAnsi="宋体" w:cs="宋体"/>
          <w:color w:val="auto"/>
          <w:sz w:val="24"/>
          <w:szCs w:val="32"/>
          <w:highlight w:val="none"/>
        </w:rPr>
        <w:t>怀柔水库除正常的防洪、蓄水等功能外，也是北京市重要的水源地和调蓄地。始建于1958年，当年7月实现拦洪蓄水。现属大（2）型水库标准，库容1.44亿m</w:t>
      </w:r>
      <w:r>
        <w:rPr>
          <w:rFonts w:hint="eastAsia" w:ascii="宋体" w:hAnsi="宋体" w:cs="宋体"/>
          <w:color w:val="auto"/>
          <w:sz w:val="24"/>
          <w:szCs w:val="32"/>
          <w:highlight w:val="none"/>
          <w:vertAlign w:val="superscript"/>
        </w:rPr>
        <w:t>3</w:t>
      </w:r>
      <w:r>
        <w:rPr>
          <w:rFonts w:hint="eastAsia" w:ascii="宋体" w:hAnsi="宋体" w:cs="宋体"/>
          <w:color w:val="auto"/>
          <w:sz w:val="24"/>
          <w:szCs w:val="32"/>
          <w:highlight w:val="none"/>
        </w:rPr>
        <w:t>。怀柔水库防洪标准按100a一遇洪水设计，设计洪水位64.16m，2000a一遇洪水校核，校核洪水位67.73m。怀柔水库水利枢纽包括一座主坝、四座副坝、一座进水闸、一座输水闸、一座防洪闸、两座溢洪道、一座输水隧洞设进出口闸各一座和一座非常溢洪道。</w:t>
      </w:r>
    </w:p>
    <w:p w14:paraId="3F239F4A">
      <w:pPr>
        <w:pStyle w:val="4"/>
        <w:jc w:val="left"/>
        <w:rPr>
          <w:rFonts w:hint="eastAsia" w:ascii="宋体" w:hAnsi="宋体" w:eastAsia="宋体" w:cs="宋体"/>
          <w:color w:val="auto"/>
          <w:highlight w:val="none"/>
        </w:rPr>
      </w:pPr>
      <w:bookmarkStart w:id="558" w:name="_Toc30850"/>
      <w:bookmarkStart w:id="559" w:name="_Toc3489_WPSOffice_Level2"/>
      <w:bookmarkStart w:id="560" w:name="_Toc20791"/>
      <w:bookmarkStart w:id="561" w:name="_Toc19893_WPSOffice_Level2"/>
      <w:r>
        <w:rPr>
          <w:rFonts w:hint="eastAsia" w:ascii="宋体" w:hAnsi="宋体" w:eastAsia="宋体" w:cs="宋体"/>
          <w:color w:val="auto"/>
          <w:highlight w:val="none"/>
        </w:rPr>
        <w:t>二、采购标的</w:t>
      </w:r>
    </w:p>
    <w:p w14:paraId="5E3E5004">
      <w:pPr>
        <w:pStyle w:val="5"/>
        <w:spacing w:line="240" w:lineRule="auto"/>
        <w:rPr>
          <w:color w:val="auto"/>
          <w:highlight w:val="none"/>
        </w:rPr>
      </w:pPr>
      <w:bookmarkStart w:id="562" w:name="_Hlk77118757"/>
      <w:r>
        <w:rPr>
          <w:rFonts w:hint="eastAsia"/>
          <w:color w:val="auto"/>
          <w:highlight w:val="none"/>
        </w:rPr>
        <w:t>★</w:t>
      </w:r>
      <w:bookmarkEnd w:id="562"/>
      <w:r>
        <w:rPr>
          <w:rFonts w:hint="eastAsia"/>
          <w:color w:val="auto"/>
          <w:highlight w:val="none"/>
        </w:rPr>
        <w:t>（一）标的名称及内容</w:t>
      </w:r>
    </w:p>
    <w:p w14:paraId="1B68D69D">
      <w:pPr>
        <w:spacing w:line="360" w:lineRule="auto"/>
        <w:ind w:firstLine="480" w:firstLineChars="200"/>
        <w:rPr>
          <w:color w:val="auto"/>
          <w:sz w:val="24"/>
          <w:szCs w:val="32"/>
          <w:highlight w:val="none"/>
        </w:rPr>
      </w:pPr>
      <w:r>
        <w:rPr>
          <w:rFonts w:hint="eastAsia" w:ascii="宋体" w:hAnsi="宋体" w:cs="宋体"/>
          <w:color w:val="auto"/>
          <w:sz w:val="24"/>
          <w:szCs w:val="32"/>
          <w:highlight w:val="none"/>
        </w:rPr>
        <w:t>标的名称：水利工程日常维修养护经费（中央）-2024年</w:t>
      </w:r>
      <w:r>
        <w:rPr>
          <w:rFonts w:hint="eastAsia"/>
          <w:color w:val="auto"/>
          <w:sz w:val="24"/>
          <w:szCs w:val="32"/>
          <w:highlight w:val="none"/>
        </w:rPr>
        <w:t>度水工建筑物维修养护工程</w:t>
      </w:r>
    </w:p>
    <w:p w14:paraId="77F2C394">
      <w:pPr>
        <w:pStyle w:val="2"/>
        <w:spacing w:line="360" w:lineRule="auto"/>
        <w:ind w:firstLine="480"/>
        <w:rPr>
          <w:color w:val="auto"/>
          <w:highlight w:val="none"/>
        </w:rPr>
      </w:pPr>
      <w:r>
        <w:rPr>
          <w:rFonts w:hint="eastAsia"/>
          <w:color w:val="auto"/>
          <w:sz w:val="24"/>
          <w:szCs w:val="32"/>
          <w:highlight w:val="none"/>
        </w:rPr>
        <w:t>标的内容：</w:t>
      </w:r>
      <w:r>
        <w:rPr>
          <w:rFonts w:hint="eastAsia" w:ascii="宋体" w:hAnsi="宋体"/>
          <w:color w:val="auto"/>
          <w:sz w:val="24"/>
          <w:highlight w:val="none"/>
        </w:rPr>
        <w:t>对峰山口输水闸闸室边墙、下游护坡、底板等进行混凝土缺陷处理，对西台上节制闸闸墩、翼墙及启闭机平台等混凝土缺陷进行处理，对怀柔水库进水闸闸室等房屋进行修缮，确保水工建筑物及附属设施正常运行。</w:t>
      </w:r>
    </w:p>
    <w:p w14:paraId="4C014A63">
      <w:pPr>
        <w:pStyle w:val="5"/>
        <w:spacing w:line="240" w:lineRule="auto"/>
        <w:rPr>
          <w:color w:val="auto"/>
          <w:highlight w:val="none"/>
        </w:rPr>
      </w:pPr>
      <w:r>
        <w:rPr>
          <w:rFonts w:hint="eastAsia"/>
          <w:color w:val="auto"/>
          <w:highlight w:val="none"/>
        </w:rPr>
        <w:t>（二）标的预算</w:t>
      </w:r>
    </w:p>
    <w:p w14:paraId="723ED38E">
      <w:pPr>
        <w:pStyle w:val="2"/>
        <w:spacing w:line="360" w:lineRule="auto"/>
        <w:ind w:firstLine="480"/>
        <w:rPr>
          <w:rFonts w:hint="eastAsia"/>
          <w:color w:val="auto"/>
          <w:sz w:val="24"/>
          <w:szCs w:val="32"/>
          <w:highlight w:val="none"/>
        </w:rPr>
      </w:pPr>
      <w:r>
        <w:rPr>
          <w:rFonts w:hint="eastAsia"/>
          <w:color w:val="auto"/>
          <w:sz w:val="24"/>
          <w:szCs w:val="32"/>
          <w:highlight w:val="none"/>
        </w:rPr>
        <w:t>项目预算金额：</w:t>
      </w:r>
      <w:r>
        <w:rPr>
          <w:rFonts w:hint="eastAsia" w:ascii="宋体" w:hAnsi="宋体" w:eastAsia="宋体" w:cs="宋体"/>
          <w:color w:val="auto"/>
          <w:sz w:val="24"/>
          <w:szCs w:val="32"/>
          <w:highlight w:val="none"/>
        </w:rPr>
        <w:t>319.670407万元</w:t>
      </w:r>
    </w:p>
    <w:p w14:paraId="7EDD8C8D">
      <w:pPr>
        <w:pStyle w:val="2"/>
        <w:spacing w:line="360" w:lineRule="auto"/>
        <w:ind w:firstLine="480"/>
        <w:rPr>
          <w:rFonts w:hint="eastAsia"/>
          <w:color w:val="auto"/>
          <w:sz w:val="24"/>
          <w:szCs w:val="32"/>
          <w:highlight w:val="none"/>
        </w:rPr>
      </w:pPr>
      <w:r>
        <w:rPr>
          <w:rFonts w:hint="eastAsia"/>
          <w:color w:val="auto"/>
          <w:sz w:val="24"/>
          <w:szCs w:val="32"/>
          <w:highlight w:val="none"/>
        </w:rPr>
        <w:t xml:space="preserve">    </w:t>
      </w:r>
    </w:p>
    <w:p w14:paraId="23E30CC3">
      <w:pPr>
        <w:spacing w:line="360" w:lineRule="auto"/>
        <w:rPr>
          <w:color w:val="auto"/>
          <w:sz w:val="24"/>
          <w:szCs w:val="32"/>
          <w:highlight w:val="none"/>
        </w:rPr>
      </w:pPr>
    </w:p>
    <w:p w14:paraId="026EDF3B">
      <w:pPr>
        <w:pStyle w:val="5"/>
        <w:spacing w:line="240" w:lineRule="auto"/>
        <w:rPr>
          <w:color w:val="auto"/>
          <w:highlight w:val="none"/>
        </w:rPr>
      </w:pPr>
      <w:r>
        <w:rPr>
          <w:rFonts w:hint="eastAsia"/>
          <w:color w:val="auto"/>
          <w:highlight w:val="none"/>
        </w:rPr>
        <w:t>（三）采购标的所属行业</w:t>
      </w:r>
    </w:p>
    <w:p w14:paraId="4F005AF2">
      <w:pPr>
        <w:numPr>
          <w:ilvl w:val="255"/>
          <w:numId w:val="0"/>
        </w:numPr>
        <w:spacing w:line="360" w:lineRule="auto"/>
        <w:ind w:firstLine="480" w:firstLineChars="200"/>
        <w:rPr>
          <w:rFonts w:hint="eastAsia" w:ascii="宋体" w:hAnsi="宋体" w:cs="宋体"/>
          <w:b/>
          <w:bCs/>
          <w:color w:val="auto"/>
          <w:sz w:val="28"/>
          <w:szCs w:val="28"/>
          <w:highlight w:val="none"/>
        </w:rPr>
      </w:pPr>
      <w:r>
        <w:rPr>
          <w:rFonts w:hint="eastAsia" w:ascii="宋体" w:hAnsi="宋体" w:cs="宋体"/>
          <w:color w:val="auto"/>
          <w:sz w:val="24"/>
          <w:highlight w:val="none"/>
        </w:rPr>
        <w:t>采购标的对应的中小企业划分标准所属行业：建筑业。</w:t>
      </w:r>
    </w:p>
    <w:p w14:paraId="6D72C350">
      <w:pPr>
        <w:pStyle w:val="4"/>
        <w:jc w:val="left"/>
        <w:rPr>
          <w:rFonts w:hint="eastAsia" w:ascii="宋体" w:hAnsi="宋体" w:eastAsia="宋体" w:cs="宋体"/>
          <w:color w:val="auto"/>
          <w:highlight w:val="none"/>
        </w:rPr>
      </w:pPr>
      <w:r>
        <w:rPr>
          <w:rFonts w:hint="eastAsia" w:ascii="宋体" w:hAnsi="宋体" w:eastAsia="宋体" w:cs="宋体"/>
          <w:color w:val="auto"/>
          <w:highlight w:val="none"/>
        </w:rPr>
        <w:t>三、落实政府采购政策需满足的要求</w:t>
      </w:r>
    </w:p>
    <w:p w14:paraId="066DE569">
      <w:pPr>
        <w:numPr>
          <w:ilvl w:val="255"/>
          <w:numId w:val="0"/>
        </w:num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★（一）本项目专门面向中小企业采购，本项目采购标的对应的中小企业划分标准所属行业为“建筑业”；</w:t>
      </w:r>
    </w:p>
    <w:p w14:paraId="3FBD78FC">
      <w:pPr>
        <w:numPr>
          <w:ilvl w:val="255"/>
          <w:numId w:val="0"/>
        </w:num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（二）根据《财政部民政部中国残疾人联合会关于促进残疾人就业政府采购政策的通知》（财库〔2017〕141号），残疾人福利性单位视同小微企业；</w:t>
      </w:r>
    </w:p>
    <w:p w14:paraId="1DCBA37E">
      <w:pPr>
        <w:numPr>
          <w:ilvl w:val="255"/>
          <w:numId w:val="0"/>
        </w:num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（三）根据《关于政府采购支持监狱企业发展有关问题的通知》（财库〔2014〕68号），监狱企业视同小微企业；</w:t>
      </w:r>
    </w:p>
    <w:p w14:paraId="47D11367">
      <w:pPr>
        <w:numPr>
          <w:ilvl w:val="255"/>
          <w:numId w:val="0"/>
        </w:numPr>
        <w:spacing w:line="360" w:lineRule="auto"/>
        <w:ind w:firstLine="480" w:firstLineChars="200"/>
        <w:rPr>
          <w:rFonts w:hint="eastAsia" w:ascii="宋体" w:hAnsi="宋体" w:cs="宋体"/>
          <w:b/>
          <w:bCs/>
          <w:color w:val="auto"/>
          <w:sz w:val="24"/>
          <w:highlight w:val="none"/>
        </w:rPr>
      </w:pPr>
      <w:bookmarkStart w:id="563" w:name="_Hlk92276208"/>
      <w:r>
        <w:rPr>
          <w:rFonts w:hint="eastAsia" w:ascii="宋体" w:hAnsi="宋体" w:cs="宋体"/>
          <w:color w:val="auto"/>
          <w:sz w:val="24"/>
          <w:highlight w:val="none"/>
        </w:rPr>
        <w:t>★</w:t>
      </w:r>
      <w:bookmarkEnd w:id="563"/>
      <w:r>
        <w:rPr>
          <w:rFonts w:hint="eastAsia" w:ascii="宋体" w:hAnsi="宋体" w:cs="宋体"/>
          <w:color w:val="auto"/>
          <w:sz w:val="24"/>
          <w:highlight w:val="none"/>
        </w:rPr>
        <w:t>（四）本项目不允许进口产品。</w:t>
      </w:r>
    </w:p>
    <w:p w14:paraId="34D28BC1">
      <w:pPr>
        <w:pStyle w:val="4"/>
        <w:jc w:val="left"/>
        <w:rPr>
          <w:rFonts w:hint="eastAsia" w:ascii="宋体" w:hAnsi="宋体" w:eastAsia="宋体" w:cs="宋体"/>
          <w:color w:val="auto"/>
          <w:highlight w:val="none"/>
        </w:rPr>
      </w:pPr>
      <w:r>
        <w:rPr>
          <w:rFonts w:hint="eastAsia" w:ascii="宋体" w:hAnsi="宋体" w:eastAsia="宋体" w:cs="宋体"/>
          <w:color w:val="auto"/>
          <w:highlight w:val="none"/>
        </w:rPr>
        <w:t>四、工程任务和规模</w:t>
      </w:r>
      <w:bookmarkEnd w:id="558"/>
      <w:bookmarkEnd w:id="559"/>
      <w:bookmarkEnd w:id="560"/>
      <w:bookmarkEnd w:id="561"/>
    </w:p>
    <w:p w14:paraId="2778C975">
      <w:pPr>
        <w:pStyle w:val="5"/>
        <w:spacing w:line="240" w:lineRule="auto"/>
        <w:rPr>
          <w:color w:val="auto"/>
          <w:highlight w:val="none"/>
        </w:rPr>
      </w:pPr>
      <w:bookmarkStart w:id="564" w:name="_Toc26626_WPSOffice_Level3"/>
      <w:bookmarkStart w:id="565" w:name="_Toc8964"/>
      <w:bookmarkStart w:id="566" w:name="_Toc30725"/>
      <w:bookmarkStart w:id="567" w:name="_Toc16994_WPSOffice_Level3"/>
      <w:r>
        <w:rPr>
          <w:rFonts w:hint="eastAsia"/>
          <w:color w:val="auto"/>
          <w:highlight w:val="none"/>
        </w:rPr>
        <w:t>（一）工程设计标准</w:t>
      </w:r>
      <w:bookmarkEnd w:id="564"/>
      <w:bookmarkEnd w:id="565"/>
      <w:bookmarkEnd w:id="566"/>
      <w:bookmarkEnd w:id="567"/>
    </w:p>
    <w:p w14:paraId="151C4B50">
      <w:pPr>
        <w:spacing w:line="360" w:lineRule="auto"/>
        <w:ind w:firstLine="484" w:firstLineChars="202"/>
        <w:rPr>
          <w:rFonts w:hint="eastAsia" w:ascii="宋体" w:hAnsi="宋体" w:cs="宋体"/>
          <w:color w:val="auto"/>
          <w:sz w:val="24"/>
          <w:highlight w:val="none"/>
        </w:rPr>
      </w:pPr>
      <w:r>
        <w:rPr>
          <w:rFonts w:hint="eastAsia" w:ascii="宋体" w:hAnsi="宋体" w:cs="宋体"/>
          <w:color w:val="auto"/>
          <w:sz w:val="24"/>
          <w:highlight w:val="none"/>
        </w:rPr>
        <w:t>京密引水渠原工程为Ⅰ等工程，主要建筑物为1级，次要建筑物为3级；怀柔水库原工程为Ⅱ等工程，主要建筑物为2级，次要建筑物为3级。本工程为维修养护项目，设计标准维持原工程设施设计标准。</w:t>
      </w:r>
    </w:p>
    <w:p w14:paraId="6CC04EB2">
      <w:pPr>
        <w:pStyle w:val="5"/>
        <w:spacing w:line="240" w:lineRule="auto"/>
        <w:rPr>
          <w:color w:val="auto"/>
          <w:highlight w:val="none"/>
        </w:rPr>
      </w:pPr>
      <w:bookmarkStart w:id="568" w:name="_Toc15601"/>
      <w:bookmarkStart w:id="569" w:name="_Toc16636_WPSOffice_Level3"/>
      <w:bookmarkStart w:id="570" w:name="_Toc32628_WPSOffice_Level3"/>
      <w:bookmarkStart w:id="571" w:name="_Toc2554"/>
      <w:bookmarkStart w:id="572" w:name="_Toc16578_WPSOffice_Level3"/>
      <w:bookmarkStart w:id="573" w:name="_Toc11906"/>
      <w:bookmarkStart w:id="574" w:name="_Toc9690_WPSOffice_Level3"/>
      <w:r>
        <w:rPr>
          <w:rFonts w:hint="eastAsia"/>
          <w:color w:val="auto"/>
          <w:highlight w:val="none"/>
        </w:rPr>
        <w:t>（二）工程任务</w:t>
      </w:r>
      <w:bookmarkEnd w:id="568"/>
      <w:bookmarkEnd w:id="569"/>
      <w:bookmarkEnd w:id="570"/>
      <w:r>
        <w:rPr>
          <w:rFonts w:hint="eastAsia"/>
          <w:color w:val="auto"/>
          <w:highlight w:val="none"/>
        </w:rPr>
        <w:t>及建设范围</w:t>
      </w:r>
      <w:bookmarkEnd w:id="571"/>
    </w:p>
    <w:p w14:paraId="47EBBF56">
      <w:pPr>
        <w:spacing w:line="360" w:lineRule="auto"/>
        <w:ind w:firstLine="484" w:firstLineChars="202"/>
        <w:rPr>
          <w:rFonts w:hint="eastAsia" w:ascii="宋体" w:hAnsi="宋体" w:cs="宋体"/>
          <w:color w:val="auto"/>
          <w:sz w:val="24"/>
          <w:szCs w:val="32"/>
          <w:highlight w:val="none"/>
        </w:rPr>
      </w:pPr>
      <w:bookmarkStart w:id="575" w:name="_Toc30685"/>
      <w:r>
        <w:rPr>
          <w:rFonts w:hint="eastAsia" w:ascii="宋体" w:hAnsi="宋体" w:cs="宋体"/>
          <w:color w:val="auto"/>
          <w:sz w:val="24"/>
          <w:szCs w:val="32"/>
          <w:highlight w:val="none"/>
        </w:rPr>
        <w:t>通过对水利工程进行养护和维修，维持、恢复或局部改善原有工程面貌，保持工程的设计功能。</w:t>
      </w:r>
      <w:bookmarkEnd w:id="575"/>
    </w:p>
    <w:p w14:paraId="762AE137">
      <w:pPr>
        <w:spacing w:line="360" w:lineRule="auto"/>
        <w:ind w:firstLine="484" w:firstLineChars="202"/>
        <w:rPr>
          <w:rFonts w:hint="eastAsia" w:ascii="宋体" w:hAnsi="宋体" w:cs="宋体"/>
          <w:color w:val="auto"/>
          <w:sz w:val="28"/>
          <w:szCs w:val="36"/>
          <w:highlight w:val="none"/>
        </w:rPr>
      </w:pPr>
      <w:r>
        <w:rPr>
          <w:rFonts w:hint="eastAsia" w:ascii="宋体" w:hAnsi="宋体" w:cs="宋体"/>
          <w:color w:val="auto"/>
          <w:sz w:val="24"/>
          <w:szCs w:val="32"/>
          <w:highlight w:val="none"/>
        </w:rPr>
        <w:t>本工程位置位于怀柔、顺义2个区。本工程建设范围为京密引水渠、怀柔水库水工建筑物及附属设施维修养护。</w:t>
      </w:r>
    </w:p>
    <w:p w14:paraId="6D700E32">
      <w:pPr>
        <w:pStyle w:val="5"/>
        <w:spacing w:line="240" w:lineRule="auto"/>
        <w:rPr>
          <w:color w:val="auto"/>
          <w:highlight w:val="none"/>
        </w:rPr>
      </w:pPr>
      <w:bookmarkStart w:id="576" w:name="_Toc18994"/>
      <w:r>
        <w:rPr>
          <w:rFonts w:hint="eastAsia"/>
          <w:color w:val="auto"/>
          <w:highlight w:val="none"/>
        </w:rPr>
        <w:t>（三）工程</w:t>
      </w:r>
      <w:bookmarkEnd w:id="572"/>
      <w:bookmarkEnd w:id="573"/>
      <w:bookmarkEnd w:id="574"/>
      <w:r>
        <w:rPr>
          <w:rFonts w:hint="eastAsia"/>
          <w:color w:val="auto"/>
          <w:highlight w:val="none"/>
        </w:rPr>
        <w:t>内容、规模</w:t>
      </w:r>
      <w:bookmarkEnd w:id="576"/>
    </w:p>
    <w:p w14:paraId="79EF5AEF">
      <w:pPr>
        <w:spacing w:line="360" w:lineRule="auto"/>
        <w:ind w:firstLine="484" w:firstLineChars="202"/>
        <w:rPr>
          <w:color w:val="auto"/>
          <w:sz w:val="20"/>
          <w:szCs w:val="22"/>
          <w:highlight w:val="none"/>
        </w:rPr>
      </w:pPr>
      <w:bookmarkStart w:id="577" w:name="_Toc28016"/>
      <w:r>
        <w:rPr>
          <w:color w:val="auto"/>
          <w:sz w:val="24"/>
          <w:szCs w:val="32"/>
          <w:highlight w:val="none"/>
        </w:rPr>
        <w:t>工程内容包括京密引水渠、怀柔水库水工建筑物及附属设施进行维修养护，详</w:t>
      </w:r>
      <w:r>
        <w:rPr>
          <w:color w:val="auto"/>
          <w:sz w:val="24"/>
          <w:szCs w:val="28"/>
          <w:highlight w:val="none"/>
        </w:rPr>
        <w:t>见下表：</w:t>
      </w:r>
      <w:bookmarkEnd w:id="577"/>
    </w:p>
    <w:p w14:paraId="530C81EC">
      <w:pPr>
        <w:spacing w:line="360" w:lineRule="auto"/>
        <w:ind w:firstLine="665" w:firstLineChars="301"/>
        <w:jc w:val="center"/>
        <w:rPr>
          <w:b/>
          <w:bCs/>
          <w:color w:val="auto"/>
          <w:sz w:val="22"/>
          <w:highlight w:val="none"/>
        </w:rPr>
      </w:pPr>
      <w:r>
        <w:rPr>
          <w:b/>
          <w:bCs/>
          <w:color w:val="auto"/>
          <w:sz w:val="22"/>
          <w:szCs w:val="22"/>
          <w:highlight w:val="none"/>
        </w:rPr>
        <w:t>表</w:t>
      </w:r>
      <w:r>
        <w:rPr>
          <w:rFonts w:hint="eastAsia"/>
          <w:b/>
          <w:bCs/>
          <w:color w:val="auto"/>
          <w:sz w:val="22"/>
          <w:szCs w:val="22"/>
          <w:highlight w:val="none"/>
        </w:rPr>
        <w:t>1</w:t>
      </w:r>
      <w:r>
        <w:rPr>
          <w:b/>
          <w:bCs/>
          <w:color w:val="auto"/>
          <w:sz w:val="22"/>
          <w:szCs w:val="22"/>
          <w:highlight w:val="none"/>
        </w:rPr>
        <w:t xml:space="preserve">    工程内容表</w:t>
      </w:r>
    </w:p>
    <w:tbl>
      <w:tblPr>
        <w:tblStyle w:val="16"/>
        <w:tblW w:w="8519" w:type="dxa"/>
        <w:tblInd w:w="0" w:type="dxa"/>
        <w:tblLayout w:type="fixed"/>
        <w:tblCellMar>
          <w:top w:w="0" w:type="dxa"/>
          <w:left w:w="108" w:type="dxa"/>
          <w:bottom w:w="0" w:type="dxa"/>
          <w:right w:w="108" w:type="dxa"/>
        </w:tblCellMar>
      </w:tblPr>
      <w:tblGrid>
        <w:gridCol w:w="1469"/>
        <w:gridCol w:w="1237"/>
        <w:gridCol w:w="5813"/>
      </w:tblGrid>
      <w:tr w14:paraId="2A5DB469">
        <w:tblPrEx>
          <w:tblCellMar>
            <w:top w:w="0" w:type="dxa"/>
            <w:left w:w="108" w:type="dxa"/>
            <w:bottom w:w="0" w:type="dxa"/>
            <w:right w:w="108" w:type="dxa"/>
          </w:tblCellMar>
        </w:tblPrEx>
        <w:trPr>
          <w:trHeight w:val="340" w:hRule="atLeast"/>
          <w:tblHeader/>
        </w:trPr>
        <w:tc>
          <w:tcPr>
            <w:tcW w:w="1469" w:type="dxa"/>
            <w:tcBorders>
              <w:top w:val="single" w:color="000000" w:sz="4" w:space="0"/>
              <w:left w:val="single" w:color="000000" w:sz="4" w:space="0"/>
              <w:bottom w:val="single" w:color="000000" w:sz="4" w:space="0"/>
              <w:right w:val="single" w:color="000000" w:sz="4" w:space="0"/>
            </w:tcBorders>
            <w:vAlign w:val="center"/>
          </w:tcPr>
          <w:p w14:paraId="12F721ED">
            <w:pPr>
              <w:widowControl/>
              <w:spacing w:line="360" w:lineRule="auto"/>
              <w:jc w:val="center"/>
              <w:rPr>
                <w:b/>
                <w:bCs/>
                <w:color w:val="auto"/>
                <w:kern w:val="0"/>
                <w:sz w:val="22"/>
                <w:szCs w:val="22"/>
                <w:highlight w:val="none"/>
              </w:rPr>
            </w:pPr>
            <w:r>
              <w:rPr>
                <w:b/>
                <w:bCs/>
                <w:color w:val="auto"/>
                <w:kern w:val="0"/>
                <w:sz w:val="22"/>
                <w:szCs w:val="22"/>
                <w:highlight w:val="none"/>
              </w:rPr>
              <w:t>管理所</w:t>
            </w:r>
          </w:p>
        </w:tc>
        <w:tc>
          <w:tcPr>
            <w:tcW w:w="1237" w:type="dxa"/>
            <w:tcBorders>
              <w:top w:val="single" w:color="000000" w:sz="4" w:space="0"/>
              <w:left w:val="single" w:color="000000" w:sz="4" w:space="0"/>
              <w:bottom w:val="single" w:color="000000" w:sz="4" w:space="0"/>
              <w:right w:val="single" w:color="000000" w:sz="4" w:space="0"/>
            </w:tcBorders>
            <w:vAlign w:val="center"/>
          </w:tcPr>
          <w:p w14:paraId="46537A4B">
            <w:pPr>
              <w:widowControl/>
              <w:spacing w:line="360" w:lineRule="auto"/>
              <w:jc w:val="center"/>
              <w:rPr>
                <w:b/>
                <w:bCs/>
                <w:color w:val="auto"/>
                <w:kern w:val="0"/>
                <w:sz w:val="22"/>
                <w:szCs w:val="22"/>
                <w:highlight w:val="none"/>
              </w:rPr>
            </w:pPr>
            <w:r>
              <w:rPr>
                <w:b/>
                <w:bCs/>
                <w:color w:val="auto"/>
                <w:kern w:val="0"/>
                <w:sz w:val="22"/>
                <w:szCs w:val="22"/>
                <w:highlight w:val="none"/>
              </w:rPr>
              <w:t>序号</w:t>
            </w:r>
          </w:p>
        </w:tc>
        <w:tc>
          <w:tcPr>
            <w:tcW w:w="5813" w:type="dxa"/>
            <w:tcBorders>
              <w:top w:val="single" w:color="000000" w:sz="4" w:space="0"/>
              <w:left w:val="single" w:color="000000" w:sz="4" w:space="0"/>
              <w:bottom w:val="single" w:color="000000" w:sz="4" w:space="0"/>
              <w:right w:val="single" w:color="000000" w:sz="4" w:space="0"/>
            </w:tcBorders>
            <w:vAlign w:val="center"/>
          </w:tcPr>
          <w:p w14:paraId="1859D347">
            <w:pPr>
              <w:widowControl/>
              <w:spacing w:line="360" w:lineRule="auto"/>
              <w:jc w:val="center"/>
              <w:rPr>
                <w:b/>
                <w:bCs/>
                <w:color w:val="auto"/>
                <w:kern w:val="0"/>
                <w:sz w:val="22"/>
                <w:szCs w:val="22"/>
                <w:highlight w:val="none"/>
              </w:rPr>
            </w:pPr>
            <w:r>
              <w:rPr>
                <w:b/>
                <w:bCs/>
                <w:color w:val="auto"/>
                <w:kern w:val="0"/>
                <w:sz w:val="22"/>
                <w:szCs w:val="22"/>
                <w:highlight w:val="none"/>
              </w:rPr>
              <w:t>项目名称</w:t>
            </w:r>
          </w:p>
        </w:tc>
      </w:tr>
      <w:tr w14:paraId="5EC508CC">
        <w:tblPrEx>
          <w:tblCellMar>
            <w:top w:w="0" w:type="dxa"/>
            <w:left w:w="108" w:type="dxa"/>
            <w:bottom w:w="0" w:type="dxa"/>
            <w:right w:w="108" w:type="dxa"/>
          </w:tblCellMar>
        </w:tblPrEx>
        <w:trPr>
          <w:trHeight w:val="373" w:hRule="atLeast"/>
        </w:trPr>
        <w:tc>
          <w:tcPr>
            <w:tcW w:w="1469" w:type="dxa"/>
            <w:vMerge w:val="restart"/>
            <w:tcBorders>
              <w:top w:val="single" w:color="000000" w:sz="4" w:space="0"/>
              <w:left w:val="single" w:color="000000" w:sz="4" w:space="0"/>
              <w:right w:val="single" w:color="000000" w:sz="4" w:space="0"/>
            </w:tcBorders>
            <w:vAlign w:val="center"/>
          </w:tcPr>
          <w:p w14:paraId="6385A5D0">
            <w:pPr>
              <w:spacing w:line="360" w:lineRule="auto"/>
              <w:jc w:val="center"/>
              <w:rPr>
                <w:color w:val="auto"/>
                <w:kern w:val="0"/>
                <w:sz w:val="22"/>
                <w:szCs w:val="22"/>
                <w:highlight w:val="none"/>
              </w:rPr>
            </w:pPr>
            <w:r>
              <w:rPr>
                <w:color w:val="auto"/>
                <w:kern w:val="0"/>
                <w:sz w:val="22"/>
                <w:szCs w:val="22"/>
                <w:highlight w:val="none"/>
              </w:rPr>
              <w:t>怀柔水库管理所</w:t>
            </w:r>
          </w:p>
        </w:tc>
        <w:tc>
          <w:tcPr>
            <w:tcW w:w="1237" w:type="dxa"/>
            <w:tcBorders>
              <w:top w:val="single" w:color="000000" w:sz="4" w:space="0"/>
              <w:left w:val="single" w:color="000000" w:sz="4" w:space="0"/>
              <w:bottom w:val="single" w:color="000000" w:sz="4" w:space="0"/>
              <w:right w:val="single" w:color="000000" w:sz="4" w:space="0"/>
            </w:tcBorders>
            <w:vAlign w:val="center"/>
          </w:tcPr>
          <w:p w14:paraId="0842DEBB">
            <w:pPr>
              <w:spacing w:line="360" w:lineRule="auto"/>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1</w:t>
            </w:r>
          </w:p>
        </w:tc>
        <w:tc>
          <w:tcPr>
            <w:tcW w:w="5813" w:type="dxa"/>
            <w:tcBorders>
              <w:top w:val="single" w:color="000000" w:sz="4" w:space="0"/>
              <w:left w:val="single" w:color="000000" w:sz="4" w:space="0"/>
              <w:bottom w:val="single" w:color="000000" w:sz="4" w:space="0"/>
              <w:right w:val="single" w:color="000000" w:sz="4" w:space="0"/>
            </w:tcBorders>
            <w:vAlign w:val="center"/>
          </w:tcPr>
          <w:p w14:paraId="4740B83B">
            <w:pPr>
              <w:spacing w:line="360" w:lineRule="auto"/>
              <w:jc w:val="left"/>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峰山口输水闸下游渠道混凝土缺陷处理工程</w:t>
            </w:r>
          </w:p>
        </w:tc>
      </w:tr>
      <w:tr w14:paraId="18A0435C">
        <w:tblPrEx>
          <w:tblCellMar>
            <w:top w:w="0" w:type="dxa"/>
            <w:left w:w="108" w:type="dxa"/>
            <w:bottom w:w="0" w:type="dxa"/>
            <w:right w:w="108" w:type="dxa"/>
          </w:tblCellMar>
        </w:tblPrEx>
        <w:trPr>
          <w:trHeight w:val="394" w:hRule="atLeast"/>
        </w:trPr>
        <w:tc>
          <w:tcPr>
            <w:tcW w:w="1469" w:type="dxa"/>
            <w:vMerge w:val="continue"/>
            <w:tcBorders>
              <w:left w:val="single" w:color="000000" w:sz="4" w:space="0"/>
              <w:right w:val="single" w:color="000000" w:sz="4" w:space="0"/>
            </w:tcBorders>
            <w:vAlign w:val="center"/>
          </w:tcPr>
          <w:p w14:paraId="76B51E8D">
            <w:pPr>
              <w:spacing w:line="360" w:lineRule="auto"/>
              <w:jc w:val="center"/>
              <w:rPr>
                <w:color w:val="auto"/>
                <w:kern w:val="0"/>
                <w:sz w:val="22"/>
                <w:szCs w:val="22"/>
                <w:highlight w:val="none"/>
              </w:rPr>
            </w:pPr>
          </w:p>
        </w:tc>
        <w:tc>
          <w:tcPr>
            <w:tcW w:w="1237" w:type="dxa"/>
            <w:tcBorders>
              <w:top w:val="single" w:color="000000" w:sz="4" w:space="0"/>
              <w:left w:val="single" w:color="000000" w:sz="4" w:space="0"/>
              <w:bottom w:val="single" w:color="000000" w:sz="4" w:space="0"/>
              <w:right w:val="single" w:color="000000" w:sz="4" w:space="0"/>
            </w:tcBorders>
            <w:vAlign w:val="center"/>
          </w:tcPr>
          <w:p w14:paraId="3D8F68DF">
            <w:pPr>
              <w:spacing w:line="360" w:lineRule="auto"/>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2</w:t>
            </w:r>
          </w:p>
        </w:tc>
        <w:tc>
          <w:tcPr>
            <w:tcW w:w="5813" w:type="dxa"/>
            <w:tcBorders>
              <w:top w:val="single" w:color="000000" w:sz="4" w:space="0"/>
              <w:left w:val="single" w:color="000000" w:sz="4" w:space="0"/>
              <w:bottom w:val="single" w:color="000000" w:sz="4" w:space="0"/>
              <w:right w:val="single" w:color="000000" w:sz="4" w:space="0"/>
            </w:tcBorders>
            <w:vAlign w:val="center"/>
          </w:tcPr>
          <w:p w14:paraId="15C53210">
            <w:pPr>
              <w:spacing w:line="360" w:lineRule="auto"/>
              <w:jc w:val="left"/>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怀柔水库闸站房屋修缮工程</w:t>
            </w:r>
          </w:p>
        </w:tc>
      </w:tr>
      <w:tr w14:paraId="2EBD040B">
        <w:tblPrEx>
          <w:tblCellMar>
            <w:top w:w="0" w:type="dxa"/>
            <w:left w:w="108" w:type="dxa"/>
            <w:bottom w:w="0" w:type="dxa"/>
            <w:right w:w="108" w:type="dxa"/>
          </w:tblCellMar>
        </w:tblPrEx>
        <w:trPr>
          <w:trHeight w:val="340" w:hRule="atLeast"/>
        </w:trPr>
        <w:tc>
          <w:tcPr>
            <w:tcW w:w="1469" w:type="dxa"/>
            <w:tcBorders>
              <w:top w:val="single" w:color="000000" w:sz="4" w:space="0"/>
              <w:left w:val="single" w:color="000000" w:sz="4" w:space="0"/>
              <w:bottom w:val="single" w:color="000000" w:sz="4" w:space="0"/>
              <w:right w:val="single" w:color="000000" w:sz="4" w:space="0"/>
            </w:tcBorders>
            <w:vAlign w:val="center"/>
          </w:tcPr>
          <w:p w14:paraId="366CB325">
            <w:pPr>
              <w:spacing w:line="360" w:lineRule="auto"/>
              <w:jc w:val="center"/>
              <w:rPr>
                <w:color w:val="auto"/>
                <w:kern w:val="0"/>
                <w:sz w:val="22"/>
                <w:szCs w:val="22"/>
                <w:highlight w:val="none"/>
              </w:rPr>
            </w:pPr>
            <w:r>
              <w:rPr>
                <w:color w:val="auto"/>
                <w:kern w:val="0"/>
                <w:sz w:val="22"/>
                <w:szCs w:val="22"/>
                <w:highlight w:val="none"/>
              </w:rPr>
              <w:t>李家史山管理所</w:t>
            </w:r>
          </w:p>
        </w:tc>
        <w:tc>
          <w:tcPr>
            <w:tcW w:w="1237" w:type="dxa"/>
            <w:tcBorders>
              <w:top w:val="single" w:color="000000" w:sz="4" w:space="0"/>
              <w:left w:val="single" w:color="000000" w:sz="4" w:space="0"/>
              <w:bottom w:val="single" w:color="000000" w:sz="4" w:space="0"/>
              <w:right w:val="single" w:color="000000" w:sz="4" w:space="0"/>
            </w:tcBorders>
            <w:vAlign w:val="center"/>
          </w:tcPr>
          <w:p w14:paraId="54C869F3">
            <w:pPr>
              <w:spacing w:line="360" w:lineRule="auto"/>
              <w:jc w:val="center"/>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1</w:t>
            </w:r>
          </w:p>
        </w:tc>
        <w:tc>
          <w:tcPr>
            <w:tcW w:w="5813" w:type="dxa"/>
            <w:tcBorders>
              <w:top w:val="single" w:color="000000" w:sz="4" w:space="0"/>
              <w:left w:val="single" w:color="000000" w:sz="4" w:space="0"/>
              <w:bottom w:val="single" w:color="000000" w:sz="4" w:space="0"/>
              <w:right w:val="single" w:color="000000" w:sz="4" w:space="0"/>
            </w:tcBorders>
            <w:vAlign w:val="center"/>
          </w:tcPr>
          <w:p w14:paraId="00B5B11E">
            <w:pPr>
              <w:spacing w:line="360" w:lineRule="auto"/>
              <w:jc w:val="left"/>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西台上节制闸混凝土缺陷处理工程</w:t>
            </w:r>
          </w:p>
        </w:tc>
      </w:tr>
    </w:tbl>
    <w:p w14:paraId="68E0F245">
      <w:pPr>
        <w:pStyle w:val="5"/>
        <w:numPr>
          <w:ilvl w:val="0"/>
          <w:numId w:val="0"/>
        </w:numPr>
        <w:kinsoku/>
        <w:wordWrap/>
        <w:overflowPunct/>
        <w:topLinePunct w:val="0"/>
        <w:bidi w:val="0"/>
        <w:rPr>
          <w:rFonts w:hint="eastAsia" w:ascii="宋体" w:hAnsi="宋体" w:eastAsia="宋体" w:cs="宋体"/>
          <w:lang w:val="en-US" w:eastAsia="zh-CN"/>
        </w:rPr>
      </w:pPr>
      <w:bookmarkStart w:id="578" w:name="_Toc310558610_WPSOffice_Level2"/>
      <w:r>
        <w:rPr>
          <w:rFonts w:hint="eastAsia" w:ascii="宋体" w:hAnsi="宋体" w:eastAsia="宋体" w:cs="宋体"/>
          <w:b/>
          <w:bCs/>
          <w:kern w:val="2"/>
          <w:sz w:val="32"/>
          <w:szCs w:val="32"/>
          <w:lang w:val="en-US" w:eastAsia="zh-CN" w:bidi="ar-SA"/>
        </w:rPr>
        <w:t>（四）</w:t>
      </w:r>
      <w:r>
        <w:rPr>
          <w:rFonts w:hint="eastAsia" w:ascii="宋体" w:hAnsi="宋体" w:eastAsia="宋体" w:cs="宋体"/>
          <w:lang w:val="en-US" w:eastAsia="zh-CN"/>
        </w:rPr>
        <w:t>工程设计</w:t>
      </w:r>
      <w:bookmarkStart w:id="579" w:name="_Toc4753"/>
      <w:bookmarkStart w:id="580" w:name="_Toc11659"/>
    </w:p>
    <w:p w14:paraId="4C7E6993">
      <w:pPr>
        <w:pStyle w:val="5"/>
        <w:numPr>
          <w:ilvl w:val="0"/>
          <w:numId w:val="0"/>
        </w:numPr>
        <w:kinsoku/>
        <w:wordWrap/>
        <w:overflowPunct/>
        <w:topLinePunct w:val="0"/>
        <w:bidi w:val="0"/>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怀柔水库管理所</w:t>
      </w:r>
      <w:bookmarkEnd w:id="579"/>
      <w:bookmarkEnd w:id="580"/>
    </w:p>
    <w:p w14:paraId="74E10B58">
      <w:pPr>
        <w:pStyle w:val="5"/>
        <w:kinsoku/>
        <w:wordWrap/>
        <w:overflowPunct/>
        <w:topLinePunct w:val="0"/>
        <w:bidi w:val="0"/>
        <w:ind w:left="0" w:leftChars="0" w:firstLine="649" w:firstLineChars="202"/>
        <w:rPr>
          <w:rFonts w:hint="eastAsia" w:ascii="宋体" w:hAnsi="宋体" w:eastAsia="宋体" w:cs="宋体"/>
          <w:b/>
          <w:bCs/>
          <w:color w:val="auto"/>
          <w:highlight w:val="none"/>
          <w:lang w:eastAsia="zh-CN"/>
        </w:rPr>
      </w:pPr>
      <w:bookmarkStart w:id="581" w:name="_Toc8039"/>
      <w:bookmarkStart w:id="582" w:name="_Toc1871"/>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一</w:t>
      </w:r>
      <w:r>
        <w:rPr>
          <w:rFonts w:hint="eastAsia" w:ascii="宋体" w:hAnsi="宋体" w:eastAsia="宋体" w:cs="宋体"/>
          <w:b/>
          <w:bCs/>
          <w:color w:val="auto"/>
          <w:highlight w:val="none"/>
        </w:rPr>
        <w:t>）</w:t>
      </w:r>
      <w:r>
        <w:rPr>
          <w:rFonts w:hint="eastAsia" w:ascii="宋体" w:hAnsi="宋体" w:eastAsia="宋体" w:cs="宋体"/>
          <w:b/>
          <w:bCs/>
          <w:color w:val="auto"/>
          <w:highlight w:val="none"/>
          <w:lang w:eastAsia="zh-CN"/>
        </w:rPr>
        <w:t>峰山口输水闸下游渠道混凝土缺陷处理工程</w:t>
      </w:r>
      <w:bookmarkEnd w:id="581"/>
      <w:bookmarkEnd w:id="582"/>
    </w:p>
    <w:p w14:paraId="75DA391F">
      <w:pPr>
        <w:kinsoku/>
        <w:wordWrap/>
        <w:overflowPunct/>
        <w:topLinePunct w:val="0"/>
        <w:bidi w:val="0"/>
        <w:spacing w:line="360" w:lineRule="auto"/>
        <w:ind w:left="0" w:leftChars="0"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1、工程概况及现状</w:t>
      </w:r>
    </w:p>
    <w:p w14:paraId="06B370D3">
      <w:pPr>
        <w:kinsoku/>
        <w:wordWrap/>
        <w:overflowPunct/>
        <w:topLinePunct w:val="0"/>
        <w:bidi w:val="0"/>
        <w:spacing w:line="360" w:lineRule="auto"/>
        <w:ind w:left="0" w:leftChars="0" w:firstLine="64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峰山口输水闸闸室及下游渠道砼</w:t>
      </w:r>
      <w:r>
        <w:rPr>
          <w:rFonts w:hint="eastAsia" w:ascii="宋体" w:hAnsi="宋体" w:eastAsia="宋体" w:cs="宋体"/>
          <w:color w:val="auto"/>
          <w:sz w:val="24"/>
          <w:szCs w:val="24"/>
        </w:rPr>
        <w:t>局部老化</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裂缝、</w:t>
      </w:r>
      <w:r>
        <w:rPr>
          <w:rFonts w:hint="eastAsia" w:ascii="宋体" w:hAnsi="宋体" w:eastAsia="宋体" w:cs="宋体"/>
          <w:color w:val="auto"/>
          <w:sz w:val="24"/>
          <w:szCs w:val="24"/>
        </w:rPr>
        <w:t>剥落</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存在安全隐患，影响</w:t>
      </w:r>
      <w:r>
        <w:rPr>
          <w:rFonts w:hint="eastAsia" w:ascii="宋体" w:hAnsi="宋体" w:eastAsia="宋体" w:cs="宋体"/>
          <w:color w:val="auto"/>
          <w:sz w:val="24"/>
          <w:szCs w:val="24"/>
          <w:lang w:val="en-US" w:eastAsia="zh-CN"/>
        </w:rPr>
        <w:t>输水闸及渠道的</w:t>
      </w:r>
      <w:r>
        <w:rPr>
          <w:rFonts w:hint="eastAsia" w:ascii="宋体" w:hAnsi="宋体" w:eastAsia="宋体" w:cs="宋体"/>
          <w:color w:val="auto"/>
          <w:sz w:val="24"/>
          <w:szCs w:val="24"/>
        </w:rPr>
        <w:t>正常运行。</w:t>
      </w:r>
    </w:p>
    <w:tbl>
      <w:tblPr>
        <w:tblStyle w:val="1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227"/>
        <w:gridCol w:w="4289"/>
      </w:tblGrid>
      <w:tr w14:paraId="152BC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4227" w:type="dxa"/>
            <w:noWrap w:val="0"/>
            <w:vAlign w:val="center"/>
          </w:tcPr>
          <w:p w14:paraId="361169DA">
            <w:pPr>
              <w:numPr>
                <w:ilvl w:val="0"/>
                <w:numId w:val="0"/>
              </w:numPr>
              <w:kinsoku/>
              <w:wordWrap/>
              <w:overflowPunct/>
              <w:topLinePunct w:val="0"/>
              <w:bidi w:val="0"/>
              <w:spacing w:line="360" w:lineRule="auto"/>
              <w:ind w:left="0" w:leftChars="0"/>
              <w:jc w:val="both"/>
              <w:rPr>
                <w:rFonts w:hint="eastAsia" w:ascii="宋体" w:hAnsi="宋体" w:eastAsia="宋体" w:cs="宋体"/>
                <w:color w:val="auto"/>
                <w:vertAlign w:val="baseline"/>
                <w:lang w:eastAsia="zh-CN"/>
              </w:rPr>
            </w:pPr>
            <w:r>
              <w:rPr>
                <w:rFonts w:hint="eastAsia" w:ascii="宋体" w:hAnsi="宋体" w:eastAsia="宋体" w:cs="宋体"/>
                <w:b/>
                <w:szCs w:val="21"/>
              </w:rPr>
              <w:drawing>
                <wp:inline distT="0" distB="0" distL="114300" distR="114300">
                  <wp:extent cx="2777490" cy="2084070"/>
                  <wp:effectExtent l="0" t="0" r="3810" b="11430"/>
                  <wp:docPr id="6" name="图片 1" descr="IMG_20220717_11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0220717_111658"/>
                          <pic:cNvPicPr>
                            <a:picLocks noChangeAspect="1"/>
                          </pic:cNvPicPr>
                        </pic:nvPicPr>
                        <pic:blipFill>
                          <a:blip r:embed="rId13"/>
                          <a:stretch>
                            <a:fillRect/>
                          </a:stretch>
                        </pic:blipFill>
                        <pic:spPr>
                          <a:xfrm>
                            <a:off x="0" y="0"/>
                            <a:ext cx="2777490" cy="2084070"/>
                          </a:xfrm>
                          <a:prstGeom prst="rect">
                            <a:avLst/>
                          </a:prstGeom>
                          <a:noFill/>
                          <a:ln>
                            <a:noFill/>
                          </a:ln>
                        </pic:spPr>
                      </pic:pic>
                    </a:graphicData>
                  </a:graphic>
                </wp:inline>
              </w:drawing>
            </w:r>
          </w:p>
        </w:tc>
        <w:tc>
          <w:tcPr>
            <w:tcW w:w="4289" w:type="dxa"/>
            <w:noWrap w:val="0"/>
            <w:vAlign w:val="center"/>
          </w:tcPr>
          <w:p w14:paraId="211D467C">
            <w:pPr>
              <w:numPr>
                <w:ilvl w:val="0"/>
                <w:numId w:val="0"/>
              </w:numPr>
              <w:kinsoku/>
              <w:wordWrap/>
              <w:overflowPunct/>
              <w:topLinePunct w:val="0"/>
              <w:bidi w:val="0"/>
              <w:spacing w:line="360" w:lineRule="auto"/>
              <w:ind w:left="0" w:leftChars="0"/>
              <w:jc w:val="both"/>
              <w:rPr>
                <w:rFonts w:hint="eastAsia" w:ascii="宋体" w:hAnsi="宋体" w:eastAsia="宋体" w:cs="宋体"/>
                <w:color w:val="auto"/>
                <w:vertAlign w:val="baseline"/>
                <w:lang w:eastAsia="zh-CN"/>
              </w:rPr>
            </w:pPr>
            <w:r>
              <w:rPr>
                <w:rFonts w:hint="eastAsia" w:ascii="宋体" w:hAnsi="宋体" w:eastAsia="宋体" w:cs="宋体"/>
                <w:b/>
                <w:szCs w:val="21"/>
              </w:rPr>
              <w:drawing>
                <wp:inline distT="0" distB="0" distL="114300" distR="114300">
                  <wp:extent cx="2816860" cy="2113280"/>
                  <wp:effectExtent l="0" t="0" r="2540" b="1270"/>
                  <wp:docPr id="22" name="图片 2" descr="IMG_20220717_11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 descr="IMG_20220717_111507"/>
                          <pic:cNvPicPr>
                            <a:picLocks noChangeAspect="1"/>
                          </pic:cNvPicPr>
                        </pic:nvPicPr>
                        <pic:blipFill>
                          <a:blip r:embed="rId14"/>
                          <a:stretch>
                            <a:fillRect/>
                          </a:stretch>
                        </pic:blipFill>
                        <pic:spPr>
                          <a:xfrm>
                            <a:off x="0" y="0"/>
                            <a:ext cx="2816860" cy="2113280"/>
                          </a:xfrm>
                          <a:prstGeom prst="rect">
                            <a:avLst/>
                          </a:prstGeom>
                          <a:noFill/>
                          <a:ln>
                            <a:noFill/>
                          </a:ln>
                        </pic:spPr>
                      </pic:pic>
                    </a:graphicData>
                  </a:graphic>
                </wp:inline>
              </w:drawing>
            </w:r>
          </w:p>
        </w:tc>
      </w:tr>
      <w:tr w14:paraId="60490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27" w:type="dxa"/>
            <w:noWrap w:val="0"/>
            <w:vAlign w:val="center"/>
          </w:tcPr>
          <w:p w14:paraId="51FBCD84">
            <w:pPr>
              <w:numPr>
                <w:ilvl w:val="0"/>
                <w:numId w:val="0"/>
              </w:numPr>
              <w:kinsoku/>
              <w:wordWrap/>
              <w:overflowPunct/>
              <w:topLinePunct w:val="0"/>
              <w:bidi w:val="0"/>
              <w:spacing w:line="360" w:lineRule="auto"/>
              <w:ind w:left="0" w:leftChars="0"/>
              <w:jc w:val="center"/>
              <w:rPr>
                <w:rStyle w:val="45"/>
                <w:rFonts w:hint="eastAsia" w:ascii="宋体" w:hAnsi="宋体" w:eastAsia="宋体" w:cs="宋体"/>
                <w:kern w:val="0"/>
                <w:sz w:val="21"/>
                <w:szCs w:val="21"/>
                <w:highlight w:val="none"/>
                <w:lang w:val="en-US" w:eastAsia="zh-CN" w:bidi="ar-SA"/>
              </w:rPr>
            </w:pPr>
            <w:r>
              <w:rPr>
                <w:rStyle w:val="45"/>
                <w:rFonts w:hint="eastAsia" w:ascii="宋体" w:hAnsi="宋体" w:eastAsia="宋体" w:cs="宋体"/>
                <w:kern w:val="0"/>
                <w:sz w:val="21"/>
                <w:szCs w:val="21"/>
                <w:highlight w:val="none"/>
                <w:lang w:val="en-US" w:eastAsia="zh-CN" w:bidi="ar-SA"/>
              </w:rPr>
              <w:drawing>
                <wp:inline distT="0" distB="0" distL="114300" distR="114300">
                  <wp:extent cx="2540000" cy="1905000"/>
                  <wp:effectExtent l="0" t="0" r="12700" b="0"/>
                  <wp:docPr id="17" name="图片 3" descr="IMG_20230227_095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IMG_20230227_095804"/>
                          <pic:cNvPicPr>
                            <a:picLocks noChangeAspect="1"/>
                          </pic:cNvPicPr>
                        </pic:nvPicPr>
                        <pic:blipFill>
                          <a:blip r:embed="rId15"/>
                          <a:stretch>
                            <a:fillRect/>
                          </a:stretch>
                        </pic:blipFill>
                        <pic:spPr>
                          <a:xfrm>
                            <a:off x="0" y="0"/>
                            <a:ext cx="2540000" cy="1905000"/>
                          </a:xfrm>
                          <a:prstGeom prst="rect">
                            <a:avLst/>
                          </a:prstGeom>
                          <a:noFill/>
                          <a:ln>
                            <a:noFill/>
                          </a:ln>
                        </pic:spPr>
                      </pic:pic>
                    </a:graphicData>
                  </a:graphic>
                </wp:inline>
              </w:drawing>
            </w:r>
          </w:p>
        </w:tc>
        <w:tc>
          <w:tcPr>
            <w:tcW w:w="4289" w:type="dxa"/>
            <w:noWrap w:val="0"/>
            <w:vAlign w:val="center"/>
          </w:tcPr>
          <w:p w14:paraId="75BAA746">
            <w:pPr>
              <w:numPr>
                <w:ilvl w:val="0"/>
                <w:numId w:val="0"/>
              </w:numPr>
              <w:kinsoku/>
              <w:wordWrap/>
              <w:overflowPunct/>
              <w:topLinePunct w:val="0"/>
              <w:bidi w:val="0"/>
              <w:spacing w:line="360" w:lineRule="auto"/>
              <w:ind w:left="0" w:leftChars="0"/>
              <w:jc w:val="center"/>
              <w:rPr>
                <w:rStyle w:val="45"/>
                <w:rFonts w:hint="eastAsia" w:ascii="宋体" w:hAnsi="宋体" w:eastAsia="宋体" w:cs="宋体"/>
                <w:kern w:val="0"/>
                <w:sz w:val="21"/>
                <w:szCs w:val="21"/>
                <w:highlight w:val="none"/>
                <w:lang w:val="en-US" w:eastAsia="zh-CN" w:bidi="ar-SA"/>
              </w:rPr>
            </w:pPr>
            <w:r>
              <w:rPr>
                <w:rStyle w:val="45"/>
                <w:rFonts w:hint="eastAsia" w:ascii="宋体" w:hAnsi="宋体" w:eastAsia="宋体" w:cs="宋体"/>
                <w:kern w:val="0"/>
                <w:sz w:val="21"/>
                <w:szCs w:val="21"/>
                <w:highlight w:val="none"/>
                <w:lang w:val="en-US" w:eastAsia="zh-CN" w:bidi="ar-SA"/>
              </w:rPr>
              <w:drawing>
                <wp:inline distT="0" distB="0" distL="114300" distR="114300">
                  <wp:extent cx="2540000" cy="1905000"/>
                  <wp:effectExtent l="0" t="0" r="12700" b="0"/>
                  <wp:docPr id="20" name="图片 4" descr="IMG_20230227_095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 descr="IMG_20230227_095911"/>
                          <pic:cNvPicPr>
                            <a:picLocks noChangeAspect="1"/>
                          </pic:cNvPicPr>
                        </pic:nvPicPr>
                        <pic:blipFill>
                          <a:blip r:embed="rId16"/>
                          <a:stretch>
                            <a:fillRect/>
                          </a:stretch>
                        </pic:blipFill>
                        <pic:spPr>
                          <a:xfrm>
                            <a:off x="0" y="0"/>
                            <a:ext cx="2540000" cy="1905000"/>
                          </a:xfrm>
                          <a:prstGeom prst="rect">
                            <a:avLst/>
                          </a:prstGeom>
                          <a:noFill/>
                          <a:ln>
                            <a:noFill/>
                          </a:ln>
                        </pic:spPr>
                      </pic:pic>
                    </a:graphicData>
                  </a:graphic>
                </wp:inline>
              </w:drawing>
            </w:r>
          </w:p>
        </w:tc>
      </w:tr>
      <w:tr w14:paraId="7B3F4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27" w:type="dxa"/>
            <w:noWrap w:val="0"/>
            <w:vAlign w:val="center"/>
          </w:tcPr>
          <w:p w14:paraId="613D19E0">
            <w:pPr>
              <w:numPr>
                <w:ilvl w:val="0"/>
                <w:numId w:val="0"/>
              </w:numPr>
              <w:kinsoku/>
              <w:wordWrap/>
              <w:overflowPunct/>
              <w:topLinePunct w:val="0"/>
              <w:bidi w:val="0"/>
              <w:spacing w:line="360" w:lineRule="auto"/>
              <w:ind w:left="0" w:leftChars="0"/>
              <w:jc w:val="center"/>
              <w:rPr>
                <w:rStyle w:val="45"/>
                <w:rFonts w:hint="eastAsia" w:ascii="宋体" w:hAnsi="宋体" w:eastAsia="宋体" w:cs="宋体"/>
                <w:kern w:val="0"/>
                <w:sz w:val="21"/>
                <w:szCs w:val="21"/>
                <w:highlight w:val="none"/>
                <w:lang w:val="en-US" w:eastAsia="zh-CN" w:bidi="ar-SA"/>
              </w:rPr>
            </w:pPr>
            <w:r>
              <w:rPr>
                <w:rStyle w:val="45"/>
                <w:rFonts w:hint="eastAsia" w:ascii="宋体" w:hAnsi="宋体" w:eastAsia="宋体" w:cs="宋体"/>
                <w:kern w:val="0"/>
                <w:sz w:val="21"/>
                <w:szCs w:val="21"/>
                <w:highlight w:val="none"/>
                <w:lang w:val="en-US" w:eastAsia="zh-CN" w:bidi="ar-SA"/>
              </w:rPr>
              <w:drawing>
                <wp:inline distT="0" distB="0" distL="114300" distR="114300">
                  <wp:extent cx="2540000" cy="1905000"/>
                  <wp:effectExtent l="0" t="0" r="12700" b="0"/>
                  <wp:docPr id="4" name="图片 5" descr="IMG_20230227_095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IMG_20230227_095714"/>
                          <pic:cNvPicPr>
                            <a:picLocks noChangeAspect="1"/>
                          </pic:cNvPicPr>
                        </pic:nvPicPr>
                        <pic:blipFill>
                          <a:blip r:embed="rId17"/>
                          <a:stretch>
                            <a:fillRect/>
                          </a:stretch>
                        </pic:blipFill>
                        <pic:spPr>
                          <a:xfrm>
                            <a:off x="0" y="0"/>
                            <a:ext cx="2540000" cy="1905000"/>
                          </a:xfrm>
                          <a:prstGeom prst="rect">
                            <a:avLst/>
                          </a:prstGeom>
                          <a:noFill/>
                          <a:ln>
                            <a:noFill/>
                          </a:ln>
                        </pic:spPr>
                      </pic:pic>
                    </a:graphicData>
                  </a:graphic>
                </wp:inline>
              </w:drawing>
            </w:r>
          </w:p>
        </w:tc>
        <w:tc>
          <w:tcPr>
            <w:tcW w:w="4289" w:type="dxa"/>
            <w:noWrap w:val="0"/>
            <w:vAlign w:val="center"/>
          </w:tcPr>
          <w:p w14:paraId="00FFEB1A">
            <w:pPr>
              <w:numPr>
                <w:ilvl w:val="0"/>
                <w:numId w:val="0"/>
              </w:numPr>
              <w:kinsoku/>
              <w:wordWrap/>
              <w:overflowPunct/>
              <w:topLinePunct w:val="0"/>
              <w:bidi w:val="0"/>
              <w:spacing w:line="360" w:lineRule="auto"/>
              <w:ind w:left="0" w:leftChars="0"/>
              <w:jc w:val="center"/>
              <w:rPr>
                <w:rStyle w:val="45"/>
                <w:rFonts w:hint="eastAsia" w:ascii="宋体" w:hAnsi="宋体" w:eastAsia="宋体" w:cs="宋体"/>
                <w:kern w:val="0"/>
                <w:sz w:val="21"/>
                <w:szCs w:val="21"/>
                <w:highlight w:val="none"/>
                <w:lang w:val="en-US" w:eastAsia="zh-CN" w:bidi="ar-SA"/>
              </w:rPr>
            </w:pPr>
            <w:r>
              <w:rPr>
                <w:rStyle w:val="45"/>
                <w:rFonts w:hint="eastAsia" w:ascii="宋体" w:hAnsi="宋体" w:eastAsia="宋体" w:cs="宋体"/>
                <w:kern w:val="0"/>
                <w:sz w:val="21"/>
                <w:szCs w:val="21"/>
                <w:highlight w:val="none"/>
                <w:lang w:val="en-US" w:eastAsia="zh-CN" w:bidi="ar-SA"/>
              </w:rPr>
              <w:drawing>
                <wp:inline distT="0" distB="0" distL="114300" distR="114300">
                  <wp:extent cx="2540000" cy="1905000"/>
                  <wp:effectExtent l="0" t="0" r="12700" b="0"/>
                  <wp:docPr id="2" name="图片 6" descr="IMG_20230227_095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IMG_20230227_095841"/>
                          <pic:cNvPicPr>
                            <a:picLocks noChangeAspect="1"/>
                          </pic:cNvPicPr>
                        </pic:nvPicPr>
                        <pic:blipFill>
                          <a:blip r:embed="rId18"/>
                          <a:stretch>
                            <a:fillRect/>
                          </a:stretch>
                        </pic:blipFill>
                        <pic:spPr>
                          <a:xfrm>
                            <a:off x="0" y="0"/>
                            <a:ext cx="2540000" cy="1905000"/>
                          </a:xfrm>
                          <a:prstGeom prst="rect">
                            <a:avLst/>
                          </a:prstGeom>
                          <a:noFill/>
                          <a:ln>
                            <a:noFill/>
                          </a:ln>
                        </pic:spPr>
                      </pic:pic>
                    </a:graphicData>
                  </a:graphic>
                </wp:inline>
              </w:drawing>
            </w:r>
          </w:p>
        </w:tc>
      </w:tr>
      <w:tr w14:paraId="49AA3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516" w:type="dxa"/>
            <w:gridSpan w:val="2"/>
            <w:noWrap w:val="0"/>
            <w:vAlign w:val="center"/>
          </w:tcPr>
          <w:p w14:paraId="54F9C5CC">
            <w:pPr>
              <w:numPr>
                <w:ilvl w:val="0"/>
                <w:numId w:val="0"/>
              </w:numPr>
              <w:kinsoku/>
              <w:wordWrap/>
              <w:overflowPunct/>
              <w:topLinePunct w:val="0"/>
              <w:bidi w:val="0"/>
              <w:spacing w:line="360" w:lineRule="auto"/>
              <w:ind w:left="0" w:leftChars="0"/>
              <w:jc w:val="center"/>
              <w:rPr>
                <w:rFonts w:hint="eastAsia" w:ascii="宋体" w:hAnsi="宋体" w:eastAsia="宋体" w:cs="宋体"/>
                <w:color w:val="auto"/>
                <w:vertAlign w:val="baseline"/>
                <w:lang w:eastAsia="zh-CN"/>
              </w:rPr>
            </w:pPr>
            <w:r>
              <w:rPr>
                <w:rStyle w:val="45"/>
                <w:rFonts w:hint="eastAsia" w:ascii="宋体" w:hAnsi="宋体" w:eastAsia="宋体" w:cs="宋体"/>
                <w:kern w:val="0"/>
                <w:sz w:val="21"/>
                <w:szCs w:val="21"/>
                <w:highlight w:val="none"/>
                <w:lang w:val="en-US" w:eastAsia="zh-CN" w:bidi="ar-SA"/>
              </w:rPr>
              <w:t>峰山口输水闸及下游渠道现状</w:t>
            </w:r>
          </w:p>
        </w:tc>
      </w:tr>
    </w:tbl>
    <w:p w14:paraId="7873AA8E">
      <w:pPr>
        <w:kinsoku/>
        <w:wordWrap/>
        <w:overflowPunct/>
        <w:topLinePunct w:val="0"/>
        <w:bidi w:val="0"/>
        <w:ind w:left="0" w:leftChars="0"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设计方案</w:t>
      </w:r>
    </w:p>
    <w:p w14:paraId="3E9F24B9">
      <w:pPr>
        <w:kinsoku/>
        <w:wordWrap/>
        <w:overflowPunct/>
        <w:topLinePunct w:val="0"/>
        <w:bidi w:val="0"/>
        <w:spacing w:line="360" w:lineRule="auto"/>
        <w:ind w:left="0" w:leftChars="0"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A </w:t>
      </w:r>
      <w:r>
        <w:rPr>
          <w:rFonts w:hint="eastAsia" w:ascii="宋体" w:hAnsi="宋体" w:eastAsia="宋体" w:cs="宋体"/>
          <w:color w:val="auto"/>
          <w:sz w:val="24"/>
          <w:szCs w:val="24"/>
          <w:highlight w:val="none"/>
        </w:rPr>
        <w:t>混凝土裂缝的处理</w:t>
      </w:r>
    </w:p>
    <w:p w14:paraId="51E4CB89">
      <w:pPr>
        <w:kinsoku/>
        <w:wordWrap/>
        <w:overflowPunct/>
        <w:topLinePunct w:val="0"/>
        <w:bidi w:val="0"/>
        <w:spacing w:line="360" w:lineRule="auto"/>
        <w:ind w:left="0" w:leftChars="0"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于混凝土裂缝严重地破坏了混凝土结构的整体性，裂缝中的渗水将带走混凝土中的有效成分，引起混凝土强度降低，同时又会引起混凝土内部钢筋锈蚀，降低了结构的安全性与耐久性。因此需要对混凝土裂缝采取内部补强灌浆及表面封堵的处理方案。化学灌浆的目的是充填混凝土裂缝空隙，对混凝土结构进行补强加固，裂缝表面采用SK手刮聚脲进行封堵及防护。SK手刮聚脲宽度为20cm，厚3mm，并复合10cm宽的胎基布。具体修补方案见图</w:t>
      </w:r>
      <w:r>
        <w:rPr>
          <w:rFonts w:hint="eastAsia" w:ascii="宋体" w:hAnsi="宋体" w:eastAsia="宋体" w:cs="宋体"/>
          <w:b w:val="0"/>
          <w:bCs/>
          <w:color w:val="auto"/>
          <w:sz w:val="24"/>
          <w:szCs w:val="24"/>
          <w:highlight w:val="none"/>
          <w:lang w:val="en-US" w:eastAsia="zh-CN"/>
        </w:rPr>
        <w:t>1-1</w:t>
      </w:r>
      <w:r>
        <w:rPr>
          <w:rFonts w:hint="eastAsia" w:ascii="宋体" w:hAnsi="宋体" w:eastAsia="宋体" w:cs="宋体"/>
          <w:color w:val="auto"/>
          <w:sz w:val="24"/>
          <w:szCs w:val="24"/>
          <w:highlight w:val="none"/>
        </w:rPr>
        <w:t>。</w:t>
      </w:r>
    </w:p>
    <w:p w14:paraId="7E1E0ACD">
      <w:pPr>
        <w:kinsoku/>
        <w:wordWrap/>
        <w:overflowPunct/>
        <w:topLinePunct w:val="0"/>
        <w:bidi w:val="0"/>
        <w:spacing w:line="360" w:lineRule="auto"/>
        <w:ind w:left="0" w:left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drawing>
          <wp:inline distT="0" distB="0" distL="114300" distR="114300">
            <wp:extent cx="4046855" cy="1762760"/>
            <wp:effectExtent l="0" t="0" r="10795" b="8890"/>
            <wp:docPr id="5" name="图片 7" descr="未标题-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descr="未标题-1"/>
                    <pic:cNvPicPr>
                      <a:picLocks noChangeAspect="1"/>
                    </pic:cNvPicPr>
                  </pic:nvPicPr>
                  <pic:blipFill>
                    <a:blip r:embed="rId19"/>
                    <a:stretch>
                      <a:fillRect/>
                    </a:stretch>
                  </pic:blipFill>
                  <pic:spPr>
                    <a:xfrm>
                      <a:off x="0" y="0"/>
                      <a:ext cx="4046855" cy="1762760"/>
                    </a:xfrm>
                    <a:prstGeom prst="rect">
                      <a:avLst/>
                    </a:prstGeom>
                    <a:noFill/>
                    <a:ln>
                      <a:noFill/>
                    </a:ln>
                  </pic:spPr>
                </pic:pic>
              </a:graphicData>
            </a:graphic>
          </wp:inline>
        </w:drawing>
      </w:r>
    </w:p>
    <w:p w14:paraId="47B987B0">
      <w:pPr>
        <w:keepNext w:val="0"/>
        <w:keepLines w:val="0"/>
        <w:pageBreakBefore w:val="0"/>
        <w:widowControl/>
        <w:kinsoku/>
        <w:wordWrap/>
        <w:overflowPunct/>
        <w:topLinePunct w:val="0"/>
        <w:autoSpaceDE/>
        <w:autoSpaceDN/>
        <w:bidi w:val="0"/>
        <w:adjustRightInd/>
        <w:snapToGrid/>
        <w:ind w:left="0" w:leftChars="0" w:firstLine="0" w:firstLineChars="0"/>
        <w:jc w:val="center"/>
        <w:textAlignment w:val="auto"/>
        <w:rPr>
          <w:rStyle w:val="45"/>
          <w:rFonts w:hint="eastAsia" w:ascii="宋体" w:hAnsi="宋体" w:eastAsia="宋体" w:cs="宋体"/>
          <w:kern w:val="0"/>
          <w:sz w:val="21"/>
          <w:szCs w:val="21"/>
          <w:highlight w:val="none"/>
          <w:lang w:val="en-US" w:eastAsia="zh-CN" w:bidi="ar-SA"/>
        </w:rPr>
      </w:pPr>
      <w:r>
        <w:rPr>
          <w:rStyle w:val="45"/>
          <w:rFonts w:hint="eastAsia" w:ascii="宋体" w:hAnsi="宋体" w:eastAsia="宋体" w:cs="宋体"/>
          <w:kern w:val="0"/>
          <w:sz w:val="21"/>
          <w:szCs w:val="21"/>
          <w:highlight w:val="none"/>
          <w:lang w:val="en-US" w:eastAsia="zh-CN" w:bidi="ar-SA"/>
        </w:rPr>
        <w:t>图1-1 混凝土裂缝处理方案</w:t>
      </w:r>
    </w:p>
    <w:p w14:paraId="7E783F03">
      <w:pPr>
        <w:kinsoku/>
        <w:wordWrap/>
        <w:overflowPunct/>
        <w:topLinePunct w:val="0"/>
        <w:bidi w:val="0"/>
        <w:spacing w:line="360" w:lineRule="auto"/>
        <w:ind w:left="0" w:leftChars="0"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B</w:t>
      </w:r>
      <w:r>
        <w:rPr>
          <w:rFonts w:hint="eastAsia" w:ascii="宋体" w:hAnsi="宋体" w:eastAsia="宋体" w:cs="宋体"/>
          <w:color w:val="auto"/>
          <w:sz w:val="24"/>
          <w:szCs w:val="24"/>
          <w:highlight w:val="none"/>
        </w:rPr>
        <w:t xml:space="preserve">  伸缩缝修复方案</w:t>
      </w:r>
    </w:p>
    <w:p w14:paraId="743AC815">
      <w:pPr>
        <w:kinsoku/>
        <w:wordWrap/>
        <w:overflowPunct/>
        <w:topLinePunct w:val="0"/>
        <w:bidi w:val="0"/>
        <w:spacing w:line="360" w:lineRule="auto"/>
        <w:ind w:left="0" w:leftChars="0"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剔除伸缩缝内杂物，缝内部嵌填聚苯板圆棒，伸缩缝表面预留</w:t>
      </w:r>
      <w:r>
        <w:rPr>
          <w:rFonts w:hint="eastAsia" w:ascii="宋体" w:hAnsi="宋体" w:eastAsia="宋体" w:cs="宋体"/>
          <w:color w:val="auto"/>
          <w:sz w:val="24"/>
          <w:szCs w:val="24"/>
          <w:highlight w:val="none"/>
          <w:lang w:val="en-US" w:eastAsia="zh-CN"/>
        </w:rPr>
        <w:t>宽</w:t>
      </w:r>
      <w:r>
        <w:rPr>
          <w:rFonts w:hint="eastAsia" w:ascii="宋体" w:hAnsi="宋体" w:eastAsia="宋体" w:cs="宋体"/>
          <w:color w:val="auto"/>
          <w:sz w:val="24"/>
          <w:szCs w:val="24"/>
          <w:highlight w:val="none"/>
        </w:rPr>
        <w:t>2cm、厚1.5cm的槽，槽内嵌填高弹性</w:t>
      </w:r>
      <w:r>
        <w:rPr>
          <w:rFonts w:hint="eastAsia" w:ascii="宋体" w:hAnsi="宋体" w:eastAsia="宋体" w:cs="宋体"/>
          <w:color w:val="auto"/>
          <w:sz w:val="24"/>
          <w:szCs w:val="24"/>
          <w:highlight w:val="none"/>
          <w:lang w:val="en-US" w:eastAsia="zh-CN"/>
        </w:rPr>
        <w:t>聚脲</w:t>
      </w:r>
      <w:r>
        <w:rPr>
          <w:rFonts w:hint="eastAsia" w:ascii="宋体" w:hAnsi="宋体" w:eastAsia="宋体" w:cs="宋体"/>
          <w:color w:val="auto"/>
          <w:sz w:val="24"/>
          <w:szCs w:val="24"/>
          <w:highlight w:val="none"/>
        </w:rPr>
        <w:t>砂浆，高弹性</w:t>
      </w:r>
      <w:r>
        <w:rPr>
          <w:rFonts w:hint="eastAsia" w:ascii="宋体" w:hAnsi="宋体" w:eastAsia="宋体" w:cs="宋体"/>
          <w:color w:val="auto"/>
          <w:sz w:val="24"/>
          <w:szCs w:val="24"/>
          <w:highlight w:val="none"/>
          <w:lang w:val="en-US" w:eastAsia="zh-CN"/>
        </w:rPr>
        <w:t>聚脲</w:t>
      </w:r>
      <w:r>
        <w:rPr>
          <w:rFonts w:hint="eastAsia" w:ascii="宋体" w:hAnsi="宋体" w:eastAsia="宋体" w:cs="宋体"/>
          <w:color w:val="auto"/>
          <w:sz w:val="24"/>
          <w:szCs w:val="24"/>
          <w:highlight w:val="none"/>
        </w:rPr>
        <w:t>砂浆表面为0.5cm厚的聚氨酯涂层，混凝土伸缩缝表面涂刷SK手刮聚脲（单组分）防护，伸缩缝部位聚脲厚4mm、宽25cm。方案见图</w:t>
      </w:r>
      <w:r>
        <w:rPr>
          <w:rFonts w:hint="eastAsia" w:ascii="宋体" w:hAnsi="宋体" w:eastAsia="宋体" w:cs="宋体"/>
          <w:color w:val="auto"/>
          <w:sz w:val="24"/>
          <w:szCs w:val="24"/>
          <w:highlight w:val="none"/>
          <w:lang w:val="en-US" w:eastAsia="zh-CN"/>
        </w:rPr>
        <w:t>5.3.1-2</w:t>
      </w:r>
      <w:r>
        <w:rPr>
          <w:rFonts w:hint="eastAsia" w:ascii="宋体" w:hAnsi="宋体" w:eastAsia="宋体" w:cs="宋体"/>
          <w:color w:val="auto"/>
          <w:sz w:val="24"/>
          <w:szCs w:val="24"/>
          <w:highlight w:val="none"/>
        </w:rPr>
        <w:t xml:space="preserve"> 。</w:t>
      </w:r>
    </w:p>
    <w:p w14:paraId="546CD833">
      <w:pPr>
        <w:keepNext w:val="0"/>
        <w:keepLines w:val="0"/>
        <w:pageBreakBefore w:val="0"/>
        <w:widowControl/>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drawing>
          <wp:inline distT="0" distB="0" distL="114300" distR="114300">
            <wp:extent cx="5203825" cy="1450975"/>
            <wp:effectExtent l="0" t="0" r="15875" b="15875"/>
            <wp:docPr id="2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8"/>
                    <pic:cNvPicPr>
                      <a:picLocks noChangeAspect="1"/>
                    </pic:cNvPicPr>
                  </pic:nvPicPr>
                  <pic:blipFill>
                    <a:blip r:embed="rId20"/>
                    <a:stretch>
                      <a:fillRect/>
                    </a:stretch>
                  </pic:blipFill>
                  <pic:spPr>
                    <a:xfrm>
                      <a:off x="0" y="0"/>
                      <a:ext cx="5203825" cy="1450975"/>
                    </a:xfrm>
                    <a:prstGeom prst="rect">
                      <a:avLst/>
                    </a:prstGeom>
                    <a:noFill/>
                    <a:ln>
                      <a:noFill/>
                    </a:ln>
                  </pic:spPr>
                </pic:pic>
              </a:graphicData>
            </a:graphic>
          </wp:inline>
        </w:drawing>
      </w:r>
    </w:p>
    <w:p w14:paraId="5B9FFDDC">
      <w:pPr>
        <w:keepNext w:val="0"/>
        <w:keepLines w:val="0"/>
        <w:pageBreakBefore w:val="0"/>
        <w:widowControl/>
        <w:kinsoku/>
        <w:wordWrap/>
        <w:overflowPunct/>
        <w:topLinePunct w:val="0"/>
        <w:autoSpaceDE/>
        <w:autoSpaceDN/>
        <w:bidi w:val="0"/>
        <w:adjustRightInd/>
        <w:snapToGrid/>
        <w:ind w:left="0" w:leftChars="0" w:firstLine="0" w:firstLineChars="0"/>
        <w:jc w:val="center"/>
        <w:textAlignment w:val="auto"/>
        <w:rPr>
          <w:rStyle w:val="45"/>
          <w:rFonts w:hint="eastAsia" w:ascii="宋体" w:hAnsi="宋体" w:eastAsia="宋体" w:cs="宋体"/>
          <w:kern w:val="0"/>
          <w:sz w:val="21"/>
          <w:szCs w:val="21"/>
          <w:highlight w:val="none"/>
          <w:lang w:val="en-US" w:eastAsia="zh-CN" w:bidi="ar-SA"/>
        </w:rPr>
      </w:pPr>
      <w:r>
        <w:rPr>
          <w:rStyle w:val="45"/>
          <w:rFonts w:hint="eastAsia" w:ascii="宋体" w:hAnsi="宋体" w:eastAsia="宋体" w:cs="宋体"/>
          <w:kern w:val="0"/>
          <w:sz w:val="21"/>
          <w:szCs w:val="21"/>
          <w:highlight w:val="none"/>
          <w:lang w:val="en-US" w:eastAsia="zh-CN" w:bidi="ar-SA"/>
        </w:rPr>
        <w:t>图1-2  混凝土伸缩缝防渗处理示意图</w:t>
      </w:r>
    </w:p>
    <w:p w14:paraId="51A8EB04">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C 混凝土耐久性防护处理</w:t>
      </w:r>
    </w:p>
    <w:p w14:paraId="4DD8D165">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 xml:space="preserve">为了提高混凝土整体性和耐久性，需要对混凝土进行耐久性防护。从耐久性及美观考虑，水位以上采用的防护方案为：混凝土表面打磨，环氧腻子找平，采用PCS柔性防碳化材料对混凝土进行耐久性防护处理，厚度为1.5mm；水位以下及溢流面采用的防护方案为：混凝土表面打磨，环氧腻子找平，采用SK手刮聚脲（单组分）+胎基布+SK手刮聚脲对混凝土表面进行抗冲磨防护处理，SK手刮聚脲涂层厚度为2mm。 </w:t>
      </w:r>
    </w:p>
    <w:p w14:paraId="6A48ACBF">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4"/>
          <w:highlight w:val="none"/>
        </w:rPr>
      </w:pPr>
      <w:r>
        <w:rPr>
          <w:rFonts w:hint="eastAsia" w:ascii="宋体" w:hAnsi="宋体" w:eastAsia="宋体" w:cs="宋体"/>
          <w:color w:val="auto"/>
          <w:highlight w:val="none"/>
        </w:rPr>
        <w:drawing>
          <wp:inline distT="0" distB="0" distL="114300" distR="114300">
            <wp:extent cx="4495800" cy="2314575"/>
            <wp:effectExtent l="0" t="0" r="0" b="9525"/>
            <wp:docPr id="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
                    <pic:cNvPicPr>
                      <a:picLocks noChangeAspect="1"/>
                    </pic:cNvPicPr>
                  </pic:nvPicPr>
                  <pic:blipFill>
                    <a:blip r:embed="rId21"/>
                    <a:stretch>
                      <a:fillRect/>
                    </a:stretch>
                  </pic:blipFill>
                  <pic:spPr>
                    <a:xfrm>
                      <a:off x="0" y="0"/>
                      <a:ext cx="4495800" cy="2314575"/>
                    </a:xfrm>
                    <a:prstGeom prst="rect">
                      <a:avLst/>
                    </a:prstGeom>
                    <a:noFill/>
                    <a:ln>
                      <a:noFill/>
                    </a:ln>
                  </pic:spPr>
                </pic:pic>
              </a:graphicData>
            </a:graphic>
          </wp:inline>
        </w:drawing>
      </w:r>
    </w:p>
    <w:p w14:paraId="36EEA610">
      <w:pPr>
        <w:keepNext w:val="0"/>
        <w:keepLines w:val="0"/>
        <w:pageBreakBefore w:val="0"/>
        <w:widowControl/>
        <w:kinsoku/>
        <w:wordWrap/>
        <w:overflowPunct/>
        <w:topLinePunct w:val="0"/>
        <w:autoSpaceDE/>
        <w:autoSpaceDN/>
        <w:bidi w:val="0"/>
        <w:adjustRightInd/>
        <w:snapToGrid/>
        <w:ind w:left="0" w:leftChars="0" w:firstLine="0" w:firstLineChars="0"/>
        <w:jc w:val="center"/>
        <w:textAlignment w:val="auto"/>
        <w:rPr>
          <w:rStyle w:val="45"/>
          <w:rFonts w:hint="eastAsia" w:ascii="宋体" w:hAnsi="宋体" w:eastAsia="宋体" w:cs="宋体"/>
          <w:kern w:val="0"/>
          <w:sz w:val="21"/>
          <w:szCs w:val="21"/>
          <w:highlight w:val="none"/>
          <w:lang w:val="en-US" w:eastAsia="zh-CN" w:bidi="ar-SA"/>
        </w:rPr>
      </w:pPr>
      <w:r>
        <w:rPr>
          <w:rStyle w:val="45"/>
          <w:rFonts w:hint="eastAsia" w:ascii="宋体" w:hAnsi="宋体" w:eastAsia="宋体" w:cs="宋体"/>
          <w:kern w:val="0"/>
          <w:sz w:val="21"/>
          <w:szCs w:val="21"/>
          <w:highlight w:val="none"/>
          <w:lang w:val="en-US" w:eastAsia="zh-CN" w:bidi="ar-SA"/>
        </w:rPr>
        <w:t>图1-3   水下混凝土涂刷SK手刮聚脲抗冲磨防护</w:t>
      </w:r>
    </w:p>
    <w:p w14:paraId="5E84C847">
      <w:pPr>
        <w:kinsoku/>
        <w:wordWrap/>
        <w:overflowPunct/>
        <w:topLinePunct w:val="0"/>
        <w:bidi w:val="0"/>
        <w:ind w:left="0" w:leftChars="0" w:firstLine="0" w:firstLineChars="0"/>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kern w:val="2"/>
          <w:sz w:val="28"/>
          <w:szCs w:val="28"/>
          <w:highlight w:val="none"/>
          <w:lang w:val="en-US" w:eastAsia="zh-CN" w:bidi="ar-SA"/>
        </w:rPr>
        <w:t>SK手刮聚脲</w:t>
      </w:r>
      <w:r>
        <w:rPr>
          <w:rFonts w:hint="eastAsia" w:ascii="宋体" w:hAnsi="宋体" w:eastAsia="宋体" w:cs="宋体"/>
          <w:b/>
          <w:bCs/>
          <w:color w:val="auto"/>
          <w:sz w:val="28"/>
          <w:szCs w:val="28"/>
          <w:highlight w:val="none"/>
        </w:rPr>
        <w:t>施工</w:t>
      </w:r>
      <w:r>
        <w:rPr>
          <w:rFonts w:hint="eastAsia" w:ascii="宋体" w:hAnsi="宋体" w:eastAsia="宋体" w:cs="宋体"/>
          <w:b/>
          <w:bCs/>
          <w:color w:val="auto"/>
          <w:sz w:val="28"/>
          <w:szCs w:val="28"/>
          <w:highlight w:val="none"/>
          <w:lang w:val="en-US" w:eastAsia="zh-CN"/>
        </w:rPr>
        <w:t>工艺</w:t>
      </w:r>
      <w:r>
        <w:rPr>
          <w:rFonts w:hint="eastAsia" w:ascii="宋体" w:hAnsi="宋体" w:eastAsia="宋体" w:cs="宋体"/>
          <w:b/>
          <w:bCs/>
          <w:color w:val="auto"/>
          <w:sz w:val="28"/>
          <w:szCs w:val="28"/>
          <w:highlight w:val="none"/>
          <w:lang w:eastAsia="zh-CN"/>
        </w:rPr>
        <w:t>：</w:t>
      </w:r>
    </w:p>
    <w:p w14:paraId="7A29E72D">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底材处理：首先用角磨机对混凝土表面进行打磨，清除原水泥基涂层及表面的棱角，用高压水枪冲洗表面的灰尘、浮渣，待水分完全挥发后，对混凝土表面局部孔洞用高强找平腻子填补，使用的腻子要求不流淌，并且与混凝土粘结良好，找平材料固化后，再使用角磨机对混凝土表面进行打磨、清洗，要求混凝土表明平整、坚固、无孔洞。</w:t>
      </w:r>
    </w:p>
    <w:p w14:paraId="05C03291">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界面剂施工：SK手刮聚脲涂层与底材的粘接面采用专用潮湿面界面剂，这是一种100%固含量的环氧界面剂，该界面剂可在饱和水或干表面施工。底面处理后，在混凝土表面涂刷界面剂，涂刷厚度要求薄而均匀，无漏涂现象。涂刷界面剂后可以保证SK手刮聚脲与混凝土之间的粘结强度大于2.5MPa。</w:t>
      </w:r>
    </w:p>
    <w:p w14:paraId="766CBC75">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（3）涂刷SK手刮聚脲：界面剂表干后（粘手不拉丝），大面积手刮聚脲，涂刷第一遍聚脲后，粘贴一层胎基布，表干后再涂刷2遍数SK手刮聚脲，直到聚脲总的涂刷厚度达到2mm（看不到胎基布）。在收边处按图</w:t>
      </w:r>
      <w:r>
        <w:rPr>
          <w:rFonts w:hint="eastAsia" w:ascii="宋体" w:hAnsi="宋体" w:eastAsia="宋体" w:cs="宋体"/>
          <w:b w:val="0"/>
          <w:bCs/>
          <w:color w:val="auto"/>
          <w:sz w:val="24"/>
          <w:szCs w:val="24"/>
          <w:highlight w:val="none"/>
          <w:lang w:val="en-US" w:eastAsia="zh-CN"/>
        </w:rPr>
        <w:t>1-4</w:t>
      </w:r>
      <w:r>
        <w:rPr>
          <w:rFonts w:hint="eastAsia" w:ascii="宋体" w:hAnsi="宋体" w:eastAsia="宋体" w:cs="宋体"/>
          <w:b w:val="0"/>
          <w:bCs w:val="0"/>
          <w:color w:val="auto"/>
          <w:kern w:val="2"/>
          <w:sz w:val="24"/>
          <w:szCs w:val="24"/>
          <w:highlight w:val="none"/>
          <w:lang w:val="en-US" w:eastAsia="zh-CN" w:bidi="ar-SA"/>
        </w:rPr>
        <w:t>处理，边缘打磨成倒三角形，保证周边聚脲厚度大于2mm。</w:t>
      </w:r>
    </w:p>
    <w:p w14:paraId="43579CDF">
      <w:pPr>
        <w:pStyle w:val="2"/>
        <w:kinsoku/>
        <w:wordWrap/>
        <w:overflowPunct/>
        <w:topLinePunct w:val="0"/>
        <w:bidi w:val="0"/>
        <w:adjustRightInd w:val="0"/>
        <w:snapToGrid w:val="0"/>
        <w:spacing w:after="156"/>
        <w:ind w:left="0" w:leftChars="0" w:firstLine="472" w:firstLineChars="225"/>
        <w:rPr>
          <w:rFonts w:hint="eastAsia" w:ascii="宋体" w:hAnsi="宋体" w:eastAsia="宋体" w:cs="宋体"/>
          <w:color w:val="auto"/>
          <w:highlight w:val="none"/>
        </w:rPr>
      </w:pPr>
      <w:r>
        <w:rPr>
          <w:rFonts w:hint="eastAsia" w:ascii="宋体" w:hAnsi="宋体" w:eastAsia="宋体" w:cs="宋体"/>
          <w:color w:val="auto"/>
          <w:highlight w:val="none"/>
        </w:rPr>
        <w:drawing>
          <wp:inline distT="0" distB="0" distL="114300" distR="114300">
            <wp:extent cx="5166995" cy="1192530"/>
            <wp:effectExtent l="0" t="0" r="14605" b="7620"/>
            <wp:docPr id="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0"/>
                    <pic:cNvPicPr>
                      <a:picLocks noChangeAspect="1"/>
                    </pic:cNvPicPr>
                  </pic:nvPicPr>
                  <pic:blipFill>
                    <a:blip r:embed="rId22"/>
                    <a:stretch>
                      <a:fillRect/>
                    </a:stretch>
                  </pic:blipFill>
                  <pic:spPr>
                    <a:xfrm>
                      <a:off x="0" y="0"/>
                      <a:ext cx="5166995" cy="1192530"/>
                    </a:xfrm>
                    <a:prstGeom prst="rect">
                      <a:avLst/>
                    </a:prstGeom>
                    <a:noFill/>
                    <a:ln>
                      <a:noFill/>
                    </a:ln>
                  </pic:spPr>
                </pic:pic>
              </a:graphicData>
            </a:graphic>
          </wp:inline>
        </w:drawing>
      </w:r>
    </w:p>
    <w:p w14:paraId="6D30E6C5">
      <w:pPr>
        <w:kinsoku/>
        <w:wordWrap/>
        <w:overflowPunct/>
        <w:topLinePunct w:val="0"/>
        <w:bidi w:val="0"/>
        <w:ind w:left="0" w:leftChars="0"/>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图</w:t>
      </w:r>
      <w:r>
        <w:rPr>
          <w:rFonts w:hint="eastAsia" w:ascii="宋体" w:hAnsi="宋体" w:eastAsia="宋体" w:cs="宋体"/>
          <w:b/>
          <w:color w:val="auto"/>
          <w:sz w:val="21"/>
          <w:szCs w:val="21"/>
          <w:highlight w:val="none"/>
          <w:lang w:val="en-US" w:eastAsia="zh-CN"/>
        </w:rPr>
        <w:t>1-4</w:t>
      </w:r>
      <w:r>
        <w:rPr>
          <w:rFonts w:hint="eastAsia" w:ascii="宋体" w:hAnsi="宋体" w:eastAsia="宋体" w:cs="宋体"/>
          <w:b/>
          <w:color w:val="auto"/>
          <w:sz w:val="21"/>
          <w:szCs w:val="21"/>
          <w:highlight w:val="none"/>
        </w:rPr>
        <w:t xml:space="preserve"> </w:t>
      </w:r>
      <w:r>
        <w:rPr>
          <w:rFonts w:hint="eastAsia" w:ascii="宋体" w:hAnsi="宋体" w:eastAsia="宋体" w:cs="宋体"/>
          <w:b w:val="0"/>
          <w:bCs/>
          <w:color w:val="auto"/>
          <w:sz w:val="21"/>
          <w:szCs w:val="21"/>
          <w:highlight w:val="non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混凝土表面涂刷SK手刮聚脲收边示意图</w:t>
      </w:r>
    </w:p>
    <w:p w14:paraId="6A80AD09">
      <w:pPr>
        <w:kinsoku/>
        <w:wordWrap/>
        <w:overflowPunct/>
        <w:topLinePunct w:val="0"/>
        <w:bidi w:val="0"/>
        <w:ind w:left="0" w:leftChars="0" w:firstLine="0" w:firstLineChars="0"/>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施工材料</w:t>
      </w:r>
      <w:r>
        <w:rPr>
          <w:rFonts w:hint="eastAsia" w:ascii="宋体" w:hAnsi="宋体" w:eastAsia="宋体" w:cs="宋体"/>
          <w:b/>
          <w:bCs/>
          <w:color w:val="auto"/>
          <w:sz w:val="28"/>
          <w:szCs w:val="28"/>
          <w:highlight w:val="none"/>
          <w:lang w:eastAsia="zh-CN"/>
        </w:rPr>
        <w:t>：</w:t>
      </w:r>
    </w:p>
    <w:p w14:paraId="456D11FC">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A  SK手刮聚脲</w:t>
      </w:r>
    </w:p>
    <w:p w14:paraId="3328B54C">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SK手刮聚脲为单组分，由含多异氰酸酯—NCO的高分子预聚体与经封端的多元胺（包括氨基聚醚）混合，并加入其它功能性助剂所组成。SK手刮聚脲分（抗冲磨型）的主要技术指标见表</w:t>
      </w: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b w:val="0"/>
          <w:bCs w:val="0"/>
          <w:color w:val="auto"/>
          <w:kern w:val="2"/>
          <w:sz w:val="24"/>
          <w:szCs w:val="24"/>
          <w:highlight w:val="none"/>
          <w:lang w:val="en-US" w:eastAsia="zh-CN" w:bidi="ar-SA"/>
        </w:rPr>
        <w:t>。该材料具有优异的力学性能，抗紫外线性能和抗太阳暴晒性能，SK手刮聚脲具有-45℃的低温柔性，能适应高寒地区的低温环境，尤其是能抵抗低温时混凝土开裂引起的形变而不渗漏。主要特点如下：</w:t>
      </w:r>
    </w:p>
    <w:p w14:paraId="1F8057AE">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（1）材料为脂肪族，耐老化性能好，不变色；</w:t>
      </w:r>
    </w:p>
    <w:p w14:paraId="23E707F0">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（2）无毒，可用于饮用水工程；</w:t>
      </w:r>
    </w:p>
    <w:p w14:paraId="289F7BB9">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 防渗、抗冲磨性能好；</w:t>
      </w:r>
    </w:p>
    <w:p w14:paraId="7D869EF8">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（4）强度高、延伸率大，与基础混凝土粘接好；</w:t>
      </w:r>
    </w:p>
    <w:p w14:paraId="76C33402">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（5）耐老化，耐化学腐蚀，抗冻效果好；</w:t>
      </w:r>
    </w:p>
    <w:p w14:paraId="216D14BC">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（6）对混凝土裂缝及伸缩缝表面封闭时可以复合胎基布增强；</w:t>
      </w:r>
    </w:p>
    <w:p w14:paraId="5CBF0166">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（7）局部缺陷修补使用同一种材料，施工简单、方便，便于推广。</w:t>
      </w:r>
    </w:p>
    <w:p w14:paraId="31E31020">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bCs w:val="0"/>
          <w:color w:val="auto"/>
          <w:kern w:val="2"/>
          <w:sz w:val="28"/>
          <w:szCs w:val="22"/>
          <w:highlight w:val="none"/>
          <w:lang w:val="en-US" w:eastAsia="zh-CN" w:bidi="ar-SA"/>
        </w:rPr>
      </w:pPr>
      <w:r>
        <w:rPr>
          <w:rFonts w:hint="eastAsia" w:ascii="宋体" w:hAnsi="宋体" w:eastAsia="宋体" w:cs="宋体"/>
          <w:b/>
          <w:bCs w:val="0"/>
          <w:color w:val="auto"/>
          <w:sz w:val="21"/>
          <w:szCs w:val="21"/>
          <w:highlight w:val="none"/>
          <w:vertAlign w:val="baseline"/>
        </w:rPr>
        <w:t>表</w:t>
      </w:r>
      <w:r>
        <w:rPr>
          <w:rFonts w:hint="eastAsia" w:ascii="宋体" w:hAnsi="宋体" w:eastAsia="宋体" w:cs="宋体"/>
          <w:b/>
          <w:bCs w:val="0"/>
          <w:color w:val="auto"/>
          <w:sz w:val="21"/>
          <w:szCs w:val="21"/>
          <w:highlight w:val="none"/>
          <w:vertAlign w:val="baseline"/>
          <w:lang w:eastAsia="zh-CN"/>
        </w:rPr>
        <w:t>1</w:t>
      </w:r>
      <w:r>
        <w:rPr>
          <w:rFonts w:hint="eastAsia" w:ascii="宋体" w:hAnsi="宋体" w:eastAsia="宋体" w:cs="宋体"/>
          <w:b/>
          <w:bCs w:val="0"/>
          <w:color w:val="auto"/>
          <w:sz w:val="21"/>
          <w:szCs w:val="21"/>
          <w:highlight w:val="none"/>
          <w:vertAlign w:val="baseline"/>
        </w:rPr>
        <w:t>-</w:t>
      </w:r>
      <w:r>
        <w:rPr>
          <w:rFonts w:hint="eastAsia" w:ascii="宋体" w:hAnsi="宋体" w:eastAsia="宋体" w:cs="宋体"/>
          <w:b/>
          <w:bCs w:val="0"/>
          <w:color w:val="auto"/>
          <w:sz w:val="21"/>
          <w:szCs w:val="21"/>
          <w:highlight w:val="none"/>
          <w:vertAlign w:val="baseline"/>
          <w:lang w:val="en-US" w:eastAsia="zh-CN"/>
        </w:rPr>
        <w:t xml:space="preserve">1 </w:t>
      </w:r>
      <w:r>
        <w:rPr>
          <w:rFonts w:hint="eastAsia" w:ascii="宋体" w:hAnsi="宋体" w:eastAsia="宋体" w:cs="宋体"/>
          <w:b/>
          <w:bCs w:val="0"/>
          <w:color w:val="auto"/>
          <w:sz w:val="21"/>
          <w:szCs w:val="21"/>
          <w:highlight w:val="none"/>
          <w:vertAlign w:val="baseline"/>
        </w:rPr>
        <w:t>SK手刮聚脲主要技术指标</w:t>
      </w:r>
    </w:p>
    <w:tbl>
      <w:tblPr>
        <w:tblStyle w:val="1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034"/>
        <w:gridCol w:w="3480"/>
      </w:tblGrid>
      <w:tr w14:paraId="4D1B7B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34" w:type="dxa"/>
            <w:tcBorders>
              <w:tl2br w:val="nil"/>
              <w:tr2bl w:val="nil"/>
            </w:tcBorders>
            <w:noWrap w:val="0"/>
            <w:vAlign w:val="center"/>
          </w:tcPr>
          <w:p w14:paraId="0389DEA0">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   目</w:t>
            </w:r>
          </w:p>
        </w:tc>
        <w:tc>
          <w:tcPr>
            <w:tcW w:w="3480" w:type="dxa"/>
            <w:tcBorders>
              <w:tl2br w:val="nil"/>
              <w:tr2bl w:val="nil"/>
            </w:tcBorders>
            <w:noWrap w:val="0"/>
            <w:vAlign w:val="center"/>
          </w:tcPr>
          <w:p w14:paraId="2887768E">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技术指标</w:t>
            </w:r>
          </w:p>
        </w:tc>
      </w:tr>
      <w:tr w14:paraId="70F6C0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34" w:type="dxa"/>
            <w:tcBorders>
              <w:tl2br w:val="nil"/>
              <w:tr2bl w:val="nil"/>
            </w:tcBorders>
            <w:noWrap w:val="0"/>
            <w:vAlign w:val="center"/>
          </w:tcPr>
          <w:p w14:paraId="5DBF00DB">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拉伸强度，MPa</w:t>
            </w:r>
          </w:p>
        </w:tc>
        <w:tc>
          <w:tcPr>
            <w:tcW w:w="3480" w:type="dxa"/>
            <w:tcBorders>
              <w:tl2br w:val="nil"/>
              <w:tr2bl w:val="nil"/>
            </w:tcBorders>
            <w:noWrap w:val="0"/>
            <w:vAlign w:val="center"/>
          </w:tcPr>
          <w:p w14:paraId="228DEE35">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p>
        </w:tc>
      </w:tr>
      <w:tr w14:paraId="5878D5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34" w:type="dxa"/>
            <w:tcBorders>
              <w:tl2br w:val="nil"/>
              <w:tr2bl w:val="nil"/>
            </w:tcBorders>
            <w:noWrap w:val="0"/>
            <w:vAlign w:val="center"/>
          </w:tcPr>
          <w:p w14:paraId="5D51B873">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扯断伸长率，%</w:t>
            </w:r>
          </w:p>
        </w:tc>
        <w:tc>
          <w:tcPr>
            <w:tcW w:w="3480" w:type="dxa"/>
            <w:tcBorders>
              <w:tl2br w:val="nil"/>
              <w:tr2bl w:val="nil"/>
            </w:tcBorders>
            <w:noWrap w:val="0"/>
            <w:vAlign w:val="center"/>
          </w:tcPr>
          <w:p w14:paraId="38081BAF">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＞150</w:t>
            </w:r>
          </w:p>
        </w:tc>
      </w:tr>
      <w:tr w14:paraId="52552A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34" w:type="dxa"/>
            <w:tcBorders>
              <w:tl2br w:val="nil"/>
              <w:tr2bl w:val="nil"/>
            </w:tcBorders>
            <w:noWrap w:val="0"/>
            <w:vAlign w:val="center"/>
          </w:tcPr>
          <w:p w14:paraId="6E55B3E0">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撕裂强度，kN/m</w:t>
            </w:r>
          </w:p>
        </w:tc>
        <w:tc>
          <w:tcPr>
            <w:tcW w:w="3480" w:type="dxa"/>
            <w:tcBorders>
              <w:tl2br w:val="nil"/>
              <w:tr2bl w:val="nil"/>
            </w:tcBorders>
            <w:noWrap w:val="0"/>
            <w:vAlign w:val="center"/>
          </w:tcPr>
          <w:p w14:paraId="12E6E478">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＞60</w:t>
            </w:r>
          </w:p>
        </w:tc>
      </w:tr>
      <w:tr w14:paraId="38040F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34" w:type="dxa"/>
            <w:tcBorders>
              <w:tl2br w:val="nil"/>
              <w:tr2bl w:val="nil"/>
            </w:tcBorders>
            <w:noWrap w:val="0"/>
            <w:vAlign w:val="center"/>
          </w:tcPr>
          <w:p w14:paraId="095762AE">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硬度，邵A</w:t>
            </w:r>
          </w:p>
        </w:tc>
        <w:tc>
          <w:tcPr>
            <w:tcW w:w="3480" w:type="dxa"/>
            <w:tcBorders>
              <w:tl2br w:val="nil"/>
              <w:tr2bl w:val="nil"/>
            </w:tcBorders>
            <w:noWrap w:val="0"/>
            <w:vAlign w:val="center"/>
          </w:tcPr>
          <w:p w14:paraId="06AAF876">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＞80</w:t>
            </w:r>
          </w:p>
        </w:tc>
      </w:tr>
      <w:tr w14:paraId="67A01C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34" w:type="dxa"/>
            <w:tcBorders>
              <w:tl2br w:val="nil"/>
              <w:tr2bl w:val="nil"/>
            </w:tcBorders>
            <w:noWrap w:val="0"/>
            <w:vAlign w:val="center"/>
          </w:tcPr>
          <w:p w14:paraId="4CF9E156">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附着力（潮湿面），MPa</w:t>
            </w:r>
          </w:p>
        </w:tc>
        <w:tc>
          <w:tcPr>
            <w:tcW w:w="3480" w:type="dxa"/>
            <w:tcBorders>
              <w:tl2br w:val="nil"/>
              <w:tr2bl w:val="nil"/>
            </w:tcBorders>
            <w:noWrap w:val="0"/>
            <w:vAlign w:val="center"/>
          </w:tcPr>
          <w:p w14:paraId="6214040E">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p>
        </w:tc>
      </w:tr>
      <w:tr w14:paraId="6876FA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34" w:type="dxa"/>
            <w:tcBorders>
              <w:tl2br w:val="nil"/>
              <w:tr2bl w:val="nil"/>
            </w:tcBorders>
            <w:noWrap w:val="0"/>
            <w:vAlign w:val="center"/>
          </w:tcPr>
          <w:p w14:paraId="6975FB41">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吸水率，%</w:t>
            </w:r>
          </w:p>
        </w:tc>
        <w:tc>
          <w:tcPr>
            <w:tcW w:w="3480" w:type="dxa"/>
            <w:tcBorders>
              <w:tl2br w:val="nil"/>
              <w:tr2bl w:val="nil"/>
            </w:tcBorders>
            <w:noWrap w:val="0"/>
            <w:vAlign w:val="center"/>
          </w:tcPr>
          <w:p w14:paraId="1D50CD62">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r>
      <w:tr w14:paraId="6755D1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34" w:type="dxa"/>
            <w:tcBorders>
              <w:tl2br w:val="nil"/>
              <w:tr2bl w:val="nil"/>
            </w:tcBorders>
            <w:noWrap w:val="0"/>
            <w:vAlign w:val="center"/>
          </w:tcPr>
          <w:p w14:paraId="3FA4AF82">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颜色</w:t>
            </w:r>
          </w:p>
        </w:tc>
        <w:tc>
          <w:tcPr>
            <w:tcW w:w="3480" w:type="dxa"/>
            <w:tcBorders>
              <w:tl2br w:val="nil"/>
              <w:tr2bl w:val="nil"/>
            </w:tcBorders>
            <w:noWrap w:val="0"/>
            <w:vAlign w:val="center"/>
          </w:tcPr>
          <w:p w14:paraId="584F98A6">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浅灰色，可调</w:t>
            </w:r>
          </w:p>
        </w:tc>
      </w:tr>
    </w:tbl>
    <w:p w14:paraId="4A435920">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B  聚氨酯灌浆材料</w:t>
      </w:r>
    </w:p>
    <w:p w14:paraId="0B4D0F39">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用于裂缝内部化学灌浆的材料为高强聚氨酯，膨胀率较小，但有一定强度，是一种在防水工程中普遍使用的灌浆材料，其具有遇水固结及膨胀的特性，具有较好的止水效果。该材料可灌性好，当聚氨酯被灌入含水的混凝土裂缝中时，迅速与水反应，形成不溶于水和不透水的凝胶体，在与水反应的同时产生CO</w:t>
      </w:r>
      <w:r>
        <w:rPr>
          <w:rFonts w:hint="eastAsia" w:ascii="宋体" w:hAnsi="宋体" w:eastAsia="宋体" w:cs="宋体"/>
          <w:b w:val="0"/>
          <w:bCs w:val="0"/>
          <w:color w:val="auto"/>
          <w:kern w:val="2"/>
          <w:sz w:val="24"/>
          <w:szCs w:val="24"/>
          <w:highlight w:val="none"/>
          <w:vertAlign w:val="subscript"/>
          <w:lang w:val="en-US" w:eastAsia="zh-CN" w:bidi="ar-SA"/>
        </w:rPr>
        <w:t>2</w:t>
      </w:r>
      <w:r>
        <w:rPr>
          <w:rFonts w:hint="eastAsia" w:ascii="宋体" w:hAnsi="宋体" w:eastAsia="宋体" w:cs="宋体"/>
          <w:b w:val="0"/>
          <w:bCs w:val="0"/>
          <w:color w:val="auto"/>
          <w:kern w:val="2"/>
          <w:sz w:val="24"/>
          <w:szCs w:val="24"/>
          <w:highlight w:val="none"/>
          <w:lang w:val="en-US" w:eastAsia="zh-CN" w:bidi="ar-SA"/>
        </w:rPr>
        <w:t>气体，这样边凝固边膨胀，体积膨胀几倍，形成二次渗透扩散现象（灌浆压力形成一次渗透扩散），从而达到堵水止漏的效果。其性能指标见表</w:t>
      </w: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b w:val="0"/>
          <w:bCs w:val="0"/>
          <w:color w:val="auto"/>
          <w:kern w:val="2"/>
          <w:sz w:val="24"/>
          <w:szCs w:val="24"/>
          <w:highlight w:val="none"/>
          <w:lang w:val="en-US" w:eastAsia="zh-CN" w:bidi="ar-SA"/>
        </w:rPr>
        <w:t>。</w:t>
      </w:r>
    </w:p>
    <w:p w14:paraId="25EFFDD0">
      <w:pPr>
        <w:kinsoku/>
        <w:wordWrap/>
        <w:overflowPunct/>
        <w:topLinePunct w:val="0"/>
        <w:bidi w:val="0"/>
        <w:ind w:left="0" w:leftChars="0"/>
        <w:jc w:val="center"/>
        <w:rPr>
          <w:rFonts w:hint="eastAsia" w:ascii="宋体" w:hAnsi="宋体" w:eastAsia="宋体" w:cs="宋体"/>
          <w:b/>
          <w:bCs w:val="0"/>
          <w:color w:val="auto"/>
          <w:szCs w:val="21"/>
          <w:highlight w:val="none"/>
        </w:rPr>
      </w:pPr>
      <w:r>
        <w:rPr>
          <w:rFonts w:hint="eastAsia" w:ascii="宋体" w:hAnsi="宋体" w:eastAsia="宋体" w:cs="宋体"/>
          <w:b/>
          <w:bCs w:val="0"/>
          <w:color w:val="auto"/>
          <w:sz w:val="21"/>
          <w:szCs w:val="21"/>
          <w:highlight w:val="none"/>
        </w:rPr>
        <w:t>表</w:t>
      </w:r>
      <w:r>
        <w:rPr>
          <w:rFonts w:hint="eastAsia" w:ascii="宋体" w:hAnsi="宋体" w:eastAsia="宋体" w:cs="宋体"/>
          <w:b/>
          <w:bCs w:val="0"/>
          <w:color w:val="auto"/>
          <w:sz w:val="21"/>
          <w:szCs w:val="21"/>
          <w:highlight w:val="none"/>
          <w:lang w:eastAsia="zh-CN"/>
        </w:rPr>
        <w:t>1</w:t>
      </w:r>
      <w:r>
        <w:rPr>
          <w:rFonts w:hint="eastAsia" w:ascii="宋体" w:hAnsi="宋体" w:eastAsia="宋体" w:cs="宋体"/>
          <w:b/>
          <w:bCs w:val="0"/>
          <w:color w:val="auto"/>
          <w:sz w:val="21"/>
          <w:szCs w:val="21"/>
          <w:highlight w:val="none"/>
        </w:rPr>
        <w:t>-</w:t>
      </w:r>
      <w:r>
        <w:rPr>
          <w:rFonts w:hint="eastAsia" w:ascii="宋体" w:hAnsi="宋体" w:eastAsia="宋体" w:cs="宋体"/>
          <w:b/>
          <w:bCs w:val="0"/>
          <w:color w:val="auto"/>
          <w:sz w:val="21"/>
          <w:szCs w:val="21"/>
          <w:highlight w:val="none"/>
          <w:lang w:val="en-US" w:eastAsia="zh-CN"/>
        </w:rPr>
        <w:t>2</w:t>
      </w:r>
      <w:r>
        <w:rPr>
          <w:rFonts w:hint="eastAsia" w:ascii="宋体" w:hAnsi="宋体" w:eastAsia="宋体" w:cs="宋体"/>
          <w:b/>
          <w:bCs w:val="0"/>
          <w:color w:val="auto"/>
          <w:sz w:val="21"/>
          <w:szCs w:val="21"/>
          <w:highlight w:val="none"/>
        </w:rPr>
        <w:t xml:space="preserve">  高强聚氨酯灌浆材料性能指标</w:t>
      </w:r>
    </w:p>
    <w:tbl>
      <w:tblPr>
        <w:tblStyle w:val="1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394"/>
        <w:gridCol w:w="2172"/>
        <w:gridCol w:w="1947"/>
      </w:tblGrid>
      <w:tr w14:paraId="6A5C86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394" w:type="dxa"/>
            <w:tcBorders>
              <w:tl2br w:val="nil"/>
              <w:tr2bl w:val="nil"/>
            </w:tcBorders>
            <w:noWrap w:val="0"/>
            <w:vAlign w:val="center"/>
          </w:tcPr>
          <w:p w14:paraId="4527A420">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检测项目</w:t>
            </w:r>
          </w:p>
        </w:tc>
        <w:tc>
          <w:tcPr>
            <w:tcW w:w="2172" w:type="dxa"/>
            <w:tcBorders>
              <w:tl2br w:val="nil"/>
              <w:tr2bl w:val="nil"/>
            </w:tcBorders>
            <w:noWrap w:val="0"/>
            <w:vAlign w:val="center"/>
          </w:tcPr>
          <w:p w14:paraId="05E15935">
            <w:pPr>
              <w:keepNext w:val="0"/>
              <w:keepLines w:val="0"/>
              <w:pageBreakBefore w:val="0"/>
              <w:widowControl/>
              <w:kinsoku/>
              <w:wordWrap/>
              <w:overflowPunct/>
              <w:topLinePunct w:val="0"/>
              <w:autoSpaceDE/>
              <w:autoSpaceDN/>
              <w:bidi w:val="0"/>
              <w:adjustRightIn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w:t>
            </w:r>
          </w:p>
        </w:tc>
        <w:tc>
          <w:tcPr>
            <w:tcW w:w="1947" w:type="dxa"/>
            <w:tcBorders>
              <w:tl2br w:val="nil"/>
              <w:tr2bl w:val="nil"/>
            </w:tcBorders>
            <w:noWrap w:val="0"/>
            <w:vAlign w:val="center"/>
          </w:tcPr>
          <w:p w14:paraId="24C47646">
            <w:pPr>
              <w:keepNext w:val="0"/>
              <w:keepLines w:val="0"/>
              <w:pageBreakBefore w:val="0"/>
              <w:widowControl/>
              <w:kinsoku/>
              <w:wordWrap/>
              <w:overflowPunct/>
              <w:topLinePunct w:val="0"/>
              <w:autoSpaceDE/>
              <w:autoSpaceDN/>
              <w:bidi w:val="0"/>
              <w:adjustRightIn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实测值</w:t>
            </w:r>
          </w:p>
        </w:tc>
      </w:tr>
      <w:tr w14:paraId="3F9219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394" w:type="dxa"/>
            <w:tcBorders>
              <w:tl2br w:val="nil"/>
              <w:tr2bl w:val="nil"/>
            </w:tcBorders>
            <w:noWrap w:val="0"/>
            <w:vAlign w:val="center"/>
          </w:tcPr>
          <w:p w14:paraId="50A93BB0">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粘度（25℃，mpa•s）</w:t>
            </w:r>
          </w:p>
        </w:tc>
        <w:tc>
          <w:tcPr>
            <w:tcW w:w="2172" w:type="dxa"/>
            <w:tcBorders>
              <w:tl2br w:val="nil"/>
              <w:tr2bl w:val="nil"/>
            </w:tcBorders>
            <w:noWrap w:val="0"/>
            <w:vAlign w:val="center"/>
          </w:tcPr>
          <w:p w14:paraId="29CE4645">
            <w:pPr>
              <w:keepNext w:val="0"/>
              <w:keepLines w:val="0"/>
              <w:pageBreakBefore w:val="0"/>
              <w:widowControl/>
              <w:kinsoku/>
              <w:wordWrap/>
              <w:overflowPunct/>
              <w:topLinePunct w:val="0"/>
              <w:autoSpaceDE/>
              <w:autoSpaceDN/>
              <w:bidi w:val="0"/>
              <w:adjustRightIn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40～100</w:t>
            </w:r>
          </w:p>
        </w:tc>
        <w:tc>
          <w:tcPr>
            <w:tcW w:w="1947" w:type="dxa"/>
            <w:tcBorders>
              <w:tl2br w:val="nil"/>
              <w:tr2bl w:val="nil"/>
            </w:tcBorders>
            <w:noWrap w:val="0"/>
            <w:vAlign w:val="center"/>
          </w:tcPr>
          <w:p w14:paraId="60E2B9D3">
            <w:pPr>
              <w:keepNext w:val="0"/>
              <w:keepLines w:val="0"/>
              <w:pageBreakBefore w:val="0"/>
              <w:widowControl/>
              <w:kinsoku/>
              <w:wordWrap/>
              <w:overflowPunct/>
              <w:topLinePunct w:val="0"/>
              <w:autoSpaceDE/>
              <w:autoSpaceDN/>
              <w:bidi w:val="0"/>
              <w:adjustRightIn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65</w:t>
            </w:r>
          </w:p>
        </w:tc>
      </w:tr>
      <w:tr w14:paraId="1F2CB4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394" w:type="dxa"/>
            <w:tcBorders>
              <w:tl2br w:val="nil"/>
              <w:tr2bl w:val="nil"/>
            </w:tcBorders>
            <w:noWrap w:val="0"/>
            <w:vAlign w:val="center"/>
          </w:tcPr>
          <w:p w14:paraId="3E3DCD48">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凝胶时间（min）浆液:水=100:3</w:t>
            </w:r>
          </w:p>
        </w:tc>
        <w:tc>
          <w:tcPr>
            <w:tcW w:w="2172" w:type="dxa"/>
            <w:tcBorders>
              <w:tl2br w:val="nil"/>
              <w:tr2bl w:val="nil"/>
            </w:tcBorders>
            <w:noWrap w:val="0"/>
            <w:vAlign w:val="center"/>
          </w:tcPr>
          <w:p w14:paraId="2491C99B">
            <w:pPr>
              <w:keepNext w:val="0"/>
              <w:keepLines w:val="0"/>
              <w:pageBreakBefore w:val="0"/>
              <w:widowControl/>
              <w:kinsoku/>
              <w:wordWrap/>
              <w:overflowPunct/>
              <w:topLinePunct w:val="0"/>
              <w:autoSpaceDE/>
              <w:autoSpaceDN/>
              <w:bidi w:val="0"/>
              <w:adjustRightIn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w:t>
            </w:r>
          </w:p>
        </w:tc>
        <w:tc>
          <w:tcPr>
            <w:tcW w:w="1947" w:type="dxa"/>
            <w:tcBorders>
              <w:tl2br w:val="nil"/>
              <w:tr2bl w:val="nil"/>
            </w:tcBorders>
            <w:noWrap w:val="0"/>
            <w:vAlign w:val="center"/>
          </w:tcPr>
          <w:p w14:paraId="78E04E9D">
            <w:pPr>
              <w:keepNext w:val="0"/>
              <w:keepLines w:val="0"/>
              <w:pageBreakBefore w:val="0"/>
              <w:widowControl/>
              <w:kinsoku/>
              <w:wordWrap/>
              <w:overflowPunct/>
              <w:topLinePunct w:val="0"/>
              <w:autoSpaceDE/>
              <w:autoSpaceDN/>
              <w:bidi w:val="0"/>
              <w:adjustRightIn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w:t>
            </w:r>
          </w:p>
        </w:tc>
      </w:tr>
      <w:tr w14:paraId="4EB7D2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394" w:type="dxa"/>
            <w:tcBorders>
              <w:tl2br w:val="nil"/>
              <w:tr2bl w:val="nil"/>
            </w:tcBorders>
            <w:noWrap w:val="0"/>
            <w:vAlign w:val="center"/>
          </w:tcPr>
          <w:p w14:paraId="43E7F3A5">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粘接强度（MPa）（干燥）</w:t>
            </w:r>
          </w:p>
        </w:tc>
        <w:tc>
          <w:tcPr>
            <w:tcW w:w="2172" w:type="dxa"/>
            <w:tcBorders>
              <w:tl2br w:val="nil"/>
              <w:tr2bl w:val="nil"/>
            </w:tcBorders>
            <w:noWrap w:val="0"/>
            <w:vAlign w:val="center"/>
          </w:tcPr>
          <w:p w14:paraId="1EC51F08">
            <w:pPr>
              <w:keepNext w:val="0"/>
              <w:keepLines w:val="0"/>
              <w:pageBreakBefore w:val="0"/>
              <w:widowControl/>
              <w:kinsoku/>
              <w:wordWrap/>
              <w:overflowPunct/>
              <w:topLinePunct w:val="0"/>
              <w:autoSpaceDE/>
              <w:autoSpaceDN/>
              <w:bidi w:val="0"/>
              <w:adjustRightIn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p>
        </w:tc>
        <w:tc>
          <w:tcPr>
            <w:tcW w:w="1947" w:type="dxa"/>
            <w:tcBorders>
              <w:tl2br w:val="nil"/>
              <w:tr2bl w:val="nil"/>
            </w:tcBorders>
            <w:noWrap w:val="0"/>
            <w:vAlign w:val="center"/>
          </w:tcPr>
          <w:p w14:paraId="67BA0706">
            <w:pPr>
              <w:keepNext w:val="0"/>
              <w:keepLines w:val="0"/>
              <w:pageBreakBefore w:val="0"/>
              <w:widowControl/>
              <w:kinsoku/>
              <w:wordWrap/>
              <w:overflowPunct/>
              <w:topLinePunct w:val="0"/>
              <w:autoSpaceDE/>
              <w:autoSpaceDN/>
              <w:bidi w:val="0"/>
              <w:adjustRightIn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p>
        </w:tc>
      </w:tr>
      <w:tr w14:paraId="077478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394" w:type="dxa"/>
            <w:tcBorders>
              <w:tl2br w:val="nil"/>
              <w:tr2bl w:val="nil"/>
            </w:tcBorders>
            <w:noWrap w:val="0"/>
            <w:vAlign w:val="center"/>
          </w:tcPr>
          <w:p w14:paraId="57A2F7A4">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粘接强度（MPa）(饱和面干)</w:t>
            </w:r>
          </w:p>
        </w:tc>
        <w:tc>
          <w:tcPr>
            <w:tcW w:w="2172" w:type="dxa"/>
            <w:tcBorders>
              <w:tl2br w:val="nil"/>
              <w:tr2bl w:val="nil"/>
            </w:tcBorders>
            <w:noWrap w:val="0"/>
            <w:vAlign w:val="center"/>
          </w:tcPr>
          <w:p w14:paraId="4D0119F1">
            <w:pPr>
              <w:keepNext w:val="0"/>
              <w:keepLines w:val="0"/>
              <w:pageBreakBefore w:val="0"/>
              <w:widowControl/>
              <w:kinsoku/>
              <w:wordWrap/>
              <w:overflowPunct/>
              <w:topLinePunct w:val="0"/>
              <w:autoSpaceDE/>
              <w:autoSpaceDN/>
              <w:bidi w:val="0"/>
              <w:adjustRightIn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p>
        </w:tc>
        <w:tc>
          <w:tcPr>
            <w:tcW w:w="1947" w:type="dxa"/>
            <w:tcBorders>
              <w:tl2br w:val="nil"/>
              <w:tr2bl w:val="nil"/>
            </w:tcBorders>
            <w:noWrap w:val="0"/>
            <w:vAlign w:val="center"/>
          </w:tcPr>
          <w:p w14:paraId="3C6FE300">
            <w:pPr>
              <w:keepNext w:val="0"/>
              <w:keepLines w:val="0"/>
              <w:pageBreakBefore w:val="0"/>
              <w:widowControl/>
              <w:kinsoku/>
              <w:wordWrap/>
              <w:overflowPunct/>
              <w:topLinePunct w:val="0"/>
              <w:autoSpaceDE/>
              <w:autoSpaceDN/>
              <w:bidi w:val="0"/>
              <w:adjustRightIn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p>
        </w:tc>
      </w:tr>
    </w:tbl>
    <w:p w14:paraId="11FC8213">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C  PCS柔性防碳化涂料</w:t>
      </w:r>
    </w:p>
    <w:p w14:paraId="6BC6AA9E">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PCS型抗冲磨防碳化涂料的主要性能如下：</w:t>
      </w:r>
    </w:p>
    <w:p w14:paraId="061EF1AD">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（1）抗渗性：在水压力2.0MPa时，稳定24小时不渗水；</w:t>
      </w:r>
    </w:p>
    <w:p w14:paraId="11EED75D">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（2）涂层材料与基层混凝土间的粘结强度大于1.0 MPa；</w:t>
      </w:r>
    </w:p>
    <w:p w14:paraId="55A040D3">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（3）材料的拉伸性能：断裂伸长率大于50%，拉断强度大于1.5 MPa。</w:t>
      </w:r>
    </w:p>
    <w:p w14:paraId="0C671B86">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D 高弹性聚脲砂浆</w:t>
      </w:r>
    </w:p>
    <w:p w14:paraId="225D1264">
      <w:pPr>
        <w:spacing w:line="360" w:lineRule="auto"/>
        <w:ind w:firstLine="480" w:firstLineChars="200"/>
        <w:rPr>
          <w:rFonts w:hint="eastAsia" w:ascii="宋体" w:hAnsi="宋体" w:eastAsia="宋体" w:cs="宋体"/>
          <w:sz w:val="24"/>
          <w:szCs w:val="24"/>
        </w:rPr>
      </w:pPr>
      <w:r>
        <w:rPr>
          <w:rFonts w:hint="eastAsia" w:ascii="宋体" w:hAnsi="宋体" w:eastAsia="宋体" w:cs="宋体"/>
          <w:b w:val="0"/>
          <w:bCs w:val="0"/>
          <w:color w:val="auto"/>
          <w:kern w:val="2"/>
          <w:sz w:val="24"/>
          <w:szCs w:val="24"/>
          <w:highlight w:val="none"/>
          <w:lang w:val="en-US" w:eastAsia="zh-CN" w:bidi="ar-SA"/>
        </w:rPr>
        <w:t>高弹性聚脲砂浆修补材料最大的特点是有极佳的弹性，弹性模量为16～50MPa，比普通砂浆低1000倍左右，其最大拉伸率大概在10%～30%之间（根据配比不同而异），压缩50%后可以完全恢复，因此具有良好的抗裂性和变形性，这一特点使其在混凝土薄层修补时优势明显。可以用于混凝土结构缝内嵌缝，已在多个工程中成功应用。高弹性聚脲砂浆性能指标见表</w:t>
      </w: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b w:val="0"/>
          <w:bCs w:val="0"/>
          <w:color w:val="auto"/>
          <w:kern w:val="2"/>
          <w:sz w:val="24"/>
          <w:szCs w:val="24"/>
          <w:highlight w:val="none"/>
          <w:lang w:val="en-US" w:eastAsia="zh-CN" w:bidi="ar-SA"/>
        </w:rPr>
        <w:t>。</w:t>
      </w:r>
    </w:p>
    <w:p w14:paraId="7B46DEDD">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表</w:t>
      </w:r>
      <w:r>
        <w:rPr>
          <w:rFonts w:hint="eastAsia" w:ascii="宋体" w:hAnsi="宋体" w:eastAsia="宋体" w:cs="宋体"/>
          <w:b/>
          <w:bCs w:val="0"/>
          <w:color w:val="auto"/>
          <w:sz w:val="21"/>
          <w:szCs w:val="21"/>
          <w:highlight w:val="none"/>
          <w:lang w:eastAsia="zh-CN"/>
        </w:rPr>
        <w:t>1</w:t>
      </w:r>
      <w:r>
        <w:rPr>
          <w:rFonts w:hint="eastAsia" w:ascii="宋体" w:hAnsi="宋体" w:eastAsia="宋体" w:cs="宋体"/>
          <w:b/>
          <w:bCs w:val="0"/>
          <w:color w:val="auto"/>
          <w:sz w:val="21"/>
          <w:szCs w:val="21"/>
          <w:highlight w:val="none"/>
        </w:rPr>
        <w:t>-</w:t>
      </w:r>
      <w:r>
        <w:rPr>
          <w:rFonts w:hint="eastAsia" w:ascii="宋体" w:hAnsi="宋体" w:eastAsia="宋体" w:cs="宋体"/>
          <w:b/>
          <w:bCs w:val="0"/>
          <w:color w:val="auto"/>
          <w:sz w:val="21"/>
          <w:szCs w:val="21"/>
          <w:highlight w:val="none"/>
          <w:lang w:val="en-US" w:eastAsia="zh-CN"/>
        </w:rPr>
        <w:t>3</w:t>
      </w:r>
      <w:r>
        <w:rPr>
          <w:rFonts w:hint="eastAsia" w:ascii="宋体" w:hAnsi="宋体" w:eastAsia="宋体" w:cs="宋体"/>
          <w:b/>
          <w:bCs w:val="0"/>
          <w:color w:val="auto"/>
          <w:sz w:val="21"/>
          <w:szCs w:val="21"/>
          <w:highlight w:val="none"/>
        </w:rPr>
        <w:t xml:space="preserve">  高弹性</w:t>
      </w:r>
      <w:r>
        <w:rPr>
          <w:rFonts w:hint="eastAsia" w:ascii="宋体" w:hAnsi="宋体" w:eastAsia="宋体" w:cs="宋体"/>
          <w:b/>
          <w:bCs w:val="0"/>
          <w:color w:val="auto"/>
          <w:sz w:val="21"/>
          <w:szCs w:val="21"/>
          <w:highlight w:val="none"/>
          <w:lang w:val="en-US" w:eastAsia="zh-CN"/>
        </w:rPr>
        <w:t>聚脲</w:t>
      </w:r>
      <w:r>
        <w:rPr>
          <w:rFonts w:hint="eastAsia" w:ascii="宋体" w:hAnsi="宋体" w:eastAsia="宋体" w:cs="宋体"/>
          <w:b/>
          <w:bCs w:val="0"/>
          <w:color w:val="auto"/>
          <w:sz w:val="21"/>
          <w:szCs w:val="21"/>
          <w:highlight w:val="none"/>
        </w:rPr>
        <w:t>砂浆技术指标</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
        <w:gridCol w:w="3444"/>
        <w:gridCol w:w="1768"/>
        <w:gridCol w:w="2373"/>
      </w:tblGrid>
      <w:tr w14:paraId="306D8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 w:type="dxa"/>
            <w:tcBorders>
              <w:top w:val="single" w:color="auto" w:sz="4" w:space="0"/>
              <w:left w:val="single" w:color="auto" w:sz="4" w:space="0"/>
              <w:bottom w:val="single" w:color="auto" w:sz="4" w:space="0"/>
              <w:right w:val="single" w:color="auto" w:sz="4" w:space="0"/>
            </w:tcBorders>
            <w:noWrap w:val="0"/>
            <w:vAlign w:val="top"/>
          </w:tcPr>
          <w:p w14:paraId="02F6D89F">
            <w:pPr>
              <w:spacing w:line="276" w:lineRule="auto"/>
              <w:ind w:left="0" w:leftChars="0" w:firstLine="0" w:firstLineChars="0"/>
              <w:jc w:val="both"/>
              <w:rPr>
                <w:rFonts w:hint="eastAsia" w:ascii="宋体" w:hAnsi="宋体" w:eastAsia="宋体" w:cs="宋体"/>
                <w:sz w:val="24"/>
                <w:szCs w:val="24"/>
              </w:rPr>
            </w:pPr>
            <w:r>
              <w:rPr>
                <w:rFonts w:hint="eastAsia" w:ascii="宋体" w:hAnsi="宋体" w:eastAsia="宋体" w:cs="宋体"/>
                <w:sz w:val="24"/>
                <w:szCs w:val="24"/>
              </w:rPr>
              <w:t>序号</w:t>
            </w:r>
          </w:p>
        </w:tc>
        <w:tc>
          <w:tcPr>
            <w:tcW w:w="3444" w:type="dxa"/>
            <w:tcBorders>
              <w:top w:val="single" w:color="auto" w:sz="4" w:space="0"/>
              <w:left w:val="single" w:color="auto" w:sz="4" w:space="0"/>
              <w:bottom w:val="single" w:color="auto" w:sz="4" w:space="0"/>
              <w:right w:val="single" w:color="auto" w:sz="4" w:space="0"/>
            </w:tcBorders>
            <w:noWrap w:val="0"/>
            <w:vAlign w:val="top"/>
          </w:tcPr>
          <w:p w14:paraId="2ACC5672">
            <w:pPr>
              <w:spacing w:line="276" w:lineRule="auto"/>
              <w:jc w:val="center"/>
              <w:rPr>
                <w:rFonts w:hint="eastAsia" w:ascii="宋体" w:hAnsi="宋体" w:eastAsia="宋体" w:cs="宋体"/>
                <w:sz w:val="24"/>
                <w:szCs w:val="24"/>
              </w:rPr>
            </w:pPr>
            <w:r>
              <w:rPr>
                <w:rFonts w:hint="eastAsia" w:ascii="宋体" w:hAnsi="宋体" w:eastAsia="宋体" w:cs="宋体"/>
                <w:sz w:val="24"/>
                <w:szCs w:val="24"/>
              </w:rPr>
              <w:t>项目</w:t>
            </w:r>
          </w:p>
        </w:tc>
        <w:tc>
          <w:tcPr>
            <w:tcW w:w="1768" w:type="dxa"/>
            <w:tcBorders>
              <w:top w:val="single" w:color="auto" w:sz="4" w:space="0"/>
              <w:left w:val="single" w:color="auto" w:sz="4" w:space="0"/>
              <w:bottom w:val="single" w:color="auto" w:sz="4" w:space="0"/>
              <w:right w:val="single" w:color="auto" w:sz="4" w:space="0"/>
            </w:tcBorders>
            <w:noWrap w:val="0"/>
            <w:vAlign w:val="top"/>
          </w:tcPr>
          <w:p w14:paraId="46DAEC0C">
            <w:pPr>
              <w:spacing w:line="276" w:lineRule="auto"/>
              <w:jc w:val="center"/>
              <w:rPr>
                <w:rFonts w:hint="eastAsia" w:ascii="宋体" w:hAnsi="宋体" w:eastAsia="宋体" w:cs="宋体"/>
                <w:sz w:val="24"/>
                <w:szCs w:val="24"/>
              </w:rPr>
            </w:pPr>
            <w:r>
              <w:rPr>
                <w:rFonts w:hint="eastAsia" w:ascii="宋体" w:hAnsi="宋体" w:eastAsia="宋体" w:cs="宋体"/>
                <w:sz w:val="24"/>
                <w:szCs w:val="24"/>
              </w:rPr>
              <w:t>指标</w:t>
            </w:r>
          </w:p>
        </w:tc>
        <w:tc>
          <w:tcPr>
            <w:tcW w:w="2373" w:type="dxa"/>
            <w:tcBorders>
              <w:top w:val="single" w:color="auto" w:sz="4" w:space="0"/>
              <w:left w:val="single" w:color="auto" w:sz="4" w:space="0"/>
              <w:bottom w:val="single" w:color="auto" w:sz="4" w:space="0"/>
              <w:right w:val="single" w:color="auto" w:sz="4" w:space="0"/>
            </w:tcBorders>
            <w:noWrap w:val="0"/>
            <w:vAlign w:val="top"/>
          </w:tcPr>
          <w:p w14:paraId="0F9CBABD">
            <w:pPr>
              <w:spacing w:line="276" w:lineRule="auto"/>
              <w:jc w:val="center"/>
              <w:rPr>
                <w:rFonts w:hint="eastAsia" w:ascii="宋体" w:hAnsi="宋体" w:eastAsia="宋体" w:cs="宋体"/>
                <w:sz w:val="24"/>
                <w:szCs w:val="24"/>
              </w:rPr>
            </w:pPr>
            <w:r>
              <w:rPr>
                <w:rFonts w:hint="eastAsia" w:ascii="宋体" w:hAnsi="宋体" w:eastAsia="宋体" w:cs="宋体"/>
                <w:sz w:val="24"/>
                <w:szCs w:val="24"/>
              </w:rPr>
              <w:t>备注</w:t>
            </w:r>
          </w:p>
        </w:tc>
      </w:tr>
      <w:tr w14:paraId="389AF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928" w:type="dxa"/>
            <w:tcBorders>
              <w:top w:val="single" w:color="auto" w:sz="4" w:space="0"/>
              <w:left w:val="single" w:color="auto" w:sz="4" w:space="0"/>
              <w:bottom w:val="single" w:color="auto" w:sz="4" w:space="0"/>
              <w:right w:val="single" w:color="auto" w:sz="4" w:space="0"/>
            </w:tcBorders>
            <w:noWrap w:val="0"/>
            <w:vAlign w:val="top"/>
          </w:tcPr>
          <w:p w14:paraId="66274458">
            <w:pPr>
              <w:spacing w:line="276"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3444" w:type="dxa"/>
            <w:tcBorders>
              <w:top w:val="single" w:color="auto" w:sz="4" w:space="0"/>
              <w:left w:val="single" w:color="auto" w:sz="4" w:space="0"/>
              <w:bottom w:val="single" w:color="auto" w:sz="4" w:space="0"/>
              <w:right w:val="single" w:color="auto" w:sz="4" w:space="0"/>
            </w:tcBorders>
            <w:noWrap w:val="0"/>
            <w:vAlign w:val="top"/>
          </w:tcPr>
          <w:p w14:paraId="69C0B6DD">
            <w:pPr>
              <w:spacing w:line="276" w:lineRule="auto"/>
              <w:jc w:val="center"/>
              <w:rPr>
                <w:rFonts w:hint="eastAsia" w:ascii="宋体" w:hAnsi="宋体" w:eastAsia="宋体" w:cs="宋体"/>
                <w:sz w:val="24"/>
                <w:szCs w:val="24"/>
              </w:rPr>
            </w:pPr>
            <w:r>
              <w:rPr>
                <w:rFonts w:hint="eastAsia" w:ascii="宋体" w:hAnsi="宋体" w:eastAsia="宋体" w:cs="宋体"/>
                <w:sz w:val="24"/>
                <w:szCs w:val="24"/>
              </w:rPr>
              <w:t>拉伸强度（MPa）</w:t>
            </w:r>
          </w:p>
        </w:tc>
        <w:tc>
          <w:tcPr>
            <w:tcW w:w="1768" w:type="dxa"/>
            <w:tcBorders>
              <w:top w:val="single" w:color="auto" w:sz="4" w:space="0"/>
              <w:left w:val="single" w:color="auto" w:sz="4" w:space="0"/>
              <w:bottom w:val="single" w:color="auto" w:sz="4" w:space="0"/>
              <w:right w:val="single" w:color="auto" w:sz="4" w:space="0"/>
            </w:tcBorders>
            <w:noWrap w:val="0"/>
            <w:vAlign w:val="top"/>
          </w:tcPr>
          <w:p w14:paraId="75F631DF">
            <w:pPr>
              <w:spacing w:line="276" w:lineRule="auto"/>
              <w:jc w:val="center"/>
              <w:rPr>
                <w:rFonts w:hint="eastAsia" w:ascii="宋体" w:hAnsi="宋体" w:eastAsia="宋体" w:cs="宋体"/>
                <w:sz w:val="24"/>
                <w:szCs w:val="24"/>
              </w:rPr>
            </w:pPr>
            <w:r>
              <w:rPr>
                <w:rFonts w:hint="eastAsia" w:ascii="宋体" w:hAnsi="宋体" w:eastAsia="宋体" w:cs="宋体"/>
                <w:sz w:val="24"/>
                <w:szCs w:val="24"/>
              </w:rPr>
              <w:t>≥2.0</w:t>
            </w:r>
          </w:p>
        </w:tc>
        <w:tc>
          <w:tcPr>
            <w:tcW w:w="2373" w:type="dxa"/>
            <w:tcBorders>
              <w:top w:val="single" w:color="auto" w:sz="4" w:space="0"/>
              <w:left w:val="single" w:color="auto" w:sz="4" w:space="0"/>
              <w:bottom w:val="single" w:color="auto" w:sz="4" w:space="0"/>
              <w:right w:val="single" w:color="auto" w:sz="4" w:space="0"/>
            </w:tcBorders>
            <w:noWrap w:val="0"/>
            <w:vAlign w:val="top"/>
          </w:tcPr>
          <w:p w14:paraId="35ACBA9D">
            <w:pPr>
              <w:spacing w:line="276" w:lineRule="auto"/>
              <w:jc w:val="center"/>
              <w:rPr>
                <w:rFonts w:hint="eastAsia" w:ascii="宋体" w:hAnsi="宋体" w:eastAsia="宋体" w:cs="宋体"/>
                <w:sz w:val="24"/>
                <w:szCs w:val="24"/>
              </w:rPr>
            </w:pPr>
            <w:r>
              <w:rPr>
                <w:rFonts w:hint="eastAsia" w:ascii="宋体" w:hAnsi="宋体" w:eastAsia="宋体" w:cs="宋体"/>
                <w:sz w:val="24"/>
                <w:szCs w:val="24"/>
              </w:rPr>
              <w:t>23℃，28天</w:t>
            </w:r>
          </w:p>
        </w:tc>
      </w:tr>
      <w:tr w14:paraId="75BDB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 w:type="dxa"/>
            <w:tcBorders>
              <w:top w:val="single" w:color="auto" w:sz="4" w:space="0"/>
              <w:left w:val="single" w:color="auto" w:sz="4" w:space="0"/>
              <w:bottom w:val="single" w:color="auto" w:sz="4" w:space="0"/>
              <w:right w:val="single" w:color="auto" w:sz="4" w:space="0"/>
            </w:tcBorders>
            <w:noWrap w:val="0"/>
            <w:vAlign w:val="top"/>
          </w:tcPr>
          <w:p w14:paraId="36D11BE4">
            <w:pPr>
              <w:spacing w:line="276"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3444" w:type="dxa"/>
            <w:tcBorders>
              <w:top w:val="single" w:color="auto" w:sz="4" w:space="0"/>
              <w:left w:val="single" w:color="auto" w:sz="4" w:space="0"/>
              <w:bottom w:val="single" w:color="auto" w:sz="4" w:space="0"/>
              <w:right w:val="single" w:color="auto" w:sz="4" w:space="0"/>
            </w:tcBorders>
            <w:noWrap w:val="0"/>
            <w:vAlign w:val="top"/>
          </w:tcPr>
          <w:p w14:paraId="0325770F">
            <w:pPr>
              <w:spacing w:line="276" w:lineRule="auto"/>
              <w:jc w:val="center"/>
              <w:rPr>
                <w:rFonts w:hint="eastAsia" w:ascii="宋体" w:hAnsi="宋体" w:eastAsia="宋体" w:cs="宋体"/>
                <w:sz w:val="24"/>
                <w:szCs w:val="24"/>
              </w:rPr>
            </w:pPr>
            <w:r>
              <w:rPr>
                <w:rFonts w:hint="eastAsia" w:ascii="宋体" w:hAnsi="宋体" w:eastAsia="宋体" w:cs="宋体"/>
                <w:sz w:val="24"/>
                <w:szCs w:val="24"/>
              </w:rPr>
              <w:t>与混凝土拉拔粘结强度（MPa）</w:t>
            </w:r>
          </w:p>
        </w:tc>
        <w:tc>
          <w:tcPr>
            <w:tcW w:w="1768" w:type="dxa"/>
            <w:tcBorders>
              <w:top w:val="single" w:color="auto" w:sz="4" w:space="0"/>
              <w:left w:val="single" w:color="auto" w:sz="4" w:space="0"/>
              <w:bottom w:val="single" w:color="auto" w:sz="4" w:space="0"/>
              <w:right w:val="single" w:color="auto" w:sz="4" w:space="0"/>
            </w:tcBorders>
            <w:noWrap w:val="0"/>
            <w:vAlign w:val="top"/>
          </w:tcPr>
          <w:p w14:paraId="59C5A2F6">
            <w:pPr>
              <w:spacing w:line="276" w:lineRule="auto"/>
              <w:jc w:val="center"/>
              <w:rPr>
                <w:rFonts w:hint="eastAsia" w:ascii="宋体" w:hAnsi="宋体" w:eastAsia="宋体" w:cs="宋体"/>
                <w:sz w:val="24"/>
                <w:szCs w:val="24"/>
              </w:rPr>
            </w:pPr>
            <w:r>
              <w:rPr>
                <w:rFonts w:hint="eastAsia" w:ascii="宋体" w:hAnsi="宋体" w:eastAsia="宋体" w:cs="宋体"/>
                <w:sz w:val="24"/>
                <w:szCs w:val="24"/>
              </w:rPr>
              <w:t>＞2.0</w:t>
            </w:r>
          </w:p>
        </w:tc>
        <w:tc>
          <w:tcPr>
            <w:tcW w:w="2373" w:type="dxa"/>
            <w:tcBorders>
              <w:top w:val="single" w:color="auto" w:sz="4" w:space="0"/>
              <w:left w:val="single" w:color="auto" w:sz="4" w:space="0"/>
              <w:bottom w:val="single" w:color="auto" w:sz="4" w:space="0"/>
              <w:right w:val="single" w:color="auto" w:sz="4" w:space="0"/>
            </w:tcBorders>
            <w:noWrap w:val="0"/>
            <w:vAlign w:val="top"/>
          </w:tcPr>
          <w:p w14:paraId="4B624157">
            <w:pPr>
              <w:spacing w:line="276" w:lineRule="auto"/>
              <w:jc w:val="center"/>
              <w:rPr>
                <w:rFonts w:hint="eastAsia" w:ascii="宋体" w:hAnsi="宋体" w:eastAsia="宋体" w:cs="宋体"/>
                <w:sz w:val="24"/>
                <w:szCs w:val="24"/>
              </w:rPr>
            </w:pPr>
            <w:r>
              <w:rPr>
                <w:rFonts w:hint="eastAsia" w:ascii="宋体" w:hAnsi="宋体" w:eastAsia="宋体" w:cs="宋体"/>
                <w:sz w:val="24"/>
                <w:szCs w:val="24"/>
              </w:rPr>
              <w:t>涂界面剂</w:t>
            </w:r>
          </w:p>
        </w:tc>
      </w:tr>
      <w:tr w14:paraId="413E3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 w:type="dxa"/>
            <w:tcBorders>
              <w:top w:val="single" w:color="auto" w:sz="4" w:space="0"/>
              <w:left w:val="single" w:color="auto" w:sz="4" w:space="0"/>
              <w:bottom w:val="single" w:color="auto" w:sz="4" w:space="0"/>
              <w:right w:val="single" w:color="auto" w:sz="4" w:space="0"/>
            </w:tcBorders>
            <w:noWrap w:val="0"/>
            <w:vAlign w:val="top"/>
          </w:tcPr>
          <w:p w14:paraId="150B32D2">
            <w:pPr>
              <w:spacing w:line="276"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3444" w:type="dxa"/>
            <w:tcBorders>
              <w:top w:val="single" w:color="auto" w:sz="4" w:space="0"/>
              <w:left w:val="single" w:color="auto" w:sz="4" w:space="0"/>
              <w:bottom w:val="single" w:color="auto" w:sz="4" w:space="0"/>
              <w:right w:val="single" w:color="auto" w:sz="4" w:space="0"/>
            </w:tcBorders>
            <w:noWrap w:val="0"/>
            <w:vAlign w:val="top"/>
          </w:tcPr>
          <w:p w14:paraId="349BB176">
            <w:pPr>
              <w:spacing w:line="276" w:lineRule="auto"/>
              <w:jc w:val="center"/>
              <w:rPr>
                <w:rFonts w:hint="eastAsia" w:ascii="宋体" w:hAnsi="宋体" w:eastAsia="宋体" w:cs="宋体"/>
                <w:sz w:val="24"/>
                <w:szCs w:val="24"/>
              </w:rPr>
            </w:pPr>
            <w:r>
              <w:rPr>
                <w:rFonts w:hint="eastAsia" w:ascii="宋体" w:hAnsi="宋体" w:eastAsia="宋体" w:cs="宋体"/>
                <w:sz w:val="24"/>
                <w:szCs w:val="24"/>
              </w:rPr>
              <w:t>拉伸率（%）</w:t>
            </w:r>
          </w:p>
        </w:tc>
        <w:tc>
          <w:tcPr>
            <w:tcW w:w="1768" w:type="dxa"/>
            <w:tcBorders>
              <w:top w:val="single" w:color="auto" w:sz="4" w:space="0"/>
              <w:left w:val="single" w:color="auto" w:sz="4" w:space="0"/>
              <w:bottom w:val="single" w:color="auto" w:sz="4" w:space="0"/>
              <w:right w:val="single" w:color="auto" w:sz="4" w:space="0"/>
            </w:tcBorders>
            <w:noWrap w:val="0"/>
            <w:vAlign w:val="top"/>
          </w:tcPr>
          <w:p w14:paraId="02108888">
            <w:pPr>
              <w:spacing w:line="276" w:lineRule="auto"/>
              <w:jc w:val="center"/>
              <w:rPr>
                <w:rFonts w:hint="eastAsia" w:ascii="宋体" w:hAnsi="宋体" w:eastAsia="宋体" w:cs="宋体"/>
                <w:sz w:val="24"/>
                <w:szCs w:val="24"/>
              </w:rPr>
            </w:pPr>
            <w:r>
              <w:rPr>
                <w:rFonts w:hint="eastAsia" w:ascii="宋体" w:hAnsi="宋体" w:eastAsia="宋体" w:cs="宋体"/>
                <w:sz w:val="24"/>
                <w:szCs w:val="24"/>
              </w:rPr>
              <w:t>10%～30%</w:t>
            </w:r>
          </w:p>
        </w:tc>
        <w:tc>
          <w:tcPr>
            <w:tcW w:w="2373" w:type="dxa"/>
            <w:tcBorders>
              <w:top w:val="single" w:color="auto" w:sz="4" w:space="0"/>
              <w:left w:val="single" w:color="auto" w:sz="4" w:space="0"/>
              <w:right w:val="single" w:color="auto" w:sz="4" w:space="0"/>
            </w:tcBorders>
            <w:noWrap w:val="0"/>
            <w:vAlign w:val="center"/>
          </w:tcPr>
          <w:p w14:paraId="6D1C7AF2">
            <w:pPr>
              <w:spacing w:line="276" w:lineRule="auto"/>
              <w:jc w:val="center"/>
              <w:rPr>
                <w:rFonts w:hint="eastAsia" w:ascii="宋体" w:hAnsi="宋体" w:eastAsia="宋体" w:cs="宋体"/>
                <w:sz w:val="24"/>
                <w:szCs w:val="24"/>
              </w:rPr>
            </w:pPr>
            <w:r>
              <w:rPr>
                <w:rFonts w:hint="eastAsia" w:ascii="宋体" w:hAnsi="宋体" w:eastAsia="宋体" w:cs="宋体"/>
                <w:sz w:val="24"/>
                <w:szCs w:val="24"/>
              </w:rPr>
              <w:t>根据配比不同而异</w:t>
            </w:r>
          </w:p>
        </w:tc>
      </w:tr>
      <w:tr w14:paraId="013A2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 w:type="dxa"/>
            <w:tcBorders>
              <w:top w:val="single" w:color="auto" w:sz="4" w:space="0"/>
              <w:left w:val="single" w:color="auto" w:sz="4" w:space="0"/>
              <w:bottom w:val="single" w:color="auto" w:sz="4" w:space="0"/>
              <w:right w:val="single" w:color="auto" w:sz="4" w:space="0"/>
            </w:tcBorders>
            <w:noWrap w:val="0"/>
            <w:vAlign w:val="top"/>
          </w:tcPr>
          <w:p w14:paraId="6A3DC7EB">
            <w:pPr>
              <w:spacing w:line="276"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3444" w:type="dxa"/>
            <w:tcBorders>
              <w:top w:val="single" w:color="auto" w:sz="4" w:space="0"/>
              <w:left w:val="single" w:color="auto" w:sz="4" w:space="0"/>
              <w:bottom w:val="single" w:color="auto" w:sz="4" w:space="0"/>
              <w:right w:val="single" w:color="auto" w:sz="4" w:space="0"/>
            </w:tcBorders>
            <w:noWrap w:val="0"/>
            <w:vAlign w:val="top"/>
          </w:tcPr>
          <w:p w14:paraId="52FFDA16">
            <w:pPr>
              <w:spacing w:line="276" w:lineRule="auto"/>
              <w:jc w:val="center"/>
              <w:rPr>
                <w:rFonts w:hint="eastAsia" w:ascii="宋体" w:hAnsi="宋体" w:eastAsia="宋体" w:cs="宋体"/>
                <w:sz w:val="24"/>
                <w:szCs w:val="24"/>
              </w:rPr>
            </w:pPr>
            <w:r>
              <w:rPr>
                <w:rFonts w:hint="eastAsia" w:ascii="宋体" w:hAnsi="宋体" w:eastAsia="宋体" w:cs="宋体"/>
                <w:sz w:val="24"/>
                <w:szCs w:val="24"/>
              </w:rPr>
              <w:t>低温柔性</w:t>
            </w:r>
          </w:p>
        </w:tc>
        <w:tc>
          <w:tcPr>
            <w:tcW w:w="1768" w:type="dxa"/>
            <w:tcBorders>
              <w:top w:val="single" w:color="auto" w:sz="4" w:space="0"/>
              <w:left w:val="single" w:color="auto" w:sz="4" w:space="0"/>
              <w:bottom w:val="single" w:color="auto" w:sz="4" w:space="0"/>
              <w:right w:val="single" w:color="auto" w:sz="4" w:space="0"/>
            </w:tcBorders>
            <w:noWrap w:val="0"/>
            <w:vAlign w:val="top"/>
          </w:tcPr>
          <w:p w14:paraId="1D6206C6">
            <w:pPr>
              <w:spacing w:line="276" w:lineRule="auto"/>
              <w:jc w:val="center"/>
              <w:rPr>
                <w:rFonts w:hint="eastAsia" w:ascii="宋体" w:hAnsi="宋体" w:eastAsia="宋体" w:cs="宋体"/>
                <w:sz w:val="24"/>
                <w:szCs w:val="24"/>
              </w:rPr>
            </w:pPr>
            <w:r>
              <w:rPr>
                <w:rFonts w:hint="eastAsia" w:ascii="宋体" w:hAnsi="宋体" w:eastAsia="宋体" w:cs="宋体"/>
                <w:sz w:val="24"/>
                <w:szCs w:val="24"/>
              </w:rPr>
              <w:t>柔性</w:t>
            </w:r>
          </w:p>
        </w:tc>
        <w:tc>
          <w:tcPr>
            <w:tcW w:w="2373" w:type="dxa"/>
            <w:tcBorders>
              <w:top w:val="single" w:color="auto" w:sz="4" w:space="0"/>
              <w:left w:val="single" w:color="auto" w:sz="4" w:space="0"/>
              <w:bottom w:val="single" w:color="auto" w:sz="4" w:space="0"/>
              <w:right w:val="single" w:color="auto" w:sz="4" w:space="0"/>
            </w:tcBorders>
            <w:noWrap w:val="0"/>
            <w:vAlign w:val="top"/>
          </w:tcPr>
          <w:p w14:paraId="64560FBB">
            <w:pPr>
              <w:spacing w:line="276" w:lineRule="auto"/>
              <w:jc w:val="center"/>
              <w:rPr>
                <w:rFonts w:hint="eastAsia" w:ascii="宋体" w:hAnsi="宋体" w:eastAsia="宋体" w:cs="宋体"/>
                <w:sz w:val="24"/>
                <w:szCs w:val="24"/>
              </w:rPr>
            </w:pPr>
            <w:r>
              <w:rPr>
                <w:rFonts w:hint="eastAsia" w:ascii="宋体" w:hAnsi="宋体" w:eastAsia="宋体" w:cs="宋体"/>
                <w:sz w:val="24"/>
                <w:szCs w:val="24"/>
              </w:rPr>
              <w:t>-40°</w:t>
            </w:r>
          </w:p>
        </w:tc>
      </w:tr>
    </w:tbl>
    <w:p w14:paraId="05FCDE20">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bCs w:val="0"/>
          <w:color w:val="auto"/>
          <w:sz w:val="21"/>
          <w:szCs w:val="21"/>
          <w:highlight w:val="none"/>
        </w:rPr>
      </w:pPr>
    </w:p>
    <w:p w14:paraId="110B4352">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E 改性环氧砂浆</w:t>
      </w:r>
    </w:p>
    <w:p w14:paraId="779A777C">
      <w:pPr>
        <w:autoSpaceDE w:val="0"/>
        <w:autoSpaceDN w:val="0"/>
        <w:adjustRightIn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本工程主要选用改性环氧砂浆修复泄</w:t>
      </w:r>
      <w:r>
        <w:rPr>
          <w:rFonts w:hint="eastAsia" w:ascii="宋体" w:hAnsi="宋体" w:eastAsia="宋体" w:cs="宋体"/>
          <w:bCs/>
          <w:sz w:val="24"/>
          <w:lang w:val="en-US" w:eastAsia="zh-CN"/>
        </w:rPr>
        <w:t>闸底板砼</w:t>
      </w:r>
      <w:r>
        <w:rPr>
          <w:rFonts w:hint="eastAsia" w:ascii="宋体" w:hAnsi="宋体" w:eastAsia="宋体" w:cs="宋体"/>
          <w:bCs/>
          <w:sz w:val="24"/>
        </w:rPr>
        <w:t>缺陷。改性环氧砂浆具有强度高，固化时间快的特点，适合于快速修复混凝土缺陷。其主要性能指标见表</w:t>
      </w:r>
      <w:r>
        <w:rPr>
          <w:rFonts w:hint="eastAsia" w:ascii="宋体" w:hAnsi="宋体" w:eastAsia="宋体" w:cs="宋体"/>
          <w:bCs/>
          <w:sz w:val="24"/>
          <w:lang w:val="en-US" w:eastAsia="zh-CN"/>
        </w:rPr>
        <w:t>1</w:t>
      </w:r>
      <w:r>
        <w:rPr>
          <w:rFonts w:hint="eastAsia" w:ascii="宋体" w:hAnsi="宋体" w:eastAsia="宋体" w:cs="宋体"/>
          <w:bCs/>
          <w:sz w:val="24"/>
        </w:rPr>
        <w:t>-</w:t>
      </w:r>
      <w:r>
        <w:rPr>
          <w:rFonts w:hint="eastAsia" w:ascii="宋体" w:hAnsi="宋体" w:eastAsia="宋体" w:cs="宋体"/>
          <w:bCs/>
          <w:sz w:val="24"/>
          <w:lang w:val="en-US" w:eastAsia="zh-CN"/>
        </w:rPr>
        <w:t>4</w:t>
      </w:r>
      <w:r>
        <w:rPr>
          <w:rFonts w:hint="eastAsia" w:ascii="宋体" w:hAnsi="宋体" w:eastAsia="宋体" w:cs="宋体"/>
          <w:bCs/>
          <w:sz w:val="24"/>
        </w:rPr>
        <w:t>。该材料已在国内多个类似工程中应用，效果显著。</w:t>
      </w:r>
    </w:p>
    <w:p w14:paraId="58AD09D6">
      <w:pPr>
        <w:spacing w:before="156" w:beforeLines="50" w:line="300" w:lineRule="auto"/>
        <w:jc w:val="center"/>
        <w:rPr>
          <w:rFonts w:hint="eastAsia" w:ascii="宋体" w:hAnsi="宋体" w:eastAsia="宋体" w:cs="宋体"/>
          <w:b/>
          <w:sz w:val="21"/>
          <w:szCs w:val="21"/>
        </w:rPr>
      </w:pPr>
      <w:r>
        <w:rPr>
          <w:rFonts w:hint="eastAsia" w:ascii="宋体" w:hAnsi="宋体" w:eastAsia="宋体" w:cs="宋体"/>
          <w:b/>
          <w:sz w:val="21"/>
          <w:szCs w:val="21"/>
        </w:rPr>
        <w:t>表</w:t>
      </w:r>
      <w:r>
        <w:rPr>
          <w:rFonts w:hint="eastAsia" w:ascii="宋体" w:hAnsi="宋体" w:eastAsia="宋体" w:cs="宋体"/>
          <w:b/>
          <w:sz w:val="21"/>
          <w:szCs w:val="21"/>
          <w:lang w:val="en-US" w:eastAsia="zh-CN"/>
        </w:rPr>
        <w:t>1-4</w:t>
      </w:r>
      <w:r>
        <w:rPr>
          <w:rFonts w:hint="eastAsia" w:ascii="宋体" w:hAnsi="宋体" w:eastAsia="宋体" w:cs="宋体"/>
          <w:b/>
          <w:sz w:val="21"/>
          <w:szCs w:val="21"/>
        </w:rPr>
        <w:t xml:space="preserve">  改性环氧砂浆主要性能指标</w:t>
      </w:r>
    </w:p>
    <w:tbl>
      <w:tblPr>
        <w:tblStyle w:val="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13"/>
        <w:gridCol w:w="2338"/>
        <w:gridCol w:w="1553"/>
        <w:gridCol w:w="1328"/>
        <w:gridCol w:w="2181"/>
      </w:tblGrid>
      <w:tr w14:paraId="6CD4A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13" w:type="dxa"/>
            <w:noWrap w:val="0"/>
            <w:vAlign w:val="top"/>
          </w:tcPr>
          <w:p w14:paraId="19F937D3">
            <w:pPr>
              <w:spacing w:line="30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序号</w:t>
            </w:r>
          </w:p>
        </w:tc>
        <w:tc>
          <w:tcPr>
            <w:tcW w:w="2338" w:type="dxa"/>
            <w:noWrap w:val="0"/>
            <w:vAlign w:val="top"/>
          </w:tcPr>
          <w:p w14:paraId="789AFEBE">
            <w:pPr>
              <w:spacing w:line="30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检测项目</w:t>
            </w:r>
          </w:p>
        </w:tc>
        <w:tc>
          <w:tcPr>
            <w:tcW w:w="1553" w:type="dxa"/>
            <w:noWrap w:val="0"/>
            <w:vAlign w:val="top"/>
          </w:tcPr>
          <w:p w14:paraId="001A39AE">
            <w:pPr>
              <w:spacing w:line="30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单位</w:t>
            </w:r>
          </w:p>
        </w:tc>
        <w:tc>
          <w:tcPr>
            <w:tcW w:w="1328" w:type="dxa"/>
            <w:noWrap w:val="0"/>
            <w:vAlign w:val="top"/>
          </w:tcPr>
          <w:p w14:paraId="18590A4E">
            <w:pPr>
              <w:spacing w:line="30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设计要求</w:t>
            </w:r>
          </w:p>
        </w:tc>
        <w:tc>
          <w:tcPr>
            <w:tcW w:w="2181" w:type="dxa"/>
            <w:noWrap w:val="0"/>
            <w:vAlign w:val="top"/>
          </w:tcPr>
          <w:p w14:paraId="2B7ECC21">
            <w:pPr>
              <w:spacing w:line="30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备注</w:t>
            </w:r>
          </w:p>
        </w:tc>
      </w:tr>
      <w:tr w14:paraId="70031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13" w:type="dxa"/>
            <w:noWrap w:val="0"/>
            <w:vAlign w:val="top"/>
          </w:tcPr>
          <w:p w14:paraId="7941C341">
            <w:pPr>
              <w:spacing w:line="30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2338" w:type="dxa"/>
            <w:noWrap w:val="0"/>
            <w:vAlign w:val="top"/>
          </w:tcPr>
          <w:p w14:paraId="3BA7ABF8">
            <w:pPr>
              <w:spacing w:line="300" w:lineRule="auto"/>
              <w:jc w:val="center"/>
              <w:rPr>
                <w:rFonts w:hint="eastAsia" w:ascii="宋体" w:hAnsi="宋体" w:eastAsia="宋体" w:cs="宋体"/>
                <w:sz w:val="24"/>
                <w:szCs w:val="24"/>
              </w:rPr>
            </w:pPr>
            <w:r>
              <w:rPr>
                <w:rFonts w:hint="eastAsia" w:ascii="宋体" w:hAnsi="宋体" w:eastAsia="宋体" w:cs="宋体"/>
                <w:sz w:val="24"/>
                <w:szCs w:val="24"/>
              </w:rPr>
              <w:t>抗压强度</w:t>
            </w:r>
          </w:p>
        </w:tc>
        <w:tc>
          <w:tcPr>
            <w:tcW w:w="1553" w:type="dxa"/>
            <w:noWrap w:val="0"/>
            <w:vAlign w:val="top"/>
          </w:tcPr>
          <w:p w14:paraId="3D3A4320">
            <w:pPr>
              <w:spacing w:line="300" w:lineRule="auto"/>
              <w:jc w:val="center"/>
              <w:rPr>
                <w:rFonts w:hint="eastAsia" w:ascii="宋体" w:hAnsi="宋体" w:eastAsia="宋体" w:cs="宋体"/>
                <w:sz w:val="24"/>
                <w:szCs w:val="24"/>
              </w:rPr>
            </w:pPr>
            <w:r>
              <w:rPr>
                <w:rFonts w:hint="eastAsia" w:ascii="宋体" w:hAnsi="宋体" w:eastAsia="宋体" w:cs="宋体"/>
                <w:sz w:val="24"/>
                <w:szCs w:val="24"/>
              </w:rPr>
              <w:t>MPa</w:t>
            </w:r>
          </w:p>
        </w:tc>
        <w:tc>
          <w:tcPr>
            <w:tcW w:w="1328" w:type="dxa"/>
            <w:noWrap w:val="0"/>
            <w:vAlign w:val="top"/>
          </w:tcPr>
          <w:p w14:paraId="270EFD94">
            <w:pPr>
              <w:spacing w:line="300" w:lineRule="auto"/>
              <w:jc w:val="center"/>
              <w:rPr>
                <w:rFonts w:hint="eastAsia" w:ascii="宋体" w:hAnsi="宋体" w:eastAsia="宋体" w:cs="宋体"/>
                <w:sz w:val="24"/>
                <w:szCs w:val="24"/>
              </w:rPr>
            </w:pPr>
            <w:r>
              <w:rPr>
                <w:rFonts w:hint="eastAsia" w:ascii="宋体" w:hAnsi="宋体" w:eastAsia="宋体" w:cs="宋体"/>
                <w:sz w:val="24"/>
                <w:szCs w:val="24"/>
              </w:rPr>
              <w:t>≥870</w:t>
            </w:r>
          </w:p>
        </w:tc>
        <w:tc>
          <w:tcPr>
            <w:tcW w:w="2181" w:type="dxa"/>
            <w:noWrap w:val="0"/>
            <w:vAlign w:val="top"/>
          </w:tcPr>
          <w:p w14:paraId="316100DB">
            <w:pPr>
              <w:spacing w:line="300" w:lineRule="auto"/>
              <w:jc w:val="center"/>
              <w:rPr>
                <w:rFonts w:hint="eastAsia" w:ascii="宋体" w:hAnsi="宋体" w:eastAsia="宋体" w:cs="宋体"/>
                <w:sz w:val="24"/>
                <w:szCs w:val="24"/>
              </w:rPr>
            </w:pPr>
            <w:r>
              <w:rPr>
                <w:rFonts w:hint="eastAsia" w:ascii="宋体" w:hAnsi="宋体" w:eastAsia="宋体" w:cs="宋体"/>
                <w:sz w:val="24"/>
                <w:szCs w:val="24"/>
              </w:rPr>
              <w:t>23℃，15天</w:t>
            </w:r>
          </w:p>
        </w:tc>
      </w:tr>
      <w:tr w14:paraId="1EB55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13" w:type="dxa"/>
            <w:noWrap w:val="0"/>
            <w:vAlign w:val="top"/>
          </w:tcPr>
          <w:p w14:paraId="41BB15F3">
            <w:pPr>
              <w:spacing w:line="30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2338" w:type="dxa"/>
            <w:noWrap w:val="0"/>
            <w:vAlign w:val="top"/>
          </w:tcPr>
          <w:p w14:paraId="3E26AD91">
            <w:pPr>
              <w:spacing w:line="300" w:lineRule="auto"/>
              <w:jc w:val="center"/>
              <w:rPr>
                <w:rFonts w:hint="eastAsia" w:ascii="宋体" w:hAnsi="宋体" w:eastAsia="宋体" w:cs="宋体"/>
                <w:sz w:val="24"/>
                <w:szCs w:val="24"/>
              </w:rPr>
            </w:pPr>
            <w:r>
              <w:rPr>
                <w:rFonts w:hint="eastAsia" w:ascii="宋体" w:hAnsi="宋体" w:eastAsia="宋体" w:cs="宋体"/>
                <w:sz w:val="24"/>
                <w:szCs w:val="24"/>
              </w:rPr>
              <w:t>抗拉强度</w:t>
            </w:r>
          </w:p>
        </w:tc>
        <w:tc>
          <w:tcPr>
            <w:tcW w:w="1553" w:type="dxa"/>
            <w:noWrap w:val="0"/>
            <w:vAlign w:val="top"/>
          </w:tcPr>
          <w:p w14:paraId="246BB25E">
            <w:pPr>
              <w:spacing w:line="300" w:lineRule="auto"/>
              <w:jc w:val="center"/>
              <w:rPr>
                <w:rFonts w:hint="eastAsia" w:ascii="宋体" w:hAnsi="宋体" w:eastAsia="宋体" w:cs="宋体"/>
                <w:sz w:val="24"/>
                <w:szCs w:val="24"/>
              </w:rPr>
            </w:pPr>
            <w:r>
              <w:rPr>
                <w:rFonts w:hint="eastAsia" w:ascii="宋体" w:hAnsi="宋体" w:eastAsia="宋体" w:cs="宋体"/>
                <w:sz w:val="24"/>
                <w:szCs w:val="24"/>
              </w:rPr>
              <w:t>MPa</w:t>
            </w:r>
          </w:p>
        </w:tc>
        <w:tc>
          <w:tcPr>
            <w:tcW w:w="1328" w:type="dxa"/>
            <w:noWrap w:val="0"/>
            <w:vAlign w:val="top"/>
          </w:tcPr>
          <w:p w14:paraId="3CFB46FF">
            <w:pPr>
              <w:spacing w:line="300" w:lineRule="auto"/>
              <w:jc w:val="center"/>
              <w:rPr>
                <w:rFonts w:hint="eastAsia" w:ascii="宋体" w:hAnsi="宋体" w:eastAsia="宋体" w:cs="宋体"/>
                <w:sz w:val="24"/>
                <w:szCs w:val="24"/>
              </w:rPr>
            </w:pPr>
            <w:r>
              <w:rPr>
                <w:rFonts w:hint="eastAsia" w:ascii="宋体" w:hAnsi="宋体" w:eastAsia="宋体" w:cs="宋体"/>
                <w:sz w:val="24"/>
                <w:szCs w:val="24"/>
              </w:rPr>
              <w:t>≥10.0</w:t>
            </w:r>
          </w:p>
        </w:tc>
        <w:tc>
          <w:tcPr>
            <w:tcW w:w="2181" w:type="dxa"/>
            <w:noWrap w:val="0"/>
            <w:vAlign w:val="top"/>
          </w:tcPr>
          <w:p w14:paraId="20942ADF">
            <w:pPr>
              <w:spacing w:line="300" w:lineRule="auto"/>
              <w:jc w:val="center"/>
              <w:rPr>
                <w:rFonts w:hint="eastAsia" w:ascii="宋体" w:hAnsi="宋体" w:eastAsia="宋体" w:cs="宋体"/>
                <w:sz w:val="24"/>
                <w:szCs w:val="24"/>
              </w:rPr>
            </w:pPr>
            <w:r>
              <w:rPr>
                <w:rFonts w:hint="eastAsia" w:ascii="宋体" w:hAnsi="宋体" w:eastAsia="宋体" w:cs="宋体"/>
                <w:sz w:val="24"/>
                <w:szCs w:val="24"/>
              </w:rPr>
              <w:t>23℃，15天</w:t>
            </w:r>
          </w:p>
        </w:tc>
      </w:tr>
      <w:tr w14:paraId="2789C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13" w:type="dxa"/>
            <w:noWrap w:val="0"/>
            <w:vAlign w:val="top"/>
          </w:tcPr>
          <w:p w14:paraId="6A783F32">
            <w:pPr>
              <w:spacing w:line="30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2338" w:type="dxa"/>
            <w:noWrap w:val="0"/>
            <w:vAlign w:val="top"/>
          </w:tcPr>
          <w:p w14:paraId="735BCF94">
            <w:pPr>
              <w:spacing w:line="300" w:lineRule="auto"/>
              <w:jc w:val="center"/>
              <w:rPr>
                <w:rFonts w:hint="eastAsia" w:ascii="宋体" w:hAnsi="宋体" w:eastAsia="宋体" w:cs="宋体"/>
                <w:sz w:val="24"/>
                <w:szCs w:val="24"/>
              </w:rPr>
            </w:pPr>
            <w:r>
              <w:rPr>
                <w:rFonts w:hint="eastAsia" w:ascii="宋体" w:hAnsi="宋体" w:eastAsia="宋体" w:cs="宋体"/>
                <w:sz w:val="24"/>
                <w:szCs w:val="24"/>
              </w:rPr>
              <w:t>与混凝土粘接强度</w:t>
            </w:r>
          </w:p>
        </w:tc>
        <w:tc>
          <w:tcPr>
            <w:tcW w:w="1553" w:type="dxa"/>
            <w:noWrap w:val="0"/>
            <w:vAlign w:val="top"/>
          </w:tcPr>
          <w:p w14:paraId="68CCEBCA">
            <w:pPr>
              <w:spacing w:line="300" w:lineRule="auto"/>
              <w:jc w:val="center"/>
              <w:rPr>
                <w:rFonts w:hint="eastAsia" w:ascii="宋体" w:hAnsi="宋体" w:eastAsia="宋体" w:cs="宋体"/>
                <w:sz w:val="24"/>
                <w:szCs w:val="24"/>
              </w:rPr>
            </w:pPr>
            <w:r>
              <w:rPr>
                <w:rFonts w:hint="eastAsia" w:ascii="宋体" w:hAnsi="宋体" w:eastAsia="宋体" w:cs="宋体"/>
                <w:sz w:val="24"/>
                <w:szCs w:val="24"/>
              </w:rPr>
              <w:t>MPa</w:t>
            </w:r>
          </w:p>
        </w:tc>
        <w:tc>
          <w:tcPr>
            <w:tcW w:w="1328" w:type="dxa"/>
            <w:noWrap w:val="0"/>
            <w:vAlign w:val="top"/>
          </w:tcPr>
          <w:p w14:paraId="17B35061">
            <w:pPr>
              <w:spacing w:line="30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2181" w:type="dxa"/>
            <w:noWrap w:val="0"/>
            <w:vAlign w:val="top"/>
          </w:tcPr>
          <w:p w14:paraId="5E628774">
            <w:pPr>
              <w:spacing w:line="300" w:lineRule="auto"/>
              <w:jc w:val="center"/>
              <w:rPr>
                <w:rFonts w:hint="eastAsia" w:ascii="宋体" w:hAnsi="宋体" w:eastAsia="宋体" w:cs="宋体"/>
                <w:sz w:val="24"/>
                <w:szCs w:val="24"/>
              </w:rPr>
            </w:pPr>
            <w:r>
              <w:rPr>
                <w:rFonts w:hint="eastAsia" w:ascii="宋体" w:hAnsi="宋体" w:eastAsia="宋体" w:cs="宋体"/>
                <w:sz w:val="24"/>
                <w:szCs w:val="24"/>
              </w:rPr>
              <w:t>涂刷基液</w:t>
            </w:r>
          </w:p>
        </w:tc>
      </w:tr>
    </w:tbl>
    <w:p w14:paraId="6254EEC4">
      <w:pPr>
        <w:widowControl/>
        <w:spacing w:line="360" w:lineRule="auto"/>
        <w:rPr>
          <w:rFonts w:hint="eastAsia" w:ascii="宋体" w:hAnsi="宋体" w:eastAsia="宋体" w:cs="宋体"/>
          <w:sz w:val="28"/>
          <w:szCs w:val="20"/>
          <w:highlight w:val="none"/>
        </w:rPr>
      </w:pPr>
      <w:r>
        <w:rPr>
          <w:rFonts w:hint="eastAsia" w:ascii="宋体" w:hAnsi="宋体" w:eastAsia="宋体" w:cs="宋体"/>
          <w:sz w:val="28"/>
          <w:szCs w:val="20"/>
          <w:highlight w:val="none"/>
          <w:lang w:val="en-US" w:eastAsia="zh-CN"/>
        </w:rPr>
        <w:t>3</w:t>
      </w:r>
      <w:r>
        <w:rPr>
          <w:rFonts w:hint="eastAsia" w:ascii="宋体" w:hAnsi="宋体" w:eastAsia="宋体" w:cs="宋体"/>
          <w:sz w:val="28"/>
          <w:szCs w:val="20"/>
          <w:highlight w:val="none"/>
        </w:rPr>
        <w:t>、主要工程量</w:t>
      </w:r>
    </w:p>
    <w:p w14:paraId="2F62532B">
      <w:pPr>
        <w:pStyle w:val="13"/>
        <w:rPr>
          <w:rFonts w:hint="eastAsia" w:ascii="宋体" w:hAnsi="宋体" w:eastAsia="宋体" w:cs="宋体"/>
          <w:sz w:val="21"/>
          <w:szCs w:val="21"/>
        </w:rPr>
      </w:pPr>
      <w:r>
        <w:rPr>
          <w:rFonts w:hint="eastAsia" w:ascii="宋体" w:hAnsi="宋体" w:eastAsia="宋体" w:cs="宋体"/>
          <w:sz w:val="21"/>
          <w:szCs w:val="21"/>
        </w:rPr>
        <w:t>表</w:t>
      </w:r>
      <w:r>
        <w:rPr>
          <w:rFonts w:hint="eastAsia" w:ascii="宋体" w:hAnsi="宋体" w:eastAsia="宋体" w:cs="宋体"/>
          <w:sz w:val="21"/>
          <w:szCs w:val="21"/>
          <w:lang w:val="en-US" w:eastAsia="zh-CN"/>
        </w:rPr>
        <w:t>1-5</w:t>
      </w:r>
      <w:r>
        <w:rPr>
          <w:rFonts w:hint="eastAsia" w:ascii="宋体" w:hAnsi="宋体" w:eastAsia="宋体" w:cs="宋体"/>
          <w:sz w:val="21"/>
          <w:szCs w:val="21"/>
        </w:rPr>
        <w:t xml:space="preserve">  主要工程量表</w:t>
      </w:r>
    </w:p>
    <w:tbl>
      <w:tblPr>
        <w:tblStyle w:val="16"/>
        <w:tblW w:w="0" w:type="auto"/>
        <w:tblInd w:w="0" w:type="dxa"/>
        <w:tblLayout w:type="fixed"/>
        <w:tblCellMar>
          <w:top w:w="0" w:type="dxa"/>
          <w:left w:w="108" w:type="dxa"/>
          <w:bottom w:w="0" w:type="dxa"/>
          <w:right w:w="108" w:type="dxa"/>
        </w:tblCellMar>
      </w:tblPr>
      <w:tblGrid>
        <w:gridCol w:w="756"/>
        <w:gridCol w:w="3029"/>
        <w:gridCol w:w="696"/>
        <w:gridCol w:w="1017"/>
        <w:gridCol w:w="3018"/>
      </w:tblGrid>
      <w:tr w14:paraId="4259C012">
        <w:tblPrEx>
          <w:tblCellMar>
            <w:top w:w="0" w:type="dxa"/>
            <w:left w:w="108" w:type="dxa"/>
            <w:bottom w:w="0" w:type="dxa"/>
            <w:right w:w="108" w:type="dxa"/>
          </w:tblCellMar>
        </w:tblPrEx>
        <w:trPr>
          <w:trHeight w:val="399" w:hRule="atLeast"/>
          <w:tblHeader/>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24C7085F">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编号</w:t>
            </w:r>
          </w:p>
        </w:tc>
        <w:tc>
          <w:tcPr>
            <w:tcW w:w="3029" w:type="dxa"/>
            <w:tcBorders>
              <w:top w:val="single" w:color="000000" w:sz="4" w:space="0"/>
              <w:left w:val="single" w:color="000000" w:sz="4" w:space="0"/>
              <w:bottom w:val="single" w:color="000000" w:sz="4" w:space="0"/>
              <w:right w:val="single" w:color="000000" w:sz="4" w:space="0"/>
            </w:tcBorders>
            <w:noWrap w:val="0"/>
            <w:vAlign w:val="center"/>
          </w:tcPr>
          <w:p w14:paraId="350F3F16">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项目</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4245CDA1">
            <w:pPr>
              <w:widowControl/>
              <w:ind w:left="0" w:leftChars="0" w:firstLine="0" w:firstLineChars="0"/>
              <w:jc w:val="center"/>
              <w:textAlignment w:val="center"/>
              <w:rPr>
                <w:rFonts w:hint="eastAsia" w:ascii="宋体" w:hAnsi="宋体" w:eastAsia="宋体" w:cs="宋体"/>
                <w:b/>
                <w:bCs/>
                <w:color w:val="000000"/>
                <w:sz w:val="21"/>
                <w:szCs w:val="21"/>
              </w:rPr>
            </w:pPr>
            <w:r>
              <w:rPr>
                <w:rFonts w:hint="eastAsia" w:ascii="宋体" w:hAnsi="宋体" w:eastAsia="宋体" w:cs="宋体"/>
                <w:b/>
                <w:bCs/>
                <w:kern w:val="0"/>
                <w:sz w:val="21"/>
                <w:szCs w:val="21"/>
                <w:highlight w:val="none"/>
                <w:lang w:val="en-US" w:eastAsia="zh-CN"/>
              </w:rPr>
              <w:t>单</w:t>
            </w:r>
            <w:r>
              <w:rPr>
                <w:rFonts w:hint="eastAsia" w:ascii="宋体" w:hAnsi="宋体" w:eastAsia="宋体" w:cs="宋体"/>
                <w:b/>
                <w:bCs/>
                <w:color w:val="000000"/>
                <w:kern w:val="0"/>
                <w:sz w:val="21"/>
                <w:szCs w:val="21"/>
                <w:lang w:bidi="ar"/>
              </w:rPr>
              <w:t>位</w:t>
            </w:r>
          </w:p>
        </w:tc>
        <w:tc>
          <w:tcPr>
            <w:tcW w:w="1017" w:type="dxa"/>
            <w:tcBorders>
              <w:top w:val="single" w:color="000000" w:sz="4" w:space="0"/>
              <w:left w:val="single" w:color="000000" w:sz="4" w:space="0"/>
              <w:bottom w:val="single" w:color="000000" w:sz="4" w:space="0"/>
              <w:right w:val="single" w:color="000000" w:sz="4" w:space="0"/>
            </w:tcBorders>
            <w:noWrap w:val="0"/>
            <w:vAlign w:val="center"/>
          </w:tcPr>
          <w:p w14:paraId="5122B577">
            <w:pPr>
              <w:widowControl/>
              <w:ind w:left="0" w:leftChars="0" w:firstLine="0" w:firstLineChars="0"/>
              <w:jc w:val="center"/>
              <w:textAlignment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工程量</w:t>
            </w:r>
          </w:p>
        </w:tc>
        <w:tc>
          <w:tcPr>
            <w:tcW w:w="3018" w:type="dxa"/>
            <w:tcBorders>
              <w:top w:val="single" w:color="000000" w:sz="4" w:space="0"/>
              <w:left w:val="single" w:color="000000" w:sz="4" w:space="0"/>
              <w:bottom w:val="single" w:color="000000" w:sz="4" w:space="0"/>
              <w:right w:val="single" w:color="000000" w:sz="4" w:space="0"/>
            </w:tcBorders>
            <w:noWrap w:val="0"/>
            <w:vAlign w:val="center"/>
          </w:tcPr>
          <w:p w14:paraId="190998C9">
            <w:pPr>
              <w:widowControl/>
              <w:ind w:left="0" w:leftChars="0" w:firstLine="0" w:firstLineChars="0"/>
              <w:jc w:val="center"/>
              <w:textAlignment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备注</w:t>
            </w:r>
          </w:p>
        </w:tc>
      </w:tr>
      <w:tr w14:paraId="00286E2D">
        <w:tblPrEx>
          <w:tblCellMar>
            <w:top w:w="0" w:type="dxa"/>
            <w:left w:w="108" w:type="dxa"/>
            <w:bottom w:w="0" w:type="dxa"/>
            <w:right w:w="108" w:type="dxa"/>
          </w:tblCellMar>
        </w:tblPrEx>
        <w:trPr>
          <w:trHeight w:val="399" w:hRule="atLeast"/>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18343655">
            <w:pPr>
              <w:keepNext w:val="0"/>
              <w:keepLines w:val="0"/>
              <w:widowControl/>
              <w:suppressLineNumbers w:val="0"/>
              <w:ind w:left="0" w:leftChars="0" w:firstLine="0" w:firstLineChars="0"/>
              <w:jc w:val="center"/>
              <w:textAlignment w:val="center"/>
              <w:rPr>
                <w:rFonts w:hint="eastAsia" w:ascii="宋体" w:hAnsi="宋体" w:eastAsia="宋体" w:cs="宋体"/>
                <w:b/>
                <w:bCs/>
                <w:kern w:val="0"/>
                <w:sz w:val="21"/>
                <w:szCs w:val="21"/>
                <w:highlight w:val="none"/>
              </w:rPr>
            </w:pPr>
            <w:r>
              <w:rPr>
                <w:rFonts w:hint="eastAsia" w:ascii="宋体" w:hAnsi="宋体" w:eastAsia="宋体" w:cs="宋体"/>
                <w:i w:val="0"/>
                <w:iCs w:val="0"/>
                <w:color w:val="000000"/>
                <w:kern w:val="0"/>
                <w:sz w:val="21"/>
                <w:szCs w:val="21"/>
                <w:u w:val="none"/>
                <w:lang w:val="en-US" w:eastAsia="zh-CN" w:bidi="ar"/>
              </w:rPr>
              <w:t>(1)</w:t>
            </w:r>
          </w:p>
        </w:tc>
        <w:tc>
          <w:tcPr>
            <w:tcW w:w="3029" w:type="dxa"/>
            <w:tcBorders>
              <w:top w:val="single" w:color="000000" w:sz="4" w:space="0"/>
              <w:left w:val="single" w:color="000000" w:sz="4" w:space="0"/>
              <w:bottom w:val="single" w:color="000000" w:sz="4" w:space="0"/>
              <w:right w:val="single" w:color="000000" w:sz="4" w:space="0"/>
            </w:tcBorders>
            <w:noWrap w:val="0"/>
            <w:vAlign w:val="center"/>
          </w:tcPr>
          <w:p w14:paraId="66BDB887">
            <w:pPr>
              <w:keepNext w:val="0"/>
              <w:keepLines w:val="0"/>
              <w:widowControl/>
              <w:suppressLineNumbers w:val="0"/>
              <w:ind w:left="0" w:leftChars="0" w:firstLine="0" w:firstLineChars="0"/>
              <w:jc w:val="left"/>
              <w:textAlignment w:val="center"/>
              <w:rPr>
                <w:rFonts w:hint="eastAsia" w:ascii="宋体" w:hAnsi="宋体" w:eastAsia="宋体" w:cs="宋体"/>
                <w:b/>
                <w:bCs/>
                <w:kern w:val="0"/>
                <w:sz w:val="21"/>
                <w:szCs w:val="21"/>
                <w:highlight w:val="none"/>
              </w:rPr>
            </w:pPr>
            <w:r>
              <w:rPr>
                <w:rFonts w:hint="eastAsia" w:ascii="宋体" w:hAnsi="宋体" w:eastAsia="宋体" w:cs="宋体"/>
                <w:i w:val="0"/>
                <w:iCs w:val="0"/>
                <w:color w:val="000000"/>
                <w:kern w:val="0"/>
                <w:sz w:val="21"/>
                <w:szCs w:val="21"/>
                <w:u w:val="none"/>
                <w:lang w:val="en-US" w:eastAsia="zh-CN" w:bidi="ar"/>
              </w:rPr>
              <w:t xml:space="preserve"> 闸门后闸室缺陷处理</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0A7754E6">
            <w:pPr>
              <w:jc w:val="center"/>
              <w:rPr>
                <w:rFonts w:hint="eastAsia" w:ascii="宋体" w:hAnsi="宋体" w:eastAsia="宋体" w:cs="宋体"/>
                <w:color w:val="000000"/>
                <w:sz w:val="21"/>
                <w:szCs w:val="21"/>
              </w:rPr>
            </w:pPr>
          </w:p>
        </w:tc>
        <w:tc>
          <w:tcPr>
            <w:tcW w:w="1017" w:type="dxa"/>
            <w:tcBorders>
              <w:top w:val="single" w:color="000000" w:sz="4" w:space="0"/>
              <w:left w:val="single" w:color="000000" w:sz="4" w:space="0"/>
              <w:bottom w:val="single" w:color="000000" w:sz="4" w:space="0"/>
              <w:right w:val="single" w:color="000000" w:sz="4" w:space="0"/>
            </w:tcBorders>
            <w:noWrap w:val="0"/>
            <w:vAlign w:val="center"/>
          </w:tcPr>
          <w:p w14:paraId="0910C346">
            <w:pPr>
              <w:jc w:val="center"/>
              <w:rPr>
                <w:rFonts w:hint="eastAsia" w:ascii="宋体" w:hAnsi="宋体" w:eastAsia="宋体" w:cs="宋体"/>
                <w:b/>
                <w:bCs/>
                <w:kern w:val="0"/>
                <w:sz w:val="21"/>
                <w:szCs w:val="21"/>
                <w:highlight w:val="none"/>
                <w:lang w:val="en-US" w:eastAsia="zh-CN"/>
              </w:rPr>
            </w:pPr>
          </w:p>
        </w:tc>
        <w:tc>
          <w:tcPr>
            <w:tcW w:w="3018" w:type="dxa"/>
            <w:tcBorders>
              <w:top w:val="single" w:color="000000" w:sz="4" w:space="0"/>
              <w:left w:val="single" w:color="000000" w:sz="4" w:space="0"/>
              <w:bottom w:val="single" w:color="000000" w:sz="4" w:space="0"/>
              <w:right w:val="single" w:color="000000" w:sz="4" w:space="0"/>
            </w:tcBorders>
            <w:noWrap w:val="0"/>
            <w:vAlign w:val="center"/>
          </w:tcPr>
          <w:p w14:paraId="3DAB5FD4">
            <w:pPr>
              <w:keepNext w:val="0"/>
              <w:keepLines w:val="0"/>
              <w:widowControl/>
              <w:suppressLineNumbers w:val="0"/>
              <w:ind w:left="0" w:leftChars="0" w:firstLine="0" w:firstLineChars="0"/>
              <w:jc w:val="left"/>
              <w:textAlignment w:val="center"/>
              <w:rPr>
                <w:rFonts w:hint="eastAsia" w:ascii="宋体" w:hAnsi="宋体" w:eastAsia="宋体" w:cs="宋体"/>
                <w:b/>
                <w:bCs/>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底宽8m，高9.5m，闸门下14m</w:t>
            </w:r>
          </w:p>
        </w:tc>
      </w:tr>
      <w:tr w14:paraId="2BDB33EF">
        <w:tblPrEx>
          <w:tblCellMar>
            <w:top w:w="0" w:type="dxa"/>
            <w:left w:w="108" w:type="dxa"/>
            <w:bottom w:w="0" w:type="dxa"/>
            <w:right w:w="108" w:type="dxa"/>
          </w:tblCellMar>
        </w:tblPrEx>
        <w:trPr>
          <w:trHeight w:val="399" w:hRule="atLeast"/>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065A59D0">
            <w:pPr>
              <w:keepNext w:val="0"/>
              <w:keepLines w:val="0"/>
              <w:widowControl/>
              <w:suppressLineNumbers w:val="0"/>
              <w:ind w:left="0" w:leftChars="0" w:firstLine="0" w:firstLineChars="0"/>
              <w:jc w:val="center"/>
              <w:textAlignment w:val="center"/>
              <w:rPr>
                <w:rFonts w:hint="eastAsia" w:ascii="宋体" w:hAnsi="宋体" w:eastAsia="宋体" w:cs="宋体"/>
                <w:b/>
                <w:bCs/>
                <w:kern w:val="0"/>
                <w:sz w:val="21"/>
                <w:szCs w:val="21"/>
                <w:highlight w:val="none"/>
              </w:rPr>
            </w:pPr>
            <w:r>
              <w:rPr>
                <w:rFonts w:hint="eastAsia" w:ascii="宋体" w:hAnsi="宋体" w:eastAsia="宋体" w:cs="宋体"/>
                <w:i w:val="0"/>
                <w:iCs w:val="0"/>
                <w:color w:val="000000"/>
                <w:kern w:val="0"/>
                <w:sz w:val="21"/>
                <w:szCs w:val="21"/>
                <w:u w:val="none"/>
                <w:lang w:val="en-US" w:eastAsia="zh-CN" w:bidi="ar"/>
              </w:rPr>
              <w:t>①</w:t>
            </w:r>
          </w:p>
        </w:tc>
        <w:tc>
          <w:tcPr>
            <w:tcW w:w="3029" w:type="dxa"/>
            <w:tcBorders>
              <w:top w:val="single" w:color="000000" w:sz="4" w:space="0"/>
              <w:left w:val="single" w:color="000000" w:sz="4" w:space="0"/>
              <w:bottom w:val="single" w:color="000000" w:sz="4" w:space="0"/>
              <w:right w:val="single" w:color="000000" w:sz="4" w:space="0"/>
            </w:tcBorders>
            <w:noWrap w:val="0"/>
            <w:vAlign w:val="center"/>
          </w:tcPr>
          <w:p w14:paraId="78F669C0">
            <w:pPr>
              <w:keepNext w:val="0"/>
              <w:keepLines w:val="0"/>
              <w:widowControl/>
              <w:suppressLineNumbers w:val="0"/>
              <w:ind w:left="0" w:leftChars="0" w:firstLine="0" w:firstLineChars="0"/>
              <w:jc w:val="left"/>
              <w:textAlignment w:val="center"/>
              <w:rPr>
                <w:rFonts w:hint="eastAsia" w:ascii="宋体" w:hAnsi="宋体" w:eastAsia="宋体" w:cs="宋体"/>
                <w:b/>
                <w:bCs/>
                <w:kern w:val="0"/>
                <w:sz w:val="21"/>
                <w:szCs w:val="21"/>
                <w:highlight w:val="none"/>
              </w:rPr>
            </w:pPr>
            <w:r>
              <w:rPr>
                <w:rFonts w:hint="eastAsia" w:ascii="宋体" w:hAnsi="宋体" w:eastAsia="宋体" w:cs="宋体"/>
                <w:i w:val="0"/>
                <w:iCs w:val="0"/>
                <w:color w:val="000000"/>
                <w:kern w:val="0"/>
                <w:sz w:val="24"/>
                <w:szCs w:val="24"/>
                <w:u w:val="none"/>
                <w:lang w:val="en-US" w:eastAsia="zh-CN" w:bidi="ar"/>
              </w:rPr>
              <w:t>闸底板砼剥蚀面处理</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74BAF0A1">
            <w:pPr>
              <w:keepNext w:val="0"/>
              <w:keepLines w:val="0"/>
              <w:widowControl/>
              <w:suppressLineNumbers w:val="0"/>
              <w:ind w:left="0" w:lef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017" w:type="dxa"/>
            <w:tcBorders>
              <w:top w:val="single" w:color="000000" w:sz="4" w:space="0"/>
              <w:left w:val="single" w:color="000000" w:sz="4" w:space="0"/>
              <w:bottom w:val="single" w:color="000000" w:sz="4" w:space="0"/>
              <w:right w:val="single" w:color="000000" w:sz="4" w:space="0"/>
            </w:tcBorders>
            <w:noWrap w:val="0"/>
            <w:vAlign w:val="center"/>
          </w:tcPr>
          <w:p w14:paraId="439FE36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80.00 </w:t>
            </w:r>
          </w:p>
        </w:tc>
        <w:tc>
          <w:tcPr>
            <w:tcW w:w="3018" w:type="dxa"/>
            <w:tcBorders>
              <w:top w:val="single" w:color="000000" w:sz="4" w:space="0"/>
              <w:left w:val="single" w:color="000000" w:sz="4" w:space="0"/>
              <w:bottom w:val="single" w:color="000000" w:sz="4" w:space="0"/>
              <w:right w:val="single" w:color="000000" w:sz="4" w:space="0"/>
            </w:tcBorders>
            <w:noWrap w:val="0"/>
            <w:vAlign w:val="center"/>
          </w:tcPr>
          <w:p w14:paraId="46CF439C">
            <w:pPr>
              <w:keepNext w:val="0"/>
              <w:keepLines w:val="0"/>
              <w:widowControl/>
              <w:suppressLineNumbers w:val="0"/>
              <w:ind w:left="0" w:leftChars="0" w:firstLine="0" w:firstLineChars="0"/>
              <w:jc w:val="left"/>
              <w:textAlignment w:val="center"/>
              <w:rPr>
                <w:rFonts w:hint="eastAsia" w:ascii="宋体" w:hAnsi="宋体" w:eastAsia="宋体" w:cs="宋体"/>
                <w:b/>
                <w:bCs/>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清理+环氧基液+改性环氧砂浆</w:t>
            </w:r>
          </w:p>
        </w:tc>
      </w:tr>
      <w:tr w14:paraId="4A6D1AF0">
        <w:tblPrEx>
          <w:tblCellMar>
            <w:top w:w="0" w:type="dxa"/>
            <w:left w:w="108" w:type="dxa"/>
            <w:bottom w:w="0" w:type="dxa"/>
            <w:right w:w="108" w:type="dxa"/>
          </w:tblCellMar>
        </w:tblPrEx>
        <w:trPr>
          <w:trHeight w:val="399" w:hRule="atLeast"/>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168ADA78">
            <w:pPr>
              <w:keepNext w:val="0"/>
              <w:keepLines w:val="0"/>
              <w:widowControl/>
              <w:suppressLineNumbers w:val="0"/>
              <w:ind w:left="0" w:leftChars="0" w:firstLine="0" w:firstLineChars="0"/>
              <w:jc w:val="center"/>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1"/>
                <w:szCs w:val="21"/>
                <w:u w:val="none"/>
                <w:lang w:val="en-US" w:eastAsia="zh-CN" w:bidi="ar"/>
              </w:rPr>
              <w:t>②</w:t>
            </w:r>
          </w:p>
        </w:tc>
        <w:tc>
          <w:tcPr>
            <w:tcW w:w="3029" w:type="dxa"/>
            <w:tcBorders>
              <w:top w:val="single" w:color="000000" w:sz="4" w:space="0"/>
              <w:left w:val="single" w:color="000000" w:sz="4" w:space="0"/>
              <w:bottom w:val="single" w:color="000000" w:sz="4" w:space="0"/>
              <w:right w:val="single" w:color="000000" w:sz="4" w:space="0"/>
            </w:tcBorders>
            <w:noWrap w:val="0"/>
            <w:vAlign w:val="center"/>
          </w:tcPr>
          <w:p w14:paraId="5F3F0267">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4"/>
                <w:szCs w:val="24"/>
                <w:u w:val="none"/>
                <w:lang w:val="en-US" w:eastAsia="zh-CN" w:bidi="ar"/>
              </w:rPr>
              <w:t>闸底板砼抗冲磨防护</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7606BAC6">
            <w:pPr>
              <w:keepNext w:val="0"/>
              <w:keepLines w:val="0"/>
              <w:widowControl/>
              <w:suppressLineNumbers w:val="0"/>
              <w:ind w:left="0" w:lef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017" w:type="dxa"/>
            <w:tcBorders>
              <w:top w:val="single" w:color="000000" w:sz="4" w:space="0"/>
              <w:left w:val="single" w:color="000000" w:sz="4" w:space="0"/>
              <w:bottom w:val="single" w:color="000000" w:sz="4" w:space="0"/>
              <w:right w:val="single" w:color="000000" w:sz="4" w:space="0"/>
            </w:tcBorders>
            <w:noWrap w:val="0"/>
            <w:vAlign w:val="center"/>
          </w:tcPr>
          <w:p w14:paraId="231A1C6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80.00 </w:t>
            </w:r>
          </w:p>
        </w:tc>
        <w:tc>
          <w:tcPr>
            <w:tcW w:w="3018" w:type="dxa"/>
            <w:tcBorders>
              <w:top w:val="single" w:color="000000" w:sz="4" w:space="0"/>
              <w:left w:val="single" w:color="000000" w:sz="4" w:space="0"/>
              <w:bottom w:val="single" w:color="000000" w:sz="4" w:space="0"/>
              <w:right w:val="single" w:color="000000" w:sz="4" w:space="0"/>
            </w:tcBorders>
            <w:noWrap w:val="0"/>
            <w:vAlign w:val="center"/>
          </w:tcPr>
          <w:p w14:paraId="469A35C3">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打磨+环氧腻子+界面剂+SK手刮聚脲+胎基布+SK手刮聚脲</w:t>
            </w:r>
          </w:p>
        </w:tc>
      </w:tr>
      <w:tr w14:paraId="6640FCBF">
        <w:tblPrEx>
          <w:tblCellMar>
            <w:top w:w="0" w:type="dxa"/>
            <w:left w:w="108" w:type="dxa"/>
            <w:bottom w:w="0" w:type="dxa"/>
            <w:right w:w="108" w:type="dxa"/>
          </w:tblCellMar>
        </w:tblPrEx>
        <w:trPr>
          <w:trHeight w:val="399" w:hRule="atLeast"/>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6945B0F7">
            <w:pPr>
              <w:keepNext w:val="0"/>
              <w:keepLines w:val="0"/>
              <w:widowControl/>
              <w:suppressLineNumbers w:val="0"/>
              <w:ind w:left="0" w:leftChars="0" w:firstLine="0" w:firstLineChars="0"/>
              <w:jc w:val="center"/>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1"/>
                <w:szCs w:val="21"/>
                <w:u w:val="none"/>
                <w:lang w:val="en-US" w:eastAsia="zh-CN" w:bidi="ar"/>
              </w:rPr>
              <w:t>③</w:t>
            </w:r>
          </w:p>
        </w:tc>
        <w:tc>
          <w:tcPr>
            <w:tcW w:w="3029" w:type="dxa"/>
            <w:tcBorders>
              <w:top w:val="single" w:color="000000" w:sz="4" w:space="0"/>
              <w:left w:val="single" w:color="000000" w:sz="4" w:space="0"/>
              <w:bottom w:val="single" w:color="000000" w:sz="4" w:space="0"/>
              <w:right w:val="single" w:color="000000" w:sz="4" w:space="0"/>
            </w:tcBorders>
            <w:noWrap w:val="0"/>
            <w:vAlign w:val="center"/>
          </w:tcPr>
          <w:p w14:paraId="58D28470">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4"/>
                <w:szCs w:val="24"/>
                <w:u w:val="none"/>
                <w:lang w:val="en-US" w:eastAsia="zh-CN" w:bidi="ar"/>
              </w:rPr>
              <w:t>闸底板砼伸缩缝</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0787059C">
            <w:pPr>
              <w:keepNext w:val="0"/>
              <w:keepLines w:val="0"/>
              <w:widowControl/>
              <w:suppressLineNumbers w:val="0"/>
              <w:ind w:left="0" w:lef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m</w:t>
            </w:r>
          </w:p>
        </w:tc>
        <w:tc>
          <w:tcPr>
            <w:tcW w:w="1017" w:type="dxa"/>
            <w:tcBorders>
              <w:top w:val="single" w:color="000000" w:sz="4" w:space="0"/>
              <w:left w:val="single" w:color="000000" w:sz="4" w:space="0"/>
              <w:bottom w:val="single" w:color="000000" w:sz="4" w:space="0"/>
              <w:right w:val="single" w:color="000000" w:sz="4" w:space="0"/>
            </w:tcBorders>
            <w:noWrap w:val="0"/>
            <w:vAlign w:val="center"/>
          </w:tcPr>
          <w:p w14:paraId="0261E9A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42.00 </w:t>
            </w:r>
          </w:p>
        </w:tc>
        <w:tc>
          <w:tcPr>
            <w:tcW w:w="3018" w:type="dxa"/>
            <w:tcBorders>
              <w:top w:val="single" w:color="000000" w:sz="4" w:space="0"/>
              <w:left w:val="single" w:color="000000" w:sz="4" w:space="0"/>
              <w:bottom w:val="single" w:color="000000" w:sz="4" w:space="0"/>
              <w:right w:val="single" w:color="000000" w:sz="4" w:space="0"/>
            </w:tcBorders>
            <w:noWrap w:val="0"/>
            <w:vAlign w:val="center"/>
          </w:tcPr>
          <w:p w14:paraId="3586D968">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剔除+聚苯板圆棒+高弹性聚脲砂浆+胎基布+SK手刮聚脲</w:t>
            </w:r>
          </w:p>
        </w:tc>
      </w:tr>
      <w:tr w14:paraId="29F1BBB7">
        <w:tblPrEx>
          <w:tblCellMar>
            <w:top w:w="0" w:type="dxa"/>
            <w:left w:w="108" w:type="dxa"/>
            <w:bottom w:w="0" w:type="dxa"/>
            <w:right w:w="108" w:type="dxa"/>
          </w:tblCellMar>
        </w:tblPrEx>
        <w:trPr>
          <w:trHeight w:val="399" w:hRule="atLeast"/>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29616D22">
            <w:pPr>
              <w:keepNext w:val="0"/>
              <w:keepLines w:val="0"/>
              <w:widowControl/>
              <w:suppressLineNumbers w:val="0"/>
              <w:ind w:left="0" w:leftChars="0" w:firstLine="0" w:firstLineChars="0"/>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④</w:t>
            </w:r>
          </w:p>
        </w:tc>
        <w:tc>
          <w:tcPr>
            <w:tcW w:w="3029" w:type="dxa"/>
            <w:tcBorders>
              <w:top w:val="single" w:color="000000" w:sz="4" w:space="0"/>
              <w:left w:val="single" w:color="000000" w:sz="4" w:space="0"/>
              <w:bottom w:val="single" w:color="000000" w:sz="4" w:space="0"/>
              <w:right w:val="single" w:color="000000" w:sz="4" w:space="0"/>
            </w:tcBorders>
            <w:noWrap w:val="0"/>
            <w:vAlign w:val="center"/>
          </w:tcPr>
          <w:p w14:paraId="410A04A2">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闸室胸墙砼防碳化</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2AFD3A2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017" w:type="dxa"/>
            <w:tcBorders>
              <w:top w:val="single" w:color="000000" w:sz="4" w:space="0"/>
              <w:left w:val="single" w:color="000000" w:sz="4" w:space="0"/>
              <w:bottom w:val="single" w:color="000000" w:sz="4" w:space="0"/>
              <w:right w:val="single" w:color="000000" w:sz="4" w:space="0"/>
            </w:tcBorders>
            <w:noWrap w:val="0"/>
            <w:vAlign w:val="center"/>
          </w:tcPr>
          <w:p w14:paraId="16C8398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80.00 </w:t>
            </w:r>
          </w:p>
        </w:tc>
        <w:tc>
          <w:tcPr>
            <w:tcW w:w="3018" w:type="dxa"/>
            <w:tcBorders>
              <w:top w:val="single" w:color="000000" w:sz="4" w:space="0"/>
              <w:left w:val="single" w:color="000000" w:sz="4" w:space="0"/>
              <w:bottom w:val="single" w:color="000000" w:sz="4" w:space="0"/>
              <w:right w:val="single" w:color="000000" w:sz="4" w:space="0"/>
            </w:tcBorders>
            <w:noWrap w:val="0"/>
            <w:vAlign w:val="center"/>
          </w:tcPr>
          <w:p w14:paraId="5747BE2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清理+PCS柔性涂料</w:t>
            </w:r>
          </w:p>
        </w:tc>
      </w:tr>
      <w:tr w14:paraId="60C46A30">
        <w:tblPrEx>
          <w:tblCellMar>
            <w:top w:w="0" w:type="dxa"/>
            <w:left w:w="108" w:type="dxa"/>
            <w:bottom w:w="0" w:type="dxa"/>
            <w:right w:w="108" w:type="dxa"/>
          </w:tblCellMar>
        </w:tblPrEx>
        <w:trPr>
          <w:trHeight w:val="399" w:hRule="atLeast"/>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61FFB675">
            <w:pPr>
              <w:keepNext w:val="0"/>
              <w:keepLines w:val="0"/>
              <w:widowControl/>
              <w:suppressLineNumbers w:val="0"/>
              <w:ind w:left="0" w:leftChars="0" w:firstLine="0" w:firstLineChars="0"/>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⑤</w:t>
            </w:r>
          </w:p>
        </w:tc>
        <w:tc>
          <w:tcPr>
            <w:tcW w:w="3029" w:type="dxa"/>
            <w:tcBorders>
              <w:top w:val="single" w:color="000000" w:sz="4" w:space="0"/>
              <w:left w:val="single" w:color="000000" w:sz="4" w:space="0"/>
              <w:bottom w:val="single" w:color="000000" w:sz="4" w:space="0"/>
              <w:right w:val="single" w:color="000000" w:sz="4" w:space="0"/>
            </w:tcBorders>
            <w:noWrap w:val="0"/>
            <w:vAlign w:val="center"/>
          </w:tcPr>
          <w:p w14:paraId="45AF54E6">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1"/>
                <w:szCs w:val="21"/>
                <w:u w:val="none"/>
                <w:lang w:val="en-US" w:eastAsia="zh-CN" w:bidi="ar"/>
              </w:rPr>
              <w:t>闸室边墙水位变化区以上砼防碳化</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12D81133">
            <w:pPr>
              <w:keepNext w:val="0"/>
              <w:keepLines w:val="0"/>
              <w:widowControl/>
              <w:suppressLineNumbers w:val="0"/>
              <w:ind w:left="0" w:lef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017" w:type="dxa"/>
            <w:tcBorders>
              <w:top w:val="single" w:color="000000" w:sz="4" w:space="0"/>
              <w:left w:val="single" w:color="000000" w:sz="4" w:space="0"/>
              <w:bottom w:val="single" w:color="000000" w:sz="4" w:space="0"/>
              <w:right w:val="single" w:color="000000" w:sz="4" w:space="0"/>
            </w:tcBorders>
            <w:noWrap w:val="0"/>
            <w:vAlign w:val="center"/>
          </w:tcPr>
          <w:p w14:paraId="48081BC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201.20 </w:t>
            </w:r>
          </w:p>
        </w:tc>
        <w:tc>
          <w:tcPr>
            <w:tcW w:w="3018" w:type="dxa"/>
            <w:tcBorders>
              <w:top w:val="single" w:color="000000" w:sz="4" w:space="0"/>
              <w:left w:val="single" w:color="000000" w:sz="4" w:space="0"/>
              <w:bottom w:val="single" w:color="000000" w:sz="4" w:space="0"/>
              <w:right w:val="single" w:color="000000" w:sz="4" w:space="0"/>
            </w:tcBorders>
            <w:noWrap w:val="0"/>
            <w:vAlign w:val="center"/>
          </w:tcPr>
          <w:p w14:paraId="5BF06ABD">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清理+PCS柔性涂料</w:t>
            </w:r>
          </w:p>
        </w:tc>
      </w:tr>
      <w:tr w14:paraId="2F3039EB">
        <w:tblPrEx>
          <w:tblCellMar>
            <w:top w:w="0" w:type="dxa"/>
            <w:left w:w="108" w:type="dxa"/>
            <w:bottom w:w="0" w:type="dxa"/>
            <w:right w:w="108" w:type="dxa"/>
          </w:tblCellMar>
        </w:tblPrEx>
        <w:trPr>
          <w:trHeight w:val="399" w:hRule="atLeast"/>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391EA329">
            <w:pPr>
              <w:keepNext w:val="0"/>
              <w:keepLines w:val="0"/>
              <w:widowControl/>
              <w:suppressLineNumbers w:val="0"/>
              <w:ind w:left="0" w:leftChars="0" w:firstLine="0" w:firstLineChars="0"/>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⑥</w:t>
            </w:r>
          </w:p>
        </w:tc>
        <w:tc>
          <w:tcPr>
            <w:tcW w:w="3029" w:type="dxa"/>
            <w:tcBorders>
              <w:top w:val="single" w:color="000000" w:sz="4" w:space="0"/>
              <w:left w:val="single" w:color="000000" w:sz="4" w:space="0"/>
              <w:bottom w:val="single" w:color="000000" w:sz="4" w:space="0"/>
              <w:right w:val="single" w:color="000000" w:sz="4" w:space="0"/>
            </w:tcBorders>
            <w:noWrap w:val="0"/>
            <w:vAlign w:val="center"/>
          </w:tcPr>
          <w:p w14:paraId="7CEE574A">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1"/>
                <w:szCs w:val="21"/>
                <w:u w:val="none"/>
                <w:lang w:val="en-US" w:eastAsia="zh-CN" w:bidi="ar"/>
              </w:rPr>
              <w:t>闸室边墙水位变化区以下砼抗冲磨防护</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63366482">
            <w:pPr>
              <w:keepNext w:val="0"/>
              <w:keepLines w:val="0"/>
              <w:widowControl/>
              <w:suppressLineNumbers w:val="0"/>
              <w:ind w:left="0" w:lef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017" w:type="dxa"/>
            <w:tcBorders>
              <w:top w:val="single" w:color="000000" w:sz="4" w:space="0"/>
              <w:left w:val="single" w:color="000000" w:sz="4" w:space="0"/>
              <w:bottom w:val="single" w:color="000000" w:sz="4" w:space="0"/>
              <w:right w:val="single" w:color="000000" w:sz="4" w:space="0"/>
            </w:tcBorders>
            <w:noWrap w:val="0"/>
            <w:vAlign w:val="center"/>
          </w:tcPr>
          <w:p w14:paraId="15124F8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221.40 </w:t>
            </w:r>
          </w:p>
        </w:tc>
        <w:tc>
          <w:tcPr>
            <w:tcW w:w="3018" w:type="dxa"/>
            <w:tcBorders>
              <w:top w:val="single" w:color="000000" w:sz="4" w:space="0"/>
              <w:left w:val="single" w:color="000000" w:sz="4" w:space="0"/>
              <w:bottom w:val="single" w:color="000000" w:sz="4" w:space="0"/>
              <w:right w:val="single" w:color="000000" w:sz="4" w:space="0"/>
            </w:tcBorders>
            <w:noWrap w:val="0"/>
            <w:vAlign w:val="center"/>
          </w:tcPr>
          <w:p w14:paraId="723D8CA7">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打磨+环氧腻子+界面剂+SK手刮聚脲+胎基布+SK手刮聚脲</w:t>
            </w:r>
          </w:p>
        </w:tc>
      </w:tr>
      <w:tr w14:paraId="015CF827">
        <w:tblPrEx>
          <w:tblCellMar>
            <w:top w:w="0" w:type="dxa"/>
            <w:left w:w="108" w:type="dxa"/>
            <w:bottom w:w="0" w:type="dxa"/>
            <w:right w:w="108" w:type="dxa"/>
          </w:tblCellMar>
        </w:tblPrEx>
        <w:trPr>
          <w:trHeight w:val="399" w:hRule="atLeast"/>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79190EDE">
            <w:pPr>
              <w:keepNext w:val="0"/>
              <w:keepLines w:val="0"/>
              <w:widowControl/>
              <w:suppressLineNumbers w:val="0"/>
              <w:ind w:left="0" w:leftChars="0" w:firstLine="0" w:firstLineChars="0"/>
              <w:jc w:val="center"/>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1"/>
                <w:szCs w:val="21"/>
                <w:u w:val="none"/>
                <w:lang w:val="en-US" w:eastAsia="zh-CN" w:bidi="ar"/>
              </w:rPr>
              <w:fldChar w:fldCharType="begin"/>
            </w:r>
            <w:r>
              <w:rPr>
                <w:rFonts w:hint="eastAsia" w:ascii="宋体" w:hAnsi="宋体" w:eastAsia="宋体" w:cs="宋体"/>
                <w:i w:val="0"/>
                <w:iCs w:val="0"/>
                <w:color w:val="000000"/>
                <w:kern w:val="0"/>
                <w:sz w:val="21"/>
                <w:szCs w:val="21"/>
                <w:u w:val="none"/>
                <w:lang w:val="en-US" w:eastAsia="zh-CN" w:bidi="ar"/>
              </w:rPr>
              <w:instrText xml:space="preserve"> = 7 \* GB3 \* MERGEFORMAT </w:instrText>
            </w:r>
            <w:r>
              <w:rPr>
                <w:rFonts w:hint="eastAsia" w:ascii="宋体" w:hAnsi="宋体" w:eastAsia="宋体" w:cs="宋体"/>
                <w:i w:val="0"/>
                <w:iCs w:val="0"/>
                <w:color w:val="000000"/>
                <w:kern w:val="0"/>
                <w:sz w:val="21"/>
                <w:szCs w:val="21"/>
                <w:u w:val="none"/>
                <w:lang w:val="en-US" w:eastAsia="zh-CN" w:bidi="ar"/>
              </w:rPr>
              <w:fldChar w:fldCharType="separate"/>
            </w:r>
            <w:r>
              <w:rPr>
                <w:rFonts w:hint="eastAsia" w:ascii="宋体" w:hAnsi="宋体" w:eastAsia="宋体" w:cs="宋体"/>
                <w:i w:val="0"/>
                <w:iCs w:val="0"/>
                <w:color w:val="000000"/>
                <w:kern w:val="0"/>
                <w:sz w:val="21"/>
                <w:szCs w:val="21"/>
                <w:u w:val="none"/>
                <w:lang w:val="en-US" w:eastAsia="zh-CN" w:bidi="ar"/>
              </w:rPr>
              <w:t>⑦</w:t>
            </w:r>
            <w:r>
              <w:rPr>
                <w:rFonts w:hint="eastAsia" w:ascii="宋体" w:hAnsi="宋体" w:eastAsia="宋体" w:cs="宋体"/>
                <w:i w:val="0"/>
                <w:iCs w:val="0"/>
                <w:color w:val="000000"/>
                <w:kern w:val="0"/>
                <w:sz w:val="21"/>
                <w:szCs w:val="21"/>
                <w:u w:val="none"/>
                <w:lang w:val="en-US" w:eastAsia="zh-CN" w:bidi="ar"/>
              </w:rPr>
              <w:fldChar w:fldCharType="end"/>
            </w:r>
          </w:p>
        </w:tc>
        <w:tc>
          <w:tcPr>
            <w:tcW w:w="3029" w:type="dxa"/>
            <w:tcBorders>
              <w:top w:val="single" w:color="000000" w:sz="4" w:space="0"/>
              <w:left w:val="single" w:color="000000" w:sz="4" w:space="0"/>
              <w:bottom w:val="single" w:color="000000" w:sz="4" w:space="0"/>
              <w:right w:val="single" w:color="000000" w:sz="4" w:space="0"/>
            </w:tcBorders>
            <w:noWrap w:val="0"/>
            <w:vAlign w:val="center"/>
          </w:tcPr>
          <w:p w14:paraId="5623B465">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1"/>
                <w:szCs w:val="21"/>
                <w:u w:val="none"/>
                <w:lang w:val="en-US" w:eastAsia="zh-CN" w:bidi="ar"/>
              </w:rPr>
              <w:t>脚手架</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7CFE0402">
            <w:pPr>
              <w:keepNext w:val="0"/>
              <w:keepLines w:val="0"/>
              <w:widowControl/>
              <w:suppressLineNumbers w:val="0"/>
              <w:ind w:left="0" w:lef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m</w:t>
            </w:r>
            <w:r>
              <w:rPr>
                <w:rStyle w:val="46"/>
                <w:rFonts w:hint="eastAsia" w:ascii="宋体" w:hAnsi="宋体" w:eastAsia="宋体" w:cs="宋体"/>
                <w:lang w:val="en-US" w:eastAsia="zh-CN" w:bidi="ar"/>
              </w:rPr>
              <w:t>2</w:t>
            </w:r>
          </w:p>
        </w:tc>
        <w:tc>
          <w:tcPr>
            <w:tcW w:w="1017" w:type="dxa"/>
            <w:tcBorders>
              <w:top w:val="single" w:color="000000" w:sz="4" w:space="0"/>
              <w:left w:val="single" w:color="000000" w:sz="4" w:space="0"/>
              <w:bottom w:val="single" w:color="000000" w:sz="4" w:space="0"/>
              <w:right w:val="single" w:color="000000" w:sz="4" w:space="0"/>
            </w:tcBorders>
            <w:noWrap w:val="0"/>
            <w:vAlign w:val="center"/>
          </w:tcPr>
          <w:p w14:paraId="66DB0C6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422.60 </w:t>
            </w:r>
          </w:p>
        </w:tc>
        <w:tc>
          <w:tcPr>
            <w:tcW w:w="3018" w:type="dxa"/>
            <w:tcBorders>
              <w:top w:val="single" w:color="000000" w:sz="4" w:space="0"/>
              <w:left w:val="single" w:color="000000" w:sz="4" w:space="0"/>
              <w:bottom w:val="single" w:color="000000" w:sz="4" w:space="0"/>
              <w:right w:val="single" w:color="000000" w:sz="4" w:space="0"/>
            </w:tcBorders>
            <w:noWrap w:val="0"/>
            <w:vAlign w:val="center"/>
          </w:tcPr>
          <w:p w14:paraId="19BFD727">
            <w:pPr>
              <w:jc w:val="left"/>
              <w:rPr>
                <w:rFonts w:hint="eastAsia" w:ascii="宋体" w:hAnsi="宋体" w:eastAsia="宋体" w:cs="宋体"/>
                <w:b w:val="0"/>
                <w:bCs w:val="0"/>
                <w:kern w:val="0"/>
                <w:sz w:val="21"/>
                <w:szCs w:val="21"/>
                <w:highlight w:val="none"/>
                <w:lang w:val="en-US" w:eastAsia="zh-CN"/>
              </w:rPr>
            </w:pPr>
          </w:p>
        </w:tc>
      </w:tr>
      <w:tr w14:paraId="0635EC34">
        <w:tblPrEx>
          <w:tblCellMar>
            <w:top w:w="0" w:type="dxa"/>
            <w:left w:w="108" w:type="dxa"/>
            <w:bottom w:w="0" w:type="dxa"/>
            <w:right w:w="108" w:type="dxa"/>
          </w:tblCellMar>
        </w:tblPrEx>
        <w:trPr>
          <w:trHeight w:val="399" w:hRule="atLeast"/>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3610904D">
            <w:pPr>
              <w:keepNext w:val="0"/>
              <w:keepLines w:val="0"/>
              <w:widowControl/>
              <w:suppressLineNumbers w:val="0"/>
              <w:ind w:left="0" w:leftChars="0" w:firstLine="0" w:firstLineChars="0"/>
              <w:jc w:val="center"/>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1"/>
                <w:szCs w:val="21"/>
                <w:u w:val="none"/>
                <w:lang w:val="en-US" w:eastAsia="zh-CN" w:bidi="ar"/>
              </w:rPr>
              <w:t>（2）</w:t>
            </w:r>
          </w:p>
        </w:tc>
        <w:tc>
          <w:tcPr>
            <w:tcW w:w="3029" w:type="dxa"/>
            <w:tcBorders>
              <w:top w:val="single" w:color="000000" w:sz="4" w:space="0"/>
              <w:left w:val="single" w:color="000000" w:sz="4" w:space="0"/>
              <w:bottom w:val="single" w:color="000000" w:sz="4" w:space="0"/>
              <w:right w:val="single" w:color="000000" w:sz="4" w:space="0"/>
            </w:tcBorders>
            <w:noWrap w:val="0"/>
            <w:vAlign w:val="center"/>
          </w:tcPr>
          <w:p w14:paraId="10627036">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1"/>
                <w:szCs w:val="21"/>
                <w:u w:val="none"/>
                <w:lang w:val="en-US" w:eastAsia="zh-CN" w:bidi="ar"/>
              </w:rPr>
              <w:t>闸下游渠道砼缺陷处理</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6623B1C0">
            <w:pPr>
              <w:jc w:val="center"/>
              <w:rPr>
                <w:rFonts w:hint="eastAsia" w:ascii="宋体" w:hAnsi="宋体" w:eastAsia="宋体" w:cs="宋体"/>
                <w:color w:val="000000"/>
                <w:sz w:val="21"/>
                <w:szCs w:val="21"/>
              </w:rPr>
            </w:pPr>
          </w:p>
        </w:tc>
        <w:tc>
          <w:tcPr>
            <w:tcW w:w="1017" w:type="dxa"/>
            <w:tcBorders>
              <w:top w:val="single" w:color="000000" w:sz="4" w:space="0"/>
              <w:left w:val="single" w:color="000000" w:sz="4" w:space="0"/>
              <w:bottom w:val="single" w:color="000000" w:sz="4" w:space="0"/>
              <w:right w:val="single" w:color="000000" w:sz="4" w:space="0"/>
            </w:tcBorders>
            <w:noWrap w:val="0"/>
            <w:vAlign w:val="center"/>
          </w:tcPr>
          <w:p w14:paraId="0BBEB16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w:t>
            </w:r>
          </w:p>
        </w:tc>
        <w:tc>
          <w:tcPr>
            <w:tcW w:w="3018" w:type="dxa"/>
            <w:tcBorders>
              <w:top w:val="single" w:color="000000" w:sz="4" w:space="0"/>
              <w:left w:val="single" w:color="000000" w:sz="4" w:space="0"/>
              <w:bottom w:val="single" w:color="000000" w:sz="4" w:space="0"/>
              <w:right w:val="single" w:color="000000" w:sz="4" w:space="0"/>
            </w:tcBorders>
            <w:noWrap w:val="0"/>
            <w:vAlign w:val="center"/>
          </w:tcPr>
          <w:p w14:paraId="07FC2980">
            <w:pPr>
              <w:jc w:val="left"/>
              <w:rPr>
                <w:rFonts w:hint="eastAsia" w:ascii="宋体" w:hAnsi="宋体" w:eastAsia="宋体" w:cs="宋体"/>
                <w:b w:val="0"/>
                <w:bCs w:val="0"/>
                <w:kern w:val="0"/>
                <w:sz w:val="21"/>
                <w:szCs w:val="21"/>
                <w:highlight w:val="none"/>
                <w:lang w:val="en-US" w:eastAsia="zh-CN"/>
              </w:rPr>
            </w:pPr>
          </w:p>
        </w:tc>
      </w:tr>
      <w:tr w14:paraId="6B65BC4A">
        <w:tblPrEx>
          <w:tblCellMar>
            <w:top w:w="0" w:type="dxa"/>
            <w:left w:w="108" w:type="dxa"/>
            <w:bottom w:w="0" w:type="dxa"/>
            <w:right w:w="108" w:type="dxa"/>
          </w:tblCellMar>
        </w:tblPrEx>
        <w:trPr>
          <w:trHeight w:val="399" w:hRule="atLeast"/>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7C2CA40A">
            <w:pPr>
              <w:keepNext w:val="0"/>
              <w:keepLines w:val="0"/>
              <w:widowControl/>
              <w:suppressLineNumbers w:val="0"/>
              <w:ind w:left="0" w:leftChars="0" w:firstLine="0" w:firstLineChars="0"/>
              <w:jc w:val="center"/>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1"/>
                <w:szCs w:val="21"/>
                <w:u w:val="none"/>
                <w:lang w:val="en-US" w:eastAsia="zh-CN" w:bidi="ar"/>
              </w:rPr>
              <w:t>①</w:t>
            </w:r>
          </w:p>
        </w:tc>
        <w:tc>
          <w:tcPr>
            <w:tcW w:w="3029" w:type="dxa"/>
            <w:tcBorders>
              <w:top w:val="single" w:color="000000" w:sz="4" w:space="0"/>
              <w:left w:val="single" w:color="000000" w:sz="4" w:space="0"/>
              <w:bottom w:val="single" w:color="000000" w:sz="4" w:space="0"/>
              <w:right w:val="single" w:color="000000" w:sz="4" w:space="0"/>
            </w:tcBorders>
            <w:noWrap w:val="0"/>
            <w:vAlign w:val="center"/>
          </w:tcPr>
          <w:p w14:paraId="0BB9A440">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1"/>
                <w:szCs w:val="21"/>
                <w:u w:val="none"/>
                <w:lang w:val="en-US" w:eastAsia="zh-CN" w:bidi="ar"/>
              </w:rPr>
              <w:t>下游渠道砼剥蚀处理</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06E75513">
            <w:pPr>
              <w:keepNext w:val="0"/>
              <w:keepLines w:val="0"/>
              <w:widowControl/>
              <w:suppressLineNumbers w:val="0"/>
              <w:ind w:left="0" w:lef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017" w:type="dxa"/>
            <w:tcBorders>
              <w:top w:val="single" w:color="000000" w:sz="4" w:space="0"/>
              <w:left w:val="single" w:color="000000" w:sz="4" w:space="0"/>
              <w:bottom w:val="single" w:color="000000" w:sz="4" w:space="0"/>
              <w:right w:val="single" w:color="000000" w:sz="4" w:space="0"/>
            </w:tcBorders>
            <w:noWrap w:val="0"/>
            <w:vAlign w:val="center"/>
          </w:tcPr>
          <w:p w14:paraId="7A58334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2577.00 </w:t>
            </w:r>
          </w:p>
        </w:tc>
        <w:tc>
          <w:tcPr>
            <w:tcW w:w="3018" w:type="dxa"/>
            <w:tcBorders>
              <w:top w:val="single" w:color="000000" w:sz="4" w:space="0"/>
              <w:left w:val="single" w:color="000000" w:sz="4" w:space="0"/>
              <w:bottom w:val="single" w:color="000000" w:sz="4" w:space="0"/>
              <w:right w:val="single" w:color="000000" w:sz="4" w:space="0"/>
            </w:tcBorders>
            <w:noWrap w:val="0"/>
            <w:vAlign w:val="center"/>
          </w:tcPr>
          <w:p w14:paraId="4E979B54">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清理+环氧基液+改性环氧砂浆</w:t>
            </w:r>
          </w:p>
        </w:tc>
      </w:tr>
      <w:tr w14:paraId="6978528B">
        <w:tblPrEx>
          <w:tblCellMar>
            <w:top w:w="0" w:type="dxa"/>
            <w:left w:w="108" w:type="dxa"/>
            <w:bottom w:w="0" w:type="dxa"/>
            <w:right w:w="108" w:type="dxa"/>
          </w:tblCellMar>
        </w:tblPrEx>
        <w:trPr>
          <w:trHeight w:val="399" w:hRule="atLeast"/>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21FB9630">
            <w:pPr>
              <w:keepNext w:val="0"/>
              <w:keepLines w:val="0"/>
              <w:widowControl/>
              <w:suppressLineNumbers w:val="0"/>
              <w:ind w:left="0" w:leftChars="0" w:firstLine="0" w:firstLineChars="0"/>
              <w:jc w:val="center"/>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1"/>
                <w:szCs w:val="21"/>
                <w:u w:val="none"/>
                <w:lang w:val="en-US" w:eastAsia="zh-CN" w:bidi="ar"/>
              </w:rPr>
              <w:t>②</w:t>
            </w:r>
          </w:p>
        </w:tc>
        <w:tc>
          <w:tcPr>
            <w:tcW w:w="3029" w:type="dxa"/>
            <w:tcBorders>
              <w:top w:val="single" w:color="000000" w:sz="4" w:space="0"/>
              <w:left w:val="single" w:color="000000" w:sz="4" w:space="0"/>
              <w:bottom w:val="single" w:color="000000" w:sz="4" w:space="0"/>
              <w:right w:val="single" w:color="000000" w:sz="4" w:space="0"/>
            </w:tcBorders>
            <w:noWrap w:val="0"/>
            <w:vAlign w:val="center"/>
          </w:tcPr>
          <w:p w14:paraId="6FC17C87">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下游渠道水位变化区以下砼抗冲磨防护</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7B277438">
            <w:pPr>
              <w:keepNext w:val="0"/>
              <w:keepLines w:val="0"/>
              <w:widowControl/>
              <w:suppressLineNumbers w:val="0"/>
              <w:ind w:left="0" w:leftChars="0" w:firstLine="0" w:firstLineChars="0"/>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017" w:type="dxa"/>
            <w:tcBorders>
              <w:top w:val="single" w:color="000000" w:sz="4" w:space="0"/>
              <w:left w:val="single" w:color="000000" w:sz="4" w:space="0"/>
              <w:bottom w:val="single" w:color="000000" w:sz="4" w:space="0"/>
              <w:right w:val="single" w:color="000000" w:sz="4" w:space="0"/>
            </w:tcBorders>
            <w:noWrap w:val="0"/>
            <w:vAlign w:val="center"/>
          </w:tcPr>
          <w:p w14:paraId="71A83EA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2577.00 </w:t>
            </w:r>
          </w:p>
        </w:tc>
        <w:tc>
          <w:tcPr>
            <w:tcW w:w="3018" w:type="dxa"/>
            <w:tcBorders>
              <w:top w:val="single" w:color="000000" w:sz="4" w:space="0"/>
              <w:left w:val="single" w:color="000000" w:sz="4" w:space="0"/>
              <w:bottom w:val="single" w:color="000000" w:sz="4" w:space="0"/>
              <w:right w:val="single" w:color="000000" w:sz="4" w:space="0"/>
            </w:tcBorders>
            <w:noWrap w:val="0"/>
            <w:vAlign w:val="center"/>
          </w:tcPr>
          <w:p w14:paraId="1FFAFC57">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打磨+环氧腻子+界面剂+SK手刮聚脲+胎基布+SK手刮聚脲</w:t>
            </w:r>
          </w:p>
        </w:tc>
      </w:tr>
      <w:tr w14:paraId="2088232D">
        <w:tblPrEx>
          <w:tblCellMar>
            <w:top w:w="0" w:type="dxa"/>
            <w:left w:w="108" w:type="dxa"/>
            <w:bottom w:w="0" w:type="dxa"/>
            <w:right w:w="108" w:type="dxa"/>
          </w:tblCellMar>
        </w:tblPrEx>
        <w:trPr>
          <w:trHeight w:val="399" w:hRule="atLeast"/>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639364FB">
            <w:pPr>
              <w:keepNext w:val="0"/>
              <w:keepLines w:val="0"/>
              <w:widowControl/>
              <w:suppressLineNumbers w:val="0"/>
              <w:ind w:left="0" w:leftChars="0" w:firstLine="0" w:firstLineChars="0"/>
              <w:jc w:val="center"/>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1"/>
                <w:szCs w:val="21"/>
                <w:u w:val="none"/>
                <w:lang w:val="en-US" w:eastAsia="zh-CN" w:bidi="ar"/>
              </w:rPr>
              <w:t>③</w:t>
            </w:r>
          </w:p>
        </w:tc>
        <w:tc>
          <w:tcPr>
            <w:tcW w:w="3029" w:type="dxa"/>
            <w:tcBorders>
              <w:top w:val="single" w:color="000000" w:sz="4" w:space="0"/>
              <w:left w:val="single" w:color="000000" w:sz="4" w:space="0"/>
              <w:bottom w:val="single" w:color="000000" w:sz="4" w:space="0"/>
              <w:right w:val="single" w:color="000000" w:sz="4" w:space="0"/>
            </w:tcBorders>
            <w:noWrap w:val="0"/>
            <w:vAlign w:val="center"/>
          </w:tcPr>
          <w:p w14:paraId="715D3D07">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渠道砼伸缩缝处理</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50C80578">
            <w:pPr>
              <w:keepNext w:val="0"/>
              <w:keepLines w:val="0"/>
              <w:widowControl/>
              <w:suppressLineNumbers w:val="0"/>
              <w:ind w:left="0" w:leftChars="0" w:firstLine="0" w:firstLineChars="0"/>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m</w:t>
            </w:r>
          </w:p>
        </w:tc>
        <w:tc>
          <w:tcPr>
            <w:tcW w:w="1017" w:type="dxa"/>
            <w:tcBorders>
              <w:top w:val="single" w:color="000000" w:sz="4" w:space="0"/>
              <w:left w:val="single" w:color="000000" w:sz="4" w:space="0"/>
              <w:bottom w:val="single" w:color="000000" w:sz="4" w:space="0"/>
              <w:right w:val="single" w:color="000000" w:sz="4" w:space="0"/>
            </w:tcBorders>
            <w:noWrap w:val="0"/>
            <w:vAlign w:val="center"/>
          </w:tcPr>
          <w:p w14:paraId="04666BE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106.50 </w:t>
            </w:r>
          </w:p>
        </w:tc>
        <w:tc>
          <w:tcPr>
            <w:tcW w:w="3018" w:type="dxa"/>
            <w:tcBorders>
              <w:top w:val="single" w:color="000000" w:sz="4" w:space="0"/>
              <w:left w:val="single" w:color="000000" w:sz="4" w:space="0"/>
              <w:bottom w:val="single" w:color="000000" w:sz="4" w:space="0"/>
              <w:right w:val="single" w:color="000000" w:sz="4" w:space="0"/>
            </w:tcBorders>
            <w:noWrap w:val="0"/>
            <w:vAlign w:val="center"/>
          </w:tcPr>
          <w:p w14:paraId="7017D6AE">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剔除+聚苯板圆棒+高弹性聚脲砂浆+胎基布+SK手刮聚脲</w:t>
            </w:r>
          </w:p>
        </w:tc>
      </w:tr>
      <w:tr w14:paraId="7836D541">
        <w:tblPrEx>
          <w:tblCellMar>
            <w:top w:w="0" w:type="dxa"/>
            <w:left w:w="108" w:type="dxa"/>
            <w:bottom w:w="0" w:type="dxa"/>
            <w:right w:w="108" w:type="dxa"/>
          </w:tblCellMar>
        </w:tblPrEx>
        <w:trPr>
          <w:trHeight w:val="399" w:hRule="atLeast"/>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77FAF9FF">
            <w:pPr>
              <w:keepNext w:val="0"/>
              <w:keepLines w:val="0"/>
              <w:widowControl/>
              <w:suppressLineNumbers w:val="0"/>
              <w:ind w:left="0" w:leftChars="0" w:firstLine="0" w:firstLineChars="0"/>
              <w:jc w:val="center"/>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1"/>
                <w:szCs w:val="21"/>
                <w:u w:val="none"/>
                <w:lang w:val="en-US" w:eastAsia="zh-CN" w:bidi="ar"/>
              </w:rPr>
              <w:t>④</w:t>
            </w:r>
          </w:p>
        </w:tc>
        <w:tc>
          <w:tcPr>
            <w:tcW w:w="3029" w:type="dxa"/>
            <w:tcBorders>
              <w:top w:val="single" w:color="000000" w:sz="4" w:space="0"/>
              <w:left w:val="single" w:color="000000" w:sz="4" w:space="0"/>
              <w:bottom w:val="single" w:color="000000" w:sz="4" w:space="0"/>
              <w:right w:val="single" w:color="000000" w:sz="4" w:space="0"/>
            </w:tcBorders>
            <w:noWrap w:val="0"/>
            <w:vAlign w:val="center"/>
          </w:tcPr>
          <w:p w14:paraId="6D0BC09F">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渠道砼裂缝处理</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5016CA7C">
            <w:pPr>
              <w:keepNext w:val="0"/>
              <w:keepLines w:val="0"/>
              <w:widowControl/>
              <w:suppressLineNumbers w:val="0"/>
              <w:ind w:left="0" w:leftChars="0" w:firstLine="0" w:firstLineChars="0"/>
              <w:jc w:val="center"/>
              <w:textAlignment w:val="center"/>
              <w:rPr>
                <w:rFonts w:hint="eastAsia" w:ascii="宋体" w:hAnsi="宋体" w:eastAsia="宋体" w:cs="宋体"/>
                <w:color w:val="000000"/>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m</w:t>
            </w:r>
          </w:p>
        </w:tc>
        <w:tc>
          <w:tcPr>
            <w:tcW w:w="1017" w:type="dxa"/>
            <w:tcBorders>
              <w:top w:val="single" w:color="000000" w:sz="4" w:space="0"/>
              <w:left w:val="single" w:color="000000" w:sz="4" w:space="0"/>
              <w:bottom w:val="single" w:color="000000" w:sz="4" w:space="0"/>
              <w:right w:val="single" w:color="000000" w:sz="4" w:space="0"/>
            </w:tcBorders>
            <w:noWrap w:val="0"/>
            <w:vAlign w:val="center"/>
          </w:tcPr>
          <w:p w14:paraId="34EA255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60.00 </w:t>
            </w:r>
          </w:p>
        </w:tc>
        <w:tc>
          <w:tcPr>
            <w:tcW w:w="3018" w:type="dxa"/>
            <w:tcBorders>
              <w:top w:val="single" w:color="000000" w:sz="4" w:space="0"/>
              <w:left w:val="single" w:color="000000" w:sz="4" w:space="0"/>
              <w:bottom w:val="single" w:color="000000" w:sz="4" w:space="0"/>
              <w:right w:val="single" w:color="000000" w:sz="4" w:space="0"/>
            </w:tcBorders>
            <w:noWrap w:val="0"/>
            <w:vAlign w:val="center"/>
          </w:tcPr>
          <w:p w14:paraId="53D88EB5">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化学灌浆+胎基布+SK手刮聚脲</w:t>
            </w:r>
          </w:p>
        </w:tc>
      </w:tr>
      <w:tr w14:paraId="56B1DAF0">
        <w:tblPrEx>
          <w:tblCellMar>
            <w:top w:w="0" w:type="dxa"/>
            <w:left w:w="108" w:type="dxa"/>
            <w:bottom w:w="0" w:type="dxa"/>
            <w:right w:w="108" w:type="dxa"/>
          </w:tblCellMar>
        </w:tblPrEx>
        <w:trPr>
          <w:trHeight w:val="399" w:hRule="atLeast"/>
        </w:trPr>
        <w:tc>
          <w:tcPr>
            <w:tcW w:w="7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5E67AC">
            <w:pPr>
              <w:keepNext w:val="0"/>
              <w:keepLines w:val="0"/>
              <w:widowControl/>
              <w:suppressLineNumbers w:val="0"/>
              <w:ind w:left="0" w:leftChars="0" w:firstLine="0" w:firstLineChars="0"/>
              <w:jc w:val="center"/>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1"/>
                <w:szCs w:val="21"/>
                <w:u w:val="none"/>
                <w:lang w:val="en-US" w:eastAsia="zh-CN" w:bidi="ar"/>
              </w:rPr>
              <w:t>⑤</w:t>
            </w:r>
          </w:p>
        </w:tc>
        <w:tc>
          <w:tcPr>
            <w:tcW w:w="302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34B117">
            <w:pPr>
              <w:keepNext w:val="0"/>
              <w:keepLines w:val="0"/>
              <w:widowControl/>
              <w:suppressLineNumbers w:val="0"/>
              <w:ind w:left="0" w:leftChars="0" w:firstLine="0" w:firstLineChars="0"/>
              <w:jc w:val="left"/>
              <w:textAlignment w:val="center"/>
              <w:rPr>
                <w:rFonts w:hint="eastAsia" w:ascii="宋体" w:hAnsi="宋体" w:eastAsia="宋体" w:cs="宋体"/>
                <w:b/>
                <w:bCs/>
                <w:kern w:val="0"/>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脚手架</w:t>
            </w:r>
          </w:p>
        </w:tc>
        <w:tc>
          <w:tcPr>
            <w:tcW w:w="69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C6BA63">
            <w:pPr>
              <w:keepNext w:val="0"/>
              <w:keepLines w:val="0"/>
              <w:widowControl/>
              <w:suppressLineNumbers w:val="0"/>
              <w:ind w:left="0" w:leftChars="0" w:firstLine="0" w:firstLineChars="0"/>
              <w:jc w:val="center"/>
              <w:textAlignment w:val="center"/>
              <w:rPr>
                <w:rFonts w:hint="eastAsia" w:ascii="宋体" w:hAnsi="宋体" w:eastAsia="宋体" w:cs="宋体"/>
                <w:color w:val="000000"/>
                <w:kern w:val="2"/>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w:t>
            </w:r>
            <w:r>
              <w:rPr>
                <w:rStyle w:val="46"/>
                <w:rFonts w:hint="eastAsia" w:ascii="宋体" w:hAnsi="宋体" w:eastAsia="宋体" w:cs="宋体"/>
                <w:lang w:val="en-US" w:eastAsia="zh-CN" w:bidi="ar"/>
              </w:rPr>
              <w:t>2</w:t>
            </w:r>
          </w:p>
        </w:tc>
        <w:tc>
          <w:tcPr>
            <w:tcW w:w="101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AC736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1420.20 </w:t>
            </w:r>
          </w:p>
        </w:tc>
        <w:tc>
          <w:tcPr>
            <w:tcW w:w="301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47E698">
            <w:pPr>
              <w:ind w:firstLine="420" w:firstLineChars="200"/>
              <w:jc w:val="left"/>
              <w:rPr>
                <w:rFonts w:hint="eastAsia" w:ascii="宋体" w:hAnsi="宋体" w:eastAsia="宋体" w:cs="宋体"/>
                <w:b w:val="0"/>
                <w:bCs w:val="0"/>
                <w:kern w:val="0"/>
                <w:sz w:val="21"/>
                <w:szCs w:val="21"/>
                <w:highlight w:val="none"/>
                <w:lang w:val="en-US" w:eastAsia="zh-CN" w:bidi="ar-SA"/>
              </w:rPr>
            </w:pPr>
          </w:p>
        </w:tc>
      </w:tr>
      <w:tr w14:paraId="16E051A7">
        <w:tblPrEx>
          <w:tblCellMar>
            <w:top w:w="0" w:type="dxa"/>
            <w:left w:w="108" w:type="dxa"/>
            <w:bottom w:w="0" w:type="dxa"/>
            <w:right w:w="108" w:type="dxa"/>
          </w:tblCellMar>
        </w:tblPrEx>
        <w:trPr>
          <w:trHeight w:val="399" w:hRule="atLeast"/>
        </w:trPr>
        <w:tc>
          <w:tcPr>
            <w:tcW w:w="7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704B80">
            <w:pPr>
              <w:keepNext w:val="0"/>
              <w:keepLines w:val="0"/>
              <w:widowControl/>
              <w:suppressLineNumbers w:val="0"/>
              <w:ind w:left="0" w:leftChars="0" w:firstLine="0" w:firstLineChars="0"/>
              <w:jc w:val="center"/>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1"/>
                <w:szCs w:val="21"/>
                <w:u w:val="none"/>
                <w:lang w:val="en-US" w:eastAsia="zh-CN" w:bidi="ar"/>
              </w:rPr>
              <w:t>（3）</w:t>
            </w:r>
          </w:p>
        </w:tc>
        <w:tc>
          <w:tcPr>
            <w:tcW w:w="302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A32EF6">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1"/>
                <w:szCs w:val="21"/>
                <w:u w:val="none"/>
                <w:lang w:val="en-US" w:eastAsia="zh-CN" w:bidi="ar"/>
              </w:rPr>
              <w:t>导流围堰</w:t>
            </w:r>
          </w:p>
        </w:tc>
        <w:tc>
          <w:tcPr>
            <w:tcW w:w="69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D7910A">
            <w:pPr>
              <w:jc w:val="center"/>
              <w:rPr>
                <w:rStyle w:val="47"/>
                <w:rFonts w:hint="eastAsia" w:ascii="宋体" w:hAnsi="宋体" w:eastAsia="宋体" w:cs="宋体"/>
                <w:sz w:val="21"/>
                <w:szCs w:val="21"/>
                <w:lang w:bidi="ar"/>
              </w:rPr>
            </w:pPr>
          </w:p>
        </w:tc>
        <w:tc>
          <w:tcPr>
            <w:tcW w:w="101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465AC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01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1B7943">
            <w:pPr>
              <w:jc w:val="left"/>
              <w:rPr>
                <w:rFonts w:hint="eastAsia" w:ascii="宋体" w:hAnsi="宋体" w:eastAsia="宋体" w:cs="宋体"/>
                <w:b w:val="0"/>
                <w:bCs w:val="0"/>
                <w:kern w:val="0"/>
                <w:sz w:val="21"/>
                <w:szCs w:val="21"/>
                <w:highlight w:val="none"/>
                <w:lang w:val="en-US" w:eastAsia="zh-CN"/>
              </w:rPr>
            </w:pPr>
          </w:p>
        </w:tc>
      </w:tr>
      <w:tr w14:paraId="55E415F7">
        <w:tblPrEx>
          <w:tblCellMar>
            <w:top w:w="0" w:type="dxa"/>
            <w:left w:w="108" w:type="dxa"/>
            <w:bottom w:w="0" w:type="dxa"/>
            <w:right w:w="108" w:type="dxa"/>
          </w:tblCellMar>
        </w:tblPrEx>
        <w:trPr>
          <w:trHeight w:val="399" w:hRule="atLeast"/>
        </w:trPr>
        <w:tc>
          <w:tcPr>
            <w:tcW w:w="7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E1F316">
            <w:pPr>
              <w:keepNext w:val="0"/>
              <w:keepLines w:val="0"/>
              <w:widowControl/>
              <w:suppressLineNumbers w:val="0"/>
              <w:ind w:left="0" w:leftChars="0" w:firstLine="0" w:firstLineChars="0"/>
              <w:jc w:val="center"/>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1"/>
                <w:szCs w:val="21"/>
                <w:u w:val="none"/>
                <w:lang w:val="en-US" w:eastAsia="zh-CN" w:bidi="ar"/>
              </w:rPr>
              <w:t>①</w:t>
            </w:r>
          </w:p>
        </w:tc>
        <w:tc>
          <w:tcPr>
            <w:tcW w:w="302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7A6AD9">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1"/>
                <w:szCs w:val="21"/>
                <w:u w:val="none"/>
                <w:lang w:val="en-US" w:eastAsia="zh-CN" w:bidi="ar"/>
              </w:rPr>
              <w:t>导流管</w:t>
            </w:r>
          </w:p>
        </w:tc>
        <w:tc>
          <w:tcPr>
            <w:tcW w:w="69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18F235">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p>
        </w:tc>
        <w:tc>
          <w:tcPr>
            <w:tcW w:w="101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2DA8B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54.00</w:t>
            </w:r>
          </w:p>
        </w:tc>
        <w:tc>
          <w:tcPr>
            <w:tcW w:w="301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6CC6BF">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DN200波纹管导流</w:t>
            </w:r>
          </w:p>
        </w:tc>
      </w:tr>
      <w:tr w14:paraId="6B2468AB">
        <w:tblPrEx>
          <w:tblCellMar>
            <w:top w:w="0" w:type="dxa"/>
            <w:left w:w="108" w:type="dxa"/>
            <w:bottom w:w="0" w:type="dxa"/>
            <w:right w:w="108" w:type="dxa"/>
          </w:tblCellMar>
        </w:tblPrEx>
        <w:trPr>
          <w:trHeight w:val="399" w:hRule="atLeast"/>
        </w:trPr>
        <w:tc>
          <w:tcPr>
            <w:tcW w:w="7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02E0AD">
            <w:pPr>
              <w:keepNext w:val="0"/>
              <w:keepLines w:val="0"/>
              <w:widowControl/>
              <w:suppressLineNumbers w:val="0"/>
              <w:ind w:left="0" w:leftChars="0" w:firstLine="0" w:firstLineChars="0"/>
              <w:jc w:val="center"/>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1"/>
                <w:szCs w:val="21"/>
                <w:u w:val="none"/>
                <w:lang w:val="en-US" w:eastAsia="zh-CN" w:bidi="ar"/>
              </w:rPr>
              <w:t>②</w:t>
            </w:r>
          </w:p>
        </w:tc>
        <w:tc>
          <w:tcPr>
            <w:tcW w:w="302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E9C43F">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1"/>
                <w:szCs w:val="21"/>
                <w:u w:val="none"/>
                <w:lang w:val="en-US" w:eastAsia="zh-CN" w:bidi="ar"/>
              </w:rPr>
              <w:t>编织袋围堰</w:t>
            </w:r>
          </w:p>
        </w:tc>
        <w:tc>
          <w:tcPr>
            <w:tcW w:w="69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518B18">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3</w:t>
            </w:r>
          </w:p>
        </w:tc>
        <w:tc>
          <w:tcPr>
            <w:tcW w:w="101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B9DABC">
            <w:pPr>
              <w:keepNext w:val="0"/>
              <w:keepLines w:val="0"/>
              <w:widowControl/>
              <w:suppressLineNumbers w:val="0"/>
              <w:ind w:left="0" w:leftChars="0" w:firstLine="0" w:firstLineChars="0"/>
              <w:jc w:val="center"/>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16.64</w:t>
            </w:r>
          </w:p>
        </w:tc>
        <w:tc>
          <w:tcPr>
            <w:tcW w:w="301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174425">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围堰高0.8m，顶宽0.5，边坡1:1，长16m</w:t>
            </w:r>
          </w:p>
        </w:tc>
      </w:tr>
      <w:tr w14:paraId="265986FC">
        <w:tblPrEx>
          <w:tblCellMar>
            <w:top w:w="0" w:type="dxa"/>
            <w:left w:w="108" w:type="dxa"/>
            <w:bottom w:w="0" w:type="dxa"/>
            <w:right w:w="108" w:type="dxa"/>
          </w:tblCellMar>
        </w:tblPrEx>
        <w:trPr>
          <w:trHeight w:val="399" w:hRule="atLeast"/>
        </w:trPr>
        <w:tc>
          <w:tcPr>
            <w:tcW w:w="7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AD2785">
            <w:pPr>
              <w:keepNext w:val="0"/>
              <w:keepLines w:val="0"/>
              <w:widowControl/>
              <w:suppressLineNumbers w:val="0"/>
              <w:ind w:left="0" w:leftChars="0" w:firstLine="0" w:firstLineChars="0"/>
              <w:jc w:val="center"/>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1"/>
                <w:szCs w:val="21"/>
                <w:u w:val="none"/>
                <w:lang w:val="en-US" w:eastAsia="zh-CN" w:bidi="ar"/>
              </w:rPr>
              <w:t>③</w:t>
            </w:r>
          </w:p>
        </w:tc>
        <w:tc>
          <w:tcPr>
            <w:tcW w:w="302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1714B2">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1"/>
                <w:szCs w:val="21"/>
                <w:u w:val="none"/>
                <w:lang w:val="en-US" w:eastAsia="zh-CN" w:bidi="ar"/>
              </w:rPr>
              <w:t>高强防水布</w:t>
            </w:r>
          </w:p>
        </w:tc>
        <w:tc>
          <w:tcPr>
            <w:tcW w:w="69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EE3EA7">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Style w:val="46"/>
                <w:rFonts w:hint="eastAsia" w:ascii="宋体" w:hAnsi="宋体" w:eastAsia="宋体" w:cs="宋体"/>
                <w:lang w:val="en-US" w:eastAsia="zh-CN" w:bidi="ar"/>
              </w:rPr>
              <w:t>2</w:t>
            </w:r>
          </w:p>
        </w:tc>
        <w:tc>
          <w:tcPr>
            <w:tcW w:w="101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18AA1D">
            <w:pPr>
              <w:keepNext w:val="0"/>
              <w:keepLines w:val="0"/>
              <w:widowControl/>
              <w:suppressLineNumbers w:val="0"/>
              <w:ind w:left="0" w:leftChars="0" w:firstLine="0" w:firstLineChars="0"/>
              <w:jc w:val="center"/>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48.00</w:t>
            </w:r>
          </w:p>
        </w:tc>
        <w:tc>
          <w:tcPr>
            <w:tcW w:w="301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AC9175">
            <w:pPr>
              <w:jc w:val="left"/>
              <w:rPr>
                <w:rFonts w:hint="eastAsia" w:ascii="宋体" w:hAnsi="宋体" w:eastAsia="宋体" w:cs="宋体"/>
                <w:b w:val="0"/>
                <w:bCs w:val="0"/>
                <w:kern w:val="0"/>
                <w:sz w:val="21"/>
                <w:szCs w:val="21"/>
                <w:highlight w:val="none"/>
                <w:lang w:val="en-US" w:eastAsia="zh-CN"/>
              </w:rPr>
            </w:pPr>
          </w:p>
        </w:tc>
      </w:tr>
      <w:tr w14:paraId="6FE469C1">
        <w:tblPrEx>
          <w:tblCellMar>
            <w:top w:w="0" w:type="dxa"/>
            <w:left w:w="108" w:type="dxa"/>
            <w:bottom w:w="0" w:type="dxa"/>
            <w:right w:w="108" w:type="dxa"/>
          </w:tblCellMar>
        </w:tblPrEx>
        <w:trPr>
          <w:trHeight w:val="399" w:hRule="atLeast"/>
        </w:trPr>
        <w:tc>
          <w:tcPr>
            <w:tcW w:w="75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FA58AF">
            <w:pPr>
              <w:keepNext w:val="0"/>
              <w:keepLines w:val="0"/>
              <w:widowControl/>
              <w:suppressLineNumbers w:val="0"/>
              <w:ind w:left="0" w:leftChars="0" w:firstLine="0" w:firstLineChars="0"/>
              <w:jc w:val="center"/>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1"/>
                <w:szCs w:val="21"/>
                <w:u w:val="none"/>
                <w:lang w:val="en-US" w:eastAsia="zh-CN" w:bidi="ar"/>
              </w:rPr>
              <w:t>④</w:t>
            </w:r>
          </w:p>
        </w:tc>
        <w:tc>
          <w:tcPr>
            <w:tcW w:w="302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EB537B">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rPr>
            </w:pPr>
            <w:r>
              <w:rPr>
                <w:rFonts w:hint="eastAsia" w:ascii="宋体" w:hAnsi="宋体" w:eastAsia="宋体" w:cs="宋体"/>
                <w:i w:val="0"/>
                <w:iCs w:val="0"/>
                <w:color w:val="000000"/>
                <w:kern w:val="0"/>
                <w:sz w:val="21"/>
                <w:szCs w:val="21"/>
                <w:u w:val="none"/>
                <w:lang w:val="en-US" w:eastAsia="zh-CN" w:bidi="ar"/>
              </w:rPr>
              <w:t>基坑抽水</w:t>
            </w:r>
          </w:p>
        </w:tc>
        <w:tc>
          <w:tcPr>
            <w:tcW w:w="69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E9C01B">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m</w:t>
            </w:r>
            <w:r>
              <w:rPr>
                <w:rStyle w:val="47"/>
                <w:rFonts w:hint="eastAsia" w:ascii="宋体" w:hAnsi="宋体" w:eastAsia="宋体" w:cs="宋体"/>
                <w:sz w:val="21"/>
                <w:szCs w:val="21"/>
                <w:vertAlign w:val="superscript"/>
                <w:lang w:val="en-US" w:eastAsia="zh-CN" w:bidi="ar"/>
              </w:rPr>
              <w:t>3</w:t>
            </w:r>
          </w:p>
        </w:tc>
        <w:tc>
          <w:tcPr>
            <w:tcW w:w="101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04953E">
            <w:pPr>
              <w:keepNext w:val="0"/>
              <w:keepLines w:val="0"/>
              <w:widowControl/>
              <w:suppressLineNumbers w:val="0"/>
              <w:ind w:left="0" w:leftChars="0" w:firstLine="0" w:firstLineChars="0"/>
              <w:jc w:val="center"/>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129.60</w:t>
            </w:r>
          </w:p>
        </w:tc>
        <w:tc>
          <w:tcPr>
            <w:tcW w:w="301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E37CDF">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水深按0.5m计,40WQ7-7-0.55</w:t>
            </w:r>
          </w:p>
        </w:tc>
      </w:tr>
    </w:tbl>
    <w:p w14:paraId="5E44C6BB">
      <w:pPr>
        <w:pStyle w:val="13"/>
        <w:rPr>
          <w:rFonts w:hint="eastAsia" w:ascii="宋体" w:hAnsi="宋体" w:eastAsia="宋体" w:cs="宋体"/>
          <w:sz w:val="21"/>
          <w:szCs w:val="21"/>
        </w:rPr>
      </w:pPr>
    </w:p>
    <w:p w14:paraId="75F95A8A">
      <w:pPr>
        <w:pStyle w:val="13"/>
        <w:rPr>
          <w:rFonts w:hint="eastAsia" w:ascii="宋体" w:hAnsi="宋体" w:eastAsia="宋体" w:cs="宋体"/>
          <w:sz w:val="21"/>
          <w:szCs w:val="21"/>
        </w:rPr>
      </w:pPr>
    </w:p>
    <w:p w14:paraId="7A5503D5">
      <w:pPr>
        <w:pStyle w:val="5"/>
        <w:kinsoku/>
        <w:wordWrap/>
        <w:overflowPunct/>
        <w:topLinePunct w:val="0"/>
        <w:bidi w:val="0"/>
        <w:ind w:left="0" w:leftChars="0" w:firstLine="649" w:firstLineChars="202"/>
        <w:rPr>
          <w:rFonts w:hint="eastAsia" w:ascii="宋体" w:hAnsi="宋体" w:eastAsia="宋体" w:cs="宋体"/>
          <w:b/>
          <w:bCs/>
          <w:color w:val="auto"/>
          <w:highlight w:val="none"/>
          <w:lang w:eastAsia="zh-CN"/>
        </w:rPr>
      </w:pPr>
      <w:bookmarkStart w:id="583" w:name="_Toc22372"/>
      <w:bookmarkStart w:id="584" w:name="_Toc3020"/>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二</w:t>
      </w:r>
      <w:r>
        <w:rPr>
          <w:rFonts w:hint="eastAsia" w:ascii="宋体" w:hAnsi="宋体" w:eastAsia="宋体" w:cs="宋体"/>
          <w:b/>
          <w:bCs/>
          <w:color w:val="auto"/>
          <w:highlight w:val="none"/>
        </w:rPr>
        <w:t>）</w:t>
      </w:r>
      <w:r>
        <w:rPr>
          <w:rFonts w:hint="eastAsia" w:ascii="宋体" w:hAnsi="宋体" w:eastAsia="宋体" w:cs="宋体"/>
          <w:b/>
          <w:bCs/>
          <w:color w:val="auto"/>
          <w:highlight w:val="none"/>
          <w:lang w:eastAsia="zh-CN"/>
        </w:rPr>
        <w:t>怀柔水库闸站房屋修缮工程</w:t>
      </w:r>
      <w:bookmarkEnd w:id="583"/>
      <w:bookmarkEnd w:id="584"/>
    </w:p>
    <w:p w14:paraId="01963006">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1、工程概况及现状</w:t>
      </w:r>
    </w:p>
    <w:p w14:paraId="7B6C6264">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怀柔水库共有6处闸站，其中，前辛庄水文站、口头水文站、库区自记井房等，至今运行多年，内墙面局部灰皮开裂脱落，门窗老旧破损。根据水文站标准化管理达标考核评分表里场区文明中提升站容站貌等相关要求，需对其房屋及附属设施进行修缮。</w:t>
      </w:r>
    </w:p>
    <w:p w14:paraId="7CDF11ED">
      <w:pPr>
        <w:widowControl/>
        <w:spacing w:line="360" w:lineRule="auto"/>
        <w:ind w:firstLine="560" w:firstLineChars="200"/>
        <w:rPr>
          <w:rFonts w:hint="eastAsia" w:ascii="宋体" w:hAnsi="宋体" w:eastAsia="宋体" w:cs="宋体"/>
          <w:sz w:val="28"/>
          <w:szCs w:val="20"/>
          <w:highlight w:val="none"/>
          <w:lang w:val="en-US" w:eastAsia="zh-CN"/>
        </w:rPr>
      </w:pPr>
    </w:p>
    <w:tbl>
      <w:tblPr>
        <w:tblStyle w:val="16"/>
        <w:tblW w:w="0" w:type="auto"/>
        <w:tblInd w:w="0" w:type="dxa"/>
        <w:tblLayout w:type="fixed"/>
        <w:tblCellMar>
          <w:top w:w="0" w:type="dxa"/>
          <w:left w:w="108" w:type="dxa"/>
          <w:bottom w:w="0" w:type="dxa"/>
          <w:right w:w="108" w:type="dxa"/>
        </w:tblCellMar>
      </w:tblPr>
      <w:tblGrid>
        <w:gridCol w:w="8400"/>
      </w:tblGrid>
      <w:tr w14:paraId="73ED6E6C">
        <w:tblPrEx>
          <w:tblCellMar>
            <w:top w:w="0" w:type="dxa"/>
            <w:left w:w="108" w:type="dxa"/>
            <w:bottom w:w="0" w:type="dxa"/>
            <w:right w:w="108" w:type="dxa"/>
          </w:tblCellMar>
        </w:tblPrEx>
        <w:trPr>
          <w:trHeight w:val="3769" w:hRule="atLeast"/>
        </w:trPr>
        <w:tc>
          <w:tcPr>
            <w:tcW w:w="8400" w:type="dxa"/>
            <w:noWrap w:val="0"/>
            <w:vAlign w:val="top"/>
          </w:tcPr>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84"/>
              <w:gridCol w:w="4087"/>
            </w:tblGrid>
            <w:tr w14:paraId="1C2D9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1" w:hRule="atLeast"/>
              </w:trPr>
              <w:tc>
                <w:tcPr>
                  <w:tcW w:w="4084" w:type="dxa"/>
                  <w:noWrap w:val="0"/>
                  <w:vAlign w:val="top"/>
                </w:tcPr>
                <w:p w14:paraId="2131695F">
                  <w:pPr>
                    <w:spacing w:line="560" w:lineRule="exact"/>
                    <w:jc w:val="center"/>
                    <w:rPr>
                      <w:rFonts w:hint="eastAsia" w:ascii="宋体" w:hAnsi="宋体" w:eastAsia="宋体" w:cs="宋体"/>
                      <w:bCs/>
                      <w:sz w:val="30"/>
                      <w:szCs w:val="30"/>
                      <w:lang w:val="en-US" w:eastAsia="zh-CN"/>
                    </w:rPr>
                  </w:pPr>
                  <w:r>
                    <w:rPr>
                      <w:rFonts w:hint="eastAsia" w:ascii="宋体" w:hAnsi="宋体" w:eastAsia="宋体" w:cs="宋体"/>
                      <w:bCs/>
                      <w:sz w:val="30"/>
                      <w:szCs w:val="30"/>
                      <w:lang w:val="en-US" w:eastAsia="zh-CN"/>
                    </w:rPr>
                    <w:drawing>
                      <wp:anchor distT="0" distB="0" distL="114300" distR="114300" simplePos="0" relativeHeight="251665408" behindDoc="0" locked="0" layoutInCell="1" allowOverlap="1">
                        <wp:simplePos x="0" y="0"/>
                        <wp:positionH relativeFrom="column">
                          <wp:posOffset>-42545</wp:posOffset>
                        </wp:positionH>
                        <wp:positionV relativeFrom="paragraph">
                          <wp:posOffset>13335</wp:posOffset>
                        </wp:positionV>
                        <wp:extent cx="2697480" cy="2023745"/>
                        <wp:effectExtent l="0" t="0" r="7620" b="14605"/>
                        <wp:wrapTopAndBottom/>
                        <wp:docPr id="18" name="图片 2" descr="IMG_20230227_104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descr="IMG_20230227_104147"/>
                                <pic:cNvPicPr>
                                  <a:picLocks noChangeAspect="1"/>
                                </pic:cNvPicPr>
                              </pic:nvPicPr>
                              <pic:blipFill>
                                <a:blip r:embed="rId23"/>
                                <a:stretch>
                                  <a:fillRect/>
                                </a:stretch>
                              </pic:blipFill>
                              <pic:spPr>
                                <a:xfrm>
                                  <a:off x="0" y="0"/>
                                  <a:ext cx="2697480" cy="2023745"/>
                                </a:xfrm>
                                <a:prstGeom prst="rect">
                                  <a:avLst/>
                                </a:prstGeom>
                                <a:noFill/>
                                <a:ln>
                                  <a:noFill/>
                                </a:ln>
                              </pic:spPr>
                            </pic:pic>
                          </a:graphicData>
                        </a:graphic>
                      </wp:anchor>
                    </w:drawing>
                  </w:r>
                  <w:r>
                    <w:rPr>
                      <w:rFonts w:hint="eastAsia" w:ascii="宋体" w:hAnsi="宋体" w:eastAsia="宋体" w:cs="宋体"/>
                      <w:bCs/>
                      <w:sz w:val="30"/>
                      <w:szCs w:val="30"/>
                      <w:lang w:val="en-US" w:eastAsia="zh-CN"/>
                    </w:rPr>
                    <w:t>闸站房屋现状</w:t>
                  </w:r>
                  <w:r>
                    <w:rPr>
                      <w:rFonts w:hint="eastAsia" w:ascii="宋体" w:hAnsi="宋体" w:eastAsia="宋体" w:cs="宋体"/>
                      <w:sz w:val="28"/>
                      <w:szCs w:val="20"/>
                    </w:rPr>
                    <w:t>（一）</w:t>
                  </w:r>
                </w:p>
              </w:tc>
              <w:tc>
                <w:tcPr>
                  <w:tcW w:w="4087" w:type="dxa"/>
                  <w:noWrap w:val="0"/>
                  <w:vAlign w:val="top"/>
                </w:tcPr>
                <w:p w14:paraId="5035E79A">
                  <w:pPr>
                    <w:spacing w:line="560" w:lineRule="exact"/>
                    <w:jc w:val="center"/>
                    <w:rPr>
                      <w:rFonts w:hint="eastAsia" w:ascii="宋体" w:hAnsi="宋体" w:eastAsia="宋体" w:cs="宋体"/>
                      <w:sz w:val="28"/>
                      <w:szCs w:val="20"/>
                      <w:lang w:val="en-US" w:eastAsia="zh-CN"/>
                    </w:rPr>
                  </w:pPr>
                  <w:r>
                    <w:rPr>
                      <w:rFonts w:hint="eastAsia" w:ascii="宋体" w:hAnsi="宋体" w:eastAsia="宋体" w:cs="宋体"/>
                      <w:bCs/>
                      <w:sz w:val="30"/>
                      <w:szCs w:val="30"/>
                      <w:lang w:val="en-US" w:eastAsia="zh-CN"/>
                    </w:rPr>
                    <w:t>闸站房屋</w:t>
                  </w:r>
                  <w:r>
                    <w:rPr>
                      <w:rFonts w:hint="eastAsia" w:ascii="宋体" w:hAnsi="宋体" w:eastAsia="宋体" w:cs="宋体"/>
                      <w:bCs/>
                      <w:sz w:val="30"/>
                      <w:szCs w:val="30"/>
                      <w:lang w:val="en-US" w:eastAsia="zh-CN"/>
                    </w:rPr>
                    <w:drawing>
                      <wp:anchor distT="0" distB="0" distL="114300" distR="114300" simplePos="0" relativeHeight="251669504" behindDoc="0" locked="0" layoutInCell="1" allowOverlap="1">
                        <wp:simplePos x="0" y="0"/>
                        <wp:positionH relativeFrom="column">
                          <wp:posOffset>-55880</wp:posOffset>
                        </wp:positionH>
                        <wp:positionV relativeFrom="paragraph">
                          <wp:posOffset>-1905</wp:posOffset>
                        </wp:positionV>
                        <wp:extent cx="2719705" cy="2040255"/>
                        <wp:effectExtent l="0" t="0" r="4445" b="17145"/>
                        <wp:wrapTopAndBottom/>
                        <wp:docPr id="21" name="图片 3" descr="IMG_20230227_104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 descr="IMG_20230227_104512"/>
                                <pic:cNvPicPr>
                                  <a:picLocks noChangeAspect="1"/>
                                </pic:cNvPicPr>
                              </pic:nvPicPr>
                              <pic:blipFill>
                                <a:blip r:embed="rId24"/>
                                <a:stretch>
                                  <a:fillRect/>
                                </a:stretch>
                              </pic:blipFill>
                              <pic:spPr>
                                <a:xfrm>
                                  <a:off x="0" y="0"/>
                                  <a:ext cx="2719705" cy="2040255"/>
                                </a:xfrm>
                                <a:prstGeom prst="rect">
                                  <a:avLst/>
                                </a:prstGeom>
                                <a:noFill/>
                                <a:ln>
                                  <a:noFill/>
                                </a:ln>
                              </pic:spPr>
                            </pic:pic>
                          </a:graphicData>
                        </a:graphic>
                      </wp:anchor>
                    </w:drawing>
                  </w:r>
                  <w:r>
                    <w:rPr>
                      <w:rFonts w:hint="eastAsia" w:ascii="宋体" w:hAnsi="宋体" w:eastAsia="宋体" w:cs="宋体"/>
                      <w:bCs/>
                      <w:sz w:val="30"/>
                      <w:szCs w:val="30"/>
                      <w:lang w:val="en-US" w:eastAsia="zh-CN"/>
                    </w:rPr>
                    <w:t>现状</w:t>
                  </w:r>
                  <w:r>
                    <w:rPr>
                      <w:rFonts w:hint="eastAsia" w:ascii="宋体" w:hAnsi="宋体" w:eastAsia="宋体" w:cs="宋体"/>
                      <w:sz w:val="28"/>
                      <w:szCs w:val="20"/>
                    </w:rPr>
                    <w:t>（</w:t>
                  </w:r>
                  <w:r>
                    <w:rPr>
                      <w:rFonts w:hint="eastAsia" w:ascii="宋体" w:hAnsi="宋体" w:eastAsia="宋体" w:cs="宋体"/>
                      <w:sz w:val="28"/>
                      <w:szCs w:val="20"/>
                      <w:lang w:val="en-US" w:eastAsia="zh-CN"/>
                    </w:rPr>
                    <w:t>二</w:t>
                  </w:r>
                  <w:r>
                    <w:rPr>
                      <w:rFonts w:hint="eastAsia" w:ascii="宋体" w:hAnsi="宋体" w:eastAsia="宋体" w:cs="宋体"/>
                      <w:sz w:val="28"/>
                      <w:szCs w:val="20"/>
                    </w:rPr>
                    <w:t>）</w:t>
                  </w:r>
                </w:p>
              </w:tc>
            </w:tr>
            <w:tr w14:paraId="77D1D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1" w:hRule="atLeast"/>
              </w:trPr>
              <w:tc>
                <w:tcPr>
                  <w:tcW w:w="4084" w:type="dxa"/>
                  <w:noWrap w:val="0"/>
                  <w:vAlign w:val="top"/>
                </w:tcPr>
                <w:p w14:paraId="1663C064">
                  <w:pPr>
                    <w:spacing w:line="560" w:lineRule="exact"/>
                    <w:jc w:val="center"/>
                    <w:rPr>
                      <w:rFonts w:hint="eastAsia" w:ascii="宋体" w:hAnsi="宋体" w:eastAsia="宋体" w:cs="宋体"/>
                      <w:bCs/>
                      <w:sz w:val="30"/>
                      <w:szCs w:val="30"/>
                      <w:lang w:val="en-US" w:eastAsia="zh-CN"/>
                    </w:rPr>
                  </w:pPr>
                  <w:r>
                    <w:rPr>
                      <w:rFonts w:hint="eastAsia" w:ascii="宋体" w:hAnsi="宋体" w:eastAsia="宋体" w:cs="宋体"/>
                      <w:bCs/>
                      <w:sz w:val="30"/>
                      <w:szCs w:val="30"/>
                      <w:lang w:val="en-US" w:eastAsia="zh-CN"/>
                    </w:rPr>
                    <w:t>闸站房屋</w:t>
                  </w:r>
                  <w:r>
                    <w:rPr>
                      <w:rFonts w:hint="eastAsia" w:ascii="宋体" w:hAnsi="宋体" w:eastAsia="宋体" w:cs="宋体"/>
                      <w:bCs/>
                      <w:sz w:val="30"/>
                      <w:szCs w:val="30"/>
                      <w:lang w:val="en-US" w:eastAsia="zh-CN"/>
                    </w:rPr>
                    <w:drawing>
                      <wp:anchor distT="0" distB="0" distL="114300" distR="114300" simplePos="0" relativeHeight="251670528" behindDoc="0" locked="0" layoutInCell="1" allowOverlap="1">
                        <wp:simplePos x="0" y="0"/>
                        <wp:positionH relativeFrom="column">
                          <wp:posOffset>67945</wp:posOffset>
                        </wp:positionH>
                        <wp:positionV relativeFrom="paragraph">
                          <wp:posOffset>51435</wp:posOffset>
                        </wp:positionV>
                        <wp:extent cx="2353945" cy="1828800"/>
                        <wp:effectExtent l="0" t="0" r="8255" b="0"/>
                        <wp:wrapTopAndBottom/>
                        <wp:docPr id="19" name="图片 4" descr="IMG_20230227_104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 descr="IMG_20230227_104723"/>
                                <pic:cNvPicPr>
                                  <a:picLocks noChangeAspect="1"/>
                                </pic:cNvPicPr>
                              </pic:nvPicPr>
                              <pic:blipFill>
                                <a:blip r:embed="rId25"/>
                                <a:stretch>
                                  <a:fillRect/>
                                </a:stretch>
                              </pic:blipFill>
                              <pic:spPr>
                                <a:xfrm>
                                  <a:off x="0" y="0"/>
                                  <a:ext cx="2353945" cy="1828800"/>
                                </a:xfrm>
                                <a:prstGeom prst="rect">
                                  <a:avLst/>
                                </a:prstGeom>
                                <a:noFill/>
                                <a:ln>
                                  <a:noFill/>
                                </a:ln>
                              </pic:spPr>
                            </pic:pic>
                          </a:graphicData>
                        </a:graphic>
                      </wp:anchor>
                    </w:drawing>
                  </w:r>
                  <w:r>
                    <w:rPr>
                      <w:rFonts w:hint="eastAsia" w:ascii="宋体" w:hAnsi="宋体" w:eastAsia="宋体" w:cs="宋体"/>
                      <w:bCs/>
                      <w:sz w:val="30"/>
                      <w:szCs w:val="30"/>
                      <w:lang w:val="en-US" w:eastAsia="zh-CN"/>
                    </w:rPr>
                    <w:t>现状</w:t>
                  </w:r>
                  <w:r>
                    <w:rPr>
                      <w:rFonts w:hint="eastAsia" w:ascii="宋体" w:hAnsi="宋体" w:eastAsia="宋体" w:cs="宋体"/>
                      <w:sz w:val="28"/>
                      <w:szCs w:val="20"/>
                    </w:rPr>
                    <w:t>（</w:t>
                  </w:r>
                  <w:r>
                    <w:rPr>
                      <w:rFonts w:hint="eastAsia" w:ascii="宋体" w:hAnsi="宋体" w:eastAsia="宋体" w:cs="宋体"/>
                      <w:sz w:val="28"/>
                      <w:szCs w:val="20"/>
                      <w:lang w:val="en-US" w:eastAsia="zh-CN"/>
                    </w:rPr>
                    <w:t>三</w:t>
                  </w:r>
                  <w:r>
                    <w:rPr>
                      <w:rFonts w:hint="eastAsia" w:ascii="宋体" w:hAnsi="宋体" w:eastAsia="宋体" w:cs="宋体"/>
                      <w:sz w:val="28"/>
                      <w:szCs w:val="20"/>
                    </w:rPr>
                    <w:t>）</w:t>
                  </w:r>
                </w:p>
              </w:tc>
              <w:tc>
                <w:tcPr>
                  <w:tcW w:w="4087" w:type="dxa"/>
                  <w:noWrap w:val="0"/>
                  <w:vAlign w:val="top"/>
                </w:tcPr>
                <w:p w14:paraId="41245885">
                  <w:pPr>
                    <w:spacing w:line="560" w:lineRule="exact"/>
                    <w:jc w:val="center"/>
                    <w:rPr>
                      <w:rFonts w:hint="eastAsia" w:ascii="宋体" w:hAnsi="宋体" w:eastAsia="宋体" w:cs="宋体"/>
                      <w:sz w:val="28"/>
                      <w:szCs w:val="20"/>
                      <w:lang w:val="en-US" w:eastAsia="zh-CN"/>
                    </w:rPr>
                  </w:pPr>
                  <w:r>
                    <w:rPr>
                      <w:rFonts w:hint="eastAsia" w:ascii="宋体" w:hAnsi="宋体" w:eastAsia="宋体" w:cs="宋体"/>
                      <w:bCs/>
                      <w:sz w:val="30"/>
                      <w:szCs w:val="30"/>
                      <w:lang w:val="en-US" w:eastAsia="zh-CN"/>
                    </w:rPr>
                    <w:t>闸站房屋</w:t>
                  </w:r>
                  <w:r>
                    <w:rPr>
                      <w:rFonts w:hint="eastAsia" w:ascii="宋体" w:hAnsi="宋体" w:eastAsia="宋体" w:cs="宋体"/>
                      <w:bCs/>
                      <w:sz w:val="30"/>
                      <w:szCs w:val="30"/>
                      <w:lang w:val="en-US" w:eastAsia="zh-CN"/>
                    </w:rPr>
                    <w:drawing>
                      <wp:anchor distT="0" distB="0" distL="114300" distR="114300" simplePos="0" relativeHeight="251666432" behindDoc="0" locked="0" layoutInCell="1" allowOverlap="1">
                        <wp:simplePos x="0" y="0"/>
                        <wp:positionH relativeFrom="column">
                          <wp:posOffset>122555</wp:posOffset>
                        </wp:positionH>
                        <wp:positionV relativeFrom="paragraph">
                          <wp:posOffset>19050</wp:posOffset>
                        </wp:positionV>
                        <wp:extent cx="2207260" cy="1837690"/>
                        <wp:effectExtent l="0" t="0" r="2540" b="10160"/>
                        <wp:wrapTopAndBottom/>
                        <wp:docPr id="24" name="图片 5" descr="IMG_20230227_104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5" descr="IMG_20230227_104531"/>
                                <pic:cNvPicPr>
                                  <a:picLocks noChangeAspect="1"/>
                                </pic:cNvPicPr>
                              </pic:nvPicPr>
                              <pic:blipFill>
                                <a:blip r:embed="rId26"/>
                                <a:stretch>
                                  <a:fillRect/>
                                </a:stretch>
                              </pic:blipFill>
                              <pic:spPr>
                                <a:xfrm>
                                  <a:off x="0" y="0"/>
                                  <a:ext cx="2207260" cy="1837690"/>
                                </a:xfrm>
                                <a:prstGeom prst="rect">
                                  <a:avLst/>
                                </a:prstGeom>
                                <a:noFill/>
                                <a:ln>
                                  <a:noFill/>
                                </a:ln>
                              </pic:spPr>
                            </pic:pic>
                          </a:graphicData>
                        </a:graphic>
                      </wp:anchor>
                    </w:drawing>
                  </w:r>
                  <w:r>
                    <w:rPr>
                      <w:rFonts w:hint="eastAsia" w:ascii="宋体" w:hAnsi="宋体" w:eastAsia="宋体" w:cs="宋体"/>
                      <w:bCs/>
                      <w:sz w:val="30"/>
                      <w:szCs w:val="30"/>
                      <w:lang w:val="en-US" w:eastAsia="zh-CN"/>
                    </w:rPr>
                    <w:t>现状</w:t>
                  </w:r>
                  <w:r>
                    <w:rPr>
                      <w:rFonts w:hint="eastAsia" w:ascii="宋体" w:hAnsi="宋体" w:eastAsia="宋体" w:cs="宋体"/>
                      <w:sz w:val="28"/>
                      <w:szCs w:val="20"/>
                    </w:rPr>
                    <w:t>（</w:t>
                  </w:r>
                  <w:r>
                    <w:rPr>
                      <w:rFonts w:hint="eastAsia" w:ascii="宋体" w:hAnsi="宋体" w:eastAsia="宋体" w:cs="宋体"/>
                      <w:sz w:val="28"/>
                      <w:szCs w:val="20"/>
                      <w:lang w:val="en-US" w:eastAsia="zh-CN"/>
                    </w:rPr>
                    <w:t>四</w:t>
                  </w:r>
                  <w:r>
                    <w:rPr>
                      <w:rFonts w:hint="eastAsia" w:ascii="宋体" w:hAnsi="宋体" w:eastAsia="宋体" w:cs="宋体"/>
                      <w:sz w:val="28"/>
                      <w:szCs w:val="20"/>
                    </w:rPr>
                    <w:t>）</w:t>
                  </w:r>
                </w:p>
              </w:tc>
            </w:tr>
            <w:tr w14:paraId="3D778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1" w:hRule="atLeast"/>
              </w:trPr>
              <w:tc>
                <w:tcPr>
                  <w:tcW w:w="4084" w:type="dxa"/>
                  <w:noWrap w:val="0"/>
                  <w:vAlign w:val="top"/>
                </w:tcPr>
                <w:p w14:paraId="1F80C55C">
                  <w:pPr>
                    <w:spacing w:line="560" w:lineRule="exact"/>
                    <w:jc w:val="center"/>
                    <w:rPr>
                      <w:rFonts w:hint="eastAsia" w:ascii="宋体" w:hAnsi="宋体" w:eastAsia="宋体" w:cs="宋体"/>
                      <w:bCs/>
                      <w:sz w:val="30"/>
                      <w:szCs w:val="30"/>
                      <w:lang w:val="en-US" w:eastAsia="zh-CN"/>
                    </w:rPr>
                  </w:pPr>
                  <w:r>
                    <w:rPr>
                      <w:rFonts w:hint="eastAsia" w:ascii="宋体" w:hAnsi="宋体" w:eastAsia="宋体" w:cs="宋体"/>
                      <w:bCs/>
                      <w:sz w:val="30"/>
                      <w:szCs w:val="30"/>
                      <w:lang w:val="en-US" w:eastAsia="zh-CN"/>
                    </w:rPr>
                    <w:t>闸站房屋</w:t>
                  </w:r>
                  <w:r>
                    <w:rPr>
                      <w:rFonts w:hint="eastAsia" w:ascii="宋体" w:hAnsi="宋体" w:eastAsia="宋体" w:cs="宋体"/>
                      <w:bCs/>
                      <w:sz w:val="30"/>
                      <w:szCs w:val="30"/>
                      <w:lang w:val="en-US" w:eastAsia="zh-CN"/>
                    </w:rPr>
                    <w:drawing>
                      <wp:anchor distT="0" distB="0" distL="114300" distR="114300" simplePos="0" relativeHeight="251667456" behindDoc="0" locked="0" layoutInCell="1" allowOverlap="1">
                        <wp:simplePos x="0" y="0"/>
                        <wp:positionH relativeFrom="column">
                          <wp:posOffset>381000</wp:posOffset>
                        </wp:positionH>
                        <wp:positionV relativeFrom="paragraph">
                          <wp:posOffset>-1696720</wp:posOffset>
                        </wp:positionV>
                        <wp:extent cx="2641600" cy="1981200"/>
                        <wp:effectExtent l="0" t="0" r="6350" b="0"/>
                        <wp:wrapTopAndBottom/>
                        <wp:docPr id="9" name="图片 6" descr="IMG_20230227_104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descr="IMG_20230227_104546"/>
                                <pic:cNvPicPr>
                                  <a:picLocks noChangeAspect="1"/>
                                </pic:cNvPicPr>
                              </pic:nvPicPr>
                              <pic:blipFill>
                                <a:blip r:embed="rId27"/>
                                <a:stretch>
                                  <a:fillRect/>
                                </a:stretch>
                              </pic:blipFill>
                              <pic:spPr>
                                <a:xfrm>
                                  <a:off x="0" y="0"/>
                                  <a:ext cx="2641600" cy="1981200"/>
                                </a:xfrm>
                                <a:prstGeom prst="rect">
                                  <a:avLst/>
                                </a:prstGeom>
                                <a:noFill/>
                                <a:ln>
                                  <a:noFill/>
                                </a:ln>
                              </pic:spPr>
                            </pic:pic>
                          </a:graphicData>
                        </a:graphic>
                      </wp:anchor>
                    </w:drawing>
                  </w:r>
                  <w:r>
                    <w:rPr>
                      <w:rFonts w:hint="eastAsia" w:ascii="宋体" w:hAnsi="宋体" w:eastAsia="宋体" w:cs="宋体"/>
                      <w:bCs/>
                      <w:sz w:val="30"/>
                      <w:szCs w:val="30"/>
                      <w:lang w:val="en-US" w:eastAsia="zh-CN"/>
                    </w:rPr>
                    <w:t>现状</w:t>
                  </w:r>
                  <w:r>
                    <w:rPr>
                      <w:rFonts w:hint="eastAsia" w:ascii="宋体" w:hAnsi="宋体" w:eastAsia="宋体" w:cs="宋体"/>
                      <w:sz w:val="28"/>
                      <w:szCs w:val="20"/>
                    </w:rPr>
                    <w:t>（</w:t>
                  </w:r>
                  <w:r>
                    <w:rPr>
                      <w:rFonts w:hint="eastAsia" w:ascii="宋体" w:hAnsi="宋体" w:eastAsia="宋体" w:cs="宋体"/>
                      <w:sz w:val="28"/>
                      <w:szCs w:val="20"/>
                      <w:lang w:val="en-US" w:eastAsia="zh-CN"/>
                    </w:rPr>
                    <w:t>五</w:t>
                  </w:r>
                  <w:r>
                    <w:rPr>
                      <w:rFonts w:hint="eastAsia" w:ascii="宋体" w:hAnsi="宋体" w:eastAsia="宋体" w:cs="宋体"/>
                      <w:sz w:val="28"/>
                      <w:szCs w:val="20"/>
                    </w:rPr>
                    <w:t>）</w:t>
                  </w:r>
                </w:p>
              </w:tc>
              <w:tc>
                <w:tcPr>
                  <w:tcW w:w="4087" w:type="dxa"/>
                  <w:noWrap w:val="0"/>
                  <w:vAlign w:val="top"/>
                </w:tcPr>
                <w:p w14:paraId="046FD60F">
                  <w:pPr>
                    <w:spacing w:line="560" w:lineRule="exact"/>
                    <w:jc w:val="center"/>
                    <w:rPr>
                      <w:rFonts w:hint="eastAsia" w:ascii="宋体" w:hAnsi="宋体" w:eastAsia="宋体" w:cs="宋体"/>
                      <w:sz w:val="28"/>
                      <w:szCs w:val="20"/>
                      <w:lang w:val="en-US" w:eastAsia="zh-CN"/>
                    </w:rPr>
                  </w:pPr>
                  <w:r>
                    <w:rPr>
                      <w:rFonts w:hint="eastAsia" w:ascii="宋体" w:hAnsi="宋体" w:eastAsia="宋体" w:cs="宋体"/>
                      <w:bCs/>
                      <w:sz w:val="30"/>
                      <w:szCs w:val="30"/>
                      <w:lang w:val="en-US" w:eastAsia="zh-CN"/>
                    </w:rPr>
                    <w:t>闸站房屋</w:t>
                  </w:r>
                  <w:r>
                    <w:rPr>
                      <w:rFonts w:hint="eastAsia" w:ascii="宋体" w:hAnsi="宋体" w:eastAsia="宋体" w:cs="宋体"/>
                      <w:bCs/>
                      <w:sz w:val="30"/>
                      <w:szCs w:val="30"/>
                      <w:lang w:val="en-US" w:eastAsia="zh-CN"/>
                    </w:rPr>
                    <w:drawing>
                      <wp:anchor distT="0" distB="0" distL="114300" distR="114300" simplePos="0" relativeHeight="251668480" behindDoc="0" locked="0" layoutInCell="1" allowOverlap="1">
                        <wp:simplePos x="0" y="0"/>
                        <wp:positionH relativeFrom="column">
                          <wp:posOffset>-48260</wp:posOffset>
                        </wp:positionH>
                        <wp:positionV relativeFrom="paragraph">
                          <wp:posOffset>19050</wp:posOffset>
                        </wp:positionV>
                        <wp:extent cx="2588260" cy="1941195"/>
                        <wp:effectExtent l="0" t="0" r="2540" b="1905"/>
                        <wp:wrapTopAndBottom/>
                        <wp:docPr id="25" name="图片 7" descr="IMG_20230227_104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7" descr="IMG_20230227_104647"/>
                                <pic:cNvPicPr>
                                  <a:picLocks noChangeAspect="1"/>
                                </pic:cNvPicPr>
                              </pic:nvPicPr>
                              <pic:blipFill>
                                <a:blip r:embed="rId28"/>
                                <a:stretch>
                                  <a:fillRect/>
                                </a:stretch>
                              </pic:blipFill>
                              <pic:spPr>
                                <a:xfrm>
                                  <a:off x="0" y="0"/>
                                  <a:ext cx="2588260" cy="1941195"/>
                                </a:xfrm>
                                <a:prstGeom prst="rect">
                                  <a:avLst/>
                                </a:prstGeom>
                                <a:noFill/>
                                <a:ln>
                                  <a:noFill/>
                                </a:ln>
                              </pic:spPr>
                            </pic:pic>
                          </a:graphicData>
                        </a:graphic>
                      </wp:anchor>
                    </w:drawing>
                  </w:r>
                  <w:r>
                    <w:rPr>
                      <w:rFonts w:hint="eastAsia" w:ascii="宋体" w:hAnsi="宋体" w:eastAsia="宋体" w:cs="宋体"/>
                      <w:bCs/>
                      <w:sz w:val="30"/>
                      <w:szCs w:val="30"/>
                      <w:lang w:val="en-US" w:eastAsia="zh-CN"/>
                    </w:rPr>
                    <w:t>现状</w:t>
                  </w:r>
                  <w:r>
                    <w:rPr>
                      <w:rFonts w:hint="eastAsia" w:ascii="宋体" w:hAnsi="宋体" w:eastAsia="宋体" w:cs="宋体"/>
                      <w:sz w:val="28"/>
                      <w:szCs w:val="20"/>
                    </w:rPr>
                    <w:t>（</w:t>
                  </w:r>
                  <w:r>
                    <w:rPr>
                      <w:rFonts w:hint="eastAsia" w:ascii="宋体" w:hAnsi="宋体" w:eastAsia="宋体" w:cs="宋体"/>
                      <w:sz w:val="28"/>
                      <w:szCs w:val="20"/>
                      <w:lang w:val="en-US" w:eastAsia="zh-CN"/>
                    </w:rPr>
                    <w:t>六</w:t>
                  </w:r>
                  <w:r>
                    <w:rPr>
                      <w:rFonts w:hint="eastAsia" w:ascii="宋体" w:hAnsi="宋体" w:eastAsia="宋体" w:cs="宋体"/>
                      <w:sz w:val="28"/>
                      <w:szCs w:val="20"/>
                    </w:rPr>
                    <w:t>）</w:t>
                  </w:r>
                </w:p>
              </w:tc>
            </w:tr>
            <w:tr w14:paraId="6A1BF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1" w:hRule="atLeast"/>
              </w:trPr>
              <w:tc>
                <w:tcPr>
                  <w:tcW w:w="4084" w:type="dxa"/>
                  <w:noWrap w:val="0"/>
                  <w:vAlign w:val="top"/>
                </w:tcPr>
                <w:p w14:paraId="03863016">
                  <w:pPr>
                    <w:spacing w:line="560" w:lineRule="exact"/>
                    <w:jc w:val="center"/>
                    <w:rPr>
                      <w:rFonts w:hint="eastAsia" w:ascii="宋体" w:hAnsi="宋体" w:eastAsia="宋体" w:cs="宋体"/>
                      <w:sz w:val="28"/>
                      <w:szCs w:val="20"/>
                    </w:rPr>
                  </w:pPr>
                  <w:r>
                    <w:rPr>
                      <w:rFonts w:hint="eastAsia" w:ascii="宋体" w:hAnsi="宋体" w:eastAsia="宋体" w:cs="宋体"/>
                      <w:bCs/>
                      <w:sz w:val="30"/>
                      <w:szCs w:val="30"/>
                      <w:lang w:val="en-US" w:eastAsia="zh-CN"/>
                    </w:rPr>
                    <w:drawing>
                      <wp:anchor distT="0" distB="0" distL="114300" distR="114300" simplePos="0" relativeHeight="251660288" behindDoc="0" locked="0" layoutInCell="1" allowOverlap="1">
                        <wp:simplePos x="0" y="0"/>
                        <wp:positionH relativeFrom="column">
                          <wp:posOffset>381000</wp:posOffset>
                        </wp:positionH>
                        <wp:positionV relativeFrom="paragraph">
                          <wp:posOffset>-1582420</wp:posOffset>
                        </wp:positionV>
                        <wp:extent cx="2489200" cy="1866900"/>
                        <wp:effectExtent l="0" t="0" r="6350" b="0"/>
                        <wp:wrapTopAndBottom/>
                        <wp:docPr id="1" name="图片 8" descr="IMG_20230227_110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 descr="IMG_20230227_110219"/>
                                <pic:cNvPicPr>
                                  <a:picLocks noChangeAspect="1"/>
                                </pic:cNvPicPr>
                              </pic:nvPicPr>
                              <pic:blipFill>
                                <a:blip r:embed="rId29"/>
                                <a:stretch>
                                  <a:fillRect/>
                                </a:stretch>
                              </pic:blipFill>
                              <pic:spPr>
                                <a:xfrm>
                                  <a:off x="0" y="0"/>
                                  <a:ext cx="2489200" cy="1866900"/>
                                </a:xfrm>
                                <a:prstGeom prst="rect">
                                  <a:avLst/>
                                </a:prstGeom>
                                <a:noFill/>
                                <a:ln>
                                  <a:noFill/>
                                </a:ln>
                              </pic:spPr>
                            </pic:pic>
                          </a:graphicData>
                        </a:graphic>
                      </wp:anchor>
                    </w:drawing>
                  </w:r>
                  <w:r>
                    <w:rPr>
                      <w:rFonts w:hint="eastAsia" w:ascii="宋体" w:hAnsi="宋体" w:eastAsia="宋体" w:cs="宋体"/>
                      <w:bCs/>
                      <w:sz w:val="30"/>
                      <w:szCs w:val="30"/>
                      <w:lang w:val="en-US" w:eastAsia="zh-CN"/>
                    </w:rPr>
                    <w:t>测流房现状</w:t>
                  </w:r>
                  <w:r>
                    <w:rPr>
                      <w:rFonts w:hint="eastAsia" w:ascii="宋体" w:hAnsi="宋体" w:eastAsia="宋体" w:cs="宋体"/>
                      <w:sz w:val="28"/>
                      <w:szCs w:val="20"/>
                    </w:rPr>
                    <w:t>（一）</w:t>
                  </w:r>
                </w:p>
              </w:tc>
              <w:tc>
                <w:tcPr>
                  <w:tcW w:w="4087" w:type="dxa"/>
                  <w:noWrap w:val="0"/>
                  <w:vAlign w:val="top"/>
                </w:tcPr>
                <w:p w14:paraId="6E54D8D3">
                  <w:pPr>
                    <w:spacing w:line="560" w:lineRule="exact"/>
                    <w:jc w:val="center"/>
                    <w:rPr>
                      <w:rFonts w:hint="eastAsia" w:ascii="宋体" w:hAnsi="宋体" w:eastAsia="宋体" w:cs="宋体"/>
                      <w:sz w:val="28"/>
                      <w:szCs w:val="20"/>
                    </w:rPr>
                  </w:pPr>
                  <w:r>
                    <w:rPr>
                      <w:rFonts w:hint="eastAsia" w:ascii="宋体" w:hAnsi="宋体" w:eastAsia="宋体" w:cs="宋体"/>
                      <w:sz w:val="28"/>
                      <w:szCs w:val="20"/>
                      <w:lang w:val="en-US" w:eastAsia="zh-CN"/>
                    </w:rPr>
                    <w:drawing>
                      <wp:anchor distT="0" distB="0" distL="114300" distR="114300" simplePos="0" relativeHeight="251659264" behindDoc="0" locked="0" layoutInCell="1" allowOverlap="1">
                        <wp:simplePos x="0" y="0"/>
                        <wp:positionH relativeFrom="column">
                          <wp:posOffset>-42545</wp:posOffset>
                        </wp:positionH>
                        <wp:positionV relativeFrom="paragraph">
                          <wp:posOffset>1905</wp:posOffset>
                        </wp:positionV>
                        <wp:extent cx="2489200" cy="1866900"/>
                        <wp:effectExtent l="0" t="0" r="6350" b="0"/>
                        <wp:wrapTopAndBottom/>
                        <wp:docPr id="3" name="图片 9" descr="IMG_20230227_110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9" descr="IMG_20230227_110237"/>
                                <pic:cNvPicPr>
                                  <a:picLocks noChangeAspect="1"/>
                                </pic:cNvPicPr>
                              </pic:nvPicPr>
                              <pic:blipFill>
                                <a:blip r:embed="rId30"/>
                                <a:stretch>
                                  <a:fillRect/>
                                </a:stretch>
                              </pic:blipFill>
                              <pic:spPr>
                                <a:xfrm>
                                  <a:off x="0" y="0"/>
                                  <a:ext cx="2489200" cy="1866900"/>
                                </a:xfrm>
                                <a:prstGeom prst="rect">
                                  <a:avLst/>
                                </a:prstGeom>
                                <a:noFill/>
                                <a:ln>
                                  <a:noFill/>
                                </a:ln>
                              </pic:spPr>
                            </pic:pic>
                          </a:graphicData>
                        </a:graphic>
                      </wp:anchor>
                    </w:drawing>
                  </w:r>
                  <w:r>
                    <w:rPr>
                      <w:rFonts w:hint="eastAsia" w:ascii="宋体" w:hAnsi="宋体" w:eastAsia="宋体" w:cs="宋体"/>
                      <w:bCs/>
                      <w:sz w:val="30"/>
                      <w:szCs w:val="30"/>
                      <w:lang w:val="en-US" w:eastAsia="zh-CN"/>
                    </w:rPr>
                    <w:t>测流房现状</w:t>
                  </w:r>
                  <w:r>
                    <w:rPr>
                      <w:rFonts w:hint="eastAsia" w:ascii="宋体" w:hAnsi="宋体" w:eastAsia="宋体" w:cs="宋体"/>
                      <w:sz w:val="28"/>
                      <w:szCs w:val="20"/>
                    </w:rPr>
                    <w:t>（二）</w:t>
                  </w:r>
                </w:p>
              </w:tc>
            </w:tr>
            <w:tr w14:paraId="29B11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1" w:hRule="atLeast"/>
              </w:trPr>
              <w:tc>
                <w:tcPr>
                  <w:tcW w:w="4084" w:type="dxa"/>
                  <w:noWrap w:val="0"/>
                  <w:vAlign w:val="top"/>
                </w:tcPr>
                <w:p w14:paraId="04C516A9">
                  <w:pPr>
                    <w:spacing w:line="560" w:lineRule="exact"/>
                    <w:jc w:val="center"/>
                    <w:rPr>
                      <w:rFonts w:hint="eastAsia" w:ascii="宋体" w:hAnsi="宋体" w:eastAsia="宋体" w:cs="宋体"/>
                      <w:sz w:val="28"/>
                      <w:szCs w:val="20"/>
                    </w:rPr>
                  </w:pPr>
                  <w:r>
                    <w:rPr>
                      <w:rFonts w:hint="eastAsia" w:ascii="宋体" w:hAnsi="宋体" w:eastAsia="宋体" w:cs="宋体"/>
                      <w:sz w:val="28"/>
                      <w:szCs w:val="20"/>
                      <w:lang w:val="en-US" w:eastAsia="zh-CN"/>
                    </w:rPr>
                    <w:t xml:space="preserve"> </w:t>
                  </w:r>
                  <w:r>
                    <w:rPr>
                      <w:rFonts w:hint="eastAsia" w:ascii="宋体" w:hAnsi="宋体" w:eastAsia="宋体" w:cs="宋体"/>
                      <w:bCs/>
                      <w:sz w:val="30"/>
                      <w:szCs w:val="30"/>
                      <w:lang w:val="en-US" w:eastAsia="zh-CN"/>
                    </w:rPr>
                    <w:drawing>
                      <wp:anchor distT="0" distB="0" distL="114300" distR="114300" simplePos="0" relativeHeight="251661312" behindDoc="0" locked="0" layoutInCell="1" allowOverlap="1">
                        <wp:simplePos x="0" y="0"/>
                        <wp:positionH relativeFrom="column">
                          <wp:posOffset>2540</wp:posOffset>
                        </wp:positionH>
                        <wp:positionV relativeFrom="paragraph">
                          <wp:posOffset>-1226820</wp:posOffset>
                        </wp:positionV>
                        <wp:extent cx="2489200" cy="1866900"/>
                        <wp:effectExtent l="0" t="0" r="6350" b="0"/>
                        <wp:wrapTopAndBottom/>
                        <wp:docPr id="10" name="图片 10" descr="IMG_20230227_110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0230227_110303"/>
                                <pic:cNvPicPr>
                                  <a:picLocks noChangeAspect="1"/>
                                </pic:cNvPicPr>
                              </pic:nvPicPr>
                              <pic:blipFill>
                                <a:blip r:embed="rId31"/>
                                <a:stretch>
                                  <a:fillRect/>
                                </a:stretch>
                              </pic:blipFill>
                              <pic:spPr>
                                <a:xfrm>
                                  <a:off x="0" y="0"/>
                                  <a:ext cx="2489200" cy="1866900"/>
                                </a:xfrm>
                                <a:prstGeom prst="rect">
                                  <a:avLst/>
                                </a:prstGeom>
                                <a:noFill/>
                                <a:ln>
                                  <a:noFill/>
                                </a:ln>
                              </pic:spPr>
                            </pic:pic>
                          </a:graphicData>
                        </a:graphic>
                      </wp:anchor>
                    </w:drawing>
                  </w:r>
                  <w:r>
                    <w:rPr>
                      <w:rFonts w:hint="eastAsia" w:ascii="宋体" w:hAnsi="宋体" w:eastAsia="宋体" w:cs="宋体"/>
                      <w:sz w:val="28"/>
                      <w:szCs w:val="20"/>
                      <w:lang w:val="en-US" w:eastAsia="zh-CN"/>
                    </w:rPr>
                    <w:t xml:space="preserve"> </w:t>
                  </w:r>
                  <w:r>
                    <w:rPr>
                      <w:rFonts w:hint="eastAsia" w:ascii="宋体" w:hAnsi="宋体" w:eastAsia="宋体" w:cs="宋体"/>
                      <w:bCs/>
                      <w:sz w:val="30"/>
                      <w:szCs w:val="30"/>
                      <w:lang w:val="en-US" w:eastAsia="zh-CN"/>
                    </w:rPr>
                    <w:t>测流房现状</w:t>
                  </w:r>
                  <w:r>
                    <w:rPr>
                      <w:rFonts w:hint="eastAsia" w:ascii="宋体" w:hAnsi="宋体" w:eastAsia="宋体" w:cs="宋体"/>
                      <w:sz w:val="28"/>
                      <w:szCs w:val="20"/>
                    </w:rPr>
                    <w:t>（三）</w:t>
                  </w:r>
                </w:p>
              </w:tc>
              <w:tc>
                <w:tcPr>
                  <w:tcW w:w="4087" w:type="dxa"/>
                  <w:noWrap w:val="0"/>
                  <w:vAlign w:val="top"/>
                </w:tcPr>
                <w:p w14:paraId="18D98A16">
                  <w:pPr>
                    <w:spacing w:line="560" w:lineRule="exact"/>
                    <w:jc w:val="center"/>
                    <w:rPr>
                      <w:rFonts w:hint="eastAsia" w:ascii="宋体" w:hAnsi="宋体" w:eastAsia="宋体" w:cs="宋体"/>
                      <w:sz w:val="28"/>
                      <w:szCs w:val="20"/>
                    </w:rPr>
                  </w:pPr>
                  <w:r>
                    <w:rPr>
                      <w:rFonts w:hint="eastAsia" w:ascii="宋体" w:hAnsi="宋体" w:eastAsia="宋体" w:cs="宋体"/>
                      <w:bCs/>
                      <w:sz w:val="30"/>
                      <w:szCs w:val="30"/>
                      <w:lang w:val="en-US" w:eastAsia="zh-CN"/>
                    </w:rPr>
                    <w:drawing>
                      <wp:anchor distT="0" distB="0" distL="114300" distR="114300" simplePos="0" relativeHeight="251662336" behindDoc="0" locked="0" layoutInCell="1" allowOverlap="1">
                        <wp:simplePos x="0" y="0"/>
                        <wp:positionH relativeFrom="column">
                          <wp:posOffset>381000</wp:posOffset>
                        </wp:positionH>
                        <wp:positionV relativeFrom="paragraph">
                          <wp:posOffset>-1582420</wp:posOffset>
                        </wp:positionV>
                        <wp:extent cx="2489200" cy="1866900"/>
                        <wp:effectExtent l="0" t="0" r="6350" b="0"/>
                        <wp:wrapTopAndBottom/>
                        <wp:docPr id="11" name="图片 11" descr="IMG_20230227_11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IMG_20230227_112009"/>
                                <pic:cNvPicPr>
                                  <a:picLocks noChangeAspect="1"/>
                                </pic:cNvPicPr>
                              </pic:nvPicPr>
                              <pic:blipFill>
                                <a:blip r:embed="rId32"/>
                                <a:stretch>
                                  <a:fillRect/>
                                </a:stretch>
                              </pic:blipFill>
                              <pic:spPr>
                                <a:xfrm>
                                  <a:off x="0" y="0"/>
                                  <a:ext cx="2489200" cy="1866900"/>
                                </a:xfrm>
                                <a:prstGeom prst="rect">
                                  <a:avLst/>
                                </a:prstGeom>
                                <a:noFill/>
                                <a:ln>
                                  <a:noFill/>
                                </a:ln>
                              </pic:spPr>
                            </pic:pic>
                          </a:graphicData>
                        </a:graphic>
                      </wp:anchor>
                    </w:drawing>
                  </w:r>
                  <w:r>
                    <w:rPr>
                      <w:rFonts w:hint="eastAsia" w:ascii="宋体" w:hAnsi="宋体" w:eastAsia="宋体" w:cs="宋体"/>
                      <w:bCs/>
                      <w:sz w:val="30"/>
                      <w:szCs w:val="30"/>
                      <w:lang w:val="en-US" w:eastAsia="zh-CN"/>
                    </w:rPr>
                    <w:t>测流房现状</w:t>
                  </w:r>
                  <w:r>
                    <w:rPr>
                      <w:rFonts w:hint="eastAsia" w:ascii="宋体" w:hAnsi="宋体" w:eastAsia="宋体" w:cs="宋体"/>
                      <w:sz w:val="28"/>
                      <w:szCs w:val="20"/>
                    </w:rPr>
                    <w:t>（四）</w:t>
                  </w:r>
                </w:p>
              </w:tc>
            </w:tr>
            <w:tr w14:paraId="6013A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1" w:hRule="atLeast"/>
              </w:trPr>
              <w:tc>
                <w:tcPr>
                  <w:tcW w:w="4084" w:type="dxa"/>
                  <w:noWrap w:val="0"/>
                  <w:vAlign w:val="top"/>
                </w:tcPr>
                <w:p w14:paraId="53A1C76A">
                  <w:pPr>
                    <w:spacing w:line="560" w:lineRule="exact"/>
                    <w:ind w:firstLine="560" w:firstLineChars="200"/>
                    <w:jc w:val="center"/>
                    <w:rPr>
                      <w:rFonts w:hint="eastAsia" w:ascii="宋体" w:hAnsi="宋体" w:eastAsia="宋体" w:cs="宋体"/>
                      <w:kern w:val="2"/>
                      <w:sz w:val="28"/>
                      <w:szCs w:val="20"/>
                      <w:lang w:val="en-US" w:eastAsia="zh-CN" w:bidi="ar-SA"/>
                    </w:rPr>
                  </w:pPr>
                  <w:r>
                    <w:rPr>
                      <w:rFonts w:hint="eastAsia" w:ascii="宋体" w:hAnsi="宋体" w:eastAsia="宋体" w:cs="宋体"/>
                      <w:sz w:val="28"/>
                      <w:szCs w:val="20"/>
                      <w:lang w:val="en-US" w:eastAsia="zh-CN"/>
                    </w:rPr>
                    <w:t xml:space="preserve"> </w:t>
                  </w:r>
                  <w:r>
                    <w:rPr>
                      <w:rFonts w:hint="eastAsia" w:ascii="宋体" w:hAnsi="宋体" w:eastAsia="宋体" w:cs="宋体"/>
                      <w:sz w:val="28"/>
                      <w:szCs w:val="20"/>
                      <w:lang w:val="en-US" w:eastAsia="zh-CN"/>
                    </w:rPr>
                    <w:drawing>
                      <wp:anchor distT="0" distB="0" distL="114300" distR="114300" simplePos="0" relativeHeight="251663360" behindDoc="0" locked="0" layoutInCell="1" allowOverlap="1">
                        <wp:simplePos x="0" y="0"/>
                        <wp:positionH relativeFrom="column">
                          <wp:posOffset>2540</wp:posOffset>
                        </wp:positionH>
                        <wp:positionV relativeFrom="paragraph">
                          <wp:posOffset>-1226820</wp:posOffset>
                        </wp:positionV>
                        <wp:extent cx="2489200" cy="1866900"/>
                        <wp:effectExtent l="0" t="0" r="6350" b="0"/>
                        <wp:wrapTopAndBottom/>
                        <wp:docPr id="12" name="图片 12" descr="IMG_20230227_11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IMG_20230227_112024"/>
                                <pic:cNvPicPr>
                                  <a:picLocks noChangeAspect="1"/>
                                </pic:cNvPicPr>
                              </pic:nvPicPr>
                              <pic:blipFill>
                                <a:blip r:embed="rId33"/>
                                <a:stretch>
                                  <a:fillRect/>
                                </a:stretch>
                              </pic:blipFill>
                              <pic:spPr>
                                <a:xfrm>
                                  <a:off x="0" y="0"/>
                                  <a:ext cx="2489200" cy="1866900"/>
                                </a:xfrm>
                                <a:prstGeom prst="rect">
                                  <a:avLst/>
                                </a:prstGeom>
                                <a:noFill/>
                                <a:ln>
                                  <a:noFill/>
                                </a:ln>
                              </pic:spPr>
                            </pic:pic>
                          </a:graphicData>
                        </a:graphic>
                      </wp:anchor>
                    </w:drawing>
                  </w:r>
                  <w:r>
                    <w:rPr>
                      <w:rFonts w:hint="eastAsia" w:ascii="宋体" w:hAnsi="宋体" w:eastAsia="宋体" w:cs="宋体"/>
                      <w:sz w:val="28"/>
                      <w:szCs w:val="20"/>
                      <w:lang w:val="en-US" w:eastAsia="zh-CN"/>
                    </w:rPr>
                    <w:t xml:space="preserve"> </w:t>
                  </w:r>
                  <w:r>
                    <w:rPr>
                      <w:rFonts w:hint="eastAsia" w:ascii="宋体" w:hAnsi="宋体" w:eastAsia="宋体" w:cs="宋体"/>
                      <w:bCs/>
                      <w:sz w:val="30"/>
                      <w:szCs w:val="30"/>
                      <w:lang w:val="en-US" w:eastAsia="zh-CN"/>
                    </w:rPr>
                    <w:t>测流房现状</w:t>
                  </w:r>
                  <w:r>
                    <w:rPr>
                      <w:rFonts w:hint="eastAsia" w:ascii="宋体" w:hAnsi="宋体" w:eastAsia="宋体" w:cs="宋体"/>
                      <w:sz w:val="28"/>
                      <w:szCs w:val="20"/>
                    </w:rPr>
                    <w:t>（</w:t>
                  </w:r>
                  <w:r>
                    <w:rPr>
                      <w:rFonts w:hint="eastAsia" w:ascii="宋体" w:hAnsi="宋体" w:eastAsia="宋体" w:cs="宋体"/>
                      <w:sz w:val="28"/>
                      <w:szCs w:val="20"/>
                      <w:lang w:val="en-US" w:eastAsia="zh-CN"/>
                    </w:rPr>
                    <w:t>五</w:t>
                  </w:r>
                  <w:r>
                    <w:rPr>
                      <w:rFonts w:hint="eastAsia" w:ascii="宋体" w:hAnsi="宋体" w:eastAsia="宋体" w:cs="宋体"/>
                      <w:sz w:val="28"/>
                      <w:szCs w:val="20"/>
                    </w:rPr>
                    <w:t>）</w:t>
                  </w:r>
                </w:p>
              </w:tc>
              <w:tc>
                <w:tcPr>
                  <w:tcW w:w="4087" w:type="dxa"/>
                  <w:noWrap w:val="0"/>
                  <w:vAlign w:val="top"/>
                </w:tcPr>
                <w:p w14:paraId="3A2889D0">
                  <w:pPr>
                    <w:spacing w:line="560" w:lineRule="exact"/>
                    <w:ind w:firstLine="600" w:firstLineChars="200"/>
                    <w:jc w:val="center"/>
                    <w:rPr>
                      <w:rFonts w:hint="eastAsia" w:ascii="宋体" w:hAnsi="宋体" w:eastAsia="宋体" w:cs="宋体"/>
                      <w:kern w:val="2"/>
                      <w:sz w:val="28"/>
                      <w:szCs w:val="20"/>
                      <w:lang w:val="en-US" w:eastAsia="zh-CN" w:bidi="ar-SA"/>
                    </w:rPr>
                  </w:pPr>
                  <w:r>
                    <w:rPr>
                      <w:rFonts w:hint="eastAsia" w:ascii="宋体" w:hAnsi="宋体" w:eastAsia="宋体" w:cs="宋体"/>
                      <w:bCs/>
                      <w:sz w:val="30"/>
                      <w:szCs w:val="30"/>
                      <w:lang w:val="en-US" w:eastAsia="zh-CN"/>
                    </w:rPr>
                    <w:drawing>
                      <wp:anchor distT="0" distB="0" distL="114300" distR="114300" simplePos="0" relativeHeight="251664384" behindDoc="0" locked="0" layoutInCell="1" allowOverlap="1">
                        <wp:simplePos x="0" y="0"/>
                        <wp:positionH relativeFrom="column">
                          <wp:posOffset>381000</wp:posOffset>
                        </wp:positionH>
                        <wp:positionV relativeFrom="paragraph">
                          <wp:posOffset>-1582420</wp:posOffset>
                        </wp:positionV>
                        <wp:extent cx="2489200" cy="1866900"/>
                        <wp:effectExtent l="0" t="0" r="6350" b="0"/>
                        <wp:wrapTopAndBottom/>
                        <wp:docPr id="13" name="图片 13" descr="IMG_20230227_11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IMG_20230227_111639"/>
                                <pic:cNvPicPr>
                                  <a:picLocks noChangeAspect="1"/>
                                </pic:cNvPicPr>
                              </pic:nvPicPr>
                              <pic:blipFill>
                                <a:blip r:embed="rId34"/>
                                <a:stretch>
                                  <a:fillRect/>
                                </a:stretch>
                              </pic:blipFill>
                              <pic:spPr>
                                <a:xfrm>
                                  <a:off x="0" y="0"/>
                                  <a:ext cx="2489200" cy="1866900"/>
                                </a:xfrm>
                                <a:prstGeom prst="rect">
                                  <a:avLst/>
                                </a:prstGeom>
                                <a:noFill/>
                                <a:ln>
                                  <a:noFill/>
                                </a:ln>
                              </pic:spPr>
                            </pic:pic>
                          </a:graphicData>
                        </a:graphic>
                      </wp:anchor>
                    </w:drawing>
                  </w:r>
                  <w:r>
                    <w:rPr>
                      <w:rFonts w:hint="eastAsia" w:ascii="宋体" w:hAnsi="宋体" w:eastAsia="宋体" w:cs="宋体"/>
                      <w:bCs/>
                      <w:sz w:val="30"/>
                      <w:szCs w:val="30"/>
                      <w:lang w:val="en-US" w:eastAsia="zh-CN"/>
                    </w:rPr>
                    <w:t>测流房现状</w:t>
                  </w:r>
                  <w:r>
                    <w:rPr>
                      <w:rFonts w:hint="eastAsia" w:ascii="宋体" w:hAnsi="宋体" w:eastAsia="宋体" w:cs="宋体"/>
                      <w:sz w:val="28"/>
                      <w:szCs w:val="20"/>
                    </w:rPr>
                    <w:t>（</w:t>
                  </w:r>
                  <w:r>
                    <w:rPr>
                      <w:rFonts w:hint="eastAsia" w:ascii="宋体" w:hAnsi="宋体" w:eastAsia="宋体" w:cs="宋体"/>
                      <w:sz w:val="28"/>
                      <w:szCs w:val="20"/>
                      <w:lang w:val="en-US" w:eastAsia="zh-CN"/>
                    </w:rPr>
                    <w:t>六</w:t>
                  </w:r>
                  <w:r>
                    <w:rPr>
                      <w:rFonts w:hint="eastAsia" w:ascii="宋体" w:hAnsi="宋体" w:eastAsia="宋体" w:cs="宋体"/>
                      <w:sz w:val="28"/>
                      <w:szCs w:val="20"/>
                    </w:rPr>
                    <w:t>）</w:t>
                  </w:r>
                </w:p>
              </w:tc>
            </w:tr>
          </w:tbl>
          <w:p w14:paraId="1049A55D">
            <w:pPr>
              <w:spacing w:line="560" w:lineRule="exact"/>
              <w:jc w:val="center"/>
              <w:rPr>
                <w:rFonts w:hint="eastAsia" w:ascii="宋体" w:hAnsi="宋体" w:eastAsia="宋体" w:cs="宋体"/>
                <w:sz w:val="28"/>
                <w:szCs w:val="20"/>
              </w:rPr>
            </w:pPr>
          </w:p>
        </w:tc>
      </w:tr>
    </w:tbl>
    <w:p w14:paraId="121AFA6F">
      <w:pPr>
        <w:widowControl/>
        <w:spacing w:line="360" w:lineRule="auto"/>
        <w:rPr>
          <w:rFonts w:hint="eastAsia" w:ascii="宋体" w:hAnsi="宋体" w:eastAsia="宋体" w:cs="宋体"/>
          <w:sz w:val="28"/>
          <w:szCs w:val="20"/>
          <w:highlight w:val="none"/>
        </w:rPr>
      </w:pPr>
      <w:r>
        <w:rPr>
          <w:rFonts w:hint="eastAsia" w:ascii="宋体" w:hAnsi="宋体" w:eastAsia="宋体" w:cs="宋体"/>
          <w:sz w:val="28"/>
          <w:szCs w:val="20"/>
          <w:highlight w:val="none"/>
          <w:lang w:val="en-US" w:eastAsia="zh-CN"/>
        </w:rPr>
        <w:t>2</w:t>
      </w:r>
      <w:r>
        <w:rPr>
          <w:rFonts w:hint="eastAsia" w:ascii="宋体" w:hAnsi="宋体" w:eastAsia="宋体" w:cs="宋体"/>
          <w:sz w:val="28"/>
          <w:szCs w:val="20"/>
          <w:highlight w:val="none"/>
        </w:rPr>
        <w:t>、设计方案</w:t>
      </w:r>
    </w:p>
    <w:p w14:paraId="586E6047">
      <w:pPr>
        <w:widowControl/>
        <w:spacing w:line="360" w:lineRule="auto"/>
        <w:ind w:firstLine="560" w:firstLineChars="200"/>
        <w:rPr>
          <w:rFonts w:hint="eastAsia" w:ascii="宋体" w:hAnsi="宋体" w:eastAsia="宋体" w:cs="宋体"/>
          <w:sz w:val="28"/>
          <w:szCs w:val="20"/>
          <w:highlight w:val="none"/>
          <w:lang w:val="en-US" w:eastAsia="zh-CN"/>
        </w:rPr>
      </w:pPr>
      <w:r>
        <w:rPr>
          <w:rFonts w:hint="eastAsia" w:ascii="宋体" w:hAnsi="宋体" w:eastAsia="宋体" w:cs="宋体"/>
          <w:sz w:val="28"/>
          <w:szCs w:val="20"/>
          <w:highlight w:val="none"/>
          <w:lang w:val="en-US" w:eastAsia="zh-CN"/>
        </w:rPr>
        <w:t>（1）口头水文站</w:t>
      </w:r>
    </w:p>
    <w:p w14:paraId="033253FD">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①金属窗拆除</w:t>
      </w:r>
      <w:r>
        <w:rPr>
          <w:rFonts w:hint="eastAsia" w:ascii="宋体" w:hAnsi="宋体" w:eastAsia="宋体" w:cs="宋体"/>
          <w:color w:val="auto"/>
          <w:sz w:val="24"/>
          <w:szCs w:val="24"/>
          <w:highlight w:val="none"/>
          <w:lang w:val="en-US" w:eastAsia="zh-CN"/>
        </w:rPr>
        <w:t>49.48m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lang w:val="en-US" w:eastAsia="zh-CN"/>
        </w:rPr>
        <w:t>；</w:t>
      </w:r>
    </w:p>
    <w:p w14:paraId="0E7271EA">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②金属纱窗拆除</w:t>
      </w:r>
      <w:r>
        <w:rPr>
          <w:rFonts w:hint="eastAsia" w:ascii="宋体" w:hAnsi="宋体" w:eastAsia="宋体" w:cs="宋体"/>
          <w:color w:val="auto"/>
          <w:sz w:val="24"/>
          <w:szCs w:val="24"/>
          <w:highlight w:val="none"/>
          <w:lang w:val="en-US" w:eastAsia="zh-CN"/>
        </w:rPr>
        <w:t>49.48m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2C4C6F7E">
      <w:pPr>
        <w:widowControl/>
        <w:spacing w:line="360" w:lineRule="auto"/>
        <w:ind w:firstLine="480" w:firstLineChars="20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③</w:t>
      </w:r>
      <w:r>
        <w:rPr>
          <w:rFonts w:hint="eastAsia" w:ascii="宋体" w:hAnsi="宋体" w:eastAsia="宋体" w:cs="宋体"/>
          <w:sz w:val="24"/>
          <w:szCs w:val="24"/>
          <w:highlight w:val="none"/>
          <w:lang w:val="en-US" w:eastAsia="zh-CN"/>
        </w:rPr>
        <w:t>内墙</w:t>
      </w:r>
      <w:r>
        <w:rPr>
          <w:rFonts w:hint="eastAsia" w:ascii="宋体" w:hAnsi="宋体" w:eastAsia="宋体" w:cs="宋体"/>
          <w:color w:val="auto"/>
          <w:sz w:val="24"/>
          <w:szCs w:val="24"/>
          <w:highlight w:val="none"/>
        </w:rPr>
        <w:t>墙面</w:t>
      </w:r>
      <w:r>
        <w:rPr>
          <w:rFonts w:hint="eastAsia" w:ascii="宋体" w:hAnsi="宋体" w:eastAsia="宋体" w:cs="宋体"/>
          <w:color w:val="auto"/>
          <w:sz w:val="24"/>
          <w:szCs w:val="24"/>
          <w:highlight w:val="none"/>
          <w:lang w:eastAsia="zh-CN"/>
        </w:rPr>
        <w:t>腻子及</w:t>
      </w:r>
      <w:r>
        <w:rPr>
          <w:rFonts w:hint="eastAsia" w:ascii="宋体" w:hAnsi="宋体" w:eastAsia="宋体" w:cs="宋体"/>
          <w:color w:val="auto"/>
          <w:sz w:val="24"/>
          <w:szCs w:val="24"/>
          <w:highlight w:val="none"/>
        </w:rPr>
        <w:t>涂料层</w:t>
      </w:r>
      <w:r>
        <w:rPr>
          <w:rFonts w:hint="eastAsia" w:ascii="宋体" w:hAnsi="宋体" w:eastAsia="宋体" w:cs="宋体"/>
          <w:color w:val="auto"/>
          <w:sz w:val="24"/>
          <w:szCs w:val="24"/>
          <w:highlight w:val="none"/>
          <w:lang w:eastAsia="zh-CN"/>
        </w:rPr>
        <w:t>铲除并</w:t>
      </w:r>
      <w:r>
        <w:rPr>
          <w:rFonts w:hint="eastAsia" w:ascii="宋体" w:hAnsi="宋体" w:eastAsia="宋体" w:cs="宋体"/>
          <w:color w:val="auto"/>
          <w:sz w:val="24"/>
          <w:szCs w:val="24"/>
          <w:highlight w:val="none"/>
        </w:rPr>
        <w:t>清理</w:t>
      </w:r>
      <w:r>
        <w:rPr>
          <w:rFonts w:hint="eastAsia" w:ascii="宋体" w:hAnsi="宋体" w:eastAsia="宋体" w:cs="宋体"/>
          <w:color w:val="auto"/>
          <w:sz w:val="24"/>
          <w:szCs w:val="24"/>
          <w:highlight w:val="none"/>
          <w:lang w:val="en-US" w:eastAsia="zh-CN"/>
        </w:rPr>
        <w:t>762.12m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32587974">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④</w:t>
      </w:r>
      <w:r>
        <w:rPr>
          <w:rFonts w:hint="eastAsia" w:ascii="宋体" w:hAnsi="宋体" w:eastAsia="宋体" w:cs="宋体"/>
          <w:sz w:val="24"/>
          <w:szCs w:val="24"/>
          <w:highlight w:val="none"/>
          <w:lang w:val="en-US" w:eastAsia="zh-CN"/>
        </w:rPr>
        <w:t>天棚</w:t>
      </w:r>
      <w:r>
        <w:rPr>
          <w:rFonts w:hint="eastAsia" w:ascii="宋体" w:hAnsi="宋体" w:eastAsia="宋体" w:cs="宋体"/>
          <w:color w:val="auto"/>
          <w:sz w:val="24"/>
          <w:szCs w:val="24"/>
          <w:highlight w:val="none"/>
        </w:rPr>
        <w:t>墙面</w:t>
      </w:r>
      <w:r>
        <w:rPr>
          <w:rFonts w:hint="eastAsia" w:ascii="宋体" w:hAnsi="宋体" w:eastAsia="宋体" w:cs="宋体"/>
          <w:color w:val="auto"/>
          <w:sz w:val="24"/>
          <w:szCs w:val="24"/>
          <w:highlight w:val="none"/>
          <w:lang w:eastAsia="zh-CN"/>
        </w:rPr>
        <w:t>腻子及</w:t>
      </w:r>
      <w:r>
        <w:rPr>
          <w:rFonts w:hint="eastAsia" w:ascii="宋体" w:hAnsi="宋体" w:eastAsia="宋体" w:cs="宋体"/>
          <w:color w:val="auto"/>
          <w:sz w:val="24"/>
          <w:szCs w:val="24"/>
          <w:highlight w:val="none"/>
        </w:rPr>
        <w:t>涂料层</w:t>
      </w:r>
      <w:r>
        <w:rPr>
          <w:rFonts w:hint="eastAsia" w:ascii="宋体" w:hAnsi="宋体" w:eastAsia="宋体" w:cs="宋体"/>
          <w:color w:val="auto"/>
          <w:sz w:val="24"/>
          <w:szCs w:val="24"/>
          <w:highlight w:val="none"/>
          <w:lang w:eastAsia="zh-CN"/>
        </w:rPr>
        <w:t>铲除并</w:t>
      </w:r>
      <w:r>
        <w:rPr>
          <w:rFonts w:hint="eastAsia" w:ascii="宋体" w:hAnsi="宋体" w:eastAsia="宋体" w:cs="宋体"/>
          <w:color w:val="auto"/>
          <w:sz w:val="24"/>
          <w:szCs w:val="24"/>
          <w:highlight w:val="none"/>
        </w:rPr>
        <w:t>清理</w:t>
      </w:r>
      <w:r>
        <w:rPr>
          <w:rFonts w:hint="eastAsia" w:ascii="宋体" w:hAnsi="宋体" w:eastAsia="宋体" w:cs="宋体"/>
          <w:color w:val="auto"/>
          <w:sz w:val="24"/>
          <w:szCs w:val="24"/>
          <w:highlight w:val="none"/>
          <w:lang w:val="en-US" w:eastAsia="zh-CN"/>
        </w:rPr>
        <w:t>203.65m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308C362B">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⑤平开断桥铝金窗</w:t>
      </w:r>
      <w:r>
        <w:rPr>
          <w:rFonts w:hint="eastAsia" w:ascii="宋体" w:hAnsi="宋体" w:eastAsia="宋体" w:cs="宋体"/>
          <w:color w:val="auto"/>
          <w:sz w:val="24"/>
          <w:szCs w:val="24"/>
          <w:highlight w:val="none"/>
          <w:lang w:val="en-US" w:eastAsia="zh-CN"/>
        </w:rPr>
        <w:t>49.48m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24A1420D">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⑥断桥铝百叶窗</w:t>
      </w:r>
      <w:r>
        <w:rPr>
          <w:rFonts w:hint="eastAsia" w:ascii="宋体" w:hAnsi="宋体" w:eastAsia="宋体" w:cs="宋体"/>
          <w:color w:val="auto"/>
          <w:sz w:val="24"/>
          <w:szCs w:val="24"/>
          <w:highlight w:val="none"/>
          <w:lang w:val="en-US" w:eastAsia="zh-CN"/>
        </w:rPr>
        <w:t>49.48m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7ED7AD74">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⑦</w:t>
      </w:r>
      <w:r>
        <w:rPr>
          <w:rFonts w:hint="eastAsia" w:ascii="宋体" w:hAnsi="宋体" w:eastAsia="宋体" w:cs="宋体"/>
          <w:sz w:val="24"/>
          <w:szCs w:val="24"/>
          <w:highlight w:val="none"/>
          <w:lang w:val="en-US" w:eastAsia="zh-CN"/>
        </w:rPr>
        <w:t>平开断桥铝门3.02</w:t>
      </w:r>
      <w:r>
        <w:rPr>
          <w:rFonts w:hint="eastAsia" w:ascii="宋体" w:hAnsi="宋体" w:eastAsia="宋体" w:cs="宋体"/>
          <w:color w:val="auto"/>
          <w:sz w:val="24"/>
          <w:szCs w:val="24"/>
          <w:highlight w:val="none"/>
          <w:lang w:val="en-US" w:eastAsia="zh-CN"/>
        </w:rPr>
        <w:t>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48FBD9AF">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⑧</w:t>
      </w:r>
      <w:r>
        <w:rPr>
          <w:rFonts w:hint="eastAsia" w:ascii="宋体" w:hAnsi="宋体" w:eastAsia="宋体" w:cs="宋体"/>
          <w:sz w:val="24"/>
          <w:szCs w:val="24"/>
          <w:highlight w:val="none"/>
          <w:lang w:val="en-US" w:eastAsia="zh-CN"/>
        </w:rPr>
        <w:t>内墙抹灰面（耐水腻子两遍 抹灰面）</w:t>
      </w:r>
      <w:r>
        <w:rPr>
          <w:rFonts w:hint="eastAsia" w:ascii="宋体" w:hAnsi="宋体" w:eastAsia="宋体" w:cs="宋体"/>
          <w:color w:val="auto"/>
          <w:sz w:val="24"/>
          <w:szCs w:val="24"/>
          <w:highlight w:val="none"/>
          <w:lang w:val="en-US" w:eastAsia="zh-CN"/>
        </w:rPr>
        <w:t>762.12m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76A8ED8B">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⑨</w:t>
      </w:r>
      <w:r>
        <w:rPr>
          <w:rFonts w:hint="eastAsia" w:ascii="宋体" w:hAnsi="宋体" w:eastAsia="宋体" w:cs="宋体"/>
          <w:sz w:val="24"/>
          <w:szCs w:val="24"/>
          <w:highlight w:val="none"/>
          <w:lang w:val="en-US" w:eastAsia="zh-CN"/>
        </w:rPr>
        <w:t>内墙面层涂料 （丙烯酸乳胶漆 二遍）</w:t>
      </w:r>
      <w:r>
        <w:rPr>
          <w:rFonts w:hint="eastAsia" w:ascii="宋体" w:hAnsi="宋体" w:eastAsia="宋体" w:cs="宋体"/>
          <w:color w:val="auto"/>
          <w:sz w:val="24"/>
          <w:szCs w:val="24"/>
          <w:highlight w:val="none"/>
          <w:lang w:val="en-US" w:eastAsia="zh-CN"/>
        </w:rPr>
        <w:t>762.12m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7B0932CF">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⑩</w:t>
      </w:r>
      <w:r>
        <w:rPr>
          <w:rFonts w:hint="eastAsia" w:ascii="宋体" w:hAnsi="宋体" w:eastAsia="宋体" w:cs="宋体"/>
          <w:sz w:val="24"/>
          <w:szCs w:val="24"/>
          <w:highlight w:val="none"/>
          <w:lang w:val="en-US" w:eastAsia="zh-CN"/>
        </w:rPr>
        <w:t>天棚面刮腻子（耐水腻子两遍 ）</w:t>
      </w:r>
      <w:r>
        <w:rPr>
          <w:rFonts w:hint="eastAsia" w:ascii="宋体" w:hAnsi="宋体" w:eastAsia="宋体" w:cs="宋体"/>
          <w:color w:val="auto"/>
          <w:sz w:val="24"/>
          <w:szCs w:val="24"/>
          <w:highlight w:val="none"/>
          <w:lang w:val="en-US" w:eastAsia="zh-CN"/>
        </w:rPr>
        <w:t>203.65m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1945CA9E">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⑪</w:t>
      </w:r>
      <w:r>
        <w:rPr>
          <w:rFonts w:hint="eastAsia" w:ascii="宋体" w:hAnsi="宋体" w:eastAsia="宋体" w:cs="宋体"/>
          <w:sz w:val="24"/>
          <w:szCs w:val="24"/>
          <w:highlight w:val="none"/>
          <w:lang w:val="en-US" w:eastAsia="zh-CN"/>
        </w:rPr>
        <w:t>天棚面喷刷涂料（丙烯酸乳胶漆 二遍）</w:t>
      </w:r>
      <w:r>
        <w:rPr>
          <w:rFonts w:hint="eastAsia" w:ascii="宋体" w:hAnsi="宋体" w:eastAsia="宋体" w:cs="宋体"/>
          <w:color w:val="auto"/>
          <w:sz w:val="24"/>
          <w:szCs w:val="24"/>
          <w:highlight w:val="none"/>
          <w:lang w:val="en-US" w:eastAsia="zh-CN"/>
        </w:rPr>
        <w:t>203.65m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18E91270">
      <w:pPr>
        <w:widowControl/>
        <w:spacing w:line="360" w:lineRule="auto"/>
        <w:ind w:firstLine="560" w:firstLineChars="200"/>
        <w:rPr>
          <w:rFonts w:hint="eastAsia" w:ascii="宋体" w:hAnsi="宋体" w:eastAsia="宋体" w:cs="宋体"/>
          <w:sz w:val="28"/>
          <w:szCs w:val="20"/>
          <w:highlight w:val="none"/>
          <w:lang w:val="en-US" w:eastAsia="zh-CN"/>
        </w:rPr>
      </w:pPr>
      <w:r>
        <w:rPr>
          <w:rFonts w:hint="eastAsia" w:ascii="宋体" w:hAnsi="宋体" w:eastAsia="宋体" w:cs="宋体"/>
          <w:sz w:val="28"/>
          <w:szCs w:val="20"/>
          <w:highlight w:val="none"/>
          <w:lang w:eastAsia="zh-CN"/>
        </w:rPr>
        <w:t>（</w:t>
      </w:r>
      <w:r>
        <w:rPr>
          <w:rFonts w:hint="eastAsia" w:ascii="宋体" w:hAnsi="宋体" w:eastAsia="宋体" w:cs="宋体"/>
          <w:sz w:val="28"/>
          <w:szCs w:val="20"/>
          <w:highlight w:val="none"/>
          <w:lang w:val="en-US" w:eastAsia="zh-CN"/>
        </w:rPr>
        <w:t>2</w:t>
      </w:r>
      <w:r>
        <w:rPr>
          <w:rFonts w:hint="eastAsia" w:ascii="宋体" w:hAnsi="宋体" w:eastAsia="宋体" w:cs="宋体"/>
          <w:sz w:val="28"/>
          <w:szCs w:val="20"/>
          <w:highlight w:val="none"/>
          <w:lang w:eastAsia="zh-CN"/>
        </w:rPr>
        <w:t>）</w:t>
      </w:r>
      <w:r>
        <w:rPr>
          <w:rFonts w:hint="eastAsia" w:ascii="宋体" w:hAnsi="宋体" w:eastAsia="宋体" w:cs="宋体"/>
          <w:sz w:val="28"/>
          <w:szCs w:val="20"/>
          <w:highlight w:val="none"/>
          <w:lang w:val="en-US" w:eastAsia="zh-CN"/>
        </w:rPr>
        <w:t>库区自计井房</w:t>
      </w:r>
    </w:p>
    <w:p w14:paraId="10583F25">
      <w:pPr>
        <w:widowControl/>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①金属窗拆除</w:t>
      </w:r>
      <w:r>
        <w:rPr>
          <w:rFonts w:hint="eastAsia" w:ascii="宋体" w:hAnsi="宋体" w:eastAsia="宋体" w:cs="宋体"/>
          <w:color w:val="auto"/>
          <w:sz w:val="24"/>
          <w:szCs w:val="24"/>
          <w:highlight w:val="none"/>
          <w:lang w:val="en-US" w:eastAsia="zh-CN"/>
        </w:rPr>
        <w:t>6.39m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1C37015F">
      <w:pPr>
        <w:widowControl/>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②金属纱窗拆除</w:t>
      </w:r>
      <w:r>
        <w:rPr>
          <w:rFonts w:hint="eastAsia" w:ascii="宋体" w:hAnsi="宋体" w:eastAsia="宋体" w:cs="宋体"/>
          <w:color w:val="auto"/>
          <w:sz w:val="24"/>
          <w:szCs w:val="24"/>
          <w:highlight w:val="none"/>
          <w:lang w:val="en-US" w:eastAsia="zh-CN"/>
        </w:rPr>
        <w:t>6.39m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41291C5D">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③内墙墙面腻子及涂料层铲除并清理</w:t>
      </w:r>
      <w:r>
        <w:rPr>
          <w:rFonts w:hint="eastAsia" w:ascii="宋体" w:hAnsi="宋体" w:eastAsia="宋体" w:cs="宋体"/>
          <w:color w:val="auto"/>
          <w:sz w:val="24"/>
          <w:szCs w:val="24"/>
          <w:highlight w:val="none"/>
          <w:lang w:val="en-US" w:eastAsia="zh-CN"/>
        </w:rPr>
        <w:t>19.55m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64BC9873">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④</w:t>
      </w:r>
      <w:r>
        <w:rPr>
          <w:rFonts w:hint="eastAsia" w:ascii="宋体" w:hAnsi="宋体" w:eastAsia="宋体" w:cs="宋体"/>
          <w:sz w:val="24"/>
          <w:szCs w:val="24"/>
          <w:highlight w:val="none"/>
          <w:lang w:val="en-US" w:eastAsia="zh-CN"/>
        </w:rPr>
        <w:t>天棚墙面腻子及涂料层铲除并清理</w:t>
      </w:r>
      <w:r>
        <w:rPr>
          <w:rFonts w:hint="eastAsia" w:ascii="宋体" w:hAnsi="宋体" w:eastAsia="宋体" w:cs="宋体"/>
          <w:color w:val="auto"/>
          <w:sz w:val="24"/>
          <w:szCs w:val="24"/>
          <w:highlight w:val="none"/>
          <w:lang w:val="en-US" w:eastAsia="zh-CN"/>
        </w:rPr>
        <w:t>21.87m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0CA9279E">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⑤旧金属漆面清除</w:t>
      </w:r>
      <w:r>
        <w:rPr>
          <w:rFonts w:hint="eastAsia" w:ascii="宋体" w:hAnsi="宋体" w:eastAsia="宋体" w:cs="宋体"/>
          <w:color w:val="auto"/>
          <w:sz w:val="24"/>
          <w:szCs w:val="24"/>
          <w:highlight w:val="none"/>
          <w:lang w:val="en-US" w:eastAsia="zh-CN"/>
        </w:rPr>
        <w:t>13.84m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4154B875">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⑥平开断桥铝金窗</w:t>
      </w:r>
      <w:r>
        <w:rPr>
          <w:rFonts w:hint="eastAsia" w:ascii="宋体" w:hAnsi="宋体" w:eastAsia="宋体" w:cs="宋体"/>
          <w:color w:val="auto"/>
          <w:sz w:val="24"/>
          <w:szCs w:val="24"/>
          <w:highlight w:val="none"/>
          <w:lang w:val="en-US" w:eastAsia="zh-CN"/>
        </w:rPr>
        <w:t>6.39m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250C4883">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⑦断桥铝百叶窗</w:t>
      </w:r>
      <w:r>
        <w:rPr>
          <w:rFonts w:hint="eastAsia" w:ascii="宋体" w:hAnsi="宋体" w:eastAsia="宋体" w:cs="宋体"/>
          <w:color w:val="auto"/>
          <w:sz w:val="24"/>
          <w:szCs w:val="24"/>
          <w:highlight w:val="none"/>
          <w:lang w:val="en-US" w:eastAsia="zh-CN"/>
        </w:rPr>
        <w:t>6.39m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41592634">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⑧内墙抹灰面（耐水腻子两遍 抹灰面）</w:t>
      </w:r>
      <w:r>
        <w:rPr>
          <w:rFonts w:hint="eastAsia" w:ascii="宋体" w:hAnsi="宋体" w:eastAsia="宋体" w:cs="宋体"/>
          <w:color w:val="auto"/>
          <w:sz w:val="24"/>
          <w:szCs w:val="24"/>
          <w:highlight w:val="none"/>
          <w:lang w:val="en-US" w:eastAsia="zh-CN"/>
        </w:rPr>
        <w:t>19.55m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47DF7798">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⑨内墙面层涂料 （丙烯酸乳胶漆 二遍）</w:t>
      </w:r>
      <w:r>
        <w:rPr>
          <w:rFonts w:hint="eastAsia" w:ascii="宋体" w:hAnsi="宋体" w:eastAsia="宋体" w:cs="宋体"/>
          <w:color w:val="auto"/>
          <w:sz w:val="24"/>
          <w:szCs w:val="24"/>
          <w:highlight w:val="none"/>
          <w:lang w:val="en-US" w:eastAsia="zh-CN"/>
        </w:rPr>
        <w:t>19.55m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46094018">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⑩天棚面刮腻子（耐水腻子两遍 ）</w:t>
      </w:r>
      <w:r>
        <w:rPr>
          <w:rFonts w:hint="eastAsia" w:ascii="宋体" w:hAnsi="宋体" w:eastAsia="宋体" w:cs="宋体"/>
          <w:color w:val="auto"/>
          <w:sz w:val="24"/>
          <w:szCs w:val="24"/>
          <w:highlight w:val="none"/>
          <w:lang w:val="en-US" w:eastAsia="zh-CN"/>
        </w:rPr>
        <w:t>5.87m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3C1B3867">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⑪天棚面喷刷涂料（丙烯酸乳胶漆 二遍）</w:t>
      </w:r>
      <w:r>
        <w:rPr>
          <w:rFonts w:hint="eastAsia" w:ascii="宋体" w:hAnsi="宋体" w:eastAsia="宋体" w:cs="宋体"/>
          <w:color w:val="auto"/>
          <w:sz w:val="24"/>
          <w:szCs w:val="24"/>
          <w:highlight w:val="none"/>
          <w:lang w:val="en-US" w:eastAsia="zh-CN"/>
        </w:rPr>
        <w:t>5.87m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647A3B1C">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⑫SBS改性沥青防水卷材(热熔法) 两层屋面防水</w:t>
      </w:r>
      <w:r>
        <w:rPr>
          <w:rFonts w:hint="eastAsia" w:ascii="宋体" w:hAnsi="宋体" w:eastAsia="宋体" w:cs="宋体"/>
          <w:color w:val="auto"/>
          <w:sz w:val="24"/>
          <w:szCs w:val="24"/>
          <w:highlight w:val="none"/>
          <w:lang w:val="en-US" w:eastAsia="zh-CN"/>
        </w:rPr>
        <w:t>16m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56ADCD9D">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⑬防锈漆底漆（一遍）</w:t>
      </w:r>
      <w:r>
        <w:rPr>
          <w:rFonts w:hint="eastAsia" w:ascii="宋体" w:hAnsi="宋体" w:eastAsia="宋体" w:cs="宋体"/>
          <w:color w:val="auto"/>
          <w:sz w:val="24"/>
          <w:szCs w:val="24"/>
          <w:highlight w:val="none"/>
          <w:lang w:val="en-US" w:eastAsia="zh-CN"/>
        </w:rPr>
        <w:t>13.84m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1497B2BF">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⑭金属面漆（两遍）</w:t>
      </w:r>
      <w:r>
        <w:rPr>
          <w:rFonts w:hint="eastAsia" w:ascii="宋体" w:hAnsi="宋体" w:eastAsia="宋体" w:cs="宋体"/>
          <w:color w:val="auto"/>
          <w:sz w:val="24"/>
          <w:szCs w:val="24"/>
          <w:highlight w:val="none"/>
          <w:lang w:val="en-US" w:eastAsia="zh-CN"/>
        </w:rPr>
        <w:t>13.84m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55C21305">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⑮涂外墙涂料（耐水腻子两遍，丙烯酸乳胶漆两遍）</w:t>
      </w:r>
      <w:r>
        <w:rPr>
          <w:rFonts w:hint="eastAsia" w:ascii="宋体" w:hAnsi="宋体" w:eastAsia="宋体" w:cs="宋体"/>
          <w:color w:val="auto"/>
          <w:sz w:val="24"/>
          <w:szCs w:val="24"/>
          <w:highlight w:val="none"/>
          <w:lang w:val="en-US" w:eastAsia="zh-CN"/>
        </w:rPr>
        <w:t>4.84m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4C62F4BC">
      <w:pPr>
        <w:widowControl/>
        <w:spacing w:line="360" w:lineRule="auto"/>
        <w:ind w:firstLine="560" w:firstLineChars="200"/>
        <w:jc w:val="left"/>
        <w:rPr>
          <w:rFonts w:hint="eastAsia" w:ascii="宋体" w:hAnsi="宋体" w:eastAsia="宋体" w:cs="宋体"/>
          <w:sz w:val="28"/>
          <w:szCs w:val="20"/>
          <w:highlight w:val="none"/>
        </w:rPr>
      </w:pPr>
      <w:r>
        <w:rPr>
          <w:rFonts w:hint="eastAsia" w:ascii="宋体" w:hAnsi="宋体" w:eastAsia="宋体" w:cs="宋体"/>
          <w:sz w:val="28"/>
          <w:szCs w:val="20"/>
          <w:highlight w:val="none"/>
          <w:lang w:eastAsia="zh-CN"/>
        </w:rPr>
        <w:t>（</w:t>
      </w:r>
      <w:r>
        <w:rPr>
          <w:rFonts w:hint="eastAsia" w:ascii="宋体" w:hAnsi="宋体" w:eastAsia="宋体" w:cs="宋体"/>
          <w:sz w:val="28"/>
          <w:szCs w:val="20"/>
          <w:highlight w:val="none"/>
          <w:lang w:val="en-US" w:eastAsia="zh-CN"/>
        </w:rPr>
        <w:t>3</w:t>
      </w:r>
      <w:r>
        <w:rPr>
          <w:rFonts w:hint="eastAsia" w:ascii="宋体" w:hAnsi="宋体" w:eastAsia="宋体" w:cs="宋体"/>
          <w:sz w:val="28"/>
          <w:szCs w:val="20"/>
          <w:highlight w:val="none"/>
          <w:lang w:eastAsia="zh-CN"/>
        </w:rPr>
        <w:t>）</w:t>
      </w:r>
      <w:r>
        <w:rPr>
          <w:rFonts w:hint="eastAsia" w:ascii="宋体" w:hAnsi="宋体" w:eastAsia="宋体" w:cs="宋体"/>
          <w:sz w:val="28"/>
          <w:szCs w:val="20"/>
          <w:highlight w:val="none"/>
        </w:rPr>
        <w:t>前辛庄水文站</w:t>
      </w:r>
    </w:p>
    <w:p w14:paraId="02CF762F">
      <w:pPr>
        <w:widowControl/>
        <w:spacing w:line="360" w:lineRule="auto"/>
        <w:ind w:firstLine="560" w:firstLineChars="200"/>
        <w:jc w:val="left"/>
        <w:rPr>
          <w:rFonts w:hint="eastAsia" w:ascii="宋体" w:hAnsi="宋体" w:eastAsia="宋体" w:cs="宋体"/>
          <w:sz w:val="28"/>
          <w:szCs w:val="20"/>
          <w:highlight w:val="none"/>
          <w:lang w:val="en-US" w:eastAsia="zh-CN"/>
        </w:rPr>
      </w:pPr>
      <w:r>
        <w:rPr>
          <w:rFonts w:hint="eastAsia" w:ascii="宋体" w:hAnsi="宋体" w:eastAsia="宋体" w:cs="宋体"/>
          <w:sz w:val="28"/>
          <w:szCs w:val="20"/>
          <w:highlight w:val="none"/>
          <w:lang w:val="en-US" w:eastAsia="zh-CN"/>
        </w:rPr>
        <w:t>3-1闸站房屋</w:t>
      </w:r>
    </w:p>
    <w:p w14:paraId="58D70510">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①金属窗拆除</w:t>
      </w:r>
      <w:r>
        <w:rPr>
          <w:rFonts w:hint="eastAsia" w:ascii="宋体" w:hAnsi="宋体" w:eastAsia="宋体" w:cs="宋体"/>
          <w:color w:val="auto"/>
          <w:sz w:val="24"/>
          <w:szCs w:val="24"/>
          <w:highlight w:val="none"/>
          <w:lang w:val="en-US" w:eastAsia="zh-CN"/>
        </w:rPr>
        <w:t>49.48m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lang w:val="en-US" w:eastAsia="zh-CN"/>
        </w:rPr>
        <w:t>；</w:t>
      </w:r>
    </w:p>
    <w:p w14:paraId="6572B407">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②金属纱窗拆除</w:t>
      </w:r>
      <w:r>
        <w:rPr>
          <w:rFonts w:hint="eastAsia" w:ascii="宋体" w:hAnsi="宋体" w:eastAsia="宋体" w:cs="宋体"/>
          <w:color w:val="auto"/>
          <w:sz w:val="24"/>
          <w:szCs w:val="24"/>
          <w:highlight w:val="none"/>
          <w:lang w:val="en-US" w:eastAsia="zh-CN"/>
        </w:rPr>
        <w:t>49.48m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5D2BA2B5">
      <w:pPr>
        <w:widowControl/>
        <w:spacing w:line="360" w:lineRule="auto"/>
        <w:ind w:firstLine="480" w:firstLineChars="20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③</w:t>
      </w:r>
      <w:r>
        <w:rPr>
          <w:rFonts w:hint="eastAsia" w:ascii="宋体" w:hAnsi="宋体" w:eastAsia="宋体" w:cs="宋体"/>
          <w:sz w:val="24"/>
          <w:szCs w:val="24"/>
          <w:highlight w:val="none"/>
          <w:lang w:val="en-US" w:eastAsia="zh-CN"/>
        </w:rPr>
        <w:t>内墙</w:t>
      </w:r>
      <w:r>
        <w:rPr>
          <w:rFonts w:hint="eastAsia" w:ascii="宋体" w:hAnsi="宋体" w:eastAsia="宋体" w:cs="宋体"/>
          <w:color w:val="auto"/>
          <w:sz w:val="24"/>
          <w:szCs w:val="24"/>
          <w:highlight w:val="none"/>
        </w:rPr>
        <w:t>墙面</w:t>
      </w:r>
      <w:r>
        <w:rPr>
          <w:rFonts w:hint="eastAsia" w:ascii="宋体" w:hAnsi="宋体" w:eastAsia="宋体" w:cs="宋体"/>
          <w:color w:val="auto"/>
          <w:sz w:val="24"/>
          <w:szCs w:val="24"/>
          <w:highlight w:val="none"/>
          <w:lang w:eastAsia="zh-CN"/>
        </w:rPr>
        <w:t>腻子及</w:t>
      </w:r>
      <w:r>
        <w:rPr>
          <w:rFonts w:hint="eastAsia" w:ascii="宋体" w:hAnsi="宋体" w:eastAsia="宋体" w:cs="宋体"/>
          <w:color w:val="auto"/>
          <w:sz w:val="24"/>
          <w:szCs w:val="24"/>
          <w:highlight w:val="none"/>
        </w:rPr>
        <w:t>涂料层</w:t>
      </w:r>
      <w:r>
        <w:rPr>
          <w:rFonts w:hint="eastAsia" w:ascii="宋体" w:hAnsi="宋体" w:eastAsia="宋体" w:cs="宋体"/>
          <w:color w:val="auto"/>
          <w:sz w:val="24"/>
          <w:szCs w:val="24"/>
          <w:highlight w:val="none"/>
          <w:lang w:eastAsia="zh-CN"/>
        </w:rPr>
        <w:t>铲除并</w:t>
      </w:r>
      <w:r>
        <w:rPr>
          <w:rFonts w:hint="eastAsia" w:ascii="宋体" w:hAnsi="宋体" w:eastAsia="宋体" w:cs="宋体"/>
          <w:color w:val="auto"/>
          <w:sz w:val="24"/>
          <w:szCs w:val="24"/>
          <w:highlight w:val="none"/>
        </w:rPr>
        <w:t>清理</w:t>
      </w:r>
      <w:r>
        <w:rPr>
          <w:rFonts w:hint="eastAsia" w:ascii="宋体" w:hAnsi="宋体" w:eastAsia="宋体" w:cs="宋体"/>
          <w:color w:val="auto"/>
          <w:sz w:val="24"/>
          <w:szCs w:val="24"/>
          <w:highlight w:val="none"/>
          <w:lang w:val="en-US" w:eastAsia="zh-CN"/>
        </w:rPr>
        <w:t>762.12m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3FF086FB">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④</w:t>
      </w:r>
      <w:r>
        <w:rPr>
          <w:rFonts w:hint="eastAsia" w:ascii="宋体" w:hAnsi="宋体" w:eastAsia="宋体" w:cs="宋体"/>
          <w:sz w:val="24"/>
          <w:szCs w:val="24"/>
          <w:highlight w:val="none"/>
          <w:lang w:val="en-US" w:eastAsia="zh-CN"/>
        </w:rPr>
        <w:t>天棚</w:t>
      </w:r>
      <w:r>
        <w:rPr>
          <w:rFonts w:hint="eastAsia" w:ascii="宋体" w:hAnsi="宋体" w:eastAsia="宋体" w:cs="宋体"/>
          <w:color w:val="auto"/>
          <w:sz w:val="24"/>
          <w:szCs w:val="24"/>
          <w:highlight w:val="none"/>
        </w:rPr>
        <w:t>墙面</w:t>
      </w:r>
      <w:r>
        <w:rPr>
          <w:rFonts w:hint="eastAsia" w:ascii="宋体" w:hAnsi="宋体" w:eastAsia="宋体" w:cs="宋体"/>
          <w:color w:val="auto"/>
          <w:sz w:val="24"/>
          <w:szCs w:val="24"/>
          <w:highlight w:val="none"/>
          <w:lang w:eastAsia="zh-CN"/>
        </w:rPr>
        <w:t>腻子及</w:t>
      </w:r>
      <w:r>
        <w:rPr>
          <w:rFonts w:hint="eastAsia" w:ascii="宋体" w:hAnsi="宋体" w:eastAsia="宋体" w:cs="宋体"/>
          <w:color w:val="auto"/>
          <w:sz w:val="24"/>
          <w:szCs w:val="24"/>
          <w:highlight w:val="none"/>
        </w:rPr>
        <w:t>涂料层</w:t>
      </w:r>
      <w:r>
        <w:rPr>
          <w:rFonts w:hint="eastAsia" w:ascii="宋体" w:hAnsi="宋体" w:eastAsia="宋体" w:cs="宋体"/>
          <w:color w:val="auto"/>
          <w:sz w:val="24"/>
          <w:szCs w:val="24"/>
          <w:highlight w:val="none"/>
          <w:lang w:eastAsia="zh-CN"/>
        </w:rPr>
        <w:t>铲除并</w:t>
      </w:r>
      <w:r>
        <w:rPr>
          <w:rFonts w:hint="eastAsia" w:ascii="宋体" w:hAnsi="宋体" w:eastAsia="宋体" w:cs="宋体"/>
          <w:color w:val="auto"/>
          <w:sz w:val="24"/>
          <w:szCs w:val="24"/>
          <w:highlight w:val="none"/>
        </w:rPr>
        <w:t>清理</w:t>
      </w:r>
      <w:r>
        <w:rPr>
          <w:rFonts w:hint="eastAsia" w:ascii="宋体" w:hAnsi="宋体" w:eastAsia="宋体" w:cs="宋体"/>
          <w:color w:val="auto"/>
          <w:sz w:val="24"/>
          <w:szCs w:val="24"/>
          <w:highlight w:val="none"/>
          <w:lang w:val="en-US" w:eastAsia="zh-CN"/>
        </w:rPr>
        <w:t>203.65m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1763A085">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⑤平开断桥铝金窗</w:t>
      </w:r>
      <w:r>
        <w:rPr>
          <w:rFonts w:hint="eastAsia" w:ascii="宋体" w:hAnsi="宋体" w:eastAsia="宋体" w:cs="宋体"/>
          <w:color w:val="auto"/>
          <w:sz w:val="24"/>
          <w:szCs w:val="24"/>
          <w:highlight w:val="none"/>
          <w:lang w:val="en-US" w:eastAsia="zh-CN"/>
        </w:rPr>
        <w:t>49.48m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28A39E71">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⑥断桥铝百叶窗</w:t>
      </w:r>
      <w:r>
        <w:rPr>
          <w:rFonts w:hint="eastAsia" w:ascii="宋体" w:hAnsi="宋体" w:eastAsia="宋体" w:cs="宋体"/>
          <w:color w:val="auto"/>
          <w:sz w:val="24"/>
          <w:szCs w:val="24"/>
          <w:highlight w:val="none"/>
          <w:lang w:val="en-US" w:eastAsia="zh-CN"/>
        </w:rPr>
        <w:t>49.48m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33CD31EF">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⑦</w:t>
      </w:r>
      <w:r>
        <w:rPr>
          <w:rFonts w:hint="eastAsia" w:ascii="宋体" w:hAnsi="宋体" w:eastAsia="宋体" w:cs="宋体"/>
          <w:sz w:val="24"/>
          <w:szCs w:val="24"/>
          <w:highlight w:val="none"/>
          <w:lang w:val="en-US" w:eastAsia="zh-CN"/>
        </w:rPr>
        <w:t>内墙抹灰面（耐水腻子两遍 抹灰面）</w:t>
      </w:r>
      <w:r>
        <w:rPr>
          <w:rFonts w:hint="eastAsia" w:ascii="宋体" w:hAnsi="宋体" w:eastAsia="宋体" w:cs="宋体"/>
          <w:color w:val="auto"/>
          <w:sz w:val="24"/>
          <w:szCs w:val="24"/>
          <w:highlight w:val="none"/>
          <w:lang w:val="en-US" w:eastAsia="zh-CN"/>
        </w:rPr>
        <w:t>762.12m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067F2B7A">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⑧</w:t>
      </w:r>
      <w:r>
        <w:rPr>
          <w:rFonts w:hint="eastAsia" w:ascii="宋体" w:hAnsi="宋体" w:eastAsia="宋体" w:cs="宋体"/>
          <w:sz w:val="24"/>
          <w:szCs w:val="24"/>
          <w:highlight w:val="none"/>
          <w:lang w:val="en-US" w:eastAsia="zh-CN"/>
        </w:rPr>
        <w:t>内墙面层涂料 （丙烯酸乳胶漆 二遍）</w:t>
      </w:r>
      <w:r>
        <w:rPr>
          <w:rFonts w:hint="eastAsia" w:ascii="宋体" w:hAnsi="宋体" w:eastAsia="宋体" w:cs="宋体"/>
          <w:color w:val="auto"/>
          <w:sz w:val="24"/>
          <w:szCs w:val="24"/>
          <w:highlight w:val="none"/>
          <w:lang w:val="en-US" w:eastAsia="zh-CN"/>
        </w:rPr>
        <w:t>762.12m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6AF3A709">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⑨</w:t>
      </w:r>
      <w:r>
        <w:rPr>
          <w:rFonts w:hint="eastAsia" w:ascii="宋体" w:hAnsi="宋体" w:eastAsia="宋体" w:cs="宋体"/>
          <w:sz w:val="24"/>
          <w:szCs w:val="24"/>
          <w:highlight w:val="none"/>
          <w:lang w:val="en-US" w:eastAsia="zh-CN"/>
        </w:rPr>
        <w:t>天棚面刮腻子（耐水腻子两遍 ）</w:t>
      </w:r>
      <w:r>
        <w:rPr>
          <w:rFonts w:hint="eastAsia" w:ascii="宋体" w:hAnsi="宋体" w:eastAsia="宋体" w:cs="宋体"/>
          <w:color w:val="auto"/>
          <w:sz w:val="24"/>
          <w:szCs w:val="24"/>
          <w:highlight w:val="none"/>
          <w:lang w:val="en-US" w:eastAsia="zh-CN"/>
        </w:rPr>
        <w:t>203.65m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4B193703">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⑩</w:t>
      </w:r>
      <w:r>
        <w:rPr>
          <w:rFonts w:hint="eastAsia" w:ascii="宋体" w:hAnsi="宋体" w:eastAsia="宋体" w:cs="宋体"/>
          <w:sz w:val="24"/>
          <w:szCs w:val="24"/>
          <w:highlight w:val="none"/>
          <w:lang w:val="en-US" w:eastAsia="zh-CN"/>
        </w:rPr>
        <w:t>天棚面喷刷涂料（丙烯酸乳胶漆 二遍）</w:t>
      </w:r>
      <w:r>
        <w:rPr>
          <w:rFonts w:hint="eastAsia" w:ascii="宋体" w:hAnsi="宋体" w:eastAsia="宋体" w:cs="宋体"/>
          <w:color w:val="auto"/>
          <w:sz w:val="24"/>
          <w:szCs w:val="24"/>
          <w:highlight w:val="none"/>
          <w:lang w:val="en-US" w:eastAsia="zh-CN"/>
        </w:rPr>
        <w:t>203.65m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sz w:val="24"/>
          <w:szCs w:val="24"/>
          <w:highlight w:val="none"/>
        </w:rPr>
        <w:t>；</w:t>
      </w:r>
    </w:p>
    <w:p w14:paraId="25FD11D5">
      <w:pPr>
        <w:widowControl/>
        <w:spacing w:line="360" w:lineRule="auto"/>
        <w:ind w:firstLine="560" w:firstLineChars="200"/>
        <w:jc w:val="left"/>
        <w:rPr>
          <w:rFonts w:hint="eastAsia" w:ascii="宋体" w:hAnsi="宋体" w:eastAsia="宋体" w:cs="宋体"/>
          <w:sz w:val="28"/>
          <w:szCs w:val="20"/>
          <w:highlight w:val="none"/>
          <w:lang w:val="en-US" w:eastAsia="zh-CN"/>
        </w:rPr>
      </w:pPr>
      <w:r>
        <w:rPr>
          <w:rFonts w:hint="eastAsia" w:ascii="宋体" w:hAnsi="宋体" w:eastAsia="宋体" w:cs="宋体"/>
          <w:sz w:val="28"/>
          <w:szCs w:val="20"/>
          <w:highlight w:val="none"/>
          <w:lang w:val="en-US" w:eastAsia="zh-CN"/>
        </w:rPr>
        <w:t>3-2测流房</w:t>
      </w:r>
    </w:p>
    <w:p w14:paraId="75649B7B">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①</w:t>
      </w:r>
      <w:r>
        <w:rPr>
          <w:rFonts w:hint="eastAsia" w:ascii="宋体" w:hAnsi="宋体" w:eastAsia="宋体" w:cs="宋体"/>
          <w:color w:val="auto"/>
          <w:sz w:val="24"/>
          <w:szCs w:val="24"/>
          <w:highlight w:val="none"/>
          <w:lang w:val="en-US" w:eastAsia="zh-CN"/>
        </w:rPr>
        <w:t>外墙面铲除并清理154.78m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lang w:val="en-US" w:eastAsia="zh-CN"/>
        </w:rPr>
        <w:t>；</w:t>
      </w:r>
    </w:p>
    <w:p w14:paraId="13557658">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②</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lang w:val="en-US" w:eastAsia="zh-CN"/>
        </w:rPr>
        <w:t>外墙面水泥砂浆找平154.78m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vertAlign w:val="baseline"/>
          <w:lang w:val="en-US" w:eastAsia="zh-CN"/>
        </w:rPr>
        <w:t>；</w:t>
      </w:r>
    </w:p>
    <w:p w14:paraId="35888511">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③</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lang w:val="en-US" w:eastAsia="zh-CN"/>
        </w:rPr>
        <w:t>外墙柔性耐水腻子154.78m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vertAlign w:val="baseline"/>
          <w:lang w:val="en-US" w:eastAsia="zh-CN"/>
        </w:rPr>
        <w:t>；</w:t>
      </w:r>
    </w:p>
    <w:p w14:paraId="1293C61B">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sz w:val="24"/>
          <w:szCs w:val="24"/>
        </w:rPr>
        <w:t>④</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涂外墙涂料（丙烯酸乳胶漆两遍）154.78m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vertAlign w:val="baseline"/>
          <w:lang w:val="en-US" w:eastAsia="zh-CN"/>
        </w:rPr>
        <w:t>；</w:t>
      </w:r>
    </w:p>
    <w:p w14:paraId="27D839BD">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5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sz w:val="24"/>
          <w:szCs w:val="24"/>
        </w:rPr>
        <w:t>⑤</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脚手架154.78m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vertAlign w:val="baseline"/>
          <w:lang w:val="en-US" w:eastAsia="zh-CN"/>
        </w:rPr>
        <w:t>；</w:t>
      </w:r>
    </w:p>
    <w:p w14:paraId="791142B9">
      <w:pPr>
        <w:widowControl/>
        <w:spacing w:line="360" w:lineRule="auto"/>
        <w:ind w:firstLine="480" w:firstLineChars="200"/>
        <w:jc w:val="left"/>
        <w:rPr>
          <w:rFonts w:hint="eastAsia" w:ascii="宋体" w:hAnsi="宋体" w:eastAsia="宋体" w:cs="宋体"/>
          <w:color w:val="auto"/>
          <w:sz w:val="24"/>
          <w:szCs w:val="24"/>
          <w:highlight w:val="none"/>
          <w:vertAlign w:val="superscript"/>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6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sz w:val="24"/>
          <w:szCs w:val="24"/>
        </w:rPr>
        <w:t>⑥</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渣土外运消纳2.32m</w:t>
      </w:r>
      <w:r>
        <w:rPr>
          <w:rFonts w:hint="eastAsia" w:ascii="宋体" w:hAnsi="宋体" w:eastAsia="宋体" w:cs="宋体"/>
          <w:color w:val="auto"/>
          <w:sz w:val="24"/>
          <w:szCs w:val="24"/>
          <w:highlight w:val="none"/>
          <w:vertAlign w:val="superscript"/>
          <w:lang w:val="en-US" w:eastAsia="zh-CN"/>
        </w:rPr>
        <w:t>3</w:t>
      </w:r>
      <w:r>
        <w:rPr>
          <w:rFonts w:hint="eastAsia" w:ascii="宋体" w:hAnsi="宋体" w:eastAsia="宋体" w:cs="宋体"/>
          <w:color w:val="auto"/>
          <w:sz w:val="24"/>
          <w:szCs w:val="24"/>
          <w:highlight w:val="none"/>
          <w:vertAlign w:val="baseline"/>
          <w:lang w:val="en-US" w:eastAsia="zh-CN"/>
        </w:rPr>
        <w:t>；</w:t>
      </w:r>
    </w:p>
    <w:p w14:paraId="3B9D2626">
      <w:pPr>
        <w:widowControl/>
        <w:spacing w:line="360" w:lineRule="auto"/>
        <w:ind w:firstLine="560" w:firstLineChars="200"/>
        <w:jc w:val="left"/>
        <w:rPr>
          <w:rFonts w:hint="eastAsia" w:ascii="宋体" w:hAnsi="宋体" w:eastAsia="宋体" w:cs="宋体"/>
          <w:sz w:val="28"/>
          <w:szCs w:val="20"/>
          <w:highlight w:val="none"/>
          <w:lang w:val="en-US" w:eastAsia="zh-CN"/>
        </w:rPr>
      </w:pPr>
      <w:r>
        <w:rPr>
          <w:rFonts w:hint="eastAsia" w:ascii="宋体" w:hAnsi="宋体" w:eastAsia="宋体" w:cs="宋体"/>
          <w:sz w:val="28"/>
          <w:szCs w:val="20"/>
          <w:highlight w:val="none"/>
          <w:lang w:val="en-US" w:eastAsia="zh-CN"/>
        </w:rPr>
        <w:t>3-3测流亭1</w:t>
      </w:r>
    </w:p>
    <w:p w14:paraId="37CFFE54">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①</w:t>
      </w:r>
      <w:r>
        <w:rPr>
          <w:rFonts w:hint="eastAsia" w:ascii="宋体" w:hAnsi="宋体" w:eastAsia="宋体" w:cs="宋体"/>
          <w:color w:val="auto"/>
          <w:sz w:val="24"/>
          <w:szCs w:val="24"/>
          <w:highlight w:val="none"/>
          <w:lang w:val="en-US" w:eastAsia="zh-CN"/>
        </w:rPr>
        <w:t>外墙面铲除并清理29.39m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lang w:val="en-US" w:eastAsia="zh-CN"/>
        </w:rPr>
        <w:t>；</w:t>
      </w:r>
    </w:p>
    <w:p w14:paraId="47726888">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②</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lang w:val="en-US" w:eastAsia="zh-CN"/>
        </w:rPr>
        <w:t>外墙面水泥砂浆找平29.39m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vertAlign w:val="baseline"/>
          <w:lang w:val="en-US" w:eastAsia="zh-CN"/>
        </w:rPr>
        <w:t>；</w:t>
      </w:r>
    </w:p>
    <w:p w14:paraId="0B73875C">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③</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lang w:val="en-US" w:eastAsia="zh-CN"/>
        </w:rPr>
        <w:t>外墙柔性耐水腻子29.39m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vertAlign w:val="baseline"/>
          <w:lang w:val="en-US" w:eastAsia="zh-CN"/>
        </w:rPr>
        <w:t>；</w:t>
      </w:r>
    </w:p>
    <w:p w14:paraId="7E40312E">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sz w:val="24"/>
          <w:szCs w:val="24"/>
        </w:rPr>
        <w:t>④</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涂外墙涂料（丙烯酸乳胶漆两遍）29.39m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vertAlign w:val="baseline"/>
          <w:lang w:val="en-US" w:eastAsia="zh-CN"/>
        </w:rPr>
        <w:t>；</w:t>
      </w:r>
    </w:p>
    <w:p w14:paraId="5825BC7E">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5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sz w:val="24"/>
          <w:szCs w:val="24"/>
        </w:rPr>
        <w:t>⑤</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脚手架29.39m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vertAlign w:val="baseline"/>
          <w:lang w:val="en-US" w:eastAsia="zh-CN"/>
        </w:rPr>
        <w:t>；</w:t>
      </w:r>
    </w:p>
    <w:p w14:paraId="57E2E12D">
      <w:pPr>
        <w:widowControl/>
        <w:spacing w:line="360" w:lineRule="auto"/>
        <w:ind w:firstLine="480" w:firstLineChars="200"/>
        <w:jc w:val="left"/>
        <w:rPr>
          <w:rFonts w:hint="eastAsia" w:ascii="宋体" w:hAnsi="宋体" w:eastAsia="宋体" w:cs="宋体"/>
          <w:color w:val="auto"/>
          <w:sz w:val="24"/>
          <w:szCs w:val="24"/>
          <w:highlight w:val="none"/>
          <w:vertAlign w:val="superscript"/>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6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sz w:val="24"/>
          <w:szCs w:val="24"/>
        </w:rPr>
        <w:t>⑥</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渣土外运消纳0.44m</w:t>
      </w:r>
      <w:r>
        <w:rPr>
          <w:rFonts w:hint="eastAsia" w:ascii="宋体" w:hAnsi="宋体" w:eastAsia="宋体" w:cs="宋体"/>
          <w:color w:val="auto"/>
          <w:sz w:val="24"/>
          <w:szCs w:val="24"/>
          <w:highlight w:val="none"/>
          <w:vertAlign w:val="superscript"/>
          <w:lang w:val="en-US" w:eastAsia="zh-CN"/>
        </w:rPr>
        <w:t>3</w:t>
      </w:r>
      <w:r>
        <w:rPr>
          <w:rFonts w:hint="eastAsia" w:ascii="宋体" w:hAnsi="宋体" w:eastAsia="宋体" w:cs="宋体"/>
          <w:color w:val="auto"/>
          <w:sz w:val="24"/>
          <w:szCs w:val="24"/>
          <w:highlight w:val="none"/>
          <w:vertAlign w:val="baseline"/>
          <w:lang w:val="en-US" w:eastAsia="zh-CN"/>
        </w:rPr>
        <w:t>；</w:t>
      </w:r>
    </w:p>
    <w:p w14:paraId="02B1083E">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fldChar w:fldCharType="begin"/>
      </w:r>
      <w:r>
        <w:rPr>
          <w:rFonts w:hint="eastAsia" w:ascii="宋体" w:hAnsi="宋体" w:eastAsia="宋体" w:cs="宋体"/>
          <w:sz w:val="24"/>
          <w:szCs w:val="24"/>
          <w:highlight w:val="none"/>
          <w:lang w:val="en-US" w:eastAsia="zh-CN"/>
        </w:rPr>
        <w:instrText xml:space="preserve"> = 7 \* GB3 \* MERGEFORMAT </w:instrText>
      </w:r>
      <w:r>
        <w:rPr>
          <w:rFonts w:hint="eastAsia" w:ascii="宋体" w:hAnsi="宋体" w:eastAsia="宋体" w:cs="宋体"/>
          <w:sz w:val="24"/>
          <w:szCs w:val="24"/>
          <w:highlight w:val="none"/>
          <w:lang w:val="en-US" w:eastAsia="zh-CN"/>
        </w:rPr>
        <w:fldChar w:fldCharType="separate"/>
      </w:r>
      <w:r>
        <w:rPr>
          <w:rFonts w:hint="eastAsia" w:ascii="宋体" w:hAnsi="宋体" w:eastAsia="宋体" w:cs="宋体"/>
          <w:sz w:val="24"/>
          <w:szCs w:val="24"/>
        </w:rPr>
        <w:t>⑦</w:t>
      </w:r>
      <w:r>
        <w:rPr>
          <w:rFonts w:hint="eastAsia" w:ascii="宋体" w:hAnsi="宋体" w:eastAsia="宋体" w:cs="宋体"/>
          <w:sz w:val="24"/>
          <w:szCs w:val="24"/>
          <w:highlight w:val="none"/>
          <w:lang w:val="en-US" w:eastAsia="zh-CN"/>
        </w:rPr>
        <w:fldChar w:fldCharType="end"/>
      </w:r>
      <w:r>
        <w:rPr>
          <w:rFonts w:hint="eastAsia" w:ascii="宋体" w:hAnsi="宋体" w:eastAsia="宋体" w:cs="宋体"/>
          <w:sz w:val="24"/>
          <w:szCs w:val="24"/>
          <w:highlight w:val="none"/>
          <w:lang w:val="en-US" w:eastAsia="zh-CN"/>
        </w:rPr>
        <w:t>挑檐方钢油漆清除</w:t>
      </w:r>
      <w:r>
        <w:rPr>
          <w:rFonts w:hint="eastAsia" w:ascii="宋体" w:hAnsi="宋体" w:eastAsia="宋体" w:cs="宋体"/>
          <w:color w:val="auto"/>
          <w:sz w:val="24"/>
          <w:szCs w:val="24"/>
          <w:highlight w:val="none"/>
          <w:lang w:val="en-US" w:eastAsia="zh-CN"/>
        </w:rPr>
        <w:t>15.03m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lang w:val="en-US" w:eastAsia="zh-CN"/>
        </w:rPr>
        <w:t>；</w:t>
      </w:r>
    </w:p>
    <w:p w14:paraId="78CFCD4D">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8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⑧</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挑檐方钢刷底漆（一遍防锈漆）</w:t>
      </w:r>
      <w:r>
        <w:rPr>
          <w:rFonts w:hint="eastAsia" w:ascii="宋体" w:hAnsi="宋体" w:eastAsia="宋体" w:cs="宋体"/>
          <w:color w:val="auto"/>
          <w:sz w:val="24"/>
          <w:szCs w:val="24"/>
          <w:highlight w:val="none"/>
          <w:lang w:val="en-US" w:eastAsia="zh-CN"/>
        </w:rPr>
        <w:t>15.03m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lang w:val="en-US" w:eastAsia="zh-CN"/>
        </w:rPr>
        <w:t>；</w:t>
      </w:r>
    </w:p>
    <w:p w14:paraId="6A7BA616">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9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⑨</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挑檐方钢刷面漆（二遍耐酸漆）</w:t>
      </w:r>
      <w:r>
        <w:rPr>
          <w:rFonts w:hint="eastAsia" w:ascii="宋体" w:hAnsi="宋体" w:eastAsia="宋体" w:cs="宋体"/>
          <w:color w:val="auto"/>
          <w:sz w:val="24"/>
          <w:szCs w:val="24"/>
          <w:highlight w:val="none"/>
          <w:lang w:val="en-US" w:eastAsia="zh-CN"/>
        </w:rPr>
        <w:t>15.03m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lang w:val="en-US" w:eastAsia="zh-CN"/>
        </w:rPr>
        <w:t>；</w:t>
      </w:r>
    </w:p>
    <w:p w14:paraId="1419D027">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10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sz w:val="24"/>
          <w:szCs w:val="24"/>
        </w:rPr>
        <w:t>⑩</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金属门窗拆除4.24m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lang w:val="en-US" w:eastAsia="zh-CN"/>
        </w:rPr>
        <w:t>；</w:t>
      </w:r>
    </w:p>
    <w:p w14:paraId="57E310DE">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⑪</w:t>
      </w:r>
      <w:r>
        <w:rPr>
          <w:rFonts w:hint="eastAsia" w:ascii="宋体" w:hAnsi="宋体" w:eastAsia="宋体" w:cs="宋体"/>
          <w:sz w:val="24"/>
          <w:szCs w:val="24"/>
          <w:highlight w:val="none"/>
          <w:lang w:val="en-US" w:eastAsia="zh-CN"/>
        </w:rPr>
        <w:t>平开断桥铝门窗</w:t>
      </w:r>
      <w:r>
        <w:rPr>
          <w:rFonts w:hint="eastAsia" w:ascii="宋体" w:hAnsi="宋体" w:eastAsia="宋体" w:cs="宋体"/>
          <w:color w:val="auto"/>
          <w:sz w:val="24"/>
          <w:szCs w:val="24"/>
          <w:highlight w:val="none"/>
          <w:lang w:val="en-US" w:eastAsia="zh-CN"/>
        </w:rPr>
        <w:t>4.24m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lang w:val="en-US" w:eastAsia="zh-CN"/>
        </w:rPr>
        <w:t>；</w:t>
      </w:r>
    </w:p>
    <w:p w14:paraId="1C68045E">
      <w:pPr>
        <w:widowControl/>
        <w:spacing w:line="360" w:lineRule="auto"/>
        <w:ind w:firstLine="560" w:firstLineChars="200"/>
        <w:jc w:val="left"/>
        <w:rPr>
          <w:rFonts w:hint="eastAsia" w:ascii="宋体" w:hAnsi="宋体" w:eastAsia="宋体" w:cs="宋体"/>
          <w:sz w:val="28"/>
          <w:szCs w:val="20"/>
          <w:highlight w:val="none"/>
          <w:lang w:val="en-US" w:eastAsia="zh-CN"/>
        </w:rPr>
      </w:pPr>
      <w:r>
        <w:rPr>
          <w:rFonts w:hint="eastAsia" w:ascii="宋体" w:hAnsi="宋体" w:eastAsia="宋体" w:cs="宋体"/>
          <w:sz w:val="28"/>
          <w:szCs w:val="20"/>
          <w:highlight w:val="none"/>
          <w:lang w:val="en-US" w:eastAsia="zh-CN"/>
        </w:rPr>
        <w:t>3-4测流亭2</w:t>
      </w:r>
    </w:p>
    <w:p w14:paraId="7FF57685">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①</w:t>
      </w:r>
      <w:r>
        <w:rPr>
          <w:rFonts w:hint="eastAsia" w:ascii="宋体" w:hAnsi="宋体" w:eastAsia="宋体" w:cs="宋体"/>
          <w:color w:val="auto"/>
          <w:sz w:val="24"/>
          <w:szCs w:val="24"/>
          <w:highlight w:val="none"/>
          <w:lang w:val="en-US" w:eastAsia="zh-CN"/>
        </w:rPr>
        <w:t>外墙面铲除并清理13.61m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lang w:val="en-US" w:eastAsia="zh-CN"/>
        </w:rPr>
        <w:t>；</w:t>
      </w:r>
    </w:p>
    <w:p w14:paraId="17A698EE">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②</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lang w:val="en-US" w:eastAsia="zh-CN"/>
        </w:rPr>
        <w:t>外墙面水泥砂浆找平13.61m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vertAlign w:val="baseline"/>
          <w:lang w:val="en-US" w:eastAsia="zh-CN"/>
        </w:rPr>
        <w:t>；</w:t>
      </w:r>
    </w:p>
    <w:p w14:paraId="1198AB85">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③</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lang w:val="en-US" w:eastAsia="zh-CN"/>
        </w:rPr>
        <w:t>外墙柔性耐水腻子13.61m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vertAlign w:val="baseline"/>
          <w:lang w:val="en-US" w:eastAsia="zh-CN"/>
        </w:rPr>
        <w:t>；</w:t>
      </w:r>
    </w:p>
    <w:p w14:paraId="4FE18922">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sz w:val="24"/>
          <w:szCs w:val="24"/>
        </w:rPr>
        <w:t>④</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涂外墙涂料（丙烯酸乳胶漆两遍）13.61m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vertAlign w:val="baseline"/>
          <w:lang w:val="en-US" w:eastAsia="zh-CN"/>
        </w:rPr>
        <w:t>；</w:t>
      </w:r>
    </w:p>
    <w:p w14:paraId="394CAADA">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5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sz w:val="24"/>
          <w:szCs w:val="24"/>
        </w:rPr>
        <w:t>⑤</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脚手架13.61m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vertAlign w:val="baseline"/>
          <w:lang w:val="en-US" w:eastAsia="zh-CN"/>
        </w:rPr>
        <w:t>；</w:t>
      </w:r>
    </w:p>
    <w:p w14:paraId="1AEA1620">
      <w:pPr>
        <w:widowControl/>
        <w:spacing w:line="360" w:lineRule="auto"/>
        <w:ind w:firstLine="480" w:firstLineChars="200"/>
        <w:jc w:val="left"/>
        <w:rPr>
          <w:rFonts w:hint="eastAsia" w:ascii="宋体" w:hAnsi="宋体" w:eastAsia="宋体" w:cs="宋体"/>
          <w:color w:val="auto"/>
          <w:sz w:val="24"/>
          <w:szCs w:val="24"/>
          <w:highlight w:val="none"/>
          <w:vertAlign w:val="superscript"/>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6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sz w:val="24"/>
          <w:szCs w:val="24"/>
        </w:rPr>
        <w:t>⑥</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渣土外运消纳0.2m</w:t>
      </w:r>
      <w:r>
        <w:rPr>
          <w:rFonts w:hint="eastAsia" w:ascii="宋体" w:hAnsi="宋体" w:eastAsia="宋体" w:cs="宋体"/>
          <w:color w:val="auto"/>
          <w:sz w:val="24"/>
          <w:szCs w:val="24"/>
          <w:highlight w:val="none"/>
          <w:vertAlign w:val="superscript"/>
          <w:lang w:val="en-US" w:eastAsia="zh-CN"/>
        </w:rPr>
        <w:t>3</w:t>
      </w:r>
      <w:r>
        <w:rPr>
          <w:rFonts w:hint="eastAsia" w:ascii="宋体" w:hAnsi="宋体" w:eastAsia="宋体" w:cs="宋体"/>
          <w:color w:val="auto"/>
          <w:sz w:val="24"/>
          <w:szCs w:val="24"/>
          <w:highlight w:val="none"/>
          <w:vertAlign w:val="baseline"/>
          <w:lang w:val="en-US" w:eastAsia="zh-CN"/>
        </w:rPr>
        <w:t>；</w:t>
      </w:r>
    </w:p>
    <w:p w14:paraId="7C0410B3">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fldChar w:fldCharType="begin"/>
      </w:r>
      <w:r>
        <w:rPr>
          <w:rFonts w:hint="eastAsia" w:ascii="宋体" w:hAnsi="宋体" w:eastAsia="宋体" w:cs="宋体"/>
          <w:sz w:val="24"/>
          <w:szCs w:val="24"/>
          <w:highlight w:val="none"/>
          <w:lang w:val="en-US" w:eastAsia="zh-CN"/>
        </w:rPr>
        <w:instrText xml:space="preserve"> = 7 \* GB3 \* MERGEFORMAT </w:instrText>
      </w:r>
      <w:r>
        <w:rPr>
          <w:rFonts w:hint="eastAsia" w:ascii="宋体" w:hAnsi="宋体" w:eastAsia="宋体" w:cs="宋体"/>
          <w:sz w:val="24"/>
          <w:szCs w:val="24"/>
          <w:highlight w:val="none"/>
          <w:lang w:val="en-US" w:eastAsia="zh-CN"/>
        </w:rPr>
        <w:fldChar w:fldCharType="separate"/>
      </w:r>
      <w:r>
        <w:rPr>
          <w:rFonts w:hint="eastAsia" w:ascii="宋体" w:hAnsi="宋体" w:eastAsia="宋体" w:cs="宋体"/>
          <w:sz w:val="24"/>
          <w:szCs w:val="24"/>
        </w:rPr>
        <w:t>⑦</w:t>
      </w:r>
      <w:r>
        <w:rPr>
          <w:rFonts w:hint="eastAsia" w:ascii="宋体" w:hAnsi="宋体" w:eastAsia="宋体" w:cs="宋体"/>
          <w:sz w:val="24"/>
          <w:szCs w:val="24"/>
          <w:highlight w:val="none"/>
          <w:lang w:val="en-US" w:eastAsia="zh-CN"/>
        </w:rPr>
        <w:fldChar w:fldCharType="end"/>
      </w:r>
      <w:r>
        <w:rPr>
          <w:rFonts w:hint="eastAsia" w:ascii="宋体" w:hAnsi="宋体" w:eastAsia="宋体" w:cs="宋体"/>
          <w:sz w:val="24"/>
          <w:szCs w:val="24"/>
          <w:highlight w:val="none"/>
          <w:lang w:val="en-US" w:eastAsia="zh-CN"/>
        </w:rPr>
        <w:t>挑檐方钢油漆清除</w:t>
      </w:r>
      <w:r>
        <w:rPr>
          <w:rFonts w:hint="eastAsia" w:ascii="宋体" w:hAnsi="宋体" w:eastAsia="宋体" w:cs="宋体"/>
          <w:color w:val="auto"/>
          <w:sz w:val="24"/>
          <w:szCs w:val="24"/>
          <w:highlight w:val="none"/>
          <w:lang w:val="en-US" w:eastAsia="zh-CN"/>
        </w:rPr>
        <w:t>16.9m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lang w:val="en-US" w:eastAsia="zh-CN"/>
        </w:rPr>
        <w:t>；</w:t>
      </w:r>
    </w:p>
    <w:p w14:paraId="67073F03">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8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⑧</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挑檐方钢刷底漆（一遍防锈漆）</w:t>
      </w:r>
      <w:r>
        <w:rPr>
          <w:rFonts w:hint="eastAsia" w:ascii="宋体" w:hAnsi="宋体" w:eastAsia="宋体" w:cs="宋体"/>
          <w:color w:val="auto"/>
          <w:sz w:val="24"/>
          <w:szCs w:val="24"/>
          <w:highlight w:val="none"/>
          <w:lang w:val="en-US" w:eastAsia="zh-CN"/>
        </w:rPr>
        <w:t>16.9m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lang w:val="en-US" w:eastAsia="zh-CN"/>
        </w:rPr>
        <w:t>；</w:t>
      </w:r>
    </w:p>
    <w:p w14:paraId="3B6D564D">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9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⑨</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挑檐方钢刷面漆（二遍耐酸漆）</w:t>
      </w:r>
      <w:r>
        <w:rPr>
          <w:rFonts w:hint="eastAsia" w:ascii="宋体" w:hAnsi="宋体" w:eastAsia="宋体" w:cs="宋体"/>
          <w:color w:val="auto"/>
          <w:sz w:val="24"/>
          <w:szCs w:val="24"/>
          <w:highlight w:val="none"/>
          <w:lang w:val="en-US" w:eastAsia="zh-CN"/>
        </w:rPr>
        <w:t>16.9m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lang w:val="en-US" w:eastAsia="zh-CN"/>
        </w:rPr>
        <w:t>；</w:t>
      </w:r>
    </w:p>
    <w:p w14:paraId="2B654A00">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10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sz w:val="24"/>
          <w:szCs w:val="24"/>
        </w:rPr>
        <w:t>⑩</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金属门窗拆除9.79m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lang w:val="en-US" w:eastAsia="zh-CN"/>
        </w:rPr>
        <w:t>；</w:t>
      </w:r>
    </w:p>
    <w:p w14:paraId="63904CDC">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⑪</w:t>
      </w:r>
      <w:r>
        <w:rPr>
          <w:rFonts w:hint="eastAsia" w:ascii="宋体" w:hAnsi="宋体" w:eastAsia="宋体" w:cs="宋体"/>
          <w:sz w:val="24"/>
          <w:szCs w:val="24"/>
          <w:highlight w:val="none"/>
          <w:lang w:val="en-US" w:eastAsia="zh-CN"/>
        </w:rPr>
        <w:t>平开断桥铝门窗</w:t>
      </w:r>
      <w:r>
        <w:rPr>
          <w:rFonts w:hint="eastAsia" w:ascii="宋体" w:hAnsi="宋体" w:eastAsia="宋体" w:cs="宋体"/>
          <w:color w:val="auto"/>
          <w:sz w:val="24"/>
          <w:szCs w:val="24"/>
          <w:highlight w:val="none"/>
          <w:lang w:val="en-US" w:eastAsia="zh-CN"/>
        </w:rPr>
        <w:t>9.79m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lang w:val="en-US" w:eastAsia="zh-CN"/>
        </w:rPr>
        <w:t>；</w:t>
      </w:r>
    </w:p>
    <w:p w14:paraId="2CA2F7C1">
      <w:pPr>
        <w:widowControl/>
        <w:spacing w:line="360" w:lineRule="auto"/>
        <w:ind w:firstLine="560" w:firstLineChars="200"/>
        <w:jc w:val="left"/>
        <w:rPr>
          <w:rFonts w:hint="eastAsia" w:ascii="宋体" w:hAnsi="宋体" w:eastAsia="宋体" w:cs="宋体"/>
          <w:sz w:val="28"/>
          <w:szCs w:val="20"/>
          <w:highlight w:val="none"/>
          <w:lang w:val="en-US" w:eastAsia="zh-CN"/>
        </w:rPr>
      </w:pPr>
      <w:r>
        <w:rPr>
          <w:rFonts w:hint="eastAsia" w:ascii="宋体" w:hAnsi="宋体" w:eastAsia="宋体" w:cs="宋体"/>
          <w:sz w:val="28"/>
          <w:szCs w:val="20"/>
          <w:highlight w:val="none"/>
          <w:lang w:val="en-US" w:eastAsia="zh-CN"/>
        </w:rPr>
        <w:t>3-5测流亭砼连接桥栏杆粉刷</w:t>
      </w:r>
    </w:p>
    <w:p w14:paraId="75C73374">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①</w:t>
      </w:r>
      <w:r>
        <w:rPr>
          <w:rFonts w:hint="eastAsia" w:ascii="宋体" w:hAnsi="宋体" w:eastAsia="宋体" w:cs="宋体"/>
          <w:color w:val="auto"/>
          <w:sz w:val="24"/>
          <w:szCs w:val="24"/>
          <w:highlight w:val="none"/>
          <w:lang w:val="en-US" w:eastAsia="zh-CN"/>
        </w:rPr>
        <w:t>栏杆面铲除并清理19.14m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lang w:val="en-US" w:eastAsia="zh-CN"/>
        </w:rPr>
        <w:t>；</w:t>
      </w:r>
    </w:p>
    <w:p w14:paraId="154BE1AE">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栏杆</w:t>
      </w:r>
      <w:r>
        <w:rPr>
          <w:rFonts w:hint="eastAsia" w:ascii="宋体" w:hAnsi="宋体" w:eastAsia="宋体" w:cs="宋体"/>
          <w:color w:val="auto"/>
          <w:sz w:val="24"/>
          <w:szCs w:val="24"/>
          <w:highlight w:val="none"/>
          <w:lang w:val="en-US" w:eastAsia="zh-CN"/>
        </w:rPr>
        <w:t>面水泥砂浆找平19.14m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vertAlign w:val="baseline"/>
          <w:lang w:val="en-US" w:eastAsia="zh-CN"/>
        </w:rPr>
        <w:t>；</w:t>
      </w:r>
    </w:p>
    <w:p w14:paraId="626D39E6">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③</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lang w:val="en-US" w:eastAsia="zh-CN"/>
        </w:rPr>
        <w:t>栏杆面柔性耐水腻子19.14m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vertAlign w:val="baseline"/>
          <w:lang w:val="en-US" w:eastAsia="zh-CN"/>
        </w:rPr>
        <w:t>；</w:t>
      </w:r>
    </w:p>
    <w:p w14:paraId="32E717D6">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sz w:val="24"/>
          <w:szCs w:val="24"/>
        </w:rPr>
        <w:t>④</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栏杆涂外墙涂料（丙烯酸乳胶漆两遍）19.14m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vertAlign w:val="baseline"/>
          <w:lang w:val="en-US" w:eastAsia="zh-CN"/>
        </w:rPr>
        <w:t>；</w:t>
      </w:r>
    </w:p>
    <w:p w14:paraId="2222CC58">
      <w:pPr>
        <w:widowControl/>
        <w:spacing w:line="360" w:lineRule="auto"/>
        <w:ind w:firstLine="480" w:firstLineChars="200"/>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5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sz w:val="24"/>
          <w:szCs w:val="24"/>
        </w:rPr>
        <w:t>⑤</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渣土外运消纳0.29m</w:t>
      </w:r>
      <w:r>
        <w:rPr>
          <w:rFonts w:hint="eastAsia" w:ascii="宋体" w:hAnsi="宋体" w:eastAsia="宋体" w:cs="宋体"/>
          <w:color w:val="auto"/>
          <w:sz w:val="24"/>
          <w:szCs w:val="24"/>
          <w:highlight w:val="none"/>
          <w:vertAlign w:val="superscript"/>
          <w:lang w:val="en-US" w:eastAsia="zh-CN"/>
        </w:rPr>
        <w:t>3</w:t>
      </w:r>
      <w:r>
        <w:rPr>
          <w:rFonts w:hint="eastAsia" w:ascii="宋体" w:hAnsi="宋体" w:eastAsia="宋体" w:cs="宋体"/>
          <w:color w:val="auto"/>
          <w:sz w:val="24"/>
          <w:szCs w:val="24"/>
          <w:highlight w:val="none"/>
          <w:vertAlign w:val="baseline"/>
          <w:lang w:val="en-US" w:eastAsia="zh-CN"/>
        </w:rPr>
        <w:t>；</w:t>
      </w:r>
    </w:p>
    <w:p w14:paraId="10946AE9">
      <w:pPr>
        <w:widowControl/>
        <w:spacing w:line="360" w:lineRule="auto"/>
        <w:ind w:firstLine="560" w:firstLineChars="200"/>
        <w:jc w:val="left"/>
        <w:rPr>
          <w:rFonts w:hint="eastAsia" w:ascii="宋体" w:hAnsi="宋体" w:eastAsia="宋体" w:cs="宋体"/>
          <w:sz w:val="28"/>
          <w:szCs w:val="20"/>
          <w:highlight w:val="none"/>
          <w:lang w:val="en-US" w:eastAsia="zh-CN"/>
        </w:rPr>
      </w:pPr>
      <w:r>
        <w:rPr>
          <w:rFonts w:hint="eastAsia" w:ascii="宋体" w:hAnsi="宋体" w:eastAsia="宋体" w:cs="宋体"/>
          <w:sz w:val="28"/>
          <w:szCs w:val="20"/>
          <w:highlight w:val="none"/>
          <w:lang w:eastAsia="zh-CN"/>
        </w:rPr>
        <w:t>（</w:t>
      </w:r>
      <w:r>
        <w:rPr>
          <w:rFonts w:hint="eastAsia" w:ascii="宋体" w:hAnsi="宋体" w:eastAsia="宋体" w:cs="宋体"/>
          <w:sz w:val="28"/>
          <w:szCs w:val="20"/>
          <w:highlight w:val="none"/>
          <w:lang w:val="en-US" w:eastAsia="zh-CN"/>
        </w:rPr>
        <w:t>4</w:t>
      </w:r>
      <w:r>
        <w:rPr>
          <w:rFonts w:hint="eastAsia" w:ascii="宋体" w:hAnsi="宋体" w:eastAsia="宋体" w:cs="宋体"/>
          <w:sz w:val="28"/>
          <w:szCs w:val="20"/>
          <w:highlight w:val="none"/>
          <w:lang w:eastAsia="zh-CN"/>
        </w:rPr>
        <w:t>）</w:t>
      </w:r>
      <w:r>
        <w:rPr>
          <w:rFonts w:hint="eastAsia" w:ascii="宋体" w:hAnsi="宋体" w:eastAsia="宋体" w:cs="宋体"/>
          <w:sz w:val="28"/>
          <w:szCs w:val="20"/>
          <w:highlight w:val="none"/>
          <w:lang w:val="en-US" w:eastAsia="zh-CN"/>
        </w:rPr>
        <w:t>进水闸闸室</w:t>
      </w:r>
    </w:p>
    <w:p w14:paraId="3D3C2928">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①</w:t>
      </w:r>
      <w:r>
        <w:rPr>
          <w:rFonts w:hint="eastAsia" w:ascii="宋体" w:hAnsi="宋体" w:eastAsia="宋体" w:cs="宋体"/>
          <w:color w:val="auto"/>
          <w:sz w:val="24"/>
          <w:szCs w:val="24"/>
          <w:highlight w:val="none"/>
          <w:lang w:val="en-US" w:eastAsia="zh-CN"/>
        </w:rPr>
        <w:t>内墙墙面铲除并清理（水泥及混合砂浆面层）22.08m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lang w:val="en-US" w:eastAsia="zh-CN"/>
        </w:rPr>
        <w:t>；</w:t>
      </w:r>
    </w:p>
    <w:p w14:paraId="64951CE3">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②</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lang w:val="en-US" w:eastAsia="zh-CN"/>
        </w:rPr>
        <w:t>天棚抹灰层铲除并清理（石灰砂浆及粉刷石膏面）75.35m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vertAlign w:val="baseline"/>
          <w:lang w:val="en-US" w:eastAsia="zh-CN"/>
        </w:rPr>
        <w:t>；</w:t>
      </w:r>
    </w:p>
    <w:p w14:paraId="192E3FA6">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③</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lang w:val="en-US" w:eastAsia="zh-CN"/>
        </w:rPr>
        <w:t>屋面防水铲除 （防水卷材）74.52m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vertAlign w:val="baseline"/>
          <w:lang w:val="en-US" w:eastAsia="zh-CN"/>
        </w:rPr>
        <w:t>；</w:t>
      </w:r>
    </w:p>
    <w:p w14:paraId="6884C4DC">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sz w:val="24"/>
          <w:szCs w:val="24"/>
        </w:rPr>
        <w:t>④</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屋面找平层拆除 （水泥砂浆）74.52m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vertAlign w:val="baseline"/>
          <w:lang w:val="en-US" w:eastAsia="zh-CN"/>
        </w:rPr>
        <w:t>；</w:t>
      </w:r>
    </w:p>
    <w:p w14:paraId="37B6D49D">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5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sz w:val="24"/>
          <w:szCs w:val="24"/>
        </w:rPr>
        <w:t>⑤</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屋面面层拆除 （块料面层）75.35m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vertAlign w:val="baseline"/>
          <w:lang w:val="en-US" w:eastAsia="zh-CN"/>
        </w:rPr>
        <w:t>；</w:t>
      </w:r>
    </w:p>
    <w:p w14:paraId="2DDCD47D">
      <w:pPr>
        <w:widowControl/>
        <w:spacing w:line="360" w:lineRule="auto"/>
        <w:ind w:firstLine="480" w:firstLineChars="200"/>
        <w:jc w:val="left"/>
        <w:rPr>
          <w:rFonts w:hint="eastAsia" w:ascii="宋体" w:hAnsi="宋体" w:eastAsia="宋体" w:cs="宋体"/>
          <w:color w:val="auto"/>
          <w:sz w:val="24"/>
          <w:szCs w:val="24"/>
          <w:highlight w:val="none"/>
          <w:vertAlign w:val="superscript"/>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6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sz w:val="24"/>
          <w:szCs w:val="24"/>
        </w:rPr>
        <w:t>⑥</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内墙抹灰面油漆 （耐水腻子两遍）110.39m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vertAlign w:val="baseline"/>
          <w:lang w:val="en-US" w:eastAsia="zh-CN"/>
        </w:rPr>
        <w:t>；</w:t>
      </w:r>
    </w:p>
    <w:p w14:paraId="385BCAF4">
      <w:pPr>
        <w:widowControl/>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fldChar w:fldCharType="begin"/>
      </w:r>
      <w:r>
        <w:rPr>
          <w:rFonts w:hint="eastAsia" w:ascii="宋体" w:hAnsi="宋体" w:eastAsia="宋体" w:cs="宋体"/>
          <w:sz w:val="24"/>
          <w:szCs w:val="24"/>
          <w:highlight w:val="none"/>
          <w:lang w:val="en-US" w:eastAsia="zh-CN"/>
        </w:rPr>
        <w:instrText xml:space="preserve"> = 7 \* GB3 \* MERGEFORMAT </w:instrText>
      </w:r>
      <w:r>
        <w:rPr>
          <w:rFonts w:hint="eastAsia" w:ascii="宋体" w:hAnsi="宋体" w:eastAsia="宋体" w:cs="宋体"/>
          <w:sz w:val="24"/>
          <w:szCs w:val="24"/>
          <w:highlight w:val="none"/>
          <w:lang w:val="en-US" w:eastAsia="zh-CN"/>
        </w:rPr>
        <w:fldChar w:fldCharType="separate"/>
      </w:r>
      <w:r>
        <w:rPr>
          <w:rFonts w:hint="eastAsia" w:ascii="宋体" w:hAnsi="宋体" w:eastAsia="宋体" w:cs="宋体"/>
          <w:sz w:val="24"/>
          <w:szCs w:val="24"/>
        </w:rPr>
        <w:t>⑦</w:t>
      </w:r>
      <w:r>
        <w:rPr>
          <w:rFonts w:hint="eastAsia" w:ascii="宋体" w:hAnsi="宋体" w:eastAsia="宋体" w:cs="宋体"/>
          <w:sz w:val="24"/>
          <w:szCs w:val="24"/>
          <w:highlight w:val="none"/>
          <w:lang w:val="en-US" w:eastAsia="zh-CN"/>
        </w:rPr>
        <w:fldChar w:fldCharType="end"/>
      </w:r>
      <w:r>
        <w:rPr>
          <w:rFonts w:hint="eastAsia" w:ascii="宋体" w:hAnsi="宋体" w:eastAsia="宋体" w:cs="宋体"/>
          <w:sz w:val="24"/>
          <w:szCs w:val="24"/>
          <w:highlight w:val="none"/>
          <w:lang w:val="en-US" w:eastAsia="zh-CN"/>
        </w:rPr>
        <w:t>内墙面层涂料（乳胶漆 二遍）</w:t>
      </w:r>
      <w:r>
        <w:rPr>
          <w:rFonts w:hint="eastAsia" w:ascii="宋体" w:hAnsi="宋体" w:eastAsia="宋体" w:cs="宋体"/>
          <w:color w:val="auto"/>
          <w:sz w:val="24"/>
          <w:szCs w:val="24"/>
          <w:highlight w:val="none"/>
          <w:lang w:val="en-US" w:eastAsia="zh-CN"/>
        </w:rPr>
        <w:t>110.39m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lang w:val="en-US" w:eastAsia="zh-CN"/>
        </w:rPr>
        <w:t>；</w:t>
      </w:r>
    </w:p>
    <w:p w14:paraId="7AE1DFB7">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8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⑧</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天棚面刮腻子 （二遍）</w:t>
      </w:r>
      <w:r>
        <w:rPr>
          <w:rFonts w:hint="eastAsia" w:ascii="宋体" w:hAnsi="宋体" w:eastAsia="宋体" w:cs="宋体"/>
          <w:color w:val="auto"/>
          <w:sz w:val="24"/>
          <w:szCs w:val="24"/>
          <w:highlight w:val="none"/>
          <w:lang w:val="en-US" w:eastAsia="zh-CN"/>
        </w:rPr>
        <w:t>75.35m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lang w:val="en-US" w:eastAsia="zh-CN"/>
        </w:rPr>
        <w:t>；</w:t>
      </w:r>
    </w:p>
    <w:p w14:paraId="22495B51">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9 \* GB3 \* MERGEFORMAT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⑨</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天棚面喷刷涂料 （丙烯酸乳胶漆 二遍）</w:t>
      </w:r>
      <w:r>
        <w:rPr>
          <w:rFonts w:hint="eastAsia" w:ascii="宋体" w:hAnsi="宋体" w:eastAsia="宋体" w:cs="宋体"/>
          <w:color w:val="auto"/>
          <w:sz w:val="24"/>
          <w:szCs w:val="24"/>
          <w:highlight w:val="none"/>
          <w:lang w:val="en-US" w:eastAsia="zh-CN"/>
        </w:rPr>
        <w:t>75.35m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lang w:val="en-US" w:eastAsia="zh-CN"/>
        </w:rPr>
        <w:t>；</w:t>
      </w:r>
    </w:p>
    <w:p w14:paraId="2784ACF7">
      <w:pPr>
        <w:widowControl/>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10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sz w:val="24"/>
          <w:szCs w:val="24"/>
        </w:rPr>
        <w:t>⑩</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屋面找平层 （细石混凝土 厚度30mm）75.35m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lang w:val="en-US" w:eastAsia="zh-CN"/>
        </w:rPr>
        <w:t>；</w:t>
      </w:r>
    </w:p>
    <w:p w14:paraId="09DB4DBD">
      <w:pPr>
        <w:widowControl/>
        <w:spacing w:line="360" w:lineRule="auto"/>
        <w:ind w:firstLine="480" w:firstLineChars="200"/>
        <w:jc w:val="left"/>
        <w:rPr>
          <w:rFonts w:hint="eastAsia" w:ascii="宋体" w:hAnsi="宋体" w:eastAsia="宋体" w:cs="宋体"/>
          <w:color w:val="auto"/>
          <w:szCs w:val="22"/>
          <w:highlight w:val="none"/>
          <w:lang w:val="en-US" w:eastAsia="zh-CN"/>
        </w:rPr>
      </w:pPr>
      <w:r>
        <w:rPr>
          <w:rFonts w:hint="eastAsia" w:ascii="宋体" w:hAnsi="宋体" w:eastAsia="宋体" w:cs="宋体"/>
          <w:sz w:val="24"/>
          <w:szCs w:val="24"/>
          <w:highlight w:val="none"/>
        </w:rPr>
        <w:t>⑪</w:t>
      </w:r>
      <w:r>
        <w:rPr>
          <w:rFonts w:hint="eastAsia" w:ascii="宋体" w:hAnsi="宋体" w:eastAsia="宋体" w:cs="宋体"/>
          <w:sz w:val="24"/>
          <w:szCs w:val="24"/>
          <w:highlight w:val="none"/>
          <w:lang w:val="en-US" w:eastAsia="zh-CN"/>
        </w:rPr>
        <w:t>屋面防水 （双层SBS改性沥青防水卷材）</w:t>
      </w:r>
      <w:r>
        <w:rPr>
          <w:rFonts w:hint="eastAsia" w:ascii="宋体" w:hAnsi="宋体" w:eastAsia="宋体" w:cs="宋体"/>
          <w:color w:val="auto"/>
          <w:sz w:val="24"/>
          <w:szCs w:val="24"/>
          <w:highlight w:val="none"/>
          <w:lang w:val="en-US" w:eastAsia="zh-CN"/>
        </w:rPr>
        <w:t>110.05m</w:t>
      </w:r>
      <w:r>
        <w:rPr>
          <w:rFonts w:hint="eastAsia" w:ascii="宋体" w:hAnsi="宋体" w:eastAsia="宋体" w:cs="宋体"/>
          <w:color w:val="auto"/>
          <w:sz w:val="24"/>
          <w:szCs w:val="24"/>
          <w:highlight w:val="none"/>
          <w:vertAlign w:val="superscript"/>
          <w:lang w:val="en-US" w:eastAsia="zh-CN"/>
        </w:rPr>
        <w:t>2</w:t>
      </w:r>
      <w:r>
        <w:rPr>
          <w:rFonts w:hint="eastAsia" w:ascii="宋体" w:hAnsi="宋体" w:eastAsia="宋体" w:cs="宋体"/>
          <w:color w:val="auto"/>
          <w:sz w:val="24"/>
          <w:szCs w:val="24"/>
          <w:highlight w:val="none"/>
          <w:lang w:val="en-US" w:eastAsia="zh-CN"/>
        </w:rPr>
        <w:t>。</w:t>
      </w:r>
    </w:p>
    <w:p w14:paraId="1D5EB926">
      <w:pPr>
        <w:widowControl/>
        <w:spacing w:line="360" w:lineRule="auto"/>
        <w:rPr>
          <w:rFonts w:hint="eastAsia" w:ascii="宋体" w:hAnsi="宋体" w:eastAsia="宋体" w:cs="宋体"/>
          <w:sz w:val="28"/>
          <w:szCs w:val="20"/>
          <w:highlight w:val="none"/>
        </w:rPr>
      </w:pPr>
      <w:r>
        <w:rPr>
          <w:rFonts w:hint="eastAsia" w:ascii="宋体" w:hAnsi="宋体" w:eastAsia="宋体" w:cs="宋体"/>
          <w:sz w:val="28"/>
          <w:szCs w:val="20"/>
          <w:highlight w:val="none"/>
          <w:lang w:val="en-US" w:eastAsia="zh-CN"/>
        </w:rPr>
        <w:t>3</w:t>
      </w:r>
      <w:r>
        <w:rPr>
          <w:rFonts w:hint="eastAsia" w:ascii="宋体" w:hAnsi="宋体" w:eastAsia="宋体" w:cs="宋体"/>
          <w:sz w:val="28"/>
          <w:szCs w:val="20"/>
          <w:highlight w:val="none"/>
        </w:rPr>
        <w:t>、主要工程量</w:t>
      </w:r>
    </w:p>
    <w:p w14:paraId="150691AF">
      <w:pPr>
        <w:pStyle w:val="13"/>
        <w:rPr>
          <w:rFonts w:hint="eastAsia" w:ascii="宋体" w:hAnsi="宋体" w:eastAsia="宋体" w:cs="宋体"/>
          <w:sz w:val="21"/>
          <w:szCs w:val="21"/>
        </w:rPr>
      </w:pPr>
      <w:r>
        <w:rPr>
          <w:rFonts w:hint="eastAsia" w:ascii="宋体" w:hAnsi="宋体" w:eastAsia="宋体" w:cs="宋体"/>
          <w:sz w:val="21"/>
          <w:szCs w:val="21"/>
        </w:rPr>
        <w:t>表</w:t>
      </w:r>
      <w:r>
        <w:rPr>
          <w:rFonts w:hint="eastAsia" w:ascii="宋体" w:hAnsi="宋体" w:eastAsia="宋体" w:cs="宋体"/>
          <w:sz w:val="21"/>
          <w:szCs w:val="21"/>
          <w:lang w:val="en-US" w:eastAsia="zh-CN"/>
        </w:rPr>
        <w:t>1-6</w:t>
      </w:r>
      <w:r>
        <w:rPr>
          <w:rFonts w:hint="eastAsia" w:ascii="宋体" w:hAnsi="宋体" w:eastAsia="宋体" w:cs="宋体"/>
          <w:sz w:val="21"/>
          <w:szCs w:val="21"/>
        </w:rPr>
        <w:t xml:space="preserve">  主要工程量表</w:t>
      </w:r>
    </w:p>
    <w:tbl>
      <w:tblPr>
        <w:tblStyle w:val="16"/>
        <w:tblW w:w="0" w:type="auto"/>
        <w:tblInd w:w="0" w:type="dxa"/>
        <w:tblLayout w:type="fixed"/>
        <w:tblCellMar>
          <w:top w:w="0" w:type="dxa"/>
          <w:left w:w="108" w:type="dxa"/>
          <w:bottom w:w="0" w:type="dxa"/>
          <w:right w:w="108" w:type="dxa"/>
        </w:tblCellMar>
      </w:tblPr>
      <w:tblGrid>
        <w:gridCol w:w="929"/>
        <w:gridCol w:w="2674"/>
        <w:gridCol w:w="719"/>
        <w:gridCol w:w="1169"/>
        <w:gridCol w:w="3061"/>
      </w:tblGrid>
      <w:tr w14:paraId="5694C923">
        <w:tblPrEx>
          <w:tblCellMar>
            <w:top w:w="0" w:type="dxa"/>
            <w:left w:w="108" w:type="dxa"/>
            <w:bottom w:w="0" w:type="dxa"/>
            <w:right w:w="108" w:type="dxa"/>
          </w:tblCellMar>
        </w:tblPrEx>
        <w:trPr>
          <w:trHeight w:val="399" w:hRule="atLeast"/>
          <w:tblHeader/>
        </w:trPr>
        <w:tc>
          <w:tcPr>
            <w:tcW w:w="929" w:type="dxa"/>
            <w:tcBorders>
              <w:top w:val="single" w:color="000000" w:sz="4" w:space="0"/>
              <w:left w:val="single" w:color="000000" w:sz="4" w:space="0"/>
              <w:bottom w:val="single" w:color="000000" w:sz="4" w:space="0"/>
              <w:right w:val="single" w:color="000000" w:sz="4" w:space="0"/>
            </w:tcBorders>
            <w:noWrap w:val="0"/>
            <w:vAlign w:val="center"/>
          </w:tcPr>
          <w:p w14:paraId="674FCB71">
            <w:pPr>
              <w:widowControl/>
              <w:ind w:left="0" w:leftChars="0" w:firstLine="0" w:firstLineChars="0"/>
              <w:jc w:val="center"/>
              <w:textAlignment w:val="bottom"/>
              <w:rPr>
                <w:rStyle w:val="47"/>
                <w:rFonts w:hint="eastAsia" w:ascii="宋体" w:hAnsi="宋体" w:eastAsia="宋体" w:cs="宋体"/>
                <w:b/>
                <w:bCs/>
                <w:sz w:val="21"/>
                <w:szCs w:val="21"/>
                <w:lang w:bidi="ar"/>
              </w:rPr>
            </w:pPr>
            <w:r>
              <w:rPr>
                <w:rStyle w:val="47"/>
                <w:rFonts w:hint="eastAsia" w:ascii="宋体" w:hAnsi="宋体" w:eastAsia="宋体" w:cs="宋体"/>
                <w:b/>
                <w:bCs/>
                <w:sz w:val="21"/>
                <w:szCs w:val="21"/>
                <w:lang w:bidi="ar"/>
              </w:rPr>
              <w:t>编号</w:t>
            </w:r>
          </w:p>
        </w:tc>
        <w:tc>
          <w:tcPr>
            <w:tcW w:w="2674" w:type="dxa"/>
            <w:tcBorders>
              <w:top w:val="single" w:color="000000" w:sz="4" w:space="0"/>
              <w:left w:val="single" w:color="000000" w:sz="4" w:space="0"/>
              <w:bottom w:val="single" w:color="000000" w:sz="4" w:space="0"/>
              <w:right w:val="single" w:color="000000" w:sz="4" w:space="0"/>
            </w:tcBorders>
            <w:noWrap w:val="0"/>
            <w:vAlign w:val="center"/>
          </w:tcPr>
          <w:p w14:paraId="1B88547B">
            <w:pPr>
              <w:widowControl/>
              <w:ind w:left="0" w:leftChars="0" w:firstLine="0" w:firstLineChars="0"/>
              <w:jc w:val="center"/>
              <w:textAlignment w:val="bottom"/>
              <w:rPr>
                <w:rStyle w:val="47"/>
                <w:rFonts w:hint="eastAsia" w:ascii="宋体" w:hAnsi="宋体" w:eastAsia="宋体" w:cs="宋体"/>
                <w:b/>
                <w:bCs/>
                <w:sz w:val="21"/>
                <w:szCs w:val="21"/>
                <w:lang w:val="en-US" w:eastAsia="zh-CN" w:bidi="ar"/>
              </w:rPr>
            </w:pPr>
            <w:r>
              <w:rPr>
                <w:rStyle w:val="47"/>
                <w:rFonts w:hint="eastAsia" w:ascii="宋体" w:hAnsi="宋体" w:eastAsia="宋体" w:cs="宋体"/>
                <w:b/>
                <w:bCs/>
                <w:sz w:val="21"/>
                <w:szCs w:val="21"/>
                <w:lang w:val="en-US" w:eastAsia="zh-CN" w:bidi="ar"/>
              </w:rPr>
              <w:t>项目</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6692F1EE">
            <w:pPr>
              <w:widowControl/>
              <w:ind w:left="0" w:leftChars="0" w:firstLine="0" w:firstLineChars="0"/>
              <w:jc w:val="center"/>
              <w:textAlignment w:val="center"/>
              <w:rPr>
                <w:rFonts w:hint="eastAsia" w:ascii="宋体" w:hAnsi="宋体" w:eastAsia="宋体" w:cs="宋体"/>
                <w:b/>
                <w:bCs/>
                <w:color w:val="000000"/>
                <w:sz w:val="21"/>
                <w:szCs w:val="21"/>
              </w:rPr>
            </w:pPr>
            <w:r>
              <w:rPr>
                <w:rFonts w:hint="eastAsia" w:ascii="宋体" w:hAnsi="宋体" w:eastAsia="宋体" w:cs="宋体"/>
                <w:b/>
                <w:bCs/>
                <w:kern w:val="0"/>
                <w:sz w:val="21"/>
                <w:szCs w:val="21"/>
                <w:highlight w:val="none"/>
                <w:lang w:val="en-US" w:eastAsia="zh-CN"/>
              </w:rPr>
              <w:t>单</w:t>
            </w:r>
            <w:r>
              <w:rPr>
                <w:rFonts w:hint="eastAsia" w:ascii="宋体" w:hAnsi="宋体" w:eastAsia="宋体" w:cs="宋体"/>
                <w:b/>
                <w:bCs/>
                <w:color w:val="000000"/>
                <w:kern w:val="0"/>
                <w:sz w:val="21"/>
                <w:szCs w:val="21"/>
                <w:lang w:bidi="ar"/>
              </w:rPr>
              <w:t>位</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03FF3E9D">
            <w:pPr>
              <w:widowControl/>
              <w:ind w:left="0" w:leftChars="0" w:firstLine="0" w:firstLineChars="0"/>
              <w:jc w:val="center"/>
              <w:textAlignment w:val="bottom"/>
              <w:rPr>
                <w:rStyle w:val="47"/>
                <w:rFonts w:hint="eastAsia" w:ascii="宋体" w:hAnsi="宋体" w:eastAsia="宋体" w:cs="宋体"/>
                <w:b/>
                <w:bCs/>
                <w:sz w:val="21"/>
                <w:szCs w:val="21"/>
                <w:lang w:val="en-US" w:eastAsia="zh-CN" w:bidi="ar"/>
              </w:rPr>
            </w:pPr>
            <w:r>
              <w:rPr>
                <w:rStyle w:val="47"/>
                <w:rFonts w:hint="eastAsia" w:ascii="宋体" w:hAnsi="宋体" w:eastAsia="宋体" w:cs="宋体"/>
                <w:b/>
                <w:bCs/>
                <w:sz w:val="21"/>
                <w:szCs w:val="21"/>
                <w:lang w:val="en-US" w:eastAsia="zh-CN" w:bidi="ar"/>
              </w:rPr>
              <w:t>工程量</w:t>
            </w:r>
          </w:p>
        </w:tc>
        <w:tc>
          <w:tcPr>
            <w:tcW w:w="3061" w:type="dxa"/>
            <w:tcBorders>
              <w:top w:val="single" w:color="000000" w:sz="4" w:space="0"/>
              <w:left w:val="single" w:color="000000" w:sz="4" w:space="0"/>
              <w:bottom w:val="single" w:color="000000" w:sz="4" w:space="0"/>
              <w:right w:val="single" w:color="000000" w:sz="4" w:space="0"/>
            </w:tcBorders>
            <w:noWrap w:val="0"/>
            <w:vAlign w:val="center"/>
          </w:tcPr>
          <w:p w14:paraId="106705D1">
            <w:pPr>
              <w:widowControl/>
              <w:ind w:left="0" w:leftChars="0" w:firstLine="0" w:firstLineChars="0"/>
              <w:jc w:val="center"/>
              <w:textAlignment w:val="bottom"/>
              <w:rPr>
                <w:rStyle w:val="47"/>
                <w:rFonts w:hint="eastAsia" w:ascii="宋体" w:hAnsi="宋体" w:eastAsia="宋体" w:cs="宋体"/>
                <w:b/>
                <w:bCs/>
                <w:sz w:val="21"/>
                <w:szCs w:val="21"/>
                <w:lang w:val="en-US" w:eastAsia="zh-CN" w:bidi="ar"/>
              </w:rPr>
            </w:pPr>
            <w:r>
              <w:rPr>
                <w:rStyle w:val="47"/>
                <w:rFonts w:hint="eastAsia" w:ascii="宋体" w:hAnsi="宋体" w:eastAsia="宋体" w:cs="宋体"/>
                <w:b/>
                <w:bCs/>
                <w:sz w:val="21"/>
                <w:szCs w:val="21"/>
                <w:lang w:val="en-US" w:eastAsia="zh-CN" w:bidi="ar"/>
              </w:rPr>
              <w:t>备注</w:t>
            </w:r>
          </w:p>
        </w:tc>
      </w:tr>
      <w:tr w14:paraId="58B85A6F">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noWrap w:val="0"/>
            <w:vAlign w:val="center"/>
          </w:tcPr>
          <w:p w14:paraId="6FEECA3A">
            <w:pPr>
              <w:widowControl/>
              <w:ind w:left="0" w:leftChars="0" w:firstLine="0" w:firstLineChars="0"/>
              <w:jc w:val="center"/>
              <w:textAlignment w:val="bottom"/>
              <w:rPr>
                <w:rStyle w:val="47"/>
                <w:rFonts w:hint="eastAsia" w:ascii="宋体" w:hAnsi="宋体" w:eastAsia="宋体" w:cs="宋体"/>
                <w:b/>
                <w:bCs/>
                <w:sz w:val="21"/>
                <w:szCs w:val="21"/>
                <w:lang w:bidi="ar"/>
              </w:rPr>
            </w:pPr>
            <w:r>
              <w:rPr>
                <w:rStyle w:val="47"/>
                <w:rFonts w:hint="eastAsia" w:ascii="宋体" w:hAnsi="宋体" w:eastAsia="宋体" w:cs="宋体"/>
                <w:b/>
                <w:bCs/>
                <w:sz w:val="21"/>
                <w:szCs w:val="21"/>
                <w:lang w:val="en-US" w:eastAsia="zh-CN" w:bidi="ar"/>
              </w:rPr>
              <w:t>(1)</w:t>
            </w:r>
          </w:p>
        </w:tc>
        <w:tc>
          <w:tcPr>
            <w:tcW w:w="2674" w:type="dxa"/>
            <w:tcBorders>
              <w:top w:val="single" w:color="000000" w:sz="4" w:space="0"/>
              <w:left w:val="single" w:color="000000" w:sz="4" w:space="0"/>
              <w:bottom w:val="single" w:color="000000" w:sz="4" w:space="0"/>
              <w:right w:val="single" w:color="000000" w:sz="4" w:space="0"/>
            </w:tcBorders>
            <w:noWrap w:val="0"/>
            <w:vAlign w:val="center"/>
          </w:tcPr>
          <w:p w14:paraId="13448F09">
            <w:pPr>
              <w:widowControl/>
              <w:ind w:left="0" w:leftChars="0" w:firstLine="0" w:firstLineChars="0"/>
              <w:jc w:val="left"/>
              <w:textAlignment w:val="bottom"/>
              <w:rPr>
                <w:rStyle w:val="47"/>
                <w:rFonts w:hint="eastAsia" w:ascii="宋体" w:hAnsi="宋体" w:eastAsia="宋体" w:cs="宋体"/>
                <w:b/>
                <w:bCs/>
                <w:sz w:val="21"/>
                <w:szCs w:val="21"/>
                <w:lang w:val="en-US" w:eastAsia="zh-CN" w:bidi="ar"/>
              </w:rPr>
            </w:pPr>
            <w:r>
              <w:rPr>
                <w:rStyle w:val="47"/>
                <w:rFonts w:hint="eastAsia" w:ascii="宋体" w:hAnsi="宋体" w:eastAsia="宋体" w:cs="宋体"/>
                <w:b/>
                <w:bCs/>
                <w:sz w:val="21"/>
                <w:szCs w:val="21"/>
                <w:lang w:val="en-US" w:eastAsia="zh-CN" w:bidi="ar"/>
              </w:rPr>
              <w:t>口头水文站</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5444F656">
            <w:pPr>
              <w:jc w:val="center"/>
              <w:rPr>
                <w:rFonts w:hint="eastAsia" w:ascii="宋体" w:hAnsi="宋体" w:eastAsia="宋体" w:cs="宋体"/>
                <w:b/>
                <w:bCs/>
                <w:color w:val="000000"/>
                <w:sz w:val="21"/>
                <w:szCs w:val="21"/>
              </w:rPr>
            </w:pP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28D6CEC8">
            <w:pPr>
              <w:widowControl/>
              <w:ind w:left="0" w:leftChars="0" w:firstLine="0" w:firstLineChars="0"/>
              <w:jc w:val="center"/>
              <w:textAlignment w:val="bottom"/>
              <w:rPr>
                <w:rStyle w:val="47"/>
                <w:rFonts w:hint="eastAsia" w:ascii="宋体" w:hAnsi="宋体" w:eastAsia="宋体" w:cs="宋体"/>
                <w:b/>
                <w:bCs/>
                <w:sz w:val="21"/>
                <w:szCs w:val="21"/>
                <w:lang w:val="en-US" w:eastAsia="zh-CN" w:bidi="ar"/>
              </w:rPr>
            </w:pPr>
          </w:p>
        </w:tc>
        <w:tc>
          <w:tcPr>
            <w:tcW w:w="3061" w:type="dxa"/>
            <w:tcBorders>
              <w:top w:val="single" w:color="000000" w:sz="4" w:space="0"/>
              <w:left w:val="single" w:color="000000" w:sz="4" w:space="0"/>
              <w:bottom w:val="single" w:color="000000" w:sz="4" w:space="0"/>
              <w:right w:val="single" w:color="000000" w:sz="4" w:space="0"/>
            </w:tcBorders>
            <w:noWrap w:val="0"/>
            <w:vAlign w:val="center"/>
          </w:tcPr>
          <w:p w14:paraId="1D68A1C1">
            <w:pPr>
              <w:widowControl/>
              <w:ind w:left="0" w:leftChars="0" w:firstLine="0" w:firstLineChars="0"/>
              <w:jc w:val="left"/>
              <w:textAlignment w:val="bottom"/>
              <w:rPr>
                <w:rStyle w:val="47"/>
                <w:rFonts w:hint="eastAsia" w:ascii="宋体" w:hAnsi="宋体" w:eastAsia="宋体" w:cs="宋体"/>
                <w:b/>
                <w:bCs/>
                <w:sz w:val="21"/>
                <w:szCs w:val="21"/>
                <w:lang w:val="en-US" w:eastAsia="zh-CN" w:bidi="ar"/>
              </w:rPr>
            </w:pPr>
          </w:p>
        </w:tc>
      </w:tr>
      <w:tr w14:paraId="60342A49">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noWrap w:val="0"/>
            <w:vAlign w:val="center"/>
          </w:tcPr>
          <w:p w14:paraId="14434D16">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①</w:t>
            </w:r>
          </w:p>
        </w:tc>
        <w:tc>
          <w:tcPr>
            <w:tcW w:w="2674" w:type="dxa"/>
            <w:tcBorders>
              <w:top w:val="single" w:color="000000" w:sz="4" w:space="0"/>
              <w:left w:val="single" w:color="000000" w:sz="4" w:space="0"/>
              <w:bottom w:val="single" w:color="000000" w:sz="4" w:space="0"/>
              <w:right w:val="single" w:color="000000" w:sz="4" w:space="0"/>
            </w:tcBorders>
            <w:noWrap w:val="0"/>
            <w:vAlign w:val="center"/>
          </w:tcPr>
          <w:p w14:paraId="7111A820">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金属窗拆除</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0A0FFCEA">
            <w:pPr>
              <w:keepNext w:val="0"/>
              <w:keepLines w:val="0"/>
              <w:widowControl/>
              <w:suppressLineNumbers w:val="0"/>
              <w:ind w:left="0" w:lef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04AAA178">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49.48 </w:t>
            </w:r>
          </w:p>
        </w:tc>
        <w:tc>
          <w:tcPr>
            <w:tcW w:w="3061" w:type="dxa"/>
            <w:tcBorders>
              <w:top w:val="single" w:color="000000" w:sz="4" w:space="0"/>
              <w:left w:val="single" w:color="000000" w:sz="4" w:space="0"/>
              <w:bottom w:val="single" w:color="000000" w:sz="4" w:space="0"/>
              <w:right w:val="single" w:color="000000" w:sz="4" w:space="0"/>
            </w:tcBorders>
            <w:noWrap w:val="0"/>
            <w:vAlign w:val="center"/>
          </w:tcPr>
          <w:p w14:paraId="4CEC49E4">
            <w:pPr>
              <w:widowControl/>
              <w:ind w:left="0" w:leftChars="0" w:firstLine="0" w:firstLineChars="0"/>
              <w:jc w:val="left"/>
              <w:textAlignment w:val="bottom"/>
              <w:rPr>
                <w:rStyle w:val="47"/>
                <w:rFonts w:hint="eastAsia" w:ascii="宋体" w:hAnsi="宋体" w:eastAsia="宋体" w:cs="宋体"/>
                <w:sz w:val="21"/>
                <w:szCs w:val="21"/>
                <w:lang w:val="en-US" w:eastAsia="zh-CN" w:bidi="ar"/>
              </w:rPr>
            </w:pPr>
          </w:p>
        </w:tc>
      </w:tr>
      <w:tr w14:paraId="04FB2EBF">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noWrap w:val="0"/>
            <w:vAlign w:val="center"/>
          </w:tcPr>
          <w:p w14:paraId="559F3C7F">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②</w:t>
            </w:r>
          </w:p>
        </w:tc>
        <w:tc>
          <w:tcPr>
            <w:tcW w:w="2674" w:type="dxa"/>
            <w:tcBorders>
              <w:top w:val="single" w:color="000000" w:sz="4" w:space="0"/>
              <w:left w:val="single" w:color="000000" w:sz="4" w:space="0"/>
              <w:bottom w:val="single" w:color="000000" w:sz="4" w:space="0"/>
              <w:right w:val="single" w:color="000000" w:sz="4" w:space="0"/>
            </w:tcBorders>
            <w:noWrap w:val="0"/>
            <w:vAlign w:val="center"/>
          </w:tcPr>
          <w:p w14:paraId="1C6C3D85">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金属纱窗拆除</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32272F92">
            <w:pPr>
              <w:keepNext w:val="0"/>
              <w:keepLines w:val="0"/>
              <w:widowControl/>
              <w:suppressLineNumbers w:val="0"/>
              <w:ind w:left="0" w:lef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4CA0844B">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49.48 </w:t>
            </w:r>
          </w:p>
        </w:tc>
        <w:tc>
          <w:tcPr>
            <w:tcW w:w="3061" w:type="dxa"/>
            <w:tcBorders>
              <w:top w:val="single" w:color="000000" w:sz="4" w:space="0"/>
              <w:left w:val="single" w:color="000000" w:sz="4" w:space="0"/>
              <w:bottom w:val="single" w:color="000000" w:sz="4" w:space="0"/>
              <w:right w:val="single" w:color="000000" w:sz="4" w:space="0"/>
            </w:tcBorders>
            <w:noWrap w:val="0"/>
            <w:vAlign w:val="center"/>
          </w:tcPr>
          <w:p w14:paraId="76701C35">
            <w:pPr>
              <w:widowControl/>
              <w:ind w:left="0" w:leftChars="0" w:firstLine="0" w:firstLineChars="0"/>
              <w:jc w:val="left"/>
              <w:textAlignment w:val="bottom"/>
              <w:rPr>
                <w:rStyle w:val="47"/>
                <w:rFonts w:hint="eastAsia" w:ascii="宋体" w:hAnsi="宋体" w:eastAsia="宋体" w:cs="宋体"/>
                <w:sz w:val="21"/>
                <w:szCs w:val="21"/>
                <w:lang w:val="en-US" w:eastAsia="zh-CN" w:bidi="ar"/>
              </w:rPr>
            </w:pPr>
          </w:p>
        </w:tc>
      </w:tr>
      <w:tr w14:paraId="0F72B57F">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noWrap w:val="0"/>
            <w:vAlign w:val="center"/>
          </w:tcPr>
          <w:p w14:paraId="78C063F9">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④</w:t>
            </w:r>
          </w:p>
        </w:tc>
        <w:tc>
          <w:tcPr>
            <w:tcW w:w="2674" w:type="dxa"/>
            <w:tcBorders>
              <w:top w:val="single" w:color="000000" w:sz="4" w:space="0"/>
              <w:left w:val="single" w:color="000000" w:sz="4" w:space="0"/>
              <w:bottom w:val="single" w:color="000000" w:sz="4" w:space="0"/>
              <w:right w:val="single" w:color="000000" w:sz="4" w:space="0"/>
            </w:tcBorders>
            <w:noWrap w:val="0"/>
            <w:vAlign w:val="center"/>
          </w:tcPr>
          <w:p w14:paraId="10876926">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内墙墙面腻子及涂料层铲除并清理</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5E549E39">
            <w:pPr>
              <w:keepNext w:val="0"/>
              <w:keepLines w:val="0"/>
              <w:widowControl/>
              <w:suppressLineNumbers w:val="0"/>
              <w:ind w:left="0" w:lef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5822B806">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762.12 </w:t>
            </w:r>
          </w:p>
        </w:tc>
        <w:tc>
          <w:tcPr>
            <w:tcW w:w="3061" w:type="dxa"/>
            <w:tcBorders>
              <w:top w:val="single" w:color="000000" w:sz="4" w:space="0"/>
              <w:left w:val="single" w:color="000000" w:sz="4" w:space="0"/>
              <w:bottom w:val="single" w:color="000000" w:sz="4" w:space="0"/>
              <w:right w:val="single" w:color="000000" w:sz="4" w:space="0"/>
            </w:tcBorders>
            <w:noWrap w:val="0"/>
            <w:vAlign w:val="center"/>
          </w:tcPr>
          <w:p w14:paraId="649A79F4">
            <w:pPr>
              <w:widowControl/>
              <w:ind w:left="0" w:leftChars="0" w:firstLine="0" w:firstLineChars="0"/>
              <w:jc w:val="left"/>
              <w:textAlignment w:val="bottom"/>
              <w:rPr>
                <w:rStyle w:val="47"/>
                <w:rFonts w:hint="eastAsia" w:ascii="宋体" w:hAnsi="宋体" w:eastAsia="宋体" w:cs="宋体"/>
                <w:sz w:val="21"/>
                <w:szCs w:val="21"/>
                <w:lang w:val="en-US" w:eastAsia="zh-CN" w:bidi="ar"/>
              </w:rPr>
            </w:pPr>
          </w:p>
        </w:tc>
      </w:tr>
      <w:tr w14:paraId="293CB736">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noWrap w:val="0"/>
            <w:vAlign w:val="center"/>
          </w:tcPr>
          <w:p w14:paraId="7C322605">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⑤</w:t>
            </w:r>
          </w:p>
        </w:tc>
        <w:tc>
          <w:tcPr>
            <w:tcW w:w="2674" w:type="dxa"/>
            <w:tcBorders>
              <w:top w:val="single" w:color="000000" w:sz="4" w:space="0"/>
              <w:left w:val="single" w:color="000000" w:sz="4" w:space="0"/>
              <w:bottom w:val="single" w:color="000000" w:sz="4" w:space="0"/>
              <w:right w:val="single" w:color="000000" w:sz="4" w:space="0"/>
            </w:tcBorders>
            <w:noWrap w:val="0"/>
            <w:vAlign w:val="center"/>
          </w:tcPr>
          <w:p w14:paraId="07120159">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天棚墙面腻子及涂料层铲除并清理</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29AB330E">
            <w:pPr>
              <w:keepNext w:val="0"/>
              <w:keepLines w:val="0"/>
              <w:widowControl/>
              <w:suppressLineNumbers w:val="0"/>
              <w:ind w:left="0" w:lef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2596079F">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203.65 </w:t>
            </w:r>
          </w:p>
        </w:tc>
        <w:tc>
          <w:tcPr>
            <w:tcW w:w="3061" w:type="dxa"/>
            <w:tcBorders>
              <w:top w:val="single" w:color="000000" w:sz="4" w:space="0"/>
              <w:left w:val="single" w:color="000000" w:sz="4" w:space="0"/>
              <w:bottom w:val="single" w:color="000000" w:sz="4" w:space="0"/>
              <w:right w:val="single" w:color="000000" w:sz="4" w:space="0"/>
            </w:tcBorders>
            <w:noWrap w:val="0"/>
            <w:vAlign w:val="center"/>
          </w:tcPr>
          <w:p w14:paraId="760E23DC">
            <w:pPr>
              <w:widowControl/>
              <w:ind w:left="0" w:leftChars="0" w:firstLine="0" w:firstLineChars="0"/>
              <w:jc w:val="left"/>
              <w:textAlignment w:val="bottom"/>
              <w:rPr>
                <w:rStyle w:val="47"/>
                <w:rFonts w:hint="eastAsia" w:ascii="宋体" w:hAnsi="宋体" w:eastAsia="宋体" w:cs="宋体"/>
                <w:sz w:val="21"/>
                <w:szCs w:val="21"/>
                <w:lang w:val="en-US" w:eastAsia="zh-CN" w:bidi="ar"/>
              </w:rPr>
            </w:pPr>
          </w:p>
        </w:tc>
      </w:tr>
      <w:tr w14:paraId="642CBAD6">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noWrap w:val="0"/>
            <w:vAlign w:val="center"/>
          </w:tcPr>
          <w:p w14:paraId="38F1817F">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⑥</w:t>
            </w:r>
          </w:p>
        </w:tc>
        <w:tc>
          <w:tcPr>
            <w:tcW w:w="2674" w:type="dxa"/>
            <w:tcBorders>
              <w:top w:val="single" w:color="000000" w:sz="4" w:space="0"/>
              <w:left w:val="single" w:color="000000" w:sz="4" w:space="0"/>
              <w:bottom w:val="single" w:color="000000" w:sz="4" w:space="0"/>
              <w:right w:val="single" w:color="000000" w:sz="4" w:space="0"/>
            </w:tcBorders>
            <w:noWrap w:val="0"/>
            <w:vAlign w:val="center"/>
          </w:tcPr>
          <w:p w14:paraId="288AE1F9">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金属窗</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02960D5F">
            <w:pPr>
              <w:keepNext w:val="0"/>
              <w:keepLines w:val="0"/>
              <w:widowControl/>
              <w:suppressLineNumbers w:val="0"/>
              <w:ind w:left="0" w:lef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586F08A2">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49.48 </w:t>
            </w:r>
          </w:p>
        </w:tc>
        <w:tc>
          <w:tcPr>
            <w:tcW w:w="3061" w:type="dxa"/>
            <w:tcBorders>
              <w:top w:val="single" w:color="000000" w:sz="4" w:space="0"/>
              <w:left w:val="single" w:color="000000" w:sz="4" w:space="0"/>
              <w:bottom w:val="single" w:color="000000" w:sz="4" w:space="0"/>
              <w:right w:val="single" w:color="000000" w:sz="4" w:space="0"/>
            </w:tcBorders>
            <w:noWrap w:val="0"/>
            <w:vAlign w:val="center"/>
          </w:tcPr>
          <w:p w14:paraId="4DF91316">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（70系列断桥铝金窗 平开）</w:t>
            </w:r>
          </w:p>
        </w:tc>
      </w:tr>
      <w:tr w14:paraId="520B9B43">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noWrap w:val="0"/>
            <w:vAlign w:val="center"/>
          </w:tcPr>
          <w:p w14:paraId="132F8BB0">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⑦</w:t>
            </w:r>
          </w:p>
        </w:tc>
        <w:tc>
          <w:tcPr>
            <w:tcW w:w="2674" w:type="dxa"/>
            <w:tcBorders>
              <w:top w:val="single" w:color="000000" w:sz="4" w:space="0"/>
              <w:left w:val="single" w:color="000000" w:sz="4" w:space="0"/>
              <w:bottom w:val="single" w:color="000000" w:sz="4" w:space="0"/>
              <w:right w:val="single" w:color="000000" w:sz="4" w:space="0"/>
            </w:tcBorders>
            <w:noWrap w:val="0"/>
            <w:vAlign w:val="center"/>
          </w:tcPr>
          <w:p w14:paraId="6A158D6D">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金属窗</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217F6164">
            <w:pPr>
              <w:keepNext w:val="0"/>
              <w:keepLines w:val="0"/>
              <w:widowControl/>
              <w:suppressLineNumbers w:val="0"/>
              <w:ind w:left="0" w:lef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60B895B9">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49.48 </w:t>
            </w:r>
          </w:p>
        </w:tc>
        <w:tc>
          <w:tcPr>
            <w:tcW w:w="3061" w:type="dxa"/>
            <w:tcBorders>
              <w:top w:val="single" w:color="000000" w:sz="4" w:space="0"/>
              <w:left w:val="single" w:color="000000" w:sz="4" w:space="0"/>
              <w:bottom w:val="single" w:color="000000" w:sz="4" w:space="0"/>
              <w:right w:val="single" w:color="000000" w:sz="4" w:space="0"/>
            </w:tcBorders>
            <w:noWrap w:val="0"/>
            <w:vAlign w:val="center"/>
          </w:tcPr>
          <w:p w14:paraId="46A0E521">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（断桥铝百叶窗）</w:t>
            </w:r>
          </w:p>
        </w:tc>
      </w:tr>
      <w:tr w14:paraId="322A1284">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noWrap w:val="0"/>
            <w:vAlign w:val="center"/>
          </w:tcPr>
          <w:p w14:paraId="5C03CA88">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⑨</w:t>
            </w:r>
          </w:p>
        </w:tc>
        <w:tc>
          <w:tcPr>
            <w:tcW w:w="2674" w:type="dxa"/>
            <w:tcBorders>
              <w:top w:val="single" w:color="000000" w:sz="4" w:space="0"/>
              <w:left w:val="single" w:color="000000" w:sz="4" w:space="0"/>
              <w:bottom w:val="single" w:color="000000" w:sz="4" w:space="0"/>
              <w:right w:val="single" w:color="000000" w:sz="4" w:space="0"/>
            </w:tcBorders>
            <w:noWrap w:val="0"/>
            <w:vAlign w:val="center"/>
          </w:tcPr>
          <w:p w14:paraId="532C7745">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断桥铝门 </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0AAF4D69">
            <w:pPr>
              <w:keepNext w:val="0"/>
              <w:keepLines w:val="0"/>
              <w:widowControl/>
              <w:suppressLineNumbers w:val="0"/>
              <w:ind w:left="0" w:lef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1E4A3EA5">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3.02 </w:t>
            </w:r>
          </w:p>
        </w:tc>
        <w:tc>
          <w:tcPr>
            <w:tcW w:w="3061" w:type="dxa"/>
            <w:tcBorders>
              <w:top w:val="single" w:color="000000" w:sz="4" w:space="0"/>
              <w:left w:val="single" w:color="000000" w:sz="4" w:space="0"/>
              <w:bottom w:val="single" w:color="000000" w:sz="4" w:space="0"/>
              <w:right w:val="single" w:color="000000" w:sz="4" w:space="0"/>
            </w:tcBorders>
            <w:noWrap w:val="0"/>
            <w:vAlign w:val="center"/>
          </w:tcPr>
          <w:p w14:paraId="65A0FA70">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（70系列断桥铝门 平开）</w:t>
            </w:r>
          </w:p>
        </w:tc>
      </w:tr>
      <w:tr w14:paraId="22B699CE">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noWrap w:val="0"/>
            <w:vAlign w:val="center"/>
          </w:tcPr>
          <w:p w14:paraId="478E4D69">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⑩</w:t>
            </w:r>
          </w:p>
        </w:tc>
        <w:tc>
          <w:tcPr>
            <w:tcW w:w="2674" w:type="dxa"/>
            <w:tcBorders>
              <w:top w:val="single" w:color="000000" w:sz="4" w:space="0"/>
              <w:left w:val="single" w:color="000000" w:sz="4" w:space="0"/>
              <w:bottom w:val="single" w:color="000000" w:sz="4" w:space="0"/>
              <w:right w:val="single" w:color="000000" w:sz="4" w:space="0"/>
            </w:tcBorders>
            <w:noWrap w:val="0"/>
            <w:vAlign w:val="center"/>
          </w:tcPr>
          <w:p w14:paraId="625EA935">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内墙抹灰面</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161E6A76">
            <w:pPr>
              <w:keepNext w:val="0"/>
              <w:keepLines w:val="0"/>
              <w:widowControl/>
              <w:suppressLineNumbers w:val="0"/>
              <w:ind w:left="0" w:lef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0C53CE3C">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762.12 </w:t>
            </w:r>
          </w:p>
        </w:tc>
        <w:tc>
          <w:tcPr>
            <w:tcW w:w="3061" w:type="dxa"/>
            <w:tcBorders>
              <w:top w:val="single" w:color="000000" w:sz="4" w:space="0"/>
              <w:left w:val="single" w:color="000000" w:sz="4" w:space="0"/>
              <w:bottom w:val="single" w:color="000000" w:sz="4" w:space="0"/>
              <w:right w:val="single" w:color="000000" w:sz="4" w:space="0"/>
            </w:tcBorders>
            <w:noWrap w:val="0"/>
            <w:vAlign w:val="center"/>
          </w:tcPr>
          <w:p w14:paraId="0F8D02DD">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耐水腻子两遍 抹灰面）</w:t>
            </w:r>
          </w:p>
        </w:tc>
      </w:tr>
      <w:tr w14:paraId="53F06568">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noWrap w:val="0"/>
            <w:vAlign w:val="center"/>
          </w:tcPr>
          <w:p w14:paraId="0B86BB59">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⑪</w:t>
            </w:r>
          </w:p>
        </w:tc>
        <w:tc>
          <w:tcPr>
            <w:tcW w:w="2674" w:type="dxa"/>
            <w:tcBorders>
              <w:top w:val="single" w:color="000000" w:sz="4" w:space="0"/>
              <w:left w:val="single" w:color="000000" w:sz="4" w:space="0"/>
              <w:bottom w:val="single" w:color="000000" w:sz="4" w:space="0"/>
              <w:right w:val="single" w:color="000000" w:sz="4" w:space="0"/>
            </w:tcBorders>
            <w:noWrap w:val="0"/>
            <w:vAlign w:val="center"/>
          </w:tcPr>
          <w:p w14:paraId="15CFEE0D">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内墙面层涂料 </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3D19B16A">
            <w:pPr>
              <w:keepNext w:val="0"/>
              <w:keepLines w:val="0"/>
              <w:widowControl/>
              <w:suppressLineNumbers w:val="0"/>
              <w:ind w:left="0" w:lef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noWrap w:val="0"/>
            <w:vAlign w:val="center"/>
          </w:tcPr>
          <w:p w14:paraId="43671006">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762.12 </w:t>
            </w:r>
          </w:p>
        </w:tc>
        <w:tc>
          <w:tcPr>
            <w:tcW w:w="3061" w:type="dxa"/>
            <w:tcBorders>
              <w:top w:val="single" w:color="000000" w:sz="4" w:space="0"/>
              <w:left w:val="single" w:color="000000" w:sz="4" w:space="0"/>
              <w:bottom w:val="single" w:color="000000" w:sz="4" w:space="0"/>
              <w:right w:val="single" w:color="000000" w:sz="4" w:space="0"/>
            </w:tcBorders>
            <w:noWrap w:val="0"/>
            <w:vAlign w:val="center"/>
          </w:tcPr>
          <w:p w14:paraId="0728BDC9">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（丙烯酸乳胶漆 二遍）</w:t>
            </w:r>
          </w:p>
        </w:tc>
      </w:tr>
      <w:tr w14:paraId="2E0D1FE9">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7C58D4">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⑫</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2B4198">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天棚面刮腻子 </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91761C">
            <w:pPr>
              <w:keepNext w:val="0"/>
              <w:keepLines w:val="0"/>
              <w:widowControl/>
              <w:suppressLineNumbers w:val="0"/>
              <w:ind w:left="0" w:leftChars="0"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C8F568">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203.65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BA4AD5">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耐水腻子两遍）</w:t>
            </w:r>
          </w:p>
        </w:tc>
      </w:tr>
      <w:tr w14:paraId="46E158EB">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1BE579">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⑬</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107322">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天棚面喷刷涂料 </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EEA2B8">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0F9945">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203.65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BDCD82">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（丙烯酸乳胶漆 二遍）</w:t>
            </w:r>
          </w:p>
        </w:tc>
      </w:tr>
      <w:tr w14:paraId="475BA182">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D0886A">
            <w:pPr>
              <w:widowControl/>
              <w:ind w:left="0" w:leftChars="0" w:firstLine="0" w:firstLineChars="0"/>
              <w:jc w:val="center"/>
              <w:textAlignment w:val="bottom"/>
              <w:rPr>
                <w:rStyle w:val="47"/>
                <w:rFonts w:hint="eastAsia" w:ascii="宋体" w:hAnsi="宋体" w:eastAsia="宋体" w:cs="宋体"/>
                <w:b/>
                <w:bCs/>
                <w:sz w:val="21"/>
                <w:szCs w:val="21"/>
                <w:lang w:bidi="ar"/>
              </w:rPr>
            </w:pPr>
            <w:r>
              <w:rPr>
                <w:rStyle w:val="47"/>
                <w:rFonts w:hint="eastAsia" w:ascii="宋体" w:hAnsi="宋体" w:eastAsia="宋体" w:cs="宋体"/>
                <w:b/>
                <w:bCs/>
                <w:sz w:val="21"/>
                <w:szCs w:val="21"/>
                <w:lang w:val="en-US" w:eastAsia="zh-CN" w:bidi="ar"/>
              </w:rPr>
              <w:t>(2)</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CB3F12">
            <w:pPr>
              <w:widowControl/>
              <w:ind w:left="0" w:leftChars="0" w:firstLine="0" w:firstLineChars="0"/>
              <w:jc w:val="left"/>
              <w:textAlignment w:val="bottom"/>
              <w:rPr>
                <w:rStyle w:val="47"/>
                <w:rFonts w:hint="eastAsia" w:ascii="宋体" w:hAnsi="宋体" w:eastAsia="宋体" w:cs="宋体"/>
                <w:b/>
                <w:bCs/>
                <w:sz w:val="21"/>
                <w:szCs w:val="21"/>
                <w:lang w:val="en-US" w:eastAsia="zh-CN" w:bidi="ar"/>
              </w:rPr>
            </w:pPr>
            <w:r>
              <w:rPr>
                <w:rStyle w:val="47"/>
                <w:rFonts w:hint="eastAsia" w:ascii="宋体" w:hAnsi="宋体" w:eastAsia="宋体" w:cs="宋体"/>
                <w:b/>
                <w:bCs/>
                <w:sz w:val="21"/>
                <w:szCs w:val="21"/>
                <w:lang w:val="en-US" w:eastAsia="zh-CN" w:bidi="ar"/>
              </w:rPr>
              <w:t>库区自计井房</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74BC28">
            <w:pPr>
              <w:jc w:val="center"/>
              <w:rPr>
                <w:rStyle w:val="47"/>
                <w:rFonts w:hint="eastAsia" w:ascii="宋体" w:hAnsi="宋体" w:eastAsia="宋体" w:cs="宋体"/>
                <w:b/>
                <w:bCs/>
                <w:sz w:val="21"/>
                <w:szCs w:val="21"/>
                <w:lang w:bidi="ar"/>
              </w:rPr>
            </w:pP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4085FC">
            <w:pPr>
              <w:widowControl/>
              <w:ind w:left="0" w:leftChars="0" w:firstLine="0" w:firstLineChars="0"/>
              <w:jc w:val="center"/>
              <w:textAlignment w:val="bottom"/>
              <w:rPr>
                <w:rStyle w:val="47"/>
                <w:rFonts w:hint="eastAsia" w:ascii="宋体" w:hAnsi="宋体" w:eastAsia="宋体" w:cs="宋体"/>
                <w:b/>
                <w:bCs/>
                <w:sz w:val="21"/>
                <w:szCs w:val="21"/>
                <w:lang w:val="en-US" w:eastAsia="zh-CN" w:bidi="ar"/>
              </w:rPr>
            </w:pP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6364B2">
            <w:pPr>
              <w:widowControl/>
              <w:ind w:left="0" w:leftChars="0" w:firstLine="0" w:firstLineChars="0"/>
              <w:jc w:val="left"/>
              <w:textAlignment w:val="bottom"/>
              <w:rPr>
                <w:rStyle w:val="47"/>
                <w:rFonts w:hint="eastAsia" w:ascii="宋体" w:hAnsi="宋体" w:eastAsia="宋体" w:cs="宋体"/>
                <w:b/>
                <w:bCs/>
                <w:sz w:val="21"/>
                <w:szCs w:val="21"/>
                <w:lang w:val="en-US" w:eastAsia="zh-CN" w:bidi="ar"/>
              </w:rPr>
            </w:pPr>
          </w:p>
        </w:tc>
      </w:tr>
      <w:tr w14:paraId="12F2C3DE">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A2C946">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①</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BDF349">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金属窗拆除</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C30CA3">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D2571A">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6.39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DCDA63">
            <w:pPr>
              <w:widowControl/>
              <w:ind w:left="0" w:leftChars="0" w:firstLine="0" w:firstLineChars="0"/>
              <w:jc w:val="left"/>
              <w:textAlignment w:val="bottom"/>
              <w:rPr>
                <w:rStyle w:val="47"/>
                <w:rFonts w:hint="eastAsia" w:ascii="宋体" w:hAnsi="宋体" w:eastAsia="宋体" w:cs="宋体"/>
                <w:sz w:val="21"/>
                <w:szCs w:val="21"/>
                <w:lang w:val="en-US" w:eastAsia="zh-CN" w:bidi="ar"/>
              </w:rPr>
            </w:pPr>
          </w:p>
        </w:tc>
      </w:tr>
      <w:tr w14:paraId="68A53923">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E291C7">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②</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82A30B">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金属纱窗拆除</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492141">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BEB7E7">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6.39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FECE2C">
            <w:pPr>
              <w:widowControl/>
              <w:ind w:left="0" w:leftChars="0" w:firstLine="0" w:firstLineChars="0"/>
              <w:jc w:val="left"/>
              <w:textAlignment w:val="bottom"/>
              <w:rPr>
                <w:rStyle w:val="47"/>
                <w:rFonts w:hint="eastAsia" w:ascii="宋体" w:hAnsi="宋体" w:eastAsia="宋体" w:cs="宋体"/>
                <w:sz w:val="21"/>
                <w:szCs w:val="21"/>
                <w:lang w:val="en-US" w:eastAsia="zh-CN" w:bidi="ar"/>
              </w:rPr>
            </w:pPr>
          </w:p>
        </w:tc>
      </w:tr>
      <w:tr w14:paraId="4005F8B5">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301A8B">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③</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EEC9FB">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内墙墙面腻子及涂料层铲除并清理</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B51012">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EC6B3C">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19.55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C14BDB">
            <w:pPr>
              <w:widowControl/>
              <w:ind w:left="0" w:leftChars="0" w:firstLine="0" w:firstLineChars="0"/>
              <w:jc w:val="left"/>
              <w:textAlignment w:val="bottom"/>
              <w:rPr>
                <w:rStyle w:val="47"/>
                <w:rFonts w:hint="eastAsia" w:ascii="宋体" w:hAnsi="宋体" w:eastAsia="宋体" w:cs="宋体"/>
                <w:sz w:val="21"/>
                <w:szCs w:val="21"/>
                <w:lang w:val="en-US" w:eastAsia="zh-CN" w:bidi="ar"/>
              </w:rPr>
            </w:pPr>
          </w:p>
        </w:tc>
      </w:tr>
      <w:tr w14:paraId="2A9F987B">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0C4684">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④</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DF0628">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天棚墙面腻子及涂料层铲除并清理</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DECA8B">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A7AD4B">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21.87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19A917">
            <w:pPr>
              <w:widowControl/>
              <w:ind w:left="0" w:leftChars="0" w:firstLine="0" w:firstLineChars="0"/>
              <w:jc w:val="left"/>
              <w:textAlignment w:val="bottom"/>
              <w:rPr>
                <w:rStyle w:val="47"/>
                <w:rFonts w:hint="eastAsia" w:ascii="宋体" w:hAnsi="宋体" w:eastAsia="宋体" w:cs="宋体"/>
                <w:sz w:val="21"/>
                <w:szCs w:val="21"/>
                <w:lang w:val="en-US" w:eastAsia="zh-CN" w:bidi="ar"/>
              </w:rPr>
            </w:pPr>
          </w:p>
        </w:tc>
      </w:tr>
      <w:tr w14:paraId="0E435C4A">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7E10C4">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⑤</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4F2D2D">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钢制门旧漆面清除</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707C3E">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266C28">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13.84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FC2B93">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金属面油漆</w:t>
            </w:r>
          </w:p>
        </w:tc>
      </w:tr>
      <w:tr w14:paraId="7DB5EF91">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7ED734">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⑥</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D7B34A">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金属窗</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B91458">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55AA23">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6.39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366354">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（70系列断桥铝金窗 平开）</w:t>
            </w:r>
          </w:p>
        </w:tc>
      </w:tr>
      <w:tr w14:paraId="6BA7CC88">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67C6C6">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⑦</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6589C9">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金属窗</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4C80F5">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DF620A">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6.39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387F4B">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（断桥铝百叶窗）</w:t>
            </w:r>
          </w:p>
        </w:tc>
      </w:tr>
      <w:tr w14:paraId="55EB69B6">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04F9AF">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⑧</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0EA32B">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内墙抹灰面</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E9E176">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4E8081">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19.55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A80414">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耐水腻子两遍 抹灰面）</w:t>
            </w:r>
          </w:p>
        </w:tc>
      </w:tr>
      <w:tr w14:paraId="70893478">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6CF512">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⑨</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1A9A5F">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内墙面层涂料 </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5AD36B">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769B6B">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19.55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10C32D">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（丙烯酸乳胶漆 二遍）</w:t>
            </w:r>
          </w:p>
        </w:tc>
      </w:tr>
      <w:tr w14:paraId="6778B97F">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35482F">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⑩</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0D6247">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天棚面刮腻子 </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B3AE75">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FB876F">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5.87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A3BFB0">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耐水腻子两遍 二遍）</w:t>
            </w:r>
          </w:p>
        </w:tc>
      </w:tr>
      <w:tr w14:paraId="01CC931D">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299590">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⑪</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D8AD22">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天棚面喷刷涂料 </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A360A6">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7CACB2">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5.87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8A1A60">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（丙烯酸乳胶漆 二遍）</w:t>
            </w:r>
          </w:p>
        </w:tc>
      </w:tr>
      <w:tr w14:paraId="4086F97A">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71044C">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⑫</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6DCF9C">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屋面防水 </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94C4BC">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59B218">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16.00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721A3A">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SBS改性沥青防水卷材(热熔法) 两层，卷材型号：SBS I PY PE PE3</w:t>
            </w:r>
          </w:p>
        </w:tc>
      </w:tr>
      <w:tr w14:paraId="408BBAD9">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103A8E">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⑬</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CC9E93">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钢制门金属底漆 </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972471">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9BB424">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13.84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FD674D">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底漆 防锈漆 一遍</w:t>
            </w:r>
          </w:p>
        </w:tc>
      </w:tr>
      <w:tr w14:paraId="52996B90">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9EB7AC">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⑭</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769CEF">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钢制门金属面油漆 </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4E3CB0">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9C4435">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13.84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E5AF82">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面漆 耐酸漆 二遍</w:t>
            </w:r>
          </w:p>
        </w:tc>
      </w:tr>
      <w:tr w14:paraId="4B2845F9">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729A94">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⑮</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7716AE">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涂外墙涂料</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A87209">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54D1E5">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4.84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7B08F0">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耐水腻子两遍，丙烯酸乳胶漆两遍</w:t>
            </w:r>
          </w:p>
        </w:tc>
      </w:tr>
      <w:tr w14:paraId="7245F219">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533BE8">
            <w:pPr>
              <w:widowControl/>
              <w:ind w:left="0" w:leftChars="0" w:firstLine="0" w:firstLineChars="0"/>
              <w:jc w:val="center"/>
              <w:textAlignment w:val="bottom"/>
              <w:rPr>
                <w:rStyle w:val="47"/>
                <w:rFonts w:hint="eastAsia" w:ascii="宋体" w:hAnsi="宋体" w:eastAsia="宋体" w:cs="宋体"/>
                <w:b/>
                <w:bCs/>
                <w:sz w:val="21"/>
                <w:szCs w:val="21"/>
                <w:lang w:bidi="ar"/>
              </w:rPr>
            </w:pPr>
            <w:r>
              <w:rPr>
                <w:rStyle w:val="47"/>
                <w:rFonts w:hint="eastAsia" w:ascii="宋体" w:hAnsi="宋体" w:eastAsia="宋体" w:cs="宋体"/>
                <w:b/>
                <w:bCs/>
                <w:sz w:val="21"/>
                <w:szCs w:val="21"/>
                <w:lang w:val="en-US" w:eastAsia="zh-CN" w:bidi="ar"/>
              </w:rPr>
              <w:t>(3)</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77D531">
            <w:pPr>
              <w:widowControl/>
              <w:ind w:left="0" w:leftChars="0" w:firstLine="0" w:firstLineChars="0"/>
              <w:jc w:val="left"/>
              <w:textAlignment w:val="bottom"/>
              <w:rPr>
                <w:rStyle w:val="47"/>
                <w:rFonts w:hint="eastAsia" w:ascii="宋体" w:hAnsi="宋体" w:eastAsia="宋体" w:cs="宋体"/>
                <w:b/>
                <w:bCs/>
                <w:sz w:val="21"/>
                <w:szCs w:val="21"/>
                <w:lang w:val="en-US" w:eastAsia="zh-CN" w:bidi="ar"/>
              </w:rPr>
            </w:pPr>
            <w:r>
              <w:rPr>
                <w:rStyle w:val="47"/>
                <w:rFonts w:hint="eastAsia" w:ascii="宋体" w:hAnsi="宋体" w:eastAsia="宋体" w:cs="宋体"/>
                <w:b/>
                <w:bCs/>
                <w:sz w:val="21"/>
                <w:szCs w:val="21"/>
                <w:lang w:val="en-US" w:eastAsia="zh-CN" w:bidi="ar"/>
              </w:rPr>
              <w:t>前辛庄水文站</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794932">
            <w:pPr>
              <w:jc w:val="center"/>
              <w:rPr>
                <w:rStyle w:val="47"/>
                <w:rFonts w:hint="eastAsia" w:ascii="宋体" w:hAnsi="宋体" w:eastAsia="宋体" w:cs="宋体"/>
                <w:b/>
                <w:bCs/>
                <w:sz w:val="21"/>
                <w:szCs w:val="21"/>
                <w:lang w:bidi="ar"/>
              </w:rPr>
            </w:pP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96B9B2">
            <w:pPr>
              <w:widowControl/>
              <w:ind w:left="0" w:leftChars="0" w:firstLine="0" w:firstLineChars="0"/>
              <w:jc w:val="center"/>
              <w:textAlignment w:val="bottom"/>
              <w:rPr>
                <w:rStyle w:val="47"/>
                <w:rFonts w:hint="eastAsia" w:ascii="宋体" w:hAnsi="宋体" w:eastAsia="宋体" w:cs="宋体"/>
                <w:b/>
                <w:bCs/>
                <w:sz w:val="21"/>
                <w:szCs w:val="21"/>
                <w:lang w:val="en-US" w:eastAsia="zh-CN" w:bidi="ar"/>
              </w:rPr>
            </w:pP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8CF1C2">
            <w:pPr>
              <w:widowControl/>
              <w:ind w:left="0" w:leftChars="0" w:firstLine="0" w:firstLineChars="0"/>
              <w:jc w:val="left"/>
              <w:textAlignment w:val="bottom"/>
              <w:rPr>
                <w:rStyle w:val="47"/>
                <w:rFonts w:hint="eastAsia" w:ascii="宋体" w:hAnsi="宋体" w:eastAsia="宋体" w:cs="宋体"/>
                <w:b/>
                <w:bCs/>
                <w:sz w:val="21"/>
                <w:szCs w:val="21"/>
                <w:lang w:val="en-US" w:eastAsia="zh-CN" w:bidi="ar"/>
              </w:rPr>
            </w:pPr>
          </w:p>
        </w:tc>
      </w:tr>
      <w:tr w14:paraId="747DB343">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5A00E9">
            <w:pPr>
              <w:widowControl/>
              <w:ind w:left="0" w:leftChars="0" w:firstLine="0" w:firstLineChars="0"/>
              <w:jc w:val="center"/>
              <w:textAlignment w:val="bottom"/>
              <w:rPr>
                <w:rStyle w:val="47"/>
                <w:rFonts w:hint="eastAsia" w:ascii="宋体" w:hAnsi="宋体" w:eastAsia="宋体" w:cs="宋体"/>
                <w:b/>
                <w:bCs/>
                <w:sz w:val="21"/>
                <w:szCs w:val="21"/>
                <w:lang w:bidi="ar"/>
              </w:rPr>
            </w:pPr>
            <w:r>
              <w:rPr>
                <w:rStyle w:val="47"/>
                <w:rFonts w:hint="eastAsia" w:ascii="宋体" w:hAnsi="宋体" w:eastAsia="宋体" w:cs="宋体"/>
                <w:b/>
                <w:bCs/>
                <w:sz w:val="21"/>
                <w:szCs w:val="21"/>
                <w:lang w:val="en-US" w:eastAsia="zh-CN" w:bidi="ar"/>
              </w:rPr>
              <w:t>3-1</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BEF0E8">
            <w:pPr>
              <w:widowControl/>
              <w:ind w:left="0" w:leftChars="0" w:firstLine="0" w:firstLineChars="0"/>
              <w:jc w:val="left"/>
              <w:textAlignment w:val="bottom"/>
              <w:rPr>
                <w:rStyle w:val="47"/>
                <w:rFonts w:hint="eastAsia" w:ascii="宋体" w:hAnsi="宋体" w:eastAsia="宋体" w:cs="宋体"/>
                <w:b/>
                <w:bCs/>
                <w:sz w:val="21"/>
                <w:szCs w:val="21"/>
                <w:lang w:val="en-US" w:eastAsia="zh-CN" w:bidi="ar"/>
              </w:rPr>
            </w:pPr>
            <w:r>
              <w:rPr>
                <w:rStyle w:val="47"/>
                <w:rFonts w:hint="eastAsia" w:ascii="宋体" w:hAnsi="宋体" w:eastAsia="宋体" w:cs="宋体"/>
                <w:b/>
                <w:bCs/>
                <w:sz w:val="21"/>
                <w:szCs w:val="21"/>
                <w:lang w:val="en-US" w:eastAsia="zh-CN" w:bidi="ar"/>
              </w:rPr>
              <w:t>水文站房屋</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3508E5">
            <w:pPr>
              <w:jc w:val="center"/>
              <w:rPr>
                <w:rStyle w:val="47"/>
                <w:rFonts w:hint="eastAsia" w:ascii="宋体" w:hAnsi="宋体" w:eastAsia="宋体" w:cs="宋体"/>
                <w:b/>
                <w:bCs/>
                <w:sz w:val="21"/>
                <w:szCs w:val="21"/>
                <w:lang w:bidi="ar"/>
              </w:rPr>
            </w:pP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2E9AFE">
            <w:pPr>
              <w:widowControl/>
              <w:ind w:left="0" w:leftChars="0" w:firstLine="0" w:firstLineChars="0"/>
              <w:jc w:val="center"/>
              <w:textAlignment w:val="bottom"/>
              <w:rPr>
                <w:rStyle w:val="47"/>
                <w:rFonts w:hint="eastAsia" w:ascii="宋体" w:hAnsi="宋体" w:eastAsia="宋体" w:cs="宋体"/>
                <w:b/>
                <w:bCs/>
                <w:sz w:val="21"/>
                <w:szCs w:val="21"/>
                <w:lang w:val="en-US" w:eastAsia="zh-CN" w:bidi="ar"/>
              </w:rPr>
            </w:pP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4494CF">
            <w:pPr>
              <w:widowControl/>
              <w:ind w:left="0" w:leftChars="0" w:firstLine="0" w:firstLineChars="0"/>
              <w:jc w:val="left"/>
              <w:textAlignment w:val="bottom"/>
              <w:rPr>
                <w:rStyle w:val="47"/>
                <w:rFonts w:hint="eastAsia" w:ascii="宋体" w:hAnsi="宋体" w:eastAsia="宋体" w:cs="宋体"/>
                <w:b/>
                <w:bCs/>
                <w:sz w:val="21"/>
                <w:szCs w:val="21"/>
                <w:lang w:val="en-US" w:eastAsia="zh-CN" w:bidi="ar"/>
              </w:rPr>
            </w:pPr>
          </w:p>
        </w:tc>
      </w:tr>
      <w:tr w14:paraId="1BD3814A">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AFFA15">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①</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F2D833">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金属窗拆除</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546318">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708BB7">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49.48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2AA09B">
            <w:pPr>
              <w:widowControl/>
              <w:ind w:left="0" w:leftChars="0" w:firstLine="0" w:firstLineChars="0"/>
              <w:jc w:val="left"/>
              <w:textAlignment w:val="bottom"/>
              <w:rPr>
                <w:rStyle w:val="47"/>
                <w:rFonts w:hint="eastAsia" w:ascii="宋体" w:hAnsi="宋体" w:eastAsia="宋体" w:cs="宋体"/>
                <w:sz w:val="21"/>
                <w:szCs w:val="21"/>
                <w:lang w:val="en-US" w:eastAsia="zh-CN" w:bidi="ar"/>
              </w:rPr>
            </w:pPr>
          </w:p>
        </w:tc>
      </w:tr>
      <w:tr w14:paraId="7ABD6827">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7A89B4">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②</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484D97">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金属纱窗拆除</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5DDFB2">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DA26D6">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49.48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DF7F99">
            <w:pPr>
              <w:widowControl/>
              <w:ind w:left="0" w:leftChars="0" w:firstLine="0" w:firstLineChars="0"/>
              <w:jc w:val="left"/>
              <w:textAlignment w:val="bottom"/>
              <w:rPr>
                <w:rStyle w:val="47"/>
                <w:rFonts w:hint="eastAsia" w:ascii="宋体" w:hAnsi="宋体" w:eastAsia="宋体" w:cs="宋体"/>
                <w:sz w:val="21"/>
                <w:szCs w:val="21"/>
                <w:lang w:val="en-US" w:eastAsia="zh-CN" w:bidi="ar"/>
              </w:rPr>
            </w:pPr>
          </w:p>
        </w:tc>
      </w:tr>
      <w:tr w14:paraId="2A613ECD">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95C928">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④</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7A559D">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内墙墙面腻子及涂料层铲除并清理</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B95897">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3A3FBA">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762.12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516074">
            <w:pPr>
              <w:widowControl/>
              <w:ind w:left="0" w:leftChars="0" w:firstLine="0" w:firstLineChars="0"/>
              <w:jc w:val="left"/>
              <w:textAlignment w:val="bottom"/>
              <w:rPr>
                <w:rStyle w:val="47"/>
                <w:rFonts w:hint="eastAsia" w:ascii="宋体" w:hAnsi="宋体" w:eastAsia="宋体" w:cs="宋体"/>
                <w:sz w:val="21"/>
                <w:szCs w:val="21"/>
                <w:lang w:val="en-US" w:eastAsia="zh-CN" w:bidi="ar"/>
              </w:rPr>
            </w:pPr>
          </w:p>
        </w:tc>
      </w:tr>
      <w:tr w14:paraId="38877061">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052BBD">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⑤</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73D66E">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天棚墙面腻子及涂料层铲除并清理</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A5C4E0">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AE2E42">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203.65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3C951E">
            <w:pPr>
              <w:widowControl/>
              <w:ind w:left="0" w:leftChars="0" w:firstLine="0" w:firstLineChars="0"/>
              <w:jc w:val="left"/>
              <w:textAlignment w:val="bottom"/>
              <w:rPr>
                <w:rStyle w:val="47"/>
                <w:rFonts w:hint="eastAsia" w:ascii="宋体" w:hAnsi="宋体" w:eastAsia="宋体" w:cs="宋体"/>
                <w:sz w:val="21"/>
                <w:szCs w:val="21"/>
                <w:lang w:val="en-US" w:eastAsia="zh-CN" w:bidi="ar"/>
              </w:rPr>
            </w:pPr>
          </w:p>
        </w:tc>
      </w:tr>
      <w:tr w14:paraId="5C8242EC">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C5234D">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⑥</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2FD4AF">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金属窗</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32BBC2">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6967C1">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49.48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B836CE">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（70系列断桥铝金窗 平开）</w:t>
            </w:r>
          </w:p>
        </w:tc>
      </w:tr>
      <w:tr w14:paraId="16C567D0">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D7B8F3">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⑦</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71EC2C">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金属窗</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236A1D">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8C1059">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49.48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F1792D">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（断桥铝百叶窗）</w:t>
            </w:r>
          </w:p>
        </w:tc>
      </w:tr>
      <w:tr w14:paraId="42477497">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FB079F">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⑨</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8ED53A">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内墙抹灰面 </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61264D">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D72FEE">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762.12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A42EA3">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耐水腻子两遍 抹灰面）</w:t>
            </w:r>
          </w:p>
        </w:tc>
      </w:tr>
      <w:tr w14:paraId="4999DF3D">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AFEBE3">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⑩</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3450DB">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内墙面层涂料 </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982102">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3DEDAB">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762.12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529A2C">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（丙烯酸乳胶漆 二遍）</w:t>
            </w:r>
          </w:p>
        </w:tc>
      </w:tr>
      <w:tr w14:paraId="2D2A7834">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1463F5">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⑪</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6528DF">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天棚面刮腻子 </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FB641D">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098978">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203.65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C6210F">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耐水腻子两遍）</w:t>
            </w:r>
          </w:p>
        </w:tc>
      </w:tr>
      <w:tr w14:paraId="142592E7">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FC965C">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⑫</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E0FEA8">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天棚面喷刷涂料 </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29FFF8">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57EE50">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203.65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B78537">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（丙烯酸乳胶漆 二遍）</w:t>
            </w:r>
          </w:p>
        </w:tc>
      </w:tr>
      <w:tr w14:paraId="6BE5BD41">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241CDA">
            <w:pPr>
              <w:widowControl/>
              <w:ind w:left="0" w:leftChars="0" w:firstLine="0" w:firstLineChars="0"/>
              <w:jc w:val="center"/>
              <w:textAlignment w:val="bottom"/>
              <w:rPr>
                <w:rStyle w:val="47"/>
                <w:rFonts w:hint="eastAsia" w:ascii="宋体" w:hAnsi="宋体" w:eastAsia="宋体" w:cs="宋体"/>
                <w:b/>
                <w:bCs/>
                <w:sz w:val="21"/>
                <w:szCs w:val="21"/>
                <w:lang w:bidi="ar"/>
              </w:rPr>
            </w:pPr>
            <w:r>
              <w:rPr>
                <w:rStyle w:val="47"/>
                <w:rFonts w:hint="eastAsia" w:ascii="宋体" w:hAnsi="宋体" w:eastAsia="宋体" w:cs="宋体"/>
                <w:b/>
                <w:bCs/>
                <w:sz w:val="21"/>
                <w:szCs w:val="21"/>
                <w:lang w:val="en-US" w:eastAsia="zh-CN" w:bidi="ar"/>
              </w:rPr>
              <w:t>3-2</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7EC663">
            <w:pPr>
              <w:widowControl/>
              <w:ind w:left="0" w:leftChars="0" w:firstLine="0" w:firstLineChars="0"/>
              <w:jc w:val="left"/>
              <w:textAlignment w:val="bottom"/>
              <w:rPr>
                <w:rStyle w:val="47"/>
                <w:rFonts w:hint="eastAsia" w:ascii="宋体" w:hAnsi="宋体" w:eastAsia="宋体" w:cs="宋体"/>
                <w:b/>
                <w:bCs/>
                <w:sz w:val="21"/>
                <w:szCs w:val="21"/>
                <w:lang w:val="en-US" w:eastAsia="zh-CN" w:bidi="ar"/>
              </w:rPr>
            </w:pPr>
            <w:r>
              <w:rPr>
                <w:rStyle w:val="47"/>
                <w:rFonts w:hint="eastAsia" w:ascii="宋体" w:hAnsi="宋体" w:eastAsia="宋体" w:cs="宋体"/>
                <w:b/>
                <w:bCs/>
                <w:sz w:val="21"/>
                <w:szCs w:val="21"/>
                <w:lang w:val="en-US" w:eastAsia="zh-CN" w:bidi="ar"/>
              </w:rPr>
              <w:t>测流房</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151D9B">
            <w:pPr>
              <w:jc w:val="center"/>
              <w:rPr>
                <w:rStyle w:val="47"/>
                <w:rFonts w:hint="eastAsia" w:ascii="宋体" w:hAnsi="宋体" w:eastAsia="宋体" w:cs="宋体"/>
                <w:b/>
                <w:bCs/>
                <w:sz w:val="21"/>
                <w:szCs w:val="21"/>
                <w:lang w:bidi="ar"/>
              </w:rPr>
            </w:pP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2865D6">
            <w:pPr>
              <w:widowControl/>
              <w:ind w:left="0" w:leftChars="0" w:firstLine="0" w:firstLineChars="0"/>
              <w:jc w:val="center"/>
              <w:textAlignment w:val="bottom"/>
              <w:rPr>
                <w:rStyle w:val="47"/>
                <w:rFonts w:hint="eastAsia" w:ascii="宋体" w:hAnsi="宋体" w:eastAsia="宋体" w:cs="宋体"/>
                <w:b/>
                <w:bCs/>
                <w:sz w:val="21"/>
                <w:szCs w:val="21"/>
                <w:lang w:val="en-US" w:eastAsia="zh-CN" w:bidi="ar"/>
              </w:rPr>
            </w:pP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FD9E40">
            <w:pPr>
              <w:widowControl/>
              <w:ind w:left="0" w:leftChars="0" w:firstLine="0" w:firstLineChars="0"/>
              <w:jc w:val="left"/>
              <w:textAlignment w:val="bottom"/>
              <w:rPr>
                <w:rStyle w:val="47"/>
                <w:rFonts w:hint="eastAsia" w:ascii="宋体" w:hAnsi="宋体" w:eastAsia="宋体" w:cs="宋体"/>
                <w:b/>
                <w:bCs/>
                <w:sz w:val="21"/>
                <w:szCs w:val="21"/>
                <w:lang w:val="en-US" w:eastAsia="zh-CN" w:bidi="ar"/>
              </w:rPr>
            </w:pPr>
            <w:r>
              <w:rPr>
                <w:rStyle w:val="47"/>
                <w:rFonts w:hint="eastAsia" w:ascii="宋体" w:hAnsi="宋体" w:eastAsia="宋体" w:cs="宋体"/>
                <w:b/>
                <w:bCs/>
                <w:sz w:val="21"/>
                <w:szCs w:val="21"/>
                <w:lang w:val="en-US" w:eastAsia="zh-CN" w:bidi="ar"/>
              </w:rPr>
              <w:t>长*宽*高=4.2m*10.5m*3m</w:t>
            </w:r>
          </w:p>
        </w:tc>
      </w:tr>
      <w:tr w14:paraId="4DBEDE33">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29CEE8">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①</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C37042">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外墙面铲除并清理</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2C4D86">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5AA630">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154.78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8F5545">
            <w:pPr>
              <w:widowControl/>
              <w:ind w:left="0" w:leftChars="0" w:firstLine="0" w:firstLineChars="0"/>
              <w:jc w:val="left"/>
              <w:textAlignment w:val="bottom"/>
              <w:rPr>
                <w:rStyle w:val="47"/>
                <w:rFonts w:hint="eastAsia" w:ascii="宋体" w:hAnsi="宋体" w:eastAsia="宋体" w:cs="宋体"/>
                <w:sz w:val="21"/>
                <w:szCs w:val="21"/>
                <w:lang w:val="en-US" w:eastAsia="zh-CN" w:bidi="ar"/>
              </w:rPr>
            </w:pPr>
          </w:p>
        </w:tc>
      </w:tr>
      <w:tr w14:paraId="60090B78">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15911D">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②</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2318B5">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外墙水泥砂浆找平</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9D0266">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E47EE8">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154.78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7691BF">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15mm厚，1:2.5水泥砂浆</w:t>
            </w:r>
          </w:p>
        </w:tc>
      </w:tr>
      <w:tr w14:paraId="74E3664B">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3DB0EA">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③</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DE0C0A">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外墙柔性耐水腻子</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5E8914">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E25403">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154.78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4D6A29">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两遍</w:t>
            </w:r>
          </w:p>
        </w:tc>
      </w:tr>
      <w:tr w14:paraId="2B36C352">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CE3DC1">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④</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13DA22">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涂外墙涂料</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2C08C4">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30EBD8">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154.78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060817">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丙烯酸乳胶漆两遍</w:t>
            </w:r>
          </w:p>
        </w:tc>
      </w:tr>
      <w:tr w14:paraId="35D98AEA">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87B4D4">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⑤</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E67120">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脚手架</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1070C7">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D3BB7C">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154.78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54029F">
            <w:pPr>
              <w:widowControl/>
              <w:ind w:left="0" w:leftChars="0" w:firstLine="0" w:firstLineChars="0"/>
              <w:jc w:val="left"/>
              <w:textAlignment w:val="bottom"/>
              <w:rPr>
                <w:rStyle w:val="47"/>
                <w:rFonts w:hint="eastAsia" w:ascii="宋体" w:hAnsi="宋体" w:eastAsia="宋体" w:cs="宋体"/>
                <w:sz w:val="21"/>
                <w:szCs w:val="21"/>
                <w:lang w:val="en-US" w:eastAsia="zh-CN" w:bidi="ar"/>
              </w:rPr>
            </w:pPr>
          </w:p>
        </w:tc>
      </w:tr>
      <w:tr w14:paraId="2A8F8F15">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9B247C">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⑥</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3E72FA">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渣土外运消纳</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4C2E00">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Style w:val="48"/>
                <w:rFonts w:hint="eastAsia" w:ascii="宋体" w:hAnsi="宋体" w:eastAsia="宋体" w:cs="宋体"/>
                <w:sz w:val="21"/>
                <w:szCs w:val="21"/>
                <w:lang w:val="en-US" w:eastAsia="zh-CN" w:bidi="ar"/>
              </w:rPr>
              <w:t>3</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D6C224">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2.32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CDCB1E">
            <w:pPr>
              <w:widowControl/>
              <w:ind w:left="0" w:leftChars="0" w:firstLine="0" w:firstLineChars="0"/>
              <w:jc w:val="left"/>
              <w:textAlignment w:val="bottom"/>
              <w:rPr>
                <w:rStyle w:val="47"/>
                <w:rFonts w:hint="eastAsia" w:ascii="宋体" w:hAnsi="宋体" w:eastAsia="宋体" w:cs="宋体"/>
                <w:sz w:val="21"/>
                <w:szCs w:val="21"/>
                <w:lang w:val="en-US" w:eastAsia="zh-CN" w:bidi="ar"/>
              </w:rPr>
            </w:pPr>
          </w:p>
        </w:tc>
      </w:tr>
      <w:tr w14:paraId="3FA231A5">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1D6A69">
            <w:pPr>
              <w:widowControl/>
              <w:ind w:left="0" w:leftChars="0" w:firstLine="0" w:firstLineChars="0"/>
              <w:jc w:val="center"/>
              <w:textAlignment w:val="bottom"/>
              <w:rPr>
                <w:rStyle w:val="47"/>
                <w:rFonts w:hint="eastAsia" w:ascii="宋体" w:hAnsi="宋体" w:eastAsia="宋体" w:cs="宋体"/>
                <w:b/>
                <w:bCs/>
                <w:sz w:val="21"/>
                <w:szCs w:val="21"/>
                <w:lang w:bidi="ar"/>
              </w:rPr>
            </w:pPr>
            <w:r>
              <w:rPr>
                <w:rStyle w:val="47"/>
                <w:rFonts w:hint="eastAsia" w:ascii="宋体" w:hAnsi="宋体" w:eastAsia="宋体" w:cs="宋体"/>
                <w:b/>
                <w:bCs/>
                <w:sz w:val="21"/>
                <w:szCs w:val="21"/>
                <w:lang w:val="en-US" w:eastAsia="zh-CN" w:bidi="ar"/>
              </w:rPr>
              <w:t>3-3</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CF4B65">
            <w:pPr>
              <w:widowControl/>
              <w:ind w:left="0" w:leftChars="0" w:firstLine="0" w:firstLineChars="0"/>
              <w:jc w:val="left"/>
              <w:textAlignment w:val="bottom"/>
              <w:rPr>
                <w:rStyle w:val="47"/>
                <w:rFonts w:hint="eastAsia" w:ascii="宋体" w:hAnsi="宋体" w:eastAsia="宋体" w:cs="宋体"/>
                <w:b/>
                <w:bCs/>
                <w:sz w:val="21"/>
                <w:szCs w:val="21"/>
                <w:lang w:val="en-US" w:eastAsia="zh-CN" w:bidi="ar"/>
              </w:rPr>
            </w:pPr>
            <w:r>
              <w:rPr>
                <w:rStyle w:val="47"/>
                <w:rFonts w:hint="eastAsia" w:ascii="宋体" w:hAnsi="宋体" w:eastAsia="宋体" w:cs="宋体"/>
                <w:b/>
                <w:bCs/>
                <w:sz w:val="21"/>
                <w:szCs w:val="21"/>
                <w:lang w:val="en-US" w:eastAsia="zh-CN" w:bidi="ar"/>
              </w:rPr>
              <w:t>测流亭1</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2BA109">
            <w:pPr>
              <w:jc w:val="center"/>
              <w:rPr>
                <w:rStyle w:val="47"/>
                <w:rFonts w:hint="eastAsia" w:ascii="宋体" w:hAnsi="宋体" w:eastAsia="宋体" w:cs="宋体"/>
                <w:b/>
                <w:bCs/>
                <w:sz w:val="21"/>
                <w:szCs w:val="21"/>
                <w:lang w:bidi="ar"/>
              </w:rPr>
            </w:pP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16A365">
            <w:pPr>
              <w:widowControl/>
              <w:ind w:left="0" w:leftChars="0" w:firstLine="0" w:firstLineChars="0"/>
              <w:jc w:val="center"/>
              <w:textAlignment w:val="bottom"/>
              <w:rPr>
                <w:rStyle w:val="47"/>
                <w:rFonts w:hint="eastAsia" w:ascii="宋体" w:hAnsi="宋体" w:eastAsia="宋体" w:cs="宋体"/>
                <w:b/>
                <w:bCs/>
                <w:sz w:val="21"/>
                <w:szCs w:val="21"/>
                <w:lang w:val="en-US" w:eastAsia="zh-CN" w:bidi="ar"/>
              </w:rPr>
            </w:pP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B4649D">
            <w:pPr>
              <w:widowControl/>
              <w:ind w:left="0" w:leftChars="0" w:firstLine="0" w:firstLineChars="0"/>
              <w:jc w:val="left"/>
              <w:textAlignment w:val="bottom"/>
              <w:rPr>
                <w:rStyle w:val="47"/>
                <w:rFonts w:hint="eastAsia" w:ascii="宋体" w:hAnsi="宋体" w:eastAsia="宋体" w:cs="宋体"/>
                <w:b/>
                <w:bCs/>
                <w:sz w:val="21"/>
                <w:szCs w:val="21"/>
                <w:lang w:val="en-US" w:eastAsia="zh-CN" w:bidi="ar"/>
              </w:rPr>
            </w:pPr>
            <w:r>
              <w:rPr>
                <w:rStyle w:val="47"/>
                <w:rFonts w:hint="eastAsia" w:ascii="宋体" w:hAnsi="宋体" w:eastAsia="宋体" w:cs="宋体"/>
                <w:b/>
                <w:bCs/>
                <w:sz w:val="21"/>
                <w:szCs w:val="21"/>
                <w:lang w:val="en-US" w:eastAsia="zh-CN" w:bidi="ar"/>
              </w:rPr>
              <w:t>长*宽*高=2.2m*2.2m*2.7m</w:t>
            </w:r>
          </w:p>
        </w:tc>
      </w:tr>
      <w:tr w14:paraId="7DC90EFC">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2782B6">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①</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9BAE6C">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外墙面铲除并清理</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237FE2">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01F08F">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29.39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CCC207">
            <w:pPr>
              <w:widowControl/>
              <w:ind w:left="0" w:leftChars="0" w:firstLine="0" w:firstLineChars="0"/>
              <w:jc w:val="left"/>
              <w:textAlignment w:val="bottom"/>
              <w:rPr>
                <w:rStyle w:val="47"/>
                <w:rFonts w:hint="eastAsia" w:ascii="宋体" w:hAnsi="宋体" w:eastAsia="宋体" w:cs="宋体"/>
                <w:sz w:val="21"/>
                <w:szCs w:val="21"/>
                <w:lang w:val="en-US" w:eastAsia="zh-CN" w:bidi="ar"/>
              </w:rPr>
            </w:pPr>
          </w:p>
        </w:tc>
      </w:tr>
      <w:tr w14:paraId="7A63468F">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6130EB">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②</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AC2B95">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外墙水泥砂浆找平</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296496">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E095D4">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29.39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4281C1">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15mm厚，1:2.5水泥砂浆</w:t>
            </w:r>
          </w:p>
        </w:tc>
      </w:tr>
      <w:tr w14:paraId="48127039">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BBDBA8">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③</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E5B33D">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外墙柔性耐水腻子</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B9ACC5">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365ED0">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29.39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4EECD9">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两遍</w:t>
            </w:r>
          </w:p>
        </w:tc>
      </w:tr>
      <w:tr w14:paraId="61F0148F">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8BF92E">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④</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8642D7">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涂外墙涂料</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8BCA0D">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8DCA56">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29.39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923F30">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丙烯酸乳胶漆两遍</w:t>
            </w:r>
          </w:p>
        </w:tc>
      </w:tr>
      <w:tr w14:paraId="791E3323">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EC3326">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⑤</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013266">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脚手架</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D492CD">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AD210E">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29.39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A5805B">
            <w:pPr>
              <w:widowControl/>
              <w:ind w:left="0" w:leftChars="0" w:firstLine="0" w:firstLineChars="0"/>
              <w:jc w:val="left"/>
              <w:textAlignment w:val="bottom"/>
              <w:rPr>
                <w:rStyle w:val="47"/>
                <w:rFonts w:hint="eastAsia" w:ascii="宋体" w:hAnsi="宋体" w:eastAsia="宋体" w:cs="宋体"/>
                <w:sz w:val="21"/>
                <w:szCs w:val="21"/>
                <w:lang w:val="en-US" w:eastAsia="zh-CN" w:bidi="ar"/>
              </w:rPr>
            </w:pPr>
          </w:p>
        </w:tc>
      </w:tr>
      <w:tr w14:paraId="7DD33FFB">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3A5C8D">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⑥</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80A5FD">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渣土外运消纳</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B1DA62">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Style w:val="48"/>
                <w:rFonts w:hint="eastAsia" w:ascii="宋体" w:hAnsi="宋体" w:eastAsia="宋体" w:cs="宋体"/>
                <w:sz w:val="21"/>
                <w:szCs w:val="21"/>
                <w:lang w:val="en-US" w:eastAsia="zh-CN" w:bidi="ar"/>
              </w:rPr>
              <w:t>3</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80CA05">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0.44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4965D1">
            <w:pPr>
              <w:widowControl/>
              <w:ind w:left="0" w:leftChars="0" w:firstLine="0" w:firstLineChars="0"/>
              <w:jc w:val="left"/>
              <w:textAlignment w:val="bottom"/>
              <w:rPr>
                <w:rStyle w:val="47"/>
                <w:rFonts w:hint="eastAsia" w:ascii="宋体" w:hAnsi="宋体" w:eastAsia="宋体" w:cs="宋体"/>
                <w:sz w:val="21"/>
                <w:szCs w:val="21"/>
                <w:lang w:val="en-US" w:eastAsia="zh-CN" w:bidi="ar"/>
              </w:rPr>
            </w:pPr>
          </w:p>
        </w:tc>
      </w:tr>
      <w:tr w14:paraId="606F9E9B">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753EC8">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⑦</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9DC493">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挑檐方钢旧漆面清除</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F64B9D">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D55AB3">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15.03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039435">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金属油漆</w:t>
            </w:r>
          </w:p>
        </w:tc>
      </w:tr>
      <w:tr w14:paraId="7386B1E9">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E10829">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⑧</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074A99">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挑檐方钢刷底漆</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8D912D">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05A70B">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15.03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81C29B">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防锈漆 一遍</w:t>
            </w:r>
          </w:p>
        </w:tc>
      </w:tr>
      <w:tr w14:paraId="5EEBB0D2">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F09A5F">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⑨</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6A04F7">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挑檐方钢金属刷面漆 </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2A4258">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81213C">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15.03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01A300">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耐酸漆 二遍</w:t>
            </w:r>
          </w:p>
        </w:tc>
      </w:tr>
      <w:tr w14:paraId="1231BCF7">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5B441F">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⑩</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3E5BA6">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金属门窗拆除</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D03985">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72D674">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4.24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16E3FB">
            <w:pPr>
              <w:widowControl/>
              <w:ind w:left="0" w:leftChars="0" w:firstLine="0" w:firstLineChars="0"/>
              <w:jc w:val="left"/>
              <w:textAlignment w:val="bottom"/>
              <w:rPr>
                <w:rStyle w:val="47"/>
                <w:rFonts w:hint="eastAsia" w:ascii="宋体" w:hAnsi="宋体" w:eastAsia="宋体" w:cs="宋体"/>
                <w:sz w:val="21"/>
                <w:szCs w:val="21"/>
                <w:lang w:val="en-US" w:eastAsia="zh-CN" w:bidi="ar"/>
              </w:rPr>
            </w:pPr>
          </w:p>
        </w:tc>
      </w:tr>
      <w:tr w14:paraId="4A3BCD97">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37933F">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⑪</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3CD1C1">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金属门窗</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536A48">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5C8D7C">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4.24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963B97">
            <w:pPr>
              <w:keepNext w:val="0"/>
              <w:keepLines w:val="0"/>
              <w:widowControl/>
              <w:suppressLineNumbers w:val="0"/>
              <w:ind w:left="0" w:leftChars="0" w:firstLine="0" w:firstLineChars="0"/>
              <w:jc w:val="left"/>
              <w:textAlignment w:val="center"/>
              <w:rPr>
                <w:rStyle w:val="47"/>
                <w:rFonts w:hint="eastAsia" w:ascii="宋体" w:hAnsi="宋体" w:eastAsia="宋体" w:cs="宋体"/>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70系列平开断桥铝金</w:t>
            </w:r>
          </w:p>
        </w:tc>
      </w:tr>
      <w:tr w14:paraId="36504248">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C1BD9E">
            <w:pPr>
              <w:widowControl/>
              <w:ind w:left="0" w:leftChars="0" w:firstLine="0" w:firstLineChars="0"/>
              <w:jc w:val="center"/>
              <w:textAlignment w:val="bottom"/>
              <w:rPr>
                <w:rStyle w:val="47"/>
                <w:rFonts w:hint="eastAsia" w:ascii="宋体" w:hAnsi="宋体" w:eastAsia="宋体" w:cs="宋体"/>
                <w:b/>
                <w:bCs/>
                <w:sz w:val="21"/>
                <w:szCs w:val="21"/>
                <w:lang w:bidi="ar"/>
              </w:rPr>
            </w:pPr>
            <w:r>
              <w:rPr>
                <w:rStyle w:val="47"/>
                <w:rFonts w:hint="eastAsia" w:ascii="宋体" w:hAnsi="宋体" w:eastAsia="宋体" w:cs="宋体"/>
                <w:b/>
                <w:bCs/>
                <w:sz w:val="21"/>
                <w:szCs w:val="21"/>
                <w:lang w:val="en-US" w:eastAsia="zh-CN" w:bidi="ar"/>
              </w:rPr>
              <w:t>3-4</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AD52D2">
            <w:pPr>
              <w:widowControl/>
              <w:ind w:left="0" w:leftChars="0" w:firstLine="0" w:firstLineChars="0"/>
              <w:jc w:val="left"/>
              <w:textAlignment w:val="bottom"/>
              <w:rPr>
                <w:rStyle w:val="47"/>
                <w:rFonts w:hint="eastAsia" w:ascii="宋体" w:hAnsi="宋体" w:eastAsia="宋体" w:cs="宋体"/>
                <w:b/>
                <w:bCs/>
                <w:sz w:val="21"/>
                <w:szCs w:val="21"/>
                <w:lang w:val="en-US" w:eastAsia="zh-CN" w:bidi="ar"/>
              </w:rPr>
            </w:pPr>
            <w:r>
              <w:rPr>
                <w:rStyle w:val="47"/>
                <w:rFonts w:hint="eastAsia" w:ascii="宋体" w:hAnsi="宋体" w:eastAsia="宋体" w:cs="宋体"/>
                <w:b/>
                <w:bCs/>
                <w:sz w:val="21"/>
                <w:szCs w:val="21"/>
                <w:lang w:val="en-US" w:eastAsia="zh-CN" w:bidi="ar"/>
              </w:rPr>
              <w:t>测流亭2</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4BB48C">
            <w:pPr>
              <w:jc w:val="center"/>
              <w:rPr>
                <w:rStyle w:val="47"/>
                <w:rFonts w:hint="eastAsia" w:ascii="宋体" w:hAnsi="宋体" w:eastAsia="宋体" w:cs="宋体"/>
                <w:b/>
                <w:bCs/>
                <w:sz w:val="21"/>
                <w:szCs w:val="21"/>
                <w:lang w:bidi="ar"/>
              </w:rPr>
            </w:pP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AD5891">
            <w:pPr>
              <w:widowControl/>
              <w:ind w:left="0" w:leftChars="0" w:firstLine="0" w:firstLineChars="0"/>
              <w:jc w:val="center"/>
              <w:textAlignment w:val="bottom"/>
              <w:rPr>
                <w:rStyle w:val="47"/>
                <w:rFonts w:hint="eastAsia" w:ascii="宋体" w:hAnsi="宋体" w:eastAsia="宋体" w:cs="宋体"/>
                <w:b/>
                <w:bCs/>
                <w:sz w:val="21"/>
                <w:szCs w:val="21"/>
                <w:lang w:val="en-US" w:eastAsia="zh-CN" w:bidi="ar"/>
              </w:rPr>
            </w:pP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7B92BE">
            <w:pPr>
              <w:keepNext w:val="0"/>
              <w:keepLines w:val="0"/>
              <w:widowControl/>
              <w:suppressLineNumbers w:val="0"/>
              <w:ind w:left="0" w:leftChars="0" w:firstLine="0" w:firstLineChars="0"/>
              <w:jc w:val="left"/>
              <w:textAlignment w:val="center"/>
              <w:rPr>
                <w:rStyle w:val="47"/>
                <w:rFonts w:hint="eastAsia" w:ascii="宋体" w:hAnsi="宋体" w:eastAsia="宋体" w:cs="宋体"/>
                <w:b/>
                <w:bCs/>
                <w:sz w:val="21"/>
                <w:szCs w:val="21"/>
                <w:lang w:val="en-US" w:eastAsia="zh-CN" w:bidi="ar"/>
              </w:rPr>
            </w:pPr>
            <w:r>
              <w:rPr>
                <w:rFonts w:hint="eastAsia" w:ascii="宋体" w:hAnsi="宋体" w:eastAsia="宋体" w:cs="宋体"/>
                <w:b/>
                <w:bCs/>
                <w:i w:val="0"/>
                <w:iCs w:val="0"/>
                <w:color w:val="000000"/>
                <w:kern w:val="0"/>
                <w:sz w:val="22"/>
                <w:szCs w:val="22"/>
                <w:u w:val="none"/>
                <w:lang w:val="en-US" w:eastAsia="zh-CN" w:bidi="ar"/>
              </w:rPr>
              <w:t>长*宽*高=1.8m*1.8m*2.85m</w:t>
            </w:r>
          </w:p>
        </w:tc>
      </w:tr>
      <w:tr w14:paraId="0B3667BA">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EF159C">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①</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893E5C">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外墙面铲除并清理</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6A1BAE">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2926C4">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13.61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6BC835">
            <w:pPr>
              <w:widowControl/>
              <w:ind w:left="0" w:leftChars="0" w:firstLine="0" w:firstLineChars="0"/>
              <w:jc w:val="left"/>
              <w:textAlignment w:val="bottom"/>
              <w:rPr>
                <w:rStyle w:val="47"/>
                <w:rFonts w:hint="eastAsia" w:ascii="宋体" w:hAnsi="宋体" w:eastAsia="宋体" w:cs="宋体"/>
                <w:sz w:val="21"/>
                <w:szCs w:val="21"/>
                <w:lang w:val="en-US" w:eastAsia="zh-CN" w:bidi="ar"/>
              </w:rPr>
            </w:pPr>
          </w:p>
        </w:tc>
      </w:tr>
      <w:tr w14:paraId="4E3AD124">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5E264E">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②</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4E41B4">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外墙水泥砂浆找平</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E15B2B">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70A6F2">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13.61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5316CB">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15mm厚，1:2.5水泥砂浆</w:t>
            </w:r>
          </w:p>
        </w:tc>
      </w:tr>
      <w:tr w14:paraId="3D3CAAE4">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3BB92F">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③</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FD6AA6">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外墙柔性耐水腻子</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966C7F">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543393">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13.61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D8CAA1">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两遍</w:t>
            </w:r>
          </w:p>
        </w:tc>
      </w:tr>
      <w:tr w14:paraId="12509C73">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4CD4F7">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④</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8658E7">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涂外墙涂料</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F01E07">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BF0B35">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13.61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4D24A6">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丙烯酸乳胶漆两遍</w:t>
            </w:r>
          </w:p>
        </w:tc>
      </w:tr>
      <w:tr w14:paraId="5804E4DD">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EB2504">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⑤</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89E5F5">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脚手架</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13B761">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41C684">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13.61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CFADD8">
            <w:pPr>
              <w:widowControl/>
              <w:ind w:left="0" w:leftChars="0" w:firstLine="0" w:firstLineChars="0"/>
              <w:jc w:val="left"/>
              <w:textAlignment w:val="bottom"/>
              <w:rPr>
                <w:rStyle w:val="47"/>
                <w:rFonts w:hint="eastAsia" w:ascii="宋体" w:hAnsi="宋体" w:eastAsia="宋体" w:cs="宋体"/>
                <w:sz w:val="21"/>
                <w:szCs w:val="21"/>
                <w:lang w:val="en-US" w:eastAsia="zh-CN" w:bidi="ar"/>
              </w:rPr>
            </w:pPr>
          </w:p>
        </w:tc>
      </w:tr>
      <w:tr w14:paraId="09171C84">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35840E">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⑥</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5D7134">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渣土外运消纳</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249A97">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Style w:val="48"/>
                <w:rFonts w:hint="eastAsia" w:ascii="宋体" w:hAnsi="宋体" w:eastAsia="宋体" w:cs="宋体"/>
                <w:sz w:val="21"/>
                <w:szCs w:val="21"/>
                <w:lang w:val="en-US" w:eastAsia="zh-CN" w:bidi="ar"/>
              </w:rPr>
              <w:t>3</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D560D5">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0.20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208AC2">
            <w:pPr>
              <w:widowControl/>
              <w:ind w:left="0" w:leftChars="0" w:firstLine="0" w:firstLineChars="0"/>
              <w:jc w:val="left"/>
              <w:textAlignment w:val="bottom"/>
              <w:rPr>
                <w:rStyle w:val="47"/>
                <w:rFonts w:hint="eastAsia" w:ascii="宋体" w:hAnsi="宋体" w:eastAsia="宋体" w:cs="宋体"/>
                <w:sz w:val="21"/>
                <w:szCs w:val="21"/>
                <w:lang w:val="en-US" w:eastAsia="zh-CN" w:bidi="ar"/>
              </w:rPr>
            </w:pPr>
          </w:p>
        </w:tc>
      </w:tr>
      <w:tr w14:paraId="0167F646">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E9916B">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⑦</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215572">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挑檐方钢旧漆面清除</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C322A8">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B5D1E3">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16.90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4D5197">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金属油漆</w:t>
            </w:r>
          </w:p>
        </w:tc>
      </w:tr>
      <w:tr w14:paraId="71D23CF2">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22AA33">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⑧</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5D5EFD">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挑檐方钢刷底漆</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15EB3A">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301F95">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16.90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6B5731">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防锈漆 一遍</w:t>
            </w:r>
          </w:p>
        </w:tc>
      </w:tr>
      <w:tr w14:paraId="78641D77">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C36078">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⑨</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9EEF06">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挑檐方钢金属刷面漆 </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51D237">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9F9075">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16.90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D8C7C6">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耐酸漆 二遍</w:t>
            </w:r>
          </w:p>
        </w:tc>
      </w:tr>
      <w:tr w14:paraId="1EF1731B">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4CB8DD">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⑩</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309803">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金属门窗拆除</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055030">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91FFFF">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9.79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1FCC85">
            <w:pPr>
              <w:widowControl/>
              <w:ind w:left="0" w:leftChars="0" w:firstLine="0" w:firstLineChars="0"/>
              <w:jc w:val="left"/>
              <w:textAlignment w:val="bottom"/>
              <w:rPr>
                <w:rStyle w:val="47"/>
                <w:rFonts w:hint="eastAsia" w:ascii="宋体" w:hAnsi="宋体" w:eastAsia="宋体" w:cs="宋体"/>
                <w:sz w:val="21"/>
                <w:szCs w:val="21"/>
                <w:lang w:val="en-US" w:eastAsia="zh-CN" w:bidi="ar"/>
              </w:rPr>
            </w:pPr>
          </w:p>
        </w:tc>
      </w:tr>
      <w:tr w14:paraId="55D07172">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4799C4">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⑪</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D934D2">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金属门窗</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C904EA">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FC4803">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9.79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2EA0B5">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70系列平开断桥铝金</w:t>
            </w:r>
          </w:p>
        </w:tc>
      </w:tr>
      <w:tr w14:paraId="33F4FBBA">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800341">
            <w:pPr>
              <w:widowControl/>
              <w:ind w:left="0" w:leftChars="0" w:firstLine="0" w:firstLineChars="0"/>
              <w:jc w:val="center"/>
              <w:textAlignment w:val="bottom"/>
              <w:rPr>
                <w:rStyle w:val="47"/>
                <w:rFonts w:hint="eastAsia" w:ascii="宋体" w:hAnsi="宋体" w:eastAsia="宋体" w:cs="宋体"/>
                <w:b/>
                <w:bCs/>
                <w:sz w:val="21"/>
                <w:szCs w:val="21"/>
                <w:lang w:bidi="ar"/>
              </w:rPr>
            </w:pPr>
            <w:r>
              <w:rPr>
                <w:rStyle w:val="47"/>
                <w:rFonts w:hint="eastAsia" w:ascii="宋体" w:hAnsi="宋体" w:eastAsia="宋体" w:cs="宋体"/>
                <w:b/>
                <w:bCs/>
                <w:sz w:val="21"/>
                <w:szCs w:val="21"/>
                <w:lang w:val="en-US" w:eastAsia="zh-CN" w:bidi="ar"/>
              </w:rPr>
              <w:t>3-5</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24CC15">
            <w:pPr>
              <w:widowControl/>
              <w:ind w:left="0" w:leftChars="0" w:firstLine="0" w:firstLineChars="0"/>
              <w:jc w:val="left"/>
              <w:textAlignment w:val="bottom"/>
              <w:rPr>
                <w:rStyle w:val="47"/>
                <w:rFonts w:hint="eastAsia" w:ascii="宋体" w:hAnsi="宋体" w:eastAsia="宋体" w:cs="宋体"/>
                <w:b/>
                <w:bCs/>
                <w:sz w:val="21"/>
                <w:szCs w:val="21"/>
                <w:lang w:val="en-US" w:eastAsia="zh-CN" w:bidi="ar"/>
              </w:rPr>
            </w:pPr>
            <w:r>
              <w:rPr>
                <w:rStyle w:val="47"/>
                <w:rFonts w:hint="eastAsia" w:ascii="宋体" w:hAnsi="宋体" w:eastAsia="宋体" w:cs="宋体"/>
                <w:b/>
                <w:bCs/>
                <w:sz w:val="21"/>
                <w:szCs w:val="21"/>
                <w:lang w:val="en-US" w:eastAsia="zh-CN" w:bidi="ar"/>
              </w:rPr>
              <w:t>测流亭砼连接桥栏杆粉刷</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89D815">
            <w:pPr>
              <w:jc w:val="center"/>
              <w:rPr>
                <w:rStyle w:val="47"/>
                <w:rFonts w:hint="eastAsia" w:ascii="宋体" w:hAnsi="宋体" w:eastAsia="宋体" w:cs="宋体"/>
                <w:b/>
                <w:bCs/>
                <w:sz w:val="21"/>
                <w:szCs w:val="21"/>
                <w:lang w:bidi="ar"/>
              </w:rPr>
            </w:pP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46ACE9">
            <w:pPr>
              <w:widowControl/>
              <w:ind w:left="0" w:leftChars="0" w:firstLine="0" w:firstLineChars="0"/>
              <w:jc w:val="center"/>
              <w:textAlignment w:val="bottom"/>
              <w:rPr>
                <w:rStyle w:val="47"/>
                <w:rFonts w:hint="eastAsia" w:ascii="宋体" w:hAnsi="宋体" w:eastAsia="宋体" w:cs="宋体"/>
                <w:b/>
                <w:bCs/>
                <w:sz w:val="21"/>
                <w:szCs w:val="21"/>
                <w:lang w:val="en-US" w:eastAsia="zh-CN" w:bidi="ar"/>
              </w:rPr>
            </w:pP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804179">
            <w:pPr>
              <w:widowControl/>
              <w:ind w:left="0" w:leftChars="0" w:firstLine="0" w:firstLineChars="0"/>
              <w:jc w:val="left"/>
              <w:textAlignment w:val="bottom"/>
              <w:rPr>
                <w:rStyle w:val="47"/>
                <w:rFonts w:hint="eastAsia" w:ascii="宋体" w:hAnsi="宋体" w:eastAsia="宋体" w:cs="宋体"/>
                <w:b/>
                <w:bCs/>
                <w:sz w:val="21"/>
                <w:szCs w:val="21"/>
                <w:lang w:val="en-US" w:eastAsia="zh-CN" w:bidi="ar"/>
              </w:rPr>
            </w:pPr>
          </w:p>
        </w:tc>
      </w:tr>
      <w:tr w14:paraId="48C269EE">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F1CAD0">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①</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5372E5">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栏杆面铲除并清理</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F1D702">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ECB845">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19.14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DEF3A7">
            <w:pPr>
              <w:widowControl/>
              <w:ind w:left="0" w:leftChars="0" w:firstLine="0" w:firstLineChars="0"/>
              <w:jc w:val="left"/>
              <w:textAlignment w:val="bottom"/>
              <w:rPr>
                <w:rStyle w:val="47"/>
                <w:rFonts w:hint="eastAsia" w:ascii="宋体" w:hAnsi="宋体" w:eastAsia="宋体" w:cs="宋体"/>
                <w:sz w:val="21"/>
                <w:szCs w:val="21"/>
                <w:lang w:val="en-US" w:eastAsia="zh-CN" w:bidi="ar"/>
              </w:rPr>
            </w:pPr>
          </w:p>
        </w:tc>
      </w:tr>
      <w:tr w14:paraId="6AA20077">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1EDEC1">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②</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779202">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栏杆面水泥砂浆找平</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2CC08D">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103767">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19.14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01630C">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15mm厚，1:2.5水泥砂浆</w:t>
            </w:r>
          </w:p>
        </w:tc>
      </w:tr>
      <w:tr w14:paraId="28F42902">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8E4435">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③</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5ED6BD">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栏杆面柔性耐水腻子</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F0F3E4">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C70401">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19.14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B338E0">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二遍</w:t>
            </w:r>
          </w:p>
        </w:tc>
      </w:tr>
      <w:tr w14:paraId="40B6B7FD">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0CCA1B">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④</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ED9066">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栏杆涂外墙涂料</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B5D650">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5128F0">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19.14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C8E618">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丙烯酸乳胶漆两遍</w:t>
            </w:r>
          </w:p>
        </w:tc>
      </w:tr>
      <w:tr w14:paraId="76FDF868">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33673C">
            <w:pPr>
              <w:widowControl/>
              <w:ind w:left="0" w:leftChars="0" w:firstLine="0" w:firstLineChars="0"/>
              <w:jc w:val="center"/>
              <w:textAlignment w:val="bottom"/>
              <w:rPr>
                <w:rStyle w:val="47"/>
                <w:rFonts w:hint="eastAsia" w:ascii="宋体" w:hAnsi="宋体" w:eastAsia="宋体" w:cs="宋体"/>
                <w:sz w:val="21"/>
                <w:szCs w:val="21"/>
                <w:lang w:bidi="ar"/>
              </w:rPr>
            </w:pPr>
            <w:r>
              <w:rPr>
                <w:rStyle w:val="47"/>
                <w:rFonts w:hint="eastAsia" w:ascii="宋体" w:hAnsi="宋体" w:eastAsia="宋体" w:cs="宋体"/>
                <w:sz w:val="21"/>
                <w:szCs w:val="21"/>
                <w:lang w:val="en-US" w:eastAsia="zh-CN" w:bidi="ar"/>
              </w:rPr>
              <w:t>⑤</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FA0947">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渣土外运消纳</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AE87B5">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bidi="ar"/>
              </w:rPr>
            </w:pPr>
            <w:r>
              <w:rPr>
                <w:rFonts w:hint="eastAsia" w:ascii="宋体" w:hAnsi="宋体" w:eastAsia="宋体" w:cs="宋体"/>
                <w:i w:val="0"/>
                <w:iCs w:val="0"/>
                <w:color w:val="000000"/>
                <w:kern w:val="0"/>
                <w:sz w:val="21"/>
                <w:szCs w:val="21"/>
                <w:u w:val="none"/>
                <w:lang w:val="en-US" w:eastAsia="zh-CN" w:bidi="ar"/>
              </w:rPr>
              <w:t>m</w:t>
            </w:r>
            <w:r>
              <w:rPr>
                <w:rStyle w:val="48"/>
                <w:rFonts w:hint="eastAsia" w:ascii="宋体" w:hAnsi="宋体" w:eastAsia="宋体" w:cs="宋体"/>
                <w:sz w:val="21"/>
                <w:szCs w:val="21"/>
                <w:lang w:val="en-US" w:eastAsia="zh-CN" w:bidi="ar"/>
              </w:rPr>
              <w:t>3</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CA99A7">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0.29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F8CEE7">
            <w:pPr>
              <w:widowControl/>
              <w:ind w:left="0" w:leftChars="0" w:firstLine="0" w:firstLineChars="0"/>
              <w:jc w:val="left"/>
              <w:textAlignment w:val="bottom"/>
              <w:rPr>
                <w:rStyle w:val="47"/>
                <w:rFonts w:hint="eastAsia" w:ascii="宋体" w:hAnsi="宋体" w:eastAsia="宋体" w:cs="宋体"/>
                <w:sz w:val="21"/>
                <w:szCs w:val="21"/>
                <w:lang w:val="en-US" w:eastAsia="zh-CN" w:bidi="ar"/>
              </w:rPr>
            </w:pPr>
          </w:p>
        </w:tc>
      </w:tr>
      <w:tr w14:paraId="3DD6614A">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187AFD">
            <w:pPr>
              <w:widowControl/>
              <w:ind w:left="0" w:leftChars="0" w:firstLine="0" w:firstLineChars="0"/>
              <w:jc w:val="center"/>
              <w:textAlignment w:val="bottom"/>
              <w:rPr>
                <w:rStyle w:val="47"/>
                <w:rFonts w:hint="eastAsia" w:ascii="宋体" w:hAnsi="宋体" w:eastAsia="宋体" w:cs="宋体"/>
                <w:b/>
                <w:bCs/>
                <w:sz w:val="21"/>
                <w:szCs w:val="21"/>
                <w:lang w:val="en-US" w:eastAsia="zh-CN" w:bidi="ar"/>
              </w:rPr>
            </w:pPr>
            <w:r>
              <w:rPr>
                <w:rStyle w:val="47"/>
                <w:rFonts w:hint="eastAsia" w:ascii="宋体" w:hAnsi="宋体" w:eastAsia="宋体" w:cs="宋体"/>
                <w:b/>
                <w:bCs/>
                <w:sz w:val="21"/>
                <w:szCs w:val="21"/>
                <w:lang w:val="en-US" w:eastAsia="zh-CN" w:bidi="ar"/>
              </w:rPr>
              <w:t>(4)</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C70991">
            <w:pPr>
              <w:widowControl/>
              <w:ind w:left="0" w:leftChars="0" w:firstLine="0" w:firstLineChars="0"/>
              <w:jc w:val="left"/>
              <w:textAlignment w:val="bottom"/>
              <w:rPr>
                <w:rStyle w:val="47"/>
                <w:rFonts w:hint="eastAsia" w:ascii="宋体" w:hAnsi="宋体" w:eastAsia="宋体" w:cs="宋体"/>
                <w:b/>
                <w:bCs/>
                <w:sz w:val="21"/>
                <w:szCs w:val="21"/>
                <w:lang w:val="en-US" w:eastAsia="zh-CN" w:bidi="ar"/>
              </w:rPr>
            </w:pPr>
            <w:r>
              <w:rPr>
                <w:rStyle w:val="47"/>
                <w:rFonts w:hint="eastAsia" w:ascii="宋体" w:hAnsi="宋体" w:eastAsia="宋体" w:cs="宋体"/>
                <w:b/>
                <w:bCs/>
                <w:sz w:val="21"/>
                <w:szCs w:val="21"/>
                <w:lang w:val="en-US" w:eastAsia="zh-CN" w:bidi="ar"/>
              </w:rPr>
              <w:t>进水闸闸室</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F6B2BA">
            <w:pPr>
              <w:widowControl/>
              <w:ind w:left="0" w:leftChars="0" w:firstLine="0" w:firstLineChars="0"/>
              <w:jc w:val="center"/>
              <w:textAlignment w:val="bottom"/>
              <w:rPr>
                <w:rStyle w:val="47"/>
                <w:rFonts w:hint="eastAsia" w:ascii="宋体" w:hAnsi="宋体" w:eastAsia="宋体" w:cs="宋体"/>
                <w:b/>
                <w:bCs/>
                <w:sz w:val="21"/>
                <w:szCs w:val="21"/>
                <w:lang w:val="en-US" w:eastAsia="zh-CN" w:bidi="ar"/>
              </w:rPr>
            </w:pP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BF9811">
            <w:pPr>
              <w:widowControl/>
              <w:ind w:left="0" w:leftChars="0" w:firstLine="0" w:firstLineChars="0"/>
              <w:jc w:val="center"/>
              <w:textAlignment w:val="bottom"/>
              <w:rPr>
                <w:rStyle w:val="47"/>
                <w:rFonts w:hint="eastAsia" w:ascii="宋体" w:hAnsi="宋体" w:eastAsia="宋体" w:cs="宋体"/>
                <w:b/>
                <w:bCs/>
                <w:sz w:val="21"/>
                <w:szCs w:val="21"/>
                <w:lang w:val="en-US" w:eastAsia="zh-CN" w:bidi="ar"/>
              </w:rPr>
            </w:pP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17D017">
            <w:pPr>
              <w:widowControl/>
              <w:ind w:left="0" w:leftChars="0" w:firstLine="0" w:firstLineChars="0"/>
              <w:jc w:val="center"/>
              <w:textAlignment w:val="bottom"/>
              <w:rPr>
                <w:rStyle w:val="47"/>
                <w:rFonts w:hint="eastAsia" w:ascii="宋体" w:hAnsi="宋体" w:eastAsia="宋体" w:cs="宋体"/>
                <w:b/>
                <w:bCs/>
                <w:sz w:val="21"/>
                <w:szCs w:val="21"/>
                <w:lang w:val="en-US" w:eastAsia="zh-CN" w:bidi="ar"/>
              </w:rPr>
            </w:pPr>
          </w:p>
        </w:tc>
      </w:tr>
      <w:tr w14:paraId="5B4DB732">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0E6699">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①</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4255F5">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抹灰层铲除 </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61D81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6EADA7">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22.08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62230C">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水泥及混合砂浆面层</w:t>
            </w:r>
          </w:p>
        </w:tc>
      </w:tr>
      <w:tr w14:paraId="1683FB1A">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E3A94F">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②</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505099">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天棚抹灰层拆除 </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2BEB3B">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8827F1">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75.35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9AD408">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石灰砂浆及粉刷石膏面</w:t>
            </w:r>
          </w:p>
        </w:tc>
      </w:tr>
      <w:tr w14:paraId="191CBFC2">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D54CD1">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③</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924D5F">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屋面防水铲除 </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C3B52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366ADA">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74.52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6639B2">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防水卷材 屋面</w:t>
            </w:r>
          </w:p>
        </w:tc>
      </w:tr>
      <w:tr w14:paraId="4596DB4F">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61CE44">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④</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BBB8EF">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屋面找平层拆除 </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C6E3D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070330">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74.52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9A8023">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水泥砂浆</w:t>
            </w:r>
          </w:p>
        </w:tc>
      </w:tr>
      <w:tr w14:paraId="4D0DD249">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EEF609">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⑤</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94B5E2">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屋面面层拆除 </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FC4AD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76A5EE">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75.35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A4B392">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块料面层</w:t>
            </w:r>
          </w:p>
        </w:tc>
      </w:tr>
      <w:tr w14:paraId="25579FCC">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DDEB7B">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⑥</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E2D651">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抹灰面油漆 </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D0489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4132E0">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110.39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B6E5CA">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内墙 耐水腻子两遍 抹灰面</w:t>
            </w:r>
          </w:p>
        </w:tc>
      </w:tr>
      <w:tr w14:paraId="518882B9">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D540AB">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⑦</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1C1001">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内墙面层涂料</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973BF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F6B855">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110.39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01E2AA">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 乳胶漆 二遍</w:t>
            </w:r>
          </w:p>
        </w:tc>
      </w:tr>
      <w:tr w14:paraId="3F8D9307">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9BF61B">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⑧</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424227">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天棚面刮腻子 </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D7BEC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E7262D">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75.35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F26505">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石膏板面 二遍</w:t>
            </w:r>
          </w:p>
        </w:tc>
      </w:tr>
      <w:tr w14:paraId="5B6075F6">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54B569">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⑨</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17C7FE">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天棚面喷刷涂料 </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C5330C">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A9778B">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75.35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E5D49F">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丙烯酸乳胶漆 二遍</w:t>
            </w:r>
          </w:p>
        </w:tc>
      </w:tr>
      <w:tr w14:paraId="4CD4FB59">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BD44D0">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⑩</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97D35A">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找平层 </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FCCB7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3BCCAD">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75.35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B736CD">
            <w:pPr>
              <w:keepNext w:val="0"/>
              <w:keepLines w:val="0"/>
              <w:widowControl/>
              <w:suppressLineNumbers w:val="0"/>
              <w:ind w:left="0" w:leftChars="0" w:firstLine="0" w:firstLineChars="0"/>
              <w:jc w:val="left"/>
              <w:textAlignment w:val="center"/>
              <w:rPr>
                <w:rStyle w:val="47"/>
                <w:rFonts w:hint="eastAsia" w:ascii="宋体" w:hAnsi="宋体" w:eastAsia="宋体" w:cs="宋体"/>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C20细石混凝土 厚度30mm</w:t>
            </w:r>
          </w:p>
        </w:tc>
      </w:tr>
      <w:tr w14:paraId="41B55C17">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078E4F">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⑪</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A33C2E">
            <w:pPr>
              <w:widowControl/>
              <w:ind w:left="0" w:leftChars="0" w:firstLine="0" w:firstLineChars="0"/>
              <w:jc w:val="left"/>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屋面防水 </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6A880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F98148">
            <w:pPr>
              <w:widowControl/>
              <w:ind w:left="0" w:leftChars="0" w:firstLine="0" w:firstLineChars="0"/>
              <w:jc w:val="center"/>
              <w:textAlignment w:val="bottom"/>
              <w:rPr>
                <w:rStyle w:val="47"/>
                <w:rFonts w:hint="eastAsia" w:ascii="宋体" w:hAnsi="宋体" w:eastAsia="宋体" w:cs="宋体"/>
                <w:sz w:val="21"/>
                <w:szCs w:val="21"/>
                <w:lang w:val="en-US" w:eastAsia="zh-CN" w:bidi="ar"/>
              </w:rPr>
            </w:pPr>
            <w:r>
              <w:rPr>
                <w:rStyle w:val="47"/>
                <w:rFonts w:hint="eastAsia" w:ascii="宋体" w:hAnsi="宋体" w:eastAsia="宋体" w:cs="宋体"/>
                <w:sz w:val="21"/>
                <w:szCs w:val="21"/>
                <w:lang w:val="en-US" w:eastAsia="zh-CN" w:bidi="ar"/>
              </w:rPr>
              <w:t xml:space="preserve">110.05 </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77358C">
            <w:pPr>
              <w:keepNext w:val="0"/>
              <w:keepLines w:val="0"/>
              <w:widowControl/>
              <w:suppressLineNumbers w:val="0"/>
              <w:ind w:left="0" w:leftChars="0" w:firstLine="0" w:firstLineChars="0"/>
              <w:jc w:val="left"/>
              <w:textAlignment w:val="center"/>
              <w:rPr>
                <w:rStyle w:val="47"/>
                <w:rFonts w:hint="eastAsia" w:ascii="宋体" w:hAnsi="宋体" w:eastAsia="宋体" w:cs="宋体"/>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双层SBS改性沥青防水卷材(热熔法)，卷材型号：SBS I PY PE PE3</w:t>
            </w:r>
          </w:p>
        </w:tc>
      </w:tr>
      <w:tr w14:paraId="40A13D06">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A52374">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val="en-US" w:eastAsia="zh-CN" w:bidi="ar"/>
              </w:rPr>
            </w:pPr>
            <w:r>
              <w:rPr>
                <w:rFonts w:hint="eastAsia" w:ascii="宋体" w:hAnsi="宋体" w:eastAsia="宋体" w:cs="宋体"/>
                <w:b/>
                <w:bCs/>
                <w:i w:val="0"/>
                <w:iCs w:val="0"/>
                <w:color w:val="000000"/>
                <w:kern w:val="0"/>
                <w:sz w:val="21"/>
                <w:szCs w:val="21"/>
                <w:u w:val="none"/>
                <w:lang w:val="en-US" w:eastAsia="zh-CN" w:bidi="ar"/>
              </w:rPr>
              <w:t>(5)</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10F99B">
            <w:pPr>
              <w:keepNext w:val="0"/>
              <w:keepLines w:val="0"/>
              <w:widowControl/>
              <w:suppressLineNumbers w:val="0"/>
              <w:ind w:left="0" w:leftChars="0" w:firstLine="0" w:firstLineChars="0"/>
              <w:jc w:val="left"/>
              <w:textAlignment w:val="center"/>
              <w:rPr>
                <w:rStyle w:val="47"/>
                <w:rFonts w:hint="eastAsia" w:ascii="宋体" w:hAnsi="宋体" w:eastAsia="宋体" w:cs="宋体"/>
                <w:sz w:val="21"/>
                <w:szCs w:val="21"/>
                <w:lang w:val="en-US" w:eastAsia="zh-CN" w:bidi="ar"/>
              </w:rPr>
            </w:pPr>
            <w:r>
              <w:rPr>
                <w:rFonts w:hint="eastAsia" w:ascii="宋体" w:hAnsi="宋体" w:eastAsia="宋体" w:cs="宋体"/>
                <w:b/>
                <w:bCs/>
                <w:i w:val="0"/>
                <w:iCs w:val="0"/>
                <w:color w:val="000000"/>
                <w:kern w:val="0"/>
                <w:sz w:val="21"/>
                <w:szCs w:val="21"/>
                <w:u w:val="none"/>
                <w:lang w:val="en-US" w:eastAsia="zh-CN" w:bidi="ar"/>
              </w:rPr>
              <w:t>西溢洪道检修门槽钢盖板</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CFA607">
            <w:pPr>
              <w:jc w:val="center"/>
              <w:rPr>
                <w:rFonts w:hint="eastAsia" w:ascii="宋体" w:hAnsi="宋体" w:eastAsia="宋体" w:cs="宋体"/>
                <w:i w:val="0"/>
                <w:iCs w:val="0"/>
                <w:color w:val="000000"/>
                <w:kern w:val="0"/>
                <w:sz w:val="21"/>
                <w:szCs w:val="21"/>
                <w:u w:val="none"/>
                <w:lang w:val="en-US" w:eastAsia="zh-CN" w:bidi="ar"/>
              </w:rPr>
            </w:pP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CE3D5C">
            <w:pPr>
              <w:jc w:val="center"/>
              <w:rPr>
                <w:rStyle w:val="47"/>
                <w:rFonts w:hint="eastAsia" w:ascii="宋体" w:hAnsi="宋体" w:eastAsia="宋体" w:cs="宋体"/>
                <w:sz w:val="21"/>
                <w:szCs w:val="21"/>
                <w:lang w:val="en-US" w:eastAsia="zh-CN" w:bidi="ar"/>
              </w:rPr>
            </w:pP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23B5D7">
            <w:pPr>
              <w:jc w:val="left"/>
              <w:rPr>
                <w:rStyle w:val="47"/>
                <w:rFonts w:hint="eastAsia" w:ascii="宋体" w:hAnsi="宋体" w:eastAsia="宋体" w:cs="宋体"/>
                <w:sz w:val="21"/>
                <w:szCs w:val="21"/>
                <w:lang w:val="en-US" w:eastAsia="zh-CN" w:bidi="ar"/>
              </w:rPr>
            </w:pPr>
          </w:p>
        </w:tc>
      </w:tr>
      <w:tr w14:paraId="3DD9B2D0">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2A03B0">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①</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5E294F">
            <w:pPr>
              <w:keepNext w:val="0"/>
              <w:keepLines w:val="0"/>
              <w:widowControl/>
              <w:suppressLineNumbers w:val="0"/>
              <w:ind w:left="0" w:leftChars="0" w:firstLine="0" w:firstLineChars="0"/>
              <w:jc w:val="left"/>
              <w:textAlignment w:val="center"/>
              <w:rPr>
                <w:rStyle w:val="47"/>
                <w:rFonts w:hint="eastAsia" w:ascii="宋体" w:hAnsi="宋体" w:eastAsia="宋体" w:cs="宋体"/>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钢格栅盖板 G355/30/100W</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8DEDA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块</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E8A178">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2.00</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3EDE04">
            <w:pPr>
              <w:keepNext w:val="0"/>
              <w:keepLines w:val="0"/>
              <w:widowControl/>
              <w:suppressLineNumbers w:val="0"/>
              <w:ind w:left="0" w:leftChars="0" w:firstLine="0" w:firstLineChars="0"/>
              <w:jc w:val="left"/>
              <w:textAlignment w:val="center"/>
              <w:rPr>
                <w:rStyle w:val="47"/>
                <w:rFonts w:hint="eastAsia" w:ascii="宋体" w:hAnsi="宋体" w:eastAsia="宋体" w:cs="宋体"/>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规格：400*720</w:t>
            </w:r>
          </w:p>
        </w:tc>
      </w:tr>
      <w:tr w14:paraId="55992BE9">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6AA851">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②</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4F3CD1">
            <w:pPr>
              <w:keepNext w:val="0"/>
              <w:keepLines w:val="0"/>
              <w:widowControl/>
              <w:suppressLineNumbers w:val="0"/>
              <w:ind w:left="0" w:leftChars="0" w:firstLine="0" w:firstLineChars="0"/>
              <w:jc w:val="left"/>
              <w:textAlignment w:val="center"/>
              <w:rPr>
                <w:rStyle w:val="47"/>
                <w:rFonts w:hint="eastAsia" w:ascii="宋体" w:hAnsi="宋体" w:eastAsia="宋体" w:cs="宋体"/>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钢格栅盖板 G355/30/100W</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4590E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块</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9F39A4">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2.00</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BBE63D">
            <w:pPr>
              <w:keepNext w:val="0"/>
              <w:keepLines w:val="0"/>
              <w:widowControl/>
              <w:suppressLineNumbers w:val="0"/>
              <w:ind w:left="0" w:leftChars="0" w:firstLine="0" w:firstLineChars="0"/>
              <w:jc w:val="left"/>
              <w:textAlignment w:val="center"/>
              <w:rPr>
                <w:rStyle w:val="47"/>
                <w:rFonts w:hint="eastAsia" w:ascii="宋体" w:hAnsi="宋体" w:eastAsia="宋体" w:cs="宋体"/>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规格：710*1140</w:t>
            </w:r>
          </w:p>
        </w:tc>
      </w:tr>
      <w:tr w14:paraId="46829BD1">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DD39B4">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③</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D7993B">
            <w:pPr>
              <w:keepNext w:val="0"/>
              <w:keepLines w:val="0"/>
              <w:widowControl/>
              <w:suppressLineNumbers w:val="0"/>
              <w:ind w:left="0" w:leftChars="0" w:firstLine="0" w:firstLineChars="0"/>
              <w:jc w:val="left"/>
              <w:textAlignment w:val="center"/>
              <w:rPr>
                <w:rStyle w:val="47"/>
                <w:rFonts w:hint="eastAsia" w:ascii="宋体" w:hAnsi="宋体" w:eastAsia="宋体" w:cs="宋体"/>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钢格栅盖板 G355/30/100W</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4D575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块</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8B1B74">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2.00</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3FC017">
            <w:pPr>
              <w:keepNext w:val="0"/>
              <w:keepLines w:val="0"/>
              <w:widowControl/>
              <w:suppressLineNumbers w:val="0"/>
              <w:ind w:left="0" w:leftChars="0" w:firstLine="0" w:firstLineChars="0"/>
              <w:jc w:val="left"/>
              <w:textAlignment w:val="center"/>
              <w:rPr>
                <w:rStyle w:val="47"/>
                <w:rFonts w:hint="eastAsia" w:ascii="宋体" w:hAnsi="宋体" w:eastAsia="宋体" w:cs="宋体"/>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规格：715*1140</w:t>
            </w:r>
          </w:p>
        </w:tc>
      </w:tr>
      <w:tr w14:paraId="11D6C199">
        <w:tblPrEx>
          <w:tblCellMar>
            <w:top w:w="0" w:type="dxa"/>
            <w:left w:w="108" w:type="dxa"/>
            <w:bottom w:w="0" w:type="dxa"/>
            <w:right w:w="108" w:type="dxa"/>
          </w:tblCellMar>
        </w:tblPrEx>
        <w:trPr>
          <w:trHeight w:val="399" w:hRule="atLeast"/>
        </w:trPr>
        <w:tc>
          <w:tcPr>
            <w:tcW w:w="9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02B02F">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④</w:t>
            </w:r>
          </w:p>
        </w:tc>
        <w:tc>
          <w:tcPr>
            <w:tcW w:w="267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AFE8A5">
            <w:pPr>
              <w:keepNext w:val="0"/>
              <w:keepLines w:val="0"/>
              <w:widowControl/>
              <w:suppressLineNumbers w:val="0"/>
              <w:ind w:left="0" w:leftChars="0" w:firstLine="0" w:firstLineChars="0"/>
              <w:jc w:val="left"/>
              <w:textAlignment w:val="center"/>
              <w:rPr>
                <w:rStyle w:val="47"/>
                <w:rFonts w:hint="eastAsia" w:ascii="宋体" w:hAnsi="宋体" w:eastAsia="宋体" w:cs="宋体"/>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钢格栅盖板 G355/30/100W</w:t>
            </w:r>
          </w:p>
        </w:tc>
        <w:tc>
          <w:tcPr>
            <w:tcW w:w="71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7328BE">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2"/>
                <w:szCs w:val="22"/>
                <w:u w:val="none"/>
                <w:lang w:val="en-US" w:eastAsia="zh-CN" w:bidi="ar"/>
              </w:rPr>
              <w:t>块</w:t>
            </w:r>
          </w:p>
        </w:tc>
        <w:tc>
          <w:tcPr>
            <w:tcW w:w="1169"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E4E019">
            <w:pPr>
              <w:keepNext w:val="0"/>
              <w:keepLines w:val="0"/>
              <w:widowControl/>
              <w:suppressLineNumbers w:val="0"/>
              <w:ind w:left="0" w:leftChars="0" w:firstLine="0" w:firstLineChars="0"/>
              <w:jc w:val="center"/>
              <w:textAlignment w:val="center"/>
              <w:rPr>
                <w:rStyle w:val="47"/>
                <w:rFonts w:hint="eastAsia" w:ascii="宋体" w:hAnsi="宋体" w:eastAsia="宋体" w:cs="宋体"/>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12.00</w:t>
            </w:r>
          </w:p>
        </w:tc>
        <w:tc>
          <w:tcPr>
            <w:tcW w:w="306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DB8D17">
            <w:pPr>
              <w:keepNext w:val="0"/>
              <w:keepLines w:val="0"/>
              <w:widowControl/>
              <w:suppressLineNumbers w:val="0"/>
              <w:ind w:left="0" w:leftChars="0" w:firstLine="0" w:firstLineChars="0"/>
              <w:jc w:val="left"/>
              <w:textAlignment w:val="center"/>
              <w:rPr>
                <w:rStyle w:val="47"/>
                <w:rFonts w:hint="eastAsia" w:ascii="宋体" w:hAnsi="宋体" w:eastAsia="宋体" w:cs="宋体"/>
                <w:sz w:val="21"/>
                <w:szCs w:val="21"/>
                <w:lang w:val="en-US" w:eastAsia="zh-CN" w:bidi="ar"/>
              </w:rPr>
            </w:pPr>
            <w:r>
              <w:rPr>
                <w:rFonts w:hint="eastAsia" w:ascii="宋体" w:hAnsi="宋体" w:eastAsia="宋体" w:cs="宋体"/>
                <w:i w:val="0"/>
                <w:iCs w:val="0"/>
                <w:color w:val="000000"/>
                <w:kern w:val="0"/>
                <w:sz w:val="22"/>
                <w:szCs w:val="22"/>
                <w:u w:val="none"/>
                <w:lang w:val="en-US" w:eastAsia="zh-CN" w:bidi="ar"/>
              </w:rPr>
              <w:t>规格：745*1140</w:t>
            </w:r>
          </w:p>
        </w:tc>
      </w:tr>
    </w:tbl>
    <w:p w14:paraId="1CF3EB09">
      <w:pPr>
        <w:pStyle w:val="5"/>
        <w:kinsoku/>
        <w:wordWrap/>
        <w:overflowPunct/>
        <w:topLinePunct w:val="0"/>
        <w:bidi w:val="0"/>
        <w:rPr>
          <w:rFonts w:hint="eastAsia" w:ascii="宋体" w:hAnsi="宋体" w:eastAsia="宋体" w:cs="宋体"/>
          <w:color w:val="auto"/>
          <w:highlight w:val="none"/>
          <w:lang w:eastAsia="zh-CN"/>
        </w:rPr>
      </w:pPr>
      <w:bookmarkStart w:id="585" w:name="_Toc26918"/>
      <w:bookmarkStart w:id="586" w:name="_Toc6320"/>
      <w:bookmarkStart w:id="587" w:name="_Toc25310"/>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李家史山管理所</w:t>
      </w:r>
      <w:bookmarkEnd w:id="585"/>
      <w:bookmarkEnd w:id="586"/>
    </w:p>
    <w:p w14:paraId="1197EAAB">
      <w:pPr>
        <w:pStyle w:val="5"/>
        <w:kinsoku/>
        <w:wordWrap/>
        <w:overflowPunct/>
        <w:topLinePunct w:val="0"/>
        <w:bidi w:val="0"/>
        <w:rPr>
          <w:rFonts w:hint="eastAsia" w:ascii="宋体" w:hAnsi="宋体" w:eastAsia="宋体" w:cs="宋体"/>
          <w:b/>
          <w:bCs/>
          <w:color w:val="auto"/>
          <w:highlight w:val="none"/>
          <w:lang w:eastAsia="zh-CN"/>
        </w:rPr>
      </w:pPr>
      <w:bookmarkStart w:id="588" w:name="_Toc28692"/>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一</w:t>
      </w:r>
      <w:r>
        <w:rPr>
          <w:rFonts w:hint="eastAsia" w:ascii="宋体" w:hAnsi="宋体" w:eastAsia="宋体" w:cs="宋体"/>
          <w:b/>
          <w:bCs/>
          <w:color w:val="auto"/>
          <w:highlight w:val="none"/>
        </w:rPr>
        <w:t>）</w:t>
      </w:r>
      <w:r>
        <w:rPr>
          <w:rFonts w:hint="eastAsia" w:ascii="宋体" w:hAnsi="宋体" w:eastAsia="宋体" w:cs="宋体"/>
          <w:b/>
          <w:bCs/>
          <w:color w:val="auto"/>
          <w:highlight w:val="none"/>
          <w:lang w:eastAsia="zh-CN"/>
        </w:rPr>
        <w:t>西台上节制闸混凝土缺陷处理工程</w:t>
      </w:r>
      <w:bookmarkEnd w:id="587"/>
      <w:bookmarkEnd w:id="588"/>
    </w:p>
    <w:p w14:paraId="0E55F0AC">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1、工程概况及现状</w:t>
      </w:r>
    </w:p>
    <w:p w14:paraId="3BCA88D3">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西台上节制闸为两孔闸门，闸室长8.0m，闸孔净宽1.6m。墩高4.0m，边墩宽0.8m，中墩宽1.0m。3个排架高3.0m ，1.0m宽，0.3m厚，启闭机平台宽2.0m，长5.6m，板底1.0 m宽，0.25m厚，板边厚0.15m厚。现状闸墩、启闭机平台局部出现裂缝，边墩与浆砌石翼墙伸缩缝勾缝脱落，</w:t>
      </w:r>
      <w:r>
        <w:rPr>
          <w:rFonts w:hint="eastAsia" w:ascii="宋体" w:hAnsi="宋体" w:eastAsia="宋体" w:cs="宋体"/>
          <w:color w:val="auto"/>
          <w:sz w:val="24"/>
          <w:szCs w:val="24"/>
        </w:rPr>
        <w:t>存在安全隐患，影响</w:t>
      </w:r>
      <w:r>
        <w:rPr>
          <w:rFonts w:hint="eastAsia" w:ascii="宋体" w:hAnsi="宋体" w:eastAsia="宋体" w:cs="宋体"/>
          <w:color w:val="auto"/>
          <w:sz w:val="24"/>
          <w:szCs w:val="24"/>
          <w:lang w:val="en-US" w:eastAsia="zh-CN"/>
        </w:rPr>
        <w:t>节制闸及渠道的</w:t>
      </w:r>
      <w:r>
        <w:rPr>
          <w:rFonts w:hint="eastAsia" w:ascii="宋体" w:hAnsi="宋体" w:eastAsia="宋体" w:cs="宋体"/>
          <w:color w:val="auto"/>
          <w:sz w:val="24"/>
          <w:szCs w:val="24"/>
        </w:rPr>
        <w:t>正常运行</w:t>
      </w:r>
      <w:r>
        <w:rPr>
          <w:rFonts w:hint="eastAsia" w:ascii="宋体" w:hAnsi="宋体" w:eastAsia="宋体" w:cs="宋体"/>
          <w:sz w:val="24"/>
          <w:szCs w:val="24"/>
          <w:highlight w:val="none"/>
          <w:lang w:val="en-US" w:eastAsia="zh-CN"/>
        </w:rPr>
        <w:t>。</w:t>
      </w:r>
    </w:p>
    <w:tbl>
      <w:tblPr>
        <w:tblStyle w:val="16"/>
        <w:tblW w:w="0" w:type="auto"/>
        <w:tblInd w:w="0" w:type="dxa"/>
        <w:tblLayout w:type="fixed"/>
        <w:tblCellMar>
          <w:top w:w="0" w:type="dxa"/>
          <w:left w:w="108" w:type="dxa"/>
          <w:bottom w:w="0" w:type="dxa"/>
          <w:right w:w="108" w:type="dxa"/>
        </w:tblCellMar>
      </w:tblPr>
      <w:tblGrid>
        <w:gridCol w:w="8400"/>
      </w:tblGrid>
      <w:tr w14:paraId="719B56BE">
        <w:tblPrEx>
          <w:tblCellMar>
            <w:top w:w="0" w:type="dxa"/>
            <w:left w:w="108" w:type="dxa"/>
            <w:bottom w:w="0" w:type="dxa"/>
            <w:right w:w="108" w:type="dxa"/>
          </w:tblCellMar>
        </w:tblPrEx>
        <w:trPr>
          <w:trHeight w:val="90" w:hRule="atLeast"/>
        </w:trPr>
        <w:tc>
          <w:tcPr>
            <w:tcW w:w="8400" w:type="dxa"/>
            <w:noWrap w:val="0"/>
            <w:vAlign w:val="top"/>
          </w:tcPr>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45"/>
              <w:gridCol w:w="4146"/>
            </w:tblGrid>
            <w:tr w14:paraId="594AE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1" w:hRule="atLeast"/>
              </w:trPr>
              <w:tc>
                <w:tcPr>
                  <w:tcW w:w="4145" w:type="dxa"/>
                  <w:noWrap w:val="0"/>
                  <w:vAlign w:val="top"/>
                </w:tcPr>
                <w:p w14:paraId="0CDF0C96">
                  <w:pPr>
                    <w:spacing w:line="560" w:lineRule="exact"/>
                    <w:jc w:val="center"/>
                    <w:rPr>
                      <w:rFonts w:hint="eastAsia" w:ascii="宋体" w:hAnsi="宋体" w:eastAsia="宋体" w:cs="宋体"/>
                      <w:sz w:val="28"/>
                      <w:szCs w:val="20"/>
                    </w:rPr>
                  </w:pPr>
                  <w:r>
                    <w:rPr>
                      <w:rFonts w:hint="eastAsia" w:ascii="宋体" w:hAnsi="宋体" w:eastAsia="宋体" w:cs="宋体"/>
                      <w:sz w:val="28"/>
                      <w:szCs w:val="20"/>
                    </w:rPr>
                    <w:drawing>
                      <wp:anchor distT="0" distB="0" distL="114300" distR="114300" simplePos="0" relativeHeight="251671552" behindDoc="0" locked="0" layoutInCell="1" allowOverlap="1">
                        <wp:simplePos x="0" y="0"/>
                        <wp:positionH relativeFrom="column">
                          <wp:posOffset>-88265</wp:posOffset>
                        </wp:positionH>
                        <wp:positionV relativeFrom="paragraph">
                          <wp:posOffset>54610</wp:posOffset>
                        </wp:positionV>
                        <wp:extent cx="3465830" cy="2599690"/>
                        <wp:effectExtent l="0" t="0" r="1270" b="10160"/>
                        <wp:wrapTopAndBottom/>
                        <wp:docPr id="14" name="图片 14" descr="IMG_20230306_154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IMG_20230306_154238"/>
                                <pic:cNvPicPr>
                                  <a:picLocks noChangeAspect="1"/>
                                </pic:cNvPicPr>
                              </pic:nvPicPr>
                              <pic:blipFill>
                                <a:blip r:embed="rId35"/>
                                <a:stretch>
                                  <a:fillRect/>
                                </a:stretch>
                              </pic:blipFill>
                              <pic:spPr>
                                <a:xfrm>
                                  <a:off x="0" y="0"/>
                                  <a:ext cx="3465830" cy="2599690"/>
                                </a:xfrm>
                                <a:prstGeom prst="rect">
                                  <a:avLst/>
                                </a:prstGeom>
                                <a:noFill/>
                                <a:ln>
                                  <a:noFill/>
                                </a:ln>
                              </pic:spPr>
                            </pic:pic>
                          </a:graphicData>
                        </a:graphic>
                      </wp:anchor>
                    </w:drawing>
                  </w:r>
                  <w:r>
                    <w:rPr>
                      <w:rFonts w:hint="eastAsia" w:ascii="宋体" w:hAnsi="宋体" w:eastAsia="宋体" w:cs="宋体"/>
                      <w:sz w:val="28"/>
                      <w:szCs w:val="20"/>
                    </w:rPr>
                    <w:t>现状</w:t>
                  </w:r>
                  <w:r>
                    <w:rPr>
                      <w:rFonts w:hint="eastAsia" w:ascii="宋体" w:hAnsi="宋体" w:eastAsia="宋体" w:cs="宋体"/>
                      <w:sz w:val="28"/>
                      <w:szCs w:val="20"/>
                      <w:lang w:val="en-US" w:eastAsia="zh-CN"/>
                    </w:rPr>
                    <w:t>闸墩</w:t>
                  </w:r>
                  <w:r>
                    <w:rPr>
                      <w:rFonts w:hint="eastAsia" w:ascii="宋体" w:hAnsi="宋体" w:eastAsia="宋体" w:cs="宋体"/>
                      <w:sz w:val="28"/>
                      <w:szCs w:val="20"/>
                    </w:rPr>
                    <w:t>（一）</w:t>
                  </w:r>
                </w:p>
              </w:tc>
              <w:tc>
                <w:tcPr>
                  <w:tcW w:w="4146" w:type="dxa"/>
                  <w:noWrap w:val="0"/>
                  <w:vAlign w:val="top"/>
                </w:tcPr>
                <w:p w14:paraId="3FAD7531">
                  <w:pPr>
                    <w:spacing w:line="560" w:lineRule="exact"/>
                    <w:jc w:val="center"/>
                    <w:rPr>
                      <w:rFonts w:hint="eastAsia" w:ascii="宋体" w:hAnsi="宋体" w:eastAsia="宋体" w:cs="宋体"/>
                      <w:sz w:val="28"/>
                      <w:szCs w:val="20"/>
                    </w:rPr>
                  </w:pPr>
                  <w:r>
                    <w:rPr>
                      <w:rFonts w:hint="eastAsia" w:ascii="宋体" w:hAnsi="宋体" w:eastAsia="宋体" w:cs="宋体"/>
                      <w:bCs/>
                      <w:sz w:val="30"/>
                      <w:szCs w:val="30"/>
                    </w:rPr>
                    <w:drawing>
                      <wp:anchor distT="0" distB="0" distL="114300" distR="114300" simplePos="0" relativeHeight="251672576" behindDoc="0" locked="0" layoutInCell="1" allowOverlap="1">
                        <wp:simplePos x="0" y="0"/>
                        <wp:positionH relativeFrom="column">
                          <wp:posOffset>-31115</wp:posOffset>
                        </wp:positionH>
                        <wp:positionV relativeFrom="paragraph">
                          <wp:posOffset>15240</wp:posOffset>
                        </wp:positionV>
                        <wp:extent cx="2554605" cy="2646680"/>
                        <wp:effectExtent l="0" t="0" r="17145" b="1270"/>
                        <wp:wrapTopAndBottom/>
                        <wp:docPr id="15" name="图片 15" descr="IMG_20230306_155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IMG_20230306_155608"/>
                                <pic:cNvPicPr>
                                  <a:picLocks noChangeAspect="1"/>
                                </pic:cNvPicPr>
                              </pic:nvPicPr>
                              <pic:blipFill>
                                <a:blip r:embed="rId36"/>
                                <a:stretch>
                                  <a:fillRect/>
                                </a:stretch>
                              </pic:blipFill>
                              <pic:spPr>
                                <a:xfrm>
                                  <a:off x="0" y="0"/>
                                  <a:ext cx="2554605" cy="2646680"/>
                                </a:xfrm>
                                <a:prstGeom prst="rect">
                                  <a:avLst/>
                                </a:prstGeom>
                                <a:noFill/>
                                <a:ln>
                                  <a:noFill/>
                                </a:ln>
                              </pic:spPr>
                            </pic:pic>
                          </a:graphicData>
                        </a:graphic>
                      </wp:anchor>
                    </w:drawing>
                  </w:r>
                  <w:r>
                    <w:rPr>
                      <w:rFonts w:hint="eastAsia" w:ascii="宋体" w:hAnsi="宋体" w:eastAsia="宋体" w:cs="宋体"/>
                      <w:sz w:val="28"/>
                      <w:szCs w:val="20"/>
                    </w:rPr>
                    <w:t>现状</w:t>
                  </w:r>
                  <w:r>
                    <w:rPr>
                      <w:rFonts w:hint="eastAsia" w:ascii="宋体" w:hAnsi="宋体" w:eastAsia="宋体" w:cs="宋体"/>
                      <w:sz w:val="28"/>
                      <w:szCs w:val="20"/>
                      <w:lang w:val="en-US" w:eastAsia="zh-CN"/>
                    </w:rPr>
                    <w:t>启闭机平台</w:t>
                  </w:r>
                  <w:r>
                    <w:rPr>
                      <w:rFonts w:hint="eastAsia" w:ascii="宋体" w:hAnsi="宋体" w:eastAsia="宋体" w:cs="宋体"/>
                      <w:sz w:val="28"/>
                      <w:szCs w:val="20"/>
                    </w:rPr>
                    <w:t>（二）</w:t>
                  </w:r>
                </w:p>
              </w:tc>
            </w:tr>
            <w:tr w14:paraId="084AB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1" w:hRule="atLeast"/>
              </w:trPr>
              <w:tc>
                <w:tcPr>
                  <w:tcW w:w="4145" w:type="dxa"/>
                  <w:noWrap w:val="0"/>
                  <w:vAlign w:val="top"/>
                </w:tcPr>
                <w:p w14:paraId="0640850D">
                  <w:pPr>
                    <w:spacing w:line="560" w:lineRule="exact"/>
                    <w:jc w:val="center"/>
                    <w:rPr>
                      <w:rFonts w:hint="eastAsia" w:ascii="宋体" w:hAnsi="宋体" w:eastAsia="宋体" w:cs="宋体"/>
                      <w:sz w:val="28"/>
                      <w:szCs w:val="20"/>
                    </w:rPr>
                  </w:pPr>
                  <w:r>
                    <w:rPr>
                      <w:rFonts w:hint="eastAsia" w:ascii="宋体" w:hAnsi="宋体" w:eastAsia="宋体" w:cs="宋体"/>
                      <w:sz w:val="28"/>
                      <w:szCs w:val="20"/>
                      <w:lang w:val="en-US" w:eastAsia="zh-CN"/>
                    </w:rPr>
                    <w:t xml:space="preserve"> </w:t>
                  </w:r>
                  <w:r>
                    <w:rPr>
                      <w:rFonts w:hint="eastAsia" w:ascii="宋体" w:hAnsi="宋体" w:eastAsia="宋体" w:cs="宋体"/>
                      <w:sz w:val="28"/>
                      <w:szCs w:val="20"/>
                      <w:lang w:val="en-US" w:eastAsia="zh-CN"/>
                    </w:rPr>
                    <w:drawing>
                      <wp:anchor distT="0" distB="0" distL="114300" distR="114300" simplePos="0" relativeHeight="251673600" behindDoc="0" locked="0" layoutInCell="1" allowOverlap="1">
                        <wp:simplePos x="0" y="0"/>
                        <wp:positionH relativeFrom="column">
                          <wp:posOffset>2540</wp:posOffset>
                        </wp:positionH>
                        <wp:positionV relativeFrom="paragraph">
                          <wp:posOffset>-6350</wp:posOffset>
                        </wp:positionV>
                        <wp:extent cx="3557905" cy="2668905"/>
                        <wp:effectExtent l="0" t="0" r="4445" b="17145"/>
                        <wp:wrapTopAndBottom/>
                        <wp:docPr id="16" name="图片 16" descr="IMG_20230306_155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IMG_20230306_155238"/>
                                <pic:cNvPicPr>
                                  <a:picLocks noChangeAspect="1"/>
                                </pic:cNvPicPr>
                              </pic:nvPicPr>
                              <pic:blipFill>
                                <a:blip r:embed="rId37"/>
                                <a:stretch>
                                  <a:fillRect/>
                                </a:stretch>
                              </pic:blipFill>
                              <pic:spPr>
                                <a:xfrm>
                                  <a:off x="0" y="0"/>
                                  <a:ext cx="3557905" cy="2668905"/>
                                </a:xfrm>
                                <a:prstGeom prst="rect">
                                  <a:avLst/>
                                </a:prstGeom>
                                <a:noFill/>
                                <a:ln>
                                  <a:noFill/>
                                </a:ln>
                              </pic:spPr>
                            </pic:pic>
                          </a:graphicData>
                        </a:graphic>
                      </wp:anchor>
                    </w:drawing>
                  </w:r>
                  <w:r>
                    <w:rPr>
                      <w:rFonts w:hint="eastAsia" w:ascii="宋体" w:hAnsi="宋体" w:eastAsia="宋体" w:cs="宋体"/>
                      <w:sz w:val="28"/>
                      <w:szCs w:val="20"/>
                    </w:rPr>
                    <w:t>现状</w:t>
                  </w:r>
                  <w:r>
                    <w:rPr>
                      <w:rFonts w:hint="eastAsia" w:ascii="宋体" w:hAnsi="宋体" w:eastAsia="宋体" w:cs="宋体"/>
                      <w:sz w:val="28"/>
                      <w:szCs w:val="20"/>
                      <w:lang w:val="en-US" w:eastAsia="zh-CN"/>
                    </w:rPr>
                    <w:t>闸墩</w:t>
                  </w:r>
                  <w:r>
                    <w:rPr>
                      <w:rFonts w:hint="eastAsia" w:ascii="宋体" w:hAnsi="宋体" w:eastAsia="宋体" w:cs="宋体"/>
                      <w:sz w:val="28"/>
                      <w:szCs w:val="20"/>
                    </w:rPr>
                    <w:t>（三）</w:t>
                  </w:r>
                </w:p>
              </w:tc>
              <w:tc>
                <w:tcPr>
                  <w:tcW w:w="4146" w:type="dxa"/>
                  <w:noWrap w:val="0"/>
                  <w:vAlign w:val="top"/>
                </w:tcPr>
                <w:p w14:paraId="01EE6514">
                  <w:pPr>
                    <w:spacing w:line="560" w:lineRule="exact"/>
                    <w:jc w:val="center"/>
                    <w:rPr>
                      <w:rFonts w:hint="eastAsia" w:ascii="宋体" w:hAnsi="宋体" w:eastAsia="宋体" w:cs="宋体"/>
                      <w:sz w:val="28"/>
                      <w:szCs w:val="20"/>
                    </w:rPr>
                  </w:pPr>
                  <w:r>
                    <w:rPr>
                      <w:rFonts w:hint="eastAsia" w:ascii="宋体" w:hAnsi="宋体" w:eastAsia="宋体" w:cs="宋体"/>
                      <w:sz w:val="28"/>
                      <w:szCs w:val="20"/>
                    </w:rPr>
                    <w:drawing>
                      <wp:anchor distT="0" distB="0" distL="114300" distR="114300" simplePos="0" relativeHeight="251674624" behindDoc="0" locked="0" layoutInCell="1" allowOverlap="1">
                        <wp:simplePos x="0" y="0"/>
                        <wp:positionH relativeFrom="column">
                          <wp:posOffset>-45085</wp:posOffset>
                        </wp:positionH>
                        <wp:positionV relativeFrom="paragraph">
                          <wp:posOffset>23495</wp:posOffset>
                        </wp:positionV>
                        <wp:extent cx="3498215" cy="2623820"/>
                        <wp:effectExtent l="0" t="0" r="6985" b="5080"/>
                        <wp:wrapTopAndBottom/>
                        <wp:docPr id="26" name="图片 17" descr="IMG_20230306_154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7" descr="IMG_20230306_154631"/>
                                <pic:cNvPicPr>
                                  <a:picLocks noChangeAspect="1"/>
                                </pic:cNvPicPr>
                              </pic:nvPicPr>
                              <pic:blipFill>
                                <a:blip r:embed="rId38"/>
                                <a:stretch>
                                  <a:fillRect/>
                                </a:stretch>
                              </pic:blipFill>
                              <pic:spPr>
                                <a:xfrm>
                                  <a:off x="0" y="0"/>
                                  <a:ext cx="3498215" cy="2623820"/>
                                </a:xfrm>
                                <a:prstGeom prst="rect">
                                  <a:avLst/>
                                </a:prstGeom>
                                <a:noFill/>
                                <a:ln>
                                  <a:noFill/>
                                </a:ln>
                              </pic:spPr>
                            </pic:pic>
                          </a:graphicData>
                        </a:graphic>
                      </wp:anchor>
                    </w:drawing>
                  </w:r>
                  <w:r>
                    <w:rPr>
                      <w:rFonts w:hint="eastAsia" w:ascii="宋体" w:hAnsi="宋体" w:eastAsia="宋体" w:cs="宋体"/>
                      <w:sz w:val="28"/>
                      <w:szCs w:val="20"/>
                    </w:rPr>
                    <w:t>现状</w:t>
                  </w:r>
                  <w:r>
                    <w:rPr>
                      <w:rFonts w:hint="eastAsia" w:ascii="宋体" w:hAnsi="宋体" w:eastAsia="宋体" w:cs="宋体"/>
                      <w:sz w:val="28"/>
                      <w:szCs w:val="20"/>
                      <w:lang w:val="en-US" w:eastAsia="zh-CN"/>
                    </w:rPr>
                    <w:t>闸墩</w:t>
                  </w:r>
                  <w:r>
                    <w:rPr>
                      <w:rFonts w:hint="eastAsia" w:ascii="宋体" w:hAnsi="宋体" w:eastAsia="宋体" w:cs="宋体"/>
                      <w:sz w:val="28"/>
                      <w:szCs w:val="20"/>
                    </w:rPr>
                    <w:t>（四）</w:t>
                  </w:r>
                </w:p>
              </w:tc>
            </w:tr>
          </w:tbl>
          <w:p w14:paraId="504AD548">
            <w:pPr>
              <w:spacing w:line="560" w:lineRule="exact"/>
              <w:jc w:val="center"/>
              <w:rPr>
                <w:rFonts w:hint="eastAsia" w:ascii="宋体" w:hAnsi="宋体" w:eastAsia="宋体" w:cs="宋体"/>
                <w:sz w:val="28"/>
                <w:szCs w:val="20"/>
              </w:rPr>
            </w:pPr>
          </w:p>
        </w:tc>
      </w:tr>
    </w:tbl>
    <w:p w14:paraId="26C6D219">
      <w:pPr>
        <w:widowControl/>
        <w:spacing w:line="360" w:lineRule="auto"/>
        <w:rPr>
          <w:rFonts w:hint="eastAsia" w:ascii="宋体" w:hAnsi="宋体" w:eastAsia="宋体" w:cs="宋体"/>
          <w:sz w:val="28"/>
          <w:szCs w:val="20"/>
          <w:highlight w:val="none"/>
        </w:rPr>
      </w:pPr>
      <w:r>
        <w:rPr>
          <w:rFonts w:hint="eastAsia" w:ascii="宋体" w:hAnsi="宋体" w:eastAsia="宋体" w:cs="宋体"/>
          <w:sz w:val="28"/>
          <w:szCs w:val="20"/>
          <w:highlight w:val="none"/>
          <w:lang w:val="en-US" w:eastAsia="zh-CN"/>
        </w:rPr>
        <w:t>2</w:t>
      </w:r>
      <w:r>
        <w:rPr>
          <w:rFonts w:hint="eastAsia" w:ascii="宋体" w:hAnsi="宋体" w:eastAsia="宋体" w:cs="宋体"/>
          <w:sz w:val="28"/>
          <w:szCs w:val="20"/>
          <w:highlight w:val="none"/>
        </w:rPr>
        <w:t>、设计方案</w:t>
      </w:r>
    </w:p>
    <w:p w14:paraId="79B3C19A">
      <w:pPr>
        <w:kinsoku/>
        <w:wordWrap/>
        <w:overflowPunct/>
        <w:topLinePunct w:val="0"/>
        <w:bidi w:val="0"/>
        <w:spacing w:line="360" w:lineRule="auto"/>
        <w:ind w:left="0" w:leftChars="0"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A </w:t>
      </w:r>
      <w:r>
        <w:rPr>
          <w:rFonts w:hint="eastAsia" w:ascii="宋体" w:hAnsi="宋体" w:eastAsia="宋体" w:cs="宋体"/>
          <w:color w:val="auto"/>
          <w:sz w:val="24"/>
          <w:szCs w:val="24"/>
          <w:highlight w:val="none"/>
        </w:rPr>
        <w:t>混凝土裂缝的处理</w:t>
      </w:r>
    </w:p>
    <w:p w14:paraId="04F060FC">
      <w:pPr>
        <w:kinsoku/>
        <w:wordWrap/>
        <w:overflowPunct/>
        <w:topLinePunct w:val="0"/>
        <w:bidi w:val="0"/>
        <w:spacing w:line="360" w:lineRule="auto"/>
        <w:ind w:left="0" w:leftChars="0"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于混凝土裂缝严重地破坏了混凝土结构的整体性，裂缝中的渗水将带走混凝土中的有效成分，引起混凝土强度降低，同时又会引起混凝土内部钢筋锈蚀，降低了结构的安全性与耐久性。因此需要对混凝土裂缝采取内部补强灌浆及表面封堵的处理方案。化学灌浆的目的是充填混凝土裂缝空隙，对混凝土结构进行补强加固，裂缝表面采用SK手刮聚脲进行封堵及防护。SK手刮聚脲宽度为20cm，厚3mm，并复合10cm宽的胎基布。具体修补方案见图</w:t>
      </w:r>
      <w:r>
        <w:rPr>
          <w:rFonts w:hint="eastAsia" w:ascii="宋体" w:hAnsi="宋体" w:eastAsia="宋体" w:cs="宋体"/>
          <w:b w:val="0"/>
          <w:bCs/>
          <w:color w:val="auto"/>
          <w:sz w:val="24"/>
          <w:szCs w:val="24"/>
          <w:highlight w:val="none"/>
          <w:lang w:val="en-US" w:eastAsia="zh-CN"/>
        </w:rPr>
        <w:t>2-1</w:t>
      </w:r>
      <w:r>
        <w:rPr>
          <w:rFonts w:hint="eastAsia" w:ascii="宋体" w:hAnsi="宋体" w:eastAsia="宋体" w:cs="宋体"/>
          <w:color w:val="auto"/>
          <w:sz w:val="24"/>
          <w:szCs w:val="24"/>
          <w:highlight w:val="none"/>
        </w:rPr>
        <w:t>。</w:t>
      </w:r>
    </w:p>
    <w:p w14:paraId="02A2475E">
      <w:pPr>
        <w:kinsoku/>
        <w:wordWrap/>
        <w:overflowPunct/>
        <w:topLinePunct w:val="0"/>
        <w:bidi w:val="0"/>
        <w:spacing w:line="360" w:lineRule="auto"/>
        <w:ind w:left="0" w:left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drawing>
          <wp:inline distT="0" distB="0" distL="114300" distR="114300">
            <wp:extent cx="4046855" cy="1762760"/>
            <wp:effectExtent l="0" t="0" r="10795" b="8890"/>
            <wp:docPr id="27" name="图片 11" descr="未标题-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1" descr="未标题-1"/>
                    <pic:cNvPicPr>
                      <a:picLocks noChangeAspect="1"/>
                    </pic:cNvPicPr>
                  </pic:nvPicPr>
                  <pic:blipFill>
                    <a:blip r:embed="rId19"/>
                    <a:stretch>
                      <a:fillRect/>
                    </a:stretch>
                  </pic:blipFill>
                  <pic:spPr>
                    <a:xfrm>
                      <a:off x="0" y="0"/>
                      <a:ext cx="4046855" cy="1762760"/>
                    </a:xfrm>
                    <a:prstGeom prst="rect">
                      <a:avLst/>
                    </a:prstGeom>
                    <a:noFill/>
                    <a:ln>
                      <a:noFill/>
                    </a:ln>
                  </pic:spPr>
                </pic:pic>
              </a:graphicData>
            </a:graphic>
          </wp:inline>
        </w:drawing>
      </w:r>
    </w:p>
    <w:p w14:paraId="3747C616">
      <w:pPr>
        <w:keepNext w:val="0"/>
        <w:keepLines w:val="0"/>
        <w:pageBreakBefore w:val="0"/>
        <w:widowControl/>
        <w:kinsoku/>
        <w:wordWrap/>
        <w:overflowPunct/>
        <w:topLinePunct w:val="0"/>
        <w:autoSpaceDE/>
        <w:autoSpaceDN/>
        <w:bidi w:val="0"/>
        <w:adjustRightInd/>
        <w:snapToGrid/>
        <w:ind w:left="0" w:leftChars="0" w:firstLine="0" w:firstLineChars="0"/>
        <w:jc w:val="center"/>
        <w:textAlignment w:val="auto"/>
        <w:rPr>
          <w:rStyle w:val="45"/>
          <w:rFonts w:hint="eastAsia" w:ascii="宋体" w:hAnsi="宋体" w:eastAsia="宋体" w:cs="宋体"/>
          <w:kern w:val="0"/>
          <w:sz w:val="21"/>
          <w:szCs w:val="21"/>
          <w:highlight w:val="none"/>
          <w:lang w:val="en-US" w:eastAsia="zh-CN" w:bidi="ar-SA"/>
        </w:rPr>
      </w:pPr>
      <w:r>
        <w:rPr>
          <w:rStyle w:val="45"/>
          <w:rFonts w:hint="eastAsia" w:ascii="宋体" w:hAnsi="宋体" w:eastAsia="宋体" w:cs="宋体"/>
          <w:kern w:val="0"/>
          <w:sz w:val="21"/>
          <w:szCs w:val="21"/>
          <w:highlight w:val="none"/>
          <w:lang w:val="en-US" w:eastAsia="zh-CN" w:bidi="ar-SA"/>
        </w:rPr>
        <w:t>图2-1 混凝土裂缝处理方案</w:t>
      </w:r>
    </w:p>
    <w:p w14:paraId="22BFB92C">
      <w:pPr>
        <w:kinsoku/>
        <w:wordWrap/>
        <w:overflowPunct/>
        <w:topLinePunct w:val="0"/>
        <w:bidi w:val="0"/>
        <w:ind w:left="0" w:leftChars="0" w:firstLine="560"/>
        <w:rPr>
          <w:rFonts w:hint="eastAsia" w:ascii="宋体" w:hAnsi="宋体" w:eastAsia="宋体" w:cs="宋体"/>
          <w:color w:val="auto"/>
          <w:sz w:val="24"/>
          <w:szCs w:val="24"/>
          <w:highlight w:val="none"/>
          <w:lang w:val="en-US" w:eastAsia="zh-CN"/>
        </w:rPr>
      </w:pPr>
    </w:p>
    <w:p w14:paraId="1D755C3C">
      <w:pPr>
        <w:kinsoku/>
        <w:wordWrap/>
        <w:overflowPunct/>
        <w:topLinePunct w:val="0"/>
        <w:bidi w:val="0"/>
        <w:spacing w:line="360" w:lineRule="auto"/>
        <w:ind w:left="0" w:leftChars="0"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B</w:t>
      </w:r>
      <w:r>
        <w:rPr>
          <w:rFonts w:hint="eastAsia" w:ascii="宋体" w:hAnsi="宋体" w:eastAsia="宋体" w:cs="宋体"/>
          <w:color w:val="auto"/>
          <w:sz w:val="24"/>
          <w:szCs w:val="24"/>
          <w:highlight w:val="none"/>
        </w:rPr>
        <w:t xml:space="preserve">  伸缩缝修复方案</w:t>
      </w:r>
    </w:p>
    <w:p w14:paraId="31296541">
      <w:pPr>
        <w:kinsoku/>
        <w:wordWrap/>
        <w:overflowPunct/>
        <w:topLinePunct w:val="0"/>
        <w:bidi w:val="0"/>
        <w:spacing w:line="360" w:lineRule="auto"/>
        <w:ind w:left="0" w:leftChars="0"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剔除伸缩缝内杂物，缝内部嵌填聚苯板圆棒，伸缩缝表面预留</w:t>
      </w:r>
      <w:r>
        <w:rPr>
          <w:rFonts w:hint="eastAsia" w:ascii="宋体" w:hAnsi="宋体" w:eastAsia="宋体" w:cs="宋体"/>
          <w:color w:val="auto"/>
          <w:sz w:val="24"/>
          <w:szCs w:val="24"/>
          <w:highlight w:val="none"/>
          <w:lang w:val="en-US" w:eastAsia="zh-CN"/>
        </w:rPr>
        <w:t>宽</w:t>
      </w:r>
      <w:r>
        <w:rPr>
          <w:rFonts w:hint="eastAsia" w:ascii="宋体" w:hAnsi="宋体" w:eastAsia="宋体" w:cs="宋体"/>
          <w:color w:val="auto"/>
          <w:sz w:val="24"/>
          <w:szCs w:val="24"/>
          <w:highlight w:val="none"/>
        </w:rPr>
        <w:t>2cm、厚1.5cm的槽，槽内嵌填高弹性</w:t>
      </w:r>
      <w:r>
        <w:rPr>
          <w:rFonts w:hint="eastAsia" w:ascii="宋体" w:hAnsi="宋体" w:eastAsia="宋体" w:cs="宋体"/>
          <w:color w:val="auto"/>
          <w:sz w:val="24"/>
          <w:szCs w:val="24"/>
          <w:highlight w:val="none"/>
          <w:lang w:val="en-US" w:eastAsia="zh-CN"/>
        </w:rPr>
        <w:t>聚脲</w:t>
      </w:r>
      <w:r>
        <w:rPr>
          <w:rFonts w:hint="eastAsia" w:ascii="宋体" w:hAnsi="宋体" w:eastAsia="宋体" w:cs="宋体"/>
          <w:color w:val="auto"/>
          <w:sz w:val="24"/>
          <w:szCs w:val="24"/>
          <w:highlight w:val="none"/>
        </w:rPr>
        <w:t>砂浆，高弹性</w:t>
      </w:r>
      <w:r>
        <w:rPr>
          <w:rFonts w:hint="eastAsia" w:ascii="宋体" w:hAnsi="宋体" w:eastAsia="宋体" w:cs="宋体"/>
          <w:color w:val="auto"/>
          <w:sz w:val="24"/>
          <w:szCs w:val="24"/>
          <w:highlight w:val="none"/>
          <w:lang w:val="en-US" w:eastAsia="zh-CN"/>
        </w:rPr>
        <w:t>聚脲</w:t>
      </w:r>
      <w:r>
        <w:rPr>
          <w:rFonts w:hint="eastAsia" w:ascii="宋体" w:hAnsi="宋体" w:eastAsia="宋体" w:cs="宋体"/>
          <w:color w:val="auto"/>
          <w:sz w:val="24"/>
          <w:szCs w:val="24"/>
          <w:highlight w:val="none"/>
        </w:rPr>
        <w:t>砂浆表面为0.5cm厚的聚氨酯涂层，混凝土伸缩缝表面涂刷SK手刮聚脲（单组分）防护，伸缩缝部位聚脲厚4mm、宽25cm。方案见图</w:t>
      </w: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w:t>
      </w:r>
    </w:p>
    <w:p w14:paraId="439D1C91">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drawing>
          <wp:inline distT="0" distB="0" distL="114300" distR="114300">
            <wp:extent cx="5203825" cy="1450975"/>
            <wp:effectExtent l="0" t="0" r="15875" b="15875"/>
            <wp:docPr id="2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2"/>
                    <pic:cNvPicPr>
                      <a:picLocks noChangeAspect="1"/>
                    </pic:cNvPicPr>
                  </pic:nvPicPr>
                  <pic:blipFill>
                    <a:blip r:embed="rId20"/>
                    <a:stretch>
                      <a:fillRect/>
                    </a:stretch>
                  </pic:blipFill>
                  <pic:spPr>
                    <a:xfrm>
                      <a:off x="0" y="0"/>
                      <a:ext cx="5203825" cy="1450975"/>
                    </a:xfrm>
                    <a:prstGeom prst="rect">
                      <a:avLst/>
                    </a:prstGeom>
                    <a:noFill/>
                    <a:ln>
                      <a:noFill/>
                    </a:ln>
                  </pic:spPr>
                </pic:pic>
              </a:graphicData>
            </a:graphic>
          </wp:inline>
        </w:drawing>
      </w:r>
    </w:p>
    <w:p w14:paraId="1C04163E">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auto"/>
        <w:rPr>
          <w:rStyle w:val="45"/>
          <w:rFonts w:hint="eastAsia" w:ascii="宋体" w:hAnsi="宋体" w:eastAsia="宋体" w:cs="宋体"/>
          <w:kern w:val="0"/>
          <w:sz w:val="21"/>
          <w:szCs w:val="21"/>
          <w:highlight w:val="none"/>
          <w:lang w:val="en-US" w:eastAsia="zh-CN" w:bidi="ar-SA"/>
        </w:rPr>
      </w:pPr>
      <w:r>
        <w:rPr>
          <w:rStyle w:val="45"/>
          <w:rFonts w:hint="eastAsia" w:ascii="宋体" w:hAnsi="宋体" w:eastAsia="宋体" w:cs="宋体"/>
          <w:kern w:val="0"/>
          <w:sz w:val="21"/>
          <w:szCs w:val="21"/>
          <w:highlight w:val="none"/>
          <w:lang w:val="en-US" w:eastAsia="zh-CN" w:bidi="ar-SA"/>
        </w:rPr>
        <w:t>图2-2  混凝土伸缩缝防渗处理示意图</w:t>
      </w:r>
    </w:p>
    <w:p w14:paraId="24134A99">
      <w:pPr>
        <w:kinsoku/>
        <w:wordWrap/>
        <w:overflowPunct/>
        <w:topLinePunct w:val="0"/>
        <w:bidi w:val="0"/>
        <w:spacing w:line="360" w:lineRule="auto"/>
        <w:ind w:left="0" w:leftChars="0" w:firstLine="0" w:firstLineChars="0"/>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kern w:val="2"/>
          <w:sz w:val="28"/>
          <w:szCs w:val="28"/>
          <w:highlight w:val="none"/>
          <w:lang w:val="en-US" w:eastAsia="zh-CN" w:bidi="ar-SA"/>
        </w:rPr>
        <w:t>SK手刮聚脲</w:t>
      </w:r>
      <w:r>
        <w:rPr>
          <w:rFonts w:hint="eastAsia" w:ascii="宋体" w:hAnsi="宋体" w:eastAsia="宋体" w:cs="宋体"/>
          <w:b/>
          <w:bCs/>
          <w:color w:val="auto"/>
          <w:sz w:val="28"/>
          <w:szCs w:val="28"/>
          <w:highlight w:val="none"/>
        </w:rPr>
        <w:t>施工</w:t>
      </w:r>
      <w:r>
        <w:rPr>
          <w:rFonts w:hint="eastAsia" w:ascii="宋体" w:hAnsi="宋体" w:eastAsia="宋体" w:cs="宋体"/>
          <w:b/>
          <w:bCs/>
          <w:color w:val="auto"/>
          <w:sz w:val="28"/>
          <w:szCs w:val="28"/>
          <w:highlight w:val="none"/>
          <w:lang w:val="en-US" w:eastAsia="zh-CN"/>
        </w:rPr>
        <w:t>工艺</w:t>
      </w:r>
      <w:r>
        <w:rPr>
          <w:rFonts w:hint="eastAsia" w:ascii="宋体" w:hAnsi="宋体" w:eastAsia="宋体" w:cs="宋体"/>
          <w:b/>
          <w:bCs/>
          <w:color w:val="auto"/>
          <w:sz w:val="28"/>
          <w:szCs w:val="28"/>
          <w:highlight w:val="none"/>
          <w:lang w:eastAsia="zh-CN"/>
        </w:rPr>
        <w:t>：</w:t>
      </w:r>
    </w:p>
    <w:p w14:paraId="295DEAB8">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底材处理：首先用角磨机对混凝土表面进行打磨，清除原水泥基涂层及表面的棱角，用高压水枪冲洗表面的灰尘、浮渣，待水分完全挥发后，对混凝土表面局部孔洞用高强找平腻子填补，使用的腻子要求不流淌，并且与混凝土粘结良好，找平材料固化后，再使用角磨机对混凝土表面进行打磨、清洗，要求混凝土表明平整、坚固、无孔洞。</w:t>
      </w:r>
    </w:p>
    <w:p w14:paraId="28A7CDEF">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界面剂施工：SK手刮聚脲涂层与底材的粘接面采用专用潮湿面界面剂，这是一种100%固含量的环氧界面剂，该界面剂可在饱和水或干表面施工。底面处理后，在混凝土表面涂刷界面剂，涂刷厚度要求薄而均匀，无漏涂现象。涂刷界面剂后可以保证SK手刮聚脲与混凝土之间的粘结强度大于2.5MPa。</w:t>
      </w:r>
    </w:p>
    <w:p w14:paraId="0732D8D4">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（3）涂刷SK手刮聚脲：界面剂表干后（粘手不拉丝），大面积手刮聚脲，涂刷第一遍聚脲后，粘贴一层胎基布，表干后再涂刷2遍数SK手刮聚脲，直到聚脲总的涂刷厚度达到2mm（看不到胎基布）。在收边处按图</w:t>
      </w:r>
      <w:r>
        <w:rPr>
          <w:rFonts w:hint="eastAsia" w:ascii="宋体" w:hAnsi="宋体" w:eastAsia="宋体" w:cs="宋体"/>
          <w:b w:val="0"/>
          <w:bCs/>
          <w:color w:val="auto"/>
          <w:sz w:val="24"/>
          <w:szCs w:val="24"/>
          <w:highlight w:val="none"/>
          <w:lang w:val="en-US" w:eastAsia="zh-CN"/>
        </w:rPr>
        <w:t>2-3</w:t>
      </w:r>
      <w:r>
        <w:rPr>
          <w:rFonts w:hint="eastAsia" w:ascii="宋体" w:hAnsi="宋体" w:eastAsia="宋体" w:cs="宋体"/>
          <w:b w:val="0"/>
          <w:bCs w:val="0"/>
          <w:color w:val="auto"/>
          <w:kern w:val="2"/>
          <w:sz w:val="24"/>
          <w:szCs w:val="24"/>
          <w:highlight w:val="none"/>
          <w:lang w:val="en-US" w:eastAsia="zh-CN" w:bidi="ar-SA"/>
        </w:rPr>
        <w:t>处理，边缘打磨成倒三角形，保证周边聚脲厚度大于2mm。</w:t>
      </w:r>
    </w:p>
    <w:p w14:paraId="0032EE4D">
      <w:pPr>
        <w:pStyle w:val="2"/>
        <w:kinsoku/>
        <w:wordWrap/>
        <w:overflowPunct/>
        <w:topLinePunct w:val="0"/>
        <w:bidi w:val="0"/>
        <w:adjustRightInd w:val="0"/>
        <w:snapToGrid w:val="0"/>
        <w:spacing w:after="156" w:line="360" w:lineRule="auto"/>
        <w:ind w:left="0" w:leftChars="0" w:firstLine="472" w:firstLineChars="225"/>
        <w:rPr>
          <w:rFonts w:hint="eastAsia" w:ascii="宋体" w:hAnsi="宋体" w:eastAsia="宋体" w:cs="宋体"/>
          <w:color w:val="auto"/>
          <w:highlight w:val="none"/>
        </w:rPr>
      </w:pPr>
      <w:r>
        <w:rPr>
          <w:rFonts w:hint="eastAsia" w:ascii="宋体" w:hAnsi="宋体" w:eastAsia="宋体" w:cs="宋体"/>
          <w:color w:val="auto"/>
          <w:highlight w:val="none"/>
        </w:rPr>
        <w:drawing>
          <wp:inline distT="0" distB="0" distL="114300" distR="114300">
            <wp:extent cx="5166995" cy="1192530"/>
            <wp:effectExtent l="0" t="0" r="14605" b="7620"/>
            <wp:docPr id="2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3"/>
                    <pic:cNvPicPr>
                      <a:picLocks noChangeAspect="1"/>
                    </pic:cNvPicPr>
                  </pic:nvPicPr>
                  <pic:blipFill>
                    <a:blip r:embed="rId22"/>
                    <a:stretch>
                      <a:fillRect/>
                    </a:stretch>
                  </pic:blipFill>
                  <pic:spPr>
                    <a:xfrm>
                      <a:off x="0" y="0"/>
                      <a:ext cx="5166995" cy="1192530"/>
                    </a:xfrm>
                    <a:prstGeom prst="rect">
                      <a:avLst/>
                    </a:prstGeom>
                    <a:noFill/>
                    <a:ln>
                      <a:noFill/>
                    </a:ln>
                  </pic:spPr>
                </pic:pic>
              </a:graphicData>
            </a:graphic>
          </wp:inline>
        </w:drawing>
      </w:r>
    </w:p>
    <w:p w14:paraId="71AE4E1F">
      <w:pPr>
        <w:kinsoku/>
        <w:wordWrap/>
        <w:overflowPunct/>
        <w:topLinePunct w:val="0"/>
        <w:bidi w:val="0"/>
        <w:spacing w:line="360" w:lineRule="auto"/>
        <w:ind w:left="0" w:leftChars="0"/>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图</w:t>
      </w:r>
      <w:r>
        <w:rPr>
          <w:rFonts w:hint="eastAsia" w:ascii="宋体" w:hAnsi="宋体" w:eastAsia="宋体" w:cs="宋体"/>
          <w:b/>
          <w:color w:val="auto"/>
          <w:sz w:val="21"/>
          <w:szCs w:val="21"/>
          <w:highlight w:val="none"/>
          <w:lang w:val="en-US" w:eastAsia="zh-CN"/>
        </w:rPr>
        <w:t>2-3</w:t>
      </w:r>
      <w:r>
        <w:rPr>
          <w:rFonts w:hint="eastAsia" w:ascii="宋体" w:hAnsi="宋体" w:eastAsia="宋体" w:cs="宋体"/>
          <w:b/>
          <w:color w:val="auto"/>
          <w:sz w:val="21"/>
          <w:szCs w:val="21"/>
          <w:highlight w:val="none"/>
        </w:rPr>
        <w:t xml:space="preserve"> </w:t>
      </w:r>
      <w:r>
        <w:rPr>
          <w:rFonts w:hint="eastAsia" w:ascii="宋体" w:hAnsi="宋体" w:eastAsia="宋体" w:cs="宋体"/>
          <w:b w:val="0"/>
          <w:bCs/>
          <w:color w:val="auto"/>
          <w:sz w:val="21"/>
          <w:szCs w:val="21"/>
          <w:highlight w:val="non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混凝土表面涂刷SK手刮聚脲收边示意图</w:t>
      </w:r>
    </w:p>
    <w:p w14:paraId="42BB5226">
      <w:pPr>
        <w:kinsoku/>
        <w:wordWrap/>
        <w:overflowPunct/>
        <w:topLinePunct w:val="0"/>
        <w:bidi w:val="0"/>
        <w:spacing w:line="360" w:lineRule="auto"/>
        <w:ind w:left="0" w:leftChars="0" w:firstLine="0" w:firstLineChars="0"/>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施工材料</w:t>
      </w:r>
      <w:r>
        <w:rPr>
          <w:rFonts w:hint="eastAsia" w:ascii="宋体" w:hAnsi="宋体" w:eastAsia="宋体" w:cs="宋体"/>
          <w:b/>
          <w:bCs/>
          <w:color w:val="auto"/>
          <w:sz w:val="28"/>
          <w:szCs w:val="28"/>
          <w:highlight w:val="none"/>
          <w:lang w:eastAsia="zh-CN"/>
        </w:rPr>
        <w:t>：</w:t>
      </w:r>
    </w:p>
    <w:p w14:paraId="3518BC2A">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A  SK手刮聚脲</w:t>
      </w:r>
    </w:p>
    <w:p w14:paraId="35E8185F">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SK手刮聚脲为单组分，由含多异氰酸酯—NCO的高分子预聚体与经封端的多元胺（包括氨基聚醚）混合，并加入其它功能性助剂所组成。SK手刮聚脲分（抗冲磨型）的主要技术指标见表</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b w:val="0"/>
          <w:bCs w:val="0"/>
          <w:color w:val="auto"/>
          <w:kern w:val="2"/>
          <w:sz w:val="24"/>
          <w:szCs w:val="24"/>
          <w:highlight w:val="none"/>
          <w:lang w:val="en-US" w:eastAsia="zh-CN" w:bidi="ar-SA"/>
        </w:rPr>
        <w:t>。该材料具有优异的力学性能，抗紫外线性能和抗太阳暴晒性能，SK手刮聚脲具有-45℃的低温柔性，能适应高寒地区的低温环境，尤其是能抵抗低温时混凝土开裂引起的形变而不渗漏。主要特点如下：</w:t>
      </w:r>
    </w:p>
    <w:p w14:paraId="0DADB0A3">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（1）材料为脂肪族，耐老化性能好，不变色；</w:t>
      </w:r>
    </w:p>
    <w:p w14:paraId="58B74564">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（2）无毒，可用于饮用水工程；</w:t>
      </w:r>
    </w:p>
    <w:p w14:paraId="169F4695">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 防渗、抗冲磨性能好；</w:t>
      </w:r>
    </w:p>
    <w:p w14:paraId="7FC5DB58">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（4）强度高、延伸率大，与基础混凝土粘接好；</w:t>
      </w:r>
    </w:p>
    <w:p w14:paraId="03EB2E23">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（5）耐老化，耐化学腐蚀，抗冻效果好；</w:t>
      </w:r>
    </w:p>
    <w:p w14:paraId="7365D75F">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（6）对混凝土裂缝及伸缩缝表面封闭时可以复合胎基布增强；</w:t>
      </w:r>
    </w:p>
    <w:p w14:paraId="04A65101">
      <w:pPr>
        <w:kinsoku/>
        <w:wordWrap/>
        <w:overflowPunct/>
        <w:topLinePunct w:val="0"/>
        <w:bidi w:val="0"/>
        <w:spacing w:line="360" w:lineRule="auto"/>
        <w:ind w:left="0" w:leftChars="0" w:firstLine="480" w:firstLineChars="200"/>
        <w:rPr>
          <w:rFonts w:hint="eastAsia" w:ascii="宋体" w:hAnsi="宋体" w:eastAsia="宋体" w:cs="宋体"/>
          <w:b/>
          <w:bCs w:val="0"/>
          <w:color w:val="auto"/>
          <w:sz w:val="21"/>
          <w:szCs w:val="21"/>
          <w:highlight w:val="none"/>
          <w:vertAlign w:val="baseline"/>
        </w:rPr>
      </w:pPr>
      <w:r>
        <w:rPr>
          <w:rFonts w:hint="eastAsia" w:ascii="宋体" w:hAnsi="宋体" w:eastAsia="宋体" w:cs="宋体"/>
          <w:b w:val="0"/>
          <w:bCs w:val="0"/>
          <w:color w:val="auto"/>
          <w:kern w:val="2"/>
          <w:sz w:val="24"/>
          <w:szCs w:val="24"/>
          <w:highlight w:val="none"/>
          <w:lang w:val="en-US" w:eastAsia="zh-CN" w:bidi="ar-SA"/>
        </w:rPr>
        <w:t>（7）局部缺陷修补使用同一种材料，施工简单、方便，便于推广。</w:t>
      </w:r>
    </w:p>
    <w:p w14:paraId="105D3F41">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bCs w:val="0"/>
          <w:color w:val="auto"/>
          <w:kern w:val="2"/>
          <w:sz w:val="28"/>
          <w:szCs w:val="22"/>
          <w:highlight w:val="none"/>
          <w:lang w:val="en-US" w:eastAsia="zh-CN" w:bidi="ar-SA"/>
        </w:rPr>
      </w:pPr>
      <w:r>
        <w:rPr>
          <w:rFonts w:hint="eastAsia" w:ascii="宋体" w:hAnsi="宋体" w:eastAsia="宋体" w:cs="宋体"/>
          <w:b/>
          <w:bCs w:val="0"/>
          <w:color w:val="auto"/>
          <w:sz w:val="21"/>
          <w:szCs w:val="21"/>
          <w:highlight w:val="none"/>
          <w:vertAlign w:val="baseline"/>
        </w:rPr>
        <w:t>表</w:t>
      </w:r>
      <w:r>
        <w:rPr>
          <w:rFonts w:hint="eastAsia" w:ascii="宋体" w:hAnsi="宋体" w:eastAsia="宋体" w:cs="宋体"/>
          <w:b/>
          <w:bCs w:val="0"/>
          <w:color w:val="auto"/>
          <w:sz w:val="21"/>
          <w:szCs w:val="21"/>
          <w:highlight w:val="none"/>
          <w:vertAlign w:val="baseline"/>
          <w:lang w:eastAsia="zh-CN"/>
        </w:rPr>
        <w:t>2</w:t>
      </w:r>
      <w:r>
        <w:rPr>
          <w:rFonts w:hint="eastAsia" w:ascii="宋体" w:hAnsi="宋体" w:eastAsia="宋体" w:cs="宋体"/>
          <w:b/>
          <w:bCs w:val="0"/>
          <w:color w:val="auto"/>
          <w:sz w:val="21"/>
          <w:szCs w:val="21"/>
          <w:highlight w:val="none"/>
          <w:vertAlign w:val="baseline"/>
        </w:rPr>
        <w:t>-</w:t>
      </w:r>
      <w:r>
        <w:rPr>
          <w:rFonts w:hint="eastAsia" w:ascii="宋体" w:hAnsi="宋体" w:eastAsia="宋体" w:cs="宋体"/>
          <w:b/>
          <w:bCs w:val="0"/>
          <w:color w:val="auto"/>
          <w:sz w:val="21"/>
          <w:szCs w:val="21"/>
          <w:highlight w:val="none"/>
          <w:vertAlign w:val="baseline"/>
          <w:lang w:val="en-US" w:eastAsia="zh-CN"/>
        </w:rPr>
        <w:t xml:space="preserve">2 </w:t>
      </w:r>
      <w:r>
        <w:rPr>
          <w:rFonts w:hint="eastAsia" w:ascii="宋体" w:hAnsi="宋体" w:eastAsia="宋体" w:cs="宋体"/>
          <w:b/>
          <w:bCs w:val="0"/>
          <w:color w:val="auto"/>
          <w:sz w:val="21"/>
          <w:szCs w:val="21"/>
          <w:highlight w:val="none"/>
          <w:vertAlign w:val="baseline"/>
        </w:rPr>
        <w:t>SK手刮聚脲主要技术指标</w:t>
      </w:r>
    </w:p>
    <w:tbl>
      <w:tblPr>
        <w:tblStyle w:val="1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034"/>
        <w:gridCol w:w="3480"/>
      </w:tblGrid>
      <w:tr w14:paraId="65C791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34" w:type="dxa"/>
            <w:tcBorders>
              <w:tl2br w:val="nil"/>
              <w:tr2bl w:val="nil"/>
            </w:tcBorders>
            <w:noWrap w:val="0"/>
            <w:vAlign w:val="center"/>
          </w:tcPr>
          <w:p w14:paraId="4662DFA8">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   目</w:t>
            </w:r>
          </w:p>
        </w:tc>
        <w:tc>
          <w:tcPr>
            <w:tcW w:w="3480" w:type="dxa"/>
            <w:tcBorders>
              <w:tl2br w:val="nil"/>
              <w:tr2bl w:val="nil"/>
            </w:tcBorders>
            <w:noWrap w:val="0"/>
            <w:vAlign w:val="center"/>
          </w:tcPr>
          <w:p w14:paraId="5B35C963">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技术指标</w:t>
            </w:r>
          </w:p>
        </w:tc>
      </w:tr>
      <w:tr w14:paraId="5112FB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34" w:type="dxa"/>
            <w:tcBorders>
              <w:tl2br w:val="nil"/>
              <w:tr2bl w:val="nil"/>
            </w:tcBorders>
            <w:noWrap w:val="0"/>
            <w:vAlign w:val="center"/>
          </w:tcPr>
          <w:p w14:paraId="5BA538CB">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拉伸强度，MPa</w:t>
            </w:r>
          </w:p>
        </w:tc>
        <w:tc>
          <w:tcPr>
            <w:tcW w:w="3480" w:type="dxa"/>
            <w:tcBorders>
              <w:tl2br w:val="nil"/>
              <w:tr2bl w:val="nil"/>
            </w:tcBorders>
            <w:noWrap w:val="0"/>
            <w:vAlign w:val="center"/>
          </w:tcPr>
          <w:p w14:paraId="64F348C3">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p>
        </w:tc>
      </w:tr>
      <w:tr w14:paraId="6984A9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34" w:type="dxa"/>
            <w:tcBorders>
              <w:tl2br w:val="nil"/>
              <w:tr2bl w:val="nil"/>
            </w:tcBorders>
            <w:noWrap w:val="0"/>
            <w:vAlign w:val="center"/>
          </w:tcPr>
          <w:p w14:paraId="50F31984">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扯断伸长率，%</w:t>
            </w:r>
          </w:p>
        </w:tc>
        <w:tc>
          <w:tcPr>
            <w:tcW w:w="3480" w:type="dxa"/>
            <w:tcBorders>
              <w:tl2br w:val="nil"/>
              <w:tr2bl w:val="nil"/>
            </w:tcBorders>
            <w:noWrap w:val="0"/>
            <w:vAlign w:val="center"/>
          </w:tcPr>
          <w:p w14:paraId="60729E66">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＞150</w:t>
            </w:r>
          </w:p>
        </w:tc>
      </w:tr>
      <w:tr w14:paraId="3B8B5D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34" w:type="dxa"/>
            <w:tcBorders>
              <w:tl2br w:val="nil"/>
              <w:tr2bl w:val="nil"/>
            </w:tcBorders>
            <w:noWrap w:val="0"/>
            <w:vAlign w:val="center"/>
          </w:tcPr>
          <w:p w14:paraId="3DABBC99">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撕裂强度，kN/m</w:t>
            </w:r>
          </w:p>
        </w:tc>
        <w:tc>
          <w:tcPr>
            <w:tcW w:w="3480" w:type="dxa"/>
            <w:tcBorders>
              <w:tl2br w:val="nil"/>
              <w:tr2bl w:val="nil"/>
            </w:tcBorders>
            <w:noWrap w:val="0"/>
            <w:vAlign w:val="center"/>
          </w:tcPr>
          <w:p w14:paraId="66FA23E9">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＞60</w:t>
            </w:r>
          </w:p>
        </w:tc>
      </w:tr>
      <w:tr w14:paraId="405829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34" w:type="dxa"/>
            <w:tcBorders>
              <w:tl2br w:val="nil"/>
              <w:tr2bl w:val="nil"/>
            </w:tcBorders>
            <w:noWrap w:val="0"/>
            <w:vAlign w:val="center"/>
          </w:tcPr>
          <w:p w14:paraId="4D2B8DC7">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硬度，邵A</w:t>
            </w:r>
          </w:p>
        </w:tc>
        <w:tc>
          <w:tcPr>
            <w:tcW w:w="3480" w:type="dxa"/>
            <w:tcBorders>
              <w:tl2br w:val="nil"/>
              <w:tr2bl w:val="nil"/>
            </w:tcBorders>
            <w:noWrap w:val="0"/>
            <w:vAlign w:val="center"/>
          </w:tcPr>
          <w:p w14:paraId="074034B0">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＞80</w:t>
            </w:r>
          </w:p>
        </w:tc>
      </w:tr>
      <w:tr w14:paraId="1B9869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34" w:type="dxa"/>
            <w:tcBorders>
              <w:tl2br w:val="nil"/>
              <w:tr2bl w:val="nil"/>
            </w:tcBorders>
            <w:noWrap w:val="0"/>
            <w:vAlign w:val="center"/>
          </w:tcPr>
          <w:p w14:paraId="553867D7">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附着力（潮湿面），MPa</w:t>
            </w:r>
          </w:p>
        </w:tc>
        <w:tc>
          <w:tcPr>
            <w:tcW w:w="3480" w:type="dxa"/>
            <w:tcBorders>
              <w:tl2br w:val="nil"/>
              <w:tr2bl w:val="nil"/>
            </w:tcBorders>
            <w:noWrap w:val="0"/>
            <w:vAlign w:val="center"/>
          </w:tcPr>
          <w:p w14:paraId="09CECE5C">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p>
        </w:tc>
      </w:tr>
      <w:tr w14:paraId="4E97BB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34" w:type="dxa"/>
            <w:tcBorders>
              <w:tl2br w:val="nil"/>
              <w:tr2bl w:val="nil"/>
            </w:tcBorders>
            <w:noWrap w:val="0"/>
            <w:vAlign w:val="center"/>
          </w:tcPr>
          <w:p w14:paraId="5ECC295A">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吸水率，%</w:t>
            </w:r>
          </w:p>
        </w:tc>
        <w:tc>
          <w:tcPr>
            <w:tcW w:w="3480" w:type="dxa"/>
            <w:tcBorders>
              <w:tl2br w:val="nil"/>
              <w:tr2bl w:val="nil"/>
            </w:tcBorders>
            <w:noWrap w:val="0"/>
            <w:vAlign w:val="center"/>
          </w:tcPr>
          <w:p w14:paraId="5F93A29F">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r>
      <w:tr w14:paraId="2A0294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34" w:type="dxa"/>
            <w:tcBorders>
              <w:tl2br w:val="nil"/>
              <w:tr2bl w:val="nil"/>
            </w:tcBorders>
            <w:noWrap w:val="0"/>
            <w:vAlign w:val="center"/>
          </w:tcPr>
          <w:p w14:paraId="4ED9F954">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颜色</w:t>
            </w:r>
          </w:p>
        </w:tc>
        <w:tc>
          <w:tcPr>
            <w:tcW w:w="3480" w:type="dxa"/>
            <w:tcBorders>
              <w:tl2br w:val="nil"/>
              <w:tr2bl w:val="nil"/>
            </w:tcBorders>
            <w:noWrap w:val="0"/>
            <w:vAlign w:val="center"/>
          </w:tcPr>
          <w:p w14:paraId="12A21DFA">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浅灰色，可调</w:t>
            </w:r>
          </w:p>
        </w:tc>
      </w:tr>
    </w:tbl>
    <w:p w14:paraId="5501AC59">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B  聚氨酯灌浆材料</w:t>
      </w:r>
    </w:p>
    <w:p w14:paraId="630BD9D6">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用于裂缝内部化学灌浆的材料为高强聚氨酯，膨胀率较小，但有一定强度，是一种在防水工程中普遍使用的灌浆材料，其具有遇水固结及膨胀的特性，具有较好的止水效果。该材料可灌性好，当聚氨酯被灌入含水的混凝土裂缝中时，迅速与水反应，形成不溶于水和不透水的凝胶体，在与水反应的同时产生CO</w:t>
      </w:r>
      <w:r>
        <w:rPr>
          <w:rFonts w:hint="eastAsia" w:ascii="宋体" w:hAnsi="宋体" w:eastAsia="宋体" w:cs="宋体"/>
          <w:b w:val="0"/>
          <w:bCs w:val="0"/>
          <w:color w:val="auto"/>
          <w:kern w:val="2"/>
          <w:sz w:val="24"/>
          <w:szCs w:val="24"/>
          <w:highlight w:val="none"/>
          <w:vertAlign w:val="subscript"/>
          <w:lang w:val="en-US" w:eastAsia="zh-CN" w:bidi="ar-SA"/>
        </w:rPr>
        <w:t>2</w:t>
      </w:r>
      <w:r>
        <w:rPr>
          <w:rFonts w:hint="eastAsia" w:ascii="宋体" w:hAnsi="宋体" w:eastAsia="宋体" w:cs="宋体"/>
          <w:b w:val="0"/>
          <w:bCs w:val="0"/>
          <w:color w:val="auto"/>
          <w:kern w:val="2"/>
          <w:sz w:val="24"/>
          <w:szCs w:val="24"/>
          <w:highlight w:val="none"/>
          <w:lang w:val="en-US" w:eastAsia="zh-CN" w:bidi="ar-SA"/>
        </w:rPr>
        <w:t>气体，这样边凝固边膨胀，体积膨胀几倍，形成二次渗透扩散现象（灌浆压力形成一次渗透扩散），从而达到堵水止漏的效果。其性能指标见表</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b w:val="0"/>
          <w:bCs w:val="0"/>
          <w:color w:val="auto"/>
          <w:kern w:val="2"/>
          <w:sz w:val="24"/>
          <w:szCs w:val="24"/>
          <w:highlight w:val="none"/>
          <w:lang w:val="en-US" w:eastAsia="zh-CN" w:bidi="ar-SA"/>
        </w:rPr>
        <w:t>。</w:t>
      </w:r>
    </w:p>
    <w:p w14:paraId="22913B6B">
      <w:pPr>
        <w:kinsoku/>
        <w:wordWrap/>
        <w:overflowPunct/>
        <w:topLinePunct w:val="0"/>
        <w:bidi w:val="0"/>
        <w:ind w:left="0" w:leftChars="0"/>
        <w:jc w:val="center"/>
        <w:rPr>
          <w:rFonts w:hint="eastAsia" w:ascii="宋体" w:hAnsi="宋体" w:eastAsia="宋体" w:cs="宋体"/>
          <w:b/>
          <w:bCs w:val="0"/>
          <w:color w:val="auto"/>
          <w:szCs w:val="21"/>
          <w:highlight w:val="none"/>
        </w:rPr>
      </w:pPr>
      <w:r>
        <w:rPr>
          <w:rFonts w:hint="eastAsia" w:ascii="宋体" w:hAnsi="宋体" w:eastAsia="宋体" w:cs="宋体"/>
          <w:b/>
          <w:bCs w:val="0"/>
          <w:color w:val="auto"/>
          <w:sz w:val="21"/>
          <w:szCs w:val="21"/>
          <w:highlight w:val="none"/>
        </w:rPr>
        <w:t>表</w:t>
      </w:r>
      <w:r>
        <w:rPr>
          <w:rFonts w:hint="eastAsia" w:ascii="宋体" w:hAnsi="宋体" w:eastAsia="宋体" w:cs="宋体"/>
          <w:b/>
          <w:bCs w:val="0"/>
          <w:color w:val="auto"/>
          <w:sz w:val="21"/>
          <w:szCs w:val="21"/>
          <w:highlight w:val="none"/>
          <w:lang w:eastAsia="zh-CN"/>
        </w:rPr>
        <w:t>2</w:t>
      </w:r>
      <w:r>
        <w:rPr>
          <w:rFonts w:hint="eastAsia" w:ascii="宋体" w:hAnsi="宋体" w:eastAsia="宋体" w:cs="宋体"/>
          <w:b/>
          <w:bCs w:val="0"/>
          <w:color w:val="auto"/>
          <w:sz w:val="21"/>
          <w:szCs w:val="21"/>
          <w:highlight w:val="none"/>
        </w:rPr>
        <w:t>-</w:t>
      </w:r>
      <w:r>
        <w:rPr>
          <w:rFonts w:hint="eastAsia" w:ascii="宋体" w:hAnsi="宋体" w:eastAsia="宋体" w:cs="宋体"/>
          <w:b/>
          <w:bCs w:val="0"/>
          <w:color w:val="auto"/>
          <w:sz w:val="21"/>
          <w:szCs w:val="21"/>
          <w:highlight w:val="none"/>
          <w:lang w:val="en-US" w:eastAsia="zh-CN"/>
        </w:rPr>
        <w:t>3</w:t>
      </w:r>
      <w:r>
        <w:rPr>
          <w:rFonts w:hint="eastAsia" w:ascii="宋体" w:hAnsi="宋体" w:eastAsia="宋体" w:cs="宋体"/>
          <w:b/>
          <w:bCs w:val="0"/>
          <w:color w:val="auto"/>
          <w:sz w:val="21"/>
          <w:szCs w:val="21"/>
          <w:highlight w:val="none"/>
        </w:rPr>
        <w:t xml:space="preserve">  高强聚氨酯灌浆材料性能指标</w:t>
      </w:r>
    </w:p>
    <w:tbl>
      <w:tblPr>
        <w:tblStyle w:val="16"/>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394"/>
        <w:gridCol w:w="2172"/>
        <w:gridCol w:w="1947"/>
      </w:tblGrid>
      <w:tr w14:paraId="4D980C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394" w:type="dxa"/>
            <w:tcBorders>
              <w:tl2br w:val="nil"/>
              <w:tr2bl w:val="nil"/>
            </w:tcBorders>
            <w:noWrap w:val="0"/>
            <w:vAlign w:val="center"/>
          </w:tcPr>
          <w:p w14:paraId="01BAAEDA">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检测项目</w:t>
            </w:r>
          </w:p>
        </w:tc>
        <w:tc>
          <w:tcPr>
            <w:tcW w:w="2172" w:type="dxa"/>
            <w:tcBorders>
              <w:tl2br w:val="nil"/>
              <w:tr2bl w:val="nil"/>
            </w:tcBorders>
            <w:noWrap w:val="0"/>
            <w:vAlign w:val="center"/>
          </w:tcPr>
          <w:p w14:paraId="1B58F540">
            <w:pPr>
              <w:keepNext w:val="0"/>
              <w:keepLines w:val="0"/>
              <w:pageBreakBefore w:val="0"/>
              <w:widowControl/>
              <w:kinsoku/>
              <w:wordWrap/>
              <w:overflowPunct/>
              <w:topLinePunct w:val="0"/>
              <w:autoSpaceDE/>
              <w:autoSpaceDN/>
              <w:bidi w:val="0"/>
              <w:adjustRightIn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w:t>
            </w:r>
          </w:p>
        </w:tc>
        <w:tc>
          <w:tcPr>
            <w:tcW w:w="1947" w:type="dxa"/>
            <w:tcBorders>
              <w:tl2br w:val="nil"/>
              <w:tr2bl w:val="nil"/>
            </w:tcBorders>
            <w:noWrap w:val="0"/>
            <w:vAlign w:val="center"/>
          </w:tcPr>
          <w:p w14:paraId="7FB70935">
            <w:pPr>
              <w:keepNext w:val="0"/>
              <w:keepLines w:val="0"/>
              <w:pageBreakBefore w:val="0"/>
              <w:widowControl/>
              <w:kinsoku/>
              <w:wordWrap/>
              <w:overflowPunct/>
              <w:topLinePunct w:val="0"/>
              <w:autoSpaceDE/>
              <w:autoSpaceDN/>
              <w:bidi w:val="0"/>
              <w:adjustRightIn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实测值</w:t>
            </w:r>
          </w:p>
        </w:tc>
      </w:tr>
      <w:tr w14:paraId="493AC9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394" w:type="dxa"/>
            <w:tcBorders>
              <w:tl2br w:val="nil"/>
              <w:tr2bl w:val="nil"/>
            </w:tcBorders>
            <w:noWrap w:val="0"/>
            <w:vAlign w:val="center"/>
          </w:tcPr>
          <w:p w14:paraId="522DEAB9">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粘度（25℃，mpa•s）</w:t>
            </w:r>
          </w:p>
        </w:tc>
        <w:tc>
          <w:tcPr>
            <w:tcW w:w="2172" w:type="dxa"/>
            <w:tcBorders>
              <w:tl2br w:val="nil"/>
              <w:tr2bl w:val="nil"/>
            </w:tcBorders>
            <w:noWrap w:val="0"/>
            <w:vAlign w:val="center"/>
          </w:tcPr>
          <w:p w14:paraId="70ED6EF2">
            <w:pPr>
              <w:keepNext w:val="0"/>
              <w:keepLines w:val="0"/>
              <w:pageBreakBefore w:val="0"/>
              <w:widowControl/>
              <w:kinsoku/>
              <w:wordWrap/>
              <w:overflowPunct/>
              <w:topLinePunct w:val="0"/>
              <w:autoSpaceDE/>
              <w:autoSpaceDN/>
              <w:bidi w:val="0"/>
              <w:adjustRightIn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40～100</w:t>
            </w:r>
          </w:p>
        </w:tc>
        <w:tc>
          <w:tcPr>
            <w:tcW w:w="1947" w:type="dxa"/>
            <w:tcBorders>
              <w:tl2br w:val="nil"/>
              <w:tr2bl w:val="nil"/>
            </w:tcBorders>
            <w:noWrap w:val="0"/>
            <w:vAlign w:val="center"/>
          </w:tcPr>
          <w:p w14:paraId="612FD5D5">
            <w:pPr>
              <w:keepNext w:val="0"/>
              <w:keepLines w:val="0"/>
              <w:pageBreakBefore w:val="0"/>
              <w:widowControl/>
              <w:kinsoku/>
              <w:wordWrap/>
              <w:overflowPunct/>
              <w:topLinePunct w:val="0"/>
              <w:autoSpaceDE/>
              <w:autoSpaceDN/>
              <w:bidi w:val="0"/>
              <w:adjustRightIn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65</w:t>
            </w:r>
          </w:p>
        </w:tc>
      </w:tr>
      <w:tr w14:paraId="5CD93E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394" w:type="dxa"/>
            <w:tcBorders>
              <w:tl2br w:val="nil"/>
              <w:tr2bl w:val="nil"/>
            </w:tcBorders>
            <w:noWrap w:val="0"/>
            <w:vAlign w:val="center"/>
          </w:tcPr>
          <w:p w14:paraId="7AA157CF">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凝胶时间（min）浆液:水=100:3</w:t>
            </w:r>
          </w:p>
        </w:tc>
        <w:tc>
          <w:tcPr>
            <w:tcW w:w="2172" w:type="dxa"/>
            <w:tcBorders>
              <w:tl2br w:val="nil"/>
              <w:tr2bl w:val="nil"/>
            </w:tcBorders>
            <w:noWrap w:val="0"/>
            <w:vAlign w:val="center"/>
          </w:tcPr>
          <w:p w14:paraId="3CF999FD">
            <w:pPr>
              <w:keepNext w:val="0"/>
              <w:keepLines w:val="0"/>
              <w:pageBreakBefore w:val="0"/>
              <w:widowControl/>
              <w:kinsoku/>
              <w:wordWrap/>
              <w:overflowPunct/>
              <w:topLinePunct w:val="0"/>
              <w:autoSpaceDE/>
              <w:autoSpaceDN/>
              <w:bidi w:val="0"/>
              <w:adjustRightIn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w:t>
            </w:r>
          </w:p>
        </w:tc>
        <w:tc>
          <w:tcPr>
            <w:tcW w:w="1947" w:type="dxa"/>
            <w:tcBorders>
              <w:tl2br w:val="nil"/>
              <w:tr2bl w:val="nil"/>
            </w:tcBorders>
            <w:noWrap w:val="0"/>
            <w:vAlign w:val="center"/>
          </w:tcPr>
          <w:p w14:paraId="683FAAE3">
            <w:pPr>
              <w:keepNext w:val="0"/>
              <w:keepLines w:val="0"/>
              <w:pageBreakBefore w:val="0"/>
              <w:widowControl/>
              <w:kinsoku/>
              <w:wordWrap/>
              <w:overflowPunct/>
              <w:topLinePunct w:val="0"/>
              <w:autoSpaceDE/>
              <w:autoSpaceDN/>
              <w:bidi w:val="0"/>
              <w:adjustRightIn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w:t>
            </w:r>
          </w:p>
        </w:tc>
      </w:tr>
      <w:tr w14:paraId="7AF553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394" w:type="dxa"/>
            <w:tcBorders>
              <w:tl2br w:val="nil"/>
              <w:tr2bl w:val="nil"/>
            </w:tcBorders>
            <w:noWrap w:val="0"/>
            <w:vAlign w:val="center"/>
          </w:tcPr>
          <w:p w14:paraId="55B33EDE">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粘接强度（MPa）（干燥）</w:t>
            </w:r>
          </w:p>
        </w:tc>
        <w:tc>
          <w:tcPr>
            <w:tcW w:w="2172" w:type="dxa"/>
            <w:tcBorders>
              <w:tl2br w:val="nil"/>
              <w:tr2bl w:val="nil"/>
            </w:tcBorders>
            <w:noWrap w:val="0"/>
            <w:vAlign w:val="center"/>
          </w:tcPr>
          <w:p w14:paraId="7792471F">
            <w:pPr>
              <w:keepNext w:val="0"/>
              <w:keepLines w:val="0"/>
              <w:pageBreakBefore w:val="0"/>
              <w:widowControl/>
              <w:kinsoku/>
              <w:wordWrap/>
              <w:overflowPunct/>
              <w:topLinePunct w:val="0"/>
              <w:autoSpaceDE/>
              <w:autoSpaceDN/>
              <w:bidi w:val="0"/>
              <w:adjustRightIn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p>
        </w:tc>
        <w:tc>
          <w:tcPr>
            <w:tcW w:w="1947" w:type="dxa"/>
            <w:tcBorders>
              <w:tl2br w:val="nil"/>
              <w:tr2bl w:val="nil"/>
            </w:tcBorders>
            <w:noWrap w:val="0"/>
            <w:vAlign w:val="center"/>
          </w:tcPr>
          <w:p w14:paraId="2F31AD8D">
            <w:pPr>
              <w:keepNext w:val="0"/>
              <w:keepLines w:val="0"/>
              <w:pageBreakBefore w:val="0"/>
              <w:widowControl/>
              <w:kinsoku/>
              <w:wordWrap/>
              <w:overflowPunct/>
              <w:topLinePunct w:val="0"/>
              <w:autoSpaceDE/>
              <w:autoSpaceDN/>
              <w:bidi w:val="0"/>
              <w:adjustRightIn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p>
        </w:tc>
      </w:tr>
      <w:tr w14:paraId="574EAD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394" w:type="dxa"/>
            <w:tcBorders>
              <w:tl2br w:val="nil"/>
              <w:tr2bl w:val="nil"/>
            </w:tcBorders>
            <w:noWrap w:val="0"/>
            <w:vAlign w:val="center"/>
          </w:tcPr>
          <w:p w14:paraId="4F53D75A">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粘接强度（MPa）(饱和面干)</w:t>
            </w:r>
          </w:p>
        </w:tc>
        <w:tc>
          <w:tcPr>
            <w:tcW w:w="2172" w:type="dxa"/>
            <w:tcBorders>
              <w:tl2br w:val="nil"/>
              <w:tr2bl w:val="nil"/>
            </w:tcBorders>
            <w:noWrap w:val="0"/>
            <w:vAlign w:val="center"/>
          </w:tcPr>
          <w:p w14:paraId="5AFF0D88">
            <w:pPr>
              <w:keepNext w:val="0"/>
              <w:keepLines w:val="0"/>
              <w:pageBreakBefore w:val="0"/>
              <w:widowControl/>
              <w:kinsoku/>
              <w:wordWrap/>
              <w:overflowPunct/>
              <w:topLinePunct w:val="0"/>
              <w:autoSpaceDE/>
              <w:autoSpaceDN/>
              <w:bidi w:val="0"/>
              <w:adjustRightIn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p>
        </w:tc>
        <w:tc>
          <w:tcPr>
            <w:tcW w:w="1947" w:type="dxa"/>
            <w:tcBorders>
              <w:tl2br w:val="nil"/>
              <w:tr2bl w:val="nil"/>
            </w:tcBorders>
            <w:noWrap w:val="0"/>
            <w:vAlign w:val="center"/>
          </w:tcPr>
          <w:p w14:paraId="4CD46426">
            <w:pPr>
              <w:keepNext w:val="0"/>
              <w:keepLines w:val="0"/>
              <w:pageBreakBefore w:val="0"/>
              <w:widowControl/>
              <w:kinsoku/>
              <w:wordWrap/>
              <w:overflowPunct/>
              <w:topLinePunct w:val="0"/>
              <w:autoSpaceDE/>
              <w:autoSpaceDN/>
              <w:bidi w:val="0"/>
              <w:adjustRightInd/>
              <w:spacing w:line="240" w:lineRule="auto"/>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p>
        </w:tc>
      </w:tr>
    </w:tbl>
    <w:p w14:paraId="4FE4746E">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C  PCS柔性防碳化涂料</w:t>
      </w:r>
    </w:p>
    <w:p w14:paraId="5EA58BED">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PCS型抗冲磨防碳化涂料的主要性能如下：</w:t>
      </w:r>
    </w:p>
    <w:p w14:paraId="1D75BC4B">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（1）抗渗性：在水压力2.0MPa时，稳定24小时不渗水；</w:t>
      </w:r>
    </w:p>
    <w:p w14:paraId="13C8E177">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（2）涂层材料与基层混凝土间的粘结强度大于1.0 MPa；</w:t>
      </w:r>
    </w:p>
    <w:p w14:paraId="7B1CCFD0">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（3）材料的拉伸性能：断裂伸长率大于50%，拉断强度大于1.5 MPa。</w:t>
      </w:r>
    </w:p>
    <w:p w14:paraId="1DB90705">
      <w:pPr>
        <w:kinsoku/>
        <w:wordWrap/>
        <w:overflowPunct/>
        <w:topLinePunct w:val="0"/>
        <w:bidi w:val="0"/>
        <w:spacing w:line="360" w:lineRule="auto"/>
        <w:ind w:left="0" w:leftChars="0"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D 高弹性聚脲砂浆</w:t>
      </w:r>
    </w:p>
    <w:p w14:paraId="4C5B56A0">
      <w:pPr>
        <w:spacing w:line="360" w:lineRule="auto"/>
        <w:ind w:firstLine="480" w:firstLineChars="200"/>
        <w:rPr>
          <w:rFonts w:hint="eastAsia" w:ascii="宋体" w:hAnsi="宋体" w:eastAsia="宋体" w:cs="宋体"/>
          <w:sz w:val="24"/>
          <w:szCs w:val="24"/>
        </w:rPr>
      </w:pPr>
      <w:r>
        <w:rPr>
          <w:rFonts w:hint="eastAsia" w:ascii="宋体" w:hAnsi="宋体" w:eastAsia="宋体" w:cs="宋体"/>
          <w:b w:val="0"/>
          <w:bCs w:val="0"/>
          <w:color w:val="auto"/>
          <w:kern w:val="2"/>
          <w:sz w:val="24"/>
          <w:szCs w:val="24"/>
          <w:highlight w:val="none"/>
          <w:lang w:val="en-US" w:eastAsia="zh-CN" w:bidi="ar-SA"/>
        </w:rPr>
        <w:t>高弹性聚脲砂浆修补材料最大的特点是有极佳的弹性，弹性模量为16～50MPa，比普通砂浆低1000倍左右，其最大拉伸率大概在10%～30%之间（根据配比不同而异），压缩50%后可以完全恢复，因此具有良好的抗裂性和变形性，这一特点使其在混凝土薄层修补时优势明显。可以用于混凝土结构缝内嵌缝，已在多个工程中成功应用。高弹性聚脲砂浆性能指标见表</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b w:val="0"/>
          <w:bCs w:val="0"/>
          <w:color w:val="auto"/>
          <w:kern w:val="2"/>
          <w:sz w:val="24"/>
          <w:szCs w:val="24"/>
          <w:highlight w:val="none"/>
          <w:lang w:val="en-US" w:eastAsia="zh-CN" w:bidi="ar-SA"/>
        </w:rPr>
        <w:t>。</w:t>
      </w:r>
    </w:p>
    <w:p w14:paraId="46FD854F">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表</w:t>
      </w:r>
      <w:r>
        <w:rPr>
          <w:rFonts w:hint="eastAsia" w:ascii="宋体" w:hAnsi="宋体" w:eastAsia="宋体" w:cs="宋体"/>
          <w:b/>
          <w:bCs w:val="0"/>
          <w:color w:val="auto"/>
          <w:sz w:val="21"/>
          <w:szCs w:val="21"/>
          <w:highlight w:val="none"/>
          <w:lang w:eastAsia="zh-CN"/>
        </w:rPr>
        <w:t>2</w:t>
      </w:r>
      <w:r>
        <w:rPr>
          <w:rFonts w:hint="eastAsia" w:ascii="宋体" w:hAnsi="宋体" w:eastAsia="宋体" w:cs="宋体"/>
          <w:b/>
          <w:bCs w:val="0"/>
          <w:color w:val="auto"/>
          <w:sz w:val="21"/>
          <w:szCs w:val="21"/>
          <w:highlight w:val="none"/>
        </w:rPr>
        <w:t>-</w:t>
      </w:r>
      <w:r>
        <w:rPr>
          <w:rFonts w:hint="eastAsia" w:ascii="宋体" w:hAnsi="宋体" w:eastAsia="宋体" w:cs="宋体"/>
          <w:b/>
          <w:bCs w:val="0"/>
          <w:color w:val="auto"/>
          <w:sz w:val="21"/>
          <w:szCs w:val="21"/>
          <w:highlight w:val="none"/>
          <w:lang w:val="en-US" w:eastAsia="zh-CN"/>
        </w:rPr>
        <w:t>4</w:t>
      </w:r>
      <w:r>
        <w:rPr>
          <w:rFonts w:hint="eastAsia" w:ascii="宋体" w:hAnsi="宋体" w:eastAsia="宋体" w:cs="宋体"/>
          <w:b/>
          <w:bCs w:val="0"/>
          <w:color w:val="auto"/>
          <w:sz w:val="21"/>
          <w:szCs w:val="21"/>
          <w:highlight w:val="none"/>
        </w:rPr>
        <w:t xml:space="preserve">  高弹性</w:t>
      </w:r>
      <w:r>
        <w:rPr>
          <w:rFonts w:hint="eastAsia" w:ascii="宋体" w:hAnsi="宋体" w:eastAsia="宋体" w:cs="宋体"/>
          <w:b/>
          <w:bCs w:val="0"/>
          <w:color w:val="auto"/>
          <w:sz w:val="21"/>
          <w:szCs w:val="21"/>
          <w:highlight w:val="none"/>
          <w:lang w:val="en-US" w:eastAsia="zh-CN"/>
        </w:rPr>
        <w:t>聚脲</w:t>
      </w:r>
      <w:r>
        <w:rPr>
          <w:rFonts w:hint="eastAsia" w:ascii="宋体" w:hAnsi="宋体" w:eastAsia="宋体" w:cs="宋体"/>
          <w:b/>
          <w:bCs w:val="0"/>
          <w:color w:val="auto"/>
          <w:sz w:val="21"/>
          <w:szCs w:val="21"/>
          <w:highlight w:val="none"/>
        </w:rPr>
        <w:t>砂浆技术指标</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
        <w:gridCol w:w="3444"/>
        <w:gridCol w:w="1768"/>
        <w:gridCol w:w="2373"/>
      </w:tblGrid>
      <w:tr w14:paraId="6183A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 w:type="dxa"/>
            <w:tcBorders>
              <w:top w:val="single" w:color="auto" w:sz="4" w:space="0"/>
              <w:left w:val="single" w:color="auto" w:sz="4" w:space="0"/>
              <w:bottom w:val="single" w:color="auto" w:sz="4" w:space="0"/>
              <w:right w:val="single" w:color="auto" w:sz="4" w:space="0"/>
            </w:tcBorders>
            <w:noWrap w:val="0"/>
            <w:vAlign w:val="top"/>
          </w:tcPr>
          <w:p w14:paraId="0B44A700">
            <w:pPr>
              <w:spacing w:line="276" w:lineRule="auto"/>
              <w:ind w:left="0" w:leftChars="0" w:firstLine="0" w:firstLineChars="0"/>
              <w:jc w:val="both"/>
              <w:rPr>
                <w:rFonts w:hint="eastAsia" w:ascii="宋体" w:hAnsi="宋体" w:eastAsia="宋体" w:cs="宋体"/>
                <w:sz w:val="24"/>
                <w:szCs w:val="24"/>
              </w:rPr>
            </w:pPr>
            <w:r>
              <w:rPr>
                <w:rFonts w:hint="eastAsia" w:ascii="宋体" w:hAnsi="宋体" w:eastAsia="宋体" w:cs="宋体"/>
                <w:sz w:val="24"/>
                <w:szCs w:val="24"/>
              </w:rPr>
              <w:t>序号</w:t>
            </w:r>
          </w:p>
        </w:tc>
        <w:tc>
          <w:tcPr>
            <w:tcW w:w="3444" w:type="dxa"/>
            <w:tcBorders>
              <w:top w:val="single" w:color="auto" w:sz="4" w:space="0"/>
              <w:left w:val="single" w:color="auto" w:sz="4" w:space="0"/>
              <w:bottom w:val="single" w:color="auto" w:sz="4" w:space="0"/>
              <w:right w:val="single" w:color="auto" w:sz="4" w:space="0"/>
            </w:tcBorders>
            <w:noWrap w:val="0"/>
            <w:vAlign w:val="top"/>
          </w:tcPr>
          <w:p w14:paraId="31483695">
            <w:pPr>
              <w:spacing w:line="276" w:lineRule="auto"/>
              <w:jc w:val="center"/>
              <w:rPr>
                <w:rFonts w:hint="eastAsia" w:ascii="宋体" w:hAnsi="宋体" w:eastAsia="宋体" w:cs="宋体"/>
                <w:sz w:val="24"/>
                <w:szCs w:val="24"/>
              </w:rPr>
            </w:pPr>
            <w:r>
              <w:rPr>
                <w:rFonts w:hint="eastAsia" w:ascii="宋体" w:hAnsi="宋体" w:eastAsia="宋体" w:cs="宋体"/>
                <w:sz w:val="24"/>
                <w:szCs w:val="24"/>
              </w:rPr>
              <w:t>项目</w:t>
            </w:r>
          </w:p>
        </w:tc>
        <w:tc>
          <w:tcPr>
            <w:tcW w:w="1768" w:type="dxa"/>
            <w:tcBorders>
              <w:top w:val="single" w:color="auto" w:sz="4" w:space="0"/>
              <w:left w:val="single" w:color="auto" w:sz="4" w:space="0"/>
              <w:bottom w:val="single" w:color="auto" w:sz="4" w:space="0"/>
              <w:right w:val="single" w:color="auto" w:sz="4" w:space="0"/>
            </w:tcBorders>
            <w:noWrap w:val="0"/>
            <w:vAlign w:val="top"/>
          </w:tcPr>
          <w:p w14:paraId="6029D84B">
            <w:pPr>
              <w:spacing w:line="276" w:lineRule="auto"/>
              <w:jc w:val="center"/>
              <w:rPr>
                <w:rFonts w:hint="eastAsia" w:ascii="宋体" w:hAnsi="宋体" w:eastAsia="宋体" w:cs="宋体"/>
                <w:sz w:val="24"/>
                <w:szCs w:val="24"/>
              </w:rPr>
            </w:pPr>
            <w:r>
              <w:rPr>
                <w:rFonts w:hint="eastAsia" w:ascii="宋体" w:hAnsi="宋体" w:eastAsia="宋体" w:cs="宋体"/>
                <w:sz w:val="24"/>
                <w:szCs w:val="24"/>
              </w:rPr>
              <w:t>指标</w:t>
            </w:r>
          </w:p>
        </w:tc>
        <w:tc>
          <w:tcPr>
            <w:tcW w:w="2373" w:type="dxa"/>
            <w:tcBorders>
              <w:top w:val="single" w:color="auto" w:sz="4" w:space="0"/>
              <w:left w:val="single" w:color="auto" w:sz="4" w:space="0"/>
              <w:bottom w:val="single" w:color="auto" w:sz="4" w:space="0"/>
              <w:right w:val="single" w:color="auto" w:sz="4" w:space="0"/>
            </w:tcBorders>
            <w:noWrap w:val="0"/>
            <w:vAlign w:val="top"/>
          </w:tcPr>
          <w:p w14:paraId="3ABAA5BE">
            <w:pPr>
              <w:spacing w:line="276" w:lineRule="auto"/>
              <w:jc w:val="center"/>
              <w:rPr>
                <w:rFonts w:hint="eastAsia" w:ascii="宋体" w:hAnsi="宋体" w:eastAsia="宋体" w:cs="宋体"/>
                <w:sz w:val="24"/>
                <w:szCs w:val="24"/>
              </w:rPr>
            </w:pPr>
            <w:r>
              <w:rPr>
                <w:rFonts w:hint="eastAsia" w:ascii="宋体" w:hAnsi="宋体" w:eastAsia="宋体" w:cs="宋体"/>
                <w:sz w:val="24"/>
                <w:szCs w:val="24"/>
              </w:rPr>
              <w:t>备注</w:t>
            </w:r>
          </w:p>
        </w:tc>
      </w:tr>
      <w:tr w14:paraId="4F096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928" w:type="dxa"/>
            <w:tcBorders>
              <w:top w:val="single" w:color="auto" w:sz="4" w:space="0"/>
              <w:left w:val="single" w:color="auto" w:sz="4" w:space="0"/>
              <w:bottom w:val="single" w:color="auto" w:sz="4" w:space="0"/>
              <w:right w:val="single" w:color="auto" w:sz="4" w:space="0"/>
            </w:tcBorders>
            <w:noWrap w:val="0"/>
            <w:vAlign w:val="top"/>
          </w:tcPr>
          <w:p w14:paraId="1C2417DC">
            <w:pPr>
              <w:spacing w:line="276"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3444" w:type="dxa"/>
            <w:tcBorders>
              <w:top w:val="single" w:color="auto" w:sz="4" w:space="0"/>
              <w:left w:val="single" w:color="auto" w:sz="4" w:space="0"/>
              <w:bottom w:val="single" w:color="auto" w:sz="4" w:space="0"/>
              <w:right w:val="single" w:color="auto" w:sz="4" w:space="0"/>
            </w:tcBorders>
            <w:noWrap w:val="0"/>
            <w:vAlign w:val="top"/>
          </w:tcPr>
          <w:p w14:paraId="5C20D458">
            <w:pPr>
              <w:spacing w:line="276" w:lineRule="auto"/>
              <w:jc w:val="center"/>
              <w:rPr>
                <w:rFonts w:hint="eastAsia" w:ascii="宋体" w:hAnsi="宋体" w:eastAsia="宋体" w:cs="宋体"/>
                <w:sz w:val="24"/>
                <w:szCs w:val="24"/>
              </w:rPr>
            </w:pPr>
            <w:r>
              <w:rPr>
                <w:rFonts w:hint="eastAsia" w:ascii="宋体" w:hAnsi="宋体" w:eastAsia="宋体" w:cs="宋体"/>
                <w:sz w:val="24"/>
                <w:szCs w:val="24"/>
              </w:rPr>
              <w:t>拉伸强度（MPa）</w:t>
            </w:r>
          </w:p>
        </w:tc>
        <w:tc>
          <w:tcPr>
            <w:tcW w:w="1768" w:type="dxa"/>
            <w:tcBorders>
              <w:top w:val="single" w:color="auto" w:sz="4" w:space="0"/>
              <w:left w:val="single" w:color="auto" w:sz="4" w:space="0"/>
              <w:bottom w:val="single" w:color="auto" w:sz="4" w:space="0"/>
              <w:right w:val="single" w:color="auto" w:sz="4" w:space="0"/>
            </w:tcBorders>
            <w:noWrap w:val="0"/>
            <w:vAlign w:val="top"/>
          </w:tcPr>
          <w:p w14:paraId="2A098B5D">
            <w:pPr>
              <w:spacing w:line="276" w:lineRule="auto"/>
              <w:jc w:val="center"/>
              <w:rPr>
                <w:rFonts w:hint="eastAsia" w:ascii="宋体" w:hAnsi="宋体" w:eastAsia="宋体" w:cs="宋体"/>
                <w:sz w:val="24"/>
                <w:szCs w:val="24"/>
              </w:rPr>
            </w:pPr>
            <w:r>
              <w:rPr>
                <w:rFonts w:hint="eastAsia" w:ascii="宋体" w:hAnsi="宋体" w:eastAsia="宋体" w:cs="宋体"/>
                <w:sz w:val="24"/>
                <w:szCs w:val="24"/>
              </w:rPr>
              <w:t>≥2.0</w:t>
            </w:r>
          </w:p>
        </w:tc>
        <w:tc>
          <w:tcPr>
            <w:tcW w:w="2373" w:type="dxa"/>
            <w:tcBorders>
              <w:top w:val="single" w:color="auto" w:sz="4" w:space="0"/>
              <w:left w:val="single" w:color="auto" w:sz="4" w:space="0"/>
              <w:bottom w:val="single" w:color="auto" w:sz="4" w:space="0"/>
              <w:right w:val="single" w:color="auto" w:sz="4" w:space="0"/>
            </w:tcBorders>
            <w:noWrap w:val="0"/>
            <w:vAlign w:val="top"/>
          </w:tcPr>
          <w:p w14:paraId="5003DF84">
            <w:pPr>
              <w:spacing w:line="276" w:lineRule="auto"/>
              <w:jc w:val="center"/>
              <w:rPr>
                <w:rFonts w:hint="eastAsia" w:ascii="宋体" w:hAnsi="宋体" w:eastAsia="宋体" w:cs="宋体"/>
                <w:sz w:val="24"/>
                <w:szCs w:val="24"/>
              </w:rPr>
            </w:pPr>
            <w:r>
              <w:rPr>
                <w:rFonts w:hint="eastAsia" w:ascii="宋体" w:hAnsi="宋体" w:eastAsia="宋体" w:cs="宋体"/>
                <w:sz w:val="24"/>
                <w:szCs w:val="24"/>
              </w:rPr>
              <w:t>23℃，28天</w:t>
            </w:r>
          </w:p>
        </w:tc>
      </w:tr>
      <w:tr w14:paraId="7C79C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 w:type="dxa"/>
            <w:tcBorders>
              <w:top w:val="single" w:color="auto" w:sz="4" w:space="0"/>
              <w:left w:val="single" w:color="auto" w:sz="4" w:space="0"/>
              <w:bottom w:val="single" w:color="auto" w:sz="4" w:space="0"/>
              <w:right w:val="single" w:color="auto" w:sz="4" w:space="0"/>
            </w:tcBorders>
            <w:noWrap w:val="0"/>
            <w:vAlign w:val="top"/>
          </w:tcPr>
          <w:p w14:paraId="032EE3A0">
            <w:pPr>
              <w:spacing w:line="276"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3444" w:type="dxa"/>
            <w:tcBorders>
              <w:top w:val="single" w:color="auto" w:sz="4" w:space="0"/>
              <w:left w:val="single" w:color="auto" w:sz="4" w:space="0"/>
              <w:bottom w:val="single" w:color="auto" w:sz="4" w:space="0"/>
              <w:right w:val="single" w:color="auto" w:sz="4" w:space="0"/>
            </w:tcBorders>
            <w:noWrap w:val="0"/>
            <w:vAlign w:val="top"/>
          </w:tcPr>
          <w:p w14:paraId="43313141">
            <w:pPr>
              <w:spacing w:line="276" w:lineRule="auto"/>
              <w:jc w:val="center"/>
              <w:rPr>
                <w:rFonts w:hint="eastAsia" w:ascii="宋体" w:hAnsi="宋体" w:eastAsia="宋体" w:cs="宋体"/>
                <w:sz w:val="24"/>
                <w:szCs w:val="24"/>
              </w:rPr>
            </w:pPr>
            <w:r>
              <w:rPr>
                <w:rFonts w:hint="eastAsia" w:ascii="宋体" w:hAnsi="宋体" w:eastAsia="宋体" w:cs="宋体"/>
                <w:sz w:val="24"/>
                <w:szCs w:val="24"/>
              </w:rPr>
              <w:t>与混凝土拉拔粘结强度（MPa）</w:t>
            </w:r>
          </w:p>
        </w:tc>
        <w:tc>
          <w:tcPr>
            <w:tcW w:w="1768" w:type="dxa"/>
            <w:tcBorders>
              <w:top w:val="single" w:color="auto" w:sz="4" w:space="0"/>
              <w:left w:val="single" w:color="auto" w:sz="4" w:space="0"/>
              <w:bottom w:val="single" w:color="auto" w:sz="4" w:space="0"/>
              <w:right w:val="single" w:color="auto" w:sz="4" w:space="0"/>
            </w:tcBorders>
            <w:noWrap w:val="0"/>
            <w:vAlign w:val="top"/>
          </w:tcPr>
          <w:p w14:paraId="467DEAD6">
            <w:pPr>
              <w:spacing w:line="276" w:lineRule="auto"/>
              <w:jc w:val="center"/>
              <w:rPr>
                <w:rFonts w:hint="eastAsia" w:ascii="宋体" w:hAnsi="宋体" w:eastAsia="宋体" w:cs="宋体"/>
                <w:sz w:val="24"/>
                <w:szCs w:val="24"/>
              </w:rPr>
            </w:pPr>
            <w:r>
              <w:rPr>
                <w:rFonts w:hint="eastAsia" w:ascii="宋体" w:hAnsi="宋体" w:eastAsia="宋体" w:cs="宋体"/>
                <w:sz w:val="24"/>
                <w:szCs w:val="24"/>
              </w:rPr>
              <w:t>＞2.0</w:t>
            </w:r>
          </w:p>
        </w:tc>
        <w:tc>
          <w:tcPr>
            <w:tcW w:w="2373" w:type="dxa"/>
            <w:tcBorders>
              <w:top w:val="single" w:color="auto" w:sz="4" w:space="0"/>
              <w:left w:val="single" w:color="auto" w:sz="4" w:space="0"/>
              <w:bottom w:val="single" w:color="auto" w:sz="4" w:space="0"/>
              <w:right w:val="single" w:color="auto" w:sz="4" w:space="0"/>
            </w:tcBorders>
            <w:noWrap w:val="0"/>
            <w:vAlign w:val="top"/>
          </w:tcPr>
          <w:p w14:paraId="01C00D06">
            <w:pPr>
              <w:spacing w:line="276" w:lineRule="auto"/>
              <w:jc w:val="center"/>
              <w:rPr>
                <w:rFonts w:hint="eastAsia" w:ascii="宋体" w:hAnsi="宋体" w:eastAsia="宋体" w:cs="宋体"/>
                <w:sz w:val="24"/>
                <w:szCs w:val="24"/>
              </w:rPr>
            </w:pPr>
            <w:r>
              <w:rPr>
                <w:rFonts w:hint="eastAsia" w:ascii="宋体" w:hAnsi="宋体" w:eastAsia="宋体" w:cs="宋体"/>
                <w:sz w:val="24"/>
                <w:szCs w:val="24"/>
              </w:rPr>
              <w:t>涂界面剂</w:t>
            </w:r>
          </w:p>
        </w:tc>
      </w:tr>
      <w:tr w14:paraId="52DF9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 w:type="dxa"/>
            <w:tcBorders>
              <w:top w:val="single" w:color="auto" w:sz="4" w:space="0"/>
              <w:left w:val="single" w:color="auto" w:sz="4" w:space="0"/>
              <w:bottom w:val="single" w:color="auto" w:sz="4" w:space="0"/>
              <w:right w:val="single" w:color="auto" w:sz="4" w:space="0"/>
            </w:tcBorders>
            <w:noWrap w:val="0"/>
            <w:vAlign w:val="top"/>
          </w:tcPr>
          <w:p w14:paraId="5971272D">
            <w:pPr>
              <w:spacing w:line="276"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3444" w:type="dxa"/>
            <w:tcBorders>
              <w:top w:val="single" w:color="auto" w:sz="4" w:space="0"/>
              <w:left w:val="single" w:color="auto" w:sz="4" w:space="0"/>
              <w:bottom w:val="single" w:color="auto" w:sz="4" w:space="0"/>
              <w:right w:val="single" w:color="auto" w:sz="4" w:space="0"/>
            </w:tcBorders>
            <w:noWrap w:val="0"/>
            <w:vAlign w:val="top"/>
          </w:tcPr>
          <w:p w14:paraId="628E18C4">
            <w:pPr>
              <w:spacing w:line="276" w:lineRule="auto"/>
              <w:jc w:val="center"/>
              <w:rPr>
                <w:rFonts w:hint="eastAsia" w:ascii="宋体" w:hAnsi="宋体" w:eastAsia="宋体" w:cs="宋体"/>
                <w:sz w:val="24"/>
                <w:szCs w:val="24"/>
              </w:rPr>
            </w:pPr>
            <w:r>
              <w:rPr>
                <w:rFonts w:hint="eastAsia" w:ascii="宋体" w:hAnsi="宋体" w:eastAsia="宋体" w:cs="宋体"/>
                <w:sz w:val="24"/>
                <w:szCs w:val="24"/>
              </w:rPr>
              <w:t>拉伸率（%）</w:t>
            </w:r>
          </w:p>
        </w:tc>
        <w:tc>
          <w:tcPr>
            <w:tcW w:w="1768" w:type="dxa"/>
            <w:tcBorders>
              <w:top w:val="single" w:color="auto" w:sz="4" w:space="0"/>
              <w:left w:val="single" w:color="auto" w:sz="4" w:space="0"/>
              <w:bottom w:val="single" w:color="auto" w:sz="4" w:space="0"/>
              <w:right w:val="single" w:color="auto" w:sz="4" w:space="0"/>
            </w:tcBorders>
            <w:noWrap w:val="0"/>
            <w:vAlign w:val="top"/>
          </w:tcPr>
          <w:p w14:paraId="1F032A66">
            <w:pPr>
              <w:spacing w:line="276" w:lineRule="auto"/>
              <w:jc w:val="center"/>
              <w:rPr>
                <w:rFonts w:hint="eastAsia" w:ascii="宋体" w:hAnsi="宋体" w:eastAsia="宋体" w:cs="宋体"/>
                <w:sz w:val="24"/>
                <w:szCs w:val="24"/>
              </w:rPr>
            </w:pPr>
            <w:r>
              <w:rPr>
                <w:rFonts w:hint="eastAsia" w:ascii="宋体" w:hAnsi="宋体" w:eastAsia="宋体" w:cs="宋体"/>
                <w:sz w:val="24"/>
                <w:szCs w:val="24"/>
              </w:rPr>
              <w:t>10%～30%</w:t>
            </w:r>
          </w:p>
        </w:tc>
        <w:tc>
          <w:tcPr>
            <w:tcW w:w="2373" w:type="dxa"/>
            <w:tcBorders>
              <w:top w:val="single" w:color="auto" w:sz="4" w:space="0"/>
              <w:left w:val="single" w:color="auto" w:sz="4" w:space="0"/>
              <w:right w:val="single" w:color="auto" w:sz="4" w:space="0"/>
            </w:tcBorders>
            <w:noWrap w:val="0"/>
            <w:vAlign w:val="center"/>
          </w:tcPr>
          <w:p w14:paraId="60FA6933">
            <w:pPr>
              <w:spacing w:line="276" w:lineRule="auto"/>
              <w:jc w:val="center"/>
              <w:rPr>
                <w:rFonts w:hint="eastAsia" w:ascii="宋体" w:hAnsi="宋体" w:eastAsia="宋体" w:cs="宋体"/>
                <w:sz w:val="24"/>
                <w:szCs w:val="24"/>
              </w:rPr>
            </w:pPr>
            <w:r>
              <w:rPr>
                <w:rFonts w:hint="eastAsia" w:ascii="宋体" w:hAnsi="宋体" w:eastAsia="宋体" w:cs="宋体"/>
                <w:sz w:val="24"/>
                <w:szCs w:val="24"/>
              </w:rPr>
              <w:t>根据配比不同而异</w:t>
            </w:r>
          </w:p>
        </w:tc>
      </w:tr>
      <w:tr w14:paraId="24FFB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 w:type="dxa"/>
            <w:tcBorders>
              <w:top w:val="single" w:color="auto" w:sz="4" w:space="0"/>
              <w:left w:val="single" w:color="auto" w:sz="4" w:space="0"/>
              <w:bottom w:val="single" w:color="auto" w:sz="4" w:space="0"/>
              <w:right w:val="single" w:color="auto" w:sz="4" w:space="0"/>
            </w:tcBorders>
            <w:noWrap w:val="0"/>
            <w:vAlign w:val="top"/>
          </w:tcPr>
          <w:p w14:paraId="4912B456">
            <w:pPr>
              <w:spacing w:line="276"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3444" w:type="dxa"/>
            <w:tcBorders>
              <w:top w:val="single" w:color="auto" w:sz="4" w:space="0"/>
              <w:left w:val="single" w:color="auto" w:sz="4" w:space="0"/>
              <w:bottom w:val="single" w:color="auto" w:sz="4" w:space="0"/>
              <w:right w:val="single" w:color="auto" w:sz="4" w:space="0"/>
            </w:tcBorders>
            <w:noWrap w:val="0"/>
            <w:vAlign w:val="top"/>
          </w:tcPr>
          <w:p w14:paraId="704083F8">
            <w:pPr>
              <w:spacing w:line="276" w:lineRule="auto"/>
              <w:jc w:val="center"/>
              <w:rPr>
                <w:rFonts w:hint="eastAsia" w:ascii="宋体" w:hAnsi="宋体" w:eastAsia="宋体" w:cs="宋体"/>
                <w:sz w:val="24"/>
                <w:szCs w:val="24"/>
              </w:rPr>
            </w:pPr>
            <w:r>
              <w:rPr>
                <w:rFonts w:hint="eastAsia" w:ascii="宋体" w:hAnsi="宋体" w:eastAsia="宋体" w:cs="宋体"/>
                <w:sz w:val="24"/>
                <w:szCs w:val="24"/>
              </w:rPr>
              <w:t>低温柔性</w:t>
            </w:r>
          </w:p>
        </w:tc>
        <w:tc>
          <w:tcPr>
            <w:tcW w:w="1768" w:type="dxa"/>
            <w:tcBorders>
              <w:top w:val="single" w:color="auto" w:sz="4" w:space="0"/>
              <w:left w:val="single" w:color="auto" w:sz="4" w:space="0"/>
              <w:bottom w:val="single" w:color="auto" w:sz="4" w:space="0"/>
              <w:right w:val="single" w:color="auto" w:sz="4" w:space="0"/>
            </w:tcBorders>
            <w:noWrap w:val="0"/>
            <w:vAlign w:val="top"/>
          </w:tcPr>
          <w:p w14:paraId="13EA7659">
            <w:pPr>
              <w:spacing w:line="276" w:lineRule="auto"/>
              <w:jc w:val="center"/>
              <w:rPr>
                <w:rFonts w:hint="eastAsia" w:ascii="宋体" w:hAnsi="宋体" w:eastAsia="宋体" w:cs="宋体"/>
                <w:sz w:val="24"/>
                <w:szCs w:val="24"/>
              </w:rPr>
            </w:pPr>
            <w:r>
              <w:rPr>
                <w:rFonts w:hint="eastAsia" w:ascii="宋体" w:hAnsi="宋体" w:eastAsia="宋体" w:cs="宋体"/>
                <w:sz w:val="24"/>
                <w:szCs w:val="24"/>
              </w:rPr>
              <w:t>柔性</w:t>
            </w:r>
          </w:p>
        </w:tc>
        <w:tc>
          <w:tcPr>
            <w:tcW w:w="2373" w:type="dxa"/>
            <w:tcBorders>
              <w:top w:val="single" w:color="auto" w:sz="4" w:space="0"/>
              <w:left w:val="single" w:color="auto" w:sz="4" w:space="0"/>
              <w:bottom w:val="single" w:color="auto" w:sz="4" w:space="0"/>
              <w:right w:val="single" w:color="auto" w:sz="4" w:space="0"/>
            </w:tcBorders>
            <w:noWrap w:val="0"/>
            <w:vAlign w:val="top"/>
          </w:tcPr>
          <w:p w14:paraId="5275A654">
            <w:pPr>
              <w:spacing w:line="276" w:lineRule="auto"/>
              <w:jc w:val="center"/>
              <w:rPr>
                <w:rFonts w:hint="eastAsia" w:ascii="宋体" w:hAnsi="宋体" w:eastAsia="宋体" w:cs="宋体"/>
                <w:sz w:val="24"/>
                <w:szCs w:val="24"/>
              </w:rPr>
            </w:pPr>
            <w:r>
              <w:rPr>
                <w:rFonts w:hint="eastAsia" w:ascii="宋体" w:hAnsi="宋体" w:eastAsia="宋体" w:cs="宋体"/>
                <w:sz w:val="24"/>
                <w:szCs w:val="24"/>
              </w:rPr>
              <w:t>-40°</w:t>
            </w:r>
          </w:p>
        </w:tc>
      </w:tr>
    </w:tbl>
    <w:p w14:paraId="0DF253DA">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bCs w:val="0"/>
          <w:color w:val="auto"/>
          <w:sz w:val="21"/>
          <w:szCs w:val="21"/>
          <w:highlight w:val="none"/>
        </w:rPr>
      </w:pPr>
    </w:p>
    <w:p w14:paraId="6FDE0B77">
      <w:pPr>
        <w:widowControl/>
        <w:spacing w:line="360" w:lineRule="auto"/>
        <w:rPr>
          <w:rFonts w:hint="eastAsia" w:ascii="宋体" w:hAnsi="宋体" w:eastAsia="宋体" w:cs="宋体"/>
          <w:sz w:val="28"/>
          <w:szCs w:val="20"/>
          <w:highlight w:val="none"/>
        </w:rPr>
      </w:pPr>
      <w:r>
        <w:rPr>
          <w:rFonts w:hint="eastAsia" w:ascii="宋体" w:hAnsi="宋体" w:eastAsia="宋体" w:cs="宋体"/>
          <w:sz w:val="28"/>
          <w:szCs w:val="20"/>
          <w:highlight w:val="none"/>
          <w:lang w:val="en-US" w:eastAsia="zh-CN"/>
        </w:rPr>
        <w:t>3</w:t>
      </w:r>
      <w:r>
        <w:rPr>
          <w:rFonts w:hint="eastAsia" w:ascii="宋体" w:hAnsi="宋体" w:eastAsia="宋体" w:cs="宋体"/>
          <w:sz w:val="28"/>
          <w:szCs w:val="20"/>
          <w:highlight w:val="none"/>
        </w:rPr>
        <w:t>、主要工程量</w:t>
      </w:r>
    </w:p>
    <w:p w14:paraId="03463D9C">
      <w:pPr>
        <w:pStyle w:val="13"/>
        <w:rPr>
          <w:rFonts w:hint="eastAsia" w:ascii="宋体" w:hAnsi="宋体" w:eastAsia="宋体" w:cs="宋体"/>
          <w:sz w:val="21"/>
          <w:szCs w:val="21"/>
        </w:rPr>
      </w:pPr>
      <w:r>
        <w:rPr>
          <w:rFonts w:hint="eastAsia" w:ascii="宋体" w:hAnsi="宋体" w:eastAsia="宋体" w:cs="宋体"/>
          <w:sz w:val="21"/>
          <w:szCs w:val="21"/>
        </w:rPr>
        <w:t>表</w:t>
      </w:r>
      <w:r>
        <w:rPr>
          <w:rFonts w:hint="eastAsia" w:ascii="宋体" w:hAnsi="宋体" w:eastAsia="宋体" w:cs="宋体"/>
          <w:sz w:val="21"/>
          <w:szCs w:val="21"/>
          <w:lang w:val="en-US" w:eastAsia="zh-CN"/>
        </w:rPr>
        <w:t>2-5</w:t>
      </w:r>
      <w:r>
        <w:rPr>
          <w:rFonts w:hint="eastAsia" w:ascii="宋体" w:hAnsi="宋体" w:eastAsia="宋体" w:cs="宋体"/>
          <w:sz w:val="21"/>
          <w:szCs w:val="21"/>
        </w:rPr>
        <w:t xml:space="preserve">  主要工程量表</w:t>
      </w:r>
    </w:p>
    <w:tbl>
      <w:tblPr>
        <w:tblStyle w:val="16"/>
        <w:tblW w:w="0" w:type="auto"/>
        <w:tblInd w:w="0" w:type="dxa"/>
        <w:tblLayout w:type="fixed"/>
        <w:tblCellMar>
          <w:top w:w="0" w:type="dxa"/>
          <w:left w:w="108" w:type="dxa"/>
          <w:bottom w:w="0" w:type="dxa"/>
          <w:right w:w="108" w:type="dxa"/>
        </w:tblCellMar>
      </w:tblPr>
      <w:tblGrid>
        <w:gridCol w:w="925"/>
        <w:gridCol w:w="2662"/>
        <w:gridCol w:w="715"/>
        <w:gridCol w:w="1165"/>
        <w:gridCol w:w="3049"/>
      </w:tblGrid>
      <w:tr w14:paraId="10403C16">
        <w:tblPrEx>
          <w:tblCellMar>
            <w:top w:w="0" w:type="dxa"/>
            <w:left w:w="108" w:type="dxa"/>
            <w:bottom w:w="0" w:type="dxa"/>
            <w:right w:w="108" w:type="dxa"/>
          </w:tblCellMar>
        </w:tblPrEx>
        <w:trPr>
          <w:trHeight w:val="399" w:hRule="atLeast"/>
          <w:tblHeader/>
        </w:trPr>
        <w:tc>
          <w:tcPr>
            <w:tcW w:w="925" w:type="dxa"/>
            <w:tcBorders>
              <w:top w:val="single" w:color="000000" w:sz="4" w:space="0"/>
              <w:left w:val="single" w:color="000000" w:sz="4" w:space="0"/>
              <w:bottom w:val="single" w:color="000000" w:sz="4" w:space="0"/>
              <w:right w:val="single" w:color="000000" w:sz="4" w:space="0"/>
            </w:tcBorders>
            <w:noWrap w:val="0"/>
            <w:vAlign w:val="center"/>
          </w:tcPr>
          <w:p w14:paraId="74868119">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编号</w:t>
            </w:r>
          </w:p>
        </w:tc>
        <w:tc>
          <w:tcPr>
            <w:tcW w:w="2662" w:type="dxa"/>
            <w:tcBorders>
              <w:top w:val="single" w:color="000000" w:sz="4" w:space="0"/>
              <w:left w:val="single" w:color="000000" w:sz="4" w:space="0"/>
              <w:bottom w:val="single" w:color="000000" w:sz="4" w:space="0"/>
              <w:right w:val="single" w:color="000000" w:sz="4" w:space="0"/>
            </w:tcBorders>
            <w:noWrap w:val="0"/>
            <w:vAlign w:val="center"/>
          </w:tcPr>
          <w:p w14:paraId="6D556859">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项目</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4458C3A2">
            <w:pPr>
              <w:widowControl/>
              <w:ind w:left="0" w:leftChars="0" w:firstLine="0" w:firstLineChars="0"/>
              <w:jc w:val="center"/>
              <w:textAlignment w:val="center"/>
              <w:rPr>
                <w:rFonts w:hint="eastAsia" w:ascii="宋体" w:hAnsi="宋体" w:eastAsia="宋体" w:cs="宋体"/>
                <w:b/>
                <w:bCs/>
                <w:color w:val="000000"/>
                <w:sz w:val="21"/>
                <w:szCs w:val="21"/>
              </w:rPr>
            </w:pPr>
            <w:r>
              <w:rPr>
                <w:rFonts w:hint="eastAsia" w:ascii="宋体" w:hAnsi="宋体" w:eastAsia="宋体" w:cs="宋体"/>
                <w:b/>
                <w:bCs/>
                <w:kern w:val="0"/>
                <w:sz w:val="21"/>
                <w:szCs w:val="21"/>
                <w:highlight w:val="none"/>
                <w:lang w:val="en-US" w:eastAsia="zh-CN"/>
              </w:rPr>
              <w:t>单</w:t>
            </w:r>
            <w:r>
              <w:rPr>
                <w:rFonts w:hint="eastAsia" w:ascii="宋体" w:hAnsi="宋体" w:eastAsia="宋体" w:cs="宋体"/>
                <w:b/>
                <w:bCs/>
                <w:color w:val="000000"/>
                <w:kern w:val="0"/>
                <w:sz w:val="21"/>
                <w:szCs w:val="21"/>
                <w:lang w:bidi="ar"/>
              </w:rPr>
              <w:t>位</w:t>
            </w:r>
          </w:p>
        </w:tc>
        <w:tc>
          <w:tcPr>
            <w:tcW w:w="1165" w:type="dxa"/>
            <w:tcBorders>
              <w:top w:val="single" w:color="000000" w:sz="4" w:space="0"/>
              <w:left w:val="single" w:color="000000" w:sz="4" w:space="0"/>
              <w:bottom w:val="single" w:color="000000" w:sz="4" w:space="0"/>
              <w:right w:val="single" w:color="000000" w:sz="4" w:space="0"/>
            </w:tcBorders>
            <w:noWrap w:val="0"/>
            <w:vAlign w:val="center"/>
          </w:tcPr>
          <w:p w14:paraId="066F8F9C">
            <w:pPr>
              <w:widowControl/>
              <w:ind w:left="0" w:leftChars="0" w:firstLine="0" w:firstLineChars="0"/>
              <w:jc w:val="center"/>
              <w:textAlignment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工程量</w:t>
            </w:r>
          </w:p>
        </w:tc>
        <w:tc>
          <w:tcPr>
            <w:tcW w:w="3049" w:type="dxa"/>
            <w:tcBorders>
              <w:top w:val="single" w:color="000000" w:sz="4" w:space="0"/>
              <w:left w:val="single" w:color="000000" w:sz="4" w:space="0"/>
              <w:bottom w:val="single" w:color="000000" w:sz="4" w:space="0"/>
              <w:right w:val="single" w:color="000000" w:sz="4" w:space="0"/>
            </w:tcBorders>
            <w:noWrap w:val="0"/>
            <w:vAlign w:val="center"/>
          </w:tcPr>
          <w:p w14:paraId="5C52027A">
            <w:pPr>
              <w:widowControl/>
              <w:ind w:left="0" w:leftChars="0" w:firstLine="0" w:firstLineChars="0"/>
              <w:jc w:val="center"/>
              <w:textAlignment w:val="center"/>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备注</w:t>
            </w:r>
          </w:p>
        </w:tc>
      </w:tr>
      <w:tr w14:paraId="2FCF910A">
        <w:tblPrEx>
          <w:tblCellMar>
            <w:top w:w="0" w:type="dxa"/>
            <w:left w:w="108" w:type="dxa"/>
            <w:bottom w:w="0" w:type="dxa"/>
            <w:right w:w="108" w:type="dxa"/>
          </w:tblCellMar>
        </w:tblPrEx>
        <w:trPr>
          <w:trHeight w:val="399" w:hRule="atLeast"/>
        </w:trPr>
        <w:tc>
          <w:tcPr>
            <w:tcW w:w="925" w:type="dxa"/>
            <w:tcBorders>
              <w:top w:val="single" w:color="000000" w:sz="4" w:space="0"/>
              <w:left w:val="single" w:color="000000" w:sz="4" w:space="0"/>
              <w:bottom w:val="single" w:color="000000" w:sz="4" w:space="0"/>
              <w:right w:val="single" w:color="000000" w:sz="4" w:space="0"/>
            </w:tcBorders>
            <w:noWrap w:val="0"/>
            <w:vAlign w:val="center"/>
          </w:tcPr>
          <w:p w14:paraId="30735F2E">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val="0"/>
                <w:bCs w:val="0"/>
                <w:kern w:val="0"/>
                <w:sz w:val="21"/>
                <w:szCs w:val="21"/>
                <w:highlight w:val="none"/>
              </w:rPr>
            </w:pPr>
            <w:r>
              <w:rPr>
                <w:rFonts w:hint="eastAsia" w:ascii="宋体" w:hAnsi="宋体" w:eastAsia="宋体" w:cs="宋体"/>
                <w:b w:val="0"/>
                <w:bCs w:val="0"/>
                <w:kern w:val="0"/>
                <w:sz w:val="21"/>
                <w:szCs w:val="21"/>
                <w:highlight w:val="none"/>
                <w:lang w:val="en-US" w:eastAsia="zh-CN"/>
              </w:rPr>
              <w:t>(1)</w:t>
            </w:r>
          </w:p>
        </w:tc>
        <w:tc>
          <w:tcPr>
            <w:tcW w:w="2662" w:type="dxa"/>
            <w:tcBorders>
              <w:top w:val="single" w:color="000000" w:sz="4" w:space="0"/>
              <w:left w:val="single" w:color="000000" w:sz="4" w:space="0"/>
              <w:bottom w:val="single" w:color="000000" w:sz="4" w:space="0"/>
              <w:right w:val="single" w:color="000000" w:sz="4" w:space="0"/>
            </w:tcBorders>
            <w:noWrap w:val="0"/>
            <w:vAlign w:val="bottom"/>
          </w:tcPr>
          <w:p w14:paraId="28B41C4F">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both"/>
              <w:textAlignment w:val="center"/>
              <w:rPr>
                <w:rFonts w:hint="eastAsia" w:ascii="宋体" w:hAnsi="宋体" w:eastAsia="宋体" w:cs="宋体"/>
                <w:b w:val="0"/>
                <w:bCs w:val="0"/>
                <w:kern w:val="0"/>
                <w:sz w:val="21"/>
                <w:szCs w:val="21"/>
                <w:highlight w:val="none"/>
              </w:rPr>
            </w:pPr>
            <w:r>
              <w:rPr>
                <w:rFonts w:hint="eastAsia" w:ascii="宋体" w:hAnsi="宋体" w:eastAsia="宋体" w:cs="宋体"/>
                <w:b w:val="0"/>
                <w:bCs w:val="0"/>
                <w:kern w:val="0"/>
                <w:sz w:val="21"/>
                <w:szCs w:val="21"/>
                <w:highlight w:val="none"/>
                <w:lang w:val="en-US" w:eastAsia="zh-CN"/>
              </w:rPr>
              <w:t>砼缺陷处理</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0B51434C">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val="0"/>
                <w:bCs w:val="0"/>
                <w:kern w:val="0"/>
                <w:sz w:val="21"/>
                <w:szCs w:val="21"/>
                <w:highlight w:val="none"/>
                <w:lang w:val="en-US" w:eastAsia="zh-CN"/>
              </w:rPr>
            </w:pPr>
          </w:p>
        </w:tc>
        <w:tc>
          <w:tcPr>
            <w:tcW w:w="1165" w:type="dxa"/>
            <w:tcBorders>
              <w:top w:val="single" w:color="000000" w:sz="4" w:space="0"/>
              <w:left w:val="single" w:color="000000" w:sz="4" w:space="0"/>
              <w:bottom w:val="single" w:color="000000" w:sz="4" w:space="0"/>
              <w:right w:val="single" w:color="000000" w:sz="4" w:space="0"/>
            </w:tcBorders>
            <w:noWrap w:val="0"/>
            <w:vAlign w:val="center"/>
          </w:tcPr>
          <w:p w14:paraId="43CA5306">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val="0"/>
                <w:bCs w:val="0"/>
                <w:kern w:val="0"/>
                <w:sz w:val="21"/>
                <w:szCs w:val="21"/>
                <w:highlight w:val="none"/>
                <w:lang w:val="en-US" w:eastAsia="zh-CN"/>
              </w:rPr>
            </w:pPr>
          </w:p>
        </w:tc>
        <w:tc>
          <w:tcPr>
            <w:tcW w:w="3049" w:type="dxa"/>
            <w:tcBorders>
              <w:top w:val="single" w:color="000000" w:sz="4" w:space="0"/>
              <w:left w:val="single" w:color="000000" w:sz="4" w:space="0"/>
              <w:bottom w:val="single" w:color="000000" w:sz="4" w:space="0"/>
              <w:right w:val="single" w:color="000000" w:sz="4" w:space="0"/>
            </w:tcBorders>
            <w:noWrap w:val="0"/>
            <w:vAlign w:val="center"/>
          </w:tcPr>
          <w:p w14:paraId="7BEF33C5">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val="0"/>
                <w:bCs w:val="0"/>
                <w:kern w:val="0"/>
                <w:sz w:val="21"/>
                <w:szCs w:val="21"/>
                <w:highlight w:val="none"/>
                <w:lang w:val="en-US" w:eastAsia="zh-CN"/>
              </w:rPr>
            </w:pPr>
          </w:p>
        </w:tc>
      </w:tr>
      <w:tr w14:paraId="0509EAFB">
        <w:tblPrEx>
          <w:tblCellMar>
            <w:top w:w="0" w:type="dxa"/>
            <w:left w:w="108" w:type="dxa"/>
            <w:bottom w:w="0" w:type="dxa"/>
            <w:right w:w="108" w:type="dxa"/>
          </w:tblCellMar>
        </w:tblPrEx>
        <w:trPr>
          <w:trHeight w:val="399" w:hRule="atLeast"/>
        </w:trPr>
        <w:tc>
          <w:tcPr>
            <w:tcW w:w="925" w:type="dxa"/>
            <w:tcBorders>
              <w:top w:val="single" w:color="000000" w:sz="4" w:space="0"/>
              <w:left w:val="single" w:color="000000" w:sz="4" w:space="0"/>
              <w:bottom w:val="single" w:color="000000" w:sz="4" w:space="0"/>
              <w:right w:val="single" w:color="000000" w:sz="4" w:space="0"/>
            </w:tcBorders>
            <w:noWrap w:val="0"/>
            <w:vAlign w:val="center"/>
          </w:tcPr>
          <w:p w14:paraId="604955B3">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val="0"/>
                <w:bCs w:val="0"/>
                <w:kern w:val="0"/>
                <w:sz w:val="21"/>
                <w:szCs w:val="21"/>
                <w:highlight w:val="none"/>
              </w:rPr>
            </w:pPr>
            <w:r>
              <w:rPr>
                <w:rFonts w:hint="eastAsia" w:ascii="宋体" w:hAnsi="宋体" w:eastAsia="宋体" w:cs="宋体"/>
                <w:b w:val="0"/>
                <w:bCs w:val="0"/>
                <w:kern w:val="0"/>
                <w:sz w:val="21"/>
                <w:szCs w:val="21"/>
                <w:highlight w:val="none"/>
                <w:lang w:val="en-US" w:eastAsia="zh-CN"/>
              </w:rPr>
              <w:t>①</w:t>
            </w:r>
          </w:p>
        </w:tc>
        <w:tc>
          <w:tcPr>
            <w:tcW w:w="2662" w:type="dxa"/>
            <w:tcBorders>
              <w:top w:val="single" w:color="000000" w:sz="4" w:space="0"/>
              <w:left w:val="single" w:color="000000" w:sz="4" w:space="0"/>
              <w:bottom w:val="single" w:color="000000" w:sz="4" w:space="0"/>
              <w:right w:val="single" w:color="000000" w:sz="4" w:space="0"/>
            </w:tcBorders>
            <w:noWrap w:val="0"/>
            <w:vAlign w:val="center"/>
          </w:tcPr>
          <w:p w14:paraId="2A334769">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both"/>
              <w:textAlignment w:val="center"/>
              <w:rPr>
                <w:rFonts w:hint="eastAsia" w:ascii="宋体" w:hAnsi="宋体" w:eastAsia="宋体" w:cs="宋体"/>
                <w:b w:val="0"/>
                <w:bCs w:val="0"/>
                <w:kern w:val="0"/>
                <w:sz w:val="21"/>
                <w:szCs w:val="21"/>
                <w:highlight w:val="none"/>
              </w:rPr>
            </w:pPr>
            <w:r>
              <w:rPr>
                <w:rFonts w:hint="eastAsia" w:ascii="宋体" w:hAnsi="宋体" w:eastAsia="宋体" w:cs="宋体"/>
                <w:b w:val="0"/>
                <w:bCs w:val="0"/>
                <w:kern w:val="0"/>
                <w:sz w:val="21"/>
                <w:szCs w:val="21"/>
                <w:highlight w:val="none"/>
                <w:lang w:val="en-US" w:eastAsia="zh-CN"/>
              </w:rPr>
              <w:t>启闭机平台表面凿毛处理</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43B170BB">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val="0"/>
                <w:bCs w:val="0"/>
                <w:kern w:val="0"/>
                <w:sz w:val="21"/>
                <w:szCs w:val="21"/>
                <w:highlight w:val="none"/>
                <w:lang w:val="en-US" w:eastAsia="zh-CN"/>
              </w:rPr>
            </w:pPr>
            <w:r>
              <w:rPr>
                <w:rStyle w:val="47"/>
                <w:rFonts w:hint="eastAsia" w:ascii="宋体" w:hAnsi="宋体" w:eastAsia="宋体" w:cs="宋体"/>
                <w:sz w:val="21"/>
                <w:szCs w:val="21"/>
                <w:lang w:bidi="ar"/>
              </w:rPr>
              <w:t>m</w:t>
            </w:r>
            <w:r>
              <w:rPr>
                <w:rStyle w:val="49"/>
                <w:rFonts w:hint="eastAsia" w:ascii="宋体" w:hAnsi="宋体" w:eastAsia="宋体" w:cs="宋体"/>
                <w:sz w:val="21"/>
                <w:szCs w:val="21"/>
                <w:vertAlign w:val="superscript"/>
                <w:lang w:bidi="ar"/>
              </w:rPr>
              <w:t>2</w:t>
            </w:r>
          </w:p>
        </w:tc>
        <w:tc>
          <w:tcPr>
            <w:tcW w:w="1165" w:type="dxa"/>
            <w:tcBorders>
              <w:top w:val="single" w:color="000000" w:sz="4" w:space="0"/>
              <w:left w:val="single" w:color="000000" w:sz="4" w:space="0"/>
              <w:bottom w:val="single" w:color="000000" w:sz="4" w:space="0"/>
              <w:right w:val="single" w:color="000000" w:sz="4" w:space="0"/>
            </w:tcBorders>
            <w:noWrap w:val="0"/>
            <w:vAlign w:val="center"/>
          </w:tcPr>
          <w:p w14:paraId="1912555E">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 xml:space="preserve">11.20 </w:t>
            </w:r>
          </w:p>
        </w:tc>
        <w:tc>
          <w:tcPr>
            <w:tcW w:w="3049" w:type="dxa"/>
            <w:tcBorders>
              <w:top w:val="single" w:color="000000" w:sz="4" w:space="0"/>
              <w:left w:val="single" w:color="000000" w:sz="4" w:space="0"/>
              <w:bottom w:val="single" w:color="000000" w:sz="4" w:space="0"/>
              <w:right w:val="single" w:color="000000" w:sz="4" w:space="0"/>
            </w:tcBorders>
            <w:noWrap w:val="0"/>
            <w:vAlign w:val="center"/>
          </w:tcPr>
          <w:p w14:paraId="5438B938">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val="0"/>
                <w:bCs w:val="0"/>
                <w:kern w:val="0"/>
                <w:sz w:val="21"/>
                <w:szCs w:val="21"/>
                <w:highlight w:val="none"/>
                <w:lang w:val="en-US" w:eastAsia="zh-CN"/>
              </w:rPr>
            </w:pPr>
          </w:p>
        </w:tc>
      </w:tr>
      <w:tr w14:paraId="63D86265">
        <w:tblPrEx>
          <w:tblCellMar>
            <w:top w:w="0" w:type="dxa"/>
            <w:left w:w="108" w:type="dxa"/>
            <w:bottom w:w="0" w:type="dxa"/>
            <w:right w:w="108" w:type="dxa"/>
          </w:tblCellMar>
        </w:tblPrEx>
        <w:trPr>
          <w:trHeight w:val="399" w:hRule="atLeast"/>
        </w:trPr>
        <w:tc>
          <w:tcPr>
            <w:tcW w:w="925" w:type="dxa"/>
            <w:tcBorders>
              <w:top w:val="single" w:color="000000" w:sz="4" w:space="0"/>
              <w:left w:val="single" w:color="000000" w:sz="4" w:space="0"/>
              <w:bottom w:val="single" w:color="000000" w:sz="4" w:space="0"/>
              <w:right w:val="single" w:color="000000" w:sz="4" w:space="0"/>
            </w:tcBorders>
            <w:noWrap w:val="0"/>
            <w:vAlign w:val="center"/>
          </w:tcPr>
          <w:p w14:paraId="2A60F3A3">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val="0"/>
                <w:bCs w:val="0"/>
                <w:kern w:val="0"/>
                <w:sz w:val="21"/>
                <w:szCs w:val="21"/>
                <w:highlight w:val="none"/>
              </w:rPr>
            </w:pPr>
            <w:r>
              <w:rPr>
                <w:rFonts w:hint="eastAsia" w:ascii="宋体" w:hAnsi="宋体" w:eastAsia="宋体" w:cs="宋体"/>
                <w:b w:val="0"/>
                <w:bCs w:val="0"/>
                <w:kern w:val="0"/>
                <w:sz w:val="21"/>
                <w:szCs w:val="21"/>
                <w:highlight w:val="none"/>
                <w:lang w:val="en-US" w:eastAsia="zh-CN"/>
              </w:rPr>
              <w:t>②</w:t>
            </w:r>
          </w:p>
        </w:tc>
        <w:tc>
          <w:tcPr>
            <w:tcW w:w="2662" w:type="dxa"/>
            <w:tcBorders>
              <w:top w:val="single" w:color="000000" w:sz="4" w:space="0"/>
              <w:left w:val="single" w:color="000000" w:sz="4" w:space="0"/>
              <w:bottom w:val="single" w:color="000000" w:sz="4" w:space="0"/>
              <w:right w:val="single" w:color="000000" w:sz="4" w:space="0"/>
            </w:tcBorders>
            <w:noWrap w:val="0"/>
            <w:vAlign w:val="center"/>
          </w:tcPr>
          <w:p w14:paraId="2E7B8EC5">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both"/>
              <w:textAlignment w:val="center"/>
              <w:rPr>
                <w:rFonts w:hint="eastAsia" w:ascii="宋体" w:hAnsi="宋体" w:eastAsia="宋体" w:cs="宋体"/>
                <w:b w:val="0"/>
                <w:bCs w:val="0"/>
                <w:kern w:val="0"/>
                <w:sz w:val="21"/>
                <w:szCs w:val="21"/>
                <w:highlight w:val="none"/>
              </w:rPr>
            </w:pPr>
            <w:r>
              <w:rPr>
                <w:rFonts w:hint="eastAsia" w:ascii="宋体" w:hAnsi="宋体" w:eastAsia="宋体" w:cs="宋体"/>
                <w:b w:val="0"/>
                <w:bCs w:val="0"/>
                <w:kern w:val="0"/>
                <w:sz w:val="21"/>
                <w:szCs w:val="21"/>
                <w:highlight w:val="none"/>
                <w:lang w:val="en-US" w:eastAsia="zh-CN"/>
              </w:rPr>
              <w:t>砼裂缝处理</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5AFB4361">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m</w:t>
            </w:r>
          </w:p>
        </w:tc>
        <w:tc>
          <w:tcPr>
            <w:tcW w:w="1165" w:type="dxa"/>
            <w:tcBorders>
              <w:top w:val="single" w:color="000000" w:sz="4" w:space="0"/>
              <w:left w:val="single" w:color="000000" w:sz="4" w:space="0"/>
              <w:bottom w:val="single" w:color="000000" w:sz="4" w:space="0"/>
              <w:right w:val="single" w:color="000000" w:sz="4" w:space="0"/>
            </w:tcBorders>
            <w:noWrap w:val="0"/>
            <w:vAlign w:val="center"/>
          </w:tcPr>
          <w:p w14:paraId="7B7B9E3E">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 xml:space="preserve">18.00 </w:t>
            </w:r>
          </w:p>
        </w:tc>
        <w:tc>
          <w:tcPr>
            <w:tcW w:w="3049" w:type="dxa"/>
            <w:tcBorders>
              <w:top w:val="single" w:color="000000" w:sz="4" w:space="0"/>
              <w:left w:val="single" w:color="000000" w:sz="4" w:space="0"/>
              <w:bottom w:val="single" w:color="000000" w:sz="4" w:space="0"/>
              <w:right w:val="single" w:color="000000" w:sz="4" w:space="0"/>
            </w:tcBorders>
            <w:noWrap w:val="0"/>
            <w:vAlign w:val="center"/>
          </w:tcPr>
          <w:p w14:paraId="5551AEB9">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both"/>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化学灌浆+胎基布+SK手刮聚脲</w:t>
            </w:r>
          </w:p>
        </w:tc>
      </w:tr>
      <w:tr w14:paraId="4111E867">
        <w:tblPrEx>
          <w:tblCellMar>
            <w:top w:w="0" w:type="dxa"/>
            <w:left w:w="108" w:type="dxa"/>
            <w:bottom w:w="0" w:type="dxa"/>
            <w:right w:w="108" w:type="dxa"/>
          </w:tblCellMar>
        </w:tblPrEx>
        <w:trPr>
          <w:trHeight w:val="399" w:hRule="atLeast"/>
        </w:trPr>
        <w:tc>
          <w:tcPr>
            <w:tcW w:w="925" w:type="dxa"/>
            <w:tcBorders>
              <w:top w:val="single" w:color="000000" w:sz="4" w:space="0"/>
              <w:left w:val="single" w:color="000000" w:sz="4" w:space="0"/>
              <w:bottom w:val="single" w:color="000000" w:sz="4" w:space="0"/>
              <w:right w:val="single" w:color="000000" w:sz="4" w:space="0"/>
            </w:tcBorders>
            <w:noWrap w:val="0"/>
            <w:vAlign w:val="center"/>
          </w:tcPr>
          <w:p w14:paraId="21421959">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val="0"/>
                <w:bCs w:val="0"/>
                <w:kern w:val="0"/>
                <w:sz w:val="21"/>
                <w:szCs w:val="21"/>
                <w:highlight w:val="none"/>
              </w:rPr>
            </w:pPr>
            <w:r>
              <w:rPr>
                <w:rFonts w:hint="eastAsia" w:ascii="宋体" w:hAnsi="宋体" w:eastAsia="宋体" w:cs="宋体"/>
                <w:b w:val="0"/>
                <w:bCs w:val="0"/>
                <w:kern w:val="0"/>
                <w:sz w:val="21"/>
                <w:szCs w:val="21"/>
                <w:highlight w:val="none"/>
                <w:lang w:val="en-US" w:eastAsia="zh-CN"/>
              </w:rPr>
              <w:t>③</w:t>
            </w:r>
          </w:p>
        </w:tc>
        <w:tc>
          <w:tcPr>
            <w:tcW w:w="2662" w:type="dxa"/>
            <w:tcBorders>
              <w:top w:val="single" w:color="000000" w:sz="4" w:space="0"/>
              <w:left w:val="single" w:color="000000" w:sz="4" w:space="0"/>
              <w:bottom w:val="single" w:color="000000" w:sz="4" w:space="0"/>
              <w:right w:val="single" w:color="000000" w:sz="4" w:space="0"/>
            </w:tcBorders>
            <w:noWrap w:val="0"/>
            <w:vAlign w:val="center"/>
          </w:tcPr>
          <w:p w14:paraId="2EDBD8A1">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both"/>
              <w:textAlignment w:val="center"/>
              <w:rPr>
                <w:rFonts w:hint="eastAsia" w:ascii="宋体" w:hAnsi="宋体" w:eastAsia="宋体" w:cs="宋体"/>
                <w:b w:val="0"/>
                <w:bCs w:val="0"/>
                <w:kern w:val="0"/>
                <w:sz w:val="21"/>
                <w:szCs w:val="21"/>
                <w:highlight w:val="none"/>
              </w:rPr>
            </w:pPr>
            <w:r>
              <w:rPr>
                <w:rFonts w:hint="eastAsia" w:ascii="宋体" w:hAnsi="宋体" w:eastAsia="宋体" w:cs="宋体"/>
                <w:b w:val="0"/>
                <w:bCs w:val="0"/>
                <w:kern w:val="0"/>
                <w:sz w:val="21"/>
                <w:szCs w:val="21"/>
                <w:highlight w:val="none"/>
                <w:lang w:val="en-US" w:eastAsia="zh-CN"/>
              </w:rPr>
              <w:t>水位变化区以上砼防碳化</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4B401711">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val="0"/>
                <w:bCs w:val="0"/>
                <w:kern w:val="0"/>
                <w:sz w:val="21"/>
                <w:szCs w:val="21"/>
                <w:highlight w:val="none"/>
                <w:lang w:val="en-US" w:eastAsia="zh-CN"/>
              </w:rPr>
            </w:pPr>
            <w:r>
              <w:rPr>
                <w:rStyle w:val="47"/>
                <w:rFonts w:hint="eastAsia" w:ascii="宋体" w:hAnsi="宋体" w:eastAsia="宋体" w:cs="宋体"/>
                <w:sz w:val="21"/>
                <w:szCs w:val="21"/>
                <w:lang w:bidi="ar"/>
              </w:rPr>
              <w:t>m</w:t>
            </w:r>
            <w:r>
              <w:rPr>
                <w:rStyle w:val="49"/>
                <w:rFonts w:hint="eastAsia" w:ascii="宋体" w:hAnsi="宋体" w:eastAsia="宋体" w:cs="宋体"/>
                <w:sz w:val="21"/>
                <w:szCs w:val="21"/>
                <w:vertAlign w:val="superscript"/>
                <w:lang w:bidi="ar"/>
              </w:rPr>
              <w:t>2</w:t>
            </w:r>
          </w:p>
        </w:tc>
        <w:tc>
          <w:tcPr>
            <w:tcW w:w="1165" w:type="dxa"/>
            <w:tcBorders>
              <w:top w:val="single" w:color="000000" w:sz="4" w:space="0"/>
              <w:left w:val="single" w:color="000000" w:sz="4" w:space="0"/>
              <w:bottom w:val="single" w:color="000000" w:sz="4" w:space="0"/>
              <w:right w:val="single" w:color="000000" w:sz="4" w:space="0"/>
            </w:tcBorders>
            <w:noWrap w:val="0"/>
            <w:vAlign w:val="center"/>
          </w:tcPr>
          <w:p w14:paraId="6E0D42B6">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 xml:space="preserve">130.64 </w:t>
            </w:r>
          </w:p>
        </w:tc>
        <w:tc>
          <w:tcPr>
            <w:tcW w:w="3049" w:type="dxa"/>
            <w:tcBorders>
              <w:top w:val="single" w:color="000000" w:sz="4" w:space="0"/>
              <w:left w:val="single" w:color="000000" w:sz="4" w:space="0"/>
              <w:bottom w:val="single" w:color="000000" w:sz="4" w:space="0"/>
              <w:right w:val="single" w:color="000000" w:sz="4" w:space="0"/>
            </w:tcBorders>
            <w:noWrap w:val="0"/>
            <w:vAlign w:val="center"/>
          </w:tcPr>
          <w:p w14:paraId="29DF1A6D">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both"/>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清理+PCS柔性涂料</w:t>
            </w:r>
          </w:p>
        </w:tc>
      </w:tr>
      <w:tr w14:paraId="36816968">
        <w:tblPrEx>
          <w:tblCellMar>
            <w:top w:w="0" w:type="dxa"/>
            <w:left w:w="108" w:type="dxa"/>
            <w:bottom w:w="0" w:type="dxa"/>
            <w:right w:w="108" w:type="dxa"/>
          </w:tblCellMar>
        </w:tblPrEx>
        <w:trPr>
          <w:trHeight w:val="399" w:hRule="atLeast"/>
        </w:trPr>
        <w:tc>
          <w:tcPr>
            <w:tcW w:w="925" w:type="dxa"/>
            <w:tcBorders>
              <w:top w:val="single" w:color="000000" w:sz="4" w:space="0"/>
              <w:left w:val="single" w:color="000000" w:sz="4" w:space="0"/>
              <w:bottom w:val="single" w:color="000000" w:sz="4" w:space="0"/>
              <w:right w:val="single" w:color="000000" w:sz="4" w:space="0"/>
            </w:tcBorders>
            <w:noWrap w:val="0"/>
            <w:vAlign w:val="center"/>
          </w:tcPr>
          <w:p w14:paraId="2A25A111">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val="0"/>
                <w:bCs w:val="0"/>
                <w:kern w:val="0"/>
                <w:sz w:val="21"/>
                <w:szCs w:val="21"/>
                <w:highlight w:val="none"/>
              </w:rPr>
            </w:pPr>
            <w:r>
              <w:rPr>
                <w:rFonts w:hint="eastAsia" w:ascii="宋体" w:hAnsi="宋体" w:eastAsia="宋体" w:cs="宋体"/>
                <w:b w:val="0"/>
                <w:bCs w:val="0"/>
                <w:kern w:val="0"/>
                <w:sz w:val="21"/>
                <w:szCs w:val="21"/>
                <w:highlight w:val="none"/>
                <w:lang w:val="en-US" w:eastAsia="zh-CN"/>
              </w:rPr>
              <w:t>④</w:t>
            </w:r>
          </w:p>
        </w:tc>
        <w:tc>
          <w:tcPr>
            <w:tcW w:w="2662" w:type="dxa"/>
            <w:tcBorders>
              <w:top w:val="single" w:color="000000" w:sz="4" w:space="0"/>
              <w:left w:val="single" w:color="000000" w:sz="4" w:space="0"/>
              <w:bottom w:val="single" w:color="000000" w:sz="4" w:space="0"/>
              <w:right w:val="single" w:color="000000" w:sz="4" w:space="0"/>
            </w:tcBorders>
            <w:noWrap w:val="0"/>
            <w:vAlign w:val="center"/>
          </w:tcPr>
          <w:p w14:paraId="3FFE17A7">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both"/>
              <w:textAlignment w:val="center"/>
              <w:rPr>
                <w:rFonts w:hint="eastAsia" w:ascii="宋体" w:hAnsi="宋体" w:eastAsia="宋体" w:cs="宋体"/>
                <w:b w:val="0"/>
                <w:bCs w:val="0"/>
                <w:kern w:val="0"/>
                <w:sz w:val="21"/>
                <w:szCs w:val="21"/>
                <w:highlight w:val="none"/>
              </w:rPr>
            </w:pPr>
            <w:r>
              <w:rPr>
                <w:rFonts w:hint="eastAsia" w:ascii="宋体" w:hAnsi="宋体" w:eastAsia="宋体" w:cs="宋体"/>
                <w:b w:val="0"/>
                <w:bCs w:val="0"/>
                <w:kern w:val="0"/>
                <w:sz w:val="21"/>
                <w:szCs w:val="21"/>
                <w:highlight w:val="none"/>
                <w:lang w:val="en-US" w:eastAsia="zh-CN"/>
              </w:rPr>
              <w:t>水位变化区以下砼抗冲磨防护</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1306A6C4">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val="0"/>
                <w:bCs w:val="0"/>
                <w:kern w:val="0"/>
                <w:sz w:val="21"/>
                <w:szCs w:val="21"/>
                <w:highlight w:val="none"/>
                <w:lang w:val="en-US" w:eastAsia="zh-CN"/>
              </w:rPr>
            </w:pPr>
            <w:r>
              <w:rPr>
                <w:rStyle w:val="47"/>
                <w:rFonts w:hint="eastAsia" w:ascii="宋体" w:hAnsi="宋体" w:eastAsia="宋体" w:cs="宋体"/>
                <w:sz w:val="21"/>
                <w:szCs w:val="21"/>
                <w:lang w:bidi="ar"/>
              </w:rPr>
              <w:t>m</w:t>
            </w:r>
            <w:r>
              <w:rPr>
                <w:rStyle w:val="49"/>
                <w:rFonts w:hint="eastAsia" w:ascii="宋体" w:hAnsi="宋体" w:eastAsia="宋体" w:cs="宋体"/>
                <w:sz w:val="21"/>
                <w:szCs w:val="21"/>
                <w:vertAlign w:val="superscript"/>
                <w:lang w:bidi="ar"/>
              </w:rPr>
              <w:t>2</w:t>
            </w:r>
          </w:p>
        </w:tc>
        <w:tc>
          <w:tcPr>
            <w:tcW w:w="1165" w:type="dxa"/>
            <w:tcBorders>
              <w:top w:val="single" w:color="000000" w:sz="4" w:space="0"/>
              <w:left w:val="single" w:color="000000" w:sz="4" w:space="0"/>
              <w:bottom w:val="single" w:color="000000" w:sz="4" w:space="0"/>
              <w:right w:val="single" w:color="000000" w:sz="4" w:space="0"/>
            </w:tcBorders>
            <w:noWrap w:val="0"/>
            <w:vAlign w:val="center"/>
          </w:tcPr>
          <w:p w14:paraId="67BE4988">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 xml:space="preserve">78.20 </w:t>
            </w:r>
          </w:p>
        </w:tc>
        <w:tc>
          <w:tcPr>
            <w:tcW w:w="3049" w:type="dxa"/>
            <w:tcBorders>
              <w:top w:val="single" w:color="000000" w:sz="4" w:space="0"/>
              <w:left w:val="single" w:color="000000" w:sz="4" w:space="0"/>
              <w:bottom w:val="single" w:color="000000" w:sz="4" w:space="0"/>
              <w:right w:val="single" w:color="000000" w:sz="4" w:space="0"/>
            </w:tcBorders>
            <w:noWrap w:val="0"/>
            <w:vAlign w:val="center"/>
          </w:tcPr>
          <w:p w14:paraId="67699717">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both"/>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打磨+环氧腻子+界面剂+SK手刮聚脲+胎基布+SK手刮聚脲</w:t>
            </w:r>
          </w:p>
        </w:tc>
      </w:tr>
      <w:tr w14:paraId="3B83456F">
        <w:tblPrEx>
          <w:tblCellMar>
            <w:top w:w="0" w:type="dxa"/>
            <w:left w:w="108" w:type="dxa"/>
            <w:bottom w:w="0" w:type="dxa"/>
            <w:right w:w="108" w:type="dxa"/>
          </w:tblCellMar>
        </w:tblPrEx>
        <w:trPr>
          <w:trHeight w:val="399" w:hRule="atLeast"/>
        </w:trPr>
        <w:tc>
          <w:tcPr>
            <w:tcW w:w="925" w:type="dxa"/>
            <w:tcBorders>
              <w:top w:val="single" w:color="000000" w:sz="4" w:space="0"/>
              <w:left w:val="single" w:color="000000" w:sz="4" w:space="0"/>
              <w:bottom w:val="single" w:color="000000" w:sz="4" w:space="0"/>
              <w:right w:val="single" w:color="000000" w:sz="4" w:space="0"/>
            </w:tcBorders>
            <w:noWrap w:val="0"/>
            <w:vAlign w:val="center"/>
          </w:tcPr>
          <w:p w14:paraId="75AB7927">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val="0"/>
                <w:bCs w:val="0"/>
                <w:kern w:val="0"/>
                <w:sz w:val="21"/>
                <w:szCs w:val="21"/>
                <w:highlight w:val="none"/>
              </w:rPr>
            </w:pPr>
            <w:r>
              <w:rPr>
                <w:rFonts w:hint="eastAsia" w:ascii="宋体" w:hAnsi="宋体" w:eastAsia="宋体" w:cs="宋体"/>
                <w:b w:val="0"/>
                <w:bCs w:val="0"/>
                <w:kern w:val="0"/>
                <w:sz w:val="21"/>
                <w:szCs w:val="21"/>
                <w:highlight w:val="none"/>
                <w:lang w:val="en-US" w:eastAsia="zh-CN"/>
              </w:rPr>
              <w:t>⑤</w:t>
            </w:r>
          </w:p>
        </w:tc>
        <w:tc>
          <w:tcPr>
            <w:tcW w:w="2662" w:type="dxa"/>
            <w:tcBorders>
              <w:top w:val="single" w:color="000000" w:sz="4" w:space="0"/>
              <w:left w:val="single" w:color="000000" w:sz="4" w:space="0"/>
              <w:bottom w:val="single" w:color="000000" w:sz="4" w:space="0"/>
              <w:right w:val="single" w:color="000000" w:sz="4" w:space="0"/>
            </w:tcBorders>
            <w:noWrap w:val="0"/>
            <w:vAlign w:val="center"/>
          </w:tcPr>
          <w:p w14:paraId="0FA67024">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both"/>
              <w:textAlignment w:val="center"/>
              <w:rPr>
                <w:rFonts w:hint="eastAsia" w:ascii="宋体" w:hAnsi="宋体" w:eastAsia="宋体" w:cs="宋体"/>
                <w:b w:val="0"/>
                <w:bCs w:val="0"/>
                <w:kern w:val="0"/>
                <w:sz w:val="21"/>
                <w:szCs w:val="21"/>
                <w:highlight w:val="none"/>
              </w:rPr>
            </w:pPr>
            <w:r>
              <w:rPr>
                <w:rFonts w:hint="eastAsia" w:ascii="宋体" w:hAnsi="宋体" w:eastAsia="宋体" w:cs="宋体"/>
                <w:b w:val="0"/>
                <w:bCs w:val="0"/>
                <w:kern w:val="0"/>
                <w:sz w:val="21"/>
                <w:szCs w:val="21"/>
                <w:highlight w:val="none"/>
                <w:lang w:val="en-US" w:eastAsia="zh-CN"/>
              </w:rPr>
              <w:t>闸墩与浆砌石翼墙伸缩缝处理</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4E1ADB63">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m</w:t>
            </w:r>
          </w:p>
        </w:tc>
        <w:tc>
          <w:tcPr>
            <w:tcW w:w="1165" w:type="dxa"/>
            <w:tcBorders>
              <w:top w:val="single" w:color="000000" w:sz="4" w:space="0"/>
              <w:left w:val="single" w:color="000000" w:sz="4" w:space="0"/>
              <w:bottom w:val="single" w:color="000000" w:sz="4" w:space="0"/>
              <w:right w:val="single" w:color="000000" w:sz="4" w:space="0"/>
            </w:tcBorders>
            <w:noWrap w:val="0"/>
            <w:vAlign w:val="center"/>
          </w:tcPr>
          <w:p w14:paraId="2CA6D95D">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 xml:space="preserve">17.60 </w:t>
            </w:r>
          </w:p>
        </w:tc>
        <w:tc>
          <w:tcPr>
            <w:tcW w:w="3049" w:type="dxa"/>
            <w:tcBorders>
              <w:top w:val="single" w:color="000000" w:sz="4" w:space="0"/>
              <w:left w:val="single" w:color="000000" w:sz="4" w:space="0"/>
              <w:bottom w:val="single" w:color="000000" w:sz="4" w:space="0"/>
              <w:right w:val="single" w:color="000000" w:sz="4" w:space="0"/>
            </w:tcBorders>
            <w:noWrap w:val="0"/>
            <w:vAlign w:val="center"/>
          </w:tcPr>
          <w:p w14:paraId="11782EB2">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both"/>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剔除+聚苯板圆棒+高弹性聚脲砂浆</w:t>
            </w:r>
          </w:p>
        </w:tc>
      </w:tr>
      <w:tr w14:paraId="436CC3B4">
        <w:tblPrEx>
          <w:tblCellMar>
            <w:top w:w="0" w:type="dxa"/>
            <w:left w:w="108" w:type="dxa"/>
            <w:bottom w:w="0" w:type="dxa"/>
            <w:right w:w="108" w:type="dxa"/>
          </w:tblCellMar>
        </w:tblPrEx>
        <w:trPr>
          <w:trHeight w:val="399" w:hRule="atLeast"/>
        </w:trPr>
        <w:tc>
          <w:tcPr>
            <w:tcW w:w="925" w:type="dxa"/>
            <w:tcBorders>
              <w:top w:val="single" w:color="000000" w:sz="4" w:space="0"/>
              <w:left w:val="single" w:color="000000" w:sz="4" w:space="0"/>
              <w:bottom w:val="single" w:color="000000" w:sz="4" w:space="0"/>
              <w:right w:val="single" w:color="000000" w:sz="4" w:space="0"/>
            </w:tcBorders>
            <w:noWrap w:val="0"/>
            <w:vAlign w:val="center"/>
          </w:tcPr>
          <w:p w14:paraId="31F80746">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⑥</w:t>
            </w:r>
          </w:p>
        </w:tc>
        <w:tc>
          <w:tcPr>
            <w:tcW w:w="2662" w:type="dxa"/>
            <w:tcBorders>
              <w:top w:val="single" w:color="000000" w:sz="4" w:space="0"/>
              <w:left w:val="single" w:color="000000" w:sz="4" w:space="0"/>
              <w:bottom w:val="single" w:color="000000" w:sz="4" w:space="0"/>
              <w:right w:val="single" w:color="000000" w:sz="4" w:space="0"/>
            </w:tcBorders>
            <w:noWrap w:val="0"/>
            <w:vAlign w:val="center"/>
          </w:tcPr>
          <w:p w14:paraId="69A0CDDE">
            <w:pPr>
              <w:keepNext w:val="0"/>
              <w:keepLines w:val="0"/>
              <w:widowControl/>
              <w:suppressLineNumbers w:val="0"/>
              <w:ind w:left="0" w:leftChars="0" w:firstLine="0" w:firstLineChars="0"/>
              <w:jc w:val="left"/>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i w:val="0"/>
                <w:iCs w:val="0"/>
                <w:color w:val="000000"/>
                <w:kern w:val="0"/>
                <w:sz w:val="22"/>
                <w:szCs w:val="22"/>
                <w:u w:val="none"/>
                <w:lang w:val="en-US" w:eastAsia="zh-CN" w:bidi="ar"/>
              </w:rPr>
              <w:t>脚手架</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496E7415">
            <w:pPr>
              <w:keepNext w:val="0"/>
              <w:keepLines w:val="0"/>
              <w:widowControl/>
              <w:suppressLineNumbers w:val="0"/>
              <w:ind w:left="0" w:leftChars="0" w:firstLine="0" w:firstLineChars="0"/>
              <w:jc w:val="center"/>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m</w:t>
            </w:r>
            <w:r>
              <w:rPr>
                <w:rFonts w:hint="eastAsia" w:ascii="宋体" w:hAnsi="宋体" w:eastAsia="宋体" w:cs="宋体"/>
                <w:i w:val="0"/>
                <w:iCs w:val="0"/>
                <w:color w:val="000000"/>
                <w:kern w:val="0"/>
                <w:sz w:val="21"/>
                <w:szCs w:val="21"/>
                <w:u w:val="none"/>
                <w:vertAlign w:val="superscript"/>
                <w:lang w:val="en-US" w:eastAsia="zh-CN" w:bidi="ar"/>
              </w:rPr>
              <w:t>2</w:t>
            </w:r>
          </w:p>
        </w:tc>
        <w:tc>
          <w:tcPr>
            <w:tcW w:w="1165" w:type="dxa"/>
            <w:tcBorders>
              <w:top w:val="single" w:color="000000" w:sz="4" w:space="0"/>
              <w:left w:val="single" w:color="000000" w:sz="4" w:space="0"/>
              <w:bottom w:val="single" w:color="000000" w:sz="4" w:space="0"/>
              <w:right w:val="single" w:color="000000" w:sz="4" w:space="0"/>
            </w:tcBorders>
            <w:noWrap w:val="0"/>
            <w:vAlign w:val="center"/>
          </w:tcPr>
          <w:p w14:paraId="71575F3E">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88</w:t>
            </w:r>
          </w:p>
        </w:tc>
        <w:tc>
          <w:tcPr>
            <w:tcW w:w="3049" w:type="dxa"/>
            <w:tcBorders>
              <w:top w:val="single" w:color="000000" w:sz="4" w:space="0"/>
              <w:left w:val="single" w:color="000000" w:sz="4" w:space="0"/>
              <w:bottom w:val="single" w:color="000000" w:sz="4" w:space="0"/>
              <w:right w:val="single" w:color="000000" w:sz="4" w:space="0"/>
            </w:tcBorders>
            <w:noWrap w:val="0"/>
            <w:vAlign w:val="center"/>
          </w:tcPr>
          <w:p w14:paraId="1B96C7F1">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both"/>
              <w:textAlignment w:val="center"/>
              <w:rPr>
                <w:rFonts w:hint="eastAsia" w:ascii="宋体" w:hAnsi="宋体" w:eastAsia="宋体" w:cs="宋体"/>
                <w:b w:val="0"/>
                <w:bCs w:val="0"/>
                <w:kern w:val="0"/>
                <w:sz w:val="21"/>
                <w:szCs w:val="21"/>
                <w:highlight w:val="none"/>
                <w:lang w:val="en-US" w:eastAsia="zh-CN"/>
              </w:rPr>
            </w:pPr>
          </w:p>
        </w:tc>
      </w:tr>
    </w:tbl>
    <w:p w14:paraId="6AD8B2EF">
      <w:pPr>
        <w:bidi w:val="0"/>
        <w:rPr>
          <w:rFonts w:hint="eastAsia"/>
        </w:rPr>
      </w:pPr>
    </w:p>
    <w:p w14:paraId="0CDA0022">
      <w:pPr>
        <w:pStyle w:val="5"/>
        <w:spacing w:line="240" w:lineRule="auto"/>
        <w:rPr>
          <w:color w:val="auto"/>
          <w:highlight w:val="none"/>
        </w:rPr>
      </w:pPr>
      <w:r>
        <w:rPr>
          <w:rFonts w:hint="eastAsia"/>
          <w:color w:val="auto"/>
          <w:highlight w:val="none"/>
        </w:rPr>
        <w:t>（</w:t>
      </w:r>
      <w:r>
        <w:rPr>
          <w:rFonts w:hint="eastAsia"/>
          <w:color w:val="auto"/>
          <w:highlight w:val="none"/>
          <w:lang w:val="en-US" w:eastAsia="zh-CN"/>
        </w:rPr>
        <w:t>五</w:t>
      </w:r>
      <w:r>
        <w:rPr>
          <w:rFonts w:hint="eastAsia"/>
          <w:color w:val="auto"/>
          <w:highlight w:val="none"/>
        </w:rPr>
        <w:t>）施工方案</w:t>
      </w:r>
    </w:p>
    <w:p w14:paraId="78701F41">
      <w:pPr>
        <w:pStyle w:val="2"/>
        <w:spacing w:line="360" w:lineRule="auto"/>
        <w:ind w:firstLine="480"/>
        <w:rPr>
          <w:rFonts w:hint="eastAsia" w:ascii="宋体" w:hAnsi="宋体" w:cs="宋体"/>
          <w:color w:val="auto"/>
          <w:sz w:val="24"/>
          <w:szCs w:val="32"/>
          <w:highlight w:val="none"/>
        </w:rPr>
      </w:pPr>
      <w:r>
        <w:rPr>
          <w:rFonts w:hint="eastAsia" w:ascii="宋体" w:hAnsi="宋体" w:cs="宋体"/>
          <w:color w:val="auto"/>
          <w:sz w:val="24"/>
          <w:szCs w:val="32"/>
          <w:highlight w:val="none"/>
        </w:rPr>
        <w:t>1.施工组织设计</w:t>
      </w:r>
    </w:p>
    <w:p w14:paraId="0C9FF019">
      <w:pPr>
        <w:pStyle w:val="2"/>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32"/>
          <w:highlight w:val="none"/>
        </w:rPr>
        <w:t>（1）</w:t>
      </w:r>
      <w:r>
        <w:rPr>
          <w:rFonts w:hint="eastAsia" w:ascii="宋体" w:hAnsi="宋体" w:cs="宋体"/>
          <w:color w:val="auto"/>
          <w:sz w:val="24"/>
          <w:szCs w:val="21"/>
          <w:highlight w:val="none"/>
        </w:rPr>
        <w:t>施工方案与技术措施</w:t>
      </w:r>
    </w:p>
    <w:p w14:paraId="0967809A">
      <w:pPr>
        <w:pStyle w:val="2"/>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第一等次：方案内容完整，包括施工方法和作业流程、季节性施工、劳动力计划、施工机具配备等内容；施工方法和作业流程合理清晰；</w:t>
      </w:r>
    </w:p>
    <w:p w14:paraId="56E0A89E">
      <w:pPr>
        <w:pStyle w:val="2"/>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第二等次：方案内容完整，包括施工方法和作业流程、季节性施工、劳动力计划、施工机具配备等内容；但施工方法和作业流程存在不合理； </w:t>
      </w:r>
    </w:p>
    <w:p w14:paraId="7407BEBE">
      <w:pPr>
        <w:pStyle w:val="2"/>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第三等次：方案内容较完整，包括施工方法和作业流程等主要内容；但季节性施工、劳动力计划、施工机具配备、施工方法和作业流程存在不合理；</w:t>
      </w:r>
    </w:p>
    <w:p w14:paraId="1B16CED9">
      <w:pPr>
        <w:pStyle w:val="2"/>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第四等次：方案内容不完整，部分内容有缺失。</w:t>
      </w:r>
    </w:p>
    <w:p w14:paraId="024A8F9A">
      <w:pPr>
        <w:pStyle w:val="2"/>
        <w:spacing w:line="360" w:lineRule="auto"/>
        <w:ind w:firstLine="480"/>
        <w:rPr>
          <w:rFonts w:hint="eastAsia" w:ascii="宋体" w:hAnsi="宋体" w:cs="宋体"/>
          <w:bCs/>
          <w:color w:val="auto"/>
          <w:sz w:val="24"/>
          <w:szCs w:val="28"/>
          <w:highlight w:val="none"/>
        </w:rPr>
      </w:pPr>
      <w:r>
        <w:rPr>
          <w:rFonts w:hint="eastAsia" w:ascii="宋体" w:hAnsi="宋体" w:cs="宋体"/>
          <w:bCs/>
          <w:color w:val="auto"/>
          <w:sz w:val="24"/>
          <w:szCs w:val="28"/>
          <w:highlight w:val="none"/>
        </w:rPr>
        <w:t>（2）质量管理体系与措施</w:t>
      </w:r>
    </w:p>
    <w:p w14:paraId="41F4A9FA">
      <w:pPr>
        <w:pStyle w:val="2"/>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第一等次：质量目标明确，质量保证体系健全；质量控制关键点、重点明确，针对控制关键点、重点制定了针对性的保障措施；</w:t>
      </w:r>
    </w:p>
    <w:p w14:paraId="7505EE94">
      <w:pPr>
        <w:pStyle w:val="2"/>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第二等次：质量目标明确，质量保证体系健全；质量控制关键点、重点明确，但未制定针对性的保障措施；</w:t>
      </w:r>
    </w:p>
    <w:p w14:paraId="35804721">
      <w:pPr>
        <w:pStyle w:val="2"/>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第三等次：质量目标明确，质量保证体系健全，质量控制关键点、重点不明确；</w:t>
      </w:r>
    </w:p>
    <w:p w14:paraId="623DE346">
      <w:pPr>
        <w:pStyle w:val="2"/>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第四等次：质量目标不明确或者质量保证体系不健全。</w:t>
      </w:r>
    </w:p>
    <w:p w14:paraId="6069433A">
      <w:pPr>
        <w:pStyle w:val="2"/>
        <w:spacing w:line="360" w:lineRule="auto"/>
        <w:ind w:firstLine="480"/>
        <w:rPr>
          <w:rFonts w:hint="eastAsia" w:ascii="宋体" w:hAnsi="宋体" w:cs="宋体"/>
          <w:bCs/>
          <w:color w:val="auto"/>
          <w:sz w:val="24"/>
          <w:szCs w:val="28"/>
          <w:highlight w:val="none"/>
        </w:rPr>
      </w:pPr>
      <w:r>
        <w:rPr>
          <w:rFonts w:hint="eastAsia" w:ascii="宋体" w:hAnsi="宋体" w:cs="宋体"/>
          <w:bCs/>
          <w:color w:val="auto"/>
          <w:sz w:val="24"/>
          <w:szCs w:val="28"/>
          <w:highlight w:val="none"/>
        </w:rPr>
        <w:t>（3）安全管理体系与措施</w:t>
      </w:r>
    </w:p>
    <w:p w14:paraId="4D954334">
      <w:pPr>
        <w:pStyle w:val="2"/>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第一等次：针对本项目中的施工作业、用电、防火、吊装、高空、水上作业、有限空间作业、场内外交通、疫情防控等制定了详细的安全管理专项方案；方案内容完整，包括安全教育、人员防护、现场安全措施等内容；安全防护措施到位。</w:t>
      </w:r>
    </w:p>
    <w:p w14:paraId="0D62810C">
      <w:pPr>
        <w:pStyle w:val="2"/>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第二等次：针对本项目中的施工作业、用电、防火、吊装、高空、水上作业、有限空间作业、场内外交通、疫情防控等制定了详细的安全管理专项方案；方案内容完整，包括安全教育、人员防护、现场安全措施等内容；安全防护措施简单，保障性较差；</w:t>
      </w:r>
    </w:p>
    <w:p w14:paraId="52A11CBD">
      <w:pPr>
        <w:pStyle w:val="2"/>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第三等次：针对本项目中的施工作业、用电、防火、吊装、高空、水上作业、有限空间作业、场内外交通、疫情防控等制定了安全管理专项方案；方案内容不完整；</w:t>
      </w:r>
    </w:p>
    <w:p w14:paraId="1591176E">
      <w:pPr>
        <w:pStyle w:val="2"/>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第四等次：安全管理专项方案没有针对性，与本项目中的施工作业内容结合不紧密。</w:t>
      </w:r>
    </w:p>
    <w:p w14:paraId="188BB613">
      <w:pPr>
        <w:pStyle w:val="2"/>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（4）环境保护管理体系与措施</w:t>
      </w:r>
    </w:p>
    <w:p w14:paraId="4FC43199">
      <w:pPr>
        <w:pStyle w:val="2"/>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第一等次：结合本项目作业特点，全面识别可能影响周边环境的污染因素，并针对每一项污染因素制定了切实可行的作业现场环境保护措施；</w:t>
      </w:r>
    </w:p>
    <w:p w14:paraId="1036EE69">
      <w:pPr>
        <w:pStyle w:val="2"/>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第二等次：结合本项目作业特点，全面识别可能影响周边环境的污染因素，并制定了作业现场环境保护措施，措施总体可行，但未与污染因素结合，针对性有欠缺；</w:t>
      </w:r>
    </w:p>
    <w:p w14:paraId="67ED5A50">
      <w:pPr>
        <w:pStyle w:val="2"/>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第三等次：污染因素识别不全，或制定的保护措施缺乏可行性；</w:t>
      </w:r>
    </w:p>
    <w:p w14:paraId="5B6394F5">
      <w:pPr>
        <w:pStyle w:val="2"/>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第四等次：未识别污染因素，或未制定相应的保护措施。</w:t>
      </w:r>
    </w:p>
    <w:p w14:paraId="6D42F936">
      <w:pPr>
        <w:pStyle w:val="2"/>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（5）工程进度计划与措施</w:t>
      </w:r>
    </w:p>
    <w:p w14:paraId="13ED18F5">
      <w:pPr>
        <w:pStyle w:val="2"/>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第一等次：项目进场、各项工作内容的具体实施时段、项目验收等关键时间节点明确，时间安排合理，并制定了针对性的保障措施；</w:t>
      </w:r>
    </w:p>
    <w:p w14:paraId="0FD47990">
      <w:pPr>
        <w:pStyle w:val="2"/>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第二等次：项目进场、各项工作内容的具体实施时段、项目验收等关键时间节点明确，时间安排合理，但未制定针对性的保障措施；</w:t>
      </w:r>
    </w:p>
    <w:p w14:paraId="13A2E53A">
      <w:pPr>
        <w:pStyle w:val="2"/>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第三等次：项目进场、各项工作内容的具体实施时段、项目验收等关键时间节点明确，但时间安排存在不合理；</w:t>
      </w:r>
    </w:p>
    <w:p w14:paraId="1A4CABD0">
      <w:pPr>
        <w:pStyle w:val="2"/>
        <w:spacing w:line="360" w:lineRule="auto"/>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第四等次：项目进场、各项工作内容的具体实施时段、项目验收等关键时间节点不明确。</w:t>
      </w:r>
    </w:p>
    <w:p w14:paraId="054EB9F8">
      <w:pPr>
        <w:pStyle w:val="4"/>
        <w:jc w:val="both"/>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t>五、商务要求</w:t>
      </w:r>
      <w:bookmarkEnd w:id="578"/>
    </w:p>
    <w:p w14:paraId="43A92CEB">
      <w:pPr>
        <w:pStyle w:val="5"/>
        <w:keepNext w:val="0"/>
        <w:keepLines w:val="0"/>
        <w:spacing w:before="0" w:after="0" w:line="360" w:lineRule="auto"/>
        <w:rPr>
          <w:rFonts w:hint="eastAsia" w:ascii="宋体" w:hAnsi="宋体" w:cs="宋体"/>
          <w:color w:val="auto"/>
          <w:sz w:val="28"/>
          <w:szCs w:val="28"/>
          <w:highlight w:val="none"/>
        </w:rPr>
      </w:pPr>
      <w:bookmarkStart w:id="589" w:name="_Toc1721446977_WPSOffice_Level2"/>
      <w:r>
        <w:rPr>
          <w:rFonts w:hint="eastAsia" w:ascii="宋体" w:hAnsi="宋体" w:cs="宋体"/>
          <w:color w:val="auto"/>
          <w:sz w:val="28"/>
          <w:szCs w:val="28"/>
          <w:highlight w:val="none"/>
        </w:rPr>
        <w:t>★</w:t>
      </w:r>
      <w:bookmarkEnd w:id="589"/>
      <w:r>
        <w:rPr>
          <w:rFonts w:hint="eastAsia" w:ascii="宋体" w:hAnsi="宋体" w:cs="宋体"/>
          <w:color w:val="auto"/>
          <w:sz w:val="28"/>
          <w:szCs w:val="28"/>
          <w:highlight w:val="none"/>
        </w:rPr>
        <w:t>（一）项目实施期限</w:t>
      </w:r>
    </w:p>
    <w:p w14:paraId="509CEEA5">
      <w:pPr>
        <w:spacing w:line="360" w:lineRule="auto"/>
        <w:ind w:firstLine="480" w:firstLineChars="200"/>
        <w:rPr>
          <w:rFonts w:hint="eastAsia" w:ascii="宋体" w:hAnsi="宋体" w:cs="宋体"/>
          <w:color w:val="auto"/>
          <w:sz w:val="24"/>
          <w:highlight w:val="none"/>
        </w:rPr>
      </w:pPr>
      <w:bookmarkStart w:id="590" w:name="_Hlk99447373"/>
      <w:r>
        <w:rPr>
          <w:rFonts w:hint="eastAsia" w:ascii="宋体" w:hAnsi="宋体" w:cs="宋体"/>
          <w:color w:val="auto"/>
          <w:sz w:val="24"/>
          <w:highlight w:val="none"/>
        </w:rPr>
        <w:t>合同履行期限：合同签订之日起至2025年12月底。</w:t>
      </w:r>
    </w:p>
    <w:bookmarkEnd w:id="590"/>
    <w:p w14:paraId="2192B1EC">
      <w:pPr>
        <w:pStyle w:val="5"/>
        <w:keepNext w:val="0"/>
        <w:keepLines w:val="0"/>
        <w:spacing w:before="0" w:after="0" w:line="360" w:lineRule="auto"/>
        <w:rPr>
          <w:rFonts w:hint="eastAsia" w:ascii="宋体" w:hAnsi="宋体" w:cs="宋体"/>
          <w:color w:val="auto"/>
          <w:sz w:val="28"/>
          <w:szCs w:val="28"/>
          <w:highlight w:val="none"/>
        </w:rPr>
      </w:pPr>
      <w:bookmarkStart w:id="591" w:name="_Toc1413637362_WPSOffice_Level2"/>
      <w:r>
        <w:rPr>
          <w:rFonts w:hint="eastAsia" w:ascii="宋体" w:hAnsi="宋体" w:cs="宋体"/>
          <w:color w:val="auto"/>
          <w:sz w:val="28"/>
          <w:szCs w:val="28"/>
          <w:highlight w:val="none"/>
        </w:rPr>
        <w:t>★</w:t>
      </w:r>
      <w:bookmarkEnd w:id="591"/>
      <w:r>
        <w:rPr>
          <w:rFonts w:hint="eastAsia" w:ascii="宋体" w:hAnsi="宋体" w:cs="宋体"/>
          <w:color w:val="auto"/>
          <w:sz w:val="28"/>
          <w:szCs w:val="28"/>
          <w:highlight w:val="none"/>
        </w:rPr>
        <w:t>（二）项目实施地点</w:t>
      </w:r>
    </w:p>
    <w:p w14:paraId="7630172C">
      <w:pPr>
        <w:spacing w:line="360" w:lineRule="auto"/>
        <w:ind w:firstLine="480" w:firstLineChars="200"/>
        <w:rPr>
          <w:rFonts w:hint="eastAsia" w:ascii="宋体" w:hAnsi="宋体" w:cs="宋体"/>
          <w:color w:val="auto"/>
          <w:sz w:val="24"/>
          <w:highlight w:val="none"/>
        </w:rPr>
      </w:pPr>
      <w:bookmarkStart w:id="592" w:name="_Hlk78143848"/>
      <w:bookmarkStart w:id="593" w:name="_Toc1023279756_WPSOffice_Level2"/>
      <w:r>
        <w:rPr>
          <w:rFonts w:hint="eastAsia" w:ascii="宋体" w:hAnsi="宋体" w:cs="宋体"/>
          <w:color w:val="auto"/>
          <w:sz w:val="24"/>
          <w:highlight w:val="none"/>
        </w:rPr>
        <w:t>项目实施地点：</w:t>
      </w:r>
      <w:bookmarkStart w:id="594" w:name="_Hlk99447457"/>
      <w:r>
        <w:rPr>
          <w:rFonts w:hint="eastAsia" w:ascii="宋体" w:hAnsi="宋体" w:cs="宋体"/>
          <w:color w:val="auto"/>
          <w:sz w:val="24"/>
          <w:highlight w:val="none"/>
        </w:rPr>
        <w:t>北京市京密引水管理处怀柔水库管理所、李家史山管理所管段。</w:t>
      </w:r>
      <w:bookmarkEnd w:id="594"/>
    </w:p>
    <w:p w14:paraId="293EFAAA">
      <w:pPr>
        <w:pStyle w:val="5"/>
        <w:keepNext w:val="0"/>
        <w:keepLines w:val="0"/>
        <w:spacing w:before="0" w:after="0"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w:t>
      </w:r>
      <w:bookmarkEnd w:id="592"/>
      <w:bookmarkEnd w:id="593"/>
      <w:r>
        <w:rPr>
          <w:rFonts w:hint="eastAsia" w:ascii="宋体" w:hAnsi="宋体" w:cs="宋体"/>
          <w:color w:val="auto"/>
          <w:sz w:val="28"/>
          <w:szCs w:val="28"/>
          <w:highlight w:val="none"/>
        </w:rPr>
        <w:t>（三）合同价款支付</w:t>
      </w:r>
    </w:p>
    <w:p w14:paraId="119B205E">
      <w:pPr>
        <w:pStyle w:val="2"/>
        <w:spacing w:line="360" w:lineRule="auto"/>
        <w:ind w:firstLine="480"/>
        <w:rPr>
          <w:rFonts w:hint="eastAsia" w:ascii="宋体" w:hAnsi="宋体" w:cs="Arial"/>
          <w:color w:val="auto"/>
          <w:sz w:val="24"/>
          <w:highlight w:val="none"/>
        </w:rPr>
      </w:pPr>
      <w:r>
        <w:rPr>
          <w:rFonts w:hint="eastAsia" w:ascii="宋体" w:hAnsi="宋体" w:cs="Arial"/>
          <w:color w:val="auto"/>
          <w:sz w:val="24"/>
          <w:highlight w:val="none"/>
        </w:rPr>
        <w:t>（1）付款进度</w:t>
      </w:r>
    </w:p>
    <w:p w14:paraId="5DBE2C02">
      <w:pPr>
        <w:pStyle w:val="2"/>
        <w:spacing w:line="360" w:lineRule="auto"/>
        <w:ind w:firstLine="480"/>
        <w:rPr>
          <w:rFonts w:hint="eastAsia" w:ascii="宋体" w:hAnsi="宋体" w:cs="Arial"/>
          <w:color w:val="auto"/>
          <w:sz w:val="24"/>
          <w:highlight w:val="none"/>
        </w:rPr>
      </w:pPr>
      <w:r>
        <w:rPr>
          <w:rFonts w:hint="eastAsia" w:ascii="宋体" w:hAnsi="宋体" w:cs="Arial"/>
          <w:color w:val="auto"/>
          <w:sz w:val="24"/>
          <w:highlight w:val="none"/>
        </w:rPr>
        <w:t>1）预付款：合同生效后30个工作日内支付</w:t>
      </w:r>
      <w:bookmarkStart w:id="595" w:name="_Hlk121305878"/>
      <w:r>
        <w:rPr>
          <w:rFonts w:hint="eastAsia" w:ascii="宋体" w:hAnsi="宋体" w:cs="Arial"/>
          <w:color w:val="auto"/>
          <w:sz w:val="24"/>
          <w:highlight w:val="none"/>
          <w:lang w:eastAsia="zh-CN"/>
        </w:rPr>
        <w:t>，发包人向承包人支付签约合同价（不含安全文明施工费）的50%作为预付款</w:t>
      </w:r>
      <w:r>
        <w:rPr>
          <w:rFonts w:hint="eastAsia" w:ascii="宋体" w:hAnsi="宋体" w:cs="Arial"/>
          <w:color w:val="auto"/>
          <w:sz w:val="24"/>
          <w:highlight w:val="none"/>
        </w:rPr>
        <w:t>。</w:t>
      </w:r>
      <w:r>
        <w:rPr>
          <w:rFonts w:hint="eastAsia" w:ascii="宋体" w:hAnsi="宋体" w:cs="Arial"/>
          <w:color w:val="auto"/>
          <w:sz w:val="24"/>
          <w:highlight w:val="none"/>
          <w:lang w:val="zh-CN"/>
        </w:rPr>
        <w:t>预付款在后期支付时抵作进度款；安全文明施工费随预付款一次性</w:t>
      </w:r>
      <w:r>
        <w:rPr>
          <w:rFonts w:hint="eastAsia" w:ascii="宋体" w:hAnsi="宋体" w:cs="Arial"/>
          <w:color w:val="auto"/>
          <w:sz w:val="24"/>
          <w:highlight w:val="none"/>
          <w:lang w:val="en-US" w:eastAsia="zh-CN"/>
        </w:rPr>
        <w:t>全额</w:t>
      </w:r>
      <w:r>
        <w:rPr>
          <w:rFonts w:hint="eastAsia" w:ascii="宋体" w:hAnsi="宋体" w:cs="Arial"/>
          <w:color w:val="auto"/>
          <w:sz w:val="24"/>
          <w:highlight w:val="none"/>
          <w:lang w:val="zh-CN"/>
        </w:rPr>
        <w:t>支付。</w:t>
      </w:r>
      <w:bookmarkEnd w:id="595"/>
    </w:p>
    <w:p w14:paraId="31343CD2">
      <w:pPr>
        <w:pStyle w:val="2"/>
        <w:spacing w:line="360" w:lineRule="auto"/>
        <w:ind w:firstLine="480"/>
        <w:rPr>
          <w:rFonts w:hint="eastAsia" w:ascii="宋体" w:hAnsi="宋体" w:cs="Arial"/>
          <w:color w:val="auto"/>
          <w:sz w:val="24"/>
          <w:highlight w:val="none"/>
        </w:rPr>
      </w:pPr>
      <w:r>
        <w:rPr>
          <w:rFonts w:hint="eastAsia" w:ascii="宋体" w:hAnsi="宋体" w:cs="Arial"/>
          <w:color w:val="auto"/>
          <w:sz w:val="24"/>
          <w:highlight w:val="none"/>
        </w:rPr>
        <w:t>2）进度款：按照实际完成进度及财政支付要求支付。根据实际完成工作量，据实结算。</w:t>
      </w:r>
    </w:p>
    <w:p w14:paraId="03A371C0">
      <w:pPr>
        <w:widowControl/>
        <w:numPr>
          <w:ilvl w:val="255"/>
          <w:numId w:val="0"/>
        </w:numPr>
        <w:snapToGrid w:val="0"/>
        <w:spacing w:line="360" w:lineRule="auto"/>
        <w:ind w:firstLine="480" w:firstLineChars="200"/>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（2）付款方式：转账支票或汇款方式。</w:t>
      </w:r>
    </w:p>
    <w:p w14:paraId="6CC33B97">
      <w:pPr>
        <w:widowControl/>
        <w:numPr>
          <w:ilvl w:val="255"/>
          <w:numId w:val="0"/>
        </w:numPr>
        <w:snapToGrid w:val="0"/>
        <w:spacing w:line="360" w:lineRule="auto"/>
        <w:ind w:firstLine="480" w:firstLineChars="200"/>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（3）支付条件：每期支付时，供应商按照采购人要求开具合法合规的商业发票，采购人收到上述支付申请后15日内将款项支付给供应商。</w:t>
      </w:r>
    </w:p>
    <w:p w14:paraId="326CA6F7">
      <w:pPr>
        <w:pStyle w:val="2"/>
        <w:ind w:firstLine="0" w:firstLineChars="0"/>
        <w:rPr>
          <w:rFonts w:hint="eastAsia" w:ascii="宋体" w:hAnsi="宋体"/>
          <w:b/>
          <w:color w:val="auto"/>
          <w:sz w:val="36"/>
          <w:szCs w:val="36"/>
          <w:highlight w:val="none"/>
        </w:rPr>
      </w:pPr>
    </w:p>
    <w:p w14:paraId="71F46BFF">
      <w:pPr>
        <w:pStyle w:val="5"/>
        <w:keepNext w:val="0"/>
        <w:keepLines w:val="0"/>
        <w:spacing w:before="0" w:after="0" w:line="360" w:lineRule="auto"/>
        <w:rPr>
          <w:rFonts w:hint="eastAsia" w:ascii="宋体" w:hAnsi="宋体" w:cs="宋体"/>
          <w:b w:val="0"/>
          <w:color w:val="auto"/>
          <w:sz w:val="28"/>
          <w:szCs w:val="28"/>
          <w:highlight w:val="none"/>
        </w:rPr>
      </w:pPr>
      <w:bookmarkStart w:id="596" w:name="_Toc910260454_WPSOffice_Level2"/>
      <w:bookmarkStart w:id="597" w:name="_Hlk77069580"/>
      <w:r>
        <w:rPr>
          <w:rFonts w:hint="eastAsia" w:ascii="宋体" w:hAnsi="宋体" w:cs="宋体"/>
          <w:color w:val="auto"/>
          <w:sz w:val="28"/>
          <w:szCs w:val="28"/>
          <w:highlight w:val="none"/>
        </w:rPr>
        <w:t>★</w:t>
      </w:r>
      <w:bookmarkEnd w:id="596"/>
      <w:r>
        <w:rPr>
          <w:rFonts w:hint="eastAsia" w:ascii="宋体" w:hAnsi="宋体" w:cs="宋体"/>
          <w:color w:val="auto"/>
          <w:sz w:val="28"/>
          <w:szCs w:val="28"/>
          <w:highlight w:val="none"/>
        </w:rPr>
        <w:t>（四）售后服务</w:t>
      </w:r>
    </w:p>
    <w:bookmarkEnd w:id="597"/>
    <w:p w14:paraId="028982E9">
      <w:pPr>
        <w:widowControl/>
        <w:numPr>
          <w:ilvl w:val="255"/>
          <w:numId w:val="0"/>
        </w:numPr>
        <w:snapToGrid w:val="0"/>
        <w:spacing w:line="360" w:lineRule="auto"/>
        <w:ind w:firstLine="482" w:firstLineChars="200"/>
        <w:rPr>
          <w:rFonts w:hint="eastAsia" w:ascii="宋体" w:hAnsi="宋体" w:cs="仿宋_GB2312"/>
          <w:b/>
          <w:bCs/>
          <w:color w:val="auto"/>
          <w:sz w:val="24"/>
          <w:szCs w:val="28"/>
          <w:highlight w:val="none"/>
        </w:rPr>
      </w:pPr>
      <w:r>
        <w:rPr>
          <w:rFonts w:hint="eastAsia" w:ascii="宋体" w:hAnsi="宋体" w:cs="黑体"/>
          <w:b/>
          <w:bCs/>
          <w:color w:val="auto"/>
          <w:kern w:val="0"/>
          <w:sz w:val="24"/>
          <w:highlight w:val="none"/>
        </w:rPr>
        <w:t>1、</w:t>
      </w:r>
      <w:r>
        <w:rPr>
          <w:rFonts w:hint="eastAsia" w:ascii="宋体" w:hAnsi="宋体" w:cs="仿宋_GB2312"/>
          <w:b/>
          <w:bCs/>
          <w:color w:val="auto"/>
          <w:sz w:val="24"/>
          <w:szCs w:val="28"/>
          <w:highlight w:val="none"/>
        </w:rPr>
        <w:t>缺陷责任期（质量保修期）</w:t>
      </w:r>
    </w:p>
    <w:p w14:paraId="5351025E">
      <w:pPr>
        <w:widowControl/>
        <w:numPr>
          <w:ilvl w:val="255"/>
          <w:numId w:val="0"/>
        </w:numPr>
        <w:snapToGrid w:val="0"/>
        <w:spacing w:line="360" w:lineRule="auto"/>
        <w:ind w:firstLine="480" w:firstLineChars="200"/>
        <w:rPr>
          <w:rFonts w:hint="eastAsia" w:ascii="宋体" w:hAnsi="宋体" w:cs="仿宋_GB2312"/>
          <w:color w:val="auto"/>
          <w:sz w:val="24"/>
          <w:szCs w:val="28"/>
          <w:highlight w:val="none"/>
        </w:rPr>
      </w:pPr>
      <w:r>
        <w:rPr>
          <w:rFonts w:ascii="宋体" w:hAnsi="宋体" w:cs="仿宋_GB2312"/>
          <w:color w:val="auto"/>
          <w:sz w:val="24"/>
          <w:szCs w:val="28"/>
          <w:highlight w:val="none"/>
        </w:rPr>
        <w:t>本工程</w:t>
      </w:r>
      <w:r>
        <w:rPr>
          <w:rFonts w:hint="eastAsia" w:ascii="宋体" w:hAnsi="宋体" w:cs="仿宋_GB2312"/>
          <w:color w:val="auto"/>
          <w:sz w:val="24"/>
          <w:szCs w:val="28"/>
          <w:highlight w:val="none"/>
        </w:rPr>
        <w:t>缺陷责任期（质量保修期）</w:t>
      </w:r>
      <w:r>
        <w:rPr>
          <w:rFonts w:ascii="宋体" w:hAnsi="宋体" w:cs="仿宋_GB2312"/>
          <w:color w:val="auto"/>
          <w:sz w:val="24"/>
          <w:szCs w:val="28"/>
          <w:highlight w:val="none"/>
        </w:rPr>
        <w:t>：</w:t>
      </w:r>
      <w:r>
        <w:rPr>
          <w:rFonts w:hint="eastAsia" w:ascii="宋体" w:hAnsi="宋体" w:cs="仿宋_GB2312"/>
          <w:color w:val="auto"/>
          <w:sz w:val="24"/>
          <w:szCs w:val="28"/>
          <w:highlight w:val="none"/>
        </w:rPr>
        <w:t>自</w:t>
      </w:r>
      <w:r>
        <w:rPr>
          <w:rFonts w:ascii="宋体" w:hAnsi="宋体" w:cs="仿宋_GB2312"/>
          <w:color w:val="auto"/>
          <w:sz w:val="24"/>
          <w:szCs w:val="28"/>
          <w:highlight w:val="none"/>
        </w:rPr>
        <w:t>合同工程完工验收</w:t>
      </w:r>
      <w:r>
        <w:rPr>
          <w:rFonts w:hint="eastAsia" w:ascii="宋体" w:hAnsi="宋体" w:cs="仿宋_GB2312"/>
          <w:color w:val="auto"/>
          <w:sz w:val="24"/>
          <w:szCs w:val="28"/>
          <w:highlight w:val="none"/>
        </w:rPr>
        <w:t>合格之日起</w:t>
      </w:r>
      <w:r>
        <w:rPr>
          <w:rFonts w:ascii="宋体" w:hAnsi="宋体" w:cs="仿宋_GB2312"/>
          <w:color w:val="auto"/>
          <w:sz w:val="24"/>
          <w:szCs w:val="28"/>
          <w:highlight w:val="none"/>
        </w:rPr>
        <w:t>计算，时间为12个月。</w:t>
      </w:r>
    </w:p>
    <w:p w14:paraId="64D86961">
      <w:pPr>
        <w:autoSpaceDE w:val="0"/>
        <w:autoSpaceDN w:val="0"/>
        <w:spacing w:line="360" w:lineRule="auto"/>
        <w:ind w:firstLine="482" w:firstLineChars="200"/>
        <w:rPr>
          <w:rFonts w:hint="eastAsia" w:ascii="宋体" w:hAnsi="宋体" w:cs="黑体"/>
          <w:b/>
          <w:bCs/>
          <w:color w:val="auto"/>
          <w:kern w:val="0"/>
          <w:sz w:val="24"/>
          <w:highlight w:val="none"/>
        </w:rPr>
      </w:pPr>
      <w:r>
        <w:rPr>
          <w:rFonts w:hint="eastAsia" w:ascii="宋体" w:hAnsi="宋体" w:cs="黑体"/>
          <w:b/>
          <w:bCs/>
          <w:color w:val="auto"/>
          <w:kern w:val="0"/>
          <w:sz w:val="24"/>
          <w:highlight w:val="none"/>
        </w:rPr>
        <w:t>2、保修责任</w:t>
      </w:r>
    </w:p>
    <w:p w14:paraId="3410D02F">
      <w:pPr>
        <w:widowControl/>
        <w:numPr>
          <w:ilvl w:val="255"/>
          <w:numId w:val="0"/>
        </w:numPr>
        <w:snapToGrid w:val="0"/>
        <w:spacing w:line="360" w:lineRule="auto"/>
        <w:ind w:firstLine="480" w:firstLineChars="200"/>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质量保修范围：包括合同工程量清单包含的，以及合同履行过程中变更洽商确认的全部工程项目。</w:t>
      </w:r>
    </w:p>
    <w:p w14:paraId="2C3E2A31">
      <w:pPr>
        <w:widowControl/>
        <w:numPr>
          <w:ilvl w:val="255"/>
          <w:numId w:val="0"/>
        </w:numPr>
        <w:snapToGrid w:val="0"/>
        <w:spacing w:line="360" w:lineRule="auto"/>
        <w:ind w:firstLine="480" w:firstLineChars="200"/>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质量保修内容：（</w:t>
      </w:r>
      <w:r>
        <w:rPr>
          <w:rFonts w:ascii="宋体" w:hAnsi="宋体" w:cs="仿宋_GB2312"/>
          <w:color w:val="auto"/>
          <w:sz w:val="24"/>
          <w:szCs w:val="28"/>
          <w:highlight w:val="none"/>
        </w:rPr>
        <w:t>1</w:t>
      </w:r>
      <w:r>
        <w:rPr>
          <w:rFonts w:hint="eastAsia" w:ascii="宋体" w:hAnsi="宋体" w:cs="仿宋_GB2312"/>
          <w:color w:val="auto"/>
          <w:sz w:val="24"/>
          <w:szCs w:val="28"/>
          <w:highlight w:val="none"/>
        </w:rPr>
        <w:t>）维修内容包括但不限于质量保修期内发现的合同承包范围内的工程质量缺陷和设备运行故障；（</w:t>
      </w:r>
      <w:r>
        <w:rPr>
          <w:rFonts w:ascii="宋体" w:hAnsi="宋体" w:cs="仿宋_GB2312"/>
          <w:color w:val="auto"/>
          <w:sz w:val="24"/>
          <w:szCs w:val="28"/>
          <w:highlight w:val="none"/>
        </w:rPr>
        <w:t>2</w:t>
      </w:r>
      <w:r>
        <w:rPr>
          <w:rFonts w:hint="eastAsia" w:ascii="宋体" w:hAnsi="宋体" w:cs="仿宋_GB2312"/>
          <w:color w:val="auto"/>
          <w:sz w:val="24"/>
          <w:szCs w:val="28"/>
          <w:highlight w:val="none"/>
        </w:rPr>
        <w:t>）对质量缺陷和故障的排除须满足相关规程规范的验收标准和使用功能需求。</w:t>
      </w:r>
    </w:p>
    <w:p w14:paraId="166F5D52">
      <w:pPr>
        <w:autoSpaceDE w:val="0"/>
        <w:autoSpaceDN w:val="0"/>
        <w:spacing w:line="360" w:lineRule="auto"/>
        <w:ind w:firstLine="480" w:firstLineChars="200"/>
        <w:rPr>
          <w:rFonts w:hint="eastAsia" w:ascii="宋体" w:hAnsi="宋体" w:cs="黑体"/>
          <w:color w:val="auto"/>
          <w:kern w:val="0"/>
          <w:sz w:val="24"/>
          <w:highlight w:val="none"/>
        </w:rPr>
      </w:pPr>
      <w:r>
        <w:rPr>
          <w:rFonts w:hint="eastAsia" w:ascii="宋体" w:hAnsi="宋体" w:cs="仿宋_GB2312"/>
          <w:color w:val="auto"/>
          <w:sz w:val="24"/>
          <w:szCs w:val="28"/>
          <w:highlight w:val="none"/>
        </w:rPr>
        <w:t>质量保修责任：（</w:t>
      </w:r>
      <w:r>
        <w:rPr>
          <w:rFonts w:ascii="宋体" w:hAnsi="宋体" w:cs="仿宋_GB2312"/>
          <w:color w:val="auto"/>
          <w:sz w:val="24"/>
          <w:szCs w:val="28"/>
          <w:highlight w:val="none"/>
        </w:rPr>
        <w:t>1）属于保修范围、内容的项目，供应商应当在接到保修通知之日起7天内派人保修。供应商不在约定期限内派人保修的，采购人可以委托他人修理，发生的一切费用由供应商承担。（2）发生紧急事故需抢修的，供应商在接到事故通知后，应当立即到达事故现场抢修。（3）对于涉及结构安全的质量问题，应当按照《建设工程质量管理条例》的规定，立即向当地水行政主管部门和有关部门报告，采取安全防范措施，并由原设计人或者具有相应资质等级的设计人提出保修方案，供应商实施保修。</w:t>
      </w:r>
    </w:p>
    <w:p w14:paraId="4A2C1885">
      <w:pPr>
        <w:pStyle w:val="5"/>
        <w:keepNext w:val="0"/>
        <w:keepLines w:val="0"/>
        <w:spacing w:before="0" w:after="0" w:line="360" w:lineRule="auto"/>
        <w:rPr>
          <w:rFonts w:hint="eastAsia" w:ascii="宋体" w:hAnsi="宋体" w:cs="宋体"/>
          <w:color w:val="auto"/>
          <w:sz w:val="28"/>
          <w:szCs w:val="28"/>
          <w:highlight w:val="none"/>
        </w:rPr>
      </w:pPr>
      <w:bookmarkStart w:id="598" w:name="_Toc98338386"/>
      <w:bookmarkStart w:id="599" w:name="_Toc122704542"/>
      <w:bookmarkStart w:id="600" w:name="_Toc123911660"/>
      <w:bookmarkStart w:id="601" w:name="_Toc98432101"/>
      <w:bookmarkStart w:id="602" w:name="_Toc109049775"/>
      <w:r>
        <w:rPr>
          <w:rFonts w:hint="eastAsia" w:ascii="宋体" w:hAnsi="宋体" w:cs="宋体"/>
          <w:color w:val="auto"/>
          <w:sz w:val="28"/>
          <w:szCs w:val="28"/>
          <w:highlight w:val="none"/>
        </w:rPr>
        <w:t>★（五）保险</w:t>
      </w:r>
      <w:bookmarkEnd w:id="598"/>
      <w:bookmarkEnd w:id="599"/>
      <w:bookmarkEnd w:id="600"/>
      <w:bookmarkEnd w:id="601"/>
      <w:bookmarkEnd w:id="602"/>
    </w:p>
    <w:p w14:paraId="2C9E8C12">
      <w:pPr>
        <w:widowControl/>
        <w:numPr>
          <w:ilvl w:val="255"/>
          <w:numId w:val="0"/>
        </w:numPr>
        <w:snapToGrid w:val="0"/>
        <w:spacing w:line="360" w:lineRule="auto"/>
        <w:ind w:firstLine="480" w:firstLineChars="200"/>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供应商应承诺投保以下保险：</w:t>
      </w:r>
    </w:p>
    <w:p w14:paraId="363DD1F9">
      <w:pPr>
        <w:widowControl/>
        <w:numPr>
          <w:ilvl w:val="255"/>
          <w:numId w:val="0"/>
        </w:numPr>
        <w:snapToGrid w:val="0"/>
        <w:spacing w:line="360" w:lineRule="auto"/>
        <w:ind w:firstLine="482" w:firstLineChars="200"/>
        <w:rPr>
          <w:rFonts w:hint="eastAsia" w:ascii="宋体" w:hAnsi="宋体" w:cs="仿宋_GB2312"/>
          <w:b/>
          <w:bCs/>
          <w:color w:val="auto"/>
          <w:sz w:val="24"/>
          <w:szCs w:val="28"/>
          <w:highlight w:val="none"/>
        </w:rPr>
      </w:pPr>
      <w:r>
        <w:rPr>
          <w:rFonts w:hint="eastAsia" w:ascii="宋体" w:hAnsi="宋体" w:cs="仿宋_GB2312"/>
          <w:b/>
          <w:bCs/>
          <w:color w:val="auto"/>
          <w:sz w:val="24"/>
          <w:szCs w:val="28"/>
          <w:highlight w:val="none"/>
        </w:rPr>
        <w:t>1、工程保险</w:t>
      </w:r>
    </w:p>
    <w:p w14:paraId="1ED9BF46">
      <w:pPr>
        <w:widowControl/>
        <w:numPr>
          <w:ilvl w:val="255"/>
          <w:numId w:val="0"/>
        </w:numPr>
        <w:snapToGrid w:val="0"/>
        <w:spacing w:line="360" w:lineRule="auto"/>
        <w:ind w:firstLine="480" w:firstLineChars="200"/>
        <w:rPr>
          <w:rFonts w:hint="eastAsia" w:ascii="宋体" w:hAnsi="宋体" w:cs="仿宋_GB2312"/>
          <w:color w:val="auto"/>
          <w:sz w:val="24"/>
          <w:szCs w:val="28"/>
          <w:highlight w:val="none"/>
        </w:rPr>
      </w:pPr>
      <w:bookmarkStart w:id="603" w:name="_Hlk79484901"/>
      <w:r>
        <w:rPr>
          <w:rFonts w:hint="eastAsia" w:ascii="宋体" w:hAnsi="宋体" w:cs="仿宋_GB2312"/>
          <w:color w:val="auto"/>
          <w:sz w:val="24"/>
          <w:szCs w:val="28"/>
          <w:highlight w:val="none"/>
        </w:rPr>
        <w:t>供应商应以采购人和供应商的共同名义向双方同意的保险人投保建筑工程一切险或安装工程一切险</w:t>
      </w:r>
      <w:bookmarkEnd w:id="603"/>
      <w:r>
        <w:rPr>
          <w:rFonts w:hint="eastAsia" w:ascii="宋体" w:hAnsi="宋体" w:cs="仿宋_GB2312"/>
          <w:color w:val="auto"/>
          <w:sz w:val="24"/>
          <w:szCs w:val="28"/>
          <w:highlight w:val="none"/>
        </w:rPr>
        <w:t>。</w:t>
      </w:r>
    </w:p>
    <w:p w14:paraId="433D0BC5">
      <w:pPr>
        <w:widowControl/>
        <w:numPr>
          <w:ilvl w:val="255"/>
          <w:numId w:val="0"/>
        </w:numPr>
        <w:snapToGrid w:val="0"/>
        <w:spacing w:line="360" w:lineRule="auto"/>
        <w:ind w:firstLine="480" w:firstLineChars="200"/>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（1）投保内容：合同工程项目在建造过程中因自然灾害或意外事故而引起的一切损失。</w:t>
      </w:r>
    </w:p>
    <w:p w14:paraId="1B30A2C0">
      <w:pPr>
        <w:widowControl/>
        <w:numPr>
          <w:ilvl w:val="255"/>
          <w:numId w:val="0"/>
        </w:numPr>
        <w:snapToGrid w:val="0"/>
        <w:spacing w:line="360" w:lineRule="auto"/>
        <w:ind w:firstLine="480" w:firstLineChars="200"/>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（2）保险金额：应不低于：</w:t>
      </w:r>
    </w:p>
    <w:p w14:paraId="2684CD0A">
      <w:pPr>
        <w:widowControl/>
        <w:numPr>
          <w:ilvl w:val="255"/>
          <w:numId w:val="0"/>
        </w:numPr>
        <w:snapToGrid w:val="0"/>
        <w:spacing w:line="360" w:lineRule="auto"/>
        <w:ind w:firstLine="480" w:firstLineChars="200"/>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1）建筑工程——保险工程建筑完成时的总价值，包括原材料费用、设备费用、建造费、安装费、运输和保险费、关税、其他税项和费用，以及由工程所有人提供的原材料和设备的费用；</w:t>
      </w:r>
    </w:p>
    <w:p w14:paraId="5F894F75">
      <w:pPr>
        <w:widowControl/>
        <w:numPr>
          <w:ilvl w:val="255"/>
          <w:numId w:val="0"/>
        </w:numPr>
        <w:snapToGrid w:val="0"/>
        <w:spacing w:line="360" w:lineRule="auto"/>
        <w:ind w:firstLine="480" w:firstLineChars="200"/>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2）施工用机器、装置和机械设备——重置同型号、同负载的新机器、装置和机械设备所需的费用；</w:t>
      </w:r>
    </w:p>
    <w:p w14:paraId="18C21408">
      <w:pPr>
        <w:widowControl/>
        <w:numPr>
          <w:ilvl w:val="255"/>
          <w:numId w:val="0"/>
        </w:numPr>
        <w:snapToGrid w:val="0"/>
        <w:spacing w:line="360" w:lineRule="auto"/>
        <w:ind w:firstLine="480" w:firstLineChars="200"/>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3）其他保险项目——由被保险人与保险人商定的金额。</w:t>
      </w:r>
    </w:p>
    <w:p w14:paraId="6D284622">
      <w:pPr>
        <w:widowControl/>
        <w:numPr>
          <w:ilvl w:val="255"/>
          <w:numId w:val="0"/>
        </w:numPr>
        <w:snapToGrid w:val="0"/>
        <w:spacing w:line="360" w:lineRule="auto"/>
        <w:ind w:firstLine="480" w:firstLineChars="200"/>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（3）保险费率：按国家现行规定和保险合同约定费率。</w:t>
      </w:r>
    </w:p>
    <w:p w14:paraId="5B4E1405">
      <w:pPr>
        <w:widowControl/>
        <w:numPr>
          <w:ilvl w:val="255"/>
          <w:numId w:val="0"/>
        </w:numPr>
        <w:snapToGrid w:val="0"/>
        <w:spacing w:line="360" w:lineRule="auto"/>
        <w:ind w:firstLine="480" w:firstLineChars="200"/>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（4）保险期限：自工程开工至完工验收合格，具体按照保险人出具保单中约定为准。</w:t>
      </w:r>
    </w:p>
    <w:p w14:paraId="4E7CC1D6">
      <w:pPr>
        <w:widowControl/>
        <w:numPr>
          <w:ilvl w:val="255"/>
          <w:numId w:val="0"/>
        </w:numPr>
        <w:snapToGrid w:val="0"/>
        <w:spacing w:line="360" w:lineRule="auto"/>
        <w:ind w:firstLine="482" w:firstLineChars="200"/>
        <w:rPr>
          <w:rFonts w:hint="eastAsia" w:ascii="宋体" w:hAnsi="宋体" w:cs="仿宋_GB2312"/>
          <w:b/>
          <w:bCs/>
          <w:color w:val="auto"/>
          <w:sz w:val="24"/>
          <w:szCs w:val="28"/>
          <w:highlight w:val="none"/>
        </w:rPr>
      </w:pPr>
      <w:r>
        <w:rPr>
          <w:rFonts w:hint="eastAsia" w:ascii="宋体" w:hAnsi="宋体" w:cs="仿宋_GB2312"/>
          <w:b/>
          <w:bCs/>
          <w:color w:val="auto"/>
          <w:sz w:val="24"/>
          <w:szCs w:val="28"/>
          <w:highlight w:val="none"/>
        </w:rPr>
        <w:t>2、工伤事故保险</w:t>
      </w:r>
    </w:p>
    <w:p w14:paraId="5FEA208A">
      <w:pPr>
        <w:widowControl/>
        <w:numPr>
          <w:ilvl w:val="255"/>
          <w:numId w:val="0"/>
        </w:numPr>
        <w:snapToGrid w:val="0"/>
        <w:spacing w:line="360" w:lineRule="auto"/>
        <w:ind w:firstLine="480" w:firstLineChars="200"/>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供应商应依照有关法律规定参加工伤保险，为其履行合同所雇佣的全部人员，缴纳工伤保险费。</w:t>
      </w:r>
    </w:p>
    <w:p w14:paraId="394392BB">
      <w:pPr>
        <w:widowControl/>
        <w:numPr>
          <w:ilvl w:val="255"/>
          <w:numId w:val="0"/>
        </w:numPr>
        <w:snapToGrid w:val="0"/>
        <w:spacing w:line="360" w:lineRule="auto"/>
        <w:ind w:firstLine="482" w:firstLineChars="200"/>
        <w:rPr>
          <w:rFonts w:hint="eastAsia" w:ascii="宋体" w:hAnsi="宋体" w:cs="仿宋_GB2312"/>
          <w:b/>
          <w:bCs/>
          <w:color w:val="auto"/>
          <w:sz w:val="24"/>
          <w:szCs w:val="28"/>
          <w:highlight w:val="none"/>
        </w:rPr>
      </w:pPr>
      <w:r>
        <w:rPr>
          <w:rFonts w:hint="eastAsia" w:ascii="宋体" w:hAnsi="宋体" w:cs="仿宋_GB2312"/>
          <w:b/>
          <w:bCs/>
          <w:color w:val="auto"/>
          <w:sz w:val="24"/>
          <w:szCs w:val="28"/>
          <w:highlight w:val="none"/>
        </w:rPr>
        <w:t>3、人身意外伤害险</w:t>
      </w:r>
    </w:p>
    <w:p w14:paraId="30771B4F">
      <w:pPr>
        <w:widowControl/>
        <w:numPr>
          <w:ilvl w:val="255"/>
          <w:numId w:val="0"/>
        </w:numPr>
        <w:snapToGrid w:val="0"/>
        <w:spacing w:line="360" w:lineRule="auto"/>
        <w:ind w:firstLine="480" w:firstLineChars="200"/>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供应商应在整个施工期间为其现场机构雇用的全部人员，投保人身意外伤害险，缴纳保险费。</w:t>
      </w:r>
    </w:p>
    <w:p w14:paraId="1843CC04">
      <w:pPr>
        <w:widowControl/>
        <w:numPr>
          <w:ilvl w:val="255"/>
          <w:numId w:val="0"/>
        </w:numPr>
        <w:snapToGrid w:val="0"/>
        <w:spacing w:line="360" w:lineRule="auto"/>
        <w:ind w:firstLine="482" w:firstLineChars="200"/>
        <w:rPr>
          <w:rFonts w:hint="eastAsia" w:ascii="宋体" w:hAnsi="宋体" w:cs="仿宋_GB2312"/>
          <w:b/>
          <w:bCs/>
          <w:color w:val="auto"/>
          <w:sz w:val="24"/>
          <w:szCs w:val="28"/>
          <w:highlight w:val="none"/>
        </w:rPr>
      </w:pPr>
      <w:r>
        <w:rPr>
          <w:rFonts w:hint="eastAsia" w:ascii="宋体" w:hAnsi="宋体" w:cs="仿宋_GB2312"/>
          <w:b/>
          <w:bCs/>
          <w:color w:val="auto"/>
          <w:sz w:val="24"/>
          <w:szCs w:val="28"/>
          <w:highlight w:val="none"/>
        </w:rPr>
        <w:t>4、第三者责任险</w:t>
      </w:r>
    </w:p>
    <w:p w14:paraId="0887AE4C">
      <w:pPr>
        <w:widowControl/>
        <w:numPr>
          <w:ilvl w:val="255"/>
          <w:numId w:val="0"/>
        </w:numPr>
        <w:snapToGrid w:val="0"/>
        <w:spacing w:line="360" w:lineRule="auto"/>
        <w:ind w:firstLine="480" w:firstLineChars="200"/>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在工程质量保修责任终止证书颁发前，供应商应以供应商和采购人的共同名义，投保第三者责任险。</w:t>
      </w:r>
    </w:p>
    <w:p w14:paraId="2D1C0EAC">
      <w:pPr>
        <w:widowControl/>
        <w:numPr>
          <w:ilvl w:val="255"/>
          <w:numId w:val="0"/>
        </w:numPr>
        <w:snapToGrid w:val="0"/>
        <w:spacing w:line="360" w:lineRule="auto"/>
        <w:ind w:firstLine="480" w:firstLineChars="200"/>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（1）保险费率：</w:t>
      </w:r>
      <w:bookmarkStart w:id="604" w:name="_Hlk79485033"/>
      <w:r>
        <w:rPr>
          <w:rFonts w:hint="eastAsia" w:ascii="宋体" w:hAnsi="宋体" w:cs="仿宋_GB2312"/>
          <w:color w:val="auto"/>
          <w:sz w:val="24"/>
          <w:szCs w:val="28"/>
          <w:highlight w:val="none"/>
        </w:rPr>
        <w:t>按国家现行规定和保险合同约定费率</w:t>
      </w:r>
      <w:bookmarkEnd w:id="604"/>
      <w:r>
        <w:rPr>
          <w:rFonts w:hint="eastAsia" w:ascii="宋体" w:hAnsi="宋体" w:cs="仿宋_GB2312"/>
          <w:color w:val="auto"/>
          <w:sz w:val="24"/>
          <w:szCs w:val="28"/>
          <w:highlight w:val="none"/>
        </w:rPr>
        <w:t>。</w:t>
      </w:r>
    </w:p>
    <w:p w14:paraId="1311DA82">
      <w:pPr>
        <w:widowControl/>
        <w:numPr>
          <w:ilvl w:val="255"/>
          <w:numId w:val="0"/>
        </w:numPr>
        <w:snapToGrid w:val="0"/>
        <w:spacing w:line="360" w:lineRule="auto"/>
        <w:ind w:firstLine="480" w:firstLineChars="200"/>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（2）保险金额：</w:t>
      </w:r>
      <w:bookmarkStart w:id="605" w:name="_Hlk79485050"/>
      <w:r>
        <w:rPr>
          <w:rFonts w:hint="eastAsia" w:ascii="宋体" w:hAnsi="宋体" w:cs="仿宋_GB2312"/>
          <w:color w:val="auto"/>
          <w:sz w:val="24"/>
          <w:szCs w:val="28"/>
          <w:highlight w:val="none"/>
        </w:rPr>
        <w:t>应不低于签约合同总价</w:t>
      </w:r>
      <w:bookmarkEnd w:id="605"/>
      <w:r>
        <w:rPr>
          <w:rFonts w:hint="eastAsia" w:ascii="宋体" w:hAnsi="宋体" w:cs="仿宋_GB2312"/>
          <w:color w:val="auto"/>
          <w:sz w:val="24"/>
          <w:szCs w:val="28"/>
          <w:highlight w:val="none"/>
        </w:rPr>
        <w:t>。</w:t>
      </w:r>
    </w:p>
    <w:p w14:paraId="6BEEB930">
      <w:pPr>
        <w:widowControl/>
        <w:numPr>
          <w:ilvl w:val="255"/>
          <w:numId w:val="0"/>
        </w:numPr>
        <w:snapToGrid w:val="0"/>
        <w:spacing w:line="360" w:lineRule="auto"/>
        <w:ind w:firstLine="482" w:firstLineChars="200"/>
        <w:rPr>
          <w:rFonts w:hint="eastAsia" w:ascii="宋体" w:hAnsi="宋体" w:cs="仿宋_GB2312"/>
          <w:b/>
          <w:bCs/>
          <w:color w:val="auto"/>
          <w:sz w:val="24"/>
          <w:szCs w:val="28"/>
          <w:highlight w:val="none"/>
        </w:rPr>
      </w:pPr>
      <w:r>
        <w:rPr>
          <w:rFonts w:hint="eastAsia" w:ascii="宋体" w:hAnsi="宋体" w:cs="仿宋_GB2312"/>
          <w:b/>
          <w:bCs/>
          <w:color w:val="auto"/>
          <w:sz w:val="24"/>
          <w:szCs w:val="28"/>
          <w:highlight w:val="none"/>
        </w:rPr>
        <w:t>5、安全生产责任保险</w:t>
      </w:r>
    </w:p>
    <w:p w14:paraId="6FD5D301">
      <w:pPr>
        <w:numPr>
          <w:ilvl w:val="255"/>
          <w:numId w:val="0"/>
        </w:numPr>
        <w:snapToGrid w:val="0"/>
        <w:spacing w:line="360" w:lineRule="auto"/>
        <w:ind w:firstLine="480" w:firstLineChars="200"/>
        <w:rPr>
          <w:rFonts w:hint="eastAsia" w:ascii="宋体" w:hAnsi="宋体" w:cs="仿宋_GB2312"/>
          <w:color w:val="auto"/>
          <w:sz w:val="24"/>
          <w:szCs w:val="28"/>
          <w:highlight w:val="none"/>
        </w:rPr>
      </w:pPr>
      <w:r>
        <w:rPr>
          <w:rFonts w:hint="eastAsia" w:ascii="宋体" w:hAnsi="宋体" w:cs="仿宋_GB2312"/>
          <w:color w:val="auto"/>
          <w:sz w:val="24"/>
          <w:szCs w:val="28"/>
          <w:highlight w:val="none"/>
        </w:rPr>
        <w:t>承包人除应为其施工设备、进场的材料和工程设备等办理保险外，还应按《中华人民共和国安全生产法》相关要求投保“安全生产责任保险”（简称：安责险）。</w:t>
      </w:r>
    </w:p>
    <w:p w14:paraId="15E70649">
      <w:pPr>
        <w:pStyle w:val="5"/>
        <w:keepNext w:val="0"/>
        <w:keepLines w:val="0"/>
        <w:spacing w:before="0" w:after="0" w:line="360" w:lineRule="auto"/>
        <w:rPr>
          <w:rFonts w:hint="eastAsia" w:ascii="宋体" w:hAnsi="宋体" w:cs="宋体"/>
          <w:color w:val="auto"/>
          <w:sz w:val="28"/>
          <w:szCs w:val="28"/>
          <w:highlight w:val="none"/>
        </w:rPr>
      </w:pPr>
      <w:bookmarkStart w:id="606" w:name="_Toc123911661"/>
      <w:bookmarkStart w:id="607" w:name="_Toc109049776"/>
      <w:bookmarkStart w:id="608" w:name="_Toc122704543"/>
      <w:bookmarkStart w:id="609" w:name="_Toc98432102"/>
      <w:bookmarkStart w:id="610" w:name="_Toc98338387"/>
      <w:r>
        <w:rPr>
          <w:rFonts w:hint="eastAsia" w:ascii="宋体" w:hAnsi="宋体" w:cs="宋体"/>
          <w:color w:val="auto"/>
          <w:sz w:val="28"/>
          <w:szCs w:val="28"/>
          <w:highlight w:val="none"/>
        </w:rPr>
        <w:t>★（六）保障农民工合法权益</w:t>
      </w:r>
      <w:bookmarkEnd w:id="606"/>
      <w:bookmarkEnd w:id="607"/>
      <w:bookmarkEnd w:id="608"/>
      <w:bookmarkEnd w:id="609"/>
      <w:bookmarkEnd w:id="610"/>
    </w:p>
    <w:p w14:paraId="707C1516">
      <w:pPr>
        <w:numPr>
          <w:ilvl w:val="255"/>
          <w:numId w:val="0"/>
        </w:numPr>
        <w:snapToGrid w:val="0"/>
        <w:spacing w:line="360" w:lineRule="auto"/>
        <w:ind w:firstLine="480" w:firstLineChars="200"/>
        <w:rPr>
          <w:rFonts w:hint="eastAsia" w:ascii="宋体" w:hAnsi="宋体" w:cs="仿宋_GB2312"/>
          <w:color w:val="auto"/>
          <w:sz w:val="24"/>
          <w:szCs w:val="28"/>
          <w:highlight w:val="none"/>
        </w:rPr>
        <w:sectPr>
          <w:pgSz w:w="11906" w:h="16838"/>
          <w:pgMar w:top="1418" w:right="1418" w:bottom="1418" w:left="1418" w:header="851" w:footer="992" w:gutter="0"/>
          <w:cols w:space="0" w:num="1"/>
          <w:docGrid w:linePitch="312" w:charSpace="0"/>
        </w:sectPr>
      </w:pPr>
      <w:r>
        <w:rPr>
          <w:rFonts w:hint="eastAsia" w:ascii="宋体" w:hAnsi="宋体" w:cs="仿宋_GB2312"/>
          <w:color w:val="auto"/>
          <w:sz w:val="24"/>
          <w:szCs w:val="28"/>
          <w:highlight w:val="none"/>
        </w:rPr>
        <w:t>供应商应认真贯彻落实国家、行业和北京市</w:t>
      </w:r>
      <w:bookmarkStart w:id="611" w:name="_Hlk79480528"/>
      <w:r>
        <w:rPr>
          <w:rFonts w:hint="eastAsia" w:ascii="宋体" w:hAnsi="宋体" w:cs="仿宋_GB2312"/>
          <w:color w:val="auto"/>
          <w:sz w:val="24"/>
          <w:szCs w:val="28"/>
          <w:highlight w:val="none"/>
        </w:rPr>
        <w:t>《关于印发北京市工程建设领域保障农民工工资支付工作管理办法的通知》（京人社监发[2021]12号）</w:t>
      </w:r>
      <w:bookmarkEnd w:id="611"/>
      <w:r>
        <w:rPr>
          <w:rFonts w:hint="eastAsia" w:ascii="宋体" w:hAnsi="宋体" w:cs="仿宋_GB2312"/>
          <w:color w:val="auto"/>
          <w:sz w:val="24"/>
          <w:szCs w:val="28"/>
          <w:highlight w:val="none"/>
        </w:rPr>
        <w:t>有关规定，严格保障农民工合法权益，不拖欠农民工工资。</w:t>
      </w:r>
    </w:p>
    <w:p w14:paraId="13756E3D">
      <w:pPr>
        <w:pStyle w:val="2"/>
        <w:ind w:firstLine="723"/>
        <w:rPr>
          <w:rFonts w:hint="eastAsia" w:ascii="宋体" w:hAnsi="宋体"/>
          <w:b/>
          <w:color w:val="auto"/>
          <w:sz w:val="36"/>
          <w:szCs w:val="36"/>
          <w:highlight w:val="none"/>
        </w:rPr>
      </w:pPr>
    </w:p>
    <w:p w14:paraId="145829E9">
      <w:pPr>
        <w:pStyle w:val="2"/>
        <w:ind w:firstLine="723"/>
        <w:rPr>
          <w:rFonts w:hint="eastAsia" w:ascii="宋体" w:hAnsi="宋体"/>
          <w:b/>
          <w:color w:val="auto"/>
          <w:sz w:val="36"/>
          <w:szCs w:val="36"/>
          <w:highlight w:val="none"/>
        </w:rPr>
      </w:pPr>
    </w:p>
    <w:p w14:paraId="3EE1E679">
      <w:pPr>
        <w:pStyle w:val="2"/>
        <w:ind w:firstLine="723"/>
        <w:rPr>
          <w:rFonts w:hint="eastAsia" w:ascii="宋体" w:hAnsi="宋体"/>
          <w:b/>
          <w:color w:val="auto"/>
          <w:sz w:val="36"/>
          <w:szCs w:val="36"/>
          <w:highlight w:val="none"/>
        </w:rPr>
      </w:pPr>
    </w:p>
    <w:p w14:paraId="772056F2">
      <w:pPr>
        <w:pStyle w:val="2"/>
        <w:ind w:firstLine="723"/>
        <w:rPr>
          <w:rFonts w:hint="eastAsia" w:ascii="宋体" w:hAnsi="宋体"/>
          <w:b/>
          <w:color w:val="auto"/>
          <w:sz w:val="36"/>
          <w:szCs w:val="36"/>
          <w:highlight w:val="none"/>
        </w:rPr>
      </w:pPr>
    </w:p>
    <w:p w14:paraId="6A438B5E">
      <w:pPr>
        <w:pStyle w:val="2"/>
        <w:ind w:firstLine="723"/>
        <w:rPr>
          <w:rFonts w:hint="eastAsia" w:ascii="宋体" w:hAnsi="宋体"/>
          <w:b/>
          <w:color w:val="auto"/>
          <w:sz w:val="36"/>
          <w:szCs w:val="36"/>
          <w:highlight w:val="none"/>
        </w:rPr>
      </w:pPr>
    </w:p>
    <w:p w14:paraId="6473D8A8">
      <w:pPr>
        <w:pStyle w:val="2"/>
        <w:ind w:firstLine="723"/>
        <w:rPr>
          <w:rFonts w:hint="eastAsia" w:ascii="宋体" w:hAnsi="宋体"/>
          <w:b/>
          <w:color w:val="auto"/>
          <w:sz w:val="36"/>
          <w:szCs w:val="36"/>
          <w:highlight w:val="none"/>
        </w:rPr>
      </w:pPr>
    </w:p>
    <w:p w14:paraId="367C8FB4">
      <w:pPr>
        <w:pStyle w:val="2"/>
        <w:ind w:firstLine="723"/>
        <w:rPr>
          <w:rFonts w:hint="eastAsia" w:ascii="宋体" w:hAnsi="宋体"/>
          <w:b/>
          <w:color w:val="auto"/>
          <w:sz w:val="36"/>
          <w:szCs w:val="36"/>
          <w:highlight w:val="none"/>
        </w:rPr>
      </w:pPr>
    </w:p>
    <w:p w14:paraId="267EB1A2">
      <w:pPr>
        <w:pStyle w:val="2"/>
        <w:ind w:firstLine="723"/>
        <w:rPr>
          <w:rFonts w:hint="eastAsia" w:ascii="宋体" w:hAnsi="宋体"/>
          <w:b/>
          <w:color w:val="auto"/>
          <w:sz w:val="36"/>
          <w:szCs w:val="36"/>
          <w:highlight w:val="none"/>
        </w:rPr>
      </w:pPr>
    </w:p>
    <w:p w14:paraId="7EA6FA81">
      <w:pPr>
        <w:pStyle w:val="2"/>
        <w:ind w:firstLine="723"/>
        <w:rPr>
          <w:rFonts w:hint="eastAsia" w:ascii="宋体" w:hAnsi="宋体"/>
          <w:b/>
          <w:color w:val="auto"/>
          <w:sz w:val="36"/>
          <w:szCs w:val="36"/>
          <w:highlight w:val="none"/>
        </w:rPr>
      </w:pPr>
    </w:p>
    <w:p w14:paraId="4F02D7CD">
      <w:pPr>
        <w:pStyle w:val="2"/>
        <w:ind w:firstLine="723"/>
        <w:rPr>
          <w:rFonts w:hint="eastAsia" w:ascii="宋体" w:hAnsi="宋体"/>
          <w:b/>
          <w:color w:val="auto"/>
          <w:sz w:val="36"/>
          <w:szCs w:val="36"/>
          <w:highlight w:val="none"/>
        </w:rPr>
      </w:pPr>
    </w:p>
    <w:p w14:paraId="66CE3280">
      <w:pPr>
        <w:pStyle w:val="2"/>
        <w:ind w:firstLine="723"/>
        <w:rPr>
          <w:rFonts w:hint="eastAsia" w:ascii="宋体" w:hAnsi="宋体"/>
          <w:b/>
          <w:color w:val="auto"/>
          <w:sz w:val="36"/>
          <w:szCs w:val="36"/>
          <w:highlight w:val="none"/>
        </w:rPr>
      </w:pPr>
    </w:p>
    <w:p w14:paraId="72D810C3">
      <w:pPr>
        <w:pStyle w:val="2"/>
        <w:ind w:firstLine="723"/>
        <w:rPr>
          <w:rFonts w:hint="eastAsia" w:ascii="宋体" w:hAnsi="宋体"/>
          <w:b/>
          <w:color w:val="auto"/>
          <w:sz w:val="36"/>
          <w:szCs w:val="36"/>
          <w:highlight w:val="none"/>
        </w:rPr>
      </w:pPr>
    </w:p>
    <w:p w14:paraId="5264B02E">
      <w:pPr>
        <w:pStyle w:val="2"/>
        <w:ind w:firstLine="723"/>
        <w:rPr>
          <w:rFonts w:hint="eastAsia" w:ascii="宋体" w:hAnsi="宋体"/>
          <w:b/>
          <w:color w:val="auto"/>
          <w:sz w:val="36"/>
          <w:szCs w:val="36"/>
          <w:highlight w:val="none"/>
        </w:rPr>
      </w:pPr>
    </w:p>
    <w:p w14:paraId="69220035">
      <w:pPr>
        <w:pStyle w:val="2"/>
        <w:ind w:firstLine="723"/>
        <w:rPr>
          <w:rFonts w:hint="eastAsia" w:ascii="宋体" w:hAnsi="宋体"/>
          <w:b/>
          <w:color w:val="auto"/>
          <w:sz w:val="36"/>
          <w:szCs w:val="36"/>
          <w:highlight w:val="none"/>
        </w:rPr>
      </w:pPr>
    </w:p>
    <w:p w14:paraId="3CD2E865">
      <w:pPr>
        <w:spacing w:line="360" w:lineRule="auto"/>
        <w:jc w:val="center"/>
        <w:outlineLvl w:val="0"/>
        <w:rPr>
          <w:rFonts w:hint="eastAsia" w:ascii="宋体" w:hAnsi="宋体"/>
          <w:b/>
          <w:color w:val="auto"/>
          <w:sz w:val="36"/>
          <w:szCs w:val="36"/>
          <w:highlight w:val="none"/>
        </w:rPr>
      </w:pPr>
      <w:bookmarkStart w:id="612" w:name="_Toc24690"/>
      <w:r>
        <w:rPr>
          <w:rFonts w:ascii="宋体" w:hAnsi="宋体"/>
          <w:b/>
          <w:color w:val="auto"/>
          <w:sz w:val="36"/>
          <w:szCs w:val="36"/>
          <w:highlight w:val="none"/>
        </w:rPr>
        <w:t>第</w:t>
      </w:r>
      <w:r>
        <w:rPr>
          <w:rFonts w:hint="eastAsia" w:ascii="宋体" w:hAnsi="宋体"/>
          <w:b/>
          <w:color w:val="auto"/>
          <w:sz w:val="36"/>
          <w:szCs w:val="36"/>
          <w:highlight w:val="none"/>
        </w:rPr>
        <w:t>五</w:t>
      </w:r>
      <w:r>
        <w:rPr>
          <w:rFonts w:ascii="宋体" w:hAnsi="宋体"/>
          <w:b/>
          <w:color w:val="auto"/>
          <w:sz w:val="36"/>
          <w:szCs w:val="36"/>
          <w:highlight w:val="none"/>
        </w:rPr>
        <w:t>章   合同草案条款</w:t>
      </w:r>
      <w:bookmarkEnd w:id="612"/>
    </w:p>
    <w:p w14:paraId="7DBE3CF9">
      <w:pPr>
        <w:spacing w:before="78" w:line="360" w:lineRule="auto"/>
        <w:ind w:left="12"/>
        <w:rPr>
          <w:rFonts w:hint="eastAsia" w:ascii="宋体" w:hAnsi="宋体" w:cs="宋体"/>
          <w:color w:val="auto"/>
          <w:sz w:val="24"/>
          <w:highlight w:val="none"/>
        </w:rPr>
      </w:pPr>
    </w:p>
    <w:p w14:paraId="29BF5729">
      <w:pPr>
        <w:pStyle w:val="2"/>
        <w:ind w:firstLine="480"/>
        <w:rPr>
          <w:color w:val="auto"/>
          <w:highlight w:val="none"/>
        </w:rPr>
      </w:pPr>
      <w:r>
        <w:rPr>
          <w:rFonts w:ascii="宋体" w:hAnsi="宋体" w:cs="宋体"/>
          <w:color w:val="auto"/>
          <w:sz w:val="24"/>
          <w:highlight w:val="none"/>
        </w:rPr>
        <w:br w:type="page"/>
      </w:r>
      <w:bookmarkStart w:id="613" w:name="_Toc26145"/>
      <w:bookmarkStart w:id="614" w:name="_Toc18428"/>
    </w:p>
    <w:p w14:paraId="057263F4">
      <w:pPr>
        <w:pStyle w:val="2"/>
        <w:rPr>
          <w:color w:val="auto"/>
          <w:highlight w:val="none"/>
        </w:rPr>
      </w:pPr>
    </w:p>
    <w:p w14:paraId="6028350E">
      <w:pPr>
        <w:adjustRightInd w:val="0"/>
        <w:spacing w:line="360" w:lineRule="auto"/>
        <w:jc w:val="center"/>
        <w:textAlignment w:val="baseline"/>
        <w:rPr>
          <w:rFonts w:hint="eastAsia" w:ascii="宋体" w:hAnsi="宋体"/>
          <w:b/>
          <w:bCs/>
          <w:color w:val="auto"/>
          <w:sz w:val="52"/>
          <w:szCs w:val="52"/>
          <w:highlight w:val="none"/>
        </w:rPr>
      </w:pPr>
      <w:r>
        <w:rPr>
          <w:rFonts w:hint="eastAsia" w:ascii="宋体" w:hAnsi="宋体"/>
          <w:b/>
          <w:bCs/>
          <w:color w:val="auto"/>
          <w:sz w:val="52"/>
          <w:szCs w:val="52"/>
          <w:highlight w:val="none"/>
        </w:rPr>
        <w:t>水利工程日常维修养护经费（中央）—</w:t>
      </w:r>
    </w:p>
    <w:p w14:paraId="7EB59E5E">
      <w:pPr>
        <w:spacing w:line="360" w:lineRule="auto"/>
        <w:jc w:val="center"/>
        <w:rPr>
          <w:rFonts w:hint="eastAsia" w:ascii="宋体" w:hAnsi="宋体"/>
          <w:b/>
          <w:bCs/>
          <w:color w:val="auto"/>
          <w:sz w:val="52"/>
          <w:szCs w:val="52"/>
          <w:highlight w:val="none"/>
        </w:rPr>
      </w:pPr>
      <w:r>
        <w:rPr>
          <w:rFonts w:hint="eastAsia" w:ascii="宋体" w:hAnsi="宋体"/>
          <w:b/>
          <w:bCs/>
          <w:color w:val="auto"/>
          <w:sz w:val="52"/>
          <w:szCs w:val="52"/>
          <w:highlight w:val="none"/>
        </w:rPr>
        <w:t>2024年度水工建筑物维修养护工程</w:t>
      </w:r>
    </w:p>
    <w:p w14:paraId="6EE8F8C5">
      <w:pPr>
        <w:adjustRightInd w:val="0"/>
        <w:ind w:firstLine="1084" w:firstLineChars="300"/>
        <w:textAlignment w:val="baseline"/>
        <w:rPr>
          <w:rFonts w:hint="eastAsia" w:ascii="宋体" w:hAnsi="宋体"/>
          <w:b/>
          <w:bCs/>
          <w:color w:val="auto"/>
          <w:sz w:val="36"/>
          <w:highlight w:val="none"/>
        </w:rPr>
      </w:pPr>
    </w:p>
    <w:p w14:paraId="0CEF8297">
      <w:pPr>
        <w:pStyle w:val="2"/>
        <w:rPr>
          <w:color w:val="auto"/>
          <w:highlight w:val="none"/>
        </w:rPr>
      </w:pPr>
    </w:p>
    <w:p w14:paraId="6040195D">
      <w:pPr>
        <w:pStyle w:val="2"/>
        <w:rPr>
          <w:color w:val="auto"/>
          <w:highlight w:val="none"/>
        </w:rPr>
      </w:pPr>
    </w:p>
    <w:p w14:paraId="6353496F">
      <w:pPr>
        <w:pStyle w:val="2"/>
        <w:rPr>
          <w:color w:val="auto"/>
          <w:highlight w:val="none"/>
        </w:rPr>
      </w:pPr>
    </w:p>
    <w:p w14:paraId="779A27F8">
      <w:pPr>
        <w:pStyle w:val="2"/>
        <w:rPr>
          <w:color w:val="auto"/>
          <w:highlight w:val="none"/>
        </w:rPr>
      </w:pPr>
    </w:p>
    <w:p w14:paraId="76231484">
      <w:pPr>
        <w:pStyle w:val="2"/>
        <w:rPr>
          <w:color w:val="auto"/>
          <w:highlight w:val="none"/>
        </w:rPr>
      </w:pPr>
    </w:p>
    <w:p w14:paraId="59A88EC6">
      <w:pPr>
        <w:pStyle w:val="2"/>
        <w:rPr>
          <w:color w:val="auto"/>
          <w:highlight w:val="none"/>
        </w:rPr>
      </w:pPr>
    </w:p>
    <w:p w14:paraId="500F9A27">
      <w:pPr>
        <w:pStyle w:val="2"/>
        <w:rPr>
          <w:color w:val="auto"/>
          <w:highlight w:val="none"/>
        </w:rPr>
      </w:pPr>
    </w:p>
    <w:p w14:paraId="7E71D221">
      <w:pPr>
        <w:jc w:val="center"/>
        <w:rPr>
          <w:rFonts w:hint="eastAsia" w:ascii="宋体" w:hAnsi="宋体"/>
          <w:b/>
          <w:bCs/>
          <w:color w:val="auto"/>
          <w:sz w:val="52"/>
          <w:szCs w:val="52"/>
          <w:highlight w:val="none"/>
        </w:rPr>
      </w:pPr>
      <w:r>
        <w:rPr>
          <w:rFonts w:hint="eastAsia" w:ascii="宋体" w:hAnsi="宋体"/>
          <w:b/>
          <w:bCs/>
          <w:color w:val="auto"/>
          <w:sz w:val="52"/>
          <w:szCs w:val="52"/>
          <w:highlight w:val="none"/>
        </w:rPr>
        <w:t>施工合同</w:t>
      </w:r>
    </w:p>
    <w:p w14:paraId="2BB23322">
      <w:pPr>
        <w:adjustRightInd w:val="0"/>
        <w:ind w:firstLine="1084" w:firstLineChars="300"/>
        <w:textAlignment w:val="baseline"/>
        <w:rPr>
          <w:rFonts w:hint="eastAsia" w:ascii="宋体" w:hAnsi="宋体"/>
          <w:b/>
          <w:bCs/>
          <w:color w:val="auto"/>
          <w:sz w:val="36"/>
          <w:highlight w:val="none"/>
        </w:rPr>
      </w:pPr>
    </w:p>
    <w:p w14:paraId="6059C6E0">
      <w:pPr>
        <w:adjustRightInd w:val="0"/>
        <w:textAlignment w:val="baseline"/>
        <w:rPr>
          <w:rFonts w:hint="eastAsia" w:ascii="宋体" w:hAnsi="宋体"/>
          <w:b/>
          <w:bCs/>
          <w:color w:val="auto"/>
          <w:sz w:val="36"/>
          <w:highlight w:val="none"/>
        </w:rPr>
      </w:pPr>
      <w:r>
        <w:rPr>
          <w:rFonts w:hint="eastAsia" w:ascii="宋体" w:hAnsi="宋体"/>
          <w:b/>
          <w:bCs/>
          <w:color w:val="auto"/>
          <w:sz w:val="36"/>
          <w:highlight w:val="none"/>
        </w:rPr>
        <w:t xml:space="preserve">      </w:t>
      </w:r>
    </w:p>
    <w:p w14:paraId="704F9715">
      <w:pPr>
        <w:adjustRightInd w:val="0"/>
        <w:ind w:firstLine="1084" w:firstLineChars="300"/>
        <w:textAlignment w:val="baseline"/>
        <w:rPr>
          <w:rFonts w:hint="eastAsia" w:ascii="宋体" w:hAnsi="宋体"/>
          <w:b/>
          <w:bCs/>
          <w:color w:val="auto"/>
          <w:sz w:val="36"/>
          <w:highlight w:val="none"/>
        </w:rPr>
      </w:pPr>
    </w:p>
    <w:p w14:paraId="0535B841">
      <w:pPr>
        <w:adjustRightInd w:val="0"/>
        <w:ind w:firstLine="1084" w:firstLineChars="300"/>
        <w:textAlignment w:val="baseline"/>
        <w:rPr>
          <w:rFonts w:hint="eastAsia" w:ascii="宋体" w:hAnsi="宋体"/>
          <w:b/>
          <w:bCs/>
          <w:color w:val="auto"/>
          <w:sz w:val="36"/>
          <w:highlight w:val="none"/>
        </w:rPr>
      </w:pPr>
    </w:p>
    <w:p w14:paraId="1CF75BEC">
      <w:pPr>
        <w:adjustRightInd w:val="0"/>
        <w:ind w:firstLine="1084" w:firstLineChars="300"/>
        <w:textAlignment w:val="baseline"/>
        <w:rPr>
          <w:rFonts w:hint="eastAsia" w:ascii="宋体" w:hAnsi="宋体"/>
          <w:b/>
          <w:bCs/>
          <w:color w:val="auto"/>
          <w:sz w:val="36"/>
          <w:highlight w:val="none"/>
        </w:rPr>
      </w:pPr>
    </w:p>
    <w:p w14:paraId="16111B6A">
      <w:pPr>
        <w:adjustRightInd w:val="0"/>
        <w:ind w:firstLine="1084" w:firstLineChars="300"/>
        <w:textAlignment w:val="baseline"/>
        <w:rPr>
          <w:rFonts w:hint="eastAsia" w:ascii="宋体" w:hAnsi="宋体"/>
          <w:b/>
          <w:bCs/>
          <w:color w:val="auto"/>
          <w:sz w:val="36"/>
          <w:highlight w:val="none"/>
        </w:rPr>
      </w:pPr>
    </w:p>
    <w:p w14:paraId="074C1502">
      <w:pPr>
        <w:adjustRightInd w:val="0"/>
        <w:ind w:firstLine="1084" w:firstLineChars="300"/>
        <w:textAlignment w:val="baseline"/>
        <w:rPr>
          <w:rFonts w:hint="eastAsia" w:ascii="宋体" w:hAnsi="宋体"/>
          <w:b/>
          <w:bCs/>
          <w:color w:val="auto"/>
          <w:sz w:val="36"/>
          <w:highlight w:val="none"/>
        </w:rPr>
      </w:pPr>
    </w:p>
    <w:p w14:paraId="1BD5747B">
      <w:pPr>
        <w:pStyle w:val="2"/>
        <w:rPr>
          <w:color w:val="auto"/>
          <w:highlight w:val="none"/>
        </w:rPr>
      </w:pPr>
    </w:p>
    <w:p w14:paraId="5C4F29D7">
      <w:pPr>
        <w:pStyle w:val="2"/>
        <w:rPr>
          <w:color w:val="auto"/>
          <w:highlight w:val="none"/>
        </w:rPr>
      </w:pPr>
    </w:p>
    <w:p w14:paraId="3D15C4BA">
      <w:pPr>
        <w:pStyle w:val="2"/>
        <w:rPr>
          <w:color w:val="auto"/>
          <w:highlight w:val="none"/>
        </w:rPr>
      </w:pPr>
    </w:p>
    <w:p w14:paraId="4FEA7C6C">
      <w:pPr>
        <w:pStyle w:val="2"/>
        <w:rPr>
          <w:color w:val="auto"/>
          <w:highlight w:val="none"/>
        </w:rPr>
      </w:pPr>
    </w:p>
    <w:p w14:paraId="018D910B">
      <w:pPr>
        <w:pStyle w:val="2"/>
        <w:rPr>
          <w:color w:val="auto"/>
          <w:highlight w:val="none"/>
        </w:rPr>
      </w:pPr>
    </w:p>
    <w:p w14:paraId="5AC4C86F">
      <w:pPr>
        <w:pStyle w:val="2"/>
        <w:rPr>
          <w:color w:val="auto"/>
          <w:highlight w:val="none"/>
        </w:rPr>
      </w:pPr>
    </w:p>
    <w:p w14:paraId="63B53CB6">
      <w:pPr>
        <w:pStyle w:val="2"/>
        <w:rPr>
          <w:color w:val="auto"/>
          <w:highlight w:val="none"/>
        </w:rPr>
      </w:pPr>
    </w:p>
    <w:p w14:paraId="54790546">
      <w:pPr>
        <w:spacing w:after="120" w:afterLines="50"/>
        <w:ind w:firstLine="560"/>
        <w:rPr>
          <w:rFonts w:hint="eastAsia" w:ascii="宋体" w:hAnsi="宋体" w:cs="仿宋"/>
          <w:b/>
          <w:color w:val="auto"/>
          <w:sz w:val="32"/>
          <w:szCs w:val="32"/>
          <w:highlight w:val="none"/>
        </w:rPr>
      </w:pPr>
      <w:r>
        <w:rPr>
          <w:rFonts w:hint="eastAsia" w:ascii="宋体" w:hAnsi="宋体" w:cs="仿宋"/>
          <w:b/>
          <w:color w:val="auto"/>
          <w:sz w:val="32"/>
          <w:szCs w:val="32"/>
          <w:highlight w:val="none"/>
        </w:rPr>
        <w:t xml:space="preserve">发包人（甲方）：                       </w:t>
      </w:r>
    </w:p>
    <w:p w14:paraId="53D1A994">
      <w:pPr>
        <w:pStyle w:val="2"/>
        <w:rPr>
          <w:color w:val="auto"/>
          <w:highlight w:val="none"/>
        </w:rPr>
      </w:pPr>
    </w:p>
    <w:p w14:paraId="30335D55">
      <w:pPr>
        <w:spacing w:after="120" w:afterLines="50"/>
        <w:ind w:firstLine="560"/>
        <w:rPr>
          <w:rFonts w:hint="eastAsia" w:ascii="宋体" w:hAnsi="宋体" w:cs="仿宋"/>
          <w:b/>
          <w:color w:val="auto"/>
          <w:sz w:val="32"/>
          <w:szCs w:val="32"/>
          <w:highlight w:val="none"/>
        </w:rPr>
      </w:pPr>
      <w:r>
        <w:rPr>
          <w:rFonts w:hint="eastAsia" w:ascii="宋体" w:hAnsi="宋体" w:cs="仿宋"/>
          <w:b/>
          <w:color w:val="auto"/>
          <w:sz w:val="32"/>
          <w:szCs w:val="32"/>
          <w:highlight w:val="none"/>
        </w:rPr>
        <w:t xml:space="preserve">承包人（乙方）：                       </w:t>
      </w:r>
    </w:p>
    <w:p w14:paraId="471610AB">
      <w:pPr>
        <w:pStyle w:val="2"/>
        <w:rPr>
          <w:color w:val="auto"/>
          <w:highlight w:val="none"/>
        </w:rPr>
      </w:pPr>
    </w:p>
    <w:p w14:paraId="2B128D4D">
      <w:pPr>
        <w:pStyle w:val="2"/>
        <w:rPr>
          <w:color w:val="auto"/>
          <w:highlight w:val="none"/>
        </w:rPr>
      </w:pPr>
    </w:p>
    <w:p w14:paraId="4EAB7003">
      <w:pPr>
        <w:adjustRightInd w:val="0"/>
        <w:ind w:firstLine="1084" w:firstLineChars="300"/>
        <w:textAlignment w:val="baseline"/>
        <w:rPr>
          <w:rFonts w:hint="eastAsia" w:ascii="宋体" w:hAnsi="宋体"/>
          <w:b/>
          <w:bCs/>
          <w:color w:val="auto"/>
          <w:sz w:val="36"/>
          <w:highlight w:val="none"/>
        </w:rPr>
      </w:pPr>
    </w:p>
    <w:p w14:paraId="15C973B4">
      <w:pPr>
        <w:adjustRightInd w:val="0"/>
        <w:snapToGrid w:val="0"/>
        <w:spacing w:line="360" w:lineRule="auto"/>
        <w:ind w:firstLine="2249" w:firstLineChars="700"/>
        <w:jc w:val="left"/>
        <w:rPr>
          <w:rFonts w:hint="eastAsia" w:ascii="宋体" w:hAnsi="宋体"/>
          <w:b/>
          <w:color w:val="auto"/>
          <w:sz w:val="32"/>
          <w:szCs w:val="32"/>
          <w:highlight w:val="none"/>
        </w:rPr>
      </w:pPr>
    </w:p>
    <w:p w14:paraId="0CA1D8FC">
      <w:pPr>
        <w:autoSpaceDE w:val="0"/>
        <w:autoSpaceDN w:val="0"/>
        <w:adjustRightInd w:val="0"/>
        <w:snapToGrid w:val="0"/>
        <w:spacing w:after="120" w:afterLines="50"/>
        <w:jc w:val="center"/>
        <w:rPr>
          <w:rFonts w:hint="eastAsia" w:ascii="宋体" w:hAnsi="宋体"/>
          <w:color w:val="auto"/>
          <w:kern w:val="0"/>
          <w:sz w:val="36"/>
          <w:szCs w:val="36"/>
          <w:highlight w:val="none"/>
        </w:rPr>
      </w:pPr>
      <w:bookmarkStart w:id="615" w:name="_Hlk30183816"/>
      <w:r>
        <w:rPr>
          <w:rFonts w:hint="eastAsia" w:ascii="宋体" w:hAnsi="宋体"/>
          <w:b/>
          <w:color w:val="auto"/>
          <w:kern w:val="0"/>
          <w:sz w:val="36"/>
          <w:szCs w:val="36"/>
          <w:highlight w:val="none"/>
        </w:rPr>
        <w:t xml:space="preserve">   年   月</w:t>
      </w:r>
      <w:bookmarkEnd w:id="615"/>
      <w:r>
        <w:rPr>
          <w:rFonts w:hint="eastAsia" w:ascii="宋体" w:hAnsi="宋体"/>
          <w:b/>
          <w:color w:val="auto"/>
          <w:kern w:val="0"/>
          <w:sz w:val="36"/>
          <w:szCs w:val="36"/>
          <w:highlight w:val="none"/>
        </w:rPr>
        <w:t xml:space="preserve">   日</w:t>
      </w:r>
    </w:p>
    <w:p w14:paraId="7637BEC7">
      <w:pPr>
        <w:spacing w:line="312" w:lineRule="auto"/>
        <w:jc w:val="center"/>
        <w:outlineLvl w:val="1"/>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r>
        <w:rPr>
          <w:rFonts w:hint="eastAsia" w:ascii="宋体" w:hAnsi="宋体" w:cs="宋体"/>
          <w:b/>
          <w:color w:val="auto"/>
          <w:sz w:val="32"/>
          <w:szCs w:val="32"/>
          <w:highlight w:val="none"/>
        </w:rPr>
        <w:t>第1节  通用合同条款</w:t>
      </w:r>
      <w:bookmarkEnd w:id="613"/>
      <w:bookmarkEnd w:id="614"/>
    </w:p>
    <w:p w14:paraId="4BECF4B6">
      <w:pPr>
        <w:spacing w:line="360" w:lineRule="auto"/>
        <w:jc w:val="left"/>
        <w:outlineLvl w:val="2"/>
        <w:rPr>
          <w:rFonts w:hint="eastAsia" w:ascii="宋体" w:hAnsi="宋体" w:cs="宋体"/>
          <w:b/>
          <w:bCs/>
          <w:color w:val="auto"/>
          <w:sz w:val="28"/>
          <w:szCs w:val="28"/>
          <w:highlight w:val="none"/>
        </w:rPr>
      </w:pPr>
      <w:bookmarkStart w:id="616" w:name="_Toc1696229026"/>
      <w:bookmarkStart w:id="617" w:name="_Toc20148311"/>
      <w:bookmarkStart w:id="618" w:name="_Toc12335"/>
      <w:bookmarkStart w:id="619" w:name="_Toc96899323"/>
      <w:bookmarkStart w:id="620" w:name="_Toc221950662"/>
      <w:bookmarkStart w:id="621" w:name="_Toc480795977"/>
      <w:bookmarkStart w:id="622" w:name="_Toc491074001"/>
      <w:bookmarkStart w:id="623" w:name="_Toc222033853"/>
      <w:bookmarkStart w:id="624" w:name="_Toc229305362"/>
      <w:bookmarkStart w:id="625" w:name="_Toc222031004"/>
      <w:bookmarkStart w:id="626" w:name="_Toc256159898"/>
      <w:bookmarkStart w:id="627" w:name="_Toc222032671"/>
      <w:bookmarkStart w:id="628" w:name="_Toc257014398"/>
      <w:bookmarkStart w:id="629" w:name="_Toc222029502"/>
      <w:r>
        <w:rPr>
          <w:rFonts w:hint="eastAsia" w:ascii="宋体" w:hAnsi="宋体" w:cs="宋体"/>
          <w:b/>
          <w:bCs/>
          <w:color w:val="auto"/>
          <w:sz w:val="28"/>
          <w:szCs w:val="28"/>
          <w:highlight w:val="none"/>
        </w:rPr>
        <w:t>1.一般约定</w:t>
      </w:r>
      <w:bookmarkEnd w:id="616"/>
      <w:bookmarkEnd w:id="617"/>
      <w:bookmarkEnd w:id="618"/>
      <w:bookmarkEnd w:id="619"/>
    </w:p>
    <w:p w14:paraId="0762CE28">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1.1词语定义</w:t>
      </w:r>
    </w:p>
    <w:p w14:paraId="47EEDD0E">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通用合同条款、专用合同条款中的下列词语应具有本款所赋予的含义。</w:t>
      </w:r>
    </w:p>
    <w:p w14:paraId="36809584">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1.1.1合同</w:t>
      </w:r>
    </w:p>
    <w:p w14:paraId="6A39557F">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1.1.1.1 合同文件（或称合同）：指合同协议书、中标通知书、投标函及投标函附录、专用合同条款、通用合同条款、技术标准和要求、图纸、已标价工程量清单，以及其他合同文件。</w:t>
      </w:r>
    </w:p>
    <w:p w14:paraId="2586DAE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1.1.1.2 合同协议书：指第1.5款所指的合同协议书。</w:t>
      </w:r>
    </w:p>
    <w:p w14:paraId="79D19E6D">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1.1.1.3 中标通知书：指发包人通知承包人中标的函件。</w:t>
      </w:r>
    </w:p>
    <w:p w14:paraId="7778FC1A">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1.1.1.4 投标函：指构成合同文件组成部分的由承包人填写并签署的投标函。</w:t>
      </w:r>
    </w:p>
    <w:p w14:paraId="282C7820">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1.1.1.5 投标函附录：指附在投标函后构成合同文件的投标函附录。</w:t>
      </w:r>
    </w:p>
    <w:p w14:paraId="63E00EE6">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1.1.1.6 技术标准和要求：指构成合同文件组成部分的名为技术标准和要求（合同技术条款）的文件，包括合同双方当事人约定对其所作的修改或补充。</w:t>
      </w:r>
    </w:p>
    <w:p w14:paraId="03E153C4">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1.1.1.7 图纸：指列入合同的招标图纸、投标图纸和发包人按合同约定向承包人提供的施工图纸和其他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p>
    <w:p w14:paraId="025C429E">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1.1.1.8 已标价工程量清单：指构成合同文件组成部分的由承包人按照规定的格式和要求填写并标明价格的工程量清单。</w:t>
      </w:r>
    </w:p>
    <w:p w14:paraId="5D02AC6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1.1.1.9 其他合同文件：指经合同双方当事人确认构成合同文件的其他文件。</w:t>
      </w:r>
    </w:p>
    <w:p w14:paraId="2D1CAB92">
      <w:pPr>
        <w:spacing w:line="360" w:lineRule="auto"/>
        <w:rPr>
          <w:rFonts w:hint="eastAsia" w:ascii="宋体" w:hAnsi="宋体" w:cs="宋体"/>
          <w:b/>
          <w:color w:val="auto"/>
          <w:kern w:val="0"/>
          <w:sz w:val="24"/>
          <w:highlight w:val="none"/>
        </w:rPr>
      </w:pPr>
      <w:r>
        <w:rPr>
          <w:rFonts w:hint="eastAsia" w:ascii="宋体" w:hAnsi="宋体" w:cs="宋体"/>
          <w:b/>
          <w:color w:val="auto"/>
          <w:kern w:val="0"/>
          <w:sz w:val="24"/>
          <w:highlight w:val="none"/>
        </w:rPr>
        <w:t>1.1.2合同当事人和人员</w:t>
      </w:r>
    </w:p>
    <w:p w14:paraId="5651311B">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1.1.2.1 合同当事人：指发包人和（或）承包人。</w:t>
      </w:r>
    </w:p>
    <w:p w14:paraId="549F9513">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1.1.2.2 发包人：指专用合同条款中指明并与承包人在合同协议书中签字的当事人。</w:t>
      </w:r>
    </w:p>
    <w:p w14:paraId="519B25C0">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1.1.2.3 承包人：指专用合同条款中指明并与发包人在合同协议书中签字的当事人。</w:t>
      </w:r>
    </w:p>
    <w:p w14:paraId="1DF0590A">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1.1.2.4 承包人项目经理：指承包人派驻施工场地的全权负责人。</w:t>
      </w:r>
    </w:p>
    <w:p w14:paraId="1A8C4941">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1.1.2.5 分包人：指专用合同条款中指明的，从承包人处分包合同中某一部分工程，并与其签订分包合同的分包人。</w:t>
      </w:r>
    </w:p>
    <w:p w14:paraId="1E84B35E">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1.1.2.6 监理人：指在专用合同条款中指明的，受发包人委托对合同履行实施管理的法人或其他组织。</w:t>
      </w:r>
    </w:p>
    <w:p w14:paraId="76615866">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1.1.2.7 总监理工程师（总监）：指由监理人委派常驻施工场地对合同履行实施管理的全权负责人。</w:t>
      </w:r>
    </w:p>
    <w:p w14:paraId="7E443C47">
      <w:pPr>
        <w:spacing w:line="360" w:lineRule="auto"/>
        <w:rPr>
          <w:rFonts w:hint="eastAsia" w:ascii="宋体" w:hAnsi="宋体" w:cs="宋体"/>
          <w:b/>
          <w:color w:val="auto"/>
          <w:kern w:val="0"/>
          <w:sz w:val="24"/>
          <w:highlight w:val="none"/>
        </w:rPr>
      </w:pPr>
      <w:r>
        <w:rPr>
          <w:rFonts w:hint="eastAsia" w:ascii="宋体" w:hAnsi="宋体" w:cs="宋体"/>
          <w:b/>
          <w:color w:val="auto"/>
          <w:kern w:val="0"/>
          <w:sz w:val="24"/>
          <w:highlight w:val="none"/>
        </w:rPr>
        <w:t>1.1.3工程和设备</w:t>
      </w:r>
    </w:p>
    <w:p w14:paraId="52030B5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1.1.3.1 工程：指永久工程和（或）临时工程。</w:t>
      </w:r>
    </w:p>
    <w:p w14:paraId="7265A9A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1.1.3.2 永久工程：指按合同约定建造并移交给发包人的工程，包括工程设备。</w:t>
      </w:r>
    </w:p>
    <w:p w14:paraId="3D606832">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1.1.3.3 临时工程：指为完成合同约定的永久工程所修建的各类临时性工程，不包括施工设备。</w:t>
      </w:r>
    </w:p>
    <w:p w14:paraId="0684CE51">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1.1.3.4 单位工程：指专用合同条款中指明特定范围的永久工程。</w:t>
      </w:r>
    </w:p>
    <w:p w14:paraId="16104BA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1.1.3.5 工程设备：指构成或计划构成永久工程一部分的机电设备、金属结构设备、仪器装置及其他类似的设备和装置。</w:t>
      </w:r>
    </w:p>
    <w:p w14:paraId="34FA3430">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1.1.3.6 施工设备：指为完成合同约定的各项工作所需的设备、器具和其他物品，不包括临时工程和材料。</w:t>
      </w:r>
    </w:p>
    <w:p w14:paraId="786B450F">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1.1.3.7 临时设施：指为完成合同约定的各项工作所服务的临时性生产和生活设施。</w:t>
      </w:r>
    </w:p>
    <w:p w14:paraId="53F6F4B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1.1.3.8 承包人设备：指承包人自带的施工设备。</w:t>
      </w:r>
    </w:p>
    <w:p w14:paraId="1119C49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1.1.3.9 施工场地（或称工地、现场）：指用于合同工程施工的场所，以及在合同中指定作为施工场地组成部分的其他场所，包括永久占地和临时占地。</w:t>
      </w:r>
    </w:p>
    <w:p w14:paraId="6753037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1.1.3.10 永久占地：指发包人为建设本合同工程永久征用的场地。</w:t>
      </w:r>
    </w:p>
    <w:p w14:paraId="6E3940F1">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1.1.3.11 临时占地：指发包人为建设本合同工程临时征用，承包人在完工后须按合同要求退还的场地。</w:t>
      </w:r>
    </w:p>
    <w:p w14:paraId="06103FBF">
      <w:pPr>
        <w:spacing w:line="360" w:lineRule="auto"/>
        <w:rPr>
          <w:rFonts w:hint="eastAsia" w:ascii="宋体" w:hAnsi="宋体" w:cs="宋体"/>
          <w:b/>
          <w:color w:val="auto"/>
          <w:kern w:val="0"/>
          <w:sz w:val="24"/>
          <w:highlight w:val="none"/>
        </w:rPr>
      </w:pPr>
      <w:r>
        <w:rPr>
          <w:rFonts w:hint="eastAsia" w:ascii="宋体" w:hAnsi="宋体" w:cs="宋体"/>
          <w:b/>
          <w:color w:val="auto"/>
          <w:kern w:val="0"/>
          <w:sz w:val="24"/>
          <w:highlight w:val="none"/>
        </w:rPr>
        <w:t>1.1.4日期</w:t>
      </w:r>
    </w:p>
    <w:p w14:paraId="402A5056">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1.1.4.1 开工通知：指监理人按第11.1款通知承包人开工的函件。</w:t>
      </w:r>
    </w:p>
    <w:p w14:paraId="66D84165">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1.1.4.2 开工日期：指监理人按第11.1款发出的开工通知中写明的开工日期。</w:t>
      </w:r>
    </w:p>
    <w:p w14:paraId="180851C4">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1.1.4.3 工期：指承包人在投标函中承诺的完成合同工程所需的期限，包括按第11.3款、第11.4款和第11.6款约定所作的变更。</w:t>
      </w:r>
    </w:p>
    <w:p w14:paraId="339292BA">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1.1.4.4 竣工日期：即合同工程完工日期，指第 1.1.4.3 目约定工期届满时的日期。实际完工日期以合同工程完工证书中写明的日期为准。</w:t>
      </w:r>
    </w:p>
    <w:p w14:paraId="4E1D5370">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1.1.4.5 缺陷责任期：即工程质量保修期，指履行第19.2款约定的缺陷责任的期限，包括根据第19.3款约定所作的延长，具体期限由专用合同条款约定。</w:t>
      </w:r>
    </w:p>
    <w:p w14:paraId="018B8CF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1.1.4.6 基准日期：指投标截止时间前28天的日期。</w:t>
      </w:r>
    </w:p>
    <w:p w14:paraId="390C4354">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1.1.4.7 天：除特别指明外，指日历天。合同中按天计算时间的，开始当天不计入，从次日开始计算。期限最后一天的截止时间为当天24：00。</w:t>
      </w:r>
    </w:p>
    <w:p w14:paraId="4238D65E">
      <w:pPr>
        <w:spacing w:line="360" w:lineRule="auto"/>
        <w:rPr>
          <w:rFonts w:hint="eastAsia" w:ascii="宋体" w:hAnsi="宋体" w:cs="宋体"/>
          <w:b/>
          <w:color w:val="auto"/>
          <w:kern w:val="0"/>
          <w:sz w:val="24"/>
          <w:highlight w:val="none"/>
        </w:rPr>
      </w:pPr>
      <w:r>
        <w:rPr>
          <w:rFonts w:hint="eastAsia" w:ascii="宋体" w:hAnsi="宋体" w:cs="宋体"/>
          <w:b/>
          <w:color w:val="auto"/>
          <w:kern w:val="0"/>
          <w:sz w:val="24"/>
          <w:highlight w:val="none"/>
        </w:rPr>
        <w:t>1.1.5合同价格和费用</w:t>
      </w:r>
    </w:p>
    <w:p w14:paraId="4EE2556D">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1.1.5.1 签约合同价：指签定合同时合同协议书中写明的，包括了暂列金额、暂估价的合同总金额。</w:t>
      </w:r>
    </w:p>
    <w:p w14:paraId="345037DF">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1.1.5.2 合同价格：指承包人按合同约定完成了包括缺陷责任期（工程质量保修期）内的全部承包工作后，发包人应付给承包人的金额，包括在履行合同过程中按合同约定进行的变更和调整。</w:t>
      </w:r>
    </w:p>
    <w:p w14:paraId="21C05EBA">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1.1.5.3 费用：指为履行合同所发生的或将要发生的所有合理开支，包括管理费和应分摊的其他费用，但不包括利润。</w:t>
      </w:r>
    </w:p>
    <w:p w14:paraId="63383F3E">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1.1.5.4 暂列金额：指已标价工程量清单中所列的暂列金额，用于在签订协议书时尚未确定或不可预见变更的施工及其所需材料、工程设备、服务等的金额，包括以计日工方式支付的金额。</w:t>
      </w:r>
    </w:p>
    <w:p w14:paraId="40F6EC8A">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1.1.5.5 暂估价：指发包人在工程量清单中给定的用于支付必然发生但暂时不能确定价格的材料、设备以及专业工程的金额。</w:t>
      </w:r>
    </w:p>
    <w:p w14:paraId="6E302815">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1.1.5.6 计日工：指对零星工作采取的一种计价方式，按合同中的计日工子目及其单价计价付款。</w:t>
      </w:r>
    </w:p>
    <w:p w14:paraId="5C78BC5C">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1.1.5.7 质量保证金（或称保留金）：指按第17.4.1项约定用于保证在缺陷责任期（工程质量保修期）内履行缺陷修复义务的金额。</w:t>
      </w:r>
    </w:p>
    <w:p w14:paraId="1617A60C">
      <w:pPr>
        <w:spacing w:line="360" w:lineRule="auto"/>
        <w:rPr>
          <w:rFonts w:hint="eastAsia" w:ascii="宋体" w:hAnsi="宋体" w:cs="宋体"/>
          <w:b/>
          <w:color w:val="auto"/>
          <w:kern w:val="0"/>
          <w:sz w:val="24"/>
          <w:highlight w:val="none"/>
        </w:rPr>
      </w:pPr>
      <w:r>
        <w:rPr>
          <w:rFonts w:hint="eastAsia" w:ascii="宋体" w:hAnsi="宋体" w:cs="宋体"/>
          <w:b/>
          <w:color w:val="auto"/>
          <w:kern w:val="0"/>
          <w:sz w:val="24"/>
          <w:highlight w:val="none"/>
        </w:rPr>
        <w:t>1.1.6其他</w:t>
      </w:r>
    </w:p>
    <w:p w14:paraId="0028323C">
      <w:pPr>
        <w:spacing w:line="360" w:lineRule="auto"/>
        <w:rPr>
          <w:rFonts w:hint="eastAsia" w:ascii="宋体" w:hAnsi="宋体" w:cs="宋体"/>
          <w:color w:val="auto"/>
          <w:kern w:val="0"/>
          <w:sz w:val="24"/>
          <w:highlight w:val="none"/>
        </w:rPr>
      </w:pPr>
      <w:bookmarkStart w:id="630" w:name="_Toc484015629"/>
      <w:bookmarkStart w:id="631" w:name="_Toc486160885"/>
      <w:r>
        <w:rPr>
          <w:rFonts w:hint="eastAsia" w:ascii="宋体" w:hAnsi="宋体" w:cs="宋体"/>
          <w:color w:val="auto"/>
          <w:kern w:val="0"/>
          <w:sz w:val="24"/>
          <w:highlight w:val="none"/>
        </w:rPr>
        <w:t>1.1.6.1 书面形式：指合同文件、信函、电报、传真等可以有形地表现所载内容的形式。</w:t>
      </w:r>
      <w:bookmarkEnd w:id="630"/>
      <w:bookmarkEnd w:id="631"/>
    </w:p>
    <w:p w14:paraId="79704C4F">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1.2语言文字</w:t>
      </w:r>
    </w:p>
    <w:p w14:paraId="5D5EA92C">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除专用术语外，合同使用的语言文字为中文。必要时专用术语应附有中文注释。</w:t>
      </w:r>
    </w:p>
    <w:p w14:paraId="4EAB704E">
      <w:pPr>
        <w:spacing w:line="360" w:lineRule="auto"/>
        <w:jc w:val="left"/>
        <w:rPr>
          <w:rFonts w:hint="eastAsia" w:ascii="宋体" w:hAnsi="宋体" w:cs="宋体"/>
          <w:b/>
          <w:bCs/>
          <w:color w:val="auto"/>
          <w:sz w:val="28"/>
          <w:szCs w:val="28"/>
          <w:highlight w:val="none"/>
        </w:rPr>
      </w:pPr>
      <w:bookmarkStart w:id="632" w:name="_Toc484015630"/>
      <w:bookmarkStart w:id="633" w:name="_Toc486160886"/>
      <w:r>
        <w:rPr>
          <w:rFonts w:hint="eastAsia" w:ascii="宋体" w:hAnsi="宋体" w:cs="宋体"/>
          <w:b/>
          <w:bCs/>
          <w:color w:val="auto"/>
          <w:sz w:val="28"/>
          <w:szCs w:val="28"/>
          <w:highlight w:val="none"/>
        </w:rPr>
        <w:t>1.3法律</w:t>
      </w:r>
      <w:bookmarkEnd w:id="632"/>
      <w:bookmarkEnd w:id="633"/>
    </w:p>
    <w:p w14:paraId="7E63CF59">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适用于合同的法律包括中华人民共和国法律、行政法规、部门规章，以及工程所在地的地方法规、自治条例、单行条例和地方政府规章。</w:t>
      </w:r>
    </w:p>
    <w:p w14:paraId="5434616A">
      <w:pPr>
        <w:spacing w:line="360" w:lineRule="auto"/>
        <w:jc w:val="left"/>
        <w:rPr>
          <w:rFonts w:hint="eastAsia" w:ascii="宋体" w:hAnsi="宋体" w:cs="宋体"/>
          <w:b/>
          <w:bCs/>
          <w:color w:val="auto"/>
          <w:sz w:val="28"/>
          <w:szCs w:val="28"/>
          <w:highlight w:val="none"/>
        </w:rPr>
      </w:pPr>
      <w:bookmarkStart w:id="634" w:name="_Toc486160887"/>
      <w:bookmarkStart w:id="635" w:name="_Toc484015631"/>
      <w:r>
        <w:rPr>
          <w:rFonts w:hint="eastAsia" w:ascii="宋体" w:hAnsi="宋体" w:cs="宋体"/>
          <w:b/>
          <w:bCs/>
          <w:color w:val="auto"/>
          <w:sz w:val="28"/>
          <w:szCs w:val="28"/>
          <w:highlight w:val="none"/>
        </w:rPr>
        <w:t>1.4合同文件的优先顺序</w:t>
      </w:r>
      <w:bookmarkEnd w:id="634"/>
      <w:bookmarkEnd w:id="635"/>
    </w:p>
    <w:p w14:paraId="149334C5">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组成合同的各项文件应互相解释，互为说明。除专用合同条款另有约定外，解释合同文件的优先顺序如下：</w:t>
      </w:r>
    </w:p>
    <w:p w14:paraId="00AA95DF">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    （1）合同协议书；</w:t>
      </w:r>
    </w:p>
    <w:p w14:paraId="2B48F83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    （2）中标通知书；</w:t>
      </w:r>
    </w:p>
    <w:p w14:paraId="6F922B3B">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    （3）投标函及投标函附录；</w:t>
      </w:r>
    </w:p>
    <w:p w14:paraId="66D4DE3F">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    （4）专用合同条款；</w:t>
      </w:r>
    </w:p>
    <w:p w14:paraId="21F6FD33">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    （5）通用合同条款；</w:t>
      </w:r>
    </w:p>
    <w:p w14:paraId="7CC58472">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（6）技术标准和要求；</w:t>
      </w:r>
    </w:p>
    <w:p w14:paraId="6F0027AE">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（7）图纸；</w:t>
      </w:r>
    </w:p>
    <w:p w14:paraId="449C54AE">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    （8）已标价工程量清单；</w:t>
      </w:r>
    </w:p>
    <w:p w14:paraId="2C6E683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    （9）其他合同文件。</w:t>
      </w:r>
    </w:p>
    <w:p w14:paraId="527DD77C">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1.5合同协议书</w:t>
      </w:r>
    </w:p>
    <w:p w14:paraId="109D32B3">
      <w:pPr>
        <w:spacing w:line="360" w:lineRule="auto"/>
        <w:rPr>
          <w:rFonts w:hint="eastAsia" w:ascii="宋体" w:hAnsi="宋体" w:cs="宋体"/>
          <w:color w:val="auto"/>
          <w:kern w:val="0"/>
          <w:sz w:val="24"/>
          <w:highlight w:val="none"/>
        </w:rPr>
      </w:pPr>
      <w:r>
        <w:rPr>
          <w:rFonts w:hint="eastAsia" w:ascii="宋体" w:hAnsi="宋体" w:cs="宋体"/>
          <w:color w:val="auto"/>
          <w:sz w:val="24"/>
          <w:highlight w:val="none"/>
        </w:rPr>
        <w:t xml:space="preserve">    </w:t>
      </w:r>
      <w:r>
        <w:rPr>
          <w:rFonts w:hint="eastAsia" w:ascii="宋体" w:hAnsi="宋体" w:cs="宋体"/>
          <w:color w:val="auto"/>
          <w:kern w:val="0"/>
          <w:sz w:val="24"/>
          <w:highlight w:val="none"/>
        </w:rPr>
        <w:t>承包人按中标通知书规定的时间与发包人签订合同协议书。除法律另有规定或合同另有约定外，发包人和承包人的法定代表人或其委托代理人在合同协议书上签字并盖单位章后，合同生效。</w:t>
      </w:r>
    </w:p>
    <w:p w14:paraId="09D4A9A1">
      <w:pPr>
        <w:spacing w:line="360" w:lineRule="auto"/>
        <w:jc w:val="left"/>
        <w:rPr>
          <w:rFonts w:hint="eastAsia" w:ascii="宋体" w:hAnsi="宋体" w:cs="宋体"/>
          <w:b/>
          <w:bCs/>
          <w:color w:val="auto"/>
          <w:sz w:val="28"/>
          <w:szCs w:val="28"/>
          <w:highlight w:val="none"/>
        </w:rPr>
      </w:pPr>
      <w:bookmarkStart w:id="636" w:name="_Toc484015632"/>
      <w:bookmarkStart w:id="637" w:name="_Toc486160888"/>
      <w:r>
        <w:rPr>
          <w:rFonts w:hint="eastAsia" w:ascii="宋体" w:hAnsi="宋体" w:cs="宋体"/>
          <w:b/>
          <w:bCs/>
          <w:color w:val="auto"/>
          <w:sz w:val="28"/>
          <w:szCs w:val="28"/>
          <w:highlight w:val="none"/>
        </w:rPr>
        <w:t>1.6图纸和承包人文件</w:t>
      </w:r>
      <w:bookmarkEnd w:id="636"/>
      <w:bookmarkEnd w:id="637"/>
    </w:p>
    <w:p w14:paraId="3D7E9FBF">
      <w:pPr>
        <w:spacing w:line="360" w:lineRule="auto"/>
        <w:rPr>
          <w:rFonts w:hint="eastAsia" w:ascii="宋体" w:hAnsi="宋体" w:cs="宋体"/>
          <w:b/>
          <w:color w:val="auto"/>
          <w:kern w:val="0"/>
          <w:sz w:val="24"/>
          <w:highlight w:val="none"/>
        </w:rPr>
      </w:pPr>
      <w:r>
        <w:rPr>
          <w:rFonts w:hint="eastAsia" w:ascii="宋体" w:hAnsi="宋体" w:cs="宋体"/>
          <w:b/>
          <w:color w:val="auto"/>
          <w:kern w:val="0"/>
          <w:sz w:val="24"/>
          <w:highlight w:val="none"/>
        </w:rPr>
        <w:t>1.6.1图纸的提供</w:t>
      </w:r>
    </w:p>
    <w:p w14:paraId="0BE69F87">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发包人应按技术标准和要求（合同技术条款）约定的期限和数量将施工图纸以及其他图纸（包括配套说明和有关资料）提供给承包人。由于发包人未按时提供图纸造成工期延误的，按第11.3款的约定办理。</w:t>
      </w:r>
    </w:p>
    <w:p w14:paraId="44FBD1B4">
      <w:pPr>
        <w:spacing w:line="360" w:lineRule="auto"/>
        <w:jc w:val="left"/>
        <w:rPr>
          <w:rFonts w:hint="eastAsia" w:ascii="宋体" w:hAnsi="宋体" w:cs="宋体"/>
          <w:b/>
          <w:color w:val="auto"/>
          <w:kern w:val="0"/>
          <w:sz w:val="24"/>
          <w:highlight w:val="none"/>
        </w:rPr>
      </w:pPr>
      <w:bookmarkStart w:id="638" w:name="_Toc486160889"/>
      <w:bookmarkStart w:id="639" w:name="_Toc484015633"/>
      <w:r>
        <w:rPr>
          <w:rFonts w:hint="eastAsia" w:ascii="宋体" w:hAnsi="宋体" w:cs="宋体"/>
          <w:b/>
          <w:color w:val="auto"/>
          <w:kern w:val="0"/>
          <w:sz w:val="24"/>
          <w:highlight w:val="none"/>
        </w:rPr>
        <w:t>1.6.2</w:t>
      </w:r>
      <w:r>
        <w:rPr>
          <w:rFonts w:hint="eastAsia" w:ascii="宋体" w:hAnsi="宋体" w:cs="宋体"/>
          <w:b/>
          <w:color w:val="auto"/>
          <w:sz w:val="24"/>
          <w:highlight w:val="none"/>
        </w:rPr>
        <w:t>承包人提供的文件</w:t>
      </w:r>
      <w:bookmarkEnd w:id="638"/>
      <w:bookmarkEnd w:id="639"/>
    </w:p>
    <w:p w14:paraId="1164622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承包人提供的文件应按技术标准和要求（合同技术条款）约定的期限和数量提供给监理人。监理人应按技术标准和要求（合同技术条款）约定的期限批复承包人。</w:t>
      </w:r>
    </w:p>
    <w:p w14:paraId="1F5D3640">
      <w:pPr>
        <w:spacing w:line="360" w:lineRule="auto"/>
        <w:jc w:val="left"/>
        <w:rPr>
          <w:rFonts w:hint="eastAsia" w:ascii="宋体" w:hAnsi="宋体" w:cs="宋体"/>
          <w:b/>
          <w:color w:val="auto"/>
          <w:kern w:val="0"/>
          <w:sz w:val="24"/>
          <w:highlight w:val="none"/>
        </w:rPr>
      </w:pPr>
      <w:bookmarkStart w:id="640" w:name="_Toc486160890"/>
      <w:bookmarkStart w:id="641" w:name="_Toc484015634"/>
      <w:r>
        <w:rPr>
          <w:rFonts w:hint="eastAsia" w:ascii="宋体" w:hAnsi="宋体" w:cs="宋体"/>
          <w:b/>
          <w:color w:val="auto"/>
          <w:kern w:val="0"/>
          <w:sz w:val="24"/>
          <w:highlight w:val="none"/>
        </w:rPr>
        <w:t>1.6.3</w:t>
      </w:r>
      <w:r>
        <w:rPr>
          <w:rFonts w:hint="eastAsia" w:ascii="宋体" w:hAnsi="宋体" w:cs="宋体"/>
          <w:b/>
          <w:color w:val="auto"/>
          <w:sz w:val="24"/>
          <w:highlight w:val="none"/>
        </w:rPr>
        <w:t>图纸的修改</w:t>
      </w:r>
      <w:bookmarkEnd w:id="640"/>
      <w:bookmarkEnd w:id="641"/>
    </w:p>
    <w:p w14:paraId="760D9D7D">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p>
    <w:p w14:paraId="3B9F948E">
      <w:pPr>
        <w:spacing w:line="360" w:lineRule="auto"/>
        <w:jc w:val="left"/>
        <w:rPr>
          <w:rFonts w:hint="eastAsia" w:ascii="宋体" w:hAnsi="宋体" w:cs="宋体"/>
          <w:b/>
          <w:color w:val="auto"/>
          <w:kern w:val="0"/>
          <w:sz w:val="24"/>
          <w:highlight w:val="none"/>
        </w:rPr>
      </w:pPr>
      <w:bookmarkStart w:id="642" w:name="_Toc484015635"/>
      <w:bookmarkStart w:id="643" w:name="_Toc486160891"/>
      <w:r>
        <w:rPr>
          <w:rFonts w:hint="eastAsia" w:ascii="宋体" w:hAnsi="宋体" w:cs="宋体"/>
          <w:b/>
          <w:color w:val="auto"/>
          <w:kern w:val="0"/>
          <w:sz w:val="24"/>
          <w:highlight w:val="none"/>
        </w:rPr>
        <w:t>1.6.4</w:t>
      </w:r>
      <w:r>
        <w:rPr>
          <w:rFonts w:hint="eastAsia" w:ascii="宋体" w:hAnsi="宋体" w:cs="宋体"/>
          <w:b/>
          <w:color w:val="auto"/>
          <w:sz w:val="24"/>
          <w:highlight w:val="none"/>
        </w:rPr>
        <w:t>图纸的错误</w:t>
      </w:r>
      <w:bookmarkEnd w:id="642"/>
      <w:bookmarkEnd w:id="643"/>
    </w:p>
    <w:p w14:paraId="13FAE8F2">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承包人发现发包人提供的图纸存在明显错误或疏忽，应及时通知监理人。</w:t>
      </w:r>
    </w:p>
    <w:p w14:paraId="33D48A17">
      <w:pPr>
        <w:spacing w:line="360" w:lineRule="auto"/>
        <w:jc w:val="left"/>
        <w:rPr>
          <w:rFonts w:hint="eastAsia" w:ascii="宋体" w:hAnsi="宋体" w:cs="宋体"/>
          <w:b/>
          <w:color w:val="auto"/>
          <w:kern w:val="0"/>
          <w:sz w:val="24"/>
          <w:highlight w:val="none"/>
        </w:rPr>
      </w:pPr>
      <w:bookmarkStart w:id="644" w:name="_Toc486160892"/>
      <w:bookmarkStart w:id="645" w:name="_Toc484015636"/>
      <w:r>
        <w:rPr>
          <w:rFonts w:hint="eastAsia" w:ascii="宋体" w:hAnsi="宋体" w:cs="宋体"/>
          <w:b/>
          <w:color w:val="auto"/>
          <w:kern w:val="0"/>
          <w:sz w:val="24"/>
          <w:highlight w:val="none"/>
        </w:rPr>
        <w:t>1.6.5</w:t>
      </w:r>
      <w:r>
        <w:rPr>
          <w:rFonts w:hint="eastAsia" w:ascii="宋体" w:hAnsi="宋体" w:cs="宋体"/>
          <w:b/>
          <w:color w:val="auto"/>
          <w:sz w:val="24"/>
          <w:highlight w:val="none"/>
        </w:rPr>
        <w:t>图纸和承包人文件的保管</w:t>
      </w:r>
      <w:bookmarkEnd w:id="644"/>
      <w:bookmarkEnd w:id="645"/>
    </w:p>
    <w:p w14:paraId="25AF9F16">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监理人和承包人均应在施工场地各保存一套完整的包含第1.6.1项、第1.6.2项、第1.6.3项约定内容的图纸和承包人文件。</w:t>
      </w:r>
    </w:p>
    <w:p w14:paraId="25B49322">
      <w:pPr>
        <w:spacing w:line="360" w:lineRule="auto"/>
        <w:jc w:val="left"/>
        <w:rPr>
          <w:rFonts w:hint="eastAsia" w:ascii="宋体" w:hAnsi="宋体" w:cs="宋体"/>
          <w:b/>
          <w:bCs/>
          <w:color w:val="auto"/>
          <w:sz w:val="28"/>
          <w:szCs w:val="28"/>
          <w:highlight w:val="none"/>
        </w:rPr>
      </w:pPr>
      <w:bookmarkStart w:id="646" w:name="_Toc484015637"/>
      <w:bookmarkStart w:id="647" w:name="_Toc486160893"/>
      <w:r>
        <w:rPr>
          <w:rFonts w:hint="eastAsia" w:ascii="宋体" w:hAnsi="宋体" w:cs="宋体"/>
          <w:b/>
          <w:bCs/>
          <w:color w:val="auto"/>
          <w:sz w:val="28"/>
          <w:szCs w:val="28"/>
          <w:highlight w:val="none"/>
        </w:rPr>
        <w:t>1.7联络</w:t>
      </w:r>
      <w:bookmarkEnd w:id="646"/>
      <w:bookmarkEnd w:id="647"/>
    </w:p>
    <w:p w14:paraId="37E9FD2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1.7.1 与合同有关的通知、批准、证明、证书、指示、要求、请求、同意、意见、确定和决定等，均应采用书面形式。</w:t>
      </w:r>
    </w:p>
    <w:p w14:paraId="7787685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1.7.2 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p>
    <w:p w14:paraId="5A0C0C60">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1.7.3 来往函件均应按合同约定的期限及时发出和答复，不得无故扣压和拖延，亦不得拒收。否则，由此造成的后果由责任方负责。</w:t>
      </w:r>
    </w:p>
    <w:p w14:paraId="2F7D7F4E">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1.8转让</w:t>
      </w:r>
    </w:p>
    <w:p w14:paraId="0F06F05A">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除合同另有约定外，未经对方当事人同意，一方当事人不得将合同权利全部或部分转让给第三人，也不得全部或部分转移合同义务。</w:t>
      </w:r>
    </w:p>
    <w:p w14:paraId="12C31E15">
      <w:pPr>
        <w:spacing w:line="360" w:lineRule="auto"/>
        <w:jc w:val="left"/>
        <w:rPr>
          <w:rFonts w:hint="eastAsia" w:ascii="宋体" w:hAnsi="宋体" w:cs="宋体"/>
          <w:b/>
          <w:bCs/>
          <w:color w:val="auto"/>
          <w:sz w:val="28"/>
          <w:szCs w:val="28"/>
          <w:highlight w:val="none"/>
        </w:rPr>
      </w:pPr>
      <w:bookmarkStart w:id="648" w:name="_Toc486160894"/>
      <w:bookmarkStart w:id="649" w:name="_Toc484015638"/>
      <w:r>
        <w:rPr>
          <w:rFonts w:hint="eastAsia" w:ascii="宋体" w:hAnsi="宋体" w:cs="宋体"/>
          <w:b/>
          <w:bCs/>
          <w:color w:val="auto"/>
          <w:sz w:val="28"/>
          <w:szCs w:val="28"/>
          <w:highlight w:val="none"/>
        </w:rPr>
        <w:t>1.9严禁贿赂</w:t>
      </w:r>
      <w:bookmarkEnd w:id="648"/>
      <w:bookmarkEnd w:id="649"/>
    </w:p>
    <w:p w14:paraId="16C1C012">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合同双方当事人不得以贿赂或变相贿赂的方式，谋取不当利益或损害对方权益。因贿赂造成对方损失的，行为人应赔偿损失，并承担相应的法律责任。</w:t>
      </w:r>
    </w:p>
    <w:p w14:paraId="2EB25975">
      <w:pPr>
        <w:spacing w:line="360" w:lineRule="auto"/>
        <w:jc w:val="left"/>
        <w:rPr>
          <w:rFonts w:hint="eastAsia" w:ascii="宋体" w:hAnsi="宋体" w:cs="宋体"/>
          <w:b/>
          <w:bCs/>
          <w:color w:val="auto"/>
          <w:sz w:val="28"/>
          <w:szCs w:val="28"/>
          <w:highlight w:val="none"/>
        </w:rPr>
      </w:pPr>
      <w:bookmarkStart w:id="650" w:name="_Toc486160895"/>
      <w:bookmarkStart w:id="651" w:name="_Toc484015639"/>
      <w:r>
        <w:rPr>
          <w:rFonts w:hint="eastAsia" w:ascii="宋体" w:hAnsi="宋体" w:cs="宋体"/>
          <w:b/>
          <w:bCs/>
          <w:color w:val="auto"/>
          <w:sz w:val="28"/>
          <w:szCs w:val="28"/>
          <w:highlight w:val="none"/>
        </w:rPr>
        <w:t>1.10化石、文物</w:t>
      </w:r>
      <w:bookmarkEnd w:id="650"/>
      <w:bookmarkEnd w:id="651"/>
    </w:p>
    <w:p w14:paraId="666BD701">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5E4A6E86">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1.10.2 承包人发现文物后不及时报告或隐瞒不报，致使文物丢失或损坏的，应赔偿损失，并承担相应的法律责任。</w:t>
      </w:r>
    </w:p>
    <w:p w14:paraId="726F818D">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1.11专利技术</w:t>
      </w:r>
    </w:p>
    <w:p w14:paraId="26081D46">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1.11.1 承包人在使用任何材料、承包人设备、工程设备或采用施工工艺时，因侵犯专利权或其他知识产权所引起的责任，由承包人承担，但由于遵照发包人提供的设计或技术标准和要求引起的除外。</w:t>
      </w:r>
    </w:p>
    <w:p w14:paraId="606D7F83">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1.11.2 承包人在</w:t>
      </w:r>
      <w:r>
        <w:rPr>
          <w:rFonts w:hint="eastAsia" w:ascii="宋体" w:hAnsi="宋体" w:cs="宋体"/>
          <w:color w:val="auto"/>
          <w:kern w:val="0"/>
          <w:sz w:val="24"/>
          <w:highlight w:val="none"/>
          <w:lang w:eastAsia="zh-CN"/>
        </w:rPr>
        <w:t>响应文件</w:t>
      </w:r>
      <w:r>
        <w:rPr>
          <w:rFonts w:hint="eastAsia" w:ascii="宋体" w:hAnsi="宋体" w:cs="宋体"/>
          <w:color w:val="auto"/>
          <w:kern w:val="0"/>
          <w:sz w:val="24"/>
          <w:highlight w:val="none"/>
        </w:rPr>
        <w:t>中采用专利技术的，专利技术的使用费包含在</w:t>
      </w:r>
      <w:r>
        <w:rPr>
          <w:rFonts w:hint="eastAsia" w:ascii="宋体" w:hAnsi="宋体" w:cs="宋体"/>
          <w:color w:val="auto"/>
          <w:kern w:val="0"/>
          <w:sz w:val="24"/>
          <w:highlight w:val="none"/>
          <w:lang w:eastAsia="zh-CN"/>
        </w:rPr>
        <w:t>响应报价</w:t>
      </w:r>
      <w:r>
        <w:rPr>
          <w:rFonts w:hint="eastAsia" w:ascii="宋体" w:hAnsi="宋体" w:cs="宋体"/>
          <w:color w:val="auto"/>
          <w:kern w:val="0"/>
          <w:sz w:val="24"/>
          <w:highlight w:val="none"/>
        </w:rPr>
        <w:t>内。</w:t>
      </w:r>
    </w:p>
    <w:p w14:paraId="7B2E6DD2">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1.11.3 承包人的技术秘密和声明需要保密的资料和信息，发包人和监理人不得为合同以外的目的泄露给他人。</w:t>
      </w:r>
    </w:p>
    <w:p w14:paraId="496F5CA3">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1.11.4 合同实施过程中，发包人要求承包人采用专利技术的，发包人应办理相应的使用手续，承包人应按发包人约定的条件使用，并承担使用专利技术的相关试验工作，所需费用由发包人承担。</w:t>
      </w:r>
    </w:p>
    <w:p w14:paraId="7879DD9D">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1.12图纸和文件的保密</w:t>
      </w:r>
    </w:p>
    <w:p w14:paraId="20948D4C">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1.12.1发包人提供的图纸和文件，未经发包人同意，承包人不得为合同以外的目的泄露给他人或公开发表与引用。</w:t>
      </w:r>
    </w:p>
    <w:p w14:paraId="30CFFA4F">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1.12.2承包人提供的文件，未经承包人同意，发包人和监理人不得为合同以外的目的泄露给他人或公开发表与引用。</w:t>
      </w:r>
    </w:p>
    <w:p w14:paraId="33F43C1D">
      <w:pPr>
        <w:spacing w:line="360" w:lineRule="auto"/>
        <w:jc w:val="left"/>
        <w:outlineLvl w:val="2"/>
        <w:rPr>
          <w:rFonts w:hint="eastAsia" w:ascii="宋体" w:hAnsi="宋体" w:cs="宋体"/>
          <w:b/>
          <w:bCs/>
          <w:color w:val="auto"/>
          <w:sz w:val="28"/>
          <w:szCs w:val="28"/>
          <w:highlight w:val="none"/>
        </w:rPr>
      </w:pPr>
      <w:bookmarkStart w:id="652" w:name="_Toc96899324"/>
      <w:bookmarkStart w:id="653" w:name="_Toc20148312"/>
      <w:bookmarkStart w:id="654" w:name="_Toc1200"/>
      <w:bookmarkStart w:id="655" w:name="_Toc761465817"/>
      <w:r>
        <w:rPr>
          <w:rFonts w:hint="eastAsia" w:ascii="宋体" w:hAnsi="宋体" w:cs="宋体"/>
          <w:b/>
          <w:bCs/>
          <w:color w:val="auto"/>
          <w:sz w:val="28"/>
          <w:szCs w:val="28"/>
          <w:highlight w:val="none"/>
        </w:rPr>
        <w:t>2.发包人义务</w:t>
      </w:r>
      <w:bookmarkEnd w:id="652"/>
      <w:bookmarkEnd w:id="653"/>
      <w:bookmarkEnd w:id="654"/>
      <w:bookmarkEnd w:id="655"/>
    </w:p>
    <w:p w14:paraId="0C4CA981">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2.1遵守法律</w:t>
      </w:r>
    </w:p>
    <w:p w14:paraId="03C75575">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发包人在履行合同过程中应遵守法律，并保证承包人免于承担因发包人违反法律而引起的任何责任。</w:t>
      </w:r>
    </w:p>
    <w:p w14:paraId="172AC6EA">
      <w:pPr>
        <w:spacing w:line="360" w:lineRule="auto"/>
        <w:jc w:val="left"/>
        <w:rPr>
          <w:rFonts w:hint="eastAsia" w:ascii="宋体" w:hAnsi="宋体" w:cs="宋体"/>
          <w:b/>
          <w:bCs/>
          <w:color w:val="auto"/>
          <w:sz w:val="28"/>
          <w:szCs w:val="28"/>
          <w:highlight w:val="none"/>
        </w:rPr>
      </w:pPr>
      <w:bookmarkStart w:id="656" w:name="_Toc484015641"/>
      <w:bookmarkStart w:id="657" w:name="_Toc486160897"/>
      <w:r>
        <w:rPr>
          <w:rFonts w:hint="eastAsia" w:ascii="宋体" w:hAnsi="宋体" w:cs="宋体"/>
          <w:b/>
          <w:bCs/>
          <w:color w:val="auto"/>
          <w:sz w:val="28"/>
          <w:szCs w:val="28"/>
          <w:highlight w:val="none"/>
        </w:rPr>
        <w:t>2.2发出开工通知</w:t>
      </w:r>
      <w:bookmarkEnd w:id="656"/>
      <w:bookmarkEnd w:id="657"/>
    </w:p>
    <w:p w14:paraId="0A1A9DF9">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发包人应委托监理人按第11.1款的约定向承包人发出开工通知。</w:t>
      </w:r>
    </w:p>
    <w:p w14:paraId="051D2D5D">
      <w:pPr>
        <w:spacing w:line="360" w:lineRule="auto"/>
        <w:jc w:val="left"/>
        <w:rPr>
          <w:rFonts w:hint="eastAsia" w:ascii="宋体" w:hAnsi="宋体" w:cs="宋体"/>
          <w:b/>
          <w:bCs/>
          <w:color w:val="auto"/>
          <w:sz w:val="28"/>
          <w:szCs w:val="28"/>
          <w:highlight w:val="none"/>
        </w:rPr>
      </w:pPr>
      <w:bookmarkStart w:id="658" w:name="_Toc486160898"/>
      <w:bookmarkStart w:id="659" w:name="_Toc484015642"/>
      <w:r>
        <w:rPr>
          <w:rFonts w:hint="eastAsia" w:ascii="宋体" w:hAnsi="宋体" w:cs="宋体"/>
          <w:b/>
          <w:bCs/>
          <w:color w:val="auto"/>
          <w:sz w:val="28"/>
          <w:szCs w:val="28"/>
          <w:highlight w:val="none"/>
        </w:rPr>
        <w:t>2.3提供施工场地</w:t>
      </w:r>
      <w:bookmarkEnd w:id="658"/>
      <w:bookmarkEnd w:id="659"/>
    </w:p>
    <w:p w14:paraId="3EFC06AD">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2.3.1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p>
    <w:p w14:paraId="7B82F15A">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2.3.2发包人提供的施工用地范围在专用合同条款中约定。</w:t>
      </w:r>
    </w:p>
    <w:p w14:paraId="07D1DB0D">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2.3.3除专用合同条款另有约定外，发包人应按技术标准和要求（合同技术条款）的约定，向承包人提供施工场地内的工程地质图纸和报告，以及地下障碍物图纸等施工场地有关资料，并保证资料的真实、准确、完整。</w:t>
      </w:r>
    </w:p>
    <w:p w14:paraId="7135EB7E">
      <w:pPr>
        <w:spacing w:line="360" w:lineRule="auto"/>
        <w:jc w:val="left"/>
        <w:rPr>
          <w:rFonts w:hint="eastAsia" w:ascii="宋体" w:hAnsi="宋体" w:cs="宋体"/>
          <w:b/>
          <w:bCs/>
          <w:color w:val="auto"/>
          <w:sz w:val="28"/>
          <w:szCs w:val="28"/>
          <w:highlight w:val="none"/>
        </w:rPr>
      </w:pPr>
      <w:bookmarkStart w:id="660" w:name="_Toc486160899"/>
      <w:bookmarkStart w:id="661" w:name="_Toc484015643"/>
      <w:r>
        <w:rPr>
          <w:rFonts w:hint="eastAsia" w:ascii="宋体" w:hAnsi="宋体" w:cs="宋体"/>
          <w:b/>
          <w:bCs/>
          <w:color w:val="auto"/>
          <w:sz w:val="28"/>
          <w:szCs w:val="28"/>
          <w:highlight w:val="none"/>
        </w:rPr>
        <w:t>2.4协助承包人办理证件和批件</w:t>
      </w:r>
      <w:bookmarkEnd w:id="660"/>
      <w:bookmarkEnd w:id="661"/>
    </w:p>
    <w:p w14:paraId="0A30E28B">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发包人应协助承包人办理法律规定的有关施工证件和批件。</w:t>
      </w:r>
    </w:p>
    <w:p w14:paraId="5DF5A4FA">
      <w:pPr>
        <w:spacing w:line="360" w:lineRule="auto"/>
        <w:jc w:val="left"/>
        <w:rPr>
          <w:rFonts w:hint="eastAsia" w:ascii="宋体" w:hAnsi="宋体" w:cs="宋体"/>
          <w:b/>
          <w:bCs/>
          <w:color w:val="auto"/>
          <w:sz w:val="28"/>
          <w:szCs w:val="28"/>
          <w:highlight w:val="none"/>
        </w:rPr>
      </w:pPr>
      <w:bookmarkStart w:id="662" w:name="_Toc486160900"/>
      <w:bookmarkStart w:id="663" w:name="_Toc484015644"/>
      <w:r>
        <w:rPr>
          <w:rFonts w:hint="eastAsia" w:ascii="宋体" w:hAnsi="宋体" w:cs="宋体"/>
          <w:b/>
          <w:bCs/>
          <w:color w:val="auto"/>
          <w:sz w:val="28"/>
          <w:szCs w:val="28"/>
          <w:highlight w:val="none"/>
        </w:rPr>
        <w:t>2.5组织设计交底</w:t>
      </w:r>
      <w:bookmarkEnd w:id="662"/>
      <w:bookmarkEnd w:id="663"/>
    </w:p>
    <w:p w14:paraId="49F4B74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发包人应根据合同进度计划，组织设计单位向承包人进行设计交底。</w:t>
      </w:r>
    </w:p>
    <w:p w14:paraId="26C98E84">
      <w:pPr>
        <w:spacing w:line="360" w:lineRule="auto"/>
        <w:jc w:val="left"/>
        <w:rPr>
          <w:rFonts w:hint="eastAsia" w:ascii="宋体" w:hAnsi="宋体" w:cs="宋体"/>
          <w:b/>
          <w:bCs/>
          <w:color w:val="auto"/>
          <w:sz w:val="28"/>
          <w:szCs w:val="28"/>
          <w:highlight w:val="none"/>
        </w:rPr>
      </w:pPr>
      <w:bookmarkStart w:id="664" w:name="_Toc486160901"/>
      <w:bookmarkStart w:id="665" w:name="_Toc484015645"/>
      <w:r>
        <w:rPr>
          <w:rFonts w:hint="eastAsia" w:ascii="宋体" w:hAnsi="宋体" w:cs="宋体"/>
          <w:b/>
          <w:bCs/>
          <w:color w:val="auto"/>
          <w:sz w:val="28"/>
          <w:szCs w:val="28"/>
          <w:highlight w:val="none"/>
        </w:rPr>
        <w:t>2.6支付合同价款</w:t>
      </w:r>
      <w:bookmarkEnd w:id="664"/>
      <w:bookmarkEnd w:id="665"/>
    </w:p>
    <w:p w14:paraId="53F37B12">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发包人应按合同约定向承包人及时支付合同价款。</w:t>
      </w:r>
    </w:p>
    <w:p w14:paraId="10448508">
      <w:pPr>
        <w:spacing w:line="360" w:lineRule="auto"/>
        <w:jc w:val="left"/>
        <w:rPr>
          <w:rFonts w:hint="eastAsia" w:ascii="宋体" w:hAnsi="宋体" w:cs="宋体"/>
          <w:b/>
          <w:bCs/>
          <w:color w:val="auto"/>
          <w:sz w:val="28"/>
          <w:szCs w:val="28"/>
          <w:highlight w:val="none"/>
        </w:rPr>
      </w:pPr>
      <w:bookmarkStart w:id="666" w:name="_Toc486160902"/>
      <w:bookmarkStart w:id="667" w:name="_Toc484015646"/>
      <w:r>
        <w:rPr>
          <w:rFonts w:hint="eastAsia" w:ascii="宋体" w:hAnsi="宋体" w:cs="宋体"/>
          <w:b/>
          <w:bCs/>
          <w:color w:val="auto"/>
          <w:sz w:val="28"/>
          <w:szCs w:val="28"/>
          <w:highlight w:val="none"/>
        </w:rPr>
        <w:t>2.7组织竣工验收（组织法人验收）</w:t>
      </w:r>
      <w:bookmarkEnd w:id="666"/>
      <w:bookmarkEnd w:id="667"/>
    </w:p>
    <w:p w14:paraId="5B0B9EE6">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发包人应按合同约定及时组织法人验收。</w:t>
      </w:r>
    </w:p>
    <w:p w14:paraId="1C4D767F">
      <w:pPr>
        <w:spacing w:line="360" w:lineRule="auto"/>
        <w:jc w:val="left"/>
        <w:rPr>
          <w:rFonts w:hint="eastAsia" w:ascii="宋体" w:hAnsi="宋体" w:cs="宋体"/>
          <w:b/>
          <w:bCs/>
          <w:color w:val="auto"/>
          <w:sz w:val="28"/>
          <w:szCs w:val="28"/>
          <w:highlight w:val="none"/>
        </w:rPr>
      </w:pPr>
      <w:bookmarkStart w:id="668" w:name="_Toc484015647"/>
      <w:bookmarkStart w:id="669" w:name="_Toc486160903"/>
      <w:r>
        <w:rPr>
          <w:rFonts w:hint="eastAsia" w:ascii="宋体" w:hAnsi="宋体" w:cs="宋体"/>
          <w:b/>
          <w:bCs/>
          <w:color w:val="auto"/>
          <w:sz w:val="28"/>
          <w:szCs w:val="28"/>
          <w:highlight w:val="none"/>
        </w:rPr>
        <w:t>2.8其他义务</w:t>
      </w:r>
      <w:bookmarkEnd w:id="668"/>
      <w:bookmarkEnd w:id="669"/>
    </w:p>
    <w:p w14:paraId="35D7E9E0">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其他义务在专用合同条款中补充约定。</w:t>
      </w:r>
    </w:p>
    <w:p w14:paraId="6BB821BC">
      <w:pPr>
        <w:spacing w:line="360" w:lineRule="auto"/>
        <w:jc w:val="left"/>
        <w:outlineLvl w:val="2"/>
        <w:rPr>
          <w:rFonts w:hint="eastAsia" w:ascii="宋体" w:hAnsi="宋体" w:cs="宋体"/>
          <w:b/>
          <w:bCs/>
          <w:color w:val="auto"/>
          <w:sz w:val="28"/>
          <w:szCs w:val="28"/>
          <w:highlight w:val="none"/>
        </w:rPr>
      </w:pPr>
      <w:bookmarkStart w:id="670" w:name="_Toc8607"/>
      <w:bookmarkStart w:id="671" w:name="_Toc20148313"/>
      <w:bookmarkStart w:id="672" w:name="_Toc96899325"/>
      <w:bookmarkStart w:id="673" w:name="_Toc785489351"/>
      <w:r>
        <w:rPr>
          <w:rFonts w:hint="eastAsia" w:ascii="宋体" w:hAnsi="宋体" w:cs="宋体"/>
          <w:b/>
          <w:bCs/>
          <w:color w:val="auto"/>
          <w:sz w:val="28"/>
          <w:szCs w:val="28"/>
          <w:highlight w:val="none"/>
        </w:rPr>
        <w:t>3.监理人</w:t>
      </w:r>
      <w:bookmarkEnd w:id="670"/>
      <w:bookmarkEnd w:id="671"/>
      <w:bookmarkEnd w:id="672"/>
      <w:bookmarkEnd w:id="673"/>
    </w:p>
    <w:p w14:paraId="389D65E9">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3.1监理人的职责和权力</w:t>
      </w:r>
    </w:p>
    <w:p w14:paraId="3193A470">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3.1.1 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p>
    <w:p w14:paraId="0B2D90B2">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3.1.2 监理人发出的任何指示应视为已得到发包人的批准，但监理人无权免除或变更合同约定的发包人和承包人的权利、义务和责任。</w:t>
      </w:r>
    </w:p>
    <w:p w14:paraId="6A1D85E0">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3.1.3 合同约定应由承包人承担的义务和责任，不因监理人对承包人提交文件的审查或批准，对工程、材料和设备的检查和检验，以及为实施监理作出的指示等职务行为而减轻或解除。</w:t>
      </w:r>
    </w:p>
    <w:p w14:paraId="1732DA50">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3.2总监理工程师</w:t>
      </w:r>
    </w:p>
    <w:p w14:paraId="5E239F9B">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发包人应在发出开工通知前将总监理工程师的任命通知承包人。总监理工程师更换时，应在调离14天前通知承包人。总监理工程师短期离开施工场地的，应委派代表代行其职责，并通知承包人。</w:t>
      </w:r>
    </w:p>
    <w:p w14:paraId="339F7F38">
      <w:pPr>
        <w:spacing w:line="360" w:lineRule="auto"/>
        <w:jc w:val="left"/>
        <w:rPr>
          <w:rFonts w:hint="eastAsia" w:ascii="宋体" w:hAnsi="宋体" w:cs="宋体"/>
          <w:b/>
          <w:bCs/>
          <w:color w:val="auto"/>
          <w:sz w:val="28"/>
          <w:szCs w:val="28"/>
          <w:highlight w:val="none"/>
        </w:rPr>
      </w:pPr>
      <w:bookmarkStart w:id="674" w:name="_Toc486160905"/>
      <w:bookmarkStart w:id="675" w:name="_Toc484015649"/>
      <w:r>
        <w:rPr>
          <w:rFonts w:hint="eastAsia" w:ascii="宋体" w:hAnsi="宋体" w:cs="宋体"/>
          <w:b/>
          <w:bCs/>
          <w:color w:val="auto"/>
          <w:sz w:val="28"/>
          <w:szCs w:val="28"/>
          <w:highlight w:val="none"/>
        </w:rPr>
        <w:t>3.3监理人员</w:t>
      </w:r>
      <w:bookmarkEnd w:id="674"/>
      <w:bookmarkEnd w:id="675"/>
    </w:p>
    <w:p w14:paraId="078F0EC6">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546BC53C">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3.3.2 监理人员对承包人的任何工作、工程或其采用的材料和工程设备未在约定的或合理的期限内提出否定意见的，视为已获批准，但不影响监理人在以后拒绝该项工作、工程、材料或工程设备的权利。</w:t>
      </w:r>
    </w:p>
    <w:p w14:paraId="0FFC842A">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3.3.3 承包人对总监理工程师授权的监理人员发出的指示有疑问的，可向总监理工程师提出书面异议，总监理工程师应在48小时内对该指示予以确认、更改或撤销。</w:t>
      </w:r>
    </w:p>
    <w:p w14:paraId="67E68275">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3.3.4 除专用合同条款另有约定外，总监理工程师不应将第3.5款约定应由总监理工程师作出确定的权力授权或委托给其他监理人员。</w:t>
      </w:r>
    </w:p>
    <w:p w14:paraId="00859038">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3.4监理人的指示</w:t>
      </w:r>
    </w:p>
    <w:p w14:paraId="1509385C">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3.4.1 监理人应按第3.1款的约定向承包人发出指示，监理人的指示应盖有监理人授权的施工场地机构章，并由总监理工程师或总监理工程师按第3.3.1项约定授权的监理人员签字。</w:t>
      </w:r>
    </w:p>
    <w:p w14:paraId="00F9D4DE">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3.4.2 承包人收到监理人按第3.4.1项作出的指示后应遵照执行。指示构成变更的，应按第15条处理。</w:t>
      </w:r>
    </w:p>
    <w:p w14:paraId="4B0A4F76">
      <w:pPr>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2BC51AFF">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3.4.4 除合同另有约定外，承包人只从总监理工程师或按第3.3.1项被授权的监理人员处取得指示。</w:t>
      </w:r>
    </w:p>
    <w:p w14:paraId="175E3C26">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3.4.5 由于监理人未能按合同约定发出指示、指示延误或指示错误而导致承包人费用增加和（或）工期延误的，由发包人承担赔偿责任。</w:t>
      </w:r>
    </w:p>
    <w:p w14:paraId="0033A402">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3.5商定或确定</w:t>
      </w:r>
    </w:p>
    <w:p w14:paraId="4A04F8D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3.5.1 合同约定总监理工程师应按照本款对任何事项进行商定或确定时，总监理工程师应与合同当事人协商，尽量达成一致。不能达成一致的，总监理工程师应认真研究后审慎确定。</w:t>
      </w:r>
    </w:p>
    <w:p w14:paraId="3387E7CA">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p>
    <w:p w14:paraId="5139726B">
      <w:pPr>
        <w:spacing w:line="360" w:lineRule="auto"/>
        <w:jc w:val="left"/>
        <w:outlineLvl w:val="2"/>
        <w:rPr>
          <w:rFonts w:hint="eastAsia" w:ascii="宋体" w:hAnsi="宋体" w:cs="宋体"/>
          <w:b/>
          <w:bCs/>
          <w:color w:val="auto"/>
          <w:sz w:val="28"/>
          <w:szCs w:val="28"/>
          <w:highlight w:val="none"/>
        </w:rPr>
      </w:pPr>
      <w:bookmarkStart w:id="676" w:name="_Toc20148314"/>
      <w:bookmarkStart w:id="677" w:name="_Toc1882395012"/>
      <w:bookmarkStart w:id="678" w:name="_Toc9260"/>
      <w:bookmarkStart w:id="679" w:name="_Toc96899326"/>
      <w:r>
        <w:rPr>
          <w:rFonts w:hint="eastAsia" w:ascii="宋体" w:hAnsi="宋体" w:cs="宋体"/>
          <w:b/>
          <w:bCs/>
          <w:color w:val="auto"/>
          <w:sz w:val="28"/>
          <w:szCs w:val="28"/>
          <w:highlight w:val="none"/>
        </w:rPr>
        <w:t>4.承包人</w:t>
      </w:r>
      <w:bookmarkEnd w:id="676"/>
      <w:bookmarkEnd w:id="677"/>
      <w:bookmarkEnd w:id="678"/>
      <w:bookmarkEnd w:id="679"/>
    </w:p>
    <w:p w14:paraId="0DB57C11">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4.1承包人的一般义务</w:t>
      </w:r>
    </w:p>
    <w:p w14:paraId="2AA98A37">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4.1.1遵守法律</w:t>
      </w:r>
    </w:p>
    <w:p w14:paraId="3E2039D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承包人在履行合同过程中应遵守法律，并保证发包人免于承担因承包人违反法律而引起的任何责任。</w:t>
      </w:r>
    </w:p>
    <w:p w14:paraId="1C3C6FD6">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4.1.2依法纳税</w:t>
      </w:r>
    </w:p>
    <w:p w14:paraId="5D196E07">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承包人应按有关法律规定纳税，应缴纳的税金包括在合同价格内。</w:t>
      </w:r>
    </w:p>
    <w:p w14:paraId="09D06C78">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4.1.3完成各项承包工作</w:t>
      </w:r>
    </w:p>
    <w:p w14:paraId="6C73E785">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w:t>
      </w:r>
    </w:p>
    <w:p w14:paraId="406E88ED">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4.1.4对施工作业和施工方法的完备性负责</w:t>
      </w:r>
    </w:p>
    <w:p w14:paraId="5A93E754">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承包人应按合同约定的工作内容和施工进度要求，编制施工组织设计和施工措施计划，并对所有施工作业和施工方法的完备性和安全可靠性负责。</w:t>
      </w:r>
    </w:p>
    <w:p w14:paraId="713406AC">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4.1.5保证工程施工和人员的安全</w:t>
      </w:r>
    </w:p>
    <w:p w14:paraId="63C21EC4">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承包人应按第9.2款约定采取施工安全措施，确保工程及其人员、材料、设备和设施的安全，防止因工程施工造成的人身伤害和财产损失。</w:t>
      </w:r>
    </w:p>
    <w:p w14:paraId="2BE06A33">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4.1.6负责施工场地及其周边环境与生态的保护工作</w:t>
      </w:r>
    </w:p>
    <w:p w14:paraId="7552D384">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承包人应按照第9.4款约定负责施工场地及其周边环境与生态的保护工作。</w:t>
      </w:r>
    </w:p>
    <w:p w14:paraId="2669467D">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4.1.7避免施工对公众与他人的利益造成损害</w:t>
      </w:r>
    </w:p>
    <w:p w14:paraId="6E4AF72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5DFAEE7E">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4.1.8为</w:t>
      </w:r>
      <w:r>
        <w:rPr>
          <w:rFonts w:hint="eastAsia" w:ascii="宋体" w:hAnsi="宋体" w:cs="宋体"/>
          <w:b/>
          <w:color w:val="auto"/>
          <w:kern w:val="0"/>
          <w:sz w:val="24"/>
          <w:highlight w:val="none"/>
        </w:rPr>
        <w:t>他人</w:t>
      </w:r>
      <w:r>
        <w:rPr>
          <w:rFonts w:hint="eastAsia" w:ascii="宋体" w:hAnsi="宋体" w:cs="宋体"/>
          <w:b/>
          <w:color w:val="auto"/>
          <w:sz w:val="24"/>
          <w:highlight w:val="none"/>
        </w:rPr>
        <w:t>提供方便</w:t>
      </w:r>
    </w:p>
    <w:p w14:paraId="1D570E43">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承包人应按监理人的指示为他人在施工场地或附近实施与工程有关的其他各项工作提供可能的条件。除合同另有约定外，提供有关条件的内容和可能发生的费用，由监理人按第3.5款商定或确定。</w:t>
      </w:r>
    </w:p>
    <w:p w14:paraId="4834BAA5">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4.1.9工程的维护和照管</w:t>
      </w:r>
    </w:p>
    <w:p w14:paraId="1D3D6630">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除合同另有约定外，合同工程完工证书颁发前，承包人应负责照管和维护工程。合同工程完工证书颁发时尚有部分未完工程的，承包人还应负责该未完工程的照管和维护工作，直至完工后移交给发包人为止。</w:t>
      </w:r>
    </w:p>
    <w:p w14:paraId="0E034EC4">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4.1.10其他义务</w:t>
      </w:r>
    </w:p>
    <w:p w14:paraId="4B924168">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其他义务在专用合同条款中补充约定。</w:t>
      </w:r>
    </w:p>
    <w:p w14:paraId="23D1BF56">
      <w:pPr>
        <w:spacing w:line="360" w:lineRule="auto"/>
        <w:jc w:val="left"/>
        <w:rPr>
          <w:rFonts w:hint="eastAsia" w:ascii="宋体" w:hAnsi="宋体" w:cs="宋体"/>
          <w:b/>
          <w:bCs/>
          <w:color w:val="auto"/>
          <w:sz w:val="28"/>
          <w:szCs w:val="28"/>
          <w:highlight w:val="none"/>
        </w:rPr>
      </w:pPr>
      <w:bookmarkStart w:id="680" w:name="_Toc484015651"/>
      <w:bookmarkStart w:id="681" w:name="_Toc486160907"/>
      <w:r>
        <w:rPr>
          <w:rFonts w:hint="eastAsia" w:ascii="宋体" w:hAnsi="宋体" w:cs="宋体"/>
          <w:b/>
          <w:bCs/>
          <w:color w:val="auto"/>
          <w:sz w:val="28"/>
          <w:szCs w:val="28"/>
          <w:highlight w:val="none"/>
        </w:rPr>
        <w:t>4.2履约担保</w:t>
      </w:r>
      <w:bookmarkEnd w:id="680"/>
      <w:bookmarkEnd w:id="681"/>
    </w:p>
    <w:p w14:paraId="466A58BE">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承包人应保证其履约担保在发包人颁发合同工程完工证书前一直有效。发包人应在合同工程完工证书颁发后28天内将履约担保退还给承包人。</w:t>
      </w:r>
    </w:p>
    <w:p w14:paraId="4F5976FE">
      <w:pPr>
        <w:spacing w:line="360" w:lineRule="auto"/>
        <w:jc w:val="left"/>
        <w:rPr>
          <w:rFonts w:hint="eastAsia" w:ascii="宋体" w:hAnsi="宋体" w:cs="宋体"/>
          <w:b/>
          <w:bCs/>
          <w:color w:val="auto"/>
          <w:sz w:val="28"/>
          <w:szCs w:val="28"/>
          <w:highlight w:val="none"/>
        </w:rPr>
      </w:pPr>
      <w:bookmarkStart w:id="682" w:name="_Toc484015652"/>
      <w:bookmarkStart w:id="683" w:name="_Toc486160908"/>
      <w:r>
        <w:rPr>
          <w:rFonts w:hint="eastAsia" w:ascii="宋体" w:hAnsi="宋体" w:cs="宋体"/>
          <w:b/>
          <w:bCs/>
          <w:color w:val="auto"/>
          <w:sz w:val="28"/>
          <w:szCs w:val="28"/>
          <w:highlight w:val="none"/>
        </w:rPr>
        <w:t>4.3分包</w:t>
      </w:r>
      <w:bookmarkEnd w:id="682"/>
      <w:bookmarkEnd w:id="683"/>
    </w:p>
    <w:p w14:paraId="538F64A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4.3.1 承包人不得将其承包的全部工程转包给第三人，或将其承包的全部工程肢解后以分包的名义转包给第三人。</w:t>
      </w:r>
    </w:p>
    <w:p w14:paraId="083893EE">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4.3.2 承包人不得将工程主体、关键性工作分包给第三人。除专用合同条款另有约定外，未经发包人同意，承包人不得将工程的其他部分或工作分包给第三人。</w:t>
      </w:r>
    </w:p>
    <w:p w14:paraId="03FEC3FD">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4.3.3 分包人的资格能力应与其分包工程的标准和规模相适应。</w:t>
      </w:r>
    </w:p>
    <w:p w14:paraId="71838AAE">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4.3.4 按投标函附录约定分包工程的，承包人应向发包人和监理人提交分包合同副本。</w:t>
      </w:r>
    </w:p>
    <w:p w14:paraId="49B844A2">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4.3.5 承包人应与分包人就分包工程向发包人承担连带责任。</w:t>
      </w:r>
    </w:p>
    <w:p w14:paraId="01E4E53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4.3.6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p>
    <w:p w14:paraId="2620EC53">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4.3.7 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p>
    <w:p w14:paraId="76160649">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由指定分包人造成的与其分包工作有关的一切索赔、诉讼和损失赔偿由指定分包人直接对发包人负责，承包人不对此承担责任。</w:t>
      </w:r>
    </w:p>
    <w:p w14:paraId="411D654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4.3.8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p>
    <w:p w14:paraId="394658DE">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4.3.9 除4.3.7项规定的指定分包外，承包人对其分包项目的实施以及分包人的行为向发包人负全部责任。承包人应对分包项目的工程进度、质量、安全、计量和验收等实施监督和管理。</w:t>
      </w:r>
    </w:p>
    <w:p w14:paraId="4C7ACAA2">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4.3.10 分包人应按专用合同条款的约定设立项目管理机构组织管理分包工程的施工活动。</w:t>
      </w:r>
    </w:p>
    <w:p w14:paraId="137F1794">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4.4联合体</w:t>
      </w:r>
    </w:p>
    <w:p w14:paraId="27667474">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4.4.1 联合体各方应共同与发包人签订合同协议书。联合体各方应为履行合同承担连带责任。</w:t>
      </w:r>
    </w:p>
    <w:p w14:paraId="7C2AEAD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4.4.2 联合体协议经发包人确认后作为合同附件。在履行合同过程中，未经发包人同意，不得修改联合体协议。</w:t>
      </w:r>
    </w:p>
    <w:p w14:paraId="6618569F">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4.4.3 联合体牵头人负责与发包人和监理人联系，并接受指示，负责组织联合体各成员全面履行合同。</w:t>
      </w:r>
    </w:p>
    <w:p w14:paraId="03F4A1F7">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4.5承包人项目经理</w:t>
      </w:r>
    </w:p>
    <w:p w14:paraId="3E0BF7D1">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4.5.1 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p>
    <w:p w14:paraId="6DF0FD32">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4.5.2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57CD864E">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4.5.3 承包人为履行合同发出的一切函件均应盖有承包人授权的施工场地管理机构章，并由承包人项目经理或其授权代表签字。</w:t>
      </w:r>
    </w:p>
    <w:p w14:paraId="6944173D">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4.5.4 承包人项目经理可以授权其下属人员履行其某项职责，但事先应将这些人员的姓名和授权范围通知监理人。</w:t>
      </w:r>
    </w:p>
    <w:p w14:paraId="094EDCFA">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4.6承包人人员的管理</w:t>
      </w:r>
    </w:p>
    <w:p w14:paraId="4CDA7C5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787583EF">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4.6.2 为完成合同约定的各项工作，承包人应向施工场地派遣或雇佣足够数量的下列人员：</w:t>
      </w:r>
    </w:p>
    <w:p w14:paraId="1F81E73C">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（1）具有相应资格的专业技工和合格的普工；</w:t>
      </w:r>
    </w:p>
    <w:p w14:paraId="432D80C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（2）具有相应施工经验的技术人员；</w:t>
      </w:r>
    </w:p>
    <w:p w14:paraId="0163A40F">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（3）具有相应岗位资格的各级管理人员。</w:t>
      </w:r>
    </w:p>
    <w:p w14:paraId="6CAB0F7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4.6.3 承包人安排在施工场地的主要管理人员和技术骨干应相对稳定。承包人更换主要管理人员和技术骨干时，应取得监理人的同意。</w:t>
      </w:r>
    </w:p>
    <w:p w14:paraId="1E0DDC91">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4.6.4 特殊岗位的工作人员均应持有相应的资格证明，监理人有权随时检查。监理人认为有必要时，可进行现场考核。</w:t>
      </w:r>
    </w:p>
    <w:p w14:paraId="78BC86CC">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4.7撤换承包人项目经理和其他人员</w:t>
      </w:r>
    </w:p>
    <w:p w14:paraId="7ECA98EB">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承包人应对其项目经理和其他人员进行有效管理。监理人要求撤换不能胜任本职工作、行为不端或玩忽职守的承包人项目经理和其他人员的，承包人应予以撤换。</w:t>
      </w:r>
    </w:p>
    <w:p w14:paraId="3DD069E1">
      <w:pPr>
        <w:spacing w:line="360" w:lineRule="auto"/>
        <w:jc w:val="left"/>
        <w:rPr>
          <w:rFonts w:hint="eastAsia" w:ascii="宋体" w:hAnsi="宋体" w:cs="宋体"/>
          <w:b/>
          <w:bCs/>
          <w:color w:val="auto"/>
          <w:sz w:val="28"/>
          <w:szCs w:val="28"/>
          <w:highlight w:val="none"/>
        </w:rPr>
      </w:pPr>
      <w:bookmarkStart w:id="684" w:name="_Toc486160909"/>
      <w:bookmarkStart w:id="685" w:name="_Toc484015653"/>
      <w:r>
        <w:rPr>
          <w:rFonts w:hint="eastAsia" w:ascii="宋体" w:hAnsi="宋体" w:cs="宋体"/>
          <w:b/>
          <w:bCs/>
          <w:color w:val="auto"/>
          <w:sz w:val="28"/>
          <w:szCs w:val="28"/>
          <w:highlight w:val="none"/>
        </w:rPr>
        <w:t>4.8保障承包人人员的合法权益</w:t>
      </w:r>
      <w:bookmarkEnd w:id="684"/>
      <w:bookmarkEnd w:id="685"/>
    </w:p>
    <w:p w14:paraId="64DFF9A6">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4.8.1 承包人应与其雇佣的人员签订劳动合同，并按时发放工资。</w:t>
      </w:r>
    </w:p>
    <w:p w14:paraId="6EDAE460">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4.8.2 承包人应按劳动法的规定安排工作时间，保证其雇佣人员享有休息和休假的权利。因工程施工的特殊需要占用休假日或延长工作时间的，应不超过法律规定的限度，并按法律规定给予补休或付酬。</w:t>
      </w:r>
    </w:p>
    <w:p w14:paraId="151116B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4.8.3 承包人应为其雇佣人员提供必要的食宿条件，以及符合环境保护和卫生要求的生活环境，在远离城镇的施工场地，还应配备必要的伤病防治和急救的医务人员与医疗设施。</w:t>
      </w:r>
    </w:p>
    <w:p w14:paraId="3A48F6B5">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294D2FC4">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4.8.5承包人应按有关法律规定和合同约定，为其雇佣人员办理保险。</w:t>
      </w:r>
    </w:p>
    <w:p w14:paraId="089192AF">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4.8.6承包人应负责处理其雇佣人员因工伤亡事故的善后事宜。</w:t>
      </w:r>
    </w:p>
    <w:p w14:paraId="00E51EBB">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4.9工程价款应专款专用</w:t>
      </w:r>
    </w:p>
    <w:p w14:paraId="28B5E447">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发包人按合同约定支付给承包人的各项价款应专用于合同工程。</w:t>
      </w:r>
    </w:p>
    <w:p w14:paraId="3161A9D5">
      <w:pPr>
        <w:spacing w:line="360" w:lineRule="auto"/>
        <w:jc w:val="left"/>
        <w:rPr>
          <w:rFonts w:hint="eastAsia" w:ascii="宋体" w:hAnsi="宋体" w:cs="宋体"/>
          <w:b/>
          <w:bCs/>
          <w:color w:val="auto"/>
          <w:sz w:val="28"/>
          <w:szCs w:val="28"/>
          <w:highlight w:val="none"/>
        </w:rPr>
      </w:pPr>
      <w:bookmarkStart w:id="686" w:name="_Toc486160910"/>
      <w:bookmarkStart w:id="687" w:name="_Toc484015654"/>
      <w:r>
        <w:rPr>
          <w:rFonts w:hint="eastAsia" w:ascii="宋体" w:hAnsi="宋体" w:cs="宋体"/>
          <w:b/>
          <w:bCs/>
          <w:color w:val="auto"/>
          <w:sz w:val="28"/>
          <w:szCs w:val="28"/>
          <w:highlight w:val="none"/>
        </w:rPr>
        <w:t>4.10承包人现场查勘</w:t>
      </w:r>
      <w:bookmarkEnd w:id="686"/>
      <w:bookmarkEnd w:id="687"/>
    </w:p>
    <w:p w14:paraId="7E80EABD">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4.10.1 发包人应将其持有的现场地质勘探资料、水文气象资料提供给承包人，并对其准确性负责。但承包人应对其阅读上述有关资料后所作出的解释和推断负责。</w:t>
      </w:r>
    </w:p>
    <w:p w14:paraId="1ADECAAD">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14:paraId="225E974B">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4.11不利物质条件</w:t>
      </w:r>
    </w:p>
    <w:p w14:paraId="011B6C84">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4.11.1 除专用合同条款另有约定外，不利物质条件是指在施工中遭遇不可预见的外界障碍或自然条件造成施工受阻。</w:t>
      </w:r>
    </w:p>
    <w:p w14:paraId="1F3166D1">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4.11.2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p>
    <w:p w14:paraId="4BDE9E30">
      <w:pPr>
        <w:spacing w:line="360" w:lineRule="auto"/>
        <w:jc w:val="left"/>
        <w:outlineLvl w:val="2"/>
        <w:rPr>
          <w:rFonts w:hint="eastAsia" w:ascii="宋体" w:hAnsi="宋体" w:cs="宋体"/>
          <w:b/>
          <w:bCs/>
          <w:color w:val="auto"/>
          <w:sz w:val="28"/>
          <w:szCs w:val="28"/>
          <w:highlight w:val="none"/>
        </w:rPr>
      </w:pPr>
      <w:bookmarkStart w:id="688" w:name="_Toc96899327"/>
      <w:bookmarkStart w:id="689" w:name="_Toc20148315"/>
      <w:bookmarkStart w:id="690" w:name="_Toc22123"/>
      <w:bookmarkStart w:id="691" w:name="_Toc311930883"/>
      <w:r>
        <w:rPr>
          <w:rFonts w:hint="eastAsia" w:ascii="宋体" w:hAnsi="宋体" w:cs="宋体"/>
          <w:b/>
          <w:bCs/>
          <w:color w:val="auto"/>
          <w:sz w:val="28"/>
          <w:szCs w:val="28"/>
          <w:highlight w:val="none"/>
        </w:rPr>
        <w:t>5.材料和工程设备</w:t>
      </w:r>
      <w:bookmarkEnd w:id="688"/>
      <w:bookmarkEnd w:id="689"/>
      <w:bookmarkEnd w:id="690"/>
      <w:bookmarkEnd w:id="691"/>
    </w:p>
    <w:p w14:paraId="7DFA747B">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5.1承包人提供的材料和工程设备</w:t>
      </w:r>
    </w:p>
    <w:p w14:paraId="54A59AF6">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5.1.1 除第5.2款约定由发包人提供的材料和工程设备外，承包人负责采购、运输和保管完成本合同工作所需的材料和工程设备。承包人应对其采购的材料和工程设备负责。</w:t>
      </w:r>
    </w:p>
    <w:p w14:paraId="007AB955">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14:paraId="0C82DEBF">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5.1.3 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650DFD60">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5.2发包人提供的材料和工程设备</w:t>
      </w:r>
    </w:p>
    <w:p w14:paraId="74DB4581">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5.2.1 发包人提供的材料和工程设备，应在专用合同条款中写明材料和工程设备的名称、规格、数量、价格、交货方式、交货地点和计划交货日期等。</w:t>
      </w:r>
    </w:p>
    <w:p w14:paraId="0F2F11DF">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5.2.2 承包人应根据合同进度计划的安排，向监理人报送要求发包人交货的日期计划。发包人应按照监理人与合同双方当事人商定的交货日期，向承包人提交材料和工程设备。</w:t>
      </w:r>
    </w:p>
    <w:p w14:paraId="3B9DB27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5.2.3发包人应在材料和工程设备到货7天前通知承包人，承包人应会同监理人在约定的时间内，赴交货地点共同进行验收。发包人提供的材料和工程设备运至交货地点验收后，由承包人负责接收、卸货、运输和保管。</w:t>
      </w:r>
    </w:p>
    <w:p w14:paraId="6E711212">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5.2.4 发包人要求向承包人提前交货的，承包人不得拒绝，但发包人应承担承包人由此增加的费用。</w:t>
      </w:r>
    </w:p>
    <w:p w14:paraId="0CBC2B10">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5.2.5 承包人要求更改交货日期或地点的，应事先报请监理人批准。由于承包人要求更改交货时间或地点所增加的费用和（或）工期延误由承包人承担。</w:t>
      </w:r>
    </w:p>
    <w:p w14:paraId="44EB8B95">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14:paraId="0BF9860E">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5.3材料和工程设备专用于合同工程</w:t>
      </w:r>
    </w:p>
    <w:p w14:paraId="226123BB">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5.3.1 运入施工场地的材料、工程设备，包括备品备件、安装专用工器具与随机资料，必须专用于合同工程，未经监理人同意，承包人不得运出施工场地或挪作他用。</w:t>
      </w:r>
    </w:p>
    <w:p w14:paraId="490CB913">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25832C8D">
      <w:pPr>
        <w:spacing w:line="360" w:lineRule="auto"/>
        <w:jc w:val="left"/>
        <w:rPr>
          <w:rFonts w:hint="eastAsia" w:ascii="宋体" w:hAnsi="宋体" w:cs="宋体"/>
          <w:b/>
          <w:bCs/>
          <w:color w:val="auto"/>
          <w:sz w:val="28"/>
          <w:szCs w:val="28"/>
          <w:highlight w:val="none"/>
        </w:rPr>
      </w:pPr>
      <w:bookmarkStart w:id="692" w:name="_Hlk47366192"/>
      <w:r>
        <w:rPr>
          <w:rFonts w:hint="eastAsia" w:ascii="宋体" w:hAnsi="宋体" w:cs="宋体"/>
          <w:b/>
          <w:bCs/>
          <w:color w:val="auto"/>
          <w:sz w:val="28"/>
          <w:szCs w:val="28"/>
          <w:highlight w:val="none"/>
        </w:rPr>
        <w:t>5.4禁止使用不合格的材料和工程设备</w:t>
      </w:r>
      <w:bookmarkEnd w:id="692"/>
    </w:p>
    <w:p w14:paraId="077642DB">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5.4.1 监理人有权拒绝承包人提供的不合格材料或工程设备，并要求承包人立即进行更换。监理人应在更换后再次进行检查和检验，由此增加的费用和（或）工期延误由承包人承担。</w:t>
      </w:r>
    </w:p>
    <w:p w14:paraId="2FEDDAED">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5.4.2 监理人发现承包人使用了不合格的材料和工程设备，应即时发出指示要求承包人立即改正，并禁止在工程中继续使用不合格的材料和工程设备。</w:t>
      </w:r>
    </w:p>
    <w:p w14:paraId="1FDC5C9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5.4.3 发包人提供的材料或工程设备不符合合同要求的，承包人有权拒绝，并可要求发包人更换，由此增加的费用和（或）工期延误由发包人承担。</w:t>
      </w:r>
    </w:p>
    <w:p w14:paraId="274D9C10">
      <w:pPr>
        <w:spacing w:line="360" w:lineRule="auto"/>
        <w:jc w:val="left"/>
        <w:outlineLvl w:val="2"/>
        <w:rPr>
          <w:rFonts w:hint="eastAsia" w:ascii="宋体" w:hAnsi="宋体" w:cs="宋体"/>
          <w:b/>
          <w:bCs/>
          <w:color w:val="auto"/>
          <w:sz w:val="28"/>
          <w:szCs w:val="28"/>
          <w:highlight w:val="none"/>
        </w:rPr>
      </w:pPr>
      <w:bookmarkStart w:id="693" w:name="_Toc96899328"/>
      <w:bookmarkStart w:id="694" w:name="_Toc43"/>
      <w:bookmarkStart w:id="695" w:name="_Toc20148316"/>
      <w:bookmarkStart w:id="696" w:name="_Toc220639190"/>
      <w:r>
        <w:rPr>
          <w:rFonts w:hint="eastAsia" w:ascii="宋体" w:hAnsi="宋体" w:cs="宋体"/>
          <w:b/>
          <w:bCs/>
          <w:color w:val="auto"/>
          <w:sz w:val="28"/>
          <w:szCs w:val="28"/>
          <w:highlight w:val="none"/>
        </w:rPr>
        <w:t>6.施工设备和临时设施</w:t>
      </w:r>
      <w:bookmarkEnd w:id="693"/>
      <w:bookmarkEnd w:id="694"/>
      <w:bookmarkEnd w:id="695"/>
      <w:bookmarkEnd w:id="696"/>
    </w:p>
    <w:p w14:paraId="46DC900A">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6.1承包人提供的施工设备和临时设施</w:t>
      </w:r>
    </w:p>
    <w:p w14:paraId="1CD26F12">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6.1.1 承包人应按合同进度计划的要求，及时配置施工设备和修建临时设施。进入施工场地的承包人设备需经监理人核查后才能投入使用。承包人更换合同约定的承包人设备的，应报监理人批准。</w:t>
      </w:r>
    </w:p>
    <w:p w14:paraId="1AB3FF3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6.1.2 除专用合同条款另有约定外，承包人应自行承担修建临时设施的费用，需要临时占地的，应由发包人办理申请手续并承担相应费用。</w:t>
      </w:r>
    </w:p>
    <w:p w14:paraId="770E525E">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6.2发包人提供的施工设备和临时设施</w:t>
      </w:r>
    </w:p>
    <w:p w14:paraId="1EEF1663">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发包人提供的施工设备或临时设施在专用合同条款中约定。</w:t>
      </w:r>
    </w:p>
    <w:p w14:paraId="2E5CAC5F">
      <w:pPr>
        <w:spacing w:line="360" w:lineRule="auto"/>
        <w:jc w:val="left"/>
        <w:rPr>
          <w:rFonts w:hint="eastAsia" w:ascii="宋体" w:hAnsi="宋体" w:cs="宋体"/>
          <w:b/>
          <w:bCs/>
          <w:color w:val="auto"/>
          <w:sz w:val="28"/>
          <w:szCs w:val="28"/>
          <w:highlight w:val="none"/>
        </w:rPr>
      </w:pPr>
      <w:bookmarkStart w:id="697" w:name="_Toc484015657"/>
      <w:bookmarkStart w:id="698" w:name="_Toc486160913"/>
      <w:r>
        <w:rPr>
          <w:rFonts w:hint="eastAsia" w:ascii="宋体" w:hAnsi="宋体" w:cs="宋体"/>
          <w:b/>
          <w:bCs/>
          <w:color w:val="auto"/>
          <w:sz w:val="28"/>
          <w:szCs w:val="28"/>
          <w:highlight w:val="none"/>
        </w:rPr>
        <w:t>6.3要求承包人增加或更换施工设备</w:t>
      </w:r>
      <w:bookmarkEnd w:id="697"/>
      <w:bookmarkEnd w:id="698"/>
    </w:p>
    <w:p w14:paraId="1E4C127E">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承包人使用的施工设备不能满足合同进度计划和（或）质量要求时，监理人有权要求承包人增加或更换施工设备，承包人应及时增加或更换，由此增加的费用和（或）工期延误由承包人承担。</w:t>
      </w:r>
    </w:p>
    <w:p w14:paraId="66B87BBC">
      <w:pPr>
        <w:spacing w:line="360" w:lineRule="auto"/>
        <w:jc w:val="left"/>
        <w:rPr>
          <w:rFonts w:hint="eastAsia" w:ascii="宋体" w:hAnsi="宋体" w:cs="宋体"/>
          <w:b/>
          <w:bCs/>
          <w:color w:val="auto"/>
          <w:sz w:val="28"/>
          <w:szCs w:val="28"/>
          <w:highlight w:val="none"/>
        </w:rPr>
      </w:pPr>
      <w:bookmarkStart w:id="699" w:name="_Toc486160914"/>
      <w:bookmarkStart w:id="700" w:name="_Toc484015658"/>
      <w:r>
        <w:rPr>
          <w:rFonts w:hint="eastAsia" w:ascii="宋体" w:hAnsi="宋体" w:cs="宋体"/>
          <w:b/>
          <w:bCs/>
          <w:color w:val="auto"/>
          <w:sz w:val="28"/>
          <w:szCs w:val="28"/>
          <w:highlight w:val="none"/>
        </w:rPr>
        <w:t>6.4施工设备和临时设施专用于合同工程</w:t>
      </w:r>
      <w:bookmarkEnd w:id="699"/>
      <w:bookmarkEnd w:id="700"/>
    </w:p>
    <w:p w14:paraId="03857D7F">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6.4.1 除合同另有约定外，运入施工场地的所有施工设备以及在施工场地建设的临时设施应专用于合同工程。未经监理人同意，不得将上述施工设备和临时设施中的任何部分运出施工场地或挪作他用。</w:t>
      </w:r>
    </w:p>
    <w:p w14:paraId="3D231CEC">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6.4.2 经监理人同意，承包人可根据合同进度计划撤走闲置的施工设备。</w:t>
      </w:r>
    </w:p>
    <w:p w14:paraId="5468D639">
      <w:pPr>
        <w:spacing w:line="360" w:lineRule="auto"/>
        <w:jc w:val="left"/>
        <w:outlineLvl w:val="2"/>
        <w:rPr>
          <w:rFonts w:hint="eastAsia" w:ascii="宋体" w:hAnsi="宋体" w:cs="宋体"/>
          <w:b/>
          <w:bCs/>
          <w:color w:val="auto"/>
          <w:sz w:val="28"/>
          <w:szCs w:val="28"/>
          <w:highlight w:val="none"/>
        </w:rPr>
      </w:pPr>
      <w:bookmarkStart w:id="701" w:name="_Toc20148317"/>
      <w:bookmarkStart w:id="702" w:name="_Toc1679347549"/>
      <w:bookmarkStart w:id="703" w:name="_Toc14047"/>
      <w:bookmarkStart w:id="704" w:name="_Toc96899329"/>
      <w:r>
        <w:rPr>
          <w:rFonts w:hint="eastAsia" w:ascii="宋体" w:hAnsi="宋体" w:cs="宋体"/>
          <w:b/>
          <w:bCs/>
          <w:color w:val="auto"/>
          <w:sz w:val="28"/>
          <w:szCs w:val="28"/>
          <w:highlight w:val="none"/>
        </w:rPr>
        <w:t>7.交通运输</w:t>
      </w:r>
      <w:bookmarkEnd w:id="701"/>
      <w:bookmarkEnd w:id="702"/>
      <w:bookmarkEnd w:id="703"/>
      <w:bookmarkEnd w:id="704"/>
    </w:p>
    <w:p w14:paraId="3A759B78">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7.1道路通行权和场外设施</w:t>
      </w:r>
    </w:p>
    <w:p w14:paraId="51A88C0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p>
    <w:p w14:paraId="4D2444EC">
      <w:pPr>
        <w:spacing w:line="360" w:lineRule="auto"/>
        <w:jc w:val="left"/>
        <w:rPr>
          <w:rFonts w:hint="eastAsia" w:ascii="宋体" w:hAnsi="宋体" w:cs="宋体"/>
          <w:b/>
          <w:bCs/>
          <w:color w:val="auto"/>
          <w:sz w:val="28"/>
          <w:szCs w:val="28"/>
          <w:highlight w:val="none"/>
        </w:rPr>
      </w:pPr>
      <w:bookmarkStart w:id="705" w:name="_Toc484015660"/>
      <w:bookmarkStart w:id="706" w:name="_Toc486160916"/>
      <w:r>
        <w:rPr>
          <w:rFonts w:hint="eastAsia" w:ascii="宋体" w:hAnsi="宋体" w:cs="宋体"/>
          <w:b/>
          <w:bCs/>
          <w:color w:val="auto"/>
          <w:sz w:val="28"/>
          <w:szCs w:val="28"/>
          <w:highlight w:val="none"/>
        </w:rPr>
        <w:t>7.2场内施工道路</w:t>
      </w:r>
      <w:bookmarkEnd w:id="705"/>
      <w:bookmarkEnd w:id="706"/>
    </w:p>
    <w:p w14:paraId="11A037EF">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7.2.1 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p>
    <w:p w14:paraId="3CDED0AB">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7.2.2 承包人修建的临时道路和交通设施，应免费提供发包人、监理人以及与本合同有关的其他承包人使用。</w:t>
      </w:r>
    </w:p>
    <w:p w14:paraId="78E49991">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7.3场外交通</w:t>
      </w:r>
    </w:p>
    <w:p w14:paraId="119728A3">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7.3.1 承包人车辆外出行驶所需的场外公共道路的通行费、养路费和税款等由承包人承担。</w:t>
      </w:r>
    </w:p>
    <w:p w14:paraId="3A810524">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7.3.2 承包人应遵守有关交通法规，严格按照道路和桥梁的限制荷重安全行驶，并服从交通管理部门的检查和监督。</w:t>
      </w:r>
    </w:p>
    <w:p w14:paraId="45A91775">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7.4超大件和超重件的运输</w:t>
      </w:r>
    </w:p>
    <w:p w14:paraId="72757FF7">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1EE92664">
      <w:pPr>
        <w:spacing w:line="360" w:lineRule="auto"/>
        <w:jc w:val="left"/>
        <w:rPr>
          <w:rFonts w:hint="eastAsia" w:ascii="宋体" w:hAnsi="宋体" w:cs="宋体"/>
          <w:b/>
          <w:bCs/>
          <w:color w:val="auto"/>
          <w:sz w:val="28"/>
          <w:szCs w:val="28"/>
          <w:highlight w:val="none"/>
        </w:rPr>
      </w:pPr>
      <w:bookmarkStart w:id="707" w:name="_Toc486160917"/>
      <w:bookmarkStart w:id="708" w:name="_Toc484015661"/>
      <w:r>
        <w:rPr>
          <w:rFonts w:hint="eastAsia" w:ascii="宋体" w:hAnsi="宋体" w:cs="宋体"/>
          <w:b/>
          <w:bCs/>
          <w:color w:val="auto"/>
          <w:sz w:val="28"/>
          <w:szCs w:val="28"/>
          <w:highlight w:val="none"/>
        </w:rPr>
        <w:t>7.5道路和桥梁的损坏责任</w:t>
      </w:r>
      <w:bookmarkEnd w:id="707"/>
      <w:bookmarkEnd w:id="708"/>
    </w:p>
    <w:p w14:paraId="0CB58289">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因承包人运输造成施工场地内外公共道路和桥梁损坏的，由承包人承担修复损坏的全部费用和可能引起的赔偿。</w:t>
      </w:r>
    </w:p>
    <w:p w14:paraId="470B51F6">
      <w:pPr>
        <w:spacing w:line="360" w:lineRule="auto"/>
        <w:jc w:val="left"/>
        <w:rPr>
          <w:rFonts w:hint="eastAsia" w:ascii="宋体" w:hAnsi="宋体" w:cs="宋体"/>
          <w:b/>
          <w:bCs/>
          <w:color w:val="auto"/>
          <w:sz w:val="28"/>
          <w:szCs w:val="28"/>
          <w:highlight w:val="none"/>
        </w:rPr>
      </w:pPr>
      <w:bookmarkStart w:id="709" w:name="_Toc486160918"/>
      <w:bookmarkStart w:id="710" w:name="_Toc484015662"/>
      <w:r>
        <w:rPr>
          <w:rFonts w:hint="eastAsia" w:ascii="宋体" w:hAnsi="宋体" w:cs="宋体"/>
          <w:b/>
          <w:bCs/>
          <w:color w:val="auto"/>
          <w:sz w:val="28"/>
          <w:szCs w:val="28"/>
          <w:highlight w:val="none"/>
        </w:rPr>
        <w:t>7.6水路和航空运输</w:t>
      </w:r>
      <w:bookmarkEnd w:id="709"/>
      <w:bookmarkEnd w:id="710"/>
    </w:p>
    <w:p w14:paraId="16B39B16">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本条上述各款的内容适用于水路运输和航空运输，其中“道路”一词的涵义包括河道、航线、船闸、机场、码头、堤防以及水路或航空运输中其他相似结构物；“车辆”一词的涵义包括船舶和飞机等。</w:t>
      </w:r>
    </w:p>
    <w:p w14:paraId="19E230F8">
      <w:pPr>
        <w:spacing w:line="360" w:lineRule="auto"/>
        <w:jc w:val="left"/>
        <w:outlineLvl w:val="2"/>
        <w:rPr>
          <w:rFonts w:hint="eastAsia" w:ascii="宋体" w:hAnsi="宋体" w:cs="宋体"/>
          <w:b/>
          <w:bCs/>
          <w:color w:val="auto"/>
          <w:sz w:val="28"/>
          <w:szCs w:val="28"/>
          <w:highlight w:val="none"/>
        </w:rPr>
      </w:pPr>
      <w:bookmarkStart w:id="711" w:name="_Toc96899330"/>
      <w:bookmarkStart w:id="712" w:name="_Toc22168"/>
      <w:bookmarkStart w:id="713" w:name="_Toc20148318"/>
      <w:bookmarkStart w:id="714" w:name="_Toc1353531017"/>
      <w:r>
        <w:rPr>
          <w:rFonts w:hint="eastAsia" w:ascii="宋体" w:hAnsi="宋体" w:cs="宋体"/>
          <w:b/>
          <w:bCs/>
          <w:color w:val="auto"/>
          <w:sz w:val="28"/>
          <w:szCs w:val="28"/>
          <w:highlight w:val="none"/>
        </w:rPr>
        <w:t>8.测量放线</w:t>
      </w:r>
      <w:bookmarkEnd w:id="711"/>
      <w:bookmarkEnd w:id="712"/>
      <w:bookmarkEnd w:id="713"/>
      <w:bookmarkEnd w:id="714"/>
    </w:p>
    <w:p w14:paraId="0E3F4834">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8.1施工控制网</w:t>
      </w:r>
    </w:p>
    <w:p w14:paraId="69B128BA">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8.1.1 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p>
    <w:p w14:paraId="1D859A11">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8.1.2 承包人应负责管理施工控制网点。施工控制网点丢失或损坏的，承包人应及时修复。承包人应承担施工控制网点的管理与修复费用，并在工程完工后将施工控制网点移交发包人。</w:t>
      </w:r>
    </w:p>
    <w:p w14:paraId="5E6E0CB7">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8.2施工测量</w:t>
      </w:r>
    </w:p>
    <w:p w14:paraId="7CE0A43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8.2.1 承包人应负责施工过程中的全部施工测量放线工作，并配置合格的人员、仪器、设备和其他物品。</w:t>
      </w:r>
    </w:p>
    <w:p w14:paraId="17F2593D">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8.2.2 监理人可以指示承包人进行抽样复测，当复测中发现错误或出现超过合同约定的误差时，承包人应按监理人指示进行修正或补测，并承担相应的复测费用。</w:t>
      </w:r>
    </w:p>
    <w:p w14:paraId="41B0CF33">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8.3基准资料错误的责任</w:t>
      </w:r>
    </w:p>
    <w:p w14:paraId="2DEB02DF">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58929089">
      <w:pPr>
        <w:spacing w:line="360" w:lineRule="auto"/>
        <w:jc w:val="left"/>
        <w:rPr>
          <w:rFonts w:hint="eastAsia" w:ascii="宋体" w:hAnsi="宋体" w:cs="宋体"/>
          <w:b/>
          <w:bCs/>
          <w:color w:val="auto"/>
          <w:sz w:val="28"/>
          <w:szCs w:val="28"/>
          <w:highlight w:val="none"/>
        </w:rPr>
      </w:pPr>
      <w:bookmarkStart w:id="715" w:name="_Toc486160920"/>
      <w:bookmarkStart w:id="716" w:name="_Toc484015664"/>
      <w:r>
        <w:rPr>
          <w:rFonts w:hint="eastAsia" w:ascii="宋体" w:hAnsi="宋体" w:cs="宋体"/>
          <w:b/>
          <w:bCs/>
          <w:color w:val="auto"/>
          <w:sz w:val="28"/>
          <w:szCs w:val="28"/>
          <w:highlight w:val="none"/>
        </w:rPr>
        <w:t>8.4监理人使用施工控制网</w:t>
      </w:r>
      <w:bookmarkEnd w:id="715"/>
      <w:bookmarkEnd w:id="716"/>
    </w:p>
    <w:p w14:paraId="31AB206B">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监理人需要使用施工控制网的，承包人应提供必要的协助，发包人不再为此支付费用。</w:t>
      </w:r>
    </w:p>
    <w:p w14:paraId="2FA18945">
      <w:pPr>
        <w:spacing w:line="360" w:lineRule="auto"/>
        <w:jc w:val="left"/>
        <w:rPr>
          <w:rFonts w:hint="eastAsia" w:ascii="宋体" w:hAnsi="宋体" w:cs="宋体"/>
          <w:b/>
          <w:bCs/>
          <w:color w:val="auto"/>
          <w:sz w:val="28"/>
          <w:szCs w:val="28"/>
          <w:highlight w:val="none"/>
        </w:rPr>
      </w:pPr>
      <w:bookmarkStart w:id="717" w:name="_Toc484015665"/>
      <w:bookmarkStart w:id="718" w:name="_Toc486160921"/>
      <w:r>
        <w:rPr>
          <w:rFonts w:hint="eastAsia" w:ascii="宋体" w:hAnsi="宋体" w:cs="宋体"/>
          <w:b/>
          <w:bCs/>
          <w:color w:val="auto"/>
          <w:sz w:val="28"/>
          <w:szCs w:val="28"/>
          <w:highlight w:val="none"/>
        </w:rPr>
        <w:t>8.5 补充地质勘探</w:t>
      </w:r>
      <w:bookmarkEnd w:id="717"/>
      <w:bookmarkEnd w:id="718"/>
    </w:p>
    <w:p w14:paraId="32DC20C5">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p>
    <w:p w14:paraId="74D95B32">
      <w:pPr>
        <w:spacing w:line="360" w:lineRule="auto"/>
        <w:jc w:val="left"/>
        <w:outlineLvl w:val="2"/>
        <w:rPr>
          <w:rFonts w:hint="eastAsia" w:ascii="宋体" w:hAnsi="宋体" w:cs="宋体"/>
          <w:b/>
          <w:bCs/>
          <w:color w:val="auto"/>
          <w:sz w:val="28"/>
          <w:szCs w:val="28"/>
          <w:highlight w:val="none"/>
        </w:rPr>
      </w:pPr>
      <w:bookmarkStart w:id="719" w:name="_Toc1116244628"/>
      <w:bookmarkStart w:id="720" w:name="_Toc19683"/>
      <w:bookmarkStart w:id="721" w:name="_Toc20148319"/>
      <w:bookmarkStart w:id="722" w:name="_Toc96899331"/>
      <w:r>
        <w:rPr>
          <w:rFonts w:hint="eastAsia" w:ascii="宋体" w:hAnsi="宋体" w:cs="宋体"/>
          <w:b/>
          <w:bCs/>
          <w:color w:val="auto"/>
          <w:sz w:val="28"/>
          <w:szCs w:val="28"/>
          <w:highlight w:val="none"/>
        </w:rPr>
        <w:t>9.施工安全、治安保卫和环境保护</w:t>
      </w:r>
      <w:bookmarkEnd w:id="719"/>
      <w:bookmarkEnd w:id="720"/>
      <w:bookmarkEnd w:id="721"/>
      <w:bookmarkEnd w:id="722"/>
    </w:p>
    <w:p w14:paraId="4414CA1C">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9.1发包人的施工安全责任</w:t>
      </w:r>
    </w:p>
    <w:p w14:paraId="5C9141C6">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9.1.1 发包人应按合同约定履行安全职责。发包人委托监理人根据国家有关安全的法律、法规、强制性标准以及部门规章，对承包人的安全责任履行情况进行监督和检查。监理人的监督检查不减轻承包人应负的安全责任。</w:t>
      </w:r>
    </w:p>
    <w:p w14:paraId="3DC78414">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9.1.2 发包人应对其现场机构雇佣的全部人员的工伤事故承担责任，但由于承包人原因造成发包人人员工伤的，应由承包人承担责任。</w:t>
      </w:r>
    </w:p>
    <w:p w14:paraId="27E1BA61">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9.1.3 发包人应负责赔偿以下各种情况造成的第三者人身伤亡和财产损失：</w:t>
      </w:r>
    </w:p>
    <w:p w14:paraId="54BF7CB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（1）工程或工程的任何部分对土地的占用所造成的第三者财产损失；</w:t>
      </w:r>
    </w:p>
    <w:p w14:paraId="3B9C99F5">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（2）由于发包人原因在施工场地及其毗邻地带造成的第三者人身伤亡和财产损失。</w:t>
      </w:r>
    </w:p>
    <w:p w14:paraId="6BB2800C">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9.1.4 除专用合同条款另有约定外，发包人负责向承包人提供施工现场及施工可能影响的毗邻区域内供水、排水、供电、供气、供热、通讯、广播电视等地下管线资料、气象和水文观测资料、拟建工程可能影响的相邻建筑物地下工程的有关资料，并保证有关资料的真实、准确、完整，满足有关技术规程的要求。</w:t>
      </w:r>
    </w:p>
    <w:p w14:paraId="0AA0805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9.1.5 发包人按照已标价工程量清单所列金额和合同约定的计量支付规定，支付安全作业环境及安全施工措施所需费用。</w:t>
      </w:r>
    </w:p>
    <w:p w14:paraId="27F189E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9.1.6 发包人负责组织工程参建单位编制保证安全生产的措施方案。工程开工前，就落实保证安全生产的措施进行全面系统的布置，进一步明确承包人的安全生产责任。</w:t>
      </w:r>
    </w:p>
    <w:p w14:paraId="174778CB">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9.1.7发包人负责在拆除工程和爆破工程施工14天前向有关部门或机构报送相关备案资料。</w:t>
      </w:r>
    </w:p>
    <w:p w14:paraId="16C23B0E">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9.2承包人的施工安全责任</w:t>
      </w:r>
    </w:p>
    <w:p w14:paraId="67FF0CEE">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9.2.1 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p>
    <w:p w14:paraId="55EEAFA6">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9.2.2 承包人应加强施工作业安全管理，特别应加强易燃、易爆材料、火工器材、有毒与腐蚀性材料和其他危险品的管理，以及对爆破作业和地下工程施工等危险作业的管理。</w:t>
      </w:r>
    </w:p>
    <w:p w14:paraId="6F6D6821">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9.2.3 承包人应严格按照国家安全标准制定施工安全操作规程，配备必要的安全生产和劳动保护设施，加强对承包人人员的安全教育，并发放安全工作手册和劳动保护用具。</w:t>
      </w:r>
    </w:p>
    <w:p w14:paraId="7E81A3C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9.2.4 承包人应按监理人的指示制定应对灾害的紧急预案，报送监理人审批。承包人还应按预案做好安全检查，配置必要的救助物资和器材，切实保护好有关人员的人身和财产安全。</w:t>
      </w:r>
    </w:p>
    <w:p w14:paraId="0086854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9.2.5 合同约定的安全作业环境及安全施工措施所需费用应遵守有关规定，并包括在相关工作的合同价格中。因采取合同未约定的安全作业环境及安全施工措施增加的费用，由监理人按第3.5款商定或确定。</w:t>
      </w:r>
    </w:p>
    <w:p w14:paraId="59327B56">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9.2.6 承包人应对其履行合同所雇佣的全部人员，包括分包人人员的工伤事故承担责任，但由于发包人原因造成承包人人员工伤事故的，应由发包人承担责任。</w:t>
      </w:r>
    </w:p>
    <w:p w14:paraId="723C88C4">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9.2.7 由于承包人原因在施工场地内及其毗邻地带造成的第三者人员伤亡和财产损失，由承包人负责赔偿。</w:t>
      </w:r>
    </w:p>
    <w:p w14:paraId="205AEA6A">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9.2.8 承包人已标价工程量清单应包含工程安全作业环境及安全施工措施所需费用。</w:t>
      </w:r>
    </w:p>
    <w:p w14:paraId="3CEE3FEB">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9.2.9承包人应当建立健全安全生产责任制度和安全生产教育培训制度，制定安全生产规章制度和操作规程，保证本单位建立和完善安全生产条件所需资金的投入，对本工程进行定期和专项安全检查，并做好安全检查记录。</w:t>
      </w:r>
    </w:p>
    <w:p w14:paraId="753BC4A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9.2.10 承包人应当设立安全生产管理机构，施工现场必须有专职安全生产管理人员。</w:t>
      </w:r>
    </w:p>
    <w:p w14:paraId="117CD5B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9.2.11 承包人应负责对特种作业人员进行专门的安全作业培训，并保证特种作业人员持证上岗。</w:t>
      </w:r>
    </w:p>
    <w:p w14:paraId="550E0B1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9.2.12 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p>
    <w:p w14:paraId="34802F6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9.2.13 承包人在使用施工起重机械和整体提升脚手架、模板等自升式架设设施前，应当组织有关单位进行验收。</w:t>
      </w:r>
    </w:p>
    <w:p w14:paraId="68C9994B">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9.3治安保卫</w:t>
      </w:r>
    </w:p>
    <w:p w14:paraId="0B63693B">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9.3.1 除合同另有约定外，发包人应与当地公安部门协商，在现场建立治安管理机构或联防组织，统一管理施工场地的治安保卫事项，履行合同工程的治安保卫职责。</w:t>
      </w:r>
    </w:p>
    <w:p w14:paraId="506E3CB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9.3.2 发包人和承包人除应协助现场治安管理机构或联防组织维护施工场地的社会治安外，还应做好包括生活区在内的各自管辖区的治安保卫工作。</w:t>
      </w:r>
    </w:p>
    <w:p w14:paraId="4BA5027F">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19DF8DEE">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9.4环境保护</w:t>
      </w:r>
    </w:p>
    <w:p w14:paraId="0B0A2BDA">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9.4.1 承包人在施工过程中，应遵守有关环境保护的法律，履行合同约定的环境保护义务，并对违反法律和合同约定义务所造成的环境破坏、人身伤害和财产损失负责。</w:t>
      </w:r>
    </w:p>
    <w:p w14:paraId="6CBFFBA0">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9.4.2 承包人应按合同约定的环保工作内容，编制施工环保措施计划，报送监理人审批。</w:t>
      </w:r>
    </w:p>
    <w:p w14:paraId="3E140E6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6AB5912C">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9.4.4 承包人应按合同约定采取有效措施，对施工开挖的边坡及时进行支护，维护排水设施，并进行水土保护，避免因施工造成的地质灾害。</w:t>
      </w:r>
    </w:p>
    <w:p w14:paraId="64930165">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9.4.5 承包人应按国家饮用水管理标准定期对饮用水源进行监测，防止施工活动污染饮用水源。</w:t>
      </w:r>
    </w:p>
    <w:p w14:paraId="6AE2B45B">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9.4.6 承包人应按合同约定，加强对噪声、粉尘、废气、废水和废油的控制，努力降低噪声，控制粉尘和废气浓度，做好废水和废油的治理和排放。</w:t>
      </w:r>
    </w:p>
    <w:p w14:paraId="75C34F0B">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9.5事故处理</w:t>
      </w:r>
    </w:p>
    <w:p w14:paraId="0351574C">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9.5.1 发包人负责组织参建单位制定本工程的质量与安全事故应急预案，建立质量与安全事故应急处置指挥部。</w:t>
      </w:r>
    </w:p>
    <w:p w14:paraId="4E70F57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9.5.2 承包人应对施工现场易发生重大事故的部位、环节进行监控，配备救援器材、设备，并定期组织演练。</w:t>
      </w:r>
    </w:p>
    <w:p w14:paraId="766B6834">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9.5.3 工程开工前，承包人应根据本工程的特点制定施工现场施工质量与安全事故应急预案，并报发包人备案。</w:t>
      </w:r>
    </w:p>
    <w:p w14:paraId="22B55734">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9.5.4 施工过程中发生事故时，发包人、承包人应立即启动应急预案。</w:t>
      </w:r>
    </w:p>
    <w:p w14:paraId="2FA2EC8E">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9.5.5 事故调查处理由发包人按相关规定履行手续，承包人应配合。</w:t>
      </w:r>
    </w:p>
    <w:p w14:paraId="290B3A61">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9.6水土保持</w:t>
      </w:r>
    </w:p>
    <w:p w14:paraId="147B0E5E">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9.6.1 发包人应及时向承包人提供水土保持方案。</w:t>
      </w:r>
    </w:p>
    <w:p w14:paraId="19C6A95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9.6.2 承包人在施工过程中，应遵守有关水土保持的法律法规和规章，履行合同约定的水土保持义务，并对其违反法律和合同约定义务所造成的水土流失灾害、人身伤害和财产损失负责。</w:t>
      </w:r>
    </w:p>
    <w:p w14:paraId="27FBC1D6">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9.6.3 承包人的水土保持措施计划，应满足技术标准和要求（合同技术条款）约定的水土保持要求。</w:t>
      </w:r>
    </w:p>
    <w:p w14:paraId="69B0FB97">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9.7文明工地</w:t>
      </w:r>
    </w:p>
    <w:p w14:paraId="2A099176">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9.7.1 发包人应按专用合同条款的约定，负责建立创建文明建设工地的组织机构，制定创建文明建设工地的规划和办法。</w:t>
      </w:r>
    </w:p>
    <w:p w14:paraId="36C0C0A6">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9.7.2 承包人应按创建文明建设工地的规划和办法，履行职责，承担相应责任。所需费用应含在已标价工程量清单中。</w:t>
      </w:r>
    </w:p>
    <w:p w14:paraId="38E3DA6E">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9.8防汛度汛</w:t>
      </w:r>
    </w:p>
    <w:p w14:paraId="722FCF02">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9.8.1 发包人组织工程参建单位编制本工程的度汛方案和措施。</w:t>
      </w:r>
    </w:p>
    <w:p w14:paraId="0AACE856">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9.8.2 承包人应根据发包人编制的本工程度汛方案和措施，制定相应的度汛方案，报送发包人批准后实施。</w:t>
      </w:r>
    </w:p>
    <w:p w14:paraId="26312DE8">
      <w:pPr>
        <w:spacing w:line="360" w:lineRule="auto"/>
        <w:jc w:val="left"/>
        <w:outlineLvl w:val="2"/>
        <w:rPr>
          <w:rFonts w:hint="eastAsia" w:ascii="宋体" w:hAnsi="宋体" w:cs="宋体"/>
          <w:b/>
          <w:bCs/>
          <w:color w:val="auto"/>
          <w:sz w:val="28"/>
          <w:szCs w:val="28"/>
          <w:highlight w:val="none"/>
        </w:rPr>
      </w:pPr>
      <w:bookmarkStart w:id="723" w:name="_Toc47944976"/>
      <w:bookmarkStart w:id="724" w:name="_Toc20148320"/>
      <w:bookmarkStart w:id="725" w:name="_Toc18129"/>
      <w:bookmarkStart w:id="726" w:name="_Toc96899332"/>
      <w:r>
        <w:rPr>
          <w:rFonts w:hint="eastAsia" w:ascii="宋体" w:hAnsi="宋体" w:cs="宋体"/>
          <w:b/>
          <w:bCs/>
          <w:color w:val="auto"/>
          <w:sz w:val="28"/>
          <w:szCs w:val="28"/>
          <w:highlight w:val="none"/>
        </w:rPr>
        <w:t>10.进度计划</w:t>
      </w:r>
      <w:bookmarkEnd w:id="723"/>
      <w:bookmarkEnd w:id="724"/>
      <w:bookmarkEnd w:id="725"/>
      <w:bookmarkEnd w:id="726"/>
    </w:p>
    <w:p w14:paraId="7DE3CA05">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10.1合同进度计划</w:t>
      </w:r>
    </w:p>
    <w:p w14:paraId="634BB8B0">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合同进度计划，是控制合同工程进度的依据。承包人还应根据合同进度计划，编制更为详细的分阶段或单位工程或分部工程进度计划，报监理人审批。</w:t>
      </w:r>
    </w:p>
    <w:p w14:paraId="4EDE12B6">
      <w:pPr>
        <w:spacing w:line="360" w:lineRule="auto"/>
        <w:jc w:val="left"/>
        <w:rPr>
          <w:rFonts w:hint="eastAsia" w:ascii="宋体" w:hAnsi="宋体" w:cs="宋体"/>
          <w:b/>
          <w:bCs/>
          <w:color w:val="auto"/>
          <w:sz w:val="28"/>
          <w:szCs w:val="28"/>
          <w:highlight w:val="none"/>
        </w:rPr>
      </w:pPr>
      <w:bookmarkStart w:id="727" w:name="_Toc486160924"/>
      <w:bookmarkStart w:id="728" w:name="_Toc484015668"/>
      <w:r>
        <w:rPr>
          <w:rFonts w:hint="eastAsia" w:ascii="宋体" w:hAnsi="宋体" w:cs="宋体"/>
          <w:b/>
          <w:bCs/>
          <w:color w:val="auto"/>
          <w:sz w:val="28"/>
          <w:szCs w:val="28"/>
          <w:highlight w:val="none"/>
        </w:rPr>
        <w:t>10.2合同进度计划的修订</w:t>
      </w:r>
      <w:bookmarkEnd w:id="727"/>
      <w:bookmarkEnd w:id="728"/>
    </w:p>
    <w:p w14:paraId="0BFFFA9F">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p>
    <w:p w14:paraId="0C50DBD4">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p>
    <w:p w14:paraId="2D828123">
      <w:pPr>
        <w:spacing w:line="360" w:lineRule="auto"/>
        <w:jc w:val="left"/>
        <w:rPr>
          <w:rFonts w:hint="eastAsia" w:ascii="宋体" w:hAnsi="宋体" w:cs="宋体"/>
          <w:b/>
          <w:bCs/>
          <w:color w:val="auto"/>
          <w:sz w:val="28"/>
          <w:szCs w:val="28"/>
          <w:highlight w:val="none"/>
        </w:rPr>
      </w:pPr>
      <w:bookmarkStart w:id="729" w:name="_Toc484015669"/>
      <w:bookmarkStart w:id="730" w:name="_Toc486160925"/>
      <w:r>
        <w:rPr>
          <w:rFonts w:hint="eastAsia" w:ascii="宋体" w:hAnsi="宋体" w:cs="宋体"/>
          <w:b/>
          <w:bCs/>
          <w:color w:val="auto"/>
          <w:sz w:val="28"/>
          <w:szCs w:val="28"/>
          <w:highlight w:val="none"/>
        </w:rPr>
        <w:t>10.3单位工程进度计划</w:t>
      </w:r>
      <w:bookmarkEnd w:id="729"/>
      <w:bookmarkEnd w:id="730"/>
    </w:p>
    <w:p w14:paraId="7B1912F6">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监理人认为有必要时，承包人应按监理人指示的内容和期限，并根据合同进度计划的进度控制要求，编制单位工程进度计划，提交监理人审批。</w:t>
      </w:r>
    </w:p>
    <w:p w14:paraId="6CAEFF7E">
      <w:pPr>
        <w:spacing w:line="360" w:lineRule="auto"/>
        <w:jc w:val="left"/>
        <w:rPr>
          <w:rFonts w:hint="eastAsia" w:ascii="宋体" w:hAnsi="宋体" w:cs="宋体"/>
          <w:b/>
          <w:bCs/>
          <w:color w:val="auto"/>
          <w:sz w:val="28"/>
          <w:szCs w:val="28"/>
          <w:highlight w:val="none"/>
        </w:rPr>
      </w:pPr>
      <w:bookmarkStart w:id="731" w:name="_Toc486160926"/>
      <w:bookmarkStart w:id="732" w:name="_Toc484015670"/>
      <w:r>
        <w:rPr>
          <w:rFonts w:hint="eastAsia" w:ascii="宋体" w:hAnsi="宋体" w:cs="宋体"/>
          <w:b/>
          <w:bCs/>
          <w:color w:val="auto"/>
          <w:sz w:val="28"/>
          <w:szCs w:val="28"/>
          <w:highlight w:val="none"/>
        </w:rPr>
        <w:t>10.4提交资金流估算表</w:t>
      </w:r>
      <w:bookmarkEnd w:id="731"/>
      <w:bookmarkEnd w:id="732"/>
      <w:r>
        <w:rPr>
          <w:rFonts w:hint="eastAsia" w:ascii="宋体" w:hAnsi="宋体" w:cs="宋体"/>
          <w:b/>
          <w:bCs/>
          <w:color w:val="auto"/>
          <w:sz w:val="28"/>
          <w:szCs w:val="28"/>
          <w:highlight w:val="none"/>
        </w:rPr>
        <w:t xml:space="preserve">  </w:t>
      </w:r>
    </w:p>
    <w:p w14:paraId="2A02A76D">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p>
    <w:p w14:paraId="1037D62E">
      <w:pPr>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                      资金流估算表（</w:t>
      </w:r>
      <w:r>
        <w:rPr>
          <w:rFonts w:hint="eastAsia" w:ascii="宋体" w:hAnsi="宋体" w:cs="宋体"/>
          <w:color w:val="auto"/>
          <w:sz w:val="24"/>
          <w:highlight w:val="none"/>
        </w:rPr>
        <w:t>参考格式</w:t>
      </w: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  金额单位</w:t>
      </w:r>
    </w:p>
    <w:tbl>
      <w:tblPr>
        <w:tblStyle w:val="16"/>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4"/>
        <w:gridCol w:w="414"/>
        <w:gridCol w:w="960"/>
        <w:gridCol w:w="1155"/>
        <w:gridCol w:w="1125"/>
        <w:gridCol w:w="870"/>
        <w:gridCol w:w="945"/>
        <w:gridCol w:w="945"/>
        <w:gridCol w:w="1050"/>
        <w:gridCol w:w="1302"/>
      </w:tblGrid>
      <w:tr w14:paraId="6F182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 w:type="dxa"/>
            <w:vAlign w:val="center"/>
          </w:tcPr>
          <w:p w14:paraId="67127767">
            <w:pPr>
              <w:jc w:val="center"/>
              <w:rPr>
                <w:rFonts w:hint="eastAsia" w:ascii="宋体" w:hAnsi="宋体" w:cs="宋体"/>
                <w:color w:val="auto"/>
                <w:sz w:val="24"/>
                <w:highlight w:val="none"/>
              </w:rPr>
            </w:pPr>
            <w:r>
              <w:rPr>
                <w:rFonts w:hint="eastAsia" w:ascii="宋体" w:hAnsi="宋体" w:cs="宋体"/>
                <w:color w:val="auto"/>
                <w:sz w:val="24"/>
                <w:highlight w:val="none"/>
              </w:rPr>
              <w:t>年</w:t>
            </w:r>
          </w:p>
        </w:tc>
        <w:tc>
          <w:tcPr>
            <w:tcW w:w="414" w:type="dxa"/>
            <w:vAlign w:val="center"/>
          </w:tcPr>
          <w:p w14:paraId="4CC86CEE">
            <w:pPr>
              <w:jc w:val="center"/>
              <w:rPr>
                <w:rFonts w:hint="eastAsia" w:ascii="宋体" w:hAnsi="宋体" w:cs="宋体"/>
                <w:color w:val="auto"/>
                <w:sz w:val="24"/>
                <w:highlight w:val="none"/>
              </w:rPr>
            </w:pPr>
            <w:r>
              <w:rPr>
                <w:rFonts w:hint="eastAsia" w:ascii="宋体" w:hAnsi="宋体" w:cs="宋体"/>
                <w:color w:val="auto"/>
                <w:sz w:val="24"/>
                <w:highlight w:val="none"/>
              </w:rPr>
              <w:t>月</w:t>
            </w:r>
          </w:p>
        </w:tc>
        <w:tc>
          <w:tcPr>
            <w:tcW w:w="960" w:type="dxa"/>
            <w:vAlign w:val="center"/>
          </w:tcPr>
          <w:p w14:paraId="2E2CAAC7">
            <w:pPr>
              <w:jc w:val="center"/>
              <w:rPr>
                <w:rFonts w:hint="eastAsia" w:ascii="宋体" w:hAnsi="宋体" w:cs="宋体"/>
                <w:color w:val="auto"/>
                <w:sz w:val="24"/>
                <w:highlight w:val="none"/>
              </w:rPr>
            </w:pPr>
            <w:r>
              <w:rPr>
                <w:rFonts w:hint="eastAsia" w:ascii="宋体" w:hAnsi="宋体" w:cs="宋体"/>
                <w:color w:val="auto"/>
                <w:sz w:val="24"/>
                <w:highlight w:val="none"/>
              </w:rPr>
              <w:t>工程</w:t>
            </w:r>
          </w:p>
          <w:p w14:paraId="32758465">
            <w:pPr>
              <w:jc w:val="center"/>
              <w:rPr>
                <w:rFonts w:hint="eastAsia" w:ascii="宋体" w:hAnsi="宋体" w:cs="宋体"/>
                <w:color w:val="auto"/>
                <w:sz w:val="24"/>
                <w:highlight w:val="none"/>
              </w:rPr>
            </w:pPr>
            <w:r>
              <w:rPr>
                <w:rFonts w:hint="eastAsia" w:ascii="宋体" w:hAnsi="宋体" w:cs="宋体"/>
                <w:color w:val="auto"/>
                <w:sz w:val="24"/>
                <w:highlight w:val="none"/>
              </w:rPr>
              <w:t>预付款</w:t>
            </w:r>
          </w:p>
        </w:tc>
        <w:tc>
          <w:tcPr>
            <w:tcW w:w="1155" w:type="dxa"/>
            <w:vAlign w:val="center"/>
          </w:tcPr>
          <w:p w14:paraId="2823FED7">
            <w:pPr>
              <w:jc w:val="center"/>
              <w:rPr>
                <w:rFonts w:hint="eastAsia" w:ascii="宋体" w:hAnsi="宋体" w:cs="宋体"/>
                <w:color w:val="auto"/>
                <w:sz w:val="24"/>
                <w:highlight w:val="none"/>
              </w:rPr>
            </w:pPr>
            <w:r>
              <w:rPr>
                <w:rFonts w:hint="eastAsia" w:ascii="宋体" w:hAnsi="宋体" w:cs="宋体"/>
                <w:color w:val="auto"/>
                <w:sz w:val="24"/>
                <w:highlight w:val="none"/>
              </w:rPr>
              <w:t>完成工作量付款</w:t>
            </w:r>
          </w:p>
        </w:tc>
        <w:tc>
          <w:tcPr>
            <w:tcW w:w="1125" w:type="dxa"/>
            <w:vAlign w:val="center"/>
          </w:tcPr>
          <w:p w14:paraId="52F0E5C2">
            <w:pPr>
              <w:jc w:val="center"/>
              <w:rPr>
                <w:rFonts w:hint="eastAsia" w:ascii="宋体" w:hAnsi="宋体" w:cs="宋体"/>
                <w:color w:val="auto"/>
                <w:sz w:val="24"/>
                <w:highlight w:val="none"/>
              </w:rPr>
            </w:pPr>
            <w:r>
              <w:rPr>
                <w:rFonts w:hint="eastAsia" w:ascii="宋体" w:hAnsi="宋体" w:cs="宋体"/>
                <w:color w:val="auto"/>
                <w:sz w:val="24"/>
                <w:highlight w:val="none"/>
              </w:rPr>
              <w:t>质量保证金扣留</w:t>
            </w:r>
          </w:p>
        </w:tc>
        <w:tc>
          <w:tcPr>
            <w:tcW w:w="870" w:type="dxa"/>
            <w:vAlign w:val="center"/>
          </w:tcPr>
          <w:p w14:paraId="4844B3AB">
            <w:pPr>
              <w:jc w:val="center"/>
              <w:rPr>
                <w:rFonts w:hint="eastAsia" w:ascii="宋体" w:hAnsi="宋体" w:cs="宋体"/>
                <w:color w:val="auto"/>
                <w:sz w:val="24"/>
                <w:highlight w:val="none"/>
              </w:rPr>
            </w:pPr>
            <w:r>
              <w:rPr>
                <w:rFonts w:hint="eastAsia" w:ascii="宋体" w:hAnsi="宋体" w:cs="宋体"/>
                <w:color w:val="auto"/>
                <w:sz w:val="24"/>
                <w:highlight w:val="none"/>
              </w:rPr>
              <w:t>材料款</w:t>
            </w:r>
          </w:p>
          <w:p w14:paraId="31D723FA">
            <w:pPr>
              <w:jc w:val="center"/>
              <w:rPr>
                <w:rFonts w:hint="eastAsia" w:ascii="宋体" w:hAnsi="宋体" w:cs="宋体"/>
                <w:color w:val="auto"/>
                <w:sz w:val="24"/>
                <w:highlight w:val="none"/>
              </w:rPr>
            </w:pPr>
            <w:r>
              <w:rPr>
                <w:rFonts w:hint="eastAsia" w:ascii="宋体" w:hAnsi="宋体" w:cs="宋体"/>
                <w:color w:val="auto"/>
                <w:sz w:val="24"/>
                <w:highlight w:val="none"/>
              </w:rPr>
              <w:t>扣除</w:t>
            </w:r>
          </w:p>
        </w:tc>
        <w:tc>
          <w:tcPr>
            <w:tcW w:w="945" w:type="dxa"/>
            <w:vAlign w:val="center"/>
          </w:tcPr>
          <w:p w14:paraId="7137DB15">
            <w:pPr>
              <w:jc w:val="center"/>
              <w:rPr>
                <w:rFonts w:hint="eastAsia" w:ascii="宋体" w:hAnsi="宋体" w:cs="宋体"/>
                <w:color w:val="auto"/>
                <w:sz w:val="24"/>
                <w:highlight w:val="none"/>
              </w:rPr>
            </w:pPr>
            <w:r>
              <w:rPr>
                <w:rFonts w:hint="eastAsia" w:ascii="宋体" w:hAnsi="宋体" w:cs="宋体"/>
                <w:color w:val="auto"/>
                <w:sz w:val="24"/>
                <w:highlight w:val="none"/>
              </w:rPr>
              <w:t>预付款</w:t>
            </w:r>
          </w:p>
          <w:p w14:paraId="1D19CAAC">
            <w:pPr>
              <w:jc w:val="center"/>
              <w:rPr>
                <w:rFonts w:hint="eastAsia" w:ascii="宋体" w:hAnsi="宋体" w:cs="宋体"/>
                <w:color w:val="auto"/>
                <w:sz w:val="24"/>
                <w:highlight w:val="none"/>
              </w:rPr>
            </w:pPr>
            <w:r>
              <w:rPr>
                <w:rFonts w:hint="eastAsia" w:ascii="宋体" w:hAnsi="宋体" w:cs="宋体"/>
                <w:color w:val="auto"/>
                <w:sz w:val="24"/>
                <w:highlight w:val="none"/>
              </w:rPr>
              <w:t>扣还</w:t>
            </w:r>
          </w:p>
        </w:tc>
        <w:tc>
          <w:tcPr>
            <w:tcW w:w="945" w:type="dxa"/>
            <w:vAlign w:val="center"/>
          </w:tcPr>
          <w:p w14:paraId="297FD9A3">
            <w:pPr>
              <w:jc w:val="center"/>
              <w:rPr>
                <w:rFonts w:hint="eastAsia" w:ascii="宋体" w:hAnsi="宋体" w:cs="宋体"/>
                <w:color w:val="auto"/>
                <w:sz w:val="24"/>
                <w:highlight w:val="none"/>
              </w:rPr>
            </w:pPr>
            <w:r>
              <w:rPr>
                <w:rFonts w:hint="eastAsia" w:ascii="宋体" w:hAnsi="宋体" w:cs="宋体"/>
                <w:color w:val="auto"/>
                <w:sz w:val="24"/>
                <w:highlight w:val="none"/>
              </w:rPr>
              <w:t>其他</w:t>
            </w:r>
          </w:p>
        </w:tc>
        <w:tc>
          <w:tcPr>
            <w:tcW w:w="1050" w:type="dxa"/>
            <w:vAlign w:val="center"/>
          </w:tcPr>
          <w:p w14:paraId="3489DE50">
            <w:pPr>
              <w:jc w:val="center"/>
              <w:rPr>
                <w:rFonts w:hint="eastAsia" w:ascii="宋体" w:hAnsi="宋体" w:cs="宋体"/>
                <w:color w:val="auto"/>
                <w:sz w:val="24"/>
                <w:highlight w:val="none"/>
              </w:rPr>
            </w:pPr>
            <w:r>
              <w:rPr>
                <w:rFonts w:hint="eastAsia" w:ascii="宋体" w:hAnsi="宋体" w:cs="宋体"/>
                <w:color w:val="auto"/>
                <w:sz w:val="24"/>
                <w:highlight w:val="none"/>
              </w:rPr>
              <w:t>应收款</w:t>
            </w:r>
          </w:p>
        </w:tc>
        <w:tc>
          <w:tcPr>
            <w:tcW w:w="1302" w:type="dxa"/>
            <w:vAlign w:val="center"/>
          </w:tcPr>
          <w:p w14:paraId="4592A9C8">
            <w:pPr>
              <w:jc w:val="center"/>
              <w:rPr>
                <w:rFonts w:hint="eastAsia" w:ascii="宋体" w:hAnsi="宋体" w:cs="宋体"/>
                <w:color w:val="auto"/>
                <w:sz w:val="24"/>
                <w:highlight w:val="none"/>
              </w:rPr>
            </w:pPr>
            <w:r>
              <w:rPr>
                <w:rFonts w:hint="eastAsia" w:ascii="宋体" w:hAnsi="宋体" w:cs="宋体"/>
                <w:color w:val="auto"/>
                <w:sz w:val="24"/>
                <w:highlight w:val="none"/>
              </w:rPr>
              <w:t>累计</w:t>
            </w:r>
          </w:p>
          <w:p w14:paraId="23B6691B">
            <w:pPr>
              <w:jc w:val="center"/>
              <w:rPr>
                <w:rFonts w:hint="eastAsia" w:ascii="宋体" w:hAnsi="宋体" w:cs="宋体"/>
                <w:color w:val="auto"/>
                <w:sz w:val="24"/>
                <w:highlight w:val="none"/>
              </w:rPr>
            </w:pPr>
            <w:r>
              <w:rPr>
                <w:rFonts w:hint="eastAsia" w:ascii="宋体" w:hAnsi="宋体" w:cs="宋体"/>
                <w:color w:val="auto"/>
                <w:sz w:val="24"/>
                <w:highlight w:val="none"/>
              </w:rPr>
              <w:t>应收款</w:t>
            </w:r>
          </w:p>
        </w:tc>
      </w:tr>
      <w:tr w14:paraId="03FBF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 w:type="dxa"/>
            <w:vAlign w:val="center"/>
          </w:tcPr>
          <w:p w14:paraId="6FCB19F9">
            <w:pPr>
              <w:jc w:val="center"/>
              <w:rPr>
                <w:rFonts w:hint="eastAsia" w:ascii="宋体" w:hAnsi="宋体" w:cs="宋体"/>
                <w:color w:val="auto"/>
                <w:sz w:val="24"/>
                <w:highlight w:val="none"/>
              </w:rPr>
            </w:pPr>
          </w:p>
        </w:tc>
        <w:tc>
          <w:tcPr>
            <w:tcW w:w="414" w:type="dxa"/>
            <w:vAlign w:val="center"/>
          </w:tcPr>
          <w:p w14:paraId="35DEEFCD">
            <w:pPr>
              <w:jc w:val="center"/>
              <w:rPr>
                <w:rFonts w:hint="eastAsia" w:ascii="宋体" w:hAnsi="宋体" w:cs="宋体"/>
                <w:color w:val="auto"/>
                <w:sz w:val="24"/>
                <w:highlight w:val="none"/>
              </w:rPr>
            </w:pPr>
          </w:p>
        </w:tc>
        <w:tc>
          <w:tcPr>
            <w:tcW w:w="960" w:type="dxa"/>
            <w:vAlign w:val="center"/>
          </w:tcPr>
          <w:p w14:paraId="5DFA174B">
            <w:pPr>
              <w:jc w:val="center"/>
              <w:rPr>
                <w:rFonts w:hint="eastAsia" w:ascii="宋体" w:hAnsi="宋体" w:cs="宋体"/>
                <w:color w:val="auto"/>
                <w:sz w:val="24"/>
                <w:highlight w:val="none"/>
              </w:rPr>
            </w:pPr>
          </w:p>
        </w:tc>
        <w:tc>
          <w:tcPr>
            <w:tcW w:w="1155" w:type="dxa"/>
            <w:vAlign w:val="center"/>
          </w:tcPr>
          <w:p w14:paraId="66785E39">
            <w:pPr>
              <w:jc w:val="center"/>
              <w:rPr>
                <w:rFonts w:hint="eastAsia" w:ascii="宋体" w:hAnsi="宋体" w:cs="宋体"/>
                <w:color w:val="auto"/>
                <w:sz w:val="24"/>
                <w:highlight w:val="none"/>
              </w:rPr>
            </w:pPr>
          </w:p>
        </w:tc>
        <w:tc>
          <w:tcPr>
            <w:tcW w:w="1125" w:type="dxa"/>
            <w:vAlign w:val="center"/>
          </w:tcPr>
          <w:p w14:paraId="4B8A2B9D">
            <w:pPr>
              <w:jc w:val="center"/>
              <w:rPr>
                <w:rFonts w:hint="eastAsia" w:ascii="宋体" w:hAnsi="宋体" w:cs="宋体"/>
                <w:color w:val="auto"/>
                <w:sz w:val="24"/>
                <w:highlight w:val="none"/>
              </w:rPr>
            </w:pPr>
          </w:p>
        </w:tc>
        <w:tc>
          <w:tcPr>
            <w:tcW w:w="870" w:type="dxa"/>
            <w:vAlign w:val="center"/>
          </w:tcPr>
          <w:p w14:paraId="08F077E6">
            <w:pPr>
              <w:jc w:val="center"/>
              <w:rPr>
                <w:rFonts w:hint="eastAsia" w:ascii="宋体" w:hAnsi="宋体" w:cs="宋体"/>
                <w:color w:val="auto"/>
                <w:sz w:val="24"/>
                <w:highlight w:val="none"/>
              </w:rPr>
            </w:pPr>
          </w:p>
        </w:tc>
        <w:tc>
          <w:tcPr>
            <w:tcW w:w="945" w:type="dxa"/>
            <w:vAlign w:val="center"/>
          </w:tcPr>
          <w:p w14:paraId="7D7922AA">
            <w:pPr>
              <w:jc w:val="center"/>
              <w:rPr>
                <w:rFonts w:hint="eastAsia" w:ascii="宋体" w:hAnsi="宋体" w:cs="宋体"/>
                <w:color w:val="auto"/>
                <w:sz w:val="24"/>
                <w:highlight w:val="none"/>
              </w:rPr>
            </w:pPr>
          </w:p>
        </w:tc>
        <w:tc>
          <w:tcPr>
            <w:tcW w:w="945" w:type="dxa"/>
          </w:tcPr>
          <w:p w14:paraId="284B32AF">
            <w:pPr>
              <w:jc w:val="center"/>
              <w:rPr>
                <w:rFonts w:hint="eastAsia" w:ascii="宋体" w:hAnsi="宋体" w:cs="宋体"/>
                <w:color w:val="auto"/>
                <w:sz w:val="24"/>
                <w:highlight w:val="none"/>
              </w:rPr>
            </w:pPr>
          </w:p>
        </w:tc>
        <w:tc>
          <w:tcPr>
            <w:tcW w:w="1050" w:type="dxa"/>
          </w:tcPr>
          <w:p w14:paraId="5963CBCE">
            <w:pPr>
              <w:jc w:val="center"/>
              <w:rPr>
                <w:rFonts w:hint="eastAsia" w:ascii="宋体" w:hAnsi="宋体" w:cs="宋体"/>
                <w:color w:val="auto"/>
                <w:sz w:val="24"/>
                <w:highlight w:val="none"/>
              </w:rPr>
            </w:pPr>
          </w:p>
        </w:tc>
        <w:tc>
          <w:tcPr>
            <w:tcW w:w="1302" w:type="dxa"/>
            <w:vAlign w:val="center"/>
          </w:tcPr>
          <w:p w14:paraId="0743C662">
            <w:pPr>
              <w:jc w:val="center"/>
              <w:rPr>
                <w:rFonts w:hint="eastAsia" w:ascii="宋体" w:hAnsi="宋体" w:cs="宋体"/>
                <w:color w:val="auto"/>
                <w:sz w:val="24"/>
                <w:highlight w:val="none"/>
              </w:rPr>
            </w:pPr>
          </w:p>
        </w:tc>
      </w:tr>
      <w:tr w14:paraId="7B19B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 w:type="dxa"/>
            <w:vAlign w:val="center"/>
          </w:tcPr>
          <w:p w14:paraId="2276D3BC">
            <w:pPr>
              <w:jc w:val="center"/>
              <w:rPr>
                <w:rFonts w:hint="eastAsia" w:ascii="宋体" w:hAnsi="宋体" w:cs="宋体"/>
                <w:color w:val="auto"/>
                <w:sz w:val="24"/>
                <w:highlight w:val="none"/>
              </w:rPr>
            </w:pPr>
          </w:p>
        </w:tc>
        <w:tc>
          <w:tcPr>
            <w:tcW w:w="414" w:type="dxa"/>
            <w:vAlign w:val="center"/>
          </w:tcPr>
          <w:p w14:paraId="3B3E6706">
            <w:pPr>
              <w:jc w:val="center"/>
              <w:rPr>
                <w:rFonts w:hint="eastAsia" w:ascii="宋体" w:hAnsi="宋体" w:cs="宋体"/>
                <w:color w:val="auto"/>
                <w:sz w:val="24"/>
                <w:highlight w:val="none"/>
              </w:rPr>
            </w:pPr>
          </w:p>
        </w:tc>
        <w:tc>
          <w:tcPr>
            <w:tcW w:w="960" w:type="dxa"/>
            <w:vAlign w:val="center"/>
          </w:tcPr>
          <w:p w14:paraId="3AD2C401">
            <w:pPr>
              <w:jc w:val="center"/>
              <w:rPr>
                <w:rFonts w:hint="eastAsia" w:ascii="宋体" w:hAnsi="宋体" w:cs="宋体"/>
                <w:color w:val="auto"/>
                <w:sz w:val="24"/>
                <w:highlight w:val="none"/>
              </w:rPr>
            </w:pPr>
          </w:p>
        </w:tc>
        <w:tc>
          <w:tcPr>
            <w:tcW w:w="1155" w:type="dxa"/>
            <w:vAlign w:val="center"/>
          </w:tcPr>
          <w:p w14:paraId="0F809633">
            <w:pPr>
              <w:jc w:val="center"/>
              <w:rPr>
                <w:rFonts w:hint="eastAsia" w:ascii="宋体" w:hAnsi="宋体" w:cs="宋体"/>
                <w:color w:val="auto"/>
                <w:sz w:val="24"/>
                <w:highlight w:val="none"/>
              </w:rPr>
            </w:pPr>
          </w:p>
        </w:tc>
        <w:tc>
          <w:tcPr>
            <w:tcW w:w="1125" w:type="dxa"/>
            <w:vAlign w:val="center"/>
          </w:tcPr>
          <w:p w14:paraId="718F15C3">
            <w:pPr>
              <w:jc w:val="center"/>
              <w:rPr>
                <w:rFonts w:hint="eastAsia" w:ascii="宋体" w:hAnsi="宋体" w:cs="宋体"/>
                <w:color w:val="auto"/>
                <w:sz w:val="24"/>
                <w:highlight w:val="none"/>
              </w:rPr>
            </w:pPr>
          </w:p>
        </w:tc>
        <w:tc>
          <w:tcPr>
            <w:tcW w:w="870" w:type="dxa"/>
            <w:vAlign w:val="center"/>
          </w:tcPr>
          <w:p w14:paraId="1F6D20B1">
            <w:pPr>
              <w:jc w:val="center"/>
              <w:rPr>
                <w:rFonts w:hint="eastAsia" w:ascii="宋体" w:hAnsi="宋体" w:cs="宋体"/>
                <w:color w:val="auto"/>
                <w:sz w:val="24"/>
                <w:highlight w:val="none"/>
              </w:rPr>
            </w:pPr>
          </w:p>
        </w:tc>
        <w:tc>
          <w:tcPr>
            <w:tcW w:w="945" w:type="dxa"/>
            <w:vAlign w:val="center"/>
          </w:tcPr>
          <w:p w14:paraId="75279266">
            <w:pPr>
              <w:jc w:val="center"/>
              <w:rPr>
                <w:rFonts w:hint="eastAsia" w:ascii="宋体" w:hAnsi="宋体" w:cs="宋体"/>
                <w:color w:val="auto"/>
                <w:sz w:val="24"/>
                <w:highlight w:val="none"/>
              </w:rPr>
            </w:pPr>
          </w:p>
        </w:tc>
        <w:tc>
          <w:tcPr>
            <w:tcW w:w="945" w:type="dxa"/>
          </w:tcPr>
          <w:p w14:paraId="0D38390A">
            <w:pPr>
              <w:jc w:val="center"/>
              <w:rPr>
                <w:rFonts w:hint="eastAsia" w:ascii="宋体" w:hAnsi="宋体" w:cs="宋体"/>
                <w:color w:val="auto"/>
                <w:sz w:val="24"/>
                <w:highlight w:val="none"/>
              </w:rPr>
            </w:pPr>
          </w:p>
        </w:tc>
        <w:tc>
          <w:tcPr>
            <w:tcW w:w="1050" w:type="dxa"/>
          </w:tcPr>
          <w:p w14:paraId="2B04A62F">
            <w:pPr>
              <w:jc w:val="center"/>
              <w:rPr>
                <w:rFonts w:hint="eastAsia" w:ascii="宋体" w:hAnsi="宋体" w:cs="宋体"/>
                <w:color w:val="auto"/>
                <w:sz w:val="24"/>
                <w:highlight w:val="none"/>
              </w:rPr>
            </w:pPr>
          </w:p>
        </w:tc>
        <w:tc>
          <w:tcPr>
            <w:tcW w:w="1302" w:type="dxa"/>
            <w:vAlign w:val="center"/>
          </w:tcPr>
          <w:p w14:paraId="36479024">
            <w:pPr>
              <w:jc w:val="center"/>
              <w:rPr>
                <w:rFonts w:hint="eastAsia" w:ascii="宋体" w:hAnsi="宋体" w:cs="宋体"/>
                <w:color w:val="auto"/>
                <w:sz w:val="24"/>
                <w:highlight w:val="none"/>
              </w:rPr>
            </w:pPr>
          </w:p>
        </w:tc>
      </w:tr>
      <w:tr w14:paraId="54819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 w:type="dxa"/>
            <w:vAlign w:val="center"/>
          </w:tcPr>
          <w:p w14:paraId="1BFD45F3">
            <w:pPr>
              <w:jc w:val="center"/>
              <w:rPr>
                <w:rFonts w:hint="eastAsia" w:ascii="宋体" w:hAnsi="宋体" w:cs="宋体"/>
                <w:color w:val="auto"/>
                <w:sz w:val="24"/>
                <w:highlight w:val="none"/>
              </w:rPr>
            </w:pPr>
          </w:p>
        </w:tc>
        <w:tc>
          <w:tcPr>
            <w:tcW w:w="414" w:type="dxa"/>
            <w:vAlign w:val="center"/>
          </w:tcPr>
          <w:p w14:paraId="03808B47">
            <w:pPr>
              <w:jc w:val="center"/>
              <w:rPr>
                <w:rFonts w:hint="eastAsia" w:ascii="宋体" w:hAnsi="宋体" w:cs="宋体"/>
                <w:color w:val="auto"/>
                <w:sz w:val="24"/>
                <w:highlight w:val="none"/>
              </w:rPr>
            </w:pPr>
          </w:p>
        </w:tc>
        <w:tc>
          <w:tcPr>
            <w:tcW w:w="960" w:type="dxa"/>
            <w:vAlign w:val="center"/>
          </w:tcPr>
          <w:p w14:paraId="048CE058">
            <w:pPr>
              <w:jc w:val="center"/>
              <w:rPr>
                <w:rFonts w:hint="eastAsia" w:ascii="宋体" w:hAnsi="宋体" w:cs="宋体"/>
                <w:color w:val="auto"/>
                <w:sz w:val="24"/>
                <w:highlight w:val="none"/>
              </w:rPr>
            </w:pPr>
          </w:p>
        </w:tc>
        <w:tc>
          <w:tcPr>
            <w:tcW w:w="1155" w:type="dxa"/>
            <w:vAlign w:val="center"/>
          </w:tcPr>
          <w:p w14:paraId="643F26C9">
            <w:pPr>
              <w:jc w:val="center"/>
              <w:rPr>
                <w:rFonts w:hint="eastAsia" w:ascii="宋体" w:hAnsi="宋体" w:cs="宋体"/>
                <w:color w:val="auto"/>
                <w:sz w:val="24"/>
                <w:highlight w:val="none"/>
              </w:rPr>
            </w:pPr>
          </w:p>
        </w:tc>
        <w:tc>
          <w:tcPr>
            <w:tcW w:w="1125" w:type="dxa"/>
            <w:vAlign w:val="center"/>
          </w:tcPr>
          <w:p w14:paraId="698CEE8D">
            <w:pPr>
              <w:jc w:val="center"/>
              <w:rPr>
                <w:rFonts w:hint="eastAsia" w:ascii="宋体" w:hAnsi="宋体" w:cs="宋体"/>
                <w:color w:val="auto"/>
                <w:sz w:val="24"/>
                <w:highlight w:val="none"/>
              </w:rPr>
            </w:pPr>
          </w:p>
        </w:tc>
        <w:tc>
          <w:tcPr>
            <w:tcW w:w="870" w:type="dxa"/>
            <w:vAlign w:val="center"/>
          </w:tcPr>
          <w:p w14:paraId="7EE9B592">
            <w:pPr>
              <w:jc w:val="center"/>
              <w:rPr>
                <w:rFonts w:hint="eastAsia" w:ascii="宋体" w:hAnsi="宋体" w:cs="宋体"/>
                <w:color w:val="auto"/>
                <w:sz w:val="24"/>
                <w:highlight w:val="none"/>
              </w:rPr>
            </w:pPr>
          </w:p>
        </w:tc>
        <w:tc>
          <w:tcPr>
            <w:tcW w:w="945" w:type="dxa"/>
            <w:vAlign w:val="center"/>
          </w:tcPr>
          <w:p w14:paraId="0B7D9412">
            <w:pPr>
              <w:jc w:val="center"/>
              <w:rPr>
                <w:rFonts w:hint="eastAsia" w:ascii="宋体" w:hAnsi="宋体" w:cs="宋体"/>
                <w:color w:val="auto"/>
                <w:sz w:val="24"/>
                <w:highlight w:val="none"/>
              </w:rPr>
            </w:pPr>
          </w:p>
        </w:tc>
        <w:tc>
          <w:tcPr>
            <w:tcW w:w="945" w:type="dxa"/>
          </w:tcPr>
          <w:p w14:paraId="1DE32640">
            <w:pPr>
              <w:jc w:val="center"/>
              <w:rPr>
                <w:rFonts w:hint="eastAsia" w:ascii="宋体" w:hAnsi="宋体" w:cs="宋体"/>
                <w:color w:val="auto"/>
                <w:sz w:val="24"/>
                <w:highlight w:val="none"/>
              </w:rPr>
            </w:pPr>
          </w:p>
        </w:tc>
        <w:tc>
          <w:tcPr>
            <w:tcW w:w="1050" w:type="dxa"/>
          </w:tcPr>
          <w:p w14:paraId="730794A4">
            <w:pPr>
              <w:jc w:val="center"/>
              <w:rPr>
                <w:rFonts w:hint="eastAsia" w:ascii="宋体" w:hAnsi="宋体" w:cs="宋体"/>
                <w:color w:val="auto"/>
                <w:sz w:val="24"/>
                <w:highlight w:val="none"/>
              </w:rPr>
            </w:pPr>
          </w:p>
        </w:tc>
        <w:tc>
          <w:tcPr>
            <w:tcW w:w="1302" w:type="dxa"/>
            <w:vAlign w:val="center"/>
          </w:tcPr>
          <w:p w14:paraId="73F04AB6">
            <w:pPr>
              <w:jc w:val="center"/>
              <w:rPr>
                <w:rFonts w:hint="eastAsia" w:ascii="宋体" w:hAnsi="宋体" w:cs="宋体"/>
                <w:color w:val="auto"/>
                <w:sz w:val="24"/>
                <w:highlight w:val="none"/>
              </w:rPr>
            </w:pPr>
          </w:p>
        </w:tc>
      </w:tr>
    </w:tbl>
    <w:p w14:paraId="2C5E6688">
      <w:pPr>
        <w:spacing w:line="360" w:lineRule="auto"/>
        <w:jc w:val="left"/>
        <w:outlineLvl w:val="2"/>
        <w:rPr>
          <w:rFonts w:hint="eastAsia" w:ascii="宋体" w:hAnsi="宋体" w:cs="宋体"/>
          <w:b/>
          <w:bCs/>
          <w:color w:val="auto"/>
          <w:sz w:val="28"/>
          <w:szCs w:val="28"/>
          <w:highlight w:val="none"/>
        </w:rPr>
      </w:pPr>
      <w:bookmarkStart w:id="733" w:name="_Toc27399"/>
      <w:bookmarkStart w:id="734" w:name="_Toc96899333"/>
      <w:bookmarkStart w:id="735" w:name="_Toc904398674"/>
      <w:bookmarkStart w:id="736" w:name="_Toc20148321"/>
      <w:r>
        <w:rPr>
          <w:rFonts w:hint="eastAsia" w:ascii="宋体" w:hAnsi="宋体" w:cs="宋体"/>
          <w:b/>
          <w:bCs/>
          <w:color w:val="auto"/>
          <w:sz w:val="28"/>
          <w:szCs w:val="28"/>
          <w:highlight w:val="none"/>
        </w:rPr>
        <w:t>11.开工和竣工（完工）</w:t>
      </w:r>
      <w:bookmarkEnd w:id="733"/>
      <w:bookmarkEnd w:id="734"/>
      <w:bookmarkEnd w:id="735"/>
      <w:bookmarkEnd w:id="736"/>
    </w:p>
    <w:p w14:paraId="759BD3F1">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11.1开工</w:t>
      </w:r>
    </w:p>
    <w:p w14:paraId="20D12EE0">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11.1.1 监理人应在开工日期7天前向承包人发出开工通知。监理人在发出开工通知前应获得发包人同意。工期自监理人发出的开工通知中载明的开工日期起计算。承包人应在开工日期后尽快施工。</w:t>
      </w:r>
    </w:p>
    <w:p w14:paraId="67E4FCDC">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02CD18CB">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11.1.3 若发包人未能按合同约定向承包人提供开工的必要条件，承包人有权要求延长工期。监理人应在收到承包人的书面要求后，按第3.5款的约定，与合同双方商定或确定增加的费用和延长的工期。</w:t>
      </w:r>
    </w:p>
    <w:p w14:paraId="0BD26754">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p>
    <w:p w14:paraId="0FCD34EB">
      <w:pPr>
        <w:spacing w:line="360" w:lineRule="auto"/>
        <w:jc w:val="left"/>
        <w:rPr>
          <w:rFonts w:hint="eastAsia" w:ascii="宋体" w:hAnsi="宋体" w:cs="宋体"/>
          <w:b/>
          <w:bCs/>
          <w:color w:val="auto"/>
          <w:sz w:val="28"/>
          <w:szCs w:val="28"/>
          <w:highlight w:val="none"/>
        </w:rPr>
      </w:pPr>
      <w:bookmarkStart w:id="737" w:name="_Toc484015672"/>
      <w:bookmarkStart w:id="738" w:name="_Toc486160928"/>
      <w:r>
        <w:rPr>
          <w:rFonts w:hint="eastAsia" w:ascii="宋体" w:hAnsi="宋体" w:cs="宋体"/>
          <w:b/>
          <w:bCs/>
          <w:color w:val="auto"/>
          <w:sz w:val="28"/>
          <w:szCs w:val="28"/>
          <w:highlight w:val="none"/>
        </w:rPr>
        <w:t>11.2 竣工（完工）</w:t>
      </w:r>
      <w:bookmarkEnd w:id="737"/>
      <w:bookmarkEnd w:id="738"/>
    </w:p>
    <w:p w14:paraId="4447A0C0">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承包人应在第1.1.4.3目约定的期限内完成合同工程。合同工程实际完工日期在合同工程完工证书中明确。</w:t>
      </w:r>
    </w:p>
    <w:p w14:paraId="48AFC7CD">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11.3发包人的工期延误</w:t>
      </w:r>
    </w:p>
    <w:p w14:paraId="2EF43009">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在履行合同过程中，由于发包人的下列原因造成工期延误的，承包人有权要求发包人延长工期和（或）增加费用，并支付合理利润。需要修订合同进度计划的，按照第10.2款的约定办理。</w:t>
      </w:r>
    </w:p>
    <w:p w14:paraId="37007588">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（1）增加合同工作内容；</w:t>
      </w:r>
    </w:p>
    <w:p w14:paraId="13CD8B2F">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（2）改变合同中任何一项工作的质量要求或其他特性；</w:t>
      </w:r>
    </w:p>
    <w:p w14:paraId="188B5947">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（3）发包人迟延提供材料、工程设备或变更交货地点的；</w:t>
      </w:r>
    </w:p>
    <w:p w14:paraId="2AF0D4AC">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（4）因发包人原因导致的暂停施工；</w:t>
      </w:r>
    </w:p>
    <w:p w14:paraId="328EE48D">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（5）提供图纸延误；</w:t>
      </w:r>
    </w:p>
    <w:p w14:paraId="5DDC15EC">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（6）未按合同约定及时支付预付款、进度款；</w:t>
      </w:r>
    </w:p>
    <w:p w14:paraId="49237E09">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（7）发包人造成工期延误的其他原因。</w:t>
      </w:r>
    </w:p>
    <w:p w14:paraId="5667E4DB">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11.4异常恶劣的气候条件</w:t>
      </w:r>
    </w:p>
    <w:p w14:paraId="287FEA4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11.4.1 当工程所在地发生危及施工安全的异常恶劣气候时，发包人和承包人应按本合同通用合同条款第12条的约定，及时采取暂停施工或部分暂停施工措施。异常恶劣气候条件解除后，承包人应及时安排复工。</w:t>
      </w:r>
    </w:p>
    <w:p w14:paraId="2E02776F">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11.4.2 异常恶劣气候条件造成的工期延误和工程损坏，应由发包人与承包人参照本合同通用合同条款第21.3款的约定协商处理。</w:t>
      </w:r>
    </w:p>
    <w:p w14:paraId="4BDA0029">
      <w:pPr>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11.4.3 本合同工程界定异常恶劣气候条件的范围在专用合同条款中约定。</w:t>
      </w:r>
    </w:p>
    <w:p w14:paraId="38AC46D6">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11.5承包人的工期延误</w:t>
      </w:r>
    </w:p>
    <w:p w14:paraId="0F817739">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由于承包人原因，未能按合同进度计划完成工作，或监理人认为承包人施工进度不能满足合同工期要求的，承包人应采取措施加快进度，并承担加快进度所增加的费用。由于承包人原因造成工期延误，承包人应支付逾期完工违约金。逾期完工违约金的计算方法在专用合同条款中约定。承包人支付逾期完工违约金，不免除承包人完成工程及修补缺陷的义务。</w:t>
      </w:r>
    </w:p>
    <w:p w14:paraId="2079C00F">
      <w:pPr>
        <w:spacing w:line="360" w:lineRule="auto"/>
        <w:jc w:val="left"/>
        <w:rPr>
          <w:rFonts w:hint="eastAsia" w:ascii="宋体" w:hAnsi="宋体" w:cs="宋体"/>
          <w:b/>
          <w:bCs/>
          <w:color w:val="auto"/>
          <w:sz w:val="28"/>
          <w:szCs w:val="28"/>
          <w:highlight w:val="none"/>
        </w:rPr>
      </w:pPr>
      <w:bookmarkStart w:id="739" w:name="_Toc484015673"/>
      <w:bookmarkStart w:id="740" w:name="_Toc486160929"/>
      <w:r>
        <w:rPr>
          <w:rFonts w:hint="eastAsia" w:ascii="宋体" w:hAnsi="宋体" w:cs="宋体"/>
          <w:b/>
          <w:bCs/>
          <w:color w:val="auto"/>
          <w:sz w:val="28"/>
          <w:szCs w:val="28"/>
          <w:highlight w:val="none"/>
        </w:rPr>
        <w:t>11.6工期提前</w:t>
      </w:r>
      <w:bookmarkEnd w:id="739"/>
      <w:bookmarkEnd w:id="740"/>
    </w:p>
    <w:p w14:paraId="2686ADA8">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p>
    <w:p w14:paraId="7E3C3F5E">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发包人要求提前完工的，双方协商一致后应签订提前完工协议，协议内容包括：</w:t>
      </w:r>
    </w:p>
    <w:p w14:paraId="0094BC87">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（1）提前的时间和修订后的进度计划；</w:t>
      </w:r>
    </w:p>
    <w:p w14:paraId="24FB3B7B">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（2）承包人的赶工措施；</w:t>
      </w:r>
    </w:p>
    <w:p w14:paraId="5D6B7156">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（3）发包人为赶工提供的条件；</w:t>
      </w:r>
    </w:p>
    <w:p w14:paraId="7F6123DB">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（4）赶工费用（包括利润和奖金）。</w:t>
      </w:r>
    </w:p>
    <w:p w14:paraId="39818F88">
      <w:pPr>
        <w:spacing w:line="360" w:lineRule="auto"/>
        <w:jc w:val="left"/>
        <w:outlineLvl w:val="2"/>
        <w:rPr>
          <w:rFonts w:hint="eastAsia" w:ascii="宋体" w:hAnsi="宋体" w:cs="宋体"/>
          <w:b/>
          <w:bCs/>
          <w:color w:val="auto"/>
          <w:sz w:val="28"/>
          <w:szCs w:val="28"/>
          <w:highlight w:val="none"/>
        </w:rPr>
      </w:pPr>
      <w:bookmarkStart w:id="741" w:name="_Toc96899334"/>
      <w:bookmarkStart w:id="742" w:name="_Toc3857"/>
      <w:bookmarkStart w:id="743" w:name="_Toc2022546220"/>
      <w:bookmarkStart w:id="744" w:name="_Toc20148322"/>
      <w:r>
        <w:rPr>
          <w:rFonts w:hint="eastAsia" w:ascii="宋体" w:hAnsi="宋体" w:cs="宋体"/>
          <w:b/>
          <w:bCs/>
          <w:color w:val="auto"/>
          <w:sz w:val="28"/>
          <w:szCs w:val="28"/>
          <w:highlight w:val="none"/>
        </w:rPr>
        <w:t>12.暂停施工</w:t>
      </w:r>
      <w:bookmarkEnd w:id="741"/>
      <w:bookmarkEnd w:id="742"/>
      <w:bookmarkEnd w:id="743"/>
      <w:bookmarkEnd w:id="744"/>
    </w:p>
    <w:p w14:paraId="0793C3EB">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12.1承包人暂停施工的责任</w:t>
      </w:r>
    </w:p>
    <w:p w14:paraId="45CEAA03">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因下列暂停施工增加的费用和（或）工期延误由承包人承担：</w:t>
      </w:r>
    </w:p>
    <w:p w14:paraId="3BA90248">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（1）承包人违约引起的暂停施工；</w:t>
      </w:r>
    </w:p>
    <w:p w14:paraId="34EE6BA5">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（2）由于承包人原因为工程合理施工和安全保障所必需的暂停施工； </w:t>
      </w:r>
    </w:p>
    <w:p w14:paraId="51906345">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（3）承包人擅自暂停施工；</w:t>
      </w:r>
    </w:p>
    <w:p w14:paraId="40025874">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（4）承包人其他原因引起的暂停施工；</w:t>
      </w:r>
    </w:p>
    <w:p w14:paraId="54E63CA0">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（5）专用合同条款约定由承包人承担的其他暂停施工。</w:t>
      </w:r>
    </w:p>
    <w:p w14:paraId="75EC85F5">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12.2发包人暂停施工的责任</w:t>
      </w:r>
    </w:p>
    <w:p w14:paraId="6BE1636E">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由于发包人原因引起的暂停施工造成工期延误的，承包人有权要求发包人延长工期和（或）增加费用，并支付合理利润。</w:t>
      </w:r>
    </w:p>
    <w:p w14:paraId="3697ACD7">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属于下列任何一种情况引起的暂停施工，均为发包人的责任：</w:t>
      </w:r>
    </w:p>
    <w:p w14:paraId="02B6C9FA">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（1）由于发包人违约引起的暂停施工；</w:t>
      </w:r>
    </w:p>
    <w:p w14:paraId="55632FB7">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（2）由于不可抗力的自然或社会因素引起的暂停施工；</w:t>
      </w:r>
    </w:p>
    <w:p w14:paraId="3B14A639">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（3）专用合同条款中约定的其他由于发包人原因引起的暂停施工。</w:t>
      </w:r>
    </w:p>
    <w:p w14:paraId="49DFEF6D">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12.3监理人暂停施工指示</w:t>
      </w:r>
    </w:p>
    <w:p w14:paraId="652DDB5D">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12.3.1 监理人认为有必要时，可向承包人作出暂停施工的指示，承包人应按监理人指示暂停施工。不论由于何种原因引起的暂停施工，暂停施工期间承包人应负责妥善保护工程并提供安全保障。</w:t>
      </w:r>
    </w:p>
    <w:p w14:paraId="25F1A32C">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790A60AD">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12.4暂停施工后的复工</w:t>
      </w:r>
    </w:p>
    <w:p w14:paraId="72A5A485">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51D398A4">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12.4.2 承包人无故拖延和拒绝复工的，由此增加的费用和工期延误由承包人承担；因发包人原因无法按时复工的，承包人有权要求发包人延长工期和（或）增加费用，并支付合理利润。</w:t>
      </w:r>
    </w:p>
    <w:p w14:paraId="13F0982E">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12.5暂停施工持续56天以上</w:t>
      </w:r>
    </w:p>
    <w:p w14:paraId="6E179660">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0E5F0AB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12.5.2 由于承包人责任引起的暂停施工，如承包人在收到监理人暂停施工指示后56天内不认真采取有效的复工措施，造成工期延误，可视为承包人违约，应按第22.1款的规定办理。</w:t>
      </w:r>
    </w:p>
    <w:p w14:paraId="2572B254">
      <w:pPr>
        <w:spacing w:line="360" w:lineRule="auto"/>
        <w:jc w:val="left"/>
        <w:outlineLvl w:val="2"/>
        <w:rPr>
          <w:rFonts w:hint="eastAsia" w:ascii="宋体" w:hAnsi="宋体" w:cs="宋体"/>
          <w:b/>
          <w:bCs/>
          <w:color w:val="auto"/>
          <w:sz w:val="28"/>
          <w:szCs w:val="28"/>
          <w:highlight w:val="none"/>
        </w:rPr>
      </w:pPr>
      <w:bookmarkStart w:id="745" w:name="_Toc96899335"/>
      <w:bookmarkStart w:id="746" w:name="_Toc20148323"/>
      <w:bookmarkStart w:id="747" w:name="_Toc23779"/>
      <w:bookmarkStart w:id="748" w:name="_Toc555194875"/>
      <w:r>
        <w:rPr>
          <w:rFonts w:hint="eastAsia" w:ascii="宋体" w:hAnsi="宋体" w:cs="宋体"/>
          <w:b/>
          <w:bCs/>
          <w:color w:val="auto"/>
          <w:sz w:val="28"/>
          <w:szCs w:val="28"/>
          <w:highlight w:val="none"/>
        </w:rPr>
        <w:t>13.工程质量</w:t>
      </w:r>
      <w:bookmarkEnd w:id="745"/>
      <w:bookmarkEnd w:id="746"/>
      <w:bookmarkEnd w:id="747"/>
      <w:bookmarkEnd w:id="748"/>
    </w:p>
    <w:p w14:paraId="128CC6ED">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13.1工程质量要求</w:t>
      </w:r>
    </w:p>
    <w:p w14:paraId="1FB7DD6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13.1.1 工程质量验收按合同约定验收标准执行。</w:t>
      </w:r>
    </w:p>
    <w:p w14:paraId="37856C51">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13.1.2 因承包人原因造成工程质量达不到合同约定验收标准的，监理人有权要求承包人返工直至符合合同要求为止，由此造成的费用增加和（或）工期延误由承包人承担。</w:t>
      </w:r>
    </w:p>
    <w:p w14:paraId="718BB15D">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13.1.3 因发包人原因造成工程质量达不到合同约定验收标准的，发包人应承担由于承包人返工造成的费用增加和（或）工期延误，并支付承包人合理利润。</w:t>
      </w:r>
    </w:p>
    <w:p w14:paraId="01967BFE">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13.2承包人的质量管理</w:t>
      </w:r>
    </w:p>
    <w:p w14:paraId="6E06FBDE">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p>
    <w:p w14:paraId="56DD6A25">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13.2.2 承包人应加强对施工人员的质量教育和技术培训，定期考核施工人员的劳动技能，严格执行规范和操作规程。</w:t>
      </w:r>
    </w:p>
    <w:p w14:paraId="03795BCB">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13.3承包人的质量检查</w:t>
      </w:r>
    </w:p>
    <w:p w14:paraId="4CBC3273">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承包人应按合同约定对材料、工程设备以及工程的所有部位及其施工工艺进行全过程的质量检查和检验，并作详细记录，编制工程质量报表，报送监理人审查。</w:t>
      </w:r>
    </w:p>
    <w:p w14:paraId="5AE07098">
      <w:pPr>
        <w:spacing w:line="360" w:lineRule="auto"/>
        <w:jc w:val="left"/>
        <w:rPr>
          <w:rFonts w:hint="eastAsia" w:ascii="宋体" w:hAnsi="宋体" w:cs="宋体"/>
          <w:b/>
          <w:bCs/>
          <w:color w:val="auto"/>
          <w:sz w:val="28"/>
          <w:szCs w:val="28"/>
          <w:highlight w:val="none"/>
        </w:rPr>
      </w:pPr>
      <w:bookmarkStart w:id="749" w:name="_Toc484015676"/>
      <w:bookmarkStart w:id="750" w:name="_Toc486160932"/>
      <w:r>
        <w:rPr>
          <w:rFonts w:hint="eastAsia" w:ascii="宋体" w:hAnsi="宋体" w:cs="宋体"/>
          <w:b/>
          <w:bCs/>
          <w:color w:val="auto"/>
          <w:sz w:val="28"/>
          <w:szCs w:val="28"/>
          <w:highlight w:val="none"/>
        </w:rPr>
        <w:t>13.4监理人的质量检查</w:t>
      </w:r>
      <w:bookmarkEnd w:id="749"/>
      <w:bookmarkEnd w:id="750"/>
    </w:p>
    <w:p w14:paraId="5D01C120">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248DB102">
      <w:pPr>
        <w:spacing w:line="360" w:lineRule="auto"/>
        <w:jc w:val="left"/>
        <w:rPr>
          <w:rFonts w:hint="eastAsia" w:ascii="宋体" w:hAnsi="宋体" w:cs="宋体"/>
          <w:b/>
          <w:bCs/>
          <w:color w:val="auto"/>
          <w:sz w:val="28"/>
          <w:szCs w:val="28"/>
          <w:highlight w:val="none"/>
        </w:rPr>
      </w:pPr>
      <w:bookmarkStart w:id="751" w:name="_Toc484015677"/>
      <w:bookmarkStart w:id="752" w:name="_Toc486160933"/>
      <w:r>
        <w:rPr>
          <w:rFonts w:hint="eastAsia" w:ascii="宋体" w:hAnsi="宋体" w:cs="宋体"/>
          <w:b/>
          <w:bCs/>
          <w:color w:val="auto"/>
          <w:sz w:val="28"/>
          <w:szCs w:val="28"/>
          <w:highlight w:val="none"/>
        </w:rPr>
        <w:t>13.5工程隐蔽部位覆盖前的检查</w:t>
      </w:r>
      <w:bookmarkEnd w:id="751"/>
      <w:bookmarkEnd w:id="752"/>
    </w:p>
    <w:p w14:paraId="48070313">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13.5.1 通知监理人检查</w:t>
      </w:r>
    </w:p>
    <w:p w14:paraId="06118F2D">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0AC03A4D">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13.5.2 监理人未到场检查</w:t>
      </w:r>
    </w:p>
    <w:p w14:paraId="6303C488">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3676E80D">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13.5.3 监理人重新检查</w:t>
      </w:r>
    </w:p>
    <w:p w14:paraId="5CDB994A">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0D8ED942">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13.5.4 承包人私自覆盖</w:t>
      </w:r>
    </w:p>
    <w:p w14:paraId="06D24FC3">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承包人未通知监理人到场检查，私自将工程隐蔽部位覆盖的，监理人有权指示承包人钻孔探测或揭开检查，由此增加的费用和（或）工期延误由承包人承担。</w:t>
      </w:r>
    </w:p>
    <w:p w14:paraId="463CA663">
      <w:pPr>
        <w:spacing w:line="360" w:lineRule="auto"/>
        <w:jc w:val="left"/>
        <w:rPr>
          <w:rFonts w:hint="eastAsia" w:ascii="宋体" w:hAnsi="宋体" w:cs="宋体"/>
          <w:b/>
          <w:bCs/>
          <w:color w:val="auto"/>
          <w:sz w:val="28"/>
          <w:szCs w:val="28"/>
          <w:highlight w:val="none"/>
        </w:rPr>
      </w:pPr>
      <w:bookmarkStart w:id="753" w:name="_Toc484015678"/>
      <w:bookmarkStart w:id="754" w:name="_Toc486160934"/>
      <w:r>
        <w:rPr>
          <w:rFonts w:hint="eastAsia" w:ascii="宋体" w:hAnsi="宋体" w:cs="宋体"/>
          <w:b/>
          <w:bCs/>
          <w:color w:val="auto"/>
          <w:sz w:val="28"/>
          <w:szCs w:val="28"/>
          <w:highlight w:val="none"/>
        </w:rPr>
        <w:t>13.6清除不合格工程</w:t>
      </w:r>
      <w:bookmarkEnd w:id="753"/>
      <w:bookmarkEnd w:id="754"/>
    </w:p>
    <w:p w14:paraId="025F40C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0D3A27A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13.6.2 由于发包人提供的材料或工程设备不合格造成的工程不合格，需要承包人采取措施补救的，发包人应承担由此增加的费用和（或）工期延误，并支付承包人合理利润。</w:t>
      </w:r>
    </w:p>
    <w:p w14:paraId="5CABAB8B">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13.7质量评定</w:t>
      </w:r>
    </w:p>
    <w:p w14:paraId="57C53364">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13.7.1 发包人应组织承包人进行工程项目划分，并确定单位工程、主要分部工程、重要隐蔽单元工程和关键部位单元工程。</w:t>
      </w:r>
    </w:p>
    <w:p w14:paraId="45E47590">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13.7.2 工程实施过程中，单位工程、主要分部工程、重要隐蔽单元工程和关键部位单元工程的项目划分需要调整时，承包人应报发包人确认。</w:t>
      </w:r>
    </w:p>
    <w:p w14:paraId="4EE09B65">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13.7.3 承包人应在单元（工序）工程质量自评合格后，报监理人核定质量等级并签证认可。</w:t>
      </w:r>
    </w:p>
    <w:p w14:paraId="14D3A14C">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13.7.4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p>
    <w:p w14:paraId="04BB47B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13.7.5 承包人应在分部工程质量自评合格后，报监理人复核和发包人认定。发包人负责按有关规定完成分部工程质量结论报工程质量监督机构核备（核定）手续。</w:t>
      </w:r>
    </w:p>
    <w:p w14:paraId="1BE7E33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13.7.6 承包人应在单位工程质量自评合格后，报监理人复核和发包人认定。发包人负责按有关规定完成单位工程质量结论报工程质量监督机构核定手续。</w:t>
      </w:r>
    </w:p>
    <w:p w14:paraId="4519C854">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13.7.7 除专用合同条款另有约定外，工程质量等级分为合格和优良，应分别达到约定的标准。</w:t>
      </w:r>
    </w:p>
    <w:p w14:paraId="7FEF2B3B">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13.8质量事故处理</w:t>
      </w:r>
    </w:p>
    <w:p w14:paraId="11B8AC6A">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13.8.1 发生质量事故时，承包人应及时向发包人和监理人报告。</w:t>
      </w:r>
    </w:p>
    <w:p w14:paraId="52CD1E2E">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13.8.2 质量事故调查处理由发包人按相关规定履行手续，承包人应配合。</w:t>
      </w:r>
    </w:p>
    <w:p w14:paraId="17C8E2E5">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13.8.3 承包人应对质量缺陷进行备案。发包人委托监理人对质量缺陷备案情况进行监督检查并履行相关手续。</w:t>
      </w:r>
    </w:p>
    <w:p w14:paraId="54CA3745">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13.8.4 除专用合同条款另有约定外，工程竣工验收时，发包人负责向竣工验收委员会汇报并提交历次质量缺陷处理的备案资料。</w:t>
      </w:r>
    </w:p>
    <w:p w14:paraId="1B652556">
      <w:pPr>
        <w:spacing w:line="360" w:lineRule="auto"/>
        <w:jc w:val="left"/>
        <w:outlineLvl w:val="2"/>
        <w:rPr>
          <w:rFonts w:hint="eastAsia" w:ascii="宋体" w:hAnsi="宋体" w:cs="宋体"/>
          <w:b/>
          <w:bCs/>
          <w:color w:val="auto"/>
          <w:sz w:val="28"/>
          <w:szCs w:val="28"/>
          <w:highlight w:val="none"/>
        </w:rPr>
      </w:pPr>
      <w:bookmarkStart w:id="755" w:name="_Toc20148324"/>
      <w:bookmarkStart w:id="756" w:name="_Toc96899336"/>
      <w:bookmarkStart w:id="757" w:name="_Toc909976961"/>
      <w:bookmarkStart w:id="758" w:name="_Toc16841"/>
      <w:r>
        <w:rPr>
          <w:rFonts w:hint="eastAsia" w:ascii="宋体" w:hAnsi="宋体" w:cs="宋体"/>
          <w:b/>
          <w:bCs/>
          <w:color w:val="auto"/>
          <w:sz w:val="28"/>
          <w:szCs w:val="28"/>
          <w:highlight w:val="none"/>
        </w:rPr>
        <w:t>14.试验和检验</w:t>
      </w:r>
      <w:bookmarkEnd w:id="755"/>
      <w:bookmarkEnd w:id="756"/>
      <w:bookmarkEnd w:id="757"/>
      <w:bookmarkEnd w:id="758"/>
    </w:p>
    <w:p w14:paraId="3932445D">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14.1材料、工程设备和工程的试验和检验</w:t>
      </w:r>
    </w:p>
    <w:p w14:paraId="1C348B7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5CF8BED5">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14.1.2 监理人未按合同约定派员参加试验和检验的，除监理人另有指示外，承包人可自行试验和检验，并应立即将试验和检验结果报送监理人，监理人应签字确认。</w:t>
      </w:r>
    </w:p>
    <w:p w14:paraId="577F63F6">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55FE9D32">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14.1.4 承包人应按相关规定和标准对水泥、钢材等原材料与中间产品质量进行检验，并报监理人复核。</w:t>
      </w:r>
    </w:p>
    <w:p w14:paraId="61B68E7B">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p>
    <w:p w14:paraId="1E1E1FA6">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14.1.6 对专用合同条款约定的试块、试件及有关材料，监理人实行见证取样。见证取样资料由承包人制备，记录应真实齐全，监理人、承包人等参与见证取样人员均应在相关文件上签字。</w:t>
      </w:r>
    </w:p>
    <w:p w14:paraId="187340A5">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14.2现场材料试验</w:t>
      </w:r>
    </w:p>
    <w:p w14:paraId="41D8B353">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14.2.1 承包人根据合同约定或监理人指示进行的现场材料试验，应由承包人提供试验场所、试验人员、试验设备器材以及其他必要的试验条件。</w:t>
      </w:r>
    </w:p>
    <w:p w14:paraId="61615B0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14.2.2 监理人在必要时可以使用承包人的试验场所、试验设备器材以及其他试验条件，进行以工程质量检查为目的的复核性材料试验，承包人应予以协助。</w:t>
      </w:r>
    </w:p>
    <w:p w14:paraId="36F9CC14">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14.3现场工艺试验</w:t>
      </w:r>
    </w:p>
    <w:p w14:paraId="38A4A9C6">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承包人应按合同约定或监理人指示进行现场工艺试验。对大型的现场工艺试验，监理人认为必要时，应由承包人根据监理人提出的工艺试验要求，编制工艺试验措施计划，报送监理人审批。</w:t>
      </w:r>
    </w:p>
    <w:p w14:paraId="532A1CB6">
      <w:pPr>
        <w:spacing w:line="360" w:lineRule="auto"/>
        <w:jc w:val="left"/>
        <w:outlineLvl w:val="2"/>
        <w:rPr>
          <w:rFonts w:hint="eastAsia" w:ascii="宋体" w:hAnsi="宋体" w:cs="宋体"/>
          <w:b/>
          <w:bCs/>
          <w:color w:val="auto"/>
          <w:sz w:val="28"/>
          <w:szCs w:val="28"/>
          <w:highlight w:val="none"/>
        </w:rPr>
      </w:pPr>
      <w:bookmarkStart w:id="759" w:name="_Toc483293850"/>
      <w:bookmarkStart w:id="760" w:name="_Toc96899337"/>
      <w:bookmarkStart w:id="761" w:name="_Toc29557"/>
      <w:bookmarkStart w:id="762" w:name="_Toc20148325"/>
      <w:r>
        <w:rPr>
          <w:rFonts w:hint="eastAsia" w:ascii="宋体" w:hAnsi="宋体" w:cs="宋体"/>
          <w:b/>
          <w:bCs/>
          <w:color w:val="auto"/>
          <w:sz w:val="28"/>
          <w:szCs w:val="28"/>
          <w:highlight w:val="none"/>
        </w:rPr>
        <w:t>15.变更</w:t>
      </w:r>
      <w:bookmarkEnd w:id="759"/>
      <w:bookmarkEnd w:id="760"/>
      <w:bookmarkEnd w:id="761"/>
      <w:bookmarkEnd w:id="762"/>
    </w:p>
    <w:p w14:paraId="4DEA4499">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15.1变更的范围和内容</w:t>
      </w:r>
    </w:p>
    <w:p w14:paraId="04F81707">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在履行合同中发生以下情形之一，应按照本款规定进行变更。</w:t>
      </w:r>
    </w:p>
    <w:p w14:paraId="1223D6D6">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（1）取消合同中任何一项工作，但被取消的工作不能转由发包人或其他人实施；</w:t>
      </w:r>
    </w:p>
    <w:p w14:paraId="13E0911A">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（2）改变合同中任何一项工作的质量或其他特性；</w:t>
      </w:r>
    </w:p>
    <w:p w14:paraId="24935264">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（3）改变合同工程的基线、标高、位置或尺寸；</w:t>
      </w:r>
    </w:p>
    <w:p w14:paraId="20CCE1BA">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（4）改变合同中任何一项工作的施工时间或改变已批准的施工工艺或顺序；</w:t>
      </w:r>
    </w:p>
    <w:p w14:paraId="690EF0D6">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（5）为完成工程需要追加的额外工作；</w:t>
      </w:r>
    </w:p>
    <w:p w14:paraId="658BD6C6">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（6）增加或减少专用合同条款中约定的关键项目工程量超过其工程总量的一定数量百分比。</w:t>
      </w:r>
    </w:p>
    <w:p w14:paraId="5ECB266C">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上述第（1）～（6）目的变更内容引起工程施工组织和进度计划发生实质性变动和影响其原定的价格时，才予调整该项目的单价。第（6）目情形下单价调整方式在专用合同条款中约定。</w:t>
      </w:r>
    </w:p>
    <w:p w14:paraId="43B9FFF6">
      <w:pPr>
        <w:spacing w:line="360" w:lineRule="auto"/>
        <w:jc w:val="left"/>
        <w:rPr>
          <w:rFonts w:hint="eastAsia" w:ascii="宋体" w:hAnsi="宋体" w:cs="宋体"/>
          <w:b/>
          <w:bCs/>
          <w:color w:val="auto"/>
          <w:sz w:val="28"/>
          <w:szCs w:val="28"/>
          <w:highlight w:val="none"/>
        </w:rPr>
      </w:pPr>
      <w:bookmarkStart w:id="763" w:name="_Toc486160937"/>
      <w:bookmarkStart w:id="764" w:name="_Toc484015681"/>
      <w:r>
        <w:rPr>
          <w:rFonts w:hint="eastAsia" w:ascii="宋体" w:hAnsi="宋体" w:cs="宋体"/>
          <w:b/>
          <w:bCs/>
          <w:color w:val="auto"/>
          <w:sz w:val="28"/>
          <w:szCs w:val="28"/>
          <w:highlight w:val="none"/>
        </w:rPr>
        <w:t>15.2变更权</w:t>
      </w:r>
      <w:bookmarkEnd w:id="763"/>
      <w:bookmarkEnd w:id="764"/>
    </w:p>
    <w:p w14:paraId="39E169F5">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在履行合同过程中，经发包人同意，监理人可按第15.3款约定的变更程序向承包人作出变更指示，承包人应遵照执行。没有监理人的变更指示，承包人不得擅自变更。</w:t>
      </w:r>
    </w:p>
    <w:p w14:paraId="42246A59">
      <w:pPr>
        <w:spacing w:line="360" w:lineRule="auto"/>
        <w:jc w:val="left"/>
        <w:rPr>
          <w:rFonts w:hint="eastAsia" w:ascii="宋体" w:hAnsi="宋体" w:cs="宋体"/>
          <w:b/>
          <w:bCs/>
          <w:color w:val="auto"/>
          <w:sz w:val="28"/>
          <w:szCs w:val="28"/>
          <w:highlight w:val="none"/>
        </w:rPr>
      </w:pPr>
      <w:bookmarkStart w:id="765" w:name="_Toc486160938"/>
      <w:bookmarkStart w:id="766" w:name="_Toc484015682"/>
      <w:r>
        <w:rPr>
          <w:rFonts w:hint="eastAsia" w:ascii="宋体" w:hAnsi="宋体" w:cs="宋体"/>
          <w:b/>
          <w:bCs/>
          <w:color w:val="auto"/>
          <w:sz w:val="28"/>
          <w:szCs w:val="28"/>
          <w:highlight w:val="none"/>
        </w:rPr>
        <w:t>15.3变更程序</w:t>
      </w:r>
      <w:bookmarkEnd w:id="765"/>
      <w:bookmarkEnd w:id="766"/>
    </w:p>
    <w:p w14:paraId="76183459">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15.3.1 变更的提出</w:t>
      </w:r>
    </w:p>
    <w:p w14:paraId="0BB81E08">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完工时间等内容的实施方案。发包人同意承包人根据变更意向书要求提交的变更实施方案的，由监理人按第15.3.3项约定发出变更指示。</w:t>
      </w:r>
    </w:p>
    <w:p w14:paraId="495C032E">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（2）在合同履行过程中，发生第15.1款约定情形的，监理人应按照第15.3.3项约定向承包人发出变更指示。</w:t>
      </w:r>
    </w:p>
    <w:p w14:paraId="295F96B0">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165FBA74">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（4）若承包人收到监理人的变更意向书后认为难以实施此项变更，应立即通知监理人，说明原因并附详细依据。监理人与承包人和发包人协商后确定撤销、改变或不改变原变更意向书。</w:t>
      </w:r>
    </w:p>
    <w:p w14:paraId="2CFE0143">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15.3.2 变更估价</w:t>
      </w:r>
    </w:p>
    <w:p w14:paraId="333D25F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p>
    <w:p w14:paraId="6A3E5028">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（2）变更工作影响工期的，承包人应提出调整工期的具体细节。监理人认为有必要时，可要求承包人提交要求提前或延长工期的施工进度计划及相应施工措施等详细资料。</w:t>
      </w:r>
    </w:p>
    <w:p w14:paraId="703AE76B">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（3）除专用合同条款对期限另有约定外，监理人收到承包人变更报价书后的14天内，根据第15.4款约定的估价原则，按照第3.5款商定或确定变更价格。</w:t>
      </w:r>
    </w:p>
    <w:p w14:paraId="2810A254">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15.3.3 变更指示</w:t>
      </w:r>
    </w:p>
    <w:p w14:paraId="0CD628BF">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（1）变更指示只能由监理人发出。</w:t>
      </w:r>
    </w:p>
    <w:p w14:paraId="38E0043E">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（2）变更指示应说明变更的目的、范围、变更内容以及变更的工程量及其进度和技术要求，并附有关图纸和文件。承包人收到变更指示后，应按变更指示进行变更工作。</w:t>
      </w:r>
    </w:p>
    <w:p w14:paraId="7C01B7C5">
      <w:pPr>
        <w:spacing w:line="360" w:lineRule="auto"/>
        <w:jc w:val="left"/>
        <w:rPr>
          <w:rFonts w:hint="eastAsia" w:ascii="宋体" w:hAnsi="宋体" w:cs="宋体"/>
          <w:b/>
          <w:bCs/>
          <w:color w:val="auto"/>
          <w:sz w:val="28"/>
          <w:szCs w:val="28"/>
          <w:highlight w:val="none"/>
        </w:rPr>
      </w:pPr>
      <w:bookmarkStart w:id="767" w:name="_Toc484015683"/>
      <w:bookmarkStart w:id="768" w:name="_Toc486160939"/>
      <w:r>
        <w:rPr>
          <w:rFonts w:hint="eastAsia" w:ascii="宋体" w:hAnsi="宋体" w:cs="宋体"/>
          <w:b/>
          <w:bCs/>
          <w:color w:val="auto"/>
          <w:sz w:val="28"/>
          <w:szCs w:val="28"/>
          <w:highlight w:val="none"/>
        </w:rPr>
        <w:t>15.4变更的估价原则</w:t>
      </w:r>
      <w:bookmarkEnd w:id="767"/>
      <w:bookmarkEnd w:id="768"/>
    </w:p>
    <w:p w14:paraId="77164CF4">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除专用合同条款另有约定外，因变更引起的价格调整按照本款约定处理。</w:t>
      </w:r>
    </w:p>
    <w:p w14:paraId="4B9465F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15.4.1 己标价工程量清单中有适用于变更工作的子目的，采用该子目的单价。</w:t>
      </w:r>
    </w:p>
    <w:p w14:paraId="1585BB2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15.4.2 已标价工程量清单中无适用于变更工作的子目，但有类似子目的，可在合理范围内参照类似子目的单价，由监理人按第3.5款商定或确定变更工作的单价。</w:t>
      </w:r>
    </w:p>
    <w:p w14:paraId="50052BB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15.4.3 已标价工程量清单中无适用或类似子目的单价，可按照成本加利润的原则，由监理人按第3.5款商定或确定变更工作的单价。</w:t>
      </w:r>
    </w:p>
    <w:p w14:paraId="12046688">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15.5承包人的合理化建议</w:t>
      </w:r>
    </w:p>
    <w:p w14:paraId="2F7A875F">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3E7E6A9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15.5.2 承包人提出的合理化建议降低了合同价格、缩短了工期或者提高了工程经济效益的，发包人可按国家有关规定在专用合同条款中约定给予奖励。</w:t>
      </w:r>
    </w:p>
    <w:p w14:paraId="5D60260D">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15.6暂列金额</w:t>
      </w:r>
    </w:p>
    <w:p w14:paraId="33BABE6E">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暂列金额只能按照监理人的指示使用，并对合同价格进行相应调整。</w:t>
      </w:r>
    </w:p>
    <w:p w14:paraId="65A1DE32">
      <w:pPr>
        <w:spacing w:line="360" w:lineRule="auto"/>
        <w:jc w:val="left"/>
        <w:rPr>
          <w:rFonts w:hint="eastAsia" w:ascii="宋体" w:hAnsi="宋体" w:cs="宋体"/>
          <w:b/>
          <w:bCs/>
          <w:color w:val="auto"/>
          <w:sz w:val="28"/>
          <w:szCs w:val="28"/>
          <w:highlight w:val="none"/>
        </w:rPr>
      </w:pPr>
      <w:bookmarkStart w:id="769" w:name="_Toc486160940"/>
      <w:bookmarkStart w:id="770" w:name="_Toc484015684"/>
      <w:r>
        <w:rPr>
          <w:rFonts w:hint="eastAsia" w:ascii="宋体" w:hAnsi="宋体" w:cs="宋体"/>
          <w:b/>
          <w:bCs/>
          <w:color w:val="auto"/>
          <w:sz w:val="28"/>
          <w:szCs w:val="28"/>
          <w:highlight w:val="none"/>
        </w:rPr>
        <w:t>15.7计日工</w:t>
      </w:r>
      <w:bookmarkEnd w:id="769"/>
      <w:bookmarkEnd w:id="770"/>
    </w:p>
    <w:p w14:paraId="2DAED6A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15.7.1 发包人认为有必要时，由监理人通知承包人以计日工方式实施变更的零星工作。其价款按列入已标价工程量清单中的计日工计价子目及其单价进行计算。</w:t>
      </w:r>
    </w:p>
    <w:p w14:paraId="481A764B">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15.7.2 采用计日工计价的任何一项变更工作，应从暂列金额中支付，承包人应在该项变更的实施过程中，每天提交以下报表和有关凭证报送监理人审批：</w:t>
      </w:r>
    </w:p>
    <w:p w14:paraId="22F91A0C">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（1）工作名称、内容和数量；</w:t>
      </w:r>
    </w:p>
    <w:p w14:paraId="4D36379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（2）投入该工作所有人员的姓名、工种、级别和耗用工时；</w:t>
      </w:r>
    </w:p>
    <w:p w14:paraId="74DEB172">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（3）投入该工作的材料类别和数量；</w:t>
      </w:r>
    </w:p>
    <w:p w14:paraId="44E648EF">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（4）投入该工作的施工设备型号、台数和耗用台时；</w:t>
      </w:r>
    </w:p>
    <w:p w14:paraId="6F64581F">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（5）监理人要求提交的其他资料和凭证。</w:t>
      </w:r>
    </w:p>
    <w:p w14:paraId="5733F9E2">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15.7.3 计日工由承包人汇总后，按第17.3.2项的约定列入进度付款申请单，由监理人复核并经发包人同意后列入进度付款。</w:t>
      </w:r>
    </w:p>
    <w:p w14:paraId="3653E89D">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15.8暂估价</w:t>
      </w:r>
    </w:p>
    <w:p w14:paraId="5B35256A">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p>
    <w:p w14:paraId="5D88E3CB">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359FD506">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p>
    <w:p w14:paraId="27C9D549">
      <w:pPr>
        <w:spacing w:line="360" w:lineRule="auto"/>
        <w:jc w:val="left"/>
        <w:outlineLvl w:val="2"/>
        <w:rPr>
          <w:rFonts w:hint="eastAsia" w:ascii="宋体" w:hAnsi="宋体" w:cs="宋体"/>
          <w:b/>
          <w:bCs/>
          <w:color w:val="auto"/>
          <w:sz w:val="28"/>
          <w:szCs w:val="28"/>
          <w:highlight w:val="none"/>
        </w:rPr>
      </w:pPr>
      <w:bookmarkStart w:id="771" w:name="_Toc20148326"/>
      <w:bookmarkStart w:id="772" w:name="_Toc96899338"/>
      <w:bookmarkStart w:id="773" w:name="_Toc6925"/>
      <w:bookmarkStart w:id="774" w:name="_Toc1243959347"/>
      <w:r>
        <w:rPr>
          <w:rFonts w:hint="eastAsia" w:ascii="宋体" w:hAnsi="宋体" w:cs="宋体"/>
          <w:b/>
          <w:bCs/>
          <w:color w:val="auto"/>
          <w:sz w:val="28"/>
          <w:szCs w:val="28"/>
          <w:highlight w:val="none"/>
        </w:rPr>
        <w:t>16.价格调整</w:t>
      </w:r>
      <w:bookmarkEnd w:id="771"/>
      <w:bookmarkEnd w:id="772"/>
      <w:bookmarkEnd w:id="773"/>
      <w:bookmarkEnd w:id="774"/>
    </w:p>
    <w:p w14:paraId="68AEA26B">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16.1物价波动引起的价格调整</w:t>
      </w:r>
    </w:p>
    <w:p w14:paraId="591B4A24">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由于物价波动原因引起合同价格需要调整的，其价格调整方式在专用合同条款中约定。</w:t>
      </w:r>
    </w:p>
    <w:p w14:paraId="2DE0A400">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16.1.1采用价格指数调整价格差额</w:t>
      </w:r>
    </w:p>
    <w:p w14:paraId="6FC2AEB7">
      <w:pPr>
        <w:spacing w:line="360" w:lineRule="auto"/>
        <w:rPr>
          <w:rFonts w:hint="eastAsia" w:ascii="宋体" w:hAnsi="宋体" w:cs="宋体"/>
          <w:color w:val="auto"/>
          <w:kern w:val="0"/>
          <w:sz w:val="24"/>
          <w:highlight w:val="none"/>
        </w:rPr>
      </w:pPr>
      <w:bookmarkStart w:id="775" w:name="_Toc486160942"/>
      <w:bookmarkStart w:id="776" w:name="_Toc484015686"/>
      <w:r>
        <w:rPr>
          <w:rFonts w:hint="eastAsia" w:ascii="宋体" w:hAnsi="宋体" w:cs="宋体"/>
          <w:color w:val="auto"/>
          <w:kern w:val="0"/>
          <w:sz w:val="24"/>
          <w:highlight w:val="none"/>
        </w:rPr>
        <w:t>16.1.1.1 价格调整公式</w:t>
      </w:r>
      <w:bookmarkEnd w:id="775"/>
      <w:bookmarkEnd w:id="776"/>
    </w:p>
    <w:p w14:paraId="7DD965C4">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因人工、材料和设备等价格波动影响合同价格时，根据投标函附录中的价格指数和权重表约定的数据，按以下公式计算差额并调整合同价格。</w:t>
      </w:r>
    </w:p>
    <w:p w14:paraId="74E4F842">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△P= P0｛A+【B1（Ft1/ Fo1）＋B2（Ft2/ Fo2）＋B3（Ft3/ Fo3）＋…＋Bn（Ftn/ Fon）】-1｝</w:t>
      </w:r>
    </w:p>
    <w:p w14:paraId="5C64BC44">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式中：△P--需调整的价格差额；</w:t>
      </w:r>
    </w:p>
    <w:p w14:paraId="05A0F36D">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Po--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p>
    <w:p w14:paraId="11F81997">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A--定值权重（即不调部分的权重）；</w:t>
      </w:r>
    </w:p>
    <w:p w14:paraId="365EBF7C">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B1；B2；B3……Bn --各可调因子的变值权重（即可调部分的权重）为各可调因子在投标函投标总报价中所占的比例；</w:t>
      </w:r>
    </w:p>
    <w:p w14:paraId="6304E873">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Ft1；Ft2；Ft3……Ftn--各可调因子的现行价格指数，指第17.3.3项、第17.5.2项和第17.6.2项约定的付款证书相关周期最后一天的前42天的各可调因子的价格指数；</w:t>
      </w:r>
    </w:p>
    <w:p w14:paraId="1ED3BBC7">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Fo1；Fo2；Fo3……Fon --各可调因子的基本价格指数，指基准日期的各可调因子的价格指数。</w:t>
      </w:r>
    </w:p>
    <w:p w14:paraId="198DAE6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1E5B8220">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16.1.1.2 暂时确定调整差额</w:t>
      </w:r>
    </w:p>
    <w:p w14:paraId="67F75633">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在计算调整差额时得不到现行价格指数的，可暂用上一次价格指数计算，并在以后的付款中再按实际价格指数进行调整。</w:t>
      </w:r>
    </w:p>
    <w:p w14:paraId="172FB34B">
      <w:pPr>
        <w:spacing w:line="360" w:lineRule="auto"/>
        <w:rPr>
          <w:rFonts w:hint="eastAsia" w:ascii="宋体" w:hAnsi="宋体" w:cs="宋体"/>
          <w:color w:val="auto"/>
          <w:kern w:val="0"/>
          <w:sz w:val="24"/>
          <w:highlight w:val="none"/>
        </w:rPr>
      </w:pPr>
      <w:bookmarkStart w:id="777" w:name="_Toc486160943"/>
      <w:bookmarkStart w:id="778" w:name="_Toc484015687"/>
      <w:r>
        <w:rPr>
          <w:rFonts w:hint="eastAsia" w:ascii="宋体" w:hAnsi="宋体" w:cs="宋体"/>
          <w:color w:val="auto"/>
          <w:kern w:val="0"/>
          <w:sz w:val="24"/>
          <w:highlight w:val="none"/>
        </w:rPr>
        <w:t>16.1.1.3 权重的调整</w:t>
      </w:r>
      <w:bookmarkEnd w:id="777"/>
      <w:bookmarkEnd w:id="778"/>
    </w:p>
    <w:p w14:paraId="0D8F2A1C">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按第15.1款约定的变更导致原定合同中的权重不合理时，由监理人与承包人和发包人协商后进行调整。</w:t>
      </w:r>
    </w:p>
    <w:p w14:paraId="19A84F99">
      <w:pPr>
        <w:spacing w:line="360" w:lineRule="auto"/>
        <w:rPr>
          <w:rFonts w:hint="eastAsia" w:ascii="宋体" w:hAnsi="宋体" w:cs="宋体"/>
          <w:color w:val="auto"/>
          <w:kern w:val="0"/>
          <w:sz w:val="24"/>
          <w:highlight w:val="none"/>
        </w:rPr>
      </w:pPr>
      <w:bookmarkStart w:id="779" w:name="_Toc486160944"/>
      <w:bookmarkStart w:id="780" w:name="_Toc484015688"/>
      <w:r>
        <w:rPr>
          <w:rFonts w:hint="eastAsia" w:ascii="宋体" w:hAnsi="宋体" w:cs="宋体"/>
          <w:color w:val="auto"/>
          <w:kern w:val="0"/>
          <w:sz w:val="24"/>
          <w:highlight w:val="none"/>
        </w:rPr>
        <w:t>16.1.1.4 承包人工期延误后的价格调整</w:t>
      </w:r>
      <w:bookmarkEnd w:id="779"/>
      <w:bookmarkEnd w:id="780"/>
    </w:p>
    <w:p w14:paraId="3E0A6AC7">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由于承包人原因未在约定的工期内完工的，则对原约定完工日期后继续施工的工程，在使用第16.1.1.1目价格调整公式时，应采用原约定完工日期与实际完工日期的两个价格指数中较低的一个作为现行价格指数。</w:t>
      </w:r>
    </w:p>
    <w:p w14:paraId="3836E203">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16.1.2  采用造价信息调整价格差额</w:t>
      </w:r>
    </w:p>
    <w:p w14:paraId="7D3823DE">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p>
    <w:p w14:paraId="4C47BE57">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工程造价信息的来源以及价格调整的项目和系数在专用合同条款中约定。</w:t>
      </w:r>
    </w:p>
    <w:p w14:paraId="30BE801A">
      <w:pPr>
        <w:spacing w:line="360" w:lineRule="auto"/>
        <w:jc w:val="left"/>
        <w:rPr>
          <w:rFonts w:hint="eastAsia" w:ascii="宋体" w:hAnsi="宋体" w:cs="宋体"/>
          <w:b/>
          <w:bCs/>
          <w:color w:val="auto"/>
          <w:sz w:val="28"/>
          <w:szCs w:val="28"/>
          <w:highlight w:val="none"/>
        </w:rPr>
      </w:pPr>
      <w:bookmarkStart w:id="781" w:name="_Toc486160945"/>
      <w:bookmarkStart w:id="782" w:name="_Toc484015689"/>
      <w:r>
        <w:rPr>
          <w:rFonts w:hint="eastAsia" w:ascii="宋体" w:hAnsi="宋体" w:cs="宋体"/>
          <w:b/>
          <w:bCs/>
          <w:color w:val="auto"/>
          <w:sz w:val="28"/>
          <w:szCs w:val="28"/>
          <w:highlight w:val="none"/>
        </w:rPr>
        <w:t>16.2法律变化引起的价格调整</w:t>
      </w:r>
      <w:bookmarkEnd w:id="781"/>
      <w:bookmarkEnd w:id="782"/>
    </w:p>
    <w:p w14:paraId="30CC67A8">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36A9C148">
      <w:pPr>
        <w:spacing w:line="360" w:lineRule="auto"/>
        <w:jc w:val="left"/>
        <w:outlineLvl w:val="2"/>
        <w:rPr>
          <w:rFonts w:hint="eastAsia" w:ascii="宋体" w:hAnsi="宋体" w:cs="宋体"/>
          <w:b/>
          <w:bCs/>
          <w:color w:val="auto"/>
          <w:sz w:val="28"/>
          <w:szCs w:val="28"/>
          <w:highlight w:val="none"/>
        </w:rPr>
      </w:pPr>
      <w:bookmarkStart w:id="783" w:name="_Toc5469"/>
      <w:bookmarkStart w:id="784" w:name="_Toc594837191"/>
      <w:bookmarkStart w:id="785" w:name="_Toc96899339"/>
      <w:bookmarkStart w:id="786" w:name="_Toc20148327"/>
      <w:r>
        <w:rPr>
          <w:rFonts w:hint="eastAsia" w:ascii="宋体" w:hAnsi="宋体" w:cs="宋体"/>
          <w:b/>
          <w:bCs/>
          <w:color w:val="auto"/>
          <w:sz w:val="28"/>
          <w:szCs w:val="28"/>
          <w:highlight w:val="none"/>
        </w:rPr>
        <w:t>17.计量与支付</w:t>
      </w:r>
      <w:bookmarkEnd w:id="783"/>
      <w:bookmarkEnd w:id="784"/>
      <w:bookmarkEnd w:id="785"/>
      <w:bookmarkEnd w:id="786"/>
    </w:p>
    <w:p w14:paraId="0DCF6371">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17.1计量</w:t>
      </w:r>
    </w:p>
    <w:p w14:paraId="35052ED3">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17.1.1 计量单位</w:t>
      </w:r>
    </w:p>
    <w:p w14:paraId="2A7054F6">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计量采用国家法定的计量单位。</w:t>
      </w:r>
    </w:p>
    <w:p w14:paraId="65AFEDE9">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17.1.2 计量方法</w:t>
      </w:r>
    </w:p>
    <w:p w14:paraId="4BE78BC8">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结算工程量应按工程量清单中约定的方法计量。</w:t>
      </w:r>
    </w:p>
    <w:p w14:paraId="1F7C39D1">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17.1.3 计量周期</w:t>
      </w:r>
    </w:p>
    <w:p w14:paraId="043AA8B2">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除专用合同条款另有约定外，单价子目已完成工程量按月计量，总价子目的计量周期按批准的支付分解报告确定。</w:t>
      </w:r>
    </w:p>
    <w:p w14:paraId="1A178510">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17.1.4 单价子目的计量</w:t>
      </w:r>
    </w:p>
    <w:p w14:paraId="60A3896A">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（1）己标价工程量清单中的单价子目工程量为估算工程量。结算工程量是承包人实际完成的，并按合同约定的计量方法进行计量的工程量。</w:t>
      </w:r>
    </w:p>
    <w:p w14:paraId="0E78E3BC">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（2）承包人对已完成的工程进行计量，向监理人提交进度付款申请单、已完成工程量报表和有关计量资料。</w:t>
      </w:r>
    </w:p>
    <w:p w14:paraId="1517D9E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397DD3C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（4）监理人认为有必要时，可通知承包人共同进行联合测量、计量，承包人应遵照执行。</w:t>
      </w:r>
    </w:p>
    <w:p w14:paraId="54D65FAD">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136C19DC">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（6）监理人应在收到承包人提交的工程量报表后的7天内进行复核，监理人未在约定时间内复核的，承包人提交的工程量报表中的工程量视为承包人实际完成的工程量，据此计算工程价款。</w:t>
      </w:r>
    </w:p>
    <w:p w14:paraId="7DB83D3D">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17.1.5 总价子目的计量</w:t>
      </w:r>
    </w:p>
    <w:p w14:paraId="1D9DE86C">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 总价子目的分解和计量按照下述约定进行。</w:t>
      </w:r>
    </w:p>
    <w:p w14:paraId="3462689F">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（1）总价子目的计量和支付应以总价为基础，不因第16.1款中的因素而进行调整。承包人实际完成的工程量，是进行工程目标管理和控制进度支付的依据。</w:t>
      </w:r>
    </w:p>
    <w:p w14:paraId="200C70C8">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p>
    <w:p w14:paraId="40253F13">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（3）监理人对承包人提交的上述资料进行复核，以确定分阶段实际完成的工程量和工程形象目标。对其有异议的，可要求承包人按第8.2款约定进行共同复核和抽样复测。</w:t>
      </w:r>
    </w:p>
    <w:p w14:paraId="515F5F4E">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（4）除按照第15条约定的变更外，总价子目的工程量是承包人用于结算的最终工程量。</w:t>
      </w:r>
    </w:p>
    <w:p w14:paraId="08D174A6">
      <w:pPr>
        <w:spacing w:line="360" w:lineRule="auto"/>
        <w:jc w:val="left"/>
        <w:rPr>
          <w:rFonts w:hint="eastAsia" w:ascii="宋体" w:hAnsi="宋体" w:cs="宋体"/>
          <w:b/>
          <w:bCs/>
          <w:color w:val="auto"/>
          <w:sz w:val="28"/>
          <w:szCs w:val="28"/>
          <w:highlight w:val="none"/>
        </w:rPr>
      </w:pPr>
      <w:bookmarkStart w:id="787" w:name="_Toc486160947"/>
      <w:bookmarkStart w:id="788" w:name="_Toc484015691"/>
      <w:r>
        <w:rPr>
          <w:rFonts w:hint="eastAsia" w:ascii="宋体" w:hAnsi="宋体" w:cs="宋体"/>
          <w:b/>
          <w:bCs/>
          <w:color w:val="auto"/>
          <w:sz w:val="28"/>
          <w:szCs w:val="28"/>
          <w:highlight w:val="none"/>
        </w:rPr>
        <w:t>17.2预付款</w:t>
      </w:r>
      <w:bookmarkEnd w:id="787"/>
      <w:bookmarkEnd w:id="788"/>
    </w:p>
    <w:p w14:paraId="494A500F">
      <w:pPr>
        <w:spacing w:line="360" w:lineRule="auto"/>
        <w:jc w:val="left"/>
        <w:rPr>
          <w:rFonts w:hint="eastAsia" w:ascii="宋体" w:hAnsi="宋体" w:cs="宋体"/>
          <w:b/>
          <w:color w:val="auto"/>
          <w:sz w:val="24"/>
          <w:highlight w:val="none"/>
        </w:rPr>
      </w:pPr>
      <w:bookmarkStart w:id="789" w:name="_Toc486160948"/>
      <w:bookmarkStart w:id="790" w:name="_Toc484015692"/>
      <w:r>
        <w:rPr>
          <w:rFonts w:hint="eastAsia" w:ascii="宋体" w:hAnsi="宋体" w:cs="宋体"/>
          <w:b/>
          <w:color w:val="auto"/>
          <w:sz w:val="24"/>
          <w:highlight w:val="none"/>
        </w:rPr>
        <w:t>17.2.1 预付款</w:t>
      </w:r>
      <w:bookmarkEnd w:id="789"/>
      <w:bookmarkEnd w:id="790"/>
    </w:p>
    <w:p w14:paraId="6E424676">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p>
    <w:p w14:paraId="608620E6">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17.2.2 预付款保函（担保）</w:t>
      </w:r>
    </w:p>
    <w:p w14:paraId="1BA2E6A4">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（1）承包人应在收到第一次工程预付款的同时向发包人提交工程预付款担保，担保金额应与第一次工程预付款金额相同，工程预付款担保在第一次工程预付款被发包人扣回前一直有效。</w:t>
      </w:r>
    </w:p>
    <w:p w14:paraId="4C884053">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（2）工程材料预付款的担保在专用合同条款中约定。</w:t>
      </w:r>
    </w:p>
    <w:p w14:paraId="0096B5BC">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（3）预付款担保的担保金额可根据预付款扣回的金额相应递减。</w:t>
      </w:r>
    </w:p>
    <w:p w14:paraId="5A0B79DE">
      <w:pPr>
        <w:spacing w:line="360" w:lineRule="auto"/>
        <w:jc w:val="left"/>
        <w:rPr>
          <w:rFonts w:hint="eastAsia" w:ascii="宋体" w:hAnsi="宋体" w:cs="宋体"/>
          <w:b/>
          <w:color w:val="auto"/>
          <w:sz w:val="24"/>
          <w:highlight w:val="none"/>
        </w:rPr>
      </w:pPr>
      <w:bookmarkStart w:id="791" w:name="_Toc486160949"/>
      <w:bookmarkStart w:id="792" w:name="_Toc484015693"/>
      <w:r>
        <w:rPr>
          <w:rFonts w:hint="eastAsia" w:ascii="宋体" w:hAnsi="宋体" w:cs="宋体"/>
          <w:b/>
          <w:color w:val="auto"/>
          <w:sz w:val="24"/>
          <w:highlight w:val="none"/>
        </w:rPr>
        <w:t>17.2.3 预付款的扣回与还清</w:t>
      </w:r>
      <w:bookmarkEnd w:id="791"/>
      <w:bookmarkEnd w:id="792"/>
    </w:p>
    <w:p w14:paraId="3FAD06BA">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预付款在进度付款中扣回，扣回与还清办法在专用合同条款中约定。在颁发合同工程完工证书前，由于不可抗力或其他原因解除合同时，预付款尚未扣清的，尚未扣清的预付款余额应作为承包人的到期应付款。 </w:t>
      </w:r>
    </w:p>
    <w:p w14:paraId="306C30F7">
      <w:pPr>
        <w:spacing w:line="360" w:lineRule="auto"/>
        <w:jc w:val="left"/>
        <w:rPr>
          <w:rFonts w:hint="eastAsia" w:ascii="宋体" w:hAnsi="宋体" w:cs="宋体"/>
          <w:b/>
          <w:bCs/>
          <w:color w:val="auto"/>
          <w:sz w:val="28"/>
          <w:szCs w:val="28"/>
          <w:highlight w:val="none"/>
        </w:rPr>
      </w:pPr>
      <w:bookmarkStart w:id="793" w:name="_Toc484015694"/>
      <w:bookmarkStart w:id="794" w:name="_Toc486160950"/>
      <w:r>
        <w:rPr>
          <w:rFonts w:hint="eastAsia" w:ascii="宋体" w:hAnsi="宋体" w:cs="宋体"/>
          <w:b/>
          <w:bCs/>
          <w:color w:val="auto"/>
          <w:sz w:val="28"/>
          <w:szCs w:val="28"/>
          <w:highlight w:val="none"/>
        </w:rPr>
        <w:t>17.3工程进度付款</w:t>
      </w:r>
      <w:bookmarkEnd w:id="793"/>
      <w:bookmarkEnd w:id="794"/>
    </w:p>
    <w:p w14:paraId="12355E5F">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17.3.1 付款周期</w:t>
      </w:r>
    </w:p>
    <w:p w14:paraId="01195F4E">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付款周期同计量周期。</w:t>
      </w:r>
    </w:p>
    <w:p w14:paraId="46293544">
      <w:pPr>
        <w:spacing w:line="360" w:lineRule="auto"/>
        <w:rPr>
          <w:rFonts w:hint="eastAsia" w:ascii="宋体" w:hAnsi="宋体" w:cs="宋体"/>
          <w:b/>
          <w:color w:val="auto"/>
          <w:sz w:val="24"/>
          <w:highlight w:val="none"/>
        </w:rPr>
      </w:pPr>
      <w:bookmarkStart w:id="795" w:name="_Toc484015695"/>
      <w:bookmarkStart w:id="796" w:name="_Toc486160951"/>
      <w:r>
        <w:rPr>
          <w:rFonts w:hint="eastAsia" w:ascii="宋体" w:hAnsi="宋体" w:cs="宋体"/>
          <w:b/>
          <w:color w:val="auto"/>
          <w:sz w:val="24"/>
          <w:highlight w:val="none"/>
        </w:rPr>
        <w:t>17.3.2 进度付款申请单</w:t>
      </w:r>
      <w:bookmarkEnd w:id="795"/>
      <w:bookmarkEnd w:id="796"/>
    </w:p>
    <w:p w14:paraId="01F7C7DF">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承包人应在每个付款周期末，按监理人批准的格式和专用合同条款约定的份数，向监理人提交进度付款申请单，并附相应的支持性证明文件。除专用合同条款另有约定外，进度付款申请单应包括下列内容：</w:t>
      </w:r>
    </w:p>
    <w:p w14:paraId="768CF893">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（1）截至本次付款周期末已实施工程的价款；</w:t>
      </w:r>
    </w:p>
    <w:p w14:paraId="67285C5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（2）根据第15条应增加和扣减的变更金额；</w:t>
      </w:r>
    </w:p>
    <w:p w14:paraId="5FE38A63">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（3）根据第23条应增加和扣减的索赔金额；</w:t>
      </w:r>
    </w:p>
    <w:p w14:paraId="0EBFAF9D">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（4）根据第17.2款约定应支付的预付款和扣减的返还预付款；</w:t>
      </w:r>
    </w:p>
    <w:p w14:paraId="65010E6F">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（5）根据第17.4.1项约定应扣减的质量保证金；</w:t>
      </w:r>
    </w:p>
    <w:p w14:paraId="04A874ED">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（6）根据合同应增加和扣减的其他金额。</w:t>
      </w:r>
    </w:p>
    <w:p w14:paraId="383481A3">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17.3.3 进度付款证书和支付时间</w:t>
      </w:r>
    </w:p>
    <w:p w14:paraId="46F34AE3">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3EA5E6FA">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（2）发包人应在监理人收到进度付款申请单后的28天内，将进度应付款支付给承包人。发包人不按期支付的，按专用合同条款的约定支付逾期付款违约金。</w:t>
      </w:r>
    </w:p>
    <w:p w14:paraId="2F09480A">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（3）监理人出具进度付款证书，不应视为监理人己同意、批准或接受了承包人完成的该部分工作。</w:t>
      </w:r>
    </w:p>
    <w:p w14:paraId="46837B4F">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（4）进度付款涉及政府投资资金的，按照国库集中支付等国家相关规定和专用合同条款的约定办理。</w:t>
      </w:r>
    </w:p>
    <w:p w14:paraId="4D469A6B">
      <w:pPr>
        <w:spacing w:line="360" w:lineRule="auto"/>
        <w:jc w:val="left"/>
        <w:rPr>
          <w:rFonts w:hint="eastAsia" w:ascii="宋体" w:hAnsi="宋体" w:cs="宋体"/>
          <w:b/>
          <w:color w:val="auto"/>
          <w:sz w:val="24"/>
          <w:highlight w:val="none"/>
        </w:rPr>
      </w:pPr>
      <w:bookmarkStart w:id="797" w:name="_Toc486160952"/>
      <w:bookmarkStart w:id="798" w:name="_Toc484015696"/>
      <w:r>
        <w:rPr>
          <w:rFonts w:hint="eastAsia" w:ascii="宋体" w:hAnsi="宋体" w:cs="宋体"/>
          <w:b/>
          <w:color w:val="auto"/>
          <w:sz w:val="24"/>
          <w:highlight w:val="none"/>
        </w:rPr>
        <w:t>17.3.4 工程进度付款的修正</w:t>
      </w:r>
      <w:bookmarkEnd w:id="797"/>
      <w:bookmarkEnd w:id="798"/>
    </w:p>
    <w:p w14:paraId="08981B05">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在对以往历次已签发的进度付款证书进行汇总和复核中发现错、漏或重复的，监理人有权予以修正，承包人也有权提出修正申请。经双方复核同意的修正，应在本次进度付款中支付或扣除。</w:t>
      </w:r>
    </w:p>
    <w:p w14:paraId="37C12EE2">
      <w:pPr>
        <w:spacing w:line="360" w:lineRule="auto"/>
        <w:jc w:val="left"/>
        <w:rPr>
          <w:rFonts w:hint="eastAsia" w:ascii="宋体" w:hAnsi="宋体" w:cs="宋体"/>
          <w:b/>
          <w:bCs/>
          <w:color w:val="auto"/>
          <w:sz w:val="28"/>
          <w:szCs w:val="28"/>
          <w:highlight w:val="none"/>
        </w:rPr>
      </w:pPr>
      <w:bookmarkStart w:id="799" w:name="_Toc486160953"/>
      <w:bookmarkStart w:id="800" w:name="_Toc484015697"/>
      <w:r>
        <w:rPr>
          <w:rFonts w:hint="eastAsia" w:ascii="宋体" w:hAnsi="宋体" w:cs="宋体"/>
          <w:b/>
          <w:bCs/>
          <w:color w:val="auto"/>
          <w:sz w:val="28"/>
          <w:szCs w:val="28"/>
          <w:highlight w:val="none"/>
        </w:rPr>
        <w:t>17.4质量保证金</w:t>
      </w:r>
      <w:bookmarkEnd w:id="799"/>
      <w:bookmarkEnd w:id="800"/>
    </w:p>
    <w:p w14:paraId="58FF366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17.4.1 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p>
    <w:p w14:paraId="2E7EB5B3">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17.4.2 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p>
    <w:p w14:paraId="7C6EC13B">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17.4.3 在第1.1.4.5目约定的缺陷责任期（工程质量保修期）满时，承包人没有完成缺陷责任的，发包人有权扣留与未履行责任剩余工作所需金额相应的质量保证金余额，并有权根据第19.3款约定要求延长缺陷责任期（工程质量保修期），直至完成剩余工作为止。</w:t>
      </w:r>
    </w:p>
    <w:p w14:paraId="1CBB11E8">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17.5竣工结算（完工结算）</w:t>
      </w:r>
    </w:p>
    <w:p w14:paraId="5D5BB623">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 xml:space="preserve">17.5.1  </w:t>
      </w:r>
      <w:r>
        <w:rPr>
          <w:rFonts w:hint="eastAsia" w:ascii="宋体" w:hAnsi="宋体" w:cs="宋体"/>
          <w:b/>
          <w:color w:val="auto"/>
          <w:kern w:val="0"/>
          <w:sz w:val="24"/>
          <w:highlight w:val="none"/>
        </w:rPr>
        <w:t>竣工</w:t>
      </w:r>
      <w:r>
        <w:rPr>
          <w:rFonts w:hint="eastAsia" w:ascii="宋体" w:hAnsi="宋体" w:cs="宋体"/>
          <w:b/>
          <w:color w:val="auto"/>
          <w:sz w:val="24"/>
          <w:highlight w:val="none"/>
        </w:rPr>
        <w:t>（完工）付款申请单</w:t>
      </w:r>
    </w:p>
    <w:p w14:paraId="5F5561F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p>
    <w:p w14:paraId="7A99E8B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（2）监理人对完工付款申请单有异议的，有权要求承包人进行修正和提供补充资料。经监理人和承包人协商后，由承包人向监理人提交修正后的完工付款申请单。</w:t>
      </w:r>
    </w:p>
    <w:p w14:paraId="7FA3D637">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17.5.2  竣工（完工）付款证书及支付时间</w:t>
      </w:r>
    </w:p>
    <w:p w14:paraId="39E452C5">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p>
    <w:p w14:paraId="443C1974">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（2）发包人应在监理人出具完工付款证书后的14天内，将应支付款支付给承包人。发包人不按期支付的，按第17.3.3（2）目的约定，将逾期付款违约金支付给承包人。</w:t>
      </w:r>
    </w:p>
    <w:p w14:paraId="3A19B26C">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（3）承包人对发包人签认的完工付款证书有异议的，发包人可出具完工付款申请单中承包人已同意部分的临时付款证书。存在争议的部分，按第24条的约定办理。</w:t>
      </w:r>
    </w:p>
    <w:p w14:paraId="16EC427C">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（4）完工付款涉及政府投资资金的，按第17.3.3（4）目的约定办理。</w:t>
      </w:r>
    </w:p>
    <w:p w14:paraId="1C08F4F1">
      <w:pPr>
        <w:spacing w:line="360" w:lineRule="auto"/>
        <w:jc w:val="left"/>
        <w:rPr>
          <w:rFonts w:hint="eastAsia" w:ascii="宋体" w:hAnsi="宋体" w:cs="宋体"/>
          <w:b/>
          <w:bCs/>
          <w:color w:val="auto"/>
          <w:sz w:val="28"/>
          <w:szCs w:val="28"/>
          <w:highlight w:val="none"/>
        </w:rPr>
      </w:pPr>
      <w:bookmarkStart w:id="801" w:name="_Toc484015698"/>
      <w:bookmarkStart w:id="802" w:name="_Toc486160954"/>
      <w:r>
        <w:rPr>
          <w:rFonts w:hint="eastAsia" w:ascii="宋体" w:hAnsi="宋体" w:cs="宋体"/>
          <w:b/>
          <w:bCs/>
          <w:color w:val="auto"/>
          <w:sz w:val="28"/>
          <w:szCs w:val="28"/>
          <w:highlight w:val="none"/>
        </w:rPr>
        <w:t>17.6最终结清</w:t>
      </w:r>
      <w:bookmarkEnd w:id="801"/>
      <w:bookmarkEnd w:id="802"/>
    </w:p>
    <w:p w14:paraId="537008CD">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17.6.1 最终结清申请单</w:t>
      </w:r>
    </w:p>
    <w:p w14:paraId="64ECC026">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（1）工程质量保修责任终止证书签发后，承包人应按监理人批准的格式提交最终结清申请单。提交最终结清申请单的份数在专用合同条款中约定。</w:t>
      </w:r>
    </w:p>
    <w:p w14:paraId="552B13E8">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（2）发包人对最终结清申请单内容有异议的，有权要求承包人进行修正和提供补充资料，由承包人向监理人提交修正后的最终结清申请单。</w:t>
      </w:r>
    </w:p>
    <w:p w14:paraId="5A670A17">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17.6.2 最终结清证书和支付时间</w:t>
      </w:r>
    </w:p>
    <w:p w14:paraId="2BCD15E5">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34A040C7">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（2）发包人应在监理人出具最终结清证书后的14天内，将应支付款支付给承包人。发包人不按期支付的，按第17.3.3（2）目的约定，将逾期付款违约金支付给承包人。</w:t>
      </w:r>
    </w:p>
    <w:p w14:paraId="53A3AD83">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（3）承包人对发包人签认的最终结清证书有异议的，按第24条的约定办理。</w:t>
      </w:r>
    </w:p>
    <w:p w14:paraId="3CB63160">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（4）最终结清付款涉及政府投资资金的，按第17.3.3（4）目的约定办理。</w:t>
      </w:r>
    </w:p>
    <w:p w14:paraId="4A39265A">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17.7竣工财务决算</w:t>
      </w:r>
    </w:p>
    <w:p w14:paraId="21AC6AB9">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发包人负责编制本工程项目竣工财务决算，承包人应按专用合同条款的约定提供竣工财务决算编制所需的相关材料。</w:t>
      </w:r>
    </w:p>
    <w:p w14:paraId="127FDF91">
      <w:pPr>
        <w:spacing w:line="360" w:lineRule="auto"/>
        <w:jc w:val="left"/>
        <w:rPr>
          <w:rFonts w:hint="eastAsia" w:ascii="宋体" w:hAnsi="宋体" w:cs="宋体"/>
          <w:b/>
          <w:bCs/>
          <w:color w:val="auto"/>
          <w:sz w:val="28"/>
          <w:szCs w:val="28"/>
          <w:highlight w:val="none"/>
        </w:rPr>
      </w:pPr>
      <w:bookmarkStart w:id="803" w:name="_Toc484015699"/>
      <w:bookmarkStart w:id="804" w:name="_Toc486160955"/>
      <w:r>
        <w:rPr>
          <w:rFonts w:hint="eastAsia" w:ascii="宋体" w:hAnsi="宋体" w:cs="宋体"/>
          <w:b/>
          <w:bCs/>
          <w:color w:val="auto"/>
          <w:sz w:val="28"/>
          <w:szCs w:val="28"/>
          <w:highlight w:val="none"/>
        </w:rPr>
        <w:t>17.8审计</w:t>
      </w:r>
      <w:bookmarkEnd w:id="803"/>
      <w:bookmarkEnd w:id="804"/>
    </w:p>
    <w:p w14:paraId="04930D17">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发包人负责完成本工程竣工审计手续，承包人应完成相关配合工作。</w:t>
      </w:r>
    </w:p>
    <w:p w14:paraId="4A1E2137">
      <w:pPr>
        <w:spacing w:line="360" w:lineRule="auto"/>
        <w:jc w:val="left"/>
        <w:outlineLvl w:val="2"/>
        <w:rPr>
          <w:rFonts w:hint="eastAsia" w:ascii="宋体" w:hAnsi="宋体" w:cs="宋体"/>
          <w:b/>
          <w:bCs/>
          <w:color w:val="auto"/>
          <w:sz w:val="28"/>
          <w:szCs w:val="28"/>
          <w:highlight w:val="none"/>
        </w:rPr>
      </w:pPr>
      <w:bookmarkStart w:id="805" w:name="_Toc96899340"/>
      <w:bookmarkStart w:id="806" w:name="_Toc2078799918"/>
      <w:bookmarkStart w:id="807" w:name="_Toc20148328"/>
      <w:bookmarkStart w:id="808" w:name="_Toc7763"/>
      <w:r>
        <w:rPr>
          <w:rFonts w:hint="eastAsia" w:ascii="宋体" w:hAnsi="宋体" w:cs="宋体"/>
          <w:b/>
          <w:bCs/>
          <w:color w:val="auto"/>
          <w:sz w:val="28"/>
          <w:szCs w:val="28"/>
          <w:highlight w:val="none"/>
        </w:rPr>
        <w:t>18.竣工验收（验收）</w:t>
      </w:r>
      <w:bookmarkEnd w:id="805"/>
      <w:bookmarkEnd w:id="806"/>
      <w:bookmarkEnd w:id="807"/>
      <w:bookmarkEnd w:id="808"/>
    </w:p>
    <w:p w14:paraId="57791079">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18.1验收工作分类</w:t>
      </w:r>
    </w:p>
    <w:p w14:paraId="76F6A624">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p>
    <w:p w14:paraId="7E24D2E4">
      <w:pPr>
        <w:spacing w:line="360" w:lineRule="auto"/>
        <w:jc w:val="left"/>
        <w:rPr>
          <w:rFonts w:hint="eastAsia" w:ascii="宋体" w:hAnsi="宋体" w:cs="宋体"/>
          <w:b/>
          <w:bCs/>
          <w:color w:val="auto"/>
          <w:sz w:val="28"/>
          <w:szCs w:val="28"/>
          <w:highlight w:val="none"/>
        </w:rPr>
      </w:pPr>
      <w:bookmarkStart w:id="809" w:name="_Toc484015701"/>
      <w:bookmarkStart w:id="810" w:name="_Toc486160957"/>
      <w:r>
        <w:rPr>
          <w:rFonts w:hint="eastAsia" w:ascii="宋体" w:hAnsi="宋体" w:cs="宋体"/>
          <w:b/>
          <w:bCs/>
          <w:color w:val="auto"/>
          <w:sz w:val="28"/>
          <w:szCs w:val="28"/>
          <w:highlight w:val="none"/>
        </w:rPr>
        <w:t>18.2分部工程验收</w:t>
      </w:r>
      <w:bookmarkEnd w:id="809"/>
      <w:bookmarkEnd w:id="810"/>
    </w:p>
    <w:p w14:paraId="12C4B5C6">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18.2.1 分部工程具备验收条件时，承包人应向发包人提交验收申请报告，发包人应在收到验收申请报告之日起10个工作日内决定是否同意进行验收。</w:t>
      </w:r>
    </w:p>
    <w:p w14:paraId="10B9321A">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18.2.2 除专用合同条款另有约定外，监理人主持分部工程验收，承包人应派符合条件的代表参加验收工作组。</w:t>
      </w:r>
    </w:p>
    <w:p w14:paraId="176BBE3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18.2.3 分部工程验收通过后，发包人向承包人发送分部工程验收鉴定书。承包人应及时完成分部工程验收鉴定书载明应由承包人处理的遗留问题。</w:t>
      </w:r>
    </w:p>
    <w:p w14:paraId="1CEE272B">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18.3单位工程验收</w:t>
      </w:r>
    </w:p>
    <w:p w14:paraId="1FD923D6">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18.3.1 单位工程具备验收条件时，承包人应向发包人提交验收申请报告，发包人应在收到验收申请报告之日起10个工作日内决定是否同意进行验收。</w:t>
      </w:r>
    </w:p>
    <w:p w14:paraId="7C2F5935">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18.3.2 发包人主持单位工程验收，承包人应派符合条件的代表参加验收工作组。</w:t>
      </w:r>
    </w:p>
    <w:p w14:paraId="159003EA">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18.3.3 单位工程验收通过后，发包人向承包人发送单位工程验收鉴定书。承包人应及时完成单位工程验收鉴定书载明应由承包人处理的遗留问题。</w:t>
      </w:r>
    </w:p>
    <w:p w14:paraId="47FF617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18.3.4 需提前投入使用的单位工程在专用合同条款中明确。 </w:t>
      </w:r>
    </w:p>
    <w:p w14:paraId="286D60FA">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18.4合同工程完工验收</w:t>
      </w:r>
    </w:p>
    <w:p w14:paraId="747C46D6">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18.4.1 合同工程具备验收条件时，承包人应向发包人提交验收申请报告，发包人应在收到验收申请报告之日起20个工作日内决定是否同意进行验收。</w:t>
      </w:r>
    </w:p>
    <w:p w14:paraId="456BFD8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18.4.2 发包人主持合同工程完工验收，承包人应派代表参加验收工作组。</w:t>
      </w:r>
    </w:p>
    <w:p w14:paraId="79A67B3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18.4.3 合同工程完工验收通过后，发包人向承包人发送合同工程完工验收鉴定书。承包人应及时完成合同工程完工验收鉴定书载明应由承包人处理的遗留问题。</w:t>
      </w:r>
    </w:p>
    <w:p w14:paraId="33A4E2A4">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18.4.4 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p>
    <w:p w14:paraId="4B68BD2A">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18.5阶段验收</w:t>
      </w:r>
    </w:p>
    <w:p w14:paraId="10990A6F">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18.5.1 工程建设具备阶段验收条件时，发包人负责提出阶段验收申请报告。承包人应派代表参加阶段验收，并作为被验收单位在验收鉴定书上签字。阶段验收的具体类别在专用合同条款中约定。</w:t>
      </w:r>
    </w:p>
    <w:p w14:paraId="5324E7A2">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18.5.2 承包人应及时完成阶段验收鉴定书载明应由承包人处理的遗留问题。</w:t>
      </w:r>
    </w:p>
    <w:p w14:paraId="50E2AC55">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18.6专项验收</w:t>
      </w:r>
    </w:p>
    <w:p w14:paraId="0164C1DA">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18.6.1 发包人负责提出专项验收申请报告。承包人应按专项验收的相关规定参加专项验收。专项验收的具体类别在专用合同条款中约定。</w:t>
      </w:r>
    </w:p>
    <w:p w14:paraId="4B801B7A">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18.6.2 承包人应及时完成专项验收成果性文件载明应由承包人处理的遗留问题。</w:t>
      </w:r>
    </w:p>
    <w:p w14:paraId="6F95D8DE">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18.7竣工验收</w:t>
      </w:r>
    </w:p>
    <w:p w14:paraId="5F684594">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18.7.1 申请竣工验收前，发包人组织竣工验收自查，承包人应派代表参加。</w:t>
      </w:r>
    </w:p>
    <w:p w14:paraId="507587E0">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18.7.2 竣工验收分为竣工技术预验收和竣工验收两个阶段。发包人应通知承包人派代表参加技术预验收和竣工验收。</w:t>
      </w:r>
    </w:p>
    <w:p w14:paraId="55946CBA">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18.7.3专用合同条款约定工程需要进行技术鉴定的，承包人应提交有关资料并完成配合工作。</w:t>
      </w:r>
    </w:p>
    <w:p w14:paraId="0C3D4302">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18.7.4 竣工验收需要进行质量检测的，所需费用由发包人承担，但因承包人原因造成质量不合格的除外。</w:t>
      </w:r>
    </w:p>
    <w:p w14:paraId="2A33357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18.7.5 工程质量保修期满以及竣工验收遗留问题和尾工处理完成并通过验收后，发包人负责将处理情况和验收成果报送竣工验收主持单位，申请领取工程竣工证书，并发送承包人。</w:t>
      </w:r>
    </w:p>
    <w:p w14:paraId="44B1DB43">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18.8施工期运行</w:t>
      </w:r>
    </w:p>
    <w:p w14:paraId="13DCB5C2">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18.8.1 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p>
    <w:p w14:paraId="363CB76E">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18.8.2 在施工期运行中发现工程或工程设备损坏或存在缺陷的，由承包人按第19.2款约定进行修复。</w:t>
      </w:r>
    </w:p>
    <w:p w14:paraId="790B8695">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18.9试运行 </w:t>
      </w:r>
    </w:p>
    <w:p w14:paraId="6D61A0CD">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18.9.1 除专用合同条款另有约定外，承包人应按规定进行工程及工程设备试运行，负责提供试运行所需的人员、器材和必要的条件，并承担全部试运行费用。</w:t>
      </w:r>
    </w:p>
    <w:p w14:paraId="18A2C99C">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685709B8">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18.10竣工（完工）清场</w:t>
      </w:r>
    </w:p>
    <w:p w14:paraId="1BE8FB21">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18.10.1 工程项目竣工（完工）清场的工作范围和内容在技术标准和要求（合同技术条款）中约定。</w:t>
      </w:r>
    </w:p>
    <w:p w14:paraId="583F6F8B">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18.10.2 承包人未按监理人的要求恢复临时占地，或者场地清理未达到合同约定的，发包人有权委托其他人恢复或清理，所发生的金额从拟支付给承包人的款项中扣除。</w:t>
      </w:r>
    </w:p>
    <w:p w14:paraId="7F009E8C">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18.11施工队伍的撤离</w:t>
      </w:r>
    </w:p>
    <w:p w14:paraId="38E30155">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p>
    <w:p w14:paraId="3F79658C">
      <w:pPr>
        <w:spacing w:line="360" w:lineRule="auto"/>
        <w:jc w:val="left"/>
        <w:outlineLvl w:val="2"/>
        <w:rPr>
          <w:rFonts w:hint="eastAsia" w:ascii="宋体" w:hAnsi="宋体" w:cs="宋体"/>
          <w:b/>
          <w:bCs/>
          <w:color w:val="auto"/>
          <w:sz w:val="28"/>
          <w:szCs w:val="28"/>
          <w:highlight w:val="none"/>
        </w:rPr>
      </w:pPr>
      <w:bookmarkStart w:id="811" w:name="_Toc20148329"/>
      <w:bookmarkStart w:id="812" w:name="_Toc1376222508"/>
      <w:bookmarkStart w:id="813" w:name="_Toc96899341"/>
      <w:bookmarkStart w:id="814" w:name="_Toc31282"/>
      <w:r>
        <w:rPr>
          <w:rFonts w:hint="eastAsia" w:ascii="宋体" w:hAnsi="宋体" w:cs="宋体"/>
          <w:b/>
          <w:bCs/>
          <w:color w:val="auto"/>
          <w:sz w:val="28"/>
          <w:szCs w:val="28"/>
          <w:highlight w:val="none"/>
        </w:rPr>
        <w:t>19.缺陷责任与保修责任</w:t>
      </w:r>
      <w:bookmarkEnd w:id="811"/>
      <w:bookmarkEnd w:id="812"/>
      <w:bookmarkEnd w:id="813"/>
      <w:bookmarkEnd w:id="814"/>
    </w:p>
    <w:p w14:paraId="3354EB04">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19.1缺陷责任期（工程质量保修期）的起算时间</w:t>
      </w:r>
    </w:p>
    <w:p w14:paraId="4846C5D4">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条款中约定。</w:t>
      </w:r>
    </w:p>
    <w:p w14:paraId="39068472">
      <w:pPr>
        <w:spacing w:line="360" w:lineRule="auto"/>
        <w:jc w:val="left"/>
        <w:rPr>
          <w:rFonts w:hint="eastAsia" w:ascii="宋体" w:hAnsi="宋体" w:cs="宋体"/>
          <w:b/>
          <w:bCs/>
          <w:color w:val="auto"/>
          <w:sz w:val="28"/>
          <w:szCs w:val="28"/>
          <w:highlight w:val="none"/>
        </w:rPr>
      </w:pPr>
      <w:bookmarkStart w:id="815" w:name="_Toc486160959"/>
      <w:bookmarkStart w:id="816" w:name="_Toc484015703"/>
      <w:r>
        <w:rPr>
          <w:rFonts w:hint="eastAsia" w:ascii="宋体" w:hAnsi="宋体" w:cs="宋体"/>
          <w:b/>
          <w:bCs/>
          <w:color w:val="auto"/>
          <w:sz w:val="28"/>
          <w:szCs w:val="28"/>
          <w:highlight w:val="none"/>
        </w:rPr>
        <w:t>19.2缺陷责任</w:t>
      </w:r>
      <w:bookmarkEnd w:id="815"/>
      <w:bookmarkEnd w:id="816"/>
    </w:p>
    <w:p w14:paraId="749F167E">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19.2.1 承包人应在缺陷责任期（工程质量保修期）内对已交付使用的工程承担缺陷责任。</w:t>
      </w:r>
    </w:p>
    <w:p w14:paraId="205AA3F4">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19.2.2 缺陷责任期（工程质量保修期）内，发包人对己接收使用的工程负责日常维护工作。发包人在使用过程中，发现已接收的工程存在新的缺陷或已修复的缺陷部位或部件又遭损坏的，承包人应负责修复，直至检验合格为止。</w:t>
      </w:r>
    </w:p>
    <w:p w14:paraId="0886BF0F">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673D797B">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19.2.4 承包人不能在合理时间内修复缺陷的，发包人可自行修复或委托其他人修复，所需费用和利润的承担，按第19.2.3项约定办理。</w:t>
      </w:r>
    </w:p>
    <w:p w14:paraId="78ABBAA4">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19.3缺陷责任期（工程质量保修期）的延长</w:t>
      </w:r>
    </w:p>
    <w:p w14:paraId="2E086B3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由于承包人原因造成某项缺陷或损坏使某项工程或工程设备不能按原定目标使用而需要再次检查、检验和修复的，发包人有权要求承包人相应延长缺陷责任期（工程质量保修期），但缺陷责任期（工程质量保修期）最长不超过2年。</w:t>
      </w:r>
    </w:p>
    <w:p w14:paraId="58282CB9">
      <w:pPr>
        <w:spacing w:line="360" w:lineRule="auto"/>
        <w:jc w:val="left"/>
        <w:rPr>
          <w:rFonts w:hint="eastAsia" w:ascii="宋体" w:hAnsi="宋体" w:cs="宋体"/>
          <w:b/>
          <w:bCs/>
          <w:color w:val="auto"/>
          <w:sz w:val="28"/>
          <w:szCs w:val="28"/>
          <w:highlight w:val="none"/>
        </w:rPr>
      </w:pPr>
      <w:bookmarkStart w:id="817" w:name="_Toc486160960"/>
      <w:bookmarkStart w:id="818" w:name="_Toc484015704"/>
      <w:r>
        <w:rPr>
          <w:rFonts w:hint="eastAsia" w:ascii="宋体" w:hAnsi="宋体" w:cs="宋体"/>
          <w:b/>
          <w:bCs/>
          <w:color w:val="auto"/>
          <w:sz w:val="28"/>
          <w:szCs w:val="28"/>
          <w:highlight w:val="none"/>
        </w:rPr>
        <w:t>19.4进一步试验和试运行</w:t>
      </w:r>
      <w:bookmarkEnd w:id="817"/>
      <w:bookmarkEnd w:id="818"/>
    </w:p>
    <w:p w14:paraId="7BBF43DA">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任何一项缺陷或损坏修复后，经检查证明其影响了工程或工程设备的使用性能，承包人应重新进行合同约定的试验和试运行，试验和试运行的全部费用应由责任方承担。</w:t>
      </w:r>
    </w:p>
    <w:p w14:paraId="211C9B99">
      <w:pPr>
        <w:spacing w:line="360" w:lineRule="auto"/>
        <w:jc w:val="left"/>
        <w:rPr>
          <w:rFonts w:hint="eastAsia" w:ascii="宋体" w:hAnsi="宋体" w:cs="宋体"/>
          <w:b/>
          <w:bCs/>
          <w:color w:val="auto"/>
          <w:sz w:val="28"/>
          <w:szCs w:val="28"/>
          <w:highlight w:val="none"/>
        </w:rPr>
      </w:pPr>
      <w:bookmarkStart w:id="819" w:name="_Toc486160961"/>
      <w:bookmarkStart w:id="820" w:name="_Toc484015705"/>
      <w:r>
        <w:rPr>
          <w:rFonts w:hint="eastAsia" w:ascii="宋体" w:hAnsi="宋体" w:cs="宋体"/>
          <w:b/>
          <w:bCs/>
          <w:color w:val="auto"/>
          <w:sz w:val="28"/>
          <w:szCs w:val="28"/>
          <w:highlight w:val="none"/>
        </w:rPr>
        <w:t>19.5承包人的进入权</w:t>
      </w:r>
      <w:bookmarkEnd w:id="819"/>
      <w:bookmarkEnd w:id="820"/>
    </w:p>
    <w:p w14:paraId="7F084B03">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缺陷责任期（工程质量保修期）内承包人为缺陷修复工作需要，有权进入工程现场，但应遵守发包人的保安和保密规定。</w:t>
      </w:r>
    </w:p>
    <w:p w14:paraId="5D89D996">
      <w:pPr>
        <w:spacing w:line="360" w:lineRule="auto"/>
        <w:jc w:val="left"/>
        <w:rPr>
          <w:rFonts w:hint="eastAsia" w:ascii="宋体" w:hAnsi="宋体" w:cs="宋体"/>
          <w:b/>
          <w:bCs/>
          <w:color w:val="auto"/>
          <w:sz w:val="28"/>
          <w:szCs w:val="28"/>
          <w:highlight w:val="none"/>
        </w:rPr>
      </w:pPr>
      <w:bookmarkStart w:id="821" w:name="_Toc484015706"/>
      <w:bookmarkStart w:id="822" w:name="_Toc486160962"/>
      <w:r>
        <w:rPr>
          <w:rFonts w:hint="eastAsia" w:ascii="宋体" w:hAnsi="宋体" w:cs="宋体"/>
          <w:b/>
          <w:bCs/>
          <w:color w:val="auto"/>
          <w:sz w:val="28"/>
          <w:szCs w:val="28"/>
          <w:highlight w:val="none"/>
        </w:rPr>
        <w:t>19.6缺陷责任期终止证书（工程质量保修责任终止证书）</w:t>
      </w:r>
      <w:bookmarkEnd w:id="821"/>
      <w:bookmarkEnd w:id="822"/>
    </w:p>
    <w:p w14:paraId="6F6EB66C">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合同工程完工验收或投入使用验收后，发包人与承包人应办理工程交接手续，承包人应向发包人递交工程质量保修书。</w:t>
      </w:r>
    </w:p>
    <w:p w14:paraId="2F0F9253">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缺陷责任期（工程质量保修期）满后30个工作日内，发包人应向承包人颁发工程质量保修责任终止证书，并退还剩余的质量保证金，但保修责任范围内的质量缺陷未处理完成的应除外。</w:t>
      </w:r>
    </w:p>
    <w:p w14:paraId="1A268081">
      <w:pPr>
        <w:spacing w:line="360" w:lineRule="auto"/>
        <w:jc w:val="left"/>
        <w:rPr>
          <w:rFonts w:hint="eastAsia" w:ascii="宋体" w:hAnsi="宋体" w:cs="宋体"/>
          <w:b/>
          <w:bCs/>
          <w:color w:val="auto"/>
          <w:sz w:val="28"/>
          <w:szCs w:val="28"/>
          <w:highlight w:val="none"/>
        </w:rPr>
      </w:pPr>
      <w:bookmarkStart w:id="823" w:name="_Toc484015707"/>
      <w:bookmarkStart w:id="824" w:name="_Toc486160963"/>
      <w:r>
        <w:rPr>
          <w:rFonts w:hint="eastAsia" w:ascii="宋体" w:hAnsi="宋体" w:cs="宋体"/>
          <w:b/>
          <w:bCs/>
          <w:color w:val="auto"/>
          <w:sz w:val="28"/>
          <w:szCs w:val="28"/>
          <w:highlight w:val="none"/>
        </w:rPr>
        <w:t>19.7保修责任</w:t>
      </w:r>
      <w:bookmarkEnd w:id="823"/>
      <w:bookmarkEnd w:id="824"/>
    </w:p>
    <w:p w14:paraId="69A7E81D">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合同当事人根据有关法律规定，在专用合同条款中约定工程质量保修范围、期限和责任。保修期自实际完工日期起计算。在全部工程完工验收前，已经发包人提前验收的单位工程，其保修期的起算日期相应提前。</w:t>
      </w:r>
    </w:p>
    <w:p w14:paraId="5930CBC2">
      <w:pPr>
        <w:spacing w:line="360" w:lineRule="auto"/>
        <w:jc w:val="left"/>
        <w:outlineLvl w:val="2"/>
        <w:rPr>
          <w:rFonts w:hint="eastAsia" w:ascii="宋体" w:hAnsi="宋体" w:cs="宋体"/>
          <w:b/>
          <w:bCs/>
          <w:color w:val="auto"/>
          <w:sz w:val="28"/>
          <w:szCs w:val="28"/>
          <w:highlight w:val="none"/>
        </w:rPr>
      </w:pPr>
      <w:bookmarkStart w:id="825" w:name="_Toc20148330"/>
      <w:bookmarkStart w:id="826" w:name="_Toc9984"/>
      <w:bookmarkStart w:id="827" w:name="_Toc96899342"/>
      <w:bookmarkStart w:id="828" w:name="_Toc1318928791"/>
      <w:r>
        <w:rPr>
          <w:rFonts w:hint="eastAsia" w:ascii="宋体" w:hAnsi="宋体" w:cs="宋体"/>
          <w:b/>
          <w:bCs/>
          <w:color w:val="auto"/>
          <w:sz w:val="28"/>
          <w:szCs w:val="28"/>
          <w:highlight w:val="none"/>
        </w:rPr>
        <w:t>20.保险</w:t>
      </w:r>
      <w:bookmarkEnd w:id="825"/>
      <w:bookmarkEnd w:id="826"/>
      <w:bookmarkEnd w:id="827"/>
      <w:bookmarkEnd w:id="828"/>
    </w:p>
    <w:p w14:paraId="113E7265">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20.1工程保险</w:t>
      </w:r>
    </w:p>
    <w:p w14:paraId="651028EB">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0FFBD08D">
      <w:pPr>
        <w:spacing w:line="360" w:lineRule="auto"/>
        <w:jc w:val="left"/>
        <w:rPr>
          <w:rFonts w:hint="eastAsia" w:ascii="宋体" w:hAnsi="宋体" w:cs="宋体"/>
          <w:b/>
          <w:bCs/>
          <w:color w:val="auto"/>
          <w:sz w:val="28"/>
          <w:szCs w:val="28"/>
          <w:highlight w:val="none"/>
        </w:rPr>
      </w:pPr>
      <w:bookmarkStart w:id="829" w:name="_Toc486160965"/>
      <w:bookmarkStart w:id="830" w:name="_Toc484015709"/>
      <w:r>
        <w:rPr>
          <w:rFonts w:hint="eastAsia" w:ascii="宋体" w:hAnsi="宋体" w:cs="宋体"/>
          <w:b/>
          <w:bCs/>
          <w:color w:val="auto"/>
          <w:sz w:val="28"/>
          <w:szCs w:val="28"/>
          <w:highlight w:val="none"/>
        </w:rPr>
        <w:t>20.2人员工伤事故的保险</w:t>
      </w:r>
      <w:bookmarkEnd w:id="829"/>
      <w:bookmarkEnd w:id="830"/>
    </w:p>
    <w:p w14:paraId="58D828A0">
      <w:pPr>
        <w:spacing w:line="360" w:lineRule="auto"/>
        <w:jc w:val="left"/>
        <w:rPr>
          <w:rFonts w:hint="eastAsia" w:ascii="宋体" w:hAnsi="宋体" w:cs="宋体"/>
          <w:b/>
          <w:color w:val="auto"/>
          <w:sz w:val="24"/>
          <w:highlight w:val="none"/>
        </w:rPr>
      </w:pPr>
      <w:bookmarkStart w:id="831" w:name="_Toc484015710"/>
      <w:bookmarkStart w:id="832" w:name="_Toc486160966"/>
      <w:r>
        <w:rPr>
          <w:rFonts w:hint="eastAsia" w:ascii="宋体" w:hAnsi="宋体" w:cs="宋体"/>
          <w:b/>
          <w:color w:val="auto"/>
          <w:sz w:val="24"/>
          <w:highlight w:val="none"/>
        </w:rPr>
        <w:t>20.2.1 承包人员工伤事故的保险</w:t>
      </w:r>
      <w:bookmarkEnd w:id="831"/>
      <w:bookmarkEnd w:id="832"/>
    </w:p>
    <w:p w14:paraId="5A0598B5">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承包人应依照有关法律规定参加工伤保险，为其履行合同所雇佣的全部人员，缴纳工伤保险费，并要求其分包人也进行此项保险。</w:t>
      </w:r>
    </w:p>
    <w:p w14:paraId="45BF379D">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20.2.2 发包人员工伤事故的保险</w:t>
      </w:r>
    </w:p>
    <w:p w14:paraId="7F964429">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发包人应依照有关法律规定参加工伤保险，为其现场机构雇佣的全部人员，缴纳工伤保险费，并要求其监理人也进行此项保险。</w:t>
      </w:r>
    </w:p>
    <w:p w14:paraId="2988BB4F">
      <w:pPr>
        <w:spacing w:line="360" w:lineRule="auto"/>
        <w:jc w:val="left"/>
        <w:rPr>
          <w:rFonts w:hint="eastAsia" w:ascii="宋体" w:hAnsi="宋体" w:cs="宋体"/>
          <w:b/>
          <w:bCs/>
          <w:color w:val="auto"/>
          <w:sz w:val="28"/>
          <w:szCs w:val="28"/>
          <w:highlight w:val="none"/>
        </w:rPr>
      </w:pPr>
      <w:bookmarkStart w:id="833" w:name="_Toc486160967"/>
      <w:bookmarkStart w:id="834" w:name="_Toc484015711"/>
      <w:r>
        <w:rPr>
          <w:rFonts w:hint="eastAsia" w:ascii="宋体" w:hAnsi="宋体" w:cs="宋体"/>
          <w:b/>
          <w:bCs/>
          <w:color w:val="auto"/>
          <w:sz w:val="28"/>
          <w:szCs w:val="28"/>
          <w:highlight w:val="none"/>
        </w:rPr>
        <w:t>20.3人身意外伤害险</w:t>
      </w:r>
      <w:bookmarkEnd w:id="833"/>
      <w:bookmarkEnd w:id="834"/>
    </w:p>
    <w:p w14:paraId="3A0BE0C4">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20.3.1 发包人应在整个施工期间为其现场机构雇用的全部人员，投保人身意外伤害险，缴纳保险费，并要求其监理人也进行此项保险。</w:t>
      </w:r>
    </w:p>
    <w:p w14:paraId="0D2A81FB">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20.3.2 承包人应在整个施工期间为其现场机构雇用的全部人员，投保人身意外伤害险，缴纳保险费，并要求其分包人也进行此项保险。</w:t>
      </w:r>
    </w:p>
    <w:p w14:paraId="63390D72">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20.4第三者责任险</w:t>
      </w:r>
    </w:p>
    <w:p w14:paraId="253EEB2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7CA7B881">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20.4.2 在工程质量保修责任终止证书颁发前，承包人应以承包人和发包人的共同名义，投保第20.4.1项约定的第三者责任险，其保险费率、保险金额等有关内容在专用合同条款中约定。</w:t>
      </w:r>
    </w:p>
    <w:p w14:paraId="5698F0B8">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20.5其他保险</w:t>
      </w:r>
    </w:p>
    <w:p w14:paraId="111CF4F3">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除专用合同条款另有约定外，承包人应为其施工设备、进场的材料和工程设备等办理保险。</w:t>
      </w:r>
    </w:p>
    <w:p w14:paraId="67270BFC">
      <w:pPr>
        <w:spacing w:line="360" w:lineRule="auto"/>
        <w:jc w:val="left"/>
        <w:rPr>
          <w:rFonts w:hint="eastAsia" w:ascii="宋体" w:hAnsi="宋体" w:cs="宋体"/>
          <w:b/>
          <w:bCs/>
          <w:color w:val="auto"/>
          <w:sz w:val="28"/>
          <w:szCs w:val="28"/>
          <w:highlight w:val="none"/>
        </w:rPr>
      </w:pPr>
      <w:bookmarkStart w:id="835" w:name="_Toc486160968"/>
      <w:bookmarkStart w:id="836" w:name="_Toc484015712"/>
      <w:r>
        <w:rPr>
          <w:rFonts w:hint="eastAsia" w:ascii="宋体" w:hAnsi="宋体" w:cs="宋体"/>
          <w:b/>
          <w:bCs/>
          <w:color w:val="auto"/>
          <w:sz w:val="28"/>
          <w:szCs w:val="28"/>
          <w:highlight w:val="none"/>
        </w:rPr>
        <w:t>20.6对各项保险的一般要求</w:t>
      </w:r>
      <w:bookmarkEnd w:id="835"/>
      <w:bookmarkEnd w:id="836"/>
    </w:p>
    <w:p w14:paraId="3BC58C9A">
      <w:pPr>
        <w:spacing w:line="360" w:lineRule="auto"/>
        <w:jc w:val="left"/>
        <w:rPr>
          <w:rFonts w:hint="eastAsia" w:ascii="宋体" w:hAnsi="宋体" w:cs="宋体"/>
          <w:b/>
          <w:color w:val="auto"/>
          <w:sz w:val="24"/>
          <w:highlight w:val="none"/>
        </w:rPr>
      </w:pPr>
      <w:bookmarkStart w:id="837" w:name="_Toc484015713"/>
      <w:bookmarkStart w:id="838" w:name="_Toc486160969"/>
      <w:r>
        <w:rPr>
          <w:rFonts w:hint="eastAsia" w:ascii="宋体" w:hAnsi="宋体" w:cs="宋体"/>
          <w:b/>
          <w:color w:val="auto"/>
          <w:sz w:val="24"/>
          <w:highlight w:val="none"/>
        </w:rPr>
        <w:t>20.6.1 保险</w:t>
      </w:r>
      <w:r>
        <w:rPr>
          <w:rFonts w:hint="eastAsia" w:ascii="宋体" w:hAnsi="宋体" w:cs="宋体"/>
          <w:b/>
          <w:color w:val="auto"/>
          <w:kern w:val="0"/>
          <w:sz w:val="24"/>
          <w:highlight w:val="none"/>
        </w:rPr>
        <w:t>凭证</w:t>
      </w:r>
      <w:bookmarkEnd w:id="837"/>
      <w:bookmarkEnd w:id="838"/>
    </w:p>
    <w:p w14:paraId="150EDF30">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承包人应在专用合同条款约定的期限内向发包人提交各项保险生效的证据和保险单副本，保险单必须与专用合同条款约定的条件保持一致。</w:t>
      </w:r>
    </w:p>
    <w:p w14:paraId="09A2C346">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20.6.2 保险合同条款的变动</w:t>
      </w:r>
    </w:p>
    <w:p w14:paraId="3AE1E6B4">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承包人需要变动保险合同条款时，应事先征得发包人同意，并通知监理人。保险人作出变动的，承包人应在收到保险人通知后立即通知发包人和监理人。</w:t>
      </w:r>
    </w:p>
    <w:p w14:paraId="187032E7">
      <w:pPr>
        <w:spacing w:line="360" w:lineRule="auto"/>
        <w:jc w:val="left"/>
        <w:rPr>
          <w:rFonts w:hint="eastAsia" w:ascii="宋体" w:hAnsi="宋体" w:cs="宋体"/>
          <w:b/>
          <w:color w:val="auto"/>
          <w:sz w:val="24"/>
          <w:highlight w:val="none"/>
        </w:rPr>
      </w:pPr>
      <w:bookmarkStart w:id="839" w:name="_Toc484015714"/>
      <w:bookmarkStart w:id="840" w:name="_Toc486160970"/>
      <w:r>
        <w:rPr>
          <w:rFonts w:hint="eastAsia" w:ascii="宋体" w:hAnsi="宋体" w:cs="宋体"/>
          <w:b/>
          <w:color w:val="auto"/>
          <w:sz w:val="24"/>
          <w:highlight w:val="none"/>
        </w:rPr>
        <w:t>20.6.3 持续保险</w:t>
      </w:r>
      <w:bookmarkEnd w:id="839"/>
      <w:bookmarkEnd w:id="840"/>
    </w:p>
    <w:p w14:paraId="786AD93D">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承包人应与保险人保持联系，使保险人能够随时了解工程实施中的变动，并确保按保险合同条款要求持续保险。</w:t>
      </w:r>
    </w:p>
    <w:p w14:paraId="65FB0CD5">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20.6.4 保险金不足的补偿</w:t>
      </w:r>
    </w:p>
    <w:p w14:paraId="5B0010B7">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保险金不足以补偿损失时，应由承包人和发包人各自负责补偿的范围和金额在专用合同条款中约定。</w:t>
      </w:r>
    </w:p>
    <w:p w14:paraId="216D117E">
      <w:pPr>
        <w:spacing w:line="360" w:lineRule="auto"/>
        <w:jc w:val="left"/>
        <w:rPr>
          <w:rFonts w:hint="eastAsia" w:ascii="宋体" w:hAnsi="宋体" w:cs="宋体"/>
          <w:b/>
          <w:color w:val="auto"/>
          <w:sz w:val="24"/>
          <w:highlight w:val="none"/>
        </w:rPr>
      </w:pPr>
      <w:bookmarkStart w:id="841" w:name="_Toc484015715"/>
      <w:bookmarkStart w:id="842" w:name="_Toc486160971"/>
      <w:r>
        <w:rPr>
          <w:rFonts w:hint="eastAsia" w:ascii="宋体" w:hAnsi="宋体" w:cs="宋体"/>
          <w:b/>
          <w:color w:val="auto"/>
          <w:sz w:val="24"/>
          <w:highlight w:val="none"/>
        </w:rPr>
        <w:t>20.6.5 未按约定投保的补救</w:t>
      </w:r>
      <w:bookmarkEnd w:id="841"/>
      <w:bookmarkEnd w:id="842"/>
    </w:p>
    <w:p w14:paraId="0688AB2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（1）由于负有投保义务的一方当事人未按合同约定办理保险，或未能使保险持续有效的，另一方当事人可代为办理，所需费用由对方当事人承担。</w:t>
      </w:r>
    </w:p>
    <w:p w14:paraId="0AD45EDB">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（2）由于负有投保义务的一方当事人未按合同约定办理某项保险，导致受益人未能得到保险人的赔偿，原应从该项保险得到的保险金应由负有投保义务的一方当事人支付。</w:t>
      </w:r>
    </w:p>
    <w:p w14:paraId="2B4C9CE6">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20.6.6 报告义务</w:t>
      </w:r>
    </w:p>
    <w:p w14:paraId="527BF0CD">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当保险事故发生时，投保人应按照保险单规定的条件和期限及时向保险人报告。</w:t>
      </w:r>
    </w:p>
    <w:p w14:paraId="5812F8A2">
      <w:pPr>
        <w:spacing w:line="360" w:lineRule="auto"/>
        <w:jc w:val="left"/>
        <w:rPr>
          <w:rFonts w:hint="eastAsia" w:ascii="宋体" w:hAnsi="宋体" w:cs="宋体"/>
          <w:b/>
          <w:bCs/>
          <w:color w:val="auto"/>
          <w:sz w:val="28"/>
          <w:szCs w:val="28"/>
          <w:highlight w:val="none"/>
        </w:rPr>
      </w:pPr>
      <w:bookmarkStart w:id="843" w:name="_Toc484015716"/>
      <w:bookmarkStart w:id="844" w:name="_Toc486160972"/>
      <w:r>
        <w:rPr>
          <w:rFonts w:hint="eastAsia" w:ascii="宋体" w:hAnsi="宋体" w:cs="宋体"/>
          <w:b/>
          <w:bCs/>
          <w:color w:val="auto"/>
          <w:sz w:val="28"/>
          <w:szCs w:val="28"/>
          <w:highlight w:val="none"/>
        </w:rPr>
        <w:t>20.7风险责任的转移</w:t>
      </w:r>
      <w:bookmarkEnd w:id="843"/>
      <w:bookmarkEnd w:id="844"/>
    </w:p>
    <w:p w14:paraId="57356CEC">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工程通过合同工程完工验收并移交给发包人后，原由承包人应承担的风险责任，以及保险的责任、权利和义务同时转移给发包人，但承包人在缺陷责任期（工程质量保修期）前造成损失和损坏情形除外。</w:t>
      </w:r>
    </w:p>
    <w:p w14:paraId="44633390">
      <w:pPr>
        <w:spacing w:line="360" w:lineRule="auto"/>
        <w:jc w:val="left"/>
        <w:outlineLvl w:val="2"/>
        <w:rPr>
          <w:rFonts w:hint="eastAsia" w:ascii="宋体" w:hAnsi="宋体" w:cs="宋体"/>
          <w:b/>
          <w:bCs/>
          <w:color w:val="auto"/>
          <w:sz w:val="28"/>
          <w:szCs w:val="28"/>
          <w:highlight w:val="none"/>
        </w:rPr>
      </w:pPr>
      <w:bookmarkStart w:id="845" w:name="_Toc20148331"/>
      <w:bookmarkStart w:id="846" w:name="_Toc12611"/>
      <w:bookmarkStart w:id="847" w:name="_Toc5393629"/>
      <w:bookmarkStart w:id="848" w:name="_Toc96899343"/>
      <w:r>
        <w:rPr>
          <w:rFonts w:hint="eastAsia" w:ascii="宋体" w:hAnsi="宋体" w:cs="宋体"/>
          <w:b/>
          <w:bCs/>
          <w:color w:val="auto"/>
          <w:sz w:val="28"/>
          <w:szCs w:val="28"/>
          <w:highlight w:val="none"/>
        </w:rPr>
        <w:t>21.不可抗力</w:t>
      </w:r>
      <w:bookmarkEnd w:id="845"/>
      <w:bookmarkEnd w:id="846"/>
      <w:bookmarkEnd w:id="847"/>
      <w:bookmarkEnd w:id="848"/>
    </w:p>
    <w:p w14:paraId="18ECEADD">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21.1不可抗力的确认</w:t>
      </w:r>
    </w:p>
    <w:p w14:paraId="002AC37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21.1.1 不可抗力是指承包人和发包人在订立合同时不可预见，在工程施工过程中不可避免发生并不能克服的自然灾害和社会突发性事件，如地震、海啸、瘟疫、水灾、骚乱、暴动、战争和专用合同条款约定的其他情形。</w:t>
      </w:r>
    </w:p>
    <w:p w14:paraId="1992E291">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04E1CC5E">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21.2不可抗力的通知</w:t>
      </w:r>
    </w:p>
    <w:p w14:paraId="4672D919">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21.2.1 合同一方当事人遇到不可抗力事件，使其履行合同义务受到阻碍时，应立即通知合同另一方当事人和监理人，书面说明不可抗力和受阻碍的详细情况，并提供必要的证明。</w:t>
      </w:r>
    </w:p>
    <w:p w14:paraId="03DC7A7B">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21.2.2 如不可抗力持续发生，合同一方当事人应及时向合同另一方当事人和监理人提交中间报告，说明不可抗力和履行合同受阻的情况，并于不可抗力事件结束后28天内提交最终报告及有关资料。</w:t>
      </w:r>
    </w:p>
    <w:p w14:paraId="680C39C5">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21.3不可抗力后果及其处理</w:t>
      </w:r>
    </w:p>
    <w:p w14:paraId="1E2D67D6">
      <w:pPr>
        <w:spacing w:line="360" w:lineRule="auto"/>
        <w:jc w:val="left"/>
        <w:rPr>
          <w:rFonts w:hint="eastAsia" w:ascii="宋体" w:hAnsi="宋体" w:cs="宋体"/>
          <w:b/>
          <w:color w:val="auto"/>
          <w:sz w:val="24"/>
          <w:highlight w:val="none"/>
        </w:rPr>
      </w:pPr>
      <w:bookmarkStart w:id="849" w:name="_Toc486160974"/>
      <w:bookmarkStart w:id="850" w:name="_Toc484015718"/>
      <w:r>
        <w:rPr>
          <w:rFonts w:hint="eastAsia" w:ascii="宋体" w:hAnsi="宋体" w:cs="宋体"/>
          <w:b/>
          <w:color w:val="auto"/>
          <w:sz w:val="24"/>
          <w:highlight w:val="none"/>
        </w:rPr>
        <w:t>21.3.1 不可抗力造成损害的责任</w:t>
      </w:r>
      <w:bookmarkEnd w:id="849"/>
      <w:bookmarkEnd w:id="850"/>
    </w:p>
    <w:p w14:paraId="7D90F672">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除专用合同条款另有约定外，不可抗力导致的人员伤亡、财产损失、费用增加和（或）工期延误等后果，由合同双方按以下原则承担：</w:t>
      </w:r>
    </w:p>
    <w:p w14:paraId="23D551D9">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（1）永久工程，包括己运至施工场地的材料和工程设备的损害，以及因工程损害造成的第三者人员伤亡和财产损失由发包人承担；</w:t>
      </w:r>
    </w:p>
    <w:p w14:paraId="32921E46">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（2）承包人设备的损坏由承包人承担；</w:t>
      </w:r>
    </w:p>
    <w:p w14:paraId="1CA38460">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（3）发包人和承包人各自承担其人员伤亡和其他财产损失及其相关费用；</w:t>
      </w:r>
    </w:p>
    <w:p w14:paraId="6AB906BB">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（4）承包人的停工损失由承包人承担，但停工期间应监理人要求照管工程和清理、修复工程的金额由发包人承担；</w:t>
      </w:r>
    </w:p>
    <w:p w14:paraId="6B5D4D06">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（5）不能按期完工的，应合理延长工期，承包人不需支付逾期完工违约金。发包人要求赶工的，承包人应采取赶工措施，赶工费用由发包人承担。</w:t>
      </w:r>
    </w:p>
    <w:p w14:paraId="67CAE3EC">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21.3.2 延迟履行期间发生的不可抗力</w:t>
      </w:r>
    </w:p>
    <w:p w14:paraId="2DA35BDF">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合同一方当事人延迟履行，在延迟履行期间发生不可抗力的，不免除其责任。</w:t>
      </w:r>
    </w:p>
    <w:p w14:paraId="2C4AB366">
      <w:pPr>
        <w:spacing w:line="360" w:lineRule="auto"/>
        <w:jc w:val="left"/>
        <w:rPr>
          <w:rFonts w:hint="eastAsia" w:ascii="宋体" w:hAnsi="宋体" w:cs="宋体"/>
          <w:b/>
          <w:color w:val="auto"/>
          <w:sz w:val="24"/>
          <w:highlight w:val="none"/>
        </w:rPr>
      </w:pPr>
      <w:bookmarkStart w:id="851" w:name="_Toc484015719"/>
      <w:bookmarkStart w:id="852" w:name="_Toc486160975"/>
      <w:r>
        <w:rPr>
          <w:rFonts w:hint="eastAsia" w:ascii="宋体" w:hAnsi="宋体" w:cs="宋体"/>
          <w:b/>
          <w:color w:val="auto"/>
          <w:sz w:val="24"/>
          <w:highlight w:val="none"/>
        </w:rPr>
        <w:t>21.3.3 避免和</w:t>
      </w:r>
      <w:r>
        <w:rPr>
          <w:rFonts w:hint="eastAsia" w:ascii="宋体" w:hAnsi="宋体" w:cs="宋体"/>
          <w:b/>
          <w:color w:val="auto"/>
          <w:kern w:val="0"/>
          <w:sz w:val="24"/>
          <w:highlight w:val="none"/>
        </w:rPr>
        <w:t>减少</w:t>
      </w:r>
      <w:r>
        <w:rPr>
          <w:rFonts w:hint="eastAsia" w:ascii="宋体" w:hAnsi="宋体" w:cs="宋体"/>
          <w:b/>
          <w:color w:val="auto"/>
          <w:sz w:val="24"/>
          <w:highlight w:val="none"/>
        </w:rPr>
        <w:t>不可抗力损失</w:t>
      </w:r>
      <w:bookmarkEnd w:id="851"/>
      <w:bookmarkEnd w:id="852"/>
    </w:p>
    <w:p w14:paraId="20DF81B6">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不可抗力发生后，发包人和承包人均应采取措施尽量避免和减少损失的扩大，任何一方没有采取有效措施导致损失扩大的，应对扩大的损失承担责任。</w:t>
      </w:r>
    </w:p>
    <w:p w14:paraId="51B142C8">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21.3.4 因不可抗力解除合同</w:t>
      </w:r>
    </w:p>
    <w:p w14:paraId="32753AB6">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1E17DF28">
      <w:pPr>
        <w:spacing w:line="360" w:lineRule="auto"/>
        <w:jc w:val="left"/>
        <w:outlineLvl w:val="2"/>
        <w:rPr>
          <w:rFonts w:hint="eastAsia" w:ascii="宋体" w:hAnsi="宋体" w:cs="宋体"/>
          <w:b/>
          <w:bCs/>
          <w:color w:val="auto"/>
          <w:sz w:val="28"/>
          <w:szCs w:val="28"/>
          <w:highlight w:val="none"/>
        </w:rPr>
      </w:pPr>
      <w:bookmarkStart w:id="853" w:name="_Toc10915"/>
      <w:bookmarkStart w:id="854" w:name="_Toc1722899665"/>
      <w:bookmarkStart w:id="855" w:name="_Toc96899344"/>
      <w:bookmarkStart w:id="856" w:name="_Toc20148332"/>
      <w:r>
        <w:rPr>
          <w:rFonts w:hint="eastAsia" w:ascii="宋体" w:hAnsi="宋体" w:cs="宋体"/>
          <w:b/>
          <w:bCs/>
          <w:color w:val="auto"/>
          <w:sz w:val="28"/>
          <w:szCs w:val="28"/>
          <w:highlight w:val="none"/>
        </w:rPr>
        <w:t>22.违约</w:t>
      </w:r>
      <w:bookmarkEnd w:id="853"/>
      <w:bookmarkEnd w:id="854"/>
      <w:bookmarkEnd w:id="855"/>
      <w:bookmarkEnd w:id="856"/>
    </w:p>
    <w:p w14:paraId="7A563187">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22.1承包人违约</w:t>
      </w:r>
    </w:p>
    <w:p w14:paraId="53CD6038">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22.1.1 承包人违约的情形</w:t>
      </w:r>
    </w:p>
    <w:p w14:paraId="3146BCDC">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在履行合同过程中发生的下列情况属承包人违约：</w:t>
      </w:r>
    </w:p>
    <w:p w14:paraId="0E00530F">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（1）承包人违反第1.8款或第4.3款的约定，私自将合同的全部或部分权利转让给其他人，或私自将合同的全部或部分义务转移给其他人；</w:t>
      </w:r>
    </w:p>
    <w:p w14:paraId="0432D1CB">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（2）承包人违反第5.3款或第6.4款的约定，未经监理人批准，私自将已按合同约定进入施工场地的施工设备、临时设施或材料撤离施工场地；</w:t>
      </w:r>
    </w:p>
    <w:p w14:paraId="1B359B9D">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（3）承包人违反第5.4款的约定使用了不合格材料或工程设备，工程质量达不到标准要求，又拒绝清除不合格工程；</w:t>
      </w:r>
    </w:p>
    <w:p w14:paraId="378B6D4F">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（4）承包人未能按合同进度计划及时完成合同约定的工作，已造成或预期造成工期延误；</w:t>
      </w:r>
    </w:p>
    <w:p w14:paraId="6771526C">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（5）承包人在缺陷责任期（工程质量保修期）内，未能对工程接收证书所列的缺陷清单的内容或缺陷责任期（工程质量保修期）内发生的缺陷进行修复，而又拒绝按监理人指示再进行修补；</w:t>
      </w:r>
    </w:p>
    <w:p w14:paraId="3EC94B74">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（6）承包人无法继续履行或明确表示不履行或实质上己停止履行合同；</w:t>
      </w:r>
    </w:p>
    <w:p w14:paraId="1422A4F4">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（7）承包人不按合同约定履行义务的其他情况。</w:t>
      </w:r>
    </w:p>
    <w:p w14:paraId="4E4B434B">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22.1.2 对承包人违约的处理</w:t>
      </w:r>
    </w:p>
    <w:p w14:paraId="4C8C1FE9">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（1）承包人发生第22.1.1（6）目约定的违约情况时，发包人可通知承包人立即解除合同，并按有关法律处理。</w:t>
      </w:r>
    </w:p>
    <w:p w14:paraId="7C06254A">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（2）承包人发生除第22.1.1（6）目约定以外的其他违约情况时，监理人可向承包人发出整改通知，要求其在指定的期限内改正。承包人应承担其违约所引起的费用增加和（或）工期延误。</w:t>
      </w:r>
    </w:p>
    <w:p w14:paraId="5D4E9149">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（3）经检查证明承包人已采取了有效措施纠正违约行为，具备复工条件的，可由监理人签发复工通知复工。</w:t>
      </w:r>
    </w:p>
    <w:p w14:paraId="2C8D4B3F">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22.1.3 承包人违约解除合同</w:t>
      </w:r>
    </w:p>
    <w:p w14:paraId="5EE8084D">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584A4786">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22.1.4 合同解除后的估价、付款和结清</w:t>
      </w:r>
    </w:p>
    <w:p w14:paraId="4F4E9C2A">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（1）合同解除后，监理人按第3.5款商定或确定承包人实际完成工作的价值，以及承包人已提供的材料、施工设备、工程设备和临时工程等的价值。</w:t>
      </w:r>
    </w:p>
    <w:p w14:paraId="1E0855B9">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（2）合同解除后，发包人应暂停对承包人的一切付款，查清各项付款和已扣款金额，包括承包人应支付的违约金。</w:t>
      </w:r>
    </w:p>
    <w:p w14:paraId="07C5974F">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（3）合同解除后，发包人应按第23.4款的约定向承包人索赔由于解除合同给发包人造成的损失。</w:t>
      </w:r>
    </w:p>
    <w:p w14:paraId="611099D8">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（4）合同双方确认上述往来款项后，出具最终结清付款证书，结清全部合同款项。</w:t>
      </w:r>
    </w:p>
    <w:p w14:paraId="3FFD773D">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（5）发包人和承包人未能就解除合同后的结清达成一致而形成争议的，按第24条的约定办理。</w:t>
      </w:r>
    </w:p>
    <w:p w14:paraId="22CC9A2B">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22.1.5 协议利益的转让</w:t>
      </w:r>
    </w:p>
    <w:p w14:paraId="6B1CEC5B">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因承包人违约解除合同的，发包人有权要求承包人将其为实施合同而签订的材料和设备的订货协议或任何服务协议利益转让给发包人，并在解除合同后的14天内，依法办理转让手续。</w:t>
      </w:r>
    </w:p>
    <w:p w14:paraId="16629BA7">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22.1.6 紧急情况下无能力或不愿进行抢救</w:t>
      </w:r>
    </w:p>
    <w:p w14:paraId="28AC49BE">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在工程实施期间或缺陷责任期（工程质量保修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44CABA6A">
      <w:pPr>
        <w:spacing w:line="360" w:lineRule="auto"/>
        <w:jc w:val="left"/>
        <w:rPr>
          <w:rFonts w:hint="eastAsia" w:ascii="宋体" w:hAnsi="宋体" w:cs="宋体"/>
          <w:b/>
          <w:bCs/>
          <w:color w:val="auto"/>
          <w:sz w:val="28"/>
          <w:szCs w:val="28"/>
          <w:highlight w:val="none"/>
        </w:rPr>
      </w:pPr>
      <w:bookmarkStart w:id="857" w:name="_Toc484015721"/>
      <w:bookmarkStart w:id="858" w:name="_Toc486160977"/>
      <w:r>
        <w:rPr>
          <w:rFonts w:hint="eastAsia" w:ascii="宋体" w:hAnsi="宋体" w:cs="宋体"/>
          <w:b/>
          <w:bCs/>
          <w:color w:val="auto"/>
          <w:sz w:val="28"/>
          <w:szCs w:val="28"/>
          <w:highlight w:val="none"/>
        </w:rPr>
        <w:t>22.2发包人违约</w:t>
      </w:r>
      <w:bookmarkEnd w:id="857"/>
      <w:bookmarkEnd w:id="858"/>
    </w:p>
    <w:p w14:paraId="5AE598F0">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22.2.1 发包人违约的情形</w:t>
      </w:r>
    </w:p>
    <w:p w14:paraId="50885A26">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在履行合同过程中发生的下列情形，属发包人违约：</w:t>
      </w:r>
    </w:p>
    <w:p w14:paraId="2247CEAE">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（1）发包人未能按合同约定支付预付款或合同价款，或拖延、拒绝批准付款申请和支付凭证，导致付款延误的；</w:t>
      </w:r>
    </w:p>
    <w:p w14:paraId="42D87BC4">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（2）发包人原因造成停工的；</w:t>
      </w:r>
    </w:p>
    <w:p w14:paraId="25E6F8DE">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（3）监理人无正当理由没有在约定期限内发出复工指示，导致承包人无法复工的；</w:t>
      </w:r>
    </w:p>
    <w:p w14:paraId="37BE9218">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（4）发包人无法继续履行或明确表示不履行或实质上已停止履行合同的；</w:t>
      </w:r>
    </w:p>
    <w:p w14:paraId="02254B5B">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（5）发包人不履行合同约定其他义务的。</w:t>
      </w:r>
    </w:p>
    <w:p w14:paraId="27E6DC98">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22.2.2 承包人有权暂停施工</w:t>
      </w:r>
    </w:p>
    <w:p w14:paraId="16E5D562">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74112B0B">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22.2.3 发包人违约解除合同</w:t>
      </w:r>
    </w:p>
    <w:p w14:paraId="7F747562">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（1）发生第22.2.1（4）目的违约情况时，承包人可书面通知发包人解除合同。</w:t>
      </w:r>
    </w:p>
    <w:p w14:paraId="3D791E90">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（2）承包人按22.2.2项暂停施工28天后，发包人仍不纠正违约行为的，承包人可向发包人发出解除合同通知。但承包人的这一行动不免除发包人承担的违约责任，也不影响承包人根据合同约定享有的索赔权利。</w:t>
      </w:r>
    </w:p>
    <w:p w14:paraId="12CF87FD">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22.2.4 解除合同后的付款</w:t>
      </w:r>
    </w:p>
    <w:p w14:paraId="0E7F009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因发包人违约解除合同的，发包人应在解除合同后28天内向承包人支付下列金额，承包人应在此期限内及时向发包人提交要求支付下列金额的有关资料和凭证：</w:t>
      </w:r>
    </w:p>
    <w:p w14:paraId="146F92E7">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（1）合同解除日以前所完成工作的价款；</w:t>
      </w:r>
    </w:p>
    <w:p w14:paraId="7ECAB916">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（2）承包人为该工程施工订购并已付款的材料、工程设备和其他物品的金额。发包人付还后，该材料、工程设备和其他物品归发包人所有；</w:t>
      </w:r>
    </w:p>
    <w:p w14:paraId="0696AFA2">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（3）承包人为完成工程所发生的，而发包人未支付的金额；</w:t>
      </w:r>
    </w:p>
    <w:p w14:paraId="79132052">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（4）承包人撤离施工场地以及遣散承包人人员的金额；</w:t>
      </w:r>
    </w:p>
    <w:p w14:paraId="2CF67416">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（5）由于解除合同应赔偿的承包人损失；</w:t>
      </w:r>
    </w:p>
    <w:p w14:paraId="222C4D1A">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（6）按合同约定在合同解除日前应支付给承包人的其他金额。</w:t>
      </w:r>
    </w:p>
    <w:p w14:paraId="71D5C458">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发包人应按本项约定支付上述金额并退还质量保证金和履约担保，但有权要求承包人支付应偿还给发包人的各项金额。</w:t>
      </w:r>
    </w:p>
    <w:p w14:paraId="631F8501">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22.2.5 解除</w:t>
      </w:r>
      <w:r>
        <w:rPr>
          <w:rFonts w:hint="eastAsia" w:ascii="宋体" w:hAnsi="宋体" w:cs="宋体"/>
          <w:b/>
          <w:color w:val="auto"/>
          <w:kern w:val="0"/>
          <w:sz w:val="24"/>
          <w:highlight w:val="none"/>
        </w:rPr>
        <w:t>合同</w:t>
      </w:r>
      <w:r>
        <w:rPr>
          <w:rFonts w:hint="eastAsia" w:ascii="宋体" w:hAnsi="宋体" w:cs="宋体"/>
          <w:b/>
          <w:color w:val="auto"/>
          <w:sz w:val="24"/>
          <w:highlight w:val="none"/>
        </w:rPr>
        <w:t>后的承包人撤离</w:t>
      </w:r>
    </w:p>
    <w:p w14:paraId="059FF040">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因发包人违约而解除合同后，承包人应妥善做好已完工工程和已购材料、设备的保护和移交工作，按发包人要求将承包人设备和人员撤出施工场地。承包人撤出施工场地应遵守第18.7.1项的约定，发包人应为承包人撤出提供必要条件。</w:t>
      </w:r>
    </w:p>
    <w:p w14:paraId="22C14C79">
      <w:pPr>
        <w:spacing w:line="360" w:lineRule="auto"/>
        <w:jc w:val="left"/>
        <w:rPr>
          <w:rFonts w:hint="eastAsia" w:ascii="宋体" w:hAnsi="宋体" w:cs="宋体"/>
          <w:b/>
          <w:bCs/>
          <w:color w:val="auto"/>
          <w:sz w:val="28"/>
          <w:szCs w:val="28"/>
          <w:highlight w:val="none"/>
        </w:rPr>
      </w:pPr>
      <w:bookmarkStart w:id="859" w:name="_Toc484015722"/>
      <w:bookmarkStart w:id="860" w:name="_Toc486160978"/>
      <w:r>
        <w:rPr>
          <w:rFonts w:hint="eastAsia" w:ascii="宋体" w:hAnsi="宋体" w:cs="宋体"/>
          <w:b/>
          <w:bCs/>
          <w:color w:val="auto"/>
          <w:sz w:val="28"/>
          <w:szCs w:val="28"/>
          <w:highlight w:val="none"/>
        </w:rPr>
        <w:t>22.3第三人造成的违约</w:t>
      </w:r>
      <w:bookmarkEnd w:id="859"/>
      <w:bookmarkEnd w:id="860"/>
    </w:p>
    <w:p w14:paraId="7D7D270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在履行合同过程中，一方当事人因第三人的原因造成违约的，应当向对方当事人承担违约责任。一方当事人和第三人之间的纠纷，依照法律规定或者按照约定解决。</w:t>
      </w:r>
    </w:p>
    <w:p w14:paraId="777D9BAE">
      <w:pPr>
        <w:spacing w:line="360" w:lineRule="auto"/>
        <w:jc w:val="left"/>
        <w:outlineLvl w:val="2"/>
        <w:rPr>
          <w:rFonts w:hint="eastAsia" w:ascii="宋体" w:hAnsi="宋体" w:cs="宋体"/>
          <w:b/>
          <w:bCs/>
          <w:color w:val="auto"/>
          <w:sz w:val="28"/>
          <w:szCs w:val="28"/>
          <w:highlight w:val="none"/>
        </w:rPr>
      </w:pPr>
      <w:bookmarkStart w:id="861" w:name="_Toc20148333"/>
      <w:bookmarkStart w:id="862" w:name="_Toc1244940556"/>
      <w:bookmarkStart w:id="863" w:name="_Toc96899345"/>
      <w:bookmarkStart w:id="864" w:name="_Toc22392"/>
      <w:r>
        <w:rPr>
          <w:rFonts w:hint="eastAsia" w:ascii="宋体" w:hAnsi="宋体" w:cs="宋体"/>
          <w:b/>
          <w:bCs/>
          <w:color w:val="auto"/>
          <w:sz w:val="28"/>
          <w:szCs w:val="28"/>
          <w:highlight w:val="none"/>
        </w:rPr>
        <w:t>23.索赔</w:t>
      </w:r>
      <w:bookmarkEnd w:id="861"/>
      <w:bookmarkEnd w:id="862"/>
      <w:bookmarkEnd w:id="863"/>
      <w:bookmarkEnd w:id="864"/>
    </w:p>
    <w:p w14:paraId="092E037C">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23.1承包人索赔的提出</w:t>
      </w:r>
    </w:p>
    <w:p w14:paraId="4170A7DD">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根据合同约定，承包人认为有权得到追加付款和（或）延长工期的，应按以下程序向发包人提出索赔：</w:t>
      </w:r>
    </w:p>
    <w:p w14:paraId="4AB3450E">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135F8CA8">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（2）承包人应在发出索赔意向通知书后28天内，向监理人正式递交索赔通知书。索赔通知书应详细说明索赔理由以及要求追加的付款金额和（或）延长的工期，并附必要的记录和证明材料；</w:t>
      </w:r>
    </w:p>
    <w:p w14:paraId="30F2217C">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（3）索赔事件具有连续影响的，承包人应按合理时间间隔继续递交延续索赔通知，说明连续影响的实际情况和记录，列出累计的追加付款金额和（或）工期延长天数；</w:t>
      </w:r>
    </w:p>
    <w:p w14:paraId="6F05E665">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（4）在索赔事件影响结束后的28天内，承包人应向监理人递交最终索赔通知书，说明最终要求索赔的追加付款金额和延长的工期，并附必要的记录和证明材料。</w:t>
      </w:r>
    </w:p>
    <w:p w14:paraId="771507B5">
      <w:pPr>
        <w:spacing w:line="360" w:lineRule="auto"/>
        <w:jc w:val="left"/>
        <w:rPr>
          <w:rFonts w:hint="eastAsia" w:ascii="宋体" w:hAnsi="宋体" w:cs="宋体"/>
          <w:b/>
          <w:bCs/>
          <w:color w:val="auto"/>
          <w:sz w:val="28"/>
          <w:szCs w:val="28"/>
          <w:highlight w:val="none"/>
        </w:rPr>
      </w:pPr>
      <w:bookmarkStart w:id="865" w:name="_Toc486160980"/>
      <w:bookmarkStart w:id="866" w:name="_Toc484015724"/>
      <w:r>
        <w:rPr>
          <w:rFonts w:hint="eastAsia" w:ascii="宋体" w:hAnsi="宋体" w:cs="宋体"/>
          <w:b/>
          <w:bCs/>
          <w:color w:val="auto"/>
          <w:sz w:val="28"/>
          <w:szCs w:val="28"/>
          <w:highlight w:val="none"/>
        </w:rPr>
        <w:t>23.2承包人索赔处理程序</w:t>
      </w:r>
      <w:bookmarkEnd w:id="865"/>
      <w:bookmarkEnd w:id="866"/>
    </w:p>
    <w:p w14:paraId="4EDAB1F7">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（1）监理人收到承包人提交的索赔通知书后，应及时审查索赔通知书的内容、查验承包人的记录和证明材料，必要时监理人可要求承包人提交全部原始记录副本。</w:t>
      </w:r>
    </w:p>
    <w:p w14:paraId="258B7EF2">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（2）监理人应按第3.5款商定或确定追加的付款和（或）延长的工期，并在收到上述索赔通知书或有关索赔的进一步证明材料后的42天内，将索赔处理结果答复承包人。</w:t>
      </w:r>
    </w:p>
    <w:p w14:paraId="790400EB">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（3）承包人接受索赔处理结果的，发包人应在作出索赔处理结果答复后28天内完成赔付。承包人不接受索赔处理结果的，按第24条的约定办理。</w:t>
      </w:r>
    </w:p>
    <w:p w14:paraId="0429D539">
      <w:pPr>
        <w:spacing w:line="360" w:lineRule="auto"/>
        <w:jc w:val="left"/>
        <w:rPr>
          <w:rFonts w:hint="eastAsia" w:ascii="宋体" w:hAnsi="宋体" w:cs="宋体"/>
          <w:b/>
          <w:bCs/>
          <w:color w:val="auto"/>
          <w:sz w:val="28"/>
          <w:szCs w:val="28"/>
          <w:highlight w:val="none"/>
        </w:rPr>
      </w:pPr>
      <w:bookmarkStart w:id="867" w:name="_Toc484015725"/>
      <w:bookmarkStart w:id="868" w:name="_Toc486160981"/>
      <w:r>
        <w:rPr>
          <w:rFonts w:hint="eastAsia" w:ascii="宋体" w:hAnsi="宋体" w:cs="宋体"/>
          <w:b/>
          <w:bCs/>
          <w:color w:val="auto"/>
          <w:sz w:val="28"/>
          <w:szCs w:val="28"/>
          <w:highlight w:val="none"/>
        </w:rPr>
        <w:t>23.3承包人提出索赔的期限</w:t>
      </w:r>
      <w:bookmarkEnd w:id="867"/>
      <w:bookmarkEnd w:id="868"/>
    </w:p>
    <w:p w14:paraId="50806074">
      <w:pPr>
        <w:spacing w:line="355"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23.3.1 承包人按第17.5款的约定接受了完工付款证书后，应被认为已无权再提出在合同工程完工证书颁发前所发生的任何索赔。</w:t>
      </w:r>
    </w:p>
    <w:p w14:paraId="452AFFB7">
      <w:pPr>
        <w:spacing w:line="355"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23.3.2 承包人按第17.6款的约定提交的最终结清申请单中，只限于提出合同工程完工证书颁发后发生的索赔。提出索赔的期限自接受最终结清证书时终止。</w:t>
      </w:r>
    </w:p>
    <w:p w14:paraId="75E79DFC">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23.4发包人的索赔</w:t>
      </w:r>
    </w:p>
    <w:p w14:paraId="7ECB4C52">
      <w:pPr>
        <w:spacing w:line="355"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23.4.1 发生索赔事件后，监理人应及时书面通知承包人，详细说明发包人有权得到的索赔金额和（或）延长缺陷责任期（工程质量保修期）的细节和依据。发包人提出索赔的期限和要求与第23.3款的约定相同，延长缺陷责任期（工程质量保修期）的通知应在缺陷责任期（工程质量保修期）届满前发出。</w:t>
      </w:r>
    </w:p>
    <w:p w14:paraId="47266371">
      <w:pPr>
        <w:spacing w:line="355"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23.4.2 监理人按第3.5款商定或确定发包人从承包人处得到赔付的金额和（或）缺陷责任期（工程质量保修期）的延长期。承包人应付给发包人的金额可从拟支付给承包人的合同价款中扣除，或由承包人以其他方式支付给发包人。</w:t>
      </w:r>
    </w:p>
    <w:p w14:paraId="18E9FE2D">
      <w:pPr>
        <w:spacing w:line="355"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23.4.3 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23.4.2项的约定执行赔付。若承包人不接受监理人的索赔处理意见，可按本合同第24条的规定办理。</w:t>
      </w:r>
    </w:p>
    <w:p w14:paraId="0BD28432">
      <w:pPr>
        <w:spacing w:line="360" w:lineRule="auto"/>
        <w:jc w:val="left"/>
        <w:outlineLvl w:val="2"/>
        <w:rPr>
          <w:rFonts w:hint="eastAsia" w:ascii="宋体" w:hAnsi="宋体" w:cs="宋体"/>
          <w:b/>
          <w:bCs/>
          <w:color w:val="auto"/>
          <w:sz w:val="28"/>
          <w:szCs w:val="28"/>
          <w:highlight w:val="none"/>
        </w:rPr>
      </w:pPr>
      <w:bookmarkStart w:id="869" w:name="_Toc20148334"/>
      <w:bookmarkStart w:id="870" w:name="_Toc96899346"/>
      <w:bookmarkStart w:id="871" w:name="_Toc91188879"/>
      <w:bookmarkStart w:id="872" w:name="_Toc8655"/>
      <w:r>
        <w:rPr>
          <w:rFonts w:hint="eastAsia" w:ascii="宋体" w:hAnsi="宋体" w:cs="宋体"/>
          <w:b/>
          <w:bCs/>
          <w:color w:val="auto"/>
          <w:sz w:val="28"/>
          <w:szCs w:val="28"/>
          <w:highlight w:val="none"/>
        </w:rPr>
        <w:t>24.争议的解决</w:t>
      </w:r>
      <w:bookmarkEnd w:id="869"/>
      <w:bookmarkEnd w:id="870"/>
      <w:bookmarkEnd w:id="871"/>
      <w:bookmarkEnd w:id="872"/>
    </w:p>
    <w:p w14:paraId="7668D84E">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24.l争议的解决方式</w:t>
      </w:r>
    </w:p>
    <w:p w14:paraId="05A62164">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68B1459B">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（1）向约定的仲裁委员会申请仲裁；</w:t>
      </w:r>
    </w:p>
    <w:p w14:paraId="73FFAC41">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（2）向有管辖权的人民法院提起诉讼。</w:t>
      </w:r>
    </w:p>
    <w:p w14:paraId="786221BA">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24.2友好解决</w:t>
      </w:r>
    </w:p>
    <w:p w14:paraId="4CB05022">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在提请争议评审、仲裁或者诉讼前，以及在争议评审、仲裁或诉讼过程中，发包人和承包人均可共同努力友好协商解决争议。</w:t>
      </w:r>
    </w:p>
    <w:p w14:paraId="3CE1CCA3">
      <w:pPr>
        <w:spacing w:line="360" w:lineRule="auto"/>
        <w:jc w:val="left"/>
        <w:rPr>
          <w:rFonts w:hint="eastAsia" w:ascii="宋体" w:hAnsi="宋体" w:cs="宋体"/>
          <w:b/>
          <w:bCs/>
          <w:color w:val="auto"/>
          <w:sz w:val="28"/>
          <w:szCs w:val="28"/>
          <w:highlight w:val="none"/>
        </w:rPr>
      </w:pPr>
      <w:bookmarkStart w:id="873" w:name="_Toc484015727"/>
      <w:bookmarkStart w:id="874" w:name="_Toc486160983"/>
      <w:r>
        <w:rPr>
          <w:rFonts w:hint="eastAsia" w:ascii="宋体" w:hAnsi="宋体" w:cs="宋体"/>
          <w:b/>
          <w:bCs/>
          <w:color w:val="auto"/>
          <w:sz w:val="28"/>
          <w:szCs w:val="28"/>
          <w:highlight w:val="none"/>
        </w:rPr>
        <w:t>24.3争议评审</w:t>
      </w:r>
      <w:bookmarkEnd w:id="873"/>
      <w:bookmarkEnd w:id="874"/>
    </w:p>
    <w:p w14:paraId="1F8DC295">
      <w:pPr>
        <w:spacing w:line="355"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24.3.1 采用争议评审的，发包人和承包人应在开工日后的28天内或在争议发生后，协商成立争议评审组。争议评审组由有合同管理和工程实践经验的专家组成。</w:t>
      </w:r>
    </w:p>
    <w:p w14:paraId="25633419">
      <w:pPr>
        <w:spacing w:line="355"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24.3.2 合同双方的争议，应首先由申请人向争议评审组提交一份详细的评审申请报告，并附必要的文件、图纸和证明材料，申请人还应将上述报告的副本同时提交给被申请人和监理人。</w:t>
      </w:r>
    </w:p>
    <w:p w14:paraId="38DD87A1">
      <w:pPr>
        <w:spacing w:line="355"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24.3.3 被申请人在收到申请人评审申请报告副本后的28天内，向争议评审组提交一份答辩报告，并附证明材料。被申请人应将答辩报告的副本同时提交给申请人和监理人。</w:t>
      </w:r>
    </w:p>
    <w:p w14:paraId="35319301">
      <w:pPr>
        <w:spacing w:line="355"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24.3.4 除专用合同条款另有约定外，争议评审组在收到合同双方报告后的14天内，邀请双方代表和有关人员举行调查会，向双方调查争议细节；必要时争议评审组可要求双方进一步提供补充材料。</w:t>
      </w:r>
    </w:p>
    <w:p w14:paraId="38255C2F">
      <w:pPr>
        <w:spacing w:line="355"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24.3.5 除专用合同条款另有约定外，在调查会结束后的14天内，争议评审组应在不受任何干扰的情况下进行独立、公正的评审，作出书面评审意见，并说明理由。在争议评审期间，争议双方暂按总监理工程师的确定执行。</w:t>
      </w:r>
    </w:p>
    <w:p w14:paraId="086ABC1A">
      <w:pPr>
        <w:spacing w:line="355"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24.3.6 发包人和承包人接受评审意见的，由监理人根据评审意见拟定执行协议，经争议双方签字后作为合同的补充文件，并遵照执行。</w:t>
      </w:r>
    </w:p>
    <w:p w14:paraId="0E42F0C6">
      <w:pPr>
        <w:spacing w:line="355" w:lineRule="auto"/>
        <w:rPr>
          <w:rFonts w:hint="eastAsia" w:ascii="宋体" w:hAnsi="宋体" w:cs="宋体"/>
          <w:color w:val="auto"/>
          <w:sz w:val="24"/>
          <w:highlight w:val="none"/>
        </w:rPr>
      </w:pPr>
      <w:r>
        <w:rPr>
          <w:rFonts w:hint="eastAsia" w:ascii="宋体" w:hAnsi="宋体" w:cs="宋体"/>
          <w:color w:val="auto"/>
          <w:kern w:val="0"/>
          <w:sz w:val="24"/>
          <w:highlight w:val="none"/>
        </w:rPr>
        <w:t>24.3.7 发包人或承包人不接受评审意见，并要求提交仲裁或提起诉讼的，应在收到评审意见后的14天内将仲裁或起诉意向书面通知另一方，并抄送监理人，但在仲裁或诉讼结束前应暂按总监理工程师的确定执行。</w:t>
      </w:r>
    </w:p>
    <w:p w14:paraId="4872300D">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24.4仲裁 </w:t>
      </w:r>
    </w:p>
    <w:p w14:paraId="35D01943">
      <w:pPr>
        <w:spacing w:line="355"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24.4.1若合同双方商定直接向仲裁机构申请仲裁，应签订仲裁协议并约定仲裁机构。</w:t>
      </w:r>
    </w:p>
    <w:p w14:paraId="1249268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24.4.2若合同双方未能达成仲裁协议，则本合同的仲裁条款无效，任一方均有权向人民法院提起诉讼。</w:t>
      </w:r>
    </w:p>
    <w:bookmarkEnd w:id="620"/>
    <w:bookmarkEnd w:id="621"/>
    <w:bookmarkEnd w:id="622"/>
    <w:bookmarkEnd w:id="623"/>
    <w:bookmarkEnd w:id="624"/>
    <w:bookmarkEnd w:id="625"/>
    <w:bookmarkEnd w:id="626"/>
    <w:bookmarkEnd w:id="627"/>
    <w:bookmarkEnd w:id="628"/>
    <w:bookmarkEnd w:id="629"/>
    <w:p w14:paraId="03B3417D">
      <w:pPr>
        <w:spacing w:line="360" w:lineRule="auto"/>
        <w:rPr>
          <w:rFonts w:hint="eastAsia" w:ascii="宋体" w:hAnsi="宋体" w:cs="宋体"/>
          <w:color w:val="auto"/>
          <w:szCs w:val="22"/>
          <w:highlight w:val="none"/>
        </w:rPr>
        <w:sectPr>
          <w:footerReference r:id="rId6" w:type="default"/>
          <w:pgSz w:w="11906" w:h="16838"/>
          <w:pgMar w:top="1418" w:right="1418" w:bottom="1418" w:left="1418" w:header="851" w:footer="992" w:gutter="0"/>
          <w:cols w:space="720" w:num="1"/>
          <w:docGrid w:linePitch="312" w:charSpace="0"/>
        </w:sectPr>
      </w:pPr>
    </w:p>
    <w:p w14:paraId="7A0602C8">
      <w:pPr>
        <w:keepNext/>
        <w:keepLines/>
        <w:spacing w:line="360" w:lineRule="auto"/>
        <w:jc w:val="center"/>
        <w:outlineLvl w:val="1"/>
        <w:rPr>
          <w:rFonts w:hint="eastAsia" w:ascii="宋体" w:hAnsi="宋体" w:cs="宋体"/>
          <w:b/>
          <w:bCs/>
          <w:color w:val="auto"/>
          <w:sz w:val="32"/>
          <w:szCs w:val="32"/>
          <w:highlight w:val="none"/>
        </w:rPr>
      </w:pPr>
      <w:bookmarkStart w:id="875" w:name="_Toc222033877"/>
      <w:bookmarkStart w:id="876" w:name="_Toc229305386"/>
      <w:bookmarkStart w:id="877" w:name="_Toc100756868"/>
      <w:bookmarkStart w:id="878" w:name="_Toc221948340"/>
      <w:bookmarkStart w:id="879" w:name="_Toc222029526"/>
      <w:bookmarkStart w:id="880" w:name="_Toc480796077"/>
      <w:bookmarkStart w:id="881" w:name="_Toc93482635"/>
      <w:bookmarkStart w:id="882" w:name="_Toc15669"/>
      <w:bookmarkStart w:id="883" w:name="_Toc536524543"/>
      <w:bookmarkStart w:id="884" w:name="_Toc222032695"/>
      <w:bookmarkStart w:id="885" w:name="_Toc96899347"/>
      <w:bookmarkStart w:id="886" w:name="_Toc222031028"/>
      <w:bookmarkStart w:id="887" w:name="_Toc2693"/>
      <w:bookmarkStart w:id="888" w:name="_Toc491074025"/>
      <w:bookmarkStart w:id="889" w:name="_Toc221951110"/>
      <w:bookmarkStart w:id="890" w:name="_Toc66978589"/>
      <w:bookmarkStart w:id="891" w:name="_Toc104740334"/>
      <w:bookmarkStart w:id="892" w:name="_Hlk108530165"/>
      <w:r>
        <w:rPr>
          <w:rFonts w:hint="eastAsia" w:ascii="宋体" w:hAnsi="宋体" w:cs="宋体"/>
          <w:b/>
          <w:bCs/>
          <w:color w:val="auto"/>
          <w:sz w:val="32"/>
          <w:szCs w:val="32"/>
          <w:highlight w:val="none"/>
        </w:rPr>
        <w:t>第2节  专用合同条款</w:t>
      </w:r>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p>
    <w:p w14:paraId="6A9DA625">
      <w:pPr>
        <w:spacing w:line="360" w:lineRule="auto"/>
        <w:jc w:val="left"/>
        <w:outlineLvl w:val="2"/>
        <w:rPr>
          <w:rFonts w:hint="eastAsia" w:ascii="宋体" w:hAnsi="宋体" w:cs="宋体"/>
          <w:b/>
          <w:bCs/>
          <w:color w:val="auto"/>
          <w:sz w:val="28"/>
          <w:szCs w:val="28"/>
          <w:highlight w:val="none"/>
        </w:rPr>
      </w:pPr>
      <w:bookmarkStart w:id="893" w:name="_Toc29935"/>
      <w:bookmarkStart w:id="894" w:name="_Toc104740335"/>
      <w:bookmarkStart w:id="895" w:name="_Toc96899348"/>
      <w:bookmarkStart w:id="896" w:name="_Toc491074026"/>
      <w:r>
        <w:rPr>
          <w:rFonts w:hint="eastAsia" w:ascii="宋体" w:hAnsi="宋体" w:cs="宋体"/>
          <w:b/>
          <w:bCs/>
          <w:color w:val="auto"/>
          <w:sz w:val="28"/>
          <w:szCs w:val="28"/>
          <w:highlight w:val="none"/>
        </w:rPr>
        <w:t>1.一般约定</w:t>
      </w:r>
      <w:bookmarkEnd w:id="893"/>
      <w:bookmarkEnd w:id="894"/>
      <w:bookmarkEnd w:id="895"/>
    </w:p>
    <w:p w14:paraId="29E04DD3">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1.1 词语定义</w:t>
      </w:r>
    </w:p>
    <w:p w14:paraId="21857DE9">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1.1.2 合同当事人和人员</w:t>
      </w:r>
    </w:p>
    <w:p w14:paraId="680AA92D">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1.1.2.2 发包人：</w:t>
      </w:r>
      <w:r>
        <w:rPr>
          <w:rFonts w:hint="eastAsia" w:ascii="宋体" w:hAnsi="宋体" w:cs="宋体"/>
          <w:color w:val="auto"/>
          <w:sz w:val="24"/>
          <w:highlight w:val="none"/>
          <w:u w:val="single"/>
        </w:rPr>
        <w:t xml:space="preserve">           北京市水利工程管理中心             </w:t>
      </w:r>
      <w:r>
        <w:rPr>
          <w:rFonts w:hint="eastAsia" w:ascii="宋体" w:hAnsi="宋体" w:cs="宋体"/>
          <w:color w:val="auto"/>
          <w:sz w:val="24"/>
          <w:highlight w:val="none"/>
        </w:rPr>
        <w:t>。</w:t>
      </w:r>
    </w:p>
    <w:p w14:paraId="60F00AE1">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1.1.2.3 承包人：</w:t>
      </w:r>
      <w:r>
        <w:rPr>
          <w:rFonts w:hint="eastAsia" w:ascii="宋体" w:hAnsi="宋体" w:cs="宋体"/>
          <w:color w:val="auto"/>
          <w:sz w:val="24"/>
          <w:highlight w:val="none"/>
          <w:u w:val="single"/>
        </w:rPr>
        <w:t xml:space="preserve">         （签约后填入承包人的名称）         </w:t>
      </w:r>
      <w:r>
        <w:rPr>
          <w:rFonts w:hint="eastAsia" w:ascii="宋体" w:hAnsi="宋体" w:cs="宋体"/>
          <w:color w:val="auto"/>
          <w:sz w:val="24"/>
          <w:highlight w:val="none"/>
        </w:rPr>
        <w:t>。</w:t>
      </w:r>
    </w:p>
    <w:p w14:paraId="34249B88">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1.1.2.5 分包人：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8430764">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1.1.2.6 监理人：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2DF0E76C">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1.1.4 日期</w:t>
      </w:r>
    </w:p>
    <w:p w14:paraId="5DBE45F7">
      <w:pPr>
        <w:adjustRightInd w:val="0"/>
        <w:snapToGrid w:val="0"/>
        <w:spacing w:line="360" w:lineRule="auto"/>
        <w:ind w:firstLine="480" w:firstLineChars="200"/>
        <w:rPr>
          <w:rFonts w:hint="eastAsia" w:ascii="宋体" w:hAnsi="宋体" w:cs="宋体"/>
          <w:color w:val="auto"/>
          <w:sz w:val="24"/>
          <w:highlight w:val="none"/>
          <w:u w:val="single"/>
        </w:rPr>
      </w:pPr>
      <w:bookmarkStart w:id="897" w:name="_Toc480796078"/>
      <w:bookmarkStart w:id="898" w:name="_Toc295295159"/>
      <w:bookmarkStart w:id="899" w:name="_Toc480795819"/>
      <w:bookmarkStart w:id="900" w:name="_Toc302297832"/>
      <w:bookmarkStart w:id="901" w:name="_Toc302324304"/>
      <w:bookmarkStart w:id="902" w:name="_Toc294601449"/>
      <w:bookmarkStart w:id="903" w:name="_Toc476582108"/>
      <w:r>
        <w:rPr>
          <w:rFonts w:hint="eastAsia" w:ascii="宋体" w:hAnsi="宋体" w:cs="宋体"/>
          <w:color w:val="auto"/>
          <w:sz w:val="24"/>
          <w:highlight w:val="none"/>
        </w:rPr>
        <w:t>1.1.4.5 缺陷责任期（工程质量保修期）：</w:t>
      </w:r>
      <w:bookmarkEnd w:id="897"/>
      <w:bookmarkEnd w:id="898"/>
      <w:bookmarkEnd w:id="899"/>
      <w:bookmarkEnd w:id="900"/>
      <w:bookmarkEnd w:id="901"/>
      <w:bookmarkEnd w:id="902"/>
      <w:bookmarkEnd w:id="903"/>
      <w:r>
        <w:rPr>
          <w:rFonts w:hint="eastAsia" w:ascii="宋体" w:hAnsi="宋体" w:cs="宋体"/>
          <w:color w:val="auto"/>
          <w:sz w:val="24"/>
          <w:highlight w:val="none"/>
          <w:u w:val="single"/>
        </w:rPr>
        <w:t xml:space="preserve"> 12个月 </w:t>
      </w:r>
      <w:r>
        <w:rPr>
          <w:rFonts w:hint="eastAsia" w:ascii="宋体" w:hAnsi="宋体" w:cs="宋体"/>
          <w:color w:val="auto"/>
          <w:sz w:val="24"/>
          <w:highlight w:val="none"/>
        </w:rPr>
        <w:t>。</w:t>
      </w:r>
    </w:p>
    <w:p w14:paraId="58E82150">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1.4 合同文件的优先顺序</w:t>
      </w:r>
    </w:p>
    <w:p w14:paraId="17AF7D88">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进入合同文件的各项文件及其优先顺序是：</w:t>
      </w:r>
    </w:p>
    <w:p w14:paraId="47901F13">
      <w:pPr>
        <w:tabs>
          <w:tab w:val="left" w:pos="1117"/>
        </w:tabs>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（1）合同协议书（包括补充协议）；</w:t>
      </w:r>
    </w:p>
    <w:p w14:paraId="57D5D5C8">
      <w:pPr>
        <w:tabs>
          <w:tab w:val="left" w:pos="1117"/>
        </w:tabs>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（2）中标通知书；</w:t>
      </w:r>
    </w:p>
    <w:p w14:paraId="7DEC645C">
      <w:pPr>
        <w:tabs>
          <w:tab w:val="left" w:pos="1117"/>
        </w:tabs>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（3）中标人对</w:t>
      </w:r>
      <w:r>
        <w:rPr>
          <w:rFonts w:hint="eastAsia" w:ascii="宋体" w:hAnsi="宋体" w:cs="宋体"/>
          <w:bCs/>
          <w:color w:val="auto"/>
          <w:sz w:val="24"/>
          <w:highlight w:val="none"/>
          <w:lang w:eastAsia="zh-CN"/>
        </w:rPr>
        <w:t>响应文件</w:t>
      </w:r>
      <w:r>
        <w:rPr>
          <w:rFonts w:hint="eastAsia" w:ascii="宋体" w:hAnsi="宋体" w:cs="宋体"/>
          <w:bCs/>
          <w:color w:val="auto"/>
          <w:sz w:val="24"/>
          <w:highlight w:val="none"/>
        </w:rPr>
        <w:t>所做出的澄清或说明；</w:t>
      </w:r>
    </w:p>
    <w:p w14:paraId="17F65CD1">
      <w:pPr>
        <w:tabs>
          <w:tab w:val="left" w:pos="1117"/>
        </w:tabs>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（4）投标函及投标函附录；</w:t>
      </w:r>
    </w:p>
    <w:p w14:paraId="5D928F46">
      <w:pPr>
        <w:tabs>
          <w:tab w:val="left" w:pos="1117"/>
        </w:tabs>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（5）专用合同条款；</w:t>
      </w:r>
    </w:p>
    <w:p w14:paraId="0CE2C8C3">
      <w:pPr>
        <w:tabs>
          <w:tab w:val="left" w:pos="1117"/>
        </w:tabs>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（6）通用合同条款；</w:t>
      </w:r>
    </w:p>
    <w:p w14:paraId="1C9B7368">
      <w:pPr>
        <w:tabs>
          <w:tab w:val="left" w:pos="1117"/>
        </w:tabs>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（7）技术标准和要求（合同技术条款）；</w:t>
      </w:r>
    </w:p>
    <w:p w14:paraId="70E9C004">
      <w:pPr>
        <w:tabs>
          <w:tab w:val="left" w:pos="1117"/>
        </w:tabs>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（8）已标价的工程量清单；</w:t>
      </w:r>
    </w:p>
    <w:p w14:paraId="70EFC004">
      <w:pPr>
        <w:tabs>
          <w:tab w:val="left" w:pos="1117"/>
        </w:tabs>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（9）工程建设项目廉政合同、安全生产协议书、非道路移动机械使用承诺书、扬尘污染防治工作承诺书、北京市工程建设项目保障农民工工资支付工作承诺书；</w:t>
      </w:r>
    </w:p>
    <w:p w14:paraId="0C4F6BFB">
      <w:pPr>
        <w:tabs>
          <w:tab w:val="left" w:pos="1117"/>
        </w:tabs>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（10）经双方确认进入合同的其他文件。</w:t>
      </w:r>
    </w:p>
    <w:p w14:paraId="0E5A705D">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1.7 联络</w:t>
      </w:r>
    </w:p>
    <w:p w14:paraId="19A75EB7">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1.7.2 来往函件均应按技术标准和要求（合同技术条款）约定的期限送达</w:t>
      </w:r>
      <w:r>
        <w:rPr>
          <w:rFonts w:hint="eastAsia" w:ascii="宋体" w:hAnsi="宋体" w:cs="宋体"/>
          <w:color w:val="auto"/>
          <w:sz w:val="24"/>
          <w:highlight w:val="none"/>
          <w:u w:val="single"/>
        </w:rPr>
        <w:t xml:space="preserve"> 发包人和承包人现场管理机构所在地 </w:t>
      </w:r>
      <w:r>
        <w:rPr>
          <w:rFonts w:hint="eastAsia" w:ascii="宋体" w:hAnsi="宋体" w:cs="宋体"/>
          <w:color w:val="auto"/>
          <w:sz w:val="24"/>
          <w:highlight w:val="none"/>
        </w:rPr>
        <w:t>。</w:t>
      </w:r>
    </w:p>
    <w:p w14:paraId="4E573D00">
      <w:pPr>
        <w:spacing w:line="360" w:lineRule="auto"/>
        <w:jc w:val="left"/>
        <w:outlineLvl w:val="2"/>
        <w:rPr>
          <w:rFonts w:hint="eastAsia" w:ascii="宋体" w:hAnsi="宋体" w:cs="宋体"/>
          <w:b/>
          <w:bCs/>
          <w:color w:val="auto"/>
          <w:sz w:val="28"/>
          <w:szCs w:val="28"/>
          <w:highlight w:val="none"/>
        </w:rPr>
      </w:pPr>
      <w:bookmarkStart w:id="904" w:name="_Toc1137"/>
      <w:bookmarkStart w:id="905" w:name="_Toc96899349"/>
      <w:bookmarkStart w:id="906" w:name="_Toc104740336"/>
      <w:r>
        <w:rPr>
          <w:rFonts w:hint="eastAsia" w:ascii="宋体" w:hAnsi="宋体" w:cs="宋体"/>
          <w:b/>
          <w:bCs/>
          <w:color w:val="auto"/>
          <w:sz w:val="28"/>
          <w:szCs w:val="28"/>
          <w:highlight w:val="none"/>
        </w:rPr>
        <w:t>2.发包人义务</w:t>
      </w:r>
      <w:bookmarkEnd w:id="904"/>
      <w:bookmarkEnd w:id="905"/>
      <w:bookmarkEnd w:id="906"/>
    </w:p>
    <w:p w14:paraId="26340CA4">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2.3 提供施工场地</w:t>
      </w:r>
    </w:p>
    <w:p w14:paraId="03D69465">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color w:val="auto"/>
          <w:sz w:val="24"/>
          <w:highlight w:val="none"/>
        </w:rPr>
        <w:t>2.3.2 发包人提供的施工场地范围为：</w:t>
      </w:r>
      <w:r>
        <w:rPr>
          <w:rFonts w:hint="eastAsia" w:ascii="宋体" w:hAnsi="宋体" w:cs="宋体"/>
          <w:color w:val="auto"/>
          <w:sz w:val="24"/>
          <w:highlight w:val="none"/>
          <w:u w:val="single"/>
        </w:rPr>
        <w:t>根据具体施工项目需求由发包人及时提供给承包人</w:t>
      </w:r>
      <w:r>
        <w:rPr>
          <w:rFonts w:hint="eastAsia" w:ascii="宋体" w:hAnsi="宋体" w:cs="宋体"/>
          <w:color w:val="auto"/>
          <w:sz w:val="24"/>
          <w:highlight w:val="none"/>
        </w:rPr>
        <w:t>。</w:t>
      </w:r>
    </w:p>
    <w:p w14:paraId="68179CDD">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color w:val="auto"/>
          <w:sz w:val="24"/>
          <w:highlight w:val="none"/>
        </w:rPr>
        <w:t>2.3.3 承包人自行勘察的施工场地范围为：</w:t>
      </w:r>
      <w:r>
        <w:rPr>
          <w:rFonts w:hint="eastAsia" w:ascii="宋体" w:hAnsi="宋体" w:cs="宋体"/>
          <w:color w:val="auto"/>
          <w:sz w:val="24"/>
          <w:highlight w:val="none"/>
          <w:u w:val="single"/>
        </w:rPr>
        <w:t>承包人自行确定</w:t>
      </w:r>
      <w:r>
        <w:rPr>
          <w:rFonts w:hint="eastAsia" w:ascii="宋体" w:hAnsi="宋体" w:cs="宋体"/>
          <w:bCs/>
          <w:color w:val="auto"/>
          <w:sz w:val="24"/>
          <w:highlight w:val="none"/>
        </w:rPr>
        <w:t>。</w:t>
      </w:r>
    </w:p>
    <w:p w14:paraId="4D56398C">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2.8 其他义务</w:t>
      </w:r>
    </w:p>
    <w:p w14:paraId="6D1E548D">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（1）发包人应加强对承包人按时足额支付农民工工资的监督。</w:t>
      </w:r>
    </w:p>
    <w:p w14:paraId="5949246F">
      <w:pPr>
        <w:adjustRightInd w:val="0"/>
        <w:snapToGrid w:val="0"/>
        <w:spacing w:line="360" w:lineRule="auto"/>
        <w:ind w:firstLine="480" w:firstLineChars="200"/>
        <w:rPr>
          <w:rFonts w:hint="eastAsia" w:ascii="宋体" w:hAnsi="宋体" w:cs="宋体"/>
          <w:color w:val="auto"/>
          <w:sz w:val="24"/>
          <w:highlight w:val="none"/>
        </w:rPr>
      </w:pPr>
      <w:bookmarkStart w:id="907" w:name="_Toc96899350"/>
      <w:bookmarkStart w:id="908" w:name="_Toc104740337"/>
      <w:r>
        <w:rPr>
          <w:rFonts w:hint="eastAsia" w:ascii="宋体" w:hAnsi="宋体" w:cs="宋体"/>
          <w:color w:val="auto"/>
          <w:sz w:val="24"/>
          <w:highlight w:val="none"/>
        </w:rPr>
        <w:t>（2）发包人应督促承包人按期缴纳工伤保险和安责险。</w:t>
      </w:r>
    </w:p>
    <w:p w14:paraId="48C4CC99">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（3）发包人参照《北京市建筑垃圾处置管理规定》北京市人民政府令第293号要求执行。</w:t>
      </w:r>
    </w:p>
    <w:p w14:paraId="3B4AB512">
      <w:pPr>
        <w:spacing w:line="360" w:lineRule="auto"/>
        <w:jc w:val="left"/>
        <w:outlineLvl w:val="2"/>
        <w:rPr>
          <w:rFonts w:hint="eastAsia" w:ascii="宋体" w:hAnsi="宋体" w:cs="宋体"/>
          <w:b/>
          <w:bCs/>
          <w:color w:val="auto"/>
          <w:sz w:val="28"/>
          <w:szCs w:val="28"/>
          <w:highlight w:val="none"/>
        </w:rPr>
      </w:pPr>
      <w:bookmarkStart w:id="909" w:name="_Toc29832"/>
      <w:r>
        <w:rPr>
          <w:rFonts w:hint="eastAsia" w:ascii="宋体" w:hAnsi="宋体" w:cs="宋体"/>
          <w:b/>
          <w:bCs/>
          <w:color w:val="auto"/>
          <w:sz w:val="28"/>
          <w:szCs w:val="28"/>
          <w:highlight w:val="none"/>
        </w:rPr>
        <w:t>3.监理人</w:t>
      </w:r>
      <w:bookmarkEnd w:id="907"/>
      <w:bookmarkEnd w:id="908"/>
      <w:bookmarkEnd w:id="909"/>
    </w:p>
    <w:p w14:paraId="2942D01A">
      <w:pPr>
        <w:spacing w:line="360" w:lineRule="auto"/>
        <w:jc w:val="left"/>
        <w:rPr>
          <w:rFonts w:hint="eastAsia" w:ascii="宋体" w:hAnsi="宋体" w:cs="宋体"/>
          <w:b/>
          <w:bCs/>
          <w:color w:val="auto"/>
          <w:sz w:val="28"/>
          <w:szCs w:val="28"/>
          <w:highlight w:val="none"/>
        </w:rPr>
      </w:pPr>
      <w:bookmarkStart w:id="910" w:name="_Toc96899351"/>
      <w:bookmarkStart w:id="911" w:name="_Toc104740338"/>
      <w:r>
        <w:rPr>
          <w:rFonts w:hint="eastAsia" w:ascii="宋体" w:hAnsi="宋体" w:cs="宋体"/>
          <w:b/>
          <w:bCs/>
          <w:color w:val="auto"/>
          <w:sz w:val="28"/>
          <w:szCs w:val="28"/>
          <w:highlight w:val="none"/>
        </w:rPr>
        <w:t>3.1 监理人的职责和权力</w:t>
      </w:r>
    </w:p>
    <w:p w14:paraId="3E6F99C9">
      <w:pPr>
        <w:adjustRightInd w:val="0"/>
        <w:snapToGrid w:val="0"/>
        <w:spacing w:line="360" w:lineRule="auto"/>
        <w:ind w:firstLine="480" w:firstLineChars="200"/>
        <w:rPr>
          <w:rFonts w:hint="eastAsia" w:ascii="宋体" w:hAnsi="宋体" w:cs="宋体"/>
          <w:b/>
          <w:color w:val="auto"/>
          <w:sz w:val="24"/>
          <w:highlight w:val="none"/>
        </w:rPr>
      </w:pPr>
      <w:r>
        <w:rPr>
          <w:rFonts w:hint="eastAsia" w:ascii="宋体" w:hAnsi="宋体" w:cs="宋体"/>
          <w:color w:val="auto"/>
          <w:sz w:val="24"/>
          <w:highlight w:val="none"/>
        </w:rPr>
        <w:t>3.1.1 监理人须根据发包人事先批准的权力范围行使权力，发包人批准的权力范围：</w:t>
      </w:r>
    </w:p>
    <w:p w14:paraId="11ECDD98">
      <w:pPr>
        <w:adjustRightInd w:val="0"/>
        <w:snapToGrid w:val="0"/>
        <w:spacing w:line="360" w:lineRule="auto"/>
        <w:ind w:firstLine="484" w:firstLineChars="202"/>
        <w:rPr>
          <w:rFonts w:hint="eastAsia" w:ascii="宋体" w:hAnsi="宋体" w:cs="宋体"/>
          <w:bCs/>
          <w:color w:val="auto"/>
          <w:sz w:val="24"/>
          <w:highlight w:val="none"/>
        </w:rPr>
      </w:pPr>
      <w:r>
        <w:rPr>
          <w:rFonts w:hint="eastAsia" w:ascii="宋体" w:hAnsi="宋体" w:cs="宋体"/>
          <w:bCs/>
          <w:color w:val="auto"/>
          <w:sz w:val="24"/>
          <w:highlight w:val="none"/>
        </w:rPr>
        <w:t>（1）按第4.5款和4.6款的规定，批准人员的更换；</w:t>
      </w:r>
    </w:p>
    <w:p w14:paraId="1E51F20A">
      <w:pPr>
        <w:adjustRightInd w:val="0"/>
        <w:snapToGrid w:val="0"/>
        <w:spacing w:line="360" w:lineRule="auto"/>
        <w:ind w:firstLine="484" w:firstLineChars="202"/>
        <w:rPr>
          <w:rFonts w:hint="eastAsia" w:ascii="宋体" w:hAnsi="宋体" w:cs="宋体"/>
          <w:bCs/>
          <w:color w:val="auto"/>
          <w:sz w:val="24"/>
          <w:highlight w:val="none"/>
        </w:rPr>
      </w:pPr>
      <w:r>
        <w:rPr>
          <w:rFonts w:hint="eastAsia" w:ascii="宋体" w:hAnsi="宋体" w:cs="宋体"/>
          <w:bCs/>
          <w:color w:val="auto"/>
          <w:sz w:val="24"/>
          <w:highlight w:val="none"/>
        </w:rPr>
        <w:t>（2）按第11.3款、第11.4款的规定，确定延长工期；</w:t>
      </w:r>
    </w:p>
    <w:p w14:paraId="369F55B3">
      <w:pPr>
        <w:adjustRightInd w:val="0"/>
        <w:snapToGrid w:val="0"/>
        <w:spacing w:line="360" w:lineRule="auto"/>
        <w:ind w:firstLine="484" w:firstLineChars="202"/>
        <w:rPr>
          <w:rFonts w:hint="eastAsia" w:ascii="宋体" w:hAnsi="宋体" w:cs="宋体"/>
          <w:bCs/>
          <w:color w:val="auto"/>
          <w:sz w:val="24"/>
          <w:highlight w:val="none"/>
        </w:rPr>
      </w:pPr>
      <w:r>
        <w:rPr>
          <w:rFonts w:hint="eastAsia" w:ascii="宋体" w:hAnsi="宋体" w:cs="宋体"/>
          <w:bCs/>
          <w:color w:val="auto"/>
          <w:sz w:val="24"/>
          <w:highlight w:val="none"/>
        </w:rPr>
        <w:t>（3）按第12.3款的规定，作出暂停施工的指示；</w:t>
      </w:r>
    </w:p>
    <w:p w14:paraId="561E6834">
      <w:pPr>
        <w:adjustRightInd w:val="0"/>
        <w:snapToGrid w:val="0"/>
        <w:spacing w:line="360" w:lineRule="auto"/>
        <w:ind w:firstLine="484" w:firstLineChars="202"/>
        <w:rPr>
          <w:rFonts w:hint="eastAsia" w:ascii="宋体" w:hAnsi="宋体" w:cs="宋体"/>
          <w:bCs/>
          <w:color w:val="auto"/>
          <w:sz w:val="24"/>
          <w:highlight w:val="none"/>
        </w:rPr>
      </w:pPr>
      <w:r>
        <w:rPr>
          <w:rFonts w:hint="eastAsia" w:ascii="宋体" w:hAnsi="宋体" w:cs="宋体"/>
          <w:bCs/>
          <w:color w:val="auto"/>
          <w:sz w:val="24"/>
          <w:highlight w:val="none"/>
        </w:rPr>
        <w:t>（4）按第15条的规定，作出任何变更；</w:t>
      </w:r>
    </w:p>
    <w:p w14:paraId="0F7F6E81">
      <w:pPr>
        <w:adjustRightInd w:val="0"/>
        <w:snapToGrid w:val="0"/>
        <w:spacing w:line="360" w:lineRule="auto"/>
        <w:ind w:firstLine="484" w:firstLineChars="202"/>
        <w:rPr>
          <w:rFonts w:hint="eastAsia" w:ascii="宋体" w:hAnsi="宋体" w:cs="宋体"/>
          <w:bCs/>
          <w:color w:val="auto"/>
          <w:sz w:val="24"/>
          <w:highlight w:val="none"/>
        </w:rPr>
      </w:pPr>
      <w:r>
        <w:rPr>
          <w:rFonts w:hint="eastAsia" w:ascii="宋体" w:hAnsi="宋体" w:cs="宋体"/>
          <w:bCs/>
          <w:color w:val="auto"/>
          <w:sz w:val="24"/>
          <w:highlight w:val="none"/>
        </w:rPr>
        <w:t>（5）按第23.2款的规定，作出索赔的处理；</w:t>
      </w:r>
    </w:p>
    <w:p w14:paraId="1A826D0B">
      <w:pPr>
        <w:adjustRightInd w:val="0"/>
        <w:snapToGrid w:val="0"/>
        <w:spacing w:line="360" w:lineRule="auto"/>
        <w:ind w:firstLine="484" w:firstLineChars="202"/>
        <w:rPr>
          <w:rFonts w:hint="eastAsia" w:ascii="宋体" w:hAnsi="宋体" w:cs="宋体"/>
          <w:bCs/>
          <w:color w:val="auto"/>
          <w:sz w:val="24"/>
          <w:highlight w:val="none"/>
        </w:rPr>
      </w:pPr>
      <w:r>
        <w:rPr>
          <w:rFonts w:hint="eastAsia" w:ascii="宋体" w:hAnsi="宋体" w:cs="宋体"/>
          <w:bCs/>
          <w:color w:val="auto"/>
          <w:sz w:val="24"/>
          <w:highlight w:val="none"/>
        </w:rPr>
        <w:t>（6）合同范围变更以及重大技术变更；</w:t>
      </w:r>
    </w:p>
    <w:p w14:paraId="2B3356E1">
      <w:pPr>
        <w:adjustRightInd w:val="0"/>
        <w:snapToGrid w:val="0"/>
        <w:spacing w:line="360" w:lineRule="auto"/>
        <w:ind w:firstLine="484" w:firstLineChars="202"/>
        <w:rPr>
          <w:rFonts w:hint="eastAsia" w:ascii="宋体" w:hAnsi="宋体" w:cs="宋体"/>
          <w:b/>
          <w:color w:val="auto"/>
          <w:sz w:val="24"/>
          <w:highlight w:val="none"/>
          <w:u w:val="single"/>
        </w:rPr>
      </w:pPr>
      <w:r>
        <w:rPr>
          <w:rFonts w:hint="eastAsia" w:ascii="宋体" w:hAnsi="宋体" w:cs="宋体"/>
          <w:bCs/>
          <w:color w:val="auto"/>
          <w:sz w:val="24"/>
          <w:highlight w:val="none"/>
        </w:rPr>
        <w:t>（7）采用新技术、新材料、新工艺。</w:t>
      </w:r>
    </w:p>
    <w:p w14:paraId="7CD59893">
      <w:pPr>
        <w:spacing w:line="360" w:lineRule="auto"/>
        <w:jc w:val="left"/>
        <w:outlineLvl w:val="2"/>
        <w:rPr>
          <w:rFonts w:hint="eastAsia" w:ascii="宋体" w:hAnsi="宋体" w:cs="宋体"/>
          <w:b/>
          <w:bCs/>
          <w:color w:val="auto"/>
          <w:sz w:val="28"/>
          <w:szCs w:val="28"/>
          <w:highlight w:val="none"/>
        </w:rPr>
      </w:pPr>
      <w:bookmarkStart w:id="912" w:name="_Toc16476"/>
      <w:r>
        <w:rPr>
          <w:rFonts w:hint="eastAsia" w:ascii="宋体" w:hAnsi="宋体" w:cs="宋体"/>
          <w:b/>
          <w:bCs/>
          <w:color w:val="auto"/>
          <w:sz w:val="28"/>
          <w:szCs w:val="28"/>
          <w:highlight w:val="none"/>
        </w:rPr>
        <w:t>4.承包人</w:t>
      </w:r>
      <w:bookmarkEnd w:id="910"/>
      <w:bookmarkEnd w:id="911"/>
      <w:bookmarkEnd w:id="912"/>
    </w:p>
    <w:p w14:paraId="7A4CA7C8">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4.1 承包人的一般义务</w:t>
      </w:r>
    </w:p>
    <w:p w14:paraId="2513822A">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4.1.10 其他义务</w:t>
      </w:r>
    </w:p>
    <w:p w14:paraId="6526AD82">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（1）本工程在设计度汛标准内的安全度汛由承包人负责，并承担由此发生的一切费用。</w:t>
      </w:r>
    </w:p>
    <w:p w14:paraId="5332CED2">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承包人应按照北京市生态环境局关于设定禁止高排放非道路移动机械使用区域的要求，在相关区域禁止使用不符合第三阶段及以上排放标准的非道路移动机械（包括挖掘机、装载机、挖掘装载机、叉车、推土机、平地机、压路机、摊铺机、铣刨机、钻机、打桩机、起重机等），否则，将自行承担相应法律后果和一切处罚。工程开工前及实施过程中，承包人应做好非道路移动机械的维护保养，其一切费用包含在相应工程项目总价或单价中。</w:t>
      </w:r>
    </w:p>
    <w:p w14:paraId="3CB31353">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（3）承包人应按照《北京市机动车和非道路移动机械排放污染防治条例》的要求，使用在本市进行信息编码登记且符合排放标准的非道路移动机械，否则，将自行承担相应法律后果和一切处罚。</w:t>
      </w:r>
    </w:p>
    <w:p w14:paraId="2F0B590F">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4）承包人应加强扬尘污染防治技术措施应用。承包人应按照国家及北京市的有关规定，制定切实可行的扬尘污染防治措施，全面负责施工现场扬尘污染防治工作。工程实施过程中，接受有关部门的监督管理。同时，承包人对违反有关规定，造成扬尘污染防治工作不力的，也应接受有关部门依法做出的相应处罚。</w:t>
      </w:r>
    </w:p>
    <w:p w14:paraId="60C6FC07">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（5）承包人应严格执行北京市交通委员会、北京市城市管理委员会等有关部门对运输车辆、建筑垃圾管理的有关规定及要求。</w:t>
      </w:r>
    </w:p>
    <w:p w14:paraId="2859FBAE">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（6）承包人应认真贯彻落实《保障农民工工资支付条例》（国务院第 724 号令）、《工程建设领域农民工工资专用账户管理暂行办法》（人社部发〔2021〕53号）、《工程建设领域农民工工资保证金规定》（人社部〔2021〕65号）、《北京市人民政府关于健全完善保障农民工工资支付制度机制建设的意见》（京政发〔2020〕26号）、《北京市工程建设领域保障农民工工资支付工作管理办法》（京人社监发[2021]12号）、《北京市工程建设领域农民工工资保证金实施办法》（京人社监发〔2021〕36号）、《北京市水务局关于转发&lt;工程建设领域农民工工资专用账户管理暂行办法&gt;的通知》和《北京市水务局关于转发&lt;工程建设领域农民工工资保证金规定&gt;的通知》等国家、行业和北京市的有关规定，严格保障农民工合法权益，不拖欠农民工工资。设立农民工实名制、工资保证金、工资专户，实行银行代发等，并接受发包人或有关部门的监管。承包人未按要求执行有关规定的，不得进入施工现场。承包人应按照北京市水务局《关于转发&lt;劳动合同示范文本&gt;的通知》（详见北京市水务局官网通知公告栏）要求，使用示范文本规范劳动合同签订。</w:t>
      </w:r>
    </w:p>
    <w:p w14:paraId="50557D2D">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7）依据《关于做好本市公路水运水利机场工程建设项目参加工伤保险工作的通知》（京人社工发〔2018〕229号）的有关规定，承包人在进场施工前，应按项目办理工伤保险。办理开工备案时，向发包人提交《社会保险登记证》，作为保证工程施工安全的具体措施。</w:t>
      </w:r>
    </w:p>
    <w:p w14:paraId="0A14CA6D">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8）承包人应参照执行北京市住房和城乡建设委员会关于印发《建设工程施工现场生活区设置和管理导则》和《北京市建设工程施工现场安全生产标准化管理图集（生活区设置和管理分册）的通知》（京建发〔2020〕289 号）等有关标准、规范和文件的规定，遵守施工现场生活区设置和管理的有关要求，规范施工现场生活区宿舍、食堂、盥洗间、淋浴间、厕所等的设置和管理，生活污水要达标排放。</w:t>
      </w:r>
    </w:p>
    <w:p w14:paraId="16EF67B0">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9）承包人应遵守国家和北京市关于建筑垃圾、生活垃圾分类管理的有关规定和要求，编制施工现场的建筑垃圾处理方案，明确建筑垃圾运输车辆进出施工现场的管理制度、具体负责人、检查人员和检查登记方法、投诉举报途径、突发事件处理程序等，并报城市管理部门备案。</w:t>
      </w:r>
    </w:p>
    <w:p w14:paraId="3ED43337">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承包人应当按照城市管理部门的规定对建筑垃圾进行资源化利用或者处置，并根据建筑垃圾运输服务合同的约定，通知建筑垃圾运输服务单位及时清运施工产生的建筑垃圾；对需要在施工现场贮存的建筑垃圾，应当按照规定采取密闭式垃圾站或者防尘网遮盖等扬尘防治措施。</w:t>
      </w:r>
    </w:p>
    <w:p w14:paraId="7A6DFBDC">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（10）承包人应优先采用节能型的施工工艺和高性能用能设备，提高能源利用效率和效益，减少对环境的影响。</w:t>
      </w:r>
    </w:p>
    <w:p w14:paraId="67DE3DB4">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11）承包人应严格运输车辆管理，将运输车辆管理纳入项目经理责任制，严禁无准运证、密闭装置破损、排放不达标的车辆进入工地，严禁超量装载、车身不洁、车轮带泥的车辆驶出工地，做到“三不进、两不出”（不达标禁止进入工地、无准运证禁止进入工地、密闭装置损坏禁止进入工地，车厢未密闭禁止驶出工地、车身不洁禁止驶出工地），对施工垃圾装载处置的具体管理负责。</w:t>
      </w:r>
    </w:p>
    <w:p w14:paraId="446E5EFC">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承包人应统一设置《建筑垃圾处置责任公示牌》，公示建设单位、施工单位、运输企业、现场责任人、渣土消纳证编号、渣土消纳场所名称、监督电话等内容，以及施工现场建筑垃圾处理方案概要和发包人的建筑垃圾消纳情况备案信息等内容。</w:t>
      </w:r>
    </w:p>
    <w:p w14:paraId="6BBB97A5">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（12）承包人在有限空间作业前，须编制专题施工方案，制定操作规程，并落实各项防护措施，经监理人审批、报发包人备案后方可实施。</w:t>
      </w:r>
    </w:p>
    <w:p w14:paraId="32B9F1CB">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（13）承包人应严格执行《北京市大气污染防治条例》、《建设工程扬尘污染防治规范》、《建设工程施工现场安全防护、场容卫生及消防保卫标准》（DB11/945--2012）、《水利工程绿色施工规范》（DB11/</w:t>
      </w:r>
      <w:r>
        <w:rPr>
          <w:rFonts w:hint="eastAsia" w:ascii="宋体" w:hAnsi="宋体" w:cs="宋体"/>
          <w:color w:val="auto"/>
          <w:sz w:val="24"/>
          <w:highlight w:val="none"/>
        </w:rPr>
        <w:t xml:space="preserve">T </w:t>
      </w:r>
      <w:r>
        <w:rPr>
          <w:rFonts w:hint="eastAsia" w:ascii="宋体" w:hAnsi="宋体" w:cs="宋体"/>
          <w:bCs/>
          <w:color w:val="auto"/>
          <w:sz w:val="24"/>
          <w:highlight w:val="none"/>
        </w:rPr>
        <w:t>1776--2020）、《北京市建筑垃圾处置管理规定》等有关标准、规范和文件的规定，做好绿色施工措施。</w:t>
      </w:r>
    </w:p>
    <w:p w14:paraId="1CACF307">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（14）按照《关于进一步加强建筑废弃物资源化综合利用工作的意见》（京建发[2018]7号）的要求，在技术指标符合设计要求及满足使用功能的前提下，率先在指定工程部位选用建筑废弃物再生产品。</w:t>
      </w:r>
    </w:p>
    <w:p w14:paraId="7A13656C">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（15）承包人应按照北京市水务局《关于进一步加强水利工程起重机械使用管理的通知》（京水务安文[2020]38 号）的要求，加强起重机械的使用管理。</w:t>
      </w:r>
    </w:p>
    <w:p w14:paraId="7673E8AC">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（16）承包人应严格执行《北京市水利工程运行维护作业涉水安全管理规程（试行）》的规定，防范涉水安全风险，做好涉水安全措施。</w:t>
      </w:r>
    </w:p>
    <w:p w14:paraId="6F23B15D">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（17）承包人制定强压力容器、压力管道等特种设备安全防护制度，加强人员安全培训，按国家及地方相关规定持证上岗。</w:t>
      </w:r>
    </w:p>
    <w:p w14:paraId="340CB9C2">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（18）承包人应尊重工程所在地的风俗习惯。</w:t>
      </w:r>
    </w:p>
    <w:p w14:paraId="0F3B219F">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（19）承包人自行考虑施工用水、用电及通讯，费用包含在合同价中。</w:t>
      </w:r>
    </w:p>
    <w:p w14:paraId="7C49915E">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（20）承包人负责办理施工临时用地、临时设施、临时交通等各项审批手续。</w:t>
      </w:r>
    </w:p>
    <w:p w14:paraId="48947F1E">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（21）承包人负责处理施工过程中与地方产生的所有矛盾与争议。</w:t>
      </w:r>
    </w:p>
    <w:p w14:paraId="39221817">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（22）按发包人要求设立</w:t>
      </w:r>
      <w:bookmarkStart w:id="913" w:name="_Hlk92717306"/>
      <w:r>
        <w:rPr>
          <w:rFonts w:hint="eastAsia" w:ascii="宋体" w:hAnsi="宋体" w:cs="宋体"/>
          <w:bCs/>
          <w:color w:val="auto"/>
          <w:sz w:val="24"/>
          <w:highlight w:val="none"/>
        </w:rPr>
        <w:t>农民工工资专用</w:t>
      </w:r>
      <w:bookmarkEnd w:id="913"/>
      <w:r>
        <w:rPr>
          <w:rFonts w:hint="eastAsia" w:ascii="宋体" w:hAnsi="宋体" w:cs="宋体"/>
          <w:bCs/>
          <w:color w:val="auto"/>
          <w:sz w:val="24"/>
          <w:highlight w:val="none"/>
        </w:rPr>
        <w:t>账户，并接受发包人的监管。</w:t>
      </w:r>
    </w:p>
    <w:p w14:paraId="214F5EEA">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23）承包人应加强应急抢险能力建设。项目实施过程中如出现应急抢险事项，承包人应在能力范围内积极配合发包人开展应急抢险工作；如承包人具备应急抢险能力的，由承包人承担抢险工作，实际发生工作量及资金等以发包人审核为准。</w:t>
      </w:r>
    </w:p>
    <w:p w14:paraId="2D9FF214">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4.2履约担保</w:t>
      </w:r>
    </w:p>
    <w:p w14:paraId="6B875748">
      <w:pPr>
        <w:adjustRightInd w:val="0"/>
        <w:snapToGrid w:val="0"/>
        <w:spacing w:line="360" w:lineRule="auto"/>
        <w:ind w:firstLine="480" w:firstLineChars="20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通用合同条款不适用。本工程按以下条款执行：</w:t>
      </w:r>
    </w:p>
    <w:p w14:paraId="4D8CC853">
      <w:pPr>
        <w:adjustRightInd w:val="0"/>
        <w:snapToGrid w:val="0"/>
        <w:spacing w:line="360" w:lineRule="auto"/>
        <w:ind w:firstLine="480" w:firstLineChars="200"/>
        <w:rPr>
          <w:rFonts w:hint="eastAsia" w:ascii="宋体" w:hAnsi="宋体" w:cs="宋体"/>
          <w:bCs/>
          <w:color w:val="auto"/>
          <w:sz w:val="24"/>
          <w:highlight w:val="none"/>
          <w:u w:val="single"/>
          <w:lang w:val="zh-CN"/>
        </w:rPr>
      </w:pPr>
      <w:r>
        <w:rPr>
          <w:rFonts w:hint="eastAsia" w:ascii="宋体" w:hAnsi="宋体" w:cs="宋体"/>
          <w:bCs/>
          <w:color w:val="auto"/>
          <w:sz w:val="24"/>
          <w:highlight w:val="none"/>
          <w:lang w:val="zh-CN"/>
        </w:rPr>
        <w:t>承包人提供履约保证金：签约合同价的10%，</w:t>
      </w:r>
      <w:r>
        <w:rPr>
          <w:rFonts w:hint="eastAsia" w:ascii="宋体" w:hAnsi="宋体" w:cs="宋体"/>
          <w:color w:val="auto"/>
          <w:sz w:val="24"/>
          <w:highlight w:val="none"/>
          <w:u w:val="single"/>
        </w:rPr>
        <w:t>即人民币（大写）：        （小写）：¥          元</w:t>
      </w:r>
      <w:r>
        <w:rPr>
          <w:rFonts w:hint="eastAsia" w:ascii="宋体" w:hAnsi="宋体" w:cs="宋体"/>
          <w:bCs/>
          <w:color w:val="auto"/>
          <w:sz w:val="24"/>
          <w:highlight w:val="none"/>
          <w:lang w:val="zh-CN"/>
        </w:rPr>
        <w:t>。</w:t>
      </w:r>
    </w:p>
    <w:p w14:paraId="40CDD46C">
      <w:pPr>
        <w:adjustRightInd w:val="0"/>
        <w:snapToGrid w:val="0"/>
        <w:spacing w:line="360" w:lineRule="auto"/>
        <w:ind w:firstLine="480" w:firstLineChars="20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履约担保的形式：</w:t>
      </w:r>
      <w:r>
        <w:rPr>
          <w:rFonts w:hint="eastAsia" w:ascii="宋体" w:hAnsi="宋体" w:cs="宋体"/>
          <w:bCs/>
          <w:color w:val="auto"/>
          <w:sz w:val="24"/>
          <w:highlight w:val="none"/>
          <w:u w:val="single"/>
          <w:lang w:val="zh-CN"/>
        </w:rPr>
        <w:t xml:space="preserve">                    </w:t>
      </w:r>
      <w:r>
        <w:rPr>
          <w:rFonts w:hint="eastAsia" w:ascii="宋体" w:hAnsi="宋体" w:cs="宋体"/>
          <w:bCs/>
          <w:color w:val="auto"/>
          <w:sz w:val="24"/>
          <w:highlight w:val="none"/>
          <w:lang w:val="zh-CN"/>
        </w:rPr>
        <w:t>。  银行保函、担保（包括电子保函）、支票、银行汇票、电汇、现金等（签订合同时按照实际递交形式选填）；</w:t>
      </w:r>
    </w:p>
    <w:p w14:paraId="52E2F541">
      <w:pPr>
        <w:adjustRightInd w:val="0"/>
        <w:snapToGrid w:val="0"/>
        <w:spacing w:line="360" w:lineRule="auto"/>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履约保证期限：履约保证期限于本合同期限届满并承包人履行完本合同约定的全部义务后终止。</w:t>
      </w:r>
    </w:p>
    <w:p w14:paraId="5824B682">
      <w:pPr>
        <w:adjustRightInd w:val="0"/>
        <w:snapToGrid w:val="0"/>
        <w:spacing w:line="360" w:lineRule="auto"/>
        <w:ind w:firstLine="480" w:firstLineChars="20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履约担保的退还：在</w:t>
      </w:r>
      <w:r>
        <w:rPr>
          <w:rFonts w:hint="eastAsia" w:ascii="宋体" w:hAnsi="宋体" w:cs="宋体"/>
          <w:color w:val="auto"/>
          <w:sz w:val="24"/>
          <w:highlight w:val="none"/>
        </w:rPr>
        <w:t>合同工程完工</w:t>
      </w:r>
      <w:r>
        <w:rPr>
          <w:rFonts w:hint="eastAsia" w:ascii="宋体" w:hAnsi="宋体" w:cs="宋体"/>
          <w:color w:val="auto"/>
          <w:sz w:val="24"/>
          <w:szCs w:val="28"/>
          <w:highlight w:val="none"/>
        </w:rPr>
        <w:t>验收合格且资料移交后30日内，发包人将履约保证金退还给承包人。履约保证金采用支票、汇票、电汇、转账、现金形式的，以支票或汇票方式退还；采用保函形式的，合同期满自行作废，不再退还。发包人</w:t>
      </w:r>
      <w:r>
        <w:rPr>
          <w:rFonts w:hint="eastAsia" w:ascii="宋体" w:hAnsi="宋体" w:cs="宋体"/>
          <w:color w:val="auto"/>
          <w:sz w:val="24"/>
          <w:highlight w:val="none"/>
        </w:rPr>
        <w:t>逾期退还履约保证金，应以未退还的履约保证金为基数、按照中国人民银行的同期贷款利率及逾期天数向承包人支付违约金</w:t>
      </w:r>
      <w:r>
        <w:rPr>
          <w:rFonts w:hint="eastAsia" w:ascii="宋体" w:hAnsi="宋体" w:cs="宋体"/>
          <w:color w:val="auto"/>
          <w:sz w:val="24"/>
          <w:szCs w:val="28"/>
          <w:highlight w:val="none"/>
        </w:rPr>
        <w:t>。</w:t>
      </w:r>
    </w:p>
    <w:p w14:paraId="717B1E12">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bCs/>
          <w:color w:val="auto"/>
          <w:sz w:val="24"/>
          <w:highlight w:val="none"/>
          <w:lang w:val="zh-CN"/>
        </w:rPr>
        <w:t>本工程履约担保执行</w:t>
      </w:r>
      <w:r>
        <w:rPr>
          <w:rFonts w:hint="eastAsia" w:ascii="宋体" w:hAnsi="宋体" w:cs="宋体"/>
          <w:color w:val="auto"/>
          <w:sz w:val="24"/>
          <w:highlight w:val="none"/>
        </w:rPr>
        <w:t>《北京市公共资源交易担保金融服务管理办法（试行）》的相关规定。</w:t>
      </w:r>
    </w:p>
    <w:p w14:paraId="5607F457">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4.3 分包</w:t>
      </w:r>
    </w:p>
    <w:p w14:paraId="79E9F638">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4.3.2 除劳务作业本项目不允许工程分包。</w:t>
      </w:r>
    </w:p>
    <w:p w14:paraId="5007F195">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4.4 联合体</w:t>
      </w:r>
    </w:p>
    <w:p w14:paraId="077D20AF">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iCs/>
          <w:color w:val="auto"/>
          <w:sz w:val="24"/>
          <w:highlight w:val="none"/>
        </w:rPr>
        <w:t>通用条款不适用。</w:t>
      </w:r>
      <w:r>
        <w:rPr>
          <w:rFonts w:hint="eastAsia" w:ascii="宋体" w:hAnsi="宋体" w:cs="宋体"/>
          <w:bCs/>
          <w:color w:val="auto"/>
          <w:sz w:val="24"/>
          <w:highlight w:val="none"/>
          <w:lang w:val="zh-CN"/>
        </w:rPr>
        <w:t>本工程按以下条款执行：</w:t>
      </w:r>
      <w:r>
        <w:rPr>
          <w:rFonts w:hint="eastAsia" w:ascii="宋体" w:hAnsi="宋体" w:cs="宋体"/>
          <w:iCs/>
          <w:color w:val="auto"/>
          <w:sz w:val="24"/>
          <w:highlight w:val="none"/>
        </w:rPr>
        <w:t>本次招标</w:t>
      </w:r>
      <w:r>
        <w:rPr>
          <w:rFonts w:hint="eastAsia" w:ascii="宋体" w:hAnsi="宋体" w:cs="宋体"/>
          <w:iCs/>
          <w:color w:val="auto"/>
          <w:sz w:val="24"/>
          <w:highlight w:val="none"/>
          <w:u w:val="single"/>
        </w:rPr>
        <w:t>不接受</w:t>
      </w:r>
      <w:r>
        <w:rPr>
          <w:rFonts w:hint="eastAsia" w:ascii="宋体" w:hAnsi="宋体" w:cs="宋体"/>
          <w:iCs/>
          <w:color w:val="auto"/>
          <w:sz w:val="24"/>
          <w:highlight w:val="none"/>
        </w:rPr>
        <w:t>联合体投标。</w:t>
      </w:r>
    </w:p>
    <w:p w14:paraId="7D6C4E9F">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4.5 承包人项目经理</w:t>
      </w:r>
    </w:p>
    <w:p w14:paraId="33CF7A77">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本款补充第4.5.5项：</w:t>
      </w:r>
    </w:p>
    <w:p w14:paraId="2429DA3D">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color w:val="auto"/>
          <w:sz w:val="24"/>
          <w:highlight w:val="none"/>
        </w:rPr>
        <w:t>4.5.5 承包人须派</w:t>
      </w:r>
      <w:r>
        <w:rPr>
          <w:rFonts w:hint="eastAsia" w:ascii="宋体" w:hAnsi="宋体" w:cs="宋体"/>
          <w:color w:val="auto"/>
          <w:sz w:val="24"/>
          <w:highlight w:val="none"/>
          <w:lang w:eastAsia="zh-CN"/>
        </w:rPr>
        <w:t>响应文件</w:t>
      </w:r>
      <w:r>
        <w:rPr>
          <w:rFonts w:hint="eastAsia" w:ascii="宋体" w:hAnsi="宋体" w:cs="宋体"/>
          <w:color w:val="auto"/>
          <w:sz w:val="24"/>
          <w:highlight w:val="none"/>
        </w:rPr>
        <w:t>中明确的项目经理进驻施工现场。承包人如需更换项目经理或主要负责人，须经发包人书面同意，未经发包人书面同意，本合同实施期间内项目经理或主要负责人不得更换，否则，承包人应向发包人支付违约金 5 万元人民币/人次。项目经理在工程主体施工期间，现场工作天数每月不得少于10天，发包人将根据考勤记录进行考评，每差一天承包人应向发包人支付违约金5000元人民币（发包人批准的除外）。</w:t>
      </w:r>
    </w:p>
    <w:p w14:paraId="6CC030E7">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4.6 承包人人员的管理</w:t>
      </w:r>
    </w:p>
    <w:p w14:paraId="3D88F869">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应在合同签订后3天内，向发包人提交承包人在施工场地的管理机构以及人员安排的报告，其内容应包括管理机构的设置、各主要岗位的技术和管理人员名单及其资格，以及各工种技术工人的安排状况。承包人应及时向发包人提交施工场地人员变动情况的报告。</w:t>
      </w:r>
    </w:p>
    <w:p w14:paraId="255A300F">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4.6.3 承包人安排在施工场地的主要管理人员和技术骨干应相对稳定。承包人更换主要管理人员和技术骨干时，应取得发包人的同意。</w:t>
      </w:r>
    </w:p>
    <w:p w14:paraId="654BA5F6">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承包人须派</w:t>
      </w:r>
      <w:r>
        <w:rPr>
          <w:rFonts w:hint="eastAsia" w:ascii="宋体" w:hAnsi="宋体" w:cs="宋体"/>
          <w:color w:val="auto"/>
          <w:sz w:val="24"/>
          <w:highlight w:val="none"/>
          <w:lang w:eastAsia="zh-CN"/>
        </w:rPr>
        <w:t>响应文件</w:t>
      </w:r>
      <w:r>
        <w:rPr>
          <w:rFonts w:hint="eastAsia" w:ascii="宋体" w:hAnsi="宋体" w:cs="宋体"/>
          <w:color w:val="auto"/>
          <w:sz w:val="24"/>
          <w:highlight w:val="none"/>
        </w:rPr>
        <w:t>中明确的项目经理、技术负责人、安全负责人和特种作业人员进驻施工现场。签订合同后3个工作日内，承包人应将项目经理、技术负责人、安全负责人和特种作业人员的信息报送发包人备案。在项目实施过程中，承包人应配合发包人对上述人员持证上岗情况进行检查。</w:t>
      </w:r>
    </w:p>
    <w:p w14:paraId="7A515DD1">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本款补充第4.6.5项、第4.6.6项、第4.6.7项：</w:t>
      </w:r>
    </w:p>
    <w:p w14:paraId="257047A8">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4.6.5 尽管承包人已按约定派遣了上述各类人员，但若这些人员仍不能满足合同进度计划和（或）质量、安全生产要求时，发包人有权要求承包人继续增派这类人员，并书面通知承包人。承包人在接到上述通知后应立即执行发包人的指示，不得无故拖延，否则由此增加的费用和工期延误所造成的损失由承包人承担。</w:t>
      </w:r>
    </w:p>
    <w:p w14:paraId="1B3B470F">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4.6.6 承包人须派</w:t>
      </w:r>
      <w:r>
        <w:rPr>
          <w:rFonts w:hint="eastAsia" w:ascii="宋体" w:hAnsi="宋体" w:cs="宋体"/>
          <w:color w:val="auto"/>
          <w:sz w:val="24"/>
          <w:highlight w:val="none"/>
          <w:lang w:eastAsia="zh-CN"/>
        </w:rPr>
        <w:t>响应文件</w:t>
      </w:r>
      <w:r>
        <w:rPr>
          <w:rFonts w:hint="eastAsia" w:ascii="宋体" w:hAnsi="宋体" w:cs="宋体"/>
          <w:color w:val="auto"/>
          <w:sz w:val="24"/>
          <w:highlight w:val="none"/>
        </w:rPr>
        <w:t>中明确的技术负责人进驻施工现场。承包人如需更换技术负责人，须经发包人书面同意，未经发包人书面同意，本合同实施期间内技术负责人不得更换，否则，承包人应向发包人支付违约金 5 万元人民币/人次。技术负责人在工程主体施工期间，现场工作天数每月不得少于15天，发包人将根据考勤记录进行考评，每差一天承包人应向发包人支付违约金5000元人民币（发包人批准的除外）。</w:t>
      </w:r>
    </w:p>
    <w:p w14:paraId="4C006759">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 xml:space="preserve">4.6.7 </w:t>
      </w:r>
      <w:bookmarkStart w:id="914" w:name="_Hlk95396746"/>
      <w:r>
        <w:rPr>
          <w:rFonts w:hint="eastAsia" w:ascii="宋体" w:hAnsi="宋体" w:cs="宋体"/>
          <w:bCs/>
          <w:color w:val="auto"/>
          <w:sz w:val="24"/>
          <w:highlight w:val="none"/>
        </w:rPr>
        <w:t>承包人须派</w:t>
      </w:r>
      <w:r>
        <w:rPr>
          <w:rFonts w:hint="eastAsia" w:ascii="宋体" w:hAnsi="宋体" w:cs="宋体"/>
          <w:bCs/>
          <w:color w:val="auto"/>
          <w:sz w:val="24"/>
          <w:highlight w:val="none"/>
          <w:lang w:eastAsia="zh-CN"/>
        </w:rPr>
        <w:t>响应文件</w:t>
      </w:r>
      <w:r>
        <w:rPr>
          <w:rFonts w:hint="eastAsia" w:ascii="宋体" w:hAnsi="宋体" w:cs="宋体"/>
          <w:bCs/>
          <w:color w:val="auto"/>
          <w:sz w:val="24"/>
          <w:highlight w:val="none"/>
        </w:rPr>
        <w:t>中明确的其他主要管理人员（包括安全管理人员、质量管理人员）进驻施工现场。</w:t>
      </w:r>
      <w:bookmarkStart w:id="915" w:name="_Hlk99799419"/>
      <w:r>
        <w:rPr>
          <w:rFonts w:hint="eastAsia" w:ascii="宋体" w:hAnsi="宋体" w:cs="宋体"/>
          <w:bCs/>
          <w:color w:val="auto"/>
          <w:sz w:val="24"/>
          <w:highlight w:val="none"/>
        </w:rPr>
        <w:t>承包人如需更换以上人员，须经发包人书面同意，未经发包人书面同意，本合同实施期间内上述人员不得更换，否则，承包人应向发包人支付违约金</w:t>
      </w:r>
      <w:r>
        <w:rPr>
          <w:rFonts w:hint="eastAsia" w:ascii="宋体" w:hAnsi="宋体" w:cs="宋体"/>
          <w:bCs/>
          <w:color w:val="auto"/>
          <w:sz w:val="24"/>
          <w:highlight w:val="none"/>
          <w:u w:val="single"/>
        </w:rPr>
        <w:t xml:space="preserve"> 1 </w:t>
      </w:r>
      <w:r>
        <w:rPr>
          <w:rFonts w:hint="eastAsia" w:ascii="宋体" w:hAnsi="宋体" w:cs="宋体"/>
          <w:bCs/>
          <w:color w:val="auto"/>
          <w:sz w:val="24"/>
          <w:highlight w:val="none"/>
        </w:rPr>
        <w:t>万元人民币/人次。</w:t>
      </w:r>
      <w:bookmarkEnd w:id="914"/>
      <w:bookmarkEnd w:id="915"/>
      <w:r>
        <w:rPr>
          <w:rFonts w:hint="eastAsia" w:ascii="宋体" w:hAnsi="宋体" w:cs="宋体"/>
          <w:bCs/>
          <w:color w:val="auto"/>
          <w:sz w:val="24"/>
          <w:highlight w:val="none"/>
        </w:rPr>
        <w:t>其他主要管理人员</w:t>
      </w:r>
      <w:r>
        <w:rPr>
          <w:rFonts w:hint="eastAsia" w:ascii="宋体" w:hAnsi="宋体" w:cs="宋体"/>
          <w:color w:val="auto"/>
          <w:sz w:val="24"/>
          <w:highlight w:val="none"/>
        </w:rPr>
        <w:t>在工程主体施工期间，现场工作天数每月不得少于22天，发包人将根据考勤记录进行考评，每人每差一天承包人应向发包人支付违约金5000元人民币（发包人批准的除外）。</w:t>
      </w:r>
    </w:p>
    <w:p w14:paraId="4BA54543">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4.11 不利物质条件</w:t>
      </w:r>
    </w:p>
    <w:p w14:paraId="5852BE42">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bCs/>
          <w:color w:val="auto"/>
          <w:sz w:val="24"/>
          <w:highlight w:val="none"/>
        </w:rPr>
        <w:t xml:space="preserve">4.11.1 </w:t>
      </w:r>
      <w:r>
        <w:rPr>
          <w:rFonts w:hint="eastAsia" w:ascii="宋体" w:hAnsi="宋体" w:cs="宋体"/>
          <w:color w:val="auto"/>
          <w:sz w:val="24"/>
          <w:highlight w:val="none"/>
        </w:rPr>
        <w:t>不利物质条件的范围：本项不作另行约定。</w:t>
      </w:r>
    </w:p>
    <w:p w14:paraId="55632A28">
      <w:pPr>
        <w:spacing w:line="360" w:lineRule="auto"/>
        <w:jc w:val="left"/>
        <w:outlineLvl w:val="2"/>
        <w:rPr>
          <w:rFonts w:hint="eastAsia" w:ascii="宋体" w:hAnsi="宋体" w:cs="宋体"/>
          <w:b/>
          <w:bCs/>
          <w:color w:val="auto"/>
          <w:sz w:val="28"/>
          <w:szCs w:val="28"/>
          <w:highlight w:val="none"/>
        </w:rPr>
      </w:pPr>
      <w:bookmarkStart w:id="916" w:name="_Toc96899352"/>
      <w:bookmarkStart w:id="917" w:name="_Toc104740339"/>
      <w:bookmarkStart w:id="918" w:name="_Toc24775"/>
      <w:r>
        <w:rPr>
          <w:rFonts w:hint="eastAsia" w:ascii="宋体" w:hAnsi="宋体" w:cs="宋体"/>
          <w:b/>
          <w:bCs/>
          <w:color w:val="auto"/>
          <w:sz w:val="28"/>
          <w:szCs w:val="28"/>
          <w:highlight w:val="none"/>
        </w:rPr>
        <w:t>5.材料和工程设备</w:t>
      </w:r>
      <w:bookmarkEnd w:id="916"/>
      <w:bookmarkEnd w:id="917"/>
      <w:bookmarkEnd w:id="918"/>
    </w:p>
    <w:p w14:paraId="2C4CD0D6">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5.1承包人提供的材料和工程设备</w:t>
      </w:r>
    </w:p>
    <w:p w14:paraId="484AD554">
      <w:pPr>
        <w:adjustRightInd w:val="0"/>
        <w:snapToGrid w:val="0"/>
        <w:spacing w:line="360" w:lineRule="auto"/>
        <w:ind w:firstLine="480" w:firstLineChars="200"/>
        <w:rPr>
          <w:rFonts w:hint="eastAsia" w:ascii="宋体" w:hAnsi="宋体" w:cs="宋体"/>
          <w:bCs/>
          <w:color w:val="auto"/>
          <w:sz w:val="24"/>
          <w:highlight w:val="none"/>
        </w:rPr>
      </w:pPr>
      <w:bookmarkStart w:id="919" w:name="_Hlk92717337"/>
      <w:r>
        <w:rPr>
          <w:rFonts w:hint="eastAsia" w:ascii="宋体" w:hAnsi="宋体" w:cs="宋体"/>
          <w:bCs/>
          <w:color w:val="auto"/>
          <w:sz w:val="24"/>
          <w:highlight w:val="none"/>
        </w:rPr>
        <w:t>本款补充第5.1.4项、5.1.5项：</w:t>
      </w:r>
    </w:p>
    <w:p w14:paraId="53CF0277">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 xml:space="preserve">5.1.4 </w:t>
      </w:r>
      <w:bookmarkStart w:id="920" w:name="_Hlk80626892"/>
      <w:r>
        <w:rPr>
          <w:rFonts w:hint="eastAsia" w:ascii="宋体" w:hAnsi="宋体" w:cs="宋体"/>
          <w:bCs/>
          <w:color w:val="auto"/>
          <w:sz w:val="24"/>
          <w:highlight w:val="none"/>
        </w:rPr>
        <w:t>按照建筑外墙涂装、道路、钢结构制造行业等政府投资建设工程推广水性漆替代油性漆的有关要求，本项目涉及部位须使用水性漆</w:t>
      </w:r>
      <w:bookmarkEnd w:id="920"/>
      <w:r>
        <w:rPr>
          <w:rFonts w:hint="eastAsia" w:ascii="宋体" w:hAnsi="宋体" w:cs="宋体"/>
          <w:bCs/>
          <w:color w:val="auto"/>
          <w:sz w:val="24"/>
          <w:highlight w:val="none"/>
        </w:rPr>
        <w:t>。</w:t>
      </w:r>
    </w:p>
    <w:bookmarkEnd w:id="919"/>
    <w:p w14:paraId="64E41D46">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5.1.5 施工过程中使用的涂料、清洗剂等须严格执行《建筑类涂料与胶粘剂挥发性有机化合物含量限值标准》（DB 11/3005-2017）、《工业防护涂料中有害物质限量》（GB 30981-2020）强制性标准。</w:t>
      </w:r>
    </w:p>
    <w:p w14:paraId="6649EBC4">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5.2 发包人提供的材料和工程设备</w:t>
      </w:r>
    </w:p>
    <w:p w14:paraId="6B8FC19D">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5.2.1 发包人提供的材料和工程设备：</w:t>
      </w:r>
      <w:r>
        <w:rPr>
          <w:rFonts w:hint="eastAsia" w:ascii="宋体" w:hAnsi="宋体" w:cs="宋体"/>
          <w:bCs/>
          <w:color w:val="auto"/>
          <w:sz w:val="24"/>
          <w:highlight w:val="none"/>
          <w:u w:val="single"/>
        </w:rPr>
        <w:t xml:space="preserve"> 无 </w:t>
      </w:r>
      <w:r>
        <w:rPr>
          <w:rFonts w:hint="eastAsia" w:ascii="宋体" w:hAnsi="宋体" w:cs="宋体"/>
          <w:bCs/>
          <w:color w:val="auto"/>
          <w:sz w:val="24"/>
          <w:highlight w:val="none"/>
        </w:rPr>
        <w:t>。</w:t>
      </w:r>
    </w:p>
    <w:p w14:paraId="30257419">
      <w:pPr>
        <w:spacing w:line="360" w:lineRule="auto"/>
        <w:jc w:val="left"/>
        <w:outlineLvl w:val="2"/>
        <w:rPr>
          <w:rFonts w:hint="eastAsia" w:ascii="宋体" w:hAnsi="宋体" w:cs="宋体"/>
          <w:b/>
          <w:bCs/>
          <w:color w:val="auto"/>
          <w:sz w:val="28"/>
          <w:szCs w:val="28"/>
          <w:highlight w:val="none"/>
        </w:rPr>
      </w:pPr>
      <w:bookmarkStart w:id="921" w:name="_Toc96899353"/>
      <w:bookmarkStart w:id="922" w:name="_Toc11074"/>
      <w:bookmarkStart w:id="923" w:name="_Toc104740340"/>
      <w:r>
        <w:rPr>
          <w:rFonts w:hint="eastAsia" w:ascii="宋体" w:hAnsi="宋体" w:cs="宋体"/>
          <w:b/>
          <w:bCs/>
          <w:color w:val="auto"/>
          <w:sz w:val="28"/>
          <w:szCs w:val="28"/>
          <w:highlight w:val="none"/>
        </w:rPr>
        <w:t>6.施工设备和临时设施</w:t>
      </w:r>
      <w:bookmarkEnd w:id="921"/>
      <w:bookmarkEnd w:id="922"/>
      <w:bookmarkEnd w:id="923"/>
    </w:p>
    <w:p w14:paraId="27B201BF">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6.2 发包人提供的施工设备和临时设施</w:t>
      </w:r>
    </w:p>
    <w:p w14:paraId="37CF2B36">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（1）发包人提供的施工设备：</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w:t>
      </w:r>
    </w:p>
    <w:p w14:paraId="333588B7">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（2）发包人提供的临时设施：</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w:t>
      </w:r>
    </w:p>
    <w:p w14:paraId="6F26A66E">
      <w:pPr>
        <w:spacing w:line="360" w:lineRule="auto"/>
        <w:jc w:val="left"/>
        <w:outlineLvl w:val="2"/>
        <w:rPr>
          <w:rFonts w:hint="eastAsia" w:ascii="宋体" w:hAnsi="宋体" w:cs="宋体"/>
          <w:b/>
          <w:bCs/>
          <w:color w:val="auto"/>
          <w:sz w:val="28"/>
          <w:szCs w:val="28"/>
          <w:highlight w:val="none"/>
        </w:rPr>
      </w:pPr>
      <w:bookmarkStart w:id="924" w:name="_Toc96899354"/>
      <w:bookmarkStart w:id="925" w:name="_Toc104740341"/>
      <w:bookmarkStart w:id="926" w:name="_Toc25168"/>
      <w:r>
        <w:rPr>
          <w:rFonts w:hint="eastAsia" w:ascii="宋体" w:hAnsi="宋体" w:cs="宋体"/>
          <w:b/>
          <w:bCs/>
          <w:color w:val="auto"/>
          <w:sz w:val="28"/>
          <w:szCs w:val="28"/>
          <w:highlight w:val="none"/>
        </w:rPr>
        <w:t>7.交通运输</w:t>
      </w:r>
      <w:bookmarkEnd w:id="924"/>
      <w:bookmarkEnd w:id="925"/>
      <w:bookmarkEnd w:id="926"/>
    </w:p>
    <w:p w14:paraId="45C4DAB6">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7.1 道路通行权和场外设施</w:t>
      </w:r>
    </w:p>
    <w:p w14:paraId="3E95BCE9">
      <w:pPr>
        <w:adjustRightInd w:val="0"/>
        <w:snapToGrid w:val="0"/>
        <w:spacing w:line="36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rPr>
        <w:t>7.1.1 道路通行权和场外设施的约定：</w:t>
      </w:r>
      <w:r>
        <w:rPr>
          <w:rFonts w:hint="eastAsia" w:ascii="宋体" w:hAnsi="宋体" w:cs="宋体"/>
          <w:color w:val="auto"/>
          <w:sz w:val="24"/>
          <w:highlight w:val="none"/>
          <w:u w:val="single"/>
        </w:rPr>
        <w:t>发包人为承包人施工车辆办理进入施工区域的通行备案；除备案车辆外，承包人不得带领其他车辆进入发包人工程设施范围。</w:t>
      </w:r>
    </w:p>
    <w:p w14:paraId="221AE4A2">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7.4超大件和超重件的运输</w:t>
      </w:r>
    </w:p>
    <w:p w14:paraId="2255912C">
      <w:pPr>
        <w:widowControl/>
        <w:shd w:val="clear" w:color="auto" w:fill="FFFFFF"/>
        <w:spacing w:line="360" w:lineRule="auto"/>
        <w:ind w:firstLine="480" w:firstLineChars="200"/>
        <w:rPr>
          <w:rFonts w:hint="eastAsia" w:ascii="宋体" w:hAnsi="宋体" w:cs="宋体"/>
          <w:color w:val="auto"/>
          <w:sz w:val="24"/>
          <w:highlight w:val="none"/>
          <w:u w:val="single"/>
        </w:rPr>
      </w:pPr>
      <w:r>
        <w:rPr>
          <w:rFonts w:hint="eastAsia" w:ascii="宋体" w:hAnsi="宋体" w:cs="宋体"/>
          <w:color w:val="auto"/>
          <w:kern w:val="0"/>
          <w:sz w:val="24"/>
          <w:highlight w:val="none"/>
          <w:u w:val="single"/>
        </w:rPr>
        <w:t>对于超大件和超重件运输的约定：超大件和超重件运输时应符合相关法律和规定，报相关部门审批，所产生的相关费用由承包人承担。运输超大件或超重件所需的道路和桥梁临时加固改造费用和其他有关费用由承包人承担。运输过程中造成对道路、桥梁损坏的，由承包人承担赔偿责任。</w:t>
      </w:r>
    </w:p>
    <w:p w14:paraId="1DDC4F82">
      <w:pPr>
        <w:spacing w:line="360" w:lineRule="auto"/>
        <w:jc w:val="left"/>
        <w:outlineLvl w:val="2"/>
        <w:rPr>
          <w:rFonts w:hint="eastAsia" w:ascii="宋体" w:hAnsi="宋体" w:cs="宋体"/>
          <w:b/>
          <w:bCs/>
          <w:color w:val="auto"/>
          <w:sz w:val="28"/>
          <w:szCs w:val="28"/>
          <w:highlight w:val="none"/>
        </w:rPr>
      </w:pPr>
      <w:bookmarkStart w:id="927" w:name="_Toc96899355"/>
      <w:bookmarkStart w:id="928" w:name="_Toc27798"/>
      <w:bookmarkStart w:id="929" w:name="_Toc104740342"/>
      <w:r>
        <w:rPr>
          <w:rFonts w:hint="eastAsia" w:ascii="宋体" w:hAnsi="宋体" w:cs="宋体"/>
          <w:b/>
          <w:bCs/>
          <w:color w:val="auto"/>
          <w:sz w:val="28"/>
          <w:szCs w:val="28"/>
          <w:highlight w:val="none"/>
        </w:rPr>
        <w:t>8.测量放线</w:t>
      </w:r>
      <w:bookmarkEnd w:id="927"/>
      <w:bookmarkEnd w:id="928"/>
      <w:bookmarkEnd w:id="929"/>
    </w:p>
    <w:p w14:paraId="027413C7">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8.1 施工控制网</w:t>
      </w:r>
    </w:p>
    <w:p w14:paraId="12D259C9">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8.1.1 施工控制网的约定：</w:t>
      </w:r>
      <w:r>
        <w:rPr>
          <w:rFonts w:hint="eastAsia" w:ascii="宋体" w:hAnsi="宋体" w:cs="宋体"/>
          <w:color w:val="auto"/>
          <w:sz w:val="24"/>
          <w:highlight w:val="none"/>
          <w:u w:val="single"/>
        </w:rPr>
        <w:t>由承包人负责测设</w:t>
      </w:r>
      <w:r>
        <w:rPr>
          <w:rFonts w:hint="eastAsia" w:ascii="宋体" w:hAnsi="宋体" w:cs="宋体"/>
          <w:color w:val="auto"/>
          <w:sz w:val="24"/>
          <w:highlight w:val="none"/>
        </w:rPr>
        <w:t>。</w:t>
      </w:r>
    </w:p>
    <w:p w14:paraId="4F046558">
      <w:pPr>
        <w:spacing w:line="360" w:lineRule="auto"/>
        <w:jc w:val="left"/>
        <w:outlineLvl w:val="2"/>
        <w:rPr>
          <w:rFonts w:hint="eastAsia" w:ascii="宋体" w:hAnsi="宋体" w:cs="宋体"/>
          <w:b/>
          <w:bCs/>
          <w:color w:val="auto"/>
          <w:sz w:val="28"/>
          <w:szCs w:val="28"/>
          <w:highlight w:val="none"/>
        </w:rPr>
      </w:pPr>
      <w:bookmarkStart w:id="930" w:name="_Toc96899356"/>
      <w:bookmarkStart w:id="931" w:name="_Toc104740343"/>
      <w:bookmarkStart w:id="932" w:name="_Toc9893"/>
      <w:r>
        <w:rPr>
          <w:rFonts w:hint="eastAsia" w:ascii="宋体" w:hAnsi="宋体" w:cs="宋体"/>
          <w:b/>
          <w:bCs/>
          <w:color w:val="auto"/>
          <w:sz w:val="28"/>
          <w:szCs w:val="28"/>
          <w:highlight w:val="none"/>
        </w:rPr>
        <w:t>9.施工安全、治安保卫和环境保护</w:t>
      </w:r>
      <w:bookmarkEnd w:id="930"/>
      <w:bookmarkEnd w:id="931"/>
      <w:bookmarkEnd w:id="932"/>
    </w:p>
    <w:p w14:paraId="3C427122">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9.1 发包人的施工安全责任</w:t>
      </w:r>
    </w:p>
    <w:p w14:paraId="6F3B63A0">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9.1.4 发包人提供</w:t>
      </w:r>
      <w:r>
        <w:rPr>
          <w:rFonts w:hint="eastAsia" w:ascii="宋体" w:hAnsi="宋体" w:cs="宋体"/>
          <w:color w:val="auto"/>
          <w:sz w:val="24"/>
          <w:highlight w:val="none"/>
          <w:u w:val="single"/>
        </w:rPr>
        <w:t xml:space="preserve"> 实施方案中有关施工安全的 </w:t>
      </w:r>
      <w:r>
        <w:rPr>
          <w:rFonts w:hint="eastAsia" w:ascii="宋体" w:hAnsi="宋体" w:cs="宋体"/>
          <w:color w:val="auto"/>
          <w:sz w:val="24"/>
          <w:highlight w:val="none"/>
        </w:rPr>
        <w:t>资料，其余资料由承包人负责收集。</w:t>
      </w:r>
    </w:p>
    <w:p w14:paraId="42862BB4">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9.2 承包人的施工安全责任</w:t>
      </w:r>
    </w:p>
    <w:p w14:paraId="4938AD7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9.2.12 下列工程应编制专项施工方案：</w:t>
      </w:r>
      <w:r>
        <w:rPr>
          <w:rFonts w:hint="eastAsia" w:ascii="宋体" w:hAnsi="宋体" w:cs="宋体"/>
          <w:color w:val="auto"/>
          <w:sz w:val="24"/>
          <w:highlight w:val="none"/>
          <w:u w:val="single"/>
        </w:rPr>
        <w:t>承包人在施工前应按照《水利水电工程施工安全管理导则》SL721-2015附录A对达到一定规模的危险性较大的单项工程编制专项施工方案；对于超过一定规模的危险性较大的单项工程施工单位应组织专家对专项施工方案进行审查论证。</w:t>
      </w:r>
    </w:p>
    <w:p w14:paraId="1611F18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本款补充：</w:t>
      </w:r>
    </w:p>
    <w:p w14:paraId="2D924EB0">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9.2.14承包人在施工前应按照《水利水电工程施工安全管理导则》SL721-2015制定施工安全技术措施，杜绝群死、群伤的重特大事故发生，避免较大事故发生，减少一般事故发生，实现事故死亡率“零”的目标。</w:t>
      </w:r>
    </w:p>
    <w:p w14:paraId="78BF20E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承包人应当成立安全生产领导小组，设置安全生产管理机构，配备专职安全生产管理人员，并报发包人备案。</w:t>
      </w:r>
    </w:p>
    <w:p w14:paraId="3244585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9.2.15 隐患排查治理：应按规定建立健全事故隐患排查治理制度，开展隐患排查治理，定期公布隐患治理情况。</w:t>
      </w:r>
    </w:p>
    <w:p w14:paraId="60204E5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9.2.16 承包人应开展风险分级管控并制订风险管控方案，报监理人审定，发包人备案，具体要求：</w:t>
      </w:r>
    </w:p>
    <w:p w14:paraId="67B35DF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根据水利部、北京市等有关规定，辨识风险、评定风险等级、实施分级管控并制订相关措施。对重大危险源的安全状况进行定期检查、评估和监控，并做好记录。</w:t>
      </w:r>
    </w:p>
    <w:p w14:paraId="3FC6300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9.2.17合同履行过程中发生的承包人任何人身伤害、安全生产、交通安全事故、财产损失及行政责任等均由承包人自行承担解决。</w:t>
      </w:r>
    </w:p>
    <w:p w14:paraId="03F25E64">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9.7 文明工地</w:t>
      </w:r>
    </w:p>
    <w:p w14:paraId="45B4D666">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补充条款：各类工地要做到工地周边围档、物料堆放覆盖、土方开挖湿法作业、路面硬化、出入车辆清洗、渣土车辆密闭运输“六个百分之百”，对工地出口两侧各100米路面实行“三包”（包干净、包秩序、包美化），专人进行冲洗保洁，确保扬尘不出院、路面不见土、车辆不带泥、周边不起尘。按要求实现围挡、苫盖、喷淋、运输车辆清洗和路面硬化、安装颗粒物在线监测和视频监控系统。所需费用包含在《工程量清单》相应项目单价或总价中，发包人不另行支付。</w:t>
      </w:r>
      <w:bookmarkStart w:id="933" w:name="_Hlk92717362"/>
    </w:p>
    <w:p w14:paraId="56DCBF3A">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承包人应严格执行《北京市大气污染防治条例》、《建设工程扬尘污染防治规范》、《建设工程施工现场安全防护、场容卫生及消防保卫标准》（DB11/945--2012）、</w:t>
      </w:r>
      <w:r>
        <w:rPr>
          <w:rFonts w:hint="eastAsia" w:ascii="宋体" w:hAnsi="宋体" w:cs="宋体"/>
          <w:bCs/>
          <w:color w:val="auto"/>
          <w:sz w:val="24"/>
          <w:highlight w:val="none"/>
        </w:rPr>
        <w:t>《水利工程绿色施工规范》（DB11/</w:t>
      </w:r>
      <w:r>
        <w:rPr>
          <w:rFonts w:hint="eastAsia" w:ascii="宋体" w:hAnsi="宋体" w:cs="宋体"/>
          <w:color w:val="auto"/>
          <w:sz w:val="24"/>
          <w:highlight w:val="none"/>
        </w:rPr>
        <w:t xml:space="preserve">T </w:t>
      </w:r>
      <w:r>
        <w:rPr>
          <w:rFonts w:hint="eastAsia" w:ascii="宋体" w:hAnsi="宋体" w:cs="宋体"/>
          <w:bCs/>
          <w:color w:val="auto"/>
          <w:sz w:val="24"/>
          <w:highlight w:val="none"/>
        </w:rPr>
        <w:t>1776--2020）</w:t>
      </w:r>
      <w:r>
        <w:rPr>
          <w:rFonts w:hint="eastAsia" w:ascii="宋体" w:hAnsi="宋体" w:cs="宋体"/>
          <w:color w:val="auto"/>
          <w:sz w:val="24"/>
          <w:szCs w:val="21"/>
          <w:highlight w:val="none"/>
        </w:rPr>
        <w:t>、</w:t>
      </w:r>
      <w:r>
        <w:rPr>
          <w:rFonts w:hint="eastAsia" w:ascii="宋体" w:hAnsi="宋体" w:cs="宋体"/>
          <w:bCs/>
          <w:color w:val="auto"/>
          <w:sz w:val="24"/>
          <w:highlight w:val="none"/>
        </w:rPr>
        <w:t>《北京市建筑垃圾处置管理规定》</w:t>
      </w:r>
      <w:r>
        <w:rPr>
          <w:rFonts w:hint="eastAsia" w:ascii="宋体" w:hAnsi="宋体" w:cs="宋体"/>
          <w:color w:val="auto"/>
          <w:sz w:val="24"/>
          <w:szCs w:val="21"/>
          <w:highlight w:val="none"/>
        </w:rPr>
        <w:t>等有关标准、规范和文件的规定，做好绿色施工措施；满足文明施工相关规范要求，妥善解决施工过程中的扰民及民扰问题。</w:t>
      </w:r>
      <w:bookmarkEnd w:id="933"/>
    </w:p>
    <w:p w14:paraId="0C867EC0">
      <w:pPr>
        <w:spacing w:line="360" w:lineRule="auto"/>
        <w:jc w:val="left"/>
        <w:outlineLvl w:val="2"/>
        <w:rPr>
          <w:rFonts w:hint="eastAsia" w:ascii="宋体" w:hAnsi="宋体" w:cs="宋体"/>
          <w:b/>
          <w:bCs/>
          <w:color w:val="auto"/>
          <w:sz w:val="28"/>
          <w:szCs w:val="28"/>
          <w:highlight w:val="none"/>
        </w:rPr>
      </w:pPr>
      <w:bookmarkStart w:id="934" w:name="_Toc104740344"/>
      <w:bookmarkStart w:id="935" w:name="_Toc96899357"/>
      <w:bookmarkStart w:id="936" w:name="_Toc30792"/>
      <w:r>
        <w:rPr>
          <w:rFonts w:hint="eastAsia" w:ascii="宋体" w:hAnsi="宋体" w:cs="宋体"/>
          <w:b/>
          <w:bCs/>
          <w:color w:val="auto"/>
          <w:sz w:val="28"/>
          <w:szCs w:val="28"/>
          <w:highlight w:val="none"/>
        </w:rPr>
        <w:t>11.开工和竣工（完工）</w:t>
      </w:r>
      <w:bookmarkEnd w:id="934"/>
      <w:bookmarkEnd w:id="935"/>
      <w:bookmarkEnd w:id="936"/>
    </w:p>
    <w:p w14:paraId="4A3628D6">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11.4 异常恶劣的气候条件 </w:t>
      </w:r>
    </w:p>
    <w:p w14:paraId="29C7BDB6">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11.4.3 本合同工程界定异常恶劣气候条件的范围为： </w:t>
      </w:r>
    </w:p>
    <w:p w14:paraId="41BC054A">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（1）日降雨量大于</w:t>
      </w:r>
      <w:r>
        <w:rPr>
          <w:rFonts w:hint="eastAsia" w:ascii="宋体" w:hAnsi="宋体" w:cs="宋体"/>
          <w:color w:val="auto"/>
          <w:sz w:val="24"/>
          <w:highlight w:val="none"/>
          <w:u w:val="single"/>
        </w:rPr>
        <w:t xml:space="preserve"> 50 </w:t>
      </w:r>
      <w:r>
        <w:rPr>
          <w:rFonts w:hint="eastAsia" w:ascii="宋体" w:hAnsi="宋体" w:cs="宋体"/>
          <w:color w:val="auto"/>
          <w:sz w:val="24"/>
          <w:highlight w:val="none"/>
        </w:rPr>
        <w:t>mm的雨日连续</w:t>
      </w:r>
      <w:r>
        <w:rPr>
          <w:rFonts w:hint="eastAsia" w:ascii="宋体" w:hAnsi="宋体" w:cs="宋体"/>
          <w:color w:val="auto"/>
          <w:sz w:val="24"/>
          <w:highlight w:val="none"/>
          <w:u w:val="single"/>
        </w:rPr>
        <w:t xml:space="preserve"> 3 </w:t>
      </w:r>
      <w:r>
        <w:rPr>
          <w:rFonts w:hint="eastAsia" w:ascii="宋体" w:hAnsi="宋体" w:cs="宋体"/>
          <w:color w:val="auto"/>
          <w:sz w:val="24"/>
          <w:highlight w:val="none"/>
        </w:rPr>
        <w:t>天以上；</w:t>
      </w:r>
    </w:p>
    <w:p w14:paraId="112F663E">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（2）风速大于</w:t>
      </w:r>
      <w:r>
        <w:rPr>
          <w:rFonts w:hint="eastAsia" w:ascii="宋体" w:hAnsi="宋体" w:cs="宋体"/>
          <w:color w:val="auto"/>
          <w:sz w:val="24"/>
          <w:highlight w:val="none"/>
          <w:u w:val="single"/>
        </w:rPr>
        <w:t xml:space="preserve"> 17.2 </w:t>
      </w:r>
      <w:r>
        <w:rPr>
          <w:rFonts w:hint="eastAsia" w:ascii="宋体" w:hAnsi="宋体" w:cs="宋体"/>
          <w:color w:val="auto"/>
          <w:sz w:val="24"/>
          <w:highlight w:val="none"/>
        </w:rPr>
        <w:t>m/s的</w:t>
      </w:r>
      <w:r>
        <w:rPr>
          <w:rFonts w:hint="eastAsia" w:ascii="宋体" w:hAnsi="宋体" w:cs="宋体"/>
          <w:color w:val="auto"/>
          <w:sz w:val="24"/>
          <w:highlight w:val="none"/>
          <w:u w:val="single"/>
        </w:rPr>
        <w:t xml:space="preserve"> 8 </w:t>
      </w:r>
      <w:r>
        <w:rPr>
          <w:rFonts w:hint="eastAsia" w:ascii="宋体" w:hAnsi="宋体" w:cs="宋体"/>
          <w:color w:val="auto"/>
          <w:sz w:val="24"/>
          <w:highlight w:val="none"/>
        </w:rPr>
        <w:t>级以上台风灾害；</w:t>
      </w:r>
    </w:p>
    <w:p w14:paraId="279B7592">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（3）日气温超过</w:t>
      </w:r>
      <w:r>
        <w:rPr>
          <w:rFonts w:hint="eastAsia" w:ascii="宋体" w:hAnsi="宋体" w:cs="宋体"/>
          <w:color w:val="auto"/>
          <w:sz w:val="24"/>
          <w:highlight w:val="none"/>
          <w:u w:val="single"/>
        </w:rPr>
        <w:t xml:space="preserve"> 38 </w:t>
      </w:r>
      <w:r>
        <w:rPr>
          <w:rFonts w:hint="eastAsia" w:ascii="宋体" w:hAnsi="宋体" w:cs="宋体"/>
          <w:color w:val="auto"/>
          <w:sz w:val="24"/>
          <w:highlight w:val="none"/>
        </w:rPr>
        <w:t>℃的高温连续</w:t>
      </w:r>
      <w:r>
        <w:rPr>
          <w:rFonts w:hint="eastAsia" w:ascii="宋体" w:hAnsi="宋体" w:cs="宋体"/>
          <w:color w:val="auto"/>
          <w:sz w:val="24"/>
          <w:highlight w:val="none"/>
          <w:u w:val="single"/>
        </w:rPr>
        <w:t xml:space="preserve"> 3 </w:t>
      </w:r>
      <w:r>
        <w:rPr>
          <w:rFonts w:hint="eastAsia" w:ascii="宋体" w:hAnsi="宋体" w:cs="宋体"/>
          <w:color w:val="auto"/>
          <w:sz w:val="24"/>
          <w:highlight w:val="none"/>
        </w:rPr>
        <w:t>天以上；</w:t>
      </w:r>
    </w:p>
    <w:p w14:paraId="309B2D5E">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（4）日气温低于</w:t>
      </w:r>
      <w:r>
        <w:rPr>
          <w:rFonts w:hint="eastAsia" w:ascii="宋体" w:hAnsi="宋体" w:cs="宋体"/>
          <w:color w:val="auto"/>
          <w:sz w:val="24"/>
          <w:highlight w:val="none"/>
          <w:u w:val="single"/>
        </w:rPr>
        <w:t xml:space="preserve"> -20 </w:t>
      </w:r>
      <w:r>
        <w:rPr>
          <w:rFonts w:hint="eastAsia" w:ascii="宋体" w:hAnsi="宋体" w:cs="宋体"/>
          <w:color w:val="auto"/>
          <w:sz w:val="24"/>
          <w:highlight w:val="none"/>
        </w:rPr>
        <w:t>℃的严寒连续</w:t>
      </w:r>
      <w:r>
        <w:rPr>
          <w:rFonts w:hint="eastAsia" w:ascii="宋体" w:hAnsi="宋体" w:cs="宋体"/>
          <w:color w:val="auto"/>
          <w:sz w:val="24"/>
          <w:highlight w:val="none"/>
          <w:u w:val="single"/>
        </w:rPr>
        <w:t xml:space="preserve"> 3 </w:t>
      </w:r>
      <w:r>
        <w:rPr>
          <w:rFonts w:hint="eastAsia" w:ascii="宋体" w:hAnsi="宋体" w:cs="宋体"/>
          <w:color w:val="auto"/>
          <w:sz w:val="24"/>
          <w:highlight w:val="none"/>
        </w:rPr>
        <w:t>天以上；</w:t>
      </w:r>
    </w:p>
    <w:p w14:paraId="042B373F">
      <w:pPr>
        <w:adjustRightInd w:val="0"/>
        <w:snapToGrid w:val="0"/>
        <w:spacing w:line="36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rPr>
        <w:t>（5）造成工程损坏的冰雹和大雪灾害：</w:t>
      </w:r>
      <w:r>
        <w:rPr>
          <w:rFonts w:hint="eastAsia" w:ascii="宋体" w:hAnsi="宋体" w:cs="宋体"/>
          <w:color w:val="auto"/>
          <w:sz w:val="24"/>
          <w:highlight w:val="none"/>
          <w:u w:val="single"/>
        </w:rPr>
        <w:t xml:space="preserve"> 30年一遇 </w:t>
      </w:r>
      <w:r>
        <w:rPr>
          <w:rFonts w:hint="eastAsia" w:ascii="宋体" w:hAnsi="宋体" w:cs="宋体"/>
          <w:color w:val="auto"/>
          <w:sz w:val="24"/>
          <w:highlight w:val="none"/>
        </w:rPr>
        <w:t>；</w:t>
      </w:r>
    </w:p>
    <w:p w14:paraId="3D0C21EF">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11.5 承包人工期延误 </w:t>
      </w:r>
    </w:p>
    <w:p w14:paraId="7279C494">
      <w:pPr>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color w:val="auto"/>
          <w:sz w:val="24"/>
          <w:highlight w:val="none"/>
        </w:rPr>
        <w:t>逾期完工违约金计算方法：</w:t>
      </w:r>
      <w:r>
        <w:rPr>
          <w:rFonts w:hint="eastAsia" w:ascii="宋体" w:hAnsi="宋体" w:cs="宋体"/>
          <w:bCs/>
          <w:color w:val="auto"/>
          <w:sz w:val="24"/>
          <w:highlight w:val="none"/>
          <w:u w:val="single"/>
        </w:rPr>
        <w:t xml:space="preserve"> 每延误工期一天，支付违约金为签约合同价的0.2% </w:t>
      </w:r>
      <w:r>
        <w:rPr>
          <w:rFonts w:hint="eastAsia" w:ascii="宋体" w:hAnsi="宋体" w:cs="宋体"/>
          <w:bCs/>
          <w:color w:val="auto"/>
          <w:sz w:val="24"/>
          <w:highlight w:val="none"/>
        </w:rPr>
        <w:t>。</w:t>
      </w:r>
    </w:p>
    <w:p w14:paraId="246B294E">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（2）逾期完工违约金的总限额为</w:t>
      </w:r>
      <w:r>
        <w:rPr>
          <w:rFonts w:hint="eastAsia" w:ascii="宋体" w:hAnsi="宋体" w:cs="宋体"/>
          <w:color w:val="auto"/>
          <w:sz w:val="24"/>
          <w:highlight w:val="none"/>
          <w:u w:val="single"/>
        </w:rPr>
        <w:t xml:space="preserve"> 签约合同价的2% 。</w:t>
      </w:r>
    </w:p>
    <w:p w14:paraId="6D05E1BA">
      <w:pPr>
        <w:spacing w:line="360" w:lineRule="auto"/>
        <w:jc w:val="left"/>
        <w:rPr>
          <w:rFonts w:hint="eastAsia" w:ascii="宋体" w:hAnsi="宋体" w:cs="宋体"/>
          <w:b/>
          <w:bCs/>
          <w:color w:val="auto"/>
          <w:sz w:val="28"/>
          <w:szCs w:val="28"/>
          <w:highlight w:val="none"/>
        </w:rPr>
      </w:pPr>
      <w:bookmarkStart w:id="937" w:name="_Toc493159557"/>
      <w:bookmarkStart w:id="938" w:name="_Toc492904583"/>
      <w:bookmarkStart w:id="939" w:name="_Toc492380782"/>
      <w:r>
        <w:rPr>
          <w:rFonts w:hint="eastAsia" w:ascii="宋体" w:hAnsi="宋体" w:cs="宋体"/>
          <w:b/>
          <w:bCs/>
          <w:color w:val="auto"/>
          <w:sz w:val="28"/>
          <w:szCs w:val="28"/>
          <w:highlight w:val="none"/>
        </w:rPr>
        <w:t>11.6 工期提前</w:t>
      </w:r>
      <w:bookmarkEnd w:id="937"/>
      <w:bookmarkEnd w:id="938"/>
      <w:bookmarkEnd w:id="939"/>
    </w:p>
    <w:p w14:paraId="11D3ACD1">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工期提前的奖金约定：</w:t>
      </w:r>
      <w:r>
        <w:rPr>
          <w:rFonts w:hint="eastAsia" w:ascii="宋体" w:hAnsi="宋体" w:cs="宋体"/>
          <w:color w:val="auto"/>
          <w:sz w:val="24"/>
          <w:szCs w:val="21"/>
          <w:highlight w:val="none"/>
          <w:u w:val="single"/>
        </w:rPr>
        <w:t xml:space="preserve">     无      </w:t>
      </w:r>
      <w:r>
        <w:rPr>
          <w:rFonts w:hint="eastAsia" w:ascii="宋体" w:hAnsi="宋体" w:cs="宋体"/>
          <w:color w:val="auto"/>
          <w:sz w:val="24"/>
          <w:szCs w:val="21"/>
          <w:highlight w:val="none"/>
        </w:rPr>
        <w:t>。</w:t>
      </w:r>
    </w:p>
    <w:p w14:paraId="628489F2">
      <w:pPr>
        <w:spacing w:line="360" w:lineRule="auto"/>
        <w:jc w:val="left"/>
        <w:outlineLvl w:val="2"/>
        <w:rPr>
          <w:rFonts w:hint="eastAsia" w:ascii="宋体" w:hAnsi="宋体" w:cs="宋体"/>
          <w:b/>
          <w:bCs/>
          <w:color w:val="auto"/>
          <w:sz w:val="28"/>
          <w:szCs w:val="28"/>
          <w:highlight w:val="none"/>
        </w:rPr>
      </w:pPr>
      <w:bookmarkStart w:id="940" w:name="_Toc104740345"/>
      <w:bookmarkStart w:id="941" w:name="_Toc96899358"/>
      <w:bookmarkStart w:id="942" w:name="_Toc9373"/>
      <w:r>
        <w:rPr>
          <w:rFonts w:hint="eastAsia" w:ascii="宋体" w:hAnsi="宋体" w:cs="宋体"/>
          <w:b/>
          <w:bCs/>
          <w:color w:val="auto"/>
          <w:sz w:val="28"/>
          <w:szCs w:val="28"/>
          <w:highlight w:val="none"/>
        </w:rPr>
        <w:t>12.暂停施工</w:t>
      </w:r>
      <w:bookmarkEnd w:id="940"/>
      <w:bookmarkEnd w:id="941"/>
      <w:bookmarkEnd w:id="942"/>
    </w:p>
    <w:p w14:paraId="1CC8818D">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12.1 承包人暂停施工的责任</w:t>
      </w:r>
    </w:p>
    <w:p w14:paraId="104609D9">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（5）承包人承担暂停施工责任的其他情形：</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u w:val="single"/>
        </w:rPr>
        <w:t xml:space="preserve">现场气候条件引起的必要停工（第11.4款规定的异常恶劣气候条件除外） </w:t>
      </w:r>
      <w:r>
        <w:rPr>
          <w:rFonts w:hint="eastAsia" w:ascii="宋体" w:hAnsi="宋体" w:cs="宋体"/>
          <w:color w:val="auto"/>
          <w:sz w:val="24"/>
          <w:highlight w:val="none"/>
        </w:rPr>
        <w:t>。</w:t>
      </w:r>
    </w:p>
    <w:p w14:paraId="2B0C3064">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12.2 发包人暂停施工的责任</w:t>
      </w:r>
    </w:p>
    <w:p w14:paraId="1FB539DF">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（3）发包人承担暂停施工责任的其他情形：</w:t>
      </w:r>
      <w:r>
        <w:rPr>
          <w:rFonts w:hint="eastAsia" w:ascii="宋体" w:hAnsi="宋体" w:cs="宋体"/>
          <w:color w:val="auto"/>
          <w:sz w:val="24"/>
          <w:highlight w:val="none"/>
          <w:u w:val="single"/>
        </w:rPr>
        <w:t>因空气重污染、重要节假日、会议等的停工</w:t>
      </w:r>
      <w:r>
        <w:rPr>
          <w:rFonts w:hint="eastAsia" w:ascii="宋体" w:hAnsi="宋体" w:cs="宋体"/>
          <w:color w:val="auto"/>
          <w:sz w:val="24"/>
          <w:highlight w:val="none"/>
        </w:rPr>
        <w:t>。</w:t>
      </w:r>
    </w:p>
    <w:p w14:paraId="5CCFDDA4">
      <w:pPr>
        <w:spacing w:line="360" w:lineRule="auto"/>
        <w:jc w:val="left"/>
        <w:outlineLvl w:val="2"/>
        <w:rPr>
          <w:rFonts w:hint="eastAsia" w:ascii="宋体" w:hAnsi="宋体" w:cs="宋体"/>
          <w:b/>
          <w:bCs/>
          <w:color w:val="auto"/>
          <w:sz w:val="28"/>
          <w:szCs w:val="28"/>
          <w:highlight w:val="none"/>
        </w:rPr>
      </w:pPr>
      <w:bookmarkStart w:id="943" w:name="_Toc6611"/>
      <w:bookmarkStart w:id="944" w:name="_Toc104740346"/>
      <w:bookmarkStart w:id="945" w:name="_Toc96899359"/>
      <w:r>
        <w:rPr>
          <w:rFonts w:hint="eastAsia" w:ascii="宋体" w:hAnsi="宋体" w:cs="宋体"/>
          <w:b/>
          <w:bCs/>
          <w:color w:val="auto"/>
          <w:sz w:val="28"/>
          <w:szCs w:val="28"/>
          <w:highlight w:val="none"/>
        </w:rPr>
        <w:t>13.工程质量</w:t>
      </w:r>
      <w:bookmarkEnd w:id="943"/>
      <w:bookmarkEnd w:id="944"/>
      <w:bookmarkEnd w:id="945"/>
    </w:p>
    <w:p w14:paraId="7AB0334B">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13.7 质量评定</w:t>
      </w:r>
    </w:p>
    <w:p w14:paraId="29B17E29">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13.7.4 重要隐蔽单元工程和关键部位单元工程质量评定的约定：</w:t>
      </w:r>
      <w:r>
        <w:rPr>
          <w:rFonts w:hint="eastAsia" w:ascii="宋体" w:hAnsi="宋体" w:cs="宋体"/>
          <w:color w:val="auto"/>
          <w:sz w:val="24"/>
          <w:highlight w:val="none"/>
          <w:u w:val="single"/>
        </w:rPr>
        <w:t>执行《水利水电工程施工质量检验与评定规程》（SL176-2007）等相关规范</w:t>
      </w:r>
      <w:r>
        <w:rPr>
          <w:rFonts w:hint="eastAsia" w:ascii="宋体" w:hAnsi="宋体" w:cs="宋体"/>
          <w:color w:val="auto"/>
          <w:sz w:val="24"/>
          <w:highlight w:val="none"/>
        </w:rPr>
        <w:t>。</w:t>
      </w:r>
    </w:p>
    <w:p w14:paraId="7C2C7003">
      <w:pPr>
        <w:adjustRightInd w:val="0"/>
        <w:snapToGrid w:val="0"/>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sz w:val="24"/>
          <w:highlight w:val="none"/>
        </w:rPr>
        <w:t>13.7.7 工程合格标准为：</w:t>
      </w:r>
      <w:r>
        <w:rPr>
          <w:rFonts w:hint="eastAsia" w:ascii="宋体" w:hAnsi="宋体" w:cs="宋体"/>
          <w:color w:val="auto"/>
          <w:sz w:val="24"/>
          <w:highlight w:val="none"/>
          <w:u w:val="single"/>
        </w:rPr>
        <w:t>达到《水利水电工程施工质量检验与评定规程》（SL176-2007）合格标准</w:t>
      </w:r>
      <w:r>
        <w:rPr>
          <w:rFonts w:hint="eastAsia" w:ascii="宋体" w:hAnsi="宋体" w:cs="宋体"/>
          <w:color w:val="auto"/>
          <w:sz w:val="24"/>
          <w:highlight w:val="none"/>
        </w:rPr>
        <w:t>，优良标准为：</w:t>
      </w:r>
      <w:r>
        <w:rPr>
          <w:rFonts w:hint="eastAsia" w:ascii="宋体" w:hAnsi="宋体" w:cs="宋体"/>
          <w:color w:val="auto"/>
          <w:sz w:val="24"/>
          <w:highlight w:val="none"/>
          <w:u w:val="single"/>
        </w:rPr>
        <w:t>达到《水利水电工程施工质量检验与评定规程》（SL176-2007）优良标准</w:t>
      </w:r>
      <w:r>
        <w:rPr>
          <w:rFonts w:hint="eastAsia" w:ascii="宋体" w:hAnsi="宋体" w:cs="宋体"/>
          <w:color w:val="auto"/>
          <w:sz w:val="24"/>
          <w:highlight w:val="none"/>
        </w:rPr>
        <w:t>。达到优良的奖金为：</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w:t>
      </w:r>
    </w:p>
    <w:p w14:paraId="0B0A1828">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13.8 质量事故处理</w:t>
      </w:r>
    </w:p>
    <w:p w14:paraId="0E790D75">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13.8.4 本项不作另行约定。</w:t>
      </w:r>
    </w:p>
    <w:p w14:paraId="145C8255">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本款后补充：</w:t>
      </w:r>
    </w:p>
    <w:p w14:paraId="64A6C833">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13.8.5 因承包人原因造成地下管线、地上构筑物发生损坏的，由承包人承担相应责任和费用。</w:t>
      </w:r>
    </w:p>
    <w:p w14:paraId="07483BEA">
      <w:pPr>
        <w:spacing w:line="360" w:lineRule="auto"/>
        <w:jc w:val="left"/>
        <w:outlineLvl w:val="2"/>
        <w:rPr>
          <w:rFonts w:hint="eastAsia" w:ascii="宋体" w:hAnsi="宋体" w:cs="宋体"/>
          <w:b/>
          <w:bCs/>
          <w:color w:val="auto"/>
          <w:sz w:val="28"/>
          <w:szCs w:val="28"/>
          <w:highlight w:val="none"/>
        </w:rPr>
      </w:pPr>
      <w:bookmarkStart w:id="946" w:name="_Toc104740347"/>
      <w:bookmarkStart w:id="947" w:name="_Toc96899360"/>
      <w:bookmarkStart w:id="948" w:name="_Toc29125"/>
      <w:r>
        <w:rPr>
          <w:rFonts w:hint="eastAsia" w:ascii="宋体" w:hAnsi="宋体" w:cs="宋体"/>
          <w:b/>
          <w:bCs/>
          <w:color w:val="auto"/>
          <w:sz w:val="28"/>
          <w:szCs w:val="28"/>
          <w:highlight w:val="none"/>
        </w:rPr>
        <w:t>14.试验和检验</w:t>
      </w:r>
      <w:bookmarkEnd w:id="946"/>
      <w:bookmarkEnd w:id="947"/>
      <w:bookmarkEnd w:id="948"/>
    </w:p>
    <w:p w14:paraId="791C47CC">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14.1 材料、工程设备和工程的试验和检验</w:t>
      </w:r>
    </w:p>
    <w:p w14:paraId="3567EE36">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14.1.5 金属结构设备进场后的交货检查和验收中，承包人负责</w:t>
      </w:r>
      <w:r>
        <w:rPr>
          <w:rFonts w:hint="eastAsia" w:ascii="宋体" w:hAnsi="宋体" w:cs="宋体"/>
          <w:color w:val="auto"/>
          <w:sz w:val="24"/>
          <w:highlight w:val="none"/>
          <w:u w:val="single"/>
        </w:rPr>
        <w:t xml:space="preserve"> 组织发包人进行交货检查和验收 </w:t>
      </w:r>
      <w:r>
        <w:rPr>
          <w:rFonts w:hint="eastAsia" w:ascii="宋体" w:hAnsi="宋体" w:cs="宋体"/>
          <w:color w:val="auto"/>
          <w:sz w:val="24"/>
          <w:highlight w:val="none"/>
        </w:rPr>
        <w:t>。</w:t>
      </w:r>
    </w:p>
    <w:p w14:paraId="7BF8C8F0">
      <w:pPr>
        <w:adjustRightInd w:val="0"/>
        <w:snapToGrid w:val="0"/>
        <w:spacing w:line="36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rPr>
        <w:t>14.1.6 本工程实行见证取样的试块、试件及有关材料：</w:t>
      </w:r>
      <w:r>
        <w:rPr>
          <w:rFonts w:hint="eastAsia" w:ascii="宋体" w:hAnsi="宋体" w:cs="宋体"/>
          <w:color w:val="auto"/>
          <w:sz w:val="24"/>
          <w:szCs w:val="21"/>
          <w:highlight w:val="none"/>
          <w:u w:val="single"/>
        </w:rPr>
        <w:t xml:space="preserve">见证取样和送检工作应按照《北京市水利工程见证取样和送检管理规定》执行 </w:t>
      </w:r>
      <w:r>
        <w:rPr>
          <w:rFonts w:hint="eastAsia" w:ascii="宋体" w:hAnsi="宋体" w:cs="宋体"/>
          <w:color w:val="auto"/>
          <w:sz w:val="24"/>
          <w:szCs w:val="21"/>
          <w:highlight w:val="none"/>
        </w:rPr>
        <w:t>。</w:t>
      </w:r>
    </w:p>
    <w:p w14:paraId="740D89C3">
      <w:pPr>
        <w:spacing w:line="360" w:lineRule="auto"/>
        <w:jc w:val="left"/>
        <w:outlineLvl w:val="2"/>
        <w:rPr>
          <w:rFonts w:hint="eastAsia" w:ascii="宋体" w:hAnsi="宋体" w:cs="宋体"/>
          <w:b/>
          <w:bCs/>
          <w:color w:val="auto"/>
          <w:sz w:val="28"/>
          <w:szCs w:val="28"/>
          <w:highlight w:val="none"/>
        </w:rPr>
      </w:pPr>
      <w:bookmarkStart w:id="949" w:name="_Toc96899361"/>
      <w:bookmarkStart w:id="950" w:name="_Toc4257"/>
      <w:bookmarkStart w:id="951" w:name="_Toc104740348"/>
      <w:r>
        <w:rPr>
          <w:rFonts w:hint="eastAsia" w:ascii="宋体" w:hAnsi="宋体" w:cs="宋体"/>
          <w:b/>
          <w:bCs/>
          <w:color w:val="auto"/>
          <w:sz w:val="28"/>
          <w:szCs w:val="28"/>
          <w:highlight w:val="none"/>
        </w:rPr>
        <w:t>15.变更</w:t>
      </w:r>
      <w:bookmarkEnd w:id="949"/>
      <w:bookmarkEnd w:id="950"/>
      <w:bookmarkEnd w:id="951"/>
    </w:p>
    <w:p w14:paraId="5536C9D7">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15.1 变更的范围和内容</w:t>
      </w:r>
    </w:p>
    <w:p w14:paraId="656ECC90">
      <w:pPr>
        <w:adjustRightInd w:val="0"/>
        <w:snapToGrid w:val="0"/>
        <w:spacing w:line="360" w:lineRule="auto"/>
        <w:ind w:firstLine="480" w:firstLineChars="200"/>
        <w:rPr>
          <w:rFonts w:hint="eastAsia" w:ascii="宋体" w:hAnsi="宋体" w:cs="宋体"/>
          <w:color w:val="auto"/>
          <w:highlight w:val="none"/>
        </w:rPr>
      </w:pPr>
      <w:r>
        <w:rPr>
          <w:rFonts w:hint="eastAsia" w:ascii="宋体" w:hAnsi="宋体" w:cs="宋体"/>
          <w:color w:val="auto"/>
          <w:sz w:val="24"/>
          <w:highlight w:val="none"/>
        </w:rPr>
        <w:t>增加或减少合同中关键项目（全部项目）的工程量，偏差超过±15%的进行单价调整。单价调整方式：</w:t>
      </w:r>
      <w:r>
        <w:rPr>
          <w:rFonts w:hint="eastAsia" w:ascii="宋体" w:hAnsi="宋体" w:cs="宋体"/>
          <w:color w:val="auto"/>
          <w:sz w:val="24"/>
          <w:highlight w:val="none"/>
          <w:u w:val="single"/>
        </w:rPr>
        <w:t xml:space="preserve">由监理人审查提出意见，发包人委托第三方造价机构审定 </w:t>
      </w:r>
      <w:r>
        <w:rPr>
          <w:rFonts w:hint="eastAsia" w:ascii="宋体" w:hAnsi="宋体" w:cs="宋体"/>
          <w:color w:val="auto"/>
          <w:sz w:val="24"/>
          <w:highlight w:val="none"/>
        </w:rPr>
        <w:t>。</w:t>
      </w:r>
    </w:p>
    <w:p w14:paraId="69A3FD16">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本款后补充：</w:t>
      </w:r>
    </w:p>
    <w:p w14:paraId="33A4FE56">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本项目在实施过程中可能因规划调整发生重大设计变更，承包人应按照本合同条款的规定积极配合发包人完成变更手续，并承担相应的风险，不得因此索赔或终止合同。</w:t>
      </w:r>
    </w:p>
    <w:p w14:paraId="70D562A4">
      <w:pPr>
        <w:spacing w:line="360" w:lineRule="auto"/>
        <w:jc w:val="left"/>
        <w:rPr>
          <w:rFonts w:hint="eastAsia" w:ascii="宋体" w:hAnsi="宋体" w:cs="宋体"/>
          <w:b/>
          <w:bCs/>
          <w:color w:val="auto"/>
          <w:sz w:val="28"/>
          <w:szCs w:val="28"/>
          <w:highlight w:val="none"/>
        </w:rPr>
      </w:pPr>
      <w:bookmarkStart w:id="952" w:name="_Toc492380793"/>
      <w:bookmarkStart w:id="953" w:name="_Toc480796095"/>
      <w:bookmarkStart w:id="954" w:name="_Toc492904594"/>
      <w:bookmarkStart w:id="955" w:name="_Toc493159568"/>
      <w:bookmarkStart w:id="956" w:name="_Toc476582125"/>
      <w:bookmarkStart w:id="957" w:name="_Toc480795836"/>
      <w:r>
        <w:rPr>
          <w:rFonts w:hint="eastAsia" w:ascii="宋体" w:hAnsi="宋体" w:cs="宋体"/>
          <w:b/>
          <w:bCs/>
          <w:color w:val="auto"/>
          <w:sz w:val="28"/>
          <w:szCs w:val="28"/>
          <w:highlight w:val="none"/>
        </w:rPr>
        <w:t>15.5 承包人的合理化建议</w:t>
      </w:r>
      <w:bookmarkEnd w:id="952"/>
      <w:bookmarkEnd w:id="953"/>
      <w:bookmarkEnd w:id="954"/>
      <w:bookmarkEnd w:id="955"/>
      <w:bookmarkEnd w:id="956"/>
      <w:bookmarkEnd w:id="957"/>
    </w:p>
    <w:p w14:paraId="22528CD8">
      <w:pPr>
        <w:adjustRightInd w:val="0"/>
        <w:snapToGrid w:val="0"/>
        <w:spacing w:line="360" w:lineRule="auto"/>
        <w:ind w:firstLine="480" w:firstLineChars="200"/>
        <w:rPr>
          <w:rFonts w:hint="eastAsia" w:ascii="宋体" w:hAnsi="宋体" w:cs="宋体"/>
          <w:color w:val="auto"/>
          <w:sz w:val="24"/>
          <w:szCs w:val="21"/>
          <w:highlight w:val="none"/>
        </w:rPr>
      </w:pPr>
      <w:bookmarkStart w:id="958" w:name="_Toc476582126"/>
      <w:bookmarkStart w:id="959" w:name="_Toc480795837"/>
      <w:bookmarkStart w:id="960" w:name="_Toc480796096"/>
      <w:r>
        <w:rPr>
          <w:rFonts w:hint="eastAsia" w:ascii="宋体" w:hAnsi="宋体" w:cs="宋体"/>
          <w:color w:val="auto"/>
          <w:sz w:val="24"/>
          <w:szCs w:val="21"/>
          <w:highlight w:val="none"/>
        </w:rPr>
        <w:t>15.5.2 承包人实现合理化建议的奖励金额为：</w:t>
      </w:r>
      <w:r>
        <w:rPr>
          <w:rFonts w:hint="eastAsia" w:ascii="宋体" w:hAnsi="宋体" w:cs="宋体"/>
          <w:color w:val="auto"/>
          <w:sz w:val="24"/>
          <w:szCs w:val="21"/>
          <w:highlight w:val="none"/>
          <w:u w:val="single"/>
        </w:rPr>
        <w:t xml:space="preserve"> 无 </w:t>
      </w:r>
      <w:r>
        <w:rPr>
          <w:rFonts w:hint="eastAsia" w:ascii="宋体" w:hAnsi="宋体" w:cs="宋体"/>
          <w:color w:val="auto"/>
          <w:sz w:val="24"/>
          <w:szCs w:val="21"/>
          <w:highlight w:val="none"/>
        </w:rPr>
        <w:t>。</w:t>
      </w:r>
      <w:bookmarkEnd w:id="958"/>
      <w:bookmarkEnd w:id="959"/>
      <w:bookmarkEnd w:id="960"/>
    </w:p>
    <w:p w14:paraId="3BA5A26B">
      <w:pPr>
        <w:spacing w:line="360" w:lineRule="auto"/>
        <w:jc w:val="left"/>
        <w:rPr>
          <w:rFonts w:hint="eastAsia" w:ascii="宋体" w:hAnsi="宋体" w:cs="宋体"/>
          <w:b/>
          <w:bCs/>
          <w:color w:val="auto"/>
          <w:sz w:val="28"/>
          <w:szCs w:val="28"/>
          <w:highlight w:val="none"/>
        </w:rPr>
      </w:pPr>
      <w:bookmarkStart w:id="961" w:name="_Toc492904595"/>
      <w:bookmarkStart w:id="962" w:name="_Toc492380794"/>
      <w:bookmarkStart w:id="963" w:name="_Toc493159569"/>
      <w:r>
        <w:rPr>
          <w:rFonts w:hint="eastAsia" w:ascii="宋体" w:hAnsi="宋体" w:cs="宋体"/>
          <w:b/>
          <w:bCs/>
          <w:color w:val="auto"/>
          <w:sz w:val="28"/>
          <w:szCs w:val="28"/>
          <w:highlight w:val="none"/>
        </w:rPr>
        <w:t>15.8 暂估价</w:t>
      </w:r>
      <w:bookmarkEnd w:id="961"/>
      <w:bookmarkEnd w:id="962"/>
      <w:bookmarkEnd w:id="963"/>
    </w:p>
    <w:p w14:paraId="48B8E325">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15.8.1（1）暂估价项目：</w:t>
      </w:r>
      <w:r>
        <w:rPr>
          <w:rFonts w:hint="eastAsia" w:ascii="宋体" w:hAnsi="宋体" w:cs="宋体"/>
          <w:color w:val="auto"/>
          <w:sz w:val="24"/>
          <w:szCs w:val="21"/>
          <w:highlight w:val="none"/>
          <w:u w:val="single"/>
        </w:rPr>
        <w:t xml:space="preserve">  无   </w:t>
      </w:r>
      <w:r>
        <w:rPr>
          <w:rFonts w:hint="eastAsia" w:ascii="宋体" w:hAnsi="宋体" w:cs="宋体"/>
          <w:color w:val="auto"/>
          <w:sz w:val="24"/>
          <w:szCs w:val="21"/>
          <w:highlight w:val="none"/>
        </w:rPr>
        <w:t>。</w:t>
      </w:r>
    </w:p>
    <w:p w14:paraId="6250AE9E">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（2）发包人和承包人以招标方式选择暂估价项目承包人或分包人时，双方的权利义务关系：</w:t>
      </w:r>
      <w:r>
        <w:rPr>
          <w:rFonts w:hint="eastAsia" w:ascii="宋体" w:hAnsi="宋体" w:cs="宋体"/>
          <w:color w:val="auto"/>
          <w:sz w:val="24"/>
          <w:szCs w:val="21"/>
          <w:highlight w:val="none"/>
          <w:u w:val="single"/>
        </w:rPr>
        <w:t xml:space="preserve">无 </w:t>
      </w:r>
      <w:r>
        <w:rPr>
          <w:rFonts w:hint="eastAsia" w:ascii="宋体" w:hAnsi="宋体" w:cs="宋体"/>
          <w:color w:val="auto"/>
          <w:sz w:val="24"/>
          <w:szCs w:val="21"/>
          <w:highlight w:val="none"/>
        </w:rPr>
        <w:t>。</w:t>
      </w:r>
    </w:p>
    <w:p w14:paraId="3F740BAB">
      <w:pPr>
        <w:spacing w:line="360" w:lineRule="auto"/>
        <w:jc w:val="left"/>
        <w:outlineLvl w:val="2"/>
        <w:rPr>
          <w:rFonts w:hint="eastAsia" w:ascii="宋体" w:hAnsi="宋体" w:cs="宋体"/>
          <w:b/>
          <w:bCs/>
          <w:color w:val="auto"/>
          <w:sz w:val="28"/>
          <w:szCs w:val="28"/>
          <w:highlight w:val="none"/>
        </w:rPr>
      </w:pPr>
      <w:bookmarkStart w:id="964" w:name="_Toc6053"/>
      <w:bookmarkStart w:id="965" w:name="_Toc96899362"/>
      <w:bookmarkStart w:id="966" w:name="_Toc104740349"/>
      <w:r>
        <w:rPr>
          <w:rFonts w:hint="eastAsia" w:ascii="宋体" w:hAnsi="宋体" w:cs="宋体"/>
          <w:b/>
          <w:bCs/>
          <w:color w:val="auto"/>
          <w:sz w:val="28"/>
          <w:szCs w:val="28"/>
          <w:highlight w:val="none"/>
        </w:rPr>
        <w:t>16.价格调整</w:t>
      </w:r>
      <w:bookmarkEnd w:id="964"/>
      <w:bookmarkEnd w:id="965"/>
      <w:bookmarkEnd w:id="966"/>
    </w:p>
    <w:p w14:paraId="2292B24C">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16.1 物价波动引起的价格调整</w:t>
      </w:r>
    </w:p>
    <w:p w14:paraId="25128614">
      <w:pPr>
        <w:adjustRightInd w:val="0"/>
        <w:snapToGrid w:val="0"/>
        <w:spacing w:line="360" w:lineRule="auto"/>
        <w:ind w:firstLine="480" w:firstLineChars="200"/>
        <w:rPr>
          <w:rFonts w:hint="eastAsia" w:ascii="宋体" w:hAnsi="宋体" w:cs="宋体"/>
          <w:color w:val="auto"/>
          <w:sz w:val="24"/>
          <w:szCs w:val="21"/>
          <w:highlight w:val="none"/>
        </w:rPr>
      </w:pPr>
      <w:bookmarkStart w:id="967" w:name="_Toc491074041"/>
      <w:r>
        <w:rPr>
          <w:rFonts w:hint="eastAsia" w:ascii="宋体" w:hAnsi="宋体" w:cs="宋体"/>
          <w:bCs/>
          <w:color w:val="auto"/>
          <w:sz w:val="24"/>
          <w:szCs w:val="21"/>
          <w:highlight w:val="none"/>
        </w:rPr>
        <w:t>物价波动引起的价格调整方式：</w:t>
      </w:r>
      <w:r>
        <w:rPr>
          <w:rFonts w:hint="eastAsia" w:ascii="宋体" w:hAnsi="宋体" w:cs="宋体"/>
          <w:color w:val="auto"/>
          <w:sz w:val="24"/>
          <w:szCs w:val="21"/>
          <w:highlight w:val="none"/>
          <w:u w:val="single"/>
        </w:rPr>
        <w:t xml:space="preserve"> 不予调整  </w:t>
      </w:r>
      <w:r>
        <w:rPr>
          <w:rFonts w:hint="eastAsia" w:ascii="宋体" w:hAnsi="宋体" w:cs="宋体"/>
          <w:color w:val="auto"/>
          <w:sz w:val="24"/>
          <w:szCs w:val="21"/>
          <w:highlight w:val="none"/>
        </w:rPr>
        <w:t>。</w:t>
      </w:r>
    </w:p>
    <w:p w14:paraId="55555F3D">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16.1.2 采用造价信息调整价格差额</w:t>
      </w:r>
    </w:p>
    <w:p w14:paraId="20E51A60">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工程造价信息的来源：</w:t>
      </w:r>
      <w:r>
        <w:rPr>
          <w:rFonts w:hint="eastAsia" w:ascii="宋体" w:hAnsi="宋体" w:cs="宋体"/>
          <w:color w:val="auto"/>
          <w:sz w:val="24"/>
          <w:szCs w:val="21"/>
          <w:highlight w:val="none"/>
          <w:u w:val="single"/>
        </w:rPr>
        <w:t xml:space="preserve">       /           </w:t>
      </w:r>
      <w:r>
        <w:rPr>
          <w:rFonts w:hint="eastAsia" w:ascii="宋体" w:hAnsi="宋体" w:cs="宋体"/>
          <w:color w:val="auto"/>
          <w:sz w:val="24"/>
          <w:szCs w:val="21"/>
          <w:highlight w:val="none"/>
        </w:rPr>
        <w:t>。</w:t>
      </w:r>
    </w:p>
    <w:p w14:paraId="31500CDC">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价格调整的项目和系数：</w:t>
      </w:r>
      <w:r>
        <w:rPr>
          <w:rFonts w:hint="eastAsia" w:ascii="宋体" w:hAnsi="宋体" w:cs="宋体"/>
          <w:color w:val="auto"/>
          <w:sz w:val="24"/>
          <w:szCs w:val="21"/>
          <w:highlight w:val="none"/>
          <w:u w:val="single"/>
        </w:rPr>
        <w:t xml:space="preserve">     /           </w:t>
      </w:r>
      <w:r>
        <w:rPr>
          <w:rFonts w:hint="eastAsia" w:ascii="宋体" w:hAnsi="宋体" w:cs="宋体"/>
          <w:color w:val="auto"/>
          <w:sz w:val="24"/>
          <w:szCs w:val="21"/>
          <w:highlight w:val="none"/>
        </w:rPr>
        <w:t>。</w:t>
      </w:r>
    </w:p>
    <w:bookmarkEnd w:id="967"/>
    <w:p w14:paraId="4DA79C9C">
      <w:pPr>
        <w:spacing w:line="360" w:lineRule="auto"/>
        <w:jc w:val="left"/>
        <w:outlineLvl w:val="2"/>
        <w:rPr>
          <w:rFonts w:hint="eastAsia" w:ascii="宋体" w:hAnsi="宋体" w:cs="宋体"/>
          <w:b/>
          <w:bCs/>
          <w:color w:val="auto"/>
          <w:sz w:val="28"/>
          <w:szCs w:val="28"/>
          <w:highlight w:val="none"/>
        </w:rPr>
      </w:pPr>
      <w:bookmarkStart w:id="968" w:name="_Toc4287"/>
      <w:r>
        <w:rPr>
          <w:rFonts w:hint="eastAsia" w:ascii="宋体" w:hAnsi="宋体" w:cs="宋体"/>
          <w:b/>
          <w:bCs/>
          <w:color w:val="auto"/>
          <w:sz w:val="28"/>
          <w:szCs w:val="28"/>
          <w:highlight w:val="none"/>
        </w:rPr>
        <w:t>17.计量与支付</w:t>
      </w:r>
      <w:bookmarkEnd w:id="968"/>
    </w:p>
    <w:p w14:paraId="5B710A49">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17.1计量</w:t>
      </w:r>
    </w:p>
    <w:p w14:paraId="3C585B45">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17.1.3 计量周期</w:t>
      </w:r>
    </w:p>
    <w:p w14:paraId="197FD03A">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bCs/>
          <w:color w:val="auto"/>
          <w:sz w:val="24"/>
          <w:highlight w:val="none"/>
          <w:lang w:val="zh-CN"/>
        </w:rPr>
        <w:t>通用合同条款不适用。本工程按以下条款执行：以每个单项完工时间作为计量周期。</w:t>
      </w:r>
      <w:r>
        <w:rPr>
          <w:rFonts w:hint="eastAsia" w:ascii="宋体" w:hAnsi="宋体" w:cs="宋体"/>
          <w:color w:val="auto"/>
          <w:sz w:val="24"/>
          <w:highlight w:val="none"/>
        </w:rPr>
        <w:t xml:space="preserve"> </w:t>
      </w:r>
    </w:p>
    <w:p w14:paraId="4D617459">
      <w:pPr>
        <w:spacing w:line="360" w:lineRule="auto"/>
        <w:jc w:val="left"/>
        <w:rPr>
          <w:rFonts w:hint="eastAsia" w:ascii="宋体" w:hAnsi="宋体" w:cs="宋体"/>
          <w:b/>
          <w:bCs/>
          <w:color w:val="auto"/>
          <w:sz w:val="28"/>
          <w:szCs w:val="28"/>
          <w:highlight w:val="none"/>
        </w:rPr>
      </w:pPr>
      <w:bookmarkStart w:id="969" w:name="_Toc104740351"/>
      <w:r>
        <w:rPr>
          <w:rFonts w:hint="eastAsia" w:ascii="宋体" w:hAnsi="宋体" w:cs="宋体"/>
          <w:b/>
          <w:bCs/>
          <w:color w:val="auto"/>
          <w:sz w:val="28"/>
          <w:szCs w:val="28"/>
          <w:highlight w:val="none"/>
        </w:rPr>
        <w:t>17.2 预付款</w:t>
      </w:r>
      <w:bookmarkEnd w:id="969"/>
    </w:p>
    <w:p w14:paraId="7A4005E1">
      <w:pPr>
        <w:adjustRightInd w:val="0"/>
        <w:snapToGrid w:val="0"/>
        <w:spacing w:line="360" w:lineRule="auto"/>
        <w:ind w:firstLine="480" w:firstLineChars="200"/>
        <w:rPr>
          <w:rFonts w:hint="eastAsia" w:ascii="宋体" w:hAnsi="宋体" w:cs="宋体"/>
          <w:color w:val="auto"/>
          <w:sz w:val="24"/>
          <w:highlight w:val="none"/>
        </w:rPr>
      </w:pPr>
      <w:bookmarkStart w:id="970" w:name="_Toc295295176"/>
      <w:bookmarkStart w:id="971" w:name="_Toc302297849"/>
      <w:bookmarkStart w:id="972" w:name="_Toc294601466"/>
      <w:bookmarkStart w:id="973" w:name="_Toc480796098"/>
      <w:bookmarkStart w:id="974" w:name="_Toc476582128"/>
      <w:bookmarkStart w:id="975" w:name="_Toc480795839"/>
      <w:bookmarkStart w:id="976" w:name="_Toc492380799"/>
      <w:bookmarkStart w:id="977" w:name="_Toc492904600"/>
      <w:bookmarkStart w:id="978" w:name="_Toc302324321"/>
      <w:bookmarkStart w:id="979" w:name="_Toc493159574"/>
      <w:bookmarkStart w:id="980" w:name="_Toc476582129"/>
      <w:bookmarkStart w:id="981" w:name="_Toc493159575"/>
      <w:bookmarkStart w:id="982" w:name="_Toc492380800"/>
      <w:bookmarkStart w:id="983" w:name="_Hlk496184261"/>
      <w:bookmarkStart w:id="984" w:name="_Toc492904601"/>
      <w:r>
        <w:rPr>
          <w:rFonts w:hint="eastAsia" w:ascii="宋体" w:hAnsi="宋体" w:cs="宋体"/>
          <w:color w:val="auto"/>
          <w:sz w:val="24"/>
          <w:highlight w:val="none"/>
        </w:rPr>
        <w:t>17.2.1  预付款的额度和预付办法：</w:t>
      </w:r>
    </w:p>
    <w:p w14:paraId="64D32718">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预付款：合同生效后30个工作日内支付</w:t>
      </w:r>
      <w:r>
        <w:rPr>
          <w:rFonts w:hint="eastAsia" w:ascii="宋体" w:hAnsi="宋体" w:cs="宋体"/>
          <w:color w:val="auto"/>
          <w:sz w:val="24"/>
          <w:highlight w:val="none"/>
          <w:lang w:eastAsia="zh-CN"/>
        </w:rPr>
        <w:t>，发包人向承包人支付签约合同价（不含安全文明施工费）的50%作为预付款。</w:t>
      </w:r>
    </w:p>
    <w:p w14:paraId="0C2DB847">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zh-CN"/>
        </w:rPr>
        <w:t>预付款在后期支付时抵作进度款；</w:t>
      </w:r>
      <w:r>
        <w:rPr>
          <w:rFonts w:hint="eastAsia" w:ascii="宋体" w:hAnsi="宋体" w:cs="宋体"/>
          <w:color w:val="auto"/>
          <w:sz w:val="24"/>
          <w:highlight w:val="none"/>
        </w:rPr>
        <w:t>安全文明施工费随预付款一次性全额支付。</w:t>
      </w:r>
    </w:p>
    <w:p w14:paraId="1086715A">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 17.2.2  预付款保函（担保）</w:t>
      </w:r>
    </w:p>
    <w:p w14:paraId="07E9D698">
      <w:pPr>
        <w:spacing w:line="360" w:lineRule="auto"/>
        <w:ind w:firstLine="480" w:firstLineChars="200"/>
        <w:rPr>
          <w:rFonts w:hint="eastAsia" w:ascii="宋体" w:hAnsi="宋体" w:cs="宋体"/>
          <w:color w:val="auto"/>
          <w:sz w:val="24"/>
          <w:highlight w:val="none"/>
        </w:rPr>
      </w:pPr>
      <w:r>
        <w:rPr>
          <w:rFonts w:hint="eastAsia" w:ascii="宋体" w:hAnsi="宋体" w:cs="宋体"/>
          <w:bCs/>
          <w:color w:val="auto"/>
          <w:sz w:val="24"/>
          <w:highlight w:val="none"/>
          <w:lang w:val="zh-CN"/>
        </w:rPr>
        <w:t>通用合同条款不适用。本工程按以下条款执行：</w:t>
      </w:r>
      <w:r>
        <w:rPr>
          <w:rFonts w:hint="eastAsia" w:ascii="宋体" w:hAnsi="宋体" w:cs="宋体"/>
          <w:color w:val="auto"/>
          <w:sz w:val="24"/>
          <w:highlight w:val="none"/>
        </w:rPr>
        <w:t>本工程不需提交预付款保函。</w:t>
      </w:r>
    </w:p>
    <w:p w14:paraId="4D217587">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17.2.3  预付款的扣回与还清</w:t>
      </w:r>
    </w:p>
    <w:bookmarkEnd w:id="970"/>
    <w:bookmarkEnd w:id="971"/>
    <w:bookmarkEnd w:id="972"/>
    <w:bookmarkEnd w:id="973"/>
    <w:bookmarkEnd w:id="974"/>
    <w:bookmarkEnd w:id="975"/>
    <w:bookmarkEnd w:id="976"/>
    <w:bookmarkEnd w:id="977"/>
    <w:bookmarkEnd w:id="978"/>
    <w:bookmarkEnd w:id="979"/>
    <w:p w14:paraId="2D7E2CD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预付款在后续工作中抵作进度款。</w:t>
      </w:r>
    </w:p>
    <w:p w14:paraId="6D312EA6">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17.3 工程进度付款</w:t>
      </w:r>
    </w:p>
    <w:p w14:paraId="678B7D9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17.3.3 进度付款证书和支付时间</w:t>
      </w:r>
    </w:p>
    <w:p w14:paraId="5B2E851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（2）发包人不按期支付的，按中国人民银行规定的一年期贷款利率计算的利息支付给承包人。</w:t>
      </w:r>
    </w:p>
    <w:p w14:paraId="565C51F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在通用条款基础上增加：</w:t>
      </w:r>
    </w:p>
    <w:p w14:paraId="53228DC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w:t>
      </w:r>
      <w:bookmarkStart w:id="985" w:name="_Hlk106267646"/>
      <w:r>
        <w:rPr>
          <w:rFonts w:hint="eastAsia" w:ascii="宋体" w:hAnsi="宋体" w:cs="宋体"/>
          <w:color w:val="auto"/>
          <w:sz w:val="24"/>
          <w:highlight w:val="none"/>
        </w:rPr>
        <w:t>按照实际完成进度及财政支付要求支付。</w:t>
      </w:r>
      <w:bookmarkEnd w:id="985"/>
    </w:p>
    <w:p w14:paraId="686E9DD4">
      <w:pPr>
        <w:widowControl/>
        <w:adjustRightInd w:val="0"/>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（6）工程最终结算以第三方工程造价咨询机构审核结果为准。</w:t>
      </w:r>
    </w:p>
    <w:p w14:paraId="6BEF37E4">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17.4 质量保证金</w:t>
      </w:r>
      <w:bookmarkEnd w:id="980"/>
      <w:bookmarkEnd w:id="981"/>
      <w:bookmarkEnd w:id="982"/>
      <w:bookmarkEnd w:id="983"/>
      <w:bookmarkEnd w:id="984"/>
    </w:p>
    <w:p w14:paraId="4EBEBAA6">
      <w:pPr>
        <w:snapToGrid w:val="0"/>
        <w:spacing w:line="348"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17.4.1本项修改为：</w:t>
      </w:r>
      <w:r>
        <w:rPr>
          <w:rFonts w:hint="eastAsia" w:ascii="宋体" w:hAnsi="宋体" w:cs="宋体"/>
          <w:color w:val="auto"/>
          <w:sz w:val="24"/>
          <w:szCs w:val="28"/>
          <w:highlight w:val="none"/>
        </w:rPr>
        <w:t>合同工程完工验收合格且资料移交后30日内</w:t>
      </w:r>
      <w:r>
        <w:rPr>
          <w:rFonts w:hint="eastAsia" w:ascii="宋体" w:hAnsi="宋体" w:cs="宋体"/>
          <w:color w:val="auto"/>
          <w:sz w:val="24"/>
          <w:highlight w:val="none"/>
        </w:rPr>
        <w:t>，发包人返还承包人履约保证金，同时，承包人向发包人支付工程价款结算总额的3%作为质量保证金。质量保证金可采用由中华人民共和国境内注册的商业银行（县、市级支行及以上银行）出具的质量保证保函或具有担保能力的专业担保机构出具的质量保证担保书或中国保险监督管理委员会批准的保险机构出具的工程质量保险或转账、电汇、支票的方式递交。17.4.2本项修改为：在第1.1.4.5目约定的缺陷责任期（工程质量保修期）满后，发包人和承包人应按照《住房城乡建设部财政部关于印发建设工程质量保证金管理办法的通知》（建质〔2017〕138号）的有关要求，办理质量保证金返还手续。</w:t>
      </w:r>
    </w:p>
    <w:p w14:paraId="576EE36A">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17.5完工结算</w:t>
      </w:r>
    </w:p>
    <w:p w14:paraId="6466F51F">
      <w:pPr>
        <w:tabs>
          <w:tab w:val="left" w:pos="4169"/>
        </w:tabs>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17.5.1完工付款申请单 </w:t>
      </w:r>
      <w:r>
        <w:rPr>
          <w:rFonts w:hint="eastAsia" w:ascii="宋体" w:hAnsi="宋体" w:cs="宋体"/>
          <w:color w:val="auto"/>
          <w:sz w:val="24"/>
          <w:highlight w:val="none"/>
        </w:rPr>
        <w:tab/>
      </w:r>
    </w:p>
    <w:p w14:paraId="7AE40704">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（1）承包人应提交完工付款申请单一式</w:t>
      </w:r>
      <w:r>
        <w:rPr>
          <w:rFonts w:hint="eastAsia" w:ascii="宋体" w:hAnsi="宋体" w:cs="宋体"/>
          <w:color w:val="auto"/>
          <w:sz w:val="24"/>
          <w:highlight w:val="none"/>
          <w:u w:val="single"/>
        </w:rPr>
        <w:t xml:space="preserve"> 4 </w:t>
      </w:r>
      <w:r>
        <w:rPr>
          <w:rFonts w:hint="eastAsia" w:ascii="宋体" w:hAnsi="宋体" w:cs="宋体"/>
          <w:color w:val="auto"/>
          <w:sz w:val="24"/>
          <w:highlight w:val="none"/>
        </w:rPr>
        <w:t>份。</w:t>
      </w:r>
    </w:p>
    <w:p w14:paraId="4361DCB8">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17.6 最终结清</w:t>
      </w:r>
    </w:p>
    <w:p w14:paraId="26426C21">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17.6.1 最终结清申请单</w:t>
      </w:r>
    </w:p>
    <w:p w14:paraId="0AE20E61">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（1）承包人应提交最终结清申请单一式</w:t>
      </w:r>
      <w:r>
        <w:rPr>
          <w:rFonts w:hint="eastAsia" w:ascii="宋体" w:hAnsi="宋体" w:cs="宋体"/>
          <w:color w:val="auto"/>
          <w:sz w:val="24"/>
          <w:highlight w:val="none"/>
          <w:u w:val="single"/>
        </w:rPr>
        <w:t xml:space="preserve"> 4 </w:t>
      </w:r>
      <w:r>
        <w:rPr>
          <w:rFonts w:hint="eastAsia" w:ascii="宋体" w:hAnsi="宋体" w:cs="宋体"/>
          <w:color w:val="auto"/>
          <w:sz w:val="24"/>
          <w:highlight w:val="none"/>
        </w:rPr>
        <w:t>份。</w:t>
      </w:r>
    </w:p>
    <w:p w14:paraId="40B694C5">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17.7 竣工财务决算</w:t>
      </w:r>
    </w:p>
    <w:p w14:paraId="3AF7597A">
      <w:pPr>
        <w:adjustRightInd w:val="0"/>
        <w:snapToGrid w:val="0"/>
        <w:spacing w:line="360" w:lineRule="auto"/>
        <w:ind w:firstLine="480" w:firstLineChars="200"/>
        <w:rPr>
          <w:rFonts w:hint="eastAsia" w:ascii="宋体" w:hAnsi="宋体" w:cs="宋体"/>
          <w:color w:val="auto"/>
          <w:sz w:val="24"/>
          <w:szCs w:val="21"/>
          <w:highlight w:val="none"/>
          <w:u w:val="single"/>
        </w:rPr>
      </w:pPr>
      <w:r>
        <w:rPr>
          <w:rFonts w:hint="eastAsia" w:ascii="宋体" w:hAnsi="宋体" w:cs="宋体"/>
          <w:color w:val="auto"/>
          <w:sz w:val="24"/>
          <w:highlight w:val="none"/>
        </w:rPr>
        <w:t>承包人应为竣工财务决算编制提供的资料：</w:t>
      </w:r>
      <w:r>
        <w:rPr>
          <w:rFonts w:hint="eastAsia" w:ascii="宋体" w:hAnsi="宋体" w:cs="宋体"/>
          <w:color w:val="auto"/>
          <w:sz w:val="24"/>
          <w:szCs w:val="21"/>
          <w:highlight w:val="none"/>
          <w:u w:val="single"/>
        </w:rPr>
        <w:t>满足水利基本建设项目竣工财务决算编制规程要求。</w:t>
      </w:r>
    </w:p>
    <w:p w14:paraId="7E03E37F">
      <w:pPr>
        <w:spacing w:line="360" w:lineRule="auto"/>
        <w:jc w:val="left"/>
        <w:outlineLvl w:val="2"/>
        <w:rPr>
          <w:rFonts w:hint="eastAsia" w:ascii="宋体" w:hAnsi="宋体" w:cs="宋体"/>
          <w:b/>
          <w:bCs/>
          <w:color w:val="auto"/>
          <w:sz w:val="28"/>
          <w:szCs w:val="28"/>
          <w:highlight w:val="none"/>
        </w:rPr>
      </w:pPr>
      <w:bookmarkStart w:id="986" w:name="_Toc104740352"/>
      <w:bookmarkStart w:id="987" w:name="_Toc4150"/>
      <w:r>
        <w:rPr>
          <w:rFonts w:hint="eastAsia" w:ascii="宋体" w:hAnsi="宋体" w:cs="宋体"/>
          <w:b/>
          <w:bCs/>
          <w:color w:val="auto"/>
          <w:sz w:val="28"/>
          <w:szCs w:val="28"/>
          <w:highlight w:val="none"/>
        </w:rPr>
        <w:t>18.验收</w:t>
      </w:r>
      <w:bookmarkEnd w:id="986"/>
      <w:bookmarkEnd w:id="987"/>
    </w:p>
    <w:p w14:paraId="0665F341">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18.1 验收工作分类</w:t>
      </w:r>
    </w:p>
    <w:p w14:paraId="4D58C496">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本工程法人验收包括：</w:t>
      </w:r>
      <w:r>
        <w:rPr>
          <w:rFonts w:hint="eastAsia" w:ascii="宋体" w:hAnsi="宋体" w:cs="宋体"/>
          <w:color w:val="auto"/>
          <w:sz w:val="24"/>
          <w:highlight w:val="none"/>
          <w:u w:val="single"/>
          <w:lang w:eastAsia="zh-CN"/>
        </w:rPr>
        <w:t>分项</w:t>
      </w:r>
      <w:r>
        <w:rPr>
          <w:rFonts w:hint="eastAsia" w:ascii="宋体" w:hAnsi="宋体" w:cs="宋体"/>
          <w:color w:val="auto"/>
          <w:sz w:val="24"/>
          <w:highlight w:val="none"/>
          <w:u w:val="single"/>
        </w:rPr>
        <w:t>工程验收、</w:t>
      </w:r>
      <w:r>
        <w:rPr>
          <w:rFonts w:hint="eastAsia" w:ascii="宋体" w:hAnsi="宋体" w:cs="宋体"/>
          <w:color w:val="auto"/>
          <w:sz w:val="24"/>
          <w:highlight w:val="none"/>
          <w:u w:val="single"/>
          <w:lang w:eastAsia="zh-CN"/>
        </w:rPr>
        <w:t>完工</w:t>
      </w:r>
      <w:r>
        <w:rPr>
          <w:rFonts w:hint="eastAsia" w:ascii="宋体" w:hAnsi="宋体" w:cs="宋体"/>
          <w:color w:val="auto"/>
          <w:sz w:val="24"/>
          <w:highlight w:val="none"/>
          <w:u w:val="single"/>
        </w:rPr>
        <w:t>验收、合同验收</w:t>
      </w:r>
      <w:r>
        <w:rPr>
          <w:rFonts w:hint="eastAsia" w:ascii="宋体" w:hAnsi="宋体" w:cs="宋体"/>
          <w:color w:val="auto"/>
          <w:sz w:val="24"/>
          <w:highlight w:val="none"/>
        </w:rPr>
        <w:t>。验收条件为：</w:t>
      </w:r>
      <w:r>
        <w:rPr>
          <w:rFonts w:hint="eastAsia" w:ascii="宋体" w:hAnsi="宋体" w:cs="宋体"/>
          <w:color w:val="auto"/>
          <w:sz w:val="24"/>
          <w:highlight w:val="none"/>
          <w:u w:val="single"/>
        </w:rPr>
        <w:t>1.完成项目实施方案和合同约定的各项内容；2.有完整的技术档案和管理资料</w:t>
      </w:r>
      <w:r>
        <w:rPr>
          <w:rFonts w:hint="eastAsia" w:ascii="宋体" w:hAnsi="宋体" w:cs="宋体"/>
          <w:color w:val="auto"/>
          <w:sz w:val="24"/>
          <w:highlight w:val="none"/>
        </w:rPr>
        <w:t>。验收程序为：</w:t>
      </w:r>
      <w:r>
        <w:rPr>
          <w:rFonts w:hint="eastAsia" w:ascii="宋体" w:hAnsi="宋体" w:cs="宋体"/>
          <w:color w:val="auto"/>
          <w:sz w:val="24"/>
          <w:highlight w:val="none"/>
          <w:u w:val="single"/>
        </w:rPr>
        <w:t>由发包人按《水利工程日常维修养护费工程维护项目管理实施细则》的相关规定组织验收</w:t>
      </w:r>
      <w:r>
        <w:rPr>
          <w:rFonts w:hint="eastAsia" w:ascii="宋体" w:hAnsi="宋体" w:cs="宋体"/>
          <w:color w:val="auto"/>
          <w:sz w:val="24"/>
          <w:highlight w:val="none"/>
        </w:rPr>
        <w:t>。</w:t>
      </w:r>
    </w:p>
    <w:p w14:paraId="2D2021F8">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18.2 分部工程验收</w:t>
      </w:r>
    </w:p>
    <w:p w14:paraId="1980375F">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18.2.2 </w:t>
      </w:r>
      <w:r>
        <w:rPr>
          <w:rFonts w:hint="eastAsia" w:ascii="宋体" w:hAnsi="宋体" w:cs="宋体"/>
          <w:color w:val="auto"/>
          <w:sz w:val="24"/>
          <w:highlight w:val="none"/>
        </w:rPr>
        <w:t>本工程由发包人主持的分部工程验收为</w:t>
      </w:r>
      <w:r>
        <w:rPr>
          <w:rFonts w:hint="eastAsia" w:ascii="宋体" w:hAnsi="宋体" w:cs="宋体"/>
          <w:color w:val="auto"/>
          <w:sz w:val="24"/>
          <w:highlight w:val="none"/>
          <w:u w:val="single"/>
        </w:rPr>
        <w:t xml:space="preserve"> /</w:t>
      </w:r>
      <w:r>
        <w:rPr>
          <w:rFonts w:hint="eastAsia" w:ascii="宋体" w:hAnsi="宋体" w:cs="宋体"/>
          <w:color w:val="auto"/>
          <w:sz w:val="24"/>
          <w:szCs w:val="21"/>
          <w:highlight w:val="none"/>
        </w:rPr>
        <w:t>，其余由</w:t>
      </w:r>
      <w:r>
        <w:rPr>
          <w:rFonts w:hint="eastAsia" w:ascii="宋体" w:hAnsi="宋体" w:cs="宋体"/>
          <w:color w:val="auto"/>
          <w:sz w:val="24"/>
          <w:szCs w:val="21"/>
          <w:highlight w:val="none"/>
          <w:u w:val="single"/>
          <w:lang w:val="en-US" w:eastAsia="zh-CN"/>
        </w:rPr>
        <w:t xml:space="preserve"> /</w:t>
      </w:r>
      <w:r>
        <w:rPr>
          <w:rFonts w:hint="eastAsia" w:ascii="宋体" w:hAnsi="宋体" w:cs="宋体"/>
          <w:color w:val="auto"/>
          <w:sz w:val="24"/>
          <w:szCs w:val="21"/>
          <w:highlight w:val="none"/>
          <w:u w:val="none"/>
          <w:lang w:val="en-US" w:eastAsia="zh-CN"/>
        </w:rPr>
        <w:t xml:space="preserve"> </w:t>
      </w:r>
      <w:r>
        <w:rPr>
          <w:rFonts w:hint="eastAsia" w:ascii="宋体" w:hAnsi="宋体" w:cs="宋体"/>
          <w:color w:val="auto"/>
          <w:sz w:val="24"/>
          <w:szCs w:val="21"/>
          <w:highlight w:val="none"/>
        </w:rPr>
        <w:t>主持。</w:t>
      </w:r>
    </w:p>
    <w:p w14:paraId="2A41BB50">
      <w:pPr>
        <w:spacing w:line="360" w:lineRule="auto"/>
        <w:jc w:val="left"/>
        <w:rPr>
          <w:rFonts w:hint="eastAsia" w:ascii="宋体" w:hAnsi="宋体" w:cs="宋体"/>
          <w:b/>
          <w:bCs/>
          <w:color w:val="auto"/>
          <w:sz w:val="28"/>
          <w:szCs w:val="28"/>
          <w:highlight w:val="none"/>
        </w:rPr>
      </w:pPr>
      <w:bookmarkStart w:id="988" w:name="_Toc313525885"/>
      <w:bookmarkStart w:id="989" w:name="_Toc294601470"/>
      <w:bookmarkStart w:id="990" w:name="_Toc493159582"/>
      <w:bookmarkStart w:id="991" w:name="_Toc302546008"/>
      <w:bookmarkStart w:id="992" w:name="_Toc492380807"/>
      <w:bookmarkStart w:id="993" w:name="_Toc297543111"/>
      <w:bookmarkStart w:id="994" w:name="_Toc492904608"/>
      <w:bookmarkStart w:id="995" w:name="_Toc301627101"/>
      <w:bookmarkStart w:id="996" w:name="_Toc301858040"/>
      <w:r>
        <w:rPr>
          <w:rFonts w:hint="eastAsia" w:ascii="宋体" w:hAnsi="宋体" w:cs="宋体"/>
          <w:b/>
          <w:bCs/>
          <w:color w:val="auto"/>
          <w:sz w:val="28"/>
          <w:szCs w:val="28"/>
          <w:highlight w:val="none"/>
        </w:rPr>
        <w:t>18.3 单位工程验收</w:t>
      </w:r>
      <w:bookmarkEnd w:id="988"/>
      <w:bookmarkEnd w:id="989"/>
      <w:bookmarkEnd w:id="990"/>
      <w:bookmarkEnd w:id="991"/>
      <w:bookmarkEnd w:id="992"/>
      <w:bookmarkEnd w:id="993"/>
      <w:bookmarkEnd w:id="994"/>
      <w:bookmarkEnd w:id="995"/>
      <w:bookmarkEnd w:id="996"/>
    </w:p>
    <w:p w14:paraId="1CCDEC17">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18.3.4 提前投入使用的单位工程包括：</w:t>
      </w:r>
      <w:r>
        <w:rPr>
          <w:rFonts w:hint="eastAsia" w:ascii="宋体" w:hAnsi="宋体" w:cs="宋体"/>
          <w:color w:val="auto"/>
          <w:sz w:val="24"/>
          <w:szCs w:val="21"/>
          <w:highlight w:val="none"/>
          <w:u w:val="single"/>
        </w:rPr>
        <w:t xml:space="preserve">   /    </w:t>
      </w:r>
      <w:r>
        <w:rPr>
          <w:rFonts w:hint="eastAsia" w:ascii="宋体" w:hAnsi="宋体" w:cs="宋体"/>
          <w:color w:val="auto"/>
          <w:sz w:val="24"/>
          <w:szCs w:val="21"/>
          <w:highlight w:val="none"/>
        </w:rPr>
        <w:t>。</w:t>
      </w:r>
    </w:p>
    <w:p w14:paraId="725883A0">
      <w:pPr>
        <w:spacing w:line="360" w:lineRule="auto"/>
        <w:jc w:val="left"/>
        <w:rPr>
          <w:rFonts w:hint="eastAsia" w:ascii="宋体" w:hAnsi="宋体" w:cs="宋体"/>
          <w:b/>
          <w:bCs/>
          <w:color w:val="auto"/>
          <w:sz w:val="28"/>
          <w:szCs w:val="28"/>
          <w:highlight w:val="none"/>
        </w:rPr>
      </w:pPr>
      <w:bookmarkStart w:id="997" w:name="_Toc476582135"/>
      <w:bookmarkStart w:id="998" w:name="_Toc297543112"/>
      <w:bookmarkStart w:id="999" w:name="_Toc301858041"/>
      <w:bookmarkStart w:id="1000" w:name="_Toc301627102"/>
      <w:bookmarkStart w:id="1001" w:name="_Toc302546009"/>
      <w:bookmarkStart w:id="1002" w:name="_Toc313525886"/>
      <w:bookmarkStart w:id="1003" w:name="_Toc401765742"/>
      <w:bookmarkStart w:id="1004" w:name="_Toc493159583"/>
      <w:bookmarkStart w:id="1005" w:name="_Toc480796104"/>
      <w:bookmarkStart w:id="1006" w:name="_Toc294601471"/>
      <w:bookmarkStart w:id="1007" w:name="_Toc492380808"/>
      <w:bookmarkStart w:id="1008" w:name="_Toc492904609"/>
      <w:bookmarkStart w:id="1009" w:name="_Toc480795845"/>
      <w:r>
        <w:rPr>
          <w:rFonts w:hint="eastAsia" w:ascii="宋体" w:hAnsi="宋体" w:cs="宋体"/>
          <w:b/>
          <w:bCs/>
          <w:color w:val="auto"/>
          <w:sz w:val="28"/>
          <w:szCs w:val="28"/>
          <w:highlight w:val="none"/>
        </w:rPr>
        <w:t>18.5 阶段验收</w:t>
      </w:r>
      <w:bookmarkEnd w:id="997"/>
      <w:bookmarkEnd w:id="998"/>
      <w:bookmarkEnd w:id="999"/>
      <w:bookmarkEnd w:id="1000"/>
      <w:bookmarkEnd w:id="1001"/>
      <w:bookmarkEnd w:id="1002"/>
      <w:bookmarkEnd w:id="1003"/>
      <w:bookmarkEnd w:id="1004"/>
      <w:bookmarkEnd w:id="1005"/>
      <w:bookmarkEnd w:id="1006"/>
      <w:bookmarkEnd w:id="1007"/>
      <w:bookmarkEnd w:id="1008"/>
      <w:bookmarkEnd w:id="1009"/>
    </w:p>
    <w:p w14:paraId="79D57F3B">
      <w:pPr>
        <w:adjustRightInd w:val="0"/>
        <w:snapToGrid w:val="0"/>
        <w:spacing w:line="360" w:lineRule="auto"/>
        <w:ind w:firstLine="480" w:firstLineChars="200"/>
        <w:rPr>
          <w:rFonts w:hint="eastAsia" w:ascii="宋体" w:hAnsi="宋体" w:cs="宋体"/>
          <w:color w:val="auto"/>
          <w:sz w:val="24"/>
          <w:szCs w:val="21"/>
          <w:highlight w:val="none"/>
        </w:rPr>
      </w:pPr>
      <w:bookmarkStart w:id="1010" w:name="_Toc480796105"/>
      <w:bookmarkStart w:id="1011" w:name="_Toc476582136"/>
      <w:bookmarkStart w:id="1012" w:name="_Toc480795846"/>
      <w:r>
        <w:rPr>
          <w:rFonts w:hint="eastAsia" w:ascii="宋体" w:hAnsi="宋体" w:cs="宋体"/>
          <w:color w:val="auto"/>
          <w:sz w:val="24"/>
          <w:szCs w:val="21"/>
          <w:highlight w:val="none"/>
        </w:rPr>
        <w:t>18.5.1 本合同工程阶段验收类别包括：</w:t>
      </w:r>
      <w:r>
        <w:rPr>
          <w:rFonts w:hint="eastAsia" w:ascii="宋体" w:hAnsi="宋体" w:cs="宋体"/>
          <w:color w:val="auto"/>
          <w:sz w:val="24"/>
          <w:szCs w:val="21"/>
          <w:highlight w:val="none"/>
          <w:u w:val="single"/>
        </w:rPr>
        <w:t xml:space="preserve">   /    </w:t>
      </w:r>
      <w:r>
        <w:rPr>
          <w:rFonts w:hint="eastAsia" w:ascii="宋体" w:hAnsi="宋体" w:cs="宋体"/>
          <w:color w:val="auto"/>
          <w:sz w:val="24"/>
          <w:szCs w:val="21"/>
          <w:highlight w:val="none"/>
        </w:rPr>
        <w:t>。</w:t>
      </w:r>
      <w:bookmarkEnd w:id="1010"/>
      <w:bookmarkEnd w:id="1011"/>
      <w:bookmarkEnd w:id="1012"/>
    </w:p>
    <w:p w14:paraId="25FFFF3E">
      <w:pPr>
        <w:spacing w:line="360" w:lineRule="auto"/>
        <w:jc w:val="left"/>
        <w:rPr>
          <w:rFonts w:hint="eastAsia" w:ascii="宋体" w:hAnsi="宋体" w:cs="宋体"/>
          <w:b/>
          <w:bCs/>
          <w:color w:val="auto"/>
          <w:sz w:val="28"/>
          <w:szCs w:val="28"/>
          <w:highlight w:val="none"/>
        </w:rPr>
      </w:pPr>
      <w:bookmarkStart w:id="1013" w:name="_Toc480795847"/>
      <w:bookmarkStart w:id="1014" w:name="_Toc480796106"/>
      <w:bookmarkStart w:id="1015" w:name="_Toc301627103"/>
      <w:bookmarkStart w:id="1016" w:name="_Toc313525887"/>
      <w:bookmarkStart w:id="1017" w:name="_Toc476582137"/>
      <w:bookmarkStart w:id="1018" w:name="_Toc302546010"/>
      <w:bookmarkStart w:id="1019" w:name="_Toc301858042"/>
      <w:bookmarkStart w:id="1020" w:name="_Toc492380809"/>
      <w:bookmarkStart w:id="1021" w:name="_Toc297543113"/>
      <w:bookmarkStart w:id="1022" w:name="_Toc492904610"/>
      <w:bookmarkStart w:id="1023" w:name="_Toc401765743"/>
      <w:bookmarkStart w:id="1024" w:name="_Toc294601472"/>
      <w:bookmarkStart w:id="1025" w:name="_Toc493159584"/>
      <w:r>
        <w:rPr>
          <w:rFonts w:hint="eastAsia" w:ascii="宋体" w:hAnsi="宋体" w:cs="宋体"/>
          <w:b/>
          <w:bCs/>
          <w:color w:val="auto"/>
          <w:sz w:val="28"/>
          <w:szCs w:val="28"/>
          <w:highlight w:val="none"/>
        </w:rPr>
        <w:t>18.6 专项验收</w:t>
      </w:r>
      <w:bookmarkEnd w:id="1013"/>
      <w:bookmarkEnd w:id="1014"/>
      <w:bookmarkEnd w:id="1015"/>
      <w:bookmarkEnd w:id="1016"/>
      <w:bookmarkEnd w:id="1017"/>
      <w:bookmarkEnd w:id="1018"/>
      <w:bookmarkEnd w:id="1019"/>
      <w:bookmarkEnd w:id="1020"/>
      <w:bookmarkEnd w:id="1021"/>
      <w:bookmarkEnd w:id="1022"/>
      <w:bookmarkEnd w:id="1023"/>
      <w:bookmarkEnd w:id="1024"/>
      <w:bookmarkEnd w:id="1025"/>
    </w:p>
    <w:p w14:paraId="46819E8A">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18.6.2 本合同工程专项验收类别包括：</w:t>
      </w:r>
      <w:r>
        <w:rPr>
          <w:rFonts w:hint="eastAsia" w:ascii="宋体" w:hAnsi="宋体" w:cs="宋体"/>
          <w:color w:val="auto"/>
          <w:sz w:val="24"/>
          <w:szCs w:val="21"/>
          <w:highlight w:val="none"/>
          <w:u w:val="single"/>
        </w:rPr>
        <w:t xml:space="preserve">   /   </w:t>
      </w:r>
      <w:r>
        <w:rPr>
          <w:rFonts w:hint="eastAsia" w:ascii="宋体" w:hAnsi="宋体" w:cs="宋体"/>
          <w:color w:val="auto"/>
          <w:sz w:val="24"/>
          <w:szCs w:val="21"/>
          <w:highlight w:val="none"/>
        </w:rPr>
        <w:t>。</w:t>
      </w:r>
    </w:p>
    <w:p w14:paraId="33B12E9B">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18.7 竣工验收</w:t>
      </w:r>
    </w:p>
    <w:p w14:paraId="5BD67E68">
      <w:pPr>
        <w:adjustRightInd w:val="0"/>
        <w:snapToGrid w:val="0"/>
        <w:spacing w:line="360" w:lineRule="auto"/>
        <w:ind w:firstLine="480" w:firstLineChars="200"/>
        <w:rPr>
          <w:rFonts w:hint="eastAsia" w:ascii="宋体" w:hAnsi="宋体" w:cs="宋体"/>
          <w:color w:val="auto"/>
          <w:sz w:val="24"/>
          <w:szCs w:val="21"/>
          <w:highlight w:val="none"/>
        </w:rPr>
      </w:pPr>
      <w:bookmarkStart w:id="1026" w:name="_Toc480795849"/>
      <w:bookmarkStart w:id="1027" w:name="_Toc492380811"/>
      <w:bookmarkStart w:id="1028" w:name="_Toc401765745"/>
      <w:bookmarkStart w:id="1029" w:name="_Toc493159586"/>
      <w:bookmarkStart w:id="1030" w:name="_Toc294601473"/>
      <w:bookmarkStart w:id="1031" w:name="_Toc313525889"/>
      <w:bookmarkStart w:id="1032" w:name="_Toc301858043"/>
      <w:bookmarkStart w:id="1033" w:name="_Toc297543114"/>
      <w:bookmarkStart w:id="1034" w:name="_Toc492904612"/>
      <w:bookmarkStart w:id="1035" w:name="_Toc302546012"/>
      <w:bookmarkStart w:id="1036" w:name="_Toc476582139"/>
      <w:bookmarkStart w:id="1037" w:name="_Toc301627104"/>
      <w:bookmarkStart w:id="1038" w:name="_Toc480796108"/>
      <w:r>
        <w:rPr>
          <w:rFonts w:hint="eastAsia" w:ascii="宋体" w:hAnsi="宋体" w:cs="宋体"/>
          <w:color w:val="auto"/>
          <w:sz w:val="24"/>
          <w:szCs w:val="21"/>
          <w:highlight w:val="none"/>
        </w:rPr>
        <w:t>本工程不需要做竣工验收。</w:t>
      </w:r>
    </w:p>
    <w:p w14:paraId="255BE142">
      <w:pPr>
        <w:adjustRightInd w:val="0"/>
        <w:snapToGrid w:val="0"/>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18.8 施工期运行</w:t>
      </w:r>
      <w:bookmarkEnd w:id="1026"/>
      <w:bookmarkEnd w:id="1027"/>
      <w:bookmarkEnd w:id="1028"/>
      <w:bookmarkEnd w:id="1029"/>
      <w:bookmarkEnd w:id="1030"/>
      <w:bookmarkEnd w:id="1031"/>
      <w:bookmarkEnd w:id="1032"/>
      <w:bookmarkEnd w:id="1033"/>
      <w:bookmarkEnd w:id="1034"/>
      <w:bookmarkEnd w:id="1035"/>
      <w:bookmarkEnd w:id="1036"/>
      <w:bookmarkEnd w:id="1037"/>
      <w:bookmarkEnd w:id="1038"/>
    </w:p>
    <w:p w14:paraId="10C6B998">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18.8.1 需要在施工期运行的单位工程或工程设备为：</w:t>
      </w:r>
      <w:r>
        <w:rPr>
          <w:rFonts w:hint="eastAsia" w:ascii="宋体" w:hAnsi="宋体" w:cs="宋体"/>
          <w:color w:val="auto"/>
          <w:sz w:val="24"/>
          <w:szCs w:val="21"/>
          <w:highlight w:val="none"/>
          <w:u w:val="single"/>
        </w:rPr>
        <w:t xml:space="preserve">       /       </w:t>
      </w:r>
      <w:r>
        <w:rPr>
          <w:rFonts w:hint="eastAsia" w:ascii="宋体" w:hAnsi="宋体" w:cs="宋体"/>
          <w:color w:val="auto"/>
          <w:sz w:val="24"/>
          <w:szCs w:val="21"/>
          <w:highlight w:val="none"/>
        </w:rPr>
        <w:t xml:space="preserve">。 </w:t>
      </w:r>
    </w:p>
    <w:p w14:paraId="3C7030DE">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18.9 试运行   </w:t>
      </w:r>
    </w:p>
    <w:p w14:paraId="700B7636">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18.9.1 本项不作另行约定。</w:t>
      </w:r>
    </w:p>
    <w:p w14:paraId="57C6F467">
      <w:pPr>
        <w:spacing w:line="360" w:lineRule="auto"/>
        <w:jc w:val="left"/>
        <w:outlineLvl w:val="2"/>
        <w:rPr>
          <w:rFonts w:hint="eastAsia" w:ascii="宋体" w:hAnsi="宋体" w:cs="宋体"/>
          <w:b/>
          <w:bCs/>
          <w:color w:val="auto"/>
          <w:sz w:val="28"/>
          <w:szCs w:val="28"/>
          <w:highlight w:val="none"/>
        </w:rPr>
      </w:pPr>
      <w:bookmarkStart w:id="1039" w:name="_Toc20975"/>
      <w:bookmarkStart w:id="1040" w:name="_Toc96899364"/>
      <w:bookmarkStart w:id="1041" w:name="_Toc104740353"/>
      <w:r>
        <w:rPr>
          <w:rFonts w:hint="eastAsia" w:ascii="宋体" w:hAnsi="宋体" w:cs="宋体"/>
          <w:b/>
          <w:bCs/>
          <w:color w:val="auto"/>
          <w:sz w:val="28"/>
          <w:szCs w:val="28"/>
          <w:highlight w:val="none"/>
        </w:rPr>
        <w:t>19.缺陷责任与保修责任</w:t>
      </w:r>
      <w:bookmarkEnd w:id="1039"/>
      <w:bookmarkEnd w:id="1040"/>
      <w:bookmarkEnd w:id="1041"/>
    </w:p>
    <w:p w14:paraId="106CE5F6">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19.1 缺陷责任期（工程质量保修期）的起算时间</w:t>
      </w:r>
    </w:p>
    <w:p w14:paraId="42DAEA9B">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本工程缺陷责任期计算如下：</w:t>
      </w:r>
      <w:r>
        <w:rPr>
          <w:rFonts w:hint="eastAsia" w:ascii="宋体" w:hAnsi="宋体" w:cs="宋体"/>
          <w:color w:val="auto"/>
          <w:sz w:val="24"/>
          <w:highlight w:val="none"/>
          <w:u w:val="single"/>
        </w:rPr>
        <w:t>从工程通过合同工程完工验收后开始计算，时间为12个月</w:t>
      </w:r>
      <w:r>
        <w:rPr>
          <w:rFonts w:hint="eastAsia" w:ascii="宋体" w:hAnsi="宋体" w:cs="宋体"/>
          <w:color w:val="auto"/>
          <w:sz w:val="24"/>
          <w:highlight w:val="none"/>
        </w:rPr>
        <w:t>。</w:t>
      </w:r>
    </w:p>
    <w:p w14:paraId="1FE189A0">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19.7保修责任</w:t>
      </w:r>
    </w:p>
    <w:p w14:paraId="1FBB9870">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本工程保修范围：</w:t>
      </w:r>
      <w:r>
        <w:rPr>
          <w:rFonts w:hint="eastAsia" w:ascii="宋体" w:hAnsi="宋体" w:cs="宋体"/>
          <w:color w:val="auto"/>
          <w:sz w:val="24"/>
          <w:highlight w:val="none"/>
          <w:u w:val="single"/>
        </w:rPr>
        <w:t>包括合同工程量清单包含的，以及合同履行过程中变更洽商确认的全部工程项目。</w:t>
      </w:r>
    </w:p>
    <w:p w14:paraId="3AF92F6A">
      <w:pPr>
        <w:widowControl/>
        <w:snapToGrid w:val="0"/>
        <w:spacing w:line="360" w:lineRule="auto"/>
        <w:ind w:firstLine="480" w:firstLineChars="200"/>
        <w:rPr>
          <w:rFonts w:hint="eastAsia" w:ascii="宋体" w:hAnsi="宋体" w:cs="宋体"/>
          <w:color w:val="auto"/>
          <w:sz w:val="24"/>
          <w:szCs w:val="28"/>
          <w:highlight w:val="none"/>
        </w:rPr>
      </w:pPr>
      <w:r>
        <w:rPr>
          <w:rFonts w:hint="eastAsia" w:ascii="宋体" w:hAnsi="宋体" w:cs="宋体"/>
          <w:color w:val="auto"/>
          <w:sz w:val="24"/>
          <w:highlight w:val="none"/>
        </w:rPr>
        <w:t>保修责任：</w:t>
      </w:r>
      <w:r>
        <w:rPr>
          <w:rFonts w:hint="eastAsia" w:ascii="宋体" w:hAnsi="宋体" w:cs="宋体"/>
          <w:color w:val="auto"/>
          <w:sz w:val="24"/>
          <w:szCs w:val="28"/>
          <w:highlight w:val="none"/>
        </w:rPr>
        <w:t>（1）属于保修范围、内容的项目，供应商应当在接到保修通知之日起7天内派人保修。供应商不在约定期限内派人保修的，采购人可以委托他人修理，发生的一切费用由供应商承担。（2）发生紧急事故需抢修的，供应商在接到事故通知后，应当立即到达事故现场抢修。（3）对于涉及结构安全的质量问题，应当按照《建设工程质量管理条例》的规定，立即向当地水行政主管部门和有关部门报告，采取安全防范措施，并由原设计人或者具有相应资质等级的设计人提出保修方案，供应商实施保修。</w:t>
      </w:r>
    </w:p>
    <w:p w14:paraId="4B57AA48">
      <w:pPr>
        <w:spacing w:line="360" w:lineRule="auto"/>
        <w:jc w:val="left"/>
        <w:outlineLvl w:val="2"/>
        <w:rPr>
          <w:rFonts w:hint="eastAsia" w:ascii="宋体" w:hAnsi="宋体" w:cs="宋体"/>
          <w:b/>
          <w:bCs/>
          <w:color w:val="auto"/>
          <w:sz w:val="28"/>
          <w:szCs w:val="28"/>
          <w:highlight w:val="none"/>
        </w:rPr>
      </w:pPr>
      <w:bookmarkStart w:id="1042" w:name="_Toc2838"/>
      <w:bookmarkStart w:id="1043" w:name="_Toc104740354"/>
      <w:bookmarkStart w:id="1044" w:name="_Toc96899365"/>
      <w:r>
        <w:rPr>
          <w:rFonts w:hint="eastAsia" w:ascii="宋体" w:hAnsi="宋体" w:cs="宋体"/>
          <w:b/>
          <w:bCs/>
          <w:color w:val="auto"/>
          <w:sz w:val="28"/>
          <w:szCs w:val="28"/>
          <w:highlight w:val="none"/>
        </w:rPr>
        <w:t>20.保险</w:t>
      </w:r>
      <w:bookmarkEnd w:id="1042"/>
      <w:bookmarkEnd w:id="1043"/>
      <w:bookmarkEnd w:id="1044"/>
    </w:p>
    <w:p w14:paraId="08339A60">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20.1 工程保险</w:t>
      </w:r>
    </w:p>
    <w:p w14:paraId="41C8A84E">
      <w:pPr>
        <w:widowControl/>
        <w:spacing w:line="360" w:lineRule="auto"/>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（1）投保内容：</w:t>
      </w:r>
      <w:bookmarkStart w:id="1045" w:name="_Hlk79484947"/>
      <w:r>
        <w:rPr>
          <w:rFonts w:hint="eastAsia" w:ascii="宋体" w:hAnsi="宋体" w:cs="宋体"/>
          <w:color w:val="auto"/>
          <w:sz w:val="24"/>
          <w:szCs w:val="28"/>
          <w:highlight w:val="none"/>
        </w:rPr>
        <w:t>合同工程项目在建造过程中因自然灾害或意外事故而引起的一切损失。</w:t>
      </w:r>
      <w:bookmarkEnd w:id="1045"/>
    </w:p>
    <w:p w14:paraId="77BD73AA">
      <w:pPr>
        <w:widowControl/>
        <w:spacing w:line="360" w:lineRule="auto"/>
        <w:ind w:firstLine="480" w:firstLineChars="200"/>
        <w:rPr>
          <w:rFonts w:hint="eastAsia" w:ascii="宋体" w:hAnsi="宋体" w:cs="宋体"/>
          <w:color w:val="auto"/>
          <w:sz w:val="24"/>
          <w:szCs w:val="28"/>
          <w:highlight w:val="none"/>
        </w:rPr>
      </w:pPr>
      <w:bookmarkStart w:id="1046" w:name="_Hlk79484974"/>
      <w:r>
        <w:rPr>
          <w:rFonts w:hint="eastAsia" w:ascii="宋体" w:hAnsi="宋体" w:cs="宋体"/>
          <w:color w:val="auto"/>
          <w:sz w:val="24"/>
          <w:szCs w:val="28"/>
          <w:highlight w:val="none"/>
        </w:rPr>
        <w:t>（2）保险金额：应不低于：</w:t>
      </w:r>
    </w:p>
    <w:p w14:paraId="028C63DA">
      <w:pPr>
        <w:widowControl/>
        <w:spacing w:line="360" w:lineRule="auto"/>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1）建筑工程——保险工程建筑完成时的总价值，包括原材料费用、设备费用、建造费、安装费、运输和保险费、关税、其他税项和费用，以及由工程所有人提供的原材料和设备的费用；</w:t>
      </w:r>
    </w:p>
    <w:p w14:paraId="3BAA6919">
      <w:pPr>
        <w:widowControl/>
        <w:spacing w:line="360" w:lineRule="auto"/>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2）施工用机器、装置和机械设备——重置同型号、同负载的新机器、装置和机械设备所需的费用；</w:t>
      </w:r>
    </w:p>
    <w:p w14:paraId="781C6148">
      <w:pPr>
        <w:widowControl/>
        <w:spacing w:line="360" w:lineRule="auto"/>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3）其他保险项目——由被保险人与保险人商定的金额。</w:t>
      </w:r>
    </w:p>
    <w:p w14:paraId="295A412E">
      <w:pPr>
        <w:widowControl/>
        <w:spacing w:line="360" w:lineRule="auto"/>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（3）保险费率：按国家现行规定和保险合同约定费率。</w:t>
      </w:r>
    </w:p>
    <w:p w14:paraId="4041B5D9">
      <w:pPr>
        <w:widowControl/>
        <w:spacing w:line="360" w:lineRule="auto"/>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（4）保险期限：自工程开工至完工验收合格，具体按照保险人出具保单中约定为准。</w:t>
      </w:r>
      <w:bookmarkEnd w:id="1046"/>
    </w:p>
    <w:p w14:paraId="40FA8A1A">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20.4 第三者责任险</w:t>
      </w:r>
    </w:p>
    <w:p w14:paraId="297C40C3">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20.4.2第三者责任险保险费率：</w:t>
      </w:r>
      <w:r>
        <w:rPr>
          <w:rFonts w:hint="eastAsia" w:ascii="宋体" w:hAnsi="宋体" w:cs="宋体"/>
          <w:color w:val="auto"/>
          <w:sz w:val="24"/>
          <w:szCs w:val="21"/>
          <w:highlight w:val="none"/>
          <w:u w:val="single"/>
        </w:rPr>
        <w:t>按国家现行规定和保险合同约定费率</w:t>
      </w:r>
      <w:r>
        <w:rPr>
          <w:rFonts w:hint="eastAsia" w:ascii="宋体" w:hAnsi="宋体" w:cs="宋体"/>
          <w:color w:val="auto"/>
          <w:sz w:val="24"/>
          <w:highlight w:val="none"/>
        </w:rPr>
        <w:t xml:space="preserve">； </w:t>
      </w:r>
    </w:p>
    <w:p w14:paraId="7866D5D8">
      <w:pPr>
        <w:adjustRightInd w:val="0"/>
        <w:snapToGrid w:val="0"/>
        <w:spacing w:line="360" w:lineRule="auto"/>
        <w:ind w:firstLine="1200" w:firstLineChars="500"/>
        <w:rPr>
          <w:rFonts w:hint="eastAsia" w:ascii="宋体" w:hAnsi="宋体" w:cs="宋体"/>
          <w:color w:val="auto"/>
          <w:sz w:val="24"/>
          <w:highlight w:val="none"/>
        </w:rPr>
      </w:pPr>
      <w:r>
        <w:rPr>
          <w:rFonts w:hint="eastAsia" w:ascii="宋体" w:hAnsi="宋体" w:cs="宋体"/>
          <w:color w:val="auto"/>
          <w:sz w:val="24"/>
          <w:highlight w:val="none"/>
        </w:rPr>
        <w:t>第三者责任险保险金额：</w:t>
      </w:r>
      <w:r>
        <w:rPr>
          <w:rFonts w:hint="eastAsia" w:ascii="宋体" w:hAnsi="宋体" w:cs="宋体"/>
          <w:color w:val="auto"/>
          <w:sz w:val="24"/>
          <w:szCs w:val="21"/>
          <w:highlight w:val="none"/>
          <w:u w:val="single"/>
        </w:rPr>
        <w:t>应不低于签约合同总价</w:t>
      </w:r>
      <w:r>
        <w:rPr>
          <w:rFonts w:hint="eastAsia" w:ascii="宋体" w:hAnsi="宋体" w:cs="宋体"/>
          <w:color w:val="auto"/>
          <w:sz w:val="24"/>
          <w:highlight w:val="none"/>
        </w:rPr>
        <w:t>。</w:t>
      </w:r>
    </w:p>
    <w:p w14:paraId="7E9A39A3">
      <w:pPr>
        <w:spacing w:line="360" w:lineRule="auto"/>
        <w:jc w:val="left"/>
        <w:rPr>
          <w:rFonts w:hint="eastAsia" w:ascii="宋体" w:hAnsi="宋体" w:cs="宋体"/>
          <w:b/>
          <w:bCs/>
          <w:color w:val="auto"/>
          <w:sz w:val="28"/>
          <w:szCs w:val="28"/>
          <w:highlight w:val="none"/>
        </w:rPr>
      </w:pPr>
      <w:bookmarkStart w:id="1047" w:name="_Toc492380818"/>
      <w:bookmarkStart w:id="1048" w:name="_Toc401765747"/>
      <w:bookmarkStart w:id="1049" w:name="_Toc302546018"/>
      <w:bookmarkStart w:id="1050" w:name="_Toc493159593"/>
      <w:bookmarkStart w:id="1051" w:name="_Toc313525895"/>
      <w:bookmarkStart w:id="1052" w:name="_Toc492904619"/>
      <w:bookmarkStart w:id="1053" w:name="_Toc480795853"/>
      <w:bookmarkStart w:id="1054" w:name="_Toc480796112"/>
      <w:bookmarkStart w:id="1055" w:name="_Toc476582143"/>
      <w:r>
        <w:rPr>
          <w:rFonts w:hint="eastAsia" w:ascii="宋体" w:hAnsi="宋体" w:cs="宋体"/>
          <w:b/>
          <w:bCs/>
          <w:color w:val="auto"/>
          <w:sz w:val="28"/>
          <w:szCs w:val="28"/>
          <w:highlight w:val="none"/>
        </w:rPr>
        <w:t>20.5 其他保险</w:t>
      </w:r>
      <w:bookmarkEnd w:id="1047"/>
      <w:bookmarkEnd w:id="1048"/>
      <w:bookmarkEnd w:id="1049"/>
      <w:bookmarkEnd w:id="1050"/>
      <w:bookmarkEnd w:id="1051"/>
      <w:bookmarkEnd w:id="1052"/>
      <w:bookmarkEnd w:id="1053"/>
      <w:bookmarkEnd w:id="1054"/>
      <w:bookmarkEnd w:id="1055"/>
    </w:p>
    <w:p w14:paraId="44F582A4">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需要投保的其他内容：承包人除应为其施工设备、进场的材料和工程设备等办理保险外，还应按《中华人民共和国安全生产法》相关要求投保“安全生产责任保险”（简称：安责险）。</w:t>
      </w:r>
    </w:p>
    <w:p w14:paraId="430F4246">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保险金额、保险费率和保险期限：按照保单中明确的内容，保险期限不能低于合同履行期限。</w:t>
      </w:r>
    </w:p>
    <w:p w14:paraId="508F412D">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20.6 对各项保险的一般要求</w:t>
      </w:r>
    </w:p>
    <w:p w14:paraId="5257FAD3">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20.6.1 保险凭证</w:t>
      </w:r>
    </w:p>
    <w:p w14:paraId="19D86438">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承包人提交保险凭证的期限：</w:t>
      </w:r>
      <w:r>
        <w:rPr>
          <w:rFonts w:hint="eastAsia" w:ascii="宋体" w:hAnsi="宋体" w:cs="宋体"/>
          <w:color w:val="auto"/>
          <w:sz w:val="24"/>
          <w:highlight w:val="none"/>
          <w:u w:val="single"/>
        </w:rPr>
        <w:t xml:space="preserve"> </w:t>
      </w:r>
      <w:r>
        <w:rPr>
          <w:rFonts w:hint="eastAsia" w:ascii="宋体" w:hAnsi="宋体" w:cs="宋体"/>
          <w:color w:val="auto"/>
          <w:sz w:val="24"/>
          <w:szCs w:val="21"/>
          <w:highlight w:val="none"/>
          <w:u w:val="single"/>
        </w:rPr>
        <w:t xml:space="preserve">承包人应在接到开工通知后28天内提交 </w:t>
      </w:r>
      <w:r>
        <w:rPr>
          <w:rFonts w:hint="eastAsia" w:ascii="宋体" w:hAnsi="宋体" w:cs="宋体"/>
          <w:color w:val="auto"/>
          <w:sz w:val="24"/>
          <w:highlight w:val="none"/>
        </w:rPr>
        <w:t>。</w:t>
      </w:r>
    </w:p>
    <w:p w14:paraId="3C92FB79">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保险条件：</w:t>
      </w:r>
      <w:r>
        <w:rPr>
          <w:rFonts w:hint="eastAsia" w:ascii="宋体" w:hAnsi="宋体" w:cs="宋体"/>
          <w:color w:val="auto"/>
          <w:sz w:val="24"/>
          <w:highlight w:val="none"/>
          <w:u w:val="single"/>
        </w:rPr>
        <w:t>符合保险单的要求</w:t>
      </w:r>
      <w:r>
        <w:rPr>
          <w:rFonts w:hint="eastAsia" w:ascii="宋体" w:hAnsi="宋体" w:cs="宋体"/>
          <w:color w:val="auto"/>
          <w:sz w:val="24"/>
          <w:highlight w:val="none"/>
        </w:rPr>
        <w:t>。</w:t>
      </w:r>
    </w:p>
    <w:p w14:paraId="7ADB0755">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20.6.4 保险金不足的补偿</w:t>
      </w:r>
    </w:p>
    <w:p w14:paraId="3A677D71">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承包人负责补偿的范围与金额：</w:t>
      </w:r>
      <w:r>
        <w:rPr>
          <w:rFonts w:hint="eastAsia" w:ascii="宋体" w:hAnsi="宋体" w:cs="宋体"/>
          <w:color w:val="auto"/>
          <w:sz w:val="24"/>
          <w:highlight w:val="none"/>
          <w:u w:val="single"/>
        </w:rPr>
        <w:t>因承包人原因在施工中造成任意第三方人身及财产损害的，承包人应承担全部的责任并赔偿、补偿相应的损失。</w:t>
      </w:r>
    </w:p>
    <w:p w14:paraId="14345DCE">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发包人负责补偿的范围与金额：</w:t>
      </w:r>
      <w:r>
        <w:rPr>
          <w:rFonts w:hint="eastAsia" w:ascii="宋体" w:hAnsi="宋体" w:cs="宋体"/>
          <w:color w:val="auto"/>
          <w:sz w:val="24"/>
          <w:highlight w:val="none"/>
          <w:u w:val="single"/>
        </w:rPr>
        <w:t>双方协商确定</w:t>
      </w:r>
      <w:r>
        <w:rPr>
          <w:rFonts w:hint="eastAsia" w:ascii="宋体" w:hAnsi="宋体" w:cs="宋体"/>
          <w:color w:val="auto"/>
          <w:sz w:val="24"/>
          <w:highlight w:val="none"/>
        </w:rPr>
        <w:t>。</w:t>
      </w:r>
    </w:p>
    <w:p w14:paraId="076CFEF5">
      <w:pPr>
        <w:spacing w:line="360" w:lineRule="auto"/>
        <w:jc w:val="left"/>
        <w:outlineLvl w:val="2"/>
        <w:rPr>
          <w:rFonts w:hint="eastAsia" w:ascii="宋体" w:hAnsi="宋体" w:cs="宋体"/>
          <w:b/>
          <w:bCs/>
          <w:color w:val="auto"/>
          <w:sz w:val="28"/>
          <w:szCs w:val="28"/>
          <w:highlight w:val="none"/>
        </w:rPr>
      </w:pPr>
      <w:bookmarkStart w:id="1056" w:name="_Toc491074045"/>
      <w:bookmarkStart w:id="1057" w:name="_Toc26785"/>
      <w:bookmarkStart w:id="1058" w:name="_Toc104740355"/>
      <w:bookmarkStart w:id="1059" w:name="_Toc96899366"/>
      <w:bookmarkStart w:id="1060" w:name="_Toc491074046"/>
      <w:r>
        <w:rPr>
          <w:rFonts w:hint="eastAsia" w:ascii="宋体" w:hAnsi="宋体" w:cs="宋体"/>
          <w:b/>
          <w:bCs/>
          <w:color w:val="auto"/>
          <w:sz w:val="28"/>
          <w:szCs w:val="28"/>
          <w:highlight w:val="none"/>
        </w:rPr>
        <w:t>21.不可抗力</w:t>
      </w:r>
      <w:bookmarkEnd w:id="1056"/>
      <w:bookmarkEnd w:id="1057"/>
      <w:bookmarkEnd w:id="1058"/>
      <w:bookmarkEnd w:id="1059"/>
    </w:p>
    <w:p w14:paraId="2583EFEE">
      <w:pPr>
        <w:spacing w:line="360" w:lineRule="auto"/>
        <w:jc w:val="left"/>
        <w:rPr>
          <w:rFonts w:hint="eastAsia" w:ascii="宋体" w:hAnsi="宋体" w:cs="宋体"/>
          <w:b/>
          <w:bCs/>
          <w:color w:val="auto"/>
          <w:sz w:val="28"/>
          <w:szCs w:val="28"/>
          <w:highlight w:val="none"/>
        </w:rPr>
      </w:pPr>
      <w:bookmarkStart w:id="1061" w:name="_Toc493159596"/>
      <w:bookmarkStart w:id="1062" w:name="_Toc492380821"/>
      <w:bookmarkStart w:id="1063" w:name="_Toc492904622"/>
      <w:r>
        <w:rPr>
          <w:rFonts w:hint="eastAsia" w:ascii="宋体" w:hAnsi="宋体" w:cs="宋体"/>
          <w:b/>
          <w:bCs/>
          <w:color w:val="auto"/>
          <w:sz w:val="28"/>
          <w:szCs w:val="28"/>
          <w:highlight w:val="none"/>
        </w:rPr>
        <w:t>21.1不可抗力的确认</w:t>
      </w:r>
      <w:bookmarkEnd w:id="1061"/>
      <w:bookmarkEnd w:id="1062"/>
      <w:bookmarkEnd w:id="1063"/>
    </w:p>
    <w:p w14:paraId="4BEFA1F3">
      <w:pPr>
        <w:adjustRightInd w:val="0"/>
        <w:snapToGrid w:val="0"/>
        <w:spacing w:line="360" w:lineRule="auto"/>
        <w:ind w:firstLine="480" w:firstLineChars="200"/>
        <w:rPr>
          <w:rFonts w:hint="eastAsia" w:ascii="宋体" w:hAnsi="宋体" w:cs="宋体"/>
          <w:color w:val="auto"/>
          <w:sz w:val="24"/>
          <w:szCs w:val="21"/>
          <w:highlight w:val="none"/>
        </w:rPr>
      </w:pPr>
      <w:r>
        <w:rPr>
          <w:rFonts w:hint="eastAsia" w:ascii="宋体" w:hAnsi="宋体" w:cs="宋体"/>
          <w:color w:val="auto"/>
          <w:sz w:val="24"/>
          <w:szCs w:val="21"/>
          <w:highlight w:val="none"/>
        </w:rPr>
        <w:t>21.1.1 不可抗力的其他情形：</w:t>
      </w:r>
      <w:r>
        <w:rPr>
          <w:rFonts w:hint="eastAsia" w:ascii="宋体" w:hAnsi="宋体" w:cs="宋体"/>
          <w:color w:val="auto"/>
          <w:sz w:val="24"/>
          <w:szCs w:val="21"/>
          <w:highlight w:val="none"/>
          <w:u w:val="single"/>
        </w:rPr>
        <w:t>因空气重污染、重要节假日、会议等的停工</w:t>
      </w:r>
      <w:r>
        <w:rPr>
          <w:rFonts w:hint="eastAsia" w:ascii="宋体" w:hAnsi="宋体" w:cs="宋体"/>
          <w:color w:val="auto"/>
          <w:sz w:val="24"/>
          <w:szCs w:val="21"/>
          <w:highlight w:val="none"/>
        </w:rPr>
        <w:t>。</w:t>
      </w:r>
    </w:p>
    <w:p w14:paraId="23C05F94">
      <w:pPr>
        <w:spacing w:line="360" w:lineRule="auto"/>
        <w:jc w:val="left"/>
        <w:outlineLvl w:val="2"/>
        <w:rPr>
          <w:rFonts w:hint="eastAsia" w:ascii="宋体" w:hAnsi="宋体" w:cs="宋体"/>
          <w:b/>
          <w:bCs/>
          <w:color w:val="auto"/>
          <w:sz w:val="28"/>
          <w:szCs w:val="28"/>
          <w:highlight w:val="none"/>
        </w:rPr>
      </w:pPr>
      <w:bookmarkStart w:id="1064" w:name="_Toc83798293"/>
      <w:bookmarkStart w:id="1065" w:name="_Toc85185248"/>
      <w:bookmarkStart w:id="1066" w:name="_Toc80630384"/>
      <w:bookmarkStart w:id="1067" w:name="_Toc96899367"/>
      <w:bookmarkStart w:id="1068" w:name="_Toc26930"/>
      <w:bookmarkStart w:id="1069" w:name="_Toc104740356"/>
      <w:r>
        <w:rPr>
          <w:rFonts w:hint="eastAsia" w:ascii="宋体" w:hAnsi="宋体" w:cs="宋体"/>
          <w:b/>
          <w:bCs/>
          <w:color w:val="auto"/>
          <w:sz w:val="28"/>
          <w:szCs w:val="28"/>
          <w:highlight w:val="none"/>
        </w:rPr>
        <w:t>22.违约</w:t>
      </w:r>
      <w:bookmarkEnd w:id="1064"/>
      <w:bookmarkEnd w:id="1065"/>
      <w:bookmarkEnd w:id="1066"/>
      <w:bookmarkEnd w:id="1067"/>
      <w:bookmarkEnd w:id="1068"/>
      <w:bookmarkEnd w:id="1069"/>
    </w:p>
    <w:p w14:paraId="59010616">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22.1承包人违约</w:t>
      </w:r>
    </w:p>
    <w:p w14:paraId="63BDF30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在通用合同条款基础上增加以下内容：</w:t>
      </w:r>
    </w:p>
    <w:p w14:paraId="6945BB6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未经发包人书面同意并加盖公章，承包人不得将本工程转包、分包或部分转包给任意第三方，否则发包人有权单方面解除本合同。承包人应赔偿发包人因此遭受的全部损失，同时应向发包人支付相当于合同总价款 10%的违约金。</w:t>
      </w:r>
    </w:p>
    <w:p w14:paraId="6FA6F9E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由于承包人原因造成工期延误，承包人应按照合同约定逾期违约金计算方法和最高限额支付逾期违约金。承包人支付逾期违约金，不免除承包人完成工程及修补缺陷的义务。因承包人原因造成本工程项目的阶段性工期逾期10天或造成总工期逾期15 天及以上时，发包人有权单方面解除本合同，承包人应向发包人支付相当于合同总价款 10%的违约金。承包人还应当赔偿由此给发包人因此造成的全部损失。</w:t>
      </w:r>
    </w:p>
    <w:p w14:paraId="779E87D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承包人指派的负责人或技术人员未实际参与工程工作或者未经发包人书面同意并加盖公章，承包人擅自更换项目负责经理的，发包人有权单方面解除本合同。承包人应赔偿发包人合同总价款10%的金额作为违约金，同时还应当赔偿发包人因此造成的全部损失。</w:t>
      </w:r>
    </w:p>
    <w:p w14:paraId="3C0587A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承包人施工工作不满足合同约定的质量标准，应在发包人要求的期限内负责整改，为此导致交付迟延的，除按照前款规定承担违约责任。还应承担修复、修理、继续施工或退回重做等方式进行处理，直至工程达到约定的质量标准，经整改后，工程质量依然不合格的，发包人有权单方面解除本合同，承包人应按合同总价款的10%向发包人支付违约金，同时还应当赔偿发包人因此造成的全部损失。</w:t>
      </w:r>
    </w:p>
    <w:p w14:paraId="063B945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（5）承包人不得超越“合同”约定，以发包人名义从事其他活动，否则发包人有权单方面解除本合同，承包人应按合同总价款的10%向发包人支付违约金，同时还应当赔偿发包人因此造成的全部损失。</w:t>
      </w:r>
    </w:p>
    <w:p w14:paraId="3CE31D7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（6）承包人违反本合同约定的保密义务的，发包人有权单方面解除本合同并按照合同约定总价款的10%向承包人收取违约金，同时还应当赔偿发包人因此造成的全部损失。</w:t>
      </w:r>
    </w:p>
    <w:p w14:paraId="61F0B63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因承包人提供的工作成果侵犯第三方合法权益（包括但不限于知识产权在内的一切权利），发包人有权单方面解除本合同并按照合同约定总价款的10%向承包人收取违约金，同时承包人还应当赔偿发包人因此造成的全部损失。</w:t>
      </w:r>
    </w:p>
    <w:p w14:paraId="5B20752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承包人违反本合同约定，使用或处分因履行本合同所形成的技术及其相关知识产权的，发包人有权单方面解除本协议，承包人应按合同总价款的10%向发包人支付违约金，同时还应当赔偿发包人因此造成的全部损失。</w:t>
      </w:r>
    </w:p>
    <w:p w14:paraId="5BAE4E06">
      <w:pPr>
        <w:spacing w:line="360" w:lineRule="auto"/>
        <w:ind w:firstLine="480" w:firstLineChars="200"/>
        <w:rPr>
          <w:rFonts w:hint="eastAsia" w:ascii="宋体" w:hAnsi="宋体" w:cs="宋体"/>
          <w:color w:val="auto"/>
          <w:sz w:val="24"/>
          <w:highlight w:val="none"/>
        </w:rPr>
      </w:pPr>
      <w:bookmarkStart w:id="1070" w:name="_Hlk95397143"/>
      <w:bookmarkStart w:id="1071" w:name="_Hlk95397222"/>
      <w:r>
        <w:rPr>
          <w:rFonts w:hint="eastAsia" w:ascii="宋体" w:hAnsi="宋体" w:cs="宋体"/>
          <w:color w:val="auto"/>
          <w:sz w:val="24"/>
          <w:highlight w:val="none"/>
        </w:rPr>
        <w:t>（9）承包人因未与其聘用的员工签订劳动合同或未按期支付员工工资、交纳社会保险等原因或未支付农民工工资及保险费用引发劳资纠纷事件影响发包人工作和本工程项目正常进行的，发包人有权单方面解除本合同，承包人应当赔偿发包人因此遭受的其他损失，同时应向发包人支付相当于全部损失10%的违约金。</w:t>
      </w:r>
      <w:bookmarkEnd w:id="1070"/>
    </w:p>
    <w:p w14:paraId="0AA9982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（10）承包人未按规定使用非道路移动机械，应当向发包人支付合同总价款10%的违约金，并赔偿发包人因此造成的全部损失。</w:t>
      </w:r>
    </w:p>
    <w:p w14:paraId="2CABFBA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（11）承包人未按《北京市建筑垃圾处置管理规定》及本合同的约定，在符合要求的垃圾处置场所进行垃圾处置，应当向发包人支付合同总价款10%的违约金，并赔偿发包人因此造成的全部损失。</w:t>
      </w:r>
    </w:p>
    <w:p w14:paraId="5068D92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（12）承包人未按空气重污染应急预案要求，落实施工现场扬尘控制措施，受到监管部门处罚的，应当向发包人支付合同总价款10%的违约金，并赔偿发包人因此造成的全部损失。</w:t>
      </w:r>
    </w:p>
    <w:p w14:paraId="2EF9F2F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承包人未按要求办理工伤保险和安责险的，发包人有权扣除合同价款中相应费用作为违约金。发包人扣除违约金并不减免承包人保险义务，因承包人未办理保险造成发包人损失的，承包人应当赔偿发包人全部损失，同时向发包人支付合同价款10%作为违约金。</w:t>
      </w:r>
      <w:bookmarkEnd w:id="1071"/>
    </w:p>
    <w:p w14:paraId="73E6759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14）因承包人原因在施工中造成任意第三方人身及财产损害的，承包人应承担全部的责任并赔偿相应的损失，同时发包人有权单方面解除本合同，承包人应当向发包人支付合同总价款10%的违约金，并赔偿发包人因此造成的全部损失。</w:t>
      </w:r>
    </w:p>
    <w:p w14:paraId="3E29F9F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15）在本合同履行过程中，因承包人与任意第三方之间的诉讼或仲裁纠纷致使发包人在合同中约定的工作内容无法完成或因承包人与任意第三方之间的诉讼或仲裁行为包括但不限于造成发包人的账户、财产或与本合同有关的合同款项被查封、冻结或被法院发出协助执行通知的，发包人有权立即单方面解除本合同，承包人应按照合同总价款的10%向发包人支付违约金，同时还应当赔偿发包人因此造成的全部损失。</w:t>
      </w:r>
    </w:p>
    <w:p w14:paraId="418451F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（16）除本条（1）—（15）项约定的违约责任外，承包人未按合同第4.1.10款约定的其他事项履行义务，给发包人造成损失的，承包人应赔偿发包人因此造成的全部损失，同时向发包人支付合同价款2%的违约金。</w:t>
      </w:r>
    </w:p>
    <w:p w14:paraId="2DCB6E3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（17）合同生效后，承包人不得无故单独终止或解除合同，否则承包人应双倍返还发包人已支付的合同款，同时还应当赔偿发包人因此造成的全部损失。</w:t>
      </w:r>
    </w:p>
    <w:p w14:paraId="78E2112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（18）本合同约定的赔偿金、补偿金、违约金可从发包人应付工程款中直接扣除。</w:t>
      </w:r>
    </w:p>
    <w:p w14:paraId="2298291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19）违约方应当向守约方承担的上述赔偿责任以及守约方可能代为向第三方先行赔付后向违约方进行追偿的范围，均包括但不限于：给守约方造成的直接经济损失及预期利益、损害赔偿金、违约金、罚金、守约方为解决纠纷发生的各项费用（包括但不限于守约方为此或督促违约方履行相关义务而支付的诉讼费/仲裁费、公证费、鉴定费、保全费、担保费、差旅费、调查费、律师费（以北京市律师行业收费标准为限计算律师费）、交通费、被第三方追责产生的一切费用）。</w:t>
      </w:r>
    </w:p>
    <w:p w14:paraId="41F3CBCD">
      <w:pPr>
        <w:spacing w:line="360" w:lineRule="auto"/>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22.4 合同解除</w:t>
      </w:r>
    </w:p>
    <w:p w14:paraId="45BB36A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22.4.1 双方协商一致的，可以解除本合同。</w:t>
      </w:r>
    </w:p>
    <w:p w14:paraId="53EECCB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22.4.2 因不可抗力导致合同目的无法实现的，可以解除本合同。</w:t>
      </w:r>
    </w:p>
    <w:p w14:paraId="760441E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22.4.3 发包人有权在下列情形下单方面解除本合同：</w:t>
      </w:r>
    </w:p>
    <w:p w14:paraId="1AC9BF4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（1）承包人丧失履约能力或明确表示不能继续完成施工作业的；</w:t>
      </w:r>
    </w:p>
    <w:p w14:paraId="0A7460F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（2）由于承包人施工工作不满足合同约定的质量标准，发包人提出整改，经整改后不合格的；</w:t>
      </w:r>
    </w:p>
    <w:p w14:paraId="058DB50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（3）未经发包人书面同意并加盖公章，因承包人原因造成本工程项目的阶段性工期逾期 10 天或造成总工期逾期 15 天及以上的；</w:t>
      </w:r>
    </w:p>
    <w:p w14:paraId="68158E4E">
      <w:pPr>
        <w:spacing w:line="360" w:lineRule="auto"/>
        <w:ind w:firstLine="480" w:firstLineChars="200"/>
        <w:rPr>
          <w:rFonts w:hint="eastAsia" w:ascii="宋体" w:hAnsi="宋体" w:cs="宋体"/>
          <w:color w:val="auto"/>
          <w:highlight w:val="none"/>
        </w:rPr>
      </w:pPr>
      <w:r>
        <w:rPr>
          <w:rFonts w:hint="eastAsia" w:ascii="宋体" w:hAnsi="宋体" w:cs="宋体"/>
          <w:color w:val="auto"/>
          <w:sz w:val="24"/>
          <w:highlight w:val="none"/>
        </w:rPr>
        <w:t>（4）未经发包人书面同意并加盖公章，承包人将本工程转包、分包或部分转包给任意第三方的；</w:t>
      </w:r>
    </w:p>
    <w:p w14:paraId="0C3C6C6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（5）承包人超越“合同”约定，以发包人名义从事其他活动的；</w:t>
      </w:r>
    </w:p>
    <w:p w14:paraId="6E72AF0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（6）承包人指派的负责人或技术人员未实际参与本合同的施工工程或者未经发包人书面同意并加盖公章，承包人擅自更换本合同项目经理的；</w:t>
      </w:r>
    </w:p>
    <w:p w14:paraId="475A5FA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（7）承包人违反本合同约定的保密义务，包括但不限于承包人未妥善保管发包人提供的背景材料、技术资料、数据等，有复印、扫描等保存发包人资料行为，或者有侵害发包人商业秘密、知识产权等情形的；</w:t>
      </w:r>
    </w:p>
    <w:p w14:paraId="2799D75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（8）承包人提供的工作成果侵犯第三方合法权益（包括但不限于知识产权在内的一切权利）；</w:t>
      </w:r>
    </w:p>
    <w:p w14:paraId="06EE69F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（9）承包人违反本合同约定，使用或处分因履行本合同所形成的相关知识产权的；</w:t>
      </w:r>
    </w:p>
    <w:p w14:paraId="07D4531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（10）承包人未与其工作人员签订劳动合同或未按时支付工资、缴纳社会保险等引发劳资纠纷等事件影响发包人工作和工程项目正常进行的；</w:t>
      </w:r>
    </w:p>
    <w:p w14:paraId="74B36E8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（11）在本合同履行过程中有腐败和欺诈行为的。“腐败行为”和“欺诈行为”定义如下：</w:t>
      </w:r>
    </w:p>
    <w:p w14:paraId="7C04521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“腐败行为”是指提供/给予/接受或索取任何有价值的东西来影响发包人在合同签订、履行过程中的行为。</w:t>
      </w:r>
    </w:p>
    <w:p w14:paraId="0F9ECFB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“欺诈行为”是指为了影响合同签订、履行过程，以谎报事实的方法，损害发包人的利益的行为。</w:t>
      </w:r>
    </w:p>
    <w:p w14:paraId="187BD14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（12）因承包人原因在施工中造成任意第三方人身及财产损害的；</w:t>
      </w:r>
    </w:p>
    <w:p w14:paraId="0CDD9C5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在本合同履行过程中，因承包人与任意第三方之间的诉讼或仲裁纠纷致使发包人在合同中约定的工作内容无法完成或因承包人与任意第三方之间的诉讼或仲裁行为包括但不限于造成发包人的账户、财产或与本合同有关的合同款项被查封、冻结或被法院发出协助执行通知的；</w:t>
      </w:r>
    </w:p>
    <w:p w14:paraId="163092F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14）发包人单独行使解除本合同权利时，仅需单方面向本合同合同协议书中约定的承包人通讯地址发出书面解除合同通知，即通知内容到达本合同附件一合同协议书中约定的承包人通讯地址，本合同即解除。本合同合同协议书中约定的通讯地址为双方认可的通讯地址。任何一方变更通讯地址，应自变更之日起3日内，书面将变更后的地址通知另一方。若变更方不履行上述通知义务的，应对此造成的一切后果承担法律责任。上述双方确认的通讯地址，仲裁机构、人民法院可直接邮寄送达相关文件及司法文书。</w:t>
      </w:r>
    </w:p>
    <w:p w14:paraId="1701184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15）发包人、承包人双方因履行本合同而相互发出或提供的所有通知、文件、资料等，均应按照本合同合同协议书中所列明的通讯地址、联系电话、传真号码、电子邮件等通知方式进行送达。通过邮寄方式的，挂号寄出或者投邮当日视为送达，被退回的以退回之日视为送达；通过快递方式的，以签收之日视为送达，拒收或无人接收的以快递员写明的拒收或无人接收情况之日视为送达；通过传真或电子邮件方式的，以发出之日视为送达。</w:t>
      </w:r>
    </w:p>
    <w:p w14:paraId="14F882C1">
      <w:pPr>
        <w:spacing w:line="360" w:lineRule="auto"/>
        <w:jc w:val="left"/>
        <w:outlineLvl w:val="2"/>
        <w:rPr>
          <w:rFonts w:hint="eastAsia" w:ascii="宋体" w:hAnsi="宋体" w:cs="宋体"/>
          <w:b/>
          <w:bCs/>
          <w:color w:val="auto"/>
          <w:sz w:val="28"/>
          <w:szCs w:val="28"/>
          <w:highlight w:val="none"/>
        </w:rPr>
      </w:pPr>
      <w:bookmarkStart w:id="1072" w:name="_Toc16216"/>
      <w:bookmarkStart w:id="1073" w:name="_Toc96899368"/>
      <w:bookmarkStart w:id="1074" w:name="_Toc104740357"/>
      <w:r>
        <w:rPr>
          <w:rFonts w:hint="eastAsia" w:ascii="宋体" w:hAnsi="宋体" w:cs="宋体"/>
          <w:b/>
          <w:bCs/>
          <w:color w:val="auto"/>
          <w:sz w:val="28"/>
          <w:szCs w:val="28"/>
          <w:highlight w:val="none"/>
        </w:rPr>
        <w:t>24.争议</w:t>
      </w:r>
      <w:bookmarkEnd w:id="1060"/>
      <w:bookmarkEnd w:id="1072"/>
      <w:bookmarkEnd w:id="1073"/>
      <w:bookmarkEnd w:id="1074"/>
    </w:p>
    <w:p w14:paraId="1343EB39">
      <w:pPr>
        <w:spacing w:line="360" w:lineRule="auto"/>
        <w:jc w:val="left"/>
        <w:rPr>
          <w:rFonts w:hint="eastAsia" w:ascii="宋体" w:hAnsi="宋体" w:cs="宋体"/>
          <w:b/>
          <w:bCs/>
          <w:color w:val="auto"/>
          <w:sz w:val="28"/>
          <w:szCs w:val="28"/>
          <w:highlight w:val="none"/>
        </w:rPr>
      </w:pPr>
      <w:bookmarkStart w:id="1075" w:name="_Toc492380823"/>
      <w:bookmarkStart w:id="1076" w:name="_Toc493159598"/>
      <w:bookmarkStart w:id="1077" w:name="_Toc492904624"/>
      <w:r>
        <w:rPr>
          <w:rFonts w:hint="eastAsia" w:ascii="宋体" w:hAnsi="宋体" w:cs="宋体"/>
          <w:b/>
          <w:bCs/>
          <w:color w:val="auto"/>
          <w:sz w:val="28"/>
          <w:szCs w:val="28"/>
          <w:highlight w:val="none"/>
        </w:rPr>
        <w:t>24.1 争议的解决</w:t>
      </w:r>
      <w:bookmarkEnd w:id="1075"/>
      <w:bookmarkEnd w:id="1076"/>
      <w:bookmarkEnd w:id="1077"/>
    </w:p>
    <w:p w14:paraId="35E28CE9">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合同当事人友好协商解决不成、不愿提请争议评审或不接受争议评审组意见的，约定的合同争议解决方式：</w:t>
      </w:r>
      <w:r>
        <w:rPr>
          <w:rFonts w:hint="eastAsia" w:ascii="宋体" w:hAnsi="宋体" w:cs="宋体"/>
          <w:color w:val="auto"/>
          <w:sz w:val="24"/>
          <w:highlight w:val="none"/>
          <w:lang w:val="zh-CN"/>
        </w:rPr>
        <w:t>依法向</w:t>
      </w:r>
      <w:r>
        <w:rPr>
          <w:rFonts w:hint="eastAsia" w:ascii="宋体" w:hAnsi="宋体" w:cs="宋体"/>
          <w:color w:val="auto"/>
          <w:sz w:val="24"/>
          <w:highlight w:val="none"/>
          <w:u w:val="single"/>
          <w:lang w:val="zh-CN"/>
        </w:rPr>
        <w:t xml:space="preserve">  </w:t>
      </w:r>
      <w:r>
        <w:rPr>
          <w:rFonts w:hint="eastAsia" w:ascii="宋体" w:hAnsi="宋体" w:cs="宋体"/>
          <w:b/>
          <w:color w:val="auto"/>
          <w:sz w:val="24"/>
          <w:highlight w:val="none"/>
          <w:u w:val="single"/>
          <w:lang w:val="zh-CN"/>
        </w:rPr>
        <w:t>北京市怀柔区</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人民法院提起诉讼</w:t>
      </w:r>
      <w:r>
        <w:rPr>
          <w:rFonts w:hint="eastAsia" w:ascii="宋体" w:hAnsi="宋体" w:cs="宋体"/>
          <w:color w:val="auto"/>
          <w:sz w:val="24"/>
          <w:highlight w:val="none"/>
        </w:rPr>
        <w:t>。</w:t>
      </w:r>
    </w:p>
    <w:p w14:paraId="610C9C3F">
      <w:pPr>
        <w:spacing w:line="360" w:lineRule="auto"/>
        <w:jc w:val="left"/>
        <w:outlineLvl w:val="2"/>
        <w:rPr>
          <w:rFonts w:hint="eastAsia" w:ascii="宋体" w:hAnsi="宋体" w:cs="宋体"/>
          <w:b/>
          <w:bCs/>
          <w:color w:val="auto"/>
          <w:sz w:val="28"/>
          <w:szCs w:val="28"/>
          <w:highlight w:val="none"/>
        </w:rPr>
      </w:pPr>
      <w:bookmarkStart w:id="1078" w:name="_Toc104740358"/>
      <w:bookmarkStart w:id="1079" w:name="_Toc96899369"/>
      <w:bookmarkStart w:id="1080" w:name="_Toc2823"/>
      <w:r>
        <w:rPr>
          <w:rFonts w:hint="eastAsia" w:ascii="宋体" w:hAnsi="宋体" w:cs="宋体"/>
          <w:b/>
          <w:bCs/>
          <w:color w:val="auto"/>
          <w:sz w:val="28"/>
          <w:szCs w:val="28"/>
          <w:highlight w:val="none"/>
        </w:rPr>
        <w:t>25.其他</w:t>
      </w:r>
      <w:bookmarkEnd w:id="1078"/>
      <w:bookmarkEnd w:id="1079"/>
      <w:bookmarkEnd w:id="1080"/>
    </w:p>
    <w:p w14:paraId="0CB7F095">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25.1合同双方应认真落实北京市人民政府关于《北京市空气重污染应急预案》（京政发[2018]24号）的要求，履行各自责任。</w:t>
      </w:r>
    </w:p>
    <w:p w14:paraId="1D42D7B3">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25.2发包人对施工工地扬尘污染控制工作负总责，要及时支付安全防护、文明施工措施费用，并组织和督促承包人、监理人落实扬尘控制措施。及时向主管部门汇总上报管控的动态信息和数据。</w:t>
      </w:r>
    </w:p>
    <w:p w14:paraId="3B251E43">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25.3承包人对施工现场扬尘污染控制负主体责任，应当认真落实施工现场扬尘控制措施，保证安全防护、绿色文明施工措施费用的投入。</w:t>
      </w:r>
    </w:p>
    <w:p w14:paraId="06E3A010">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25.4监理人对施工现场扬尘污染控制负监理责任，应当督促施工单位在各个施工环节和施工现场严格执行各项扬尘控制措施。</w:t>
      </w:r>
    </w:p>
    <w:p w14:paraId="3092C42F">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25.5具体空气重污染预警分级及措施要求详见《北京市空气重污染应急水务系统分预案（2018年修订）》（京水务建管[2018]248号）。</w:t>
      </w:r>
      <w:bookmarkEnd w:id="896"/>
    </w:p>
    <w:p w14:paraId="5A091930">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25.6疫情防控要求：承包人需遵守北京市和本工程属地政府对新型冠状病毒疫情防护防控的相关要求。</w:t>
      </w:r>
    </w:p>
    <w:p w14:paraId="74A029B9">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25.7合同中所有标准如有最新标准则按最新标准执行。</w:t>
      </w:r>
    </w:p>
    <w:p w14:paraId="1FB9FB34">
      <w:pPr>
        <w:adjustRightInd w:val="0"/>
        <w:snapToGrid w:val="0"/>
        <w:spacing w:line="360" w:lineRule="auto"/>
        <w:ind w:firstLine="480" w:firstLineChars="200"/>
        <w:rPr>
          <w:rFonts w:hint="eastAsia" w:ascii="宋体" w:hAnsi="宋体" w:cs="宋体"/>
          <w:color w:val="auto"/>
          <w:sz w:val="24"/>
          <w:highlight w:val="none"/>
        </w:rPr>
      </w:pPr>
      <w:bookmarkStart w:id="1081" w:name="_Hlk108098092"/>
      <w:r>
        <w:rPr>
          <w:rFonts w:hint="eastAsia" w:ascii="宋体" w:hAnsi="宋体" w:cs="宋体"/>
          <w:color w:val="auto"/>
          <w:sz w:val="24"/>
          <w:highlight w:val="none"/>
        </w:rPr>
        <w:t>25.8为了规范农民工工资支付行为，保障农民工按时足额获得工资，根据《保障农民工工资支付条例》及有关法律规定，增加如下条款：</w:t>
      </w:r>
    </w:p>
    <w:p w14:paraId="34B9E180">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 人工费支付周期</w:t>
      </w:r>
    </w:p>
    <w:p w14:paraId="087FBBE0">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 承包人按月计量核算申请人工费，支付周期原则上不超过一个月，工程项目建设过程中因不可抗力等情况出现停工且无需支付人工工资的，可暂停申请拨付人工费。</w:t>
      </w:r>
    </w:p>
    <w:p w14:paraId="52D74688">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 人工费支付方式</w:t>
      </w:r>
    </w:p>
    <w:p w14:paraId="298CC92F">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①发包人支付人工费与工程款实行分账管理，承包人在支付时申请人工费，申请原则为当期计量支付项目中包含的人工费，经监理审核无误后，由发包人将人工费直接支付到农民工工资专用账户中。</w:t>
      </w:r>
    </w:p>
    <w:p w14:paraId="34B1DD42">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② 如当期计量支付项目中包含的人工费不足以支付当期农民工工资的，应按当期实际发生的人工费经监理审核后，由发包人通过银行代发支付到农民工工资专用账户中。</w:t>
      </w:r>
    </w:p>
    <w:p w14:paraId="3AFF020C">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 农民工支付资料备案</w:t>
      </w:r>
    </w:p>
    <w:p w14:paraId="73D50752">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承包人每月将农民工工资支付的资料报备监理备案。</w:t>
      </w:r>
    </w:p>
    <w:p w14:paraId="1B864B99">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 向发包人报告农民工工资用户名、开户银行、账号。</w:t>
      </w:r>
    </w:p>
    <w:bookmarkEnd w:id="892"/>
    <w:bookmarkEnd w:id="1081"/>
    <w:p w14:paraId="7EBA89FB">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r>
    </w:p>
    <w:p w14:paraId="4185C6D1">
      <w:pPr>
        <w:pStyle w:val="2"/>
        <w:rPr>
          <w:color w:val="auto"/>
          <w:highlight w:val="none"/>
        </w:rPr>
      </w:pPr>
    </w:p>
    <w:p w14:paraId="118FF2E8">
      <w:pPr>
        <w:keepNext/>
        <w:keepLines/>
        <w:adjustRightInd w:val="0"/>
        <w:snapToGrid w:val="0"/>
        <w:spacing w:line="360" w:lineRule="auto"/>
        <w:jc w:val="center"/>
        <w:outlineLvl w:val="1"/>
        <w:rPr>
          <w:rFonts w:hint="eastAsia" w:ascii="宋体" w:hAnsi="宋体" w:cs="宋体"/>
          <w:b/>
          <w:bCs/>
          <w:color w:val="auto"/>
          <w:sz w:val="32"/>
          <w:szCs w:val="32"/>
          <w:highlight w:val="none"/>
        </w:rPr>
      </w:pPr>
      <w:bookmarkStart w:id="1082" w:name="_Toc21629"/>
      <w:bookmarkStart w:id="1083" w:name="_Toc104740359"/>
      <w:bookmarkStart w:id="1084" w:name="_Toc31874"/>
      <w:bookmarkStart w:id="1085" w:name="_Toc93482636"/>
      <w:bookmarkStart w:id="1086" w:name="_Toc100756869"/>
      <w:bookmarkStart w:id="1087" w:name="_Toc96899370"/>
      <w:r>
        <w:rPr>
          <w:rFonts w:hint="eastAsia" w:ascii="宋体" w:hAnsi="宋体" w:cs="宋体"/>
          <w:b/>
          <w:bCs/>
          <w:color w:val="auto"/>
          <w:sz w:val="32"/>
          <w:szCs w:val="32"/>
          <w:highlight w:val="none"/>
        </w:rPr>
        <w:t>第3节  合同协议书及附件格式</w:t>
      </w:r>
      <w:bookmarkEnd w:id="1082"/>
      <w:bookmarkEnd w:id="1083"/>
      <w:bookmarkEnd w:id="1084"/>
      <w:bookmarkEnd w:id="1085"/>
      <w:bookmarkEnd w:id="1086"/>
      <w:bookmarkEnd w:id="1087"/>
    </w:p>
    <w:p w14:paraId="17CA4ABF">
      <w:pPr>
        <w:snapToGrid w:val="0"/>
        <w:spacing w:line="360" w:lineRule="auto"/>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合同协议书</w:t>
      </w:r>
    </w:p>
    <w:p w14:paraId="1AD58EE0">
      <w:pPr>
        <w:rPr>
          <w:rFonts w:hint="eastAsia" w:ascii="宋体" w:hAnsi="宋体" w:cs="宋体"/>
          <w:color w:val="auto"/>
          <w:highlight w:val="none"/>
        </w:rPr>
      </w:pPr>
    </w:p>
    <w:p w14:paraId="22CCDFD0">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u w:val="single"/>
        </w:rPr>
        <w:t>北京市水利工程管理中心</w:t>
      </w:r>
      <w:r>
        <w:rPr>
          <w:rFonts w:hint="eastAsia" w:ascii="宋体" w:hAnsi="宋体" w:cs="宋体"/>
          <w:color w:val="auto"/>
          <w:sz w:val="24"/>
          <w:highlight w:val="none"/>
        </w:rPr>
        <w:t>（发包人名称，以下简称“发包人”）为实施</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（项目名称），已接受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（承包人名称，以下简称“承包人”）对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（标段名称）的投标，并确定为中标人。发包人和承包人共同达成如下协议。</w:t>
      </w:r>
    </w:p>
    <w:p w14:paraId="0BB69DD3">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1.下列文件一起构成合同文件：</w:t>
      </w:r>
    </w:p>
    <w:p w14:paraId="7F5974CD">
      <w:pPr>
        <w:tabs>
          <w:tab w:val="left" w:pos="1117"/>
        </w:tabs>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（1）合同协议书（包括补充协议）；</w:t>
      </w:r>
    </w:p>
    <w:p w14:paraId="7C86DDB5">
      <w:pPr>
        <w:tabs>
          <w:tab w:val="left" w:pos="1117"/>
        </w:tabs>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（2）中标通知书；</w:t>
      </w:r>
    </w:p>
    <w:p w14:paraId="48912334">
      <w:pPr>
        <w:tabs>
          <w:tab w:val="left" w:pos="1117"/>
        </w:tabs>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（3）中标人对</w:t>
      </w:r>
      <w:r>
        <w:rPr>
          <w:rFonts w:hint="eastAsia" w:ascii="宋体" w:hAnsi="宋体" w:cs="宋体"/>
          <w:bCs/>
          <w:color w:val="auto"/>
          <w:sz w:val="24"/>
          <w:highlight w:val="none"/>
          <w:lang w:eastAsia="zh-CN"/>
        </w:rPr>
        <w:t>响应文件</w:t>
      </w:r>
      <w:r>
        <w:rPr>
          <w:rFonts w:hint="eastAsia" w:ascii="宋体" w:hAnsi="宋体" w:cs="宋体"/>
          <w:bCs/>
          <w:color w:val="auto"/>
          <w:sz w:val="24"/>
          <w:highlight w:val="none"/>
        </w:rPr>
        <w:t>所做出的澄清或说明；</w:t>
      </w:r>
    </w:p>
    <w:p w14:paraId="27E0EFD5">
      <w:pPr>
        <w:tabs>
          <w:tab w:val="left" w:pos="1117"/>
        </w:tabs>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 xml:space="preserve">（4）投标函及投标函附录； </w:t>
      </w:r>
    </w:p>
    <w:p w14:paraId="4C33E708">
      <w:pPr>
        <w:tabs>
          <w:tab w:val="left" w:pos="1117"/>
        </w:tabs>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（5）专用合同条款；</w:t>
      </w:r>
    </w:p>
    <w:p w14:paraId="2F4D8628">
      <w:pPr>
        <w:tabs>
          <w:tab w:val="left" w:pos="1117"/>
        </w:tabs>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（6）通用合同条款；</w:t>
      </w:r>
    </w:p>
    <w:p w14:paraId="54E5B2D1">
      <w:pPr>
        <w:tabs>
          <w:tab w:val="left" w:pos="1117"/>
        </w:tabs>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（7）技术标准和要求（合同技术条款）；</w:t>
      </w:r>
    </w:p>
    <w:p w14:paraId="366662FA">
      <w:pPr>
        <w:tabs>
          <w:tab w:val="left" w:pos="1117"/>
        </w:tabs>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（8）已标价的工程量清单；</w:t>
      </w:r>
    </w:p>
    <w:p w14:paraId="301949A7">
      <w:pPr>
        <w:tabs>
          <w:tab w:val="left" w:pos="1117"/>
        </w:tabs>
        <w:adjustRightInd w:val="0"/>
        <w:snapToGrid w:val="0"/>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（9）工程建设项目廉政合同、安全生产协议书、非道路移动机械使用承诺书、扬尘污染防治工作承诺书、北京市工程建设项目保障农民工工资支付工作承诺书</w:t>
      </w:r>
      <w:bookmarkStart w:id="1088" w:name="_Hlk108098146"/>
      <w:r>
        <w:rPr>
          <w:rFonts w:hint="eastAsia" w:ascii="宋体" w:hAnsi="宋体" w:cs="宋体"/>
          <w:bCs/>
          <w:color w:val="auto"/>
          <w:sz w:val="24"/>
          <w:highlight w:val="none"/>
        </w:rPr>
        <w:t>、履约担保、质量保证保函；</w:t>
      </w:r>
    </w:p>
    <w:bookmarkEnd w:id="1088"/>
    <w:p w14:paraId="1519D5C7">
      <w:pPr>
        <w:tabs>
          <w:tab w:val="left" w:pos="1117"/>
        </w:tabs>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bCs/>
          <w:color w:val="auto"/>
          <w:sz w:val="24"/>
          <w:highlight w:val="none"/>
        </w:rPr>
        <w:t>（10）经双方确认进入合同的其他文件。</w:t>
      </w:r>
    </w:p>
    <w:p w14:paraId="34EAE90E">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 上述文件互相补充和解释，如有不明确或不一致之处，以合同约定次序在先者为准。</w:t>
      </w:r>
    </w:p>
    <w:p w14:paraId="2473FE37">
      <w:pPr>
        <w:widowControl/>
        <w:shd w:val="clear" w:color="auto" w:fill="FFFFFF"/>
        <w:spacing w:line="360" w:lineRule="auto"/>
        <w:ind w:firstLine="480"/>
        <w:rPr>
          <w:rFonts w:hint="eastAsia" w:ascii="宋体" w:hAnsi="宋体" w:cs="宋体"/>
          <w:color w:val="auto"/>
          <w:kern w:val="0"/>
          <w:sz w:val="24"/>
          <w:highlight w:val="none"/>
          <w:u w:val="single"/>
        </w:rPr>
      </w:pPr>
      <w:r>
        <w:rPr>
          <w:rFonts w:hint="eastAsia" w:ascii="宋体" w:hAnsi="宋体" w:cs="宋体"/>
          <w:color w:val="auto"/>
          <w:kern w:val="0"/>
          <w:sz w:val="24"/>
          <w:highlight w:val="none"/>
        </w:rPr>
        <w:t>3.</w:t>
      </w:r>
      <w:r>
        <w:rPr>
          <w:rFonts w:hint="eastAsia" w:ascii="宋体" w:hAnsi="宋体" w:cs="宋体"/>
          <w:bCs/>
          <w:color w:val="auto"/>
          <w:sz w:val="24"/>
          <w:highlight w:val="none"/>
        </w:rPr>
        <w:t>工程地点：</w:t>
      </w:r>
      <w:r>
        <w:rPr>
          <w:rFonts w:hint="eastAsia" w:ascii="宋体" w:hAnsi="宋体" w:cs="宋体"/>
          <w:color w:val="auto"/>
          <w:sz w:val="24"/>
          <w:szCs w:val="28"/>
          <w:highlight w:val="none"/>
        </w:rPr>
        <w:t>北京市</w:t>
      </w:r>
      <w:r>
        <w:rPr>
          <w:rFonts w:hint="eastAsia" w:ascii="宋体" w:hAnsi="宋体" w:cs="宋体"/>
          <w:color w:val="auto"/>
          <w:sz w:val="24"/>
          <w:szCs w:val="28"/>
          <w:highlight w:val="none"/>
          <w:lang w:val="en-US" w:eastAsia="zh-CN"/>
        </w:rPr>
        <w:t>怀柔</w:t>
      </w:r>
      <w:r>
        <w:rPr>
          <w:rFonts w:hint="eastAsia" w:ascii="宋体" w:hAnsi="宋体" w:cs="宋体"/>
          <w:color w:val="auto"/>
          <w:sz w:val="24"/>
          <w:szCs w:val="28"/>
          <w:highlight w:val="none"/>
        </w:rPr>
        <w:t>区、顺义区。</w:t>
      </w:r>
    </w:p>
    <w:p w14:paraId="4666A665">
      <w:pPr>
        <w:adjustRightInd w:val="0"/>
        <w:snapToGrid w:val="0"/>
        <w:spacing w:line="360" w:lineRule="auto"/>
        <w:ind w:firstLine="480" w:firstLineChars="200"/>
        <w:rPr>
          <w:rFonts w:hint="eastAsia" w:ascii="宋体" w:hAnsi="宋体" w:cs="宋体"/>
          <w:color w:val="auto"/>
          <w:sz w:val="24"/>
          <w:szCs w:val="28"/>
          <w:highlight w:val="none"/>
        </w:rPr>
      </w:pPr>
      <w:r>
        <w:rPr>
          <w:rFonts w:hint="eastAsia" w:ascii="宋体" w:hAnsi="宋体" w:cs="宋体"/>
          <w:bCs/>
          <w:color w:val="auto"/>
          <w:sz w:val="24"/>
          <w:highlight w:val="none"/>
        </w:rPr>
        <w:t>4.工程内容：本次工程内容主要包括以下项目：</w:t>
      </w:r>
    </w:p>
    <w:p w14:paraId="31822DD5">
      <w:pPr>
        <w:widowControl/>
        <w:adjustRightInd w:val="0"/>
        <w:snapToGrid w:val="0"/>
        <w:spacing w:line="360" w:lineRule="auto"/>
        <w:ind w:firstLine="506"/>
        <w:rPr>
          <w:rFonts w:hint="eastAsia" w:ascii="宋体" w:hAnsi="宋体" w:cs="Arial"/>
          <w:bCs/>
          <w:color w:val="auto"/>
          <w:kern w:val="16"/>
          <w:sz w:val="24"/>
          <w:highlight w:val="none"/>
        </w:rPr>
      </w:pPr>
      <w:r>
        <w:rPr>
          <w:rFonts w:hint="eastAsia" w:ascii="宋体" w:hAnsi="宋体" w:cs="Arial"/>
          <w:bCs/>
          <w:color w:val="auto"/>
          <w:kern w:val="16"/>
          <w:sz w:val="24"/>
          <w:highlight w:val="none"/>
        </w:rPr>
        <w:t>（1）怀柔水库管理所</w:t>
      </w:r>
      <w:r>
        <w:rPr>
          <w:rFonts w:hint="eastAsia" w:ascii="宋体" w:hAnsi="宋体" w:cs="Arial"/>
          <w:bCs/>
          <w:color w:val="auto"/>
          <w:kern w:val="16"/>
          <w:sz w:val="24"/>
          <w:highlight w:val="none"/>
        </w:rPr>
        <w:tab/>
      </w:r>
    </w:p>
    <w:p w14:paraId="3E6888C0">
      <w:pPr>
        <w:widowControl/>
        <w:adjustRightInd w:val="0"/>
        <w:snapToGrid w:val="0"/>
        <w:spacing w:line="360" w:lineRule="auto"/>
        <w:ind w:firstLine="506"/>
        <w:rPr>
          <w:rFonts w:hint="eastAsia" w:ascii="宋体" w:hAnsi="宋体" w:cs="Arial"/>
          <w:bCs/>
          <w:color w:val="auto"/>
          <w:kern w:val="16"/>
          <w:sz w:val="24"/>
          <w:highlight w:val="none"/>
        </w:rPr>
      </w:pPr>
      <w:r>
        <w:rPr>
          <w:rFonts w:hint="eastAsia" w:ascii="宋体" w:hAnsi="宋体" w:cs="Arial"/>
          <w:bCs/>
          <w:color w:val="auto"/>
          <w:kern w:val="16"/>
          <w:sz w:val="24"/>
          <w:highlight w:val="none"/>
        </w:rPr>
        <w:t>1）峰山口输水闸下游渠道混凝土缺陷处理工程</w:t>
      </w:r>
    </w:p>
    <w:p w14:paraId="20CF95CD">
      <w:pPr>
        <w:widowControl/>
        <w:adjustRightInd w:val="0"/>
        <w:snapToGrid w:val="0"/>
        <w:spacing w:line="360" w:lineRule="auto"/>
        <w:ind w:firstLine="506"/>
        <w:rPr>
          <w:rFonts w:hint="eastAsia" w:ascii="宋体" w:hAnsi="宋体" w:cs="Arial"/>
          <w:bCs/>
          <w:color w:val="auto"/>
          <w:kern w:val="16"/>
          <w:sz w:val="24"/>
          <w:highlight w:val="none"/>
        </w:rPr>
      </w:pPr>
      <w:r>
        <w:rPr>
          <w:rFonts w:hint="eastAsia" w:ascii="宋体" w:hAnsi="宋体" w:cs="Arial"/>
          <w:bCs/>
          <w:color w:val="auto"/>
          <w:kern w:val="16"/>
          <w:sz w:val="24"/>
          <w:highlight w:val="none"/>
        </w:rPr>
        <w:t>2）怀柔水库闸站房屋修缮工程</w:t>
      </w:r>
    </w:p>
    <w:p w14:paraId="14C847E3">
      <w:pPr>
        <w:widowControl/>
        <w:adjustRightInd w:val="0"/>
        <w:snapToGrid w:val="0"/>
        <w:spacing w:line="360" w:lineRule="auto"/>
        <w:ind w:firstLine="506"/>
        <w:rPr>
          <w:rFonts w:hint="eastAsia" w:ascii="宋体" w:hAnsi="宋体" w:cs="Arial"/>
          <w:bCs/>
          <w:color w:val="auto"/>
          <w:kern w:val="16"/>
          <w:sz w:val="24"/>
          <w:highlight w:val="none"/>
        </w:rPr>
      </w:pPr>
      <w:r>
        <w:rPr>
          <w:rFonts w:hint="eastAsia" w:ascii="宋体" w:hAnsi="宋体" w:cs="Arial"/>
          <w:bCs/>
          <w:color w:val="auto"/>
          <w:kern w:val="16"/>
          <w:sz w:val="24"/>
          <w:highlight w:val="none"/>
        </w:rPr>
        <w:t>（</w:t>
      </w:r>
      <w:r>
        <w:rPr>
          <w:rFonts w:ascii="宋体" w:hAnsi="宋体" w:cs="Arial"/>
          <w:bCs/>
          <w:color w:val="auto"/>
          <w:kern w:val="16"/>
          <w:sz w:val="24"/>
          <w:highlight w:val="none"/>
        </w:rPr>
        <w:t>2</w:t>
      </w:r>
      <w:r>
        <w:rPr>
          <w:rFonts w:hint="eastAsia" w:ascii="宋体" w:hAnsi="宋体" w:cs="Arial"/>
          <w:bCs/>
          <w:color w:val="auto"/>
          <w:kern w:val="16"/>
          <w:sz w:val="24"/>
          <w:highlight w:val="none"/>
        </w:rPr>
        <w:t>）李家史山管理所</w:t>
      </w:r>
    </w:p>
    <w:p w14:paraId="495C6083">
      <w:pPr>
        <w:widowControl/>
        <w:adjustRightInd w:val="0"/>
        <w:snapToGrid w:val="0"/>
        <w:spacing w:line="360" w:lineRule="auto"/>
        <w:ind w:firstLine="506"/>
        <w:rPr>
          <w:rFonts w:hint="eastAsia" w:ascii="宋体" w:hAnsi="宋体" w:cs="Arial"/>
          <w:bCs/>
          <w:color w:val="auto"/>
          <w:kern w:val="16"/>
          <w:sz w:val="24"/>
          <w:highlight w:val="none"/>
        </w:rPr>
      </w:pPr>
      <w:r>
        <w:rPr>
          <w:rFonts w:hint="eastAsia" w:ascii="宋体" w:hAnsi="宋体" w:cs="Arial"/>
          <w:bCs/>
          <w:color w:val="auto"/>
          <w:kern w:val="16"/>
          <w:sz w:val="24"/>
          <w:highlight w:val="none"/>
        </w:rPr>
        <w:t>1）西台上节制闸混凝土缺陷处理工程</w:t>
      </w:r>
    </w:p>
    <w:p w14:paraId="1CB4598A">
      <w:pPr>
        <w:adjustRightInd w:val="0"/>
        <w:snapToGrid w:val="0"/>
        <w:spacing w:line="360" w:lineRule="auto"/>
        <w:ind w:firstLine="480" w:firstLineChars="200"/>
        <w:rPr>
          <w:rFonts w:hint="eastAsia" w:ascii="宋体" w:hAnsi="宋体" w:cs="宋体"/>
          <w:color w:val="auto"/>
          <w:sz w:val="24"/>
          <w:szCs w:val="28"/>
          <w:highlight w:val="none"/>
        </w:rPr>
      </w:pPr>
      <w:r>
        <w:rPr>
          <w:rFonts w:hint="eastAsia" w:ascii="宋体" w:hAnsi="宋体" w:cs="宋体"/>
          <w:color w:val="auto"/>
          <w:sz w:val="24"/>
          <w:highlight w:val="none"/>
        </w:rPr>
        <w:t xml:space="preserve">5. </w:t>
      </w:r>
      <w:r>
        <w:rPr>
          <w:rFonts w:hint="eastAsia" w:ascii="宋体" w:hAnsi="宋体" w:cs="宋体"/>
          <w:bCs/>
          <w:color w:val="auto"/>
          <w:sz w:val="24"/>
          <w:highlight w:val="none"/>
        </w:rPr>
        <w:t>工程承包范围：水利工程日常维修养护经费（中央）-2024年度水工建筑物维修养护工程项目</w:t>
      </w:r>
      <w:r>
        <w:rPr>
          <w:rFonts w:hint="eastAsia" w:ascii="宋体" w:hAnsi="宋体" w:cs="宋体"/>
          <w:color w:val="auto"/>
          <w:sz w:val="24"/>
          <w:szCs w:val="28"/>
          <w:highlight w:val="none"/>
        </w:rPr>
        <w:t>施工，包括工程量清单、技术条款及设计图纸所示的全部工程内容。</w:t>
      </w:r>
    </w:p>
    <w:p w14:paraId="0F0AD19E">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 签约合同价：人民币（大写）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5701A86D">
      <w:pPr>
        <w:adjustRightInd w:val="0"/>
        <w:snapToGrid w:val="0"/>
        <w:spacing w:line="36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rPr>
        <w:t>7. 合同形式：</w:t>
      </w:r>
      <w:r>
        <w:rPr>
          <w:rFonts w:hint="eastAsia" w:ascii="宋体" w:hAnsi="宋体" w:cs="宋体"/>
          <w:color w:val="auto"/>
          <w:sz w:val="24"/>
          <w:highlight w:val="none"/>
          <w:u w:val="single"/>
        </w:rPr>
        <w:t xml:space="preserve">  固定单价合同   </w:t>
      </w:r>
      <w:r>
        <w:rPr>
          <w:rFonts w:hint="eastAsia" w:ascii="宋体" w:hAnsi="宋体" w:cs="宋体"/>
          <w:color w:val="auto"/>
          <w:sz w:val="24"/>
          <w:highlight w:val="none"/>
        </w:rPr>
        <w:t>。</w:t>
      </w:r>
    </w:p>
    <w:p w14:paraId="0BE3C789">
      <w:pPr>
        <w:adjustRightInd w:val="0"/>
        <w:snapToGrid w:val="0"/>
        <w:spacing w:line="36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rPr>
        <w:t>8. 承包人项目经理：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4A4B5FD2">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 工程质量符合</w:t>
      </w:r>
      <w:r>
        <w:rPr>
          <w:rFonts w:hint="eastAsia" w:ascii="宋体" w:hAnsi="宋体" w:cs="宋体"/>
          <w:color w:val="auto"/>
          <w:highlight w:val="none"/>
          <w:u w:val="single"/>
        </w:rPr>
        <w:t xml:space="preserve">       </w:t>
      </w:r>
      <w:r>
        <w:rPr>
          <w:rFonts w:hint="eastAsia" w:ascii="宋体" w:hAnsi="宋体" w:cs="宋体"/>
          <w:color w:val="auto"/>
          <w:sz w:val="24"/>
          <w:highlight w:val="none"/>
        </w:rPr>
        <w:t>标准。</w:t>
      </w:r>
    </w:p>
    <w:p w14:paraId="00BD5305">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10. 安全文明施工管理目标等级：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4F052F48">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 承包人承诺按合同约定承担工程的实施、完成及缺陷修复。</w:t>
      </w:r>
    </w:p>
    <w:p w14:paraId="5FBB41C2">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12. 发包人承诺按合同约定的条件、时间和方式向承包人支付合同价款。</w:t>
      </w:r>
    </w:p>
    <w:p w14:paraId="1A2EAA1A">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 承包人应按照发包人指示开工，</w:t>
      </w:r>
      <w:r>
        <w:rPr>
          <w:rFonts w:hint="eastAsia" w:ascii="宋体" w:hAnsi="宋体" w:cs="宋体"/>
          <w:color w:val="auto"/>
          <w:sz w:val="24"/>
          <w:szCs w:val="22"/>
          <w:highlight w:val="none"/>
        </w:rPr>
        <w:t>计划开工日期为</w:t>
      </w:r>
      <w:r>
        <w:rPr>
          <w:rFonts w:hint="eastAsia" w:ascii="宋体" w:hAnsi="宋体" w:cs="宋体"/>
          <w:color w:val="auto"/>
          <w:sz w:val="24"/>
          <w:szCs w:val="22"/>
          <w:highlight w:val="none"/>
          <w:u w:val="single"/>
        </w:rPr>
        <w:t xml:space="preserve">             </w:t>
      </w:r>
      <w:r>
        <w:rPr>
          <w:rFonts w:hint="eastAsia" w:ascii="宋体" w:hAnsi="宋体" w:cs="宋体"/>
          <w:color w:val="auto"/>
          <w:sz w:val="24"/>
          <w:szCs w:val="22"/>
          <w:highlight w:val="none"/>
        </w:rPr>
        <w:t>，计划完工日期为：</w:t>
      </w:r>
      <w:r>
        <w:rPr>
          <w:rFonts w:hint="eastAsia" w:ascii="宋体" w:hAnsi="宋体" w:cs="宋体"/>
          <w:color w:val="auto"/>
          <w:sz w:val="24"/>
          <w:szCs w:val="22"/>
          <w:highlight w:val="none"/>
          <w:u w:val="single"/>
        </w:rPr>
        <w:t xml:space="preserve">              </w:t>
      </w:r>
      <w:r>
        <w:rPr>
          <w:rFonts w:hint="eastAsia" w:ascii="宋体" w:hAnsi="宋体" w:cs="宋体"/>
          <w:color w:val="auto"/>
          <w:sz w:val="24"/>
          <w:szCs w:val="22"/>
          <w:highlight w:val="none"/>
        </w:rPr>
        <w:t>，工期为</w:t>
      </w:r>
      <w:r>
        <w:rPr>
          <w:rFonts w:hint="eastAsia" w:ascii="宋体" w:hAnsi="宋体" w:cs="宋体"/>
          <w:color w:val="auto"/>
          <w:sz w:val="24"/>
          <w:szCs w:val="22"/>
          <w:highlight w:val="none"/>
          <w:u w:val="single"/>
        </w:rPr>
        <w:t xml:space="preserve">    </w:t>
      </w:r>
      <w:r>
        <w:rPr>
          <w:rFonts w:hint="eastAsia" w:ascii="宋体" w:hAnsi="宋体" w:cs="宋体"/>
          <w:color w:val="auto"/>
          <w:sz w:val="24"/>
          <w:szCs w:val="22"/>
          <w:highlight w:val="none"/>
        </w:rPr>
        <w:t>日。</w:t>
      </w:r>
    </w:p>
    <w:p w14:paraId="1F6B3B65">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14. 本协议书一式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份，合同双方各执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份，自双方法定代表人或委托代理人签字并加盖单位公章或合同专用章后生效。</w:t>
      </w:r>
    </w:p>
    <w:p w14:paraId="248C9C35">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15.合同未尽事宜，双方另行签订补充协议。补充协议是合同的有效组成部分，与本合同具有同等法律效力。</w:t>
      </w:r>
    </w:p>
    <w:p w14:paraId="4A405C5A">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16.若承包人违反其内部章程或其内部其他规定而签署本合同，因此而产生的责任由承包人承担，承包人不得以此为由对抗本合同项下责任的承担和义务的履行。</w:t>
      </w:r>
    </w:p>
    <w:p w14:paraId="001EF5B6">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17.附件属于本合同有效部分，与本合同具有同等法律效力，具体附件以实际需要进行签订。</w:t>
      </w:r>
    </w:p>
    <w:p w14:paraId="30C24628">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附件一：工程建设项目廉政合同</w:t>
      </w:r>
    </w:p>
    <w:p w14:paraId="473AAD40">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附件二：安全生产协议书</w:t>
      </w:r>
    </w:p>
    <w:p w14:paraId="26739CE5">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附件三：非道路移动机械使用承诺书</w:t>
      </w:r>
    </w:p>
    <w:p w14:paraId="37E5B9F9">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附件四：扬尘污染防治工作承诺书</w:t>
      </w:r>
    </w:p>
    <w:p w14:paraId="22A96C5A">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附件五：北京工程建设项目保障农民工工资支付工作承诺书</w:t>
      </w:r>
    </w:p>
    <w:p w14:paraId="4500BDB1">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附件六：履约担保</w:t>
      </w:r>
    </w:p>
    <w:p w14:paraId="2CA2BEF7">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附件七：质量保证保函</w:t>
      </w:r>
    </w:p>
    <w:p w14:paraId="33ED779C">
      <w:pPr>
        <w:tabs>
          <w:tab w:val="left" w:pos="4820"/>
        </w:tabs>
        <w:spacing w:line="360" w:lineRule="auto"/>
        <w:ind w:firstLine="484" w:firstLineChars="202"/>
        <w:rPr>
          <w:rFonts w:hint="eastAsia" w:ascii="宋体" w:hAnsi="宋体" w:cs="宋体"/>
          <w:color w:val="auto"/>
          <w:sz w:val="24"/>
          <w:highlight w:val="none"/>
          <w:u w:val="single"/>
        </w:rPr>
      </w:pPr>
      <w:r>
        <w:rPr>
          <w:rFonts w:hint="eastAsia" w:ascii="宋体" w:hAnsi="宋体" w:cs="宋体"/>
          <w:color w:val="auto"/>
          <w:sz w:val="24"/>
          <w:highlight w:val="none"/>
        </w:rPr>
        <w:t>发包人：</w:t>
      </w:r>
      <w:r>
        <w:rPr>
          <w:rFonts w:hint="eastAsia" w:ascii="宋体" w:hAnsi="宋体" w:cs="宋体"/>
          <w:color w:val="auto"/>
          <w:sz w:val="24"/>
          <w:highlight w:val="none"/>
          <w:u w:val="single"/>
        </w:rPr>
        <w:t xml:space="preserve"> 北京市水利工程管理中心    </w:t>
      </w:r>
      <w:r>
        <w:rPr>
          <w:rFonts w:hint="eastAsia" w:ascii="宋体" w:hAnsi="宋体" w:cs="宋体"/>
          <w:color w:val="auto"/>
          <w:sz w:val="24"/>
          <w:highlight w:val="none"/>
        </w:rPr>
        <w:t xml:space="preserve">   承包人：</w:t>
      </w:r>
      <w:r>
        <w:rPr>
          <w:rFonts w:hint="eastAsia" w:ascii="宋体" w:hAnsi="宋体" w:cs="宋体"/>
          <w:color w:val="auto"/>
          <w:sz w:val="24"/>
          <w:highlight w:val="none"/>
          <w:u w:val="single"/>
        </w:rPr>
        <w:t xml:space="preserve">                 </w:t>
      </w:r>
    </w:p>
    <w:p w14:paraId="6145CE39">
      <w:pPr>
        <w:tabs>
          <w:tab w:val="left" w:pos="4820"/>
        </w:tabs>
        <w:spacing w:line="360" w:lineRule="auto"/>
        <w:ind w:firstLine="1684" w:firstLineChars="702"/>
        <w:rPr>
          <w:rFonts w:hint="eastAsia" w:ascii="宋体" w:hAnsi="宋体" w:cs="宋体"/>
          <w:color w:val="auto"/>
          <w:sz w:val="24"/>
          <w:highlight w:val="none"/>
        </w:rPr>
      </w:pPr>
      <w:r>
        <w:rPr>
          <w:rFonts w:hint="eastAsia" w:ascii="宋体" w:hAnsi="宋体" w:cs="宋体"/>
          <w:color w:val="auto"/>
          <w:sz w:val="24"/>
          <w:highlight w:val="none"/>
        </w:rPr>
        <w:t>（盖章）                      （盖章）</w:t>
      </w:r>
    </w:p>
    <w:p w14:paraId="628F59EF">
      <w:pPr>
        <w:spacing w:line="360" w:lineRule="auto"/>
        <w:ind w:firstLine="484" w:firstLineChars="202"/>
        <w:rPr>
          <w:rFonts w:hint="eastAsia" w:ascii="宋体" w:hAnsi="宋体" w:cs="宋体"/>
          <w:color w:val="auto"/>
          <w:sz w:val="24"/>
          <w:highlight w:val="none"/>
        </w:rPr>
      </w:pPr>
      <w:r>
        <w:rPr>
          <w:rFonts w:hint="eastAsia" w:ascii="宋体" w:hAnsi="宋体" w:cs="宋体"/>
          <w:color w:val="auto"/>
          <w:sz w:val="24"/>
          <w:highlight w:val="none"/>
        </w:rPr>
        <w:t>法定代表人                          法定代表人</w:t>
      </w:r>
    </w:p>
    <w:p w14:paraId="13F5FA1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或委托代理人：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（签字）      或委托代理人：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（签字）</w:t>
      </w:r>
    </w:p>
    <w:p w14:paraId="0A608FA3">
      <w:pPr>
        <w:spacing w:line="360" w:lineRule="auto"/>
        <w:ind w:firstLine="484" w:firstLineChars="202"/>
        <w:rPr>
          <w:rFonts w:hint="eastAsia" w:ascii="宋体" w:hAnsi="宋体" w:cs="宋体"/>
          <w:color w:val="auto"/>
          <w:sz w:val="24"/>
          <w:highlight w:val="none"/>
        </w:rPr>
      </w:pPr>
    </w:p>
    <w:p w14:paraId="3F62B14D">
      <w:pPr>
        <w:spacing w:line="360" w:lineRule="auto"/>
        <w:ind w:firstLine="484" w:firstLineChars="202"/>
        <w:rPr>
          <w:rFonts w:hint="eastAsia" w:ascii="宋体" w:hAnsi="宋体" w:cs="宋体"/>
          <w:color w:val="auto"/>
          <w:sz w:val="24"/>
          <w:highlight w:val="none"/>
        </w:rPr>
      </w:pPr>
      <w:r>
        <w:rPr>
          <w:rFonts w:hint="eastAsia" w:ascii="宋体" w:hAnsi="宋体" w:cs="宋体"/>
          <w:color w:val="auto"/>
          <w:sz w:val="24"/>
          <w:highlight w:val="none"/>
        </w:rPr>
        <w:t>经办人：</w:t>
      </w:r>
    </w:p>
    <w:p w14:paraId="4CCC05DC">
      <w:pPr>
        <w:tabs>
          <w:tab w:val="center" w:pos="4535"/>
        </w:tabs>
        <w:spacing w:line="360" w:lineRule="auto"/>
        <w:ind w:firstLine="484" w:firstLineChars="202"/>
        <w:rPr>
          <w:rFonts w:hint="eastAsia" w:ascii="宋体" w:hAnsi="宋体" w:cs="宋体"/>
          <w:color w:val="auto"/>
          <w:sz w:val="24"/>
          <w:highlight w:val="none"/>
        </w:rPr>
      </w:pPr>
    </w:p>
    <w:p w14:paraId="46AE3B98">
      <w:pPr>
        <w:pStyle w:val="2"/>
        <w:ind w:firstLine="480"/>
        <w:rPr>
          <w:rFonts w:hint="eastAsia" w:ascii="宋体" w:hAnsi="宋体" w:cs="宋体"/>
          <w:color w:val="auto"/>
          <w:sz w:val="24"/>
          <w:highlight w:val="none"/>
        </w:rPr>
      </w:pPr>
    </w:p>
    <w:p w14:paraId="1AC2BC9D">
      <w:pPr>
        <w:pStyle w:val="2"/>
        <w:ind w:firstLine="480"/>
        <w:rPr>
          <w:rFonts w:hint="eastAsia" w:ascii="宋体" w:hAnsi="宋体" w:cs="宋体"/>
          <w:color w:val="auto"/>
          <w:sz w:val="24"/>
          <w:highlight w:val="none"/>
        </w:rPr>
      </w:pPr>
    </w:p>
    <w:p w14:paraId="62FA6929">
      <w:pPr>
        <w:spacing w:line="360" w:lineRule="auto"/>
        <w:ind w:firstLine="484" w:firstLineChars="202"/>
        <w:rPr>
          <w:rFonts w:hint="eastAsia" w:ascii="宋体" w:hAnsi="宋体" w:cs="宋体"/>
          <w:color w:val="auto"/>
          <w:sz w:val="24"/>
          <w:highlight w:val="none"/>
        </w:rPr>
      </w:pPr>
    </w:p>
    <w:p w14:paraId="04A9DC9E">
      <w:pPr>
        <w:spacing w:line="360" w:lineRule="auto"/>
        <w:ind w:firstLine="484" w:firstLineChars="202"/>
        <w:rPr>
          <w:rFonts w:hint="eastAsia" w:ascii="宋体" w:hAnsi="宋体" w:cs="宋体"/>
          <w:color w:val="auto"/>
          <w:sz w:val="24"/>
          <w:highlight w:val="none"/>
        </w:rPr>
      </w:pPr>
      <w:r>
        <w:rPr>
          <w:rFonts w:hint="eastAsia" w:ascii="宋体" w:hAnsi="宋体" w:cs="宋体"/>
          <w:color w:val="auto"/>
          <w:sz w:val="24"/>
          <w:highlight w:val="none"/>
        </w:rPr>
        <w:t>发包人地址：                        承包人地址：</w:t>
      </w:r>
    </w:p>
    <w:p w14:paraId="7D9562C3">
      <w:pPr>
        <w:spacing w:line="360" w:lineRule="auto"/>
        <w:ind w:firstLine="484" w:firstLineChars="202"/>
        <w:rPr>
          <w:rFonts w:hint="eastAsia" w:ascii="宋体" w:hAnsi="宋体" w:cs="宋体"/>
          <w:color w:val="auto"/>
          <w:sz w:val="24"/>
          <w:highlight w:val="none"/>
        </w:rPr>
      </w:pPr>
      <w:r>
        <w:rPr>
          <w:rFonts w:hint="eastAsia" w:ascii="宋体" w:hAnsi="宋体" w:cs="宋体"/>
          <w:color w:val="auto"/>
          <w:sz w:val="24"/>
          <w:highlight w:val="none"/>
        </w:rPr>
        <w:t>联系电话：                          联系电话：</w:t>
      </w:r>
    </w:p>
    <w:p w14:paraId="2D0FFE46">
      <w:pPr>
        <w:spacing w:line="360" w:lineRule="auto"/>
        <w:ind w:firstLine="484" w:firstLineChars="202"/>
        <w:rPr>
          <w:rFonts w:hint="eastAsia" w:ascii="宋体" w:hAnsi="宋体" w:cs="宋体"/>
          <w:color w:val="auto"/>
          <w:sz w:val="24"/>
          <w:highlight w:val="none"/>
        </w:rPr>
      </w:pPr>
      <w:r>
        <w:rPr>
          <w:rFonts w:hint="eastAsia" w:ascii="宋体" w:hAnsi="宋体" w:cs="宋体"/>
          <w:color w:val="auto"/>
          <w:sz w:val="24"/>
          <w:highlight w:val="none"/>
        </w:rPr>
        <w:t>传    真：                          传    真：</w:t>
      </w:r>
    </w:p>
    <w:p w14:paraId="7D910AFA">
      <w:pPr>
        <w:spacing w:line="360" w:lineRule="auto"/>
        <w:ind w:firstLine="484" w:firstLineChars="202"/>
        <w:rPr>
          <w:rFonts w:hint="eastAsia" w:ascii="宋体" w:hAnsi="宋体" w:cs="宋体"/>
          <w:color w:val="auto"/>
          <w:sz w:val="24"/>
          <w:highlight w:val="none"/>
        </w:rPr>
      </w:pPr>
    </w:p>
    <w:p w14:paraId="32D6EE74">
      <w:pPr>
        <w:spacing w:line="360" w:lineRule="auto"/>
        <w:ind w:firstLine="1440" w:firstLineChars="600"/>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018D6067">
      <w:pPr>
        <w:widowControl/>
        <w:jc w:val="left"/>
        <w:rPr>
          <w:rFonts w:hint="eastAsia" w:ascii="宋体" w:hAnsi="宋体" w:cs="宋体"/>
          <w:b/>
          <w:color w:val="auto"/>
          <w:sz w:val="24"/>
          <w:highlight w:val="none"/>
        </w:rPr>
      </w:pPr>
      <w:r>
        <w:rPr>
          <w:rFonts w:hint="eastAsia" w:ascii="宋体" w:hAnsi="宋体" w:cs="宋体"/>
          <w:b/>
          <w:color w:val="auto"/>
          <w:sz w:val="24"/>
          <w:highlight w:val="none"/>
        </w:rPr>
        <w:br w:type="page"/>
      </w:r>
    </w:p>
    <w:p w14:paraId="2A39349C">
      <w:pPr>
        <w:spacing w:line="312" w:lineRule="auto"/>
        <w:outlineLvl w:val="2"/>
        <w:rPr>
          <w:rFonts w:hint="eastAsia" w:ascii="宋体" w:hAnsi="宋体" w:cs="宋体"/>
          <w:b/>
          <w:color w:val="auto"/>
          <w:sz w:val="24"/>
          <w:highlight w:val="none"/>
        </w:rPr>
      </w:pPr>
      <w:bookmarkStart w:id="1089" w:name="_Toc104740363"/>
      <w:bookmarkStart w:id="1090" w:name="_Toc13614"/>
      <w:bookmarkStart w:id="1091" w:name="_Toc96899374"/>
      <w:r>
        <w:rPr>
          <w:rFonts w:hint="eastAsia" w:ascii="宋体" w:hAnsi="宋体" w:cs="宋体"/>
          <w:b/>
          <w:color w:val="auto"/>
          <w:sz w:val="24"/>
          <w:highlight w:val="none"/>
        </w:rPr>
        <w:t>附件一：</w:t>
      </w:r>
      <w:bookmarkStart w:id="1092" w:name="_Hlk16757721"/>
      <w:r>
        <w:rPr>
          <w:rFonts w:hint="eastAsia" w:ascii="宋体" w:hAnsi="宋体" w:cs="宋体"/>
          <w:b/>
          <w:color w:val="auto"/>
          <w:sz w:val="24"/>
          <w:highlight w:val="none"/>
        </w:rPr>
        <w:t>工程建设项目廉政合同</w:t>
      </w:r>
      <w:bookmarkEnd w:id="1089"/>
      <w:bookmarkEnd w:id="1090"/>
      <w:bookmarkEnd w:id="1091"/>
      <w:bookmarkEnd w:id="1092"/>
    </w:p>
    <w:p w14:paraId="2BEDC16E">
      <w:pPr>
        <w:spacing w:line="312" w:lineRule="auto"/>
        <w:rPr>
          <w:rFonts w:hint="eastAsia" w:ascii="宋体" w:hAnsi="宋体" w:cs="宋体"/>
          <w:color w:val="auto"/>
          <w:highlight w:val="none"/>
        </w:rPr>
      </w:pPr>
    </w:p>
    <w:p w14:paraId="7E3B1447">
      <w:pPr>
        <w:spacing w:line="360" w:lineRule="auto"/>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工程建设项目廉政合同</w:t>
      </w:r>
    </w:p>
    <w:p w14:paraId="532850B1">
      <w:pPr>
        <w:rPr>
          <w:rFonts w:hint="eastAsia" w:ascii="宋体" w:hAnsi="宋体" w:cs="宋体"/>
          <w:color w:val="auto"/>
          <w:sz w:val="24"/>
          <w:highlight w:val="none"/>
          <w:u w:val="single"/>
        </w:rPr>
      </w:pPr>
      <w:r>
        <w:rPr>
          <w:rFonts w:hint="eastAsia" w:ascii="宋体" w:hAnsi="宋体" w:cs="宋体"/>
          <w:color w:val="auto"/>
          <w:sz w:val="24"/>
          <w:highlight w:val="none"/>
        </w:rPr>
        <w:t>工程项目名称：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1709BC91">
      <w:pPr>
        <w:spacing w:line="500" w:lineRule="exact"/>
        <w:rPr>
          <w:rFonts w:hint="eastAsia" w:ascii="宋体" w:hAnsi="宋体" w:cs="宋体"/>
          <w:color w:val="auto"/>
          <w:sz w:val="24"/>
          <w:highlight w:val="none"/>
          <w:u w:val="single"/>
        </w:rPr>
      </w:pPr>
      <w:r>
        <w:rPr>
          <w:rFonts w:hint="eastAsia" w:ascii="宋体" w:hAnsi="宋体" w:cs="宋体"/>
          <w:color w:val="auto"/>
          <w:sz w:val="24"/>
          <w:highlight w:val="none"/>
        </w:rPr>
        <w:t>委托人（甲方）：</w:t>
      </w:r>
      <w:r>
        <w:rPr>
          <w:rFonts w:hint="eastAsia" w:ascii="宋体" w:hAnsi="宋体" w:cs="宋体"/>
          <w:color w:val="auto"/>
          <w:sz w:val="24"/>
          <w:highlight w:val="none"/>
          <w:u w:val="single"/>
        </w:rPr>
        <w:t>北京市水利工程管理中心北京市京密引水管理处</w:t>
      </w:r>
      <w:r>
        <w:rPr>
          <w:rFonts w:hint="eastAsia" w:ascii="宋体" w:hAnsi="宋体" w:cs="宋体"/>
          <w:color w:val="auto"/>
          <w:sz w:val="24"/>
          <w:highlight w:val="none"/>
        </w:rPr>
        <w:t xml:space="preserve">                    </w:t>
      </w:r>
    </w:p>
    <w:p w14:paraId="567D34F8">
      <w:pPr>
        <w:spacing w:line="500" w:lineRule="exact"/>
        <w:rPr>
          <w:rFonts w:hint="eastAsia" w:ascii="宋体" w:hAnsi="宋体" w:cs="宋体"/>
          <w:color w:val="auto"/>
          <w:sz w:val="24"/>
          <w:highlight w:val="none"/>
          <w:u w:val="single"/>
        </w:rPr>
      </w:pPr>
      <w:r>
        <w:rPr>
          <w:rFonts w:hint="eastAsia" w:ascii="宋体" w:hAnsi="宋体" w:cs="宋体"/>
          <w:color w:val="auto"/>
          <w:sz w:val="24"/>
          <w:highlight w:val="none"/>
        </w:rPr>
        <w:t>受托人（乙方）：</w:t>
      </w:r>
      <w:r>
        <w:rPr>
          <w:rFonts w:hint="eastAsia" w:ascii="宋体" w:hAnsi="宋体" w:cs="宋体"/>
          <w:color w:val="auto"/>
          <w:sz w:val="24"/>
          <w:highlight w:val="none"/>
          <w:u w:val="single"/>
        </w:rPr>
        <w:t xml:space="preserve">                                          </w:t>
      </w:r>
    </w:p>
    <w:p w14:paraId="16CBD61D">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为加强工程建设中的廉政建设，规范工程建设项目甲乙双方的各项活动，防止发生各种谋取不正当利益的违法违纪行为，保护国家、集体和当事人的合法权益，根据国家有关工程建设的法律法规和廉政建设责任制规定，特订立本廉政合同。</w:t>
      </w:r>
    </w:p>
    <w:p w14:paraId="570665F7">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第一条  甲乙双方的责任</w:t>
      </w:r>
    </w:p>
    <w:p w14:paraId="23D277D4">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（一）应严格遵守国家关于市场准入、项目招标投标、工程建设、施工安装和市场活动的有关法律、法规，相关政策，以及廉政建设的各项规定。</w:t>
      </w:r>
    </w:p>
    <w:p w14:paraId="25FEC32B">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（二）严格执行建设工程项目承发包合同文件，自觉按合同办事。</w:t>
      </w:r>
    </w:p>
    <w:p w14:paraId="2FAB9862">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（三）业务活动必须坚持公开、公平、公正、诚信、透明的原则（除法律法规另有规定者外），不得为获取不正当的利益，损害国家、集体和对方利益，不得违反工程建设管理、施工安装的规章制度。</w:t>
      </w:r>
    </w:p>
    <w:p w14:paraId="2E3B6066">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（四）发现对方在业务活动中有违规、违纪、违法行为的，应及时提醒对方，情节严重的，应向其上级主管部门或纪检监察、司法等有关机关举报。</w:t>
      </w:r>
    </w:p>
    <w:p w14:paraId="5DF3D0C0">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第二条  甲方的责任</w:t>
      </w:r>
    </w:p>
    <w:p w14:paraId="76E92D03">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甲方的领导和从事该建设工程项目的工作人员，在工程建设的事前、事中、事后应遵守以下规定：</w:t>
      </w:r>
    </w:p>
    <w:p w14:paraId="4C95CCB2">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（一）不准向乙方和相关单位索要或接受回扣、礼金、有价证券、贵重物品和好处费、感谢费等。</w:t>
      </w:r>
    </w:p>
    <w:p w14:paraId="074691A9">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（二）不准在乙方和相关单位报销任何应由甲方或个人支付的费用。</w:t>
      </w:r>
    </w:p>
    <w:p w14:paraId="7D41CA08">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（三）不准要求、暗示或接受乙方和相关单位为个人装修住房、婚丧嫁娶、配偶子女的工作安排以及出国（境）、旅游等提供方便。</w:t>
      </w:r>
    </w:p>
    <w:p w14:paraId="331A3883">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（四）不准参加有可能影响公正执行公务的乙方和相关单位的宴请、健身、娱乐等活动。</w:t>
      </w:r>
    </w:p>
    <w:p w14:paraId="03D05A98">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五）不准向乙方介绍或为配偶、子女、亲属参与同甲方项目工程施工合同有关的设备、材料工程分包、劳务等经济活动。不得以任何理由要求乙方和相关单位推荐分包单位和要求乙方购买项目工程施工合同约定以外的材料、设备等。</w:t>
      </w:r>
    </w:p>
    <w:p w14:paraId="04919A53">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第三条  乙方的责任</w:t>
      </w:r>
    </w:p>
    <w:p w14:paraId="74C94426">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应与甲方保持正常的业务交往，按照有关法律法规和程序开展业务工作，严格执行工程建设的有关方针、政策，尤其是有关建筑施工安装的强制性标准和规范，并遵守以下规定：</w:t>
      </w:r>
    </w:p>
    <w:p w14:paraId="5AAE3D0E">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（一）不准以任何理由向甲方、相关单位及其工作人员索要、接受或赠送礼金、有价证券、贵重物品和回扣、好处费、感谢费等。</w:t>
      </w:r>
    </w:p>
    <w:p w14:paraId="01C68CE1">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（二）不准以任何理由为甲方和相关单位报销应由对方或个人支付的费用。</w:t>
      </w:r>
    </w:p>
    <w:p w14:paraId="6A7B9AEC">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（三）不准接受或暗示为甲方、相关单位或个人装修住房、婚丧嫁娶、配偶子女的工作安排以及出国（境）、旅游等提供方便。</w:t>
      </w:r>
    </w:p>
    <w:p w14:paraId="05ED56D8">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（四）不准以任何理由为甲方、相关单位或个人组织有可能影响公正执行公务的宴请、健身、娱乐等活动。</w:t>
      </w:r>
    </w:p>
    <w:p w14:paraId="419EBFFE">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 xml:space="preserve">第四条  违约责任 </w:t>
      </w:r>
    </w:p>
    <w:p w14:paraId="0C1ECA2E">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一）甲方工作人员有违反本合同第一、二条责任行为的，按照管理权限，依据有关法律法规和规定给予党纪、政纪处分或组织处理；涉嫌犯罪的，移交司法机关追究刑事责任；给乙方单位造成经济损失的，应予以赔偿。</w:t>
      </w:r>
    </w:p>
    <w:p w14:paraId="574F535A">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乙方工作人员有违反本合同第一、三条责任行为的，按照管理权限，依据有关法律法规和规定给予党纪、政纪处分或组织处理；涉嫌犯罪的，移交司法机关追究刑事责任；给甲方单位造成经济损失的，应予以赔偿。</w:t>
      </w:r>
    </w:p>
    <w:p w14:paraId="1011301C">
      <w:pPr>
        <w:spacing w:line="500" w:lineRule="exact"/>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第五条  其他</w:t>
      </w:r>
    </w:p>
    <w:p w14:paraId="016B7E7A">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（一）本协议作为工程施工合同的附件，与工程施工合同具有同等法律效力。经双方签署后立即生效。</w:t>
      </w:r>
    </w:p>
    <w:p w14:paraId="3B3A1976">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（二）本协议的有效期为双方签署之日起至该工程项目竣工验收合格时止。</w:t>
      </w:r>
    </w:p>
    <w:p w14:paraId="7C3E85AF">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（三）本协议一式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份，由甲乙双方各执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份，送交甲乙双方的监督部门各壹份。</w:t>
      </w:r>
    </w:p>
    <w:p w14:paraId="2D38B33C">
      <w:pPr>
        <w:autoSpaceDE w:val="0"/>
        <w:autoSpaceDN w:val="0"/>
        <w:adjustRightInd w:val="0"/>
        <w:snapToGrid w:val="0"/>
        <w:spacing w:line="480" w:lineRule="atLeast"/>
        <w:ind w:firstLine="480" w:firstLineChars="200"/>
        <w:rPr>
          <w:rFonts w:hint="eastAsia" w:ascii="宋体" w:hAnsi="宋体" w:cs="宋体"/>
          <w:color w:val="auto"/>
          <w:sz w:val="24"/>
          <w:szCs w:val="28"/>
          <w:highlight w:val="none"/>
        </w:rPr>
      </w:pPr>
    </w:p>
    <w:p w14:paraId="33483F32">
      <w:pPr>
        <w:autoSpaceDE w:val="0"/>
        <w:autoSpaceDN w:val="0"/>
        <w:adjustRightInd w:val="0"/>
        <w:snapToGrid w:val="0"/>
        <w:spacing w:line="480" w:lineRule="atLeas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（本页是签订页，无正文）</w:t>
      </w:r>
    </w:p>
    <w:p w14:paraId="62D5E001">
      <w:pPr>
        <w:autoSpaceDE w:val="0"/>
        <w:autoSpaceDN w:val="0"/>
        <w:adjustRightInd w:val="0"/>
        <w:snapToGrid w:val="0"/>
        <w:spacing w:line="480" w:lineRule="atLeast"/>
        <w:ind w:firstLine="480" w:firstLineChars="200"/>
        <w:rPr>
          <w:rFonts w:hint="eastAsia" w:ascii="宋体" w:hAnsi="宋体" w:cs="宋体"/>
          <w:color w:val="auto"/>
          <w:sz w:val="24"/>
          <w:szCs w:val="28"/>
          <w:highlight w:val="none"/>
        </w:rPr>
      </w:pPr>
    </w:p>
    <w:p w14:paraId="7C5C5D72">
      <w:pPr>
        <w:autoSpaceDE w:val="0"/>
        <w:autoSpaceDN w:val="0"/>
        <w:adjustRightInd w:val="0"/>
        <w:snapToGrid w:val="0"/>
        <w:spacing w:line="480" w:lineRule="atLeast"/>
        <w:ind w:firstLine="480" w:firstLineChars="200"/>
        <w:rPr>
          <w:rFonts w:hint="eastAsia" w:ascii="宋体" w:hAnsi="宋体" w:cs="宋体"/>
          <w:color w:val="auto"/>
          <w:sz w:val="24"/>
          <w:szCs w:val="28"/>
          <w:highlight w:val="none"/>
          <w:lang w:val="zh-CN"/>
        </w:rPr>
      </w:pPr>
      <w:r>
        <w:rPr>
          <w:rFonts w:hint="eastAsia" w:ascii="宋体" w:hAnsi="宋体" w:cs="宋体"/>
          <w:color w:val="auto"/>
          <w:sz w:val="24"/>
          <w:szCs w:val="28"/>
          <w:highlight w:val="none"/>
          <w:lang w:val="zh-CN"/>
        </w:rPr>
        <w:t>甲方单位：</w:t>
      </w:r>
      <w:r>
        <w:rPr>
          <w:rFonts w:hint="eastAsia" w:ascii="宋体" w:hAnsi="宋体" w:cs="宋体"/>
          <w:color w:val="auto"/>
          <w:sz w:val="24"/>
          <w:szCs w:val="28"/>
          <w:highlight w:val="none"/>
          <w:u w:val="single"/>
          <w:lang w:val="zh-CN"/>
        </w:rPr>
        <w:t xml:space="preserve">            </w:t>
      </w:r>
      <w:r>
        <w:rPr>
          <w:rFonts w:hint="eastAsia" w:ascii="宋体" w:hAnsi="宋体" w:cs="宋体"/>
          <w:color w:val="auto"/>
          <w:sz w:val="24"/>
          <w:szCs w:val="28"/>
          <w:highlight w:val="none"/>
          <w:lang w:val="zh-CN"/>
        </w:rPr>
        <w:t xml:space="preserve">（盖章）  </w:t>
      </w:r>
      <w:r>
        <w:rPr>
          <w:rFonts w:hint="eastAsia" w:ascii="宋体" w:hAnsi="宋体" w:cs="宋体"/>
          <w:color w:val="auto"/>
          <w:sz w:val="24"/>
          <w:szCs w:val="28"/>
          <w:highlight w:val="none"/>
        </w:rPr>
        <w:t xml:space="preserve">     </w:t>
      </w:r>
      <w:r>
        <w:rPr>
          <w:rFonts w:hint="eastAsia" w:ascii="宋体" w:hAnsi="宋体" w:cs="宋体"/>
          <w:color w:val="auto"/>
          <w:sz w:val="24"/>
          <w:szCs w:val="28"/>
          <w:highlight w:val="none"/>
          <w:lang w:val="zh-CN"/>
        </w:rPr>
        <w:t>乙方单位：</w:t>
      </w:r>
      <w:r>
        <w:rPr>
          <w:rFonts w:hint="eastAsia" w:ascii="宋体" w:hAnsi="宋体" w:cs="宋体"/>
          <w:color w:val="auto"/>
          <w:sz w:val="24"/>
          <w:szCs w:val="28"/>
          <w:highlight w:val="none"/>
          <w:u w:val="single"/>
          <w:lang w:val="zh-CN"/>
        </w:rPr>
        <w:t xml:space="preserve">             </w:t>
      </w:r>
      <w:r>
        <w:rPr>
          <w:rFonts w:hint="eastAsia" w:ascii="宋体" w:hAnsi="宋体" w:cs="宋体"/>
          <w:color w:val="auto"/>
          <w:sz w:val="24"/>
          <w:szCs w:val="28"/>
          <w:highlight w:val="none"/>
          <w:lang w:val="zh-CN"/>
        </w:rPr>
        <w:t>（盖章）</w:t>
      </w:r>
    </w:p>
    <w:p w14:paraId="0924E06B">
      <w:pPr>
        <w:autoSpaceDE w:val="0"/>
        <w:autoSpaceDN w:val="0"/>
        <w:adjustRightInd w:val="0"/>
        <w:snapToGrid w:val="0"/>
        <w:spacing w:line="480" w:lineRule="atLeast"/>
        <w:ind w:firstLine="480" w:firstLineChars="200"/>
        <w:rPr>
          <w:rFonts w:hint="eastAsia" w:ascii="宋体" w:hAnsi="宋体" w:cs="宋体"/>
          <w:color w:val="auto"/>
          <w:sz w:val="24"/>
          <w:szCs w:val="28"/>
          <w:highlight w:val="none"/>
          <w:lang w:val="zh-CN"/>
        </w:rPr>
      </w:pPr>
    </w:p>
    <w:p w14:paraId="413C3E8C">
      <w:pPr>
        <w:autoSpaceDE w:val="0"/>
        <w:autoSpaceDN w:val="0"/>
        <w:adjustRightInd w:val="0"/>
        <w:snapToGrid w:val="0"/>
        <w:spacing w:line="480" w:lineRule="atLeast"/>
        <w:ind w:firstLine="480" w:firstLineChars="200"/>
        <w:rPr>
          <w:rFonts w:hint="eastAsia" w:ascii="宋体" w:hAnsi="宋体" w:cs="宋体"/>
          <w:color w:val="auto"/>
          <w:sz w:val="24"/>
          <w:szCs w:val="28"/>
          <w:highlight w:val="none"/>
          <w:lang w:val="zh-CN"/>
        </w:rPr>
      </w:pPr>
      <w:r>
        <w:rPr>
          <w:rFonts w:hint="eastAsia" w:ascii="宋体" w:hAnsi="宋体" w:cs="宋体"/>
          <w:color w:val="auto"/>
          <w:sz w:val="24"/>
          <w:szCs w:val="28"/>
          <w:highlight w:val="none"/>
          <w:lang w:val="zh-CN"/>
        </w:rPr>
        <w:t>负责人</w:t>
      </w:r>
      <w:r>
        <w:rPr>
          <w:rFonts w:hint="eastAsia" w:ascii="宋体" w:hAnsi="宋体" w:cs="宋体"/>
          <w:color w:val="auto"/>
          <w:sz w:val="24"/>
          <w:szCs w:val="28"/>
          <w:highlight w:val="none"/>
        </w:rPr>
        <w:t xml:space="preserve"> ：                       </w:t>
      </w:r>
      <w:r>
        <w:rPr>
          <w:rFonts w:hint="eastAsia" w:ascii="宋体" w:hAnsi="宋体" w:cs="宋体"/>
          <w:color w:val="auto"/>
          <w:sz w:val="24"/>
          <w:szCs w:val="28"/>
          <w:highlight w:val="none"/>
          <w:lang w:val="zh-CN"/>
        </w:rPr>
        <w:t xml:space="preserve"> </w:t>
      </w:r>
      <w:r>
        <w:rPr>
          <w:rFonts w:hint="eastAsia" w:ascii="宋体" w:hAnsi="宋体" w:cs="宋体"/>
          <w:color w:val="auto"/>
          <w:sz w:val="24"/>
          <w:szCs w:val="28"/>
          <w:highlight w:val="none"/>
        </w:rPr>
        <w:t xml:space="preserve">    </w:t>
      </w:r>
      <w:r>
        <w:rPr>
          <w:rFonts w:hint="eastAsia" w:ascii="宋体" w:hAnsi="宋体" w:cs="宋体"/>
          <w:color w:val="auto"/>
          <w:sz w:val="24"/>
          <w:szCs w:val="28"/>
          <w:highlight w:val="none"/>
          <w:lang w:val="zh-CN"/>
        </w:rPr>
        <w:t>法定代表人</w:t>
      </w:r>
    </w:p>
    <w:p w14:paraId="4306C062">
      <w:pPr>
        <w:autoSpaceDE w:val="0"/>
        <w:autoSpaceDN w:val="0"/>
        <w:adjustRightInd w:val="0"/>
        <w:snapToGrid w:val="0"/>
        <w:spacing w:line="480" w:lineRule="atLeast"/>
        <w:ind w:firstLine="1440" w:firstLineChars="600"/>
        <w:rPr>
          <w:rFonts w:hint="eastAsia" w:ascii="宋体" w:hAnsi="宋体" w:cs="宋体"/>
          <w:color w:val="auto"/>
          <w:sz w:val="24"/>
          <w:szCs w:val="28"/>
          <w:highlight w:val="none"/>
          <w:lang w:val="zh-CN"/>
        </w:rPr>
      </w:pPr>
      <w:r>
        <w:rPr>
          <w:rFonts w:hint="eastAsia" w:ascii="宋体" w:hAnsi="宋体" w:cs="宋体"/>
          <w:color w:val="auto"/>
          <w:sz w:val="24"/>
          <w:szCs w:val="28"/>
          <w:highlight w:val="none"/>
          <w:u w:val="single"/>
          <w:lang w:val="zh-CN"/>
        </w:rPr>
        <w:t xml:space="preserve">          </w:t>
      </w:r>
      <w:r>
        <w:rPr>
          <w:rFonts w:hint="eastAsia" w:ascii="宋体" w:hAnsi="宋体" w:cs="宋体"/>
          <w:color w:val="auto"/>
          <w:sz w:val="24"/>
          <w:szCs w:val="28"/>
          <w:highlight w:val="none"/>
          <w:lang w:val="zh-CN"/>
        </w:rPr>
        <w:t>（签字或盖章）</w:t>
      </w:r>
      <w:r>
        <w:rPr>
          <w:rFonts w:hint="eastAsia" w:ascii="宋体" w:hAnsi="宋体" w:cs="宋体"/>
          <w:color w:val="auto"/>
          <w:sz w:val="24"/>
          <w:szCs w:val="28"/>
          <w:highlight w:val="none"/>
        </w:rPr>
        <w:t xml:space="preserve">     </w:t>
      </w:r>
      <w:r>
        <w:rPr>
          <w:rFonts w:hint="eastAsia" w:ascii="宋体" w:hAnsi="宋体" w:cs="宋体"/>
          <w:color w:val="auto"/>
          <w:sz w:val="24"/>
          <w:szCs w:val="28"/>
          <w:highlight w:val="none"/>
          <w:lang w:val="zh-CN"/>
        </w:rPr>
        <w:t>或委托代理人：</w:t>
      </w:r>
      <w:r>
        <w:rPr>
          <w:rFonts w:hint="eastAsia" w:ascii="宋体" w:hAnsi="宋体" w:cs="宋体"/>
          <w:color w:val="auto"/>
          <w:sz w:val="24"/>
          <w:szCs w:val="28"/>
          <w:highlight w:val="none"/>
          <w:u w:val="single"/>
          <w:lang w:val="zh-CN"/>
        </w:rPr>
        <w:t xml:space="preserve">    </w:t>
      </w:r>
      <w:r>
        <w:rPr>
          <w:rFonts w:hint="eastAsia" w:ascii="宋体" w:hAnsi="宋体" w:cs="宋体"/>
          <w:color w:val="auto"/>
          <w:sz w:val="24"/>
          <w:szCs w:val="28"/>
          <w:highlight w:val="none"/>
          <w:u w:val="single"/>
        </w:rPr>
        <w:t xml:space="preserve">  </w:t>
      </w:r>
      <w:r>
        <w:rPr>
          <w:rFonts w:hint="eastAsia" w:ascii="宋体" w:hAnsi="宋体" w:cs="宋体"/>
          <w:color w:val="auto"/>
          <w:sz w:val="24"/>
          <w:szCs w:val="28"/>
          <w:highlight w:val="none"/>
          <w:u w:val="single"/>
          <w:lang w:val="zh-CN"/>
        </w:rPr>
        <w:t xml:space="preserve">   </w:t>
      </w:r>
      <w:r>
        <w:rPr>
          <w:rFonts w:hint="eastAsia" w:ascii="宋体" w:hAnsi="宋体" w:cs="宋体"/>
          <w:color w:val="auto"/>
          <w:sz w:val="24"/>
          <w:szCs w:val="28"/>
          <w:highlight w:val="none"/>
          <w:lang w:val="zh-CN"/>
        </w:rPr>
        <w:t>（签字或盖章）</w:t>
      </w:r>
    </w:p>
    <w:p w14:paraId="186C0026">
      <w:pPr>
        <w:autoSpaceDE w:val="0"/>
        <w:autoSpaceDN w:val="0"/>
        <w:adjustRightInd w:val="0"/>
        <w:snapToGrid w:val="0"/>
        <w:spacing w:line="480" w:lineRule="atLeast"/>
        <w:ind w:firstLine="480" w:firstLineChars="200"/>
        <w:rPr>
          <w:rFonts w:hint="eastAsia" w:ascii="宋体" w:hAnsi="宋体" w:cs="宋体"/>
          <w:color w:val="auto"/>
          <w:sz w:val="24"/>
          <w:szCs w:val="28"/>
          <w:highlight w:val="none"/>
          <w:lang w:val="zh-CN"/>
        </w:rPr>
      </w:pPr>
    </w:p>
    <w:p w14:paraId="2902D511">
      <w:pPr>
        <w:autoSpaceDE w:val="0"/>
        <w:autoSpaceDN w:val="0"/>
        <w:adjustRightInd w:val="0"/>
        <w:snapToGrid w:val="0"/>
        <w:spacing w:line="480" w:lineRule="atLeast"/>
        <w:ind w:firstLine="480" w:firstLineChars="200"/>
        <w:rPr>
          <w:rFonts w:hint="eastAsia" w:ascii="宋体" w:hAnsi="宋体" w:cs="宋体"/>
          <w:color w:val="auto"/>
          <w:sz w:val="24"/>
          <w:szCs w:val="28"/>
          <w:highlight w:val="none"/>
          <w:lang w:val="zh-CN"/>
        </w:rPr>
      </w:pPr>
    </w:p>
    <w:p w14:paraId="491A828B">
      <w:pPr>
        <w:spacing w:line="360" w:lineRule="auto"/>
        <w:ind w:firstLine="484" w:firstLineChars="202"/>
        <w:rPr>
          <w:rFonts w:hint="eastAsia" w:ascii="宋体" w:hAnsi="宋体" w:cs="宋体"/>
          <w:color w:val="auto"/>
          <w:sz w:val="24"/>
          <w:highlight w:val="none"/>
        </w:rPr>
      </w:pPr>
      <w:r>
        <w:rPr>
          <w:rFonts w:hint="eastAsia" w:ascii="宋体" w:hAnsi="宋体" w:cs="宋体"/>
          <w:color w:val="auto"/>
          <w:sz w:val="24"/>
          <w:highlight w:val="none"/>
        </w:rPr>
        <w:t>经办人：</w:t>
      </w:r>
    </w:p>
    <w:p w14:paraId="13144254">
      <w:pPr>
        <w:tabs>
          <w:tab w:val="center" w:pos="4535"/>
        </w:tabs>
        <w:spacing w:line="360" w:lineRule="auto"/>
        <w:ind w:firstLine="484" w:firstLineChars="202"/>
        <w:rPr>
          <w:rFonts w:hint="eastAsia" w:ascii="宋体" w:hAnsi="宋体" w:cs="宋体"/>
          <w:color w:val="auto"/>
          <w:sz w:val="24"/>
          <w:highlight w:val="none"/>
          <w:u w:val="single"/>
        </w:rPr>
      </w:pPr>
    </w:p>
    <w:p w14:paraId="126922D0">
      <w:pPr>
        <w:pStyle w:val="2"/>
        <w:rPr>
          <w:color w:val="auto"/>
          <w:highlight w:val="none"/>
        </w:rPr>
      </w:pPr>
    </w:p>
    <w:p w14:paraId="13B2387A">
      <w:pPr>
        <w:autoSpaceDE w:val="0"/>
        <w:autoSpaceDN w:val="0"/>
        <w:adjustRightInd w:val="0"/>
        <w:snapToGrid w:val="0"/>
        <w:spacing w:line="480" w:lineRule="atLeast"/>
        <w:ind w:firstLine="480" w:firstLineChars="200"/>
        <w:rPr>
          <w:rFonts w:hint="eastAsia" w:ascii="宋体" w:hAnsi="宋体" w:cs="宋体"/>
          <w:color w:val="auto"/>
          <w:sz w:val="24"/>
          <w:szCs w:val="28"/>
          <w:highlight w:val="none"/>
        </w:rPr>
      </w:pPr>
    </w:p>
    <w:p w14:paraId="5459EFB4">
      <w:pPr>
        <w:autoSpaceDE w:val="0"/>
        <w:autoSpaceDN w:val="0"/>
        <w:adjustRightInd w:val="0"/>
        <w:snapToGrid w:val="0"/>
        <w:spacing w:line="480" w:lineRule="atLeast"/>
        <w:ind w:firstLine="480" w:firstLineChars="200"/>
        <w:rPr>
          <w:rFonts w:hint="eastAsia" w:ascii="宋体" w:hAnsi="宋体" w:cs="宋体"/>
          <w:color w:val="auto"/>
          <w:sz w:val="24"/>
          <w:szCs w:val="28"/>
          <w:highlight w:val="none"/>
        </w:rPr>
      </w:pPr>
    </w:p>
    <w:p w14:paraId="082786CA">
      <w:pPr>
        <w:autoSpaceDE w:val="0"/>
        <w:autoSpaceDN w:val="0"/>
        <w:adjustRightInd w:val="0"/>
        <w:snapToGrid w:val="0"/>
        <w:spacing w:line="480" w:lineRule="atLeast"/>
        <w:ind w:firstLine="480" w:firstLineChars="200"/>
        <w:rPr>
          <w:rFonts w:hint="eastAsia" w:ascii="宋体" w:hAnsi="宋体" w:cs="宋体"/>
          <w:color w:val="auto"/>
          <w:sz w:val="24"/>
          <w:szCs w:val="28"/>
          <w:highlight w:val="none"/>
          <w:u w:val="single"/>
        </w:rPr>
      </w:pPr>
      <w:r>
        <w:rPr>
          <w:rFonts w:hint="eastAsia" w:ascii="宋体" w:hAnsi="宋体" w:cs="宋体"/>
          <w:color w:val="auto"/>
          <w:sz w:val="24"/>
          <w:szCs w:val="28"/>
          <w:highlight w:val="none"/>
          <w:lang w:val="zh-CN"/>
        </w:rPr>
        <w:t>地</w:t>
      </w:r>
      <w:r>
        <w:rPr>
          <w:rFonts w:hint="eastAsia" w:ascii="宋体" w:hAnsi="宋体" w:cs="宋体"/>
          <w:color w:val="auto"/>
          <w:sz w:val="24"/>
          <w:szCs w:val="28"/>
          <w:highlight w:val="none"/>
        </w:rPr>
        <w:t xml:space="preserve">      </w:t>
      </w:r>
      <w:r>
        <w:rPr>
          <w:rFonts w:hint="eastAsia" w:ascii="宋体" w:hAnsi="宋体" w:cs="宋体"/>
          <w:color w:val="auto"/>
          <w:sz w:val="24"/>
          <w:szCs w:val="28"/>
          <w:highlight w:val="none"/>
          <w:lang w:val="zh-CN"/>
        </w:rPr>
        <w:t>址</w:t>
      </w:r>
      <w:r>
        <w:rPr>
          <w:rFonts w:hint="eastAsia" w:ascii="宋体" w:hAnsi="宋体" w:cs="宋体"/>
          <w:color w:val="auto"/>
          <w:sz w:val="24"/>
          <w:szCs w:val="28"/>
          <w:highlight w:val="none"/>
        </w:rPr>
        <w:t>：</w:t>
      </w:r>
      <w:r>
        <w:rPr>
          <w:rFonts w:hint="eastAsia" w:ascii="宋体" w:hAnsi="宋体" w:cs="宋体"/>
          <w:color w:val="auto"/>
          <w:sz w:val="24"/>
          <w:szCs w:val="28"/>
          <w:highlight w:val="none"/>
          <w:u w:val="single"/>
        </w:rPr>
        <w:t xml:space="preserve">                   </w:t>
      </w:r>
      <w:r>
        <w:rPr>
          <w:rFonts w:hint="eastAsia" w:ascii="宋体" w:hAnsi="宋体" w:cs="宋体"/>
          <w:color w:val="auto"/>
          <w:sz w:val="24"/>
          <w:szCs w:val="28"/>
          <w:highlight w:val="none"/>
        </w:rPr>
        <w:t xml:space="preserve">      </w:t>
      </w:r>
      <w:r>
        <w:rPr>
          <w:rFonts w:hint="eastAsia" w:ascii="宋体" w:hAnsi="宋体" w:cs="宋体"/>
          <w:color w:val="auto"/>
          <w:sz w:val="24"/>
          <w:szCs w:val="28"/>
          <w:highlight w:val="none"/>
          <w:lang w:val="zh-CN"/>
        </w:rPr>
        <w:t>地</w:t>
      </w:r>
      <w:r>
        <w:rPr>
          <w:rFonts w:hint="eastAsia" w:ascii="宋体" w:hAnsi="宋体" w:cs="宋体"/>
          <w:color w:val="auto"/>
          <w:sz w:val="24"/>
          <w:szCs w:val="28"/>
          <w:highlight w:val="none"/>
        </w:rPr>
        <w:t xml:space="preserve">      </w:t>
      </w:r>
      <w:r>
        <w:rPr>
          <w:rFonts w:hint="eastAsia" w:ascii="宋体" w:hAnsi="宋体" w:cs="宋体"/>
          <w:color w:val="auto"/>
          <w:sz w:val="24"/>
          <w:szCs w:val="28"/>
          <w:highlight w:val="none"/>
          <w:lang w:val="zh-CN"/>
        </w:rPr>
        <w:t>址</w:t>
      </w:r>
      <w:r>
        <w:rPr>
          <w:rFonts w:hint="eastAsia" w:ascii="宋体" w:hAnsi="宋体" w:cs="宋体"/>
          <w:color w:val="auto"/>
          <w:sz w:val="24"/>
          <w:szCs w:val="28"/>
          <w:highlight w:val="none"/>
        </w:rPr>
        <w:t>：</w:t>
      </w:r>
      <w:r>
        <w:rPr>
          <w:rFonts w:hint="eastAsia" w:ascii="宋体" w:hAnsi="宋体" w:cs="宋体"/>
          <w:color w:val="auto"/>
          <w:sz w:val="24"/>
          <w:szCs w:val="28"/>
          <w:highlight w:val="none"/>
          <w:u w:val="single"/>
        </w:rPr>
        <w:t xml:space="preserve">                     </w:t>
      </w:r>
    </w:p>
    <w:p w14:paraId="60603643">
      <w:pPr>
        <w:autoSpaceDE w:val="0"/>
        <w:autoSpaceDN w:val="0"/>
        <w:adjustRightInd w:val="0"/>
        <w:snapToGrid w:val="0"/>
        <w:spacing w:line="480" w:lineRule="atLeast"/>
        <w:ind w:firstLine="480" w:firstLineChars="200"/>
        <w:rPr>
          <w:rFonts w:hint="eastAsia" w:ascii="宋体" w:hAnsi="宋体" w:cs="宋体"/>
          <w:color w:val="auto"/>
          <w:sz w:val="24"/>
          <w:szCs w:val="28"/>
          <w:highlight w:val="none"/>
          <w:u w:val="single"/>
          <w:lang w:val="zh-CN"/>
        </w:rPr>
      </w:pPr>
      <w:r>
        <w:rPr>
          <w:rFonts w:hint="eastAsia" w:ascii="宋体" w:hAnsi="宋体" w:cs="宋体"/>
          <w:color w:val="auto"/>
          <w:sz w:val="24"/>
          <w:szCs w:val="28"/>
          <w:highlight w:val="none"/>
          <w:lang w:val="zh-CN"/>
        </w:rPr>
        <w:t>电      话：</w:t>
      </w:r>
      <w:r>
        <w:rPr>
          <w:rFonts w:hint="eastAsia" w:ascii="宋体" w:hAnsi="宋体" w:cs="宋体"/>
          <w:color w:val="auto"/>
          <w:sz w:val="24"/>
          <w:szCs w:val="28"/>
          <w:highlight w:val="none"/>
          <w:u w:val="single"/>
          <w:lang w:val="zh-CN"/>
        </w:rPr>
        <w:t xml:space="preserve">                   </w:t>
      </w:r>
      <w:r>
        <w:rPr>
          <w:rFonts w:hint="eastAsia" w:ascii="宋体" w:hAnsi="宋体" w:cs="宋体"/>
          <w:color w:val="auto"/>
          <w:sz w:val="24"/>
          <w:szCs w:val="28"/>
          <w:highlight w:val="none"/>
          <w:lang w:val="zh-CN"/>
        </w:rPr>
        <w:t xml:space="preserve">      电      话：</w:t>
      </w:r>
      <w:r>
        <w:rPr>
          <w:rFonts w:hint="eastAsia" w:ascii="宋体" w:hAnsi="宋体" w:cs="宋体"/>
          <w:color w:val="auto"/>
          <w:sz w:val="24"/>
          <w:szCs w:val="28"/>
          <w:highlight w:val="none"/>
          <w:u w:val="single"/>
          <w:lang w:val="zh-CN"/>
        </w:rPr>
        <w:t xml:space="preserve">                     </w:t>
      </w:r>
    </w:p>
    <w:p w14:paraId="6C47746F">
      <w:pPr>
        <w:autoSpaceDE w:val="0"/>
        <w:autoSpaceDN w:val="0"/>
        <w:adjustRightInd w:val="0"/>
        <w:snapToGrid w:val="0"/>
        <w:spacing w:line="480" w:lineRule="atLeast"/>
        <w:ind w:firstLine="480" w:firstLineChars="200"/>
        <w:rPr>
          <w:rFonts w:hint="eastAsia" w:ascii="宋体" w:hAnsi="宋体" w:cs="宋体"/>
          <w:color w:val="auto"/>
          <w:sz w:val="24"/>
          <w:szCs w:val="28"/>
          <w:highlight w:val="none"/>
          <w:lang w:val="zh-CN"/>
        </w:rPr>
      </w:pPr>
      <w:r>
        <w:rPr>
          <w:rFonts w:hint="eastAsia" w:ascii="宋体" w:hAnsi="宋体" w:cs="宋体"/>
          <w:color w:val="auto"/>
          <w:sz w:val="24"/>
          <w:szCs w:val="28"/>
          <w:highlight w:val="none"/>
          <w:lang w:val="zh-CN"/>
        </w:rPr>
        <w:t>日      期：</w:t>
      </w:r>
      <w:r>
        <w:rPr>
          <w:rFonts w:hint="eastAsia" w:ascii="宋体" w:hAnsi="宋体" w:cs="宋体"/>
          <w:color w:val="auto"/>
          <w:sz w:val="24"/>
          <w:szCs w:val="28"/>
          <w:highlight w:val="none"/>
          <w:u w:val="single"/>
          <w:lang w:val="zh-CN"/>
        </w:rPr>
        <w:t xml:space="preserve">     </w:t>
      </w:r>
      <w:r>
        <w:rPr>
          <w:rFonts w:hint="eastAsia" w:ascii="宋体" w:hAnsi="宋体" w:cs="宋体"/>
          <w:color w:val="auto"/>
          <w:sz w:val="24"/>
          <w:szCs w:val="28"/>
          <w:highlight w:val="none"/>
          <w:lang w:val="zh-CN"/>
        </w:rPr>
        <w:t>年</w:t>
      </w:r>
      <w:r>
        <w:rPr>
          <w:rFonts w:hint="eastAsia" w:ascii="宋体" w:hAnsi="宋体" w:cs="宋体"/>
          <w:color w:val="auto"/>
          <w:sz w:val="24"/>
          <w:szCs w:val="28"/>
          <w:highlight w:val="none"/>
          <w:u w:val="single"/>
          <w:lang w:val="zh-CN"/>
        </w:rPr>
        <w:t xml:space="preserve">    </w:t>
      </w:r>
      <w:r>
        <w:rPr>
          <w:rFonts w:hint="eastAsia" w:ascii="宋体" w:hAnsi="宋体" w:cs="宋体"/>
          <w:color w:val="auto"/>
          <w:sz w:val="24"/>
          <w:szCs w:val="28"/>
          <w:highlight w:val="none"/>
          <w:lang w:val="zh-CN"/>
        </w:rPr>
        <w:t>月</w:t>
      </w:r>
      <w:r>
        <w:rPr>
          <w:rFonts w:hint="eastAsia" w:ascii="宋体" w:hAnsi="宋体" w:cs="宋体"/>
          <w:color w:val="auto"/>
          <w:sz w:val="24"/>
          <w:szCs w:val="28"/>
          <w:highlight w:val="none"/>
          <w:u w:val="single"/>
          <w:lang w:val="zh-CN"/>
        </w:rPr>
        <w:t xml:space="preserve">    </w:t>
      </w:r>
      <w:r>
        <w:rPr>
          <w:rFonts w:hint="eastAsia" w:ascii="宋体" w:hAnsi="宋体" w:cs="宋体"/>
          <w:color w:val="auto"/>
          <w:sz w:val="24"/>
          <w:szCs w:val="28"/>
          <w:highlight w:val="none"/>
          <w:lang w:val="zh-CN"/>
        </w:rPr>
        <w:t>日      日      期：</w:t>
      </w:r>
      <w:r>
        <w:rPr>
          <w:rFonts w:hint="eastAsia" w:ascii="宋体" w:hAnsi="宋体" w:cs="宋体"/>
          <w:color w:val="auto"/>
          <w:sz w:val="24"/>
          <w:szCs w:val="28"/>
          <w:highlight w:val="none"/>
          <w:u w:val="single"/>
          <w:lang w:val="zh-CN"/>
        </w:rPr>
        <w:t xml:space="preserve">     </w:t>
      </w:r>
      <w:r>
        <w:rPr>
          <w:rFonts w:hint="eastAsia" w:ascii="宋体" w:hAnsi="宋体" w:cs="宋体"/>
          <w:color w:val="auto"/>
          <w:sz w:val="24"/>
          <w:szCs w:val="28"/>
          <w:highlight w:val="none"/>
          <w:lang w:val="zh-CN"/>
        </w:rPr>
        <w:t>年</w:t>
      </w:r>
      <w:r>
        <w:rPr>
          <w:rFonts w:hint="eastAsia" w:ascii="宋体" w:hAnsi="宋体" w:cs="宋体"/>
          <w:color w:val="auto"/>
          <w:sz w:val="24"/>
          <w:szCs w:val="28"/>
          <w:highlight w:val="none"/>
          <w:u w:val="single"/>
          <w:lang w:val="zh-CN"/>
        </w:rPr>
        <w:t xml:space="preserve">    </w:t>
      </w:r>
      <w:r>
        <w:rPr>
          <w:rFonts w:hint="eastAsia" w:ascii="宋体" w:hAnsi="宋体" w:cs="宋体"/>
          <w:color w:val="auto"/>
          <w:sz w:val="24"/>
          <w:szCs w:val="28"/>
          <w:highlight w:val="none"/>
          <w:lang w:val="zh-CN"/>
        </w:rPr>
        <w:t>月</w:t>
      </w:r>
      <w:r>
        <w:rPr>
          <w:rFonts w:hint="eastAsia" w:ascii="宋体" w:hAnsi="宋体" w:cs="宋体"/>
          <w:color w:val="auto"/>
          <w:sz w:val="24"/>
          <w:szCs w:val="28"/>
          <w:highlight w:val="none"/>
          <w:u w:val="single"/>
          <w:lang w:val="zh-CN"/>
        </w:rPr>
        <w:t xml:space="preserve">    </w:t>
      </w:r>
      <w:r>
        <w:rPr>
          <w:rFonts w:hint="eastAsia" w:ascii="宋体" w:hAnsi="宋体" w:cs="宋体"/>
          <w:color w:val="auto"/>
          <w:sz w:val="24"/>
          <w:szCs w:val="28"/>
          <w:highlight w:val="none"/>
          <w:lang w:val="zh-CN"/>
        </w:rPr>
        <w:t>日</w:t>
      </w:r>
    </w:p>
    <w:p w14:paraId="0B2C3567">
      <w:pPr>
        <w:autoSpaceDE w:val="0"/>
        <w:autoSpaceDN w:val="0"/>
        <w:adjustRightInd w:val="0"/>
        <w:snapToGrid w:val="0"/>
        <w:spacing w:line="480" w:lineRule="atLeast"/>
        <w:rPr>
          <w:rFonts w:hint="eastAsia" w:ascii="宋体" w:hAnsi="宋体" w:cs="宋体"/>
          <w:color w:val="auto"/>
          <w:sz w:val="24"/>
          <w:szCs w:val="28"/>
          <w:highlight w:val="none"/>
          <w:lang w:val="zh-CN"/>
        </w:rPr>
      </w:pPr>
    </w:p>
    <w:p w14:paraId="254D9C1A">
      <w:pPr>
        <w:autoSpaceDE w:val="0"/>
        <w:autoSpaceDN w:val="0"/>
        <w:adjustRightInd w:val="0"/>
        <w:snapToGrid w:val="0"/>
        <w:spacing w:line="480" w:lineRule="atLeast"/>
        <w:ind w:firstLine="480" w:firstLineChars="200"/>
        <w:rPr>
          <w:rFonts w:hint="eastAsia" w:ascii="宋体" w:hAnsi="宋体" w:cs="宋体"/>
          <w:color w:val="auto"/>
          <w:sz w:val="24"/>
          <w:szCs w:val="28"/>
          <w:highlight w:val="none"/>
          <w:lang w:val="zh-CN"/>
        </w:rPr>
      </w:pPr>
    </w:p>
    <w:p w14:paraId="0DF319AD">
      <w:pPr>
        <w:autoSpaceDE w:val="0"/>
        <w:autoSpaceDN w:val="0"/>
        <w:adjustRightInd w:val="0"/>
        <w:snapToGrid w:val="0"/>
        <w:spacing w:line="480" w:lineRule="atLeast"/>
        <w:ind w:firstLine="480" w:firstLineChars="200"/>
        <w:rPr>
          <w:rFonts w:hint="eastAsia" w:ascii="宋体" w:hAnsi="宋体" w:cs="宋体"/>
          <w:color w:val="auto"/>
          <w:sz w:val="24"/>
          <w:szCs w:val="28"/>
          <w:highlight w:val="none"/>
          <w:lang w:val="zh-CN"/>
        </w:rPr>
      </w:pPr>
    </w:p>
    <w:p w14:paraId="7D007115">
      <w:pPr>
        <w:autoSpaceDE w:val="0"/>
        <w:autoSpaceDN w:val="0"/>
        <w:adjustRightInd w:val="0"/>
        <w:snapToGrid w:val="0"/>
        <w:spacing w:line="480" w:lineRule="atLeast"/>
        <w:ind w:firstLine="480" w:firstLineChars="200"/>
        <w:rPr>
          <w:rFonts w:hint="eastAsia" w:ascii="宋体" w:hAnsi="宋体" w:cs="宋体"/>
          <w:color w:val="auto"/>
          <w:sz w:val="24"/>
          <w:szCs w:val="28"/>
          <w:highlight w:val="none"/>
          <w:lang w:val="zh-CN"/>
        </w:rPr>
      </w:pPr>
      <w:r>
        <w:rPr>
          <w:rFonts w:hint="eastAsia" w:ascii="宋体" w:hAnsi="宋体" w:cs="宋体"/>
          <w:color w:val="auto"/>
          <w:sz w:val="24"/>
          <w:szCs w:val="28"/>
          <w:highlight w:val="none"/>
          <w:lang w:val="zh-CN"/>
        </w:rPr>
        <w:t>甲方监督部门：</w:t>
      </w:r>
      <w:r>
        <w:rPr>
          <w:rFonts w:hint="eastAsia" w:ascii="宋体" w:hAnsi="宋体" w:cs="宋体"/>
          <w:color w:val="auto"/>
          <w:sz w:val="24"/>
          <w:szCs w:val="28"/>
          <w:highlight w:val="none"/>
          <w:u w:val="single"/>
          <w:lang w:val="zh-CN"/>
        </w:rPr>
        <w:t xml:space="preserve">         </w:t>
      </w:r>
      <w:r>
        <w:rPr>
          <w:rFonts w:hint="eastAsia" w:ascii="宋体" w:hAnsi="宋体" w:cs="宋体"/>
          <w:color w:val="auto"/>
          <w:sz w:val="24"/>
          <w:szCs w:val="28"/>
          <w:highlight w:val="none"/>
          <w:lang w:val="zh-CN"/>
        </w:rPr>
        <w:t>（盖章）      乙方监督部门：</w:t>
      </w:r>
      <w:r>
        <w:rPr>
          <w:rFonts w:hint="eastAsia" w:ascii="宋体" w:hAnsi="宋体" w:cs="宋体"/>
          <w:color w:val="auto"/>
          <w:sz w:val="24"/>
          <w:szCs w:val="28"/>
          <w:highlight w:val="none"/>
          <w:u w:val="single"/>
          <w:lang w:val="zh-CN"/>
        </w:rPr>
        <w:t xml:space="preserve">        </w:t>
      </w:r>
      <w:r>
        <w:rPr>
          <w:rFonts w:hint="eastAsia" w:ascii="宋体" w:hAnsi="宋体" w:cs="宋体"/>
          <w:color w:val="auto"/>
          <w:sz w:val="24"/>
          <w:szCs w:val="28"/>
          <w:highlight w:val="none"/>
          <w:lang w:val="zh-CN"/>
        </w:rPr>
        <w:t>（盖章）</w:t>
      </w:r>
    </w:p>
    <w:p w14:paraId="53458980">
      <w:pPr>
        <w:autoSpaceDE w:val="0"/>
        <w:autoSpaceDN w:val="0"/>
        <w:adjustRightInd w:val="0"/>
        <w:snapToGrid w:val="0"/>
        <w:spacing w:line="480" w:lineRule="atLeast"/>
        <w:ind w:firstLine="480" w:firstLineChars="200"/>
        <w:rPr>
          <w:rFonts w:hint="eastAsia" w:ascii="宋体" w:hAnsi="宋体" w:cs="宋体"/>
          <w:bCs/>
          <w:color w:val="auto"/>
          <w:sz w:val="24"/>
          <w:highlight w:val="none"/>
        </w:rPr>
      </w:pPr>
      <w:r>
        <w:rPr>
          <w:rFonts w:hint="eastAsia" w:ascii="宋体" w:hAnsi="宋体" w:cs="宋体"/>
          <w:color w:val="auto"/>
          <w:sz w:val="24"/>
          <w:szCs w:val="28"/>
          <w:highlight w:val="none"/>
          <w:lang w:val="zh-CN"/>
        </w:rPr>
        <w:t>日      期：</w:t>
      </w:r>
      <w:r>
        <w:rPr>
          <w:rFonts w:hint="eastAsia" w:ascii="宋体" w:hAnsi="宋体" w:cs="宋体"/>
          <w:color w:val="auto"/>
          <w:sz w:val="24"/>
          <w:szCs w:val="28"/>
          <w:highlight w:val="none"/>
          <w:u w:val="single"/>
          <w:lang w:val="zh-CN"/>
        </w:rPr>
        <w:t xml:space="preserve">     </w:t>
      </w:r>
      <w:r>
        <w:rPr>
          <w:rFonts w:hint="eastAsia" w:ascii="宋体" w:hAnsi="宋体" w:cs="宋体"/>
          <w:color w:val="auto"/>
          <w:sz w:val="24"/>
          <w:szCs w:val="28"/>
          <w:highlight w:val="none"/>
          <w:lang w:val="zh-CN"/>
        </w:rPr>
        <w:t>年</w:t>
      </w:r>
      <w:r>
        <w:rPr>
          <w:rFonts w:hint="eastAsia" w:ascii="宋体" w:hAnsi="宋体" w:cs="宋体"/>
          <w:color w:val="auto"/>
          <w:sz w:val="24"/>
          <w:szCs w:val="28"/>
          <w:highlight w:val="none"/>
          <w:u w:val="single"/>
          <w:lang w:val="zh-CN"/>
        </w:rPr>
        <w:t xml:space="preserve">    </w:t>
      </w:r>
      <w:r>
        <w:rPr>
          <w:rFonts w:hint="eastAsia" w:ascii="宋体" w:hAnsi="宋体" w:cs="宋体"/>
          <w:color w:val="auto"/>
          <w:sz w:val="24"/>
          <w:szCs w:val="28"/>
          <w:highlight w:val="none"/>
          <w:lang w:val="zh-CN"/>
        </w:rPr>
        <w:t>月</w:t>
      </w:r>
      <w:r>
        <w:rPr>
          <w:rFonts w:hint="eastAsia" w:ascii="宋体" w:hAnsi="宋体" w:cs="宋体"/>
          <w:color w:val="auto"/>
          <w:sz w:val="24"/>
          <w:szCs w:val="28"/>
          <w:highlight w:val="none"/>
          <w:u w:val="single"/>
          <w:lang w:val="zh-CN"/>
        </w:rPr>
        <w:t xml:space="preserve">    </w:t>
      </w:r>
      <w:r>
        <w:rPr>
          <w:rFonts w:hint="eastAsia" w:ascii="宋体" w:hAnsi="宋体" w:cs="宋体"/>
          <w:color w:val="auto"/>
          <w:sz w:val="24"/>
          <w:szCs w:val="28"/>
          <w:highlight w:val="none"/>
          <w:lang w:val="zh-CN"/>
        </w:rPr>
        <w:t>日      日      期：</w:t>
      </w:r>
      <w:r>
        <w:rPr>
          <w:rFonts w:hint="eastAsia" w:ascii="宋体" w:hAnsi="宋体" w:cs="宋体"/>
          <w:color w:val="auto"/>
          <w:sz w:val="24"/>
          <w:szCs w:val="28"/>
          <w:highlight w:val="none"/>
          <w:u w:val="single"/>
          <w:lang w:val="zh-CN"/>
        </w:rPr>
        <w:t xml:space="preserve">     </w:t>
      </w:r>
      <w:r>
        <w:rPr>
          <w:rFonts w:hint="eastAsia" w:ascii="宋体" w:hAnsi="宋体" w:cs="宋体"/>
          <w:color w:val="auto"/>
          <w:sz w:val="24"/>
          <w:szCs w:val="28"/>
          <w:highlight w:val="none"/>
          <w:lang w:val="zh-CN"/>
        </w:rPr>
        <w:t>年</w:t>
      </w:r>
      <w:r>
        <w:rPr>
          <w:rFonts w:hint="eastAsia" w:ascii="宋体" w:hAnsi="宋体" w:cs="宋体"/>
          <w:color w:val="auto"/>
          <w:sz w:val="24"/>
          <w:szCs w:val="28"/>
          <w:highlight w:val="none"/>
          <w:u w:val="single"/>
          <w:lang w:val="zh-CN"/>
        </w:rPr>
        <w:t xml:space="preserve">    </w:t>
      </w:r>
      <w:r>
        <w:rPr>
          <w:rFonts w:hint="eastAsia" w:ascii="宋体" w:hAnsi="宋体" w:cs="宋体"/>
          <w:color w:val="auto"/>
          <w:sz w:val="24"/>
          <w:szCs w:val="28"/>
          <w:highlight w:val="none"/>
          <w:lang w:val="zh-CN"/>
        </w:rPr>
        <w:t>月</w:t>
      </w:r>
      <w:r>
        <w:rPr>
          <w:rFonts w:hint="eastAsia" w:ascii="宋体" w:hAnsi="宋体" w:cs="宋体"/>
          <w:color w:val="auto"/>
          <w:sz w:val="24"/>
          <w:szCs w:val="28"/>
          <w:highlight w:val="none"/>
          <w:u w:val="single"/>
          <w:lang w:val="zh-CN"/>
        </w:rPr>
        <w:t xml:space="preserve">    </w:t>
      </w:r>
      <w:r>
        <w:rPr>
          <w:rFonts w:hint="eastAsia" w:ascii="宋体" w:hAnsi="宋体" w:cs="宋体"/>
          <w:color w:val="auto"/>
          <w:sz w:val="24"/>
          <w:szCs w:val="28"/>
          <w:highlight w:val="none"/>
          <w:lang w:val="zh-CN"/>
        </w:rPr>
        <w:t>日</w:t>
      </w:r>
    </w:p>
    <w:p w14:paraId="755323EF">
      <w:pPr>
        <w:widowControl/>
        <w:adjustRightInd w:val="0"/>
        <w:snapToGrid w:val="0"/>
        <w:spacing w:line="360" w:lineRule="auto"/>
        <w:ind w:firstLine="480" w:firstLineChars="200"/>
        <w:contextualSpacing/>
        <w:jc w:val="left"/>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7CF68985">
      <w:pPr>
        <w:widowControl/>
        <w:adjustRightInd w:val="0"/>
        <w:snapToGrid w:val="0"/>
        <w:spacing w:line="360" w:lineRule="auto"/>
        <w:ind w:firstLine="480" w:firstLineChars="200"/>
        <w:contextualSpacing/>
        <w:jc w:val="left"/>
        <w:rPr>
          <w:rFonts w:hint="eastAsia" w:ascii="宋体" w:hAnsi="宋体" w:cs="宋体"/>
          <w:color w:val="auto"/>
          <w:sz w:val="24"/>
          <w:highlight w:val="none"/>
        </w:rPr>
      </w:pPr>
      <w:r>
        <w:rPr>
          <w:rFonts w:hint="eastAsia" w:ascii="宋体" w:hAnsi="宋体" w:cs="宋体"/>
          <w:color w:val="auto"/>
          <w:sz w:val="24"/>
          <w:highlight w:val="none"/>
        </w:rPr>
        <w:br w:type="page"/>
      </w:r>
    </w:p>
    <w:p w14:paraId="3FF8680A">
      <w:pPr>
        <w:spacing w:line="312" w:lineRule="auto"/>
        <w:outlineLvl w:val="2"/>
        <w:rPr>
          <w:rFonts w:hint="eastAsia" w:ascii="宋体" w:hAnsi="宋体" w:cs="宋体"/>
          <w:b/>
          <w:color w:val="auto"/>
          <w:sz w:val="24"/>
          <w:highlight w:val="none"/>
        </w:rPr>
      </w:pPr>
      <w:bookmarkStart w:id="1093" w:name="_Toc96899375"/>
      <w:bookmarkStart w:id="1094" w:name="_Toc491074053"/>
      <w:bookmarkStart w:id="1095" w:name="_Toc15251"/>
      <w:bookmarkStart w:id="1096" w:name="_Toc104740364"/>
      <w:r>
        <w:rPr>
          <w:rFonts w:hint="eastAsia" w:ascii="宋体" w:hAnsi="宋体" w:cs="宋体"/>
          <w:b/>
          <w:color w:val="auto"/>
          <w:sz w:val="24"/>
          <w:highlight w:val="none"/>
        </w:rPr>
        <w:t>附件二：安全生产协议书</w:t>
      </w:r>
      <w:bookmarkEnd w:id="1093"/>
      <w:bookmarkEnd w:id="1094"/>
      <w:bookmarkEnd w:id="1095"/>
      <w:bookmarkEnd w:id="1096"/>
    </w:p>
    <w:p w14:paraId="115F08E2">
      <w:pPr>
        <w:tabs>
          <w:tab w:val="left" w:pos="2200"/>
        </w:tabs>
        <w:snapToGrid w:val="0"/>
        <w:spacing w:line="360" w:lineRule="auto"/>
        <w:ind w:firstLine="643" w:firstLineChars="200"/>
        <w:contextualSpacing/>
        <w:jc w:val="center"/>
        <w:rPr>
          <w:rFonts w:hint="eastAsia" w:ascii="宋体" w:hAnsi="宋体" w:cs="宋体"/>
          <w:b/>
          <w:color w:val="auto"/>
          <w:sz w:val="32"/>
          <w:szCs w:val="20"/>
          <w:highlight w:val="none"/>
        </w:rPr>
      </w:pPr>
      <w:bookmarkStart w:id="1097" w:name="_Hlk16757822"/>
      <w:r>
        <w:rPr>
          <w:rFonts w:hint="eastAsia" w:ascii="宋体" w:hAnsi="宋体" w:cs="宋体"/>
          <w:b/>
          <w:color w:val="auto"/>
          <w:sz w:val="32"/>
          <w:szCs w:val="20"/>
          <w:highlight w:val="none"/>
        </w:rPr>
        <w:t>安全生产协议书</w:t>
      </w:r>
      <w:bookmarkEnd w:id="1097"/>
    </w:p>
    <w:p w14:paraId="62E6D283">
      <w:pPr>
        <w:snapToGrid w:val="0"/>
        <w:spacing w:line="480" w:lineRule="atLeast"/>
        <w:rPr>
          <w:rFonts w:hint="eastAsia" w:ascii="宋体" w:hAnsi="宋体" w:cs="宋体"/>
          <w:color w:val="auto"/>
          <w:sz w:val="24"/>
          <w:szCs w:val="21"/>
          <w:highlight w:val="none"/>
        </w:rPr>
      </w:pPr>
    </w:p>
    <w:p w14:paraId="40B30121">
      <w:pPr>
        <w:spacing w:line="500" w:lineRule="exact"/>
        <w:rPr>
          <w:rFonts w:hint="eastAsia" w:ascii="宋体" w:hAnsi="宋体" w:cs="宋体"/>
          <w:color w:val="auto"/>
          <w:sz w:val="24"/>
          <w:highlight w:val="none"/>
        </w:rPr>
      </w:pPr>
      <w:r>
        <w:rPr>
          <w:rFonts w:hint="eastAsia" w:ascii="宋体" w:hAnsi="宋体" w:cs="宋体"/>
          <w:color w:val="auto"/>
          <w:sz w:val="24"/>
          <w:highlight w:val="none"/>
        </w:rPr>
        <w:t>工程项目名称：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21382CD0">
      <w:pPr>
        <w:spacing w:line="500" w:lineRule="exact"/>
        <w:rPr>
          <w:rFonts w:hint="eastAsia" w:ascii="宋体" w:hAnsi="宋体" w:cs="宋体"/>
          <w:color w:val="auto"/>
          <w:sz w:val="24"/>
          <w:highlight w:val="none"/>
        </w:rPr>
      </w:pPr>
      <w:r>
        <w:rPr>
          <w:rFonts w:hint="eastAsia" w:ascii="宋体" w:hAnsi="宋体" w:cs="宋体"/>
          <w:color w:val="auto"/>
          <w:sz w:val="24"/>
          <w:highlight w:val="none"/>
        </w:rPr>
        <w:t>委托人（甲方）：</w:t>
      </w:r>
      <w:r>
        <w:rPr>
          <w:rFonts w:hint="eastAsia" w:ascii="宋体" w:hAnsi="宋体" w:cs="宋体"/>
          <w:color w:val="auto"/>
          <w:sz w:val="24"/>
          <w:highlight w:val="none"/>
          <w:u w:val="single"/>
        </w:rPr>
        <w:t>北京市水利工程管理中心北京市京密引水管理处</w:t>
      </w:r>
      <w:r>
        <w:rPr>
          <w:rFonts w:hint="eastAsia" w:ascii="宋体" w:hAnsi="宋体" w:cs="宋体"/>
          <w:color w:val="auto"/>
          <w:sz w:val="24"/>
          <w:highlight w:val="none"/>
        </w:rPr>
        <w:t xml:space="preserve">                  </w:t>
      </w:r>
    </w:p>
    <w:p w14:paraId="5E026F40">
      <w:pPr>
        <w:spacing w:line="500" w:lineRule="exact"/>
        <w:rPr>
          <w:rFonts w:hint="eastAsia" w:ascii="宋体" w:hAnsi="宋体" w:cs="宋体"/>
          <w:color w:val="auto"/>
          <w:sz w:val="24"/>
          <w:highlight w:val="none"/>
          <w:u w:val="single"/>
        </w:rPr>
      </w:pPr>
      <w:r>
        <w:rPr>
          <w:rFonts w:hint="eastAsia" w:ascii="宋体" w:hAnsi="宋体" w:cs="宋体"/>
          <w:color w:val="auto"/>
          <w:sz w:val="24"/>
          <w:highlight w:val="none"/>
        </w:rPr>
        <w:t>受托人（乙方）：</w:t>
      </w:r>
      <w:r>
        <w:rPr>
          <w:rFonts w:hint="eastAsia" w:ascii="宋体" w:hAnsi="宋体" w:cs="宋体"/>
          <w:color w:val="auto"/>
          <w:sz w:val="24"/>
          <w:highlight w:val="none"/>
          <w:u w:val="single"/>
        </w:rPr>
        <w:t xml:space="preserve">                                          </w:t>
      </w:r>
    </w:p>
    <w:p w14:paraId="103940C8">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为贯彻“安全第一，预防为主”的方针，确保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工程的施工安全，按照国务院、水利部及北京市关于安全生产方面有关法律法规，甲、乙双方经充分协商，特签订本安全生产协议书。</w:t>
      </w:r>
    </w:p>
    <w:p w14:paraId="55A59FAA">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一、本安全生产协议书作为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工程施工总承包工程合同书的附件，与该合同具有同等效力。</w:t>
      </w:r>
    </w:p>
    <w:p w14:paraId="2380E68F">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乙方必须依法取得相应等级的资质证书及安全生产许可证后，方可从事其资质许可范围内的水利工程施工，乙方的法定代表人、项目经理、安全生产负责人、现场专职安全员及各级管理人员应对本工程安全生产工作各负其责。</w:t>
      </w:r>
    </w:p>
    <w:p w14:paraId="02A8E267">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三、乙方在施工中必须严格执行</w:t>
      </w:r>
      <w:r>
        <w:rPr>
          <w:rFonts w:hint="eastAsia" w:ascii="宋体" w:hAnsi="宋体" w:cs="宋体"/>
          <w:color w:val="auto"/>
          <w:kern w:val="0"/>
          <w:sz w:val="24"/>
          <w:highlight w:val="none"/>
        </w:rPr>
        <w:t>《建设工程安全生产管理条例》（国务院令第393号）、《水利工程建设安全生产管理规定》（水利部令第26号）以及国家、行业、北京市有关规定</w:t>
      </w:r>
      <w:r>
        <w:rPr>
          <w:rFonts w:hint="eastAsia" w:ascii="宋体" w:hAnsi="宋体" w:cs="宋体"/>
          <w:color w:val="auto"/>
          <w:sz w:val="24"/>
          <w:highlight w:val="none"/>
        </w:rPr>
        <w:t>，甲方将按照有关规定履行监督管理职责，并依据以上规定和标准对施工过程进行安全检查及奖惩。</w:t>
      </w:r>
    </w:p>
    <w:p w14:paraId="22D8C33A">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四、乙方必须按照有关规定要求，建立健全安全生产规章制度及安全操作规程，配备足够的安全管理人员并实行安全生产责任制，编制安全技术措施方案以及应急救援预案、安全度汛方案等并适时演练，组织安全知识教育培训、安全技术交底等，生产生活中落实各项安全防护措施，安排专职人员巡视检查并及时整改，确保施工安全。</w:t>
      </w:r>
    </w:p>
    <w:p w14:paraId="01CE3615">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五、乙方施工人员中的电工、焊工及垂直运输、高处作业等特种作业人员必须按照国家《特种作业人员安全技术培训考核管理规定》等有关规定经过专门的安全作业培训，并取得特种作业操作资格证书后持证上岗；施工机具中的受压容器、电气设备、起重设施等特种设备必须具有符合安全要求的保护设施。</w:t>
      </w:r>
    </w:p>
    <w:p w14:paraId="0ED6CC93">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六、乙方在施工过程中，必须采取有效保护措施，保证地下管线和周边地表构造物的安全。若造成地下管线和地表构造物的损坏，乙方承担全部责任。</w:t>
      </w:r>
    </w:p>
    <w:p w14:paraId="60D36B94">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七、乙方在施工过程中，应认真组织审核发包人下发的施工图纸，并严格按审核后的施工图纸及相应的国家有关标准施工，不允许随意改变施工工艺和工法，否则出现的任何施工质量和安全问题都将由乙方承担全部责任。</w:t>
      </w:r>
    </w:p>
    <w:p w14:paraId="45009313">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八、施工过程中若发生人员伤亡（含刑事案件）、火灾、爆炸等事故，乙方必须立即按有关规定及时上报甲方及其政府主管部门。</w:t>
      </w:r>
    </w:p>
    <w:p w14:paraId="58E596E7">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九、乙方所有的安全生产管理活动均应及时记录，形成可追溯文件。</w:t>
      </w:r>
    </w:p>
    <w:p w14:paraId="44F1C9CC">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十、本协议未尽事宜，依据有关法规、规章处理，法规、规章没有明确规定的，经双方协商处理解决。</w:t>
      </w:r>
    </w:p>
    <w:p w14:paraId="7E3830EC">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十一、本协议自签订之日起生效。</w:t>
      </w:r>
    </w:p>
    <w:p w14:paraId="452ADA7D">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十二、本协议书一式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份，甲方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份，乙方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份，合同履行期间有效。</w:t>
      </w:r>
    </w:p>
    <w:p w14:paraId="1476A731">
      <w:pPr>
        <w:snapToGrid w:val="0"/>
        <w:spacing w:line="360" w:lineRule="auto"/>
        <w:ind w:firstLine="480" w:firstLineChars="200"/>
        <w:contextualSpacing/>
        <w:rPr>
          <w:rFonts w:hint="eastAsia" w:ascii="宋体" w:hAnsi="宋体" w:cs="宋体"/>
          <w:color w:val="auto"/>
          <w:sz w:val="24"/>
          <w:highlight w:val="none"/>
        </w:rPr>
      </w:pPr>
    </w:p>
    <w:p w14:paraId="1B893C48">
      <w:pPr>
        <w:snapToGrid w:val="0"/>
        <w:spacing w:line="360" w:lineRule="auto"/>
        <w:ind w:firstLine="480" w:firstLineChars="200"/>
        <w:contextualSpacing/>
        <w:rPr>
          <w:rFonts w:hint="eastAsia" w:ascii="宋体" w:hAnsi="宋体" w:cs="宋体"/>
          <w:color w:val="auto"/>
          <w:sz w:val="24"/>
          <w:highlight w:val="none"/>
        </w:rPr>
      </w:pPr>
    </w:p>
    <w:p w14:paraId="3766B0D2">
      <w:pPr>
        <w:autoSpaceDE w:val="0"/>
        <w:autoSpaceDN w:val="0"/>
        <w:adjustRightInd w:val="0"/>
        <w:snapToGrid w:val="0"/>
        <w:spacing w:line="480" w:lineRule="atLeast"/>
        <w:ind w:firstLine="480" w:firstLineChars="200"/>
        <w:rPr>
          <w:rFonts w:hint="eastAsia" w:ascii="宋体" w:hAnsi="宋体" w:cs="宋体"/>
          <w:color w:val="auto"/>
          <w:sz w:val="24"/>
          <w:szCs w:val="28"/>
          <w:highlight w:val="none"/>
          <w:lang w:val="zh-CN"/>
        </w:rPr>
      </w:pPr>
      <w:r>
        <w:rPr>
          <w:rFonts w:hint="eastAsia" w:ascii="宋体" w:hAnsi="宋体" w:cs="宋体"/>
          <w:color w:val="auto"/>
          <w:sz w:val="24"/>
          <w:szCs w:val="28"/>
          <w:highlight w:val="none"/>
          <w:lang w:val="zh-CN"/>
        </w:rPr>
        <w:t>甲方：</w:t>
      </w:r>
      <w:r>
        <w:rPr>
          <w:rFonts w:hint="eastAsia" w:ascii="宋体" w:hAnsi="宋体" w:cs="宋体"/>
          <w:color w:val="auto"/>
          <w:sz w:val="24"/>
          <w:szCs w:val="28"/>
          <w:highlight w:val="none"/>
          <w:u w:val="single"/>
          <w:lang w:val="zh-CN"/>
        </w:rPr>
        <w:t xml:space="preserve">                </w:t>
      </w:r>
      <w:r>
        <w:rPr>
          <w:rFonts w:hint="eastAsia" w:ascii="宋体" w:hAnsi="宋体" w:cs="宋体"/>
          <w:color w:val="auto"/>
          <w:sz w:val="24"/>
          <w:szCs w:val="28"/>
          <w:highlight w:val="none"/>
          <w:lang w:val="zh-CN"/>
        </w:rPr>
        <w:t xml:space="preserve">（盖章）  </w:t>
      </w:r>
      <w:r>
        <w:rPr>
          <w:rFonts w:hint="eastAsia" w:ascii="宋体" w:hAnsi="宋体" w:cs="宋体"/>
          <w:color w:val="auto"/>
          <w:sz w:val="24"/>
          <w:szCs w:val="28"/>
          <w:highlight w:val="none"/>
        </w:rPr>
        <w:t xml:space="preserve">      </w:t>
      </w:r>
      <w:r>
        <w:rPr>
          <w:rFonts w:hint="eastAsia" w:ascii="宋体" w:hAnsi="宋体" w:cs="宋体"/>
          <w:color w:val="auto"/>
          <w:sz w:val="24"/>
          <w:szCs w:val="28"/>
          <w:highlight w:val="none"/>
          <w:lang w:val="zh-CN"/>
        </w:rPr>
        <w:t>乙方：</w:t>
      </w:r>
      <w:r>
        <w:rPr>
          <w:rFonts w:hint="eastAsia" w:ascii="宋体" w:hAnsi="宋体" w:cs="宋体"/>
          <w:color w:val="auto"/>
          <w:sz w:val="24"/>
          <w:szCs w:val="28"/>
          <w:highlight w:val="none"/>
          <w:u w:val="single"/>
          <w:lang w:val="zh-CN"/>
        </w:rPr>
        <w:t xml:space="preserve">                 </w:t>
      </w:r>
      <w:r>
        <w:rPr>
          <w:rFonts w:hint="eastAsia" w:ascii="宋体" w:hAnsi="宋体" w:cs="宋体"/>
          <w:color w:val="auto"/>
          <w:sz w:val="24"/>
          <w:szCs w:val="28"/>
          <w:highlight w:val="none"/>
          <w:lang w:val="zh-CN"/>
        </w:rPr>
        <w:t>（盖章）</w:t>
      </w:r>
    </w:p>
    <w:p w14:paraId="40F3B53A">
      <w:pPr>
        <w:autoSpaceDE w:val="0"/>
        <w:autoSpaceDN w:val="0"/>
        <w:adjustRightInd w:val="0"/>
        <w:snapToGrid w:val="0"/>
        <w:spacing w:line="480" w:lineRule="atLeast"/>
        <w:ind w:firstLine="480" w:firstLineChars="200"/>
        <w:rPr>
          <w:rFonts w:hint="eastAsia" w:ascii="宋体" w:hAnsi="宋体" w:cs="宋体"/>
          <w:color w:val="auto"/>
          <w:sz w:val="24"/>
          <w:szCs w:val="28"/>
          <w:highlight w:val="none"/>
          <w:lang w:val="zh-CN"/>
        </w:rPr>
      </w:pPr>
    </w:p>
    <w:p w14:paraId="6CAC71FC">
      <w:pPr>
        <w:autoSpaceDE w:val="0"/>
        <w:autoSpaceDN w:val="0"/>
        <w:adjustRightInd w:val="0"/>
        <w:snapToGrid w:val="0"/>
        <w:spacing w:line="480" w:lineRule="atLeast"/>
        <w:ind w:firstLine="480" w:firstLineChars="200"/>
        <w:rPr>
          <w:rFonts w:hint="eastAsia" w:ascii="宋体" w:hAnsi="宋体" w:cs="宋体"/>
          <w:color w:val="auto"/>
          <w:sz w:val="24"/>
          <w:szCs w:val="28"/>
          <w:highlight w:val="none"/>
          <w:lang w:val="zh-CN"/>
        </w:rPr>
      </w:pPr>
      <w:r>
        <w:rPr>
          <w:rFonts w:hint="eastAsia" w:ascii="宋体" w:hAnsi="宋体" w:cs="宋体"/>
          <w:color w:val="auto"/>
          <w:sz w:val="24"/>
          <w:szCs w:val="28"/>
          <w:highlight w:val="none"/>
          <w:lang w:val="zh-CN"/>
        </w:rPr>
        <w:t>负责人</w:t>
      </w:r>
      <w:r>
        <w:rPr>
          <w:rFonts w:hint="eastAsia" w:ascii="宋体" w:hAnsi="宋体" w:cs="宋体"/>
          <w:color w:val="auto"/>
          <w:sz w:val="24"/>
          <w:szCs w:val="28"/>
          <w:highlight w:val="none"/>
        </w:rPr>
        <w:t xml:space="preserve">：                  </w:t>
      </w:r>
      <w:r>
        <w:rPr>
          <w:rFonts w:hint="eastAsia" w:ascii="宋体" w:hAnsi="宋体" w:cs="宋体"/>
          <w:color w:val="auto"/>
          <w:sz w:val="24"/>
          <w:szCs w:val="28"/>
          <w:highlight w:val="none"/>
          <w:lang w:val="zh-CN"/>
        </w:rPr>
        <w:t xml:space="preserve"> </w:t>
      </w:r>
      <w:r>
        <w:rPr>
          <w:rFonts w:hint="eastAsia" w:ascii="宋体" w:hAnsi="宋体" w:cs="宋体"/>
          <w:color w:val="auto"/>
          <w:sz w:val="24"/>
          <w:szCs w:val="28"/>
          <w:highlight w:val="none"/>
        </w:rPr>
        <w:t xml:space="preserve">           </w:t>
      </w:r>
      <w:r>
        <w:rPr>
          <w:rFonts w:hint="eastAsia" w:ascii="宋体" w:hAnsi="宋体" w:cs="宋体"/>
          <w:color w:val="auto"/>
          <w:sz w:val="24"/>
          <w:szCs w:val="28"/>
          <w:highlight w:val="none"/>
          <w:lang w:val="zh-CN"/>
        </w:rPr>
        <w:t>法定代表人</w:t>
      </w:r>
    </w:p>
    <w:p w14:paraId="57E1BD5B">
      <w:pPr>
        <w:autoSpaceDE w:val="0"/>
        <w:autoSpaceDN w:val="0"/>
        <w:adjustRightInd w:val="0"/>
        <w:snapToGrid w:val="0"/>
        <w:spacing w:line="480" w:lineRule="atLeast"/>
        <w:ind w:firstLine="1200" w:firstLineChars="500"/>
        <w:rPr>
          <w:rFonts w:hint="eastAsia" w:ascii="宋体" w:hAnsi="宋体" w:cs="宋体"/>
          <w:color w:val="auto"/>
          <w:sz w:val="24"/>
          <w:szCs w:val="28"/>
          <w:highlight w:val="none"/>
          <w:lang w:val="zh-CN"/>
        </w:rPr>
      </w:pPr>
      <w:r>
        <w:rPr>
          <w:rFonts w:hint="eastAsia" w:ascii="宋体" w:hAnsi="宋体" w:cs="宋体"/>
          <w:color w:val="auto"/>
          <w:sz w:val="24"/>
          <w:szCs w:val="28"/>
          <w:highlight w:val="none"/>
          <w:u w:val="single"/>
          <w:lang w:val="zh-CN"/>
        </w:rPr>
        <w:t xml:space="preserve">          </w:t>
      </w:r>
      <w:r>
        <w:rPr>
          <w:rFonts w:hint="eastAsia" w:ascii="宋体" w:hAnsi="宋体" w:cs="宋体"/>
          <w:color w:val="auto"/>
          <w:sz w:val="24"/>
          <w:szCs w:val="28"/>
          <w:highlight w:val="none"/>
          <w:lang w:val="zh-CN"/>
        </w:rPr>
        <w:t xml:space="preserve">（签字或盖章） </w:t>
      </w:r>
      <w:r>
        <w:rPr>
          <w:rFonts w:hint="eastAsia" w:ascii="宋体" w:hAnsi="宋体" w:cs="宋体"/>
          <w:color w:val="auto"/>
          <w:sz w:val="24"/>
          <w:szCs w:val="28"/>
          <w:highlight w:val="none"/>
        </w:rPr>
        <w:t xml:space="preserve">       </w:t>
      </w:r>
      <w:r>
        <w:rPr>
          <w:rFonts w:hint="eastAsia" w:ascii="宋体" w:hAnsi="宋体" w:cs="宋体"/>
          <w:color w:val="auto"/>
          <w:sz w:val="24"/>
          <w:szCs w:val="28"/>
          <w:highlight w:val="none"/>
          <w:lang w:val="zh-CN"/>
        </w:rPr>
        <w:t>或委托代理人：</w:t>
      </w:r>
      <w:r>
        <w:rPr>
          <w:rFonts w:hint="eastAsia" w:ascii="宋体" w:hAnsi="宋体" w:cs="宋体"/>
          <w:color w:val="auto"/>
          <w:sz w:val="24"/>
          <w:szCs w:val="28"/>
          <w:highlight w:val="none"/>
          <w:u w:val="single"/>
          <w:lang w:val="zh-CN"/>
        </w:rPr>
        <w:t xml:space="preserve">   </w:t>
      </w:r>
      <w:r>
        <w:rPr>
          <w:rFonts w:hint="eastAsia" w:ascii="宋体" w:hAnsi="宋体" w:cs="宋体"/>
          <w:color w:val="auto"/>
          <w:sz w:val="24"/>
          <w:szCs w:val="28"/>
          <w:highlight w:val="none"/>
          <w:u w:val="single"/>
        </w:rPr>
        <w:t xml:space="preserve"> </w:t>
      </w:r>
      <w:r>
        <w:rPr>
          <w:rFonts w:hint="eastAsia" w:ascii="宋体" w:hAnsi="宋体" w:cs="宋体"/>
          <w:color w:val="auto"/>
          <w:sz w:val="24"/>
          <w:szCs w:val="28"/>
          <w:highlight w:val="none"/>
          <w:u w:val="single"/>
          <w:lang w:val="zh-CN"/>
        </w:rPr>
        <w:t xml:space="preserve">    </w:t>
      </w:r>
      <w:r>
        <w:rPr>
          <w:rFonts w:hint="eastAsia" w:ascii="宋体" w:hAnsi="宋体" w:cs="宋体"/>
          <w:color w:val="auto"/>
          <w:sz w:val="24"/>
          <w:szCs w:val="28"/>
          <w:highlight w:val="none"/>
          <w:lang w:val="zh-CN"/>
        </w:rPr>
        <w:t>（签字或盖章）</w:t>
      </w:r>
    </w:p>
    <w:p w14:paraId="5743D7E3">
      <w:pPr>
        <w:autoSpaceDE w:val="0"/>
        <w:autoSpaceDN w:val="0"/>
        <w:adjustRightInd w:val="0"/>
        <w:snapToGrid w:val="0"/>
        <w:spacing w:line="480" w:lineRule="atLeast"/>
        <w:ind w:firstLine="480" w:firstLineChars="200"/>
        <w:rPr>
          <w:rFonts w:hint="eastAsia" w:ascii="宋体" w:hAnsi="宋体" w:cs="宋体"/>
          <w:color w:val="auto"/>
          <w:sz w:val="24"/>
          <w:szCs w:val="28"/>
          <w:highlight w:val="none"/>
          <w:lang w:val="zh-CN"/>
        </w:rPr>
      </w:pPr>
    </w:p>
    <w:p w14:paraId="6BCB5A59">
      <w:pPr>
        <w:spacing w:line="360" w:lineRule="auto"/>
        <w:ind w:firstLine="484" w:firstLineChars="202"/>
        <w:rPr>
          <w:rFonts w:hint="eastAsia" w:ascii="宋体" w:hAnsi="宋体" w:cs="宋体"/>
          <w:color w:val="auto"/>
          <w:sz w:val="24"/>
          <w:highlight w:val="none"/>
        </w:rPr>
      </w:pPr>
      <w:r>
        <w:rPr>
          <w:rFonts w:hint="eastAsia" w:ascii="宋体" w:hAnsi="宋体" w:cs="宋体"/>
          <w:color w:val="auto"/>
          <w:sz w:val="24"/>
          <w:highlight w:val="none"/>
        </w:rPr>
        <w:t>经办人：</w:t>
      </w:r>
    </w:p>
    <w:p w14:paraId="2CAB1EFE">
      <w:pPr>
        <w:snapToGrid w:val="0"/>
        <w:spacing w:line="480" w:lineRule="atLeast"/>
        <w:rPr>
          <w:rFonts w:hint="eastAsia" w:ascii="宋体" w:hAnsi="宋体" w:cs="宋体"/>
          <w:color w:val="auto"/>
          <w:sz w:val="24"/>
          <w:szCs w:val="21"/>
          <w:highlight w:val="none"/>
        </w:rPr>
      </w:pPr>
    </w:p>
    <w:p w14:paraId="4EADDADC">
      <w:pPr>
        <w:pStyle w:val="2"/>
        <w:rPr>
          <w:color w:val="auto"/>
          <w:highlight w:val="none"/>
        </w:rPr>
      </w:pPr>
    </w:p>
    <w:p w14:paraId="60BC9F92">
      <w:pPr>
        <w:pStyle w:val="2"/>
        <w:rPr>
          <w:color w:val="auto"/>
          <w:highlight w:val="none"/>
        </w:rPr>
      </w:pPr>
    </w:p>
    <w:p w14:paraId="25CA9AE7">
      <w:pPr>
        <w:pStyle w:val="2"/>
        <w:rPr>
          <w:color w:val="auto"/>
          <w:highlight w:val="none"/>
        </w:rPr>
      </w:pPr>
    </w:p>
    <w:p w14:paraId="4EB78108">
      <w:pPr>
        <w:pStyle w:val="2"/>
        <w:rPr>
          <w:color w:val="auto"/>
          <w:highlight w:val="none"/>
        </w:rPr>
      </w:pPr>
    </w:p>
    <w:p w14:paraId="79C5091A">
      <w:pPr>
        <w:snapToGrid w:val="0"/>
        <w:spacing w:line="480" w:lineRule="atLeast"/>
        <w:rPr>
          <w:rFonts w:hint="eastAsia" w:ascii="宋体" w:hAnsi="宋体" w:cs="宋体"/>
          <w:color w:val="auto"/>
          <w:sz w:val="24"/>
          <w:szCs w:val="21"/>
          <w:highlight w:val="none"/>
        </w:rPr>
      </w:pPr>
    </w:p>
    <w:p w14:paraId="16D61CE9">
      <w:pPr>
        <w:snapToGrid w:val="0"/>
        <w:spacing w:line="480" w:lineRule="atLeast"/>
        <w:ind w:firstLine="5280" w:firstLineChars="2200"/>
        <w:rPr>
          <w:rFonts w:hint="eastAsia" w:ascii="宋体" w:hAnsi="宋体" w:cs="宋体"/>
          <w:bCs/>
          <w:color w:val="auto"/>
          <w:sz w:val="24"/>
          <w:szCs w:val="28"/>
          <w:highlight w:val="none"/>
        </w:rPr>
      </w:pPr>
      <w:r>
        <w:rPr>
          <w:rFonts w:hint="eastAsia" w:ascii="宋体" w:hAnsi="宋体" w:cs="宋体"/>
          <w:color w:val="auto"/>
          <w:sz w:val="24"/>
          <w:szCs w:val="21"/>
          <w:highlight w:val="none"/>
        </w:rPr>
        <w:t>签订日期：</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年</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月</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日</w:t>
      </w:r>
    </w:p>
    <w:p w14:paraId="3EA7F659">
      <w:pPr>
        <w:snapToGrid w:val="0"/>
        <w:spacing w:line="360" w:lineRule="auto"/>
        <w:ind w:firstLine="720" w:firstLineChars="300"/>
        <w:contextualSpacing/>
        <w:rPr>
          <w:rFonts w:hint="eastAsia" w:ascii="宋体" w:hAnsi="宋体" w:cs="宋体"/>
          <w:color w:val="auto"/>
          <w:sz w:val="24"/>
          <w:highlight w:val="none"/>
        </w:rPr>
      </w:pPr>
    </w:p>
    <w:p w14:paraId="12BAC7A8">
      <w:pPr>
        <w:spacing w:line="312" w:lineRule="auto"/>
        <w:outlineLvl w:val="2"/>
        <w:rPr>
          <w:rFonts w:hint="eastAsia" w:ascii="宋体" w:hAnsi="宋体" w:cs="宋体"/>
          <w:b/>
          <w:color w:val="auto"/>
          <w:sz w:val="24"/>
          <w:highlight w:val="none"/>
        </w:rPr>
        <w:sectPr>
          <w:pgSz w:w="11906" w:h="16838"/>
          <w:pgMar w:top="1418" w:right="1418" w:bottom="1418" w:left="1418" w:header="851" w:footer="992" w:gutter="0"/>
          <w:cols w:space="720" w:num="1"/>
          <w:docGrid w:linePitch="312" w:charSpace="0"/>
        </w:sectPr>
      </w:pPr>
    </w:p>
    <w:p w14:paraId="470D662F">
      <w:pPr>
        <w:spacing w:line="312" w:lineRule="auto"/>
        <w:outlineLvl w:val="2"/>
        <w:rPr>
          <w:rFonts w:hint="eastAsia" w:ascii="宋体" w:hAnsi="宋体" w:cs="宋体"/>
          <w:b/>
          <w:color w:val="auto"/>
          <w:sz w:val="24"/>
          <w:highlight w:val="none"/>
        </w:rPr>
      </w:pPr>
      <w:bookmarkStart w:id="1098" w:name="_Toc96899376"/>
      <w:bookmarkStart w:id="1099" w:name="_Toc104740365"/>
      <w:bookmarkStart w:id="1100" w:name="_Toc30502"/>
      <w:r>
        <w:rPr>
          <w:rFonts w:hint="eastAsia" w:ascii="宋体" w:hAnsi="宋体" w:cs="宋体"/>
          <w:b/>
          <w:color w:val="auto"/>
          <w:sz w:val="24"/>
          <w:highlight w:val="none"/>
        </w:rPr>
        <w:t>附件三：非道路移动机械使用承诺书</w:t>
      </w:r>
      <w:bookmarkEnd w:id="1098"/>
      <w:bookmarkEnd w:id="1099"/>
      <w:bookmarkEnd w:id="1100"/>
    </w:p>
    <w:p w14:paraId="0F287D34">
      <w:pPr>
        <w:spacing w:line="312" w:lineRule="auto"/>
        <w:rPr>
          <w:rFonts w:hint="eastAsia" w:ascii="宋体" w:hAnsi="宋体" w:cs="宋体"/>
          <w:color w:val="auto"/>
          <w:highlight w:val="none"/>
        </w:rPr>
      </w:pPr>
    </w:p>
    <w:p w14:paraId="48986230">
      <w:pPr>
        <w:spacing w:line="312" w:lineRule="auto"/>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非道路移动机械使用承诺书</w:t>
      </w:r>
    </w:p>
    <w:p w14:paraId="33853F55">
      <w:pPr>
        <w:spacing w:line="312" w:lineRule="auto"/>
        <w:rPr>
          <w:rFonts w:hint="eastAsia" w:ascii="宋体" w:hAnsi="宋体" w:cs="宋体"/>
          <w:color w:val="auto"/>
          <w:highlight w:val="none"/>
        </w:rPr>
      </w:pPr>
    </w:p>
    <w:p w14:paraId="15A27902">
      <w:pPr>
        <w:adjustRightInd w:val="0"/>
        <w:snapToGrid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u w:val="single"/>
        </w:rPr>
        <w:t>北京市水利工程管理中心</w:t>
      </w:r>
      <w:r>
        <w:rPr>
          <w:rFonts w:hint="eastAsia" w:ascii="宋体" w:hAnsi="宋体" w:cs="宋体"/>
          <w:bCs/>
          <w:color w:val="auto"/>
          <w:sz w:val="24"/>
          <w:highlight w:val="none"/>
        </w:rPr>
        <w:t>（发包人名称）：</w:t>
      </w:r>
    </w:p>
    <w:p w14:paraId="5102E0F8">
      <w:pPr>
        <w:adjustRightInd w:val="0"/>
        <w:snapToGrid w:val="0"/>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我方作为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（项目名称）</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标段名称）的承包人，作出如下承诺：严格按照北京市生态环境局关于设定禁止高排放非道路移动机械使用区域的要求，在相关区域内，不使用不符合第三阶段及以上排放标准的非道路移动机械（包括挖掘机、装载机、挖掘装载机、叉车、推土机、平地机、压路机、摊铺机、铣刨机、钻机、打桩机、起重机等）；严格按照《北京市机动车和非道路移动机械排放污染防治条例》的要求，使用在本市进行信息编码登记且符合排放标准的非道路移动机械。否则，我方自行承担相应法律后果和有关行政管理部门依法做出的处罚。</w:t>
      </w:r>
    </w:p>
    <w:p w14:paraId="4CE55226">
      <w:pPr>
        <w:adjustRightInd w:val="0"/>
        <w:snapToGrid w:val="0"/>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特此承诺。</w:t>
      </w:r>
    </w:p>
    <w:p w14:paraId="5A0AB51F">
      <w:pPr>
        <w:adjustRightInd w:val="0"/>
        <w:snapToGrid w:val="0"/>
        <w:spacing w:line="360" w:lineRule="auto"/>
        <w:ind w:firstLine="480"/>
        <w:rPr>
          <w:rFonts w:hint="eastAsia" w:ascii="宋体" w:hAnsi="宋体" w:cs="宋体"/>
          <w:bCs/>
          <w:color w:val="auto"/>
          <w:sz w:val="24"/>
          <w:highlight w:val="none"/>
        </w:rPr>
      </w:pPr>
    </w:p>
    <w:p w14:paraId="7244FC4B">
      <w:pPr>
        <w:adjustRightInd w:val="0"/>
        <w:snapToGrid w:val="0"/>
        <w:spacing w:line="360" w:lineRule="auto"/>
        <w:ind w:firstLine="480"/>
        <w:rPr>
          <w:rFonts w:hint="eastAsia" w:ascii="宋体" w:hAnsi="宋体" w:cs="宋体"/>
          <w:bCs/>
          <w:color w:val="auto"/>
          <w:sz w:val="24"/>
          <w:highlight w:val="none"/>
        </w:rPr>
      </w:pPr>
    </w:p>
    <w:p w14:paraId="276370D3">
      <w:pPr>
        <w:adjustRightInd w:val="0"/>
        <w:snapToGrid w:val="0"/>
        <w:spacing w:line="360" w:lineRule="auto"/>
        <w:ind w:firstLine="480"/>
        <w:rPr>
          <w:rFonts w:hint="eastAsia" w:ascii="宋体" w:hAnsi="宋体" w:cs="宋体"/>
          <w:bCs/>
          <w:color w:val="auto"/>
          <w:sz w:val="24"/>
          <w:highlight w:val="none"/>
        </w:rPr>
      </w:pPr>
    </w:p>
    <w:p w14:paraId="3A031519">
      <w:pPr>
        <w:adjustRightInd w:val="0"/>
        <w:snapToGrid w:val="0"/>
        <w:spacing w:line="360" w:lineRule="auto"/>
        <w:ind w:firstLine="480"/>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承包人：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（名称并盖单位公章）</w:t>
      </w:r>
    </w:p>
    <w:p w14:paraId="561D0F63">
      <w:pPr>
        <w:adjustRightInd w:val="0"/>
        <w:snapToGrid w:val="0"/>
        <w:spacing w:line="360" w:lineRule="auto"/>
        <w:ind w:firstLine="3600" w:firstLineChars="1500"/>
        <w:rPr>
          <w:rFonts w:hint="eastAsia" w:ascii="宋体" w:hAnsi="宋体" w:cs="宋体"/>
          <w:color w:val="auto"/>
          <w:sz w:val="24"/>
          <w:highlight w:val="none"/>
        </w:rPr>
      </w:pPr>
      <w:r>
        <w:rPr>
          <w:rFonts w:hint="eastAsia" w:ascii="宋体" w:hAnsi="宋体" w:cs="宋体"/>
          <w:color w:val="auto"/>
          <w:sz w:val="24"/>
          <w:highlight w:val="none"/>
        </w:rPr>
        <w:t>法定代表人或委托代理人：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（签名） </w:t>
      </w:r>
    </w:p>
    <w:p w14:paraId="19566122">
      <w:pPr>
        <w:adjustRightInd w:val="0"/>
        <w:snapToGrid w:val="0"/>
        <w:spacing w:line="360" w:lineRule="auto"/>
        <w:ind w:firstLine="5640" w:firstLineChars="2350"/>
        <w:rPr>
          <w:rFonts w:hint="eastAsia" w:ascii="宋体" w:hAnsi="宋体" w:cs="宋体"/>
          <w:bCs/>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7B465001">
      <w:pPr>
        <w:spacing w:line="312" w:lineRule="auto"/>
        <w:ind w:firstLine="480"/>
        <w:rPr>
          <w:rFonts w:hint="eastAsia" w:ascii="宋体" w:hAnsi="宋体" w:cs="宋体"/>
          <w:bCs/>
          <w:color w:val="auto"/>
          <w:szCs w:val="21"/>
          <w:highlight w:val="none"/>
          <w:u w:val="single"/>
        </w:rPr>
      </w:pPr>
    </w:p>
    <w:p w14:paraId="003F64D0">
      <w:pPr>
        <w:spacing w:line="312" w:lineRule="auto"/>
        <w:ind w:firstLine="480"/>
        <w:rPr>
          <w:rFonts w:hint="eastAsia" w:ascii="宋体" w:hAnsi="宋体" w:cs="宋体"/>
          <w:bCs/>
          <w:color w:val="auto"/>
          <w:szCs w:val="21"/>
          <w:highlight w:val="none"/>
          <w:u w:val="single"/>
        </w:rPr>
      </w:pPr>
    </w:p>
    <w:p w14:paraId="4C764784">
      <w:pPr>
        <w:spacing w:line="312" w:lineRule="auto"/>
        <w:ind w:firstLine="480"/>
        <w:rPr>
          <w:rFonts w:hint="eastAsia" w:ascii="宋体" w:hAnsi="宋体" w:cs="宋体"/>
          <w:bCs/>
          <w:color w:val="auto"/>
          <w:szCs w:val="21"/>
          <w:highlight w:val="none"/>
          <w:u w:val="single"/>
        </w:rPr>
      </w:pPr>
    </w:p>
    <w:p w14:paraId="2B91EC36">
      <w:pPr>
        <w:spacing w:line="312" w:lineRule="auto"/>
        <w:outlineLvl w:val="2"/>
        <w:rPr>
          <w:rFonts w:hint="eastAsia" w:ascii="宋体" w:hAnsi="宋体" w:cs="宋体"/>
          <w:color w:val="auto"/>
          <w:highlight w:val="none"/>
        </w:rPr>
        <w:sectPr>
          <w:headerReference r:id="rId8" w:type="first"/>
          <w:footerReference r:id="rId10" w:type="first"/>
          <w:headerReference r:id="rId7" w:type="even"/>
          <w:footerReference r:id="rId9" w:type="even"/>
          <w:pgSz w:w="11906" w:h="16838"/>
          <w:pgMar w:top="1418" w:right="1418" w:bottom="1418" w:left="1418" w:header="851" w:footer="992" w:gutter="0"/>
          <w:cols w:space="720" w:num="1"/>
          <w:docGrid w:linePitch="312" w:charSpace="0"/>
        </w:sectPr>
      </w:pPr>
    </w:p>
    <w:p w14:paraId="39707729">
      <w:pPr>
        <w:spacing w:line="312" w:lineRule="auto"/>
        <w:outlineLvl w:val="2"/>
        <w:rPr>
          <w:rFonts w:hint="eastAsia" w:ascii="宋体" w:hAnsi="宋体" w:cs="宋体"/>
          <w:b/>
          <w:color w:val="auto"/>
          <w:sz w:val="24"/>
          <w:highlight w:val="none"/>
        </w:rPr>
      </w:pPr>
      <w:bookmarkStart w:id="1101" w:name="_Toc104740366"/>
      <w:bookmarkStart w:id="1102" w:name="_Toc96899377"/>
      <w:bookmarkStart w:id="1103" w:name="_Toc4509"/>
      <w:r>
        <w:rPr>
          <w:rFonts w:hint="eastAsia" w:ascii="宋体" w:hAnsi="宋体" w:cs="宋体"/>
          <w:b/>
          <w:color w:val="auto"/>
          <w:sz w:val="24"/>
          <w:highlight w:val="none"/>
        </w:rPr>
        <w:t>附件四：扬尘污染防治工作承诺书</w:t>
      </w:r>
      <w:bookmarkEnd w:id="1101"/>
      <w:bookmarkEnd w:id="1102"/>
      <w:bookmarkEnd w:id="1103"/>
    </w:p>
    <w:p w14:paraId="49D48158">
      <w:pPr>
        <w:rPr>
          <w:rFonts w:hint="eastAsia" w:ascii="宋体" w:hAnsi="宋体" w:cs="宋体"/>
          <w:color w:val="auto"/>
          <w:highlight w:val="none"/>
        </w:rPr>
      </w:pPr>
    </w:p>
    <w:p w14:paraId="568EA0DA">
      <w:pPr>
        <w:widowControl/>
        <w:spacing w:line="312" w:lineRule="auto"/>
        <w:jc w:val="center"/>
        <w:rPr>
          <w:rFonts w:hint="eastAsia" w:ascii="宋体" w:hAnsi="宋体" w:cs="宋体"/>
          <w:b/>
          <w:bCs/>
          <w:color w:val="auto"/>
          <w:kern w:val="0"/>
          <w:sz w:val="32"/>
          <w:szCs w:val="32"/>
          <w:highlight w:val="none"/>
        </w:rPr>
      </w:pPr>
      <w:r>
        <w:rPr>
          <w:rFonts w:hint="eastAsia" w:ascii="宋体" w:hAnsi="宋体" w:cs="宋体"/>
          <w:b/>
          <w:bCs/>
          <w:color w:val="auto"/>
          <w:kern w:val="0"/>
          <w:sz w:val="32"/>
          <w:szCs w:val="32"/>
          <w:highlight w:val="none"/>
        </w:rPr>
        <w:t>扬尘污染防治工作承诺书</w:t>
      </w:r>
    </w:p>
    <w:p w14:paraId="30E1143C">
      <w:pPr>
        <w:adjustRightInd w:val="0"/>
        <w:snapToGrid w:val="0"/>
        <w:spacing w:line="360" w:lineRule="auto"/>
        <w:rPr>
          <w:rFonts w:hint="eastAsia" w:ascii="宋体" w:hAnsi="宋体" w:cs="宋体"/>
          <w:bCs/>
          <w:color w:val="auto"/>
          <w:sz w:val="24"/>
          <w:highlight w:val="none"/>
          <w:u w:val="single"/>
        </w:rPr>
      </w:pPr>
    </w:p>
    <w:p w14:paraId="2C7A47AC">
      <w:pPr>
        <w:adjustRightInd w:val="0"/>
        <w:snapToGrid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u w:val="single"/>
        </w:rPr>
        <w:t>北京市水利工程管理中心</w:t>
      </w:r>
      <w:r>
        <w:rPr>
          <w:rFonts w:hint="eastAsia" w:ascii="宋体" w:hAnsi="宋体" w:cs="宋体"/>
          <w:bCs/>
          <w:color w:val="auto"/>
          <w:sz w:val="24"/>
          <w:highlight w:val="none"/>
        </w:rPr>
        <w:t>（发包人名称）：</w:t>
      </w:r>
    </w:p>
    <w:p w14:paraId="7C54008A">
      <w:pPr>
        <w:adjustRightInd w:val="0"/>
        <w:snapToGrid w:val="0"/>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我方作为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项目名称）</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标段名称）的承包人，作出如下承诺：对扬尘污染防治工作负主体责任，做好“六个百分百”，周边围挡100%搭设、物料堆放100%覆盖、土方开挖100%湿法作业、路面100%硬化、出入车辆100%清洗、渣土车100%密闭运输；工地出口两侧各100米路面实行“三包”：包干净、包秩序、包美化；保持路面湿润（雨雪天除外），确保扬尘不出院、路面不见土、车辆不带泥、周边不起尘，并同步安装颗粒物在线监测、视频监测系统，与市住建委监管平台联网，接受有关部门的监督。如违反承诺，我方自行承担相应法律后果和有关行政管理部门依法做出的处罚，并按合同违约条款的约定，接受发包人的处罚。</w:t>
      </w:r>
    </w:p>
    <w:p w14:paraId="2FEE3747">
      <w:pPr>
        <w:adjustRightInd w:val="0"/>
        <w:snapToGrid w:val="0"/>
        <w:spacing w:line="360" w:lineRule="auto"/>
        <w:ind w:firstLine="480"/>
        <w:rPr>
          <w:rFonts w:hint="eastAsia" w:ascii="宋体" w:hAnsi="宋体" w:cs="宋体"/>
          <w:bCs/>
          <w:color w:val="auto"/>
          <w:sz w:val="24"/>
          <w:highlight w:val="none"/>
        </w:rPr>
      </w:pPr>
    </w:p>
    <w:p w14:paraId="66D0DF6A">
      <w:pPr>
        <w:adjustRightInd w:val="0"/>
        <w:snapToGrid w:val="0"/>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特此承诺。</w:t>
      </w:r>
    </w:p>
    <w:p w14:paraId="3F4AF457">
      <w:pPr>
        <w:spacing w:line="360" w:lineRule="auto"/>
        <w:rPr>
          <w:rFonts w:hint="eastAsia" w:ascii="宋体" w:hAnsi="宋体" w:cs="宋体"/>
          <w:color w:val="auto"/>
          <w:sz w:val="24"/>
          <w:highlight w:val="none"/>
        </w:rPr>
      </w:pPr>
    </w:p>
    <w:p w14:paraId="70467B50">
      <w:pPr>
        <w:spacing w:line="360" w:lineRule="auto"/>
        <w:rPr>
          <w:rFonts w:hint="eastAsia" w:ascii="宋体" w:hAnsi="宋体" w:cs="宋体"/>
          <w:color w:val="auto"/>
          <w:sz w:val="24"/>
          <w:highlight w:val="none"/>
        </w:rPr>
      </w:pPr>
    </w:p>
    <w:p w14:paraId="14797C3F">
      <w:pPr>
        <w:spacing w:line="360" w:lineRule="auto"/>
        <w:rPr>
          <w:rFonts w:hint="eastAsia" w:ascii="宋体" w:hAnsi="宋体" w:cs="宋体"/>
          <w:color w:val="auto"/>
          <w:sz w:val="24"/>
          <w:highlight w:val="none"/>
        </w:rPr>
      </w:pPr>
    </w:p>
    <w:p w14:paraId="2C5AFC0D">
      <w:pPr>
        <w:adjustRightInd w:val="0"/>
        <w:snapToGrid w:val="0"/>
        <w:spacing w:line="360" w:lineRule="auto"/>
        <w:ind w:firstLine="4080" w:firstLineChars="1700"/>
        <w:rPr>
          <w:rFonts w:hint="eastAsia" w:ascii="宋体" w:hAnsi="宋体" w:cs="宋体"/>
          <w:bCs/>
          <w:color w:val="auto"/>
          <w:sz w:val="24"/>
          <w:highlight w:val="none"/>
          <w:u w:val="single"/>
        </w:rPr>
      </w:pPr>
      <w:r>
        <w:rPr>
          <w:rFonts w:hint="eastAsia" w:ascii="宋体" w:hAnsi="宋体" w:cs="宋体"/>
          <w:bCs/>
          <w:color w:val="auto"/>
          <w:sz w:val="24"/>
          <w:highlight w:val="none"/>
        </w:rPr>
        <w:t>承包人：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（名称并盖单位公章）</w:t>
      </w:r>
    </w:p>
    <w:p w14:paraId="6F372F0B">
      <w:pPr>
        <w:adjustRightInd w:val="0"/>
        <w:snapToGrid w:val="0"/>
        <w:spacing w:line="360" w:lineRule="auto"/>
        <w:ind w:firstLine="4080" w:firstLineChars="1700"/>
        <w:rPr>
          <w:rFonts w:hint="eastAsia" w:ascii="宋体" w:hAnsi="宋体" w:cs="宋体"/>
          <w:color w:val="auto"/>
          <w:sz w:val="24"/>
          <w:highlight w:val="none"/>
        </w:rPr>
      </w:pPr>
      <w:r>
        <w:rPr>
          <w:rFonts w:hint="eastAsia" w:ascii="宋体" w:hAnsi="宋体" w:cs="宋体"/>
          <w:color w:val="auto"/>
          <w:sz w:val="24"/>
          <w:highlight w:val="none"/>
        </w:rPr>
        <w:t>法定代表人或委托代理人：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（签名） </w:t>
      </w:r>
    </w:p>
    <w:p w14:paraId="336566A6">
      <w:pPr>
        <w:adjustRightInd w:val="0"/>
        <w:snapToGrid w:val="0"/>
        <w:spacing w:line="360" w:lineRule="auto"/>
        <w:ind w:firstLine="4200" w:firstLineChars="1750"/>
        <w:rPr>
          <w:rFonts w:hint="eastAsia" w:ascii="宋体" w:hAnsi="宋体" w:cs="宋体"/>
          <w:color w:val="auto"/>
          <w:sz w:val="24"/>
          <w:highlight w:val="none"/>
        </w:rPr>
        <w:sectPr>
          <w:pgSz w:w="11906" w:h="16838"/>
          <w:pgMar w:top="1418" w:right="1418" w:bottom="1418" w:left="1418" w:header="851" w:footer="992" w:gutter="0"/>
          <w:cols w:space="720" w:num="1"/>
          <w:docGrid w:type="linesAndChars" w:linePitch="312" w:charSpace="0"/>
        </w:sect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05DD7FBD">
      <w:pPr>
        <w:spacing w:line="312" w:lineRule="auto"/>
        <w:outlineLvl w:val="2"/>
        <w:rPr>
          <w:rFonts w:hint="eastAsia" w:ascii="宋体" w:hAnsi="宋体" w:cs="宋体"/>
          <w:b/>
          <w:color w:val="auto"/>
          <w:sz w:val="24"/>
          <w:highlight w:val="none"/>
        </w:rPr>
      </w:pPr>
      <w:bookmarkStart w:id="1104" w:name="_Toc96899378"/>
      <w:bookmarkStart w:id="1105" w:name="_Toc28244"/>
      <w:bookmarkStart w:id="1106" w:name="_Toc104740367"/>
      <w:r>
        <w:rPr>
          <w:rFonts w:hint="eastAsia" w:ascii="宋体" w:hAnsi="宋体" w:cs="宋体"/>
          <w:b/>
          <w:color w:val="auto"/>
          <w:sz w:val="24"/>
          <w:highlight w:val="none"/>
        </w:rPr>
        <w:t>附件五：北京市工程建设项目保障农民工工资支付工作承诺书</w:t>
      </w:r>
      <w:bookmarkEnd w:id="1104"/>
      <w:bookmarkEnd w:id="1105"/>
      <w:bookmarkEnd w:id="1106"/>
    </w:p>
    <w:p w14:paraId="0CABF923">
      <w:pPr>
        <w:rPr>
          <w:rFonts w:hint="eastAsia" w:ascii="宋体" w:hAnsi="宋体" w:cs="宋体"/>
          <w:color w:val="auto"/>
          <w:highlight w:val="none"/>
        </w:rPr>
      </w:pPr>
    </w:p>
    <w:p w14:paraId="769D2683">
      <w:pPr>
        <w:widowControl/>
        <w:spacing w:line="312" w:lineRule="auto"/>
        <w:jc w:val="center"/>
        <w:rPr>
          <w:rFonts w:hint="eastAsia" w:ascii="宋体" w:hAnsi="宋体" w:cs="宋体"/>
          <w:b/>
          <w:bCs/>
          <w:color w:val="auto"/>
          <w:kern w:val="0"/>
          <w:sz w:val="32"/>
          <w:szCs w:val="32"/>
          <w:highlight w:val="none"/>
        </w:rPr>
      </w:pPr>
      <w:r>
        <w:rPr>
          <w:rFonts w:hint="eastAsia" w:ascii="宋体" w:hAnsi="宋体" w:cs="宋体"/>
          <w:b/>
          <w:bCs/>
          <w:color w:val="auto"/>
          <w:kern w:val="0"/>
          <w:sz w:val="32"/>
          <w:szCs w:val="32"/>
          <w:highlight w:val="none"/>
        </w:rPr>
        <w:t>北京市工程建设项目</w:t>
      </w:r>
    </w:p>
    <w:p w14:paraId="2257A601">
      <w:pPr>
        <w:widowControl/>
        <w:spacing w:line="312" w:lineRule="auto"/>
        <w:jc w:val="center"/>
        <w:rPr>
          <w:rFonts w:hint="eastAsia" w:ascii="宋体" w:hAnsi="宋体" w:cs="宋体"/>
          <w:b/>
          <w:bCs/>
          <w:color w:val="auto"/>
          <w:kern w:val="0"/>
          <w:sz w:val="32"/>
          <w:szCs w:val="32"/>
          <w:highlight w:val="none"/>
        </w:rPr>
      </w:pPr>
      <w:r>
        <w:rPr>
          <w:rFonts w:hint="eastAsia" w:ascii="宋体" w:hAnsi="宋体" w:cs="宋体"/>
          <w:b/>
          <w:bCs/>
          <w:color w:val="auto"/>
          <w:kern w:val="0"/>
          <w:sz w:val="32"/>
          <w:szCs w:val="32"/>
          <w:highlight w:val="none"/>
        </w:rPr>
        <w:t>保障农民工工资支付工作承诺书</w:t>
      </w:r>
    </w:p>
    <w:p w14:paraId="62B5CCB4">
      <w:pPr>
        <w:rPr>
          <w:rFonts w:hint="eastAsia" w:ascii="宋体" w:hAnsi="宋体" w:cs="宋体"/>
          <w:color w:val="auto"/>
          <w:highlight w:val="none"/>
        </w:rPr>
      </w:pPr>
    </w:p>
    <w:p w14:paraId="2BD62EC7">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p>
    <w:p w14:paraId="3A4E762F">
      <w:pPr>
        <w:spacing w:line="360" w:lineRule="auto"/>
        <w:rPr>
          <w:rFonts w:hint="eastAsia" w:ascii="宋体" w:hAnsi="宋体" w:cs="宋体"/>
          <w:color w:val="auto"/>
          <w:sz w:val="24"/>
          <w:highlight w:val="none"/>
        </w:rPr>
      </w:pPr>
      <w:r>
        <w:rPr>
          <w:rFonts w:hint="eastAsia" w:ascii="宋体" w:hAnsi="宋体" w:cs="宋体"/>
          <w:color w:val="auto"/>
          <w:sz w:val="24"/>
          <w:highlight w:val="none"/>
        </w:rPr>
        <w:t>项目地址：</w:t>
      </w:r>
      <w:r>
        <w:rPr>
          <w:rFonts w:hint="eastAsia" w:ascii="宋体" w:hAnsi="宋体" w:cs="宋体"/>
          <w:color w:val="auto"/>
          <w:sz w:val="24"/>
          <w:highlight w:val="none"/>
          <w:u w:val="single"/>
        </w:rPr>
        <w:t xml:space="preserve">                    </w:t>
      </w:r>
    </w:p>
    <w:p w14:paraId="6405F74A">
      <w:pPr>
        <w:spacing w:line="360" w:lineRule="auto"/>
        <w:rPr>
          <w:rFonts w:hint="eastAsia" w:ascii="宋体" w:hAnsi="宋体" w:cs="宋体"/>
          <w:color w:val="auto"/>
          <w:sz w:val="24"/>
          <w:highlight w:val="none"/>
        </w:rPr>
      </w:pPr>
      <w:r>
        <w:rPr>
          <w:rFonts w:hint="eastAsia" w:ascii="宋体" w:hAnsi="宋体" w:cs="宋体"/>
          <w:color w:val="auto"/>
          <w:sz w:val="24"/>
          <w:highlight w:val="none"/>
        </w:rPr>
        <w:t>承包人：</w:t>
      </w:r>
      <w:r>
        <w:rPr>
          <w:rFonts w:hint="eastAsia" w:ascii="宋体" w:hAnsi="宋体" w:cs="宋体"/>
          <w:color w:val="auto"/>
          <w:sz w:val="24"/>
          <w:highlight w:val="none"/>
          <w:u w:val="single"/>
        </w:rPr>
        <w:t xml:space="preserve">                      </w:t>
      </w:r>
    </w:p>
    <w:p w14:paraId="573DF10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为保障农民工工资支付，作为总承包企业（专业承包企业），我单位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（企业名称）现作出郑重承诺，保证遵守以下内容，切实维护本工程项目中农民工的合法权益：</w:t>
      </w:r>
    </w:p>
    <w:p w14:paraId="2E28C89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一、在工程项目全面实施实名制管理，按月收集并确认《工资表》《考勤表》和《施工人员变更情况周统计表》。</w:t>
      </w:r>
    </w:p>
    <w:p w14:paraId="47290FF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二、按照本市有关规定按月足额支付农民工工资。</w:t>
      </w:r>
    </w:p>
    <w:p w14:paraId="5066714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三、妥善解决好工程项目的劳务、劳资纠纷。发生农民工极端或群体性讨薪突发事件的，及时向施工项目所在地人力资源和社会保障行政部门通报情况，并配合人力资源和社会保障行政部门、行政主管部门和公安部门协调处理。</w:t>
      </w:r>
    </w:p>
    <w:p w14:paraId="256C993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特此承诺。</w:t>
      </w:r>
    </w:p>
    <w:p w14:paraId="5CC88E9C">
      <w:pPr>
        <w:spacing w:line="360" w:lineRule="auto"/>
        <w:rPr>
          <w:rFonts w:hint="eastAsia" w:ascii="宋体" w:hAnsi="宋体" w:cs="宋体"/>
          <w:color w:val="auto"/>
          <w:sz w:val="24"/>
          <w:highlight w:val="none"/>
        </w:rPr>
      </w:pPr>
    </w:p>
    <w:p w14:paraId="16925E01">
      <w:pPr>
        <w:spacing w:line="360" w:lineRule="auto"/>
        <w:rPr>
          <w:rFonts w:hint="eastAsia" w:ascii="宋体" w:hAnsi="宋体" w:cs="宋体"/>
          <w:color w:val="auto"/>
          <w:sz w:val="24"/>
          <w:highlight w:val="none"/>
        </w:rPr>
      </w:pPr>
    </w:p>
    <w:p w14:paraId="76B3B216">
      <w:pPr>
        <w:spacing w:line="360" w:lineRule="auto"/>
        <w:rPr>
          <w:rFonts w:hint="eastAsia" w:ascii="宋体" w:hAnsi="宋体" w:cs="宋体"/>
          <w:color w:val="auto"/>
          <w:sz w:val="24"/>
          <w:highlight w:val="none"/>
        </w:rPr>
      </w:pPr>
    </w:p>
    <w:p w14:paraId="03E92044">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承诺单位（加盖企业公章或项目部公章）：</w:t>
      </w:r>
      <w:r>
        <w:rPr>
          <w:rFonts w:hint="eastAsia" w:ascii="宋体" w:hAnsi="宋体" w:cs="宋体"/>
          <w:color w:val="auto"/>
          <w:sz w:val="24"/>
          <w:highlight w:val="none"/>
          <w:u w:val="single"/>
        </w:rPr>
        <w:t xml:space="preserve">                        </w:t>
      </w:r>
    </w:p>
    <w:p w14:paraId="4584D36C">
      <w:pPr>
        <w:snapToGrid w:val="0"/>
        <w:spacing w:line="360" w:lineRule="auto"/>
        <w:ind w:firstLine="480" w:firstLineChars="200"/>
        <w:rPr>
          <w:rFonts w:hint="eastAsia" w:ascii="宋体" w:hAnsi="宋体" w:cs="宋体"/>
          <w:color w:val="auto"/>
          <w:sz w:val="24"/>
          <w:highlight w:val="none"/>
        </w:rPr>
      </w:pPr>
    </w:p>
    <w:p w14:paraId="19425C11">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企业法定代表人或委托代理人签字：</w:t>
      </w:r>
      <w:r>
        <w:rPr>
          <w:rFonts w:hint="eastAsia" w:ascii="宋体" w:hAnsi="宋体" w:cs="宋体"/>
          <w:color w:val="auto"/>
          <w:sz w:val="24"/>
          <w:highlight w:val="none"/>
          <w:u w:val="single"/>
        </w:rPr>
        <w:t xml:space="preserve">                             </w:t>
      </w:r>
    </w:p>
    <w:p w14:paraId="7A6F8036">
      <w:pPr>
        <w:snapToGrid w:val="0"/>
        <w:spacing w:line="360" w:lineRule="auto"/>
        <w:ind w:firstLine="480" w:firstLineChars="200"/>
        <w:rPr>
          <w:rFonts w:hint="eastAsia" w:ascii="宋体" w:hAnsi="宋体" w:cs="宋体"/>
          <w:color w:val="auto"/>
          <w:sz w:val="24"/>
          <w:highlight w:val="none"/>
        </w:rPr>
      </w:pPr>
    </w:p>
    <w:p w14:paraId="05E29517">
      <w:pPr>
        <w:rPr>
          <w:color w:val="auto"/>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日期：</w:t>
      </w:r>
      <w:r>
        <w:rPr>
          <w:rFonts w:hint="eastAsia" w:ascii="宋体" w:hAnsi="宋体" w:cs="宋体"/>
          <w:color w:val="auto"/>
          <w:sz w:val="24"/>
          <w:highlight w:val="none"/>
          <w:u w:val="single"/>
        </w:rPr>
        <w:t xml:space="preserve">               </w:t>
      </w:r>
    </w:p>
    <w:p w14:paraId="1E11BCC6">
      <w:pPr>
        <w:rPr>
          <w:color w:val="auto"/>
          <w:highlight w:val="none"/>
        </w:rPr>
      </w:pPr>
    </w:p>
    <w:p w14:paraId="0893FF50">
      <w:pPr>
        <w:pStyle w:val="12"/>
        <w:rPr>
          <w:rFonts w:hint="eastAsia"/>
          <w:color w:val="auto"/>
          <w:highlight w:val="none"/>
        </w:rPr>
      </w:pPr>
    </w:p>
    <w:p w14:paraId="4596D8F5">
      <w:pPr>
        <w:pStyle w:val="12"/>
        <w:jc w:val="both"/>
        <w:rPr>
          <w:rFonts w:hint="eastAsia"/>
          <w:color w:val="auto"/>
          <w:highlight w:val="none"/>
        </w:rPr>
      </w:pPr>
    </w:p>
    <w:p w14:paraId="1A348F97">
      <w:pPr>
        <w:spacing w:line="312" w:lineRule="auto"/>
        <w:outlineLvl w:val="2"/>
        <w:rPr>
          <w:rFonts w:hint="eastAsia" w:ascii="宋体" w:hAnsi="宋体" w:cs="宋体"/>
          <w:b/>
          <w:color w:val="auto"/>
          <w:sz w:val="24"/>
          <w:highlight w:val="none"/>
        </w:rPr>
      </w:pPr>
      <w:r>
        <w:rPr>
          <w:rFonts w:hint="eastAsia" w:ascii="宋体" w:hAnsi="宋体" w:cs="宋体"/>
          <w:b/>
          <w:color w:val="auto"/>
          <w:sz w:val="24"/>
          <w:highlight w:val="none"/>
        </w:rPr>
        <w:t>附件六：履约担保</w:t>
      </w:r>
    </w:p>
    <w:p w14:paraId="5D024321">
      <w:pPr>
        <w:widowControl/>
        <w:spacing w:line="312" w:lineRule="auto"/>
        <w:jc w:val="center"/>
        <w:rPr>
          <w:rFonts w:hint="eastAsia" w:ascii="宋体" w:hAnsi="宋体" w:cs="宋体"/>
          <w:b/>
          <w:bCs/>
          <w:color w:val="auto"/>
          <w:kern w:val="0"/>
          <w:sz w:val="32"/>
          <w:szCs w:val="32"/>
          <w:highlight w:val="none"/>
        </w:rPr>
      </w:pPr>
      <w:r>
        <w:rPr>
          <w:rFonts w:hint="eastAsia" w:ascii="宋体" w:hAnsi="宋体" w:cs="宋体"/>
          <w:b/>
          <w:bCs/>
          <w:color w:val="auto"/>
          <w:kern w:val="0"/>
          <w:sz w:val="32"/>
          <w:szCs w:val="32"/>
          <w:highlight w:val="none"/>
        </w:rPr>
        <w:t>履约担保</w:t>
      </w:r>
    </w:p>
    <w:p w14:paraId="71630D14">
      <w:pPr>
        <w:widowControl/>
        <w:spacing w:line="312" w:lineRule="auto"/>
        <w:jc w:val="left"/>
        <w:rPr>
          <w:rFonts w:hint="eastAsia" w:ascii="宋体" w:hAnsi="宋体" w:cs="宋体"/>
          <w:color w:val="auto"/>
          <w:kern w:val="0"/>
          <w:sz w:val="20"/>
          <w:szCs w:val="20"/>
          <w:highlight w:val="none"/>
        </w:rPr>
      </w:pPr>
    </w:p>
    <w:p w14:paraId="069CF617">
      <w:pPr>
        <w:widowControl/>
        <w:spacing w:line="312" w:lineRule="auto"/>
        <w:jc w:val="left"/>
        <w:rPr>
          <w:rFonts w:hint="eastAsia" w:ascii="宋体" w:hAnsi="宋体" w:cs="宋体"/>
          <w:color w:val="auto"/>
          <w:kern w:val="0"/>
          <w:sz w:val="24"/>
          <w:highlight w:val="none"/>
        </w:rPr>
      </w:pP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rPr>
        <w:tab/>
      </w:r>
      <w:r>
        <w:rPr>
          <w:rFonts w:hint="eastAsia" w:ascii="宋体" w:hAnsi="宋体" w:cs="宋体"/>
          <w:color w:val="auto"/>
          <w:kern w:val="0"/>
          <w:sz w:val="24"/>
          <w:highlight w:val="none"/>
          <w:u w:val="single"/>
        </w:rPr>
        <w:tab/>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（发包人名称）：</w:t>
      </w:r>
    </w:p>
    <w:p w14:paraId="698B5849">
      <w:pPr>
        <w:widowControl/>
        <w:spacing w:line="312" w:lineRule="auto"/>
        <w:jc w:val="left"/>
        <w:rPr>
          <w:rFonts w:hint="eastAsia" w:ascii="宋体" w:hAnsi="宋体" w:cs="宋体"/>
          <w:color w:val="auto"/>
          <w:kern w:val="0"/>
          <w:sz w:val="24"/>
          <w:highlight w:val="none"/>
        </w:rPr>
      </w:pPr>
    </w:p>
    <w:p w14:paraId="345AEB25">
      <w:pPr>
        <w:widowControl/>
        <w:spacing w:line="312"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鉴于</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（发包人名称，以下简称“发包人”）接受</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（承包人名称，以下简称“承包人”）于</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年</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月</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日参加</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（项目名称）</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（标段名称）的投标。我方愿意无条件地、不可撤销地就承包人履行与你方订立的合同，向你方提供担保。</w:t>
      </w:r>
    </w:p>
    <w:p w14:paraId="6070CB7C">
      <w:pPr>
        <w:widowControl/>
        <w:spacing w:line="312"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1. 担保金额人民币（大写）</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 xml:space="preserve"> 元（¥</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w:t>
      </w:r>
    </w:p>
    <w:p w14:paraId="67AE6E89">
      <w:pPr>
        <w:widowControl/>
        <w:spacing w:line="312"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2. 担保有效期自发包人与承包人签订的合同生效之日起至发包人签发合同工程完工证书之日止。</w:t>
      </w:r>
    </w:p>
    <w:p w14:paraId="01171164">
      <w:pPr>
        <w:widowControl/>
        <w:spacing w:line="312"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3. 在本担保有效期内，因承包人违反合同约定的义务给你方造成经济损失时，我方在收到你方以书面形式提出的在担保金额内的赔偿要求后，无条件地在7天内予以支付。</w:t>
      </w:r>
    </w:p>
    <w:p w14:paraId="0A3CF3C8">
      <w:pPr>
        <w:widowControl/>
        <w:spacing w:line="312"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4. 发包人和承包人按《合同条款》第15条变更合同时，我方承担本担保规定的义务不变。</w:t>
      </w:r>
    </w:p>
    <w:p w14:paraId="24370BA5">
      <w:pPr>
        <w:widowControl/>
        <w:spacing w:line="312" w:lineRule="auto"/>
        <w:jc w:val="left"/>
        <w:rPr>
          <w:rFonts w:hint="eastAsia" w:ascii="宋体" w:hAnsi="宋体" w:cs="宋体"/>
          <w:color w:val="auto"/>
          <w:kern w:val="0"/>
          <w:sz w:val="24"/>
          <w:highlight w:val="none"/>
        </w:rPr>
      </w:pPr>
    </w:p>
    <w:p w14:paraId="2CEF9BEC">
      <w:pPr>
        <w:widowControl/>
        <w:spacing w:line="312" w:lineRule="auto"/>
        <w:jc w:val="left"/>
        <w:rPr>
          <w:rFonts w:hint="eastAsia" w:ascii="宋体" w:hAnsi="宋体" w:cs="宋体"/>
          <w:color w:val="auto"/>
          <w:kern w:val="0"/>
          <w:sz w:val="24"/>
          <w:highlight w:val="none"/>
        </w:rPr>
      </w:pPr>
    </w:p>
    <w:p w14:paraId="160B27FB">
      <w:pPr>
        <w:widowControl/>
        <w:spacing w:line="312" w:lineRule="auto"/>
        <w:ind w:firstLine="3259" w:firstLineChars="1358"/>
        <w:jc w:val="left"/>
        <w:rPr>
          <w:rFonts w:hint="eastAsia" w:ascii="宋体" w:hAnsi="宋体" w:cs="宋体"/>
          <w:color w:val="auto"/>
          <w:kern w:val="0"/>
          <w:sz w:val="24"/>
          <w:highlight w:val="none"/>
        </w:rPr>
      </w:pPr>
      <w:r>
        <w:rPr>
          <w:rFonts w:hint="eastAsia" w:ascii="宋体" w:hAnsi="宋体" w:cs="宋体"/>
          <w:color w:val="auto"/>
          <w:kern w:val="0"/>
          <w:sz w:val="24"/>
          <w:highlight w:val="none"/>
        </w:rPr>
        <w:t>担 保 人：</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（盖单位章）</w:t>
      </w:r>
    </w:p>
    <w:p w14:paraId="0533259A">
      <w:pPr>
        <w:widowControl/>
        <w:spacing w:line="312" w:lineRule="auto"/>
        <w:ind w:firstLine="3259" w:firstLineChars="1358"/>
        <w:jc w:val="left"/>
        <w:rPr>
          <w:rFonts w:hint="eastAsia" w:ascii="宋体" w:hAnsi="宋体" w:cs="宋体"/>
          <w:color w:val="auto"/>
          <w:kern w:val="0"/>
          <w:sz w:val="24"/>
          <w:highlight w:val="none"/>
        </w:rPr>
      </w:pPr>
      <w:r>
        <w:rPr>
          <w:rFonts w:hint="eastAsia" w:ascii="宋体" w:hAnsi="宋体" w:cs="宋体"/>
          <w:color w:val="auto"/>
          <w:kern w:val="0"/>
          <w:sz w:val="24"/>
          <w:highlight w:val="none"/>
        </w:rPr>
        <w:t>法定代表人或委托代理人：</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（签字）</w:t>
      </w:r>
    </w:p>
    <w:p w14:paraId="5B781AC8">
      <w:pPr>
        <w:widowControl/>
        <w:spacing w:line="312" w:lineRule="auto"/>
        <w:ind w:firstLine="3259" w:firstLineChars="1358"/>
        <w:jc w:val="left"/>
        <w:rPr>
          <w:rFonts w:hint="eastAsia" w:ascii="宋体" w:hAnsi="宋体" w:cs="宋体"/>
          <w:color w:val="auto"/>
          <w:kern w:val="0"/>
          <w:sz w:val="24"/>
          <w:highlight w:val="none"/>
        </w:rPr>
      </w:pPr>
      <w:r>
        <w:rPr>
          <w:rFonts w:hint="eastAsia" w:ascii="宋体" w:hAnsi="宋体" w:cs="宋体"/>
          <w:color w:val="auto"/>
          <w:kern w:val="0"/>
          <w:sz w:val="24"/>
          <w:highlight w:val="none"/>
        </w:rPr>
        <w:t>地    址：</w:t>
      </w:r>
      <w:r>
        <w:rPr>
          <w:rFonts w:hint="eastAsia" w:ascii="宋体" w:hAnsi="宋体" w:cs="宋体"/>
          <w:color w:val="auto"/>
          <w:kern w:val="0"/>
          <w:sz w:val="24"/>
          <w:highlight w:val="none"/>
          <w:u w:val="single"/>
        </w:rPr>
        <w:tab/>
      </w:r>
      <w:r>
        <w:rPr>
          <w:rFonts w:hint="eastAsia" w:ascii="宋体" w:hAnsi="宋体" w:cs="宋体"/>
          <w:color w:val="auto"/>
          <w:kern w:val="0"/>
          <w:sz w:val="24"/>
          <w:highlight w:val="none"/>
          <w:u w:val="single"/>
        </w:rPr>
        <w:tab/>
      </w:r>
      <w:r>
        <w:rPr>
          <w:rFonts w:hint="eastAsia" w:ascii="宋体" w:hAnsi="宋体" w:cs="宋体"/>
          <w:color w:val="auto"/>
          <w:kern w:val="0"/>
          <w:sz w:val="24"/>
          <w:highlight w:val="none"/>
          <w:u w:val="single"/>
        </w:rPr>
        <w:tab/>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rPr>
        <w:tab/>
      </w:r>
      <w:r>
        <w:rPr>
          <w:rFonts w:hint="eastAsia" w:ascii="宋体" w:hAnsi="宋体" w:cs="宋体"/>
          <w:color w:val="auto"/>
          <w:kern w:val="0"/>
          <w:sz w:val="24"/>
          <w:highlight w:val="none"/>
          <w:u w:val="single"/>
        </w:rPr>
        <w:tab/>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rPr>
        <w:tab/>
      </w:r>
      <w:r>
        <w:rPr>
          <w:rFonts w:hint="eastAsia" w:ascii="宋体" w:hAnsi="宋体" w:cs="宋体"/>
          <w:color w:val="auto"/>
          <w:kern w:val="0"/>
          <w:sz w:val="24"/>
          <w:highlight w:val="none"/>
          <w:u w:val="single"/>
        </w:rPr>
        <w:t xml:space="preserve">     </w:t>
      </w:r>
    </w:p>
    <w:p w14:paraId="004A5C6F">
      <w:pPr>
        <w:widowControl/>
        <w:spacing w:line="312" w:lineRule="auto"/>
        <w:ind w:firstLine="3259" w:firstLineChars="1358"/>
        <w:jc w:val="left"/>
        <w:rPr>
          <w:rFonts w:hint="eastAsia" w:ascii="宋体" w:hAnsi="宋体" w:cs="宋体"/>
          <w:color w:val="auto"/>
          <w:kern w:val="0"/>
          <w:sz w:val="24"/>
          <w:highlight w:val="none"/>
        </w:rPr>
      </w:pPr>
      <w:r>
        <w:rPr>
          <w:rFonts w:hint="eastAsia" w:ascii="宋体" w:hAnsi="宋体" w:cs="宋体"/>
          <w:color w:val="auto"/>
          <w:kern w:val="0"/>
          <w:sz w:val="24"/>
          <w:highlight w:val="none"/>
        </w:rPr>
        <w:t>邮政编码：</w:t>
      </w:r>
      <w:r>
        <w:rPr>
          <w:rFonts w:hint="eastAsia" w:ascii="宋体" w:hAnsi="宋体" w:cs="宋体"/>
          <w:color w:val="auto"/>
          <w:kern w:val="0"/>
          <w:sz w:val="24"/>
          <w:highlight w:val="none"/>
          <w:u w:val="single"/>
        </w:rPr>
        <w:tab/>
      </w:r>
      <w:r>
        <w:rPr>
          <w:rFonts w:hint="eastAsia" w:ascii="宋体" w:hAnsi="宋体" w:cs="宋体"/>
          <w:color w:val="auto"/>
          <w:kern w:val="0"/>
          <w:sz w:val="24"/>
          <w:highlight w:val="none"/>
          <w:u w:val="single"/>
        </w:rPr>
        <w:tab/>
      </w:r>
      <w:r>
        <w:rPr>
          <w:rFonts w:hint="eastAsia" w:ascii="宋体" w:hAnsi="宋体" w:cs="宋体"/>
          <w:color w:val="auto"/>
          <w:kern w:val="0"/>
          <w:sz w:val="24"/>
          <w:highlight w:val="none"/>
          <w:u w:val="single"/>
        </w:rPr>
        <w:tab/>
      </w:r>
      <w:r>
        <w:rPr>
          <w:rFonts w:hint="eastAsia" w:ascii="宋体" w:hAnsi="宋体" w:cs="宋体"/>
          <w:color w:val="auto"/>
          <w:kern w:val="0"/>
          <w:sz w:val="24"/>
          <w:highlight w:val="none"/>
          <w:u w:val="single"/>
        </w:rPr>
        <w:tab/>
      </w:r>
      <w:r>
        <w:rPr>
          <w:rFonts w:hint="eastAsia" w:ascii="宋体" w:hAnsi="宋体" w:cs="宋体"/>
          <w:color w:val="auto"/>
          <w:kern w:val="0"/>
          <w:sz w:val="24"/>
          <w:highlight w:val="none"/>
          <w:u w:val="single"/>
        </w:rPr>
        <w:tab/>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u w:val="single"/>
        </w:rPr>
        <w:tab/>
      </w:r>
      <w:r>
        <w:rPr>
          <w:rFonts w:hint="eastAsia" w:ascii="宋体" w:hAnsi="宋体" w:cs="宋体"/>
          <w:color w:val="auto"/>
          <w:kern w:val="0"/>
          <w:sz w:val="24"/>
          <w:highlight w:val="none"/>
          <w:u w:val="single"/>
        </w:rPr>
        <w:tab/>
      </w:r>
      <w:r>
        <w:rPr>
          <w:rFonts w:hint="eastAsia" w:ascii="宋体" w:hAnsi="宋体" w:cs="宋体"/>
          <w:color w:val="auto"/>
          <w:kern w:val="0"/>
          <w:sz w:val="24"/>
          <w:highlight w:val="none"/>
          <w:u w:val="single"/>
        </w:rPr>
        <w:t xml:space="preserve">     </w:t>
      </w:r>
    </w:p>
    <w:p w14:paraId="67061AE5">
      <w:pPr>
        <w:widowControl/>
        <w:spacing w:line="312" w:lineRule="auto"/>
        <w:ind w:firstLine="3259" w:firstLineChars="1358"/>
        <w:jc w:val="left"/>
        <w:rPr>
          <w:rFonts w:hint="eastAsia" w:ascii="宋体" w:hAnsi="宋体" w:cs="宋体"/>
          <w:color w:val="auto"/>
          <w:kern w:val="0"/>
          <w:sz w:val="24"/>
          <w:highlight w:val="none"/>
          <w:u w:val="single"/>
        </w:rPr>
      </w:pPr>
      <w:r>
        <w:rPr>
          <w:rFonts w:hint="eastAsia" w:ascii="宋体" w:hAnsi="宋体" w:cs="宋体"/>
          <w:color w:val="auto"/>
          <w:kern w:val="0"/>
          <w:sz w:val="24"/>
          <w:highlight w:val="none"/>
        </w:rPr>
        <w:t>电    话：</w:t>
      </w:r>
      <w:r>
        <w:rPr>
          <w:rFonts w:hint="eastAsia" w:ascii="宋体" w:hAnsi="宋体" w:cs="宋体"/>
          <w:color w:val="auto"/>
          <w:kern w:val="0"/>
          <w:sz w:val="24"/>
          <w:highlight w:val="none"/>
          <w:u w:val="single"/>
        </w:rPr>
        <w:t xml:space="preserve">                                </w:t>
      </w:r>
    </w:p>
    <w:p w14:paraId="601F917C">
      <w:pPr>
        <w:widowControl/>
        <w:spacing w:line="312" w:lineRule="auto"/>
        <w:ind w:firstLine="3259" w:firstLineChars="1358"/>
        <w:jc w:val="left"/>
        <w:rPr>
          <w:rFonts w:hint="eastAsia" w:ascii="宋体" w:hAnsi="宋体" w:cs="宋体"/>
          <w:color w:val="auto"/>
          <w:kern w:val="0"/>
          <w:sz w:val="24"/>
          <w:highlight w:val="none"/>
        </w:rPr>
      </w:pPr>
      <w:r>
        <w:rPr>
          <w:rFonts w:hint="eastAsia" w:ascii="宋体" w:hAnsi="宋体" w:cs="宋体"/>
          <w:color w:val="auto"/>
          <w:kern w:val="0"/>
          <w:sz w:val="24"/>
          <w:highlight w:val="none"/>
        </w:rPr>
        <w:t>传    真：</w:t>
      </w:r>
      <w:r>
        <w:rPr>
          <w:rFonts w:hint="eastAsia" w:ascii="宋体" w:hAnsi="宋体" w:cs="宋体"/>
          <w:color w:val="auto"/>
          <w:kern w:val="0"/>
          <w:sz w:val="24"/>
          <w:highlight w:val="none"/>
          <w:u w:val="single"/>
        </w:rPr>
        <w:t xml:space="preserve">                                </w:t>
      </w:r>
    </w:p>
    <w:p w14:paraId="69AC227D">
      <w:pPr>
        <w:widowControl/>
        <w:spacing w:line="312" w:lineRule="auto"/>
        <w:ind w:right="-2" w:firstLine="3259" w:firstLineChars="1358"/>
        <w:jc w:val="left"/>
        <w:rPr>
          <w:rFonts w:hint="eastAsia" w:ascii="宋体" w:hAnsi="宋体" w:cs="宋体"/>
          <w:color w:val="auto"/>
          <w:kern w:val="0"/>
          <w:sz w:val="24"/>
          <w:highlight w:val="none"/>
        </w:rPr>
      </w:pP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年</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月</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日</w:t>
      </w:r>
    </w:p>
    <w:p w14:paraId="193D9069">
      <w:pPr>
        <w:pStyle w:val="12"/>
        <w:jc w:val="both"/>
        <w:rPr>
          <w:rFonts w:hint="eastAsia"/>
          <w:color w:val="auto"/>
          <w:highlight w:val="none"/>
        </w:rPr>
      </w:pPr>
    </w:p>
    <w:p w14:paraId="15160670">
      <w:pPr>
        <w:spacing w:line="312" w:lineRule="auto"/>
        <w:outlineLvl w:val="2"/>
        <w:rPr>
          <w:rFonts w:hint="eastAsia" w:ascii="宋体" w:hAnsi="宋体" w:cs="宋体"/>
          <w:b/>
          <w:color w:val="auto"/>
          <w:sz w:val="24"/>
          <w:highlight w:val="none"/>
        </w:rPr>
        <w:sectPr>
          <w:pgSz w:w="11906" w:h="16838"/>
          <w:pgMar w:top="1440" w:right="1800" w:bottom="1440" w:left="1800" w:header="851" w:footer="992" w:gutter="0"/>
          <w:cols w:space="720" w:num="1"/>
          <w:docGrid w:type="lines" w:linePitch="312" w:charSpace="0"/>
        </w:sectPr>
      </w:pPr>
    </w:p>
    <w:p w14:paraId="349C88CB">
      <w:pPr>
        <w:spacing w:line="312" w:lineRule="auto"/>
        <w:outlineLvl w:val="2"/>
        <w:rPr>
          <w:rFonts w:hint="eastAsia" w:ascii="宋体" w:hAnsi="宋体" w:cs="宋体"/>
          <w:b/>
          <w:color w:val="auto"/>
          <w:sz w:val="24"/>
          <w:highlight w:val="none"/>
        </w:rPr>
      </w:pPr>
      <w:r>
        <w:rPr>
          <w:rFonts w:hint="eastAsia" w:ascii="宋体" w:hAnsi="宋体" w:cs="宋体"/>
          <w:b/>
          <w:color w:val="auto"/>
          <w:sz w:val="24"/>
          <w:highlight w:val="none"/>
        </w:rPr>
        <w:t>附件七：质量保证保函</w:t>
      </w:r>
    </w:p>
    <w:p w14:paraId="465D8963">
      <w:pPr>
        <w:widowControl/>
        <w:spacing w:line="312" w:lineRule="auto"/>
        <w:jc w:val="center"/>
        <w:rPr>
          <w:rFonts w:hint="eastAsia" w:ascii="宋体" w:hAnsi="宋体" w:cs="宋体"/>
          <w:b/>
          <w:bCs/>
          <w:color w:val="auto"/>
          <w:kern w:val="0"/>
          <w:sz w:val="32"/>
          <w:szCs w:val="32"/>
          <w:highlight w:val="none"/>
        </w:rPr>
      </w:pPr>
      <w:r>
        <w:rPr>
          <w:rFonts w:hint="eastAsia" w:ascii="宋体" w:hAnsi="宋体" w:cs="宋体"/>
          <w:b/>
          <w:bCs/>
          <w:color w:val="auto"/>
          <w:kern w:val="0"/>
          <w:sz w:val="32"/>
          <w:szCs w:val="32"/>
          <w:highlight w:val="none"/>
        </w:rPr>
        <w:t>质量保证保函</w:t>
      </w:r>
    </w:p>
    <w:p w14:paraId="1BF896FF">
      <w:pPr>
        <w:widowControl/>
        <w:spacing w:line="360" w:lineRule="auto"/>
        <w:ind w:firstLine="480" w:firstLineChars="200"/>
        <w:textAlignment w:val="baseline"/>
        <w:rPr>
          <w:rFonts w:hint="eastAsia" w:ascii="宋体" w:hAnsi="宋体" w:cs="宋体"/>
          <w:color w:val="auto"/>
          <w:sz w:val="24"/>
          <w:highlight w:val="none"/>
        </w:rPr>
      </w:pPr>
    </w:p>
    <w:p w14:paraId="220E22E5">
      <w:pPr>
        <w:widowControl/>
        <w:spacing w:line="360" w:lineRule="auto"/>
        <w:textAlignment w:val="baseline"/>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（发包人名称）：</w:t>
      </w:r>
    </w:p>
    <w:p w14:paraId="5FEC76A4">
      <w:pPr>
        <w:widowControl/>
        <w:spacing w:line="360" w:lineRule="auto"/>
        <w:ind w:firstLine="480" w:firstLineChars="200"/>
        <w:textAlignment w:val="baseline"/>
        <w:rPr>
          <w:rFonts w:hint="eastAsia" w:ascii="宋体" w:hAnsi="宋体" w:cs="宋体"/>
          <w:color w:val="auto"/>
          <w:sz w:val="24"/>
          <w:highlight w:val="none"/>
        </w:rPr>
      </w:pPr>
      <w:r>
        <w:rPr>
          <w:rFonts w:hint="eastAsia" w:ascii="宋体" w:hAnsi="宋体" w:cs="宋体"/>
          <w:color w:val="auto"/>
          <w:sz w:val="24"/>
          <w:highlight w:val="none"/>
        </w:rPr>
        <w:t>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（承包人名称，以下简称“承包人”）与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（发包人名称，以下简称“发包人”）于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日签订的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（标段名称）承包合同，承包人需向你方提交一份质量保证保函，我方愿意就承包人履行修复缺陷责任给承包人提供担保。</w:t>
      </w:r>
    </w:p>
    <w:p w14:paraId="55B8AD76">
      <w:pPr>
        <w:widowControl/>
        <w:spacing w:line="360" w:lineRule="auto"/>
        <w:ind w:firstLine="480" w:firstLineChars="200"/>
        <w:textAlignment w:val="baseline"/>
        <w:rPr>
          <w:rFonts w:hint="eastAsia" w:ascii="宋体" w:hAnsi="宋体" w:cs="宋体"/>
          <w:color w:val="auto"/>
          <w:sz w:val="24"/>
          <w:highlight w:val="none"/>
        </w:rPr>
      </w:pPr>
      <w:r>
        <w:rPr>
          <w:rFonts w:hint="eastAsia" w:ascii="宋体" w:hAnsi="宋体" w:cs="宋体"/>
          <w:color w:val="auto"/>
          <w:sz w:val="24"/>
          <w:highlight w:val="none"/>
        </w:rPr>
        <w:t>1. 担保金额人民币（大写）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元（¥</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08E2049">
      <w:pPr>
        <w:widowControl/>
        <w:spacing w:line="360" w:lineRule="auto"/>
        <w:ind w:firstLine="480" w:firstLineChars="200"/>
        <w:textAlignment w:val="baseline"/>
        <w:rPr>
          <w:rFonts w:hint="eastAsia" w:ascii="宋体" w:hAnsi="宋体" w:cs="宋体"/>
          <w:color w:val="auto"/>
          <w:sz w:val="24"/>
          <w:highlight w:val="none"/>
        </w:rPr>
      </w:pPr>
      <w:r>
        <w:rPr>
          <w:rFonts w:hint="eastAsia" w:ascii="宋体" w:hAnsi="宋体" w:cs="宋体"/>
          <w:color w:val="auto"/>
          <w:sz w:val="24"/>
          <w:highlight w:val="none"/>
        </w:rPr>
        <w:t>2. 本担保有效期自你方将质量保证金全部支付给承包人之日起，至本合同工程质量保修期届满之日满止。</w:t>
      </w:r>
    </w:p>
    <w:p w14:paraId="355F4DFA">
      <w:pPr>
        <w:widowControl/>
        <w:spacing w:line="360" w:lineRule="auto"/>
        <w:ind w:firstLine="480" w:firstLineChars="200"/>
        <w:textAlignment w:val="baseline"/>
        <w:rPr>
          <w:rFonts w:hint="eastAsia" w:ascii="宋体" w:hAnsi="宋体" w:cs="宋体"/>
          <w:color w:val="auto"/>
          <w:sz w:val="24"/>
          <w:highlight w:val="none"/>
        </w:rPr>
      </w:pPr>
      <w:r>
        <w:rPr>
          <w:rFonts w:hint="eastAsia" w:ascii="宋体" w:hAnsi="宋体" w:cs="宋体"/>
          <w:color w:val="auto"/>
          <w:sz w:val="24"/>
          <w:highlight w:val="none"/>
        </w:rPr>
        <w:t>3. 在本担保有效期内，因承包人未履行修复缺陷责任，我方在收到你方以书面形式提出的在担保金额内的赔偿要求后，无条件地在7天内予以支付。</w:t>
      </w:r>
    </w:p>
    <w:p w14:paraId="6A7F5FE8">
      <w:pPr>
        <w:widowControl/>
        <w:spacing w:line="360" w:lineRule="auto"/>
        <w:ind w:firstLine="480" w:firstLineChars="200"/>
        <w:textAlignment w:val="baseline"/>
        <w:rPr>
          <w:rFonts w:hint="eastAsia" w:ascii="宋体" w:hAnsi="宋体" w:cs="宋体"/>
          <w:color w:val="auto"/>
          <w:sz w:val="24"/>
          <w:highlight w:val="none"/>
        </w:rPr>
      </w:pPr>
      <w:r>
        <w:rPr>
          <w:rFonts w:hint="eastAsia" w:ascii="宋体" w:hAnsi="宋体" w:cs="宋体"/>
          <w:color w:val="auto"/>
          <w:sz w:val="24"/>
          <w:highlight w:val="none"/>
        </w:rPr>
        <w:t>4. 发包人和承包人按《合同条款》第19.3款延长缺陷责任期（工程质量保修期）时，我方承担本担保规定的义务不变。</w:t>
      </w:r>
    </w:p>
    <w:p w14:paraId="1FD7F858">
      <w:pPr>
        <w:widowControl/>
        <w:spacing w:line="360" w:lineRule="auto"/>
        <w:ind w:firstLine="4500" w:firstLineChars="1875"/>
        <w:textAlignment w:val="baseline"/>
        <w:rPr>
          <w:rFonts w:hint="eastAsia" w:ascii="宋体" w:hAnsi="宋体" w:cs="宋体"/>
          <w:color w:val="auto"/>
          <w:sz w:val="24"/>
          <w:highlight w:val="none"/>
        </w:rPr>
      </w:pPr>
    </w:p>
    <w:p w14:paraId="082D1C87">
      <w:pPr>
        <w:widowControl/>
        <w:spacing w:line="360" w:lineRule="auto"/>
        <w:ind w:firstLine="4500" w:firstLineChars="1875"/>
        <w:textAlignment w:val="baseline"/>
        <w:rPr>
          <w:rFonts w:hint="eastAsia" w:ascii="宋体" w:hAnsi="宋体" w:cs="宋体"/>
          <w:color w:val="auto"/>
          <w:sz w:val="24"/>
          <w:highlight w:val="none"/>
        </w:rPr>
      </w:pPr>
    </w:p>
    <w:p w14:paraId="1B62F707">
      <w:pPr>
        <w:widowControl/>
        <w:spacing w:line="360" w:lineRule="auto"/>
        <w:jc w:val="right"/>
        <w:textAlignment w:val="baseline"/>
        <w:rPr>
          <w:rFonts w:hint="eastAsia" w:ascii="宋体" w:hAnsi="宋体" w:cs="宋体"/>
          <w:color w:val="auto"/>
          <w:sz w:val="24"/>
          <w:highlight w:val="none"/>
        </w:rPr>
      </w:pPr>
      <w:r>
        <w:rPr>
          <w:rFonts w:hint="eastAsia" w:ascii="宋体" w:hAnsi="宋体" w:cs="宋体"/>
          <w:color w:val="auto"/>
          <w:sz w:val="24"/>
          <w:highlight w:val="none"/>
        </w:rPr>
        <w:t>担 保 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（盖单位章）</w:t>
      </w:r>
    </w:p>
    <w:p w14:paraId="734BB971">
      <w:pPr>
        <w:widowControl/>
        <w:spacing w:line="360" w:lineRule="auto"/>
        <w:jc w:val="right"/>
        <w:textAlignment w:val="baseline"/>
        <w:rPr>
          <w:rFonts w:hint="eastAsia" w:ascii="宋体" w:hAnsi="宋体" w:cs="宋体"/>
          <w:color w:val="auto"/>
          <w:sz w:val="24"/>
          <w:highlight w:val="none"/>
        </w:rPr>
      </w:pPr>
      <w:r>
        <w:rPr>
          <w:rFonts w:hint="eastAsia" w:ascii="宋体" w:hAnsi="宋体" w:cs="宋体"/>
          <w:color w:val="auto"/>
          <w:sz w:val="24"/>
          <w:highlight w:val="none"/>
        </w:rPr>
        <w:t>法定代表人或委托代理人：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（签字）</w:t>
      </w:r>
    </w:p>
    <w:p w14:paraId="44AAF8D2">
      <w:pPr>
        <w:widowControl/>
        <w:spacing w:line="360" w:lineRule="auto"/>
        <w:jc w:val="center"/>
        <w:textAlignment w:val="baseline"/>
        <w:rPr>
          <w:rFonts w:hint="eastAsia" w:ascii="宋体" w:hAnsi="宋体" w:cs="宋体"/>
          <w:color w:val="auto"/>
          <w:sz w:val="24"/>
          <w:highlight w:val="none"/>
        </w:rPr>
      </w:pPr>
      <w:r>
        <w:rPr>
          <w:rFonts w:hint="eastAsia" w:ascii="宋体" w:hAnsi="宋体" w:cs="宋体"/>
          <w:color w:val="auto"/>
          <w:sz w:val="24"/>
          <w:highlight w:val="none"/>
        </w:rPr>
        <w:t xml:space="preserve">                           地    址：</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p>
    <w:p w14:paraId="507F125E">
      <w:pPr>
        <w:widowControl/>
        <w:spacing w:line="360" w:lineRule="auto"/>
        <w:jc w:val="center"/>
        <w:textAlignment w:val="baseline"/>
        <w:rPr>
          <w:rFonts w:hint="eastAsia" w:ascii="宋体" w:hAnsi="宋体" w:cs="宋体"/>
          <w:color w:val="auto"/>
          <w:sz w:val="24"/>
          <w:highlight w:val="none"/>
        </w:rPr>
      </w:pPr>
      <w:r>
        <w:rPr>
          <w:rFonts w:hint="eastAsia" w:ascii="宋体" w:hAnsi="宋体" w:cs="宋体"/>
          <w:color w:val="auto"/>
          <w:sz w:val="24"/>
          <w:highlight w:val="none"/>
        </w:rPr>
        <w:t xml:space="preserve">                           邮政编码：</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p>
    <w:p w14:paraId="3BF7E362">
      <w:pPr>
        <w:widowControl/>
        <w:spacing w:line="360" w:lineRule="auto"/>
        <w:ind w:firstLine="4080" w:firstLineChars="1700"/>
        <w:textAlignment w:val="baseline"/>
        <w:rPr>
          <w:rFonts w:hint="eastAsia" w:ascii="宋体" w:hAnsi="宋体" w:cs="宋体"/>
          <w:color w:val="auto"/>
          <w:sz w:val="24"/>
          <w:highlight w:val="none"/>
          <w:u w:val="single"/>
        </w:rPr>
      </w:pPr>
      <w:r>
        <w:rPr>
          <w:rFonts w:hint="eastAsia" w:ascii="宋体" w:hAnsi="宋体" w:cs="宋体"/>
          <w:color w:val="auto"/>
          <w:sz w:val="24"/>
          <w:highlight w:val="none"/>
        </w:rPr>
        <w:t>电    话：</w:t>
      </w:r>
      <w:r>
        <w:rPr>
          <w:rFonts w:hint="eastAsia" w:ascii="宋体" w:hAnsi="宋体" w:cs="宋体"/>
          <w:color w:val="auto"/>
          <w:sz w:val="24"/>
          <w:highlight w:val="none"/>
          <w:u w:val="single"/>
        </w:rPr>
        <w:t xml:space="preserve">                                </w:t>
      </w:r>
    </w:p>
    <w:p w14:paraId="54CF78A4">
      <w:pPr>
        <w:widowControl/>
        <w:spacing w:line="360" w:lineRule="auto"/>
        <w:ind w:firstLine="4080" w:firstLineChars="1700"/>
        <w:textAlignment w:val="baseline"/>
        <w:rPr>
          <w:rFonts w:hint="eastAsia" w:ascii="宋体" w:hAnsi="宋体" w:cs="宋体"/>
          <w:color w:val="auto"/>
          <w:sz w:val="24"/>
          <w:highlight w:val="none"/>
          <w:u w:val="single"/>
        </w:rPr>
      </w:pPr>
      <w:r>
        <w:rPr>
          <w:rFonts w:hint="eastAsia" w:ascii="宋体" w:hAnsi="宋体" w:cs="宋体"/>
          <w:color w:val="auto"/>
          <w:sz w:val="24"/>
          <w:highlight w:val="none"/>
        </w:rPr>
        <w:t>传    真：</w:t>
      </w:r>
      <w:r>
        <w:rPr>
          <w:rFonts w:hint="eastAsia" w:ascii="宋体" w:hAnsi="宋体" w:cs="宋体"/>
          <w:color w:val="auto"/>
          <w:sz w:val="24"/>
          <w:highlight w:val="none"/>
          <w:u w:val="single"/>
        </w:rPr>
        <w:t xml:space="preserve">                                </w:t>
      </w:r>
    </w:p>
    <w:p w14:paraId="764EE187">
      <w:pPr>
        <w:widowControl/>
        <w:spacing w:line="360" w:lineRule="auto"/>
        <w:jc w:val="right"/>
        <w:textAlignment w:val="baseline"/>
        <w:rPr>
          <w:rFonts w:hint="eastAsia" w:ascii="宋体" w:hAnsi="宋体"/>
          <w:b/>
          <w:color w:val="auto"/>
          <w:sz w:val="36"/>
          <w:szCs w:val="36"/>
          <w:highlight w:val="none"/>
        </w:rPr>
        <w:sectPr>
          <w:pgSz w:w="11906" w:h="16838"/>
          <w:pgMar w:top="1440" w:right="1800" w:bottom="1440" w:left="1800" w:header="851" w:footer="992" w:gutter="0"/>
          <w:cols w:space="720" w:num="1"/>
          <w:docGrid w:type="lines" w:linePitch="312" w:charSpace="0"/>
        </w:sect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2E847D73">
      <w:pPr>
        <w:widowControl/>
        <w:spacing w:line="360" w:lineRule="auto"/>
        <w:jc w:val="right"/>
        <w:textAlignment w:val="baseline"/>
        <w:rPr>
          <w:rFonts w:hint="eastAsia" w:ascii="宋体" w:hAnsi="宋体" w:cs="宋体"/>
          <w:color w:val="auto"/>
          <w:szCs w:val="21"/>
          <w:highlight w:val="none"/>
        </w:rPr>
      </w:pPr>
    </w:p>
    <w:p w14:paraId="3868975A">
      <w:pPr>
        <w:widowControl/>
        <w:spacing w:line="360" w:lineRule="auto"/>
        <w:jc w:val="right"/>
        <w:textAlignment w:val="baseline"/>
        <w:rPr>
          <w:rFonts w:hint="eastAsia" w:ascii="宋体" w:hAnsi="宋体" w:cs="宋体"/>
          <w:color w:val="auto"/>
          <w:szCs w:val="21"/>
          <w:highlight w:val="none"/>
        </w:rPr>
      </w:pPr>
    </w:p>
    <w:p w14:paraId="4E055ECB">
      <w:pPr>
        <w:widowControl/>
        <w:spacing w:line="360" w:lineRule="auto"/>
        <w:jc w:val="right"/>
        <w:textAlignment w:val="baseline"/>
        <w:rPr>
          <w:rFonts w:hint="eastAsia" w:ascii="宋体" w:hAnsi="宋体" w:cs="宋体"/>
          <w:color w:val="auto"/>
          <w:szCs w:val="21"/>
          <w:highlight w:val="none"/>
        </w:rPr>
      </w:pPr>
    </w:p>
    <w:p w14:paraId="4A7B9A32">
      <w:pPr>
        <w:widowControl/>
        <w:spacing w:line="360" w:lineRule="auto"/>
        <w:jc w:val="right"/>
        <w:textAlignment w:val="baseline"/>
        <w:rPr>
          <w:rFonts w:hint="eastAsia" w:ascii="宋体" w:hAnsi="宋体" w:cs="宋体"/>
          <w:color w:val="auto"/>
          <w:szCs w:val="21"/>
          <w:highlight w:val="none"/>
        </w:rPr>
      </w:pPr>
    </w:p>
    <w:p w14:paraId="7368F7CE">
      <w:pPr>
        <w:widowControl/>
        <w:spacing w:line="360" w:lineRule="auto"/>
        <w:jc w:val="right"/>
        <w:textAlignment w:val="baseline"/>
        <w:rPr>
          <w:rFonts w:hint="eastAsia" w:ascii="宋体" w:hAnsi="宋体" w:cs="宋体"/>
          <w:color w:val="auto"/>
          <w:szCs w:val="21"/>
          <w:highlight w:val="none"/>
        </w:rPr>
      </w:pPr>
    </w:p>
    <w:p w14:paraId="549F8B6C">
      <w:pPr>
        <w:widowControl/>
        <w:spacing w:line="360" w:lineRule="auto"/>
        <w:jc w:val="right"/>
        <w:textAlignment w:val="baseline"/>
        <w:rPr>
          <w:rFonts w:hint="eastAsia" w:ascii="宋体" w:hAnsi="宋体" w:cs="宋体"/>
          <w:color w:val="auto"/>
          <w:szCs w:val="21"/>
          <w:highlight w:val="none"/>
        </w:rPr>
      </w:pPr>
    </w:p>
    <w:p w14:paraId="6CEF453F">
      <w:pPr>
        <w:widowControl/>
        <w:spacing w:line="360" w:lineRule="auto"/>
        <w:jc w:val="right"/>
        <w:textAlignment w:val="baseline"/>
        <w:rPr>
          <w:rFonts w:hint="eastAsia" w:ascii="宋体" w:hAnsi="宋体" w:cs="宋体"/>
          <w:color w:val="auto"/>
          <w:szCs w:val="21"/>
          <w:highlight w:val="none"/>
        </w:rPr>
      </w:pPr>
    </w:p>
    <w:p w14:paraId="404B88D4">
      <w:pPr>
        <w:widowControl/>
        <w:spacing w:line="360" w:lineRule="auto"/>
        <w:jc w:val="right"/>
        <w:textAlignment w:val="baseline"/>
        <w:rPr>
          <w:rFonts w:hint="eastAsia" w:ascii="宋体" w:hAnsi="宋体" w:cs="宋体"/>
          <w:color w:val="auto"/>
          <w:szCs w:val="21"/>
          <w:highlight w:val="none"/>
        </w:rPr>
      </w:pPr>
    </w:p>
    <w:p w14:paraId="35964CC6">
      <w:pPr>
        <w:widowControl/>
        <w:spacing w:line="360" w:lineRule="auto"/>
        <w:jc w:val="right"/>
        <w:textAlignment w:val="baseline"/>
        <w:rPr>
          <w:rFonts w:hint="eastAsia" w:ascii="宋体" w:hAnsi="宋体" w:cs="宋体"/>
          <w:color w:val="auto"/>
          <w:szCs w:val="21"/>
          <w:highlight w:val="none"/>
        </w:rPr>
      </w:pPr>
    </w:p>
    <w:p w14:paraId="7218FB30">
      <w:pPr>
        <w:widowControl/>
        <w:spacing w:line="360" w:lineRule="auto"/>
        <w:jc w:val="right"/>
        <w:textAlignment w:val="baseline"/>
        <w:rPr>
          <w:rFonts w:hint="eastAsia" w:ascii="宋体" w:hAnsi="宋体" w:cs="宋体"/>
          <w:color w:val="auto"/>
          <w:szCs w:val="21"/>
          <w:highlight w:val="none"/>
        </w:rPr>
      </w:pPr>
    </w:p>
    <w:p w14:paraId="6E1DED3C">
      <w:pPr>
        <w:widowControl/>
        <w:spacing w:line="360" w:lineRule="auto"/>
        <w:jc w:val="right"/>
        <w:textAlignment w:val="baseline"/>
        <w:rPr>
          <w:rFonts w:hint="eastAsia" w:ascii="宋体" w:hAnsi="宋体" w:cs="宋体"/>
          <w:color w:val="auto"/>
          <w:szCs w:val="21"/>
          <w:highlight w:val="none"/>
        </w:rPr>
      </w:pPr>
    </w:p>
    <w:p w14:paraId="132ACCEF">
      <w:pPr>
        <w:widowControl/>
        <w:spacing w:line="360" w:lineRule="auto"/>
        <w:jc w:val="right"/>
        <w:textAlignment w:val="baseline"/>
        <w:rPr>
          <w:rFonts w:hint="eastAsia" w:ascii="宋体" w:hAnsi="宋体" w:cs="宋体"/>
          <w:color w:val="auto"/>
          <w:szCs w:val="21"/>
          <w:highlight w:val="none"/>
        </w:rPr>
      </w:pPr>
    </w:p>
    <w:p w14:paraId="3B2B05C7">
      <w:pPr>
        <w:widowControl/>
        <w:spacing w:line="360" w:lineRule="auto"/>
        <w:jc w:val="right"/>
        <w:textAlignment w:val="baseline"/>
        <w:rPr>
          <w:rFonts w:hint="eastAsia" w:ascii="宋体" w:hAnsi="宋体" w:cs="宋体"/>
          <w:color w:val="auto"/>
          <w:szCs w:val="21"/>
          <w:highlight w:val="none"/>
        </w:rPr>
      </w:pPr>
    </w:p>
    <w:p w14:paraId="3B5F4C4C">
      <w:pPr>
        <w:widowControl/>
        <w:spacing w:line="360" w:lineRule="auto"/>
        <w:jc w:val="right"/>
        <w:textAlignment w:val="baseline"/>
        <w:rPr>
          <w:rFonts w:hint="eastAsia" w:ascii="宋体" w:hAnsi="宋体" w:cs="宋体"/>
          <w:color w:val="auto"/>
          <w:szCs w:val="21"/>
          <w:highlight w:val="none"/>
        </w:rPr>
      </w:pPr>
    </w:p>
    <w:p w14:paraId="729C2001">
      <w:pPr>
        <w:widowControl/>
        <w:spacing w:line="360" w:lineRule="auto"/>
        <w:jc w:val="right"/>
        <w:textAlignment w:val="baseline"/>
        <w:rPr>
          <w:rFonts w:hint="eastAsia" w:ascii="宋体" w:hAnsi="宋体" w:cs="宋体"/>
          <w:color w:val="auto"/>
          <w:szCs w:val="21"/>
          <w:highlight w:val="none"/>
        </w:rPr>
      </w:pPr>
    </w:p>
    <w:p w14:paraId="2159C61A">
      <w:pPr>
        <w:spacing w:line="360" w:lineRule="auto"/>
        <w:jc w:val="center"/>
        <w:outlineLvl w:val="0"/>
        <w:rPr>
          <w:rFonts w:hint="eastAsia" w:ascii="宋体" w:hAnsi="宋体"/>
          <w:b/>
          <w:color w:val="auto"/>
          <w:sz w:val="36"/>
          <w:szCs w:val="36"/>
          <w:highlight w:val="none"/>
        </w:rPr>
      </w:pPr>
      <w:bookmarkStart w:id="1107" w:name="_Toc20538"/>
      <w:bookmarkStart w:id="1108" w:name="_Toc103153309"/>
      <w:r>
        <w:rPr>
          <w:rFonts w:ascii="宋体" w:hAnsi="宋体"/>
          <w:b/>
          <w:color w:val="auto"/>
          <w:sz w:val="36"/>
          <w:szCs w:val="36"/>
          <w:highlight w:val="none"/>
        </w:rPr>
        <w:t>第</w:t>
      </w:r>
      <w:r>
        <w:rPr>
          <w:rFonts w:hint="eastAsia" w:ascii="宋体" w:hAnsi="宋体"/>
          <w:b/>
          <w:color w:val="auto"/>
          <w:sz w:val="36"/>
          <w:szCs w:val="36"/>
          <w:highlight w:val="none"/>
        </w:rPr>
        <w:t>六</w:t>
      </w:r>
      <w:r>
        <w:rPr>
          <w:rFonts w:ascii="宋体" w:hAnsi="宋体"/>
          <w:b/>
          <w:color w:val="auto"/>
          <w:sz w:val="36"/>
          <w:szCs w:val="36"/>
          <w:highlight w:val="none"/>
        </w:rPr>
        <w:t>章   响应文件格式</w:t>
      </w:r>
      <w:bookmarkEnd w:id="1107"/>
      <w:bookmarkEnd w:id="1108"/>
    </w:p>
    <w:p w14:paraId="652936D2">
      <w:pPr>
        <w:spacing w:before="78" w:line="360" w:lineRule="auto"/>
        <w:ind w:left="12"/>
        <w:rPr>
          <w:rFonts w:hint="eastAsia" w:ascii="宋体" w:hAnsi="宋体" w:cs="宋体"/>
          <w:color w:val="auto"/>
          <w:sz w:val="24"/>
          <w:highlight w:val="none"/>
        </w:rPr>
      </w:pPr>
    </w:p>
    <w:p w14:paraId="00D47170">
      <w:pPr>
        <w:widowControl/>
        <w:jc w:val="left"/>
        <w:rPr>
          <w:rFonts w:hint="eastAsia" w:ascii="宋体" w:hAnsi="宋体" w:cs="宋体"/>
          <w:color w:val="auto"/>
          <w:sz w:val="24"/>
          <w:highlight w:val="none"/>
        </w:rPr>
      </w:pPr>
      <w:r>
        <w:rPr>
          <w:rFonts w:ascii="宋体" w:hAnsi="宋体" w:cs="宋体"/>
          <w:color w:val="auto"/>
          <w:sz w:val="24"/>
          <w:highlight w:val="none"/>
        </w:rPr>
        <w:br w:type="page"/>
      </w:r>
    </w:p>
    <w:p w14:paraId="7E70ABA0">
      <w:pPr>
        <w:widowControl/>
        <w:jc w:val="left"/>
        <w:rPr>
          <w:rFonts w:hint="eastAsia" w:ascii="宋体" w:hAnsi="宋体"/>
          <w:b/>
          <w:color w:val="auto"/>
          <w:sz w:val="32"/>
          <w:szCs w:val="32"/>
          <w:highlight w:val="none"/>
        </w:rPr>
      </w:pPr>
      <w:r>
        <w:rPr>
          <w:rFonts w:ascii="宋体" w:hAnsi="宋体"/>
          <w:b/>
          <w:color w:val="auto"/>
          <w:spacing w:val="20"/>
          <w:sz w:val="32"/>
          <w:szCs w:val="32"/>
          <w:highlight w:val="none"/>
        </w:rPr>
        <w:t>响应文件</w:t>
      </w:r>
      <w:r>
        <w:rPr>
          <w:rFonts w:ascii="宋体" w:hAnsi="宋体"/>
          <w:b/>
          <w:color w:val="auto"/>
          <w:sz w:val="32"/>
          <w:szCs w:val="32"/>
          <w:highlight w:val="none"/>
        </w:rPr>
        <w:t>封面（非实质性格式）</w:t>
      </w:r>
    </w:p>
    <w:p w14:paraId="54FF0C9E">
      <w:pPr>
        <w:jc w:val="center"/>
        <w:rPr>
          <w:rFonts w:hint="eastAsia" w:ascii="宋体" w:hAnsi="宋体"/>
          <w:color w:val="auto"/>
          <w:szCs w:val="21"/>
          <w:highlight w:val="none"/>
        </w:rPr>
      </w:pPr>
    </w:p>
    <w:p w14:paraId="6416C70E">
      <w:pPr>
        <w:jc w:val="center"/>
        <w:rPr>
          <w:rFonts w:hint="eastAsia" w:ascii="宋体" w:hAnsi="宋体"/>
          <w:color w:val="auto"/>
          <w:szCs w:val="21"/>
          <w:highlight w:val="none"/>
        </w:rPr>
      </w:pPr>
    </w:p>
    <w:p w14:paraId="15137047">
      <w:pPr>
        <w:jc w:val="center"/>
        <w:rPr>
          <w:rFonts w:hint="eastAsia" w:ascii="宋体" w:hAnsi="宋体"/>
          <w:color w:val="auto"/>
          <w:szCs w:val="21"/>
          <w:highlight w:val="none"/>
        </w:rPr>
      </w:pPr>
    </w:p>
    <w:p w14:paraId="788E9A74">
      <w:pPr>
        <w:jc w:val="center"/>
        <w:rPr>
          <w:rFonts w:hint="eastAsia" w:ascii="宋体" w:hAnsi="宋体"/>
          <w:color w:val="auto"/>
          <w:szCs w:val="21"/>
          <w:highlight w:val="none"/>
        </w:rPr>
      </w:pPr>
    </w:p>
    <w:p w14:paraId="7BBD556A">
      <w:pPr>
        <w:jc w:val="center"/>
        <w:rPr>
          <w:rFonts w:hint="eastAsia" w:ascii="宋体" w:hAnsi="宋体"/>
          <w:color w:val="auto"/>
          <w:szCs w:val="21"/>
          <w:highlight w:val="none"/>
        </w:rPr>
      </w:pPr>
    </w:p>
    <w:p w14:paraId="7BBB64D7">
      <w:pPr>
        <w:jc w:val="center"/>
        <w:rPr>
          <w:rFonts w:hint="eastAsia" w:ascii="宋体" w:hAnsi="宋体"/>
          <w:color w:val="auto"/>
          <w:szCs w:val="21"/>
          <w:highlight w:val="none"/>
        </w:rPr>
      </w:pPr>
    </w:p>
    <w:p w14:paraId="2DED1671">
      <w:pPr>
        <w:jc w:val="center"/>
        <w:rPr>
          <w:rFonts w:hint="eastAsia" w:ascii="宋体" w:hAnsi="宋体"/>
          <w:color w:val="auto"/>
          <w:szCs w:val="21"/>
          <w:highlight w:val="none"/>
        </w:rPr>
      </w:pPr>
    </w:p>
    <w:p w14:paraId="424782D9">
      <w:pPr>
        <w:jc w:val="center"/>
        <w:rPr>
          <w:rFonts w:hint="eastAsia" w:ascii="宋体" w:hAnsi="宋体"/>
          <w:color w:val="auto"/>
          <w:szCs w:val="21"/>
          <w:highlight w:val="none"/>
        </w:rPr>
      </w:pPr>
    </w:p>
    <w:p w14:paraId="5F227868">
      <w:pPr>
        <w:jc w:val="center"/>
        <w:rPr>
          <w:rFonts w:hint="eastAsia" w:ascii="宋体" w:hAnsi="宋体"/>
          <w:color w:val="auto"/>
          <w:szCs w:val="21"/>
          <w:highlight w:val="none"/>
        </w:rPr>
      </w:pPr>
    </w:p>
    <w:p w14:paraId="035D30E4">
      <w:pPr>
        <w:jc w:val="center"/>
        <w:rPr>
          <w:rFonts w:hint="eastAsia" w:ascii="宋体" w:hAnsi="宋体"/>
          <w:color w:val="auto"/>
          <w:szCs w:val="21"/>
          <w:highlight w:val="none"/>
        </w:rPr>
      </w:pPr>
    </w:p>
    <w:p w14:paraId="5A3AE3EA">
      <w:pPr>
        <w:jc w:val="center"/>
        <w:rPr>
          <w:rFonts w:hint="eastAsia" w:ascii="宋体" w:hAnsi="宋体"/>
          <w:color w:val="auto"/>
          <w:szCs w:val="21"/>
          <w:highlight w:val="none"/>
        </w:rPr>
      </w:pPr>
    </w:p>
    <w:p w14:paraId="1FB5684C">
      <w:pPr>
        <w:jc w:val="center"/>
        <w:rPr>
          <w:rFonts w:hint="eastAsia" w:ascii="宋体" w:hAnsi="宋体"/>
          <w:color w:val="auto"/>
          <w:szCs w:val="21"/>
          <w:highlight w:val="none"/>
        </w:rPr>
      </w:pPr>
    </w:p>
    <w:p w14:paraId="2C86586A">
      <w:pPr>
        <w:jc w:val="center"/>
        <w:rPr>
          <w:rFonts w:hint="eastAsia" w:ascii="宋体" w:hAnsi="宋体"/>
          <w:color w:val="auto"/>
          <w:szCs w:val="21"/>
          <w:highlight w:val="none"/>
        </w:rPr>
      </w:pPr>
    </w:p>
    <w:p w14:paraId="68859A70">
      <w:pPr>
        <w:jc w:val="center"/>
        <w:rPr>
          <w:rFonts w:hint="eastAsia" w:ascii="宋体" w:hAnsi="宋体"/>
          <w:color w:val="auto"/>
          <w:szCs w:val="21"/>
          <w:highlight w:val="none"/>
        </w:rPr>
      </w:pPr>
    </w:p>
    <w:p w14:paraId="6BFF7A48">
      <w:pPr>
        <w:jc w:val="center"/>
        <w:rPr>
          <w:rFonts w:hint="eastAsia" w:ascii="宋体" w:hAnsi="宋体"/>
          <w:b/>
          <w:color w:val="auto"/>
          <w:spacing w:val="60"/>
          <w:sz w:val="56"/>
          <w:szCs w:val="56"/>
          <w:highlight w:val="none"/>
        </w:rPr>
      </w:pPr>
      <w:r>
        <w:rPr>
          <w:rFonts w:ascii="宋体" w:hAnsi="宋体"/>
          <w:b/>
          <w:color w:val="auto"/>
          <w:spacing w:val="60"/>
          <w:sz w:val="56"/>
          <w:szCs w:val="56"/>
          <w:highlight w:val="none"/>
        </w:rPr>
        <w:t>响 应 文 件</w:t>
      </w:r>
    </w:p>
    <w:p w14:paraId="0DBFF86F">
      <w:pPr>
        <w:jc w:val="center"/>
        <w:rPr>
          <w:rFonts w:hint="eastAsia" w:ascii="宋体" w:hAnsi="宋体"/>
          <w:b/>
          <w:color w:val="auto"/>
          <w:spacing w:val="60"/>
          <w:sz w:val="52"/>
          <w:szCs w:val="52"/>
          <w:highlight w:val="none"/>
        </w:rPr>
      </w:pPr>
    </w:p>
    <w:p w14:paraId="61AB788D">
      <w:pPr>
        <w:ind w:firstLine="542" w:firstLineChars="150"/>
        <w:rPr>
          <w:rFonts w:hint="eastAsia" w:ascii="宋体" w:hAnsi="宋体"/>
          <w:b/>
          <w:color w:val="auto"/>
          <w:spacing w:val="20"/>
          <w:sz w:val="32"/>
          <w:szCs w:val="32"/>
          <w:highlight w:val="none"/>
        </w:rPr>
      </w:pPr>
    </w:p>
    <w:p w14:paraId="4A25ADFF">
      <w:pPr>
        <w:ind w:firstLine="542" w:firstLineChars="150"/>
        <w:rPr>
          <w:rFonts w:hint="eastAsia" w:ascii="宋体" w:hAnsi="宋体"/>
          <w:b/>
          <w:color w:val="auto"/>
          <w:spacing w:val="20"/>
          <w:sz w:val="32"/>
          <w:szCs w:val="32"/>
          <w:highlight w:val="none"/>
        </w:rPr>
      </w:pPr>
    </w:p>
    <w:p w14:paraId="446A71CB">
      <w:pPr>
        <w:ind w:firstLine="542" w:firstLineChars="150"/>
        <w:rPr>
          <w:rFonts w:hint="eastAsia" w:ascii="宋体" w:hAnsi="宋体"/>
          <w:b/>
          <w:color w:val="auto"/>
          <w:spacing w:val="20"/>
          <w:sz w:val="32"/>
          <w:szCs w:val="32"/>
          <w:highlight w:val="none"/>
        </w:rPr>
      </w:pPr>
    </w:p>
    <w:p w14:paraId="5B8CCCBB">
      <w:pPr>
        <w:ind w:firstLine="542" w:firstLineChars="150"/>
        <w:rPr>
          <w:rFonts w:hint="eastAsia" w:ascii="宋体" w:hAnsi="宋体"/>
          <w:b/>
          <w:color w:val="auto"/>
          <w:spacing w:val="20"/>
          <w:sz w:val="32"/>
          <w:szCs w:val="32"/>
          <w:highlight w:val="none"/>
        </w:rPr>
      </w:pPr>
    </w:p>
    <w:p w14:paraId="477DCC90">
      <w:pPr>
        <w:ind w:firstLine="542" w:firstLineChars="150"/>
        <w:rPr>
          <w:rFonts w:hint="eastAsia" w:ascii="宋体" w:hAnsi="宋体"/>
          <w:b/>
          <w:color w:val="auto"/>
          <w:spacing w:val="20"/>
          <w:sz w:val="32"/>
          <w:szCs w:val="32"/>
          <w:highlight w:val="none"/>
        </w:rPr>
      </w:pPr>
    </w:p>
    <w:p w14:paraId="6ED460B8">
      <w:pPr>
        <w:spacing w:line="480" w:lineRule="auto"/>
        <w:ind w:firstLine="723" w:firstLineChars="200"/>
        <w:rPr>
          <w:rFonts w:hint="eastAsia" w:ascii="宋体" w:hAnsi="宋体"/>
          <w:b/>
          <w:color w:val="auto"/>
          <w:spacing w:val="20"/>
          <w:sz w:val="32"/>
          <w:szCs w:val="32"/>
          <w:highlight w:val="none"/>
        </w:rPr>
      </w:pPr>
      <w:r>
        <w:rPr>
          <w:rFonts w:ascii="宋体" w:hAnsi="宋体"/>
          <w:b/>
          <w:color w:val="auto"/>
          <w:spacing w:val="20"/>
          <w:sz w:val="32"/>
          <w:szCs w:val="32"/>
          <w:highlight w:val="none"/>
        </w:rPr>
        <w:t>项目名称</w:t>
      </w:r>
      <w:r>
        <w:rPr>
          <w:rFonts w:hint="eastAsia" w:ascii="宋体" w:hAnsi="宋体"/>
          <w:b/>
          <w:color w:val="auto"/>
          <w:spacing w:val="20"/>
          <w:sz w:val="32"/>
          <w:szCs w:val="32"/>
          <w:highlight w:val="none"/>
        </w:rPr>
        <w:t xml:space="preserve">： </w:t>
      </w:r>
    </w:p>
    <w:p w14:paraId="1F0C3DAD">
      <w:pPr>
        <w:spacing w:line="480" w:lineRule="auto"/>
        <w:ind w:firstLine="723" w:firstLineChars="200"/>
        <w:rPr>
          <w:rFonts w:hint="eastAsia" w:ascii="宋体" w:hAnsi="宋体"/>
          <w:b/>
          <w:color w:val="auto"/>
          <w:spacing w:val="20"/>
          <w:sz w:val="32"/>
          <w:szCs w:val="32"/>
          <w:highlight w:val="none"/>
        </w:rPr>
      </w:pPr>
      <w:r>
        <w:rPr>
          <w:rFonts w:ascii="宋体" w:hAnsi="宋体"/>
          <w:b/>
          <w:color w:val="auto"/>
          <w:spacing w:val="20"/>
          <w:sz w:val="32"/>
          <w:szCs w:val="32"/>
          <w:highlight w:val="none"/>
        </w:rPr>
        <w:t>项目编号</w:t>
      </w:r>
      <w:r>
        <w:rPr>
          <w:rFonts w:hint="eastAsia" w:ascii="宋体" w:hAnsi="宋体"/>
          <w:b/>
          <w:color w:val="auto"/>
          <w:spacing w:val="20"/>
          <w:sz w:val="32"/>
          <w:szCs w:val="32"/>
          <w:highlight w:val="none"/>
        </w:rPr>
        <w:t>：</w:t>
      </w:r>
    </w:p>
    <w:p w14:paraId="1EC0D88C">
      <w:pPr>
        <w:spacing w:line="360" w:lineRule="auto"/>
        <w:ind w:firstLine="723" w:firstLineChars="200"/>
        <w:jc w:val="left"/>
        <w:rPr>
          <w:rFonts w:hint="eastAsia" w:ascii="宋体" w:hAnsi="宋体"/>
          <w:b/>
          <w:color w:val="auto"/>
          <w:spacing w:val="20"/>
          <w:sz w:val="32"/>
          <w:szCs w:val="32"/>
          <w:highlight w:val="none"/>
        </w:rPr>
      </w:pPr>
      <w:r>
        <w:rPr>
          <w:rFonts w:ascii="宋体" w:hAnsi="宋体"/>
          <w:b/>
          <w:color w:val="auto"/>
          <w:spacing w:val="20"/>
          <w:sz w:val="32"/>
          <w:szCs w:val="32"/>
          <w:highlight w:val="none"/>
        </w:rPr>
        <w:t>供应商名称：</w:t>
      </w:r>
    </w:p>
    <w:p w14:paraId="623DD541">
      <w:pPr>
        <w:spacing w:before="78" w:line="360" w:lineRule="auto"/>
        <w:ind w:left="12"/>
        <w:rPr>
          <w:rFonts w:hint="eastAsia" w:ascii="宋体" w:hAnsi="宋体" w:cs="宋体"/>
          <w:color w:val="auto"/>
          <w:sz w:val="24"/>
          <w:highlight w:val="none"/>
        </w:rPr>
      </w:pPr>
    </w:p>
    <w:p w14:paraId="015268EE">
      <w:pPr>
        <w:widowControl/>
        <w:jc w:val="left"/>
        <w:rPr>
          <w:rFonts w:hint="eastAsia" w:ascii="宋体" w:hAnsi="宋体" w:cs="宋体"/>
          <w:color w:val="auto"/>
          <w:sz w:val="24"/>
          <w:highlight w:val="none"/>
        </w:rPr>
      </w:pPr>
      <w:r>
        <w:rPr>
          <w:rFonts w:ascii="宋体" w:hAnsi="宋体" w:cs="宋体"/>
          <w:color w:val="auto"/>
          <w:sz w:val="24"/>
          <w:highlight w:val="none"/>
        </w:rPr>
        <w:br w:type="page"/>
      </w:r>
    </w:p>
    <w:p w14:paraId="4A6DE1FC">
      <w:pPr>
        <w:tabs>
          <w:tab w:val="left" w:pos="360"/>
        </w:tabs>
        <w:snapToGrid w:val="0"/>
        <w:spacing w:line="360" w:lineRule="auto"/>
        <w:outlineLvl w:val="1"/>
        <w:rPr>
          <w:rFonts w:hint="eastAsia" w:ascii="宋体" w:hAnsi="宋体"/>
          <w:color w:val="auto"/>
          <w:sz w:val="24"/>
          <w:highlight w:val="none"/>
        </w:rPr>
      </w:pPr>
      <w:r>
        <w:rPr>
          <w:rFonts w:ascii="宋体" w:hAnsi="宋体"/>
          <w:color w:val="auto"/>
          <w:sz w:val="24"/>
          <w:highlight w:val="none"/>
        </w:rPr>
        <w:t>1 满足《中华人民共和国政府采购法》第二十二条规定及法律法规的其他规定</w:t>
      </w:r>
    </w:p>
    <w:p w14:paraId="1A1E9342">
      <w:pPr>
        <w:spacing w:line="360" w:lineRule="auto"/>
        <w:outlineLvl w:val="2"/>
        <w:rPr>
          <w:rFonts w:hint="eastAsia" w:ascii="宋体" w:hAnsi="宋体"/>
          <w:color w:val="auto"/>
          <w:sz w:val="24"/>
          <w:highlight w:val="none"/>
        </w:rPr>
      </w:pPr>
      <w:r>
        <w:rPr>
          <w:rFonts w:ascii="宋体" w:hAnsi="宋体"/>
          <w:color w:val="auto"/>
          <w:sz w:val="24"/>
          <w:highlight w:val="none"/>
        </w:rPr>
        <w:t>1-1营业执照等证明文件</w:t>
      </w:r>
    </w:p>
    <w:p w14:paraId="3EC2E024">
      <w:pPr>
        <w:spacing w:before="78" w:line="360" w:lineRule="auto"/>
        <w:ind w:left="12"/>
        <w:rPr>
          <w:rFonts w:hint="eastAsia" w:ascii="宋体" w:hAnsi="宋体" w:cs="宋体"/>
          <w:color w:val="auto"/>
          <w:sz w:val="24"/>
          <w:highlight w:val="none"/>
        </w:rPr>
      </w:pPr>
    </w:p>
    <w:p w14:paraId="48CFEC85">
      <w:pPr>
        <w:widowControl/>
        <w:jc w:val="left"/>
        <w:rPr>
          <w:rFonts w:hint="eastAsia" w:ascii="宋体" w:hAnsi="宋体" w:cs="宋体"/>
          <w:color w:val="auto"/>
          <w:sz w:val="24"/>
          <w:highlight w:val="none"/>
        </w:rPr>
      </w:pPr>
      <w:r>
        <w:rPr>
          <w:rFonts w:ascii="宋体" w:hAnsi="宋体" w:cs="宋体"/>
          <w:color w:val="auto"/>
          <w:sz w:val="24"/>
          <w:highlight w:val="none"/>
        </w:rPr>
        <w:br w:type="page"/>
      </w:r>
    </w:p>
    <w:p w14:paraId="084C8829">
      <w:pPr>
        <w:spacing w:line="360" w:lineRule="auto"/>
        <w:outlineLvl w:val="2"/>
        <w:rPr>
          <w:rFonts w:hint="eastAsia" w:ascii="宋体" w:hAnsi="宋体"/>
          <w:color w:val="auto"/>
          <w:sz w:val="24"/>
          <w:highlight w:val="none"/>
        </w:rPr>
      </w:pPr>
      <w:r>
        <w:rPr>
          <w:rFonts w:ascii="宋体" w:hAnsi="宋体"/>
          <w:color w:val="auto"/>
          <w:sz w:val="24"/>
          <w:highlight w:val="none"/>
        </w:rPr>
        <w:t>1-2 供应商资格声明书（实质性格式）</w:t>
      </w:r>
    </w:p>
    <w:p w14:paraId="5DE4F41C">
      <w:pPr>
        <w:jc w:val="center"/>
        <w:rPr>
          <w:rFonts w:hint="eastAsia" w:ascii="宋体" w:hAnsi="宋体"/>
          <w:b/>
          <w:color w:val="auto"/>
          <w:sz w:val="28"/>
          <w:szCs w:val="28"/>
          <w:highlight w:val="none"/>
        </w:rPr>
      </w:pPr>
      <w:r>
        <w:rPr>
          <w:rFonts w:hint="eastAsia" w:ascii="宋体" w:hAnsi="宋体"/>
          <w:b/>
          <w:color w:val="auto"/>
          <w:sz w:val="28"/>
          <w:szCs w:val="28"/>
          <w:highlight w:val="none"/>
        </w:rPr>
        <w:t>供应商资格声明书</w:t>
      </w:r>
    </w:p>
    <w:p w14:paraId="3D6B585A">
      <w:pPr>
        <w:tabs>
          <w:tab w:val="left" w:pos="5580"/>
        </w:tabs>
        <w:spacing w:line="360" w:lineRule="auto"/>
        <w:rPr>
          <w:rFonts w:hint="eastAsia" w:ascii="宋体" w:hAnsi="宋体"/>
          <w:color w:val="auto"/>
          <w:sz w:val="24"/>
          <w:highlight w:val="none"/>
        </w:rPr>
      </w:pPr>
      <w:r>
        <w:rPr>
          <w:rFonts w:ascii="宋体" w:hAnsi="宋体"/>
          <w:color w:val="auto"/>
          <w:sz w:val="24"/>
          <w:highlight w:val="none"/>
        </w:rPr>
        <w:t>致：</w:t>
      </w:r>
      <w:r>
        <w:rPr>
          <w:rFonts w:ascii="宋体" w:hAnsi="宋体"/>
          <w:color w:val="auto"/>
          <w:sz w:val="24"/>
          <w:highlight w:val="none"/>
          <w:u w:val="single"/>
        </w:rPr>
        <w:t>采购人</w:t>
      </w:r>
    </w:p>
    <w:p w14:paraId="290D7CFC">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在参与本次项目磋商中，我单位承诺：</w:t>
      </w:r>
    </w:p>
    <w:p w14:paraId="598FC59F">
      <w:pPr>
        <w:numPr>
          <w:ilvl w:val="0"/>
          <w:numId w:val="3"/>
        </w:numPr>
        <w:spacing w:line="360" w:lineRule="auto"/>
        <w:ind w:left="1134"/>
        <w:rPr>
          <w:rFonts w:hint="eastAsia" w:ascii="宋体" w:hAnsi="宋体"/>
          <w:color w:val="auto"/>
          <w:sz w:val="24"/>
          <w:szCs w:val="22"/>
          <w:highlight w:val="none"/>
        </w:rPr>
      </w:pPr>
      <w:r>
        <w:rPr>
          <w:rFonts w:ascii="宋体" w:hAnsi="宋体"/>
          <w:color w:val="auto"/>
          <w:sz w:val="24"/>
          <w:szCs w:val="22"/>
          <w:highlight w:val="none"/>
        </w:rPr>
        <w:t>具有良好的商业信誉和健全的财务会计制度；</w:t>
      </w:r>
    </w:p>
    <w:p w14:paraId="60DE2E92">
      <w:pPr>
        <w:numPr>
          <w:ilvl w:val="0"/>
          <w:numId w:val="3"/>
        </w:numPr>
        <w:spacing w:line="360" w:lineRule="auto"/>
        <w:ind w:left="1134"/>
        <w:rPr>
          <w:rFonts w:hint="eastAsia" w:ascii="宋体" w:hAnsi="宋体"/>
          <w:color w:val="auto"/>
          <w:sz w:val="24"/>
          <w:szCs w:val="22"/>
          <w:highlight w:val="none"/>
        </w:rPr>
      </w:pPr>
      <w:r>
        <w:rPr>
          <w:rFonts w:ascii="宋体" w:hAnsi="宋体"/>
          <w:color w:val="auto"/>
          <w:sz w:val="24"/>
          <w:szCs w:val="22"/>
          <w:highlight w:val="none"/>
        </w:rPr>
        <w:t>具有履行合同所必需的设备和专业技术能力；</w:t>
      </w:r>
    </w:p>
    <w:p w14:paraId="60368587">
      <w:pPr>
        <w:numPr>
          <w:ilvl w:val="0"/>
          <w:numId w:val="3"/>
        </w:numPr>
        <w:spacing w:line="360" w:lineRule="auto"/>
        <w:ind w:left="1134"/>
        <w:rPr>
          <w:rFonts w:hint="eastAsia" w:ascii="宋体" w:hAnsi="宋体"/>
          <w:color w:val="auto"/>
          <w:sz w:val="24"/>
          <w:szCs w:val="22"/>
          <w:highlight w:val="none"/>
        </w:rPr>
      </w:pPr>
      <w:r>
        <w:rPr>
          <w:rFonts w:ascii="宋体" w:hAnsi="宋体"/>
          <w:color w:val="auto"/>
          <w:sz w:val="24"/>
          <w:szCs w:val="22"/>
          <w:highlight w:val="none"/>
        </w:rPr>
        <w:t>有依法缴纳税收和社会保障资金的良好记录；</w:t>
      </w:r>
    </w:p>
    <w:p w14:paraId="78AC5058">
      <w:pPr>
        <w:numPr>
          <w:ilvl w:val="0"/>
          <w:numId w:val="3"/>
        </w:numPr>
        <w:spacing w:line="360" w:lineRule="auto"/>
        <w:ind w:left="1134"/>
        <w:rPr>
          <w:rFonts w:hint="eastAsia" w:ascii="宋体" w:hAnsi="宋体"/>
          <w:color w:val="auto"/>
          <w:sz w:val="24"/>
          <w:szCs w:val="22"/>
          <w:highlight w:val="none"/>
        </w:rPr>
      </w:pPr>
      <w:r>
        <w:rPr>
          <w:rFonts w:ascii="宋体" w:hAnsi="宋体"/>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301A70E">
      <w:pPr>
        <w:numPr>
          <w:ilvl w:val="0"/>
          <w:numId w:val="3"/>
        </w:numPr>
        <w:spacing w:line="360" w:lineRule="auto"/>
        <w:ind w:left="1134"/>
        <w:rPr>
          <w:rFonts w:hint="eastAsia" w:ascii="宋体" w:hAnsi="宋体"/>
          <w:color w:val="auto"/>
          <w:sz w:val="24"/>
          <w:szCs w:val="22"/>
          <w:highlight w:val="none"/>
        </w:rPr>
      </w:pPr>
      <w:r>
        <w:rPr>
          <w:rFonts w:ascii="宋体" w:hAnsi="宋体"/>
          <w:color w:val="auto"/>
          <w:sz w:val="24"/>
          <w:szCs w:val="22"/>
          <w:highlight w:val="none"/>
        </w:rPr>
        <w:t>我单位不属于政府采购法律、行政法规规定的公益一类事业单位、或使用事业编制且由财政拨款保障的群团组织（仅适用于政府购买服务项目）；</w:t>
      </w:r>
    </w:p>
    <w:p w14:paraId="724819C5">
      <w:pPr>
        <w:numPr>
          <w:ilvl w:val="0"/>
          <w:numId w:val="3"/>
        </w:numPr>
        <w:spacing w:line="360" w:lineRule="auto"/>
        <w:ind w:left="1134"/>
        <w:rPr>
          <w:rFonts w:hint="eastAsia" w:ascii="宋体" w:hAnsi="宋体"/>
          <w:color w:val="auto"/>
          <w:sz w:val="24"/>
          <w:szCs w:val="22"/>
          <w:highlight w:val="none"/>
        </w:rPr>
      </w:pPr>
      <w:r>
        <w:rPr>
          <w:rFonts w:ascii="宋体" w:hAnsi="宋体"/>
          <w:color w:val="auto"/>
          <w:sz w:val="24"/>
          <w:szCs w:val="22"/>
          <w:highlight w:val="none"/>
        </w:rPr>
        <w:t>我单位不存在为采购项目提供整体设计、规范编制或者项目管理、监理、检测等服务后，再参加该采购项目的其他采购活动的情形（单一来源采购项目除外）；</w:t>
      </w:r>
    </w:p>
    <w:p w14:paraId="2F703B83">
      <w:pPr>
        <w:numPr>
          <w:ilvl w:val="0"/>
          <w:numId w:val="3"/>
        </w:numPr>
        <w:spacing w:line="360" w:lineRule="auto"/>
        <w:ind w:left="1134"/>
        <w:rPr>
          <w:rFonts w:hint="eastAsia" w:ascii="宋体" w:hAnsi="宋体"/>
          <w:color w:val="auto"/>
          <w:sz w:val="24"/>
          <w:szCs w:val="22"/>
          <w:highlight w:val="none"/>
        </w:rPr>
      </w:pPr>
      <w:r>
        <w:rPr>
          <w:rFonts w:ascii="宋体" w:hAnsi="宋体"/>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16"/>
        <w:tblW w:w="82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6"/>
        <w:gridCol w:w="4456"/>
        <w:gridCol w:w="2904"/>
      </w:tblGrid>
      <w:tr w14:paraId="25612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36" w:type="dxa"/>
            <w:vAlign w:val="center"/>
          </w:tcPr>
          <w:p w14:paraId="7AD49A35">
            <w:pPr>
              <w:jc w:val="center"/>
              <w:rPr>
                <w:rFonts w:hint="eastAsia" w:ascii="宋体" w:hAnsi="宋体"/>
                <w:color w:val="auto"/>
                <w:sz w:val="24"/>
                <w:highlight w:val="none"/>
              </w:rPr>
            </w:pPr>
            <w:r>
              <w:rPr>
                <w:rFonts w:ascii="宋体" w:hAnsi="宋体"/>
                <w:color w:val="auto"/>
                <w:sz w:val="24"/>
                <w:highlight w:val="none"/>
              </w:rPr>
              <w:t>序号</w:t>
            </w:r>
          </w:p>
        </w:tc>
        <w:tc>
          <w:tcPr>
            <w:tcW w:w="4456" w:type="dxa"/>
            <w:vAlign w:val="center"/>
          </w:tcPr>
          <w:p w14:paraId="7CE01C10">
            <w:pPr>
              <w:jc w:val="center"/>
              <w:rPr>
                <w:rFonts w:hint="eastAsia" w:ascii="宋体" w:hAnsi="宋体"/>
                <w:color w:val="auto"/>
                <w:sz w:val="24"/>
                <w:highlight w:val="none"/>
              </w:rPr>
            </w:pPr>
            <w:r>
              <w:rPr>
                <w:rFonts w:ascii="宋体" w:hAnsi="宋体"/>
                <w:color w:val="auto"/>
                <w:sz w:val="24"/>
                <w:highlight w:val="none"/>
              </w:rPr>
              <w:t>单位名称</w:t>
            </w:r>
          </w:p>
        </w:tc>
        <w:tc>
          <w:tcPr>
            <w:tcW w:w="2904" w:type="dxa"/>
            <w:vAlign w:val="center"/>
          </w:tcPr>
          <w:p w14:paraId="6B8C46B8">
            <w:pPr>
              <w:jc w:val="center"/>
              <w:rPr>
                <w:rFonts w:hint="eastAsia" w:ascii="宋体" w:hAnsi="宋体"/>
                <w:color w:val="auto"/>
                <w:sz w:val="24"/>
                <w:highlight w:val="none"/>
              </w:rPr>
            </w:pPr>
            <w:r>
              <w:rPr>
                <w:rFonts w:ascii="宋体" w:hAnsi="宋体"/>
                <w:color w:val="auto"/>
                <w:sz w:val="24"/>
                <w:highlight w:val="none"/>
              </w:rPr>
              <w:t>相互关系</w:t>
            </w:r>
          </w:p>
        </w:tc>
      </w:tr>
      <w:tr w14:paraId="3E063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36" w:type="dxa"/>
            <w:vAlign w:val="center"/>
          </w:tcPr>
          <w:p w14:paraId="2E902AA9">
            <w:pPr>
              <w:jc w:val="center"/>
              <w:rPr>
                <w:rFonts w:hint="eastAsia" w:ascii="宋体" w:hAnsi="宋体"/>
                <w:color w:val="auto"/>
                <w:sz w:val="24"/>
                <w:highlight w:val="none"/>
              </w:rPr>
            </w:pPr>
            <w:r>
              <w:rPr>
                <w:rFonts w:ascii="宋体" w:hAnsi="宋体"/>
                <w:color w:val="auto"/>
                <w:sz w:val="24"/>
                <w:highlight w:val="none"/>
              </w:rPr>
              <w:t>1</w:t>
            </w:r>
          </w:p>
        </w:tc>
        <w:tc>
          <w:tcPr>
            <w:tcW w:w="4456" w:type="dxa"/>
            <w:vAlign w:val="center"/>
          </w:tcPr>
          <w:p w14:paraId="2B4B9F31">
            <w:pPr>
              <w:jc w:val="center"/>
              <w:rPr>
                <w:rFonts w:hint="eastAsia" w:ascii="宋体" w:hAnsi="宋体"/>
                <w:color w:val="auto"/>
                <w:sz w:val="24"/>
                <w:highlight w:val="none"/>
              </w:rPr>
            </w:pPr>
          </w:p>
        </w:tc>
        <w:tc>
          <w:tcPr>
            <w:tcW w:w="2904" w:type="dxa"/>
            <w:vAlign w:val="center"/>
          </w:tcPr>
          <w:p w14:paraId="6EACC49C">
            <w:pPr>
              <w:jc w:val="center"/>
              <w:rPr>
                <w:rFonts w:hint="eastAsia" w:ascii="宋体" w:hAnsi="宋体"/>
                <w:color w:val="auto"/>
                <w:sz w:val="24"/>
                <w:highlight w:val="none"/>
              </w:rPr>
            </w:pPr>
          </w:p>
        </w:tc>
      </w:tr>
      <w:tr w14:paraId="7379C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36" w:type="dxa"/>
            <w:vAlign w:val="center"/>
          </w:tcPr>
          <w:p w14:paraId="00417748">
            <w:pPr>
              <w:jc w:val="center"/>
              <w:rPr>
                <w:rFonts w:hint="eastAsia" w:ascii="宋体" w:hAnsi="宋体"/>
                <w:color w:val="auto"/>
                <w:sz w:val="24"/>
                <w:highlight w:val="none"/>
              </w:rPr>
            </w:pPr>
            <w:r>
              <w:rPr>
                <w:rFonts w:ascii="宋体" w:hAnsi="宋体"/>
                <w:color w:val="auto"/>
                <w:sz w:val="24"/>
                <w:highlight w:val="none"/>
              </w:rPr>
              <w:t>2</w:t>
            </w:r>
          </w:p>
        </w:tc>
        <w:tc>
          <w:tcPr>
            <w:tcW w:w="4456" w:type="dxa"/>
            <w:vAlign w:val="center"/>
          </w:tcPr>
          <w:p w14:paraId="609D40C5">
            <w:pPr>
              <w:jc w:val="center"/>
              <w:rPr>
                <w:rFonts w:hint="eastAsia" w:ascii="宋体" w:hAnsi="宋体"/>
                <w:color w:val="auto"/>
                <w:sz w:val="24"/>
                <w:highlight w:val="none"/>
              </w:rPr>
            </w:pPr>
          </w:p>
        </w:tc>
        <w:tc>
          <w:tcPr>
            <w:tcW w:w="2904" w:type="dxa"/>
            <w:vAlign w:val="center"/>
          </w:tcPr>
          <w:p w14:paraId="1DFB3EF5">
            <w:pPr>
              <w:jc w:val="center"/>
              <w:rPr>
                <w:rFonts w:hint="eastAsia" w:ascii="宋体" w:hAnsi="宋体"/>
                <w:color w:val="auto"/>
                <w:sz w:val="24"/>
                <w:highlight w:val="none"/>
              </w:rPr>
            </w:pPr>
          </w:p>
        </w:tc>
      </w:tr>
      <w:tr w14:paraId="0633D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36" w:type="dxa"/>
            <w:vAlign w:val="center"/>
          </w:tcPr>
          <w:p w14:paraId="7706A86B">
            <w:pPr>
              <w:jc w:val="center"/>
              <w:rPr>
                <w:rFonts w:hint="eastAsia" w:ascii="宋体" w:hAnsi="宋体"/>
                <w:color w:val="auto"/>
                <w:sz w:val="24"/>
                <w:highlight w:val="none"/>
              </w:rPr>
            </w:pPr>
            <w:r>
              <w:rPr>
                <w:rFonts w:ascii="宋体" w:hAnsi="宋体"/>
                <w:color w:val="auto"/>
                <w:sz w:val="24"/>
                <w:highlight w:val="none"/>
              </w:rPr>
              <w:t>…</w:t>
            </w:r>
          </w:p>
        </w:tc>
        <w:tc>
          <w:tcPr>
            <w:tcW w:w="4456" w:type="dxa"/>
            <w:vAlign w:val="center"/>
          </w:tcPr>
          <w:p w14:paraId="06667781">
            <w:pPr>
              <w:jc w:val="center"/>
              <w:rPr>
                <w:rFonts w:hint="eastAsia" w:ascii="宋体" w:hAnsi="宋体"/>
                <w:color w:val="auto"/>
                <w:sz w:val="24"/>
                <w:highlight w:val="none"/>
              </w:rPr>
            </w:pPr>
          </w:p>
        </w:tc>
        <w:tc>
          <w:tcPr>
            <w:tcW w:w="2904" w:type="dxa"/>
            <w:vAlign w:val="center"/>
          </w:tcPr>
          <w:p w14:paraId="7B07C9D5">
            <w:pPr>
              <w:jc w:val="center"/>
              <w:rPr>
                <w:rFonts w:hint="eastAsia" w:ascii="宋体" w:hAnsi="宋体"/>
                <w:color w:val="auto"/>
                <w:sz w:val="24"/>
                <w:highlight w:val="none"/>
              </w:rPr>
            </w:pPr>
          </w:p>
        </w:tc>
      </w:tr>
    </w:tbl>
    <w:p w14:paraId="5AE038D4">
      <w:pPr>
        <w:rPr>
          <w:rFonts w:hint="eastAsia" w:ascii="宋体" w:hAnsi="宋体"/>
          <w:color w:val="auto"/>
          <w:highlight w:val="none"/>
        </w:rPr>
      </w:pPr>
    </w:p>
    <w:p w14:paraId="5930168A">
      <w:pPr>
        <w:ind w:firstLine="480" w:firstLineChars="200"/>
        <w:rPr>
          <w:rFonts w:hint="eastAsia" w:ascii="宋体" w:hAnsi="宋体"/>
          <w:color w:val="auto"/>
          <w:sz w:val="24"/>
          <w:szCs w:val="22"/>
          <w:highlight w:val="none"/>
        </w:rPr>
      </w:pPr>
      <w:r>
        <w:rPr>
          <w:rFonts w:ascii="宋体" w:hAnsi="宋体"/>
          <w:color w:val="auto"/>
          <w:sz w:val="24"/>
          <w:highlight w:val="none"/>
        </w:rPr>
        <w:t>上述声明真实有效，否则我方负全部责任。</w:t>
      </w:r>
    </w:p>
    <w:p w14:paraId="09C05869">
      <w:pPr>
        <w:autoSpaceDE w:val="0"/>
        <w:autoSpaceDN w:val="0"/>
        <w:adjustRightInd w:val="0"/>
        <w:snapToGrid w:val="0"/>
        <w:spacing w:before="25" w:after="25" w:line="360" w:lineRule="auto"/>
        <w:ind w:right="360"/>
        <w:jc w:val="right"/>
        <w:rPr>
          <w:rFonts w:hint="eastAsia" w:ascii="宋体" w:hAnsi="宋体"/>
          <w:color w:val="auto"/>
          <w:sz w:val="24"/>
          <w:highlight w:val="none"/>
          <w:lang w:val="zh-CN"/>
        </w:rPr>
      </w:pPr>
      <w:r>
        <w:rPr>
          <w:rFonts w:ascii="宋体" w:hAnsi="宋体"/>
          <w:color w:val="auto"/>
          <w:sz w:val="24"/>
          <w:highlight w:val="none"/>
        </w:rPr>
        <w:t>供应商名称（加盖公章）</w:t>
      </w:r>
      <w:r>
        <w:rPr>
          <w:rFonts w:ascii="宋体" w:hAnsi="宋体"/>
          <w:color w:val="auto"/>
          <w:sz w:val="24"/>
          <w:highlight w:val="none"/>
          <w:lang w:val="zh-CN"/>
        </w:rPr>
        <w:t>：</w:t>
      </w:r>
      <w:r>
        <w:rPr>
          <w:rFonts w:ascii="宋体" w:hAnsi="宋体"/>
          <w:color w:val="auto"/>
          <w:sz w:val="24"/>
          <w:highlight w:val="none"/>
        </w:rPr>
        <w:t>______</w:t>
      </w:r>
    </w:p>
    <w:p w14:paraId="56164CE3">
      <w:pPr>
        <w:spacing w:line="360" w:lineRule="auto"/>
        <w:ind w:right="360" w:firstLine="480"/>
        <w:jc w:val="right"/>
        <w:rPr>
          <w:rFonts w:hint="eastAsia" w:ascii="宋体" w:hAnsi="宋体"/>
          <w:color w:val="auto"/>
          <w:sz w:val="24"/>
          <w:highlight w:val="none"/>
        </w:rPr>
      </w:pPr>
      <w:r>
        <w:rPr>
          <w:rFonts w:ascii="宋体" w:hAnsi="宋体"/>
          <w:color w:val="auto"/>
          <w:sz w:val="24"/>
          <w:szCs w:val="20"/>
          <w:highlight w:val="none"/>
        </w:rPr>
        <w:t xml:space="preserve">日期：____年____月____日   </w:t>
      </w:r>
    </w:p>
    <w:p w14:paraId="2CAAD5D1">
      <w:pPr>
        <w:spacing w:line="360" w:lineRule="auto"/>
        <w:rPr>
          <w:rFonts w:hint="eastAsia" w:ascii="宋体" w:hAnsi="宋体"/>
          <w:color w:val="auto"/>
          <w:sz w:val="18"/>
          <w:szCs w:val="18"/>
          <w:highlight w:val="none"/>
        </w:rPr>
      </w:pPr>
      <w:r>
        <w:rPr>
          <w:rFonts w:hint="eastAsia" w:ascii="宋体" w:hAnsi="宋体"/>
          <w:color w:val="auto"/>
          <w:sz w:val="18"/>
          <w:szCs w:val="18"/>
          <w:highlight w:val="none"/>
        </w:rPr>
        <w:t>说明：供应商承诺不实的，依据《政府采购法》第七十七条“提供虚假材料谋取中标、成交的”有关规定予以处理。</w:t>
      </w:r>
    </w:p>
    <w:p w14:paraId="5D4743C0">
      <w:pPr>
        <w:spacing w:line="360" w:lineRule="auto"/>
        <w:outlineLvl w:val="2"/>
        <w:rPr>
          <w:rFonts w:hint="eastAsia" w:ascii="宋体" w:hAnsi="宋体"/>
          <w:bCs/>
          <w:color w:val="auto"/>
          <w:highlight w:val="none"/>
        </w:rPr>
      </w:pPr>
      <w:bookmarkStart w:id="1109" w:name="_Toc22371"/>
      <w:bookmarkStart w:id="1110" w:name="_Toc99553167"/>
      <w:r>
        <w:rPr>
          <w:rFonts w:hint="eastAsia" w:ascii="宋体" w:hAnsi="宋体"/>
          <w:bCs/>
          <w:color w:val="auto"/>
          <w:highlight w:val="none"/>
        </w:rPr>
        <w:t>1</w:t>
      </w:r>
      <w:r>
        <w:rPr>
          <w:rFonts w:ascii="宋体" w:hAnsi="宋体"/>
          <w:bCs/>
          <w:color w:val="auto"/>
          <w:highlight w:val="none"/>
        </w:rPr>
        <w:t>-</w:t>
      </w:r>
      <w:r>
        <w:rPr>
          <w:rFonts w:hint="eastAsia" w:ascii="宋体" w:hAnsi="宋体"/>
          <w:bCs/>
          <w:color w:val="auto"/>
          <w:highlight w:val="none"/>
        </w:rPr>
        <w:t>3</w:t>
      </w:r>
      <w:r>
        <w:rPr>
          <w:rFonts w:ascii="宋体" w:hAnsi="宋体"/>
          <w:bCs/>
          <w:color w:val="auto"/>
          <w:highlight w:val="none"/>
        </w:rPr>
        <w:t xml:space="preserve"> </w:t>
      </w:r>
      <w:r>
        <w:rPr>
          <w:rFonts w:hint="eastAsia" w:ascii="宋体" w:hAnsi="宋体"/>
          <w:bCs/>
          <w:color w:val="auto"/>
          <w:highlight w:val="none"/>
        </w:rPr>
        <w:t>提供供应商及其法定代表人、项目负责人近三年没有行贿犯罪记录的承诺并加盖供应商公章或从“中国裁判文书网”上自行查询，将查询结果打印并加盖供应商供应商公章</w:t>
      </w:r>
      <w:bookmarkEnd w:id="1109"/>
      <w:bookmarkEnd w:id="1110"/>
    </w:p>
    <w:p w14:paraId="0A9FC9AA">
      <w:pPr>
        <w:widowControl/>
        <w:jc w:val="left"/>
        <w:rPr>
          <w:rFonts w:hint="eastAsia" w:ascii="宋体" w:hAnsi="宋体"/>
          <w:bCs/>
          <w:color w:val="auto"/>
          <w:highlight w:val="none"/>
        </w:rPr>
      </w:pPr>
      <w:r>
        <w:rPr>
          <w:rFonts w:ascii="宋体" w:hAnsi="宋体"/>
          <w:bCs/>
          <w:color w:val="auto"/>
          <w:highlight w:val="none"/>
        </w:rPr>
        <w:br w:type="page"/>
      </w:r>
    </w:p>
    <w:p w14:paraId="78063875">
      <w:pPr>
        <w:tabs>
          <w:tab w:val="left" w:pos="360"/>
        </w:tabs>
        <w:snapToGrid w:val="0"/>
        <w:spacing w:line="360" w:lineRule="auto"/>
        <w:outlineLvl w:val="1"/>
        <w:rPr>
          <w:rFonts w:hint="eastAsia" w:ascii="宋体" w:hAnsi="宋体"/>
          <w:color w:val="auto"/>
          <w:sz w:val="24"/>
          <w:highlight w:val="none"/>
        </w:rPr>
      </w:pPr>
      <w:r>
        <w:rPr>
          <w:rFonts w:ascii="宋体" w:hAnsi="宋体"/>
          <w:color w:val="auto"/>
          <w:sz w:val="24"/>
          <w:highlight w:val="none"/>
        </w:rPr>
        <w:t>2 落实政府采购政策需满足的资格要求</w:t>
      </w:r>
    </w:p>
    <w:p w14:paraId="7296B34A">
      <w:pPr>
        <w:spacing w:line="360" w:lineRule="auto"/>
        <w:outlineLvl w:val="2"/>
        <w:rPr>
          <w:rFonts w:hint="eastAsia" w:ascii="宋体" w:hAnsi="宋体"/>
          <w:color w:val="auto"/>
          <w:sz w:val="24"/>
          <w:szCs w:val="20"/>
          <w:highlight w:val="none"/>
        </w:rPr>
      </w:pPr>
      <w:r>
        <w:rPr>
          <w:rFonts w:ascii="宋体" w:hAnsi="宋体"/>
          <w:color w:val="auto"/>
          <w:sz w:val="24"/>
          <w:szCs w:val="20"/>
          <w:highlight w:val="none"/>
        </w:rPr>
        <w:t>2-1中小企业声明函</w:t>
      </w:r>
    </w:p>
    <w:p w14:paraId="3AE3EAA9">
      <w:pPr>
        <w:tabs>
          <w:tab w:val="left" w:pos="5580"/>
        </w:tabs>
        <w:spacing w:line="360" w:lineRule="auto"/>
        <w:rPr>
          <w:rFonts w:hint="eastAsia" w:ascii="宋体" w:hAnsi="宋体"/>
          <w:color w:val="auto"/>
          <w:sz w:val="24"/>
          <w:highlight w:val="none"/>
        </w:rPr>
      </w:pPr>
      <w:r>
        <w:rPr>
          <w:rFonts w:ascii="宋体" w:hAnsi="宋体"/>
          <w:color w:val="auto"/>
          <w:sz w:val="24"/>
          <w:highlight w:val="none"/>
        </w:rPr>
        <w:t>说明：</w:t>
      </w:r>
    </w:p>
    <w:p w14:paraId="443C1B12">
      <w:pPr>
        <w:tabs>
          <w:tab w:val="left" w:pos="5580"/>
        </w:tabs>
        <w:spacing w:line="360" w:lineRule="auto"/>
        <w:rPr>
          <w:rFonts w:hint="eastAsia" w:ascii="宋体" w:hAnsi="宋体"/>
          <w:color w:val="auto"/>
          <w:sz w:val="24"/>
          <w:highlight w:val="none"/>
        </w:rPr>
      </w:pPr>
      <w:r>
        <w:rPr>
          <w:rFonts w:ascii="宋体" w:hAnsi="宋体"/>
          <w:color w:val="auto"/>
          <w:sz w:val="24"/>
          <w:highlight w:val="none"/>
        </w:rPr>
        <w:t>（1）如本项目（包）不专门面向中小企业预留采购份额，</w:t>
      </w:r>
      <w:r>
        <w:rPr>
          <w:rFonts w:hint="eastAsia" w:ascii="宋体" w:hAnsi="宋体"/>
          <w:color w:val="auto"/>
          <w:sz w:val="24"/>
          <w:highlight w:val="none"/>
        </w:rPr>
        <w:t>供应商非必须</w:t>
      </w:r>
      <w:r>
        <w:rPr>
          <w:rFonts w:ascii="宋体" w:hAnsi="宋体"/>
          <w:color w:val="auto"/>
          <w:sz w:val="24"/>
          <w:highlight w:val="none"/>
        </w:rPr>
        <w:t>提供</w:t>
      </w:r>
      <w:r>
        <w:rPr>
          <w:rFonts w:hint="eastAsia" w:ascii="宋体" w:hAnsi="宋体"/>
          <w:color w:val="auto"/>
          <w:sz w:val="24"/>
          <w:highlight w:val="none"/>
        </w:rPr>
        <w:t>；当小微企业拟享受中小企业扶持政策时，仍应提供</w:t>
      </w:r>
      <w:r>
        <w:rPr>
          <w:rFonts w:ascii="宋体" w:hAnsi="宋体"/>
          <w:color w:val="auto"/>
          <w:sz w:val="24"/>
          <w:highlight w:val="none"/>
        </w:rPr>
        <w:t>《中小企业声明函》</w:t>
      </w:r>
      <w:r>
        <w:rPr>
          <w:rFonts w:hint="eastAsia" w:ascii="宋体" w:hAnsi="宋体"/>
          <w:color w:val="auto"/>
          <w:sz w:val="24"/>
          <w:highlight w:val="none"/>
        </w:rPr>
        <w:t>，</w:t>
      </w:r>
      <w:r>
        <w:rPr>
          <w:rFonts w:ascii="宋体" w:hAnsi="宋体"/>
          <w:color w:val="auto"/>
          <w:sz w:val="24"/>
          <w:highlight w:val="none"/>
        </w:rPr>
        <w:t>否则不得享受相关中小企业扶持政策。</w:t>
      </w:r>
    </w:p>
    <w:p w14:paraId="1C1C50C8">
      <w:pPr>
        <w:tabs>
          <w:tab w:val="left" w:pos="5580"/>
        </w:tabs>
        <w:spacing w:line="360" w:lineRule="auto"/>
        <w:rPr>
          <w:rFonts w:hint="eastAsia" w:ascii="宋体" w:hAnsi="宋体"/>
          <w:color w:val="auto"/>
          <w:sz w:val="24"/>
          <w:highlight w:val="none"/>
        </w:rPr>
      </w:pPr>
      <w:r>
        <w:rPr>
          <w:rFonts w:ascii="宋体" w:hAnsi="宋体"/>
          <w:color w:val="auto"/>
          <w:sz w:val="24"/>
          <w:highlight w:val="none"/>
        </w:rPr>
        <w:t>（2）如本项目（包）专门面向中小/小微企业采购，须提供《中小企业声明函》（实质性格式）。</w:t>
      </w:r>
    </w:p>
    <w:p w14:paraId="49FD7014">
      <w:pPr>
        <w:tabs>
          <w:tab w:val="left" w:pos="5580"/>
        </w:tabs>
        <w:spacing w:line="360" w:lineRule="auto"/>
        <w:rPr>
          <w:rFonts w:hint="eastAsia" w:ascii="宋体" w:hAnsi="宋体"/>
          <w:color w:val="auto"/>
          <w:sz w:val="24"/>
          <w:highlight w:val="none"/>
        </w:rPr>
      </w:pPr>
      <w:r>
        <w:rPr>
          <w:rFonts w:ascii="宋体" w:hAnsi="宋体"/>
          <w:color w:val="auto"/>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527DF9D0">
      <w:pPr>
        <w:tabs>
          <w:tab w:val="left" w:pos="5580"/>
        </w:tabs>
        <w:spacing w:line="360" w:lineRule="auto"/>
        <w:rPr>
          <w:rFonts w:hint="eastAsia" w:ascii="宋体" w:hAnsi="宋体"/>
          <w:color w:val="auto"/>
          <w:sz w:val="24"/>
          <w:highlight w:val="none"/>
        </w:rPr>
      </w:pPr>
      <w:r>
        <w:rPr>
          <w:rFonts w:ascii="宋体" w:hAnsi="宋体"/>
          <w:color w:val="auto"/>
          <w:sz w:val="24"/>
          <w:highlight w:val="none"/>
        </w:rPr>
        <w:t>（4）其他</w:t>
      </w:r>
    </w:p>
    <w:p w14:paraId="499ED34E">
      <w:pPr>
        <w:tabs>
          <w:tab w:val="left" w:pos="5580"/>
        </w:tabs>
        <w:spacing w:line="360" w:lineRule="auto"/>
        <w:rPr>
          <w:rFonts w:hint="eastAsia" w:ascii="宋体" w:hAnsi="宋体"/>
          <w:color w:val="auto"/>
          <w:sz w:val="24"/>
          <w:highlight w:val="none"/>
        </w:rPr>
      </w:pPr>
      <w:r>
        <w:rPr>
          <w:rFonts w:ascii="宋体" w:hAnsi="宋体"/>
          <w:color w:val="auto"/>
          <w:sz w:val="24"/>
          <w:highlight w:val="none"/>
        </w:rPr>
        <w:t>1）中小企业参加政府采购活动，应当出具此格式文件。《中小企业声明函》由参加政府采购活动的供应商出具。联合体响应的，《中小企业声明函》由牵头人出具。</w:t>
      </w:r>
    </w:p>
    <w:p w14:paraId="671D1905">
      <w:pPr>
        <w:tabs>
          <w:tab w:val="left" w:pos="5580"/>
        </w:tabs>
        <w:spacing w:line="360" w:lineRule="auto"/>
        <w:rPr>
          <w:rFonts w:hint="eastAsia" w:ascii="宋体" w:hAnsi="宋体"/>
          <w:color w:val="auto"/>
          <w:sz w:val="24"/>
          <w:highlight w:val="none"/>
        </w:rPr>
      </w:pPr>
      <w:r>
        <w:rPr>
          <w:rFonts w:ascii="宋体" w:hAnsi="宋体"/>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78A59288">
      <w:pPr>
        <w:tabs>
          <w:tab w:val="left" w:pos="5580"/>
        </w:tabs>
        <w:spacing w:line="360" w:lineRule="auto"/>
        <w:rPr>
          <w:rFonts w:hint="eastAsia" w:ascii="宋体" w:hAnsi="宋体"/>
          <w:color w:val="auto"/>
          <w:sz w:val="24"/>
          <w:highlight w:val="none"/>
        </w:rPr>
      </w:pPr>
      <w:r>
        <w:rPr>
          <w:rFonts w:ascii="宋体" w:hAnsi="宋体"/>
          <w:color w:val="auto"/>
          <w:sz w:val="24"/>
          <w:highlight w:val="none"/>
        </w:rPr>
        <w:t>3）对于多标的的采购项目，供应商应充分、准确地了解所投产品制造企业信息。对相关情况了解不清楚的，不建议填报本声明函。</w:t>
      </w:r>
    </w:p>
    <w:p w14:paraId="40925D62">
      <w:pPr>
        <w:tabs>
          <w:tab w:val="left" w:pos="5580"/>
        </w:tabs>
        <w:spacing w:line="360" w:lineRule="auto"/>
        <w:rPr>
          <w:rFonts w:hint="eastAsia" w:ascii="宋体" w:hAnsi="宋体"/>
          <w:color w:val="auto"/>
          <w:sz w:val="24"/>
          <w:highlight w:val="none"/>
        </w:rPr>
      </w:pPr>
      <w:r>
        <w:rPr>
          <w:rFonts w:ascii="宋体" w:hAnsi="宋体"/>
          <w:color w:val="auto"/>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739217A1">
      <w:pPr>
        <w:tabs>
          <w:tab w:val="left" w:pos="5580"/>
        </w:tabs>
        <w:spacing w:line="360" w:lineRule="auto"/>
        <w:rPr>
          <w:rFonts w:hint="eastAsia" w:ascii="宋体" w:hAnsi="宋体"/>
          <w:color w:val="auto"/>
          <w:sz w:val="24"/>
          <w:highlight w:val="none"/>
        </w:rPr>
      </w:pPr>
    </w:p>
    <w:p w14:paraId="3A2C6E50">
      <w:pPr>
        <w:widowControl/>
        <w:jc w:val="left"/>
        <w:rPr>
          <w:rFonts w:hint="eastAsia" w:ascii="宋体" w:hAnsi="宋体"/>
          <w:color w:val="auto"/>
          <w:sz w:val="24"/>
          <w:highlight w:val="none"/>
        </w:rPr>
      </w:pPr>
      <w:r>
        <w:rPr>
          <w:rFonts w:ascii="宋体" w:hAnsi="宋体"/>
          <w:color w:val="auto"/>
          <w:sz w:val="24"/>
          <w:highlight w:val="none"/>
        </w:rPr>
        <w:br w:type="page"/>
      </w:r>
    </w:p>
    <w:p w14:paraId="5676560B">
      <w:pPr>
        <w:spacing w:before="117" w:line="360" w:lineRule="auto"/>
        <w:jc w:val="center"/>
        <w:rPr>
          <w:rFonts w:hint="eastAsia" w:ascii="宋体" w:hAnsi="宋体" w:cs="宋体"/>
          <w:b/>
          <w:bCs/>
          <w:color w:val="auto"/>
          <w:spacing w:val="20"/>
          <w:sz w:val="36"/>
          <w:szCs w:val="36"/>
          <w:highlight w:val="none"/>
        </w:rPr>
      </w:pPr>
      <w:r>
        <w:rPr>
          <w:rFonts w:ascii="宋体" w:hAnsi="宋体" w:cs="宋体"/>
          <w:b/>
          <w:bCs/>
          <w:color w:val="auto"/>
          <w:spacing w:val="21"/>
          <w:sz w:val="36"/>
          <w:szCs w:val="36"/>
          <w:highlight w:val="none"/>
        </w:rPr>
        <w:t>中小企业声明函(工程、服务)格</w:t>
      </w:r>
      <w:r>
        <w:rPr>
          <w:rFonts w:ascii="宋体" w:hAnsi="宋体" w:cs="宋体"/>
          <w:b/>
          <w:bCs/>
          <w:color w:val="auto"/>
          <w:spacing w:val="20"/>
          <w:sz w:val="36"/>
          <w:szCs w:val="36"/>
          <w:highlight w:val="none"/>
        </w:rPr>
        <w:t>式</w:t>
      </w:r>
    </w:p>
    <w:p w14:paraId="12948035">
      <w:pPr>
        <w:spacing w:before="117" w:line="360" w:lineRule="auto"/>
        <w:jc w:val="center"/>
        <w:rPr>
          <w:rFonts w:hint="eastAsia" w:ascii="宋体" w:hAnsi="宋体" w:cs="宋体"/>
          <w:b/>
          <w:bCs/>
          <w:color w:val="auto"/>
          <w:sz w:val="36"/>
          <w:szCs w:val="36"/>
          <w:highlight w:val="none"/>
        </w:rPr>
      </w:pPr>
    </w:p>
    <w:p w14:paraId="733BD414">
      <w:pPr>
        <w:spacing w:before="78" w:line="360" w:lineRule="auto"/>
        <w:ind w:left="117" w:firstLine="505"/>
        <w:rPr>
          <w:rFonts w:hint="eastAsia" w:ascii="宋体" w:hAnsi="宋体" w:cs="宋体"/>
          <w:color w:val="auto"/>
          <w:sz w:val="24"/>
          <w:highlight w:val="none"/>
        </w:rPr>
      </w:pPr>
      <w:r>
        <w:rPr>
          <w:rFonts w:ascii="宋体" w:hAnsi="宋体" w:cs="宋体"/>
          <w:color w:val="auto"/>
          <w:spacing w:val="11"/>
          <w:sz w:val="24"/>
          <w:highlight w:val="none"/>
        </w:rPr>
        <w:t>本公司(联合体)郑重声明，根据《政府采购促进中小企业发展管理办法》(</w:t>
      </w:r>
      <w:r>
        <w:rPr>
          <w:rFonts w:ascii="宋体" w:hAnsi="宋体" w:cs="宋体"/>
          <w:color w:val="auto"/>
          <w:spacing w:val="9"/>
          <w:sz w:val="24"/>
          <w:highlight w:val="none"/>
        </w:rPr>
        <w:t>财</w:t>
      </w:r>
      <w:r>
        <w:rPr>
          <w:rFonts w:ascii="宋体" w:hAnsi="宋体" w:cs="宋体"/>
          <w:color w:val="auto"/>
          <w:spacing w:val="18"/>
          <w:sz w:val="24"/>
          <w:highlight w:val="none"/>
        </w:rPr>
        <w:t>库</w:t>
      </w:r>
      <w:r>
        <w:rPr>
          <w:rFonts w:ascii="宋体" w:hAnsi="宋体" w:cs="宋体"/>
          <w:color w:val="auto"/>
          <w:spacing w:val="12"/>
          <w:sz w:val="24"/>
          <w:highlight w:val="none"/>
        </w:rPr>
        <w:t>﹝</w:t>
      </w:r>
      <w:r>
        <w:rPr>
          <w:rFonts w:ascii="宋体" w:hAnsi="宋体" w:cs="Arial"/>
          <w:color w:val="auto"/>
          <w:spacing w:val="12"/>
          <w:sz w:val="24"/>
          <w:highlight w:val="none"/>
        </w:rPr>
        <w:t>2020</w:t>
      </w:r>
      <w:r>
        <w:rPr>
          <w:rFonts w:ascii="宋体" w:hAnsi="宋体" w:cs="宋体"/>
          <w:color w:val="auto"/>
          <w:spacing w:val="12"/>
          <w:sz w:val="24"/>
          <w:highlight w:val="none"/>
        </w:rPr>
        <w:t>﹞</w:t>
      </w:r>
      <w:r>
        <w:rPr>
          <w:rFonts w:ascii="宋体" w:hAnsi="宋体" w:cs="Arial"/>
          <w:color w:val="auto"/>
          <w:spacing w:val="12"/>
          <w:sz w:val="24"/>
          <w:highlight w:val="none"/>
        </w:rPr>
        <w:t>46</w:t>
      </w:r>
      <w:r>
        <w:rPr>
          <w:rFonts w:ascii="宋体" w:hAnsi="宋体" w:cs="宋体"/>
          <w:color w:val="auto"/>
          <w:spacing w:val="12"/>
          <w:sz w:val="24"/>
          <w:highlight w:val="none"/>
        </w:rPr>
        <w:t>号)的规定，本公司(联合体)</w:t>
      </w:r>
      <w:r>
        <w:rPr>
          <w:rFonts w:hint="eastAsia" w:ascii="宋体" w:hAnsi="宋体" w:cs="宋体"/>
          <w:color w:val="auto"/>
          <w:spacing w:val="12"/>
          <w:sz w:val="24"/>
          <w:highlight w:val="none"/>
          <w:u w:val="single"/>
        </w:rPr>
        <w:t xml:space="preserve">       </w:t>
      </w:r>
      <w:r>
        <w:rPr>
          <w:rFonts w:ascii="宋体" w:hAnsi="宋体" w:cs="宋体"/>
          <w:color w:val="auto"/>
          <w:spacing w:val="12"/>
          <w:sz w:val="24"/>
          <w:highlight w:val="none"/>
          <w:u w:val="single"/>
        </w:rPr>
        <w:t xml:space="preserve"> </w:t>
      </w:r>
      <w:r>
        <w:rPr>
          <w:rFonts w:ascii="宋体" w:hAnsi="宋体" w:cs="宋体"/>
          <w:color w:val="auto"/>
          <w:spacing w:val="12"/>
          <w:sz w:val="24"/>
          <w:highlight w:val="none"/>
        </w:rPr>
        <w:t>参加(单位名称)</w:t>
      </w:r>
      <w:r>
        <w:rPr>
          <w:rFonts w:hint="eastAsia" w:ascii="宋体" w:hAnsi="宋体" w:cs="宋体"/>
          <w:color w:val="auto"/>
          <w:spacing w:val="12"/>
          <w:sz w:val="24"/>
          <w:highlight w:val="none"/>
          <w:u w:val="single"/>
        </w:rPr>
        <w:t xml:space="preserve">      </w:t>
      </w:r>
      <w:r>
        <w:rPr>
          <w:rFonts w:ascii="宋体" w:hAnsi="宋体" w:cs="宋体"/>
          <w:color w:val="auto"/>
          <w:spacing w:val="12"/>
          <w:sz w:val="24"/>
          <w:highlight w:val="none"/>
        </w:rPr>
        <w:t>的(项目名称)</w:t>
      </w:r>
      <w:r>
        <w:rPr>
          <w:rFonts w:hint="eastAsia" w:ascii="宋体" w:hAnsi="宋体" w:cs="宋体"/>
          <w:color w:val="auto"/>
          <w:sz w:val="24"/>
          <w:highlight w:val="none"/>
          <w:u w:val="single"/>
        </w:rPr>
        <w:t xml:space="preserve">        </w:t>
      </w:r>
      <w:r>
        <w:rPr>
          <w:rFonts w:ascii="宋体" w:hAnsi="宋体" w:cs="宋体"/>
          <w:color w:val="auto"/>
          <w:spacing w:val="15"/>
          <w:sz w:val="24"/>
          <w:highlight w:val="none"/>
        </w:rPr>
        <w:t>采购活动，工程的施工单位全部为符合政策要求的中小企业(或者</w:t>
      </w:r>
      <w:r>
        <w:rPr>
          <w:rFonts w:hint="eastAsia" w:ascii="宋体" w:hAnsi="宋体" w:cs="宋体"/>
          <w:color w:val="auto"/>
          <w:spacing w:val="15"/>
          <w:sz w:val="24"/>
          <w:highlight w:val="none"/>
        </w:rPr>
        <w:t>：</w:t>
      </w:r>
      <w:r>
        <w:rPr>
          <w:rFonts w:ascii="宋体" w:hAnsi="宋体" w:cs="宋体"/>
          <w:color w:val="auto"/>
          <w:spacing w:val="15"/>
          <w:sz w:val="24"/>
          <w:highlight w:val="none"/>
        </w:rPr>
        <w:t>服务全部由</w:t>
      </w:r>
      <w:r>
        <w:rPr>
          <w:rFonts w:ascii="宋体" w:hAnsi="宋体" w:cs="宋体"/>
          <w:color w:val="auto"/>
          <w:spacing w:val="13"/>
          <w:sz w:val="24"/>
          <w:highlight w:val="none"/>
        </w:rPr>
        <w:t>符</w:t>
      </w:r>
      <w:r>
        <w:rPr>
          <w:rFonts w:ascii="宋体" w:hAnsi="宋体" w:cs="宋体"/>
          <w:color w:val="auto"/>
          <w:spacing w:val="22"/>
          <w:sz w:val="24"/>
          <w:highlight w:val="none"/>
        </w:rPr>
        <w:t>合</w:t>
      </w:r>
      <w:r>
        <w:rPr>
          <w:rFonts w:ascii="宋体" w:hAnsi="宋体" w:cs="宋体"/>
          <w:color w:val="auto"/>
          <w:spacing w:val="11"/>
          <w:sz w:val="24"/>
          <w:highlight w:val="none"/>
        </w:rPr>
        <w:t>政策要求的中小企业承接)。相关企业(含联合体中的中小企业、签订分包意向协</w:t>
      </w:r>
      <w:r>
        <w:rPr>
          <w:rFonts w:ascii="宋体" w:hAnsi="宋体" w:cs="宋体"/>
          <w:color w:val="auto"/>
          <w:spacing w:val="13"/>
          <w:sz w:val="24"/>
          <w:highlight w:val="none"/>
        </w:rPr>
        <w:t>议</w:t>
      </w:r>
      <w:r>
        <w:rPr>
          <w:rFonts w:ascii="宋体" w:hAnsi="宋体" w:cs="宋体"/>
          <w:color w:val="auto"/>
          <w:spacing w:val="9"/>
          <w:sz w:val="24"/>
          <w:highlight w:val="none"/>
        </w:rPr>
        <w:t>的中小企业)的具体情况如下：</w:t>
      </w:r>
    </w:p>
    <w:p w14:paraId="0A7F1A3A">
      <w:pPr>
        <w:spacing w:before="1" w:line="360" w:lineRule="auto"/>
        <w:ind w:left="121" w:right="56" w:firstLine="517"/>
        <w:rPr>
          <w:rFonts w:hint="eastAsia" w:ascii="宋体" w:hAnsi="宋体" w:cs="宋体"/>
          <w:color w:val="auto"/>
          <w:sz w:val="24"/>
          <w:highlight w:val="none"/>
        </w:rPr>
      </w:pPr>
      <w:r>
        <w:rPr>
          <w:rFonts w:ascii="宋体" w:hAnsi="宋体" w:cs="Arial"/>
          <w:color w:val="auto"/>
          <w:spacing w:val="8"/>
          <w:sz w:val="24"/>
          <w:highlight w:val="none"/>
        </w:rPr>
        <w:t xml:space="preserve">1. </w:t>
      </w:r>
      <w:r>
        <w:rPr>
          <w:rFonts w:ascii="宋体" w:hAnsi="宋体" w:cs="宋体"/>
          <w:color w:val="auto"/>
          <w:spacing w:val="8"/>
          <w:sz w:val="24"/>
          <w:highlight w:val="none"/>
          <w:u w:val="single"/>
        </w:rPr>
        <w:t xml:space="preserve">  (标的名称)  </w:t>
      </w:r>
      <w:r>
        <w:rPr>
          <w:rFonts w:ascii="宋体" w:hAnsi="宋体" w:cs="宋体"/>
          <w:color w:val="auto"/>
          <w:spacing w:val="8"/>
          <w:sz w:val="24"/>
          <w:highlight w:val="none"/>
        </w:rPr>
        <w:t xml:space="preserve"> ，属于</w:t>
      </w:r>
      <w:r>
        <w:rPr>
          <w:rFonts w:ascii="宋体" w:hAnsi="宋体" w:cs="宋体"/>
          <w:color w:val="auto"/>
          <w:spacing w:val="8"/>
          <w:sz w:val="24"/>
          <w:highlight w:val="none"/>
          <w:u w:val="single"/>
        </w:rPr>
        <w:t xml:space="preserve"> (采购文件中明确的所属行业) </w:t>
      </w:r>
      <w:r>
        <w:rPr>
          <w:rFonts w:ascii="宋体" w:hAnsi="宋体" w:cs="宋体"/>
          <w:color w:val="auto"/>
          <w:spacing w:val="8"/>
          <w:sz w:val="24"/>
          <w:highlight w:val="none"/>
        </w:rPr>
        <w:t>行业；承建(承</w:t>
      </w:r>
      <w:r>
        <w:rPr>
          <w:rFonts w:ascii="宋体" w:hAnsi="宋体" w:cs="宋体"/>
          <w:color w:val="auto"/>
          <w:spacing w:val="7"/>
          <w:sz w:val="24"/>
          <w:highlight w:val="none"/>
        </w:rPr>
        <w:t>接</w:t>
      </w:r>
      <w:r>
        <w:rPr>
          <w:rFonts w:ascii="宋体" w:hAnsi="宋体" w:cs="宋体"/>
          <w:color w:val="auto"/>
          <w:sz w:val="24"/>
          <w:highlight w:val="none"/>
        </w:rPr>
        <w:t xml:space="preserve">) </w:t>
      </w:r>
      <w:r>
        <w:rPr>
          <w:rFonts w:ascii="宋体" w:hAnsi="宋体" w:cs="宋体"/>
          <w:color w:val="auto"/>
          <w:spacing w:val="-4"/>
          <w:sz w:val="24"/>
          <w:highlight w:val="none"/>
        </w:rPr>
        <w:t>企业为</w:t>
      </w:r>
      <w:r>
        <w:rPr>
          <w:rFonts w:ascii="宋体" w:hAnsi="宋体" w:cs="宋体"/>
          <w:color w:val="auto"/>
          <w:spacing w:val="-4"/>
          <w:sz w:val="24"/>
          <w:highlight w:val="none"/>
          <w:u w:val="single"/>
        </w:rPr>
        <w:t xml:space="preserve"> (企业名称)</w:t>
      </w:r>
      <w:r>
        <w:rPr>
          <w:rFonts w:ascii="宋体" w:hAnsi="宋体" w:cs="宋体"/>
          <w:color w:val="auto"/>
          <w:spacing w:val="-4"/>
          <w:sz w:val="24"/>
          <w:highlight w:val="none"/>
        </w:rPr>
        <w:t>，从业人员</w:t>
      </w:r>
      <w:r>
        <w:rPr>
          <w:rFonts w:ascii="宋体" w:hAnsi="宋体" w:cs="Arial"/>
          <w:color w:val="auto"/>
          <w:spacing w:val="-4"/>
          <w:sz w:val="24"/>
          <w:highlight w:val="none"/>
          <w:u w:val="single"/>
        </w:rPr>
        <w:t>______</w:t>
      </w:r>
      <w:r>
        <w:rPr>
          <w:rFonts w:ascii="宋体" w:hAnsi="宋体" w:cs="宋体"/>
          <w:color w:val="auto"/>
          <w:spacing w:val="-4"/>
          <w:sz w:val="24"/>
          <w:highlight w:val="none"/>
        </w:rPr>
        <w:t>人，营业收入为</w:t>
      </w:r>
      <w:r>
        <w:rPr>
          <w:rFonts w:ascii="宋体" w:hAnsi="宋体" w:cs="Arial"/>
          <w:color w:val="auto"/>
          <w:spacing w:val="-4"/>
          <w:sz w:val="24"/>
          <w:highlight w:val="none"/>
          <w:u w:val="single"/>
        </w:rPr>
        <w:t>______</w:t>
      </w:r>
      <w:r>
        <w:rPr>
          <w:rFonts w:ascii="宋体" w:hAnsi="宋体" w:cs="宋体"/>
          <w:color w:val="auto"/>
          <w:spacing w:val="-4"/>
          <w:sz w:val="24"/>
          <w:highlight w:val="none"/>
        </w:rPr>
        <w:t>万元，资产总额为</w:t>
      </w:r>
      <w:r>
        <w:rPr>
          <w:rFonts w:ascii="宋体" w:hAnsi="宋体" w:cs="Arial"/>
          <w:color w:val="auto"/>
          <w:spacing w:val="-4"/>
          <w:sz w:val="24"/>
          <w:highlight w:val="none"/>
          <w:u w:val="single"/>
        </w:rPr>
        <w:t>____</w:t>
      </w:r>
      <w:r>
        <w:rPr>
          <w:rFonts w:ascii="宋体" w:hAnsi="宋体" w:cs="Arial"/>
          <w:color w:val="auto"/>
          <w:sz w:val="24"/>
          <w:highlight w:val="none"/>
          <w:u w:val="single"/>
        </w:rPr>
        <w:t xml:space="preserve">__ </w:t>
      </w:r>
      <w:r>
        <w:rPr>
          <w:rFonts w:ascii="宋体" w:hAnsi="宋体" w:cs="宋体"/>
          <w:color w:val="auto"/>
          <w:spacing w:val="15"/>
          <w:sz w:val="24"/>
          <w:highlight w:val="none"/>
        </w:rPr>
        <w:t>万</w:t>
      </w:r>
      <w:r>
        <w:rPr>
          <w:rFonts w:ascii="宋体" w:hAnsi="宋体" w:cs="宋体"/>
          <w:color w:val="auto"/>
          <w:spacing w:val="10"/>
          <w:sz w:val="24"/>
          <w:highlight w:val="none"/>
        </w:rPr>
        <w:t xml:space="preserve">元 </w:t>
      </w:r>
      <w:r>
        <w:rPr>
          <w:rFonts w:ascii="宋体" w:hAnsi="宋体" w:cs="Arial"/>
          <w:color w:val="auto"/>
          <w:spacing w:val="10"/>
          <w:position w:val="6"/>
          <w:sz w:val="16"/>
          <w:szCs w:val="16"/>
          <w:highlight w:val="none"/>
        </w:rPr>
        <w:t xml:space="preserve">1 </w:t>
      </w:r>
      <w:r>
        <w:rPr>
          <w:rFonts w:ascii="宋体" w:hAnsi="宋体" w:cs="宋体"/>
          <w:color w:val="auto"/>
          <w:spacing w:val="10"/>
          <w:sz w:val="24"/>
          <w:highlight w:val="none"/>
        </w:rPr>
        <w:t>，属于(中型企业、小型企业、微型企业)；</w:t>
      </w:r>
    </w:p>
    <w:p w14:paraId="21C680FD">
      <w:pPr>
        <w:spacing w:before="2" w:line="360" w:lineRule="auto"/>
        <w:ind w:left="121" w:right="56" w:firstLine="508"/>
        <w:rPr>
          <w:rFonts w:hint="eastAsia" w:ascii="宋体" w:hAnsi="宋体" w:cs="宋体"/>
          <w:color w:val="auto"/>
          <w:sz w:val="24"/>
          <w:highlight w:val="none"/>
        </w:rPr>
      </w:pPr>
      <w:r>
        <w:rPr>
          <w:rFonts w:ascii="宋体" w:hAnsi="宋体" w:cs="Arial"/>
          <w:color w:val="auto"/>
          <w:spacing w:val="18"/>
          <w:sz w:val="24"/>
          <w:highlight w:val="none"/>
        </w:rPr>
        <w:t>2</w:t>
      </w:r>
      <w:r>
        <w:rPr>
          <w:rFonts w:ascii="宋体" w:hAnsi="宋体" w:cs="Arial"/>
          <w:color w:val="auto"/>
          <w:spacing w:val="11"/>
          <w:sz w:val="24"/>
          <w:highlight w:val="none"/>
        </w:rPr>
        <w:t>.</w:t>
      </w:r>
      <w:r>
        <w:rPr>
          <w:rFonts w:ascii="宋体" w:hAnsi="宋体" w:cs="Arial"/>
          <w:color w:val="auto"/>
          <w:spacing w:val="9"/>
          <w:sz w:val="24"/>
          <w:highlight w:val="none"/>
        </w:rPr>
        <w:t xml:space="preserve">  </w:t>
      </w:r>
      <w:r>
        <w:rPr>
          <w:rFonts w:ascii="宋体" w:hAnsi="宋体" w:cs="宋体"/>
          <w:color w:val="auto"/>
          <w:spacing w:val="9"/>
          <w:sz w:val="24"/>
          <w:highlight w:val="none"/>
          <w:u w:val="single"/>
        </w:rPr>
        <w:t xml:space="preserve"> (标的名称)  </w:t>
      </w:r>
      <w:r>
        <w:rPr>
          <w:rFonts w:ascii="宋体" w:hAnsi="宋体" w:cs="宋体"/>
          <w:color w:val="auto"/>
          <w:spacing w:val="9"/>
          <w:sz w:val="24"/>
          <w:highlight w:val="none"/>
        </w:rPr>
        <w:t xml:space="preserve"> ，属于</w:t>
      </w:r>
      <w:r>
        <w:rPr>
          <w:rFonts w:ascii="宋体" w:hAnsi="宋体" w:cs="宋体"/>
          <w:color w:val="auto"/>
          <w:spacing w:val="9"/>
          <w:sz w:val="24"/>
          <w:highlight w:val="none"/>
          <w:u w:val="single"/>
        </w:rPr>
        <w:t xml:space="preserve"> (采购文件中明确的所属行业) </w:t>
      </w:r>
      <w:r>
        <w:rPr>
          <w:rFonts w:ascii="宋体" w:hAnsi="宋体" w:cs="宋体"/>
          <w:color w:val="auto"/>
          <w:spacing w:val="9"/>
          <w:sz w:val="24"/>
          <w:highlight w:val="none"/>
        </w:rPr>
        <w:t>行业；承建(承接)</w:t>
      </w:r>
      <w:r>
        <w:rPr>
          <w:rFonts w:ascii="宋体" w:hAnsi="宋体" w:cs="宋体"/>
          <w:color w:val="auto"/>
          <w:sz w:val="24"/>
          <w:highlight w:val="none"/>
        </w:rPr>
        <w:t xml:space="preserve"> </w:t>
      </w:r>
      <w:r>
        <w:rPr>
          <w:rFonts w:ascii="宋体" w:hAnsi="宋体" w:cs="宋体"/>
          <w:color w:val="auto"/>
          <w:spacing w:val="-4"/>
          <w:sz w:val="24"/>
          <w:highlight w:val="none"/>
        </w:rPr>
        <w:t>企业为</w:t>
      </w:r>
      <w:r>
        <w:rPr>
          <w:rFonts w:ascii="宋体" w:hAnsi="宋体" w:cs="宋体"/>
          <w:color w:val="auto"/>
          <w:spacing w:val="-4"/>
          <w:sz w:val="24"/>
          <w:highlight w:val="none"/>
          <w:u w:val="single"/>
        </w:rPr>
        <w:t xml:space="preserve"> (企业名称)</w:t>
      </w:r>
      <w:r>
        <w:rPr>
          <w:rFonts w:ascii="宋体" w:hAnsi="宋体" w:cs="宋体"/>
          <w:color w:val="auto"/>
          <w:spacing w:val="-4"/>
          <w:sz w:val="24"/>
          <w:highlight w:val="none"/>
        </w:rPr>
        <w:t>，从业人员</w:t>
      </w:r>
      <w:r>
        <w:rPr>
          <w:rFonts w:ascii="宋体" w:hAnsi="宋体" w:cs="Arial"/>
          <w:color w:val="auto"/>
          <w:spacing w:val="-4"/>
          <w:sz w:val="24"/>
          <w:highlight w:val="none"/>
          <w:u w:val="single"/>
        </w:rPr>
        <w:t>______</w:t>
      </w:r>
      <w:r>
        <w:rPr>
          <w:rFonts w:ascii="宋体" w:hAnsi="宋体" w:cs="宋体"/>
          <w:color w:val="auto"/>
          <w:spacing w:val="-4"/>
          <w:sz w:val="24"/>
          <w:highlight w:val="none"/>
        </w:rPr>
        <w:t>人，营业收入为</w:t>
      </w:r>
      <w:r>
        <w:rPr>
          <w:rFonts w:ascii="宋体" w:hAnsi="宋体" w:cs="Arial"/>
          <w:color w:val="auto"/>
          <w:spacing w:val="-4"/>
          <w:sz w:val="24"/>
          <w:highlight w:val="none"/>
          <w:u w:val="single"/>
        </w:rPr>
        <w:t>______</w:t>
      </w:r>
      <w:r>
        <w:rPr>
          <w:rFonts w:ascii="宋体" w:hAnsi="宋体" w:cs="宋体"/>
          <w:color w:val="auto"/>
          <w:spacing w:val="-4"/>
          <w:sz w:val="24"/>
          <w:highlight w:val="none"/>
        </w:rPr>
        <w:t>万元，资产总额为</w:t>
      </w:r>
      <w:r>
        <w:rPr>
          <w:rFonts w:ascii="宋体" w:hAnsi="宋体" w:cs="Arial"/>
          <w:color w:val="auto"/>
          <w:spacing w:val="-4"/>
          <w:sz w:val="24"/>
          <w:highlight w:val="none"/>
          <w:u w:val="single"/>
        </w:rPr>
        <w:t>____</w:t>
      </w:r>
      <w:r>
        <w:rPr>
          <w:rFonts w:ascii="宋体" w:hAnsi="宋体" w:cs="Arial"/>
          <w:color w:val="auto"/>
          <w:sz w:val="24"/>
          <w:highlight w:val="none"/>
          <w:u w:val="single"/>
        </w:rPr>
        <w:t xml:space="preserve">__ </w:t>
      </w:r>
      <w:r>
        <w:rPr>
          <w:rFonts w:ascii="宋体" w:hAnsi="宋体" w:cs="宋体"/>
          <w:color w:val="auto"/>
          <w:spacing w:val="11"/>
          <w:sz w:val="24"/>
          <w:highlight w:val="none"/>
        </w:rPr>
        <w:t>万</w:t>
      </w:r>
      <w:r>
        <w:rPr>
          <w:rFonts w:ascii="宋体" w:hAnsi="宋体" w:cs="宋体"/>
          <w:color w:val="auto"/>
          <w:spacing w:val="10"/>
          <w:sz w:val="24"/>
          <w:highlight w:val="none"/>
        </w:rPr>
        <w:t>元，属于</w:t>
      </w:r>
      <w:r>
        <w:rPr>
          <w:rFonts w:ascii="宋体" w:hAnsi="宋体" w:cs="宋体"/>
          <w:color w:val="auto"/>
          <w:spacing w:val="10"/>
          <w:sz w:val="24"/>
          <w:highlight w:val="none"/>
          <w:u w:val="single"/>
        </w:rPr>
        <w:t xml:space="preserve"> (中型企业、小型企业、微型企业)</w:t>
      </w:r>
      <w:r>
        <w:rPr>
          <w:rFonts w:ascii="宋体" w:hAnsi="宋体" w:cs="宋体"/>
          <w:color w:val="auto"/>
          <w:spacing w:val="10"/>
          <w:sz w:val="24"/>
          <w:highlight w:val="none"/>
        </w:rPr>
        <w:t>；</w:t>
      </w:r>
    </w:p>
    <w:p w14:paraId="2AD6F4F4">
      <w:pPr>
        <w:spacing w:before="182" w:line="360" w:lineRule="auto"/>
        <w:ind w:left="116" w:right="61" w:firstLine="532"/>
        <w:rPr>
          <w:rFonts w:hint="eastAsia" w:ascii="宋体" w:hAnsi="宋体" w:cs="宋体"/>
          <w:color w:val="auto"/>
          <w:sz w:val="24"/>
          <w:highlight w:val="none"/>
        </w:rPr>
      </w:pPr>
      <w:r>
        <w:rPr>
          <w:rFonts w:ascii="宋体" w:hAnsi="宋体" w:cs="宋体"/>
          <w:color w:val="auto"/>
          <w:spacing w:val="20"/>
          <w:sz w:val="24"/>
          <w:highlight w:val="none"/>
        </w:rPr>
        <w:t>以上</w:t>
      </w:r>
      <w:r>
        <w:rPr>
          <w:rFonts w:ascii="宋体" w:hAnsi="宋体" w:cs="宋体"/>
          <w:color w:val="auto"/>
          <w:spacing w:val="15"/>
          <w:sz w:val="24"/>
          <w:highlight w:val="none"/>
        </w:rPr>
        <w:t>企</w:t>
      </w:r>
      <w:r>
        <w:rPr>
          <w:rFonts w:ascii="宋体" w:hAnsi="宋体" w:cs="宋体"/>
          <w:color w:val="auto"/>
          <w:spacing w:val="10"/>
          <w:sz w:val="24"/>
          <w:highlight w:val="none"/>
        </w:rPr>
        <w:t>业，不属于大企业的分支机构，不存在控股股东为大企业的情形，也不</w:t>
      </w:r>
      <w:r>
        <w:rPr>
          <w:rFonts w:ascii="宋体" w:hAnsi="宋体" w:cs="宋体"/>
          <w:color w:val="auto"/>
          <w:sz w:val="24"/>
          <w:highlight w:val="none"/>
        </w:rPr>
        <w:t xml:space="preserve"> </w:t>
      </w:r>
      <w:r>
        <w:rPr>
          <w:rFonts w:ascii="宋体" w:hAnsi="宋体" w:cs="宋体"/>
          <w:color w:val="auto"/>
          <w:spacing w:val="15"/>
          <w:sz w:val="24"/>
          <w:highlight w:val="none"/>
        </w:rPr>
        <w:t>存</w:t>
      </w:r>
      <w:r>
        <w:rPr>
          <w:rFonts w:ascii="宋体" w:hAnsi="宋体" w:cs="宋体"/>
          <w:color w:val="auto"/>
          <w:spacing w:val="10"/>
          <w:sz w:val="24"/>
          <w:highlight w:val="none"/>
        </w:rPr>
        <w:t>在与大企业的负责人为同一人的情形。</w:t>
      </w:r>
    </w:p>
    <w:p w14:paraId="69940207">
      <w:pPr>
        <w:spacing w:line="360" w:lineRule="auto"/>
        <w:ind w:left="622"/>
        <w:rPr>
          <w:rFonts w:hint="eastAsia" w:ascii="宋体" w:hAnsi="宋体" w:cs="宋体"/>
          <w:color w:val="auto"/>
          <w:spacing w:val="20"/>
          <w:sz w:val="24"/>
          <w:highlight w:val="none"/>
        </w:rPr>
      </w:pPr>
      <w:r>
        <w:rPr>
          <w:rFonts w:ascii="宋体" w:hAnsi="宋体" w:cs="宋体"/>
          <w:color w:val="auto"/>
          <w:spacing w:val="20"/>
          <w:sz w:val="24"/>
          <w:highlight w:val="none"/>
        </w:rPr>
        <w:t>本企业对上述声明内容的真实性负责。如有虚假，将依法承担相应责任。</w:t>
      </w:r>
    </w:p>
    <w:p w14:paraId="66326807">
      <w:pPr>
        <w:spacing w:line="360" w:lineRule="auto"/>
        <w:rPr>
          <w:rFonts w:hint="eastAsia" w:ascii="宋体" w:hAnsi="宋体"/>
          <w:color w:val="auto"/>
          <w:highlight w:val="none"/>
        </w:rPr>
      </w:pPr>
    </w:p>
    <w:p w14:paraId="0A997A38">
      <w:pPr>
        <w:tabs>
          <w:tab w:val="left" w:pos="4860"/>
        </w:tabs>
        <w:spacing w:line="588" w:lineRule="exact"/>
        <w:ind w:right="1560" w:firstLine="504" w:firstLineChars="200"/>
        <w:jc w:val="right"/>
        <w:rPr>
          <w:rFonts w:hint="eastAsia" w:ascii="宋体" w:hAnsi="宋体"/>
          <w:color w:val="auto"/>
          <w:spacing w:val="6"/>
          <w:sz w:val="24"/>
          <w:highlight w:val="none"/>
        </w:rPr>
      </w:pPr>
      <w:r>
        <w:rPr>
          <w:rFonts w:ascii="宋体" w:hAnsi="宋体"/>
          <w:color w:val="auto"/>
          <w:spacing w:val="6"/>
          <w:sz w:val="24"/>
          <w:highlight w:val="none"/>
        </w:rPr>
        <w:t>单位名称（盖章）：</w:t>
      </w:r>
      <w:r>
        <w:rPr>
          <w:rFonts w:ascii="宋体" w:hAnsi="宋体"/>
          <w:color w:val="auto"/>
          <w:sz w:val="24"/>
          <w:highlight w:val="none"/>
        </w:rPr>
        <w:t>______</w:t>
      </w:r>
    </w:p>
    <w:p w14:paraId="54DFFA16">
      <w:pPr>
        <w:tabs>
          <w:tab w:val="left" w:pos="4860"/>
        </w:tabs>
        <w:spacing w:line="588" w:lineRule="exact"/>
        <w:ind w:right="1560" w:firstLine="504" w:firstLineChars="200"/>
        <w:jc w:val="right"/>
        <w:rPr>
          <w:rFonts w:hint="eastAsia" w:ascii="宋体" w:hAnsi="宋体"/>
          <w:color w:val="auto"/>
          <w:spacing w:val="6"/>
          <w:sz w:val="24"/>
          <w:highlight w:val="none"/>
        </w:rPr>
      </w:pPr>
      <w:r>
        <w:rPr>
          <w:rFonts w:ascii="宋体" w:hAnsi="宋体"/>
          <w:color w:val="auto"/>
          <w:spacing w:val="6"/>
          <w:sz w:val="24"/>
          <w:highlight w:val="none"/>
        </w:rPr>
        <w:t xml:space="preserve">       日  期：</w:t>
      </w:r>
      <w:r>
        <w:rPr>
          <w:rFonts w:ascii="宋体" w:hAnsi="宋体"/>
          <w:color w:val="auto"/>
          <w:sz w:val="24"/>
          <w:highlight w:val="none"/>
        </w:rPr>
        <w:t>______</w:t>
      </w:r>
    </w:p>
    <w:p w14:paraId="411C8165">
      <w:pPr>
        <w:spacing w:before="65" w:line="360" w:lineRule="auto"/>
        <w:ind w:left="124"/>
        <w:rPr>
          <w:rFonts w:hint="eastAsia" w:ascii="宋体" w:hAnsi="宋体" w:cs="宋体"/>
          <w:color w:val="auto"/>
          <w:szCs w:val="21"/>
          <w:highlight w:val="none"/>
        </w:rPr>
      </w:pPr>
      <w:r>
        <w:rPr>
          <w:rFonts w:ascii="宋体" w:hAnsi="宋体" w:cs="Arial"/>
          <w:color w:val="auto"/>
          <w:spacing w:val="14"/>
          <w:position w:val="5"/>
          <w:szCs w:val="21"/>
          <w:highlight w:val="none"/>
        </w:rPr>
        <w:t>1</w:t>
      </w:r>
      <w:r>
        <w:rPr>
          <w:rFonts w:ascii="宋体" w:hAnsi="宋体" w:cs="Arial"/>
          <w:color w:val="auto"/>
          <w:spacing w:val="9"/>
          <w:position w:val="5"/>
          <w:szCs w:val="21"/>
          <w:highlight w:val="none"/>
        </w:rPr>
        <w:t xml:space="preserve"> </w:t>
      </w:r>
      <w:r>
        <w:rPr>
          <w:rFonts w:ascii="宋体" w:hAnsi="宋体" w:cs="宋体"/>
          <w:color w:val="auto"/>
          <w:spacing w:val="9"/>
          <w:szCs w:val="21"/>
          <w:highlight w:val="none"/>
        </w:rPr>
        <w:t>从业人员、营业收入、资产总额填报上一年度数据，无上一年度数据的新成立企业可不填报。</w:t>
      </w:r>
    </w:p>
    <w:p w14:paraId="6A023EBE">
      <w:pPr>
        <w:tabs>
          <w:tab w:val="left" w:pos="5580"/>
        </w:tabs>
        <w:spacing w:line="360" w:lineRule="auto"/>
        <w:rPr>
          <w:rFonts w:hint="eastAsia" w:ascii="宋体" w:hAnsi="宋体"/>
          <w:color w:val="auto"/>
          <w:sz w:val="24"/>
          <w:highlight w:val="none"/>
        </w:rPr>
      </w:pPr>
    </w:p>
    <w:p w14:paraId="5F2A6D72">
      <w:pPr>
        <w:widowControl/>
        <w:jc w:val="left"/>
        <w:rPr>
          <w:rFonts w:hint="eastAsia" w:ascii="宋体" w:hAnsi="宋体"/>
          <w:color w:val="auto"/>
          <w:sz w:val="24"/>
          <w:highlight w:val="none"/>
        </w:rPr>
      </w:pPr>
      <w:r>
        <w:rPr>
          <w:rFonts w:ascii="宋体" w:hAnsi="宋体"/>
          <w:color w:val="auto"/>
          <w:sz w:val="24"/>
          <w:highlight w:val="none"/>
        </w:rPr>
        <w:br w:type="page"/>
      </w:r>
    </w:p>
    <w:p w14:paraId="3B9626C9">
      <w:pPr>
        <w:spacing w:before="312" w:beforeLines="100" w:after="312" w:afterLines="100" w:line="360" w:lineRule="auto"/>
        <w:jc w:val="center"/>
        <w:rPr>
          <w:rFonts w:hint="eastAsia" w:ascii="宋体" w:hAnsi="宋体"/>
          <w:b/>
          <w:color w:val="auto"/>
          <w:sz w:val="36"/>
          <w:szCs w:val="36"/>
          <w:highlight w:val="none"/>
        </w:rPr>
      </w:pPr>
      <w:r>
        <w:rPr>
          <w:rFonts w:ascii="宋体" w:hAnsi="宋体"/>
          <w:b/>
          <w:bCs/>
          <w:color w:val="auto"/>
          <w:sz w:val="36"/>
          <w:szCs w:val="36"/>
          <w:highlight w:val="none"/>
        </w:rPr>
        <w:t>残疾人福利性单位声明函格式</w:t>
      </w:r>
      <w:r>
        <w:rPr>
          <w:rFonts w:ascii="宋体" w:hAnsi="宋体"/>
          <w:b/>
          <w:color w:val="auto"/>
          <w:sz w:val="36"/>
          <w:szCs w:val="36"/>
          <w:highlight w:val="none"/>
        </w:rPr>
        <w:t xml:space="preserve">       </w:t>
      </w:r>
    </w:p>
    <w:p w14:paraId="38B6FDAB">
      <w:pPr>
        <w:spacing w:line="588" w:lineRule="exact"/>
        <w:ind w:firstLine="504"/>
        <w:rPr>
          <w:rFonts w:hint="eastAsia" w:ascii="宋体" w:hAnsi="宋体"/>
          <w:color w:val="auto"/>
          <w:spacing w:val="6"/>
          <w:sz w:val="24"/>
          <w:highlight w:val="none"/>
        </w:rPr>
      </w:pPr>
      <w:r>
        <w:rPr>
          <w:rFonts w:ascii="宋体" w:hAnsi="宋体"/>
          <w:color w:val="auto"/>
          <w:spacing w:val="6"/>
          <w:sz w:val="24"/>
          <w:highlight w:val="none"/>
        </w:rPr>
        <w:t>本单位郑重声明，根据《财政部民政部中国残疾人联合会关于促进残疾人就业政府采购政策的通知》（财库</w:t>
      </w:r>
      <w:r>
        <w:rPr>
          <w:rFonts w:ascii="宋体" w:hAnsi="宋体"/>
          <w:color w:val="auto"/>
          <w:sz w:val="24"/>
          <w:highlight w:val="none"/>
        </w:rPr>
        <w:t>〔2017〕141</w:t>
      </w:r>
      <w:r>
        <w:rPr>
          <w:rFonts w:ascii="宋体" w:hAnsi="宋体"/>
          <w:color w:val="auto"/>
          <w:spacing w:val="6"/>
          <w:sz w:val="24"/>
          <w:highlight w:val="none"/>
        </w:rPr>
        <w:t>号）的规定，本单位</w:t>
      </w:r>
      <w:r>
        <w:rPr>
          <w:rFonts w:ascii="宋体" w:hAnsi="宋体"/>
          <w:b/>
          <w:color w:val="auto"/>
          <w:sz w:val="24"/>
          <w:highlight w:val="none"/>
        </w:rPr>
        <w:t>（请进行勾选）</w:t>
      </w:r>
      <w:r>
        <w:rPr>
          <w:rFonts w:ascii="宋体" w:hAnsi="宋体"/>
          <w:color w:val="auto"/>
          <w:spacing w:val="6"/>
          <w:sz w:val="24"/>
          <w:highlight w:val="none"/>
        </w:rPr>
        <w:t>：</w:t>
      </w:r>
    </w:p>
    <w:p w14:paraId="0FFC2E92">
      <w:pPr>
        <w:spacing w:line="588" w:lineRule="exact"/>
        <w:ind w:firstLine="482"/>
        <w:rPr>
          <w:rFonts w:hint="eastAsia" w:ascii="宋体" w:hAnsi="宋体"/>
          <w:b/>
          <w:color w:val="auto"/>
          <w:spacing w:val="6"/>
          <w:sz w:val="24"/>
          <w:highlight w:val="none"/>
        </w:rPr>
      </w:pPr>
      <w:r>
        <w:rPr>
          <w:rFonts w:ascii="宋体" w:hAnsi="宋体"/>
          <w:b/>
          <w:color w:val="auto"/>
          <w:sz w:val="24"/>
          <w:highlight w:val="none"/>
        </w:rPr>
        <w:t>□</w:t>
      </w:r>
      <w:r>
        <w:rPr>
          <w:rFonts w:ascii="宋体" w:hAnsi="宋体"/>
          <w:b/>
          <w:color w:val="auto"/>
          <w:spacing w:val="6"/>
          <w:sz w:val="24"/>
          <w:highlight w:val="none"/>
        </w:rPr>
        <w:t>不属于符合条件的残疾人福利性单位。</w:t>
      </w:r>
    </w:p>
    <w:p w14:paraId="37985474">
      <w:pPr>
        <w:spacing w:line="588" w:lineRule="exact"/>
        <w:ind w:firstLine="482"/>
        <w:rPr>
          <w:rFonts w:hint="eastAsia" w:ascii="宋体" w:hAnsi="宋体"/>
          <w:color w:val="auto"/>
          <w:spacing w:val="6"/>
          <w:sz w:val="24"/>
          <w:highlight w:val="none"/>
        </w:rPr>
      </w:pPr>
      <w:r>
        <w:rPr>
          <w:rFonts w:ascii="宋体" w:hAnsi="宋体"/>
          <w:b/>
          <w:color w:val="auto"/>
          <w:sz w:val="24"/>
          <w:highlight w:val="none"/>
        </w:rPr>
        <w:t>□</w:t>
      </w:r>
      <w:r>
        <w:rPr>
          <w:rFonts w:ascii="宋体" w:hAnsi="宋体"/>
          <w:b/>
          <w:color w:val="auto"/>
          <w:spacing w:val="6"/>
          <w:sz w:val="24"/>
          <w:highlight w:val="none"/>
        </w:rPr>
        <w:t>属于符合条件的残疾人福利性单位，</w:t>
      </w:r>
      <w:r>
        <w:rPr>
          <w:rFonts w:ascii="宋体" w:hAnsi="宋体"/>
          <w:color w:val="auto"/>
          <w:spacing w:val="6"/>
          <w:sz w:val="24"/>
          <w:highlight w:val="none"/>
        </w:rPr>
        <w:t>且本单位参加</w:t>
      </w:r>
      <w:r>
        <w:rPr>
          <w:rFonts w:ascii="宋体" w:hAnsi="宋体"/>
          <w:color w:val="auto"/>
          <w:sz w:val="24"/>
          <w:highlight w:val="none"/>
        </w:rPr>
        <w:t>______</w:t>
      </w:r>
      <w:r>
        <w:rPr>
          <w:rFonts w:ascii="宋体" w:hAnsi="宋体"/>
          <w:color w:val="auto"/>
          <w:spacing w:val="6"/>
          <w:sz w:val="24"/>
          <w:highlight w:val="none"/>
        </w:rPr>
        <w:t>单位的</w:t>
      </w:r>
      <w:r>
        <w:rPr>
          <w:rFonts w:ascii="宋体" w:hAnsi="宋体"/>
          <w:color w:val="auto"/>
          <w:sz w:val="24"/>
          <w:highlight w:val="none"/>
        </w:rPr>
        <w:t>______</w:t>
      </w:r>
      <w:r>
        <w:rPr>
          <w:rFonts w:ascii="宋体" w:hAnsi="宋体"/>
          <w:color w:val="auto"/>
          <w:spacing w:val="6"/>
          <w:sz w:val="24"/>
          <w:highlight w:val="none"/>
        </w:rPr>
        <w:t>项目采购活动提供本单位制造的货物（由本单位承担工程/提供服务），或者提供其他残疾人福利性单位制造的货物（不包括使用非残疾人福利性单位注册商标的货物）。</w:t>
      </w:r>
    </w:p>
    <w:p w14:paraId="52BB81CF">
      <w:pPr>
        <w:spacing w:line="588" w:lineRule="exact"/>
        <w:ind w:firstLine="506" w:firstLineChars="200"/>
        <w:rPr>
          <w:rFonts w:hint="eastAsia" w:ascii="宋体" w:hAnsi="宋体"/>
          <w:color w:val="auto"/>
          <w:spacing w:val="6"/>
          <w:sz w:val="24"/>
          <w:highlight w:val="none"/>
        </w:rPr>
      </w:pPr>
      <w:r>
        <w:rPr>
          <w:rFonts w:ascii="宋体" w:hAnsi="宋体"/>
          <w:b/>
          <w:color w:val="auto"/>
          <w:spacing w:val="6"/>
          <w:sz w:val="24"/>
          <w:highlight w:val="none"/>
        </w:rPr>
        <w:t>本单位对上述声明的真实性负责。如有虚假，将依法承担相应责任。</w:t>
      </w:r>
    </w:p>
    <w:p w14:paraId="7C4C361C">
      <w:pPr>
        <w:spacing w:line="588" w:lineRule="exact"/>
        <w:ind w:firstLine="504" w:firstLineChars="200"/>
        <w:rPr>
          <w:rFonts w:hint="eastAsia" w:ascii="宋体" w:hAnsi="宋体"/>
          <w:color w:val="auto"/>
          <w:spacing w:val="6"/>
          <w:sz w:val="24"/>
          <w:highlight w:val="none"/>
        </w:rPr>
      </w:pPr>
    </w:p>
    <w:p w14:paraId="2412BD6E">
      <w:pPr>
        <w:spacing w:line="588" w:lineRule="exact"/>
        <w:ind w:firstLine="504" w:firstLineChars="200"/>
        <w:rPr>
          <w:rFonts w:hint="eastAsia" w:ascii="宋体" w:hAnsi="宋体"/>
          <w:color w:val="auto"/>
          <w:spacing w:val="6"/>
          <w:sz w:val="24"/>
          <w:highlight w:val="none"/>
        </w:rPr>
      </w:pPr>
    </w:p>
    <w:p w14:paraId="42C1D988">
      <w:pPr>
        <w:tabs>
          <w:tab w:val="left" w:pos="4860"/>
        </w:tabs>
        <w:spacing w:line="588" w:lineRule="exact"/>
        <w:ind w:right="1560" w:firstLine="504" w:firstLineChars="200"/>
        <w:jc w:val="right"/>
        <w:rPr>
          <w:rFonts w:hint="eastAsia" w:ascii="宋体" w:hAnsi="宋体"/>
          <w:color w:val="auto"/>
          <w:spacing w:val="6"/>
          <w:sz w:val="24"/>
          <w:highlight w:val="none"/>
        </w:rPr>
      </w:pPr>
      <w:r>
        <w:rPr>
          <w:rFonts w:ascii="宋体" w:hAnsi="宋体"/>
          <w:color w:val="auto"/>
          <w:spacing w:val="6"/>
          <w:sz w:val="24"/>
          <w:highlight w:val="none"/>
        </w:rPr>
        <w:t xml:space="preserve">          单位名称（盖章）：</w:t>
      </w:r>
      <w:r>
        <w:rPr>
          <w:rFonts w:ascii="宋体" w:hAnsi="宋体"/>
          <w:color w:val="auto"/>
          <w:sz w:val="24"/>
          <w:highlight w:val="none"/>
        </w:rPr>
        <w:t>______</w:t>
      </w:r>
    </w:p>
    <w:p w14:paraId="05C55B9D">
      <w:pPr>
        <w:tabs>
          <w:tab w:val="left" w:pos="4860"/>
        </w:tabs>
        <w:spacing w:line="588" w:lineRule="exact"/>
        <w:ind w:right="1560" w:firstLine="504" w:firstLineChars="200"/>
        <w:jc w:val="right"/>
        <w:rPr>
          <w:rFonts w:hint="eastAsia" w:ascii="宋体" w:hAnsi="宋体"/>
          <w:color w:val="auto"/>
          <w:spacing w:val="6"/>
          <w:sz w:val="24"/>
          <w:highlight w:val="none"/>
        </w:rPr>
      </w:pPr>
      <w:r>
        <w:rPr>
          <w:rFonts w:ascii="宋体" w:hAnsi="宋体"/>
          <w:color w:val="auto"/>
          <w:spacing w:val="6"/>
          <w:sz w:val="24"/>
          <w:highlight w:val="none"/>
        </w:rPr>
        <w:t xml:space="preserve">       日  期：</w:t>
      </w:r>
      <w:r>
        <w:rPr>
          <w:rFonts w:ascii="宋体" w:hAnsi="宋体"/>
          <w:color w:val="auto"/>
          <w:sz w:val="24"/>
          <w:highlight w:val="none"/>
        </w:rPr>
        <w:t>______</w:t>
      </w:r>
    </w:p>
    <w:p w14:paraId="4BAC6233">
      <w:pPr>
        <w:tabs>
          <w:tab w:val="left" w:pos="5580"/>
        </w:tabs>
        <w:spacing w:line="360" w:lineRule="auto"/>
        <w:rPr>
          <w:rFonts w:hint="eastAsia" w:ascii="宋体" w:hAnsi="宋体"/>
          <w:color w:val="auto"/>
          <w:sz w:val="24"/>
          <w:highlight w:val="none"/>
        </w:rPr>
      </w:pPr>
    </w:p>
    <w:p w14:paraId="14F5BD9E">
      <w:pPr>
        <w:widowControl/>
        <w:jc w:val="left"/>
        <w:rPr>
          <w:rFonts w:hint="eastAsia" w:ascii="宋体" w:hAnsi="宋体"/>
          <w:color w:val="auto"/>
          <w:sz w:val="24"/>
          <w:highlight w:val="none"/>
        </w:rPr>
      </w:pPr>
      <w:r>
        <w:rPr>
          <w:rFonts w:ascii="宋体" w:hAnsi="宋体"/>
          <w:color w:val="auto"/>
          <w:sz w:val="24"/>
          <w:highlight w:val="none"/>
        </w:rPr>
        <w:br w:type="page"/>
      </w:r>
    </w:p>
    <w:p w14:paraId="4C58DE17">
      <w:pPr>
        <w:spacing w:line="360" w:lineRule="auto"/>
        <w:outlineLvl w:val="2"/>
        <w:rPr>
          <w:rFonts w:hint="eastAsia" w:ascii="宋体" w:hAnsi="宋体"/>
          <w:color w:val="auto"/>
          <w:sz w:val="24"/>
          <w:szCs w:val="20"/>
          <w:highlight w:val="none"/>
        </w:rPr>
      </w:pPr>
      <w:r>
        <w:rPr>
          <w:rFonts w:ascii="宋体" w:hAnsi="宋体"/>
          <w:color w:val="auto"/>
          <w:sz w:val="24"/>
          <w:szCs w:val="20"/>
          <w:highlight w:val="none"/>
        </w:rPr>
        <w:t xml:space="preserve">2-2 </w:t>
      </w:r>
      <w:r>
        <w:rPr>
          <w:rFonts w:ascii="宋体" w:hAnsi="宋体"/>
          <w:color w:val="auto"/>
          <w:sz w:val="24"/>
          <w:highlight w:val="none"/>
        </w:rPr>
        <w:t>其它落实政府采购政策的资格要求</w:t>
      </w:r>
      <w:r>
        <w:rPr>
          <w:rFonts w:ascii="宋体" w:hAnsi="宋体"/>
          <w:color w:val="auto"/>
          <w:sz w:val="24"/>
          <w:szCs w:val="20"/>
          <w:highlight w:val="none"/>
        </w:rPr>
        <w:t>（如有）</w:t>
      </w:r>
    </w:p>
    <w:p w14:paraId="718BFC1C">
      <w:pPr>
        <w:tabs>
          <w:tab w:val="left" w:pos="5580"/>
        </w:tabs>
        <w:spacing w:line="360" w:lineRule="auto"/>
        <w:rPr>
          <w:rFonts w:hint="eastAsia" w:ascii="宋体" w:hAnsi="宋体"/>
          <w:color w:val="auto"/>
          <w:sz w:val="24"/>
          <w:highlight w:val="none"/>
        </w:rPr>
      </w:pPr>
    </w:p>
    <w:p w14:paraId="4D34F2C2">
      <w:pPr>
        <w:widowControl/>
        <w:jc w:val="left"/>
        <w:rPr>
          <w:rFonts w:hint="eastAsia" w:ascii="宋体" w:hAnsi="宋体"/>
          <w:color w:val="auto"/>
          <w:sz w:val="24"/>
          <w:highlight w:val="none"/>
        </w:rPr>
      </w:pPr>
      <w:r>
        <w:rPr>
          <w:rFonts w:ascii="宋体" w:hAnsi="宋体"/>
          <w:color w:val="auto"/>
          <w:sz w:val="24"/>
          <w:highlight w:val="none"/>
        </w:rPr>
        <w:br w:type="page"/>
      </w:r>
    </w:p>
    <w:p w14:paraId="67490634">
      <w:pPr>
        <w:tabs>
          <w:tab w:val="left" w:pos="360"/>
        </w:tabs>
        <w:snapToGrid w:val="0"/>
        <w:spacing w:line="360" w:lineRule="auto"/>
        <w:outlineLvl w:val="1"/>
        <w:rPr>
          <w:rFonts w:hint="eastAsia" w:ascii="宋体" w:hAnsi="宋体"/>
          <w:color w:val="auto"/>
          <w:sz w:val="24"/>
          <w:highlight w:val="none"/>
        </w:rPr>
      </w:pPr>
      <w:r>
        <w:rPr>
          <w:rFonts w:ascii="宋体" w:hAnsi="宋体"/>
          <w:color w:val="auto"/>
          <w:sz w:val="24"/>
          <w:highlight w:val="none"/>
        </w:rPr>
        <w:t>3 本项目的特定资格要求（如有）</w:t>
      </w:r>
    </w:p>
    <w:p w14:paraId="7D092C03">
      <w:pPr>
        <w:spacing w:line="360" w:lineRule="auto"/>
        <w:outlineLvl w:val="2"/>
        <w:rPr>
          <w:rFonts w:hint="eastAsia" w:ascii="宋体" w:hAnsi="宋体"/>
          <w:color w:val="auto"/>
          <w:sz w:val="24"/>
          <w:szCs w:val="20"/>
          <w:highlight w:val="none"/>
        </w:rPr>
      </w:pPr>
      <w:r>
        <w:rPr>
          <w:rFonts w:ascii="宋体" w:hAnsi="宋体"/>
          <w:color w:val="auto"/>
          <w:sz w:val="24"/>
          <w:szCs w:val="20"/>
          <w:highlight w:val="none"/>
        </w:rPr>
        <w:t>3-</w:t>
      </w:r>
      <w:r>
        <w:rPr>
          <w:rFonts w:hint="eastAsia" w:ascii="宋体" w:hAnsi="宋体"/>
          <w:color w:val="auto"/>
          <w:sz w:val="24"/>
          <w:szCs w:val="20"/>
          <w:highlight w:val="none"/>
        </w:rPr>
        <w:t>1</w:t>
      </w:r>
      <w:r>
        <w:rPr>
          <w:rFonts w:ascii="宋体" w:hAnsi="宋体"/>
          <w:color w:val="auto"/>
          <w:sz w:val="24"/>
          <w:szCs w:val="20"/>
          <w:highlight w:val="none"/>
        </w:rPr>
        <w:t>其他特定资格要求</w:t>
      </w:r>
    </w:p>
    <w:p w14:paraId="51FFA4EB">
      <w:pPr>
        <w:tabs>
          <w:tab w:val="left" w:pos="900"/>
          <w:tab w:val="left" w:pos="1134"/>
          <w:tab w:val="left" w:pos="1589"/>
          <w:tab w:val="left" w:pos="5521"/>
        </w:tabs>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eastAsia="zh-CN"/>
        </w:rPr>
        <w:t>供应商</w:t>
      </w:r>
      <w:r>
        <w:rPr>
          <w:rFonts w:hint="eastAsia" w:ascii="宋体" w:hAnsi="宋体"/>
          <w:color w:val="auto"/>
          <w:sz w:val="24"/>
          <w:highlight w:val="none"/>
        </w:rPr>
        <w:t xml:space="preserve">具备水利水电工程施工总承包二级（含）以上资质； </w:t>
      </w:r>
    </w:p>
    <w:p w14:paraId="1A10E814">
      <w:pPr>
        <w:tabs>
          <w:tab w:val="left" w:pos="900"/>
          <w:tab w:val="left" w:pos="1134"/>
          <w:tab w:val="left" w:pos="1589"/>
          <w:tab w:val="left" w:pos="5521"/>
        </w:tabs>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eastAsia="zh-CN"/>
        </w:rPr>
        <w:t>供应商</w:t>
      </w:r>
      <w:r>
        <w:rPr>
          <w:rFonts w:hint="eastAsia" w:ascii="宋体" w:hAnsi="宋体"/>
          <w:color w:val="auto"/>
          <w:sz w:val="24"/>
          <w:highlight w:val="none"/>
        </w:rPr>
        <w:t>具有建设行政主管部门核发的有效的安全生产许可证；</w:t>
      </w:r>
    </w:p>
    <w:p w14:paraId="49C19EB6">
      <w:pPr>
        <w:tabs>
          <w:tab w:val="left" w:pos="900"/>
          <w:tab w:val="left" w:pos="1134"/>
          <w:tab w:val="left" w:pos="1589"/>
          <w:tab w:val="left" w:pos="5521"/>
        </w:tabs>
        <w:snapToGrid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3）拟任项目经理须在</w:t>
      </w:r>
      <w:r>
        <w:rPr>
          <w:rFonts w:hint="eastAsia" w:ascii="宋体" w:hAnsi="宋体"/>
          <w:color w:val="auto"/>
          <w:sz w:val="24"/>
          <w:highlight w:val="none"/>
          <w:lang w:eastAsia="zh-CN"/>
        </w:rPr>
        <w:t>供应商</w:t>
      </w:r>
      <w:r>
        <w:rPr>
          <w:rFonts w:hint="eastAsia" w:ascii="宋体" w:hAnsi="宋体"/>
          <w:color w:val="auto"/>
          <w:sz w:val="24"/>
          <w:highlight w:val="none"/>
        </w:rPr>
        <w:t>本单位注册，具有水利水电工程专业二级</w:t>
      </w:r>
      <w:r>
        <w:rPr>
          <w:rFonts w:hint="eastAsia" w:ascii="宋体" w:hAnsi="宋体"/>
          <w:color w:val="auto"/>
          <w:szCs w:val="21"/>
          <w:highlight w:val="none"/>
        </w:rPr>
        <w:t>（含）以上</w:t>
      </w:r>
      <w:r>
        <w:rPr>
          <w:rFonts w:hint="eastAsia" w:ascii="宋体" w:hAnsi="宋体"/>
          <w:color w:val="auto"/>
          <w:sz w:val="24"/>
          <w:highlight w:val="none"/>
        </w:rPr>
        <w:t>注册建造师资格及B类安全生产考核合格证书；</w:t>
      </w:r>
    </w:p>
    <w:p w14:paraId="234CF7CB">
      <w:pPr>
        <w:tabs>
          <w:tab w:val="left" w:pos="5580"/>
        </w:tabs>
        <w:spacing w:line="360" w:lineRule="auto"/>
        <w:rPr>
          <w:rFonts w:hint="eastAsia" w:ascii="宋体" w:hAnsi="宋体"/>
          <w:color w:val="auto"/>
          <w:sz w:val="24"/>
          <w:highlight w:val="none"/>
        </w:rPr>
      </w:pPr>
    </w:p>
    <w:p w14:paraId="6685B6E5">
      <w:pPr>
        <w:widowControl/>
        <w:jc w:val="left"/>
        <w:rPr>
          <w:rFonts w:hint="eastAsia" w:ascii="宋体" w:hAnsi="宋体"/>
          <w:color w:val="auto"/>
          <w:sz w:val="24"/>
          <w:highlight w:val="none"/>
        </w:rPr>
      </w:pPr>
      <w:r>
        <w:rPr>
          <w:rFonts w:ascii="宋体" w:hAnsi="宋体"/>
          <w:color w:val="auto"/>
          <w:sz w:val="24"/>
          <w:highlight w:val="none"/>
        </w:rPr>
        <w:br w:type="page"/>
      </w:r>
    </w:p>
    <w:p w14:paraId="1431B97A">
      <w:pPr>
        <w:tabs>
          <w:tab w:val="left" w:pos="360"/>
        </w:tabs>
        <w:snapToGrid w:val="0"/>
        <w:spacing w:line="360" w:lineRule="auto"/>
        <w:outlineLvl w:val="1"/>
        <w:rPr>
          <w:rFonts w:hint="eastAsia" w:ascii="宋体" w:hAnsi="宋体"/>
          <w:color w:val="auto"/>
          <w:sz w:val="24"/>
          <w:highlight w:val="none"/>
        </w:rPr>
      </w:pPr>
      <w:r>
        <w:rPr>
          <w:rFonts w:ascii="宋体" w:hAnsi="宋体"/>
          <w:color w:val="auto"/>
          <w:sz w:val="24"/>
          <w:highlight w:val="none"/>
        </w:rPr>
        <w:t>4 磋商保证金凭证/交款单据电子件</w:t>
      </w:r>
      <w:r>
        <w:rPr>
          <w:rFonts w:hint="eastAsia" w:ascii="宋体" w:hAnsi="宋体"/>
          <w:color w:val="auto"/>
          <w:sz w:val="24"/>
          <w:highlight w:val="none"/>
        </w:rPr>
        <w:t>（如有）</w:t>
      </w:r>
    </w:p>
    <w:p w14:paraId="644BFA83">
      <w:pPr>
        <w:spacing w:line="360" w:lineRule="auto"/>
        <w:ind w:firstLine="480" w:firstLineChars="200"/>
        <w:rPr>
          <w:color w:val="auto"/>
          <w:sz w:val="24"/>
          <w:szCs w:val="32"/>
          <w:highlight w:val="none"/>
        </w:rPr>
      </w:pPr>
      <w:r>
        <w:rPr>
          <w:rFonts w:hint="eastAsia"/>
          <w:color w:val="auto"/>
          <w:sz w:val="24"/>
          <w:szCs w:val="32"/>
          <w:highlight w:val="none"/>
        </w:rPr>
        <w:t>本项目投标保证金响应要求政策，参与本项目的供应商递交保证金时需提交投标担保函（保险）替代现金方式，以此之外方式递交保证金的，需由供应商出具说明函。</w:t>
      </w:r>
    </w:p>
    <w:p w14:paraId="7F91DC14">
      <w:pPr>
        <w:tabs>
          <w:tab w:val="left" w:pos="5580"/>
        </w:tabs>
        <w:spacing w:line="360" w:lineRule="auto"/>
        <w:rPr>
          <w:rFonts w:hint="eastAsia" w:ascii="宋体" w:hAnsi="宋体"/>
          <w:color w:val="auto"/>
          <w:sz w:val="24"/>
          <w:highlight w:val="none"/>
        </w:rPr>
      </w:pPr>
    </w:p>
    <w:p w14:paraId="742714F4">
      <w:pPr>
        <w:widowControl/>
        <w:jc w:val="left"/>
        <w:rPr>
          <w:rFonts w:hint="eastAsia" w:ascii="宋体" w:hAnsi="宋体"/>
          <w:color w:val="auto"/>
          <w:sz w:val="24"/>
          <w:highlight w:val="none"/>
        </w:rPr>
      </w:pPr>
      <w:r>
        <w:rPr>
          <w:rFonts w:ascii="宋体" w:hAnsi="宋体"/>
          <w:color w:val="auto"/>
          <w:sz w:val="24"/>
          <w:highlight w:val="none"/>
        </w:rPr>
        <w:br w:type="page"/>
      </w:r>
    </w:p>
    <w:p w14:paraId="08BEF02D">
      <w:pPr>
        <w:tabs>
          <w:tab w:val="left" w:pos="360"/>
        </w:tabs>
        <w:snapToGrid w:val="0"/>
        <w:spacing w:line="360" w:lineRule="auto"/>
        <w:outlineLvl w:val="1"/>
        <w:rPr>
          <w:rFonts w:hint="eastAsia" w:ascii="宋体" w:hAnsi="宋体"/>
          <w:color w:val="auto"/>
          <w:sz w:val="24"/>
          <w:highlight w:val="none"/>
        </w:rPr>
      </w:pPr>
      <w:bookmarkStart w:id="1111" w:name="_Ref467988698"/>
      <w:bookmarkStart w:id="1112" w:name="_Toc480942349"/>
      <w:bookmarkStart w:id="1113" w:name="_Toc226965829"/>
      <w:bookmarkStart w:id="1114" w:name="_Toc195842921"/>
      <w:bookmarkStart w:id="1115" w:name="_Toc226309800"/>
      <w:bookmarkStart w:id="1116" w:name="_Toc226337252"/>
      <w:bookmarkStart w:id="1117" w:name="_Toc142311058"/>
      <w:bookmarkStart w:id="1118" w:name="_Toc127151556"/>
      <w:bookmarkStart w:id="1119" w:name="_Toc226965746"/>
      <w:bookmarkStart w:id="1120" w:name="_Toc150774761"/>
      <w:bookmarkStart w:id="1121" w:name="_Toc150480794"/>
      <w:bookmarkStart w:id="1122" w:name="_Toc520356217"/>
      <w:r>
        <w:rPr>
          <w:rFonts w:ascii="宋体" w:hAnsi="宋体"/>
          <w:color w:val="auto"/>
          <w:sz w:val="24"/>
          <w:highlight w:val="none"/>
        </w:rPr>
        <w:t xml:space="preserve">5 </w:t>
      </w:r>
      <w:bookmarkEnd w:id="1111"/>
      <w:bookmarkEnd w:id="1112"/>
      <w:r>
        <w:rPr>
          <w:rFonts w:ascii="宋体" w:hAnsi="宋体"/>
          <w:color w:val="auto"/>
          <w:sz w:val="24"/>
          <w:highlight w:val="none"/>
        </w:rPr>
        <w:t>响应书</w:t>
      </w:r>
      <w:bookmarkEnd w:id="1113"/>
      <w:bookmarkEnd w:id="1114"/>
      <w:bookmarkEnd w:id="1115"/>
      <w:bookmarkEnd w:id="1116"/>
      <w:bookmarkEnd w:id="1117"/>
      <w:bookmarkEnd w:id="1118"/>
      <w:bookmarkEnd w:id="1119"/>
      <w:bookmarkEnd w:id="1120"/>
      <w:bookmarkEnd w:id="1121"/>
      <w:bookmarkEnd w:id="1122"/>
    </w:p>
    <w:p w14:paraId="7F945BBA">
      <w:pPr>
        <w:spacing w:line="360" w:lineRule="auto"/>
        <w:jc w:val="center"/>
        <w:rPr>
          <w:rFonts w:hint="eastAsia" w:ascii="宋体" w:hAnsi="宋体"/>
          <w:b/>
          <w:color w:val="auto"/>
          <w:sz w:val="36"/>
          <w:szCs w:val="36"/>
          <w:highlight w:val="none"/>
        </w:rPr>
      </w:pPr>
      <w:r>
        <w:rPr>
          <w:rFonts w:hint="eastAsia" w:ascii="宋体" w:hAnsi="宋体"/>
          <w:b/>
          <w:color w:val="auto"/>
          <w:sz w:val="36"/>
          <w:szCs w:val="36"/>
          <w:highlight w:val="none"/>
        </w:rPr>
        <w:t>响应书</w:t>
      </w:r>
    </w:p>
    <w:p w14:paraId="10D6B243">
      <w:pPr>
        <w:tabs>
          <w:tab w:val="left" w:pos="5580"/>
        </w:tabs>
        <w:spacing w:line="360" w:lineRule="auto"/>
        <w:rPr>
          <w:rFonts w:hint="eastAsia" w:ascii="宋体" w:hAnsi="宋体"/>
          <w:color w:val="auto"/>
          <w:sz w:val="24"/>
          <w:highlight w:val="none"/>
        </w:rPr>
      </w:pPr>
      <w:r>
        <w:rPr>
          <w:rFonts w:ascii="宋体" w:hAnsi="宋体"/>
          <w:color w:val="auto"/>
          <w:sz w:val="24"/>
          <w:highlight w:val="none"/>
        </w:rPr>
        <w:t>致：</w:t>
      </w:r>
      <w:r>
        <w:rPr>
          <w:rFonts w:ascii="宋体" w:hAnsi="宋体"/>
          <w:color w:val="auto"/>
          <w:sz w:val="24"/>
          <w:highlight w:val="none"/>
          <w:u w:val="single"/>
        </w:rPr>
        <w:t>（采购人）</w:t>
      </w:r>
    </w:p>
    <w:p w14:paraId="4C724269">
      <w:pPr>
        <w:tabs>
          <w:tab w:val="left" w:pos="5580"/>
        </w:tabs>
        <w:spacing w:line="360" w:lineRule="auto"/>
        <w:rPr>
          <w:rFonts w:hint="eastAsia" w:ascii="宋体" w:hAnsi="宋体"/>
          <w:color w:val="auto"/>
          <w:sz w:val="24"/>
          <w:szCs w:val="20"/>
          <w:highlight w:val="none"/>
        </w:rPr>
      </w:pPr>
    </w:p>
    <w:p w14:paraId="55DF6BA1">
      <w:pPr>
        <w:tabs>
          <w:tab w:val="left" w:pos="5580"/>
        </w:tabs>
        <w:spacing w:line="360" w:lineRule="auto"/>
        <w:ind w:firstLine="408"/>
        <w:rPr>
          <w:rFonts w:hint="eastAsia" w:ascii="宋体" w:hAnsi="宋体"/>
          <w:color w:val="auto"/>
          <w:sz w:val="24"/>
          <w:szCs w:val="20"/>
          <w:highlight w:val="none"/>
        </w:rPr>
      </w:pPr>
      <w:r>
        <w:rPr>
          <w:rFonts w:ascii="宋体" w:hAnsi="宋体"/>
          <w:color w:val="auto"/>
          <w:sz w:val="24"/>
          <w:szCs w:val="20"/>
          <w:highlight w:val="none"/>
        </w:rPr>
        <w:t>我方参加你方就</w:t>
      </w:r>
      <w:r>
        <w:rPr>
          <w:rFonts w:ascii="宋体" w:hAnsi="宋体"/>
          <w:i/>
          <w:iCs/>
          <w:color w:val="auto"/>
          <w:sz w:val="24"/>
          <w:highlight w:val="none"/>
          <w:u w:val="single"/>
        </w:rPr>
        <w:t>______</w:t>
      </w:r>
      <w:r>
        <w:rPr>
          <w:rFonts w:ascii="宋体" w:hAnsi="宋体"/>
          <w:color w:val="auto"/>
          <w:sz w:val="24"/>
          <w:szCs w:val="20"/>
          <w:highlight w:val="none"/>
        </w:rPr>
        <w:t>（项目名称，项目编号）组织的采购活动，并对此项目进行磋商。</w:t>
      </w:r>
    </w:p>
    <w:p w14:paraId="12381A25">
      <w:pPr>
        <w:tabs>
          <w:tab w:val="left" w:pos="5580"/>
        </w:tabs>
        <w:spacing w:line="360" w:lineRule="auto"/>
        <w:ind w:firstLine="408"/>
        <w:rPr>
          <w:rFonts w:hint="eastAsia" w:ascii="宋体" w:hAnsi="宋体"/>
          <w:color w:val="auto"/>
          <w:sz w:val="24"/>
          <w:szCs w:val="20"/>
          <w:highlight w:val="none"/>
        </w:rPr>
      </w:pPr>
      <w:r>
        <w:rPr>
          <w:rFonts w:ascii="宋体" w:hAnsi="宋体"/>
          <w:color w:val="auto"/>
          <w:sz w:val="24"/>
          <w:szCs w:val="20"/>
          <w:highlight w:val="none"/>
        </w:rPr>
        <w:t>1. 我方</w:t>
      </w:r>
      <w:r>
        <w:rPr>
          <w:rFonts w:ascii="宋体" w:hAnsi="宋体"/>
          <w:color w:val="auto"/>
          <w:sz w:val="24"/>
          <w:highlight w:val="none"/>
        </w:rPr>
        <w:t>已详细审查全部竞争性磋商文件</w:t>
      </w:r>
      <w:r>
        <w:rPr>
          <w:rFonts w:ascii="宋体" w:hAnsi="宋体"/>
          <w:color w:val="auto"/>
          <w:sz w:val="24"/>
          <w:szCs w:val="20"/>
          <w:highlight w:val="none"/>
        </w:rPr>
        <w:t>，自愿参与磋商并承诺如下：</w:t>
      </w:r>
    </w:p>
    <w:p w14:paraId="45193392">
      <w:pPr>
        <w:tabs>
          <w:tab w:val="left" w:pos="720"/>
          <w:tab w:val="left" w:pos="900"/>
        </w:tabs>
        <w:spacing w:line="360" w:lineRule="auto"/>
        <w:ind w:left="360" w:firstLine="72" w:firstLineChars="30"/>
        <w:rPr>
          <w:rFonts w:hint="eastAsia" w:ascii="宋体" w:hAnsi="宋体"/>
          <w:color w:val="auto"/>
          <w:sz w:val="24"/>
          <w:szCs w:val="20"/>
          <w:highlight w:val="none"/>
        </w:rPr>
      </w:pPr>
      <w:r>
        <w:rPr>
          <w:rFonts w:ascii="宋体" w:hAnsi="宋体"/>
          <w:color w:val="auto"/>
          <w:sz w:val="24"/>
          <w:szCs w:val="20"/>
          <w:highlight w:val="none"/>
        </w:rPr>
        <w:t>（1）本响应有效期为自提交响应文件的截止之日起</w:t>
      </w:r>
      <w:r>
        <w:rPr>
          <w:rFonts w:ascii="宋体" w:hAnsi="宋体"/>
          <w:color w:val="auto"/>
          <w:sz w:val="24"/>
          <w:highlight w:val="none"/>
          <w:u w:val="single"/>
        </w:rPr>
        <w:t>______</w:t>
      </w:r>
      <w:r>
        <w:rPr>
          <w:rFonts w:ascii="宋体" w:hAnsi="宋体"/>
          <w:color w:val="auto"/>
          <w:sz w:val="24"/>
          <w:szCs w:val="20"/>
          <w:highlight w:val="none"/>
        </w:rPr>
        <w:t>个日历日。</w:t>
      </w:r>
    </w:p>
    <w:p w14:paraId="7DFAAE46">
      <w:pPr>
        <w:tabs>
          <w:tab w:val="left" w:pos="720"/>
          <w:tab w:val="left" w:pos="900"/>
        </w:tabs>
        <w:spacing w:line="360" w:lineRule="auto"/>
        <w:ind w:left="360" w:firstLine="72" w:firstLineChars="30"/>
        <w:rPr>
          <w:rFonts w:hint="eastAsia" w:ascii="宋体" w:hAnsi="宋体"/>
          <w:color w:val="auto"/>
          <w:sz w:val="24"/>
          <w:szCs w:val="20"/>
          <w:highlight w:val="none"/>
        </w:rPr>
      </w:pPr>
      <w:r>
        <w:rPr>
          <w:rFonts w:ascii="宋体" w:hAnsi="宋体"/>
          <w:color w:val="auto"/>
          <w:sz w:val="24"/>
          <w:szCs w:val="20"/>
          <w:highlight w:val="none"/>
        </w:rPr>
        <w:t>（2）除合同条款及采购需求偏离表列出的偏离外，我方响应竞争性磋商文件的全部要求。</w:t>
      </w:r>
    </w:p>
    <w:p w14:paraId="1A31195A">
      <w:pPr>
        <w:tabs>
          <w:tab w:val="left" w:pos="5580"/>
        </w:tabs>
        <w:spacing w:line="360" w:lineRule="auto"/>
        <w:ind w:firstLine="420" w:firstLineChars="175"/>
        <w:rPr>
          <w:rFonts w:hint="eastAsia" w:ascii="宋体" w:hAnsi="宋体"/>
          <w:color w:val="auto"/>
          <w:sz w:val="24"/>
          <w:szCs w:val="20"/>
          <w:highlight w:val="none"/>
        </w:rPr>
      </w:pPr>
      <w:r>
        <w:rPr>
          <w:rFonts w:ascii="宋体" w:hAnsi="宋体"/>
          <w:color w:val="auto"/>
          <w:sz w:val="24"/>
          <w:szCs w:val="20"/>
          <w:highlight w:val="none"/>
        </w:rPr>
        <w:t>（3）我方已提供的全部文件资料是真实、准确的，并对此承担一切法律后果。</w:t>
      </w:r>
    </w:p>
    <w:p w14:paraId="2999327A">
      <w:pPr>
        <w:tabs>
          <w:tab w:val="left" w:pos="5580"/>
        </w:tabs>
        <w:spacing w:line="360" w:lineRule="auto"/>
        <w:ind w:firstLine="420" w:firstLineChars="175"/>
        <w:rPr>
          <w:rFonts w:hint="eastAsia" w:ascii="宋体" w:hAnsi="宋体"/>
          <w:color w:val="auto"/>
          <w:sz w:val="24"/>
          <w:highlight w:val="none"/>
        </w:rPr>
      </w:pPr>
      <w:r>
        <w:rPr>
          <w:rFonts w:ascii="宋体" w:hAnsi="宋体"/>
          <w:color w:val="auto"/>
          <w:sz w:val="24"/>
          <w:szCs w:val="20"/>
          <w:highlight w:val="none"/>
        </w:rPr>
        <w:t>（4）如我方成交，我方将在法律规定的期限内与你方签订合同，按照竞争性磋商文件要求提交履约保证金，并在合同约定的期限内完成合同规定的全部义务。</w:t>
      </w:r>
    </w:p>
    <w:p w14:paraId="5EFCDFD2">
      <w:pPr>
        <w:spacing w:line="360" w:lineRule="auto"/>
        <w:ind w:left="420"/>
        <w:rPr>
          <w:rFonts w:hint="eastAsia" w:ascii="宋体" w:hAnsi="宋体"/>
          <w:color w:val="auto"/>
          <w:sz w:val="24"/>
          <w:highlight w:val="none"/>
        </w:rPr>
      </w:pPr>
      <w:r>
        <w:rPr>
          <w:rFonts w:ascii="宋体" w:hAnsi="宋体"/>
          <w:color w:val="auto"/>
          <w:sz w:val="24"/>
          <w:highlight w:val="none"/>
        </w:rPr>
        <w:t>2. 其他补充条款（如有）：</w:t>
      </w:r>
      <w:r>
        <w:rPr>
          <w:rFonts w:ascii="宋体" w:hAnsi="宋体"/>
          <w:color w:val="auto"/>
          <w:sz w:val="24"/>
          <w:highlight w:val="none"/>
          <w:u w:val="single"/>
        </w:rPr>
        <w:t>______</w:t>
      </w:r>
      <w:r>
        <w:rPr>
          <w:rFonts w:ascii="宋体" w:hAnsi="宋体"/>
          <w:color w:val="auto"/>
          <w:sz w:val="24"/>
          <w:highlight w:val="none"/>
        </w:rPr>
        <w:t>。</w:t>
      </w:r>
    </w:p>
    <w:p w14:paraId="7E9FE82E">
      <w:pPr>
        <w:spacing w:line="360" w:lineRule="auto"/>
        <w:ind w:firstLine="480" w:firstLineChars="200"/>
        <w:rPr>
          <w:rFonts w:hint="eastAsia" w:ascii="宋体" w:hAnsi="宋体"/>
          <w:color w:val="auto"/>
          <w:sz w:val="24"/>
          <w:highlight w:val="none"/>
        </w:rPr>
      </w:pPr>
      <w:r>
        <w:rPr>
          <w:rFonts w:ascii="宋体" w:hAnsi="宋体"/>
          <w:color w:val="auto"/>
          <w:sz w:val="24"/>
          <w:highlight w:val="none"/>
        </w:rPr>
        <w:t>与本磋商有关的一切正式往来信函请寄：</w:t>
      </w:r>
    </w:p>
    <w:p w14:paraId="220BE643">
      <w:pPr>
        <w:tabs>
          <w:tab w:val="left" w:pos="5580"/>
        </w:tabs>
        <w:spacing w:line="360" w:lineRule="auto"/>
        <w:ind w:left="420"/>
        <w:rPr>
          <w:rFonts w:hint="eastAsia" w:ascii="宋体" w:hAnsi="宋体"/>
          <w:color w:val="auto"/>
          <w:sz w:val="24"/>
          <w:szCs w:val="20"/>
          <w:highlight w:val="none"/>
        </w:rPr>
      </w:pPr>
    </w:p>
    <w:p w14:paraId="33AFED3A">
      <w:pPr>
        <w:tabs>
          <w:tab w:val="left" w:pos="5580"/>
        </w:tabs>
        <w:spacing w:line="360" w:lineRule="auto"/>
        <w:ind w:left="420"/>
        <w:rPr>
          <w:rFonts w:hint="eastAsia" w:ascii="宋体" w:hAnsi="宋体"/>
          <w:color w:val="auto"/>
          <w:sz w:val="24"/>
          <w:szCs w:val="20"/>
          <w:highlight w:val="none"/>
        </w:rPr>
      </w:pPr>
      <w:r>
        <w:rPr>
          <w:rFonts w:ascii="宋体" w:hAnsi="宋体"/>
          <w:color w:val="auto"/>
          <w:sz w:val="24"/>
          <w:szCs w:val="20"/>
          <w:highlight w:val="none"/>
        </w:rPr>
        <w:t>地</w:t>
      </w:r>
      <w:r>
        <w:rPr>
          <w:rFonts w:hint="eastAsia" w:ascii="宋体" w:hAnsi="宋体"/>
          <w:color w:val="auto"/>
          <w:sz w:val="24"/>
          <w:szCs w:val="20"/>
          <w:highlight w:val="none"/>
        </w:rPr>
        <w:t xml:space="preserve">    </w:t>
      </w:r>
      <w:r>
        <w:rPr>
          <w:rFonts w:ascii="宋体" w:hAnsi="宋体"/>
          <w:color w:val="auto"/>
          <w:sz w:val="24"/>
          <w:szCs w:val="20"/>
          <w:highlight w:val="none"/>
        </w:rPr>
        <w:t>址</w:t>
      </w:r>
      <w:r>
        <w:rPr>
          <w:rFonts w:hint="eastAsia" w:ascii="宋体" w:hAnsi="宋体"/>
          <w:color w:val="auto"/>
          <w:sz w:val="24"/>
          <w:szCs w:val="20"/>
          <w:highlight w:val="none"/>
        </w:rPr>
        <w:t>：</w:t>
      </w:r>
      <w:r>
        <w:rPr>
          <w:rFonts w:ascii="宋体" w:hAnsi="宋体"/>
          <w:bCs/>
          <w:color w:val="auto"/>
          <w:sz w:val="24"/>
          <w:highlight w:val="none"/>
          <w:u w:val="single"/>
        </w:rPr>
        <w:t>_________________________</w:t>
      </w:r>
      <w:r>
        <w:rPr>
          <w:rFonts w:ascii="宋体" w:hAnsi="宋体"/>
          <w:color w:val="auto"/>
          <w:sz w:val="24"/>
          <w:szCs w:val="20"/>
          <w:highlight w:val="none"/>
        </w:rPr>
        <w:t xml:space="preserve">      </w:t>
      </w:r>
    </w:p>
    <w:p w14:paraId="5E2B9A00">
      <w:pPr>
        <w:tabs>
          <w:tab w:val="left" w:pos="5580"/>
        </w:tabs>
        <w:spacing w:line="360" w:lineRule="auto"/>
        <w:ind w:left="420"/>
        <w:rPr>
          <w:rFonts w:hint="eastAsia" w:ascii="宋体" w:hAnsi="宋体"/>
          <w:color w:val="auto"/>
          <w:sz w:val="24"/>
          <w:szCs w:val="20"/>
          <w:highlight w:val="none"/>
        </w:rPr>
      </w:pPr>
      <w:r>
        <w:rPr>
          <w:rFonts w:ascii="宋体" w:hAnsi="宋体"/>
          <w:color w:val="auto"/>
          <w:sz w:val="24"/>
          <w:szCs w:val="20"/>
          <w:highlight w:val="none"/>
        </w:rPr>
        <w:t xml:space="preserve">传  </w:t>
      </w:r>
      <w:r>
        <w:rPr>
          <w:rFonts w:hint="eastAsia" w:ascii="宋体" w:hAnsi="宋体"/>
          <w:color w:val="auto"/>
          <w:sz w:val="24"/>
          <w:szCs w:val="20"/>
          <w:highlight w:val="none"/>
        </w:rPr>
        <w:t xml:space="preserve"> </w:t>
      </w:r>
      <w:r>
        <w:rPr>
          <w:rFonts w:ascii="宋体" w:hAnsi="宋体"/>
          <w:color w:val="auto"/>
          <w:sz w:val="24"/>
          <w:szCs w:val="20"/>
          <w:highlight w:val="none"/>
        </w:rPr>
        <w:t xml:space="preserve"> 真</w:t>
      </w:r>
      <w:r>
        <w:rPr>
          <w:rFonts w:hint="eastAsia" w:ascii="宋体" w:hAnsi="宋体"/>
          <w:color w:val="auto"/>
          <w:sz w:val="24"/>
          <w:szCs w:val="20"/>
          <w:highlight w:val="none"/>
        </w:rPr>
        <w:t>：</w:t>
      </w:r>
      <w:r>
        <w:rPr>
          <w:rFonts w:ascii="宋体" w:hAnsi="宋体"/>
          <w:bCs/>
          <w:color w:val="auto"/>
          <w:sz w:val="24"/>
          <w:highlight w:val="none"/>
          <w:u w:val="single"/>
        </w:rPr>
        <w:t>_________________________</w:t>
      </w:r>
    </w:p>
    <w:p w14:paraId="7098A88D">
      <w:pPr>
        <w:tabs>
          <w:tab w:val="left" w:pos="5580"/>
        </w:tabs>
        <w:spacing w:line="360" w:lineRule="auto"/>
        <w:ind w:left="420"/>
        <w:rPr>
          <w:rFonts w:hint="eastAsia" w:ascii="宋体" w:hAnsi="宋体"/>
          <w:color w:val="auto"/>
          <w:sz w:val="24"/>
          <w:szCs w:val="20"/>
          <w:highlight w:val="none"/>
        </w:rPr>
      </w:pPr>
      <w:r>
        <w:rPr>
          <w:rFonts w:ascii="宋体" w:hAnsi="宋体"/>
          <w:color w:val="auto"/>
          <w:sz w:val="24"/>
          <w:szCs w:val="20"/>
          <w:highlight w:val="none"/>
        </w:rPr>
        <w:t>电</w:t>
      </w:r>
      <w:r>
        <w:rPr>
          <w:rFonts w:hint="eastAsia" w:ascii="宋体" w:hAnsi="宋体"/>
          <w:color w:val="auto"/>
          <w:sz w:val="24"/>
          <w:szCs w:val="20"/>
          <w:highlight w:val="none"/>
        </w:rPr>
        <w:t xml:space="preserve">    </w:t>
      </w:r>
      <w:r>
        <w:rPr>
          <w:rFonts w:ascii="宋体" w:hAnsi="宋体"/>
          <w:color w:val="auto"/>
          <w:sz w:val="24"/>
          <w:szCs w:val="20"/>
          <w:highlight w:val="none"/>
        </w:rPr>
        <w:t>话</w:t>
      </w:r>
      <w:r>
        <w:rPr>
          <w:rFonts w:hint="eastAsia" w:ascii="宋体" w:hAnsi="宋体"/>
          <w:color w:val="auto"/>
          <w:sz w:val="24"/>
          <w:szCs w:val="20"/>
          <w:highlight w:val="none"/>
        </w:rPr>
        <w:t>：</w:t>
      </w:r>
      <w:r>
        <w:rPr>
          <w:rFonts w:ascii="宋体" w:hAnsi="宋体"/>
          <w:bCs/>
          <w:color w:val="auto"/>
          <w:sz w:val="24"/>
          <w:highlight w:val="none"/>
          <w:u w:val="single"/>
        </w:rPr>
        <w:t>_________________________</w:t>
      </w:r>
      <w:r>
        <w:rPr>
          <w:rFonts w:ascii="宋体" w:hAnsi="宋体"/>
          <w:color w:val="auto"/>
          <w:sz w:val="24"/>
          <w:szCs w:val="20"/>
          <w:highlight w:val="none"/>
        </w:rPr>
        <w:t xml:space="preserve">      </w:t>
      </w:r>
    </w:p>
    <w:p w14:paraId="3C4435E2">
      <w:pPr>
        <w:tabs>
          <w:tab w:val="left" w:pos="5580"/>
        </w:tabs>
        <w:spacing w:line="360" w:lineRule="auto"/>
        <w:ind w:left="420"/>
        <w:rPr>
          <w:rFonts w:hint="eastAsia" w:ascii="宋体" w:hAnsi="宋体"/>
          <w:color w:val="auto"/>
          <w:sz w:val="24"/>
          <w:szCs w:val="20"/>
          <w:highlight w:val="none"/>
        </w:rPr>
      </w:pPr>
      <w:r>
        <w:rPr>
          <w:rFonts w:ascii="宋体" w:hAnsi="宋体"/>
          <w:color w:val="auto"/>
          <w:sz w:val="24"/>
          <w:szCs w:val="20"/>
          <w:highlight w:val="none"/>
        </w:rPr>
        <w:t>电子函件</w:t>
      </w:r>
      <w:r>
        <w:rPr>
          <w:rFonts w:hint="eastAsia" w:ascii="宋体" w:hAnsi="宋体"/>
          <w:color w:val="auto"/>
          <w:sz w:val="24"/>
          <w:szCs w:val="20"/>
          <w:highlight w:val="none"/>
        </w:rPr>
        <w:t>：</w:t>
      </w:r>
      <w:r>
        <w:rPr>
          <w:rFonts w:ascii="宋体" w:hAnsi="宋体"/>
          <w:bCs/>
          <w:color w:val="auto"/>
          <w:sz w:val="24"/>
          <w:highlight w:val="none"/>
          <w:u w:val="single"/>
        </w:rPr>
        <w:t>_________________________</w:t>
      </w:r>
    </w:p>
    <w:p w14:paraId="6A080125">
      <w:pPr>
        <w:tabs>
          <w:tab w:val="left" w:pos="5580"/>
        </w:tabs>
        <w:spacing w:line="360" w:lineRule="auto"/>
        <w:ind w:left="420"/>
        <w:rPr>
          <w:rFonts w:hint="eastAsia" w:ascii="宋体" w:hAnsi="宋体"/>
          <w:color w:val="auto"/>
          <w:sz w:val="24"/>
          <w:szCs w:val="20"/>
          <w:highlight w:val="none"/>
        </w:rPr>
      </w:pPr>
    </w:p>
    <w:p w14:paraId="75E915DD">
      <w:pPr>
        <w:tabs>
          <w:tab w:val="left" w:pos="5580"/>
        </w:tabs>
        <w:spacing w:line="360" w:lineRule="auto"/>
        <w:ind w:left="420"/>
        <w:rPr>
          <w:rFonts w:hint="eastAsia" w:ascii="宋体" w:hAnsi="宋体"/>
          <w:color w:val="auto"/>
          <w:sz w:val="24"/>
          <w:szCs w:val="20"/>
          <w:highlight w:val="none"/>
        </w:rPr>
      </w:pPr>
    </w:p>
    <w:p w14:paraId="18E3A206">
      <w:pPr>
        <w:tabs>
          <w:tab w:val="left" w:pos="5580"/>
        </w:tabs>
        <w:spacing w:line="360" w:lineRule="auto"/>
        <w:ind w:left="420"/>
        <w:rPr>
          <w:rFonts w:hint="eastAsia" w:ascii="宋体" w:hAnsi="宋体"/>
          <w:color w:val="auto"/>
          <w:sz w:val="24"/>
          <w:szCs w:val="20"/>
          <w:highlight w:val="none"/>
        </w:rPr>
      </w:pPr>
    </w:p>
    <w:p w14:paraId="3E3AB67F">
      <w:pPr>
        <w:autoSpaceDE w:val="0"/>
        <w:autoSpaceDN w:val="0"/>
        <w:adjustRightInd w:val="0"/>
        <w:snapToGrid w:val="0"/>
        <w:spacing w:before="25" w:after="25" w:line="360" w:lineRule="auto"/>
        <w:ind w:right="360" w:firstLine="360" w:firstLineChars="150"/>
        <w:rPr>
          <w:rFonts w:hint="eastAsia" w:ascii="宋体" w:hAnsi="宋体"/>
          <w:color w:val="auto"/>
          <w:sz w:val="24"/>
          <w:highlight w:val="none"/>
          <w:lang w:val="zh-CN"/>
        </w:rPr>
      </w:pPr>
      <w:r>
        <w:rPr>
          <w:rFonts w:ascii="宋体" w:hAnsi="宋体"/>
          <w:color w:val="auto"/>
          <w:sz w:val="24"/>
          <w:highlight w:val="none"/>
        </w:rPr>
        <w:t>供应商名称（加盖公章）</w:t>
      </w:r>
      <w:r>
        <w:rPr>
          <w:rFonts w:ascii="宋体" w:hAnsi="宋体"/>
          <w:color w:val="auto"/>
          <w:sz w:val="24"/>
          <w:highlight w:val="none"/>
          <w:lang w:val="zh-CN"/>
        </w:rPr>
        <w:t>：</w:t>
      </w:r>
      <w:r>
        <w:rPr>
          <w:rFonts w:ascii="宋体" w:hAnsi="宋体"/>
          <w:color w:val="auto"/>
          <w:sz w:val="24"/>
          <w:highlight w:val="none"/>
          <w:u w:val="single"/>
        </w:rPr>
        <w:t>______</w:t>
      </w:r>
    </w:p>
    <w:p w14:paraId="6EE2207D">
      <w:pPr>
        <w:tabs>
          <w:tab w:val="left" w:pos="5580"/>
        </w:tabs>
        <w:spacing w:line="360" w:lineRule="auto"/>
        <w:ind w:firstLine="360" w:firstLineChars="150"/>
        <w:rPr>
          <w:rFonts w:hint="eastAsia" w:ascii="宋体" w:hAnsi="宋体"/>
          <w:color w:val="auto"/>
          <w:sz w:val="24"/>
          <w:szCs w:val="20"/>
          <w:highlight w:val="none"/>
        </w:rPr>
      </w:pPr>
      <w:r>
        <w:rPr>
          <w:rFonts w:ascii="宋体" w:hAnsi="宋体"/>
          <w:color w:val="auto"/>
          <w:sz w:val="24"/>
          <w:szCs w:val="20"/>
          <w:highlight w:val="none"/>
        </w:rPr>
        <w:t>日期：</w:t>
      </w:r>
      <w:r>
        <w:rPr>
          <w:rFonts w:ascii="宋体" w:hAnsi="宋体"/>
          <w:color w:val="auto"/>
          <w:sz w:val="24"/>
          <w:szCs w:val="20"/>
          <w:highlight w:val="none"/>
          <w:u w:val="single"/>
        </w:rPr>
        <w:t>____</w:t>
      </w:r>
      <w:r>
        <w:rPr>
          <w:rFonts w:ascii="宋体" w:hAnsi="宋体"/>
          <w:color w:val="auto"/>
          <w:sz w:val="24"/>
          <w:szCs w:val="20"/>
          <w:highlight w:val="none"/>
        </w:rPr>
        <w:t>年</w:t>
      </w:r>
      <w:r>
        <w:rPr>
          <w:rFonts w:ascii="宋体" w:hAnsi="宋体"/>
          <w:color w:val="auto"/>
          <w:sz w:val="24"/>
          <w:szCs w:val="20"/>
          <w:highlight w:val="none"/>
          <w:u w:val="single"/>
        </w:rPr>
        <w:t>____</w:t>
      </w:r>
      <w:r>
        <w:rPr>
          <w:rFonts w:ascii="宋体" w:hAnsi="宋体"/>
          <w:color w:val="auto"/>
          <w:sz w:val="24"/>
          <w:szCs w:val="20"/>
          <w:highlight w:val="none"/>
        </w:rPr>
        <w:t>月</w:t>
      </w:r>
      <w:r>
        <w:rPr>
          <w:rFonts w:ascii="宋体" w:hAnsi="宋体"/>
          <w:color w:val="auto"/>
          <w:sz w:val="24"/>
          <w:szCs w:val="20"/>
          <w:highlight w:val="none"/>
          <w:u w:val="single"/>
        </w:rPr>
        <w:t>____</w:t>
      </w:r>
      <w:r>
        <w:rPr>
          <w:rFonts w:ascii="宋体" w:hAnsi="宋体"/>
          <w:color w:val="auto"/>
          <w:sz w:val="24"/>
          <w:szCs w:val="20"/>
          <w:highlight w:val="none"/>
        </w:rPr>
        <w:t xml:space="preserve">日  </w:t>
      </w:r>
    </w:p>
    <w:p w14:paraId="2A767D97">
      <w:pPr>
        <w:tabs>
          <w:tab w:val="left" w:pos="5580"/>
        </w:tabs>
        <w:spacing w:line="360" w:lineRule="auto"/>
        <w:rPr>
          <w:rFonts w:hint="eastAsia" w:ascii="宋体" w:hAnsi="宋体"/>
          <w:color w:val="auto"/>
          <w:sz w:val="24"/>
          <w:highlight w:val="none"/>
        </w:rPr>
      </w:pPr>
    </w:p>
    <w:p w14:paraId="4A7F8485">
      <w:pPr>
        <w:widowControl/>
        <w:jc w:val="left"/>
        <w:rPr>
          <w:rFonts w:hint="eastAsia" w:ascii="宋体" w:hAnsi="宋体"/>
          <w:color w:val="auto"/>
          <w:sz w:val="24"/>
          <w:highlight w:val="none"/>
        </w:rPr>
      </w:pPr>
      <w:r>
        <w:rPr>
          <w:rFonts w:ascii="宋体" w:hAnsi="宋体"/>
          <w:color w:val="auto"/>
          <w:sz w:val="24"/>
          <w:highlight w:val="none"/>
        </w:rPr>
        <w:br w:type="page"/>
      </w:r>
    </w:p>
    <w:p w14:paraId="674703E9">
      <w:pPr>
        <w:tabs>
          <w:tab w:val="left" w:pos="360"/>
        </w:tabs>
        <w:snapToGrid w:val="0"/>
        <w:spacing w:line="360" w:lineRule="auto"/>
        <w:outlineLvl w:val="1"/>
        <w:rPr>
          <w:rFonts w:hint="eastAsia" w:ascii="宋体" w:hAnsi="宋体"/>
          <w:color w:val="auto"/>
          <w:sz w:val="24"/>
          <w:highlight w:val="none"/>
        </w:rPr>
      </w:pPr>
      <w:r>
        <w:rPr>
          <w:rFonts w:ascii="宋体" w:hAnsi="宋体"/>
          <w:color w:val="auto"/>
          <w:sz w:val="24"/>
          <w:highlight w:val="none"/>
        </w:rPr>
        <w:t>6 授权委托书</w:t>
      </w:r>
    </w:p>
    <w:p w14:paraId="1498E363">
      <w:pPr>
        <w:autoSpaceDE w:val="0"/>
        <w:autoSpaceDN w:val="0"/>
        <w:adjustRightInd w:val="0"/>
        <w:spacing w:line="360" w:lineRule="auto"/>
        <w:jc w:val="center"/>
        <w:rPr>
          <w:rFonts w:hint="eastAsia" w:ascii="宋体" w:hAnsi="宋体"/>
          <w:b/>
          <w:color w:val="auto"/>
          <w:sz w:val="36"/>
          <w:szCs w:val="36"/>
          <w:highlight w:val="none"/>
        </w:rPr>
      </w:pPr>
      <w:r>
        <w:rPr>
          <w:rFonts w:hint="eastAsia" w:ascii="宋体" w:hAnsi="宋体"/>
          <w:b/>
          <w:color w:val="auto"/>
          <w:sz w:val="36"/>
          <w:szCs w:val="36"/>
          <w:highlight w:val="none"/>
        </w:rPr>
        <w:t>授权委托书</w:t>
      </w:r>
    </w:p>
    <w:p w14:paraId="43F14160">
      <w:pPr>
        <w:spacing w:line="360" w:lineRule="auto"/>
        <w:ind w:firstLine="420"/>
        <w:rPr>
          <w:rFonts w:hint="eastAsia" w:ascii="宋体" w:hAnsi="宋体"/>
          <w:color w:val="auto"/>
          <w:sz w:val="24"/>
          <w:szCs w:val="20"/>
          <w:highlight w:val="none"/>
        </w:rPr>
      </w:pPr>
      <w:r>
        <w:rPr>
          <w:rFonts w:ascii="宋体" w:hAnsi="宋体"/>
          <w:color w:val="auto"/>
          <w:sz w:val="24"/>
          <w:szCs w:val="20"/>
          <w:highlight w:val="none"/>
        </w:rPr>
        <w:t>本人</w:t>
      </w:r>
      <w:r>
        <w:rPr>
          <w:rFonts w:ascii="宋体" w:hAnsi="宋体"/>
          <w:color w:val="auto"/>
          <w:sz w:val="24"/>
          <w:szCs w:val="20"/>
          <w:highlight w:val="none"/>
          <w:u w:val="single"/>
        </w:rPr>
        <w:t>____</w:t>
      </w:r>
      <w:r>
        <w:rPr>
          <w:rFonts w:ascii="宋体" w:hAnsi="宋体"/>
          <w:color w:val="auto"/>
          <w:sz w:val="24"/>
          <w:szCs w:val="20"/>
          <w:highlight w:val="none"/>
        </w:rPr>
        <w:t>（姓名）系</w:t>
      </w:r>
      <w:r>
        <w:rPr>
          <w:rFonts w:ascii="宋体" w:hAnsi="宋体"/>
          <w:color w:val="auto"/>
          <w:sz w:val="24"/>
          <w:szCs w:val="20"/>
          <w:highlight w:val="none"/>
          <w:u w:val="single"/>
        </w:rPr>
        <w:t>____</w:t>
      </w:r>
      <w:r>
        <w:rPr>
          <w:rFonts w:ascii="宋体" w:hAnsi="宋体"/>
          <w:color w:val="auto"/>
          <w:sz w:val="24"/>
          <w:szCs w:val="20"/>
          <w:highlight w:val="none"/>
        </w:rPr>
        <w:t>（供应商名称）的法定代表人（单位负责人），现委托</w:t>
      </w:r>
      <w:r>
        <w:rPr>
          <w:rFonts w:ascii="宋体" w:hAnsi="宋体"/>
          <w:color w:val="auto"/>
          <w:sz w:val="24"/>
          <w:szCs w:val="20"/>
          <w:highlight w:val="none"/>
          <w:u w:val="single"/>
        </w:rPr>
        <w:t>____</w:t>
      </w:r>
      <w:r>
        <w:rPr>
          <w:rFonts w:ascii="宋体" w:hAnsi="宋体"/>
          <w:color w:val="auto"/>
          <w:sz w:val="24"/>
          <w:szCs w:val="20"/>
          <w:highlight w:val="none"/>
        </w:rPr>
        <w:t>（姓名）为我方代理人。代理人根据授权，以我方名义签署、澄清确认、递交、撤回、修改</w:t>
      </w:r>
      <w:r>
        <w:rPr>
          <w:rFonts w:ascii="宋体" w:hAnsi="宋体"/>
          <w:color w:val="auto"/>
          <w:sz w:val="24"/>
          <w:szCs w:val="20"/>
          <w:highlight w:val="none"/>
          <w:u w:val="single"/>
        </w:rPr>
        <w:t>____</w:t>
      </w:r>
      <w:r>
        <w:rPr>
          <w:rFonts w:ascii="宋体" w:hAnsi="宋体"/>
          <w:color w:val="auto"/>
          <w:sz w:val="24"/>
          <w:szCs w:val="20"/>
          <w:highlight w:val="none"/>
        </w:rPr>
        <w:t>（项目名称）响应文件和处理有关事宜，其法律后果由我方承担。</w:t>
      </w:r>
    </w:p>
    <w:p w14:paraId="2C9D2D5C">
      <w:pPr>
        <w:spacing w:line="360" w:lineRule="auto"/>
        <w:ind w:firstLine="420"/>
        <w:rPr>
          <w:rFonts w:hint="eastAsia" w:ascii="宋体" w:hAnsi="宋体"/>
          <w:color w:val="auto"/>
          <w:sz w:val="24"/>
          <w:szCs w:val="20"/>
          <w:highlight w:val="none"/>
        </w:rPr>
      </w:pPr>
      <w:r>
        <w:rPr>
          <w:rFonts w:ascii="宋体" w:hAnsi="宋体"/>
          <w:color w:val="auto"/>
          <w:sz w:val="24"/>
          <w:szCs w:val="20"/>
          <w:highlight w:val="none"/>
        </w:rPr>
        <w:t>委托期限：自本授权委托书签署之日起至响应有效期届满之日止。</w:t>
      </w:r>
    </w:p>
    <w:p w14:paraId="7B35F7BA">
      <w:pPr>
        <w:spacing w:line="360" w:lineRule="auto"/>
        <w:ind w:firstLine="420"/>
        <w:rPr>
          <w:rFonts w:hint="eastAsia" w:ascii="宋体" w:hAnsi="宋体"/>
          <w:color w:val="auto"/>
          <w:sz w:val="24"/>
          <w:highlight w:val="none"/>
          <w:lang w:val="zh-CN"/>
        </w:rPr>
      </w:pPr>
      <w:r>
        <w:rPr>
          <w:rFonts w:ascii="宋体" w:hAnsi="宋体"/>
          <w:color w:val="auto"/>
          <w:sz w:val="24"/>
          <w:szCs w:val="20"/>
          <w:highlight w:val="none"/>
        </w:rPr>
        <w:t>代理人无转委托权。</w:t>
      </w:r>
      <w:r>
        <w:rPr>
          <w:rFonts w:ascii="宋体" w:hAnsi="宋体"/>
          <w:color w:val="auto"/>
          <w:sz w:val="24"/>
          <w:szCs w:val="20"/>
          <w:highlight w:val="none"/>
        </w:rPr>
        <w:cr/>
      </w:r>
      <w:r>
        <w:rPr>
          <w:rFonts w:ascii="宋体" w:hAnsi="宋体"/>
          <w:color w:val="auto"/>
          <w:sz w:val="24"/>
          <w:highlight w:val="none"/>
        </w:rPr>
        <w:t>供应商名称（加盖公章）</w:t>
      </w:r>
      <w:r>
        <w:rPr>
          <w:rFonts w:ascii="宋体" w:hAnsi="宋体"/>
          <w:color w:val="auto"/>
          <w:sz w:val="24"/>
          <w:highlight w:val="none"/>
          <w:lang w:val="zh-CN"/>
        </w:rPr>
        <w:t>：</w:t>
      </w:r>
      <w:r>
        <w:rPr>
          <w:rFonts w:ascii="宋体" w:hAnsi="宋体"/>
          <w:color w:val="auto"/>
          <w:sz w:val="24"/>
          <w:szCs w:val="20"/>
          <w:highlight w:val="none"/>
          <w:u w:val="single"/>
        </w:rPr>
        <w:t>______________</w:t>
      </w:r>
    </w:p>
    <w:p w14:paraId="767CA3DC">
      <w:pPr>
        <w:spacing w:line="360" w:lineRule="auto"/>
        <w:rPr>
          <w:rFonts w:hint="eastAsia" w:ascii="宋体" w:hAnsi="宋体"/>
          <w:color w:val="auto"/>
          <w:sz w:val="24"/>
          <w:szCs w:val="20"/>
          <w:highlight w:val="none"/>
        </w:rPr>
      </w:pPr>
      <w:r>
        <w:rPr>
          <w:rFonts w:ascii="宋体" w:hAnsi="宋体"/>
          <w:color w:val="auto"/>
          <w:sz w:val="24"/>
          <w:szCs w:val="20"/>
          <w:highlight w:val="none"/>
        </w:rPr>
        <w:t>法定代表人（单位负责人）（签字</w:t>
      </w:r>
      <w:r>
        <w:rPr>
          <w:rFonts w:hint="eastAsia" w:ascii="宋体" w:hAnsi="宋体"/>
          <w:color w:val="auto"/>
          <w:sz w:val="24"/>
          <w:szCs w:val="20"/>
          <w:highlight w:val="none"/>
        </w:rPr>
        <w:t>或盖章</w:t>
      </w:r>
      <w:r>
        <w:rPr>
          <w:rFonts w:ascii="宋体" w:hAnsi="宋体"/>
          <w:color w:val="auto"/>
          <w:sz w:val="24"/>
          <w:szCs w:val="20"/>
          <w:highlight w:val="none"/>
        </w:rPr>
        <w:t>）：</w:t>
      </w:r>
      <w:r>
        <w:rPr>
          <w:rFonts w:ascii="宋体" w:hAnsi="宋体"/>
          <w:color w:val="auto"/>
          <w:sz w:val="24"/>
          <w:szCs w:val="20"/>
          <w:highlight w:val="none"/>
          <w:u w:val="single"/>
        </w:rPr>
        <w:t>______________</w:t>
      </w:r>
    </w:p>
    <w:p w14:paraId="06ED2D28">
      <w:pPr>
        <w:autoSpaceDE w:val="0"/>
        <w:autoSpaceDN w:val="0"/>
        <w:adjustRightInd w:val="0"/>
        <w:snapToGrid w:val="0"/>
        <w:spacing w:line="360" w:lineRule="auto"/>
        <w:rPr>
          <w:rFonts w:hint="eastAsia" w:ascii="宋体" w:hAnsi="宋体"/>
          <w:color w:val="auto"/>
          <w:sz w:val="24"/>
          <w:highlight w:val="none"/>
          <w:lang w:val="zh-CN"/>
        </w:rPr>
      </w:pPr>
      <w:r>
        <w:rPr>
          <w:rFonts w:ascii="宋体" w:hAnsi="宋体"/>
          <w:color w:val="auto"/>
          <w:sz w:val="24"/>
          <w:highlight w:val="none"/>
        </w:rPr>
        <w:t>委托代理人（签字）：</w:t>
      </w:r>
      <w:r>
        <w:rPr>
          <w:rFonts w:ascii="宋体" w:hAnsi="宋体"/>
          <w:color w:val="auto"/>
          <w:sz w:val="24"/>
          <w:szCs w:val="20"/>
          <w:highlight w:val="none"/>
          <w:u w:val="single"/>
        </w:rPr>
        <w:t>______________</w:t>
      </w:r>
      <w:r>
        <w:rPr>
          <w:rFonts w:ascii="宋体" w:hAnsi="宋体"/>
          <w:color w:val="auto"/>
          <w:sz w:val="24"/>
          <w:highlight w:val="none"/>
          <w:lang w:val="zh-CN"/>
        </w:rPr>
        <w:t xml:space="preserve">        </w:t>
      </w:r>
    </w:p>
    <w:p w14:paraId="7410C3F1">
      <w:pPr>
        <w:autoSpaceDE w:val="0"/>
        <w:autoSpaceDN w:val="0"/>
        <w:adjustRightInd w:val="0"/>
        <w:snapToGrid w:val="0"/>
        <w:spacing w:line="360" w:lineRule="auto"/>
        <w:rPr>
          <w:rFonts w:hint="eastAsia" w:ascii="宋体" w:hAnsi="宋体"/>
          <w:color w:val="auto"/>
          <w:sz w:val="24"/>
          <w:highlight w:val="none"/>
          <w:lang w:val="zh-CN"/>
        </w:rPr>
      </w:pPr>
      <w:r>
        <w:rPr>
          <w:rFonts w:ascii="宋体" w:hAnsi="宋体"/>
          <w:color w:val="auto"/>
          <w:sz w:val="24"/>
          <w:highlight w:val="none"/>
        </w:rPr>
        <w:t>日期：</w:t>
      </w:r>
      <w:r>
        <w:rPr>
          <w:rFonts w:ascii="宋体" w:hAnsi="宋体"/>
          <w:color w:val="auto"/>
          <w:sz w:val="24"/>
          <w:szCs w:val="20"/>
          <w:highlight w:val="none"/>
          <w:u w:val="single"/>
        </w:rPr>
        <w:t>____</w:t>
      </w:r>
      <w:r>
        <w:rPr>
          <w:rFonts w:ascii="宋体" w:hAnsi="宋体"/>
          <w:color w:val="auto"/>
          <w:sz w:val="24"/>
          <w:highlight w:val="none"/>
        </w:rPr>
        <w:t>年</w:t>
      </w:r>
      <w:r>
        <w:rPr>
          <w:rFonts w:ascii="宋体" w:hAnsi="宋体"/>
          <w:color w:val="auto"/>
          <w:sz w:val="24"/>
          <w:szCs w:val="20"/>
          <w:highlight w:val="none"/>
          <w:u w:val="single"/>
        </w:rPr>
        <w:t>____</w:t>
      </w:r>
      <w:r>
        <w:rPr>
          <w:rFonts w:ascii="宋体" w:hAnsi="宋体"/>
          <w:color w:val="auto"/>
          <w:sz w:val="24"/>
          <w:highlight w:val="none"/>
        </w:rPr>
        <w:t>月</w:t>
      </w:r>
      <w:r>
        <w:rPr>
          <w:rFonts w:ascii="宋体" w:hAnsi="宋体"/>
          <w:color w:val="auto"/>
          <w:sz w:val="24"/>
          <w:szCs w:val="20"/>
          <w:highlight w:val="none"/>
          <w:u w:val="single"/>
        </w:rPr>
        <w:t>____</w:t>
      </w:r>
      <w:r>
        <w:rPr>
          <w:rFonts w:ascii="宋体" w:hAnsi="宋体"/>
          <w:color w:val="auto"/>
          <w:sz w:val="24"/>
          <w:highlight w:val="none"/>
        </w:rPr>
        <w:t>日</w:t>
      </w:r>
    </w:p>
    <w:p w14:paraId="63730E69">
      <w:pPr>
        <w:tabs>
          <w:tab w:val="left" w:pos="5580"/>
        </w:tabs>
        <w:spacing w:line="360" w:lineRule="auto"/>
        <w:jc w:val="left"/>
        <w:rPr>
          <w:rFonts w:hint="eastAsia" w:ascii="宋体" w:hAnsi="宋体"/>
          <w:color w:val="auto"/>
          <w:sz w:val="24"/>
          <w:szCs w:val="20"/>
          <w:highlight w:val="none"/>
        </w:rPr>
      </w:pPr>
      <w:r>
        <w:rPr>
          <w:rFonts w:ascii="宋体" w:hAnsi="宋体"/>
          <w:color w:val="auto"/>
          <w:sz w:val="24"/>
          <w:szCs w:val="20"/>
          <w:highlight w:val="none"/>
        </w:rPr>
        <w:t>法定代表人（单位负责人）有效期内的身份证</w:t>
      </w:r>
      <w:r>
        <w:rPr>
          <w:rFonts w:ascii="宋体" w:hAnsi="宋体"/>
          <w:b/>
          <w:color w:val="auto"/>
          <w:sz w:val="24"/>
          <w:szCs w:val="20"/>
          <w:highlight w:val="none"/>
        </w:rPr>
        <w:t>正反面</w:t>
      </w:r>
      <w:r>
        <w:rPr>
          <w:rFonts w:ascii="宋体" w:hAnsi="宋体"/>
          <w:color w:val="auto"/>
          <w:sz w:val="24"/>
          <w:szCs w:val="20"/>
          <w:highlight w:val="none"/>
        </w:rPr>
        <w:t>电子件：</w:t>
      </w:r>
    </w:p>
    <w:tbl>
      <w:tblPr>
        <w:tblStyle w:val="1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30BB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370A0AEF">
            <w:pPr>
              <w:tabs>
                <w:tab w:val="left" w:pos="5580"/>
              </w:tabs>
              <w:spacing w:line="360" w:lineRule="auto"/>
              <w:jc w:val="left"/>
              <w:rPr>
                <w:rFonts w:hint="eastAsia" w:ascii="宋体" w:hAnsi="宋体"/>
                <w:color w:val="auto"/>
                <w:sz w:val="24"/>
                <w:szCs w:val="20"/>
                <w:highlight w:val="none"/>
              </w:rPr>
            </w:pPr>
          </w:p>
          <w:p w14:paraId="3E026955">
            <w:pPr>
              <w:tabs>
                <w:tab w:val="left" w:pos="5580"/>
              </w:tabs>
              <w:spacing w:line="360" w:lineRule="auto"/>
              <w:jc w:val="left"/>
              <w:rPr>
                <w:rFonts w:hint="eastAsia" w:ascii="宋体" w:hAnsi="宋体"/>
                <w:color w:val="auto"/>
                <w:sz w:val="24"/>
                <w:szCs w:val="20"/>
                <w:highlight w:val="none"/>
              </w:rPr>
            </w:pPr>
          </w:p>
          <w:p w14:paraId="2E58E8DD">
            <w:pPr>
              <w:tabs>
                <w:tab w:val="left" w:pos="5580"/>
              </w:tabs>
              <w:spacing w:line="360" w:lineRule="auto"/>
              <w:jc w:val="left"/>
              <w:rPr>
                <w:rFonts w:hint="eastAsia" w:ascii="宋体" w:hAnsi="宋体"/>
                <w:color w:val="auto"/>
                <w:sz w:val="24"/>
                <w:szCs w:val="20"/>
                <w:highlight w:val="none"/>
              </w:rPr>
            </w:pPr>
          </w:p>
        </w:tc>
        <w:tc>
          <w:tcPr>
            <w:tcW w:w="4536" w:type="dxa"/>
          </w:tcPr>
          <w:p w14:paraId="78C589E0">
            <w:pPr>
              <w:tabs>
                <w:tab w:val="left" w:pos="5580"/>
              </w:tabs>
              <w:spacing w:line="360" w:lineRule="auto"/>
              <w:jc w:val="left"/>
              <w:rPr>
                <w:rFonts w:hint="eastAsia" w:ascii="宋体" w:hAnsi="宋体"/>
                <w:color w:val="auto"/>
                <w:sz w:val="24"/>
                <w:szCs w:val="20"/>
                <w:highlight w:val="none"/>
              </w:rPr>
            </w:pPr>
          </w:p>
          <w:p w14:paraId="3F6EFF8A">
            <w:pPr>
              <w:tabs>
                <w:tab w:val="left" w:pos="5580"/>
              </w:tabs>
              <w:spacing w:line="360" w:lineRule="auto"/>
              <w:jc w:val="left"/>
              <w:rPr>
                <w:rFonts w:hint="eastAsia" w:ascii="宋体" w:hAnsi="宋体"/>
                <w:color w:val="auto"/>
                <w:sz w:val="24"/>
                <w:szCs w:val="20"/>
                <w:highlight w:val="none"/>
              </w:rPr>
            </w:pPr>
          </w:p>
          <w:p w14:paraId="7B5178E6">
            <w:pPr>
              <w:tabs>
                <w:tab w:val="left" w:pos="5580"/>
              </w:tabs>
              <w:spacing w:line="360" w:lineRule="auto"/>
              <w:jc w:val="left"/>
              <w:rPr>
                <w:rFonts w:hint="eastAsia" w:ascii="宋体" w:hAnsi="宋体"/>
                <w:color w:val="auto"/>
                <w:sz w:val="24"/>
                <w:szCs w:val="20"/>
                <w:highlight w:val="none"/>
              </w:rPr>
            </w:pPr>
          </w:p>
        </w:tc>
      </w:tr>
    </w:tbl>
    <w:p w14:paraId="735E3B8D">
      <w:pPr>
        <w:tabs>
          <w:tab w:val="left" w:pos="5580"/>
        </w:tabs>
        <w:spacing w:line="360" w:lineRule="auto"/>
        <w:jc w:val="left"/>
        <w:rPr>
          <w:rFonts w:hint="eastAsia" w:ascii="宋体" w:hAnsi="宋体"/>
          <w:color w:val="auto"/>
          <w:sz w:val="24"/>
          <w:szCs w:val="20"/>
          <w:highlight w:val="none"/>
        </w:rPr>
      </w:pPr>
      <w:r>
        <w:rPr>
          <w:rFonts w:ascii="宋体" w:hAnsi="宋体"/>
          <w:color w:val="auto"/>
          <w:sz w:val="24"/>
          <w:szCs w:val="20"/>
          <w:highlight w:val="none"/>
        </w:rPr>
        <w:t>委托代理人有效期内的身份证</w:t>
      </w:r>
      <w:r>
        <w:rPr>
          <w:rFonts w:ascii="宋体" w:hAnsi="宋体"/>
          <w:b/>
          <w:color w:val="auto"/>
          <w:sz w:val="24"/>
          <w:szCs w:val="20"/>
          <w:highlight w:val="none"/>
        </w:rPr>
        <w:t>正反面</w:t>
      </w:r>
      <w:r>
        <w:rPr>
          <w:rFonts w:ascii="宋体" w:hAnsi="宋体"/>
          <w:color w:val="auto"/>
          <w:sz w:val="24"/>
          <w:szCs w:val="20"/>
          <w:highlight w:val="none"/>
        </w:rPr>
        <w:t>电子件：</w:t>
      </w:r>
    </w:p>
    <w:tbl>
      <w:tblPr>
        <w:tblStyle w:val="1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8F17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23CB3244">
            <w:pPr>
              <w:tabs>
                <w:tab w:val="left" w:pos="5580"/>
              </w:tabs>
              <w:spacing w:line="360" w:lineRule="auto"/>
              <w:jc w:val="left"/>
              <w:rPr>
                <w:rFonts w:hint="eastAsia" w:ascii="宋体" w:hAnsi="宋体"/>
                <w:color w:val="auto"/>
                <w:sz w:val="24"/>
                <w:szCs w:val="20"/>
                <w:highlight w:val="none"/>
              </w:rPr>
            </w:pPr>
          </w:p>
          <w:p w14:paraId="2D2F109A">
            <w:pPr>
              <w:tabs>
                <w:tab w:val="left" w:pos="5580"/>
              </w:tabs>
              <w:spacing w:line="360" w:lineRule="auto"/>
              <w:jc w:val="left"/>
              <w:rPr>
                <w:rFonts w:hint="eastAsia" w:ascii="宋体" w:hAnsi="宋体"/>
                <w:color w:val="auto"/>
                <w:sz w:val="24"/>
                <w:szCs w:val="20"/>
                <w:highlight w:val="none"/>
              </w:rPr>
            </w:pPr>
          </w:p>
          <w:p w14:paraId="7C3B8673">
            <w:pPr>
              <w:tabs>
                <w:tab w:val="left" w:pos="5580"/>
              </w:tabs>
              <w:spacing w:line="360" w:lineRule="auto"/>
              <w:jc w:val="left"/>
              <w:rPr>
                <w:rFonts w:hint="eastAsia" w:ascii="宋体" w:hAnsi="宋体"/>
                <w:color w:val="auto"/>
                <w:sz w:val="24"/>
                <w:szCs w:val="20"/>
                <w:highlight w:val="none"/>
              </w:rPr>
            </w:pPr>
          </w:p>
        </w:tc>
        <w:tc>
          <w:tcPr>
            <w:tcW w:w="4536" w:type="dxa"/>
          </w:tcPr>
          <w:p w14:paraId="39D201D5">
            <w:pPr>
              <w:tabs>
                <w:tab w:val="left" w:pos="5580"/>
              </w:tabs>
              <w:spacing w:line="360" w:lineRule="auto"/>
              <w:jc w:val="left"/>
              <w:rPr>
                <w:rFonts w:hint="eastAsia" w:ascii="宋体" w:hAnsi="宋体"/>
                <w:color w:val="auto"/>
                <w:sz w:val="24"/>
                <w:szCs w:val="20"/>
                <w:highlight w:val="none"/>
              </w:rPr>
            </w:pPr>
          </w:p>
          <w:p w14:paraId="28B594B0">
            <w:pPr>
              <w:tabs>
                <w:tab w:val="left" w:pos="5580"/>
              </w:tabs>
              <w:spacing w:line="360" w:lineRule="auto"/>
              <w:jc w:val="left"/>
              <w:rPr>
                <w:rFonts w:hint="eastAsia" w:ascii="宋体" w:hAnsi="宋体"/>
                <w:color w:val="auto"/>
                <w:sz w:val="24"/>
                <w:szCs w:val="20"/>
                <w:highlight w:val="none"/>
              </w:rPr>
            </w:pPr>
          </w:p>
          <w:p w14:paraId="1977A13E">
            <w:pPr>
              <w:tabs>
                <w:tab w:val="left" w:pos="5580"/>
              </w:tabs>
              <w:spacing w:line="360" w:lineRule="auto"/>
              <w:jc w:val="left"/>
              <w:rPr>
                <w:rFonts w:hint="eastAsia" w:ascii="宋体" w:hAnsi="宋体"/>
                <w:color w:val="auto"/>
                <w:sz w:val="24"/>
                <w:szCs w:val="20"/>
                <w:highlight w:val="none"/>
              </w:rPr>
            </w:pPr>
          </w:p>
        </w:tc>
      </w:tr>
    </w:tbl>
    <w:p w14:paraId="293D930B">
      <w:pPr>
        <w:tabs>
          <w:tab w:val="left" w:pos="5580"/>
        </w:tabs>
        <w:spacing w:line="360" w:lineRule="auto"/>
        <w:jc w:val="left"/>
        <w:rPr>
          <w:rFonts w:hint="eastAsia" w:ascii="宋体" w:hAnsi="宋体"/>
          <w:color w:val="auto"/>
          <w:sz w:val="24"/>
          <w:szCs w:val="20"/>
          <w:highlight w:val="none"/>
        </w:rPr>
      </w:pPr>
      <w:r>
        <w:rPr>
          <w:rFonts w:ascii="宋体" w:hAnsi="宋体"/>
          <w:color w:val="auto"/>
          <w:sz w:val="24"/>
          <w:szCs w:val="20"/>
          <w:highlight w:val="none"/>
        </w:rPr>
        <w:t>说明：</w:t>
      </w:r>
    </w:p>
    <w:p w14:paraId="005A1368">
      <w:pPr>
        <w:tabs>
          <w:tab w:val="left" w:pos="5580"/>
        </w:tabs>
        <w:spacing w:line="360" w:lineRule="auto"/>
        <w:jc w:val="left"/>
        <w:rPr>
          <w:rFonts w:hint="eastAsia" w:ascii="宋体" w:hAnsi="宋体"/>
          <w:color w:val="auto"/>
          <w:sz w:val="24"/>
          <w:szCs w:val="20"/>
          <w:highlight w:val="none"/>
        </w:rPr>
      </w:pPr>
      <w:r>
        <w:rPr>
          <w:rFonts w:ascii="宋体" w:hAnsi="宋体"/>
          <w:color w:val="auto"/>
          <w:sz w:val="24"/>
          <w:szCs w:val="20"/>
          <w:highlight w:val="none"/>
        </w:rPr>
        <w:t>1.若供应商为事业单位或其他组织或分支机构（仅当磋商文件注明允许分支机构响应的），则法定代表人（单位负责人）处的签署人可为单位负责人。</w:t>
      </w:r>
    </w:p>
    <w:p w14:paraId="268E18FE">
      <w:pPr>
        <w:tabs>
          <w:tab w:val="left" w:pos="5580"/>
        </w:tabs>
        <w:spacing w:line="360" w:lineRule="auto"/>
        <w:jc w:val="left"/>
        <w:rPr>
          <w:rFonts w:hint="eastAsia" w:ascii="宋体" w:hAnsi="宋体"/>
          <w:color w:val="auto"/>
          <w:sz w:val="24"/>
          <w:szCs w:val="20"/>
          <w:highlight w:val="none"/>
        </w:rPr>
      </w:pPr>
      <w:r>
        <w:rPr>
          <w:rFonts w:ascii="宋体" w:hAnsi="宋体"/>
          <w:color w:val="auto"/>
          <w:sz w:val="24"/>
          <w:szCs w:val="20"/>
          <w:highlight w:val="none"/>
        </w:rPr>
        <w:t>2.若响应文件中签字之处均为法定代表人（单位负责人）本人签署，则可不提供本《授权委托书》，但须提供《法定代表人（单位负责人）身份证明》（实质性格式）。</w:t>
      </w:r>
    </w:p>
    <w:p w14:paraId="61BA2251">
      <w:pPr>
        <w:tabs>
          <w:tab w:val="left" w:pos="5580"/>
        </w:tabs>
        <w:spacing w:line="360" w:lineRule="auto"/>
        <w:rPr>
          <w:rFonts w:hint="eastAsia" w:ascii="宋体" w:hAnsi="宋体"/>
          <w:color w:val="auto"/>
          <w:sz w:val="24"/>
          <w:szCs w:val="20"/>
          <w:highlight w:val="none"/>
        </w:rPr>
      </w:pPr>
      <w:r>
        <w:rPr>
          <w:rFonts w:ascii="宋体" w:hAnsi="宋体"/>
          <w:color w:val="auto"/>
          <w:sz w:val="24"/>
          <w:szCs w:val="20"/>
          <w:highlight w:val="none"/>
        </w:rPr>
        <w:t>3.供应商为自然人的情形，可不提供本《授权委托书》。</w:t>
      </w:r>
    </w:p>
    <w:p w14:paraId="4C15CC05">
      <w:pPr>
        <w:widowControl/>
        <w:jc w:val="left"/>
        <w:rPr>
          <w:rFonts w:hint="eastAsia" w:ascii="宋体" w:hAnsi="宋体"/>
          <w:color w:val="auto"/>
          <w:sz w:val="24"/>
          <w:szCs w:val="20"/>
          <w:highlight w:val="none"/>
        </w:rPr>
      </w:pPr>
      <w:r>
        <w:rPr>
          <w:rFonts w:ascii="宋体" w:hAnsi="宋体"/>
          <w:color w:val="auto"/>
          <w:sz w:val="24"/>
          <w:szCs w:val="20"/>
          <w:highlight w:val="none"/>
        </w:rPr>
        <w:br w:type="page"/>
      </w:r>
    </w:p>
    <w:p w14:paraId="6F01B04F">
      <w:pPr>
        <w:autoSpaceDE w:val="0"/>
        <w:autoSpaceDN w:val="0"/>
        <w:adjustRightInd w:val="0"/>
        <w:spacing w:line="360" w:lineRule="auto"/>
        <w:jc w:val="center"/>
        <w:rPr>
          <w:rFonts w:hint="eastAsia" w:ascii="宋体" w:hAnsi="宋体"/>
          <w:b/>
          <w:color w:val="auto"/>
          <w:sz w:val="36"/>
          <w:szCs w:val="36"/>
          <w:highlight w:val="none"/>
        </w:rPr>
      </w:pPr>
      <w:r>
        <w:rPr>
          <w:rFonts w:hint="eastAsia" w:ascii="宋体" w:hAnsi="宋体"/>
          <w:b/>
          <w:color w:val="auto"/>
          <w:sz w:val="36"/>
          <w:szCs w:val="36"/>
          <w:highlight w:val="none"/>
        </w:rPr>
        <w:t>附：法定代表人（单位负责人）身份证明</w:t>
      </w:r>
    </w:p>
    <w:p w14:paraId="116C27B3">
      <w:pPr>
        <w:kinsoku w:val="0"/>
        <w:overflowPunct w:val="0"/>
        <w:spacing w:line="200" w:lineRule="exact"/>
        <w:rPr>
          <w:rFonts w:hint="eastAsia" w:ascii="宋体" w:hAnsi="宋体"/>
          <w:color w:val="auto"/>
          <w:sz w:val="20"/>
          <w:szCs w:val="20"/>
          <w:highlight w:val="none"/>
        </w:rPr>
      </w:pPr>
    </w:p>
    <w:p w14:paraId="39AA6C33">
      <w:pPr>
        <w:tabs>
          <w:tab w:val="left" w:pos="5580"/>
        </w:tabs>
        <w:spacing w:line="360" w:lineRule="auto"/>
        <w:rPr>
          <w:rFonts w:hint="eastAsia" w:ascii="宋体" w:hAnsi="宋体"/>
          <w:color w:val="auto"/>
          <w:sz w:val="24"/>
          <w:highlight w:val="none"/>
        </w:rPr>
      </w:pPr>
      <w:r>
        <w:rPr>
          <w:rFonts w:ascii="宋体" w:hAnsi="宋体"/>
          <w:color w:val="auto"/>
          <w:sz w:val="24"/>
          <w:highlight w:val="none"/>
        </w:rPr>
        <w:t>致：</w:t>
      </w:r>
      <w:r>
        <w:rPr>
          <w:rFonts w:ascii="宋体" w:hAnsi="宋体"/>
          <w:color w:val="auto"/>
          <w:sz w:val="24"/>
          <w:szCs w:val="20"/>
          <w:highlight w:val="none"/>
          <w:u w:val="single"/>
        </w:rPr>
        <w:t>____</w:t>
      </w:r>
      <w:r>
        <w:rPr>
          <w:rFonts w:ascii="宋体" w:hAnsi="宋体"/>
          <w:color w:val="auto"/>
          <w:sz w:val="24"/>
          <w:highlight w:val="none"/>
        </w:rPr>
        <w:t>（采购人）</w:t>
      </w:r>
    </w:p>
    <w:p w14:paraId="47B40ECD">
      <w:pPr>
        <w:pStyle w:val="8"/>
        <w:tabs>
          <w:tab w:val="left" w:pos="2412"/>
          <w:tab w:val="left" w:pos="3883"/>
          <w:tab w:val="left" w:pos="5352"/>
          <w:tab w:val="left" w:pos="6821"/>
        </w:tabs>
        <w:kinsoku w:val="0"/>
        <w:overflowPunct w:val="0"/>
        <w:spacing w:line="335" w:lineRule="exact"/>
        <w:ind w:firstLine="480" w:firstLineChars="200"/>
        <w:rPr>
          <w:rFonts w:hint="eastAsia"/>
          <w:color w:val="auto"/>
          <w:highlight w:val="none"/>
        </w:rPr>
      </w:pPr>
      <w:r>
        <w:rPr>
          <w:color w:val="auto"/>
          <w:highlight w:val="none"/>
        </w:rPr>
        <w:t>兹证明，</w:t>
      </w:r>
    </w:p>
    <w:p w14:paraId="6117A74D">
      <w:pPr>
        <w:pStyle w:val="8"/>
        <w:tabs>
          <w:tab w:val="left" w:pos="1690"/>
          <w:tab w:val="left" w:pos="3400"/>
          <w:tab w:val="left" w:pos="5110"/>
          <w:tab w:val="left" w:pos="6821"/>
        </w:tabs>
        <w:kinsoku w:val="0"/>
        <w:overflowPunct w:val="0"/>
        <w:spacing w:line="335" w:lineRule="exact"/>
        <w:rPr>
          <w:rFonts w:hint="eastAsia"/>
          <w:color w:val="auto"/>
          <w:highlight w:val="none"/>
        </w:rPr>
      </w:pPr>
      <w:r>
        <w:rPr>
          <w:color w:val="auto"/>
          <w:highlight w:val="none"/>
        </w:rPr>
        <w:t>姓名：</w:t>
      </w:r>
      <w:r>
        <w:rPr>
          <w:color w:val="auto"/>
          <w:szCs w:val="20"/>
          <w:highlight w:val="none"/>
          <w:u w:val="single"/>
        </w:rPr>
        <w:t>____</w:t>
      </w:r>
      <w:r>
        <w:rPr>
          <w:color w:val="auto"/>
          <w:highlight w:val="none"/>
        </w:rPr>
        <w:t>性别：</w:t>
      </w:r>
      <w:r>
        <w:rPr>
          <w:color w:val="auto"/>
          <w:szCs w:val="20"/>
          <w:highlight w:val="none"/>
          <w:u w:val="single"/>
        </w:rPr>
        <w:t>____</w:t>
      </w:r>
      <w:r>
        <w:rPr>
          <w:color w:val="auto"/>
          <w:highlight w:val="none"/>
        </w:rPr>
        <w:t>年龄：</w:t>
      </w:r>
      <w:r>
        <w:rPr>
          <w:color w:val="auto"/>
          <w:szCs w:val="20"/>
          <w:highlight w:val="none"/>
          <w:u w:val="single"/>
        </w:rPr>
        <w:t>____</w:t>
      </w:r>
      <w:r>
        <w:rPr>
          <w:color w:val="auto"/>
          <w:highlight w:val="none"/>
        </w:rPr>
        <w:t>职务：</w:t>
      </w:r>
      <w:r>
        <w:rPr>
          <w:color w:val="auto"/>
          <w:szCs w:val="20"/>
          <w:highlight w:val="none"/>
          <w:u w:val="single"/>
        </w:rPr>
        <w:t>____</w:t>
      </w:r>
    </w:p>
    <w:p w14:paraId="1302A6A8">
      <w:pPr>
        <w:pStyle w:val="8"/>
        <w:tabs>
          <w:tab w:val="left" w:pos="2412"/>
          <w:tab w:val="left" w:pos="3883"/>
          <w:tab w:val="left" w:pos="5352"/>
          <w:tab w:val="left" w:pos="6821"/>
        </w:tabs>
        <w:kinsoku w:val="0"/>
        <w:overflowPunct w:val="0"/>
        <w:spacing w:line="335" w:lineRule="exact"/>
        <w:rPr>
          <w:rFonts w:hint="eastAsia"/>
          <w:color w:val="auto"/>
          <w:highlight w:val="none"/>
        </w:rPr>
      </w:pPr>
    </w:p>
    <w:p w14:paraId="60F077D9">
      <w:pPr>
        <w:pStyle w:val="8"/>
        <w:tabs>
          <w:tab w:val="left" w:pos="2250"/>
          <w:tab w:val="left" w:pos="2412"/>
          <w:tab w:val="left" w:pos="3883"/>
          <w:tab w:val="left" w:pos="5352"/>
          <w:tab w:val="left" w:pos="6821"/>
          <w:tab w:val="clear" w:pos="567"/>
        </w:tabs>
        <w:kinsoku w:val="0"/>
        <w:overflowPunct w:val="0"/>
        <w:spacing w:line="335" w:lineRule="exact"/>
        <w:rPr>
          <w:rFonts w:hint="eastAsia"/>
          <w:color w:val="auto"/>
          <w:highlight w:val="none"/>
        </w:rPr>
      </w:pPr>
      <w:r>
        <w:rPr>
          <w:color w:val="auto"/>
          <w:highlight w:val="none"/>
        </w:rPr>
        <w:t>系</w:t>
      </w:r>
      <w:r>
        <w:rPr>
          <w:color w:val="auto"/>
          <w:szCs w:val="20"/>
          <w:highlight w:val="none"/>
          <w:u w:val="single"/>
        </w:rPr>
        <w:t>__________</w:t>
      </w:r>
      <w:r>
        <w:rPr>
          <w:color w:val="auto"/>
          <w:highlight w:val="none"/>
        </w:rPr>
        <w:t>（供应商名称）的法定代表人（单位负责人）。</w:t>
      </w:r>
    </w:p>
    <w:p w14:paraId="1A7FFC2F">
      <w:pPr>
        <w:pStyle w:val="8"/>
        <w:tabs>
          <w:tab w:val="left" w:pos="2412"/>
          <w:tab w:val="left" w:pos="3883"/>
          <w:tab w:val="left" w:pos="5352"/>
          <w:tab w:val="left" w:pos="6821"/>
        </w:tabs>
        <w:kinsoku w:val="0"/>
        <w:overflowPunct w:val="0"/>
        <w:spacing w:line="335" w:lineRule="exact"/>
        <w:rPr>
          <w:rFonts w:hint="eastAsia"/>
          <w:color w:val="auto"/>
          <w:highlight w:val="none"/>
        </w:rPr>
      </w:pPr>
    </w:p>
    <w:p w14:paraId="14C93FB2">
      <w:pPr>
        <w:pStyle w:val="8"/>
        <w:kinsoku w:val="0"/>
        <w:overflowPunct w:val="0"/>
        <w:spacing w:line="583" w:lineRule="auto"/>
        <w:ind w:right="-46"/>
        <w:rPr>
          <w:rFonts w:hint="eastAsia"/>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责人</w:t>
      </w:r>
      <w:r>
        <w:rPr>
          <w:color w:val="auto"/>
          <w:spacing w:val="-3"/>
          <w:highlight w:val="none"/>
        </w:rPr>
        <w:t>）有效期内的身份证正反面电子件。</w:t>
      </w:r>
    </w:p>
    <w:tbl>
      <w:tblPr>
        <w:tblStyle w:val="16"/>
        <w:tblW w:w="91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82"/>
        <w:gridCol w:w="4611"/>
      </w:tblGrid>
      <w:tr w14:paraId="77BE7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3" w:hRule="atLeast"/>
        </w:trPr>
        <w:tc>
          <w:tcPr>
            <w:tcW w:w="4582" w:type="dxa"/>
          </w:tcPr>
          <w:p w14:paraId="55654CFB">
            <w:pPr>
              <w:tabs>
                <w:tab w:val="left" w:pos="5580"/>
              </w:tabs>
              <w:spacing w:line="360" w:lineRule="auto"/>
              <w:jc w:val="left"/>
              <w:rPr>
                <w:rFonts w:hint="eastAsia" w:ascii="宋体" w:hAnsi="宋体"/>
                <w:color w:val="auto"/>
                <w:sz w:val="24"/>
                <w:szCs w:val="20"/>
                <w:highlight w:val="none"/>
              </w:rPr>
            </w:pPr>
          </w:p>
          <w:p w14:paraId="026E66D8">
            <w:pPr>
              <w:tabs>
                <w:tab w:val="left" w:pos="5580"/>
              </w:tabs>
              <w:spacing w:line="360" w:lineRule="auto"/>
              <w:jc w:val="left"/>
              <w:rPr>
                <w:rFonts w:hint="eastAsia" w:ascii="宋体" w:hAnsi="宋体"/>
                <w:color w:val="auto"/>
                <w:sz w:val="24"/>
                <w:szCs w:val="20"/>
                <w:highlight w:val="none"/>
              </w:rPr>
            </w:pPr>
          </w:p>
          <w:p w14:paraId="79CEC39C">
            <w:pPr>
              <w:tabs>
                <w:tab w:val="left" w:pos="5580"/>
              </w:tabs>
              <w:spacing w:line="360" w:lineRule="auto"/>
              <w:jc w:val="left"/>
              <w:rPr>
                <w:rFonts w:hint="eastAsia" w:ascii="宋体" w:hAnsi="宋体"/>
                <w:color w:val="auto"/>
                <w:sz w:val="24"/>
                <w:szCs w:val="20"/>
                <w:highlight w:val="none"/>
              </w:rPr>
            </w:pPr>
          </w:p>
        </w:tc>
        <w:tc>
          <w:tcPr>
            <w:tcW w:w="4611" w:type="dxa"/>
          </w:tcPr>
          <w:p w14:paraId="33F886EB">
            <w:pPr>
              <w:tabs>
                <w:tab w:val="left" w:pos="5580"/>
              </w:tabs>
              <w:spacing w:line="360" w:lineRule="auto"/>
              <w:jc w:val="left"/>
              <w:rPr>
                <w:rFonts w:hint="eastAsia" w:ascii="宋体" w:hAnsi="宋体"/>
                <w:color w:val="auto"/>
                <w:sz w:val="24"/>
                <w:szCs w:val="20"/>
                <w:highlight w:val="none"/>
              </w:rPr>
            </w:pPr>
          </w:p>
          <w:p w14:paraId="5C3AF0DC">
            <w:pPr>
              <w:tabs>
                <w:tab w:val="left" w:pos="5580"/>
              </w:tabs>
              <w:spacing w:line="360" w:lineRule="auto"/>
              <w:jc w:val="left"/>
              <w:rPr>
                <w:rFonts w:hint="eastAsia" w:ascii="宋体" w:hAnsi="宋体"/>
                <w:color w:val="auto"/>
                <w:sz w:val="24"/>
                <w:szCs w:val="20"/>
                <w:highlight w:val="none"/>
              </w:rPr>
            </w:pPr>
          </w:p>
          <w:p w14:paraId="69888527">
            <w:pPr>
              <w:tabs>
                <w:tab w:val="left" w:pos="5580"/>
              </w:tabs>
              <w:spacing w:line="360" w:lineRule="auto"/>
              <w:jc w:val="left"/>
              <w:rPr>
                <w:rFonts w:hint="eastAsia" w:ascii="宋体" w:hAnsi="宋体"/>
                <w:color w:val="auto"/>
                <w:sz w:val="24"/>
                <w:szCs w:val="20"/>
                <w:highlight w:val="none"/>
              </w:rPr>
            </w:pPr>
          </w:p>
        </w:tc>
      </w:tr>
    </w:tbl>
    <w:p w14:paraId="00F00F92">
      <w:pPr>
        <w:pStyle w:val="8"/>
        <w:kinsoku w:val="0"/>
        <w:overflowPunct w:val="0"/>
        <w:spacing w:line="583" w:lineRule="auto"/>
        <w:ind w:right="4305"/>
        <w:rPr>
          <w:rFonts w:hint="eastAsia"/>
          <w:color w:val="auto"/>
          <w:spacing w:val="-3"/>
          <w:highlight w:val="none"/>
        </w:rPr>
      </w:pPr>
    </w:p>
    <w:p w14:paraId="0E3C607F">
      <w:pPr>
        <w:autoSpaceDE w:val="0"/>
        <w:autoSpaceDN w:val="0"/>
        <w:adjustRightInd w:val="0"/>
        <w:snapToGrid w:val="0"/>
        <w:spacing w:line="360" w:lineRule="auto"/>
        <w:rPr>
          <w:rFonts w:hint="eastAsia" w:ascii="宋体" w:hAnsi="宋体"/>
          <w:color w:val="auto"/>
          <w:sz w:val="24"/>
          <w:highlight w:val="none"/>
          <w:lang w:val="zh-CN"/>
        </w:rPr>
      </w:pPr>
      <w:r>
        <w:rPr>
          <w:rFonts w:ascii="宋体" w:hAnsi="宋体"/>
          <w:color w:val="auto"/>
          <w:sz w:val="24"/>
          <w:highlight w:val="none"/>
        </w:rPr>
        <w:t>供应商名称（加盖公章）</w:t>
      </w:r>
      <w:r>
        <w:rPr>
          <w:rFonts w:ascii="宋体" w:hAnsi="宋体"/>
          <w:color w:val="auto"/>
          <w:sz w:val="24"/>
          <w:highlight w:val="none"/>
          <w:lang w:val="zh-CN"/>
        </w:rPr>
        <w:t>：</w:t>
      </w:r>
      <w:r>
        <w:rPr>
          <w:rFonts w:ascii="宋体" w:hAnsi="宋体"/>
          <w:color w:val="auto"/>
          <w:sz w:val="24"/>
          <w:highlight w:val="none"/>
          <w:u w:val="single"/>
        </w:rPr>
        <w:t>______</w:t>
      </w:r>
    </w:p>
    <w:p w14:paraId="38AE1A41">
      <w:pPr>
        <w:autoSpaceDE w:val="0"/>
        <w:autoSpaceDN w:val="0"/>
        <w:adjustRightInd w:val="0"/>
        <w:snapToGrid w:val="0"/>
        <w:spacing w:line="360" w:lineRule="auto"/>
        <w:rPr>
          <w:rFonts w:hint="eastAsia" w:ascii="宋体" w:hAnsi="宋体"/>
          <w:color w:val="auto"/>
          <w:sz w:val="24"/>
          <w:highlight w:val="none"/>
          <w:lang w:val="zh-CN"/>
        </w:rPr>
      </w:pPr>
      <w:r>
        <w:rPr>
          <w:rFonts w:ascii="宋体" w:hAnsi="宋体"/>
          <w:color w:val="auto"/>
          <w:spacing w:val="-3"/>
          <w:sz w:val="24"/>
          <w:highlight w:val="none"/>
        </w:rPr>
        <w:t>法定代表人（</w:t>
      </w:r>
      <w:r>
        <w:rPr>
          <w:rFonts w:ascii="宋体" w:hAnsi="宋体"/>
          <w:color w:val="auto"/>
          <w:sz w:val="24"/>
          <w:highlight w:val="none"/>
        </w:rPr>
        <w:t>单位负责人</w:t>
      </w:r>
      <w:r>
        <w:rPr>
          <w:rFonts w:ascii="宋体" w:hAnsi="宋体"/>
          <w:color w:val="auto"/>
          <w:spacing w:val="-3"/>
          <w:sz w:val="24"/>
          <w:highlight w:val="none"/>
        </w:rPr>
        <w:t>）（</w:t>
      </w:r>
      <w:r>
        <w:rPr>
          <w:rFonts w:ascii="宋体" w:hAnsi="宋体"/>
          <w:color w:val="auto"/>
          <w:sz w:val="24"/>
          <w:szCs w:val="20"/>
          <w:highlight w:val="none"/>
        </w:rPr>
        <w:t>签字</w:t>
      </w:r>
      <w:r>
        <w:rPr>
          <w:rFonts w:hint="eastAsia" w:ascii="宋体" w:hAnsi="宋体"/>
          <w:color w:val="auto"/>
          <w:sz w:val="24"/>
          <w:szCs w:val="20"/>
          <w:highlight w:val="none"/>
        </w:rPr>
        <w:t>或盖章</w:t>
      </w:r>
      <w:r>
        <w:rPr>
          <w:rFonts w:ascii="宋体" w:hAnsi="宋体"/>
          <w:color w:val="auto"/>
          <w:spacing w:val="-3"/>
          <w:sz w:val="24"/>
          <w:highlight w:val="none"/>
        </w:rPr>
        <w:t>）：</w:t>
      </w:r>
      <w:r>
        <w:rPr>
          <w:rFonts w:ascii="宋体" w:hAnsi="宋体"/>
          <w:color w:val="auto"/>
          <w:sz w:val="24"/>
          <w:highlight w:val="none"/>
          <w:u w:val="single"/>
        </w:rPr>
        <w:t>______</w:t>
      </w:r>
    </w:p>
    <w:p w14:paraId="0BC3E2B0">
      <w:pPr>
        <w:autoSpaceDE w:val="0"/>
        <w:autoSpaceDN w:val="0"/>
        <w:adjustRightInd w:val="0"/>
        <w:snapToGrid w:val="0"/>
        <w:spacing w:line="360" w:lineRule="auto"/>
        <w:rPr>
          <w:rFonts w:hint="eastAsia" w:ascii="宋体" w:hAnsi="宋体"/>
          <w:color w:val="auto"/>
          <w:sz w:val="24"/>
          <w:highlight w:val="none"/>
          <w:lang w:val="zh-CN"/>
        </w:rPr>
      </w:pPr>
      <w:r>
        <w:rPr>
          <w:rFonts w:ascii="宋体" w:hAnsi="宋体"/>
          <w:color w:val="auto"/>
          <w:sz w:val="24"/>
          <w:highlight w:val="none"/>
        </w:rPr>
        <w:t>日期：</w:t>
      </w:r>
      <w:r>
        <w:rPr>
          <w:rFonts w:ascii="宋体" w:hAnsi="宋体"/>
          <w:color w:val="auto"/>
          <w:sz w:val="24"/>
          <w:szCs w:val="20"/>
          <w:highlight w:val="none"/>
          <w:u w:val="single"/>
        </w:rPr>
        <w:t>____</w:t>
      </w:r>
      <w:r>
        <w:rPr>
          <w:rFonts w:ascii="宋体" w:hAnsi="宋体"/>
          <w:color w:val="auto"/>
          <w:sz w:val="24"/>
          <w:szCs w:val="20"/>
          <w:highlight w:val="none"/>
        </w:rPr>
        <w:t>年</w:t>
      </w:r>
      <w:r>
        <w:rPr>
          <w:rFonts w:ascii="宋体" w:hAnsi="宋体"/>
          <w:color w:val="auto"/>
          <w:sz w:val="24"/>
          <w:szCs w:val="20"/>
          <w:highlight w:val="none"/>
          <w:u w:val="single"/>
        </w:rPr>
        <w:t>____</w:t>
      </w:r>
      <w:r>
        <w:rPr>
          <w:rFonts w:ascii="宋体" w:hAnsi="宋体"/>
          <w:color w:val="auto"/>
          <w:sz w:val="24"/>
          <w:szCs w:val="20"/>
          <w:highlight w:val="none"/>
        </w:rPr>
        <w:t>月</w:t>
      </w:r>
      <w:r>
        <w:rPr>
          <w:rFonts w:ascii="宋体" w:hAnsi="宋体"/>
          <w:color w:val="auto"/>
          <w:sz w:val="24"/>
          <w:szCs w:val="20"/>
          <w:highlight w:val="none"/>
          <w:u w:val="single"/>
        </w:rPr>
        <w:t>____</w:t>
      </w:r>
      <w:r>
        <w:rPr>
          <w:rFonts w:ascii="宋体" w:hAnsi="宋体"/>
          <w:color w:val="auto"/>
          <w:sz w:val="24"/>
          <w:szCs w:val="20"/>
          <w:highlight w:val="none"/>
        </w:rPr>
        <w:t>日</w:t>
      </w:r>
    </w:p>
    <w:p w14:paraId="74B2EBB6">
      <w:pPr>
        <w:tabs>
          <w:tab w:val="left" w:pos="5580"/>
        </w:tabs>
        <w:spacing w:line="360" w:lineRule="auto"/>
        <w:rPr>
          <w:rFonts w:hint="eastAsia" w:ascii="宋体" w:hAnsi="宋体"/>
          <w:color w:val="auto"/>
          <w:sz w:val="24"/>
          <w:highlight w:val="none"/>
        </w:rPr>
      </w:pPr>
    </w:p>
    <w:p w14:paraId="167E122E">
      <w:pPr>
        <w:widowControl/>
        <w:jc w:val="left"/>
        <w:rPr>
          <w:rFonts w:hint="eastAsia" w:ascii="宋体" w:hAnsi="宋体"/>
          <w:color w:val="auto"/>
          <w:sz w:val="24"/>
          <w:highlight w:val="none"/>
        </w:rPr>
      </w:pPr>
      <w:r>
        <w:rPr>
          <w:rFonts w:ascii="宋体" w:hAnsi="宋体"/>
          <w:color w:val="auto"/>
          <w:sz w:val="24"/>
          <w:highlight w:val="none"/>
        </w:rPr>
        <w:br w:type="page"/>
      </w:r>
    </w:p>
    <w:p w14:paraId="2D59D8E2">
      <w:pPr>
        <w:tabs>
          <w:tab w:val="left" w:pos="360"/>
        </w:tabs>
        <w:snapToGrid w:val="0"/>
        <w:spacing w:line="360" w:lineRule="auto"/>
        <w:outlineLvl w:val="1"/>
        <w:rPr>
          <w:rFonts w:hint="eastAsia" w:ascii="宋体" w:hAnsi="宋体"/>
          <w:color w:val="auto"/>
          <w:sz w:val="24"/>
          <w:highlight w:val="none"/>
        </w:rPr>
      </w:pPr>
      <w:r>
        <w:rPr>
          <w:rFonts w:ascii="宋体" w:hAnsi="宋体"/>
          <w:color w:val="auto"/>
          <w:sz w:val="24"/>
          <w:highlight w:val="none"/>
        </w:rPr>
        <w:t>7 报价一览表</w:t>
      </w:r>
    </w:p>
    <w:p w14:paraId="36CB8CB2">
      <w:pPr>
        <w:spacing w:line="360" w:lineRule="auto"/>
        <w:jc w:val="center"/>
        <w:rPr>
          <w:rFonts w:hint="eastAsia" w:ascii="宋体" w:hAnsi="宋体"/>
          <w:b/>
          <w:color w:val="auto"/>
          <w:sz w:val="36"/>
          <w:szCs w:val="36"/>
          <w:highlight w:val="none"/>
        </w:rPr>
      </w:pPr>
      <w:bookmarkStart w:id="1123" w:name="_Toc305158826"/>
      <w:bookmarkStart w:id="1124" w:name="_Toc164608827"/>
      <w:bookmarkStart w:id="1125" w:name="_Toc226309802"/>
      <w:bookmarkStart w:id="1126" w:name="_Toc226337254"/>
      <w:bookmarkStart w:id="1127" w:name="_Toc226965831"/>
      <w:bookmarkStart w:id="1128" w:name="_Toc305158900"/>
      <w:bookmarkStart w:id="1129" w:name="_Toc164608672"/>
      <w:bookmarkStart w:id="1130" w:name="_Toc264969248"/>
      <w:bookmarkStart w:id="1131" w:name="_Toc265228396"/>
      <w:bookmarkStart w:id="1132" w:name="_Toc195842923"/>
      <w:bookmarkStart w:id="1133" w:name="_Toc226965748"/>
      <w:r>
        <w:rPr>
          <w:rFonts w:hint="eastAsia" w:ascii="宋体" w:hAnsi="宋体"/>
          <w:b/>
          <w:color w:val="auto"/>
          <w:sz w:val="36"/>
          <w:szCs w:val="36"/>
          <w:highlight w:val="none"/>
        </w:rPr>
        <w:t>报价一览表</w:t>
      </w:r>
      <w:bookmarkEnd w:id="1123"/>
      <w:bookmarkEnd w:id="1124"/>
      <w:bookmarkEnd w:id="1125"/>
      <w:bookmarkEnd w:id="1126"/>
      <w:bookmarkEnd w:id="1127"/>
      <w:bookmarkEnd w:id="1128"/>
      <w:bookmarkEnd w:id="1129"/>
      <w:bookmarkEnd w:id="1130"/>
      <w:bookmarkEnd w:id="1131"/>
      <w:bookmarkEnd w:id="1132"/>
      <w:bookmarkEnd w:id="1133"/>
    </w:p>
    <w:p w14:paraId="5A618F2A">
      <w:pPr>
        <w:spacing w:line="360" w:lineRule="auto"/>
        <w:jc w:val="left"/>
        <w:rPr>
          <w:rFonts w:hint="eastAsia" w:ascii="宋体" w:hAnsi="宋体"/>
          <w:b/>
          <w:color w:val="auto"/>
          <w:sz w:val="36"/>
          <w:szCs w:val="36"/>
          <w:highlight w:val="none"/>
        </w:rPr>
      </w:pPr>
      <w:r>
        <w:rPr>
          <w:rFonts w:ascii="宋体" w:hAnsi="宋体"/>
          <w:color w:val="auto"/>
          <w:sz w:val="24"/>
          <w:highlight w:val="none"/>
        </w:rPr>
        <w:t xml:space="preserve">项目编号：___________     项目名称：___________    </w:t>
      </w:r>
    </w:p>
    <w:tbl>
      <w:tblPr>
        <w:tblStyle w:val="16"/>
        <w:tblW w:w="94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0"/>
        <w:gridCol w:w="3280"/>
        <w:gridCol w:w="2670"/>
        <w:gridCol w:w="2565"/>
      </w:tblGrid>
      <w:tr w14:paraId="5203E7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0" w:hRule="atLeast"/>
          <w:jc w:val="center"/>
        </w:trPr>
        <w:tc>
          <w:tcPr>
            <w:tcW w:w="910" w:type="dxa"/>
            <w:tcBorders>
              <w:top w:val="single" w:color="auto" w:sz="4" w:space="0"/>
              <w:left w:val="single" w:color="auto" w:sz="4" w:space="0"/>
              <w:bottom w:val="single" w:color="auto" w:sz="4" w:space="0"/>
              <w:right w:val="single" w:color="auto" w:sz="4" w:space="0"/>
            </w:tcBorders>
            <w:shd w:val="clear" w:color="auto" w:fill="auto"/>
          </w:tcPr>
          <w:p w14:paraId="5F12A19E">
            <w:pPr>
              <w:autoSpaceDE w:val="0"/>
              <w:autoSpaceDN w:val="0"/>
              <w:spacing w:line="360" w:lineRule="auto"/>
              <w:rPr>
                <w:rFonts w:ascii="Calibri" w:hAnsi="Calibri"/>
                <w:color w:val="auto"/>
                <w:sz w:val="22"/>
                <w:highlight w:val="none"/>
              </w:rPr>
            </w:pPr>
          </w:p>
          <w:p w14:paraId="04D3A609">
            <w:pPr>
              <w:autoSpaceDE w:val="0"/>
              <w:autoSpaceDN w:val="0"/>
              <w:spacing w:before="78" w:line="360" w:lineRule="auto"/>
              <w:ind w:left="174"/>
              <w:rPr>
                <w:rFonts w:hint="eastAsia" w:ascii="宋体" w:hAnsi="宋体" w:cs="宋体"/>
                <w:color w:val="auto"/>
                <w:sz w:val="24"/>
                <w:highlight w:val="none"/>
              </w:rPr>
            </w:pPr>
            <w:r>
              <w:rPr>
                <w:rFonts w:hint="eastAsia" w:ascii="宋体" w:hAnsi="宋体" w:cs="宋体"/>
                <w:color w:val="auto"/>
                <w:spacing w:val="-3"/>
                <w:sz w:val="24"/>
                <w:highlight w:val="none"/>
              </w:rPr>
              <w:t>序号</w:t>
            </w:r>
          </w:p>
        </w:tc>
        <w:tc>
          <w:tcPr>
            <w:tcW w:w="3280" w:type="dxa"/>
            <w:tcBorders>
              <w:top w:val="single" w:color="auto" w:sz="4" w:space="0"/>
              <w:left w:val="single" w:color="auto" w:sz="4" w:space="0"/>
              <w:bottom w:val="single" w:color="auto" w:sz="4" w:space="0"/>
              <w:right w:val="single" w:color="auto" w:sz="4" w:space="0"/>
            </w:tcBorders>
            <w:shd w:val="clear" w:color="auto" w:fill="auto"/>
          </w:tcPr>
          <w:p w14:paraId="5A4EA341">
            <w:pPr>
              <w:autoSpaceDE w:val="0"/>
              <w:autoSpaceDN w:val="0"/>
              <w:spacing w:line="360" w:lineRule="auto"/>
              <w:rPr>
                <w:rFonts w:ascii="Calibri" w:hAnsi="Calibri"/>
                <w:color w:val="auto"/>
                <w:sz w:val="22"/>
                <w:highlight w:val="none"/>
              </w:rPr>
            </w:pPr>
          </w:p>
          <w:p w14:paraId="11E9D66C">
            <w:pPr>
              <w:autoSpaceDE w:val="0"/>
              <w:autoSpaceDN w:val="0"/>
              <w:spacing w:before="78" w:line="360" w:lineRule="auto"/>
              <w:ind w:left="1006"/>
              <w:rPr>
                <w:rFonts w:hint="eastAsia" w:ascii="宋体" w:hAnsi="宋体" w:cs="宋体"/>
                <w:color w:val="auto"/>
                <w:sz w:val="24"/>
                <w:highlight w:val="none"/>
              </w:rPr>
            </w:pPr>
            <w:r>
              <w:rPr>
                <w:rFonts w:ascii="宋体" w:hAnsi="宋体" w:cs="宋体"/>
                <w:color w:val="auto"/>
                <w:spacing w:val="-1"/>
                <w:sz w:val="24"/>
                <w:highlight w:val="none"/>
              </w:rPr>
              <w:t>供应商名称</w:t>
            </w:r>
          </w:p>
        </w:tc>
        <w:tc>
          <w:tcPr>
            <w:tcW w:w="2670" w:type="dxa"/>
            <w:tcBorders>
              <w:left w:val="single" w:color="auto" w:sz="4" w:space="0"/>
            </w:tcBorders>
            <w:shd w:val="clear" w:color="auto" w:fill="auto"/>
            <w:vAlign w:val="center"/>
          </w:tcPr>
          <w:p w14:paraId="44B8E89F">
            <w:pPr>
              <w:autoSpaceDE w:val="0"/>
              <w:autoSpaceDN w:val="0"/>
              <w:spacing w:before="150" w:line="360" w:lineRule="auto"/>
              <w:ind w:firstLine="944" w:firstLineChars="400"/>
              <w:rPr>
                <w:rFonts w:hint="eastAsia" w:ascii="宋体" w:hAnsi="宋体" w:cs="宋体"/>
                <w:color w:val="auto"/>
                <w:sz w:val="24"/>
                <w:highlight w:val="none"/>
              </w:rPr>
            </w:pPr>
            <w:r>
              <w:rPr>
                <w:rFonts w:ascii="宋体" w:hAnsi="宋体" w:cs="宋体"/>
                <w:color w:val="auto"/>
                <w:spacing w:val="-2"/>
                <w:sz w:val="24"/>
                <w:highlight w:val="none"/>
              </w:rPr>
              <w:t>报价</w:t>
            </w:r>
            <w:r>
              <w:rPr>
                <w:rFonts w:hint="eastAsia" w:ascii="宋体" w:hAnsi="宋体" w:cs="宋体"/>
                <w:color w:val="auto"/>
                <w:spacing w:val="-2"/>
                <w:sz w:val="24"/>
                <w:highlight w:val="none"/>
              </w:rPr>
              <w:t>（万元）</w:t>
            </w:r>
          </w:p>
        </w:tc>
        <w:tc>
          <w:tcPr>
            <w:tcW w:w="2565" w:type="dxa"/>
            <w:vAlign w:val="center"/>
          </w:tcPr>
          <w:p w14:paraId="2019A914">
            <w:pPr>
              <w:autoSpaceDE w:val="0"/>
              <w:autoSpaceDN w:val="0"/>
              <w:spacing w:before="150" w:line="360" w:lineRule="auto"/>
              <w:ind w:firstLine="472" w:firstLineChars="200"/>
              <w:rPr>
                <w:rFonts w:hint="eastAsia" w:ascii="宋体" w:hAnsi="宋体" w:cs="宋体"/>
                <w:color w:val="auto"/>
                <w:spacing w:val="-2"/>
                <w:sz w:val="24"/>
                <w:highlight w:val="none"/>
              </w:rPr>
            </w:pPr>
            <w:r>
              <w:rPr>
                <w:rFonts w:hint="eastAsia" w:ascii="宋体" w:hAnsi="宋体" w:cs="宋体"/>
                <w:color w:val="auto"/>
                <w:spacing w:val="-2"/>
                <w:sz w:val="24"/>
                <w:highlight w:val="none"/>
              </w:rPr>
              <w:t>工期（日历天）</w:t>
            </w:r>
          </w:p>
        </w:tc>
      </w:tr>
      <w:tr w14:paraId="43C1B6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0" w:hRule="atLeast"/>
          <w:jc w:val="center"/>
        </w:trPr>
        <w:tc>
          <w:tcPr>
            <w:tcW w:w="910" w:type="dxa"/>
            <w:tcBorders>
              <w:top w:val="single" w:color="auto" w:sz="4" w:space="0"/>
              <w:left w:val="single" w:color="auto" w:sz="4" w:space="0"/>
              <w:bottom w:val="single" w:color="auto" w:sz="4" w:space="0"/>
              <w:right w:val="single" w:color="auto" w:sz="4" w:space="0"/>
            </w:tcBorders>
            <w:shd w:val="clear" w:color="auto" w:fill="auto"/>
          </w:tcPr>
          <w:p w14:paraId="0D8EA857">
            <w:pPr>
              <w:autoSpaceDE w:val="0"/>
              <w:autoSpaceDN w:val="0"/>
              <w:spacing w:line="360" w:lineRule="auto"/>
              <w:rPr>
                <w:rFonts w:ascii="Calibri" w:hAnsi="Calibri"/>
                <w:color w:val="auto"/>
                <w:sz w:val="22"/>
                <w:highlight w:val="none"/>
              </w:rPr>
            </w:pPr>
          </w:p>
        </w:tc>
        <w:tc>
          <w:tcPr>
            <w:tcW w:w="3280" w:type="dxa"/>
            <w:tcBorders>
              <w:top w:val="single" w:color="auto" w:sz="4" w:space="0"/>
              <w:left w:val="single" w:color="auto" w:sz="4" w:space="0"/>
              <w:bottom w:val="single" w:color="auto" w:sz="4" w:space="0"/>
              <w:right w:val="single" w:color="auto" w:sz="4" w:space="0"/>
            </w:tcBorders>
            <w:shd w:val="clear" w:color="auto" w:fill="auto"/>
          </w:tcPr>
          <w:p w14:paraId="2DE4AA69">
            <w:pPr>
              <w:autoSpaceDE w:val="0"/>
              <w:autoSpaceDN w:val="0"/>
              <w:spacing w:line="360" w:lineRule="auto"/>
              <w:rPr>
                <w:rFonts w:ascii="Calibri" w:hAnsi="Calibri"/>
                <w:color w:val="auto"/>
                <w:sz w:val="22"/>
                <w:highlight w:val="none"/>
              </w:rPr>
            </w:pPr>
          </w:p>
        </w:tc>
        <w:tc>
          <w:tcPr>
            <w:tcW w:w="2670" w:type="dxa"/>
            <w:tcBorders>
              <w:left w:val="single" w:color="auto" w:sz="4" w:space="0"/>
            </w:tcBorders>
            <w:shd w:val="clear" w:color="auto" w:fill="auto"/>
          </w:tcPr>
          <w:p w14:paraId="36484E42">
            <w:pPr>
              <w:autoSpaceDE w:val="0"/>
              <w:autoSpaceDN w:val="0"/>
              <w:spacing w:line="360" w:lineRule="auto"/>
              <w:rPr>
                <w:rFonts w:ascii="Calibri" w:hAnsi="Calibri"/>
                <w:color w:val="auto"/>
                <w:sz w:val="22"/>
                <w:highlight w:val="none"/>
              </w:rPr>
            </w:pPr>
          </w:p>
        </w:tc>
        <w:tc>
          <w:tcPr>
            <w:tcW w:w="2565" w:type="dxa"/>
          </w:tcPr>
          <w:p w14:paraId="5B4BFD3B">
            <w:pPr>
              <w:autoSpaceDE w:val="0"/>
              <w:autoSpaceDN w:val="0"/>
              <w:spacing w:line="360" w:lineRule="auto"/>
              <w:rPr>
                <w:rFonts w:ascii="Calibri" w:hAnsi="Calibri"/>
                <w:color w:val="auto"/>
                <w:sz w:val="22"/>
                <w:highlight w:val="none"/>
              </w:rPr>
            </w:pPr>
          </w:p>
        </w:tc>
      </w:tr>
    </w:tbl>
    <w:p w14:paraId="6AD244F5">
      <w:pPr>
        <w:tabs>
          <w:tab w:val="left" w:pos="1800"/>
          <w:tab w:val="left" w:pos="5580"/>
        </w:tabs>
        <w:spacing w:line="360" w:lineRule="auto"/>
        <w:ind w:firstLine="240" w:firstLineChars="100"/>
        <w:jc w:val="left"/>
        <w:rPr>
          <w:rFonts w:hint="eastAsia" w:ascii="宋体" w:hAnsi="宋体"/>
          <w:color w:val="auto"/>
          <w:sz w:val="24"/>
          <w:highlight w:val="none"/>
          <w:u w:val="single"/>
        </w:rPr>
      </w:pPr>
    </w:p>
    <w:p w14:paraId="0FAFD27D">
      <w:pPr>
        <w:autoSpaceDE w:val="0"/>
        <w:autoSpaceDN w:val="0"/>
        <w:adjustRightInd w:val="0"/>
        <w:jc w:val="left"/>
        <w:rPr>
          <w:rFonts w:hint="eastAsia" w:ascii="宋体" w:hAnsi="宋体"/>
          <w:color w:val="auto"/>
          <w:sz w:val="24"/>
          <w:szCs w:val="20"/>
          <w:highlight w:val="none"/>
        </w:rPr>
      </w:pPr>
      <w:r>
        <w:rPr>
          <w:rFonts w:ascii="宋体" w:hAnsi="宋体"/>
          <w:color w:val="auto"/>
          <w:kern w:val="0"/>
          <w:sz w:val="24"/>
          <w:highlight w:val="none"/>
        </w:rPr>
        <w:t>注：</w:t>
      </w:r>
      <w:r>
        <w:rPr>
          <w:rFonts w:ascii="宋体" w:hAnsi="宋体"/>
          <w:color w:val="auto"/>
          <w:sz w:val="24"/>
          <w:szCs w:val="20"/>
          <w:highlight w:val="none"/>
        </w:rPr>
        <w:t>此表中，报价应和《分项报价表》中的总价相一致。</w:t>
      </w:r>
    </w:p>
    <w:p w14:paraId="58673D83">
      <w:pPr>
        <w:autoSpaceDE w:val="0"/>
        <w:autoSpaceDN w:val="0"/>
        <w:adjustRightInd w:val="0"/>
        <w:jc w:val="left"/>
        <w:rPr>
          <w:rFonts w:hint="eastAsia" w:ascii="宋体" w:hAnsi="宋体"/>
          <w:color w:val="auto"/>
          <w:sz w:val="24"/>
          <w:szCs w:val="20"/>
          <w:highlight w:val="none"/>
        </w:rPr>
      </w:pPr>
    </w:p>
    <w:p w14:paraId="07733588">
      <w:pPr>
        <w:autoSpaceDE w:val="0"/>
        <w:autoSpaceDN w:val="0"/>
        <w:adjustRightInd w:val="0"/>
        <w:snapToGrid w:val="0"/>
        <w:spacing w:before="25" w:after="25" w:line="360" w:lineRule="auto"/>
        <w:rPr>
          <w:rFonts w:hint="eastAsia" w:ascii="宋体" w:hAnsi="宋体"/>
          <w:color w:val="auto"/>
          <w:sz w:val="24"/>
          <w:highlight w:val="none"/>
          <w:lang w:val="zh-CN"/>
        </w:rPr>
      </w:pPr>
      <w:r>
        <w:rPr>
          <w:rFonts w:ascii="宋体" w:hAnsi="宋体"/>
          <w:color w:val="auto"/>
          <w:sz w:val="24"/>
          <w:highlight w:val="none"/>
          <w:lang w:val="zh-CN"/>
        </w:rPr>
        <w:t xml:space="preserve">   </w:t>
      </w:r>
    </w:p>
    <w:p w14:paraId="779EBA26">
      <w:pPr>
        <w:autoSpaceDE w:val="0"/>
        <w:autoSpaceDN w:val="0"/>
        <w:adjustRightInd w:val="0"/>
        <w:snapToGrid w:val="0"/>
        <w:spacing w:before="25" w:after="25" w:line="360" w:lineRule="auto"/>
        <w:rPr>
          <w:rFonts w:hint="eastAsia" w:ascii="宋体" w:hAnsi="宋体"/>
          <w:color w:val="auto"/>
          <w:sz w:val="24"/>
          <w:highlight w:val="none"/>
          <w:lang w:val="zh-CN"/>
        </w:rPr>
      </w:pPr>
      <w:r>
        <w:rPr>
          <w:rFonts w:ascii="宋体" w:hAnsi="宋体"/>
          <w:color w:val="auto"/>
          <w:sz w:val="24"/>
          <w:highlight w:val="none"/>
        </w:rPr>
        <w:t>供应商名称（加盖公章）</w:t>
      </w:r>
      <w:r>
        <w:rPr>
          <w:rFonts w:ascii="宋体" w:hAnsi="宋体"/>
          <w:color w:val="auto"/>
          <w:sz w:val="24"/>
          <w:highlight w:val="none"/>
          <w:lang w:val="zh-CN"/>
        </w:rPr>
        <w:t>：</w:t>
      </w:r>
      <w:r>
        <w:rPr>
          <w:rFonts w:ascii="宋体" w:hAnsi="宋体"/>
          <w:color w:val="auto"/>
          <w:sz w:val="24"/>
          <w:highlight w:val="none"/>
        </w:rPr>
        <w:t>___________</w:t>
      </w:r>
    </w:p>
    <w:p w14:paraId="53EE615E">
      <w:pPr>
        <w:autoSpaceDE w:val="0"/>
        <w:autoSpaceDN w:val="0"/>
        <w:adjustRightInd w:val="0"/>
        <w:snapToGrid w:val="0"/>
        <w:spacing w:line="360" w:lineRule="auto"/>
        <w:rPr>
          <w:rFonts w:hint="eastAsia" w:ascii="宋体" w:hAnsi="宋体"/>
          <w:color w:val="auto"/>
          <w:sz w:val="24"/>
          <w:szCs w:val="20"/>
          <w:highlight w:val="none"/>
        </w:rPr>
      </w:pPr>
      <w:r>
        <w:rPr>
          <w:rFonts w:ascii="宋体" w:hAnsi="宋体"/>
          <w:color w:val="auto"/>
          <w:sz w:val="24"/>
          <w:highlight w:val="none"/>
        </w:rPr>
        <w:t>日期：</w:t>
      </w:r>
      <w:r>
        <w:rPr>
          <w:rFonts w:ascii="宋体" w:hAnsi="宋体"/>
          <w:color w:val="auto"/>
          <w:sz w:val="24"/>
          <w:szCs w:val="20"/>
          <w:highlight w:val="none"/>
        </w:rPr>
        <w:t>____年____月____日</w:t>
      </w:r>
    </w:p>
    <w:p w14:paraId="6FB8CBAC">
      <w:pPr>
        <w:widowControl/>
        <w:jc w:val="left"/>
        <w:rPr>
          <w:rFonts w:hint="eastAsia" w:ascii="宋体" w:hAnsi="宋体"/>
          <w:color w:val="auto"/>
          <w:sz w:val="24"/>
          <w:szCs w:val="20"/>
          <w:highlight w:val="none"/>
        </w:rPr>
      </w:pPr>
      <w:r>
        <w:rPr>
          <w:rFonts w:ascii="宋体" w:hAnsi="宋体"/>
          <w:color w:val="auto"/>
          <w:sz w:val="24"/>
          <w:szCs w:val="20"/>
          <w:highlight w:val="none"/>
        </w:rPr>
        <w:br w:type="page"/>
      </w:r>
    </w:p>
    <w:p w14:paraId="386DDCDF">
      <w:pPr>
        <w:tabs>
          <w:tab w:val="left" w:pos="360"/>
        </w:tabs>
        <w:snapToGrid w:val="0"/>
        <w:spacing w:line="360" w:lineRule="auto"/>
        <w:ind w:left="900" w:hanging="900"/>
        <w:outlineLvl w:val="1"/>
        <w:rPr>
          <w:rFonts w:hint="eastAsia" w:ascii="宋体" w:hAnsi="宋体"/>
          <w:color w:val="auto"/>
          <w:sz w:val="24"/>
          <w:highlight w:val="none"/>
        </w:rPr>
      </w:pPr>
      <w:r>
        <w:rPr>
          <w:rFonts w:hint="eastAsia" w:ascii="宋体" w:hAnsi="宋体"/>
          <w:color w:val="auto"/>
          <w:sz w:val="24"/>
          <w:highlight w:val="none"/>
        </w:rPr>
        <w:t>8 分项报价表</w:t>
      </w:r>
    </w:p>
    <w:p w14:paraId="12493DE6">
      <w:pPr>
        <w:autoSpaceDE w:val="0"/>
        <w:autoSpaceDN w:val="0"/>
        <w:adjustRightInd w:val="0"/>
        <w:snapToGrid w:val="0"/>
        <w:spacing w:line="360" w:lineRule="auto"/>
        <w:rPr>
          <w:rFonts w:hint="eastAsia" w:ascii="宋体" w:hAnsi="宋体"/>
          <w:color w:val="auto"/>
          <w:sz w:val="24"/>
          <w:szCs w:val="20"/>
          <w:highlight w:val="none"/>
        </w:rPr>
      </w:pPr>
    </w:p>
    <w:p w14:paraId="43CC6BB8">
      <w:pPr>
        <w:spacing w:line="360" w:lineRule="auto"/>
        <w:jc w:val="center"/>
        <w:rPr>
          <w:rFonts w:hint="eastAsia" w:ascii="宋体" w:hAnsi="宋体"/>
          <w:b/>
          <w:color w:val="auto"/>
          <w:sz w:val="36"/>
          <w:szCs w:val="36"/>
          <w:highlight w:val="none"/>
        </w:rPr>
      </w:pPr>
      <w:r>
        <w:rPr>
          <w:rFonts w:hint="eastAsia" w:ascii="宋体" w:hAnsi="宋体"/>
          <w:b/>
          <w:color w:val="auto"/>
          <w:sz w:val="36"/>
          <w:szCs w:val="36"/>
          <w:highlight w:val="none"/>
        </w:rPr>
        <w:t>分项报价表</w:t>
      </w:r>
    </w:p>
    <w:p w14:paraId="78A474F2">
      <w:pPr>
        <w:tabs>
          <w:tab w:val="left" w:pos="5580"/>
        </w:tabs>
        <w:spacing w:line="360" w:lineRule="auto"/>
        <w:rPr>
          <w:rFonts w:hint="eastAsia" w:ascii="宋体" w:hAnsi="宋体"/>
          <w:color w:val="auto"/>
          <w:sz w:val="24"/>
          <w:highlight w:val="none"/>
        </w:rPr>
      </w:pPr>
      <w:r>
        <w:rPr>
          <w:rFonts w:ascii="宋体" w:hAnsi="宋体"/>
          <w:color w:val="auto"/>
          <w:sz w:val="24"/>
          <w:highlight w:val="none"/>
        </w:rPr>
        <w:t xml:space="preserve">项目编号：___________     项目名称：___________  </w:t>
      </w:r>
    </w:p>
    <w:tbl>
      <w:tblPr>
        <w:tblStyle w:val="17"/>
        <w:tblW w:w="82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3195"/>
        <w:gridCol w:w="3000"/>
        <w:gridCol w:w="1230"/>
      </w:tblGrid>
      <w:tr w14:paraId="5B8AD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tcPr>
          <w:p w14:paraId="2369BE02">
            <w:pPr>
              <w:widowControl/>
              <w:jc w:val="center"/>
              <w:rPr>
                <w:rFonts w:hint="eastAsia" w:ascii="宋体" w:hAnsi="宋体"/>
                <w:b/>
                <w:bCs/>
                <w:color w:val="auto"/>
                <w:sz w:val="24"/>
                <w:highlight w:val="none"/>
              </w:rPr>
            </w:pPr>
            <w:r>
              <w:rPr>
                <w:rFonts w:hint="eastAsia" w:ascii="宋体" w:hAnsi="宋体"/>
                <w:b/>
                <w:bCs/>
                <w:color w:val="auto"/>
                <w:sz w:val="24"/>
                <w:highlight w:val="none"/>
              </w:rPr>
              <w:t>序号</w:t>
            </w:r>
          </w:p>
        </w:tc>
        <w:tc>
          <w:tcPr>
            <w:tcW w:w="3195" w:type="dxa"/>
          </w:tcPr>
          <w:p w14:paraId="10ED3C28">
            <w:pPr>
              <w:widowControl/>
              <w:jc w:val="center"/>
              <w:rPr>
                <w:rFonts w:hint="eastAsia" w:ascii="宋体" w:hAnsi="宋体"/>
                <w:b/>
                <w:bCs/>
                <w:color w:val="auto"/>
                <w:sz w:val="24"/>
                <w:highlight w:val="none"/>
              </w:rPr>
            </w:pPr>
            <w:r>
              <w:rPr>
                <w:rFonts w:hint="eastAsia" w:ascii="宋体" w:hAnsi="宋体"/>
                <w:b/>
                <w:bCs/>
                <w:color w:val="auto"/>
                <w:sz w:val="24"/>
                <w:highlight w:val="none"/>
              </w:rPr>
              <w:t>分项项目名称</w:t>
            </w:r>
          </w:p>
        </w:tc>
        <w:tc>
          <w:tcPr>
            <w:tcW w:w="3000" w:type="dxa"/>
          </w:tcPr>
          <w:p w14:paraId="1D1759E1">
            <w:pPr>
              <w:widowControl/>
              <w:jc w:val="center"/>
              <w:rPr>
                <w:rFonts w:hint="eastAsia" w:ascii="宋体" w:hAnsi="宋体"/>
                <w:b/>
                <w:bCs/>
                <w:color w:val="auto"/>
                <w:sz w:val="24"/>
                <w:highlight w:val="none"/>
              </w:rPr>
            </w:pPr>
            <w:r>
              <w:rPr>
                <w:rFonts w:hint="eastAsia" w:ascii="宋体" w:hAnsi="宋体"/>
                <w:b/>
                <w:bCs/>
                <w:color w:val="auto"/>
                <w:sz w:val="24"/>
                <w:highlight w:val="none"/>
                <w:lang w:val="en-US" w:eastAsia="zh-CN"/>
              </w:rPr>
              <w:t>分项</w:t>
            </w:r>
            <w:r>
              <w:rPr>
                <w:rFonts w:hint="eastAsia" w:ascii="宋体" w:hAnsi="宋体"/>
                <w:b/>
                <w:bCs/>
                <w:color w:val="auto"/>
                <w:sz w:val="24"/>
                <w:highlight w:val="none"/>
              </w:rPr>
              <w:t>报价（万元）</w:t>
            </w:r>
          </w:p>
        </w:tc>
        <w:tc>
          <w:tcPr>
            <w:tcW w:w="1230" w:type="dxa"/>
          </w:tcPr>
          <w:p w14:paraId="5FDF9A76">
            <w:pPr>
              <w:widowControl/>
              <w:jc w:val="center"/>
              <w:rPr>
                <w:rFonts w:hint="eastAsia" w:ascii="宋体" w:hAnsi="宋体"/>
                <w:b/>
                <w:bCs/>
                <w:color w:val="auto"/>
                <w:sz w:val="24"/>
                <w:highlight w:val="none"/>
              </w:rPr>
            </w:pPr>
            <w:r>
              <w:rPr>
                <w:rFonts w:hint="eastAsia" w:ascii="宋体" w:hAnsi="宋体"/>
                <w:b/>
                <w:bCs/>
                <w:color w:val="auto"/>
                <w:sz w:val="24"/>
                <w:highlight w:val="none"/>
              </w:rPr>
              <w:t>备注</w:t>
            </w:r>
          </w:p>
        </w:tc>
      </w:tr>
      <w:tr w14:paraId="5612B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96" w:type="dxa"/>
            <w:vAlign w:val="center"/>
          </w:tcPr>
          <w:p w14:paraId="5FE9F03F">
            <w:pPr>
              <w:widowControl/>
              <w:jc w:val="center"/>
              <w:rPr>
                <w:rFonts w:hint="eastAsia" w:ascii="宋体" w:hAnsi="宋体"/>
                <w:color w:val="auto"/>
                <w:sz w:val="24"/>
                <w:highlight w:val="none"/>
              </w:rPr>
            </w:pPr>
            <w:r>
              <w:rPr>
                <w:rFonts w:hint="eastAsia" w:ascii="宋体" w:hAnsi="宋体"/>
                <w:color w:val="auto"/>
                <w:sz w:val="24"/>
                <w:highlight w:val="none"/>
              </w:rPr>
              <w:t>1</w:t>
            </w:r>
          </w:p>
        </w:tc>
        <w:tc>
          <w:tcPr>
            <w:tcW w:w="3195" w:type="dxa"/>
            <w:vAlign w:val="center"/>
          </w:tcPr>
          <w:p w14:paraId="725A5770">
            <w:pPr>
              <w:widowControl/>
              <w:jc w:val="left"/>
              <w:textAlignment w:val="center"/>
              <w:rPr>
                <w:rFonts w:hint="eastAsia" w:ascii="宋体" w:hAnsi="宋体"/>
                <w:color w:val="auto"/>
                <w:sz w:val="24"/>
                <w:highlight w:val="none"/>
              </w:rPr>
            </w:pPr>
            <w:r>
              <w:rPr>
                <w:rFonts w:hint="eastAsia" w:ascii="宋体" w:hAnsi="宋体" w:cs="宋体"/>
                <w:color w:val="auto"/>
                <w:kern w:val="0"/>
                <w:sz w:val="22"/>
                <w:szCs w:val="22"/>
                <w:highlight w:val="none"/>
                <w:lang w:bidi="ar"/>
              </w:rPr>
              <w:t>峰山口输水闸下游渠道混凝土缺陷处理工程</w:t>
            </w:r>
          </w:p>
        </w:tc>
        <w:tc>
          <w:tcPr>
            <w:tcW w:w="3000" w:type="dxa"/>
            <w:vAlign w:val="center"/>
          </w:tcPr>
          <w:p w14:paraId="63AE1805">
            <w:pPr>
              <w:widowControl/>
              <w:jc w:val="center"/>
              <w:rPr>
                <w:rFonts w:hint="eastAsia" w:ascii="宋体" w:hAnsi="宋体"/>
                <w:color w:val="auto"/>
                <w:sz w:val="24"/>
                <w:highlight w:val="none"/>
              </w:rPr>
            </w:pPr>
          </w:p>
        </w:tc>
        <w:tc>
          <w:tcPr>
            <w:tcW w:w="1230" w:type="dxa"/>
            <w:vAlign w:val="center"/>
          </w:tcPr>
          <w:p w14:paraId="535953E6">
            <w:pPr>
              <w:widowControl/>
              <w:jc w:val="center"/>
              <w:rPr>
                <w:rFonts w:hint="eastAsia" w:ascii="宋体" w:hAnsi="宋体"/>
                <w:color w:val="auto"/>
                <w:sz w:val="24"/>
                <w:highlight w:val="none"/>
              </w:rPr>
            </w:pPr>
          </w:p>
        </w:tc>
      </w:tr>
      <w:tr w14:paraId="419B8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96" w:type="dxa"/>
            <w:vAlign w:val="center"/>
          </w:tcPr>
          <w:p w14:paraId="4A1F6EB6">
            <w:pPr>
              <w:widowControl/>
              <w:jc w:val="center"/>
              <w:rPr>
                <w:rFonts w:hint="eastAsia" w:ascii="宋体" w:hAnsi="宋体"/>
                <w:color w:val="auto"/>
                <w:sz w:val="24"/>
                <w:highlight w:val="none"/>
              </w:rPr>
            </w:pPr>
            <w:r>
              <w:rPr>
                <w:rFonts w:hint="eastAsia" w:ascii="宋体" w:hAnsi="宋体"/>
                <w:color w:val="auto"/>
                <w:sz w:val="24"/>
                <w:highlight w:val="none"/>
              </w:rPr>
              <w:t>2</w:t>
            </w:r>
          </w:p>
        </w:tc>
        <w:tc>
          <w:tcPr>
            <w:tcW w:w="3195" w:type="dxa"/>
            <w:vAlign w:val="center"/>
          </w:tcPr>
          <w:p w14:paraId="373EE95A">
            <w:pPr>
              <w:widowControl/>
              <w:jc w:val="left"/>
              <w:textAlignment w:val="center"/>
              <w:rPr>
                <w:rFonts w:hint="eastAsia" w:ascii="宋体" w:hAnsi="宋体"/>
                <w:color w:val="auto"/>
                <w:sz w:val="24"/>
                <w:highlight w:val="none"/>
              </w:rPr>
            </w:pPr>
            <w:r>
              <w:rPr>
                <w:rFonts w:hint="eastAsia" w:ascii="宋体" w:hAnsi="宋体" w:cs="宋体"/>
                <w:color w:val="auto"/>
                <w:kern w:val="0"/>
                <w:sz w:val="22"/>
                <w:szCs w:val="22"/>
                <w:highlight w:val="none"/>
                <w:lang w:bidi="ar"/>
              </w:rPr>
              <w:t>怀柔水库闸站房屋修缮工程</w:t>
            </w:r>
          </w:p>
        </w:tc>
        <w:tc>
          <w:tcPr>
            <w:tcW w:w="3000" w:type="dxa"/>
            <w:vAlign w:val="center"/>
          </w:tcPr>
          <w:p w14:paraId="254493F7">
            <w:pPr>
              <w:widowControl/>
              <w:jc w:val="center"/>
              <w:rPr>
                <w:rFonts w:hint="eastAsia" w:ascii="宋体" w:hAnsi="宋体"/>
                <w:color w:val="auto"/>
                <w:sz w:val="24"/>
                <w:highlight w:val="none"/>
              </w:rPr>
            </w:pPr>
          </w:p>
        </w:tc>
        <w:tc>
          <w:tcPr>
            <w:tcW w:w="1230" w:type="dxa"/>
            <w:vAlign w:val="center"/>
          </w:tcPr>
          <w:p w14:paraId="760675F1">
            <w:pPr>
              <w:widowControl/>
              <w:jc w:val="center"/>
              <w:rPr>
                <w:rFonts w:hint="eastAsia" w:ascii="宋体" w:hAnsi="宋体"/>
                <w:color w:val="auto"/>
                <w:sz w:val="24"/>
                <w:highlight w:val="none"/>
              </w:rPr>
            </w:pPr>
          </w:p>
        </w:tc>
      </w:tr>
      <w:tr w14:paraId="39408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96" w:type="dxa"/>
            <w:vAlign w:val="center"/>
          </w:tcPr>
          <w:p w14:paraId="4C5D4891">
            <w:pPr>
              <w:widowControl/>
              <w:jc w:val="center"/>
              <w:rPr>
                <w:rFonts w:hint="eastAsia" w:ascii="宋体" w:hAnsi="宋体"/>
                <w:color w:val="auto"/>
                <w:sz w:val="24"/>
                <w:highlight w:val="none"/>
              </w:rPr>
            </w:pPr>
            <w:r>
              <w:rPr>
                <w:rFonts w:hint="eastAsia" w:ascii="宋体" w:hAnsi="宋体"/>
                <w:color w:val="auto"/>
                <w:sz w:val="24"/>
                <w:highlight w:val="none"/>
              </w:rPr>
              <w:t>3</w:t>
            </w:r>
          </w:p>
        </w:tc>
        <w:tc>
          <w:tcPr>
            <w:tcW w:w="3195" w:type="dxa"/>
            <w:vAlign w:val="center"/>
          </w:tcPr>
          <w:p w14:paraId="7717DA9F">
            <w:pPr>
              <w:widowControl/>
              <w:jc w:val="left"/>
              <w:textAlignment w:val="center"/>
              <w:rPr>
                <w:rFonts w:hint="eastAsia" w:ascii="宋体" w:hAnsi="宋体"/>
                <w:color w:val="auto"/>
                <w:sz w:val="24"/>
                <w:highlight w:val="none"/>
              </w:rPr>
            </w:pPr>
            <w:r>
              <w:rPr>
                <w:rFonts w:hint="eastAsia" w:ascii="宋体" w:hAnsi="宋体" w:cs="宋体"/>
                <w:color w:val="auto"/>
                <w:kern w:val="0"/>
                <w:sz w:val="22"/>
                <w:szCs w:val="22"/>
                <w:highlight w:val="none"/>
                <w:lang w:bidi="ar"/>
              </w:rPr>
              <w:t>西台上节制闸混凝土缺陷处理工程</w:t>
            </w:r>
          </w:p>
        </w:tc>
        <w:tc>
          <w:tcPr>
            <w:tcW w:w="3000" w:type="dxa"/>
            <w:vAlign w:val="center"/>
          </w:tcPr>
          <w:p w14:paraId="78DB447E">
            <w:pPr>
              <w:widowControl/>
              <w:jc w:val="center"/>
              <w:rPr>
                <w:rFonts w:hint="eastAsia" w:ascii="宋体" w:hAnsi="宋体"/>
                <w:color w:val="auto"/>
                <w:sz w:val="24"/>
                <w:highlight w:val="none"/>
              </w:rPr>
            </w:pPr>
          </w:p>
        </w:tc>
        <w:tc>
          <w:tcPr>
            <w:tcW w:w="1230" w:type="dxa"/>
            <w:vAlign w:val="center"/>
          </w:tcPr>
          <w:p w14:paraId="4D67C1D0">
            <w:pPr>
              <w:widowControl/>
              <w:jc w:val="center"/>
              <w:rPr>
                <w:rFonts w:hint="eastAsia" w:ascii="宋体" w:hAnsi="宋体"/>
                <w:color w:val="auto"/>
                <w:sz w:val="24"/>
                <w:highlight w:val="none"/>
              </w:rPr>
            </w:pPr>
          </w:p>
        </w:tc>
      </w:tr>
    </w:tbl>
    <w:p w14:paraId="1966A5F3">
      <w:pPr>
        <w:widowControl/>
        <w:jc w:val="left"/>
        <w:rPr>
          <w:rFonts w:hint="eastAsia" w:ascii="宋体" w:hAnsi="宋体"/>
          <w:color w:val="auto"/>
          <w:sz w:val="24"/>
          <w:highlight w:val="none"/>
        </w:rPr>
      </w:pPr>
    </w:p>
    <w:p w14:paraId="4E3FC4C9">
      <w:pPr>
        <w:autoSpaceDE w:val="0"/>
        <w:autoSpaceDN w:val="0"/>
        <w:adjustRightInd w:val="0"/>
        <w:snapToGrid w:val="0"/>
        <w:spacing w:before="25" w:after="25" w:line="360" w:lineRule="auto"/>
        <w:rPr>
          <w:rFonts w:hint="eastAsia" w:ascii="宋体" w:hAnsi="宋体"/>
          <w:color w:val="auto"/>
          <w:sz w:val="24"/>
          <w:highlight w:val="none"/>
          <w:lang w:val="zh-CN"/>
        </w:rPr>
      </w:pPr>
      <w:r>
        <w:rPr>
          <w:rFonts w:ascii="宋体" w:hAnsi="宋体"/>
          <w:color w:val="auto"/>
          <w:sz w:val="24"/>
          <w:highlight w:val="none"/>
        </w:rPr>
        <w:t>供应商名称（加盖公章）</w:t>
      </w:r>
      <w:r>
        <w:rPr>
          <w:rFonts w:ascii="宋体" w:hAnsi="宋体"/>
          <w:color w:val="auto"/>
          <w:sz w:val="24"/>
          <w:highlight w:val="none"/>
          <w:lang w:val="zh-CN"/>
        </w:rPr>
        <w:t>：</w:t>
      </w:r>
      <w:r>
        <w:rPr>
          <w:rFonts w:ascii="宋体" w:hAnsi="宋体"/>
          <w:color w:val="auto"/>
          <w:sz w:val="24"/>
          <w:highlight w:val="none"/>
        </w:rPr>
        <w:t>___________</w:t>
      </w:r>
    </w:p>
    <w:p w14:paraId="0A7EC91D">
      <w:pPr>
        <w:autoSpaceDE w:val="0"/>
        <w:autoSpaceDN w:val="0"/>
        <w:adjustRightInd w:val="0"/>
        <w:snapToGrid w:val="0"/>
        <w:spacing w:line="360" w:lineRule="auto"/>
        <w:rPr>
          <w:rFonts w:hint="eastAsia" w:ascii="宋体" w:hAnsi="宋体"/>
          <w:color w:val="auto"/>
          <w:sz w:val="24"/>
          <w:szCs w:val="20"/>
          <w:highlight w:val="none"/>
        </w:rPr>
      </w:pPr>
      <w:r>
        <w:rPr>
          <w:rFonts w:ascii="宋体" w:hAnsi="宋体"/>
          <w:color w:val="auto"/>
          <w:sz w:val="24"/>
          <w:highlight w:val="none"/>
        </w:rPr>
        <w:t>日期：</w:t>
      </w:r>
      <w:r>
        <w:rPr>
          <w:rFonts w:ascii="宋体" w:hAnsi="宋体"/>
          <w:color w:val="auto"/>
          <w:sz w:val="24"/>
          <w:szCs w:val="20"/>
          <w:highlight w:val="none"/>
        </w:rPr>
        <w:t>____年____月____日</w:t>
      </w:r>
    </w:p>
    <w:p w14:paraId="35E3ED9F">
      <w:pPr>
        <w:pStyle w:val="2"/>
        <w:rPr>
          <w:color w:val="auto"/>
        </w:rPr>
        <w:sectPr>
          <w:footerReference r:id="rId11" w:type="default"/>
          <w:pgSz w:w="11906" w:h="16838"/>
          <w:pgMar w:top="1440" w:right="1800" w:bottom="1440" w:left="1800" w:header="851" w:footer="992" w:gutter="0"/>
          <w:cols w:space="425" w:num="1"/>
          <w:docGrid w:type="lines" w:linePitch="312" w:charSpace="0"/>
        </w:sectPr>
      </w:pPr>
    </w:p>
    <w:p w14:paraId="2DF4D8DE">
      <w:pPr>
        <w:spacing w:line="360" w:lineRule="auto"/>
        <w:ind w:firstLine="482" w:firstLineChars="200"/>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1.分项报价表（实质性格式）</w:t>
      </w:r>
    </w:p>
    <w:p w14:paraId="32073E32">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cs="宋体"/>
          <w:color w:val="auto"/>
          <w:sz w:val="24"/>
          <w:lang w:eastAsia="zh-CN"/>
        </w:rPr>
        <w:t>响应报价</w:t>
      </w:r>
      <w:r>
        <w:rPr>
          <w:rFonts w:hint="eastAsia" w:ascii="宋体" w:hAnsi="宋体" w:eastAsia="宋体" w:cs="宋体"/>
          <w:color w:val="auto"/>
          <w:sz w:val="24"/>
        </w:rPr>
        <w:t>应与招标文件中的</w:t>
      </w:r>
      <w:r>
        <w:rPr>
          <w:rFonts w:hint="eastAsia" w:ascii="宋体" w:hAnsi="宋体" w:cs="宋体"/>
          <w:color w:val="auto"/>
          <w:sz w:val="24"/>
          <w:lang w:eastAsia="zh-CN"/>
        </w:rPr>
        <w:t>供应商须知</w:t>
      </w:r>
      <w:r>
        <w:rPr>
          <w:rFonts w:hint="eastAsia" w:ascii="宋体" w:hAnsi="宋体" w:eastAsia="宋体" w:cs="宋体"/>
          <w:color w:val="auto"/>
          <w:sz w:val="24"/>
        </w:rPr>
        <w:t>、合同条款、采购需求等一起参照阅读和理解。</w:t>
      </w:r>
    </w:p>
    <w:p w14:paraId="4E6C855B">
      <w:pPr>
        <w:pStyle w:val="2"/>
        <w:spacing w:line="360" w:lineRule="auto"/>
        <w:ind w:left="0" w:leftChars="0" w:firstLine="480" w:firstLineChars="200"/>
        <w:rPr>
          <w:rFonts w:hint="eastAsia" w:ascii="宋体" w:hAnsi="宋体" w:eastAsia="宋体" w:cs="宋体"/>
          <w:color w:val="auto"/>
          <w:sz w:val="24"/>
        </w:rPr>
      </w:pPr>
      <w:r>
        <w:rPr>
          <w:rFonts w:hint="eastAsia" w:ascii="宋体" w:hAnsi="宋体" w:eastAsia="宋体" w:cs="宋体"/>
          <w:color w:val="auto"/>
          <w:sz w:val="24"/>
        </w:rPr>
        <w:t>（2）报价货币为人民币。若</w:t>
      </w:r>
      <w:r>
        <w:rPr>
          <w:rFonts w:hint="eastAsia" w:ascii="宋体" w:hAnsi="宋体" w:cs="宋体"/>
          <w:color w:val="auto"/>
          <w:sz w:val="24"/>
          <w:lang w:eastAsia="zh-CN"/>
        </w:rPr>
        <w:t>供应商</w:t>
      </w:r>
      <w:r>
        <w:rPr>
          <w:rFonts w:hint="eastAsia" w:ascii="宋体" w:hAnsi="宋体" w:eastAsia="宋体" w:cs="宋体"/>
          <w:color w:val="auto"/>
          <w:sz w:val="24"/>
        </w:rPr>
        <w:t>未对某些项目填报单价和合价，则认为已包括在其他项目的单价和合价以及投标总报价内。</w:t>
      </w:r>
    </w:p>
    <w:p w14:paraId="57285424">
      <w:pPr>
        <w:pStyle w:val="2"/>
        <w:spacing w:line="360" w:lineRule="auto"/>
        <w:ind w:left="0" w:leftChars="0" w:firstLine="480" w:firstLineChars="200"/>
        <w:rPr>
          <w:rFonts w:hint="eastAsia" w:ascii="宋体" w:hAnsi="宋体" w:eastAsia="宋体" w:cs="宋体"/>
          <w:color w:val="auto"/>
          <w:sz w:val="24"/>
          <w:lang w:eastAsia="zh-CN"/>
        </w:rPr>
      </w:pPr>
      <w:r>
        <w:rPr>
          <w:rFonts w:hint="eastAsia" w:ascii="宋体" w:hAnsi="宋体" w:cs="宋体"/>
          <w:color w:val="auto"/>
          <w:sz w:val="24"/>
          <w:lang w:val="en-US" w:eastAsia="zh-CN"/>
        </w:rPr>
        <w:t>★</w:t>
      </w:r>
      <w:r>
        <w:rPr>
          <w:rFonts w:hint="eastAsia" w:ascii="宋体" w:hAnsi="宋体" w:cs="宋体"/>
          <w:color w:val="auto"/>
          <w:sz w:val="24"/>
          <w:lang w:eastAsia="zh-CN"/>
        </w:rPr>
        <w:t>（</w:t>
      </w:r>
      <w:r>
        <w:rPr>
          <w:rFonts w:hint="eastAsia" w:ascii="宋体" w:hAnsi="宋体" w:cs="宋体"/>
          <w:color w:val="auto"/>
          <w:sz w:val="24"/>
          <w:lang w:val="en-US" w:eastAsia="zh-CN"/>
        </w:rPr>
        <w:t>3</w:t>
      </w:r>
      <w:r>
        <w:rPr>
          <w:rFonts w:hint="eastAsia" w:ascii="宋体" w:hAnsi="宋体" w:cs="宋体"/>
          <w:color w:val="auto"/>
          <w:sz w:val="24"/>
          <w:lang w:eastAsia="zh-CN"/>
        </w:rPr>
        <w:t>）</w:t>
      </w:r>
      <w:r>
        <w:rPr>
          <w:rFonts w:hint="eastAsia" w:ascii="宋体" w:hAnsi="宋体" w:cs="宋体"/>
          <w:color w:val="auto"/>
          <w:sz w:val="24"/>
          <w:lang w:val="en-US" w:eastAsia="zh-CN"/>
        </w:rPr>
        <w:t>响应报价</w:t>
      </w:r>
      <w:r>
        <w:rPr>
          <w:rFonts w:hint="eastAsia" w:ascii="宋体" w:hAnsi="宋体" w:cs="宋体"/>
          <w:color w:val="auto"/>
          <w:sz w:val="24"/>
          <w:lang w:eastAsia="zh-CN"/>
        </w:rPr>
        <w:t>总价和分项报价任一项超过相应最高限价或暂估价的，响应文件将被否决。最高限价或暂估价明细见下表：</w:t>
      </w:r>
    </w:p>
    <w:tbl>
      <w:tblPr>
        <w:tblStyle w:val="17"/>
        <w:tblW w:w="83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3"/>
        <w:gridCol w:w="3952"/>
        <w:gridCol w:w="3280"/>
      </w:tblGrid>
      <w:tr w14:paraId="639DA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3" w:type="dxa"/>
            <w:vAlign w:val="center"/>
          </w:tcPr>
          <w:p w14:paraId="5C614552">
            <w:pPr>
              <w:numPr>
                <w:ilvl w:val="255"/>
                <w:numId w:val="0"/>
              </w:numPr>
              <w:jc w:val="center"/>
              <w:rPr>
                <w:rFonts w:hint="eastAsia" w:ascii="宋体" w:hAnsi="宋体" w:cs="宋体"/>
                <w:b/>
                <w:bCs/>
                <w:color w:val="auto"/>
                <w:sz w:val="24"/>
              </w:rPr>
            </w:pPr>
            <w:r>
              <w:rPr>
                <w:rFonts w:hint="eastAsia" w:ascii="宋体" w:hAnsi="宋体" w:cs="宋体"/>
                <w:b/>
                <w:bCs/>
                <w:color w:val="auto"/>
                <w:sz w:val="24"/>
              </w:rPr>
              <w:t>序号</w:t>
            </w:r>
          </w:p>
        </w:tc>
        <w:tc>
          <w:tcPr>
            <w:tcW w:w="3952" w:type="dxa"/>
            <w:vAlign w:val="center"/>
          </w:tcPr>
          <w:p w14:paraId="6D59ACAB">
            <w:pPr>
              <w:numPr>
                <w:ilvl w:val="255"/>
                <w:numId w:val="0"/>
              </w:numPr>
              <w:jc w:val="center"/>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项目名称</w:t>
            </w:r>
          </w:p>
        </w:tc>
        <w:tc>
          <w:tcPr>
            <w:tcW w:w="3280" w:type="dxa"/>
            <w:tcBorders>
              <w:bottom w:val="single" w:color="auto" w:sz="4" w:space="0"/>
            </w:tcBorders>
            <w:vAlign w:val="center"/>
          </w:tcPr>
          <w:p w14:paraId="786C66D7">
            <w:pPr>
              <w:numPr>
                <w:ilvl w:val="255"/>
                <w:numId w:val="0"/>
              </w:numPr>
              <w:jc w:val="center"/>
              <w:rPr>
                <w:rFonts w:hint="eastAsia" w:ascii="宋体" w:hAnsi="宋体" w:cs="宋体"/>
                <w:b/>
                <w:bCs/>
                <w:color w:val="auto"/>
                <w:sz w:val="24"/>
              </w:rPr>
            </w:pPr>
            <w:r>
              <w:rPr>
                <w:rFonts w:hint="eastAsia" w:ascii="宋体" w:hAnsi="宋体" w:cs="宋体"/>
                <w:b/>
                <w:bCs/>
                <w:color w:val="auto"/>
                <w:sz w:val="24"/>
                <w:lang w:val="en-US" w:eastAsia="zh-CN"/>
              </w:rPr>
              <w:t>最高投标限价</w:t>
            </w:r>
            <w:r>
              <w:rPr>
                <w:rFonts w:hint="eastAsia" w:ascii="宋体" w:hAnsi="宋体" w:cs="宋体"/>
                <w:b/>
                <w:bCs/>
                <w:color w:val="auto"/>
                <w:sz w:val="24"/>
              </w:rPr>
              <w:t>（万元）</w:t>
            </w:r>
          </w:p>
        </w:tc>
      </w:tr>
      <w:tr w14:paraId="66D21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3" w:type="dxa"/>
            <w:vAlign w:val="center"/>
          </w:tcPr>
          <w:p w14:paraId="596CA25A">
            <w:pPr>
              <w:numPr>
                <w:ilvl w:val="255"/>
                <w:numId w:val="0"/>
              </w:numPr>
              <w:jc w:val="center"/>
              <w:rPr>
                <w:rFonts w:hint="eastAsia" w:ascii="宋体" w:hAnsi="宋体" w:cs="宋体"/>
                <w:color w:val="auto"/>
                <w:sz w:val="24"/>
              </w:rPr>
            </w:pPr>
            <w:r>
              <w:rPr>
                <w:rFonts w:hint="eastAsia" w:ascii="宋体" w:hAnsi="宋体" w:cs="宋体"/>
                <w:color w:val="auto"/>
                <w:sz w:val="24"/>
              </w:rPr>
              <w:t>1</w:t>
            </w:r>
          </w:p>
        </w:tc>
        <w:tc>
          <w:tcPr>
            <w:tcW w:w="3952" w:type="dxa"/>
            <w:vAlign w:val="center"/>
          </w:tcPr>
          <w:p w14:paraId="66E5E717">
            <w:pPr>
              <w:numPr>
                <w:ilvl w:val="255"/>
                <w:numId w:val="0"/>
              </w:numPr>
              <w:jc w:val="center"/>
              <w:rPr>
                <w:rFonts w:hint="eastAsia" w:ascii="宋体" w:hAnsi="宋体" w:cs="宋体"/>
                <w:color w:val="auto"/>
                <w:sz w:val="24"/>
              </w:rPr>
            </w:pPr>
            <w:r>
              <w:rPr>
                <w:rFonts w:hint="eastAsia" w:ascii="宋体" w:hAnsi="宋体" w:cs="宋体"/>
                <w:color w:val="auto"/>
                <w:sz w:val="24"/>
              </w:rPr>
              <w:t>峰山口输水闸下游渠道混凝土缺陷处理工程</w:t>
            </w:r>
          </w:p>
        </w:tc>
        <w:tc>
          <w:tcPr>
            <w:tcW w:w="3280" w:type="dxa"/>
            <w:tcBorders>
              <w:top w:val="single" w:color="auto" w:sz="4" w:space="0"/>
              <w:left w:val="nil"/>
              <w:bottom w:val="single" w:color="auto" w:sz="4" w:space="0"/>
              <w:right w:val="single" w:color="auto" w:sz="4" w:space="0"/>
            </w:tcBorders>
            <w:shd w:val="clear" w:color="auto" w:fill="auto"/>
            <w:vAlign w:val="center"/>
          </w:tcPr>
          <w:p w14:paraId="7308F43A">
            <w:pPr>
              <w:numPr>
                <w:ilvl w:val="255"/>
                <w:numId w:val="0"/>
              </w:numPr>
              <w:jc w:val="center"/>
              <w:rPr>
                <w:rFonts w:hint="eastAsia" w:ascii="宋体" w:hAnsi="宋体" w:cs="宋体"/>
                <w:color w:val="auto"/>
                <w:sz w:val="24"/>
              </w:rPr>
            </w:pPr>
            <w:r>
              <w:rPr>
                <w:rFonts w:hint="eastAsia" w:ascii="宋体" w:hAnsi="宋体" w:cs="宋体"/>
                <w:color w:val="auto"/>
                <w:sz w:val="24"/>
              </w:rPr>
              <w:t xml:space="preserve">277.415617 </w:t>
            </w:r>
          </w:p>
        </w:tc>
      </w:tr>
      <w:tr w14:paraId="69997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3" w:type="dxa"/>
            <w:vAlign w:val="center"/>
          </w:tcPr>
          <w:p w14:paraId="63738592">
            <w:pPr>
              <w:numPr>
                <w:ilvl w:val="255"/>
                <w:numId w:val="0"/>
              </w:numPr>
              <w:jc w:val="center"/>
              <w:rPr>
                <w:rFonts w:hint="eastAsia" w:ascii="宋体" w:hAnsi="宋体" w:cs="宋体"/>
                <w:color w:val="auto"/>
                <w:sz w:val="24"/>
              </w:rPr>
            </w:pPr>
            <w:r>
              <w:rPr>
                <w:rFonts w:hint="eastAsia" w:ascii="宋体" w:hAnsi="宋体" w:cs="宋体"/>
                <w:color w:val="auto"/>
                <w:sz w:val="24"/>
              </w:rPr>
              <w:t>2</w:t>
            </w:r>
          </w:p>
        </w:tc>
        <w:tc>
          <w:tcPr>
            <w:tcW w:w="3952" w:type="dxa"/>
            <w:vAlign w:val="center"/>
          </w:tcPr>
          <w:p w14:paraId="112AE97B">
            <w:pPr>
              <w:numPr>
                <w:ilvl w:val="255"/>
                <w:numId w:val="0"/>
              </w:numPr>
              <w:jc w:val="center"/>
              <w:rPr>
                <w:rFonts w:hint="eastAsia" w:ascii="宋体" w:hAnsi="宋体" w:cs="宋体"/>
                <w:color w:val="auto"/>
                <w:sz w:val="24"/>
              </w:rPr>
            </w:pPr>
            <w:r>
              <w:rPr>
                <w:rFonts w:hint="eastAsia" w:ascii="宋体" w:hAnsi="宋体" w:cs="宋体"/>
                <w:color w:val="auto"/>
                <w:sz w:val="24"/>
              </w:rPr>
              <w:t>怀柔水库闸站房屋修缮工程</w:t>
            </w:r>
          </w:p>
        </w:tc>
        <w:tc>
          <w:tcPr>
            <w:tcW w:w="3280" w:type="dxa"/>
            <w:tcBorders>
              <w:top w:val="single" w:color="auto" w:sz="4" w:space="0"/>
              <w:left w:val="nil"/>
              <w:bottom w:val="single" w:color="auto" w:sz="4" w:space="0"/>
              <w:right w:val="single" w:color="auto" w:sz="4" w:space="0"/>
            </w:tcBorders>
            <w:shd w:val="clear" w:color="auto" w:fill="auto"/>
            <w:vAlign w:val="center"/>
          </w:tcPr>
          <w:p w14:paraId="4862282C">
            <w:pPr>
              <w:numPr>
                <w:ilvl w:val="255"/>
                <w:numId w:val="0"/>
              </w:numPr>
              <w:jc w:val="center"/>
              <w:rPr>
                <w:rFonts w:hint="eastAsia" w:ascii="宋体" w:hAnsi="宋体" w:cs="宋体"/>
                <w:color w:val="auto"/>
                <w:sz w:val="24"/>
              </w:rPr>
            </w:pPr>
            <w:r>
              <w:rPr>
                <w:rFonts w:hint="eastAsia" w:ascii="宋体" w:hAnsi="宋体" w:cs="宋体"/>
                <w:color w:val="auto"/>
                <w:sz w:val="24"/>
              </w:rPr>
              <w:t xml:space="preserve">34.112021 </w:t>
            </w:r>
          </w:p>
        </w:tc>
      </w:tr>
      <w:tr w14:paraId="34E36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3" w:type="dxa"/>
            <w:vAlign w:val="center"/>
          </w:tcPr>
          <w:p w14:paraId="6709E321">
            <w:pPr>
              <w:numPr>
                <w:ilvl w:val="255"/>
                <w:numId w:val="0"/>
              </w:numPr>
              <w:jc w:val="center"/>
              <w:rPr>
                <w:rFonts w:hint="eastAsia" w:ascii="宋体" w:hAnsi="宋体" w:cs="宋体"/>
                <w:color w:val="auto"/>
                <w:sz w:val="24"/>
              </w:rPr>
            </w:pPr>
            <w:r>
              <w:rPr>
                <w:rFonts w:hint="eastAsia" w:ascii="宋体" w:hAnsi="宋体" w:cs="宋体"/>
                <w:color w:val="auto"/>
                <w:sz w:val="24"/>
              </w:rPr>
              <w:t>3</w:t>
            </w:r>
          </w:p>
        </w:tc>
        <w:tc>
          <w:tcPr>
            <w:tcW w:w="3952" w:type="dxa"/>
            <w:vAlign w:val="center"/>
          </w:tcPr>
          <w:p w14:paraId="01A56DF1">
            <w:pPr>
              <w:numPr>
                <w:ilvl w:val="255"/>
                <w:numId w:val="0"/>
              </w:numPr>
              <w:jc w:val="center"/>
              <w:rPr>
                <w:rFonts w:hint="eastAsia" w:ascii="宋体" w:hAnsi="宋体" w:cs="宋体"/>
                <w:color w:val="auto"/>
                <w:sz w:val="24"/>
              </w:rPr>
            </w:pPr>
            <w:r>
              <w:rPr>
                <w:rFonts w:hint="eastAsia" w:ascii="宋体" w:hAnsi="宋体" w:cs="宋体"/>
                <w:color w:val="auto"/>
                <w:sz w:val="24"/>
              </w:rPr>
              <w:t>西台上节制闸混凝土缺陷处理工程</w:t>
            </w:r>
          </w:p>
        </w:tc>
        <w:tc>
          <w:tcPr>
            <w:tcW w:w="3280" w:type="dxa"/>
            <w:tcBorders>
              <w:top w:val="single" w:color="auto" w:sz="4" w:space="0"/>
              <w:left w:val="nil"/>
              <w:bottom w:val="single" w:color="auto" w:sz="4" w:space="0"/>
              <w:right w:val="single" w:color="auto" w:sz="4" w:space="0"/>
            </w:tcBorders>
            <w:shd w:val="clear" w:color="auto" w:fill="auto"/>
            <w:vAlign w:val="center"/>
          </w:tcPr>
          <w:p w14:paraId="492BF3F2">
            <w:pPr>
              <w:numPr>
                <w:ilvl w:val="255"/>
                <w:numId w:val="0"/>
              </w:numPr>
              <w:jc w:val="center"/>
              <w:rPr>
                <w:rFonts w:hint="eastAsia" w:ascii="宋体" w:hAnsi="宋体" w:cs="宋体"/>
                <w:color w:val="auto"/>
                <w:sz w:val="24"/>
              </w:rPr>
            </w:pPr>
            <w:r>
              <w:rPr>
                <w:rFonts w:hint="eastAsia" w:ascii="宋体" w:hAnsi="宋体" w:cs="宋体"/>
                <w:color w:val="auto"/>
                <w:sz w:val="24"/>
              </w:rPr>
              <w:t xml:space="preserve">8.142769 </w:t>
            </w:r>
          </w:p>
        </w:tc>
      </w:tr>
      <w:tr w14:paraId="3CB00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3" w:type="dxa"/>
            <w:vAlign w:val="center"/>
          </w:tcPr>
          <w:p w14:paraId="3418219A">
            <w:pPr>
              <w:numPr>
                <w:ilvl w:val="255"/>
                <w:numId w:val="0"/>
              </w:numPr>
              <w:jc w:val="center"/>
              <w:rPr>
                <w:rFonts w:hint="eastAsia" w:ascii="宋体" w:hAnsi="宋体" w:cs="宋体"/>
                <w:b/>
                <w:bCs/>
                <w:color w:val="auto"/>
                <w:sz w:val="24"/>
              </w:rPr>
            </w:pPr>
          </w:p>
        </w:tc>
        <w:tc>
          <w:tcPr>
            <w:tcW w:w="3952" w:type="dxa"/>
            <w:vAlign w:val="center"/>
          </w:tcPr>
          <w:p w14:paraId="2DB9946A">
            <w:pPr>
              <w:numPr>
                <w:ilvl w:val="255"/>
                <w:numId w:val="0"/>
              </w:numPr>
              <w:jc w:val="center"/>
              <w:rPr>
                <w:rFonts w:hint="eastAsia" w:ascii="宋体" w:hAnsi="宋体" w:cs="宋体"/>
                <w:b/>
                <w:bCs/>
                <w:color w:val="auto"/>
                <w:sz w:val="24"/>
              </w:rPr>
            </w:pPr>
            <w:r>
              <w:rPr>
                <w:rFonts w:hint="eastAsia" w:ascii="宋体" w:hAnsi="宋体" w:cs="宋体"/>
                <w:b/>
                <w:bCs/>
                <w:color w:val="auto"/>
                <w:sz w:val="24"/>
              </w:rPr>
              <w:t>合计</w:t>
            </w:r>
          </w:p>
        </w:tc>
        <w:tc>
          <w:tcPr>
            <w:tcW w:w="3280" w:type="dxa"/>
            <w:tcBorders>
              <w:top w:val="single" w:color="auto" w:sz="4" w:space="0"/>
            </w:tcBorders>
            <w:vAlign w:val="center"/>
          </w:tcPr>
          <w:p w14:paraId="4692E6A1">
            <w:pPr>
              <w:widowControl/>
              <w:jc w:val="center"/>
              <w:textAlignment w:val="center"/>
              <w:rPr>
                <w:rFonts w:hint="eastAsia" w:ascii="宋体" w:hAnsi="宋体" w:cs="宋体"/>
                <w:b/>
                <w:bCs/>
                <w:color w:val="auto"/>
                <w:sz w:val="22"/>
                <w:szCs w:val="22"/>
              </w:rPr>
            </w:pPr>
            <w:r>
              <w:rPr>
                <w:rFonts w:hint="eastAsia" w:ascii="宋体" w:hAnsi="宋体" w:cs="宋体"/>
                <w:b/>
                <w:bCs/>
                <w:color w:val="auto"/>
                <w:sz w:val="24"/>
              </w:rPr>
              <w:t xml:space="preserve">319.670407 </w:t>
            </w:r>
          </w:p>
        </w:tc>
      </w:tr>
    </w:tbl>
    <w:p w14:paraId="2A5A551F">
      <w:pPr>
        <w:numPr>
          <w:ilvl w:val="0"/>
          <w:numId w:val="0"/>
        </w:num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kern w:val="2"/>
          <w:sz w:val="24"/>
          <w:szCs w:val="24"/>
          <w:lang w:val="en-US" w:eastAsia="zh-CN" w:bidi="ar-SA"/>
        </w:rPr>
        <w:t>（4）</w:t>
      </w:r>
      <w:r>
        <w:rPr>
          <w:rFonts w:hint="eastAsia" w:ascii="宋体" w:hAnsi="宋体" w:eastAsia="宋体" w:cs="宋体"/>
          <w:color w:val="auto"/>
          <w:sz w:val="24"/>
        </w:rPr>
        <w:t>采购人不提供其他任何临时措施，</w:t>
      </w:r>
      <w:r>
        <w:rPr>
          <w:rFonts w:hint="eastAsia" w:ascii="宋体" w:hAnsi="宋体" w:cs="宋体"/>
          <w:color w:val="auto"/>
          <w:sz w:val="24"/>
          <w:lang w:eastAsia="zh-CN"/>
        </w:rPr>
        <w:t>供应商</w:t>
      </w:r>
      <w:r>
        <w:rPr>
          <w:rFonts w:hint="eastAsia" w:ascii="宋体" w:hAnsi="宋体" w:eastAsia="宋体" w:cs="宋体"/>
          <w:color w:val="auto"/>
          <w:sz w:val="24"/>
        </w:rPr>
        <w:t>应自行解决，费用包含在</w:t>
      </w:r>
      <w:r>
        <w:rPr>
          <w:rFonts w:hint="eastAsia" w:ascii="宋体" w:hAnsi="宋体" w:cs="宋体"/>
          <w:color w:val="auto"/>
          <w:sz w:val="24"/>
          <w:lang w:eastAsia="zh-CN"/>
        </w:rPr>
        <w:t>响应报价</w:t>
      </w:r>
      <w:r>
        <w:rPr>
          <w:rFonts w:hint="eastAsia" w:ascii="宋体" w:hAnsi="宋体" w:eastAsia="宋体" w:cs="宋体"/>
          <w:color w:val="auto"/>
          <w:sz w:val="24"/>
        </w:rPr>
        <w:t>中。</w:t>
      </w:r>
    </w:p>
    <w:p w14:paraId="3E315F74">
      <w:pPr>
        <w:numPr>
          <w:ilvl w:val="0"/>
          <w:numId w:val="0"/>
        </w:num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kern w:val="2"/>
          <w:sz w:val="24"/>
          <w:szCs w:val="24"/>
          <w:lang w:val="en-US" w:eastAsia="zh-CN" w:bidi="ar-SA"/>
        </w:rPr>
        <w:t>（5）</w:t>
      </w:r>
      <w:r>
        <w:rPr>
          <w:rFonts w:hint="eastAsia" w:ascii="宋体" w:hAnsi="宋体" w:eastAsia="宋体" w:cs="宋体"/>
          <w:color w:val="auto"/>
          <w:sz w:val="24"/>
        </w:rPr>
        <w:t>分项报价表组成：</w:t>
      </w:r>
    </w:p>
    <w:p w14:paraId="459BC65C">
      <w:pPr>
        <w:spacing w:line="360" w:lineRule="auto"/>
        <w:ind w:firstLine="480" w:firstLineChars="200"/>
        <w:rPr>
          <w:rFonts w:hint="eastAsia" w:ascii="宋体" w:hAnsi="宋体" w:eastAsia="宋体" w:cs="宋体"/>
          <w:color w:val="auto"/>
          <w:sz w:val="24"/>
        </w:rPr>
      </w:pPr>
      <w:r>
        <w:rPr>
          <w:rFonts w:hint="eastAsia" w:ascii="宋体" w:hAnsi="宋体" w:cs="宋体"/>
          <w:color w:val="auto"/>
          <w:sz w:val="24"/>
          <w:lang w:eastAsia="zh-CN"/>
        </w:rPr>
        <w:t>分项报价表</w:t>
      </w:r>
      <w:r>
        <w:rPr>
          <w:rFonts w:hint="eastAsia" w:ascii="宋体" w:hAnsi="宋体" w:eastAsia="宋体" w:cs="宋体"/>
          <w:color w:val="auto"/>
          <w:sz w:val="24"/>
        </w:rPr>
        <w:t>由以下报表组成，其中标记为“实质性格式”的须严格按照招标工程量清单给定格式填报，</w:t>
      </w:r>
      <w:r>
        <w:rPr>
          <w:rFonts w:hint="eastAsia" w:ascii="宋体" w:hAnsi="宋体" w:eastAsia="宋体" w:cs="宋体"/>
          <w:b/>
          <w:bCs/>
          <w:color w:val="auto"/>
          <w:sz w:val="24"/>
        </w:rPr>
        <w:t>否则，</w:t>
      </w:r>
      <w:r>
        <w:rPr>
          <w:rFonts w:hint="eastAsia" w:ascii="宋体" w:hAnsi="宋体" w:cs="宋体"/>
          <w:b/>
          <w:bCs/>
          <w:color w:val="auto"/>
          <w:sz w:val="24"/>
          <w:lang w:eastAsia="zh-CN"/>
        </w:rPr>
        <w:t>响应文件</w:t>
      </w:r>
      <w:r>
        <w:rPr>
          <w:rFonts w:hint="eastAsia" w:ascii="宋体" w:hAnsi="宋体" w:eastAsia="宋体" w:cs="宋体"/>
          <w:b/>
          <w:bCs/>
          <w:color w:val="auto"/>
          <w:sz w:val="24"/>
        </w:rPr>
        <w:t>将按无效标被否决。</w:t>
      </w:r>
      <w:r>
        <w:rPr>
          <w:rFonts w:hint="eastAsia" w:ascii="宋体" w:hAnsi="宋体" w:cs="宋体"/>
          <w:color w:val="auto"/>
          <w:sz w:val="24"/>
          <w:lang w:eastAsia="zh-CN"/>
        </w:rPr>
        <w:t>供应商</w:t>
      </w:r>
      <w:r>
        <w:rPr>
          <w:rFonts w:hint="eastAsia" w:ascii="宋体" w:hAnsi="宋体" w:eastAsia="宋体" w:cs="宋体"/>
          <w:color w:val="auto"/>
          <w:sz w:val="24"/>
        </w:rPr>
        <w:t>可自行增加其他报表，也可对未标记“实质性格式”的表格进行调整。</w:t>
      </w:r>
    </w:p>
    <w:p w14:paraId="4F7D727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1）单项工程招标工程量清单汇总表</w:t>
      </w:r>
    </w:p>
    <w:p w14:paraId="63E4EFD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2）总价措施项目清单与计价汇总表</w:t>
      </w:r>
    </w:p>
    <w:p w14:paraId="2AA5BEA7">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3）安全文明施工费明细表（实质性格式，其中：图集标准内项目措施费应按标准填报；特殊安全文明施工措施费可根据自身需要填报，未填报的视为包含在其他费用中）</w:t>
      </w:r>
    </w:p>
    <w:p w14:paraId="6C7F2EF3">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4）施工垃圾场外运输和消纳费明细表</w:t>
      </w:r>
    </w:p>
    <w:p w14:paraId="3BC1FB7D">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5）税金项目计价表（实质性格式）</w:t>
      </w:r>
    </w:p>
    <w:p w14:paraId="4603EC5D">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6）总价措施项目报价组成分析表</w:t>
      </w:r>
    </w:p>
    <w:p w14:paraId="1AAF2F67">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7）分部分项工程和单价措施项目清单与计价表（实质性格式）</w:t>
      </w:r>
    </w:p>
    <w:p w14:paraId="677305E0">
      <w:pPr>
        <w:pStyle w:val="2"/>
        <w:spacing w:line="360" w:lineRule="auto"/>
        <w:ind w:left="0" w:leftChars="0" w:firstLine="480" w:firstLineChars="200"/>
        <w:rPr>
          <w:rFonts w:hint="eastAsia" w:ascii="宋体" w:hAnsi="宋体" w:eastAsia="宋体" w:cs="宋体"/>
          <w:color w:val="auto"/>
          <w:sz w:val="24"/>
          <w:lang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color w:val="auto"/>
          <w:sz w:val="24"/>
        </w:rPr>
        <w:t>8）主要材料和工程设备选用表</w:t>
      </w:r>
    </w:p>
    <w:p w14:paraId="5B3D7D94">
      <w:pPr>
        <w:pStyle w:val="2"/>
        <w:ind w:left="0" w:leftChars="0" w:firstLine="0" w:firstLineChars="0"/>
        <w:rPr>
          <w:rFonts w:hint="eastAsia"/>
          <w:color w:val="auto"/>
        </w:rPr>
      </w:pPr>
    </w:p>
    <w:p w14:paraId="3AB734A8">
      <w:pPr>
        <w:tabs>
          <w:tab w:val="left" w:pos="360"/>
        </w:tabs>
        <w:snapToGrid w:val="0"/>
        <w:spacing w:line="360" w:lineRule="auto"/>
        <w:outlineLvl w:val="1"/>
        <w:rPr>
          <w:rFonts w:hint="eastAsia" w:ascii="宋体" w:hAnsi="宋体"/>
          <w:color w:val="auto"/>
          <w:sz w:val="24"/>
          <w:highlight w:val="none"/>
        </w:rPr>
      </w:pPr>
      <w:r>
        <w:rPr>
          <w:rFonts w:hint="eastAsia" w:ascii="宋体" w:hAnsi="宋体"/>
          <w:color w:val="auto"/>
          <w:sz w:val="24"/>
          <w:highlight w:val="none"/>
        </w:rPr>
        <w:t>9</w:t>
      </w:r>
      <w:r>
        <w:rPr>
          <w:rFonts w:ascii="宋体" w:hAnsi="宋体"/>
          <w:color w:val="auto"/>
          <w:sz w:val="24"/>
          <w:highlight w:val="none"/>
        </w:rPr>
        <w:t xml:space="preserve"> </w:t>
      </w:r>
      <w:bookmarkStart w:id="1134" w:name="_Toc150480798"/>
      <w:bookmarkStart w:id="1135" w:name="_Toc226337258"/>
      <w:bookmarkStart w:id="1136" w:name="_Toc142311062"/>
      <w:bookmarkStart w:id="1137" w:name="_Toc127151562"/>
      <w:bookmarkStart w:id="1138" w:name="_Toc265228400"/>
      <w:bookmarkStart w:id="1139" w:name="_Toc305158904"/>
      <w:bookmarkStart w:id="1140" w:name="_Toc226965835"/>
      <w:bookmarkStart w:id="1141" w:name="_Toc305158830"/>
      <w:bookmarkStart w:id="1142" w:name="_Toc264969252"/>
      <w:bookmarkStart w:id="1143" w:name="_Toc150774765"/>
      <w:bookmarkStart w:id="1144" w:name="_Toc226309806"/>
      <w:bookmarkStart w:id="1145" w:name="_Toc195842927"/>
      <w:bookmarkStart w:id="1146" w:name="_Toc226965752"/>
      <w:r>
        <w:rPr>
          <w:rFonts w:ascii="宋体" w:hAnsi="宋体"/>
          <w:color w:val="auto"/>
          <w:sz w:val="24"/>
          <w:highlight w:val="none"/>
        </w:rPr>
        <w:t>合同条款偏离表</w:t>
      </w:r>
      <w:bookmarkEnd w:id="1134"/>
      <w:bookmarkEnd w:id="1135"/>
      <w:bookmarkEnd w:id="1136"/>
      <w:bookmarkEnd w:id="1137"/>
      <w:bookmarkEnd w:id="1138"/>
      <w:bookmarkEnd w:id="1139"/>
      <w:bookmarkEnd w:id="1140"/>
      <w:bookmarkEnd w:id="1141"/>
      <w:bookmarkEnd w:id="1142"/>
      <w:bookmarkEnd w:id="1143"/>
      <w:bookmarkEnd w:id="1144"/>
      <w:bookmarkEnd w:id="1145"/>
      <w:bookmarkEnd w:id="1146"/>
    </w:p>
    <w:p w14:paraId="18066E4A">
      <w:pPr>
        <w:spacing w:line="360" w:lineRule="auto"/>
        <w:rPr>
          <w:rFonts w:hint="eastAsia" w:ascii="宋体" w:hAnsi="宋体"/>
          <w:color w:val="auto"/>
          <w:sz w:val="24"/>
          <w:szCs w:val="20"/>
          <w:highlight w:val="none"/>
        </w:rPr>
      </w:pPr>
    </w:p>
    <w:p w14:paraId="2A72E2EE">
      <w:pPr>
        <w:tabs>
          <w:tab w:val="left" w:pos="2775"/>
          <w:tab w:val="center" w:pos="4153"/>
        </w:tabs>
        <w:autoSpaceDE w:val="0"/>
        <w:autoSpaceDN w:val="0"/>
        <w:adjustRightInd w:val="0"/>
        <w:spacing w:line="360" w:lineRule="auto"/>
        <w:jc w:val="left"/>
        <w:rPr>
          <w:rFonts w:hint="eastAsia" w:ascii="宋体" w:hAnsi="宋体"/>
          <w:b/>
          <w:color w:val="auto"/>
          <w:sz w:val="36"/>
          <w:szCs w:val="36"/>
          <w:highlight w:val="none"/>
        </w:rPr>
      </w:pPr>
      <w:r>
        <w:rPr>
          <w:rFonts w:ascii="宋体" w:hAnsi="宋体"/>
          <w:color w:val="auto"/>
          <w:sz w:val="36"/>
          <w:szCs w:val="36"/>
          <w:highlight w:val="none"/>
        </w:rPr>
        <w:tab/>
      </w:r>
      <w:r>
        <w:rPr>
          <w:rFonts w:ascii="宋体" w:hAnsi="宋体"/>
          <w:b/>
          <w:color w:val="auto"/>
          <w:sz w:val="36"/>
          <w:szCs w:val="36"/>
          <w:highlight w:val="none"/>
        </w:rPr>
        <w:tab/>
      </w:r>
      <w:r>
        <w:rPr>
          <w:rFonts w:hint="eastAsia" w:ascii="宋体" w:hAnsi="宋体"/>
          <w:b/>
          <w:color w:val="auto"/>
          <w:sz w:val="36"/>
          <w:szCs w:val="36"/>
          <w:highlight w:val="none"/>
        </w:rPr>
        <w:t>合同条款偏离表</w:t>
      </w:r>
    </w:p>
    <w:p w14:paraId="32D9CADD">
      <w:pPr>
        <w:tabs>
          <w:tab w:val="left" w:pos="1800"/>
          <w:tab w:val="left" w:pos="5580"/>
        </w:tabs>
        <w:spacing w:line="360" w:lineRule="auto"/>
        <w:ind w:firstLine="360" w:firstLineChars="150"/>
        <w:jc w:val="left"/>
        <w:rPr>
          <w:rFonts w:hint="eastAsia" w:ascii="宋体" w:hAnsi="宋体"/>
          <w:color w:val="auto"/>
          <w:sz w:val="24"/>
          <w:highlight w:val="none"/>
        </w:rPr>
      </w:pPr>
      <w:r>
        <w:rPr>
          <w:rFonts w:ascii="宋体" w:hAnsi="宋体"/>
          <w:color w:val="auto"/>
          <w:sz w:val="24"/>
          <w:highlight w:val="none"/>
        </w:rPr>
        <w:t>项目编号：</w:t>
      </w:r>
      <w:r>
        <w:rPr>
          <w:rFonts w:ascii="宋体" w:hAnsi="宋体"/>
          <w:color w:val="auto"/>
          <w:sz w:val="24"/>
          <w:highlight w:val="none"/>
          <w:u w:val="single"/>
        </w:rPr>
        <w:t xml:space="preserve">_______________ </w:t>
      </w:r>
      <w:r>
        <w:rPr>
          <w:rFonts w:ascii="宋体" w:hAnsi="宋体"/>
          <w:color w:val="auto"/>
          <w:sz w:val="24"/>
          <w:highlight w:val="none"/>
        </w:rPr>
        <w:t xml:space="preserve">    项目名称：</w:t>
      </w:r>
      <w:r>
        <w:rPr>
          <w:rFonts w:ascii="宋体" w:hAnsi="宋体"/>
          <w:color w:val="auto"/>
          <w:sz w:val="24"/>
          <w:highlight w:val="none"/>
          <w:u w:val="single"/>
        </w:rPr>
        <w:t>_______________</w:t>
      </w:r>
    </w:p>
    <w:tbl>
      <w:tblPr>
        <w:tblStyle w:val="16"/>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1496"/>
        <w:gridCol w:w="1428"/>
        <w:gridCol w:w="1732"/>
        <w:gridCol w:w="2144"/>
        <w:gridCol w:w="729"/>
      </w:tblGrid>
      <w:tr w14:paraId="065B6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96" w:type="dxa"/>
            <w:gridSpan w:val="6"/>
            <w:vAlign w:val="center"/>
          </w:tcPr>
          <w:p w14:paraId="6AA7B0CA">
            <w:pPr>
              <w:adjustRightInd w:val="0"/>
              <w:snapToGrid w:val="0"/>
              <w:spacing w:line="360" w:lineRule="auto"/>
              <w:jc w:val="left"/>
              <w:rPr>
                <w:rFonts w:hint="eastAsia" w:ascii="宋体" w:hAnsi="宋体"/>
                <w:b/>
                <w:color w:val="auto"/>
                <w:sz w:val="24"/>
                <w:highlight w:val="none"/>
              </w:rPr>
            </w:pPr>
            <w:r>
              <w:rPr>
                <w:rFonts w:hint="eastAsia" w:ascii="宋体" w:hAnsi="宋体"/>
                <w:b/>
                <w:color w:val="auto"/>
                <w:sz w:val="24"/>
                <w:highlight w:val="none"/>
              </w:rPr>
              <w:t>对本项目合同条款的偏离情况（请进行勾选）：</w:t>
            </w:r>
          </w:p>
          <w:p w14:paraId="690B0F02">
            <w:pPr>
              <w:adjustRightInd w:val="0"/>
              <w:snapToGrid w:val="0"/>
              <w:spacing w:line="360" w:lineRule="auto"/>
              <w:jc w:val="left"/>
              <w:rPr>
                <w:rFonts w:hint="eastAsia" w:ascii="宋体" w:hAnsi="宋体"/>
                <w:b/>
                <w:color w:val="auto"/>
                <w:sz w:val="24"/>
                <w:highlight w:val="none"/>
              </w:rPr>
            </w:pPr>
            <w:r>
              <w:rPr>
                <w:rFonts w:ascii="宋体" w:hAnsi="宋体"/>
                <w:b/>
                <w:color w:val="auto"/>
                <w:sz w:val="24"/>
                <w:highlight w:val="none"/>
              </w:rPr>
              <w:t>□无偏离</w:t>
            </w:r>
            <w:r>
              <w:rPr>
                <w:rFonts w:ascii="宋体" w:hAnsi="宋体"/>
                <w:color w:val="auto"/>
                <w:sz w:val="24"/>
                <w:highlight w:val="none"/>
              </w:rPr>
              <w:t>（</w:t>
            </w:r>
            <w:r>
              <w:rPr>
                <w:rFonts w:ascii="宋体" w:hAnsi="宋体"/>
                <w:color w:val="auto"/>
                <w:sz w:val="24"/>
                <w:szCs w:val="21"/>
                <w:highlight w:val="none"/>
              </w:rPr>
              <w:t>如无偏离，仅勾选无偏离即可</w:t>
            </w:r>
            <w:r>
              <w:rPr>
                <w:rFonts w:ascii="宋体" w:hAnsi="宋体"/>
                <w:color w:val="auto"/>
                <w:sz w:val="24"/>
                <w:highlight w:val="none"/>
              </w:rPr>
              <w:t>）</w:t>
            </w:r>
          </w:p>
          <w:p w14:paraId="3BE2E304">
            <w:pPr>
              <w:adjustRightInd w:val="0"/>
              <w:snapToGrid w:val="0"/>
              <w:spacing w:line="360" w:lineRule="auto"/>
              <w:jc w:val="left"/>
              <w:rPr>
                <w:rFonts w:hint="eastAsia" w:ascii="宋体" w:hAnsi="宋体"/>
                <w:color w:val="auto"/>
                <w:sz w:val="24"/>
                <w:highlight w:val="none"/>
              </w:rPr>
            </w:pPr>
            <w:r>
              <w:rPr>
                <w:rFonts w:ascii="宋体" w:hAnsi="宋体"/>
                <w:b/>
                <w:color w:val="auto"/>
                <w:sz w:val="24"/>
                <w:highlight w:val="none"/>
              </w:rPr>
              <w:t>□有偏离</w:t>
            </w:r>
            <w:r>
              <w:rPr>
                <w:rFonts w:ascii="宋体" w:hAnsi="宋体"/>
                <w:color w:val="auto"/>
                <w:sz w:val="24"/>
                <w:highlight w:val="none"/>
              </w:rPr>
              <w:t>（</w:t>
            </w:r>
            <w:r>
              <w:rPr>
                <w:rFonts w:ascii="宋体" w:hAnsi="宋体"/>
                <w:color w:val="auto"/>
                <w:sz w:val="24"/>
                <w:szCs w:val="21"/>
                <w:highlight w:val="none"/>
              </w:rPr>
              <w:t>如有负偏离，</w:t>
            </w:r>
            <w:r>
              <w:rPr>
                <w:rFonts w:ascii="宋体" w:hAnsi="宋体"/>
                <w:color w:val="auto"/>
                <w:sz w:val="24"/>
                <w:highlight w:val="none"/>
              </w:rPr>
              <w:t>则须在本表中对负偏离项逐一列明）</w:t>
            </w:r>
          </w:p>
        </w:tc>
      </w:tr>
      <w:tr w14:paraId="07B02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7" w:type="dxa"/>
            <w:vAlign w:val="center"/>
          </w:tcPr>
          <w:p w14:paraId="15C07ACB">
            <w:pPr>
              <w:adjustRightInd w:val="0"/>
              <w:snapToGrid w:val="0"/>
              <w:spacing w:line="360" w:lineRule="auto"/>
              <w:jc w:val="center"/>
              <w:rPr>
                <w:rFonts w:hint="eastAsia" w:ascii="宋体" w:hAnsi="宋体"/>
                <w:color w:val="auto"/>
                <w:sz w:val="24"/>
                <w:highlight w:val="none"/>
              </w:rPr>
            </w:pPr>
            <w:r>
              <w:rPr>
                <w:rFonts w:ascii="宋体" w:hAnsi="宋体"/>
                <w:color w:val="auto"/>
                <w:sz w:val="24"/>
                <w:highlight w:val="none"/>
              </w:rPr>
              <w:t>序号</w:t>
            </w:r>
          </w:p>
        </w:tc>
        <w:tc>
          <w:tcPr>
            <w:tcW w:w="1496" w:type="dxa"/>
            <w:vAlign w:val="center"/>
          </w:tcPr>
          <w:p w14:paraId="57DA5D70">
            <w:pPr>
              <w:adjustRightInd w:val="0"/>
              <w:snapToGrid w:val="0"/>
              <w:spacing w:line="360" w:lineRule="auto"/>
              <w:jc w:val="center"/>
              <w:rPr>
                <w:rFonts w:hint="eastAsia" w:ascii="宋体" w:hAnsi="宋体"/>
                <w:color w:val="auto"/>
                <w:sz w:val="24"/>
                <w:highlight w:val="none"/>
              </w:rPr>
            </w:pPr>
            <w:r>
              <w:rPr>
                <w:rFonts w:ascii="宋体" w:hAnsi="宋体"/>
                <w:color w:val="auto"/>
                <w:sz w:val="24"/>
                <w:szCs w:val="21"/>
                <w:highlight w:val="none"/>
              </w:rPr>
              <w:t>竞争性磋商文件</w:t>
            </w:r>
            <w:r>
              <w:rPr>
                <w:rFonts w:ascii="宋体" w:hAnsi="宋体"/>
                <w:color w:val="auto"/>
                <w:sz w:val="24"/>
                <w:highlight w:val="none"/>
              </w:rPr>
              <w:t>条目号（页码）</w:t>
            </w:r>
          </w:p>
        </w:tc>
        <w:tc>
          <w:tcPr>
            <w:tcW w:w="1428" w:type="dxa"/>
            <w:vAlign w:val="center"/>
          </w:tcPr>
          <w:p w14:paraId="58A391CF">
            <w:pPr>
              <w:adjustRightInd w:val="0"/>
              <w:snapToGrid w:val="0"/>
              <w:spacing w:line="360" w:lineRule="auto"/>
              <w:jc w:val="center"/>
              <w:rPr>
                <w:rFonts w:hint="eastAsia" w:ascii="宋体" w:hAnsi="宋体"/>
                <w:color w:val="auto"/>
                <w:sz w:val="24"/>
                <w:highlight w:val="none"/>
              </w:rPr>
            </w:pPr>
            <w:r>
              <w:rPr>
                <w:rFonts w:ascii="宋体" w:hAnsi="宋体"/>
                <w:color w:val="auto"/>
                <w:sz w:val="24"/>
                <w:szCs w:val="21"/>
                <w:highlight w:val="none"/>
              </w:rPr>
              <w:t>竞争性磋商文件</w:t>
            </w:r>
            <w:r>
              <w:rPr>
                <w:rFonts w:ascii="宋体" w:hAnsi="宋体"/>
                <w:color w:val="auto"/>
                <w:sz w:val="24"/>
                <w:highlight w:val="none"/>
              </w:rPr>
              <w:t>要求</w:t>
            </w:r>
          </w:p>
        </w:tc>
        <w:tc>
          <w:tcPr>
            <w:tcW w:w="1732" w:type="dxa"/>
            <w:vAlign w:val="center"/>
          </w:tcPr>
          <w:p w14:paraId="60C90C71">
            <w:pPr>
              <w:adjustRightInd w:val="0"/>
              <w:snapToGrid w:val="0"/>
              <w:spacing w:line="360" w:lineRule="auto"/>
              <w:jc w:val="center"/>
              <w:rPr>
                <w:rFonts w:hint="eastAsia" w:ascii="宋体" w:hAnsi="宋体"/>
                <w:color w:val="auto"/>
                <w:sz w:val="24"/>
                <w:highlight w:val="none"/>
              </w:rPr>
            </w:pPr>
            <w:r>
              <w:rPr>
                <w:rFonts w:ascii="宋体" w:hAnsi="宋体"/>
                <w:color w:val="auto"/>
                <w:sz w:val="24"/>
                <w:highlight w:val="none"/>
              </w:rPr>
              <w:t>响应文件内容</w:t>
            </w:r>
          </w:p>
        </w:tc>
        <w:tc>
          <w:tcPr>
            <w:tcW w:w="2144" w:type="dxa"/>
            <w:vAlign w:val="center"/>
          </w:tcPr>
          <w:p w14:paraId="713D4ED7">
            <w:pPr>
              <w:adjustRightInd w:val="0"/>
              <w:snapToGrid w:val="0"/>
              <w:spacing w:line="360" w:lineRule="auto"/>
              <w:jc w:val="center"/>
              <w:rPr>
                <w:rFonts w:hint="eastAsia" w:ascii="宋体" w:hAnsi="宋体"/>
                <w:color w:val="auto"/>
                <w:sz w:val="24"/>
                <w:highlight w:val="none"/>
              </w:rPr>
            </w:pPr>
            <w:r>
              <w:rPr>
                <w:rFonts w:ascii="宋体" w:hAnsi="宋体"/>
                <w:color w:val="auto"/>
                <w:sz w:val="24"/>
                <w:highlight w:val="none"/>
              </w:rPr>
              <w:t>偏离情况</w:t>
            </w:r>
          </w:p>
          <w:p w14:paraId="02C9F77C">
            <w:pPr>
              <w:adjustRightInd w:val="0"/>
              <w:snapToGrid w:val="0"/>
              <w:spacing w:line="360" w:lineRule="auto"/>
              <w:jc w:val="center"/>
              <w:rPr>
                <w:rFonts w:hint="eastAsia" w:ascii="宋体" w:hAnsi="宋体"/>
                <w:color w:val="auto"/>
                <w:sz w:val="24"/>
                <w:highlight w:val="none"/>
              </w:rPr>
            </w:pPr>
            <w:r>
              <w:rPr>
                <w:rFonts w:ascii="宋体" w:hAnsi="宋体"/>
                <w:color w:val="auto"/>
                <w:sz w:val="24"/>
                <w:highlight w:val="none"/>
              </w:rPr>
              <w:t>（据实填写）</w:t>
            </w:r>
          </w:p>
        </w:tc>
        <w:tc>
          <w:tcPr>
            <w:tcW w:w="729" w:type="dxa"/>
            <w:vAlign w:val="center"/>
          </w:tcPr>
          <w:p w14:paraId="76772514">
            <w:pPr>
              <w:adjustRightInd w:val="0"/>
              <w:snapToGrid w:val="0"/>
              <w:spacing w:line="360" w:lineRule="auto"/>
              <w:jc w:val="center"/>
              <w:rPr>
                <w:rFonts w:hint="eastAsia" w:ascii="宋体" w:hAnsi="宋体"/>
                <w:color w:val="auto"/>
                <w:sz w:val="24"/>
                <w:highlight w:val="none"/>
              </w:rPr>
            </w:pPr>
            <w:r>
              <w:rPr>
                <w:rFonts w:ascii="宋体" w:hAnsi="宋体"/>
                <w:color w:val="auto"/>
                <w:sz w:val="24"/>
                <w:highlight w:val="none"/>
              </w:rPr>
              <w:t>说明</w:t>
            </w:r>
          </w:p>
        </w:tc>
      </w:tr>
      <w:tr w14:paraId="4B06A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7" w:type="dxa"/>
            <w:vAlign w:val="center"/>
          </w:tcPr>
          <w:p w14:paraId="69BC4116">
            <w:pPr>
              <w:adjustRightInd w:val="0"/>
              <w:snapToGrid w:val="0"/>
              <w:spacing w:line="360" w:lineRule="auto"/>
              <w:jc w:val="center"/>
              <w:rPr>
                <w:rFonts w:hint="eastAsia" w:ascii="宋体" w:hAnsi="宋体"/>
                <w:color w:val="auto"/>
                <w:sz w:val="24"/>
                <w:highlight w:val="none"/>
              </w:rPr>
            </w:pPr>
          </w:p>
        </w:tc>
        <w:tc>
          <w:tcPr>
            <w:tcW w:w="1496" w:type="dxa"/>
            <w:vAlign w:val="center"/>
          </w:tcPr>
          <w:p w14:paraId="4579F158">
            <w:pPr>
              <w:adjustRightInd w:val="0"/>
              <w:snapToGrid w:val="0"/>
              <w:spacing w:line="360" w:lineRule="auto"/>
              <w:jc w:val="center"/>
              <w:rPr>
                <w:rFonts w:hint="eastAsia" w:ascii="宋体" w:hAnsi="宋体"/>
                <w:color w:val="auto"/>
                <w:sz w:val="24"/>
                <w:highlight w:val="none"/>
              </w:rPr>
            </w:pPr>
          </w:p>
        </w:tc>
        <w:tc>
          <w:tcPr>
            <w:tcW w:w="1428" w:type="dxa"/>
            <w:vAlign w:val="center"/>
          </w:tcPr>
          <w:p w14:paraId="1FAD63C0">
            <w:pPr>
              <w:adjustRightInd w:val="0"/>
              <w:snapToGrid w:val="0"/>
              <w:spacing w:line="360" w:lineRule="auto"/>
              <w:jc w:val="center"/>
              <w:rPr>
                <w:rFonts w:hint="eastAsia" w:ascii="宋体" w:hAnsi="宋体"/>
                <w:color w:val="auto"/>
                <w:sz w:val="24"/>
                <w:highlight w:val="none"/>
              </w:rPr>
            </w:pPr>
          </w:p>
        </w:tc>
        <w:tc>
          <w:tcPr>
            <w:tcW w:w="1732" w:type="dxa"/>
            <w:vAlign w:val="center"/>
          </w:tcPr>
          <w:p w14:paraId="58A614AD">
            <w:pPr>
              <w:adjustRightInd w:val="0"/>
              <w:snapToGrid w:val="0"/>
              <w:spacing w:line="360" w:lineRule="auto"/>
              <w:jc w:val="center"/>
              <w:rPr>
                <w:rFonts w:hint="eastAsia" w:ascii="宋体" w:hAnsi="宋体"/>
                <w:color w:val="auto"/>
                <w:sz w:val="24"/>
                <w:highlight w:val="none"/>
              </w:rPr>
            </w:pPr>
          </w:p>
        </w:tc>
        <w:tc>
          <w:tcPr>
            <w:tcW w:w="2144" w:type="dxa"/>
            <w:vAlign w:val="center"/>
          </w:tcPr>
          <w:p w14:paraId="557B0C6B">
            <w:pPr>
              <w:adjustRightInd w:val="0"/>
              <w:snapToGrid w:val="0"/>
              <w:spacing w:line="360" w:lineRule="auto"/>
              <w:jc w:val="center"/>
              <w:rPr>
                <w:rFonts w:hint="eastAsia" w:ascii="宋体" w:hAnsi="宋体"/>
                <w:color w:val="auto"/>
                <w:sz w:val="24"/>
                <w:highlight w:val="none"/>
              </w:rPr>
            </w:pPr>
          </w:p>
        </w:tc>
        <w:tc>
          <w:tcPr>
            <w:tcW w:w="729" w:type="dxa"/>
            <w:vAlign w:val="center"/>
          </w:tcPr>
          <w:p w14:paraId="3FC15BB7">
            <w:pPr>
              <w:adjustRightInd w:val="0"/>
              <w:snapToGrid w:val="0"/>
              <w:spacing w:line="360" w:lineRule="auto"/>
              <w:jc w:val="center"/>
              <w:rPr>
                <w:rFonts w:hint="eastAsia" w:ascii="宋体" w:hAnsi="宋体"/>
                <w:color w:val="auto"/>
                <w:sz w:val="24"/>
                <w:highlight w:val="none"/>
              </w:rPr>
            </w:pPr>
          </w:p>
        </w:tc>
      </w:tr>
      <w:tr w14:paraId="7E0FA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7" w:type="dxa"/>
            <w:vAlign w:val="center"/>
          </w:tcPr>
          <w:p w14:paraId="426AC5F3">
            <w:pPr>
              <w:adjustRightInd w:val="0"/>
              <w:snapToGrid w:val="0"/>
              <w:spacing w:line="360" w:lineRule="auto"/>
              <w:jc w:val="center"/>
              <w:rPr>
                <w:rFonts w:hint="eastAsia" w:ascii="宋体" w:hAnsi="宋体"/>
                <w:color w:val="auto"/>
                <w:sz w:val="24"/>
                <w:highlight w:val="none"/>
              </w:rPr>
            </w:pPr>
          </w:p>
        </w:tc>
        <w:tc>
          <w:tcPr>
            <w:tcW w:w="1496" w:type="dxa"/>
            <w:vAlign w:val="center"/>
          </w:tcPr>
          <w:p w14:paraId="615C901F">
            <w:pPr>
              <w:adjustRightInd w:val="0"/>
              <w:snapToGrid w:val="0"/>
              <w:spacing w:line="360" w:lineRule="auto"/>
              <w:jc w:val="center"/>
              <w:rPr>
                <w:rFonts w:hint="eastAsia" w:ascii="宋体" w:hAnsi="宋体"/>
                <w:color w:val="auto"/>
                <w:sz w:val="24"/>
                <w:highlight w:val="none"/>
              </w:rPr>
            </w:pPr>
          </w:p>
        </w:tc>
        <w:tc>
          <w:tcPr>
            <w:tcW w:w="1428" w:type="dxa"/>
            <w:vAlign w:val="center"/>
          </w:tcPr>
          <w:p w14:paraId="3F3C21F1">
            <w:pPr>
              <w:adjustRightInd w:val="0"/>
              <w:snapToGrid w:val="0"/>
              <w:spacing w:line="360" w:lineRule="auto"/>
              <w:jc w:val="center"/>
              <w:rPr>
                <w:rFonts w:hint="eastAsia" w:ascii="宋体" w:hAnsi="宋体"/>
                <w:color w:val="auto"/>
                <w:sz w:val="24"/>
                <w:highlight w:val="none"/>
              </w:rPr>
            </w:pPr>
          </w:p>
        </w:tc>
        <w:tc>
          <w:tcPr>
            <w:tcW w:w="1732" w:type="dxa"/>
            <w:vAlign w:val="center"/>
          </w:tcPr>
          <w:p w14:paraId="08A50E16">
            <w:pPr>
              <w:adjustRightInd w:val="0"/>
              <w:snapToGrid w:val="0"/>
              <w:spacing w:line="360" w:lineRule="auto"/>
              <w:jc w:val="center"/>
              <w:rPr>
                <w:rFonts w:hint="eastAsia" w:ascii="宋体" w:hAnsi="宋体"/>
                <w:color w:val="auto"/>
                <w:sz w:val="24"/>
                <w:highlight w:val="none"/>
              </w:rPr>
            </w:pPr>
          </w:p>
        </w:tc>
        <w:tc>
          <w:tcPr>
            <w:tcW w:w="2144" w:type="dxa"/>
            <w:vAlign w:val="center"/>
          </w:tcPr>
          <w:p w14:paraId="03609567">
            <w:pPr>
              <w:adjustRightInd w:val="0"/>
              <w:snapToGrid w:val="0"/>
              <w:spacing w:line="360" w:lineRule="auto"/>
              <w:jc w:val="center"/>
              <w:rPr>
                <w:rFonts w:hint="eastAsia" w:ascii="宋体" w:hAnsi="宋体"/>
                <w:color w:val="auto"/>
                <w:sz w:val="24"/>
                <w:highlight w:val="none"/>
              </w:rPr>
            </w:pPr>
          </w:p>
        </w:tc>
        <w:tc>
          <w:tcPr>
            <w:tcW w:w="729" w:type="dxa"/>
            <w:vAlign w:val="center"/>
          </w:tcPr>
          <w:p w14:paraId="0818AEAF">
            <w:pPr>
              <w:adjustRightInd w:val="0"/>
              <w:snapToGrid w:val="0"/>
              <w:spacing w:line="360" w:lineRule="auto"/>
              <w:jc w:val="center"/>
              <w:rPr>
                <w:rFonts w:hint="eastAsia" w:ascii="宋体" w:hAnsi="宋体"/>
                <w:color w:val="auto"/>
                <w:sz w:val="24"/>
                <w:highlight w:val="none"/>
              </w:rPr>
            </w:pPr>
          </w:p>
        </w:tc>
      </w:tr>
      <w:tr w14:paraId="0E5ED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7" w:type="dxa"/>
            <w:vAlign w:val="center"/>
          </w:tcPr>
          <w:p w14:paraId="1DF35224">
            <w:pPr>
              <w:adjustRightInd w:val="0"/>
              <w:snapToGrid w:val="0"/>
              <w:spacing w:line="360" w:lineRule="auto"/>
              <w:jc w:val="center"/>
              <w:rPr>
                <w:rFonts w:hint="eastAsia" w:ascii="宋体" w:hAnsi="宋体"/>
                <w:color w:val="auto"/>
                <w:sz w:val="24"/>
                <w:highlight w:val="none"/>
              </w:rPr>
            </w:pPr>
          </w:p>
        </w:tc>
        <w:tc>
          <w:tcPr>
            <w:tcW w:w="1496" w:type="dxa"/>
            <w:vAlign w:val="center"/>
          </w:tcPr>
          <w:p w14:paraId="5E940759">
            <w:pPr>
              <w:adjustRightInd w:val="0"/>
              <w:snapToGrid w:val="0"/>
              <w:spacing w:line="360" w:lineRule="auto"/>
              <w:jc w:val="center"/>
              <w:rPr>
                <w:rFonts w:hint="eastAsia" w:ascii="宋体" w:hAnsi="宋体"/>
                <w:color w:val="auto"/>
                <w:sz w:val="24"/>
                <w:highlight w:val="none"/>
              </w:rPr>
            </w:pPr>
          </w:p>
        </w:tc>
        <w:tc>
          <w:tcPr>
            <w:tcW w:w="1428" w:type="dxa"/>
            <w:vAlign w:val="center"/>
          </w:tcPr>
          <w:p w14:paraId="56FB3EA9">
            <w:pPr>
              <w:adjustRightInd w:val="0"/>
              <w:snapToGrid w:val="0"/>
              <w:spacing w:line="360" w:lineRule="auto"/>
              <w:jc w:val="center"/>
              <w:rPr>
                <w:rFonts w:hint="eastAsia" w:ascii="宋体" w:hAnsi="宋体"/>
                <w:color w:val="auto"/>
                <w:sz w:val="24"/>
                <w:highlight w:val="none"/>
              </w:rPr>
            </w:pPr>
          </w:p>
        </w:tc>
        <w:tc>
          <w:tcPr>
            <w:tcW w:w="1732" w:type="dxa"/>
            <w:vAlign w:val="center"/>
          </w:tcPr>
          <w:p w14:paraId="0123B7BF">
            <w:pPr>
              <w:adjustRightInd w:val="0"/>
              <w:snapToGrid w:val="0"/>
              <w:spacing w:line="360" w:lineRule="auto"/>
              <w:jc w:val="center"/>
              <w:rPr>
                <w:rFonts w:hint="eastAsia" w:ascii="宋体" w:hAnsi="宋体"/>
                <w:color w:val="auto"/>
                <w:sz w:val="24"/>
                <w:highlight w:val="none"/>
              </w:rPr>
            </w:pPr>
          </w:p>
        </w:tc>
        <w:tc>
          <w:tcPr>
            <w:tcW w:w="2144" w:type="dxa"/>
            <w:vAlign w:val="center"/>
          </w:tcPr>
          <w:p w14:paraId="19BB2313">
            <w:pPr>
              <w:adjustRightInd w:val="0"/>
              <w:snapToGrid w:val="0"/>
              <w:spacing w:line="360" w:lineRule="auto"/>
              <w:jc w:val="center"/>
              <w:rPr>
                <w:rFonts w:hint="eastAsia" w:ascii="宋体" w:hAnsi="宋体"/>
                <w:color w:val="auto"/>
                <w:sz w:val="24"/>
                <w:highlight w:val="none"/>
              </w:rPr>
            </w:pPr>
          </w:p>
        </w:tc>
        <w:tc>
          <w:tcPr>
            <w:tcW w:w="729" w:type="dxa"/>
            <w:vAlign w:val="center"/>
          </w:tcPr>
          <w:p w14:paraId="5D0D7B6F">
            <w:pPr>
              <w:adjustRightInd w:val="0"/>
              <w:snapToGrid w:val="0"/>
              <w:spacing w:line="360" w:lineRule="auto"/>
              <w:jc w:val="center"/>
              <w:rPr>
                <w:rFonts w:hint="eastAsia" w:ascii="宋体" w:hAnsi="宋体"/>
                <w:color w:val="auto"/>
                <w:sz w:val="24"/>
                <w:highlight w:val="none"/>
              </w:rPr>
            </w:pPr>
          </w:p>
        </w:tc>
      </w:tr>
      <w:tr w14:paraId="691B2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7" w:type="dxa"/>
            <w:vAlign w:val="center"/>
          </w:tcPr>
          <w:p w14:paraId="33BC45B8">
            <w:pPr>
              <w:adjustRightInd w:val="0"/>
              <w:snapToGrid w:val="0"/>
              <w:spacing w:line="360" w:lineRule="auto"/>
              <w:jc w:val="center"/>
              <w:rPr>
                <w:rFonts w:hint="eastAsia" w:ascii="宋体" w:hAnsi="宋体"/>
                <w:color w:val="auto"/>
                <w:sz w:val="24"/>
                <w:highlight w:val="none"/>
              </w:rPr>
            </w:pPr>
          </w:p>
        </w:tc>
        <w:tc>
          <w:tcPr>
            <w:tcW w:w="1496" w:type="dxa"/>
            <w:vAlign w:val="center"/>
          </w:tcPr>
          <w:p w14:paraId="0F73C0AA">
            <w:pPr>
              <w:adjustRightInd w:val="0"/>
              <w:snapToGrid w:val="0"/>
              <w:spacing w:line="360" w:lineRule="auto"/>
              <w:jc w:val="center"/>
              <w:rPr>
                <w:rFonts w:hint="eastAsia" w:ascii="宋体" w:hAnsi="宋体"/>
                <w:color w:val="auto"/>
                <w:sz w:val="24"/>
                <w:highlight w:val="none"/>
              </w:rPr>
            </w:pPr>
          </w:p>
        </w:tc>
        <w:tc>
          <w:tcPr>
            <w:tcW w:w="1428" w:type="dxa"/>
            <w:vAlign w:val="center"/>
          </w:tcPr>
          <w:p w14:paraId="4281DB61">
            <w:pPr>
              <w:adjustRightInd w:val="0"/>
              <w:snapToGrid w:val="0"/>
              <w:spacing w:line="360" w:lineRule="auto"/>
              <w:jc w:val="center"/>
              <w:rPr>
                <w:rFonts w:hint="eastAsia" w:ascii="宋体" w:hAnsi="宋体"/>
                <w:color w:val="auto"/>
                <w:sz w:val="24"/>
                <w:highlight w:val="none"/>
              </w:rPr>
            </w:pPr>
          </w:p>
        </w:tc>
        <w:tc>
          <w:tcPr>
            <w:tcW w:w="1732" w:type="dxa"/>
            <w:vAlign w:val="center"/>
          </w:tcPr>
          <w:p w14:paraId="78A1D9A6">
            <w:pPr>
              <w:adjustRightInd w:val="0"/>
              <w:snapToGrid w:val="0"/>
              <w:spacing w:line="360" w:lineRule="auto"/>
              <w:jc w:val="center"/>
              <w:rPr>
                <w:rFonts w:hint="eastAsia" w:ascii="宋体" w:hAnsi="宋体"/>
                <w:color w:val="auto"/>
                <w:sz w:val="24"/>
                <w:highlight w:val="none"/>
              </w:rPr>
            </w:pPr>
          </w:p>
        </w:tc>
        <w:tc>
          <w:tcPr>
            <w:tcW w:w="2144" w:type="dxa"/>
            <w:vAlign w:val="center"/>
          </w:tcPr>
          <w:p w14:paraId="7AFEFFBB">
            <w:pPr>
              <w:adjustRightInd w:val="0"/>
              <w:snapToGrid w:val="0"/>
              <w:spacing w:line="360" w:lineRule="auto"/>
              <w:jc w:val="center"/>
              <w:rPr>
                <w:rFonts w:hint="eastAsia" w:ascii="宋体" w:hAnsi="宋体"/>
                <w:color w:val="auto"/>
                <w:sz w:val="24"/>
                <w:highlight w:val="none"/>
              </w:rPr>
            </w:pPr>
          </w:p>
        </w:tc>
        <w:tc>
          <w:tcPr>
            <w:tcW w:w="729" w:type="dxa"/>
            <w:vAlign w:val="center"/>
          </w:tcPr>
          <w:p w14:paraId="45436C9F">
            <w:pPr>
              <w:adjustRightInd w:val="0"/>
              <w:snapToGrid w:val="0"/>
              <w:spacing w:line="360" w:lineRule="auto"/>
              <w:jc w:val="center"/>
              <w:rPr>
                <w:rFonts w:hint="eastAsia" w:ascii="宋体" w:hAnsi="宋体"/>
                <w:color w:val="auto"/>
                <w:sz w:val="24"/>
                <w:highlight w:val="none"/>
              </w:rPr>
            </w:pPr>
          </w:p>
        </w:tc>
      </w:tr>
    </w:tbl>
    <w:p w14:paraId="244D6B61">
      <w:pPr>
        <w:tabs>
          <w:tab w:val="left" w:pos="1800"/>
          <w:tab w:val="left" w:pos="5580"/>
        </w:tabs>
        <w:jc w:val="left"/>
        <w:rPr>
          <w:rFonts w:hint="eastAsia" w:ascii="宋体" w:hAnsi="宋体"/>
          <w:color w:val="auto"/>
          <w:sz w:val="24"/>
          <w:highlight w:val="none"/>
        </w:rPr>
      </w:pPr>
    </w:p>
    <w:p w14:paraId="57673040">
      <w:pPr>
        <w:tabs>
          <w:tab w:val="left" w:pos="1800"/>
          <w:tab w:val="left" w:pos="5580"/>
        </w:tabs>
        <w:spacing w:line="360" w:lineRule="auto"/>
        <w:jc w:val="left"/>
        <w:rPr>
          <w:rFonts w:hint="eastAsia" w:ascii="宋体" w:hAnsi="宋体"/>
          <w:color w:val="auto"/>
          <w:sz w:val="24"/>
          <w:highlight w:val="none"/>
        </w:rPr>
      </w:pPr>
      <w:r>
        <w:rPr>
          <w:rFonts w:hint="eastAsia" w:ascii="宋体" w:hAnsi="宋体"/>
          <w:color w:val="auto"/>
          <w:sz w:val="24"/>
          <w:highlight w:val="none"/>
        </w:rPr>
        <w:t>注：</w:t>
      </w:r>
    </w:p>
    <w:p w14:paraId="46240773">
      <w:pPr>
        <w:tabs>
          <w:tab w:val="left" w:pos="1800"/>
          <w:tab w:val="left" w:pos="5580"/>
        </w:tabs>
        <w:spacing w:line="360" w:lineRule="auto"/>
        <w:jc w:val="left"/>
        <w:rPr>
          <w:rFonts w:hint="eastAsia" w:ascii="宋体" w:hAnsi="宋体"/>
          <w:color w:val="auto"/>
          <w:sz w:val="24"/>
          <w:highlight w:val="none"/>
        </w:rPr>
      </w:pPr>
      <w:r>
        <w:rPr>
          <w:rFonts w:ascii="宋体" w:hAnsi="宋体"/>
          <w:color w:val="auto"/>
          <w:sz w:val="24"/>
          <w:highlight w:val="none"/>
        </w:rPr>
        <w:t xml:space="preserve">1. </w:t>
      </w:r>
      <w:r>
        <w:rPr>
          <w:rFonts w:hint="eastAsia" w:ascii="宋体" w:hAnsi="宋体"/>
          <w:color w:val="auto"/>
          <w:sz w:val="24"/>
          <w:highlight w:val="none"/>
        </w:rPr>
        <w:t>对合同条款中的所有要求，除本表所列明的所有偏离外，均视作供应商已对之理解和响应。</w:t>
      </w:r>
    </w:p>
    <w:p w14:paraId="641777F9">
      <w:pPr>
        <w:tabs>
          <w:tab w:val="left" w:pos="1800"/>
          <w:tab w:val="left" w:pos="5580"/>
        </w:tabs>
        <w:spacing w:line="360" w:lineRule="auto"/>
        <w:jc w:val="left"/>
        <w:rPr>
          <w:rFonts w:hint="eastAsia" w:ascii="宋体" w:hAnsi="宋体"/>
          <w:color w:val="auto"/>
          <w:sz w:val="24"/>
          <w:highlight w:val="none"/>
        </w:rPr>
      </w:pPr>
      <w:r>
        <w:rPr>
          <w:rFonts w:ascii="宋体" w:hAnsi="宋体"/>
          <w:color w:val="auto"/>
          <w:sz w:val="24"/>
          <w:highlight w:val="none"/>
        </w:rPr>
        <w:t xml:space="preserve">2. </w:t>
      </w:r>
      <w:r>
        <w:rPr>
          <w:rFonts w:hint="eastAsia" w:ascii="宋体" w:hAnsi="宋体"/>
          <w:color w:val="auto"/>
          <w:sz w:val="24"/>
          <w:highlight w:val="none"/>
        </w:rPr>
        <w:t>“偏离情况”列应据实填写“正偏离”或“负偏离”。</w:t>
      </w:r>
    </w:p>
    <w:p w14:paraId="414CABBD">
      <w:pPr>
        <w:spacing w:line="360" w:lineRule="auto"/>
        <w:rPr>
          <w:rFonts w:hint="eastAsia" w:ascii="宋体" w:hAnsi="宋体"/>
          <w:color w:val="auto"/>
          <w:sz w:val="24"/>
          <w:szCs w:val="20"/>
          <w:highlight w:val="none"/>
        </w:rPr>
      </w:pPr>
    </w:p>
    <w:p w14:paraId="5676FA12">
      <w:pPr>
        <w:autoSpaceDE w:val="0"/>
        <w:autoSpaceDN w:val="0"/>
        <w:adjustRightInd w:val="0"/>
        <w:snapToGrid w:val="0"/>
        <w:spacing w:before="25" w:after="25" w:line="360" w:lineRule="auto"/>
        <w:rPr>
          <w:rFonts w:hint="eastAsia" w:ascii="宋体" w:hAnsi="宋体"/>
          <w:color w:val="auto"/>
          <w:sz w:val="24"/>
          <w:highlight w:val="none"/>
          <w:lang w:val="zh-CN"/>
        </w:rPr>
      </w:pPr>
      <w:r>
        <w:rPr>
          <w:rFonts w:ascii="宋体" w:hAnsi="宋体"/>
          <w:color w:val="auto"/>
          <w:sz w:val="24"/>
          <w:highlight w:val="none"/>
        </w:rPr>
        <w:t>供应商名称（加盖公章）</w:t>
      </w:r>
      <w:r>
        <w:rPr>
          <w:rFonts w:ascii="宋体" w:hAnsi="宋体"/>
          <w:color w:val="auto"/>
          <w:sz w:val="24"/>
          <w:highlight w:val="none"/>
          <w:lang w:val="zh-CN"/>
        </w:rPr>
        <w:t>：</w:t>
      </w:r>
      <w:r>
        <w:rPr>
          <w:rFonts w:ascii="宋体" w:hAnsi="宋体"/>
          <w:color w:val="auto"/>
          <w:sz w:val="24"/>
          <w:highlight w:val="none"/>
          <w:u w:val="single"/>
        </w:rPr>
        <w:t>_______________</w:t>
      </w:r>
    </w:p>
    <w:p w14:paraId="5EBECFC9">
      <w:pPr>
        <w:autoSpaceDE w:val="0"/>
        <w:autoSpaceDN w:val="0"/>
        <w:adjustRightInd w:val="0"/>
        <w:snapToGrid w:val="0"/>
        <w:spacing w:before="25" w:after="25" w:line="360" w:lineRule="auto"/>
        <w:rPr>
          <w:rFonts w:hint="eastAsia" w:ascii="宋体" w:hAnsi="宋体"/>
          <w:color w:val="auto"/>
          <w:sz w:val="24"/>
          <w:highlight w:val="none"/>
          <w:lang w:val="zh-CN"/>
        </w:rPr>
      </w:pPr>
      <w:r>
        <w:rPr>
          <w:rFonts w:ascii="宋体" w:hAnsi="宋体"/>
          <w:color w:val="auto"/>
          <w:sz w:val="24"/>
          <w:szCs w:val="20"/>
          <w:highlight w:val="none"/>
        </w:rPr>
        <w:t>日期：</w:t>
      </w:r>
      <w:r>
        <w:rPr>
          <w:rFonts w:ascii="宋体" w:hAnsi="宋体"/>
          <w:color w:val="auto"/>
          <w:sz w:val="24"/>
          <w:szCs w:val="20"/>
          <w:highlight w:val="none"/>
          <w:u w:val="single"/>
        </w:rPr>
        <w:t>____</w:t>
      </w:r>
      <w:r>
        <w:rPr>
          <w:rFonts w:ascii="宋体" w:hAnsi="宋体"/>
          <w:color w:val="auto"/>
          <w:sz w:val="24"/>
          <w:szCs w:val="20"/>
          <w:highlight w:val="none"/>
        </w:rPr>
        <w:t>年</w:t>
      </w:r>
      <w:r>
        <w:rPr>
          <w:rFonts w:ascii="宋体" w:hAnsi="宋体"/>
          <w:color w:val="auto"/>
          <w:sz w:val="24"/>
          <w:szCs w:val="20"/>
          <w:highlight w:val="none"/>
          <w:u w:val="single"/>
        </w:rPr>
        <w:t>____</w:t>
      </w:r>
      <w:r>
        <w:rPr>
          <w:rFonts w:ascii="宋体" w:hAnsi="宋体"/>
          <w:color w:val="auto"/>
          <w:sz w:val="24"/>
          <w:szCs w:val="20"/>
          <w:highlight w:val="none"/>
        </w:rPr>
        <w:t>月</w:t>
      </w:r>
      <w:r>
        <w:rPr>
          <w:rFonts w:ascii="宋体" w:hAnsi="宋体"/>
          <w:color w:val="auto"/>
          <w:sz w:val="24"/>
          <w:szCs w:val="20"/>
          <w:highlight w:val="none"/>
          <w:u w:val="single"/>
        </w:rPr>
        <w:t>____</w:t>
      </w:r>
      <w:r>
        <w:rPr>
          <w:rFonts w:ascii="宋体" w:hAnsi="宋体"/>
          <w:color w:val="auto"/>
          <w:sz w:val="24"/>
          <w:szCs w:val="20"/>
          <w:highlight w:val="none"/>
        </w:rPr>
        <w:t xml:space="preserve">日    </w:t>
      </w:r>
    </w:p>
    <w:p w14:paraId="17433332">
      <w:pPr>
        <w:tabs>
          <w:tab w:val="left" w:pos="360"/>
        </w:tabs>
        <w:snapToGrid w:val="0"/>
        <w:spacing w:line="360" w:lineRule="auto"/>
        <w:outlineLvl w:val="1"/>
        <w:rPr>
          <w:rFonts w:hint="eastAsia" w:ascii="宋体" w:hAnsi="宋体"/>
          <w:color w:val="auto"/>
          <w:sz w:val="24"/>
          <w:szCs w:val="20"/>
          <w:highlight w:val="none"/>
        </w:rPr>
      </w:pPr>
      <w:r>
        <w:rPr>
          <w:rFonts w:ascii="宋体" w:hAnsi="宋体"/>
          <w:color w:val="auto"/>
          <w:sz w:val="24"/>
          <w:szCs w:val="20"/>
          <w:highlight w:val="none"/>
        </w:rPr>
        <w:br w:type="page"/>
      </w:r>
      <w:r>
        <w:rPr>
          <w:rFonts w:ascii="宋体" w:hAnsi="宋体"/>
          <w:color w:val="auto"/>
          <w:sz w:val="24"/>
          <w:highlight w:val="none"/>
        </w:rPr>
        <w:t>10  采购需求偏离表</w:t>
      </w:r>
    </w:p>
    <w:p w14:paraId="39244F88">
      <w:pPr>
        <w:autoSpaceDE w:val="0"/>
        <w:autoSpaceDN w:val="0"/>
        <w:adjustRightInd w:val="0"/>
        <w:spacing w:line="360" w:lineRule="auto"/>
        <w:jc w:val="center"/>
        <w:rPr>
          <w:rFonts w:hint="eastAsia" w:ascii="宋体" w:hAnsi="宋体"/>
          <w:b/>
          <w:color w:val="auto"/>
          <w:sz w:val="36"/>
          <w:szCs w:val="36"/>
          <w:highlight w:val="none"/>
        </w:rPr>
      </w:pPr>
      <w:r>
        <w:rPr>
          <w:rFonts w:hint="eastAsia" w:ascii="宋体" w:hAnsi="宋体"/>
          <w:b/>
          <w:color w:val="auto"/>
          <w:sz w:val="36"/>
          <w:szCs w:val="36"/>
          <w:highlight w:val="none"/>
        </w:rPr>
        <w:t>采购需求偏离表</w:t>
      </w:r>
    </w:p>
    <w:p w14:paraId="704C349C">
      <w:pPr>
        <w:tabs>
          <w:tab w:val="left" w:pos="1800"/>
          <w:tab w:val="left" w:pos="5580"/>
        </w:tabs>
        <w:spacing w:line="360" w:lineRule="auto"/>
        <w:jc w:val="left"/>
        <w:rPr>
          <w:rFonts w:hint="eastAsia" w:ascii="宋体" w:hAnsi="宋体"/>
          <w:color w:val="auto"/>
          <w:sz w:val="24"/>
          <w:highlight w:val="none"/>
        </w:rPr>
      </w:pPr>
      <w:r>
        <w:rPr>
          <w:rFonts w:ascii="宋体" w:hAnsi="宋体"/>
          <w:color w:val="auto"/>
          <w:sz w:val="24"/>
          <w:highlight w:val="none"/>
        </w:rPr>
        <w:t>项目编号：</w:t>
      </w:r>
      <w:r>
        <w:rPr>
          <w:rFonts w:ascii="宋体" w:hAnsi="宋体"/>
          <w:color w:val="auto"/>
          <w:sz w:val="24"/>
          <w:highlight w:val="none"/>
          <w:u w:val="single"/>
        </w:rPr>
        <w:t xml:space="preserve">_______________  </w:t>
      </w:r>
      <w:r>
        <w:rPr>
          <w:rFonts w:ascii="宋体" w:hAnsi="宋体"/>
          <w:color w:val="auto"/>
          <w:sz w:val="24"/>
          <w:highlight w:val="none"/>
        </w:rPr>
        <w:t xml:space="preserve">   项目名称：</w:t>
      </w:r>
      <w:r>
        <w:rPr>
          <w:rFonts w:ascii="宋体" w:hAnsi="宋体"/>
          <w:color w:val="auto"/>
          <w:sz w:val="24"/>
          <w:highlight w:val="none"/>
          <w:u w:val="single"/>
        </w:rPr>
        <w:t>_______________</w:t>
      </w:r>
    </w:p>
    <w:tbl>
      <w:tblPr>
        <w:tblStyle w:val="1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4FF5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363A6933">
            <w:pPr>
              <w:adjustRightInd w:val="0"/>
              <w:snapToGrid w:val="0"/>
              <w:spacing w:line="360" w:lineRule="auto"/>
              <w:jc w:val="center"/>
              <w:rPr>
                <w:rFonts w:hint="eastAsia" w:ascii="宋体" w:hAnsi="宋体"/>
                <w:color w:val="auto"/>
                <w:sz w:val="24"/>
                <w:highlight w:val="none"/>
              </w:rPr>
            </w:pPr>
            <w:r>
              <w:rPr>
                <w:rFonts w:ascii="宋体" w:hAnsi="宋体"/>
                <w:color w:val="auto"/>
                <w:sz w:val="24"/>
                <w:highlight w:val="none"/>
              </w:rPr>
              <w:t>序号</w:t>
            </w:r>
          </w:p>
        </w:tc>
        <w:tc>
          <w:tcPr>
            <w:tcW w:w="1482" w:type="dxa"/>
            <w:vAlign w:val="center"/>
          </w:tcPr>
          <w:p w14:paraId="3186B3A0">
            <w:pPr>
              <w:adjustRightInd w:val="0"/>
              <w:snapToGrid w:val="0"/>
              <w:spacing w:line="360" w:lineRule="auto"/>
              <w:jc w:val="center"/>
              <w:rPr>
                <w:rFonts w:hint="eastAsia" w:ascii="宋体" w:hAnsi="宋体"/>
                <w:color w:val="auto"/>
                <w:sz w:val="24"/>
                <w:highlight w:val="none"/>
              </w:rPr>
            </w:pPr>
            <w:r>
              <w:rPr>
                <w:rFonts w:ascii="宋体" w:hAnsi="宋体"/>
                <w:color w:val="auto"/>
                <w:sz w:val="24"/>
                <w:highlight w:val="none"/>
              </w:rPr>
              <w:t>竞争性磋商文件条目号(页码)</w:t>
            </w:r>
          </w:p>
        </w:tc>
        <w:tc>
          <w:tcPr>
            <w:tcW w:w="2384" w:type="dxa"/>
            <w:vAlign w:val="center"/>
          </w:tcPr>
          <w:p w14:paraId="2D9B3401">
            <w:pPr>
              <w:adjustRightInd w:val="0"/>
              <w:snapToGrid w:val="0"/>
              <w:spacing w:line="360" w:lineRule="auto"/>
              <w:jc w:val="center"/>
              <w:rPr>
                <w:rFonts w:hint="eastAsia" w:ascii="宋体" w:hAnsi="宋体"/>
                <w:color w:val="auto"/>
                <w:sz w:val="24"/>
                <w:highlight w:val="none"/>
              </w:rPr>
            </w:pPr>
            <w:r>
              <w:rPr>
                <w:rFonts w:ascii="宋体" w:hAnsi="宋体"/>
                <w:color w:val="auto"/>
                <w:sz w:val="24"/>
                <w:highlight w:val="none"/>
              </w:rPr>
              <w:t>竞争性磋商文件要求</w:t>
            </w:r>
          </w:p>
        </w:tc>
        <w:tc>
          <w:tcPr>
            <w:tcW w:w="2126" w:type="dxa"/>
            <w:vAlign w:val="center"/>
          </w:tcPr>
          <w:p w14:paraId="514E7EE9">
            <w:pPr>
              <w:adjustRightInd w:val="0"/>
              <w:snapToGrid w:val="0"/>
              <w:spacing w:line="360" w:lineRule="auto"/>
              <w:jc w:val="center"/>
              <w:rPr>
                <w:rFonts w:hint="eastAsia" w:ascii="宋体" w:hAnsi="宋体"/>
                <w:color w:val="auto"/>
                <w:sz w:val="24"/>
                <w:highlight w:val="none"/>
              </w:rPr>
            </w:pPr>
            <w:r>
              <w:rPr>
                <w:rFonts w:ascii="宋体" w:hAnsi="宋体"/>
                <w:color w:val="auto"/>
                <w:sz w:val="24"/>
                <w:highlight w:val="none"/>
              </w:rPr>
              <w:t>响应内容</w:t>
            </w:r>
          </w:p>
        </w:tc>
        <w:tc>
          <w:tcPr>
            <w:tcW w:w="1875" w:type="dxa"/>
            <w:vAlign w:val="center"/>
          </w:tcPr>
          <w:p w14:paraId="5D80EEDF">
            <w:pPr>
              <w:adjustRightInd w:val="0"/>
              <w:snapToGrid w:val="0"/>
              <w:spacing w:line="360" w:lineRule="auto"/>
              <w:jc w:val="center"/>
              <w:rPr>
                <w:rFonts w:hint="eastAsia" w:ascii="宋体" w:hAnsi="宋体"/>
                <w:color w:val="auto"/>
                <w:sz w:val="24"/>
                <w:highlight w:val="none"/>
              </w:rPr>
            </w:pPr>
            <w:r>
              <w:rPr>
                <w:rFonts w:ascii="宋体" w:hAnsi="宋体"/>
                <w:color w:val="auto"/>
                <w:sz w:val="24"/>
                <w:highlight w:val="none"/>
              </w:rPr>
              <w:t>偏离情况</w:t>
            </w:r>
          </w:p>
          <w:p w14:paraId="5D181F48">
            <w:pPr>
              <w:adjustRightInd w:val="0"/>
              <w:snapToGrid w:val="0"/>
              <w:spacing w:line="360" w:lineRule="auto"/>
              <w:jc w:val="center"/>
              <w:rPr>
                <w:rFonts w:hint="eastAsia" w:ascii="宋体" w:hAnsi="宋体"/>
                <w:color w:val="auto"/>
                <w:sz w:val="24"/>
                <w:highlight w:val="none"/>
              </w:rPr>
            </w:pPr>
            <w:r>
              <w:rPr>
                <w:rFonts w:ascii="宋体" w:hAnsi="宋体"/>
                <w:color w:val="auto"/>
                <w:sz w:val="24"/>
                <w:szCs w:val="21"/>
                <w:highlight w:val="none"/>
              </w:rPr>
              <w:t>（据实填写）</w:t>
            </w:r>
          </w:p>
        </w:tc>
        <w:tc>
          <w:tcPr>
            <w:tcW w:w="1009" w:type="dxa"/>
            <w:vAlign w:val="center"/>
          </w:tcPr>
          <w:p w14:paraId="3609982B">
            <w:pPr>
              <w:adjustRightInd w:val="0"/>
              <w:snapToGrid w:val="0"/>
              <w:spacing w:line="360" w:lineRule="auto"/>
              <w:jc w:val="center"/>
              <w:rPr>
                <w:rFonts w:hint="eastAsia" w:ascii="宋体" w:hAnsi="宋体"/>
                <w:color w:val="auto"/>
                <w:sz w:val="24"/>
                <w:highlight w:val="none"/>
              </w:rPr>
            </w:pPr>
            <w:r>
              <w:rPr>
                <w:rFonts w:ascii="宋体" w:hAnsi="宋体"/>
                <w:color w:val="auto"/>
                <w:sz w:val="24"/>
                <w:highlight w:val="none"/>
              </w:rPr>
              <w:t>说明</w:t>
            </w:r>
          </w:p>
        </w:tc>
      </w:tr>
      <w:tr w14:paraId="05AFE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E936A62">
            <w:pPr>
              <w:adjustRightInd w:val="0"/>
              <w:snapToGrid w:val="0"/>
              <w:spacing w:line="360" w:lineRule="auto"/>
              <w:jc w:val="center"/>
              <w:rPr>
                <w:rFonts w:hint="eastAsia" w:ascii="宋体" w:hAnsi="宋体"/>
                <w:color w:val="auto"/>
                <w:sz w:val="24"/>
                <w:highlight w:val="none"/>
              </w:rPr>
            </w:pPr>
          </w:p>
        </w:tc>
        <w:tc>
          <w:tcPr>
            <w:tcW w:w="1482" w:type="dxa"/>
            <w:vAlign w:val="center"/>
          </w:tcPr>
          <w:p w14:paraId="34122BEC">
            <w:pPr>
              <w:adjustRightInd w:val="0"/>
              <w:snapToGrid w:val="0"/>
              <w:spacing w:line="360" w:lineRule="auto"/>
              <w:jc w:val="center"/>
              <w:rPr>
                <w:rFonts w:hint="eastAsia" w:ascii="宋体" w:hAnsi="宋体"/>
                <w:color w:val="auto"/>
                <w:sz w:val="24"/>
                <w:highlight w:val="none"/>
              </w:rPr>
            </w:pPr>
          </w:p>
        </w:tc>
        <w:tc>
          <w:tcPr>
            <w:tcW w:w="2384" w:type="dxa"/>
            <w:vAlign w:val="center"/>
          </w:tcPr>
          <w:p w14:paraId="69640A31">
            <w:pPr>
              <w:adjustRightInd w:val="0"/>
              <w:snapToGrid w:val="0"/>
              <w:spacing w:line="360" w:lineRule="auto"/>
              <w:jc w:val="center"/>
              <w:rPr>
                <w:rFonts w:hint="eastAsia" w:ascii="宋体" w:hAnsi="宋体"/>
                <w:color w:val="auto"/>
                <w:sz w:val="24"/>
                <w:highlight w:val="none"/>
              </w:rPr>
            </w:pPr>
          </w:p>
        </w:tc>
        <w:tc>
          <w:tcPr>
            <w:tcW w:w="2126" w:type="dxa"/>
            <w:vAlign w:val="center"/>
          </w:tcPr>
          <w:p w14:paraId="47CD4B8E">
            <w:pPr>
              <w:adjustRightInd w:val="0"/>
              <w:snapToGrid w:val="0"/>
              <w:spacing w:line="360" w:lineRule="auto"/>
              <w:jc w:val="center"/>
              <w:rPr>
                <w:rFonts w:hint="eastAsia" w:ascii="宋体" w:hAnsi="宋体"/>
                <w:color w:val="auto"/>
                <w:sz w:val="24"/>
                <w:highlight w:val="none"/>
              </w:rPr>
            </w:pPr>
          </w:p>
        </w:tc>
        <w:tc>
          <w:tcPr>
            <w:tcW w:w="1875" w:type="dxa"/>
            <w:vAlign w:val="center"/>
          </w:tcPr>
          <w:p w14:paraId="5CE4403A">
            <w:pPr>
              <w:adjustRightInd w:val="0"/>
              <w:snapToGrid w:val="0"/>
              <w:spacing w:line="360" w:lineRule="auto"/>
              <w:jc w:val="center"/>
              <w:rPr>
                <w:rFonts w:hint="eastAsia" w:ascii="宋体" w:hAnsi="宋体"/>
                <w:color w:val="auto"/>
                <w:sz w:val="24"/>
                <w:highlight w:val="none"/>
              </w:rPr>
            </w:pPr>
          </w:p>
        </w:tc>
        <w:tc>
          <w:tcPr>
            <w:tcW w:w="1009" w:type="dxa"/>
            <w:vAlign w:val="center"/>
          </w:tcPr>
          <w:p w14:paraId="7D0D1528">
            <w:pPr>
              <w:adjustRightInd w:val="0"/>
              <w:snapToGrid w:val="0"/>
              <w:spacing w:line="360" w:lineRule="auto"/>
              <w:jc w:val="center"/>
              <w:rPr>
                <w:rFonts w:hint="eastAsia" w:ascii="宋体" w:hAnsi="宋体"/>
                <w:color w:val="auto"/>
                <w:sz w:val="24"/>
                <w:highlight w:val="none"/>
              </w:rPr>
            </w:pPr>
          </w:p>
        </w:tc>
      </w:tr>
      <w:tr w14:paraId="1B0A4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75865FD">
            <w:pPr>
              <w:adjustRightInd w:val="0"/>
              <w:snapToGrid w:val="0"/>
              <w:spacing w:line="360" w:lineRule="auto"/>
              <w:jc w:val="center"/>
              <w:rPr>
                <w:rFonts w:hint="eastAsia" w:ascii="宋体" w:hAnsi="宋体"/>
                <w:color w:val="auto"/>
                <w:sz w:val="24"/>
                <w:highlight w:val="none"/>
              </w:rPr>
            </w:pPr>
          </w:p>
        </w:tc>
        <w:tc>
          <w:tcPr>
            <w:tcW w:w="1482" w:type="dxa"/>
            <w:vAlign w:val="center"/>
          </w:tcPr>
          <w:p w14:paraId="42DF7D11">
            <w:pPr>
              <w:adjustRightInd w:val="0"/>
              <w:snapToGrid w:val="0"/>
              <w:spacing w:line="360" w:lineRule="auto"/>
              <w:jc w:val="center"/>
              <w:rPr>
                <w:rFonts w:hint="eastAsia" w:ascii="宋体" w:hAnsi="宋体"/>
                <w:color w:val="auto"/>
                <w:sz w:val="24"/>
                <w:highlight w:val="none"/>
              </w:rPr>
            </w:pPr>
          </w:p>
        </w:tc>
        <w:tc>
          <w:tcPr>
            <w:tcW w:w="2384" w:type="dxa"/>
            <w:vAlign w:val="center"/>
          </w:tcPr>
          <w:p w14:paraId="51D2ACF0">
            <w:pPr>
              <w:adjustRightInd w:val="0"/>
              <w:snapToGrid w:val="0"/>
              <w:spacing w:line="360" w:lineRule="auto"/>
              <w:jc w:val="center"/>
              <w:rPr>
                <w:rFonts w:hint="eastAsia" w:ascii="宋体" w:hAnsi="宋体"/>
                <w:color w:val="auto"/>
                <w:sz w:val="24"/>
                <w:highlight w:val="none"/>
              </w:rPr>
            </w:pPr>
          </w:p>
        </w:tc>
        <w:tc>
          <w:tcPr>
            <w:tcW w:w="2126" w:type="dxa"/>
            <w:vAlign w:val="center"/>
          </w:tcPr>
          <w:p w14:paraId="3CAF9305">
            <w:pPr>
              <w:adjustRightInd w:val="0"/>
              <w:snapToGrid w:val="0"/>
              <w:spacing w:line="360" w:lineRule="auto"/>
              <w:jc w:val="center"/>
              <w:rPr>
                <w:rFonts w:hint="eastAsia" w:ascii="宋体" w:hAnsi="宋体"/>
                <w:color w:val="auto"/>
                <w:sz w:val="24"/>
                <w:highlight w:val="none"/>
              </w:rPr>
            </w:pPr>
          </w:p>
        </w:tc>
        <w:tc>
          <w:tcPr>
            <w:tcW w:w="1875" w:type="dxa"/>
            <w:vAlign w:val="center"/>
          </w:tcPr>
          <w:p w14:paraId="3F850201">
            <w:pPr>
              <w:adjustRightInd w:val="0"/>
              <w:snapToGrid w:val="0"/>
              <w:spacing w:line="360" w:lineRule="auto"/>
              <w:jc w:val="center"/>
              <w:rPr>
                <w:rFonts w:hint="eastAsia" w:ascii="宋体" w:hAnsi="宋体"/>
                <w:color w:val="auto"/>
                <w:sz w:val="24"/>
                <w:highlight w:val="none"/>
              </w:rPr>
            </w:pPr>
          </w:p>
        </w:tc>
        <w:tc>
          <w:tcPr>
            <w:tcW w:w="1009" w:type="dxa"/>
            <w:vAlign w:val="center"/>
          </w:tcPr>
          <w:p w14:paraId="1236797A">
            <w:pPr>
              <w:adjustRightInd w:val="0"/>
              <w:snapToGrid w:val="0"/>
              <w:spacing w:line="360" w:lineRule="auto"/>
              <w:jc w:val="center"/>
              <w:rPr>
                <w:rFonts w:hint="eastAsia" w:ascii="宋体" w:hAnsi="宋体"/>
                <w:color w:val="auto"/>
                <w:sz w:val="24"/>
                <w:highlight w:val="none"/>
              </w:rPr>
            </w:pPr>
          </w:p>
        </w:tc>
      </w:tr>
      <w:tr w14:paraId="50719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1104563">
            <w:pPr>
              <w:adjustRightInd w:val="0"/>
              <w:snapToGrid w:val="0"/>
              <w:spacing w:line="360" w:lineRule="auto"/>
              <w:jc w:val="center"/>
              <w:rPr>
                <w:rFonts w:hint="eastAsia" w:ascii="宋体" w:hAnsi="宋体"/>
                <w:color w:val="auto"/>
                <w:sz w:val="24"/>
                <w:highlight w:val="none"/>
              </w:rPr>
            </w:pPr>
          </w:p>
        </w:tc>
        <w:tc>
          <w:tcPr>
            <w:tcW w:w="1482" w:type="dxa"/>
            <w:vAlign w:val="center"/>
          </w:tcPr>
          <w:p w14:paraId="789A18DA">
            <w:pPr>
              <w:adjustRightInd w:val="0"/>
              <w:snapToGrid w:val="0"/>
              <w:spacing w:line="360" w:lineRule="auto"/>
              <w:jc w:val="center"/>
              <w:rPr>
                <w:rFonts w:hint="eastAsia" w:ascii="宋体" w:hAnsi="宋体"/>
                <w:color w:val="auto"/>
                <w:sz w:val="24"/>
                <w:highlight w:val="none"/>
              </w:rPr>
            </w:pPr>
          </w:p>
        </w:tc>
        <w:tc>
          <w:tcPr>
            <w:tcW w:w="2384" w:type="dxa"/>
            <w:vAlign w:val="center"/>
          </w:tcPr>
          <w:p w14:paraId="4A24073C">
            <w:pPr>
              <w:adjustRightInd w:val="0"/>
              <w:snapToGrid w:val="0"/>
              <w:spacing w:line="360" w:lineRule="auto"/>
              <w:jc w:val="center"/>
              <w:rPr>
                <w:rFonts w:hint="eastAsia" w:ascii="宋体" w:hAnsi="宋体"/>
                <w:color w:val="auto"/>
                <w:sz w:val="24"/>
                <w:highlight w:val="none"/>
              </w:rPr>
            </w:pPr>
          </w:p>
        </w:tc>
        <w:tc>
          <w:tcPr>
            <w:tcW w:w="2126" w:type="dxa"/>
            <w:vAlign w:val="center"/>
          </w:tcPr>
          <w:p w14:paraId="6FF1A9D9">
            <w:pPr>
              <w:adjustRightInd w:val="0"/>
              <w:snapToGrid w:val="0"/>
              <w:spacing w:line="360" w:lineRule="auto"/>
              <w:jc w:val="center"/>
              <w:rPr>
                <w:rFonts w:hint="eastAsia" w:ascii="宋体" w:hAnsi="宋体"/>
                <w:color w:val="auto"/>
                <w:sz w:val="24"/>
                <w:highlight w:val="none"/>
              </w:rPr>
            </w:pPr>
          </w:p>
        </w:tc>
        <w:tc>
          <w:tcPr>
            <w:tcW w:w="1875" w:type="dxa"/>
            <w:vAlign w:val="center"/>
          </w:tcPr>
          <w:p w14:paraId="2C245149">
            <w:pPr>
              <w:adjustRightInd w:val="0"/>
              <w:snapToGrid w:val="0"/>
              <w:spacing w:line="360" w:lineRule="auto"/>
              <w:jc w:val="center"/>
              <w:rPr>
                <w:rFonts w:hint="eastAsia" w:ascii="宋体" w:hAnsi="宋体"/>
                <w:color w:val="auto"/>
                <w:sz w:val="24"/>
                <w:highlight w:val="none"/>
              </w:rPr>
            </w:pPr>
          </w:p>
        </w:tc>
        <w:tc>
          <w:tcPr>
            <w:tcW w:w="1009" w:type="dxa"/>
            <w:vAlign w:val="center"/>
          </w:tcPr>
          <w:p w14:paraId="5403FD0C">
            <w:pPr>
              <w:adjustRightInd w:val="0"/>
              <w:snapToGrid w:val="0"/>
              <w:spacing w:line="360" w:lineRule="auto"/>
              <w:jc w:val="center"/>
              <w:rPr>
                <w:rFonts w:hint="eastAsia" w:ascii="宋体" w:hAnsi="宋体"/>
                <w:color w:val="auto"/>
                <w:sz w:val="24"/>
                <w:highlight w:val="none"/>
              </w:rPr>
            </w:pPr>
          </w:p>
        </w:tc>
      </w:tr>
      <w:tr w14:paraId="387B6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8FB0C20">
            <w:pPr>
              <w:adjustRightInd w:val="0"/>
              <w:snapToGrid w:val="0"/>
              <w:spacing w:line="360" w:lineRule="auto"/>
              <w:jc w:val="center"/>
              <w:rPr>
                <w:rFonts w:hint="eastAsia" w:ascii="宋体" w:hAnsi="宋体"/>
                <w:color w:val="auto"/>
                <w:sz w:val="24"/>
                <w:highlight w:val="none"/>
              </w:rPr>
            </w:pPr>
          </w:p>
        </w:tc>
        <w:tc>
          <w:tcPr>
            <w:tcW w:w="1482" w:type="dxa"/>
            <w:vAlign w:val="center"/>
          </w:tcPr>
          <w:p w14:paraId="505B6198">
            <w:pPr>
              <w:adjustRightInd w:val="0"/>
              <w:snapToGrid w:val="0"/>
              <w:spacing w:line="360" w:lineRule="auto"/>
              <w:jc w:val="center"/>
              <w:rPr>
                <w:rFonts w:hint="eastAsia" w:ascii="宋体" w:hAnsi="宋体"/>
                <w:color w:val="auto"/>
                <w:sz w:val="24"/>
                <w:highlight w:val="none"/>
              </w:rPr>
            </w:pPr>
          </w:p>
        </w:tc>
        <w:tc>
          <w:tcPr>
            <w:tcW w:w="2384" w:type="dxa"/>
            <w:vAlign w:val="center"/>
          </w:tcPr>
          <w:p w14:paraId="3EEC1A63">
            <w:pPr>
              <w:adjustRightInd w:val="0"/>
              <w:snapToGrid w:val="0"/>
              <w:spacing w:line="360" w:lineRule="auto"/>
              <w:jc w:val="center"/>
              <w:rPr>
                <w:rFonts w:hint="eastAsia" w:ascii="宋体" w:hAnsi="宋体"/>
                <w:color w:val="auto"/>
                <w:sz w:val="24"/>
                <w:highlight w:val="none"/>
              </w:rPr>
            </w:pPr>
          </w:p>
        </w:tc>
        <w:tc>
          <w:tcPr>
            <w:tcW w:w="2126" w:type="dxa"/>
            <w:vAlign w:val="center"/>
          </w:tcPr>
          <w:p w14:paraId="27490841">
            <w:pPr>
              <w:adjustRightInd w:val="0"/>
              <w:snapToGrid w:val="0"/>
              <w:spacing w:line="360" w:lineRule="auto"/>
              <w:jc w:val="center"/>
              <w:rPr>
                <w:rFonts w:hint="eastAsia" w:ascii="宋体" w:hAnsi="宋体"/>
                <w:color w:val="auto"/>
                <w:sz w:val="24"/>
                <w:highlight w:val="none"/>
              </w:rPr>
            </w:pPr>
          </w:p>
        </w:tc>
        <w:tc>
          <w:tcPr>
            <w:tcW w:w="1875" w:type="dxa"/>
            <w:vAlign w:val="center"/>
          </w:tcPr>
          <w:p w14:paraId="7F681815">
            <w:pPr>
              <w:adjustRightInd w:val="0"/>
              <w:snapToGrid w:val="0"/>
              <w:spacing w:line="360" w:lineRule="auto"/>
              <w:jc w:val="center"/>
              <w:rPr>
                <w:rFonts w:hint="eastAsia" w:ascii="宋体" w:hAnsi="宋体"/>
                <w:color w:val="auto"/>
                <w:sz w:val="24"/>
                <w:highlight w:val="none"/>
              </w:rPr>
            </w:pPr>
          </w:p>
        </w:tc>
        <w:tc>
          <w:tcPr>
            <w:tcW w:w="1009" w:type="dxa"/>
            <w:vAlign w:val="center"/>
          </w:tcPr>
          <w:p w14:paraId="4566E481">
            <w:pPr>
              <w:adjustRightInd w:val="0"/>
              <w:snapToGrid w:val="0"/>
              <w:spacing w:line="360" w:lineRule="auto"/>
              <w:jc w:val="center"/>
              <w:rPr>
                <w:rFonts w:hint="eastAsia" w:ascii="宋体" w:hAnsi="宋体"/>
                <w:color w:val="auto"/>
                <w:sz w:val="24"/>
                <w:highlight w:val="none"/>
              </w:rPr>
            </w:pPr>
          </w:p>
        </w:tc>
      </w:tr>
      <w:tr w14:paraId="1A8AB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A86886F">
            <w:pPr>
              <w:adjustRightInd w:val="0"/>
              <w:snapToGrid w:val="0"/>
              <w:spacing w:line="360" w:lineRule="auto"/>
              <w:jc w:val="center"/>
              <w:rPr>
                <w:rFonts w:hint="eastAsia" w:ascii="宋体" w:hAnsi="宋体"/>
                <w:color w:val="auto"/>
                <w:sz w:val="24"/>
                <w:highlight w:val="none"/>
              </w:rPr>
            </w:pPr>
          </w:p>
        </w:tc>
        <w:tc>
          <w:tcPr>
            <w:tcW w:w="1482" w:type="dxa"/>
            <w:vAlign w:val="center"/>
          </w:tcPr>
          <w:p w14:paraId="041A668C">
            <w:pPr>
              <w:adjustRightInd w:val="0"/>
              <w:snapToGrid w:val="0"/>
              <w:spacing w:line="360" w:lineRule="auto"/>
              <w:jc w:val="center"/>
              <w:rPr>
                <w:rFonts w:hint="eastAsia" w:ascii="宋体" w:hAnsi="宋体"/>
                <w:color w:val="auto"/>
                <w:sz w:val="24"/>
                <w:highlight w:val="none"/>
              </w:rPr>
            </w:pPr>
          </w:p>
        </w:tc>
        <w:tc>
          <w:tcPr>
            <w:tcW w:w="2384" w:type="dxa"/>
            <w:vAlign w:val="center"/>
          </w:tcPr>
          <w:p w14:paraId="087EEAE8">
            <w:pPr>
              <w:adjustRightInd w:val="0"/>
              <w:snapToGrid w:val="0"/>
              <w:spacing w:line="360" w:lineRule="auto"/>
              <w:jc w:val="center"/>
              <w:rPr>
                <w:rFonts w:hint="eastAsia" w:ascii="宋体" w:hAnsi="宋体"/>
                <w:color w:val="auto"/>
                <w:sz w:val="24"/>
                <w:highlight w:val="none"/>
              </w:rPr>
            </w:pPr>
          </w:p>
        </w:tc>
        <w:tc>
          <w:tcPr>
            <w:tcW w:w="2126" w:type="dxa"/>
            <w:vAlign w:val="center"/>
          </w:tcPr>
          <w:p w14:paraId="281FD3D9">
            <w:pPr>
              <w:adjustRightInd w:val="0"/>
              <w:snapToGrid w:val="0"/>
              <w:spacing w:line="360" w:lineRule="auto"/>
              <w:jc w:val="center"/>
              <w:rPr>
                <w:rFonts w:hint="eastAsia" w:ascii="宋体" w:hAnsi="宋体"/>
                <w:color w:val="auto"/>
                <w:sz w:val="24"/>
                <w:highlight w:val="none"/>
              </w:rPr>
            </w:pPr>
          </w:p>
        </w:tc>
        <w:tc>
          <w:tcPr>
            <w:tcW w:w="1875" w:type="dxa"/>
            <w:vAlign w:val="center"/>
          </w:tcPr>
          <w:p w14:paraId="43944474">
            <w:pPr>
              <w:adjustRightInd w:val="0"/>
              <w:snapToGrid w:val="0"/>
              <w:spacing w:line="360" w:lineRule="auto"/>
              <w:jc w:val="center"/>
              <w:rPr>
                <w:rFonts w:hint="eastAsia" w:ascii="宋体" w:hAnsi="宋体"/>
                <w:color w:val="auto"/>
                <w:sz w:val="24"/>
                <w:highlight w:val="none"/>
              </w:rPr>
            </w:pPr>
          </w:p>
        </w:tc>
        <w:tc>
          <w:tcPr>
            <w:tcW w:w="1009" w:type="dxa"/>
            <w:vAlign w:val="center"/>
          </w:tcPr>
          <w:p w14:paraId="219B1169">
            <w:pPr>
              <w:adjustRightInd w:val="0"/>
              <w:snapToGrid w:val="0"/>
              <w:spacing w:line="360" w:lineRule="auto"/>
              <w:jc w:val="center"/>
              <w:rPr>
                <w:rFonts w:hint="eastAsia" w:ascii="宋体" w:hAnsi="宋体"/>
                <w:color w:val="auto"/>
                <w:sz w:val="24"/>
                <w:highlight w:val="none"/>
              </w:rPr>
            </w:pPr>
          </w:p>
        </w:tc>
      </w:tr>
      <w:tr w14:paraId="79A25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8BD6610">
            <w:pPr>
              <w:adjustRightInd w:val="0"/>
              <w:snapToGrid w:val="0"/>
              <w:spacing w:line="360" w:lineRule="auto"/>
              <w:jc w:val="center"/>
              <w:rPr>
                <w:rFonts w:hint="eastAsia" w:ascii="宋体" w:hAnsi="宋体"/>
                <w:color w:val="auto"/>
                <w:sz w:val="24"/>
                <w:highlight w:val="none"/>
              </w:rPr>
            </w:pPr>
          </w:p>
        </w:tc>
        <w:tc>
          <w:tcPr>
            <w:tcW w:w="1482" w:type="dxa"/>
            <w:vAlign w:val="center"/>
          </w:tcPr>
          <w:p w14:paraId="4DA37AEC">
            <w:pPr>
              <w:adjustRightInd w:val="0"/>
              <w:snapToGrid w:val="0"/>
              <w:spacing w:line="360" w:lineRule="auto"/>
              <w:jc w:val="center"/>
              <w:rPr>
                <w:rFonts w:hint="eastAsia" w:ascii="宋体" w:hAnsi="宋体"/>
                <w:color w:val="auto"/>
                <w:sz w:val="24"/>
                <w:highlight w:val="none"/>
              </w:rPr>
            </w:pPr>
          </w:p>
        </w:tc>
        <w:tc>
          <w:tcPr>
            <w:tcW w:w="2384" w:type="dxa"/>
            <w:vAlign w:val="center"/>
          </w:tcPr>
          <w:p w14:paraId="2F8A7046">
            <w:pPr>
              <w:adjustRightInd w:val="0"/>
              <w:snapToGrid w:val="0"/>
              <w:spacing w:line="360" w:lineRule="auto"/>
              <w:jc w:val="center"/>
              <w:rPr>
                <w:rFonts w:hint="eastAsia" w:ascii="宋体" w:hAnsi="宋体"/>
                <w:color w:val="auto"/>
                <w:sz w:val="24"/>
                <w:highlight w:val="none"/>
              </w:rPr>
            </w:pPr>
          </w:p>
        </w:tc>
        <w:tc>
          <w:tcPr>
            <w:tcW w:w="2126" w:type="dxa"/>
            <w:vAlign w:val="center"/>
          </w:tcPr>
          <w:p w14:paraId="42B8FA02">
            <w:pPr>
              <w:adjustRightInd w:val="0"/>
              <w:snapToGrid w:val="0"/>
              <w:spacing w:line="360" w:lineRule="auto"/>
              <w:jc w:val="center"/>
              <w:rPr>
                <w:rFonts w:hint="eastAsia" w:ascii="宋体" w:hAnsi="宋体"/>
                <w:color w:val="auto"/>
                <w:sz w:val="24"/>
                <w:highlight w:val="none"/>
              </w:rPr>
            </w:pPr>
          </w:p>
        </w:tc>
        <w:tc>
          <w:tcPr>
            <w:tcW w:w="1875" w:type="dxa"/>
            <w:vAlign w:val="center"/>
          </w:tcPr>
          <w:p w14:paraId="557B7CD2">
            <w:pPr>
              <w:adjustRightInd w:val="0"/>
              <w:snapToGrid w:val="0"/>
              <w:spacing w:line="360" w:lineRule="auto"/>
              <w:jc w:val="center"/>
              <w:rPr>
                <w:rFonts w:hint="eastAsia" w:ascii="宋体" w:hAnsi="宋体"/>
                <w:color w:val="auto"/>
                <w:sz w:val="24"/>
                <w:highlight w:val="none"/>
              </w:rPr>
            </w:pPr>
          </w:p>
        </w:tc>
        <w:tc>
          <w:tcPr>
            <w:tcW w:w="1009" w:type="dxa"/>
            <w:vAlign w:val="center"/>
          </w:tcPr>
          <w:p w14:paraId="2525B239">
            <w:pPr>
              <w:adjustRightInd w:val="0"/>
              <w:snapToGrid w:val="0"/>
              <w:spacing w:line="360" w:lineRule="auto"/>
              <w:jc w:val="center"/>
              <w:rPr>
                <w:rFonts w:hint="eastAsia" w:ascii="宋体" w:hAnsi="宋体"/>
                <w:color w:val="auto"/>
                <w:sz w:val="24"/>
                <w:highlight w:val="none"/>
              </w:rPr>
            </w:pPr>
          </w:p>
        </w:tc>
      </w:tr>
    </w:tbl>
    <w:p w14:paraId="42C15FEB">
      <w:pPr>
        <w:tabs>
          <w:tab w:val="left" w:pos="1800"/>
          <w:tab w:val="left" w:pos="5580"/>
        </w:tabs>
        <w:spacing w:line="360" w:lineRule="auto"/>
        <w:jc w:val="left"/>
        <w:rPr>
          <w:rFonts w:hint="eastAsia" w:ascii="宋体" w:hAnsi="宋体"/>
          <w:color w:val="auto"/>
          <w:sz w:val="24"/>
          <w:highlight w:val="none"/>
        </w:rPr>
      </w:pPr>
      <w:r>
        <w:rPr>
          <w:rFonts w:ascii="宋体" w:hAnsi="宋体"/>
          <w:color w:val="auto"/>
          <w:sz w:val="24"/>
          <w:highlight w:val="none"/>
        </w:rPr>
        <w:t>注：</w:t>
      </w:r>
    </w:p>
    <w:p w14:paraId="742B5465">
      <w:pPr>
        <w:tabs>
          <w:tab w:val="left" w:pos="1800"/>
          <w:tab w:val="left" w:pos="5580"/>
        </w:tabs>
        <w:spacing w:line="360" w:lineRule="auto"/>
        <w:jc w:val="left"/>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 对竞争性磋商文件中的所有商务、技术要求，除本表所列明的所有偏离外，均视作供应商已对之理解和响应。此表中若无任何文字说明，内容为空白的</w:t>
      </w:r>
      <w:r>
        <w:rPr>
          <w:rFonts w:ascii="宋体" w:hAnsi="宋体"/>
          <w:b/>
          <w:color w:val="auto"/>
          <w:sz w:val="24"/>
          <w:highlight w:val="none"/>
        </w:rPr>
        <w:t>响应无效</w:t>
      </w:r>
      <w:r>
        <w:rPr>
          <w:rFonts w:ascii="宋体" w:hAnsi="宋体"/>
          <w:color w:val="auto"/>
          <w:sz w:val="24"/>
          <w:highlight w:val="none"/>
        </w:rPr>
        <w:t>。</w:t>
      </w:r>
    </w:p>
    <w:p w14:paraId="44078F9F">
      <w:pPr>
        <w:tabs>
          <w:tab w:val="left" w:pos="1800"/>
          <w:tab w:val="left" w:pos="5580"/>
        </w:tabs>
        <w:spacing w:line="360" w:lineRule="auto"/>
        <w:jc w:val="left"/>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“偏离情况”列应据实填写</w:t>
      </w:r>
      <w:r>
        <w:rPr>
          <w:rFonts w:ascii="宋体" w:hAnsi="宋体"/>
          <w:color w:val="auto"/>
          <w:sz w:val="24"/>
          <w:highlight w:val="none"/>
        </w:rPr>
        <w:t>“无偏离”</w:t>
      </w:r>
      <w:r>
        <w:rPr>
          <w:rFonts w:hint="eastAsia" w:ascii="宋体" w:hAnsi="宋体"/>
          <w:color w:val="auto"/>
          <w:sz w:val="24"/>
          <w:highlight w:val="none"/>
        </w:rPr>
        <w:t>、</w:t>
      </w:r>
      <w:r>
        <w:rPr>
          <w:rFonts w:ascii="宋体" w:hAnsi="宋体"/>
          <w:color w:val="auto"/>
          <w:sz w:val="24"/>
          <w:highlight w:val="none"/>
        </w:rPr>
        <w:t>“正偏离”或“负偏离”</w:t>
      </w:r>
      <w:r>
        <w:rPr>
          <w:rFonts w:hint="eastAsia" w:ascii="宋体" w:hAnsi="宋体"/>
          <w:color w:val="auto"/>
          <w:sz w:val="24"/>
          <w:highlight w:val="none"/>
        </w:rPr>
        <w:t>。</w:t>
      </w:r>
    </w:p>
    <w:p w14:paraId="0D13B247">
      <w:pPr>
        <w:rPr>
          <w:rFonts w:hint="eastAsia" w:ascii="宋体" w:hAnsi="宋体"/>
          <w:color w:val="auto"/>
          <w:sz w:val="24"/>
          <w:szCs w:val="20"/>
          <w:highlight w:val="none"/>
        </w:rPr>
      </w:pPr>
    </w:p>
    <w:p w14:paraId="26FD2BA7">
      <w:pPr>
        <w:autoSpaceDE w:val="0"/>
        <w:autoSpaceDN w:val="0"/>
        <w:adjustRightInd w:val="0"/>
        <w:snapToGrid w:val="0"/>
        <w:spacing w:before="25" w:after="25" w:line="360" w:lineRule="auto"/>
        <w:ind w:right="360"/>
        <w:jc w:val="left"/>
        <w:rPr>
          <w:rFonts w:hint="eastAsia" w:ascii="宋体" w:hAnsi="宋体"/>
          <w:color w:val="auto"/>
          <w:sz w:val="24"/>
          <w:highlight w:val="none"/>
          <w:lang w:val="zh-CN"/>
        </w:rPr>
      </w:pPr>
      <w:r>
        <w:rPr>
          <w:rFonts w:ascii="宋体" w:hAnsi="宋体"/>
          <w:color w:val="auto"/>
          <w:sz w:val="24"/>
          <w:highlight w:val="none"/>
        </w:rPr>
        <w:t>供应商名称（加盖公章）</w:t>
      </w:r>
      <w:r>
        <w:rPr>
          <w:rFonts w:ascii="宋体" w:hAnsi="宋体"/>
          <w:color w:val="auto"/>
          <w:sz w:val="24"/>
          <w:highlight w:val="none"/>
          <w:lang w:val="zh-CN"/>
        </w:rPr>
        <w:t>：</w:t>
      </w:r>
      <w:r>
        <w:rPr>
          <w:rFonts w:ascii="宋体" w:hAnsi="宋体"/>
          <w:color w:val="auto"/>
          <w:sz w:val="24"/>
          <w:highlight w:val="none"/>
          <w:u w:val="single"/>
        </w:rPr>
        <w:t>______</w:t>
      </w:r>
    </w:p>
    <w:p w14:paraId="298C3596">
      <w:pPr>
        <w:autoSpaceDE w:val="0"/>
        <w:autoSpaceDN w:val="0"/>
        <w:adjustRightInd w:val="0"/>
        <w:snapToGrid w:val="0"/>
        <w:spacing w:before="25" w:after="25" w:line="360" w:lineRule="auto"/>
        <w:ind w:right="360"/>
        <w:jc w:val="left"/>
        <w:rPr>
          <w:rFonts w:hint="eastAsia" w:ascii="宋体" w:hAnsi="宋体"/>
          <w:color w:val="auto"/>
          <w:sz w:val="24"/>
          <w:szCs w:val="20"/>
          <w:highlight w:val="none"/>
        </w:rPr>
      </w:pPr>
      <w:r>
        <w:rPr>
          <w:rFonts w:ascii="宋体" w:hAnsi="宋体"/>
          <w:color w:val="auto"/>
          <w:sz w:val="24"/>
          <w:szCs w:val="20"/>
          <w:highlight w:val="none"/>
        </w:rPr>
        <w:t>日期：</w:t>
      </w:r>
      <w:r>
        <w:rPr>
          <w:rFonts w:ascii="宋体" w:hAnsi="宋体"/>
          <w:color w:val="auto"/>
          <w:sz w:val="24"/>
          <w:szCs w:val="20"/>
          <w:highlight w:val="none"/>
          <w:u w:val="single"/>
        </w:rPr>
        <w:t>____</w:t>
      </w:r>
      <w:r>
        <w:rPr>
          <w:rFonts w:ascii="宋体" w:hAnsi="宋体"/>
          <w:color w:val="auto"/>
          <w:sz w:val="24"/>
          <w:szCs w:val="20"/>
          <w:highlight w:val="none"/>
        </w:rPr>
        <w:t>年</w:t>
      </w:r>
      <w:r>
        <w:rPr>
          <w:rFonts w:ascii="宋体" w:hAnsi="宋体"/>
          <w:color w:val="auto"/>
          <w:sz w:val="24"/>
          <w:szCs w:val="20"/>
          <w:highlight w:val="none"/>
          <w:u w:val="single"/>
        </w:rPr>
        <w:t>____</w:t>
      </w:r>
      <w:r>
        <w:rPr>
          <w:rFonts w:ascii="宋体" w:hAnsi="宋体"/>
          <w:color w:val="auto"/>
          <w:sz w:val="24"/>
          <w:szCs w:val="20"/>
          <w:highlight w:val="none"/>
        </w:rPr>
        <w:t>月</w:t>
      </w:r>
      <w:r>
        <w:rPr>
          <w:rFonts w:ascii="宋体" w:hAnsi="宋体"/>
          <w:color w:val="auto"/>
          <w:sz w:val="24"/>
          <w:szCs w:val="20"/>
          <w:highlight w:val="none"/>
          <w:u w:val="single"/>
        </w:rPr>
        <w:t>____</w:t>
      </w:r>
      <w:r>
        <w:rPr>
          <w:rFonts w:ascii="宋体" w:hAnsi="宋体"/>
          <w:color w:val="auto"/>
          <w:sz w:val="24"/>
          <w:szCs w:val="20"/>
          <w:highlight w:val="none"/>
        </w:rPr>
        <w:t xml:space="preserve">日 </w:t>
      </w:r>
    </w:p>
    <w:p w14:paraId="5A4D235B">
      <w:pPr>
        <w:tabs>
          <w:tab w:val="left" w:pos="5580"/>
        </w:tabs>
        <w:spacing w:line="360" w:lineRule="auto"/>
        <w:rPr>
          <w:rFonts w:hint="eastAsia" w:ascii="宋体" w:hAnsi="宋体"/>
          <w:color w:val="auto"/>
          <w:sz w:val="24"/>
          <w:highlight w:val="none"/>
        </w:rPr>
      </w:pPr>
    </w:p>
    <w:p w14:paraId="55E6FABC">
      <w:pPr>
        <w:widowControl/>
        <w:jc w:val="left"/>
        <w:rPr>
          <w:rFonts w:hint="eastAsia" w:ascii="宋体" w:hAnsi="宋体"/>
          <w:color w:val="auto"/>
          <w:sz w:val="24"/>
          <w:highlight w:val="none"/>
        </w:rPr>
      </w:pPr>
      <w:r>
        <w:rPr>
          <w:rFonts w:ascii="宋体" w:hAnsi="宋体"/>
          <w:color w:val="auto"/>
          <w:sz w:val="24"/>
          <w:highlight w:val="none"/>
        </w:rPr>
        <w:br w:type="page"/>
      </w:r>
    </w:p>
    <w:p w14:paraId="5419ACAD">
      <w:pPr>
        <w:tabs>
          <w:tab w:val="left" w:pos="360"/>
        </w:tabs>
        <w:snapToGrid w:val="0"/>
        <w:spacing w:line="360" w:lineRule="auto"/>
        <w:outlineLvl w:val="1"/>
        <w:rPr>
          <w:rFonts w:hint="eastAsia"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1</w:t>
      </w:r>
      <w:r>
        <w:rPr>
          <w:rFonts w:ascii="宋体" w:hAnsi="宋体"/>
          <w:color w:val="auto"/>
          <w:sz w:val="24"/>
          <w:highlight w:val="none"/>
        </w:rPr>
        <w:t xml:space="preserve">  竞争性磋商文件要求提供或供应商认为应附的其他材料</w:t>
      </w:r>
    </w:p>
    <w:p w14:paraId="7A7C1D99">
      <w:pPr>
        <w:widowControl/>
        <w:jc w:val="left"/>
        <w:rPr>
          <w:rFonts w:hint="eastAsia" w:ascii="宋体" w:hAnsi="宋体"/>
          <w:color w:val="auto"/>
          <w:sz w:val="24"/>
          <w:highlight w:val="none"/>
        </w:rPr>
      </w:pPr>
      <w:r>
        <w:rPr>
          <w:rFonts w:ascii="宋体" w:hAnsi="宋体"/>
          <w:color w:val="auto"/>
          <w:sz w:val="24"/>
          <w:highlight w:val="none"/>
        </w:rPr>
        <w:br w:type="page"/>
      </w:r>
    </w:p>
    <w:p w14:paraId="4735C143">
      <w:pPr>
        <w:tabs>
          <w:tab w:val="left" w:pos="360"/>
        </w:tabs>
        <w:snapToGrid w:val="0"/>
        <w:spacing w:line="360" w:lineRule="auto"/>
        <w:outlineLvl w:val="1"/>
        <w:rPr>
          <w:rFonts w:hint="eastAsia"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2</w:t>
      </w:r>
      <w:r>
        <w:rPr>
          <w:rFonts w:ascii="宋体" w:hAnsi="宋体"/>
          <w:color w:val="auto"/>
          <w:sz w:val="24"/>
          <w:highlight w:val="none"/>
        </w:rPr>
        <w:t xml:space="preserve">  最后报价一览表（</w:t>
      </w:r>
      <w:r>
        <w:rPr>
          <w:rFonts w:hint="eastAsia" w:ascii="宋体" w:hAnsi="宋体"/>
          <w:color w:val="auto"/>
          <w:sz w:val="24"/>
          <w:highlight w:val="none"/>
        </w:rPr>
        <w:t>此表格仅作为通过资格性与符合性的供应商磋商二次报价用，此表将在磋商现场由招标代理机构发放给供应商</w:t>
      </w:r>
      <w:r>
        <w:rPr>
          <w:rFonts w:ascii="宋体" w:hAnsi="宋体"/>
          <w:color w:val="auto"/>
          <w:sz w:val="24"/>
          <w:highlight w:val="none"/>
        </w:rPr>
        <w:t>）</w:t>
      </w:r>
    </w:p>
    <w:p w14:paraId="7CDEB030">
      <w:pPr>
        <w:spacing w:line="360" w:lineRule="auto"/>
        <w:jc w:val="center"/>
        <w:rPr>
          <w:rFonts w:hint="eastAsia" w:ascii="宋体" w:hAnsi="宋体"/>
          <w:b/>
          <w:color w:val="auto"/>
          <w:sz w:val="36"/>
          <w:szCs w:val="36"/>
          <w:highlight w:val="none"/>
        </w:rPr>
      </w:pPr>
      <w:r>
        <w:rPr>
          <w:rFonts w:hint="eastAsia" w:ascii="宋体" w:hAnsi="宋体"/>
          <w:b/>
          <w:color w:val="auto"/>
          <w:sz w:val="36"/>
          <w:szCs w:val="36"/>
          <w:highlight w:val="none"/>
        </w:rPr>
        <w:t>报价一览表</w:t>
      </w:r>
    </w:p>
    <w:p w14:paraId="67C69A0C">
      <w:pPr>
        <w:spacing w:line="360" w:lineRule="auto"/>
        <w:jc w:val="left"/>
        <w:rPr>
          <w:rFonts w:hint="eastAsia" w:ascii="宋体" w:hAnsi="宋体"/>
          <w:b/>
          <w:color w:val="auto"/>
          <w:sz w:val="36"/>
          <w:szCs w:val="36"/>
          <w:highlight w:val="none"/>
        </w:rPr>
      </w:pPr>
      <w:r>
        <w:rPr>
          <w:rFonts w:ascii="宋体" w:hAnsi="宋体"/>
          <w:color w:val="auto"/>
          <w:sz w:val="24"/>
          <w:highlight w:val="none"/>
        </w:rPr>
        <w:t>项目编号：</w:t>
      </w:r>
      <w:r>
        <w:rPr>
          <w:rFonts w:ascii="宋体" w:hAnsi="宋体"/>
          <w:color w:val="auto"/>
          <w:sz w:val="24"/>
          <w:highlight w:val="none"/>
          <w:u w:val="single"/>
        </w:rPr>
        <w:t xml:space="preserve">___________ </w:t>
      </w:r>
      <w:r>
        <w:rPr>
          <w:rFonts w:ascii="宋体" w:hAnsi="宋体"/>
          <w:color w:val="auto"/>
          <w:sz w:val="24"/>
          <w:highlight w:val="none"/>
        </w:rPr>
        <w:t xml:space="preserve">    项目名称：</w:t>
      </w:r>
      <w:r>
        <w:rPr>
          <w:rFonts w:ascii="宋体" w:hAnsi="宋体"/>
          <w:color w:val="auto"/>
          <w:sz w:val="24"/>
          <w:highlight w:val="none"/>
          <w:u w:val="single"/>
        </w:rPr>
        <w:t xml:space="preserve">___________  </w:t>
      </w:r>
      <w:r>
        <w:rPr>
          <w:rFonts w:ascii="宋体" w:hAnsi="宋体"/>
          <w:color w:val="auto"/>
          <w:sz w:val="24"/>
          <w:highlight w:val="none"/>
        </w:rPr>
        <w:t xml:space="preserve">  </w:t>
      </w:r>
    </w:p>
    <w:tbl>
      <w:tblPr>
        <w:tblStyle w:val="16"/>
        <w:tblW w:w="86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0"/>
        <w:gridCol w:w="3010"/>
        <w:gridCol w:w="2535"/>
        <w:gridCol w:w="2190"/>
      </w:tblGrid>
      <w:tr w14:paraId="0D14F6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0" w:hRule="atLeast"/>
          <w:jc w:val="center"/>
        </w:trPr>
        <w:tc>
          <w:tcPr>
            <w:tcW w:w="910" w:type="dxa"/>
            <w:tcBorders>
              <w:bottom w:val="nil"/>
            </w:tcBorders>
            <w:shd w:val="clear" w:color="auto" w:fill="auto"/>
          </w:tcPr>
          <w:p w14:paraId="4D8D9E8B">
            <w:pPr>
              <w:autoSpaceDE w:val="0"/>
              <w:autoSpaceDN w:val="0"/>
              <w:spacing w:line="360" w:lineRule="auto"/>
              <w:rPr>
                <w:rFonts w:ascii="Calibri" w:hAnsi="Calibri"/>
                <w:color w:val="auto"/>
                <w:sz w:val="22"/>
                <w:highlight w:val="none"/>
              </w:rPr>
            </w:pPr>
          </w:p>
          <w:p w14:paraId="20785FFC">
            <w:pPr>
              <w:autoSpaceDE w:val="0"/>
              <w:autoSpaceDN w:val="0"/>
              <w:spacing w:before="78" w:line="360" w:lineRule="auto"/>
              <w:ind w:left="174"/>
              <w:rPr>
                <w:rFonts w:hint="eastAsia" w:ascii="宋体" w:hAnsi="宋体" w:cs="宋体"/>
                <w:color w:val="auto"/>
                <w:sz w:val="24"/>
                <w:highlight w:val="none"/>
              </w:rPr>
            </w:pPr>
            <w:r>
              <w:rPr>
                <w:rFonts w:hint="eastAsia" w:ascii="宋体" w:hAnsi="宋体" w:cs="宋体"/>
                <w:color w:val="auto"/>
                <w:spacing w:val="-3"/>
                <w:sz w:val="24"/>
                <w:highlight w:val="none"/>
              </w:rPr>
              <w:t>序号</w:t>
            </w:r>
          </w:p>
        </w:tc>
        <w:tc>
          <w:tcPr>
            <w:tcW w:w="3010" w:type="dxa"/>
            <w:tcBorders>
              <w:bottom w:val="nil"/>
            </w:tcBorders>
            <w:shd w:val="clear" w:color="auto" w:fill="auto"/>
          </w:tcPr>
          <w:p w14:paraId="3E287EFB">
            <w:pPr>
              <w:autoSpaceDE w:val="0"/>
              <w:autoSpaceDN w:val="0"/>
              <w:spacing w:line="360" w:lineRule="auto"/>
              <w:rPr>
                <w:rFonts w:ascii="Calibri" w:hAnsi="Calibri"/>
                <w:color w:val="auto"/>
                <w:sz w:val="22"/>
                <w:highlight w:val="none"/>
              </w:rPr>
            </w:pPr>
          </w:p>
          <w:p w14:paraId="3A64463D">
            <w:pPr>
              <w:autoSpaceDE w:val="0"/>
              <w:autoSpaceDN w:val="0"/>
              <w:spacing w:before="78" w:line="360" w:lineRule="auto"/>
              <w:ind w:left="1006"/>
              <w:rPr>
                <w:rFonts w:hint="eastAsia" w:ascii="宋体" w:hAnsi="宋体" w:cs="宋体"/>
                <w:color w:val="auto"/>
                <w:sz w:val="24"/>
                <w:highlight w:val="none"/>
              </w:rPr>
            </w:pPr>
            <w:r>
              <w:rPr>
                <w:rFonts w:ascii="宋体" w:hAnsi="宋体" w:cs="宋体"/>
                <w:color w:val="auto"/>
                <w:spacing w:val="-1"/>
                <w:sz w:val="24"/>
                <w:highlight w:val="none"/>
              </w:rPr>
              <w:t>供应商名称</w:t>
            </w:r>
          </w:p>
        </w:tc>
        <w:tc>
          <w:tcPr>
            <w:tcW w:w="2535" w:type="dxa"/>
            <w:shd w:val="clear" w:color="auto" w:fill="auto"/>
            <w:vAlign w:val="center"/>
          </w:tcPr>
          <w:p w14:paraId="177D54AA">
            <w:pPr>
              <w:autoSpaceDE w:val="0"/>
              <w:autoSpaceDN w:val="0"/>
              <w:spacing w:before="150" w:line="360" w:lineRule="auto"/>
              <w:ind w:firstLine="944" w:firstLineChars="400"/>
              <w:rPr>
                <w:rFonts w:hint="eastAsia" w:ascii="宋体" w:hAnsi="宋体" w:cs="宋体"/>
                <w:color w:val="auto"/>
                <w:sz w:val="24"/>
                <w:highlight w:val="none"/>
              </w:rPr>
            </w:pPr>
            <w:r>
              <w:rPr>
                <w:rFonts w:ascii="宋体" w:hAnsi="宋体" w:cs="宋体"/>
                <w:color w:val="auto"/>
                <w:spacing w:val="-2"/>
                <w:sz w:val="24"/>
                <w:highlight w:val="none"/>
              </w:rPr>
              <w:t>报价</w:t>
            </w:r>
            <w:r>
              <w:rPr>
                <w:rFonts w:hint="eastAsia" w:ascii="宋体" w:hAnsi="宋体" w:cs="宋体"/>
                <w:color w:val="auto"/>
                <w:spacing w:val="-2"/>
                <w:sz w:val="24"/>
                <w:highlight w:val="none"/>
              </w:rPr>
              <w:t>（元）</w:t>
            </w:r>
          </w:p>
        </w:tc>
        <w:tc>
          <w:tcPr>
            <w:tcW w:w="2190" w:type="dxa"/>
            <w:vAlign w:val="center"/>
          </w:tcPr>
          <w:p w14:paraId="4C0D5D35">
            <w:pPr>
              <w:autoSpaceDE w:val="0"/>
              <w:autoSpaceDN w:val="0"/>
              <w:spacing w:before="150" w:line="360" w:lineRule="auto"/>
              <w:ind w:firstLine="708" w:firstLineChars="300"/>
              <w:rPr>
                <w:rFonts w:hint="eastAsia" w:ascii="宋体" w:hAnsi="宋体" w:cs="宋体"/>
                <w:color w:val="auto"/>
                <w:spacing w:val="-2"/>
                <w:sz w:val="24"/>
                <w:highlight w:val="none"/>
              </w:rPr>
            </w:pPr>
            <w:r>
              <w:rPr>
                <w:rFonts w:hint="eastAsia" w:ascii="宋体" w:hAnsi="宋体" w:cs="宋体"/>
                <w:color w:val="auto"/>
                <w:spacing w:val="-2"/>
                <w:sz w:val="24"/>
                <w:highlight w:val="none"/>
              </w:rPr>
              <w:t>工期（日历天）</w:t>
            </w:r>
          </w:p>
        </w:tc>
      </w:tr>
      <w:tr w14:paraId="0AEBCD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0" w:hRule="atLeast"/>
          <w:jc w:val="center"/>
        </w:trPr>
        <w:tc>
          <w:tcPr>
            <w:tcW w:w="910" w:type="dxa"/>
            <w:shd w:val="clear" w:color="auto" w:fill="auto"/>
          </w:tcPr>
          <w:p w14:paraId="1F9D6CC3">
            <w:pPr>
              <w:autoSpaceDE w:val="0"/>
              <w:autoSpaceDN w:val="0"/>
              <w:spacing w:line="360" w:lineRule="auto"/>
              <w:rPr>
                <w:rFonts w:ascii="Calibri" w:hAnsi="Calibri"/>
                <w:color w:val="auto"/>
                <w:sz w:val="22"/>
                <w:highlight w:val="none"/>
              </w:rPr>
            </w:pPr>
          </w:p>
        </w:tc>
        <w:tc>
          <w:tcPr>
            <w:tcW w:w="3010" w:type="dxa"/>
            <w:shd w:val="clear" w:color="auto" w:fill="auto"/>
          </w:tcPr>
          <w:p w14:paraId="7838D827">
            <w:pPr>
              <w:autoSpaceDE w:val="0"/>
              <w:autoSpaceDN w:val="0"/>
              <w:spacing w:line="360" w:lineRule="auto"/>
              <w:rPr>
                <w:rFonts w:ascii="Calibri" w:hAnsi="Calibri"/>
                <w:color w:val="auto"/>
                <w:sz w:val="22"/>
                <w:highlight w:val="none"/>
              </w:rPr>
            </w:pPr>
          </w:p>
        </w:tc>
        <w:tc>
          <w:tcPr>
            <w:tcW w:w="2535" w:type="dxa"/>
            <w:shd w:val="clear" w:color="auto" w:fill="auto"/>
          </w:tcPr>
          <w:p w14:paraId="5155D40E">
            <w:pPr>
              <w:autoSpaceDE w:val="0"/>
              <w:autoSpaceDN w:val="0"/>
              <w:spacing w:line="360" w:lineRule="auto"/>
              <w:rPr>
                <w:rFonts w:ascii="Calibri" w:hAnsi="Calibri"/>
                <w:color w:val="auto"/>
                <w:sz w:val="22"/>
                <w:highlight w:val="none"/>
              </w:rPr>
            </w:pPr>
          </w:p>
        </w:tc>
        <w:tc>
          <w:tcPr>
            <w:tcW w:w="2190" w:type="dxa"/>
          </w:tcPr>
          <w:p w14:paraId="36C65B71">
            <w:pPr>
              <w:autoSpaceDE w:val="0"/>
              <w:autoSpaceDN w:val="0"/>
              <w:spacing w:line="360" w:lineRule="auto"/>
              <w:rPr>
                <w:rFonts w:ascii="Calibri" w:hAnsi="Calibri"/>
                <w:color w:val="auto"/>
                <w:sz w:val="22"/>
                <w:highlight w:val="none"/>
              </w:rPr>
            </w:pPr>
          </w:p>
        </w:tc>
      </w:tr>
    </w:tbl>
    <w:p w14:paraId="4E6795AE">
      <w:pPr>
        <w:tabs>
          <w:tab w:val="left" w:pos="1800"/>
          <w:tab w:val="left" w:pos="5580"/>
        </w:tabs>
        <w:spacing w:line="360" w:lineRule="auto"/>
        <w:ind w:firstLine="240" w:firstLineChars="100"/>
        <w:jc w:val="left"/>
        <w:rPr>
          <w:rFonts w:hint="eastAsia" w:ascii="宋体" w:hAnsi="宋体"/>
          <w:color w:val="auto"/>
          <w:sz w:val="24"/>
          <w:highlight w:val="none"/>
          <w:u w:val="single"/>
        </w:rPr>
      </w:pPr>
    </w:p>
    <w:p w14:paraId="778347E6">
      <w:pPr>
        <w:autoSpaceDE w:val="0"/>
        <w:autoSpaceDN w:val="0"/>
        <w:adjustRightInd w:val="0"/>
        <w:jc w:val="left"/>
        <w:rPr>
          <w:rFonts w:hint="eastAsia" w:ascii="宋体" w:hAnsi="宋体"/>
          <w:color w:val="auto"/>
          <w:sz w:val="24"/>
          <w:szCs w:val="20"/>
          <w:highlight w:val="none"/>
        </w:rPr>
      </w:pPr>
      <w:r>
        <w:rPr>
          <w:rFonts w:ascii="宋体" w:hAnsi="宋体"/>
          <w:color w:val="auto"/>
          <w:kern w:val="0"/>
          <w:sz w:val="24"/>
          <w:highlight w:val="none"/>
        </w:rPr>
        <w:t>注：</w:t>
      </w:r>
      <w:r>
        <w:rPr>
          <w:rFonts w:ascii="宋体" w:hAnsi="宋体"/>
          <w:color w:val="auto"/>
          <w:sz w:val="24"/>
          <w:szCs w:val="20"/>
          <w:highlight w:val="none"/>
        </w:rPr>
        <w:t>本表必须按包分别填写。</w:t>
      </w:r>
    </w:p>
    <w:p w14:paraId="1DA2C042">
      <w:pPr>
        <w:autoSpaceDE w:val="0"/>
        <w:autoSpaceDN w:val="0"/>
        <w:adjustRightInd w:val="0"/>
        <w:snapToGrid w:val="0"/>
        <w:spacing w:before="25" w:after="25" w:line="360" w:lineRule="auto"/>
        <w:rPr>
          <w:rFonts w:hint="eastAsia" w:ascii="宋体" w:hAnsi="宋体"/>
          <w:color w:val="auto"/>
          <w:sz w:val="24"/>
          <w:highlight w:val="none"/>
          <w:lang w:val="zh-CN"/>
        </w:rPr>
      </w:pPr>
      <w:r>
        <w:rPr>
          <w:rFonts w:ascii="宋体" w:hAnsi="宋体"/>
          <w:color w:val="auto"/>
          <w:sz w:val="24"/>
          <w:highlight w:val="none"/>
          <w:lang w:val="zh-CN"/>
        </w:rPr>
        <w:t xml:space="preserve">   </w:t>
      </w:r>
    </w:p>
    <w:p w14:paraId="4BD8DF86">
      <w:pPr>
        <w:autoSpaceDE w:val="0"/>
        <w:autoSpaceDN w:val="0"/>
        <w:adjustRightInd w:val="0"/>
        <w:snapToGrid w:val="0"/>
        <w:spacing w:before="25" w:after="25" w:line="360" w:lineRule="auto"/>
        <w:rPr>
          <w:rFonts w:hint="eastAsia" w:ascii="宋体" w:hAnsi="宋体"/>
          <w:color w:val="auto"/>
          <w:sz w:val="24"/>
          <w:highlight w:val="none"/>
          <w:lang w:val="zh-CN"/>
        </w:rPr>
      </w:pPr>
      <w:r>
        <w:rPr>
          <w:rFonts w:ascii="宋体" w:hAnsi="宋体"/>
          <w:color w:val="auto"/>
          <w:sz w:val="24"/>
          <w:highlight w:val="none"/>
        </w:rPr>
        <w:t>供应商授权代表签字（或加盖供应商公章）</w:t>
      </w:r>
      <w:r>
        <w:rPr>
          <w:rFonts w:ascii="宋体" w:hAnsi="宋体"/>
          <w:color w:val="auto"/>
          <w:sz w:val="24"/>
          <w:highlight w:val="none"/>
          <w:lang w:val="zh-CN"/>
        </w:rPr>
        <w:t>：</w:t>
      </w:r>
      <w:r>
        <w:rPr>
          <w:rFonts w:ascii="宋体" w:hAnsi="宋体"/>
          <w:color w:val="auto"/>
          <w:sz w:val="24"/>
          <w:highlight w:val="none"/>
          <w:u w:val="single"/>
        </w:rPr>
        <w:t>___________</w:t>
      </w:r>
    </w:p>
    <w:p w14:paraId="10D1A2C7">
      <w:pPr>
        <w:autoSpaceDE w:val="0"/>
        <w:autoSpaceDN w:val="0"/>
        <w:adjustRightInd w:val="0"/>
        <w:snapToGrid w:val="0"/>
        <w:spacing w:line="360" w:lineRule="auto"/>
        <w:rPr>
          <w:rFonts w:ascii="宋体" w:hAnsi="宋体"/>
          <w:color w:val="auto"/>
          <w:sz w:val="24"/>
          <w:szCs w:val="20"/>
          <w:highlight w:val="none"/>
        </w:rPr>
        <w:sectPr>
          <w:pgSz w:w="11906" w:h="16838"/>
          <w:pgMar w:top="1440" w:right="1800" w:bottom="1440" w:left="1800" w:header="851" w:footer="992" w:gutter="0"/>
          <w:cols w:space="425" w:num="1"/>
          <w:docGrid w:type="lines" w:linePitch="312" w:charSpace="0"/>
        </w:sectPr>
      </w:pPr>
      <w:r>
        <w:rPr>
          <w:rFonts w:ascii="宋体" w:hAnsi="宋体"/>
          <w:color w:val="auto"/>
          <w:sz w:val="24"/>
          <w:highlight w:val="none"/>
        </w:rPr>
        <w:t>日期：</w:t>
      </w:r>
      <w:r>
        <w:rPr>
          <w:rFonts w:ascii="宋体" w:hAnsi="宋体"/>
          <w:color w:val="auto"/>
          <w:sz w:val="24"/>
          <w:szCs w:val="20"/>
          <w:highlight w:val="none"/>
          <w:u w:val="single"/>
        </w:rPr>
        <w:t>____</w:t>
      </w:r>
      <w:r>
        <w:rPr>
          <w:rFonts w:ascii="宋体" w:hAnsi="宋体"/>
          <w:color w:val="auto"/>
          <w:sz w:val="24"/>
          <w:szCs w:val="20"/>
          <w:highlight w:val="none"/>
        </w:rPr>
        <w:t>年</w:t>
      </w:r>
      <w:r>
        <w:rPr>
          <w:rFonts w:ascii="宋体" w:hAnsi="宋体"/>
          <w:color w:val="auto"/>
          <w:sz w:val="24"/>
          <w:szCs w:val="20"/>
          <w:highlight w:val="none"/>
          <w:u w:val="single"/>
        </w:rPr>
        <w:t>____</w:t>
      </w:r>
      <w:r>
        <w:rPr>
          <w:rFonts w:ascii="宋体" w:hAnsi="宋体"/>
          <w:color w:val="auto"/>
          <w:sz w:val="24"/>
          <w:szCs w:val="20"/>
          <w:highlight w:val="none"/>
        </w:rPr>
        <w:t>月</w:t>
      </w:r>
      <w:r>
        <w:rPr>
          <w:rFonts w:ascii="宋体" w:hAnsi="宋体"/>
          <w:color w:val="auto"/>
          <w:sz w:val="24"/>
          <w:szCs w:val="20"/>
          <w:highlight w:val="none"/>
          <w:u w:val="single"/>
        </w:rPr>
        <w:t>____</w:t>
      </w:r>
      <w:r>
        <w:rPr>
          <w:rFonts w:ascii="宋体" w:hAnsi="宋体"/>
          <w:color w:val="auto"/>
          <w:sz w:val="24"/>
          <w:szCs w:val="20"/>
          <w:highlight w:val="none"/>
        </w:rPr>
        <w:t>日</w:t>
      </w:r>
    </w:p>
    <w:p w14:paraId="49C94511">
      <w:pPr>
        <w:pStyle w:val="3"/>
        <w:bidi w:val="0"/>
        <w:jc w:val="center"/>
        <w:rPr>
          <w:rFonts w:hint="eastAsia"/>
          <w:color w:val="auto"/>
          <w:sz w:val="32"/>
          <w:szCs w:val="32"/>
          <w:lang w:val="en-US" w:eastAsia="zh-CN"/>
        </w:rPr>
      </w:pPr>
      <w:bookmarkStart w:id="1147" w:name="_Toc8488"/>
      <w:r>
        <w:rPr>
          <w:rFonts w:hint="eastAsia"/>
          <w:color w:val="auto"/>
          <w:sz w:val="32"/>
          <w:szCs w:val="32"/>
          <w:lang w:val="en-US" w:eastAsia="zh-CN"/>
        </w:rPr>
        <w:t>第七章 附件</w:t>
      </w:r>
      <w:bookmarkEnd w:id="1147"/>
    </w:p>
    <w:p w14:paraId="0A86A154">
      <w:pPr>
        <w:pStyle w:val="2"/>
        <w:numPr>
          <w:ilvl w:val="0"/>
          <w:numId w:val="0"/>
        </w:numPr>
        <w:ind w:left="1445" w:leftChars="0"/>
        <w:rPr>
          <w:rFonts w:hint="eastAsia"/>
          <w:color w:val="auto"/>
          <w:lang w:val="en-US" w:eastAsia="zh-CN"/>
        </w:rPr>
      </w:pPr>
    </w:p>
    <w:p w14:paraId="322A818C">
      <w:pPr>
        <w:pStyle w:val="2"/>
        <w:numPr>
          <w:ilvl w:val="0"/>
          <w:numId w:val="0"/>
        </w:numPr>
        <w:rPr>
          <w:rFonts w:hint="eastAsia" w:ascii="宋体" w:hAnsi="宋体" w:eastAsia="宋体" w:cs="宋体"/>
          <w:color w:val="auto"/>
          <w:sz w:val="24"/>
          <w:szCs w:val="32"/>
          <w:lang w:val="en-US" w:eastAsia="zh-CN"/>
        </w:rPr>
      </w:pPr>
      <w:r>
        <w:rPr>
          <w:rFonts w:hint="eastAsia" w:ascii="宋体" w:hAnsi="宋体" w:eastAsia="宋体" w:cs="宋体"/>
          <w:color w:val="auto"/>
          <w:sz w:val="24"/>
          <w:szCs w:val="32"/>
          <w:lang w:val="en-US" w:eastAsia="zh-CN"/>
        </w:rPr>
        <w:t>附件1.工程量清单（另册提供）</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87983">
    <w:pPr>
      <w:pStyle w:val="10"/>
      <w:rPr>
        <w:rFonts w:hint="eastAsia"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宋体" w:hAnsi="宋体"/>
      </w:rPr>
      <w:id w:val="295034406"/>
    </w:sdtPr>
    <w:sdtEndPr>
      <w:rPr>
        <w:rFonts w:ascii="宋体" w:hAnsi="宋体"/>
      </w:rPr>
    </w:sdtEndPr>
    <w:sdtContent>
      <w:p w14:paraId="741550EA">
        <w:pPr>
          <w:pStyle w:val="10"/>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2</w:t>
        </w:r>
        <w:r>
          <w:rPr>
            <w:rFonts w:ascii="宋体" w:hAnsi="宋体"/>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816DB">
    <w:pPr>
      <w:pStyle w:val="10"/>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rPr>
      <w:t>213</w:t>
    </w:r>
    <w:r>
      <w:rPr>
        <w:rFonts w:ascii="宋体" w:hAnsi="宋体"/>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851FB">
    <w:pPr>
      <w:pStyle w:val="10"/>
      <w:ind w:firstLine="40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84838">
    <w:pPr>
      <w:pStyle w:val="10"/>
      <w:ind w:firstLine="40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1701E">
    <w:pPr>
      <w:pStyle w:val="10"/>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rPr>
      <w:t>213</w:t>
    </w:r>
    <w:r>
      <w:rPr>
        <w:rFonts w:ascii="宋体" w:hAnsi="宋体"/>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B7039">
    <w:pPr>
      <w:pStyle w:val="11"/>
      <w:pBdr>
        <w:bottom w:val="single" w:color="auto" w:sz="4" w:space="1"/>
      </w:pBdr>
      <w:jc w:val="right"/>
      <w:rPr>
        <w:rFonts w:hint="eastAsia" w:ascii="宋体" w:hAnsi="宋体"/>
      </w:rPr>
    </w:pPr>
    <w:r>
      <w:rPr>
        <w:sz w:val="36"/>
        <w:szCs w:val="36"/>
      </w:rPr>
      <w:tab/>
    </w:r>
    <w:r>
      <w:rPr>
        <w:rFonts w:hint="eastAsia" w:ascii="宋体" w:hAnsi="宋体"/>
      </w:rPr>
      <w:t>水利工程日常维修养护经费（中央）-2024年度水工建筑物维修养护工程项目采购文件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F5881">
    <w:pPr>
      <w:pStyle w:val="11"/>
      <w:ind w:left="4410" w:firstLine="4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A25AA">
    <w:pPr>
      <w:pStyle w:val="11"/>
      <w:ind w:left="4410" w:firstLine="420"/>
    </w:pPr>
    <w:r>
      <w:t>2017-2018年密云水库采集系统应用平台维护招标文件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Times New Roman"/>
        <w:b w:val="0"/>
        <w:bCs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E3MGMyYzY4NTcxZTZjNjVhZWM4Y2VhZjU4YjYxNzAifQ=="/>
  </w:docVars>
  <w:rsids>
    <w:rsidRoot w:val="007D40D1"/>
    <w:rsid w:val="000A21B0"/>
    <w:rsid w:val="000D0831"/>
    <w:rsid w:val="00110FEE"/>
    <w:rsid w:val="00123111"/>
    <w:rsid w:val="00181E8E"/>
    <w:rsid w:val="001E425D"/>
    <w:rsid w:val="00325775"/>
    <w:rsid w:val="003611EE"/>
    <w:rsid w:val="00400004"/>
    <w:rsid w:val="004C744F"/>
    <w:rsid w:val="0054771A"/>
    <w:rsid w:val="00653576"/>
    <w:rsid w:val="00676AF0"/>
    <w:rsid w:val="006A2C57"/>
    <w:rsid w:val="006D37A9"/>
    <w:rsid w:val="00791914"/>
    <w:rsid w:val="007A7AB2"/>
    <w:rsid w:val="007B24F5"/>
    <w:rsid w:val="007D40D1"/>
    <w:rsid w:val="008131B6"/>
    <w:rsid w:val="00830008"/>
    <w:rsid w:val="00864CD2"/>
    <w:rsid w:val="009272F8"/>
    <w:rsid w:val="009871C6"/>
    <w:rsid w:val="009A1F1C"/>
    <w:rsid w:val="009F1C45"/>
    <w:rsid w:val="00A17DEC"/>
    <w:rsid w:val="00A76C5C"/>
    <w:rsid w:val="00C17C32"/>
    <w:rsid w:val="00CD3893"/>
    <w:rsid w:val="00D3235B"/>
    <w:rsid w:val="00DD0578"/>
    <w:rsid w:val="00FF54B7"/>
    <w:rsid w:val="00FF71E8"/>
    <w:rsid w:val="044F0213"/>
    <w:rsid w:val="06084432"/>
    <w:rsid w:val="089954A8"/>
    <w:rsid w:val="0A140156"/>
    <w:rsid w:val="0AFD6D57"/>
    <w:rsid w:val="0B156206"/>
    <w:rsid w:val="0D667AA9"/>
    <w:rsid w:val="0E6A1069"/>
    <w:rsid w:val="0FBB14E2"/>
    <w:rsid w:val="12966A8B"/>
    <w:rsid w:val="16DB6409"/>
    <w:rsid w:val="246427C3"/>
    <w:rsid w:val="25C94813"/>
    <w:rsid w:val="27AC5750"/>
    <w:rsid w:val="27DE058E"/>
    <w:rsid w:val="2AE22A41"/>
    <w:rsid w:val="2FED21E5"/>
    <w:rsid w:val="30AD69DA"/>
    <w:rsid w:val="31174879"/>
    <w:rsid w:val="31305DBB"/>
    <w:rsid w:val="33265B78"/>
    <w:rsid w:val="34AE48BE"/>
    <w:rsid w:val="3565277C"/>
    <w:rsid w:val="3720190B"/>
    <w:rsid w:val="37E469F7"/>
    <w:rsid w:val="3F2029A0"/>
    <w:rsid w:val="443F261D"/>
    <w:rsid w:val="44654C82"/>
    <w:rsid w:val="44AE77F5"/>
    <w:rsid w:val="47D96129"/>
    <w:rsid w:val="4B0F4C78"/>
    <w:rsid w:val="4D4E28D6"/>
    <w:rsid w:val="4F641596"/>
    <w:rsid w:val="520E3CEA"/>
    <w:rsid w:val="54683E14"/>
    <w:rsid w:val="554B7F69"/>
    <w:rsid w:val="55E11A9A"/>
    <w:rsid w:val="584E5669"/>
    <w:rsid w:val="59F45004"/>
    <w:rsid w:val="5A5B2A39"/>
    <w:rsid w:val="5F526256"/>
    <w:rsid w:val="61D54F1C"/>
    <w:rsid w:val="62EB7913"/>
    <w:rsid w:val="64463CEB"/>
    <w:rsid w:val="661405E3"/>
    <w:rsid w:val="668C0A21"/>
    <w:rsid w:val="6A72250E"/>
    <w:rsid w:val="6B7C7F61"/>
    <w:rsid w:val="6D760E48"/>
    <w:rsid w:val="6FD838D9"/>
    <w:rsid w:val="71C61458"/>
    <w:rsid w:val="74B43628"/>
    <w:rsid w:val="756D573F"/>
    <w:rsid w:val="794F1893"/>
    <w:rsid w:val="7CC84A9F"/>
    <w:rsid w:val="7E9A45A2"/>
    <w:rsid w:val="7EC12036"/>
    <w:rsid w:val="7F5F3EE7"/>
    <w:rsid w:val="7F7E0B2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bCs/>
      <w:kern w:val="44"/>
      <w:sz w:val="44"/>
      <w:szCs w:val="44"/>
    </w:rPr>
  </w:style>
  <w:style w:type="paragraph" w:styleId="4">
    <w:name w:val="heading 2"/>
    <w:basedOn w:val="1"/>
    <w:next w:val="1"/>
    <w:link w:val="2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38"/>
    <w:unhideWhenUsed/>
    <w:qFormat/>
    <w:uiPriority w:val="9"/>
    <w:pPr>
      <w:keepNext/>
      <w:keepLines/>
      <w:spacing w:before="260" w:after="260" w:line="416" w:lineRule="auto"/>
      <w:outlineLvl w:val="2"/>
    </w:pPr>
    <w:rPr>
      <w:b/>
      <w:bCs/>
      <w:sz w:val="32"/>
      <w:szCs w:val="32"/>
    </w:rPr>
  </w:style>
  <w:style w:type="paragraph" w:styleId="6">
    <w:name w:val="heading 4"/>
    <w:basedOn w:val="1"/>
    <w:next w:val="1"/>
    <w:qFormat/>
    <w:uiPriority w:val="9"/>
    <w:pPr>
      <w:keepNext/>
      <w:keepLines/>
      <w:spacing w:before="280" w:after="290" w:line="376" w:lineRule="atLeast"/>
      <w:outlineLvl w:val="3"/>
    </w:pPr>
    <w:rPr>
      <w:rFonts w:eastAsia="黑体"/>
      <w:b/>
      <w:sz w:val="28"/>
      <w:szCs w:val="20"/>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link w:val="37"/>
    <w:unhideWhenUsed/>
    <w:qFormat/>
    <w:uiPriority w:val="0"/>
    <w:pPr>
      <w:ind w:firstLine="420" w:firstLineChars="200"/>
    </w:pPr>
  </w:style>
  <w:style w:type="paragraph" w:styleId="7">
    <w:name w:val="annotation text"/>
    <w:basedOn w:val="1"/>
    <w:link w:val="28"/>
    <w:qFormat/>
    <w:uiPriority w:val="99"/>
    <w:pPr>
      <w:jc w:val="left"/>
    </w:pPr>
  </w:style>
  <w:style w:type="paragraph" w:styleId="8">
    <w:name w:val="Body Text"/>
    <w:basedOn w:val="1"/>
    <w:link w:val="40"/>
    <w:qFormat/>
    <w:uiPriority w:val="0"/>
    <w:pPr>
      <w:tabs>
        <w:tab w:val="left" w:pos="567"/>
      </w:tabs>
      <w:spacing w:before="120" w:line="22" w:lineRule="atLeast"/>
    </w:pPr>
    <w:rPr>
      <w:rFonts w:ascii="宋体" w:hAnsi="宋体"/>
      <w:sz w:val="24"/>
    </w:rPr>
  </w:style>
  <w:style w:type="paragraph" w:styleId="9">
    <w:name w:val="Plain Text"/>
    <w:basedOn w:val="1"/>
    <w:link w:val="30"/>
    <w:qFormat/>
    <w:uiPriority w:val="0"/>
    <w:rPr>
      <w:rFonts w:ascii="宋体" w:hAnsi="Courier New"/>
      <w:szCs w:val="20"/>
    </w:rPr>
  </w:style>
  <w:style w:type="paragraph" w:styleId="10">
    <w:name w:val="footer"/>
    <w:basedOn w:val="1"/>
    <w:link w:val="22"/>
    <w:unhideWhenUsed/>
    <w:qFormat/>
    <w:uiPriority w:val="99"/>
    <w:pPr>
      <w:tabs>
        <w:tab w:val="center" w:pos="4153"/>
        <w:tab w:val="right" w:pos="8306"/>
      </w:tabs>
      <w:snapToGrid w:val="0"/>
      <w:jc w:val="left"/>
    </w:pPr>
    <w:rPr>
      <w:sz w:val="18"/>
      <w:szCs w:val="18"/>
    </w:rPr>
  </w:style>
  <w:style w:type="paragraph" w:styleId="11">
    <w:name w:val="header"/>
    <w:basedOn w:val="1"/>
    <w:link w:val="21"/>
    <w:unhideWhenUsed/>
    <w:qFormat/>
    <w:uiPriority w:val="0"/>
    <w:pPr>
      <w:tabs>
        <w:tab w:val="center" w:pos="4153"/>
        <w:tab w:val="right" w:pos="8306"/>
      </w:tabs>
      <w:snapToGrid w:val="0"/>
      <w:jc w:val="center"/>
    </w:pPr>
    <w:rPr>
      <w:sz w:val="18"/>
      <w:szCs w:val="18"/>
    </w:rPr>
  </w:style>
  <w:style w:type="paragraph" w:styleId="12">
    <w:name w:val="toc 1"/>
    <w:basedOn w:val="1"/>
    <w:next w:val="1"/>
    <w:unhideWhenUsed/>
    <w:qFormat/>
    <w:uiPriority w:val="39"/>
    <w:pPr>
      <w:tabs>
        <w:tab w:val="right" w:leader="dot" w:pos="8835"/>
      </w:tabs>
      <w:spacing w:line="720" w:lineRule="auto"/>
      <w:jc w:val="center"/>
    </w:pPr>
    <w:rPr>
      <w:rFonts w:ascii="宋体" w:hAnsi="宋体"/>
      <w:b/>
      <w:sz w:val="28"/>
      <w:szCs w:val="28"/>
    </w:rPr>
  </w:style>
  <w:style w:type="paragraph" w:styleId="13">
    <w:name w:val="List"/>
    <w:basedOn w:val="1"/>
    <w:link w:val="45"/>
    <w:qFormat/>
    <w:uiPriority w:val="0"/>
    <w:pPr>
      <w:ind w:firstLine="0" w:firstLineChars="0"/>
      <w:contextualSpacing/>
      <w:jc w:val="center"/>
    </w:pPr>
    <w:rPr>
      <w:b/>
      <w:kern w:val="0"/>
      <w:sz w:val="24"/>
    </w:rPr>
  </w:style>
  <w:style w:type="paragraph" w:styleId="14">
    <w:name w:val="toc 2"/>
    <w:basedOn w:val="1"/>
    <w:next w:val="1"/>
    <w:unhideWhenUsed/>
    <w:qFormat/>
    <w:uiPriority w:val="39"/>
    <w:pPr>
      <w:ind w:left="420" w:leftChars="200"/>
    </w:pPr>
  </w:style>
  <w:style w:type="paragraph" w:styleId="15">
    <w:name w:val="annotation subject"/>
    <w:basedOn w:val="7"/>
    <w:next w:val="7"/>
    <w:link w:val="41"/>
    <w:semiHidden/>
    <w:unhideWhenUsed/>
    <w:qFormat/>
    <w:uiPriority w:val="99"/>
    <w:rPr>
      <w:b/>
      <w:bCs/>
    </w:rPr>
  </w:style>
  <w:style w:type="table" w:styleId="17">
    <w:name w:val="Table Grid"/>
    <w:basedOn w:val="16"/>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basedOn w:val="18"/>
    <w:unhideWhenUsed/>
    <w:qFormat/>
    <w:uiPriority w:val="99"/>
    <w:rPr>
      <w:color w:val="467886" w:themeColor="hyperlink"/>
      <w:u w:val="single"/>
      <w14:textFill>
        <w14:solidFill>
          <w14:schemeClr w14:val="hlink"/>
        </w14:solidFill>
      </w14:textFill>
    </w:rPr>
  </w:style>
  <w:style w:type="character" w:styleId="20">
    <w:name w:val="annotation reference"/>
    <w:qFormat/>
    <w:uiPriority w:val="99"/>
    <w:rPr>
      <w:sz w:val="21"/>
      <w:szCs w:val="21"/>
    </w:rPr>
  </w:style>
  <w:style w:type="character" w:customStyle="1" w:styleId="21">
    <w:name w:val="页眉 字符"/>
    <w:basedOn w:val="18"/>
    <w:link w:val="11"/>
    <w:qFormat/>
    <w:uiPriority w:val="99"/>
    <w:rPr>
      <w:sz w:val="18"/>
      <w:szCs w:val="18"/>
    </w:rPr>
  </w:style>
  <w:style w:type="character" w:customStyle="1" w:styleId="22">
    <w:name w:val="页脚 字符"/>
    <w:basedOn w:val="18"/>
    <w:link w:val="10"/>
    <w:qFormat/>
    <w:uiPriority w:val="99"/>
    <w:rPr>
      <w:sz w:val="18"/>
      <w:szCs w:val="18"/>
    </w:rPr>
  </w:style>
  <w:style w:type="character" w:styleId="23">
    <w:name w:val="Placeholder Text"/>
    <w:basedOn w:val="18"/>
    <w:semiHidden/>
    <w:qFormat/>
    <w:uiPriority w:val="99"/>
    <w:rPr>
      <w:color w:val="666666"/>
    </w:rPr>
  </w:style>
  <w:style w:type="character" w:customStyle="1" w:styleId="24">
    <w:name w:val="页眉 Char1"/>
    <w:qFormat/>
    <w:uiPriority w:val="99"/>
    <w:rPr>
      <w:rFonts w:eastAsia="宋体"/>
      <w:kern w:val="2"/>
      <w:sz w:val="18"/>
      <w:szCs w:val="18"/>
      <w:lang w:val="en-US" w:eastAsia="zh-CN" w:bidi="ar-SA"/>
    </w:rPr>
  </w:style>
  <w:style w:type="character" w:customStyle="1" w:styleId="25">
    <w:name w:val="标题 2 字符"/>
    <w:basedOn w:val="18"/>
    <w:semiHidden/>
    <w:qFormat/>
    <w:uiPriority w:val="9"/>
    <w:rPr>
      <w:rFonts w:asciiTheme="majorHAnsi" w:hAnsiTheme="majorHAnsi" w:eastAsiaTheme="majorEastAsia" w:cstheme="majorBidi"/>
      <w:b/>
      <w:bCs/>
      <w:sz w:val="32"/>
      <w:szCs w:val="32"/>
      <w14:ligatures w14:val="none"/>
    </w:rPr>
  </w:style>
  <w:style w:type="character" w:customStyle="1" w:styleId="26">
    <w:name w:val="标题 2 字符1"/>
    <w:link w:val="4"/>
    <w:qFormat/>
    <w:uiPriority w:val="0"/>
    <w:rPr>
      <w:rFonts w:ascii="Arial" w:hAnsi="Arial" w:eastAsia="黑体" w:cs="Times New Roman"/>
      <w:b/>
      <w:kern w:val="0"/>
      <w:sz w:val="30"/>
      <w:szCs w:val="20"/>
      <w14:ligatures w14:val="none"/>
    </w:rPr>
  </w:style>
  <w:style w:type="character" w:customStyle="1" w:styleId="27">
    <w:name w:val="批注文字 字符"/>
    <w:basedOn w:val="18"/>
    <w:semiHidden/>
    <w:qFormat/>
    <w:uiPriority w:val="99"/>
    <w:rPr>
      <w:rFonts w:ascii="Times New Roman" w:hAnsi="Times New Roman" w:eastAsia="宋体" w:cs="Times New Roman"/>
      <w:szCs w:val="24"/>
      <w14:ligatures w14:val="none"/>
    </w:rPr>
  </w:style>
  <w:style w:type="character" w:customStyle="1" w:styleId="28">
    <w:name w:val="批注文字 字符1"/>
    <w:link w:val="7"/>
    <w:qFormat/>
    <w:uiPriority w:val="99"/>
    <w:rPr>
      <w:rFonts w:ascii="Times New Roman" w:hAnsi="Times New Roman" w:eastAsia="宋体" w:cs="Times New Roman"/>
      <w:szCs w:val="24"/>
      <w14:ligatures w14:val="none"/>
    </w:rPr>
  </w:style>
  <w:style w:type="character" w:customStyle="1" w:styleId="29">
    <w:name w:val="纯文本 字符"/>
    <w:basedOn w:val="18"/>
    <w:semiHidden/>
    <w:qFormat/>
    <w:uiPriority w:val="99"/>
    <w:rPr>
      <w:rFonts w:hAnsi="Courier New" w:cs="Courier New" w:asciiTheme="minorEastAsia"/>
      <w:szCs w:val="24"/>
      <w14:ligatures w14:val="none"/>
    </w:rPr>
  </w:style>
  <w:style w:type="character" w:customStyle="1" w:styleId="30">
    <w:name w:val="纯文本 字符1"/>
    <w:link w:val="9"/>
    <w:qFormat/>
    <w:uiPriority w:val="0"/>
    <w:rPr>
      <w:rFonts w:ascii="宋体" w:hAnsi="Courier New" w:eastAsia="宋体" w:cs="Times New Roman"/>
      <w:szCs w:val="20"/>
      <w14:ligatures w14:val="none"/>
    </w:rPr>
  </w:style>
  <w:style w:type="character" w:customStyle="1" w:styleId="31">
    <w:name w:val="中等深浅网格 1 - 强调文字颜色 2 Char"/>
    <w:link w:val="32"/>
    <w:qFormat/>
    <w:uiPriority w:val="0"/>
    <w:rPr>
      <w:szCs w:val="24"/>
      <w:lang w:val="zh-CN"/>
    </w:rPr>
  </w:style>
  <w:style w:type="paragraph" w:customStyle="1" w:styleId="32">
    <w:name w:val="1"/>
    <w:link w:val="31"/>
    <w:qFormat/>
    <w:uiPriority w:val="0"/>
    <w:rPr>
      <w:rFonts w:asciiTheme="minorHAnsi" w:hAnsiTheme="minorHAnsi" w:eastAsiaTheme="minorEastAsia" w:cstheme="minorBidi"/>
      <w:kern w:val="2"/>
      <w:sz w:val="21"/>
      <w:szCs w:val="24"/>
      <w:lang w:val="zh-CN" w:eastAsia="zh-CN" w:bidi="ar-SA"/>
      <w14:ligatures w14:val="standardContextual"/>
    </w:rPr>
  </w:style>
  <w:style w:type="character" w:customStyle="1" w:styleId="33">
    <w:name w:val="NormalCharacter"/>
    <w:semiHidden/>
    <w:qFormat/>
    <w:uiPriority w:val="0"/>
  </w:style>
  <w:style w:type="character" w:customStyle="1" w:styleId="34">
    <w:name w:val="列表段落 字符"/>
    <w:link w:val="35"/>
    <w:qFormat/>
    <w:uiPriority w:val="34"/>
    <w:rPr>
      <w:rFonts w:ascii="Calibri" w:hAnsi="Calibri" w:eastAsia="宋体"/>
      <w:kern w:val="2"/>
      <w:sz w:val="21"/>
      <w:szCs w:val="22"/>
      <w:lang w:val="en-US" w:eastAsia="zh-CN" w:bidi="ar-SA"/>
    </w:rPr>
  </w:style>
  <w:style w:type="paragraph" w:styleId="35">
    <w:name w:val="List Paragraph"/>
    <w:basedOn w:val="1"/>
    <w:link w:val="34"/>
    <w:qFormat/>
    <w:uiPriority w:val="34"/>
    <w:pPr>
      <w:ind w:firstLine="420" w:firstLineChars="200"/>
    </w:pPr>
    <w:rPr>
      <w:rFonts w:ascii="Calibri" w:hAnsi="Calibri" w:cstheme="minorBidi"/>
      <w:szCs w:val="22"/>
      <w14:ligatures w14:val="standardContextual"/>
    </w:rPr>
  </w:style>
  <w:style w:type="paragraph" w:customStyle="1" w:styleId="36">
    <w:name w:val="_Style 25"/>
    <w:basedOn w:val="1"/>
    <w:next w:val="35"/>
    <w:qFormat/>
    <w:uiPriority w:val="34"/>
    <w:pPr>
      <w:ind w:firstLine="420" w:firstLineChars="200"/>
    </w:pPr>
    <w:rPr>
      <w:rFonts w:ascii="Calibri" w:hAnsi="Calibri"/>
      <w:szCs w:val="22"/>
    </w:rPr>
  </w:style>
  <w:style w:type="character" w:customStyle="1" w:styleId="37">
    <w:name w:val="正文缩进 字符"/>
    <w:link w:val="2"/>
    <w:qFormat/>
    <w:uiPriority w:val="0"/>
    <w:rPr>
      <w:rFonts w:ascii="Times New Roman" w:hAnsi="Times New Roman" w:eastAsia="宋体" w:cs="Times New Roman"/>
      <w:szCs w:val="24"/>
      <w14:ligatures w14:val="none"/>
    </w:rPr>
  </w:style>
  <w:style w:type="character" w:customStyle="1" w:styleId="38">
    <w:name w:val="标题 3 字符"/>
    <w:basedOn w:val="18"/>
    <w:link w:val="5"/>
    <w:semiHidden/>
    <w:qFormat/>
    <w:uiPriority w:val="9"/>
    <w:rPr>
      <w:rFonts w:ascii="Times New Roman" w:hAnsi="Times New Roman" w:eastAsia="宋体" w:cs="Times New Roman"/>
      <w:b/>
      <w:bCs/>
      <w:sz w:val="32"/>
      <w:szCs w:val="32"/>
      <w14:ligatures w14:val="none"/>
    </w:rPr>
  </w:style>
  <w:style w:type="character" w:customStyle="1" w:styleId="39">
    <w:name w:val="正文文本 字符"/>
    <w:basedOn w:val="18"/>
    <w:semiHidden/>
    <w:qFormat/>
    <w:uiPriority w:val="99"/>
    <w:rPr>
      <w:rFonts w:ascii="Times New Roman" w:hAnsi="Times New Roman" w:eastAsia="宋体" w:cs="Times New Roman"/>
      <w:szCs w:val="24"/>
      <w14:ligatures w14:val="none"/>
    </w:rPr>
  </w:style>
  <w:style w:type="character" w:customStyle="1" w:styleId="40">
    <w:name w:val="正文文本 字符1"/>
    <w:link w:val="8"/>
    <w:qFormat/>
    <w:uiPriority w:val="0"/>
    <w:rPr>
      <w:rFonts w:ascii="宋体" w:hAnsi="宋体" w:eastAsia="宋体" w:cs="Times New Roman"/>
      <w:sz w:val="24"/>
      <w:szCs w:val="24"/>
      <w14:ligatures w14:val="none"/>
    </w:rPr>
  </w:style>
  <w:style w:type="character" w:customStyle="1" w:styleId="41">
    <w:name w:val="批注主题 字符"/>
    <w:basedOn w:val="28"/>
    <w:link w:val="15"/>
    <w:semiHidden/>
    <w:qFormat/>
    <w:uiPriority w:val="99"/>
    <w:rPr>
      <w:rFonts w:ascii="Times New Roman" w:hAnsi="Times New Roman" w:eastAsia="宋体" w:cs="Times New Roman"/>
      <w:b/>
      <w:bCs/>
      <w:szCs w:val="24"/>
      <w14:ligatures w14:val="none"/>
    </w:rPr>
  </w:style>
  <w:style w:type="table" w:customStyle="1" w:styleId="42">
    <w:name w:val="网格型6"/>
    <w:basedOn w:val="16"/>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3">
    <w:name w:val="BodyText1I2"/>
    <w:basedOn w:val="44"/>
    <w:qFormat/>
    <w:uiPriority w:val="0"/>
    <w:pPr>
      <w:spacing w:after="120"/>
      <w:ind w:left="420" w:leftChars="200" w:firstLine="420" w:firstLineChars="200"/>
    </w:pPr>
    <w:rPr>
      <w:sz w:val="21"/>
      <w:szCs w:val="21"/>
    </w:rPr>
  </w:style>
  <w:style w:type="paragraph" w:customStyle="1" w:styleId="44">
    <w:name w:val="BodyText2"/>
    <w:basedOn w:val="1"/>
    <w:qFormat/>
    <w:uiPriority w:val="0"/>
    <w:rPr>
      <w:sz w:val="28"/>
      <w:szCs w:val="20"/>
    </w:rPr>
  </w:style>
  <w:style w:type="character" w:customStyle="1" w:styleId="45">
    <w:name w:val="列表 Char"/>
    <w:link w:val="13"/>
    <w:qFormat/>
    <w:uiPriority w:val="0"/>
    <w:rPr>
      <w:b/>
      <w:kern w:val="0"/>
      <w:sz w:val="24"/>
    </w:rPr>
  </w:style>
  <w:style w:type="character" w:customStyle="1" w:styleId="46">
    <w:name w:val="font101"/>
    <w:basedOn w:val="18"/>
    <w:qFormat/>
    <w:uiPriority w:val="0"/>
    <w:rPr>
      <w:rFonts w:hint="default" w:ascii="Times New Roman" w:hAnsi="Times New Roman" w:cs="Times New Roman"/>
      <w:color w:val="000000"/>
      <w:sz w:val="21"/>
      <w:szCs w:val="21"/>
      <w:u w:val="none"/>
      <w:vertAlign w:val="superscript"/>
    </w:rPr>
  </w:style>
  <w:style w:type="character" w:customStyle="1" w:styleId="47">
    <w:name w:val="font31"/>
    <w:basedOn w:val="18"/>
    <w:qFormat/>
    <w:uiPriority w:val="0"/>
    <w:rPr>
      <w:rFonts w:hint="default" w:ascii="Calibri" w:hAnsi="Calibri" w:cs="Calibri"/>
      <w:color w:val="000000"/>
      <w:sz w:val="20"/>
      <w:szCs w:val="20"/>
      <w:u w:val="none"/>
    </w:rPr>
  </w:style>
  <w:style w:type="character" w:customStyle="1" w:styleId="48">
    <w:name w:val="font112"/>
    <w:basedOn w:val="18"/>
    <w:qFormat/>
    <w:uiPriority w:val="0"/>
    <w:rPr>
      <w:rFonts w:hint="eastAsia" w:ascii="宋体" w:hAnsi="宋体" w:eastAsia="宋体" w:cs="宋体"/>
      <w:color w:val="000000"/>
      <w:sz w:val="24"/>
      <w:szCs w:val="24"/>
      <w:u w:val="none"/>
      <w:vertAlign w:val="superscript"/>
    </w:rPr>
  </w:style>
  <w:style w:type="character" w:customStyle="1" w:styleId="49">
    <w:name w:val="font41"/>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1" Type="http://schemas.openxmlformats.org/officeDocument/2006/relationships/fontTable" Target="fontTable.xml"/><Relationship Id="rId40" Type="http://schemas.openxmlformats.org/officeDocument/2006/relationships/customXml" Target="../customXml/item1.xml"/><Relationship Id="rId4" Type="http://schemas.openxmlformats.org/officeDocument/2006/relationships/header" Target="header1.xml"/><Relationship Id="rId39" Type="http://schemas.openxmlformats.org/officeDocument/2006/relationships/numbering" Target="numbering.xml"/><Relationship Id="rId38" Type="http://schemas.openxmlformats.org/officeDocument/2006/relationships/image" Target="media/image26.jpeg"/><Relationship Id="rId37" Type="http://schemas.openxmlformats.org/officeDocument/2006/relationships/image" Target="media/image25.jpeg"/><Relationship Id="rId36" Type="http://schemas.openxmlformats.org/officeDocument/2006/relationships/image" Target="media/image24.jpeg"/><Relationship Id="rId35" Type="http://schemas.openxmlformats.org/officeDocument/2006/relationships/image" Target="media/image23.jpeg"/><Relationship Id="rId34" Type="http://schemas.openxmlformats.org/officeDocument/2006/relationships/image" Target="media/image22.jpeg"/><Relationship Id="rId33" Type="http://schemas.openxmlformats.org/officeDocument/2006/relationships/image" Target="media/image21.jpeg"/><Relationship Id="rId32" Type="http://schemas.openxmlformats.org/officeDocument/2006/relationships/image" Target="media/image20.jpeg"/><Relationship Id="rId31" Type="http://schemas.openxmlformats.org/officeDocument/2006/relationships/image" Target="media/image19.jpeg"/><Relationship Id="rId30" Type="http://schemas.openxmlformats.org/officeDocument/2006/relationships/image" Target="media/image18.jpeg"/><Relationship Id="rId3" Type="http://schemas.openxmlformats.org/officeDocument/2006/relationships/footer" Target="footer1.xml"/><Relationship Id="rId29" Type="http://schemas.openxmlformats.org/officeDocument/2006/relationships/image" Target="media/image17.jpeg"/><Relationship Id="rId28" Type="http://schemas.openxmlformats.org/officeDocument/2006/relationships/image" Target="media/image16.jpeg"/><Relationship Id="rId27" Type="http://schemas.openxmlformats.org/officeDocument/2006/relationships/image" Target="media/image15.jpeg"/><Relationship Id="rId26" Type="http://schemas.openxmlformats.org/officeDocument/2006/relationships/image" Target="media/image14.jpeg"/><Relationship Id="rId25" Type="http://schemas.openxmlformats.org/officeDocument/2006/relationships/image" Target="media/image13.jpeg"/><Relationship Id="rId24" Type="http://schemas.openxmlformats.org/officeDocument/2006/relationships/image" Target="media/image12.jpeg"/><Relationship Id="rId23" Type="http://schemas.openxmlformats.org/officeDocument/2006/relationships/image" Target="media/image11.jpeg"/><Relationship Id="rId22" Type="http://schemas.openxmlformats.org/officeDocument/2006/relationships/image" Target="media/image10.png"/><Relationship Id="rId21" Type="http://schemas.openxmlformats.org/officeDocument/2006/relationships/image" Target="media/image9.png"/><Relationship Id="rId20" Type="http://schemas.openxmlformats.org/officeDocument/2006/relationships/image" Target="media/image8.png"/><Relationship Id="rId2" Type="http://schemas.openxmlformats.org/officeDocument/2006/relationships/settings" Target="settings.xml"/><Relationship Id="rId19" Type="http://schemas.openxmlformats.org/officeDocument/2006/relationships/image" Target="media/image7.jpeg"/><Relationship Id="rId18" Type="http://schemas.openxmlformats.org/officeDocument/2006/relationships/image" Target="media/image6.jpeg"/><Relationship Id="rId17" Type="http://schemas.openxmlformats.org/officeDocument/2006/relationships/image" Target="media/image5.jpeg"/><Relationship Id="rId16" Type="http://schemas.openxmlformats.org/officeDocument/2006/relationships/image" Target="media/image4.jpeg"/><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BD448-7E0B-4B3A-A581-9AAB626A64AF}">
  <ds:schemaRefs/>
</ds:datastoreItem>
</file>

<file path=docProps/app.xml><?xml version="1.0" encoding="utf-8"?>
<Properties xmlns="http://schemas.openxmlformats.org/officeDocument/2006/extended-properties" xmlns:vt="http://schemas.openxmlformats.org/officeDocument/2006/docPropsVTypes">
  <Template>Normal</Template>
  <Pages>165</Pages>
  <Words>89923</Words>
  <Characters>96725</Characters>
  <Lines>659</Lines>
  <Paragraphs>185</Paragraphs>
  <TotalTime>208</TotalTime>
  <ScaleCrop>false</ScaleCrop>
  <LinksUpToDate>false</LinksUpToDate>
  <CharactersWithSpaces>100408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2024-05-02T10:27:00Z</dcterms:created>
  <dc:creator>静静 张</dc:creator>
  <cp:lastModifiedBy>SnowKiss</cp:lastModifiedBy>
  <dcterms:modified xsi:type="dcterms:W3CDTF">2024-09-30T03:25:21Z</dcterms:modified>
  <dc:title>红红火火恍恍惚惚</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8CDC9BB0A28A450098A63884A665D9B3_13</vt:lpwstr>
  </property>
</Properties>
</file>