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2"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2024年绿地养护项目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pPr>
        <w:jc w:val="center"/>
        <w:rPr>
          <w:rFonts w:ascii="黑体" w:hAnsi="黑体" w:eastAsia="黑体" w:cs="Arial"/>
          <w:color w:val="000080"/>
          <w:sz w:val="30"/>
          <w:szCs w:val="30"/>
        </w:rPr>
      </w:pPr>
    </w:p>
    <w:p>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0747-2461SCCZN028</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2024年3月</w:t>
      </w:r>
    </w:p>
    <w:p>
      <w:pPr>
        <w:spacing w:line="360" w:lineRule="auto"/>
        <w:jc w:val="center"/>
        <w:rPr>
          <w:b/>
          <w:bCs/>
          <w:szCs w:val="24"/>
        </w:rPr>
      </w:pPr>
      <w:r>
        <w:rPr>
          <w:rFonts w:hint="eastAsia"/>
          <w:b/>
          <w:bCs/>
          <w:szCs w:val="24"/>
        </w:rPr>
        <w:t>目录</w:t>
      </w:r>
    </w:p>
    <w:p>
      <w:pPr>
        <w:pStyle w:val="18"/>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_Toc2398 </w:instrText>
      </w:r>
      <w:r>
        <w:fldChar w:fldCharType="separate"/>
      </w:r>
      <w:r>
        <w:rPr>
          <w:rFonts w:hint="eastAsia"/>
        </w:rPr>
        <w:t>第一章  投标邀请</w:t>
      </w:r>
      <w:r>
        <w:tab/>
      </w:r>
      <w:r>
        <w:fldChar w:fldCharType="begin"/>
      </w:r>
      <w:r>
        <w:instrText xml:space="preserve"> PAGEREF _Toc2398 \h </w:instrText>
      </w:r>
      <w:r>
        <w:fldChar w:fldCharType="separate"/>
      </w:r>
      <w:r>
        <w:t>3</w:t>
      </w:r>
      <w:r>
        <w:fldChar w:fldCharType="end"/>
      </w:r>
      <w:r>
        <w:fldChar w:fldCharType="end"/>
      </w:r>
    </w:p>
    <w:p>
      <w:pPr>
        <w:pStyle w:val="18"/>
        <w:tabs>
          <w:tab w:val="right" w:leader="dot" w:pos="8929"/>
        </w:tabs>
      </w:pPr>
      <w:r>
        <w:fldChar w:fldCharType="begin"/>
      </w:r>
      <w:r>
        <w:instrText xml:space="preserve"> HYPERLINK \l _Toc4184 </w:instrText>
      </w:r>
      <w:r>
        <w:fldChar w:fldCharType="separate"/>
      </w:r>
      <w:r>
        <w:rPr>
          <w:rFonts w:hint="eastAsia"/>
        </w:rPr>
        <w:t>第二章  投标人须知前附表和投标人须知</w:t>
      </w:r>
      <w:r>
        <w:tab/>
      </w:r>
      <w:r>
        <w:fldChar w:fldCharType="begin"/>
      </w:r>
      <w:r>
        <w:instrText xml:space="preserve"> PAGEREF _Toc4184 \h </w:instrText>
      </w:r>
      <w:r>
        <w:fldChar w:fldCharType="separate"/>
      </w:r>
      <w:r>
        <w:t>6</w:t>
      </w:r>
      <w:r>
        <w:fldChar w:fldCharType="end"/>
      </w:r>
      <w:r>
        <w:fldChar w:fldCharType="end"/>
      </w:r>
    </w:p>
    <w:p>
      <w:pPr>
        <w:pStyle w:val="20"/>
        <w:tabs>
          <w:tab w:val="right" w:leader="dot" w:pos="8929"/>
        </w:tabs>
      </w:pPr>
      <w:r>
        <w:fldChar w:fldCharType="begin"/>
      </w:r>
      <w:r>
        <w:instrText xml:space="preserve"> HYPERLINK \l _Toc14349 </w:instrText>
      </w:r>
      <w:r>
        <w:fldChar w:fldCharType="separate"/>
      </w:r>
      <w:r>
        <w:rPr>
          <w:rFonts w:hint="eastAsia"/>
        </w:rPr>
        <w:t>投标人须知前附表</w:t>
      </w:r>
      <w:r>
        <w:tab/>
      </w:r>
      <w:r>
        <w:fldChar w:fldCharType="begin"/>
      </w:r>
      <w:r>
        <w:instrText xml:space="preserve"> PAGEREF _Toc14349 \h </w:instrText>
      </w:r>
      <w:r>
        <w:fldChar w:fldCharType="separate"/>
      </w:r>
      <w:r>
        <w:t>6</w:t>
      </w:r>
      <w:r>
        <w:fldChar w:fldCharType="end"/>
      </w:r>
      <w:r>
        <w:fldChar w:fldCharType="end"/>
      </w:r>
    </w:p>
    <w:p>
      <w:pPr>
        <w:pStyle w:val="20"/>
        <w:tabs>
          <w:tab w:val="right" w:leader="dot" w:pos="8929"/>
        </w:tabs>
      </w:pPr>
      <w:r>
        <w:fldChar w:fldCharType="begin"/>
      </w:r>
      <w:r>
        <w:instrText xml:space="preserve"> HYPERLINK \l _Toc14259 </w:instrText>
      </w:r>
      <w:r>
        <w:fldChar w:fldCharType="separate"/>
      </w:r>
      <w:r>
        <w:rPr>
          <w:rFonts w:hint="eastAsia"/>
        </w:rPr>
        <w:t>投标人须知</w:t>
      </w:r>
      <w:r>
        <w:tab/>
      </w:r>
      <w:r>
        <w:fldChar w:fldCharType="begin"/>
      </w:r>
      <w:r>
        <w:instrText xml:space="preserve"> PAGEREF _Toc14259 \h </w:instrText>
      </w:r>
      <w:r>
        <w:fldChar w:fldCharType="separate"/>
      </w:r>
      <w:r>
        <w:t>12</w:t>
      </w:r>
      <w:r>
        <w:fldChar w:fldCharType="end"/>
      </w:r>
      <w:r>
        <w:fldChar w:fldCharType="end"/>
      </w:r>
    </w:p>
    <w:p>
      <w:pPr>
        <w:pStyle w:val="20"/>
        <w:tabs>
          <w:tab w:val="right" w:leader="dot" w:pos="8929"/>
        </w:tabs>
      </w:pPr>
      <w:r>
        <w:fldChar w:fldCharType="begin"/>
      </w:r>
      <w:r>
        <w:instrText xml:space="preserve"> HYPERLINK \l _Toc3679 </w:instrText>
      </w:r>
      <w:r>
        <w:fldChar w:fldCharType="separate"/>
      </w:r>
      <w:r>
        <w:rPr>
          <w:rFonts w:hint="eastAsia"/>
        </w:rPr>
        <w:t>一、说明</w:t>
      </w:r>
      <w:r>
        <w:tab/>
      </w:r>
      <w:r>
        <w:fldChar w:fldCharType="begin"/>
      </w:r>
      <w:r>
        <w:instrText xml:space="preserve"> PAGEREF _Toc3679 \h </w:instrText>
      </w:r>
      <w:r>
        <w:fldChar w:fldCharType="separate"/>
      </w:r>
      <w:r>
        <w:t>12</w:t>
      </w:r>
      <w:r>
        <w:fldChar w:fldCharType="end"/>
      </w:r>
      <w:r>
        <w:fldChar w:fldCharType="end"/>
      </w:r>
    </w:p>
    <w:p>
      <w:pPr>
        <w:pStyle w:val="20"/>
        <w:tabs>
          <w:tab w:val="right" w:leader="dot" w:pos="8929"/>
        </w:tabs>
      </w:pPr>
      <w:r>
        <w:fldChar w:fldCharType="begin"/>
      </w:r>
      <w:r>
        <w:instrText xml:space="preserve"> HYPERLINK \l _Toc7088 </w:instrText>
      </w:r>
      <w:r>
        <w:fldChar w:fldCharType="separate"/>
      </w:r>
      <w:r>
        <w:rPr>
          <w:rFonts w:hint="eastAsia"/>
        </w:rPr>
        <w:t>二、招标文件</w:t>
      </w:r>
      <w:r>
        <w:tab/>
      </w:r>
      <w:r>
        <w:fldChar w:fldCharType="begin"/>
      </w:r>
      <w:r>
        <w:instrText xml:space="preserve"> PAGEREF _Toc7088 \h </w:instrText>
      </w:r>
      <w:r>
        <w:fldChar w:fldCharType="separate"/>
      </w:r>
      <w:r>
        <w:t>13</w:t>
      </w:r>
      <w:r>
        <w:fldChar w:fldCharType="end"/>
      </w:r>
      <w:r>
        <w:fldChar w:fldCharType="end"/>
      </w:r>
    </w:p>
    <w:p>
      <w:pPr>
        <w:pStyle w:val="20"/>
        <w:tabs>
          <w:tab w:val="right" w:leader="dot" w:pos="8929"/>
        </w:tabs>
      </w:pPr>
      <w:r>
        <w:fldChar w:fldCharType="begin"/>
      </w:r>
      <w:r>
        <w:instrText xml:space="preserve"> HYPERLINK \l _Toc18739 </w:instrText>
      </w:r>
      <w:r>
        <w:fldChar w:fldCharType="separate"/>
      </w:r>
      <w:r>
        <w:rPr>
          <w:rFonts w:hint="eastAsia"/>
        </w:rPr>
        <w:t>三、投标文件的编制</w:t>
      </w:r>
      <w:r>
        <w:tab/>
      </w:r>
      <w:r>
        <w:fldChar w:fldCharType="begin"/>
      </w:r>
      <w:r>
        <w:instrText xml:space="preserve"> PAGEREF _Toc18739 \h </w:instrText>
      </w:r>
      <w:r>
        <w:fldChar w:fldCharType="separate"/>
      </w:r>
      <w:r>
        <w:t>14</w:t>
      </w:r>
      <w:r>
        <w:fldChar w:fldCharType="end"/>
      </w:r>
      <w:r>
        <w:fldChar w:fldCharType="end"/>
      </w:r>
    </w:p>
    <w:p>
      <w:pPr>
        <w:pStyle w:val="20"/>
        <w:tabs>
          <w:tab w:val="right" w:leader="dot" w:pos="8929"/>
        </w:tabs>
      </w:pPr>
      <w:r>
        <w:fldChar w:fldCharType="begin"/>
      </w:r>
      <w:r>
        <w:instrText xml:space="preserve"> HYPERLINK \l _Toc25594 </w:instrText>
      </w:r>
      <w:r>
        <w:fldChar w:fldCharType="separate"/>
      </w:r>
      <w:r>
        <w:rPr>
          <w:rFonts w:hint="eastAsia"/>
        </w:rPr>
        <w:t>四、投标文件的递交</w:t>
      </w:r>
      <w:r>
        <w:tab/>
      </w:r>
      <w:r>
        <w:fldChar w:fldCharType="begin"/>
      </w:r>
      <w:r>
        <w:instrText xml:space="preserve"> PAGEREF _Toc25594 \h </w:instrText>
      </w:r>
      <w:r>
        <w:fldChar w:fldCharType="separate"/>
      </w:r>
      <w:r>
        <w:t>16</w:t>
      </w:r>
      <w:r>
        <w:fldChar w:fldCharType="end"/>
      </w:r>
      <w:r>
        <w:fldChar w:fldCharType="end"/>
      </w:r>
    </w:p>
    <w:p>
      <w:pPr>
        <w:pStyle w:val="20"/>
        <w:tabs>
          <w:tab w:val="right" w:leader="dot" w:pos="8929"/>
        </w:tabs>
      </w:pPr>
      <w:r>
        <w:fldChar w:fldCharType="begin"/>
      </w:r>
      <w:r>
        <w:instrText xml:space="preserve"> HYPERLINK \l _Toc32420 </w:instrText>
      </w:r>
      <w:r>
        <w:fldChar w:fldCharType="separate"/>
      </w:r>
      <w:r>
        <w:rPr>
          <w:rFonts w:hint="eastAsia"/>
        </w:rPr>
        <w:t>五、开标与评标</w:t>
      </w:r>
      <w:r>
        <w:tab/>
      </w:r>
      <w:r>
        <w:fldChar w:fldCharType="begin"/>
      </w:r>
      <w:r>
        <w:instrText xml:space="preserve"> PAGEREF _Toc32420 \h </w:instrText>
      </w:r>
      <w:r>
        <w:fldChar w:fldCharType="separate"/>
      </w:r>
      <w:r>
        <w:t>17</w:t>
      </w:r>
      <w:r>
        <w:fldChar w:fldCharType="end"/>
      </w:r>
      <w:r>
        <w:fldChar w:fldCharType="end"/>
      </w:r>
    </w:p>
    <w:p>
      <w:pPr>
        <w:pStyle w:val="20"/>
        <w:tabs>
          <w:tab w:val="right" w:leader="dot" w:pos="8929"/>
        </w:tabs>
      </w:pPr>
      <w:r>
        <w:fldChar w:fldCharType="begin"/>
      </w:r>
      <w:r>
        <w:instrText xml:space="preserve"> HYPERLINK \l _Toc11993 </w:instrText>
      </w:r>
      <w:r>
        <w:fldChar w:fldCharType="separate"/>
      </w:r>
      <w:r>
        <w:rPr>
          <w:rFonts w:hint="eastAsia"/>
        </w:rPr>
        <w:t>六、授予合同</w:t>
      </w:r>
      <w:r>
        <w:tab/>
      </w:r>
      <w:r>
        <w:fldChar w:fldCharType="begin"/>
      </w:r>
      <w:r>
        <w:instrText xml:space="preserve"> PAGEREF _Toc11993 \h </w:instrText>
      </w:r>
      <w:r>
        <w:fldChar w:fldCharType="separate"/>
      </w:r>
      <w:r>
        <w:t>22</w:t>
      </w:r>
      <w:r>
        <w:fldChar w:fldCharType="end"/>
      </w:r>
      <w:r>
        <w:fldChar w:fldCharType="end"/>
      </w:r>
    </w:p>
    <w:p>
      <w:pPr>
        <w:pStyle w:val="20"/>
        <w:tabs>
          <w:tab w:val="right" w:leader="dot" w:pos="8929"/>
        </w:tabs>
      </w:pPr>
      <w:r>
        <w:fldChar w:fldCharType="begin"/>
      </w:r>
      <w:r>
        <w:instrText xml:space="preserve"> HYPERLINK \l _Toc6669 </w:instrText>
      </w:r>
      <w:r>
        <w:fldChar w:fldCharType="separate"/>
      </w:r>
      <w:r>
        <w:rPr>
          <w:rFonts w:hint="eastAsia"/>
        </w:rPr>
        <w:t>七、其他</w:t>
      </w:r>
      <w:r>
        <w:tab/>
      </w:r>
      <w:r>
        <w:fldChar w:fldCharType="begin"/>
      </w:r>
      <w:r>
        <w:instrText xml:space="preserve"> PAGEREF _Toc6669 \h </w:instrText>
      </w:r>
      <w:r>
        <w:fldChar w:fldCharType="separate"/>
      </w:r>
      <w:r>
        <w:t>22</w:t>
      </w:r>
      <w:r>
        <w:fldChar w:fldCharType="end"/>
      </w:r>
      <w:r>
        <w:fldChar w:fldCharType="end"/>
      </w:r>
    </w:p>
    <w:p>
      <w:pPr>
        <w:pStyle w:val="18"/>
        <w:tabs>
          <w:tab w:val="right" w:leader="dot" w:pos="8929"/>
        </w:tabs>
      </w:pPr>
      <w:r>
        <w:fldChar w:fldCharType="begin"/>
      </w:r>
      <w:r>
        <w:instrText xml:space="preserve"> HYPERLINK \l _Toc12201 </w:instrText>
      </w:r>
      <w:r>
        <w:fldChar w:fldCharType="separate"/>
      </w:r>
      <w:r>
        <w:rPr>
          <w:rFonts w:hint="eastAsia"/>
        </w:rPr>
        <w:t>第三章  评标方法和评标标准</w:t>
      </w:r>
      <w:r>
        <w:tab/>
      </w:r>
      <w:r>
        <w:fldChar w:fldCharType="begin"/>
      </w:r>
      <w:r>
        <w:instrText xml:space="preserve"> PAGEREF _Toc12201 \h </w:instrText>
      </w:r>
      <w:r>
        <w:fldChar w:fldCharType="separate"/>
      </w:r>
      <w:r>
        <w:t>25</w:t>
      </w:r>
      <w:r>
        <w:fldChar w:fldCharType="end"/>
      </w:r>
      <w:r>
        <w:fldChar w:fldCharType="end"/>
      </w:r>
    </w:p>
    <w:p>
      <w:pPr>
        <w:pStyle w:val="20"/>
        <w:tabs>
          <w:tab w:val="right" w:leader="dot" w:pos="8929"/>
        </w:tabs>
      </w:pPr>
      <w:r>
        <w:fldChar w:fldCharType="begin"/>
      </w:r>
      <w:r>
        <w:instrText xml:space="preserve"> HYPERLINK \l _Toc18718 </w:instrText>
      </w:r>
      <w:r>
        <w:fldChar w:fldCharType="separate"/>
      </w:r>
      <w:r>
        <w:rPr>
          <w:rFonts w:hint="eastAsia"/>
        </w:rPr>
        <w:t>一、评标方法</w:t>
      </w:r>
      <w:r>
        <w:tab/>
      </w:r>
      <w:r>
        <w:fldChar w:fldCharType="begin"/>
      </w:r>
      <w:r>
        <w:instrText xml:space="preserve"> PAGEREF _Toc18718 \h </w:instrText>
      </w:r>
      <w:r>
        <w:fldChar w:fldCharType="separate"/>
      </w:r>
      <w:r>
        <w:t>25</w:t>
      </w:r>
      <w:r>
        <w:fldChar w:fldCharType="end"/>
      </w:r>
      <w:r>
        <w:fldChar w:fldCharType="end"/>
      </w:r>
    </w:p>
    <w:p>
      <w:pPr>
        <w:pStyle w:val="20"/>
        <w:tabs>
          <w:tab w:val="right" w:leader="dot" w:pos="8929"/>
        </w:tabs>
      </w:pPr>
      <w:r>
        <w:fldChar w:fldCharType="begin"/>
      </w:r>
      <w:r>
        <w:instrText xml:space="preserve"> HYPERLINK \l _Toc3601 </w:instrText>
      </w:r>
      <w:r>
        <w:fldChar w:fldCharType="separate"/>
      </w:r>
      <w:r>
        <w:rPr>
          <w:rFonts w:hint="eastAsia"/>
        </w:rPr>
        <w:t>二、评标中的落实政府采购政策具体办法</w:t>
      </w:r>
      <w:r>
        <w:tab/>
      </w:r>
      <w:r>
        <w:fldChar w:fldCharType="begin"/>
      </w:r>
      <w:r>
        <w:instrText xml:space="preserve"> PAGEREF _Toc3601 \h </w:instrText>
      </w:r>
      <w:r>
        <w:fldChar w:fldCharType="separate"/>
      </w:r>
      <w:r>
        <w:t>25</w:t>
      </w:r>
      <w:r>
        <w:fldChar w:fldCharType="end"/>
      </w:r>
      <w:r>
        <w:fldChar w:fldCharType="end"/>
      </w:r>
    </w:p>
    <w:p>
      <w:pPr>
        <w:pStyle w:val="13"/>
        <w:tabs>
          <w:tab w:val="right" w:leader="dot" w:pos="8929"/>
        </w:tabs>
      </w:pPr>
      <w:r>
        <w:fldChar w:fldCharType="begin"/>
      </w:r>
      <w:r>
        <w:instrText xml:space="preserve"> HYPERLINK \l _Toc27315 </w:instrText>
      </w:r>
      <w:r>
        <w:fldChar w:fldCharType="separate"/>
      </w:r>
      <w:r>
        <w:rPr>
          <w:rFonts w:hint="eastAsia"/>
        </w:rPr>
        <w:t>1、促进中小企业、残疾人福利性单位、监狱企业政策落实</w:t>
      </w:r>
      <w:r>
        <w:tab/>
      </w:r>
      <w:r>
        <w:fldChar w:fldCharType="begin"/>
      </w:r>
      <w:r>
        <w:instrText xml:space="preserve"> PAGEREF _Toc27315 \h </w:instrText>
      </w:r>
      <w:r>
        <w:fldChar w:fldCharType="separate"/>
      </w:r>
      <w:r>
        <w:t>25</w:t>
      </w:r>
      <w:r>
        <w:fldChar w:fldCharType="end"/>
      </w:r>
      <w:r>
        <w:fldChar w:fldCharType="end"/>
      </w:r>
    </w:p>
    <w:p>
      <w:pPr>
        <w:pStyle w:val="13"/>
        <w:tabs>
          <w:tab w:val="right" w:leader="dot" w:pos="8929"/>
        </w:tabs>
      </w:pPr>
      <w:r>
        <w:fldChar w:fldCharType="begin"/>
      </w:r>
      <w:r>
        <w:instrText xml:space="preserve"> HYPERLINK \l _Toc29703 </w:instrText>
      </w:r>
      <w:r>
        <w:fldChar w:fldCharType="separate"/>
      </w:r>
      <w:r>
        <w:rPr>
          <w:rFonts w:hint="eastAsia"/>
        </w:rPr>
        <w:t>2、鼓励节能、环保政策落实</w:t>
      </w:r>
      <w:r>
        <w:tab/>
      </w:r>
      <w:r>
        <w:fldChar w:fldCharType="begin"/>
      </w:r>
      <w:r>
        <w:instrText xml:space="preserve"> PAGEREF _Toc29703 \h </w:instrText>
      </w:r>
      <w:r>
        <w:fldChar w:fldCharType="separate"/>
      </w:r>
      <w:r>
        <w:t>27</w:t>
      </w:r>
      <w:r>
        <w:fldChar w:fldCharType="end"/>
      </w:r>
      <w:r>
        <w:fldChar w:fldCharType="end"/>
      </w:r>
    </w:p>
    <w:p>
      <w:pPr>
        <w:pStyle w:val="20"/>
        <w:tabs>
          <w:tab w:val="right" w:leader="dot" w:pos="8929"/>
        </w:tabs>
      </w:pPr>
      <w:r>
        <w:fldChar w:fldCharType="begin"/>
      </w:r>
      <w:r>
        <w:instrText xml:space="preserve"> HYPERLINK \l _Toc21839 </w:instrText>
      </w:r>
      <w:r>
        <w:fldChar w:fldCharType="separate"/>
      </w:r>
      <w:r>
        <w:rPr>
          <w:rFonts w:hint="eastAsia"/>
        </w:rPr>
        <w:t>三、评标标准</w:t>
      </w:r>
      <w:r>
        <w:tab/>
      </w:r>
      <w:r>
        <w:fldChar w:fldCharType="begin"/>
      </w:r>
      <w:r>
        <w:instrText xml:space="preserve"> PAGEREF _Toc21839 \h </w:instrText>
      </w:r>
      <w:r>
        <w:fldChar w:fldCharType="separate"/>
      </w:r>
      <w:r>
        <w:t>28</w:t>
      </w:r>
      <w:r>
        <w:fldChar w:fldCharType="end"/>
      </w:r>
      <w:r>
        <w:fldChar w:fldCharType="end"/>
      </w:r>
    </w:p>
    <w:p>
      <w:pPr>
        <w:pStyle w:val="18"/>
        <w:tabs>
          <w:tab w:val="right" w:leader="dot" w:pos="8929"/>
        </w:tabs>
      </w:pPr>
      <w:r>
        <w:fldChar w:fldCharType="begin"/>
      </w:r>
      <w:r>
        <w:instrText xml:space="preserve"> HYPERLINK \l _Toc9058 </w:instrText>
      </w:r>
      <w:r>
        <w:fldChar w:fldCharType="separate"/>
      </w:r>
      <w:r>
        <w:rPr>
          <w:rFonts w:hint="eastAsia"/>
        </w:rPr>
        <w:t>第四章  技术服务需求</w:t>
      </w:r>
      <w:r>
        <w:tab/>
      </w:r>
      <w:r>
        <w:fldChar w:fldCharType="begin"/>
      </w:r>
      <w:r>
        <w:instrText xml:space="preserve"> PAGEREF _Toc9058 \h </w:instrText>
      </w:r>
      <w:r>
        <w:fldChar w:fldCharType="separate"/>
      </w:r>
      <w:r>
        <w:t>30</w:t>
      </w:r>
      <w:r>
        <w:fldChar w:fldCharType="end"/>
      </w:r>
      <w:r>
        <w:fldChar w:fldCharType="end"/>
      </w:r>
    </w:p>
    <w:p>
      <w:pPr>
        <w:pStyle w:val="20"/>
        <w:tabs>
          <w:tab w:val="right" w:leader="dot" w:pos="8929"/>
        </w:tabs>
      </w:pPr>
      <w:r>
        <w:fldChar w:fldCharType="begin"/>
      </w:r>
      <w:r>
        <w:instrText xml:space="preserve"> HYPERLINK \l _Toc28687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_Toc28687 \h </w:instrText>
      </w:r>
      <w:r>
        <w:fldChar w:fldCharType="separate"/>
      </w:r>
      <w:r>
        <w:t>30</w:t>
      </w:r>
      <w:r>
        <w:fldChar w:fldCharType="end"/>
      </w:r>
      <w:r>
        <w:fldChar w:fldCharType="end"/>
      </w:r>
    </w:p>
    <w:p>
      <w:pPr>
        <w:pStyle w:val="20"/>
        <w:tabs>
          <w:tab w:val="right" w:leader="dot" w:pos="8929"/>
        </w:tabs>
      </w:pPr>
      <w:r>
        <w:fldChar w:fldCharType="begin"/>
      </w:r>
      <w:r>
        <w:instrText xml:space="preserve"> HYPERLINK \l _Toc23481 </w:instrText>
      </w:r>
      <w:r>
        <w:fldChar w:fldCharType="separate"/>
      </w:r>
      <w:r>
        <w:rPr>
          <w:rFonts w:hint="eastAsia"/>
          <w:lang w:val="en-US"/>
        </w:rPr>
        <w:t xml:space="preserve">二、 </w:t>
      </w:r>
      <w:r>
        <w:rPr>
          <w:rFonts w:hint="eastAsia"/>
        </w:rPr>
        <w:t>技术需求</w:t>
      </w:r>
      <w:r>
        <w:tab/>
      </w:r>
      <w:r>
        <w:fldChar w:fldCharType="begin"/>
      </w:r>
      <w:r>
        <w:instrText xml:space="preserve"> PAGEREF _Toc23481 \h </w:instrText>
      </w:r>
      <w:r>
        <w:fldChar w:fldCharType="separate"/>
      </w:r>
      <w:r>
        <w:t>30</w:t>
      </w:r>
      <w:r>
        <w:fldChar w:fldCharType="end"/>
      </w:r>
      <w:r>
        <w:fldChar w:fldCharType="end"/>
      </w:r>
    </w:p>
    <w:p>
      <w:pPr>
        <w:pStyle w:val="18"/>
        <w:tabs>
          <w:tab w:val="right" w:leader="dot" w:pos="8929"/>
        </w:tabs>
      </w:pPr>
      <w:r>
        <w:fldChar w:fldCharType="begin"/>
      </w:r>
      <w:r>
        <w:instrText xml:space="preserve"> HYPERLINK \l _Toc8152 </w:instrText>
      </w:r>
      <w:r>
        <w:fldChar w:fldCharType="separate"/>
      </w:r>
      <w:r>
        <w:rPr>
          <w:rFonts w:hint="eastAsia" w:asciiTheme="minorEastAsia" w:hAnsiTheme="minorEastAsia" w:eastAsiaTheme="minorEastAsia" w:cstheme="minorEastAsia"/>
          <w:bCs w:val="0"/>
          <w:szCs w:val="24"/>
        </w:rPr>
        <w:t>一、</w:t>
      </w:r>
      <w:r>
        <w:rPr>
          <w:rFonts w:hint="eastAsia" w:hAnsiTheme="minorEastAsia" w:cstheme="minorEastAsia"/>
          <w:bCs w:val="0"/>
          <w:szCs w:val="24"/>
          <w:lang w:val="en-US" w:eastAsia="zh-CN"/>
        </w:rPr>
        <w:t>项目概况</w:t>
      </w:r>
      <w:r>
        <w:tab/>
      </w:r>
      <w:r>
        <w:fldChar w:fldCharType="begin"/>
      </w:r>
      <w:r>
        <w:instrText xml:space="preserve"> PAGEREF _Toc8152 \h </w:instrText>
      </w:r>
      <w:r>
        <w:fldChar w:fldCharType="separate"/>
      </w:r>
      <w:r>
        <w:t>30</w:t>
      </w:r>
      <w:r>
        <w:fldChar w:fldCharType="end"/>
      </w:r>
      <w:r>
        <w:fldChar w:fldCharType="end"/>
      </w:r>
    </w:p>
    <w:p>
      <w:pPr>
        <w:pStyle w:val="18"/>
        <w:tabs>
          <w:tab w:val="right" w:leader="dot" w:pos="8929"/>
        </w:tabs>
      </w:pPr>
      <w:r>
        <w:fldChar w:fldCharType="begin"/>
      </w:r>
      <w:r>
        <w:instrText xml:space="preserve"> HYPERLINK \l _Toc2453 </w:instrText>
      </w:r>
      <w:r>
        <w:fldChar w:fldCharType="separate"/>
      </w:r>
      <w:r>
        <w:rPr>
          <w:rFonts w:hint="eastAsia" w:hAnsiTheme="minorEastAsia" w:cstheme="minorEastAsia"/>
          <w:bCs w:val="0"/>
          <w:szCs w:val="24"/>
          <w:lang w:val="en-US" w:eastAsia="zh-CN"/>
        </w:rPr>
        <w:t>二</w:t>
      </w:r>
      <w:r>
        <w:rPr>
          <w:rFonts w:hint="eastAsia" w:asciiTheme="minorEastAsia" w:hAnsiTheme="minorEastAsia" w:eastAsiaTheme="minorEastAsia" w:cstheme="minorEastAsia"/>
          <w:bCs w:val="0"/>
          <w:szCs w:val="24"/>
        </w:rPr>
        <w:t>、采购内容</w:t>
      </w:r>
      <w:r>
        <w:tab/>
      </w:r>
      <w:r>
        <w:fldChar w:fldCharType="begin"/>
      </w:r>
      <w:r>
        <w:instrText xml:space="preserve"> PAGEREF _Toc2453 \h </w:instrText>
      </w:r>
      <w:r>
        <w:fldChar w:fldCharType="separate"/>
      </w:r>
      <w:r>
        <w:t>30</w:t>
      </w:r>
      <w:r>
        <w:fldChar w:fldCharType="end"/>
      </w:r>
      <w:r>
        <w:fldChar w:fldCharType="end"/>
      </w:r>
    </w:p>
    <w:p>
      <w:pPr>
        <w:pStyle w:val="18"/>
        <w:tabs>
          <w:tab w:val="right" w:leader="dot" w:pos="8929"/>
        </w:tabs>
      </w:pPr>
      <w:r>
        <w:fldChar w:fldCharType="begin"/>
      </w:r>
      <w:r>
        <w:instrText xml:space="preserve"> HYPERLINK \l _Toc335 </w:instrText>
      </w:r>
      <w:r>
        <w:fldChar w:fldCharType="separate"/>
      </w:r>
      <w:r>
        <w:rPr>
          <w:rFonts w:hint="eastAsia" w:asciiTheme="minorEastAsia" w:hAnsiTheme="minorEastAsia" w:eastAsiaTheme="minorEastAsia" w:cstheme="minorEastAsia"/>
          <w:bCs w:val="0"/>
          <w:kern w:val="2"/>
          <w:szCs w:val="24"/>
          <w:lang w:val="en-US" w:eastAsia="zh-CN" w:bidi="ar-SA"/>
        </w:rPr>
        <w:t>三、质量标准</w:t>
      </w:r>
      <w:r>
        <w:tab/>
      </w:r>
      <w:r>
        <w:fldChar w:fldCharType="begin"/>
      </w:r>
      <w:r>
        <w:instrText xml:space="preserve"> PAGEREF _Toc335 \h </w:instrText>
      </w:r>
      <w:r>
        <w:fldChar w:fldCharType="separate"/>
      </w:r>
      <w:r>
        <w:t>32</w:t>
      </w:r>
      <w:r>
        <w:fldChar w:fldCharType="end"/>
      </w:r>
      <w:r>
        <w:fldChar w:fldCharType="end"/>
      </w:r>
    </w:p>
    <w:p>
      <w:pPr>
        <w:pStyle w:val="18"/>
        <w:tabs>
          <w:tab w:val="right" w:leader="dot" w:pos="8929"/>
        </w:tabs>
      </w:pPr>
      <w:r>
        <w:fldChar w:fldCharType="begin"/>
      </w:r>
      <w:r>
        <w:instrText xml:space="preserve"> HYPERLINK \l _Toc14039 </w:instrText>
      </w:r>
      <w:r>
        <w:fldChar w:fldCharType="separate"/>
      </w:r>
      <w:r>
        <w:rPr>
          <w:rFonts w:hint="eastAsia"/>
        </w:rPr>
        <w:t>第五章  拟签订的合同文本</w:t>
      </w:r>
      <w:r>
        <w:tab/>
      </w:r>
      <w:r>
        <w:fldChar w:fldCharType="begin"/>
      </w:r>
      <w:r>
        <w:instrText xml:space="preserve"> PAGEREF _Toc14039 \h </w:instrText>
      </w:r>
      <w:r>
        <w:fldChar w:fldCharType="separate"/>
      </w:r>
      <w:r>
        <w:t>42</w:t>
      </w:r>
      <w:r>
        <w:fldChar w:fldCharType="end"/>
      </w:r>
      <w:r>
        <w:fldChar w:fldCharType="end"/>
      </w:r>
    </w:p>
    <w:p>
      <w:pPr>
        <w:pStyle w:val="18"/>
        <w:tabs>
          <w:tab w:val="right" w:leader="dot" w:pos="8929"/>
        </w:tabs>
      </w:pPr>
      <w:r>
        <w:fldChar w:fldCharType="begin"/>
      </w:r>
      <w:r>
        <w:instrText xml:space="preserve"> HYPERLINK \l _Toc23871 </w:instrText>
      </w:r>
      <w:r>
        <w:fldChar w:fldCharType="separate"/>
      </w:r>
      <w:r>
        <w:rPr>
          <w:rFonts w:hint="eastAsia"/>
        </w:rPr>
        <w:t>第六章  投标文件格式</w:t>
      </w:r>
      <w:r>
        <w:tab/>
      </w:r>
      <w:r>
        <w:fldChar w:fldCharType="begin"/>
      </w:r>
      <w:r>
        <w:instrText xml:space="preserve"> PAGEREF _Toc23871 \h </w:instrText>
      </w:r>
      <w:r>
        <w:fldChar w:fldCharType="separate"/>
      </w:r>
      <w:r>
        <w:t>115</w:t>
      </w:r>
      <w:r>
        <w:fldChar w:fldCharType="end"/>
      </w:r>
      <w:r>
        <w:fldChar w:fldCharType="end"/>
      </w:r>
    </w:p>
    <w:p>
      <w:pPr>
        <w:pStyle w:val="20"/>
        <w:tabs>
          <w:tab w:val="right" w:leader="dot" w:pos="8929"/>
        </w:tabs>
      </w:pPr>
      <w:r>
        <w:fldChar w:fldCharType="begin"/>
      </w:r>
      <w:r>
        <w:instrText xml:space="preserve"> HYPERLINK \l _Toc20536 </w:instrText>
      </w:r>
      <w:r>
        <w:fldChar w:fldCharType="separate"/>
      </w:r>
      <w:r>
        <w:rPr>
          <w:rFonts w:hint="eastAsia"/>
        </w:rPr>
        <w:t>商务技术文件分册封面建议格式</w:t>
      </w:r>
      <w:r>
        <w:tab/>
      </w:r>
      <w:r>
        <w:fldChar w:fldCharType="begin"/>
      </w:r>
      <w:r>
        <w:instrText xml:space="preserve"> PAGEREF _Toc20536 \h </w:instrText>
      </w:r>
      <w:r>
        <w:fldChar w:fldCharType="separate"/>
      </w:r>
      <w:r>
        <w:t>116</w:t>
      </w:r>
      <w:r>
        <w:fldChar w:fldCharType="end"/>
      </w:r>
      <w:r>
        <w:fldChar w:fldCharType="end"/>
      </w:r>
    </w:p>
    <w:p>
      <w:pPr>
        <w:pStyle w:val="20"/>
        <w:tabs>
          <w:tab w:val="right" w:leader="dot" w:pos="8929"/>
        </w:tabs>
      </w:pPr>
      <w:r>
        <w:fldChar w:fldCharType="begin"/>
      </w:r>
      <w:r>
        <w:instrText xml:space="preserve"> HYPERLINK \l _Toc18655 </w:instrText>
      </w:r>
      <w:r>
        <w:fldChar w:fldCharType="separate"/>
      </w:r>
      <w:r>
        <w:rPr>
          <w:rFonts w:hint="eastAsia"/>
        </w:rPr>
        <w:t>评分索引表建议格式</w:t>
      </w:r>
      <w:r>
        <w:tab/>
      </w:r>
      <w:r>
        <w:fldChar w:fldCharType="begin"/>
      </w:r>
      <w:r>
        <w:instrText xml:space="preserve"> PAGEREF _Toc18655 \h </w:instrText>
      </w:r>
      <w:r>
        <w:fldChar w:fldCharType="separate"/>
      </w:r>
      <w:r>
        <w:t>117</w:t>
      </w:r>
      <w:r>
        <w:fldChar w:fldCharType="end"/>
      </w:r>
      <w:r>
        <w:fldChar w:fldCharType="end"/>
      </w:r>
    </w:p>
    <w:p>
      <w:pPr>
        <w:pStyle w:val="20"/>
        <w:tabs>
          <w:tab w:val="right" w:leader="dot" w:pos="8929"/>
        </w:tabs>
      </w:pPr>
      <w:r>
        <w:fldChar w:fldCharType="begin"/>
      </w:r>
      <w:r>
        <w:instrText xml:space="preserve"> HYPERLINK \l _Toc2792 </w:instrText>
      </w:r>
      <w:r>
        <w:fldChar w:fldCharType="separate"/>
      </w:r>
      <w:r>
        <w:t>附件1 投标函格式</w:t>
      </w:r>
      <w:r>
        <w:tab/>
      </w:r>
      <w:r>
        <w:fldChar w:fldCharType="begin"/>
      </w:r>
      <w:r>
        <w:instrText xml:space="preserve"> PAGEREF _Toc2792 \h </w:instrText>
      </w:r>
      <w:r>
        <w:fldChar w:fldCharType="separate"/>
      </w:r>
      <w:r>
        <w:t>118</w:t>
      </w:r>
      <w:r>
        <w:fldChar w:fldCharType="end"/>
      </w:r>
      <w:r>
        <w:fldChar w:fldCharType="end"/>
      </w:r>
    </w:p>
    <w:p>
      <w:pPr>
        <w:pStyle w:val="20"/>
        <w:tabs>
          <w:tab w:val="right" w:leader="dot" w:pos="8929"/>
        </w:tabs>
      </w:pPr>
      <w:r>
        <w:fldChar w:fldCharType="begin"/>
      </w:r>
      <w:r>
        <w:instrText xml:space="preserve"> HYPERLINK \l _Toc7872 </w:instrText>
      </w:r>
      <w:r>
        <w:fldChar w:fldCharType="separate"/>
      </w:r>
      <w:r>
        <w:t>附件2 开标一览表格式</w:t>
      </w:r>
      <w:r>
        <w:tab/>
      </w:r>
      <w:r>
        <w:fldChar w:fldCharType="begin"/>
      </w:r>
      <w:r>
        <w:instrText xml:space="preserve"> PAGEREF _Toc7872 \h </w:instrText>
      </w:r>
      <w:r>
        <w:fldChar w:fldCharType="separate"/>
      </w:r>
      <w:r>
        <w:t>120</w:t>
      </w:r>
      <w:r>
        <w:fldChar w:fldCharType="end"/>
      </w:r>
      <w:r>
        <w:fldChar w:fldCharType="end"/>
      </w:r>
    </w:p>
    <w:p>
      <w:pPr>
        <w:pStyle w:val="20"/>
        <w:tabs>
          <w:tab w:val="right" w:leader="dot" w:pos="8929"/>
        </w:tabs>
      </w:pPr>
      <w:r>
        <w:fldChar w:fldCharType="begin"/>
      </w:r>
      <w:r>
        <w:instrText xml:space="preserve"> HYPERLINK \l _Toc31630 </w:instrText>
      </w:r>
      <w:r>
        <w:fldChar w:fldCharType="separate"/>
      </w:r>
      <w:r>
        <w:rPr>
          <w:rFonts w:hint="eastAsia"/>
        </w:rPr>
        <w:t>投标人开票信息表格式</w:t>
      </w:r>
      <w:r>
        <w:tab/>
      </w:r>
      <w:r>
        <w:fldChar w:fldCharType="begin"/>
      </w:r>
      <w:r>
        <w:instrText xml:space="preserve"> PAGEREF _Toc31630 \h </w:instrText>
      </w:r>
      <w:r>
        <w:fldChar w:fldCharType="separate"/>
      </w:r>
      <w:r>
        <w:t>121</w:t>
      </w:r>
      <w:r>
        <w:fldChar w:fldCharType="end"/>
      </w:r>
      <w:r>
        <w:fldChar w:fldCharType="end"/>
      </w:r>
    </w:p>
    <w:p>
      <w:pPr>
        <w:pStyle w:val="20"/>
        <w:tabs>
          <w:tab w:val="right" w:leader="dot" w:pos="8929"/>
        </w:tabs>
      </w:pPr>
      <w:r>
        <w:fldChar w:fldCharType="begin"/>
      </w:r>
      <w:r>
        <w:instrText xml:space="preserve"> HYPERLINK \l _Toc27029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_Toc27029 \h </w:instrText>
      </w:r>
      <w:r>
        <w:fldChar w:fldCharType="separate"/>
      </w:r>
      <w:r>
        <w:t>122</w:t>
      </w:r>
      <w:r>
        <w:fldChar w:fldCharType="end"/>
      </w:r>
      <w:r>
        <w:fldChar w:fldCharType="end"/>
      </w:r>
    </w:p>
    <w:p>
      <w:pPr>
        <w:pStyle w:val="20"/>
        <w:tabs>
          <w:tab w:val="right" w:leader="dot" w:pos="8929"/>
        </w:tabs>
      </w:pPr>
      <w:r>
        <w:fldChar w:fldCharType="begin"/>
      </w:r>
      <w:r>
        <w:instrText xml:space="preserve"> HYPERLINK \l _Toc27097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_Toc27097 \h </w:instrText>
      </w:r>
      <w:r>
        <w:fldChar w:fldCharType="separate"/>
      </w:r>
      <w:r>
        <w:t>123</w:t>
      </w:r>
      <w:r>
        <w:fldChar w:fldCharType="end"/>
      </w:r>
      <w:r>
        <w:fldChar w:fldCharType="end"/>
      </w:r>
    </w:p>
    <w:p>
      <w:pPr>
        <w:pStyle w:val="20"/>
        <w:tabs>
          <w:tab w:val="right" w:leader="dot" w:pos="8929"/>
        </w:tabs>
      </w:pPr>
      <w:r>
        <w:fldChar w:fldCharType="begin"/>
      </w:r>
      <w:r>
        <w:instrText xml:space="preserve"> HYPERLINK \l _Toc17139 </w:instrText>
      </w:r>
      <w:r>
        <w:fldChar w:fldCharType="separate"/>
      </w:r>
      <w:r>
        <w:rPr>
          <w:rFonts w:hint="eastAsia"/>
        </w:rPr>
        <w:t>附件5 合同条款偏离表格式</w:t>
      </w:r>
      <w:r>
        <w:tab/>
      </w:r>
      <w:r>
        <w:fldChar w:fldCharType="begin"/>
      </w:r>
      <w:r>
        <w:instrText xml:space="preserve"> PAGEREF _Toc17139 \h </w:instrText>
      </w:r>
      <w:r>
        <w:fldChar w:fldCharType="separate"/>
      </w:r>
      <w:r>
        <w:t>125</w:t>
      </w:r>
      <w:r>
        <w:fldChar w:fldCharType="end"/>
      </w:r>
      <w:r>
        <w:fldChar w:fldCharType="end"/>
      </w:r>
    </w:p>
    <w:p>
      <w:pPr>
        <w:pStyle w:val="20"/>
        <w:tabs>
          <w:tab w:val="right" w:leader="dot" w:pos="8929"/>
        </w:tabs>
      </w:pPr>
      <w:r>
        <w:fldChar w:fldCharType="begin"/>
      </w:r>
      <w:r>
        <w:instrText xml:space="preserve"> HYPERLINK \l _Toc16170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_Toc16170 \h </w:instrText>
      </w:r>
      <w:r>
        <w:fldChar w:fldCharType="separate"/>
      </w:r>
      <w:r>
        <w:t>126</w:t>
      </w:r>
      <w:r>
        <w:fldChar w:fldCharType="end"/>
      </w:r>
      <w:r>
        <w:fldChar w:fldCharType="end"/>
      </w:r>
    </w:p>
    <w:p>
      <w:pPr>
        <w:pStyle w:val="20"/>
        <w:tabs>
          <w:tab w:val="right" w:leader="dot" w:pos="8929"/>
        </w:tabs>
      </w:pPr>
      <w:r>
        <w:fldChar w:fldCharType="begin"/>
      </w:r>
      <w:r>
        <w:instrText xml:space="preserve"> HYPERLINK \l _Toc13412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_Toc13412 \h </w:instrText>
      </w:r>
      <w:r>
        <w:fldChar w:fldCharType="separate"/>
      </w:r>
      <w:r>
        <w:t>127</w:t>
      </w:r>
      <w:r>
        <w:fldChar w:fldCharType="end"/>
      </w:r>
      <w:r>
        <w:fldChar w:fldCharType="end"/>
      </w:r>
    </w:p>
    <w:p>
      <w:pPr>
        <w:pStyle w:val="13"/>
        <w:tabs>
          <w:tab w:val="right" w:leader="dot" w:pos="8929"/>
        </w:tabs>
      </w:pPr>
      <w:r>
        <w:fldChar w:fldCharType="begin"/>
      </w:r>
      <w:r>
        <w:instrText xml:space="preserve"> HYPERLINK \l _Toc21958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_Toc21958 \h </w:instrText>
      </w:r>
      <w:r>
        <w:fldChar w:fldCharType="separate"/>
      </w:r>
      <w:r>
        <w:t>127</w:t>
      </w:r>
      <w:r>
        <w:fldChar w:fldCharType="end"/>
      </w:r>
      <w:r>
        <w:fldChar w:fldCharType="end"/>
      </w:r>
    </w:p>
    <w:p>
      <w:pPr>
        <w:pStyle w:val="13"/>
        <w:tabs>
          <w:tab w:val="right" w:leader="dot" w:pos="8929"/>
        </w:tabs>
      </w:pPr>
      <w:r>
        <w:fldChar w:fldCharType="begin"/>
      </w:r>
      <w:r>
        <w:instrText xml:space="preserve"> HYPERLINK \l _Toc29280 </w:instrText>
      </w:r>
      <w:r>
        <w:fldChar w:fldCharType="separate"/>
      </w:r>
      <w:r>
        <w:t>7</w:t>
      </w:r>
      <w:r>
        <w:rPr>
          <w:rFonts w:hint="eastAsia"/>
        </w:rPr>
        <w:t>-</w:t>
      </w:r>
      <w:r>
        <w:t>2</w:t>
      </w:r>
      <w:r>
        <w:rPr>
          <w:rFonts w:hint="eastAsia"/>
        </w:rPr>
        <w:t>、拟派实施人员简历格式</w:t>
      </w:r>
      <w:r>
        <w:tab/>
      </w:r>
      <w:r>
        <w:fldChar w:fldCharType="begin"/>
      </w:r>
      <w:r>
        <w:instrText xml:space="preserve"> PAGEREF _Toc29280 \h </w:instrText>
      </w:r>
      <w:r>
        <w:fldChar w:fldCharType="separate"/>
      </w:r>
      <w:r>
        <w:t>128</w:t>
      </w:r>
      <w:r>
        <w:fldChar w:fldCharType="end"/>
      </w:r>
      <w:r>
        <w:fldChar w:fldCharType="end"/>
      </w:r>
    </w:p>
    <w:p>
      <w:pPr>
        <w:pStyle w:val="20"/>
        <w:tabs>
          <w:tab w:val="right" w:leader="dot" w:pos="8929"/>
        </w:tabs>
      </w:pPr>
      <w:r>
        <w:fldChar w:fldCharType="begin"/>
      </w:r>
      <w:r>
        <w:instrText xml:space="preserve"> HYPERLINK \l _Toc20099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_Toc20099 \h </w:instrText>
      </w:r>
      <w:r>
        <w:fldChar w:fldCharType="separate"/>
      </w:r>
      <w:r>
        <w:t>129</w:t>
      </w:r>
      <w:r>
        <w:fldChar w:fldCharType="end"/>
      </w:r>
      <w:r>
        <w:fldChar w:fldCharType="end"/>
      </w:r>
    </w:p>
    <w:p>
      <w:pPr>
        <w:pStyle w:val="13"/>
        <w:tabs>
          <w:tab w:val="right" w:leader="dot" w:pos="8929"/>
        </w:tabs>
      </w:pPr>
      <w:r>
        <w:fldChar w:fldCharType="begin"/>
      </w:r>
      <w:r>
        <w:instrText xml:space="preserve"> HYPERLINK \l _Toc18355 </w:instrText>
      </w:r>
      <w:r>
        <w:fldChar w:fldCharType="separate"/>
      </w:r>
      <w:r>
        <w:t>8</w:t>
      </w:r>
      <w:r>
        <w:rPr>
          <w:rFonts w:hint="eastAsia"/>
        </w:rPr>
        <w:t>-1、相关业绩表建议格式</w:t>
      </w:r>
      <w:r>
        <w:tab/>
      </w:r>
      <w:r>
        <w:fldChar w:fldCharType="begin"/>
      </w:r>
      <w:r>
        <w:instrText xml:space="preserve"> PAGEREF _Toc18355 \h </w:instrText>
      </w:r>
      <w:r>
        <w:fldChar w:fldCharType="separate"/>
      </w:r>
      <w:r>
        <w:t>129</w:t>
      </w:r>
      <w:r>
        <w:fldChar w:fldCharType="end"/>
      </w:r>
      <w:r>
        <w:fldChar w:fldCharType="end"/>
      </w:r>
    </w:p>
    <w:p>
      <w:pPr>
        <w:pStyle w:val="13"/>
        <w:tabs>
          <w:tab w:val="right" w:leader="dot" w:pos="8929"/>
        </w:tabs>
      </w:pPr>
      <w:r>
        <w:fldChar w:fldCharType="begin"/>
      </w:r>
      <w:r>
        <w:instrText xml:space="preserve"> HYPERLINK \l _Toc2311 </w:instrText>
      </w:r>
      <w:r>
        <w:fldChar w:fldCharType="separate"/>
      </w:r>
      <w:r>
        <w:t>8</w:t>
      </w:r>
      <w:r>
        <w:rPr>
          <w:rFonts w:hint="eastAsia"/>
        </w:rPr>
        <w:t>-2、其它招标文件要求的或投标人认为应当或有必要提供的资料</w:t>
      </w:r>
      <w:r>
        <w:tab/>
      </w:r>
      <w:r>
        <w:fldChar w:fldCharType="begin"/>
      </w:r>
      <w:r>
        <w:instrText xml:space="preserve"> PAGEREF _Toc2311 \h </w:instrText>
      </w:r>
      <w:r>
        <w:fldChar w:fldCharType="separate"/>
      </w:r>
      <w:r>
        <w:t>129</w:t>
      </w:r>
      <w:r>
        <w:fldChar w:fldCharType="end"/>
      </w:r>
      <w:r>
        <w:fldChar w:fldCharType="end"/>
      </w:r>
    </w:p>
    <w:p>
      <w:pPr>
        <w:pStyle w:val="20"/>
        <w:tabs>
          <w:tab w:val="right" w:leader="dot" w:pos="8929"/>
        </w:tabs>
      </w:pPr>
      <w:r>
        <w:fldChar w:fldCharType="begin"/>
      </w:r>
      <w:r>
        <w:instrText xml:space="preserve"> HYPERLINK \l _Toc32081 </w:instrText>
      </w:r>
      <w:r>
        <w:fldChar w:fldCharType="separate"/>
      </w:r>
      <w:r>
        <w:rPr>
          <w:rFonts w:hint="eastAsia"/>
        </w:rPr>
        <w:t>资格、资信证明文件分册封面建议格式</w:t>
      </w:r>
      <w:r>
        <w:tab/>
      </w:r>
      <w:r>
        <w:fldChar w:fldCharType="begin"/>
      </w:r>
      <w:r>
        <w:instrText xml:space="preserve"> PAGEREF _Toc32081 \h </w:instrText>
      </w:r>
      <w:r>
        <w:fldChar w:fldCharType="separate"/>
      </w:r>
      <w:r>
        <w:t>130</w:t>
      </w:r>
      <w:r>
        <w:fldChar w:fldCharType="end"/>
      </w:r>
      <w:r>
        <w:fldChar w:fldCharType="end"/>
      </w:r>
    </w:p>
    <w:p>
      <w:pPr>
        <w:pStyle w:val="20"/>
        <w:tabs>
          <w:tab w:val="right" w:leader="dot" w:pos="8929"/>
        </w:tabs>
      </w:pPr>
      <w:r>
        <w:fldChar w:fldCharType="begin"/>
      </w:r>
      <w:r>
        <w:instrText xml:space="preserve"> HYPERLINK \l _Toc31439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_Toc31439 \h </w:instrText>
      </w:r>
      <w:r>
        <w:fldChar w:fldCharType="separate"/>
      </w:r>
      <w:r>
        <w:t>131</w:t>
      </w:r>
      <w:r>
        <w:fldChar w:fldCharType="end"/>
      </w:r>
      <w:r>
        <w:fldChar w:fldCharType="end"/>
      </w:r>
    </w:p>
    <w:p>
      <w:pPr>
        <w:pStyle w:val="13"/>
        <w:tabs>
          <w:tab w:val="right" w:leader="dot" w:pos="8929"/>
        </w:tabs>
      </w:pPr>
      <w:r>
        <w:fldChar w:fldCharType="begin"/>
      </w:r>
      <w:r>
        <w:instrText xml:space="preserve"> HYPERLINK \l _Toc10677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_Toc10677 \h </w:instrText>
      </w:r>
      <w:r>
        <w:fldChar w:fldCharType="separate"/>
      </w:r>
      <w:r>
        <w:t>132</w:t>
      </w:r>
      <w:r>
        <w:fldChar w:fldCharType="end"/>
      </w:r>
      <w:r>
        <w:fldChar w:fldCharType="end"/>
      </w:r>
    </w:p>
    <w:p>
      <w:pPr>
        <w:pStyle w:val="20"/>
        <w:tabs>
          <w:tab w:val="right" w:leader="dot" w:pos="8929"/>
        </w:tabs>
      </w:pPr>
      <w:r>
        <w:fldChar w:fldCharType="begin"/>
      </w:r>
      <w:r>
        <w:instrText xml:space="preserve"> HYPERLINK \l _Toc17299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_Toc17299 \h </w:instrText>
      </w:r>
      <w:r>
        <w:fldChar w:fldCharType="separate"/>
      </w:r>
      <w:r>
        <w:t>134</w:t>
      </w:r>
      <w:r>
        <w:fldChar w:fldCharType="end"/>
      </w:r>
      <w:r>
        <w:fldChar w:fldCharType="end"/>
      </w:r>
    </w:p>
    <w:p>
      <w:pPr>
        <w:pStyle w:val="13"/>
        <w:tabs>
          <w:tab w:val="right" w:leader="dot" w:pos="8929"/>
        </w:tabs>
      </w:pPr>
      <w:r>
        <w:fldChar w:fldCharType="begin"/>
      </w:r>
      <w:r>
        <w:instrText xml:space="preserve"> HYPERLINK \l _Toc27700 </w:instrText>
      </w:r>
      <w:r>
        <w:fldChar w:fldCharType="separate"/>
      </w:r>
      <w:r>
        <w:t>10</w:t>
      </w:r>
      <w:r>
        <w:rPr>
          <w:rFonts w:hint="eastAsia"/>
        </w:rPr>
        <w:t>-</w:t>
      </w:r>
      <w:r>
        <w:t>1</w:t>
      </w:r>
      <w:r>
        <w:rPr>
          <w:rFonts w:hint="eastAsia"/>
        </w:rPr>
        <w:t>、中小企业声明函格式</w:t>
      </w:r>
      <w:r>
        <w:tab/>
      </w:r>
      <w:r>
        <w:fldChar w:fldCharType="begin"/>
      </w:r>
      <w:r>
        <w:instrText xml:space="preserve"> PAGEREF _Toc27700 \h </w:instrText>
      </w:r>
      <w:r>
        <w:fldChar w:fldCharType="separate"/>
      </w:r>
      <w:r>
        <w:t>134</w:t>
      </w:r>
      <w:r>
        <w:fldChar w:fldCharType="end"/>
      </w:r>
      <w:r>
        <w:fldChar w:fldCharType="end"/>
      </w:r>
    </w:p>
    <w:p>
      <w:pPr>
        <w:pStyle w:val="13"/>
        <w:tabs>
          <w:tab w:val="right" w:leader="dot" w:pos="8929"/>
        </w:tabs>
      </w:pPr>
      <w:r>
        <w:fldChar w:fldCharType="begin"/>
      </w:r>
      <w:r>
        <w:instrText xml:space="preserve"> HYPERLINK \l _Toc4560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_Toc4560 \h </w:instrText>
      </w:r>
      <w:r>
        <w:fldChar w:fldCharType="separate"/>
      </w:r>
      <w:r>
        <w:t>136</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
      <w:pPr>
        <w:pStyle w:val="3"/>
      </w:pPr>
      <w:bookmarkStart w:id="3" w:name="_Toc2398"/>
      <w:r>
        <w:rPr>
          <w:rFonts w:hint="eastAsia"/>
        </w:rPr>
        <w:t>第一章  投标邀请</w:t>
      </w:r>
      <w:bookmarkEnd w:id="3"/>
    </w:p>
    <w:p>
      <w:pPr>
        <w:rPr>
          <w:b/>
          <w:bCs/>
        </w:rPr>
      </w:pPr>
      <w:r>
        <w:rPr>
          <w:rFonts w:hint="eastAsia"/>
          <w:b/>
          <w:bCs/>
        </w:rPr>
        <w:t>项目概况</w:t>
      </w:r>
    </w:p>
    <w:p>
      <w:pPr>
        <w:pStyle w:val="49"/>
        <w:ind w:firstLine="480"/>
      </w:pPr>
      <w:r>
        <w:rPr>
          <w:rFonts w:hint="eastAsia"/>
          <w:color w:val="auto"/>
          <w:lang w:eastAsia="zh-CN"/>
        </w:rPr>
        <w:t>2024年绿地养护</w:t>
      </w:r>
      <w:r>
        <w:rPr>
          <w:rFonts w:hint="eastAsia"/>
          <w:color w:val="auto"/>
        </w:rPr>
        <w:t>项目的潜在投标人应在北京市政府采购电子交易平台（http://zbcg-bjzc.zhongcy.com/bjczj-portal-site/index.html#/home）获取招标文</w:t>
      </w:r>
      <w:r>
        <w:rPr>
          <w:rFonts w:hint="eastAsia"/>
        </w:rPr>
        <w:t>件，并于</w:t>
      </w:r>
      <w:r>
        <w:rPr>
          <w:rFonts w:hint="eastAsia"/>
          <w:color w:val="auto"/>
          <w:lang w:eastAsia="zh-CN"/>
        </w:rPr>
        <w:t>2024年</w:t>
      </w:r>
      <w:r>
        <w:rPr>
          <w:rFonts w:hint="eastAsia"/>
          <w:color w:val="auto"/>
          <w:lang w:val="en-US" w:eastAsia="zh-CN"/>
        </w:rPr>
        <w:t>4</w:t>
      </w:r>
      <w:r>
        <w:rPr>
          <w:rFonts w:hint="eastAsia"/>
          <w:color w:val="auto"/>
          <w:lang w:eastAsia="zh-CN"/>
        </w:rPr>
        <w:t>月</w:t>
      </w:r>
      <w:r>
        <w:rPr>
          <w:rFonts w:hint="eastAsia"/>
          <w:color w:val="auto"/>
          <w:lang w:val="en-US" w:eastAsia="zh-CN"/>
        </w:rPr>
        <w:t>1</w:t>
      </w:r>
      <w:r>
        <w:rPr>
          <w:rFonts w:hint="eastAsia"/>
          <w:color w:val="auto"/>
        </w:rPr>
        <w:t>日09:30（</w:t>
      </w:r>
      <w:r>
        <w:rPr>
          <w:rFonts w:hint="eastAsia"/>
        </w:rPr>
        <w:t>北京时间）前递交投标文件。</w:t>
      </w:r>
    </w:p>
    <w:p>
      <w:pPr>
        <w:pStyle w:val="43"/>
        <w:rPr>
          <w:b/>
        </w:rPr>
      </w:pPr>
      <w:r>
        <w:rPr>
          <w:rFonts w:hint="eastAsia"/>
          <w:b/>
        </w:rPr>
        <w:t>一、项目基本情况：</w:t>
      </w:r>
    </w:p>
    <w:p>
      <w:pPr>
        <w:pStyle w:val="49"/>
        <w:ind w:firstLine="480"/>
        <w:rPr>
          <w:rFonts w:hint="eastAsia" w:eastAsiaTheme="minorEastAsia"/>
          <w:color w:val="auto"/>
          <w:lang w:eastAsia="zh-CN"/>
        </w:rPr>
      </w:pPr>
      <w:r>
        <w:rPr>
          <w:rFonts w:hint="eastAsia"/>
        </w:rPr>
        <w:t>项目编</w:t>
      </w:r>
      <w:r>
        <w:rPr>
          <w:rFonts w:hint="eastAsia"/>
          <w:color w:val="auto"/>
        </w:rPr>
        <w:t>号：</w:t>
      </w:r>
      <w:r>
        <w:rPr>
          <w:rFonts w:hint="eastAsia"/>
          <w:color w:val="auto"/>
          <w:lang w:eastAsia="zh-CN"/>
        </w:rPr>
        <w:t>0747-2461SCCZN028</w:t>
      </w:r>
    </w:p>
    <w:p>
      <w:pPr>
        <w:pStyle w:val="49"/>
        <w:ind w:firstLine="480"/>
        <w:rPr>
          <w:rFonts w:hint="eastAsia" w:eastAsiaTheme="minorEastAsia"/>
          <w:color w:val="auto"/>
          <w:lang w:eastAsia="zh-CN"/>
        </w:rPr>
      </w:pPr>
      <w:r>
        <w:rPr>
          <w:rFonts w:hint="eastAsia"/>
          <w:color w:val="auto"/>
        </w:rPr>
        <w:t>项目名称：</w:t>
      </w:r>
      <w:r>
        <w:rPr>
          <w:rFonts w:hint="eastAsia"/>
          <w:color w:val="auto"/>
          <w:lang w:eastAsia="zh-CN"/>
        </w:rPr>
        <w:t>2024年绿地养护项目</w:t>
      </w:r>
    </w:p>
    <w:p>
      <w:pPr>
        <w:pStyle w:val="49"/>
        <w:ind w:firstLine="480"/>
        <w:rPr>
          <w:color w:val="auto"/>
        </w:rPr>
      </w:pPr>
      <w:r>
        <w:rPr>
          <w:rFonts w:hint="eastAsia"/>
          <w:color w:val="auto"/>
        </w:rPr>
        <w:t>预算金额：1426</w:t>
      </w:r>
      <w:r>
        <w:rPr>
          <w:rFonts w:hint="eastAsia"/>
          <w:color w:val="auto"/>
          <w:lang w:val="en-US" w:eastAsia="zh-CN"/>
        </w:rPr>
        <w:t>.</w:t>
      </w:r>
      <w:r>
        <w:rPr>
          <w:rFonts w:hint="eastAsia"/>
          <w:color w:val="auto"/>
        </w:rPr>
        <w:t>454176万元（人民币）</w:t>
      </w:r>
    </w:p>
    <w:p>
      <w:pPr>
        <w:pStyle w:val="49"/>
        <w:ind w:firstLine="480"/>
        <w:rPr>
          <w:color w:val="auto"/>
        </w:rPr>
      </w:pPr>
      <w:r>
        <w:rPr>
          <w:rFonts w:hint="eastAsia"/>
          <w:color w:val="auto"/>
        </w:rPr>
        <w:t>最高限价：各包件最高投标限价即各包件预算金额</w:t>
      </w:r>
    </w:p>
    <w:p>
      <w:pPr>
        <w:pStyle w:val="49"/>
        <w:ind w:firstLine="480"/>
      </w:pPr>
      <w:r>
        <w:rPr>
          <w:rFonts w:hint="eastAsia"/>
        </w:rPr>
        <w:t>采购需求：</w:t>
      </w:r>
    </w:p>
    <w:p>
      <w:pPr>
        <w:pStyle w:val="49"/>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24"/>
        <w:tblW w:w="9506" w:type="dxa"/>
        <w:tblInd w:w="0" w:type="dxa"/>
        <w:shd w:val="clear" w:color="auto" w:fill="FFFFFF"/>
        <w:tblLayout w:type="fixed"/>
        <w:tblCellMar>
          <w:top w:w="0" w:type="dxa"/>
          <w:left w:w="0" w:type="dxa"/>
          <w:bottom w:w="0" w:type="dxa"/>
          <w:right w:w="0" w:type="dxa"/>
        </w:tblCellMar>
      </w:tblPr>
      <w:tblGrid>
        <w:gridCol w:w="700"/>
        <w:gridCol w:w="1056"/>
        <w:gridCol w:w="1000"/>
        <w:gridCol w:w="420"/>
        <w:gridCol w:w="960"/>
        <w:gridCol w:w="990"/>
        <w:gridCol w:w="930"/>
        <w:gridCol w:w="3450"/>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99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93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项目基本概况：</w:t>
            </w:r>
          </w:p>
        </w:tc>
      </w:tr>
      <w:tr>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color w:val="auto"/>
                <w:sz w:val="21"/>
              </w:rPr>
              <w:t>1</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鹰山区域绿地养护项目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鹰山区域绿地养护项目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556</w:t>
            </w:r>
            <w:r>
              <w:rPr>
                <w:rFonts w:hint="eastAsia"/>
                <w:color w:val="auto"/>
                <w:sz w:val="21"/>
                <w:lang w:eastAsia="zh-CN"/>
              </w:rPr>
              <w:t>.</w:t>
            </w:r>
            <w:r>
              <w:rPr>
                <w:rFonts w:hint="eastAsia"/>
                <w:color w:val="auto"/>
                <w:sz w:val="21"/>
              </w:rPr>
              <w:t>120616</w:t>
            </w:r>
          </w:p>
        </w:tc>
        <w:tc>
          <w:tcPr>
            <w:tcW w:w="990" w:type="dxa"/>
            <w:vMerge w:val="restart"/>
            <w:tcBorders>
              <w:top w:val="single" w:color="auto" w:sz="4" w:space="0"/>
              <w:left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lang w:eastAsia="zh-CN"/>
              </w:rPr>
              <w:t>自合同签订之日至2024年12月31日</w:t>
            </w:r>
            <w:r>
              <w:rPr>
                <w:rFonts w:hint="eastAsia"/>
                <w:color w:val="auto"/>
                <w:sz w:val="21"/>
                <w:lang w:val="en-US" w:eastAsia="zh-CN"/>
              </w:rPr>
              <w:t>。</w:t>
            </w:r>
          </w:p>
        </w:tc>
        <w:tc>
          <w:tcPr>
            <w:tcW w:w="930" w:type="dxa"/>
            <w:vMerge w:val="restart"/>
            <w:tcBorders>
              <w:top w:val="single" w:color="auto" w:sz="4" w:space="0"/>
              <w:left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鹰山区域绿地养护项目，面积为84.6356万平方米，养护范围包含鹰山、北坡古民居、广东园、福建园、梦唐园、江苏园及樱花园二期。</w:t>
            </w:r>
          </w:p>
        </w:tc>
      </w:tr>
      <w:tr>
        <w:tblPrEx>
          <w:shd w:val="clear" w:color="auto" w:fill="FFFFFF"/>
          <w:tblCellMar>
            <w:top w:w="0" w:type="dxa"/>
            <w:left w:w="0" w:type="dxa"/>
            <w:bottom w:w="0" w:type="dxa"/>
            <w:right w:w="0" w:type="dxa"/>
          </w:tblCellMar>
        </w:tblPrEx>
        <w:trPr>
          <w:trHeight w:val="939"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2</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锦绣谷区域绿地养护项目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锦绣谷区域绿地养护项目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147</w:t>
            </w:r>
            <w:r>
              <w:rPr>
                <w:rFonts w:hint="eastAsia"/>
                <w:color w:val="auto"/>
                <w:sz w:val="21"/>
                <w:lang w:val="en-US" w:eastAsia="zh-CN"/>
              </w:rPr>
              <w:t>.</w:t>
            </w:r>
            <w:r>
              <w:rPr>
                <w:rFonts w:hint="eastAsia"/>
                <w:color w:val="auto"/>
                <w:sz w:val="21"/>
              </w:rPr>
              <w:t>102404</w:t>
            </w:r>
          </w:p>
        </w:tc>
        <w:tc>
          <w:tcPr>
            <w:tcW w:w="990" w:type="dxa"/>
            <w:vMerge w:val="continue"/>
            <w:tcBorders>
              <w:left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930" w:type="dxa"/>
            <w:vMerge w:val="continue"/>
            <w:tcBorders>
              <w:left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jc w:val="left"/>
              <w:rPr>
                <w:rFonts w:hint="eastAsia"/>
                <w:color w:val="auto"/>
                <w:sz w:val="21"/>
              </w:rPr>
            </w:pPr>
            <w:r>
              <w:rPr>
                <w:rFonts w:hint="eastAsia"/>
                <w:color w:val="auto"/>
                <w:sz w:val="21"/>
              </w:rPr>
              <w:t>锦绣谷区域绿地养护项目，面积为23.0494万平方米，养护范围包含锦绣谷及中轴路八大花岛。</w:t>
            </w:r>
          </w:p>
        </w:tc>
      </w:tr>
      <w:tr>
        <w:tblPrEx>
          <w:shd w:val="clear" w:color="auto" w:fill="FFFFFF"/>
          <w:tblCellMar>
            <w:top w:w="0" w:type="dxa"/>
            <w:left w:w="0" w:type="dxa"/>
            <w:bottom w:w="0" w:type="dxa"/>
            <w:right w:w="0" w:type="dxa"/>
          </w:tblCellMar>
        </w:tblPrEx>
        <w:trPr>
          <w:trHeight w:val="1019"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lang w:val="en-US" w:eastAsia="zh-CN"/>
              </w:rPr>
              <w:t>3</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公共展园区域绿地养护项目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公共展园区域绿地养护项目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723</w:t>
            </w:r>
            <w:r>
              <w:rPr>
                <w:rFonts w:hint="eastAsia"/>
                <w:color w:val="auto"/>
                <w:sz w:val="21"/>
                <w:lang w:eastAsia="zh-CN"/>
              </w:rPr>
              <w:t>.</w:t>
            </w:r>
            <w:r>
              <w:rPr>
                <w:rFonts w:hint="eastAsia"/>
                <w:color w:val="auto"/>
                <w:sz w:val="21"/>
              </w:rPr>
              <w:t>231156</w:t>
            </w:r>
          </w:p>
        </w:tc>
        <w:tc>
          <w:tcPr>
            <w:tcW w:w="990" w:type="dxa"/>
            <w:vMerge w:val="continue"/>
            <w:tcBorders>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930" w:type="dxa"/>
            <w:vMerge w:val="continue"/>
            <w:tcBorders>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r>
              <w:rPr>
                <w:rFonts w:hint="eastAsia"/>
                <w:color w:val="auto"/>
                <w:sz w:val="21"/>
              </w:rPr>
              <w:t>公共展园区域绿地养护项目，面积为94.4166万平方米，养护范围为除以上项目范围外的公共展园区域。</w:t>
            </w:r>
          </w:p>
        </w:tc>
      </w:tr>
    </w:tbl>
    <w:p>
      <w:pPr>
        <w:pStyle w:val="49"/>
        <w:numPr>
          <w:ilvl w:val="0"/>
          <w:numId w:val="7"/>
        </w:numPr>
        <w:ind w:left="482" w:firstLine="420" w:firstLineChars="0"/>
        <w:rPr>
          <w:rFonts w:hAnsiTheme="minorEastAsia"/>
          <w:color w:val="auto"/>
        </w:rPr>
      </w:pPr>
      <w:r>
        <w:rPr>
          <w:rFonts w:hint="eastAsia"/>
          <w:color w:val="auto"/>
        </w:rPr>
        <w:t>是否专门面向中小企业或小型、微型企业采购：</w:t>
      </w:r>
      <w:bookmarkStart w:id="5" w:name="_Hlk73362647"/>
      <w:bookmarkStart w:id="6" w:name="_Hlk73362450"/>
      <w:r>
        <w:rPr>
          <w:rFonts w:hint="eastAsia" w:hAnsiTheme="minorEastAsia"/>
          <w:color w:val="auto"/>
        </w:rPr>
        <w:t>第</w:t>
      </w:r>
      <w:r>
        <w:rPr>
          <w:rFonts w:hint="eastAsia" w:hAnsiTheme="minorEastAsia"/>
          <w:color w:val="auto"/>
          <w:lang w:val="en-US" w:eastAsia="zh-CN"/>
        </w:rPr>
        <w:t>1</w:t>
      </w:r>
      <w:r>
        <w:rPr>
          <w:rFonts w:hint="eastAsia" w:hAnsiTheme="minorEastAsia"/>
          <w:color w:val="auto"/>
        </w:rPr>
        <w:t>包件</w:t>
      </w:r>
      <w:r>
        <w:rPr>
          <w:rFonts w:hint="eastAsia"/>
          <w:color w:val="auto"/>
        </w:rPr>
        <w:t>整体面向中小企业</w:t>
      </w:r>
      <w:r>
        <w:rPr>
          <w:rFonts w:hint="eastAsia"/>
          <w:color w:val="auto"/>
          <w:lang w:eastAsia="zh-CN"/>
        </w:rPr>
        <w:t>；</w:t>
      </w:r>
      <w:r>
        <w:rPr>
          <w:rFonts w:hint="eastAsia" w:hAnsiTheme="minorEastAsia"/>
          <w:color w:val="auto"/>
        </w:rPr>
        <w:t>第</w:t>
      </w:r>
      <w:r>
        <w:rPr>
          <w:rFonts w:hint="eastAsia" w:hAnsiTheme="minorEastAsia"/>
          <w:color w:val="auto"/>
          <w:lang w:val="en-US" w:eastAsia="zh-CN"/>
        </w:rPr>
        <w:t>2</w:t>
      </w:r>
      <w:r>
        <w:rPr>
          <w:rFonts w:hint="eastAsia" w:hAnsiTheme="minorEastAsia"/>
          <w:color w:val="auto"/>
        </w:rPr>
        <w:t>包件</w:t>
      </w:r>
      <w:r>
        <w:rPr>
          <w:rFonts w:hint="eastAsia"/>
          <w:color w:val="auto"/>
        </w:rPr>
        <w:t>整体面向中小企业</w:t>
      </w:r>
      <w:r>
        <w:rPr>
          <w:rFonts w:hint="eastAsia"/>
          <w:color w:val="auto"/>
          <w:lang w:eastAsia="zh-CN"/>
        </w:rPr>
        <w:t>；</w:t>
      </w:r>
      <w:r>
        <w:rPr>
          <w:rFonts w:hint="eastAsia" w:hAnsiTheme="minorEastAsia"/>
          <w:color w:val="auto"/>
        </w:rPr>
        <w:t>第</w:t>
      </w:r>
      <w:r>
        <w:rPr>
          <w:rFonts w:hint="eastAsia" w:hAnsiTheme="minorEastAsia"/>
          <w:color w:val="auto"/>
          <w:lang w:val="en-US" w:eastAsia="zh-CN"/>
        </w:rPr>
        <w:t>3</w:t>
      </w:r>
      <w:r>
        <w:rPr>
          <w:rFonts w:hint="eastAsia" w:hAnsiTheme="minorEastAsia"/>
          <w:color w:val="auto"/>
        </w:rPr>
        <w:t>包件</w:t>
      </w:r>
      <w:r>
        <w:rPr>
          <w:rFonts w:hint="eastAsia"/>
          <w:color w:val="auto"/>
        </w:rPr>
        <w:t>整体面向</w:t>
      </w:r>
      <w:r>
        <w:rPr>
          <w:rFonts w:hint="eastAsia"/>
          <w:color w:val="auto"/>
          <w:lang w:val="en-US" w:eastAsia="zh-CN"/>
        </w:rPr>
        <w:t>小微</w:t>
      </w:r>
      <w:r>
        <w:rPr>
          <w:rFonts w:hint="eastAsia"/>
          <w:color w:val="auto"/>
        </w:rPr>
        <w:t>企业</w:t>
      </w:r>
      <w:r>
        <w:rPr>
          <w:rFonts w:hint="eastAsia"/>
          <w:color w:val="auto"/>
          <w:lang w:eastAsia="zh-CN"/>
        </w:rPr>
        <w:t>。</w:t>
      </w:r>
    </w:p>
    <w:bookmarkEnd w:id="5"/>
    <w:bookmarkEnd w:id="6"/>
    <w:p>
      <w:pPr>
        <w:pStyle w:val="49"/>
        <w:ind w:firstLine="480"/>
        <w:rPr>
          <w:color w:val="auto"/>
        </w:rPr>
      </w:pPr>
      <w:r>
        <w:rPr>
          <w:rFonts w:hint="eastAsia"/>
          <w:color w:val="auto"/>
        </w:rPr>
        <w:t>注：投标必须以采购包（也称为“包件”或“包”）为单位，对所投包件号中的所有内容进行投标，不允许将包件拆开投标,也不允许将几个包件合并报一个价格投标，评标、授标以包件为单位。</w:t>
      </w:r>
    </w:p>
    <w:p>
      <w:pPr>
        <w:pStyle w:val="49"/>
        <w:ind w:firstLine="480"/>
        <w:rPr>
          <w:color w:val="auto"/>
        </w:rPr>
      </w:pPr>
      <w:r>
        <w:rPr>
          <w:rFonts w:hint="eastAsia"/>
          <w:color w:val="auto"/>
        </w:rPr>
        <w:t>合同履行期限：自合同签订之日至2024年12月31日。</w:t>
      </w:r>
    </w:p>
    <w:p>
      <w:pPr>
        <w:pStyle w:val="49"/>
        <w:ind w:firstLine="480"/>
        <w:rPr>
          <w:color w:val="FF0000"/>
        </w:rPr>
      </w:pPr>
      <w:r>
        <w:rPr>
          <w:rFonts w:hint="eastAsia"/>
          <w:color w:val="auto"/>
        </w:rPr>
        <w:t>本项目（不接受）联合体投标</w:t>
      </w:r>
      <w:r>
        <w:rPr>
          <w:rFonts w:hint="eastAsia"/>
        </w:rPr>
        <w:t>。</w:t>
      </w:r>
    </w:p>
    <w:p>
      <w:pPr>
        <w:pStyle w:val="43"/>
        <w:rPr>
          <w:b/>
        </w:rPr>
      </w:pPr>
      <w:r>
        <w:rPr>
          <w:rFonts w:hint="eastAsia"/>
          <w:b/>
        </w:rPr>
        <w:t>二、申请人的资格要求：</w:t>
      </w:r>
    </w:p>
    <w:p>
      <w:pPr>
        <w:pStyle w:val="49"/>
        <w:ind w:firstLine="480"/>
        <w:rPr>
          <w:color w:val="auto"/>
        </w:rPr>
      </w:pPr>
      <w:r>
        <w:rPr>
          <w:rFonts w:hint="eastAsia"/>
        </w:rPr>
        <w:t>1.</w:t>
      </w:r>
      <w:r>
        <w:rPr>
          <w:rFonts w:hint="eastAsia"/>
        </w:rPr>
        <w:tab/>
      </w:r>
      <w:r>
        <w:rPr>
          <w:rFonts w:hint="eastAsia"/>
        </w:rPr>
        <w:t>满足《中华人民共和国政府采购</w:t>
      </w:r>
      <w:r>
        <w:rPr>
          <w:rFonts w:hint="eastAsia"/>
          <w:color w:val="auto"/>
        </w:rPr>
        <w:t>法》第二十二条规定；</w:t>
      </w:r>
    </w:p>
    <w:p>
      <w:pPr>
        <w:pStyle w:val="49"/>
        <w:ind w:firstLine="480"/>
        <w:rPr>
          <w:rFonts w:hint="eastAsia" w:eastAsiaTheme="minorEastAsia"/>
          <w:color w:val="auto"/>
          <w:lang w:eastAsia="zh-CN"/>
        </w:rPr>
      </w:pPr>
      <w:r>
        <w:rPr>
          <w:rFonts w:hint="eastAsia"/>
          <w:color w:val="auto"/>
        </w:rPr>
        <w:t>2.</w:t>
      </w:r>
      <w:r>
        <w:rPr>
          <w:rFonts w:hint="eastAsia"/>
          <w:color w:val="auto"/>
        </w:rPr>
        <w:tab/>
      </w:r>
      <w:r>
        <w:rPr>
          <w:rFonts w:hint="eastAsia"/>
          <w:color w:val="auto"/>
        </w:rPr>
        <w:t>落实政府采购政策需满足的资格要求：第</w:t>
      </w:r>
      <w:r>
        <w:rPr>
          <w:rFonts w:hint="eastAsia"/>
          <w:color w:val="auto"/>
          <w:lang w:val="en-US" w:eastAsia="zh-CN"/>
        </w:rPr>
        <w:t>1</w:t>
      </w:r>
      <w:r>
        <w:rPr>
          <w:rFonts w:hint="eastAsia"/>
          <w:color w:val="auto"/>
        </w:rPr>
        <w:t>包件</w:t>
      </w:r>
      <w:r>
        <w:rPr>
          <w:rFonts w:hint="eastAsia"/>
          <w:color w:val="auto"/>
          <w:lang w:eastAsia="zh-CN"/>
        </w:rPr>
        <w:t>、</w:t>
      </w:r>
      <w:r>
        <w:rPr>
          <w:rFonts w:hint="eastAsia"/>
          <w:color w:val="auto"/>
        </w:rPr>
        <w:t>第</w:t>
      </w:r>
      <w:r>
        <w:rPr>
          <w:rFonts w:hint="eastAsia"/>
          <w:color w:val="auto"/>
          <w:lang w:val="en-US" w:eastAsia="zh-CN"/>
        </w:rPr>
        <w:t>2</w:t>
      </w:r>
      <w:r>
        <w:rPr>
          <w:rFonts w:hint="eastAsia"/>
          <w:color w:val="auto"/>
        </w:rPr>
        <w:t>包件属于整体专门面向中小企业采购的包件，因此，上述包件所有服务标的均应由符合《政府采购促进中小企业发展管理办法》的中小企业承接（其中，小微企业包括视同为小型、微型企业的监狱企业、残疾人福利性单位。）</w:t>
      </w:r>
      <w:r>
        <w:rPr>
          <w:rFonts w:hint="eastAsia"/>
          <w:color w:val="auto"/>
          <w:lang w:eastAsia="zh-CN"/>
        </w:rPr>
        <w:t>；</w:t>
      </w:r>
      <w:r>
        <w:rPr>
          <w:rFonts w:hint="eastAsia"/>
          <w:color w:val="auto"/>
        </w:rPr>
        <w:t>第</w:t>
      </w:r>
      <w:r>
        <w:rPr>
          <w:rFonts w:hint="eastAsia"/>
          <w:color w:val="auto"/>
          <w:lang w:val="en-US" w:eastAsia="zh-CN"/>
        </w:rPr>
        <w:t>3</w:t>
      </w:r>
      <w:r>
        <w:rPr>
          <w:rFonts w:hint="eastAsia"/>
          <w:color w:val="auto"/>
        </w:rPr>
        <w:t>包件属于整体专门面向小微企业采购的包件，因此，上述包件所有服务标的均应由符合《政府采购促进中小企业发展管理办法》的小微企业承接（其中，小微企业包括视同为小型、微型企业的监狱企业、残疾人福利性单位。）</w:t>
      </w:r>
    </w:p>
    <w:p>
      <w:pPr>
        <w:pStyle w:val="49"/>
        <w:ind w:firstLine="480"/>
        <w:rPr>
          <w:color w:val="FF0000"/>
        </w:rPr>
      </w:pPr>
      <w:r>
        <w:rPr>
          <w:rFonts w:hint="eastAsia"/>
        </w:rPr>
        <w:t>3.</w:t>
      </w:r>
      <w:r>
        <w:tab/>
      </w:r>
      <w:r>
        <w:rPr>
          <w:rFonts w:hint="eastAsia"/>
        </w:rPr>
        <w:t>本项目的特定资格要求：</w:t>
      </w:r>
      <w:r>
        <w:rPr>
          <w:color w:val="FF0000"/>
        </w:rPr>
        <w:t xml:space="preserve"> </w:t>
      </w:r>
    </w:p>
    <w:p>
      <w:pPr>
        <w:pStyle w:val="49"/>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pPr>
        <w:pStyle w:val="49"/>
        <w:ind w:firstLine="480"/>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）单位负责人为同一人或者存在直接控股、管理关系的不同投标人，不得参加同一合同项下的政府采购活动；为本项目提供整体设计、规范编制或者项目管理、监理、检测等服务的供应商，</w:t>
      </w:r>
      <w:bookmarkStart w:id="7" w:name="_Hlk74070744"/>
      <w:r>
        <w:t>不得参加本项目的投标</w:t>
      </w:r>
      <w:r>
        <w:rPr>
          <w:rFonts w:hint="eastAsia"/>
        </w:rPr>
        <w:t>；</w:t>
      </w:r>
      <w:bookmarkEnd w:id="7"/>
    </w:p>
    <w:p>
      <w:pPr>
        <w:pStyle w:val="49"/>
        <w:ind w:firstLine="480"/>
        <w:rPr>
          <w:color w:val="auto"/>
        </w:rPr>
      </w:pPr>
      <w:r>
        <w:rPr>
          <w:rFonts w:hint="eastAsia"/>
        </w:rPr>
        <w:t>（</w:t>
      </w:r>
      <w:r>
        <w:t>3</w:t>
      </w:r>
      <w:r>
        <w:rPr>
          <w:rFonts w:hint="eastAsia"/>
        </w:rPr>
        <w:t>）投标人必须通过北京市政府采购电子交易平台（http://zbcg-bjzc.zhongcy.com/bjczj-portal-site/index.html#/home）获取了招标文件</w:t>
      </w:r>
    </w:p>
    <w:p>
      <w:pPr>
        <w:pStyle w:val="49"/>
        <w:ind w:firstLine="480"/>
      </w:pPr>
      <w:r>
        <w:rPr>
          <w:rFonts w:hint="eastAsia"/>
          <w:color w:val="auto"/>
        </w:rPr>
        <w:t>（</w:t>
      </w:r>
      <w:r>
        <w:rPr>
          <w:rFonts w:hint="eastAsia"/>
          <w:color w:val="auto"/>
          <w:lang w:val="en-US" w:eastAsia="zh-CN"/>
        </w:rPr>
        <w:t>4</w:t>
      </w:r>
      <w:r>
        <w:rPr>
          <w:rFonts w:hint="eastAsia"/>
          <w:color w:val="auto"/>
        </w:rPr>
        <w:t>）本项目（不接受）联合</w:t>
      </w:r>
      <w:r>
        <w:rPr>
          <w:rFonts w:hint="eastAsia"/>
        </w:rPr>
        <w:t>体投标。</w:t>
      </w:r>
    </w:p>
    <w:p>
      <w:pPr>
        <w:pStyle w:val="43"/>
        <w:rPr>
          <w:b/>
        </w:rPr>
      </w:pPr>
      <w:r>
        <w:rPr>
          <w:rFonts w:hint="eastAsia"/>
          <w:b/>
        </w:rPr>
        <w:t>三、获取招标文件</w:t>
      </w:r>
    </w:p>
    <w:p>
      <w:pPr>
        <w:pStyle w:val="49"/>
        <w:ind w:firstLine="480"/>
      </w:pPr>
      <w:r>
        <w:rPr>
          <w:rFonts w:hint="eastAsia"/>
        </w:rPr>
        <w:t>时间：2</w:t>
      </w:r>
      <w:r>
        <w:rPr>
          <w:rFonts w:hint="eastAsia"/>
          <w:color w:val="auto"/>
        </w:rPr>
        <w:t>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11</w:t>
      </w:r>
      <w:r>
        <w:rPr>
          <w:rFonts w:hint="eastAsia"/>
          <w:color w:val="auto"/>
        </w:rPr>
        <w:t>日至20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18</w:t>
      </w:r>
      <w:r>
        <w:rPr>
          <w:rFonts w:hint="eastAsia"/>
          <w:color w:val="auto"/>
        </w:rPr>
        <w:t>日</w:t>
      </w:r>
      <w:r>
        <w:rPr>
          <w:rFonts w:hint="eastAsia"/>
        </w:rPr>
        <w:t>，每天上午09:30至</w:t>
      </w:r>
      <w:r>
        <w:t>11</w:t>
      </w:r>
      <w:r>
        <w:rPr>
          <w:rFonts w:hint="eastAsia"/>
        </w:rPr>
        <w:t>:</w:t>
      </w:r>
      <w:r>
        <w:t>0</w:t>
      </w:r>
      <w:r>
        <w:rPr>
          <w:rFonts w:hint="eastAsia"/>
        </w:rPr>
        <w:t>0，下午</w:t>
      </w:r>
      <w:r>
        <w:t>13</w:t>
      </w:r>
      <w:r>
        <w:rPr>
          <w:rFonts w:hint="eastAsia"/>
        </w:rPr>
        <w:t>:30至16:30（北京时间，法定节假日除外）</w:t>
      </w:r>
    </w:p>
    <w:p>
      <w:pPr>
        <w:pStyle w:val="49"/>
        <w:ind w:firstLine="480"/>
        <w:rPr>
          <w:color w:val="auto"/>
        </w:rPr>
      </w:pPr>
      <w:r>
        <w:rPr>
          <w:rFonts w:hint="eastAsia"/>
          <w:color w:val="auto"/>
        </w:rPr>
        <w:t>地点：北京市政府采购电子交易平台（http://zbcg-bjzc.zhongcy.com/bjczj-portal-site/index.html#/home）</w:t>
      </w:r>
    </w:p>
    <w:p>
      <w:pPr>
        <w:pStyle w:val="49"/>
        <w:ind w:firstLine="480"/>
      </w:pPr>
      <w:r>
        <w:rPr>
          <w:rFonts w:hint="eastAsia"/>
          <w:color w:val="auto"/>
        </w:rPr>
        <w:t>方式：登录北京市政府采购电子交易平台（</w:t>
      </w:r>
      <w:r>
        <w:rPr>
          <w:color w:val="auto"/>
        </w:rPr>
        <w:t>http://zbcg-bjzc.zhongcy.com/bjczj-portal-site/index.html#/home</w:t>
      </w:r>
      <w:r>
        <w:rPr>
          <w:rFonts w:hint="eastAsia"/>
          <w:color w:val="auto"/>
        </w:rPr>
        <w:t>），点击“用户指南”，按照《</w:t>
      </w:r>
      <w:r>
        <w:rPr>
          <w:color w:val="auto"/>
        </w:rPr>
        <w:t>北京市政府采购电子交易平台供应商操作指引</w:t>
      </w:r>
      <w:r>
        <w:rPr>
          <w:rFonts w:hint="eastAsia"/>
          <w:color w:val="auto"/>
        </w:rPr>
        <w:t>》，通过免费下载的方式获取招标文件。潜在投标人需按照</w:t>
      </w:r>
      <w:r>
        <w:rPr>
          <w:color w:val="auto"/>
        </w:rPr>
        <w:t>操作指引</w:t>
      </w:r>
      <w:r>
        <w:rPr>
          <w:rFonts w:hint="eastAsia"/>
          <w:color w:val="auto"/>
        </w:rPr>
        <w:t>先进行网上注册（并办理该平台CA），即可购买文件。已在交易平台注册且办理CA的潜在投标人无需重新注册或重新办理CA。</w:t>
      </w:r>
      <w:r>
        <w:rPr>
          <w:rFonts w:hint="eastAsia"/>
          <w:color w:val="auto"/>
          <w:highlight w:val="none"/>
        </w:rPr>
        <w:t>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w:t>
      </w:r>
      <w:r>
        <w:rPr>
          <w:rFonts w:hint="eastAsia"/>
          <w:highlight w:val="none"/>
        </w:rPr>
        <w:t>注：请供应商认真学习北京市政府采购电子交易平台发布的相关操作手册。</w:t>
      </w:r>
    </w:p>
    <w:p>
      <w:pPr>
        <w:pStyle w:val="49"/>
        <w:ind w:firstLine="480"/>
      </w:pPr>
      <w:r>
        <w:rPr>
          <w:rFonts w:hint="eastAsia"/>
        </w:rPr>
        <w:t>售价：每包件</w:t>
      </w:r>
      <w:r>
        <w:t>人民币0元</w:t>
      </w:r>
      <w:r>
        <w:rPr>
          <w:rFonts w:hint="eastAsia"/>
        </w:rPr>
        <w:t>整</w:t>
      </w:r>
    </w:p>
    <w:p>
      <w:pPr>
        <w:pStyle w:val="43"/>
        <w:rPr>
          <w:b/>
        </w:rPr>
      </w:pPr>
      <w:r>
        <w:rPr>
          <w:rFonts w:hint="eastAsia"/>
          <w:b/>
        </w:rPr>
        <w:t>四、提交投标文件截止时间、开标时间和地点</w:t>
      </w:r>
    </w:p>
    <w:p>
      <w:pPr>
        <w:pStyle w:val="49"/>
        <w:ind w:firstLine="480"/>
        <w:rPr>
          <w:color w:val="auto"/>
        </w:rPr>
      </w:pPr>
      <w:r>
        <w:rPr>
          <w:rFonts w:hint="eastAsia"/>
          <w:color w:val="auto"/>
          <w:lang w:eastAsia="zh-CN"/>
        </w:rPr>
        <w:t>202</w:t>
      </w:r>
      <w:r>
        <w:rPr>
          <w:rFonts w:hint="eastAsia"/>
          <w:color w:val="auto"/>
          <w:lang w:val="en-US" w:eastAsia="zh-CN"/>
        </w:rPr>
        <w:t>4</w:t>
      </w:r>
      <w:r>
        <w:rPr>
          <w:rFonts w:hint="eastAsia"/>
          <w:color w:val="auto"/>
          <w:lang w:eastAsia="zh-CN"/>
        </w:rPr>
        <w:t>年</w:t>
      </w:r>
      <w:r>
        <w:rPr>
          <w:rFonts w:hint="eastAsia"/>
          <w:color w:val="auto"/>
          <w:lang w:val="en-US" w:eastAsia="zh-CN"/>
        </w:rPr>
        <w:t>4</w:t>
      </w:r>
      <w:r>
        <w:rPr>
          <w:rFonts w:hint="eastAsia"/>
          <w:color w:val="auto"/>
          <w:lang w:eastAsia="zh-CN"/>
        </w:rPr>
        <w:t>月</w:t>
      </w:r>
      <w:r>
        <w:rPr>
          <w:rFonts w:hint="eastAsia"/>
          <w:color w:val="auto"/>
          <w:lang w:val="en-US" w:eastAsia="zh-CN"/>
        </w:rPr>
        <w:t>1</w:t>
      </w:r>
      <w:r>
        <w:rPr>
          <w:rFonts w:hint="eastAsia"/>
          <w:color w:val="auto"/>
        </w:rPr>
        <w:t>日09:30（北京时间）</w:t>
      </w:r>
    </w:p>
    <w:p>
      <w:pPr>
        <w:pStyle w:val="49"/>
        <w:ind w:firstLine="480"/>
        <w:rPr>
          <w:rFonts w:hint="default"/>
          <w:color w:val="auto"/>
          <w:lang w:val="en-US" w:eastAsia="zh-CN"/>
        </w:rPr>
      </w:pPr>
      <w:r>
        <w:rPr>
          <w:rFonts w:hint="eastAsia"/>
          <w:color w:val="auto"/>
          <w:lang w:val="en-US" w:eastAsia="zh-CN"/>
        </w:rPr>
        <w:t>地点：本项目采用远程电子开标方式。投标人使用CA认证证书登录北京市政府采购电子交易平台参与电子开标，投标人自行对电子投标文件进行解密。</w:t>
      </w:r>
    </w:p>
    <w:p>
      <w:pPr>
        <w:pStyle w:val="43"/>
      </w:pPr>
      <w:r>
        <w:rPr>
          <w:rFonts w:hint="eastAsia"/>
          <w:b/>
        </w:rPr>
        <w:t>五、公告期限</w:t>
      </w:r>
    </w:p>
    <w:p>
      <w:pPr>
        <w:pStyle w:val="49"/>
        <w:ind w:firstLine="480"/>
      </w:pPr>
      <w:r>
        <w:rPr>
          <w:rFonts w:hint="eastAsia"/>
        </w:rPr>
        <w:t>自本公告发布之日起5个工作日。</w:t>
      </w:r>
    </w:p>
    <w:p>
      <w:pPr>
        <w:pStyle w:val="43"/>
        <w:rPr>
          <w:b/>
        </w:rPr>
      </w:pPr>
      <w:r>
        <w:rPr>
          <w:rFonts w:hint="eastAsia"/>
          <w:b/>
        </w:rPr>
        <w:t>六、其他补充事宜：</w:t>
      </w:r>
    </w:p>
    <w:p>
      <w:pPr>
        <w:pStyle w:val="49"/>
        <w:ind w:firstLine="480"/>
        <w:rPr>
          <w:color w:val="auto"/>
        </w:rPr>
      </w:pPr>
      <w:r>
        <w:t>1</w:t>
      </w:r>
      <w:r>
        <w:rPr>
          <w:rFonts w:hint="eastAsia"/>
        </w:rPr>
        <w:t>.投标文件的递交：所有投标文件应于开标当日、提交投标文件截止时间之前递交至开标地点。迟到的投标文件以</w:t>
      </w:r>
      <w:r>
        <w:rPr>
          <w:rFonts w:hint="eastAsia"/>
          <w:color w:val="auto"/>
        </w:rPr>
        <w:t>及不符合招标文件密封要求的投标文件将被拒绝接收。请联系项目经理并在投标截止时间前将纸质版文件送达。地点：北京市丰台区政务服务中心6层</w:t>
      </w:r>
    </w:p>
    <w:p>
      <w:pPr>
        <w:pStyle w:val="49"/>
        <w:ind w:firstLine="480"/>
        <w:rPr>
          <w:color w:val="auto"/>
        </w:rPr>
      </w:pPr>
      <w:r>
        <w:rPr>
          <w:color w:val="auto"/>
        </w:rPr>
        <w:t>2.</w:t>
      </w:r>
      <w:r>
        <w:rPr>
          <w:rFonts w:hint="eastAsia"/>
          <w:color w:val="auto"/>
        </w:rPr>
        <w:t>本项目公开开标，届时邀请投标人的代表出席</w:t>
      </w:r>
      <w:r>
        <w:rPr>
          <w:rFonts w:hint="eastAsia"/>
          <w:color w:val="auto"/>
          <w:lang w:val="en-US" w:eastAsia="zh-CN"/>
        </w:rPr>
        <w:t>线上</w:t>
      </w:r>
      <w:r>
        <w:rPr>
          <w:rFonts w:hint="eastAsia"/>
          <w:color w:val="auto"/>
        </w:rPr>
        <w:t>开标仪式。</w:t>
      </w:r>
    </w:p>
    <w:p>
      <w:pPr>
        <w:pStyle w:val="49"/>
        <w:ind w:firstLine="480"/>
        <w:rPr>
          <w:color w:val="auto"/>
        </w:rPr>
      </w:pPr>
      <w:r>
        <w:rPr>
          <w:color w:val="auto"/>
        </w:rPr>
        <w:t>3</w:t>
      </w:r>
      <w:r>
        <w:rPr>
          <w:rFonts w:hint="eastAsia"/>
          <w:color w:val="auto"/>
        </w:rPr>
        <w:t>.评标方法和标准：综合评分法。</w:t>
      </w:r>
    </w:p>
    <w:p>
      <w:pPr>
        <w:pStyle w:val="49"/>
        <w:ind w:firstLine="480"/>
      </w:pPr>
      <w:r>
        <w:t>4</w:t>
      </w:r>
      <w:r>
        <w:rPr>
          <w:rFonts w:hint="eastAsia"/>
        </w:rPr>
        <w:t>.本项目招标公告内容以省级以上财政部门指定媒体发布的公告为准。</w:t>
      </w:r>
    </w:p>
    <w:p>
      <w:pPr>
        <w:pStyle w:val="49"/>
        <w:ind w:firstLine="480"/>
      </w:pPr>
      <w:r>
        <w:t>5</w:t>
      </w:r>
      <w:r>
        <w:rPr>
          <w:rFonts w:hint="eastAsia"/>
        </w:rPr>
        <w:t>.本项目需落实的</w:t>
      </w:r>
      <w:r>
        <w:rPr>
          <w:rFonts w:ascii="Arial" w:hAnsi="Arial" w:cs="Arial"/>
          <w:color w:val="000000"/>
        </w:rPr>
        <w:t>政府采购政策：</w:t>
      </w:r>
    </w:p>
    <w:p>
      <w:pPr>
        <w:pStyle w:val="49"/>
        <w:ind w:firstLine="480"/>
      </w:pPr>
      <w:r>
        <w:rPr>
          <w:rFonts w:hint="eastAsia"/>
        </w:rPr>
        <w:t>（1）</w:t>
      </w:r>
      <w:r>
        <w:rPr>
          <w:rFonts w:hint="eastAsia"/>
        </w:rPr>
        <w:tab/>
      </w:r>
      <w:r>
        <w:t>执行节能产品政府优先采购和强制采购制度；</w:t>
      </w:r>
    </w:p>
    <w:p>
      <w:pPr>
        <w:pStyle w:val="49"/>
        <w:ind w:firstLine="480"/>
      </w:pPr>
      <w:r>
        <w:rPr>
          <w:rFonts w:hint="eastAsia"/>
        </w:rPr>
        <w:t>（</w:t>
      </w:r>
      <w:r>
        <w:t>2</w:t>
      </w:r>
      <w:r>
        <w:rPr>
          <w:rFonts w:hint="eastAsia"/>
        </w:rPr>
        <w:t>）</w:t>
      </w:r>
      <w:r>
        <w:rPr>
          <w:rFonts w:hint="eastAsia"/>
        </w:rPr>
        <w:tab/>
      </w:r>
      <w:r>
        <w:t>执行环境标志产品政府优先采购制度；</w:t>
      </w:r>
    </w:p>
    <w:p>
      <w:pPr>
        <w:pStyle w:val="49"/>
        <w:ind w:firstLine="480"/>
      </w:pPr>
      <w:r>
        <w:rPr>
          <w:rFonts w:hint="eastAsia"/>
        </w:rPr>
        <w:t>（3）</w:t>
      </w:r>
      <w:r>
        <w:rPr>
          <w:rFonts w:hint="eastAsia"/>
        </w:rPr>
        <w:tab/>
      </w:r>
      <w:r>
        <w:rPr>
          <w:rFonts w:hint="eastAsia"/>
        </w:rPr>
        <w:t>执行《政府采购促进中小企业发展管理办法》；</w:t>
      </w:r>
    </w:p>
    <w:p>
      <w:pPr>
        <w:pStyle w:val="49"/>
        <w:ind w:firstLine="480"/>
      </w:pPr>
      <w:r>
        <w:rPr>
          <w:rFonts w:hint="eastAsia"/>
        </w:rPr>
        <w:t>（4）</w:t>
      </w:r>
      <w:r>
        <w:rPr>
          <w:rFonts w:hint="eastAsia"/>
        </w:rPr>
        <w:tab/>
      </w:r>
      <w:r>
        <w:rPr>
          <w:rFonts w:hint="eastAsia"/>
        </w:rPr>
        <w:t>执行《关于政府采购支持监狱企业发展有关问题的通知》；</w:t>
      </w:r>
    </w:p>
    <w:p>
      <w:pPr>
        <w:pStyle w:val="49"/>
        <w:ind w:firstLine="480"/>
      </w:pPr>
      <w:r>
        <w:rPr>
          <w:rFonts w:hint="eastAsia"/>
        </w:rPr>
        <w:t>（5）</w:t>
      </w:r>
      <w:r>
        <w:rPr>
          <w:rFonts w:hint="eastAsia"/>
        </w:rPr>
        <w:tab/>
      </w:r>
      <w:r>
        <w:rPr>
          <w:rFonts w:hint="eastAsia"/>
        </w:rPr>
        <w:t>执行《关于促进残疾人就业政府采购政策的通知》。</w:t>
      </w:r>
    </w:p>
    <w:p>
      <w:pPr>
        <w:pStyle w:val="43"/>
        <w:rPr>
          <w:b/>
        </w:rPr>
      </w:pPr>
      <w:r>
        <w:rPr>
          <w:rFonts w:hint="eastAsia"/>
          <w:b/>
        </w:rPr>
        <w:t>七、对本次招标提出询问，请按以下方式联系。</w:t>
      </w:r>
    </w:p>
    <w:p>
      <w:pPr>
        <w:pStyle w:val="49"/>
        <w:ind w:firstLine="480"/>
        <w:rPr>
          <w:color w:val="auto"/>
        </w:rPr>
      </w:pPr>
      <w:r>
        <w:tab/>
      </w:r>
      <w:r>
        <w:tab/>
      </w:r>
      <w:r>
        <w:rPr>
          <w:rFonts w:hint="eastAsia"/>
        </w:rPr>
        <w:t>1.</w:t>
      </w:r>
      <w:r>
        <w:rPr>
          <w:rFonts w:hint="eastAsia"/>
          <w:color w:val="auto"/>
        </w:rPr>
        <w:t>采购人信息</w:t>
      </w:r>
    </w:p>
    <w:p>
      <w:pPr>
        <w:pStyle w:val="49"/>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pPr>
        <w:pStyle w:val="49"/>
        <w:ind w:firstLine="480"/>
      </w:pPr>
      <w:r>
        <w:rPr>
          <w:rFonts w:hint="eastAsia"/>
        </w:rPr>
        <w:tab/>
      </w:r>
      <w:r>
        <w:rPr>
          <w:rFonts w:hint="eastAsia"/>
        </w:rPr>
        <w:tab/>
      </w:r>
      <w:r>
        <w:rPr>
          <w:rFonts w:hint="eastAsia"/>
        </w:rPr>
        <w:t>地址：北京市丰台区北宫镇射击场路 15 号</w:t>
      </w:r>
    </w:p>
    <w:p>
      <w:pPr>
        <w:pStyle w:val="49"/>
        <w:ind w:firstLine="480"/>
        <w:rPr>
          <w:color w:val="FF0000"/>
        </w:rPr>
      </w:pPr>
      <w:r>
        <w:tab/>
      </w:r>
      <w:r>
        <w:tab/>
      </w:r>
      <w:r>
        <w:rPr>
          <w:rFonts w:hint="eastAsia"/>
        </w:rPr>
        <w:t>联系方式：</w:t>
      </w:r>
      <w:r>
        <w:rPr>
          <w:rFonts w:hint="eastAsia"/>
          <w:lang w:val="en-US" w:eastAsia="zh-CN"/>
        </w:rPr>
        <w:t>010-</w:t>
      </w:r>
      <w:r>
        <w:rPr>
          <w:rFonts w:hint="eastAsia"/>
        </w:rPr>
        <w:t>63915460</w:t>
      </w:r>
    </w:p>
    <w:p>
      <w:pPr>
        <w:pStyle w:val="49"/>
        <w:ind w:firstLine="480"/>
        <w:rPr>
          <w:color w:val="FF0000"/>
        </w:rPr>
      </w:pP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联系方式：韩伟轩、曹宇臣、刘畅</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项目联系人：韩伟轩、曹宇臣、刘畅</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pPr>
        <w:pStyle w:val="49"/>
        <w:ind w:firstLine="480"/>
      </w:pPr>
      <w:r>
        <w:br w:type="page"/>
      </w:r>
    </w:p>
    <w:p>
      <w:pPr>
        <w:pStyle w:val="3"/>
      </w:pPr>
      <w:bookmarkStart w:id="8" w:name="_Toc469326247"/>
      <w:bookmarkStart w:id="9" w:name="_Toc4184"/>
      <w:r>
        <w:rPr>
          <w:rFonts w:hint="eastAsia"/>
        </w:rPr>
        <w:t>第二章  投标人须知前附表和投标人须知</w:t>
      </w:r>
      <w:bookmarkEnd w:id="8"/>
      <w:bookmarkEnd w:id="9"/>
    </w:p>
    <w:p>
      <w:pPr>
        <w:pStyle w:val="4"/>
      </w:pPr>
      <w:bookmarkStart w:id="10" w:name="_投标人须知前附表"/>
      <w:bookmarkEnd w:id="10"/>
      <w:bookmarkStart w:id="11" w:name="_Ref469990366"/>
      <w:bookmarkStart w:id="12" w:name="_Ref469987823"/>
      <w:bookmarkStart w:id="13" w:name="_Ref469990374"/>
      <w:bookmarkStart w:id="14" w:name="_Ref469991531"/>
      <w:bookmarkStart w:id="15" w:name="_Toc14349"/>
      <w:bookmarkStart w:id="16" w:name="_Ref469988920"/>
      <w:bookmarkStart w:id="17" w:name="_Ref469987757"/>
      <w:bookmarkStart w:id="18" w:name="_Ref469991153"/>
      <w:bookmarkStart w:id="19" w:name="_Ref469990905"/>
      <w:bookmarkStart w:id="20" w:name="_Ref469989811"/>
      <w:bookmarkStart w:id="21" w:name="_Ref469987772"/>
      <w:bookmarkStart w:id="22" w:name="_Ref469988554"/>
      <w:bookmarkStart w:id="23" w:name="_Ref469991300"/>
      <w:bookmarkStart w:id="24" w:name="_Ref469987582"/>
      <w:bookmarkStart w:id="25" w:name="_Ref469987753"/>
      <w:bookmarkStart w:id="26" w:name="_Toc469326248"/>
      <w:bookmarkStart w:id="27" w:name="_Ref469988566"/>
      <w:bookmarkStart w:id="28" w:name="_Ref469990765"/>
      <w:bookmarkStart w:id="29" w:name="_Ref469992549"/>
      <w:bookmarkStart w:id="30" w:name="_Ref469990580"/>
      <w:r>
        <w:rPr>
          <w:rFonts w:hint="eastAsia"/>
        </w:rPr>
        <w:t>投标人须知前附表</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ind w:firstLine="480"/>
      </w:pPr>
      <w:r>
        <w:rPr>
          <w:rStyle w:val="73"/>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int="eastAsia" w:hAnsi="Calibri" w:eastAsiaTheme="minorEastAsia"/>
                <w:b/>
                <w:lang w:eastAsia="zh-CN"/>
              </w:rPr>
            </w:pPr>
            <w:r>
              <w:rPr>
                <w:rFonts w:hint="eastAsia" w:hAnsi="Calibri"/>
                <w:b/>
              </w:rPr>
              <w:t>对应</w:t>
            </w:r>
          </w:p>
          <w:p>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4"/>
            </w:pPr>
          </w:p>
        </w:tc>
        <w:tc>
          <w:tcPr>
            <w:tcW w:w="850" w:type="dxa"/>
            <w:tcBorders>
              <w:right w:val="single" w:color="auto" w:sz="4" w:space="0"/>
            </w:tcBorders>
            <w:vAlign w:val="center"/>
          </w:tcPr>
          <w:p>
            <w:pPr>
              <w:pStyle w:val="54"/>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4"/>
              <w:numPr>
                <w:ilvl w:val="0"/>
                <w:numId w:val="8"/>
              </w:numPr>
              <w:tabs>
                <w:tab w:val="left" w:pos="381"/>
              </w:tabs>
              <w:ind w:left="0" w:firstLine="0"/>
            </w:pPr>
            <w:bookmarkStart w:id="31" w:name="_Ref51081821"/>
            <w:r>
              <w:rPr>
                <w:rFonts w:hint="eastAsia"/>
              </w:rPr>
              <w:t>项目概述</w:t>
            </w:r>
          </w:p>
          <w:bookmarkEnd w:id="31"/>
        </w:tc>
        <w:tc>
          <w:tcPr>
            <w:tcW w:w="850" w:type="dxa"/>
            <w:tcBorders>
              <w:right w:val="single" w:color="auto" w:sz="4" w:space="0"/>
            </w:tcBorders>
            <w:vAlign w:val="center"/>
          </w:tcPr>
          <w:p>
            <w:pPr>
              <w:pStyle w:val="54"/>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详见第一章投标邀请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4"/>
              <w:numPr>
                <w:ilvl w:val="0"/>
                <w:numId w:val="8"/>
              </w:numPr>
              <w:tabs>
                <w:tab w:val="left" w:pos="381"/>
              </w:tabs>
              <w:ind w:left="0" w:firstLine="0"/>
            </w:pPr>
            <w:bookmarkStart w:id="32" w:name="_Ref51692847"/>
            <w:r>
              <w:rPr>
                <w:rFonts w:hint="eastAsia" w:ascii="宋体" w:hAnsi="宋体"/>
              </w:rPr>
              <w:t>采购项目的属性</w:t>
            </w:r>
            <w:bookmarkEnd w:id="32"/>
          </w:p>
        </w:tc>
        <w:tc>
          <w:tcPr>
            <w:tcW w:w="850" w:type="dxa"/>
            <w:tcBorders>
              <w:right w:val="single" w:color="auto" w:sz="4" w:space="0"/>
            </w:tcBorders>
            <w:vAlign w:val="center"/>
          </w:tcPr>
          <w:p>
            <w:pPr>
              <w:pStyle w:val="54"/>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pPr>
              <w:rPr>
                <w:rFonts w:ascii="仿宋_GB2312" w:eastAsia="仿宋_GB2312" w:cs="Times New Roman" w:hAnsiTheme="minorEastAsia"/>
                <w:color w:val="auto"/>
              </w:rPr>
            </w:pPr>
            <w:r>
              <w:rPr>
                <w:rFonts w:hint="eastAsia" w:ascii="仿宋_GB2312" w:eastAsia="仿宋_GB2312" w:cs="Times New Roman" w:hAnsiTheme="minorEastAsia"/>
                <w:color w:val="auto"/>
              </w:rPr>
              <w:t>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4"/>
              <w:numPr>
                <w:ilvl w:val="0"/>
                <w:numId w:val="8"/>
              </w:numPr>
              <w:tabs>
                <w:tab w:val="left" w:pos="381"/>
              </w:tabs>
              <w:ind w:left="0" w:firstLine="0"/>
              <w:rPr>
                <w:rFonts w:ascii="宋体" w:hAnsi="宋体"/>
              </w:rPr>
            </w:pPr>
            <w:bookmarkStart w:id="33" w:name="_Ref60330875"/>
            <w:r>
              <w:rPr>
                <w:rFonts w:hint="eastAsia" w:ascii="宋体" w:hAnsi="宋体"/>
              </w:rPr>
              <w:t>采购标的对应的中小企业划分标准所属行业</w:t>
            </w:r>
            <w:bookmarkEnd w:id="33"/>
          </w:p>
        </w:tc>
        <w:tc>
          <w:tcPr>
            <w:tcW w:w="850" w:type="dxa"/>
            <w:tcBorders>
              <w:right w:val="single" w:color="auto" w:sz="4" w:space="0"/>
            </w:tcBorders>
            <w:vAlign w:val="center"/>
          </w:tcPr>
          <w:p>
            <w:pPr>
              <w:pStyle w:val="54"/>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【鹰山区域绿地养护项目】（服务标的）所属行业为：</w:t>
            </w:r>
            <w:r>
              <w:rPr>
                <w:rFonts w:hint="eastAsia" w:ascii="仿宋_GB2312" w:eastAsia="仿宋_GB2312" w:cs="Times New Roman" w:hAnsiTheme="minorEastAsia"/>
                <w:color w:val="auto"/>
                <w:lang w:eastAsia="zh-CN"/>
              </w:rPr>
              <w:t>其他未列明行业</w:t>
            </w:r>
            <w:r>
              <w:rPr>
                <w:rFonts w:ascii="仿宋_GB2312" w:eastAsia="仿宋_GB2312" w:cs="Times New Roman" w:hAnsiTheme="minorEastAsia"/>
                <w:color w:val="auto"/>
              </w:rPr>
              <w:t xml:space="preserve"> </w:t>
            </w:r>
          </w:p>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【锦绣谷区域绿地养护项目】（服务标的）所属行业为：</w:t>
            </w:r>
            <w:r>
              <w:rPr>
                <w:rFonts w:hint="eastAsia" w:ascii="仿宋_GB2312" w:eastAsia="仿宋_GB2312" w:cs="Times New Roman" w:hAnsiTheme="minorEastAsia"/>
                <w:color w:val="auto"/>
                <w:lang w:eastAsia="zh-CN"/>
              </w:rPr>
              <w:t>其他未列明行业</w:t>
            </w:r>
            <w:r>
              <w:rPr>
                <w:rFonts w:ascii="仿宋_GB2312" w:eastAsia="仿宋_GB2312" w:cs="Times New Roman" w:hAnsiTheme="minorEastAsia"/>
                <w:color w:val="auto"/>
              </w:rPr>
              <w:t xml:space="preserve"> </w:t>
            </w:r>
          </w:p>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【公共展园区域绿地养护项目】（服务标的）所属行业为：</w:t>
            </w:r>
            <w:r>
              <w:rPr>
                <w:rFonts w:hint="eastAsia" w:ascii="仿宋_GB2312" w:eastAsia="仿宋_GB2312" w:cs="Times New Roman" w:hAnsiTheme="minorEastAsia"/>
                <w:color w:val="auto"/>
                <w:lang w:eastAsia="zh-CN"/>
              </w:rPr>
              <w:t>其他未列明行业</w:t>
            </w:r>
            <w:r>
              <w:rPr>
                <w:rFonts w:ascii="仿宋_GB2312" w:eastAsia="仿宋_GB2312" w:cs="Times New Roman" w:hAnsiTheme="minorEastAsia"/>
                <w:color w:val="auto"/>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4"/>
              <w:numPr>
                <w:ilvl w:val="0"/>
                <w:numId w:val="8"/>
              </w:numPr>
              <w:tabs>
                <w:tab w:val="left" w:pos="381"/>
              </w:tabs>
              <w:ind w:left="0" w:firstLine="0"/>
            </w:pPr>
            <w:bookmarkStart w:id="34" w:name="_Ref51073398"/>
            <w:r>
              <w:rPr>
                <w:rFonts w:hint="eastAsia"/>
              </w:rPr>
              <w:t>投标人资格要求</w:t>
            </w:r>
            <w:bookmarkEnd w:id="34"/>
          </w:p>
        </w:tc>
        <w:tc>
          <w:tcPr>
            <w:tcW w:w="850" w:type="dxa"/>
            <w:vAlign w:val="center"/>
          </w:tcPr>
          <w:p>
            <w:pPr>
              <w:pStyle w:val="54"/>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4"/>
              <w:ind w:left="480" w:hanging="480" w:hangingChars="200"/>
            </w:pPr>
            <w:r>
              <w:rPr>
                <w:rFonts w:hint="eastAsia"/>
              </w:rPr>
              <w:t>1、</w:t>
            </w:r>
            <w:r>
              <w:rPr>
                <w:rFonts w:hint="eastAsia"/>
              </w:rPr>
              <w:tab/>
            </w:r>
            <w:r>
              <w:rPr>
                <w:rFonts w:hint="eastAsia"/>
              </w:rPr>
              <w:t>满足《中华人民共和国政府采购法》第二十二条的规定，包括：</w:t>
            </w:r>
          </w:p>
          <w:p>
            <w:pPr>
              <w:pStyle w:val="54"/>
              <w:ind w:left="720" w:hanging="720" w:hangingChars="300"/>
            </w:pPr>
            <w:r>
              <w:rPr>
                <w:rFonts w:hint="eastAsia"/>
              </w:rPr>
              <w:t>（1）具有独立承担民事责任的能力；</w:t>
            </w:r>
          </w:p>
          <w:p>
            <w:pPr>
              <w:pStyle w:val="54"/>
              <w:ind w:left="720" w:hanging="720" w:hangingChars="300"/>
            </w:pPr>
            <w:r>
              <w:rPr>
                <w:rFonts w:hint="eastAsia"/>
              </w:rPr>
              <w:t>（2）具有良好的商业信誉和健全的财务会计制度；</w:t>
            </w:r>
          </w:p>
          <w:p>
            <w:pPr>
              <w:pStyle w:val="54"/>
              <w:ind w:left="720" w:hanging="720" w:hangingChars="300"/>
            </w:pPr>
            <w:r>
              <w:rPr>
                <w:rFonts w:hint="eastAsia"/>
              </w:rPr>
              <w:t>（3）具有履行合同所必需的设备和专业技术能力；</w:t>
            </w:r>
          </w:p>
          <w:p>
            <w:pPr>
              <w:pStyle w:val="54"/>
              <w:ind w:left="720" w:hanging="720" w:hangingChars="300"/>
            </w:pPr>
            <w:r>
              <w:rPr>
                <w:rFonts w:hint="eastAsia"/>
              </w:rPr>
              <w:t>（4）有依法缴纳税收和社会保障资金的良好记录；</w:t>
            </w:r>
          </w:p>
          <w:p>
            <w:pPr>
              <w:pStyle w:val="54"/>
              <w:ind w:left="720" w:hanging="720" w:hangingChars="300"/>
            </w:pPr>
            <w:r>
              <w:rPr>
                <w:rFonts w:hint="eastAsia"/>
              </w:rPr>
              <w:t>（5）参加政府采购活动前三年内，在经营活动中没有重大违法记录；</w:t>
            </w:r>
          </w:p>
          <w:p>
            <w:pPr>
              <w:pStyle w:val="54"/>
              <w:ind w:left="720" w:hanging="720" w:hangingChars="300"/>
            </w:pPr>
            <w:r>
              <w:rPr>
                <w:rFonts w:hint="eastAsia"/>
              </w:rPr>
              <w:t>（6）法律、行政法规规定的其他条件。</w:t>
            </w:r>
          </w:p>
          <w:p>
            <w:pPr>
              <w:pStyle w:val="54"/>
              <w:ind w:left="480" w:hanging="480" w:hangingChars="200"/>
            </w:pPr>
            <w:r>
              <w:rPr>
                <w:rFonts w:hint="eastAsia"/>
              </w:rPr>
              <w:t>2、</w:t>
            </w:r>
            <w:r>
              <w:rPr>
                <w:rFonts w:hint="eastAsia"/>
              </w:rPr>
              <w:tab/>
            </w:r>
            <w:r>
              <w:rPr>
                <w:rFonts w:hint="eastAsia"/>
              </w:rPr>
              <w:t>落实政府采购政策需满足的资格要求：详见第一章投标邀请第二条“申请人的资格要求：”第2项。</w:t>
            </w:r>
          </w:p>
          <w:p>
            <w:pPr>
              <w:pStyle w:val="54"/>
              <w:ind w:left="480" w:hanging="480" w:hangingChars="200"/>
            </w:pPr>
            <w:r>
              <w:rPr>
                <w:rFonts w:hint="eastAsia"/>
              </w:rPr>
              <w:t>3、</w:t>
            </w:r>
            <w:r>
              <w:rPr>
                <w:rFonts w:hint="eastAsia"/>
              </w:rPr>
              <w:tab/>
            </w:r>
            <w:r>
              <w:rPr>
                <w:rFonts w:hint="eastAsia"/>
              </w:rPr>
              <w:t>本项目的特定资格要求：详见第一章投标邀请第二条“申请人的资格要求：”第</w:t>
            </w:r>
            <w:r>
              <w:t>3</w:t>
            </w:r>
            <w:r>
              <w:rPr>
                <w:rFonts w:hint="eastAsia"/>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4"/>
              <w:numPr>
                <w:ilvl w:val="0"/>
                <w:numId w:val="8"/>
              </w:numPr>
              <w:tabs>
                <w:tab w:val="left" w:pos="381"/>
              </w:tabs>
              <w:ind w:left="0" w:firstLine="0"/>
            </w:pPr>
            <w:bookmarkStart w:id="35" w:name="_Ref51083479"/>
            <w:r>
              <w:rPr>
                <w:rFonts w:hint="eastAsia"/>
              </w:rPr>
              <w:t>对联合体投标的具体要求</w:t>
            </w:r>
            <w:bookmarkEnd w:id="35"/>
          </w:p>
        </w:tc>
        <w:tc>
          <w:tcPr>
            <w:tcW w:w="850" w:type="dxa"/>
            <w:vAlign w:val="center"/>
          </w:tcPr>
          <w:p>
            <w:pPr>
              <w:pStyle w:val="54"/>
            </w:pPr>
            <w:r>
              <w:fldChar w:fldCharType="begin"/>
            </w:r>
            <w:r>
              <w:instrText xml:space="preserve"> REF _Ref51260873 \r \h </w:instrText>
            </w:r>
            <w:r>
              <w:fldChar w:fldCharType="separate"/>
            </w:r>
            <w:r>
              <w:t>2.3</w:t>
            </w:r>
            <w:r>
              <w:fldChar w:fldCharType="end"/>
            </w:r>
          </w:p>
        </w:tc>
        <w:tc>
          <w:tcPr>
            <w:tcW w:w="7230" w:type="dxa"/>
            <w:vAlign w:val="center"/>
          </w:tcPr>
          <w:p>
            <w:pPr>
              <w:pStyle w:val="54"/>
              <w:ind w:left="720" w:hanging="720" w:hangingChars="300"/>
              <w:rPr>
                <w:color w:val="auto"/>
              </w:rPr>
            </w:pPr>
            <w:r>
              <w:rPr>
                <w:rFonts w:hint="eastAsia"/>
                <w:color w:val="auto"/>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4"/>
              <w:numPr>
                <w:ilvl w:val="0"/>
                <w:numId w:val="8"/>
              </w:numPr>
              <w:tabs>
                <w:tab w:val="left" w:pos="381"/>
              </w:tabs>
              <w:ind w:left="0" w:firstLine="0"/>
            </w:pPr>
            <w:bookmarkStart w:id="36" w:name="_Ref51684765"/>
            <w:r>
              <w:rPr>
                <w:rFonts w:hint="eastAsia"/>
              </w:rPr>
              <w:t>是否允许采购进口产品</w:t>
            </w:r>
            <w:bookmarkEnd w:id="36"/>
          </w:p>
        </w:tc>
        <w:tc>
          <w:tcPr>
            <w:tcW w:w="850" w:type="dxa"/>
            <w:tcBorders>
              <w:right w:val="single" w:color="auto" w:sz="4" w:space="0"/>
            </w:tcBorders>
            <w:vAlign w:val="center"/>
          </w:tcPr>
          <w:p>
            <w:pPr>
              <w:pStyle w:val="54"/>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4"/>
              <w:rPr>
                <w:rFonts w:hint="eastAsia" w:hAnsiTheme="minorEastAsia"/>
                <w:color w:val="auto"/>
              </w:rPr>
            </w:pPr>
          </w:p>
          <w:p>
            <w:pPr>
              <w:pStyle w:val="54"/>
              <w:rPr>
                <w:rFonts w:hAnsiTheme="minorEastAsia"/>
                <w:color w:val="auto"/>
              </w:rPr>
            </w:pPr>
            <w:r>
              <w:rPr>
                <w:rFonts w:hint="eastAsia" w:hAnsiTheme="minorEastAsia"/>
                <w:color w:val="auto"/>
              </w:rPr>
              <w:t>本项目为服务采购项目，投标人须知</w:t>
            </w:r>
            <w:r>
              <w:rPr>
                <w:rFonts w:hAnsiTheme="minorEastAsia"/>
                <w:color w:val="auto"/>
              </w:rPr>
              <w:fldChar w:fldCharType="begin"/>
            </w:r>
            <w:r>
              <w:rPr>
                <w:rFonts w:hAnsiTheme="minorEastAsia"/>
                <w:color w:val="auto"/>
              </w:rPr>
              <w:instrText xml:space="preserve"> </w:instrText>
            </w:r>
            <w:r>
              <w:rPr>
                <w:rFonts w:hint="eastAsia" w:hAnsiTheme="minorEastAsia"/>
                <w:color w:val="auto"/>
              </w:rPr>
              <w:instrText xml:space="preserve">REF _Ref470251972 \n \h</w:instrText>
            </w:r>
            <w:r>
              <w:rPr>
                <w:rFonts w:hAnsiTheme="minorEastAsia"/>
                <w:color w:val="auto"/>
              </w:rPr>
              <w:instrText xml:space="preserve">  \* MERGEFORMAT </w:instrText>
            </w:r>
            <w:r>
              <w:rPr>
                <w:rFonts w:hAnsiTheme="minorEastAsia"/>
                <w:color w:val="auto"/>
              </w:rPr>
              <w:fldChar w:fldCharType="separate"/>
            </w:r>
            <w:r>
              <w:rPr>
                <w:rFonts w:hAnsiTheme="minorEastAsia"/>
                <w:color w:val="auto"/>
              </w:rPr>
              <w:t>3.1</w:t>
            </w:r>
            <w:r>
              <w:rPr>
                <w:rFonts w:hAnsiTheme="minorEastAsia"/>
                <w:color w:val="auto"/>
              </w:rPr>
              <w:fldChar w:fldCharType="end"/>
            </w:r>
            <w:r>
              <w:rPr>
                <w:rFonts w:hint="eastAsia" w:hAnsiTheme="minorEastAsia"/>
                <w:color w:val="auto"/>
              </w:rPr>
              <w:t>条不适用。</w:t>
            </w:r>
          </w:p>
          <w:p>
            <w:pPr>
              <w:pStyle w:val="54"/>
              <w:rPr>
                <w:rFonts w:hAnsiTheme="minorEastAsia"/>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4"/>
              <w:tabs>
                <w:tab w:val="left" w:pos="381"/>
              </w:tabs>
            </w:pPr>
          </w:p>
        </w:tc>
        <w:tc>
          <w:tcPr>
            <w:tcW w:w="850" w:type="dxa"/>
            <w:tcBorders>
              <w:right w:val="single" w:color="auto" w:sz="4" w:space="0"/>
            </w:tcBorders>
            <w:vAlign w:val="center"/>
          </w:tcPr>
          <w:p>
            <w:pPr>
              <w:pStyle w:val="54"/>
            </w:pPr>
          </w:p>
        </w:tc>
        <w:tc>
          <w:tcPr>
            <w:tcW w:w="7230" w:type="dxa"/>
            <w:tcBorders>
              <w:left w:val="single" w:color="auto" w:sz="4" w:space="0"/>
            </w:tcBorders>
          </w:tcPr>
          <w:p>
            <w:pPr>
              <w:spacing w:line="240" w:lineRule="auto"/>
              <w:jc w:val="center"/>
              <w:rPr>
                <w:rFonts w:cs="Times New Roman" w:hAnsiTheme="minorEastAsia"/>
                <w:b/>
              </w:rPr>
            </w:pPr>
            <w:r>
              <w:rPr>
                <w:rFonts w:hint="eastAsia" w:cs="Times New Roman" w:hAnsiTheme="minorEastAsia"/>
                <w:b/>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4"/>
              <w:numPr>
                <w:ilvl w:val="0"/>
                <w:numId w:val="8"/>
              </w:numPr>
              <w:tabs>
                <w:tab w:val="left" w:pos="381"/>
              </w:tabs>
              <w:ind w:left="0" w:firstLine="0"/>
            </w:pPr>
            <w:bookmarkStart w:id="37" w:name="_Ref51259289"/>
            <w:r>
              <w:rPr>
                <w:rFonts w:hint="eastAsia"/>
              </w:rPr>
              <w:t>现场踏勘</w:t>
            </w:r>
            <w:bookmarkEnd w:id="37"/>
          </w:p>
        </w:tc>
        <w:tc>
          <w:tcPr>
            <w:tcW w:w="850" w:type="dxa"/>
            <w:tcBorders>
              <w:right w:val="single" w:color="auto" w:sz="4" w:space="0"/>
            </w:tcBorders>
            <w:vAlign w:val="center"/>
          </w:tcPr>
          <w:p>
            <w:pPr>
              <w:pStyle w:val="54"/>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4"/>
              <w:rPr>
                <w:rFonts w:hAnsiTheme="minorEastAsia"/>
                <w:color w:val="auto"/>
              </w:rPr>
            </w:pPr>
            <w:r>
              <w:rPr>
                <w:rFonts w:hint="eastAsia" w:hAnsiTheme="minorEastAsia"/>
                <w:color w:val="auto"/>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4"/>
              <w:numPr>
                <w:ilvl w:val="0"/>
                <w:numId w:val="8"/>
              </w:numPr>
              <w:tabs>
                <w:tab w:val="left" w:pos="381"/>
              </w:tabs>
              <w:ind w:left="0" w:firstLine="0"/>
            </w:pPr>
            <w:bookmarkStart w:id="38" w:name="_Ref51259299"/>
            <w:r>
              <w:rPr>
                <w:rFonts w:hint="eastAsia"/>
              </w:rPr>
              <w:t>标前会</w:t>
            </w:r>
            <w:bookmarkEnd w:id="38"/>
          </w:p>
        </w:tc>
        <w:tc>
          <w:tcPr>
            <w:tcW w:w="850" w:type="dxa"/>
            <w:tcBorders>
              <w:right w:val="single" w:color="auto" w:sz="4" w:space="0"/>
            </w:tcBorders>
            <w:vAlign w:val="center"/>
          </w:tcPr>
          <w:p>
            <w:pPr>
              <w:pStyle w:val="54"/>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pPr>
              <w:pStyle w:val="54"/>
              <w:rPr>
                <w:rFonts w:hAnsiTheme="minorEastAsia"/>
                <w:color w:val="auto"/>
              </w:rPr>
            </w:pPr>
            <w:r>
              <w:rPr>
                <w:rFonts w:hint="eastAsia" w:hAnsiTheme="minorEastAsia"/>
                <w:color w:val="auto"/>
              </w:rPr>
              <w:t>不召开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4"/>
              <w:rPr>
                <w:rFonts w:hAnsiTheme="minorEastAsia"/>
                <w:b/>
              </w:rPr>
            </w:pPr>
          </w:p>
        </w:tc>
        <w:tc>
          <w:tcPr>
            <w:tcW w:w="850" w:type="dxa"/>
            <w:tcBorders>
              <w:right w:val="single" w:color="auto" w:sz="4" w:space="0"/>
            </w:tcBorders>
            <w:vAlign w:val="center"/>
          </w:tcPr>
          <w:p>
            <w:pPr>
              <w:pStyle w:val="54"/>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pPr>
            <w:bookmarkStart w:id="39" w:name="_Ref51259346"/>
            <w:r>
              <w:rPr>
                <w:rFonts w:hint="eastAsia"/>
              </w:rPr>
              <w:t>资格、资信证明文件</w:t>
            </w:r>
          </w:p>
          <w:p>
            <w:pPr>
              <w:pStyle w:val="54"/>
              <w:numPr>
                <w:ilvl w:val="0"/>
                <w:numId w:val="8"/>
              </w:numPr>
              <w:tabs>
                <w:tab w:val="left" w:pos="381"/>
              </w:tabs>
              <w:ind w:left="0" w:firstLine="0"/>
            </w:pPr>
            <w:r>
              <w:rPr>
                <w:rFonts w:hint="eastAsia"/>
              </w:rPr>
              <w:t>（需单独装订成《资格资信证明文件分册》）</w:t>
            </w:r>
            <w:bookmarkEnd w:id="39"/>
          </w:p>
        </w:tc>
        <w:tc>
          <w:tcPr>
            <w:tcW w:w="850" w:type="dxa"/>
            <w:tcBorders>
              <w:bottom w:val="single" w:color="auto" w:sz="4" w:space="0"/>
            </w:tcBorders>
            <w:vAlign w:val="center"/>
          </w:tcPr>
          <w:p>
            <w:pPr>
              <w:pStyle w:val="54"/>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4"/>
              <w:rPr>
                <w:b/>
                <w:bCs/>
              </w:rPr>
            </w:pPr>
            <w:r>
              <w:rPr>
                <w:rFonts w:hint="eastAsia"/>
                <w:b/>
                <w:bCs/>
              </w:rPr>
              <w:t>基本资格、资信证明文件：</w:t>
            </w:r>
          </w:p>
          <w:p>
            <w:pPr>
              <w:pStyle w:val="52"/>
              <w:ind w:left="535" w:hanging="535"/>
            </w:pPr>
            <w:r>
              <w:rPr>
                <w:rFonts w:hint="eastAsia"/>
                <w:b/>
                <w:bCs/>
              </w:rPr>
              <w:t>法人或者其他组织的有效营业执照等证明文件，</w:t>
            </w:r>
            <w:r>
              <w:rPr>
                <w:rFonts w:hint="eastAsia"/>
              </w:rPr>
              <w:t>其中：</w:t>
            </w:r>
          </w:p>
          <w:p>
            <w:pPr>
              <w:pStyle w:val="54"/>
              <w:numPr>
                <w:ilvl w:val="0"/>
                <w:numId w:val="9"/>
              </w:numPr>
              <w:ind w:left="962"/>
            </w:pPr>
            <w:r>
              <w:rPr>
                <w:rFonts w:hint="eastAsia"/>
              </w:rPr>
              <w:t>投标人是企业（包括合伙企业）的，应提供其在市场监督管理部门注册的有效“营业执照”复印件；</w:t>
            </w:r>
          </w:p>
          <w:p>
            <w:pPr>
              <w:pStyle w:val="54"/>
              <w:numPr>
                <w:ilvl w:val="0"/>
                <w:numId w:val="9"/>
              </w:numPr>
              <w:ind w:left="962"/>
            </w:pPr>
            <w:r>
              <w:rPr>
                <w:rFonts w:hint="eastAsia"/>
              </w:rPr>
              <w:t>投标人是事业单位的，应提供其有效的“事业单位法人证书”复印件；</w:t>
            </w:r>
          </w:p>
          <w:p>
            <w:pPr>
              <w:pStyle w:val="54"/>
              <w:numPr>
                <w:ilvl w:val="0"/>
                <w:numId w:val="9"/>
              </w:numPr>
              <w:ind w:left="962"/>
            </w:pPr>
            <w:r>
              <w:rPr>
                <w:rFonts w:hint="eastAsia"/>
              </w:rPr>
              <w:t>投标人是非企业专业服务机构的，应提供其有效的“执业许可证”复印件；</w:t>
            </w:r>
          </w:p>
          <w:p>
            <w:pPr>
              <w:pStyle w:val="54"/>
              <w:numPr>
                <w:ilvl w:val="0"/>
                <w:numId w:val="9"/>
              </w:numPr>
              <w:ind w:left="962"/>
            </w:pPr>
            <w:r>
              <w:rPr>
                <w:rFonts w:hint="eastAsia"/>
              </w:rPr>
              <w:t>投标人是民办非企业单位的，应提供其有效的登记证书复印件；</w:t>
            </w:r>
          </w:p>
          <w:p>
            <w:pPr>
              <w:pStyle w:val="54"/>
              <w:numPr>
                <w:ilvl w:val="0"/>
                <w:numId w:val="9"/>
              </w:numPr>
              <w:ind w:left="962"/>
            </w:pPr>
            <w:r>
              <w:rPr>
                <w:rFonts w:hint="eastAsia"/>
              </w:rPr>
              <w:t>投标人是个体工商户的，应提供其有效的“营业执照”复印件；</w:t>
            </w:r>
          </w:p>
          <w:p>
            <w:pPr>
              <w:pStyle w:val="54"/>
              <w:numPr>
                <w:ilvl w:val="0"/>
                <w:numId w:val="9"/>
              </w:numPr>
              <w:ind w:left="962"/>
            </w:pPr>
            <w:r>
              <w:rPr>
                <w:rFonts w:hint="eastAsia"/>
              </w:rPr>
              <w:t>投标人是自然人的，应提供其有效的自然人身份证明复印件。</w:t>
            </w:r>
          </w:p>
          <w:p>
            <w:pPr>
              <w:pStyle w:val="52"/>
            </w:pPr>
            <w:bookmarkStart w:id="40" w:name="_Ref470594241"/>
            <w:r>
              <w:rPr>
                <w:rFonts w:hint="eastAsia"/>
                <w:b/>
              </w:rPr>
              <w:t>投标人资格声明书</w:t>
            </w:r>
            <w:bookmarkEnd w:id="40"/>
            <w:r>
              <w:rPr>
                <w:rFonts w:hint="eastAsia"/>
                <w:b/>
              </w:rPr>
              <w:t>。</w:t>
            </w:r>
          </w:p>
          <w:p>
            <w:pPr>
              <w:pStyle w:val="52"/>
              <w:numPr>
                <w:ilvl w:val="0"/>
                <w:numId w:val="0"/>
              </w:numPr>
              <w:ind w:leftChars="0"/>
              <w:rPr>
                <w:rFonts w:hint="eastAsia"/>
              </w:rPr>
            </w:pPr>
            <w:r>
              <w:rPr>
                <w:rFonts w:hint="eastAsia"/>
              </w:rPr>
              <w:t>（格式见第六章附件</w:t>
            </w:r>
            <w:r>
              <w:t>9</w:t>
            </w:r>
            <w:r>
              <w:rPr>
                <w:rFonts w:hint="eastAsia"/>
              </w:rPr>
              <w:t>-</w:t>
            </w:r>
            <w:r>
              <w:t>2</w:t>
            </w:r>
            <w:r>
              <w:rPr>
                <w:rFonts w:hint="eastAsia"/>
              </w:rPr>
              <w:t>）</w:t>
            </w:r>
          </w:p>
          <w:p>
            <w:pPr>
              <w:pStyle w:val="54"/>
              <w:rPr>
                <w:b/>
                <w:bCs/>
              </w:rPr>
            </w:pPr>
            <w:r>
              <w:rPr>
                <w:rFonts w:hint="eastAsia"/>
                <w:b/>
                <w:bCs/>
              </w:rPr>
              <w:t>落实政府采购政策需满足的资格要求的证明文件：</w:t>
            </w:r>
          </w:p>
          <w:p>
            <w:pPr>
              <w:pStyle w:val="52"/>
              <w:rPr>
                <w:rFonts w:hint="eastAsia"/>
                <w:b w:val="0"/>
                <w:bCs/>
              </w:rPr>
            </w:pPr>
            <w:r>
              <w:rPr>
                <w:rFonts w:hint="eastAsia"/>
                <w:b w:val="0"/>
                <w:bCs/>
              </w:rPr>
              <w:t>由投标人出具（联合体投标时由牵头人出具）的“中小企业声明函”（格式见附件10-1）或者由中小企业标的制造商或服务承接商出具的“残疾人福利性单位声明函” （格式见附件10-2）或由标的制造商或服务承接商出具的其属于监狱企业的证明文件。</w:t>
            </w:r>
          </w:p>
          <w:p>
            <w:pPr>
              <w:pStyle w:val="2"/>
            </w:pPr>
          </w:p>
          <w:p>
            <w:pPr>
              <w:pStyle w:val="54"/>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pPr>
            <w:bookmarkStart w:id="41" w:name="_Ref51259390"/>
            <w:r>
              <w:rPr>
                <w:rFonts w:hint="eastAsia"/>
              </w:rPr>
              <w:t>商务技术文件分册构成</w:t>
            </w:r>
            <w:bookmarkEnd w:id="41"/>
          </w:p>
        </w:tc>
        <w:tc>
          <w:tcPr>
            <w:tcW w:w="850" w:type="dxa"/>
            <w:tcBorders>
              <w:bottom w:val="single" w:color="auto" w:sz="4" w:space="0"/>
            </w:tcBorders>
            <w:vAlign w:val="center"/>
          </w:tcPr>
          <w:p>
            <w:pPr>
              <w:pStyle w:val="54"/>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7"/>
            </w:pPr>
            <w:r>
              <w:t>投标函（格式见</w:t>
            </w:r>
            <w:r>
              <w:rPr>
                <w:rFonts w:hint="eastAsia"/>
              </w:rPr>
              <w:t>第六章</w:t>
            </w:r>
            <w:r>
              <w:t>附件1）；</w:t>
            </w:r>
          </w:p>
          <w:p>
            <w:pPr>
              <w:pStyle w:val="77"/>
            </w:pPr>
            <w:r>
              <w:t>开标一览表（格式见</w:t>
            </w:r>
            <w:r>
              <w:rPr>
                <w:rFonts w:hint="eastAsia"/>
              </w:rPr>
              <w:t>第六章</w:t>
            </w:r>
            <w:r>
              <w:t>附件2）；</w:t>
            </w:r>
          </w:p>
          <w:p>
            <w:pPr>
              <w:pStyle w:val="77"/>
            </w:pPr>
            <w:r>
              <w:t>投标分项报价表（格式见</w:t>
            </w:r>
            <w:r>
              <w:rPr>
                <w:rFonts w:hint="eastAsia"/>
              </w:rPr>
              <w:t>第六章</w:t>
            </w:r>
            <w:r>
              <w:t>附件3）；</w:t>
            </w:r>
          </w:p>
          <w:p>
            <w:pPr>
              <w:pStyle w:val="77"/>
            </w:pPr>
            <w:r>
              <w:t>技术</w:t>
            </w:r>
            <w:r>
              <w:rPr>
                <w:rFonts w:hint="eastAsia"/>
              </w:rPr>
              <w:t>服务需求</w:t>
            </w:r>
            <w:r>
              <w:t>偏离表（格式见</w:t>
            </w:r>
            <w:r>
              <w:rPr>
                <w:rFonts w:hint="eastAsia"/>
              </w:rPr>
              <w:t>第六章</w:t>
            </w:r>
            <w:r>
              <w:t>附件4）；</w:t>
            </w:r>
          </w:p>
          <w:p>
            <w:pPr>
              <w:pStyle w:val="77"/>
            </w:pPr>
            <w:r>
              <w:t>合同条款偏离表（格式见</w:t>
            </w:r>
            <w:r>
              <w:rPr>
                <w:rFonts w:hint="eastAsia"/>
              </w:rPr>
              <w:t>第六章</w:t>
            </w:r>
            <w:r>
              <w:t>附件5）；</w:t>
            </w:r>
          </w:p>
          <w:p>
            <w:pPr>
              <w:pStyle w:val="77"/>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加注“*”的投标文件构成其它文件均由法定代表人在相应位置直接签署时，则无需提供法定代表人授权书，此情况下应提供法定代表人身份证明复印件</w:t>
            </w:r>
            <w:r>
              <w:t>）；</w:t>
            </w:r>
          </w:p>
          <w:p>
            <w:pPr>
              <w:pStyle w:val="52"/>
              <w:numPr>
                <w:ilvl w:val="0"/>
                <w:numId w:val="10"/>
              </w:numPr>
              <w:ind w:left="536" w:hanging="536"/>
            </w:pPr>
            <w:r>
              <w:t>详细的技术服务响应方案</w:t>
            </w:r>
            <w:r>
              <w:rPr>
                <w:rFonts w:hint="eastAsia"/>
              </w:rPr>
              <w:t>（按照详细技术响应的相关要求编写）</w:t>
            </w:r>
            <w:r>
              <w:t>；</w:t>
            </w:r>
          </w:p>
          <w:p>
            <w:pPr>
              <w:pStyle w:val="52"/>
              <w:numPr>
                <w:ilvl w:val="0"/>
                <w:numId w:val="10"/>
              </w:numPr>
              <w:ind w:left="536" w:hanging="536"/>
            </w:pPr>
            <w:r>
              <w:rPr>
                <w:rFonts w:hint="eastAsia"/>
              </w:rPr>
              <w:t>第三章评标标准中提及的相关评审证明材料以及</w:t>
            </w:r>
            <w:r>
              <w:t>投标人认为需要提供的其他材料</w:t>
            </w: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pPr>
            <w:bookmarkStart w:id="42" w:name="_Ref53154354"/>
            <w:r>
              <w:rPr>
                <w:rFonts w:hint="eastAsia"/>
              </w:rPr>
              <w:t>投标文件内容其它要求或注意事项</w:t>
            </w:r>
            <w:bookmarkEnd w:id="42"/>
          </w:p>
        </w:tc>
        <w:tc>
          <w:tcPr>
            <w:tcW w:w="850" w:type="dxa"/>
            <w:tcBorders>
              <w:bottom w:val="single" w:color="auto" w:sz="4" w:space="0"/>
            </w:tcBorders>
            <w:vAlign w:val="center"/>
          </w:tcPr>
          <w:p>
            <w:pPr>
              <w:pStyle w:val="54"/>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52"/>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pPr>
            <w:bookmarkStart w:id="43" w:name="_Ref51259554"/>
            <w:r>
              <w:rPr>
                <w:rFonts w:hint="eastAsia"/>
              </w:rPr>
              <w:t>投标文件份数</w:t>
            </w:r>
            <w:bookmarkEnd w:id="43"/>
          </w:p>
        </w:tc>
        <w:tc>
          <w:tcPr>
            <w:tcW w:w="850" w:type="dxa"/>
            <w:tcBorders>
              <w:bottom w:val="single" w:color="auto" w:sz="4" w:space="0"/>
            </w:tcBorders>
            <w:vAlign w:val="center"/>
          </w:tcPr>
          <w:p>
            <w:pPr>
              <w:pStyle w:val="54"/>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52"/>
              <w:numPr>
                <w:ilvl w:val="0"/>
                <w:numId w:val="12"/>
              </w:numPr>
              <w:ind w:left="536" w:hanging="536"/>
              <w:rPr>
                <w:color w:val="auto"/>
              </w:rPr>
            </w:pPr>
            <w:r>
              <w:rPr>
                <w:rFonts w:hint="eastAsia"/>
                <w:b/>
                <w:bCs/>
              </w:rPr>
              <w:t>《资格、资信证明文件分册》</w:t>
            </w:r>
            <w:r>
              <w:rPr>
                <w:rFonts w:hint="eastAsia"/>
              </w:rPr>
              <w:t xml:space="preserve"> ：正本</w:t>
            </w:r>
            <w:r>
              <w:rPr>
                <w:rFonts w:hint="eastAsia"/>
                <w:color w:val="auto"/>
              </w:rPr>
              <w:t>1份，副本</w:t>
            </w:r>
            <w:r>
              <w:rPr>
                <w:rFonts w:hint="eastAsia"/>
                <w:color w:val="auto"/>
                <w:lang w:val="en-US" w:eastAsia="zh-CN"/>
              </w:rPr>
              <w:t>1</w:t>
            </w:r>
            <w:r>
              <w:rPr>
                <w:rFonts w:hint="eastAsia"/>
                <w:color w:val="auto"/>
              </w:rPr>
              <w:t>份；</w:t>
            </w:r>
          </w:p>
          <w:p>
            <w:pPr>
              <w:pStyle w:val="52"/>
              <w:numPr>
                <w:ilvl w:val="0"/>
                <w:numId w:val="12"/>
              </w:numPr>
              <w:ind w:left="536" w:hanging="536"/>
            </w:pPr>
            <w:r>
              <w:rPr>
                <w:rFonts w:hint="eastAsia"/>
                <w:b/>
                <w:bCs/>
                <w:color w:val="auto"/>
              </w:rPr>
              <w:t>《商务技术文件分册》</w:t>
            </w:r>
            <w:r>
              <w:rPr>
                <w:rFonts w:hint="eastAsia"/>
                <w:color w:val="auto"/>
              </w:rPr>
              <w:t xml:space="preserve"> ：正本1份，副本</w:t>
            </w:r>
            <w:r>
              <w:rPr>
                <w:rFonts w:hint="eastAsia"/>
                <w:color w:val="auto"/>
                <w:lang w:val="en-US" w:eastAsia="zh-CN"/>
              </w:rPr>
              <w:t>1</w:t>
            </w:r>
            <w:r>
              <w:rPr>
                <w:rFonts w:hint="eastAsia"/>
                <w:color w:val="auto"/>
              </w:rPr>
              <w:t>份；</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请联系项目经理并在投标截止时间前将纸质版文件送达。</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地点：北京市丰台区政务服务中心6层</w:t>
            </w:r>
          </w:p>
          <w:p>
            <w:pPr>
              <w:pStyle w:val="52"/>
              <w:numPr>
                <w:ilvl w:val="0"/>
                <w:numId w:val="0"/>
              </w:numPr>
              <w:ind w:leftChars="0" w:firstLine="720" w:firstLineChars="300"/>
              <w:rPr>
                <w:color w:val="auto"/>
              </w:rPr>
            </w:pPr>
            <w:r>
              <w:rPr>
                <w:rFonts w:hint="eastAsia" w:ascii="仿宋_GB2312" w:hAnsi="Calibri" w:eastAsia="仿宋_GB2312" w:cs="Times New Roman"/>
                <w:color w:val="auto"/>
                <w:kern w:val="2"/>
                <w:sz w:val="24"/>
                <w:szCs w:val="21"/>
                <w:lang w:val="en-US" w:eastAsia="zh-CN" w:bidi="ar-SA"/>
              </w:rPr>
              <w:t>联系方式：韩伟轩 17710787107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4"/>
              <w:numPr>
                <w:ilvl w:val="0"/>
                <w:numId w:val="8"/>
              </w:numPr>
              <w:tabs>
                <w:tab w:val="left" w:pos="381"/>
              </w:tabs>
              <w:ind w:left="0" w:firstLine="0"/>
            </w:pPr>
            <w:bookmarkStart w:id="44" w:name="_Ref51259915"/>
            <w:r>
              <w:rPr>
                <w:rFonts w:hint="eastAsia" w:hAnsi="楷体" w:cs="Arial"/>
                <w:color w:val="000000"/>
              </w:rPr>
              <w:t>投标报价</w:t>
            </w:r>
            <w:bookmarkEnd w:id="44"/>
          </w:p>
        </w:tc>
        <w:tc>
          <w:tcPr>
            <w:tcW w:w="850" w:type="dxa"/>
            <w:tcBorders>
              <w:bottom w:val="single" w:color="auto" w:sz="4" w:space="0"/>
            </w:tcBorders>
            <w:vAlign w:val="center"/>
          </w:tcPr>
          <w:p>
            <w:pPr>
              <w:pStyle w:val="54"/>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rPr>
                <w:rFonts w:ascii="仿宋_GB2312" w:hAnsi="Arial" w:eastAsia="仿宋_GB2312" w:cs="Arial"/>
                <w:color w:val="auto"/>
              </w:rPr>
            </w:pPr>
            <w:r>
              <w:rPr>
                <w:rFonts w:hint="eastAsia" w:ascii="仿宋_GB2312" w:hAnsi="Arial" w:eastAsia="仿宋_GB2312" w:cs="Arial"/>
                <w:color w:val="auto"/>
              </w:rPr>
              <w:t>开标一览表具体格式见“附件2”</w:t>
            </w:r>
          </w:p>
          <w:p>
            <w:pPr>
              <w:pStyle w:val="54"/>
              <w:rPr>
                <w:color w:val="auto"/>
              </w:rPr>
            </w:pPr>
          </w:p>
          <w:p>
            <w:pPr>
              <w:pStyle w:val="54"/>
              <w:rPr>
                <w:color w:val="auto"/>
              </w:rPr>
            </w:pPr>
            <w:r>
              <w:rPr>
                <w:rFonts w:hint="eastAsia"/>
                <w:color w:val="auto"/>
              </w:rPr>
              <w:t>报价方式：</w:t>
            </w:r>
            <w:r>
              <w:rPr>
                <w:rFonts w:hint="eastAsia"/>
                <w:b/>
                <w:color w:val="auto"/>
              </w:rPr>
              <w:t>固定总价（固定含税合同总价）。</w:t>
            </w:r>
          </w:p>
          <w:p>
            <w:pPr>
              <w:pStyle w:val="54"/>
              <w:rPr>
                <w:color w:val="auto"/>
              </w:rPr>
            </w:pPr>
            <w:r>
              <w:rPr>
                <w:rFonts w:hint="eastAsia"/>
                <w:color w:val="auto"/>
              </w:rPr>
              <w:t>投标人的报价应包含为完成本招标文件提出的采购任务中所有可能发生的费用，即所需一切人工、物耗、工具、设备、交通、培训、保险、税费和所有可能发生的相关费用，所有费用计入投标总价。</w:t>
            </w:r>
          </w:p>
          <w:p>
            <w:pPr>
              <w:rPr>
                <w:color w:val="auto"/>
              </w:rPr>
            </w:pPr>
          </w:p>
          <w:p>
            <w:pPr>
              <w:pStyle w:val="54"/>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pPr>
              <w:pStyle w:val="54"/>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4"/>
              <w:numPr>
                <w:ilvl w:val="0"/>
                <w:numId w:val="8"/>
              </w:numPr>
              <w:tabs>
                <w:tab w:val="left" w:pos="381"/>
              </w:tabs>
              <w:ind w:left="0" w:firstLine="0"/>
            </w:pPr>
          </w:p>
        </w:tc>
        <w:tc>
          <w:tcPr>
            <w:tcW w:w="850" w:type="dxa"/>
            <w:tcBorders>
              <w:bottom w:val="single" w:color="auto" w:sz="4" w:space="0"/>
            </w:tcBorders>
            <w:vAlign w:val="center"/>
          </w:tcPr>
          <w:p>
            <w:pPr>
              <w:pStyle w:val="54"/>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4"/>
              <w:rPr>
                <w:color w:val="auto"/>
              </w:rPr>
            </w:pPr>
            <w:r>
              <w:rPr>
                <w:rFonts w:hint="eastAsia"/>
                <w:color w:val="auto"/>
              </w:rPr>
              <w:t>报价币种及单位：人民币元，币种及单位不符合该要求的</w:t>
            </w:r>
            <w:r>
              <w:rPr>
                <w:rFonts w:hint="eastAsia"/>
                <w:b/>
                <w:bCs/>
                <w:color w:val="auto"/>
              </w:rPr>
              <w:t>投标将被否决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pPr>
            <w:bookmarkStart w:id="45" w:name="_Ref51260090"/>
            <w:r>
              <w:rPr>
                <w:rFonts w:hint="eastAsia"/>
              </w:rPr>
              <w:t>最高</w:t>
            </w:r>
            <w:r>
              <w:rPr>
                <w:rFonts w:hint="eastAsia" w:hAnsi="楷体" w:cs="Arial"/>
                <w:color w:val="000000"/>
              </w:rPr>
              <w:t>限价</w:t>
            </w:r>
            <w:bookmarkEnd w:id="45"/>
          </w:p>
        </w:tc>
        <w:tc>
          <w:tcPr>
            <w:tcW w:w="850" w:type="dxa"/>
            <w:tcBorders>
              <w:bottom w:val="single" w:color="auto" w:sz="4" w:space="0"/>
            </w:tcBorders>
            <w:vAlign w:val="center"/>
          </w:tcPr>
          <w:p>
            <w:pPr>
              <w:pStyle w:val="54"/>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4"/>
              <w:rPr>
                <w:rFonts w:hint="eastAsia"/>
              </w:rPr>
            </w:pPr>
            <w:r>
              <w:rPr>
                <w:rFonts w:hint="eastAsia"/>
              </w:rPr>
              <w:t>最高限价（最高投标限价）：</w:t>
            </w:r>
          </w:p>
          <w:p>
            <w:pPr>
              <w:pStyle w:val="54"/>
              <w:rPr>
                <w:rFonts w:hint="eastAsia"/>
                <w:color w:val="FF0000"/>
              </w:rPr>
            </w:pPr>
            <w:r>
              <w:rPr>
                <w:rFonts w:hint="eastAsia"/>
                <w:color w:val="auto"/>
              </w:rPr>
              <w:t>第01包556.120616万元（人民币）</w:t>
            </w:r>
          </w:p>
          <w:p>
            <w:pPr>
              <w:pStyle w:val="54"/>
              <w:rPr>
                <w:rFonts w:hint="eastAsia"/>
                <w:color w:val="FF0000"/>
              </w:rPr>
            </w:pPr>
            <w:r>
              <w:rPr>
                <w:rFonts w:hint="eastAsia"/>
                <w:color w:val="auto"/>
              </w:rPr>
              <w:t>第0</w:t>
            </w:r>
            <w:r>
              <w:rPr>
                <w:rFonts w:hint="eastAsia"/>
                <w:color w:val="auto"/>
                <w:lang w:val="en-US" w:eastAsia="zh-CN"/>
              </w:rPr>
              <w:t>2</w:t>
            </w:r>
            <w:r>
              <w:rPr>
                <w:rFonts w:hint="eastAsia"/>
                <w:color w:val="auto"/>
              </w:rPr>
              <w:t>包147.102404万元（人民币）</w:t>
            </w:r>
          </w:p>
          <w:p>
            <w:pPr>
              <w:pStyle w:val="54"/>
              <w:rPr>
                <w:rFonts w:hint="eastAsia"/>
                <w:color w:val="FF0000"/>
              </w:rPr>
            </w:pPr>
            <w:r>
              <w:rPr>
                <w:rFonts w:hint="eastAsia"/>
                <w:color w:val="auto"/>
              </w:rPr>
              <w:t>第0</w:t>
            </w:r>
            <w:r>
              <w:rPr>
                <w:rFonts w:hint="eastAsia"/>
                <w:color w:val="auto"/>
                <w:lang w:val="en-US" w:eastAsia="zh-CN"/>
              </w:rPr>
              <w:t>3</w:t>
            </w:r>
            <w:r>
              <w:rPr>
                <w:rFonts w:hint="eastAsia"/>
                <w:color w:val="auto"/>
              </w:rPr>
              <w:t>包723.231156万元（人民币）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46" w:name="_Ref51260155"/>
            <w:r>
              <w:rPr>
                <w:rFonts w:hint="eastAsia" w:hAnsi="楷体" w:cs="Arial"/>
                <w:color w:val="000000"/>
              </w:rPr>
              <w:t>投标有效期</w:t>
            </w:r>
            <w:bookmarkEnd w:id="46"/>
          </w:p>
        </w:tc>
        <w:tc>
          <w:tcPr>
            <w:tcW w:w="850" w:type="dxa"/>
            <w:tcBorders>
              <w:bottom w:val="single" w:color="auto" w:sz="4" w:space="0"/>
            </w:tcBorders>
            <w:vAlign w:val="center"/>
          </w:tcPr>
          <w:p>
            <w:pPr>
              <w:pStyle w:val="54"/>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4"/>
              <w:rPr>
                <w:color w:val="FF0000"/>
              </w:rPr>
            </w:pPr>
            <w:r>
              <w:rPr>
                <w:rFonts w:hint="eastAsia"/>
              </w:rPr>
              <w:t>投标有效期：自投标截止时间之日起90日。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47" w:name="_Ref51612197"/>
            <w:r>
              <w:rPr>
                <w:rFonts w:hint="eastAsia" w:hAnsi="楷体" w:cs="Arial"/>
                <w:color w:val="000000"/>
              </w:rPr>
              <w:t>投标保证金</w:t>
            </w:r>
            <w:bookmarkEnd w:id="47"/>
          </w:p>
        </w:tc>
        <w:tc>
          <w:tcPr>
            <w:tcW w:w="850" w:type="dxa"/>
            <w:tcBorders>
              <w:bottom w:val="single" w:color="auto" w:sz="4" w:space="0"/>
            </w:tcBorders>
            <w:vAlign w:val="center"/>
          </w:tcPr>
          <w:p>
            <w:pPr>
              <w:pStyle w:val="54"/>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4"/>
              <w:rPr>
                <w:color w:val="auto"/>
              </w:rPr>
            </w:pPr>
            <w:r>
              <w:rPr>
                <w:rFonts w:hint="eastAsia"/>
                <w:color w:val="auto"/>
              </w:rPr>
              <w:t>是否要求投标人递交投标保证金：□不要求 ■要求：</w:t>
            </w:r>
          </w:p>
          <w:p>
            <w:pPr>
              <w:pStyle w:val="52"/>
              <w:numPr>
                <w:ilvl w:val="0"/>
                <w:numId w:val="13"/>
              </w:numPr>
              <w:rPr>
                <w:color w:val="auto"/>
              </w:rPr>
            </w:pPr>
            <w:r>
              <w:rPr>
                <w:rFonts w:hint="eastAsia"/>
                <w:color w:val="auto"/>
              </w:rPr>
              <w:t>投标保证金的金额：</w:t>
            </w:r>
          </w:p>
          <w:tbl>
            <w:tblPr>
              <w:tblStyle w:val="25"/>
              <w:tblW w:w="5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4"/>
              <w:gridCol w:w="2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204" w:type="dxa"/>
                </w:tcPr>
                <w:p>
                  <w:pPr>
                    <w:pStyle w:val="52"/>
                    <w:numPr>
                      <w:ilvl w:val="0"/>
                      <w:numId w:val="0"/>
                    </w:numPr>
                    <w:jc w:val="center"/>
                    <w:rPr>
                      <w:rFonts w:ascii="Arial" w:hAnsi="Arial" w:cs="Arial"/>
                      <w:b/>
                      <w:color w:val="auto"/>
                    </w:rPr>
                  </w:pPr>
                  <w:r>
                    <w:rPr>
                      <w:rFonts w:ascii="Arial" w:hAnsi="Arial" w:cs="Arial"/>
                      <w:b/>
                      <w:color w:val="auto"/>
                    </w:rPr>
                    <w:t>包件号</w:t>
                  </w:r>
                </w:p>
              </w:tc>
              <w:tc>
                <w:tcPr>
                  <w:tcW w:w="2908" w:type="dxa"/>
                </w:tcPr>
                <w:p>
                  <w:pPr>
                    <w:pStyle w:val="52"/>
                    <w:numPr>
                      <w:ilvl w:val="0"/>
                      <w:numId w:val="0"/>
                    </w:numPr>
                    <w:jc w:val="center"/>
                    <w:rPr>
                      <w:rFonts w:ascii="Arial" w:hAnsi="Arial" w:cs="Arial"/>
                      <w:b/>
                      <w:color w:val="auto"/>
                    </w:rPr>
                  </w:pPr>
                  <w:r>
                    <w:rPr>
                      <w:rFonts w:ascii="Arial" w:hAnsi="Arial" w:cs="Arial"/>
                      <w:b/>
                      <w:color w:val="auto"/>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4" w:type="dxa"/>
                </w:tcPr>
                <w:p>
                  <w:pPr>
                    <w:pStyle w:val="52"/>
                    <w:numPr>
                      <w:ilvl w:val="0"/>
                      <w:numId w:val="0"/>
                    </w:numPr>
                    <w:jc w:val="center"/>
                    <w:rPr>
                      <w:rFonts w:ascii="Arial" w:hAnsi="Arial" w:cs="Arial"/>
                      <w:color w:val="auto"/>
                    </w:rPr>
                  </w:pPr>
                  <w:r>
                    <w:rPr>
                      <w:rFonts w:ascii="Arial" w:hAnsi="Arial" w:cs="Arial"/>
                      <w:color w:val="auto"/>
                    </w:rPr>
                    <w:t>第01包</w:t>
                  </w:r>
                </w:p>
              </w:tc>
              <w:tc>
                <w:tcPr>
                  <w:tcW w:w="2908" w:type="dxa"/>
                  <w:vAlign w:val="center"/>
                </w:tcPr>
                <w:p>
                  <w:pPr>
                    <w:pStyle w:val="52"/>
                    <w:numPr>
                      <w:ilvl w:val="0"/>
                      <w:numId w:val="0"/>
                    </w:numPr>
                    <w:jc w:val="center"/>
                    <w:rPr>
                      <w:rFonts w:ascii="Arial" w:hAnsi="Arial" w:cs="Arial"/>
                      <w:color w:val="auto"/>
                    </w:rPr>
                  </w:pPr>
                  <w:r>
                    <w:rPr>
                      <w:rFonts w:hint="eastAsia" w:ascii="Arial" w:hAnsi="Arial" w:cs="Arial"/>
                      <w:color w:val="auto"/>
                      <w:lang w:val="en-US" w:eastAsia="zh-CN"/>
                    </w:rPr>
                    <w:t>5</w:t>
                  </w:r>
                  <w:r>
                    <w:rPr>
                      <w:rFonts w:ascii="Arial" w:hAnsi="Arial" w:cs="Arial"/>
                      <w:color w:val="auto"/>
                    </w:rPr>
                    <w:t>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4" w:type="dxa"/>
                </w:tcPr>
                <w:p>
                  <w:pPr>
                    <w:pStyle w:val="52"/>
                    <w:numPr>
                      <w:ilvl w:val="0"/>
                      <w:numId w:val="0"/>
                    </w:numPr>
                    <w:jc w:val="center"/>
                    <w:rPr>
                      <w:rFonts w:ascii="Arial" w:hAnsi="Arial" w:cs="Arial"/>
                      <w:color w:val="auto"/>
                    </w:rPr>
                  </w:pPr>
                  <w:r>
                    <w:rPr>
                      <w:rFonts w:ascii="Arial" w:hAnsi="Arial" w:cs="Arial"/>
                      <w:color w:val="auto"/>
                    </w:rPr>
                    <w:t>第02包</w:t>
                  </w:r>
                </w:p>
              </w:tc>
              <w:tc>
                <w:tcPr>
                  <w:tcW w:w="2908" w:type="dxa"/>
                  <w:vAlign w:val="center"/>
                </w:tcPr>
                <w:p>
                  <w:pPr>
                    <w:pStyle w:val="52"/>
                    <w:numPr>
                      <w:ilvl w:val="0"/>
                      <w:numId w:val="0"/>
                    </w:numPr>
                    <w:jc w:val="center"/>
                    <w:rPr>
                      <w:rFonts w:ascii="Arial" w:hAnsi="Arial" w:cs="Arial"/>
                      <w:color w:val="auto"/>
                    </w:rPr>
                  </w:pPr>
                  <w:r>
                    <w:rPr>
                      <w:rFonts w:ascii="Arial" w:hAnsi="Arial" w:cs="Arial"/>
                      <w:color w:val="auto"/>
                    </w:rPr>
                    <w:t>2</w:t>
                  </w:r>
                  <w:r>
                    <w:rPr>
                      <w:rFonts w:hint="eastAsia" w:ascii="Arial" w:hAnsi="Arial" w:cs="Arial"/>
                      <w:color w:val="auto"/>
                      <w:lang w:val="en-US" w:eastAsia="zh-CN"/>
                    </w:rPr>
                    <w:t>0</w:t>
                  </w:r>
                  <w:r>
                    <w:rPr>
                      <w:rFonts w:ascii="Arial" w:hAnsi="Arial" w:cs="Arial"/>
                      <w:color w:val="auto"/>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4" w:type="dxa"/>
                </w:tcPr>
                <w:p>
                  <w:pPr>
                    <w:pStyle w:val="52"/>
                    <w:numPr>
                      <w:ilvl w:val="0"/>
                      <w:numId w:val="0"/>
                    </w:numPr>
                    <w:jc w:val="center"/>
                    <w:rPr>
                      <w:rFonts w:ascii="Arial" w:hAnsi="Arial" w:cs="Arial"/>
                      <w:color w:val="auto"/>
                    </w:rPr>
                  </w:pPr>
                  <w:r>
                    <w:rPr>
                      <w:rFonts w:ascii="Arial" w:hAnsi="Arial" w:cs="Arial"/>
                      <w:color w:val="auto"/>
                    </w:rPr>
                    <w:t>第03包</w:t>
                  </w:r>
                </w:p>
              </w:tc>
              <w:tc>
                <w:tcPr>
                  <w:tcW w:w="2908" w:type="dxa"/>
                  <w:vAlign w:val="center"/>
                </w:tcPr>
                <w:p>
                  <w:pPr>
                    <w:pStyle w:val="52"/>
                    <w:numPr>
                      <w:ilvl w:val="0"/>
                      <w:numId w:val="0"/>
                    </w:numPr>
                    <w:jc w:val="center"/>
                    <w:rPr>
                      <w:rFonts w:ascii="Arial" w:hAnsi="Arial" w:cs="Arial"/>
                      <w:color w:val="auto"/>
                    </w:rPr>
                  </w:pPr>
                  <w:r>
                    <w:rPr>
                      <w:rFonts w:hint="eastAsia" w:ascii="Arial" w:hAnsi="Arial" w:cs="Arial"/>
                      <w:color w:val="auto"/>
                      <w:lang w:val="en-US" w:eastAsia="zh-CN"/>
                    </w:rPr>
                    <w:t>6</w:t>
                  </w:r>
                  <w:r>
                    <w:rPr>
                      <w:rFonts w:ascii="Arial" w:hAnsi="Arial" w:cs="Arial"/>
                      <w:color w:val="auto"/>
                    </w:rPr>
                    <w:t>0000元</w:t>
                  </w:r>
                </w:p>
              </w:tc>
            </w:tr>
          </w:tbl>
          <w:p>
            <w:pPr>
              <w:pStyle w:val="52"/>
              <w:numPr>
                <w:ilvl w:val="0"/>
                <w:numId w:val="13"/>
              </w:numPr>
              <w:rPr>
                <w:rFonts w:hint="eastAsia"/>
                <w:color w:val="auto"/>
                <w:lang w:eastAsia="zh-CN"/>
              </w:rPr>
            </w:pPr>
            <w:r>
              <w:rPr>
                <w:rFonts w:hint="eastAsia"/>
                <w:color w:val="auto"/>
                <w:lang w:val="en-US" w:eastAsia="zh-CN"/>
              </w:rPr>
              <w:t>中标人可自主选择投标保证金是否抵扣为中标服务费。</w:t>
            </w:r>
          </w:p>
          <w:p>
            <w:pPr>
              <w:pStyle w:val="52"/>
              <w:rPr>
                <w:color w:val="auto"/>
              </w:rPr>
            </w:pPr>
            <w:r>
              <w:rPr>
                <w:rFonts w:hint="eastAsia"/>
                <w:color w:val="auto"/>
              </w:rPr>
              <w:t>投标保证金的建议形式：电汇。</w:t>
            </w:r>
          </w:p>
          <w:p>
            <w:pPr>
              <w:pStyle w:val="52"/>
              <w:rPr>
                <w:color w:val="auto"/>
              </w:rPr>
            </w:pPr>
            <w:r>
              <w:rPr>
                <w:rFonts w:hint="eastAsia"/>
                <w:color w:val="auto"/>
              </w:rPr>
              <w:t>投标保证金须以单位账户或名义提交，不接受个人账户或名义提交的投标保证金。</w:t>
            </w:r>
          </w:p>
          <w:p>
            <w:pPr>
              <w:pStyle w:val="52"/>
              <w:rPr>
                <w:color w:val="auto"/>
              </w:rPr>
            </w:pPr>
            <w:r>
              <w:rPr>
                <w:rFonts w:hint="eastAsia"/>
                <w:color w:val="auto"/>
              </w:rPr>
              <w:t>投标保证金有效期应与投标有效期一致或更长。</w:t>
            </w:r>
          </w:p>
          <w:p>
            <w:pPr>
              <w:pStyle w:val="52"/>
              <w:rPr>
                <w:color w:val="auto"/>
              </w:rPr>
            </w:pPr>
            <w:r>
              <w:rPr>
                <w:rFonts w:hint="eastAsia"/>
                <w:color w:val="auto"/>
              </w:rPr>
              <w:t>投标保证金汇款账号信息：登录中化商务电子招投标平台（e</w:t>
            </w:r>
            <w:r>
              <w:rPr>
                <w:color w:val="auto"/>
              </w:rPr>
              <w:t>.sinochemitc.com</w:t>
            </w:r>
            <w:r>
              <w:rPr>
                <w:rFonts w:hint="eastAsia"/>
                <w:color w:val="auto"/>
              </w:rPr>
              <w:t>），未在中化商务电子招投标平台注册的供应商须先进行该平台注册，已注册供应商无需重复注册。登录后点击[投标管理]—</w:t>
            </w:r>
            <w:r>
              <w:rPr>
                <w:color w:val="auto"/>
              </w:rPr>
              <w:t>[</w:t>
            </w:r>
            <w:r>
              <w:rPr>
                <w:rFonts w:hint="eastAsia"/>
                <w:color w:val="auto"/>
              </w:rPr>
              <w:t>购买文件</w:t>
            </w:r>
            <w:r>
              <w:rPr>
                <w:color w:val="auto"/>
              </w:rPr>
              <w:t>]</w:t>
            </w:r>
            <w:r>
              <w:rPr>
                <w:rFonts w:hint="eastAsia"/>
                <w:color w:val="auto"/>
              </w:rPr>
              <w:t>菜单，搜索到本项目后，点击[立即购买</w:t>
            </w:r>
            <w:r>
              <w:rPr>
                <w:color w:val="auto"/>
              </w:rPr>
              <w:t>]</w:t>
            </w:r>
            <w:r>
              <w:rPr>
                <w:rFonts w:hint="eastAsia"/>
                <w:color w:val="auto"/>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p>
            <w:pPr>
              <w:pStyle w:val="52"/>
              <w:rPr>
                <w:color w:val="auto"/>
              </w:rPr>
            </w:pP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tabs>
                <w:tab w:val="left" w:pos="381"/>
              </w:tabs>
              <w:rPr>
                <w:rFonts w:hAnsi="楷体" w:cs="Arial"/>
                <w:color w:val="000000"/>
              </w:rPr>
            </w:pPr>
          </w:p>
        </w:tc>
        <w:tc>
          <w:tcPr>
            <w:tcW w:w="850" w:type="dxa"/>
            <w:tcBorders>
              <w:bottom w:val="single" w:color="auto" w:sz="4" w:space="0"/>
            </w:tcBorders>
            <w:vAlign w:val="center"/>
          </w:tcPr>
          <w:p>
            <w:pPr>
              <w:pStyle w:val="54"/>
            </w:pPr>
          </w:p>
        </w:tc>
        <w:tc>
          <w:tcPr>
            <w:tcW w:w="7230" w:type="dxa"/>
            <w:tcBorders>
              <w:bottom w:val="single" w:color="auto" w:sz="4" w:space="0"/>
            </w:tcBorders>
          </w:tcPr>
          <w:p>
            <w:pPr>
              <w:spacing w:line="240" w:lineRule="auto"/>
              <w:jc w:val="center"/>
              <w:rPr>
                <w:rFonts w:cs="Times New Roman" w:hAnsiTheme="minorEastAsia"/>
                <w:b/>
                <w:color w:val="auto"/>
              </w:rPr>
            </w:pPr>
            <w:r>
              <w:rPr>
                <w:rFonts w:hint="eastAsia" w:cs="Times New Roman" w:hAnsiTheme="minorEastAsia"/>
                <w:b/>
                <w:color w:val="auto"/>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48" w:name="_Ref51533235"/>
            <w:r>
              <w:rPr>
                <w:rFonts w:hint="eastAsia" w:hAnsi="楷体" w:cs="Arial"/>
                <w:color w:val="000000"/>
              </w:rPr>
              <w:t>投标文件的外包装</w:t>
            </w:r>
            <w:bookmarkEnd w:id="48"/>
          </w:p>
        </w:tc>
        <w:tc>
          <w:tcPr>
            <w:tcW w:w="850" w:type="dxa"/>
            <w:tcBorders>
              <w:bottom w:val="single" w:color="auto" w:sz="4" w:space="0"/>
            </w:tcBorders>
            <w:vAlign w:val="center"/>
          </w:tcPr>
          <w:p>
            <w:pPr>
              <w:pStyle w:val="54"/>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52"/>
              <w:numPr>
                <w:ilvl w:val="0"/>
                <w:numId w:val="14"/>
              </w:numPr>
              <w:rPr>
                <w:color w:val="auto"/>
              </w:rPr>
            </w:pPr>
            <w:r>
              <w:rPr>
                <w:rFonts w:hint="eastAsia"/>
                <w:color w:val="auto"/>
              </w:rPr>
              <w:t>投标人应将投标文件纸质正本和副本进行包装，在包装袋上标明投标项目名称、项目编号、包件号、包件名称、投标人名称、“正本”或“副本”和“于</w:t>
            </w:r>
            <w:r>
              <w:rPr>
                <w:rFonts w:hint="eastAsia"/>
                <w:color w:val="auto"/>
                <w:u w:val="single"/>
              </w:rPr>
              <w:t>【投标截止时间】</w:t>
            </w:r>
            <w:r>
              <w:rPr>
                <w:rFonts w:hint="eastAsia"/>
                <w:color w:val="auto"/>
              </w:rPr>
              <w:t>之前不得启封”的字样。</w:t>
            </w:r>
          </w:p>
          <w:p>
            <w:pPr>
              <w:pStyle w:val="52"/>
              <w:rPr>
                <w:color w:val="auto"/>
              </w:rPr>
            </w:pPr>
            <w:r>
              <w:rPr>
                <w:rFonts w:hint="eastAsia"/>
                <w:color w:val="auto"/>
              </w:rPr>
              <w:t>投标人应将正本的“开标一览表”单独置于一个包装袋内，在包装袋上标明投标项目名称、项目编号、包件号、包件名称、投标人名称、并在该密封包装袋上标明“开标一览表”字样。</w:t>
            </w:r>
          </w:p>
          <w:p>
            <w:pPr>
              <w:pStyle w:val="52"/>
              <w:rPr>
                <w:color w:val="auto"/>
              </w:rPr>
            </w:pPr>
            <w:r>
              <w:rPr>
                <w:rFonts w:hint="eastAsia"/>
                <w:color w:val="auto"/>
              </w:rPr>
              <w:t>投标人应将投标文件电子文档单独置于一个包装袋内，并在该包装袋上标明投标项目名称、项目编号、包件号、包件名称、投标人名称、“电子文档”和“于</w:t>
            </w:r>
            <w:r>
              <w:rPr>
                <w:rFonts w:hint="eastAsia"/>
                <w:color w:val="auto"/>
                <w:u w:val="single"/>
              </w:rPr>
              <w:t>【投标截止时间】</w:t>
            </w:r>
            <w:r>
              <w:rPr>
                <w:rFonts w:hint="eastAsia"/>
                <w:color w:val="auto"/>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color w:val="auto"/>
                <w:u w:val="single"/>
              </w:rPr>
              <w:t>【投标截止时间】</w:t>
            </w:r>
            <w:r>
              <w:rPr>
                <w:rFonts w:hint="eastAsia"/>
                <w:color w:val="auto"/>
              </w:rPr>
              <w:t>之前不得启封”的字样。</w:t>
            </w:r>
          </w:p>
          <w:p>
            <w:pPr>
              <w:pStyle w:val="52"/>
              <w:rPr>
                <w:color w:val="auto"/>
              </w:rPr>
            </w:pPr>
            <w:r>
              <w:rPr>
                <w:rFonts w:hint="eastAsia"/>
                <w:color w:val="auto"/>
              </w:rPr>
              <w:t>若投标文件有其它组成部分或分册装订等情况，除均应按上述第1条规定包装、标记外，还应尽量注明包装袋内的内容（例如“资格、资信证明文件册”“商务技术册”“上册”、“下册”、“图纸”或“附件”等）。</w:t>
            </w:r>
          </w:p>
          <w:p>
            <w:pPr>
              <w:pStyle w:val="52"/>
              <w:numPr>
                <w:ilvl w:val="0"/>
                <w:numId w:val="14"/>
              </w:numPr>
              <w:rPr>
                <w:color w:val="auto"/>
              </w:rPr>
            </w:pPr>
            <w:r>
              <w:rPr>
                <w:rFonts w:hint="eastAsia"/>
                <w:color w:val="auto"/>
              </w:rPr>
              <w:t>投标人在投标截止时间前提交对其投标文件的修改（包括对开标一览表中价格的修改）的通知（如有）的，应按本须知</w:t>
            </w:r>
            <w:r>
              <w:rPr>
                <w:color w:val="auto"/>
              </w:rPr>
              <w:fldChar w:fldCharType="begin"/>
            </w:r>
            <w:r>
              <w:rPr>
                <w:color w:val="auto"/>
              </w:rPr>
              <w:instrText xml:space="preserve"> </w:instrText>
            </w:r>
            <w:r>
              <w:rPr>
                <w:rFonts w:hint="eastAsia"/>
                <w:color w:val="auto"/>
              </w:rPr>
              <w:instrText xml:space="preserve">REF _Ref51614542 \r \h</w:instrText>
            </w:r>
            <w:r>
              <w:rPr>
                <w:color w:val="auto"/>
              </w:rPr>
              <w:instrText xml:space="preserve"> </w:instrText>
            </w:r>
            <w:r>
              <w:rPr>
                <w:color w:val="auto"/>
              </w:rPr>
              <w:fldChar w:fldCharType="separate"/>
            </w:r>
            <w:r>
              <w:rPr>
                <w:color w:val="auto"/>
              </w:rPr>
              <w:t>17.2</w:t>
            </w:r>
            <w:r>
              <w:rPr>
                <w:color w:val="auto"/>
              </w:rPr>
              <w:fldChar w:fldCharType="end"/>
            </w:r>
            <w:r>
              <w:rPr>
                <w:rFonts w:hint="eastAsia"/>
                <w:color w:val="auto"/>
              </w:rPr>
              <w:t>条规定施加明显标记并包装和密封，以便在开标时一并唱出。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tabs>
                <w:tab w:val="left" w:pos="381"/>
              </w:tabs>
              <w:rPr>
                <w:rFonts w:hAnsi="楷体" w:cs="Arial"/>
                <w:color w:val="000000"/>
              </w:rPr>
            </w:pPr>
          </w:p>
        </w:tc>
        <w:tc>
          <w:tcPr>
            <w:tcW w:w="850" w:type="dxa"/>
            <w:tcBorders>
              <w:bottom w:val="single" w:color="auto" w:sz="4" w:space="0"/>
            </w:tcBorders>
            <w:vAlign w:val="center"/>
          </w:tcPr>
          <w:p>
            <w:pPr>
              <w:pStyle w:val="54"/>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五、开标与评标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49" w:name="_Ref51615771"/>
            <w:r>
              <w:rPr>
                <w:rFonts w:hint="eastAsia" w:hAnsi="楷体" w:cs="Arial"/>
                <w:color w:val="000000"/>
              </w:rPr>
              <w:t>其它无效投标情况</w:t>
            </w:r>
            <w:bookmarkEnd w:id="49"/>
          </w:p>
        </w:tc>
        <w:tc>
          <w:tcPr>
            <w:tcW w:w="850" w:type="dxa"/>
            <w:tcBorders>
              <w:bottom w:val="single" w:color="auto" w:sz="4" w:space="0"/>
            </w:tcBorders>
            <w:vAlign w:val="center"/>
          </w:tcPr>
          <w:p>
            <w:pPr>
              <w:pStyle w:val="54"/>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pPr>
              <w:pStyle w:val="54"/>
              <w:rPr>
                <w:color w:val="auto"/>
              </w:rPr>
            </w:pPr>
            <w:r>
              <w:rPr>
                <w:rFonts w:hint="eastAsia"/>
                <w:color w:val="auto"/>
              </w:rPr>
              <w:t>1）服务期限不满足招标文件要求的；</w:t>
            </w:r>
          </w:p>
          <w:p>
            <w:pPr>
              <w:pStyle w:val="54"/>
              <w:rPr>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50" w:name="_Ref53228379"/>
            <w:r>
              <w:rPr>
                <w:rFonts w:hint="eastAsia" w:hAnsi="楷体" w:cs="Arial"/>
                <w:color w:val="000000"/>
              </w:rPr>
              <w:t>核心产品</w:t>
            </w:r>
            <w:bookmarkEnd w:id="50"/>
          </w:p>
        </w:tc>
        <w:tc>
          <w:tcPr>
            <w:tcW w:w="850" w:type="dxa"/>
            <w:tcBorders>
              <w:bottom w:val="single" w:color="auto" w:sz="4" w:space="0"/>
            </w:tcBorders>
            <w:vAlign w:val="center"/>
          </w:tcPr>
          <w:p>
            <w:pPr>
              <w:pStyle w:val="54"/>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pPr>
              <w:pStyle w:val="54"/>
              <w:rPr>
                <w:color w:val="auto"/>
              </w:rPr>
            </w:pPr>
            <w:r>
              <w:rPr>
                <w:rFonts w:hint="eastAsia"/>
                <w:bCs/>
                <w:color w:val="auto"/>
              </w:rPr>
              <w:t>本项目为服务类项目，此条不适用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4"/>
              <w:numPr>
                <w:ilvl w:val="0"/>
                <w:numId w:val="8"/>
              </w:numPr>
              <w:tabs>
                <w:tab w:val="left" w:pos="381"/>
              </w:tabs>
              <w:ind w:left="0" w:firstLine="0"/>
              <w:rPr>
                <w:rFonts w:hAnsi="楷体" w:cs="Arial"/>
                <w:color w:val="000000"/>
              </w:rPr>
            </w:pPr>
            <w:bookmarkStart w:id="51" w:name="_Ref53228388"/>
            <w:r>
              <w:rPr>
                <w:rFonts w:hAnsi="楷体" w:cs="Arial"/>
                <w:color w:val="000000"/>
              </w:rPr>
              <w:t>提供相同品牌产品的不同投标人的中标候选人推荐原则</w:t>
            </w:r>
            <w:bookmarkEnd w:id="51"/>
          </w:p>
        </w:tc>
        <w:tc>
          <w:tcPr>
            <w:tcW w:w="850" w:type="dxa"/>
            <w:tcBorders>
              <w:bottom w:val="single" w:color="auto" w:sz="4" w:space="0"/>
            </w:tcBorders>
            <w:vAlign w:val="center"/>
          </w:tcPr>
          <w:p>
            <w:pPr>
              <w:pStyle w:val="54"/>
            </w:pPr>
            <w:r>
              <w:fldChar w:fldCharType="begin"/>
            </w:r>
            <w:r>
              <w:instrText xml:space="preserve"> REF _Ref51616071 \r \h </w:instrText>
            </w:r>
            <w:r>
              <w:fldChar w:fldCharType="separate"/>
            </w:r>
            <w:r>
              <w:t>24.2</w:t>
            </w:r>
            <w:r>
              <w:fldChar w:fldCharType="end"/>
            </w:r>
          </w:p>
          <w:p>
            <w:pPr>
              <w:pStyle w:val="54"/>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pPr>
              <w:pStyle w:val="54"/>
              <w:rPr>
                <w:rFonts w:hint="eastAsia"/>
                <w:color w:val="auto"/>
              </w:rPr>
            </w:pPr>
          </w:p>
          <w:p>
            <w:pPr>
              <w:pStyle w:val="54"/>
              <w:rPr>
                <w:rFonts w:hint="eastAsia"/>
                <w:color w:val="auto"/>
              </w:rPr>
            </w:pPr>
          </w:p>
          <w:p>
            <w:pPr>
              <w:pStyle w:val="54"/>
              <w:rPr>
                <w:color w:val="auto"/>
              </w:rPr>
            </w:pPr>
            <w:r>
              <w:rPr>
                <w:rFonts w:hint="eastAsia"/>
                <w:color w:val="auto"/>
              </w:rPr>
              <w:t>本项目为服务类项目，此条不适用</w:t>
            </w:r>
          </w:p>
          <w:p>
            <w:pPr>
              <w:pStyle w:val="52"/>
              <w:numPr>
                <w:ilvl w:val="0"/>
                <w:numId w:val="0"/>
              </w:numPr>
              <w:ind w:leftChars="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4"/>
            </w:pPr>
          </w:p>
        </w:tc>
        <w:tc>
          <w:tcPr>
            <w:tcW w:w="7230" w:type="dxa"/>
            <w:tcBorders>
              <w:top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rPr>
                <w:rFonts w:hAnsi="楷体" w:cs="Arial"/>
                <w:color w:val="000000"/>
              </w:rPr>
            </w:pPr>
            <w:bookmarkStart w:id="52" w:name="_Ref51684695"/>
            <w:r>
              <w:rPr>
                <w:rFonts w:hint="eastAsia" w:hAnsi="楷体" w:cs="Arial"/>
                <w:color w:val="000000"/>
              </w:rPr>
              <w:t>定标主体</w:t>
            </w:r>
            <w:bookmarkEnd w:id="52"/>
          </w:p>
        </w:tc>
        <w:tc>
          <w:tcPr>
            <w:tcW w:w="850" w:type="dxa"/>
            <w:vAlign w:val="center"/>
          </w:tcPr>
          <w:p>
            <w:pPr>
              <w:pStyle w:val="54"/>
            </w:pPr>
            <w:r>
              <w:fldChar w:fldCharType="begin"/>
            </w:r>
            <w:r>
              <w:instrText xml:space="preserve"> REF _Ref51684061 \r \h  \* MERGEFORMAT </w:instrText>
            </w:r>
            <w:r>
              <w:fldChar w:fldCharType="separate"/>
            </w:r>
            <w:r>
              <w:t>26.1</w:t>
            </w:r>
            <w:r>
              <w:fldChar w:fldCharType="end"/>
            </w:r>
          </w:p>
        </w:tc>
        <w:tc>
          <w:tcPr>
            <w:tcW w:w="7230" w:type="dxa"/>
            <w:vAlign w:val="center"/>
          </w:tcPr>
          <w:p>
            <w:pPr>
              <w:pStyle w:val="54"/>
              <w:rPr>
                <w:iCs/>
                <w:color w:val="auto"/>
              </w:rPr>
            </w:pPr>
            <w:r>
              <w:rPr>
                <w:rFonts w:hint="eastAsia"/>
                <w:iCs/>
                <w:color w:val="auto"/>
              </w:rPr>
              <w:t>采购人确定中标人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pPr>
            <w:bookmarkStart w:id="53" w:name="_Ref51684703"/>
            <w:r>
              <w:rPr>
                <w:rFonts w:hint="eastAsia"/>
              </w:rPr>
              <w:t>中标候选人并列的处理</w:t>
            </w:r>
            <w:bookmarkEnd w:id="53"/>
          </w:p>
        </w:tc>
        <w:tc>
          <w:tcPr>
            <w:tcW w:w="850" w:type="dxa"/>
            <w:vAlign w:val="center"/>
          </w:tcPr>
          <w:p>
            <w:pPr>
              <w:pStyle w:val="54"/>
            </w:pPr>
            <w:r>
              <w:fldChar w:fldCharType="begin"/>
            </w:r>
            <w:r>
              <w:instrText xml:space="preserve"> REF _Ref51684068 \r \h  \* MERGEFORMAT </w:instrText>
            </w:r>
            <w:r>
              <w:fldChar w:fldCharType="separate"/>
            </w:r>
            <w:r>
              <w:t>26.2</w:t>
            </w:r>
            <w:r>
              <w:fldChar w:fldCharType="end"/>
            </w:r>
          </w:p>
        </w:tc>
        <w:tc>
          <w:tcPr>
            <w:tcW w:w="7230" w:type="dxa"/>
            <w:vAlign w:val="center"/>
          </w:tcPr>
          <w:p>
            <w:pPr>
              <w:pStyle w:val="54"/>
              <w:rPr>
                <w:color w:val="auto"/>
              </w:rPr>
            </w:pPr>
            <w:r>
              <w:rPr>
                <w:rFonts w:hint="eastAsia"/>
                <w:color w:val="auto"/>
              </w:rPr>
              <w:t>中标候选人并列的，采购人将确定技术部分得分较高者为中标人。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pPr>
            <w:bookmarkStart w:id="54" w:name="_Ref53228485"/>
            <w:r>
              <w:rPr>
                <w:rFonts w:ascii="楷体" w:hAnsi="楷体" w:eastAsia="楷体" w:cs="Arial"/>
                <w:color w:val="000000"/>
              </w:rPr>
              <w:t>分包要求</w:t>
            </w:r>
            <w:bookmarkEnd w:id="54"/>
          </w:p>
        </w:tc>
        <w:tc>
          <w:tcPr>
            <w:tcW w:w="850" w:type="dxa"/>
            <w:vAlign w:val="center"/>
          </w:tcPr>
          <w:p>
            <w:pPr>
              <w:pStyle w:val="54"/>
            </w:pPr>
            <w:r>
              <w:fldChar w:fldCharType="begin"/>
            </w:r>
            <w:r>
              <w:instrText xml:space="preserve"> REF _Ref51684086 \r \h  \* MERGEFORMAT </w:instrText>
            </w:r>
            <w:r>
              <w:fldChar w:fldCharType="separate"/>
            </w:r>
            <w:r>
              <w:t>28.2</w:t>
            </w:r>
            <w:r>
              <w:fldChar w:fldCharType="end"/>
            </w:r>
          </w:p>
        </w:tc>
        <w:tc>
          <w:tcPr>
            <w:tcW w:w="7230" w:type="dxa"/>
            <w:vAlign w:val="center"/>
          </w:tcPr>
          <w:p>
            <w:pPr>
              <w:pStyle w:val="54"/>
            </w:pPr>
            <w:r>
              <w:rPr>
                <w:bCs/>
              </w:rPr>
              <w:t>不允许</w:t>
            </w:r>
            <w:r>
              <w:rPr>
                <w:rFonts w:hint="eastAsia"/>
                <w:bCs/>
              </w:rPr>
              <w:t>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pPr>
            <w:bookmarkStart w:id="55" w:name="_Ref53228540"/>
            <w:r>
              <w:rPr>
                <w:rFonts w:hAnsi="楷体" w:cs="Arial"/>
                <w:color w:val="000000"/>
              </w:rPr>
              <w:t>招标代理服务费</w:t>
            </w:r>
            <w:bookmarkEnd w:id="55"/>
          </w:p>
        </w:tc>
        <w:tc>
          <w:tcPr>
            <w:tcW w:w="850" w:type="dxa"/>
            <w:vAlign w:val="center"/>
          </w:tcPr>
          <w:p>
            <w:pPr>
              <w:pStyle w:val="54"/>
            </w:pPr>
            <w:r>
              <w:fldChar w:fldCharType="begin"/>
            </w:r>
            <w:r>
              <w:instrText xml:space="preserve"> REF _Ref506187614 \r \h  \* MERGEFORMAT </w:instrText>
            </w:r>
            <w:r>
              <w:fldChar w:fldCharType="separate"/>
            </w:r>
            <w:r>
              <w:t>29.1</w:t>
            </w:r>
            <w:r>
              <w:fldChar w:fldCharType="end"/>
            </w:r>
          </w:p>
        </w:tc>
        <w:tc>
          <w:tcPr>
            <w:tcW w:w="7230" w:type="dxa"/>
            <w:vAlign w:val="center"/>
          </w:tcPr>
          <w:p>
            <w:pPr>
              <w:pStyle w:val="54"/>
            </w:pPr>
            <w:r>
              <w:rPr>
                <w:rFonts w:hint="eastAsia"/>
              </w:rPr>
              <w:t>中标人</w:t>
            </w:r>
            <w:r>
              <w:t>在领取</w:t>
            </w:r>
            <w:r>
              <w:rPr>
                <w:rFonts w:hint="eastAsia"/>
              </w:rPr>
              <w:t>中标</w:t>
            </w:r>
            <w:r>
              <w:t>通知书</w:t>
            </w:r>
            <w:r>
              <w:rPr>
                <w:rFonts w:hint="eastAsia"/>
              </w:rPr>
              <w:t>的同时</w:t>
            </w:r>
            <w:r>
              <w:t>，以</w:t>
            </w:r>
            <w:r>
              <w:rPr>
                <w:rFonts w:hint="eastAsia"/>
              </w:rPr>
              <w:t>中标</w:t>
            </w:r>
            <w:r>
              <w:t>金额为基数，按照</w:t>
            </w:r>
            <w:r>
              <w:rPr>
                <w:rFonts w:hint="eastAsia"/>
              </w:rPr>
              <w:t>原</w:t>
            </w:r>
            <w:r>
              <w:t>计价格[2002]1980号、发改办价格[2003]857号文件规定的服务费标准向</w:t>
            </w:r>
            <w:r>
              <w:rPr>
                <w:rFonts w:hint="eastAsia"/>
              </w:rPr>
              <w:t>采购代理机构</w:t>
            </w:r>
            <w:r>
              <w:t>缴纳</w:t>
            </w:r>
            <w:r>
              <w:rPr>
                <w:rFonts w:hint="eastAsia"/>
              </w:rPr>
              <w:t>招标</w:t>
            </w:r>
            <w:r>
              <w:t>代理服务费</w:t>
            </w:r>
            <w:r>
              <w:rPr>
                <w:rFonts w:hint="eastAsia"/>
              </w:rPr>
              <w:t>，具体如下：</w:t>
            </w:r>
          </w:p>
          <w:tbl>
            <w:tblPr>
              <w:tblStyle w:val="24"/>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4"/>
                  </w:pPr>
                  <w:r>
                    <w:rPr>
                      <w:rFonts w:hint="eastAsia"/>
                    </w:rPr>
                    <w:t>计算区间</w:t>
                  </w:r>
                </w:p>
                <w:p>
                  <w:pPr>
                    <w:pStyle w:val="54"/>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4"/>
                  </w:pPr>
                  <w:r>
                    <w:rPr>
                      <w:rFonts w:hint="eastAsia"/>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4"/>
                  </w:pPr>
                </w:p>
              </w:tc>
              <w:tc>
                <w:tcPr>
                  <w:tcW w:w="1458" w:type="dxa"/>
                  <w:tcBorders>
                    <w:top w:val="nil"/>
                    <w:left w:val="nil"/>
                    <w:bottom w:val="single" w:color="auto" w:sz="4" w:space="0"/>
                    <w:right w:val="single" w:color="auto" w:sz="4" w:space="0"/>
                  </w:tcBorders>
                  <w:shd w:val="clear" w:color="auto" w:fill="auto"/>
                  <w:noWrap/>
                  <w:vAlign w:val="center"/>
                </w:tcPr>
                <w:p>
                  <w:pPr>
                    <w:pStyle w:val="54"/>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4"/>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4"/>
                  </w:pPr>
                  <w:r>
                    <w:rPr>
                      <w:rFonts w:hint="eastAsia"/>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4"/>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pPr>
                    <w:pStyle w:val="54"/>
                  </w:pPr>
                  <w:r>
                    <w:t>1.50%</w:t>
                  </w:r>
                </w:p>
              </w:tc>
              <w:tc>
                <w:tcPr>
                  <w:tcW w:w="1458" w:type="dxa"/>
                  <w:tcBorders>
                    <w:top w:val="nil"/>
                    <w:left w:val="nil"/>
                    <w:bottom w:val="single" w:color="auto" w:sz="4" w:space="0"/>
                    <w:right w:val="single" w:color="auto" w:sz="4" w:space="0"/>
                  </w:tcBorders>
                  <w:shd w:val="clear" w:color="auto" w:fill="auto"/>
                  <w:vAlign w:val="bottom"/>
                </w:tcPr>
                <w:p>
                  <w:pPr>
                    <w:pStyle w:val="54"/>
                  </w:pPr>
                  <w:r>
                    <w:t>1.50%</w:t>
                  </w:r>
                </w:p>
              </w:tc>
              <w:tc>
                <w:tcPr>
                  <w:tcW w:w="1458" w:type="dxa"/>
                  <w:tcBorders>
                    <w:top w:val="nil"/>
                    <w:left w:val="nil"/>
                    <w:bottom w:val="single" w:color="auto" w:sz="4" w:space="0"/>
                    <w:right w:val="single" w:color="auto" w:sz="4" w:space="0"/>
                  </w:tcBorders>
                  <w:shd w:val="clear" w:color="auto" w:fill="auto"/>
                  <w:vAlign w:val="bottom"/>
                </w:tcPr>
                <w:p>
                  <w:pPr>
                    <w:pStyle w:val="54"/>
                  </w:pPr>
                  <w: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4"/>
                  </w:pPr>
                  <w:r>
                    <w:t>100~500</w:t>
                  </w:r>
                </w:p>
              </w:tc>
              <w:tc>
                <w:tcPr>
                  <w:tcW w:w="1458" w:type="dxa"/>
                  <w:tcBorders>
                    <w:top w:val="nil"/>
                    <w:left w:val="nil"/>
                    <w:bottom w:val="single" w:color="auto" w:sz="4" w:space="0"/>
                    <w:right w:val="single" w:color="auto" w:sz="4" w:space="0"/>
                  </w:tcBorders>
                  <w:shd w:val="clear" w:color="auto" w:fill="auto"/>
                  <w:vAlign w:val="bottom"/>
                </w:tcPr>
                <w:p>
                  <w:pPr>
                    <w:pStyle w:val="54"/>
                  </w:pPr>
                  <w:r>
                    <w:t>1.10%</w:t>
                  </w:r>
                </w:p>
              </w:tc>
              <w:tc>
                <w:tcPr>
                  <w:tcW w:w="1458" w:type="dxa"/>
                  <w:tcBorders>
                    <w:top w:val="nil"/>
                    <w:left w:val="nil"/>
                    <w:bottom w:val="single" w:color="auto" w:sz="4" w:space="0"/>
                    <w:right w:val="single" w:color="auto" w:sz="4" w:space="0"/>
                  </w:tcBorders>
                  <w:shd w:val="clear" w:color="auto" w:fill="auto"/>
                  <w:vAlign w:val="bottom"/>
                </w:tcPr>
                <w:p>
                  <w:pPr>
                    <w:pStyle w:val="54"/>
                  </w:pPr>
                  <w:r>
                    <w:t>0.80%</w:t>
                  </w:r>
                </w:p>
              </w:tc>
              <w:tc>
                <w:tcPr>
                  <w:tcW w:w="1458" w:type="dxa"/>
                  <w:tcBorders>
                    <w:top w:val="nil"/>
                    <w:left w:val="nil"/>
                    <w:bottom w:val="single" w:color="auto" w:sz="4" w:space="0"/>
                    <w:right w:val="single" w:color="auto" w:sz="4" w:space="0"/>
                  </w:tcBorders>
                  <w:shd w:val="clear" w:color="auto" w:fill="auto"/>
                  <w:vAlign w:val="bottom"/>
                </w:tcPr>
                <w:p>
                  <w:pPr>
                    <w:pStyle w:val="54"/>
                  </w:pPr>
                  <w: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4"/>
                  </w:pPr>
                  <w:r>
                    <w:t>500~1000</w:t>
                  </w:r>
                </w:p>
              </w:tc>
              <w:tc>
                <w:tcPr>
                  <w:tcW w:w="1458" w:type="dxa"/>
                  <w:tcBorders>
                    <w:top w:val="nil"/>
                    <w:left w:val="nil"/>
                    <w:bottom w:val="single" w:color="auto" w:sz="4" w:space="0"/>
                    <w:right w:val="single" w:color="auto" w:sz="4" w:space="0"/>
                  </w:tcBorders>
                  <w:shd w:val="clear" w:color="auto" w:fill="auto"/>
                  <w:vAlign w:val="bottom"/>
                </w:tcPr>
                <w:p>
                  <w:pPr>
                    <w:pStyle w:val="54"/>
                  </w:pPr>
                  <w:r>
                    <w:t>0.80%</w:t>
                  </w:r>
                </w:p>
              </w:tc>
              <w:tc>
                <w:tcPr>
                  <w:tcW w:w="1458" w:type="dxa"/>
                  <w:tcBorders>
                    <w:top w:val="nil"/>
                    <w:left w:val="nil"/>
                    <w:bottom w:val="single" w:color="auto" w:sz="4" w:space="0"/>
                    <w:right w:val="single" w:color="auto" w:sz="4" w:space="0"/>
                  </w:tcBorders>
                  <w:shd w:val="clear" w:color="auto" w:fill="auto"/>
                  <w:vAlign w:val="bottom"/>
                </w:tcPr>
                <w:p>
                  <w:pPr>
                    <w:pStyle w:val="54"/>
                  </w:pPr>
                  <w:r>
                    <w:t>0.45%</w:t>
                  </w:r>
                </w:p>
              </w:tc>
              <w:tc>
                <w:tcPr>
                  <w:tcW w:w="1458" w:type="dxa"/>
                  <w:tcBorders>
                    <w:top w:val="nil"/>
                    <w:left w:val="nil"/>
                    <w:bottom w:val="single" w:color="auto" w:sz="4" w:space="0"/>
                    <w:right w:val="single" w:color="auto" w:sz="4" w:space="0"/>
                  </w:tcBorders>
                  <w:shd w:val="clear" w:color="auto" w:fill="auto"/>
                  <w:vAlign w:val="bottom"/>
                </w:tcPr>
                <w:p>
                  <w:pPr>
                    <w:pStyle w:val="54"/>
                  </w:pPr>
                  <w: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4"/>
                  </w:pPr>
                  <w:r>
                    <w:t>1000~5000</w:t>
                  </w:r>
                </w:p>
              </w:tc>
              <w:tc>
                <w:tcPr>
                  <w:tcW w:w="1458" w:type="dxa"/>
                  <w:tcBorders>
                    <w:top w:val="nil"/>
                    <w:left w:val="nil"/>
                    <w:bottom w:val="single" w:color="auto" w:sz="4" w:space="0"/>
                    <w:right w:val="single" w:color="auto" w:sz="4" w:space="0"/>
                  </w:tcBorders>
                  <w:shd w:val="clear" w:color="auto" w:fill="auto"/>
                  <w:vAlign w:val="bottom"/>
                </w:tcPr>
                <w:p>
                  <w:pPr>
                    <w:pStyle w:val="54"/>
                  </w:pPr>
                  <w:r>
                    <w:t>0.50%</w:t>
                  </w:r>
                </w:p>
              </w:tc>
              <w:tc>
                <w:tcPr>
                  <w:tcW w:w="1458" w:type="dxa"/>
                  <w:tcBorders>
                    <w:top w:val="nil"/>
                    <w:left w:val="nil"/>
                    <w:bottom w:val="single" w:color="auto" w:sz="4" w:space="0"/>
                    <w:right w:val="single" w:color="auto" w:sz="4" w:space="0"/>
                  </w:tcBorders>
                  <w:shd w:val="clear" w:color="auto" w:fill="auto"/>
                  <w:vAlign w:val="bottom"/>
                </w:tcPr>
                <w:p>
                  <w:pPr>
                    <w:pStyle w:val="54"/>
                  </w:pPr>
                  <w:r>
                    <w:t>0.25%</w:t>
                  </w:r>
                </w:p>
              </w:tc>
              <w:tc>
                <w:tcPr>
                  <w:tcW w:w="1458" w:type="dxa"/>
                  <w:tcBorders>
                    <w:top w:val="nil"/>
                    <w:left w:val="nil"/>
                    <w:bottom w:val="single" w:color="auto" w:sz="4" w:space="0"/>
                    <w:right w:val="single" w:color="auto" w:sz="4" w:space="0"/>
                  </w:tcBorders>
                  <w:shd w:val="clear" w:color="auto" w:fill="auto"/>
                  <w:vAlign w:val="bottom"/>
                </w:tcPr>
                <w:p>
                  <w:pPr>
                    <w:pStyle w:val="54"/>
                  </w:pPr>
                  <w: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4"/>
                  </w:pPr>
                  <w:r>
                    <w:t>5000~10000</w:t>
                  </w:r>
                </w:p>
              </w:tc>
              <w:tc>
                <w:tcPr>
                  <w:tcW w:w="1458" w:type="dxa"/>
                  <w:tcBorders>
                    <w:top w:val="nil"/>
                    <w:left w:val="nil"/>
                    <w:bottom w:val="single" w:color="auto" w:sz="4" w:space="0"/>
                    <w:right w:val="single" w:color="auto" w:sz="4" w:space="0"/>
                  </w:tcBorders>
                  <w:shd w:val="clear" w:color="auto" w:fill="auto"/>
                  <w:vAlign w:val="bottom"/>
                </w:tcPr>
                <w:p>
                  <w:pPr>
                    <w:pStyle w:val="54"/>
                  </w:pPr>
                  <w:r>
                    <w:t>0.25%</w:t>
                  </w:r>
                </w:p>
              </w:tc>
              <w:tc>
                <w:tcPr>
                  <w:tcW w:w="1458" w:type="dxa"/>
                  <w:tcBorders>
                    <w:top w:val="nil"/>
                    <w:left w:val="nil"/>
                    <w:bottom w:val="single" w:color="auto" w:sz="4" w:space="0"/>
                    <w:right w:val="single" w:color="auto" w:sz="4" w:space="0"/>
                  </w:tcBorders>
                  <w:shd w:val="clear" w:color="auto" w:fill="auto"/>
                  <w:vAlign w:val="bottom"/>
                </w:tcPr>
                <w:p>
                  <w:pPr>
                    <w:pStyle w:val="54"/>
                  </w:pPr>
                  <w:r>
                    <w:t>0.10%</w:t>
                  </w:r>
                </w:p>
              </w:tc>
              <w:tc>
                <w:tcPr>
                  <w:tcW w:w="1458" w:type="dxa"/>
                  <w:tcBorders>
                    <w:top w:val="nil"/>
                    <w:left w:val="nil"/>
                    <w:bottom w:val="single" w:color="auto" w:sz="4" w:space="0"/>
                    <w:right w:val="single" w:color="auto" w:sz="4" w:space="0"/>
                  </w:tcBorders>
                  <w:shd w:val="clear" w:color="auto" w:fill="auto"/>
                  <w:vAlign w:val="bottom"/>
                </w:tcPr>
                <w:p>
                  <w:pPr>
                    <w:pStyle w:val="54"/>
                  </w:pPr>
                  <w: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4"/>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4"/>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4"/>
                  </w:pPr>
                  <w: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4"/>
                  </w:pPr>
                  <w:r>
                    <w:rPr>
                      <w:rFonts w:hint="eastAsia"/>
                    </w:rPr>
                    <w:t>以货物类项目中标金额800万元为例：</w:t>
                  </w:r>
                </w:p>
                <w:p>
                  <w:pPr>
                    <w:pStyle w:val="54"/>
                  </w:pPr>
                  <w:r>
                    <w:rPr>
                      <w:rFonts w:hint="eastAsia"/>
                    </w:rPr>
                    <w:t>服务费金额=100万元×1.5%+400万元×1.1%+300万元×0.8%=8.3万元</w:t>
                  </w:r>
                </w:p>
              </w:tc>
            </w:tr>
          </w:tbl>
          <w:p>
            <w:pPr>
              <w:pStyle w:val="54"/>
            </w:pPr>
          </w:p>
          <w:p>
            <w:pPr>
              <w:pStyle w:val="54"/>
            </w:pPr>
            <w:r>
              <w:rPr>
                <w:rFonts w:hint="eastAsia"/>
                <w:b/>
                <w:bCs/>
              </w:rPr>
              <w:t>注：</w:t>
            </w:r>
            <w:r>
              <w:rPr>
                <w:b/>
                <w:bCs/>
              </w:rPr>
              <w:t>供应商需同时提供</w:t>
            </w:r>
            <w:r>
              <w:rPr>
                <w:rFonts w:hint="eastAsia"/>
                <w:b/>
                <w:bCs/>
              </w:rPr>
              <w:t>开票</w:t>
            </w:r>
            <w:r>
              <w:rPr>
                <w:b/>
                <w:bCs/>
              </w:rPr>
              <w:t>详</w:t>
            </w:r>
            <w:r>
              <w:rPr>
                <w:b/>
                <w:bCs/>
                <w:highlight w:val="none"/>
              </w:rPr>
              <w:t>细信息（格式及内容见</w:t>
            </w:r>
            <w:r>
              <w:rPr>
                <w:rFonts w:hint="eastAsia"/>
                <w:b/>
                <w:bCs/>
                <w:highlight w:val="none"/>
              </w:rPr>
              <w:t>第六章</w:t>
            </w:r>
            <w:r>
              <w:rPr>
                <w:b/>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rPr>
                <w:rFonts w:hAnsi="楷体" w:cs="Arial"/>
                <w:color w:val="000000"/>
              </w:rPr>
            </w:pPr>
            <w:bookmarkStart w:id="56" w:name="_Ref51684565"/>
            <w:r>
              <w:rPr>
                <w:rFonts w:hint="eastAsia" w:hAnsi="楷体" w:cs="Arial"/>
                <w:color w:val="000000"/>
              </w:rPr>
              <w:t>接收质疑方式及联系方式</w:t>
            </w:r>
            <w:bookmarkEnd w:id="56"/>
          </w:p>
        </w:tc>
        <w:tc>
          <w:tcPr>
            <w:tcW w:w="850" w:type="dxa"/>
            <w:vAlign w:val="center"/>
          </w:tcPr>
          <w:p>
            <w:pPr>
              <w:pStyle w:val="54"/>
            </w:pPr>
            <w:r>
              <w:fldChar w:fldCharType="begin"/>
            </w:r>
            <w:r>
              <w:instrText xml:space="preserve"> REF _Ref506126140 \r \h  \* MERGEFORMAT </w:instrText>
            </w:r>
            <w:r>
              <w:fldChar w:fldCharType="separate"/>
            </w:r>
            <w:r>
              <w:t>30.4</w:t>
            </w:r>
            <w:r>
              <w:fldChar w:fldCharType="end"/>
            </w:r>
          </w:p>
        </w:tc>
        <w:tc>
          <w:tcPr>
            <w:tcW w:w="7230" w:type="dxa"/>
            <w:vAlign w:val="center"/>
          </w:tcPr>
          <w:p>
            <w:pPr>
              <w:pStyle w:val="54"/>
            </w:pPr>
            <w:r>
              <w:rPr>
                <w:rFonts w:hint="eastAsia"/>
              </w:rPr>
              <w:t>（1）质疑函及必要的证明材料应通过以下方式之一递交至采购代理机构：</w:t>
            </w:r>
          </w:p>
          <w:p>
            <w:pPr>
              <w:pStyle w:val="54"/>
              <w:ind w:left="677" w:leftChars="282"/>
            </w:pPr>
            <w:r>
              <w:rPr>
                <w:rFonts w:hint="eastAsia"/>
              </w:rPr>
              <w:t>1）当面送达原件；</w:t>
            </w:r>
          </w:p>
          <w:p>
            <w:pPr>
              <w:pStyle w:val="54"/>
              <w:ind w:left="677" w:leftChars="282"/>
            </w:pPr>
            <w:r>
              <w:rPr>
                <w:rFonts w:hint="eastAsia"/>
              </w:rPr>
              <w:t>2）信函邮寄、快递原件，采用此方式时，采购代理机构不受理逾期送达的质疑，投标人自行承担邮件误投、逾期或丢失的风险和责任；</w:t>
            </w:r>
          </w:p>
          <w:p>
            <w:pPr>
              <w:pStyle w:val="54"/>
              <w:ind w:left="677" w:leftChars="282"/>
            </w:pPr>
            <w:r>
              <w:rPr>
                <w:rFonts w:hint="eastAsia"/>
              </w:rPr>
              <w:t>3）电子邮件将原件的扫描版发送至下列指定电子邮箱，采用此方式提出质疑的，供应商应在电子邮件发出后立即电话告知采购代理机构；</w:t>
            </w:r>
          </w:p>
          <w:p>
            <w:pPr>
              <w:pStyle w:val="54"/>
            </w:pPr>
            <w:r>
              <w:rPr>
                <w:rFonts w:hint="eastAsia"/>
              </w:rPr>
              <w:t>（2）采购代理机构接收质疑函的联系方式如下：</w:t>
            </w:r>
          </w:p>
          <w:p>
            <w:pPr>
              <w:pStyle w:val="54"/>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w:t>
            </w:r>
          </w:p>
          <w:p>
            <w:pPr>
              <w:pStyle w:val="54"/>
              <w:ind w:left="677" w:leftChars="282"/>
              <w:rPr>
                <w:color w:val="auto"/>
              </w:rPr>
            </w:pPr>
            <w:r>
              <w:rPr>
                <w:rFonts w:hint="eastAsia"/>
                <w:color w:val="auto"/>
              </w:rPr>
              <w:t>联系电话：010-83923568</w:t>
            </w:r>
          </w:p>
          <w:p>
            <w:pPr>
              <w:pStyle w:val="54"/>
              <w:ind w:left="677" w:leftChars="282"/>
              <w:rPr>
                <w:color w:val="auto"/>
              </w:rPr>
            </w:pPr>
            <w:r>
              <w:rPr>
                <w:rFonts w:hint="eastAsia"/>
                <w:color w:val="auto"/>
              </w:rPr>
              <w:t>通讯地址：北京市丰台区丽泽路24号院平安幸福中心B座23层</w:t>
            </w:r>
          </w:p>
          <w:p>
            <w:pPr>
              <w:pStyle w:val="54"/>
              <w:ind w:left="677" w:leftChars="282"/>
            </w:pPr>
            <w:r>
              <w:rPr>
                <w:rFonts w:hint="eastAsia"/>
                <w:color w:val="auto"/>
              </w:rPr>
              <w:t xml:space="preserve">电子邮箱：hanweixuan@sinochem.com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tabs>
                <w:tab w:val="left" w:pos="381"/>
              </w:tabs>
              <w:rPr>
                <w:rFonts w:hAnsi="楷体" w:cs="Arial"/>
                <w:color w:val="000000"/>
              </w:rPr>
            </w:pPr>
          </w:p>
        </w:tc>
        <w:tc>
          <w:tcPr>
            <w:tcW w:w="850" w:type="dxa"/>
            <w:vAlign w:val="center"/>
          </w:tcPr>
          <w:p>
            <w:pPr>
              <w:pStyle w:val="54"/>
            </w:pPr>
          </w:p>
        </w:tc>
        <w:tc>
          <w:tcPr>
            <w:tcW w:w="7230" w:type="dxa"/>
            <w:vAlign w:val="center"/>
          </w:tcPr>
          <w:p>
            <w:pPr>
              <w:spacing w:line="240" w:lineRule="auto"/>
              <w:jc w:val="center"/>
              <w:rPr>
                <w:rFonts w:cs="Times New Roman" w:hAnsiTheme="minorEastAsia"/>
                <w:b/>
              </w:rPr>
            </w:pPr>
            <w:r>
              <w:rPr>
                <w:rFonts w:hint="eastAsia" w:cs="Times New Roman" w:hAnsiTheme="minorEastAsia"/>
                <w:b/>
              </w:rPr>
              <w:t>补充条款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4"/>
              <w:numPr>
                <w:ilvl w:val="0"/>
                <w:numId w:val="8"/>
              </w:numPr>
              <w:tabs>
                <w:tab w:val="left" w:pos="381"/>
              </w:tabs>
              <w:ind w:left="0" w:firstLine="0"/>
              <w:rPr>
                <w:rFonts w:hint="eastAsia" w:hAnsi="楷体" w:cs="Arial"/>
                <w:color w:val="000000"/>
                <w:highlight w:val="none"/>
              </w:rPr>
            </w:pPr>
            <w:r>
              <w:rPr>
                <w:rFonts w:ascii="Arial" w:hAnsi="Arial" w:cs="Arial"/>
                <w:highlight w:val="none"/>
              </w:rPr>
              <w:t>最多中标包数量的限制</w:t>
            </w:r>
          </w:p>
        </w:tc>
        <w:tc>
          <w:tcPr>
            <w:tcW w:w="850" w:type="dxa"/>
            <w:vAlign w:val="center"/>
          </w:tcPr>
          <w:p>
            <w:pPr>
              <w:pStyle w:val="54"/>
              <w:rPr>
                <w:rFonts w:hint="eastAsia"/>
                <w:highlight w:val="none"/>
              </w:rPr>
            </w:pPr>
          </w:p>
        </w:tc>
        <w:tc>
          <w:tcPr>
            <w:tcW w:w="7230" w:type="dxa"/>
            <w:vAlign w:val="center"/>
          </w:tcPr>
          <w:p>
            <w:pPr>
              <w:pStyle w:val="54"/>
              <w:rPr>
                <w:rFonts w:ascii="Arial" w:hAnsi="Arial" w:cs="Arial"/>
                <w:bCs/>
                <w:highlight w:val="none"/>
              </w:rPr>
            </w:pPr>
            <w:r>
              <w:rPr>
                <w:rFonts w:ascii="Arial" w:hAnsi="Arial" w:cs="Arial"/>
                <w:bCs/>
                <w:highlight w:val="none"/>
              </w:rPr>
              <w:t>（1）如投标人对本项目第01包、第02包同时进行投标，则在通过资格审查和符合性审查的前提下，分别由不同的投标人中标（即“兼投不兼中”）。具体如下：</w:t>
            </w:r>
          </w:p>
          <w:p>
            <w:pPr>
              <w:pStyle w:val="54"/>
              <w:rPr>
                <w:rFonts w:ascii="Arial" w:hAnsi="Arial" w:cs="Arial"/>
                <w:bCs/>
                <w:highlight w:val="none"/>
              </w:rPr>
            </w:pPr>
            <w:r>
              <w:rPr>
                <w:rFonts w:hint="eastAsia" w:ascii="微软雅黑" w:hAnsi="微软雅黑" w:eastAsia="微软雅黑" w:cs="微软雅黑"/>
                <w:bCs/>
                <w:highlight w:val="none"/>
              </w:rPr>
              <w:t>①</w:t>
            </w:r>
            <w:r>
              <w:rPr>
                <w:rFonts w:ascii="Arial" w:hAnsi="Arial" w:cs="Arial"/>
                <w:bCs/>
                <w:highlight w:val="none"/>
              </w:rPr>
              <w:t>各分包件原则上确定评标得分最高的投标人为排名第一的中标候选人。</w:t>
            </w:r>
          </w:p>
          <w:p>
            <w:pPr>
              <w:pStyle w:val="54"/>
              <w:rPr>
                <w:rFonts w:ascii="Arial" w:hAnsi="Arial" w:cs="Arial"/>
                <w:bCs/>
                <w:highlight w:val="none"/>
              </w:rPr>
            </w:pPr>
            <w:r>
              <w:rPr>
                <w:rFonts w:hint="eastAsia" w:ascii="微软雅黑" w:hAnsi="微软雅黑" w:eastAsia="微软雅黑" w:cs="微软雅黑"/>
                <w:bCs/>
                <w:highlight w:val="none"/>
              </w:rPr>
              <w:t>②</w:t>
            </w:r>
            <w:r>
              <w:rPr>
                <w:rFonts w:ascii="Arial" w:hAnsi="Arial" w:cs="Arial"/>
                <w:bCs/>
                <w:highlight w:val="none"/>
              </w:rPr>
              <w:t>若同一投标人在两个分包中评审得分均排名第一，则确定其为第01包的中标人；第02包由该分包件排名在其后的候选人按评审得分排序递补中标。</w:t>
            </w:r>
          </w:p>
          <w:p>
            <w:pPr>
              <w:pStyle w:val="54"/>
              <w:rPr>
                <w:rFonts w:hint="default" w:eastAsia="仿宋_GB2312"/>
                <w:bCs/>
                <w:highlight w:val="none"/>
                <w:lang w:val="en-US" w:eastAsia="zh-CN"/>
              </w:rPr>
            </w:pPr>
            <w:r>
              <w:rPr>
                <w:rFonts w:ascii="Arial" w:hAnsi="Arial" w:cs="Arial"/>
                <w:highlight w:val="none"/>
              </w:rPr>
              <w:t>（2）如投标人对本项目的多个包同时进行投标，则投标人在本项目中最多中标包的数量：</w:t>
            </w:r>
            <w:r>
              <w:rPr>
                <w:rFonts w:hint="eastAsia" w:ascii="Arial" w:hAnsi="Arial" w:cs="Arial"/>
                <w:highlight w:val="none"/>
                <w:lang w:val="en-US" w:eastAsia="zh-CN"/>
              </w:rPr>
              <w:t>1个</w:t>
            </w:r>
            <w:r>
              <w:rPr>
                <w:rFonts w:ascii="Arial" w:hAnsi="Arial" w:cs="Arial"/>
                <w:highlight w:val="none"/>
              </w:rPr>
              <w:t>。</w:t>
            </w:r>
            <w:r>
              <w:rPr>
                <w:rFonts w:hint="eastAsia" w:ascii="Arial" w:hAnsi="Arial" w:cs="Arial"/>
                <w:highlight w:val="none"/>
                <w:lang w:val="en-US" w:eastAsia="zh-CN"/>
              </w:rPr>
              <w:t>中标顺序为01包、02包、03包。</w:t>
            </w:r>
          </w:p>
        </w:tc>
      </w:tr>
    </w:tbl>
    <w:p>
      <w:pPr>
        <w:ind w:firstLine="480"/>
      </w:pPr>
    </w:p>
    <w:p>
      <w:pPr>
        <w:widowControl/>
        <w:adjustRightInd/>
        <w:snapToGrid/>
        <w:spacing w:line="240" w:lineRule="auto"/>
        <w:jc w:val="left"/>
      </w:pPr>
      <w:r>
        <w:br w:type="page"/>
      </w:r>
    </w:p>
    <w:p>
      <w:pPr>
        <w:pStyle w:val="4"/>
      </w:pPr>
      <w:bookmarkStart w:id="57" w:name="_Toc14259"/>
      <w:r>
        <w:rPr>
          <w:rFonts w:hint="eastAsia"/>
        </w:rPr>
        <w:t>投标人须知</w:t>
      </w:r>
      <w:bookmarkEnd w:id="57"/>
    </w:p>
    <w:p>
      <w:pPr>
        <w:pStyle w:val="4"/>
      </w:pPr>
      <w:bookmarkStart w:id="58" w:name="_Toc3679"/>
      <w:r>
        <w:rPr>
          <w:rFonts w:hint="eastAsia"/>
        </w:rPr>
        <w:t>一、说明</w:t>
      </w:r>
      <w:bookmarkEnd w:id="58"/>
    </w:p>
    <w:p>
      <w:pPr>
        <w:pStyle w:val="44"/>
        <w:ind w:left="679" w:hanging="679"/>
      </w:pPr>
      <w:r>
        <w:rPr>
          <w:rFonts w:hint="eastAsia"/>
        </w:rPr>
        <w:t>概述</w:t>
      </w:r>
    </w:p>
    <w:p>
      <w:pPr>
        <w:pStyle w:val="45"/>
      </w:pPr>
      <w:bookmarkStart w:id="59" w:name="_Ref470250256"/>
      <w:r>
        <w:rPr>
          <w:rFonts w:hint="eastAsia"/>
        </w:rPr>
        <w:t>项目概述</w:t>
      </w:r>
      <w:r>
        <w:t>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_Ref51081821 \r \h</w:instrText>
      </w:r>
      <w:r>
        <w:rPr>
          <w:rStyle w:val="73"/>
        </w:rPr>
        <w:instrText xml:space="preserve"> </w:instrText>
      </w:r>
      <w:r>
        <w:rPr>
          <w:rStyle w:val="73"/>
        </w:rPr>
        <w:fldChar w:fldCharType="separate"/>
      </w:r>
      <w:r>
        <w:rPr>
          <w:rStyle w:val="73"/>
        </w:rPr>
        <w:t>1</w:t>
      </w:r>
      <w:r>
        <w:rPr>
          <w:rStyle w:val="73"/>
        </w:rPr>
        <w:fldChar w:fldCharType="end"/>
      </w:r>
      <w:r>
        <w:rPr>
          <w:rStyle w:val="73"/>
          <w:rFonts w:hint="eastAsia"/>
        </w:rPr>
        <w:t>条</w:t>
      </w:r>
      <w:r>
        <w:t>。</w:t>
      </w:r>
      <w:bookmarkEnd w:id="59"/>
    </w:p>
    <w:p>
      <w:pPr>
        <w:pStyle w:val="45"/>
      </w:pPr>
      <w:bookmarkStart w:id="60" w:name="_Ref51692885"/>
      <w:r>
        <w:rPr>
          <w:rFonts w:hint="eastAsia"/>
        </w:rPr>
        <w:t>按照《政府采购货物和服务招标投标管理办法》第七条规定，采购人确定本次采购项目的属性见</w:t>
      </w:r>
      <w:r>
        <w:rPr>
          <w:rStyle w:val="73"/>
          <w:rFonts w:hint="eastAsia"/>
        </w:rPr>
        <w:t>《投标人须知前附表》</w:t>
      </w:r>
      <w:r>
        <w:rPr>
          <w:rStyle w:val="73"/>
        </w:rPr>
        <w:t>第</w:t>
      </w:r>
      <w:r>
        <w:rPr>
          <w:rStyle w:val="73"/>
        </w:rPr>
        <w:fldChar w:fldCharType="begin"/>
      </w:r>
      <w:r>
        <w:rPr>
          <w:rStyle w:val="73"/>
        </w:rPr>
        <w:instrText xml:space="preserve"> </w:instrText>
      </w:r>
      <w:r>
        <w:rPr>
          <w:rStyle w:val="73"/>
          <w:rFonts w:hint="eastAsia"/>
        </w:rPr>
        <w:instrText xml:space="preserve">REF _Ref51692847 \r \h</w:instrText>
      </w:r>
      <w:r>
        <w:rPr>
          <w:rStyle w:val="73"/>
        </w:rPr>
        <w:instrText xml:space="preserve">  \* MERGEFORMAT </w:instrText>
      </w:r>
      <w:r>
        <w:rPr>
          <w:rStyle w:val="73"/>
        </w:rPr>
        <w:fldChar w:fldCharType="separate"/>
      </w:r>
      <w:r>
        <w:rPr>
          <w:rStyle w:val="73"/>
        </w:rPr>
        <w:t>2</w:t>
      </w:r>
      <w:r>
        <w:rPr>
          <w:rStyle w:val="73"/>
        </w:rPr>
        <w:fldChar w:fldCharType="end"/>
      </w:r>
      <w:r>
        <w:rPr>
          <w:rStyle w:val="73"/>
        </w:rPr>
        <w:t>条</w:t>
      </w:r>
      <w:r>
        <w:rPr>
          <w:rFonts w:hint="eastAsia"/>
        </w:rPr>
        <w:t>。</w:t>
      </w:r>
      <w:bookmarkEnd w:id="60"/>
    </w:p>
    <w:p>
      <w:pPr>
        <w:pStyle w:val="45"/>
      </w:pPr>
      <w:bookmarkStart w:id="61" w:name="_Ref60300999"/>
      <w:r>
        <w:rPr>
          <w:rFonts w:hint="eastAsia"/>
        </w:rPr>
        <w:t>按照《政府采购促进中小企业发展管理办法》第十二条规定，明确采购标的对应的中小企业划分标准所属行业详见</w:t>
      </w:r>
      <w:r>
        <w:rPr>
          <w:rStyle w:val="73"/>
          <w:rFonts w:hint="eastAsia"/>
        </w:rPr>
        <w:t>《投标人须知前附表》</w:t>
      </w:r>
      <w:r>
        <w:rPr>
          <w:rStyle w:val="73"/>
        </w:rPr>
        <w:t>第</w:t>
      </w:r>
      <w:r>
        <w:rPr>
          <w:rStyle w:val="73"/>
        </w:rPr>
        <w:fldChar w:fldCharType="begin"/>
      </w:r>
      <w:r>
        <w:rPr>
          <w:rStyle w:val="73"/>
        </w:rPr>
        <w:instrText xml:space="preserve"> REF _Ref60330875 \r \h </w:instrText>
      </w:r>
      <w:r>
        <w:rPr>
          <w:rStyle w:val="73"/>
        </w:rPr>
        <w:fldChar w:fldCharType="separate"/>
      </w:r>
      <w:r>
        <w:rPr>
          <w:rStyle w:val="73"/>
        </w:rPr>
        <w:t>3</w:t>
      </w:r>
      <w:r>
        <w:rPr>
          <w:rStyle w:val="73"/>
        </w:rPr>
        <w:fldChar w:fldCharType="end"/>
      </w:r>
      <w:r>
        <w:rPr>
          <w:rStyle w:val="73"/>
        </w:rPr>
        <w:t>条</w:t>
      </w:r>
      <w:r>
        <w:rPr>
          <w:rFonts w:hint="eastAsia"/>
        </w:rPr>
        <w:t>。</w:t>
      </w:r>
      <w:bookmarkEnd w:id="61"/>
    </w:p>
    <w:p>
      <w:pPr>
        <w:pStyle w:val="44"/>
        <w:ind w:left="679" w:hanging="679"/>
      </w:pPr>
      <w:r>
        <w:rPr>
          <w:rFonts w:hint="eastAsia"/>
        </w:rPr>
        <w:t>合格投标人</w:t>
      </w:r>
    </w:p>
    <w:p>
      <w:pPr>
        <w:pStyle w:val="45"/>
        <w:ind w:left="679" w:hanging="679"/>
      </w:pPr>
      <w:bookmarkStart w:id="62" w:name="_Ref469991841"/>
      <w:bookmarkStart w:id="63" w:name="_Ref471394067"/>
      <w:r>
        <w:rPr>
          <w:rFonts w:hint="eastAsia"/>
        </w:rPr>
        <w:t>“投标人”（也称为“申请人”）系指响应招标、参加本次投标竞争的法人、其他组织。</w:t>
      </w:r>
      <w:bookmarkEnd w:id="62"/>
    </w:p>
    <w:p>
      <w:pPr>
        <w:pStyle w:val="45"/>
        <w:ind w:left="679" w:hanging="679"/>
      </w:pPr>
      <w:bookmarkStart w:id="64" w:name="_Ref492910050"/>
      <w:r>
        <w:rPr>
          <w:rFonts w:hint="eastAsia"/>
        </w:rPr>
        <w:t>“合格的投标人”系指符合</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_Ref51073398 \r \h</w:instrText>
      </w:r>
      <w:r>
        <w:rPr>
          <w:rStyle w:val="73"/>
        </w:rPr>
        <w:instrText xml:space="preserve"> </w:instrText>
      </w:r>
      <w:r>
        <w:rPr>
          <w:rStyle w:val="73"/>
        </w:rPr>
        <w:fldChar w:fldCharType="separate"/>
      </w:r>
      <w:r>
        <w:rPr>
          <w:rStyle w:val="73"/>
        </w:rPr>
        <w:t>4</w:t>
      </w:r>
      <w:r>
        <w:rPr>
          <w:rStyle w:val="73"/>
        </w:rPr>
        <w:fldChar w:fldCharType="end"/>
      </w:r>
      <w:r>
        <w:rPr>
          <w:rStyle w:val="73"/>
          <w:rFonts w:hint="eastAsia"/>
        </w:rPr>
        <w:t>条</w:t>
      </w:r>
      <w:r>
        <w:t>投标人资格</w:t>
      </w:r>
      <w:r>
        <w:rPr>
          <w:rFonts w:hint="eastAsia"/>
        </w:rPr>
        <w:t>要求的投标人。</w:t>
      </w:r>
      <w:bookmarkEnd w:id="63"/>
      <w:bookmarkEnd w:id="64"/>
    </w:p>
    <w:p>
      <w:pPr>
        <w:pStyle w:val="45"/>
        <w:ind w:left="679" w:hanging="679"/>
      </w:pPr>
      <w:bookmarkStart w:id="65"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_Ref51083479 \r \h</w:instrText>
      </w:r>
      <w:r>
        <w:rPr>
          <w:rStyle w:val="73"/>
        </w:rPr>
        <w:instrText xml:space="preserve"> </w:instrText>
      </w:r>
      <w:r>
        <w:rPr>
          <w:rStyle w:val="73"/>
        </w:rPr>
        <w:fldChar w:fldCharType="separate"/>
      </w:r>
      <w:r>
        <w:rPr>
          <w:rStyle w:val="73"/>
        </w:rPr>
        <w:t>5</w:t>
      </w:r>
      <w:r>
        <w:rPr>
          <w:rStyle w:val="73"/>
        </w:rPr>
        <w:fldChar w:fldCharType="end"/>
      </w:r>
      <w:r>
        <w:rPr>
          <w:rStyle w:val="73"/>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5"/>
    </w:p>
    <w:p>
      <w:pPr>
        <w:pStyle w:val="44"/>
      </w:pPr>
      <w:r>
        <w:rPr>
          <w:rFonts w:hint="eastAsia"/>
        </w:rPr>
        <w:t>进口产品</w:t>
      </w:r>
    </w:p>
    <w:p>
      <w:pPr>
        <w:pStyle w:val="45"/>
        <w:ind w:left="679" w:hanging="679"/>
      </w:pPr>
      <w:bookmarkStart w:id="66" w:name="_Ref470251972"/>
      <w:r>
        <w:t>本项目是否</w:t>
      </w:r>
      <w:r>
        <w:rPr>
          <w:rFonts w:hint="eastAsia"/>
        </w:rPr>
        <w:t>能够采购</w:t>
      </w:r>
      <w:r>
        <w:t>进口产品见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_Ref51684765 \r \h</w:instrText>
      </w:r>
      <w:r>
        <w:rPr>
          <w:rStyle w:val="73"/>
        </w:rPr>
        <w:instrText xml:space="preserve"> </w:instrText>
      </w:r>
      <w:r>
        <w:rPr>
          <w:rStyle w:val="73"/>
        </w:rPr>
        <w:fldChar w:fldCharType="separate"/>
      </w:r>
      <w:r>
        <w:rPr>
          <w:rStyle w:val="73"/>
        </w:rPr>
        <w:t>6</w:t>
      </w:r>
      <w:r>
        <w:rPr>
          <w:rStyle w:val="73"/>
        </w:rPr>
        <w:fldChar w:fldCharType="end"/>
      </w:r>
      <w:r>
        <w:rPr>
          <w:rStyle w:val="73"/>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6"/>
    </w:p>
    <w:p>
      <w:pPr>
        <w:pStyle w:val="44"/>
      </w:pPr>
      <w:r>
        <w:t>投标费用</w:t>
      </w:r>
    </w:p>
    <w:p>
      <w:pPr>
        <w:pStyle w:val="45"/>
      </w:pPr>
      <w:r>
        <w:rPr>
          <w:rFonts w:hint="eastAsia"/>
        </w:rPr>
        <w:t>投标人应承担所有与编写和提交投标文件有关的费用，不论投标的结果如何，采购代理机构和采购人在任何情况下均无义务和责任承担这些费用。</w:t>
      </w:r>
    </w:p>
    <w:p>
      <w:pPr>
        <w:pStyle w:val="44"/>
      </w:pPr>
      <w:r>
        <w:rPr>
          <w:rFonts w:hint="eastAsia"/>
        </w:rPr>
        <w:t>通知</w:t>
      </w:r>
    </w:p>
    <w:p>
      <w:pPr>
        <w:pStyle w:val="45"/>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pPr>
        <w:pStyle w:val="4"/>
      </w:pPr>
      <w:bookmarkStart w:id="67" w:name="_Toc7088"/>
      <w:r>
        <w:rPr>
          <w:rFonts w:hint="eastAsia"/>
        </w:rPr>
        <w:t>二、招标文件</w:t>
      </w:r>
      <w:bookmarkEnd w:id="67"/>
    </w:p>
    <w:p>
      <w:pPr>
        <w:pStyle w:val="44"/>
        <w:ind w:left="679" w:hanging="679"/>
      </w:pPr>
      <w:r>
        <w:t>招标文件构成</w:t>
      </w:r>
    </w:p>
    <w:p>
      <w:pPr>
        <w:pStyle w:val="45"/>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投标邀请；</w:t>
      </w:r>
    </w:p>
    <w:p>
      <w:pPr>
        <w:ind w:left="259" w:firstLine="420"/>
      </w:pPr>
      <w:r>
        <w:rPr>
          <w:rFonts w:hint="eastAsia"/>
        </w:rPr>
        <w:t>第二章 投标人须知前附表和投标人须知；</w:t>
      </w:r>
    </w:p>
    <w:p>
      <w:pPr>
        <w:ind w:left="259" w:firstLine="420"/>
      </w:pPr>
      <w:r>
        <w:rPr>
          <w:rFonts w:hint="eastAsia"/>
        </w:rPr>
        <w:t>第三章 评标方法和评标标准</w:t>
      </w:r>
    </w:p>
    <w:p>
      <w:pPr>
        <w:ind w:left="259" w:firstLine="420"/>
      </w:pPr>
      <w:r>
        <w:rPr>
          <w:rFonts w:hint="eastAsia"/>
        </w:rPr>
        <w:t>第四章 技术服务需求；</w:t>
      </w:r>
    </w:p>
    <w:p>
      <w:pPr>
        <w:ind w:left="259" w:firstLine="420"/>
      </w:pPr>
      <w:r>
        <w:rPr>
          <w:rFonts w:hint="eastAsia"/>
        </w:rPr>
        <w:t>第五章 拟签订的合同文本；</w:t>
      </w:r>
    </w:p>
    <w:p>
      <w:pPr>
        <w:ind w:left="259" w:firstLine="420"/>
      </w:pPr>
      <w:r>
        <w:rPr>
          <w:rFonts w:hint="eastAsia"/>
        </w:rPr>
        <w:t>第六章 投标文件格式。</w:t>
      </w:r>
    </w:p>
    <w:p>
      <w:pPr>
        <w:pStyle w:val="44"/>
        <w:ind w:left="679" w:hanging="679"/>
        <w:rPr>
          <w:color w:val="0070C0"/>
        </w:rPr>
      </w:pPr>
      <w:r>
        <w:rPr>
          <w:rFonts w:hint="eastAsia"/>
        </w:rPr>
        <w:t>对</w:t>
      </w:r>
      <w:r>
        <w:t>招标文件的</w:t>
      </w:r>
      <w:r>
        <w:rPr>
          <w:rFonts w:hint="eastAsia"/>
        </w:rPr>
        <w:t>询问</w:t>
      </w:r>
    </w:p>
    <w:p>
      <w:pPr>
        <w:pStyle w:val="45"/>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pPr>
        <w:pStyle w:val="44"/>
        <w:ind w:left="679" w:hanging="679"/>
      </w:pPr>
      <w:bookmarkStart w:id="68" w:name="_Ref492030544"/>
      <w:r>
        <w:rPr>
          <w:rFonts w:hint="eastAsia"/>
        </w:rPr>
        <w:t>招标文件的澄清和修改</w:t>
      </w:r>
      <w:bookmarkEnd w:id="68"/>
    </w:p>
    <w:p>
      <w:pPr>
        <w:pStyle w:val="45"/>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pPr>
        <w:pStyle w:val="45"/>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pPr>
        <w:pStyle w:val="45"/>
      </w:pPr>
      <w:bookmarkStart w:id="69" w:name="_Ref51264020"/>
      <w:r>
        <w:rPr>
          <w:rFonts w:hint="eastAsia"/>
        </w:rPr>
        <w:t>采购人、采购代理机构将视情况确定是否有必要安排所有获取了招标文件的潜在投标人踏勘现场，相关要求见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_Ref51259289 \r \h</w:instrText>
      </w:r>
      <w:r>
        <w:rPr>
          <w:rStyle w:val="73"/>
        </w:rPr>
        <w:instrText xml:space="preserve"> </w:instrText>
      </w:r>
      <w:r>
        <w:rPr>
          <w:rStyle w:val="73"/>
        </w:rPr>
        <w:fldChar w:fldCharType="separate"/>
      </w:r>
      <w:r>
        <w:rPr>
          <w:rStyle w:val="73"/>
        </w:rPr>
        <w:t>7</w:t>
      </w:r>
      <w:r>
        <w:rPr>
          <w:rStyle w:val="73"/>
        </w:rPr>
        <w:fldChar w:fldCharType="end"/>
      </w:r>
      <w:r>
        <w:rPr>
          <w:rStyle w:val="73"/>
          <w:rFonts w:hint="eastAsia"/>
        </w:rPr>
        <w:t>条</w:t>
      </w:r>
      <w:r>
        <w:rPr>
          <w:rFonts w:hint="eastAsia"/>
        </w:rPr>
        <w:t>。</w:t>
      </w:r>
      <w:bookmarkEnd w:id="69"/>
    </w:p>
    <w:p>
      <w:pPr>
        <w:pStyle w:val="45"/>
      </w:pPr>
      <w:bookmarkStart w:id="70" w:name="_Ref51264027"/>
      <w:r>
        <w:rPr>
          <w:rFonts w:hint="eastAsia"/>
        </w:rPr>
        <w:t>采购人、采购代理机构将视情况确定是否有必要召开标前会，相关要求见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_Ref51259299 \r \h</w:instrText>
      </w:r>
      <w:r>
        <w:rPr>
          <w:rStyle w:val="73"/>
        </w:rPr>
        <w:instrText xml:space="preserve"> </w:instrText>
      </w:r>
      <w:r>
        <w:rPr>
          <w:rStyle w:val="73"/>
        </w:rPr>
        <w:fldChar w:fldCharType="separate"/>
      </w:r>
      <w:r>
        <w:rPr>
          <w:rStyle w:val="73"/>
        </w:rPr>
        <w:t>8</w:t>
      </w:r>
      <w:r>
        <w:rPr>
          <w:rStyle w:val="73"/>
        </w:rPr>
        <w:fldChar w:fldCharType="end"/>
      </w:r>
      <w:r>
        <w:rPr>
          <w:rStyle w:val="73"/>
          <w:rFonts w:hint="eastAsia"/>
        </w:rPr>
        <w:t>条</w:t>
      </w:r>
      <w:r>
        <w:rPr>
          <w:rFonts w:hint="eastAsia"/>
        </w:rPr>
        <w:t>。</w:t>
      </w:r>
      <w:bookmarkEnd w:id="70"/>
    </w:p>
    <w:p>
      <w:pPr>
        <w:pStyle w:val="4"/>
      </w:pPr>
      <w:bookmarkStart w:id="71" w:name="_Toc18739"/>
      <w:r>
        <w:rPr>
          <w:rFonts w:hint="eastAsia"/>
        </w:rPr>
        <w:t>三、投标文件的编制</w:t>
      </w:r>
      <w:bookmarkEnd w:id="71"/>
    </w:p>
    <w:p>
      <w:pPr>
        <w:pStyle w:val="44"/>
        <w:ind w:left="679" w:hanging="679"/>
      </w:pPr>
      <w:r>
        <w:rPr>
          <w:rFonts w:hint="eastAsia"/>
        </w:rPr>
        <w:t>投标文件的语言和计量单位</w:t>
      </w:r>
    </w:p>
    <w:p>
      <w:pPr>
        <w:pStyle w:val="45"/>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pPr>
        <w:pStyle w:val="45"/>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pPr>
        <w:pStyle w:val="45"/>
        <w:ind w:left="679" w:hanging="679"/>
      </w:pPr>
      <w:r>
        <w:rPr>
          <w:rFonts w:hint="eastAsia"/>
        </w:rPr>
        <w:t>投标文件所使用的计量单位，应使用国家法定计量单位，但招标文件技术服务需求中已使用了法定之外计量单位的情况除外。</w:t>
      </w:r>
    </w:p>
    <w:p>
      <w:pPr>
        <w:pStyle w:val="44"/>
        <w:ind w:left="679" w:hanging="679"/>
      </w:pPr>
      <w:r>
        <w:rPr>
          <w:rFonts w:hint="eastAsia"/>
        </w:rPr>
        <w:t>投标文件构成</w:t>
      </w:r>
    </w:p>
    <w:p>
      <w:pPr>
        <w:pStyle w:val="45"/>
      </w:pPr>
      <w:bookmarkStart w:id="72" w:name="_Ref51264055"/>
      <w:r>
        <w:rPr>
          <w:rFonts w:hint="eastAsia"/>
        </w:rPr>
        <w:t>投标人编写的投标文件应包括但不限于</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_Ref51259346 \r \h</w:instrText>
      </w:r>
      <w:r>
        <w:rPr>
          <w:rStyle w:val="73"/>
        </w:rPr>
        <w:instrText xml:space="preserve"> </w:instrText>
      </w:r>
      <w:r>
        <w:rPr>
          <w:rStyle w:val="73"/>
        </w:rPr>
        <w:fldChar w:fldCharType="separate"/>
      </w:r>
      <w:r>
        <w:rPr>
          <w:rStyle w:val="73"/>
        </w:rPr>
        <w:t>9</w:t>
      </w:r>
      <w:r>
        <w:rPr>
          <w:rStyle w:val="73"/>
        </w:rPr>
        <w:fldChar w:fldCharType="end"/>
      </w:r>
      <w:r>
        <w:rPr>
          <w:rStyle w:val="73"/>
          <w:rFonts w:hint="eastAsia"/>
        </w:rPr>
        <w:t>条所</w:t>
      </w:r>
      <w:r>
        <w:rPr>
          <w:rFonts w:hint="eastAsia"/>
        </w:rPr>
        <w:t>列</w:t>
      </w:r>
      <w:r>
        <w:t>资格</w:t>
      </w:r>
      <w:r>
        <w:rPr>
          <w:rFonts w:hint="eastAsia"/>
        </w:rPr>
        <w:t>、</w:t>
      </w:r>
      <w:r>
        <w:t>资信证明文件</w:t>
      </w:r>
      <w:r>
        <w:rPr>
          <w:rFonts w:hint="eastAsia"/>
        </w:rPr>
        <w:t>分册和</w:t>
      </w:r>
      <w:r>
        <w:rPr>
          <w:rStyle w:val="73"/>
          <w:rFonts w:hint="eastAsia"/>
        </w:rPr>
        <w:t>第</w:t>
      </w:r>
      <w:r>
        <w:rPr>
          <w:rStyle w:val="73"/>
        </w:rPr>
        <w:fldChar w:fldCharType="begin"/>
      </w:r>
      <w:r>
        <w:rPr>
          <w:rStyle w:val="73"/>
        </w:rPr>
        <w:instrText xml:space="preserve"> </w:instrText>
      </w:r>
      <w:r>
        <w:rPr>
          <w:rStyle w:val="73"/>
          <w:rFonts w:hint="eastAsia"/>
        </w:rPr>
        <w:instrText xml:space="preserve">REF _Ref51259390 \r \h</w:instrText>
      </w:r>
      <w:r>
        <w:rPr>
          <w:rStyle w:val="73"/>
        </w:rPr>
        <w:instrText xml:space="preserve"> </w:instrText>
      </w:r>
      <w:r>
        <w:rPr>
          <w:rStyle w:val="73"/>
        </w:rPr>
        <w:fldChar w:fldCharType="separate"/>
      </w:r>
      <w:r>
        <w:rPr>
          <w:rStyle w:val="73"/>
        </w:rPr>
        <w:t>10</w:t>
      </w:r>
      <w:r>
        <w:rPr>
          <w:rStyle w:val="73"/>
        </w:rPr>
        <w:fldChar w:fldCharType="end"/>
      </w:r>
      <w:r>
        <w:rPr>
          <w:rStyle w:val="73"/>
          <w:rFonts w:hint="eastAsia"/>
        </w:rPr>
        <w:t>条</w:t>
      </w:r>
      <w:r>
        <w:rPr>
          <w:rFonts w:hint="eastAsia"/>
        </w:rPr>
        <w:t>所列商务技术文件分册中的内容。</w:t>
      </w:r>
      <w:bookmarkEnd w:id="72"/>
    </w:p>
    <w:p>
      <w:pPr>
        <w:pStyle w:val="45"/>
      </w:pPr>
      <w:bookmarkStart w:id="73" w:name="_Ref51686868"/>
      <w:r>
        <w:rPr>
          <w:rFonts w:hint="eastAsia"/>
        </w:rPr>
        <w:t>投标人编写的投标文件具体内容的其它要求或注意事项见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_Ref53154354 \r \h</w:instrText>
      </w:r>
      <w:r>
        <w:rPr>
          <w:rStyle w:val="73"/>
        </w:rPr>
        <w:instrText xml:space="preserve">  \* MERGEFORMAT </w:instrText>
      </w:r>
      <w:r>
        <w:rPr>
          <w:rStyle w:val="73"/>
        </w:rPr>
        <w:fldChar w:fldCharType="separate"/>
      </w:r>
      <w:r>
        <w:rPr>
          <w:rStyle w:val="73"/>
        </w:rPr>
        <w:t>11</w:t>
      </w:r>
      <w:r>
        <w:rPr>
          <w:rStyle w:val="73"/>
        </w:rPr>
        <w:fldChar w:fldCharType="end"/>
      </w:r>
      <w:r>
        <w:rPr>
          <w:rStyle w:val="73"/>
          <w:rFonts w:hint="eastAsia"/>
        </w:rPr>
        <w:t>条</w:t>
      </w:r>
      <w:r>
        <w:rPr>
          <w:rFonts w:hint="eastAsia"/>
        </w:rPr>
        <w:t>。</w:t>
      </w:r>
      <w:bookmarkEnd w:id="73"/>
    </w:p>
    <w:p>
      <w:pPr>
        <w:pStyle w:val="45"/>
      </w:pPr>
      <w:r>
        <w:rPr>
          <w:rFonts w:hint="eastAsia"/>
        </w:rPr>
        <w:t>投标人应保证投标文件所提供的全部资料真实可靠，并接受评标委员会对其中任何资料进一步审查的要求。</w:t>
      </w:r>
    </w:p>
    <w:p>
      <w:pPr>
        <w:pStyle w:val="44"/>
        <w:ind w:left="679" w:hanging="679"/>
      </w:pPr>
      <w:bookmarkStart w:id="74" w:name="_Ref492021356"/>
      <w:r>
        <w:rPr>
          <w:rFonts w:hint="eastAsia"/>
        </w:rPr>
        <w:t>投标文件的式样和签署</w:t>
      </w:r>
      <w:bookmarkEnd w:id="74"/>
    </w:p>
    <w:p>
      <w:pPr>
        <w:pStyle w:val="45"/>
        <w:ind w:left="679" w:hanging="679"/>
      </w:pPr>
      <w:bookmarkStart w:id="75" w:name="_Ref470250543"/>
      <w:bookmarkStart w:id="76" w:name="_Ref51264184"/>
      <w:r>
        <w:rPr>
          <w:rFonts w:hint="eastAsia"/>
        </w:rPr>
        <w:t>投标人应按</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_Ref51259554 \r \h</w:instrText>
      </w:r>
      <w:r>
        <w:rPr>
          <w:rStyle w:val="73"/>
        </w:rPr>
        <w:instrText xml:space="preserve"> </w:instrText>
      </w:r>
      <w:r>
        <w:rPr>
          <w:rStyle w:val="73"/>
        </w:rPr>
        <w:fldChar w:fldCharType="separate"/>
      </w:r>
      <w:r>
        <w:rPr>
          <w:rStyle w:val="73"/>
        </w:rPr>
        <w:t>12</w:t>
      </w:r>
      <w:r>
        <w:rPr>
          <w:rStyle w:val="73"/>
        </w:rPr>
        <w:fldChar w:fldCharType="end"/>
      </w:r>
      <w:r>
        <w:rPr>
          <w:rStyle w:val="73"/>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5"/>
      <w:r>
        <w:rPr>
          <w:rFonts w:hint="eastAsia"/>
        </w:rPr>
        <w:t>电子版与纸制文件不符，以纸制文件为准。</w:t>
      </w:r>
      <w:bookmarkEnd w:id="76"/>
    </w:p>
    <w:p>
      <w:pPr>
        <w:pStyle w:val="45"/>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77"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77"/>
    </w:p>
    <w:p>
      <w:pPr>
        <w:pStyle w:val="45"/>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5"/>
      </w:pPr>
      <w:bookmarkStart w:id="78"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78"/>
    </w:p>
    <w:p>
      <w:pPr>
        <w:pStyle w:val="45"/>
      </w:pPr>
      <w:r>
        <w:rPr>
          <w:rFonts w:hint="eastAsia"/>
        </w:rPr>
        <w:t>投标文件应尽量避免涂改、行间插字或增删，如果出现上述情况，改动之处必须由投标人的法定代表人签署或者被授权人签字或者盖公章才有效。</w:t>
      </w:r>
    </w:p>
    <w:p>
      <w:pPr>
        <w:pStyle w:val="45"/>
        <w:ind w:left="679" w:hanging="679"/>
      </w:pPr>
      <w:r>
        <w:rPr>
          <w:rFonts w:hint="eastAsia"/>
        </w:rPr>
        <w:t>若本项目采购需求分为两个或以上包件，除非招标文件中另有规定，投标人对本项目的多个包件进行投标时，投标文件须按包件分别编制并装订提交。</w:t>
      </w:r>
    </w:p>
    <w:p>
      <w:pPr>
        <w:pStyle w:val="44"/>
      </w:pPr>
      <w:bookmarkStart w:id="79" w:name="_Ref469992002"/>
      <w:r>
        <w:rPr>
          <w:rFonts w:hint="eastAsia"/>
        </w:rPr>
        <w:t>投标报价</w:t>
      </w:r>
      <w:bookmarkEnd w:id="79"/>
    </w:p>
    <w:p>
      <w:pPr>
        <w:pStyle w:val="45"/>
      </w:pPr>
      <w:bookmarkStart w:id="80" w:name="_Ref491967304"/>
      <w:bookmarkStart w:id="81" w:name="_Ref51264210"/>
      <w:bookmarkStart w:id="82" w:name="_Ref470250477"/>
      <w:r>
        <w:rPr>
          <w:rFonts w:hint="eastAsia"/>
        </w:rPr>
        <w:t>报价方式详见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_Ref51259915 \r \h</w:instrText>
      </w:r>
      <w:r>
        <w:rPr>
          <w:rStyle w:val="73"/>
        </w:rPr>
        <w:instrText xml:space="preserve"> </w:instrText>
      </w:r>
      <w:r>
        <w:rPr>
          <w:rStyle w:val="73"/>
        </w:rPr>
        <w:fldChar w:fldCharType="separate"/>
      </w:r>
      <w:r>
        <w:rPr>
          <w:rStyle w:val="73"/>
        </w:rPr>
        <w:t>13</w:t>
      </w:r>
      <w:r>
        <w:rPr>
          <w:rStyle w:val="73"/>
        </w:rPr>
        <w:fldChar w:fldCharType="end"/>
      </w:r>
      <w:r>
        <w:rPr>
          <w:rStyle w:val="73"/>
          <w:rFonts w:hint="eastAsia"/>
        </w:rPr>
        <w:t>条</w:t>
      </w:r>
      <w:r>
        <w:rPr>
          <w:rFonts w:hint="eastAsia"/>
        </w:rPr>
        <w:t>。</w:t>
      </w:r>
      <w:bookmarkEnd w:id="80"/>
      <w:r>
        <w:rPr>
          <w:rFonts w:ascii="Arial" w:hAnsi="Arial" w:cs="Arial"/>
          <w:szCs w:val="24"/>
        </w:rPr>
        <w:t>所有投标报价均以</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_Ref51259915 \r \h</w:instrText>
      </w:r>
      <w:r>
        <w:rPr>
          <w:rStyle w:val="73"/>
        </w:rPr>
        <w:instrText xml:space="preserve"> </w:instrText>
      </w:r>
      <w:r>
        <w:rPr>
          <w:rStyle w:val="73"/>
        </w:rPr>
        <w:fldChar w:fldCharType="separate"/>
      </w:r>
      <w:r>
        <w:rPr>
          <w:rStyle w:val="73"/>
        </w:rPr>
        <w:t>13</w:t>
      </w:r>
      <w:r>
        <w:rPr>
          <w:rStyle w:val="73"/>
        </w:rPr>
        <w:fldChar w:fldCharType="end"/>
      </w:r>
      <w:r>
        <w:rPr>
          <w:rStyle w:val="73"/>
          <w:rFonts w:hint="eastAsia"/>
        </w:rPr>
        <w:t>条</w:t>
      </w:r>
      <w:r>
        <w:rPr>
          <w:rFonts w:hint="eastAsia" w:ascii="Arial" w:hAnsi="Arial" w:cs="Arial"/>
          <w:szCs w:val="24"/>
        </w:rPr>
        <w:t>规定的币种和单位</w:t>
      </w:r>
      <w:r>
        <w:rPr>
          <w:rFonts w:ascii="Arial" w:hAnsi="Arial" w:cs="Arial"/>
          <w:szCs w:val="24"/>
        </w:rPr>
        <w:t>为计量单位。</w:t>
      </w:r>
      <w:bookmarkEnd w:id="81"/>
    </w:p>
    <w:p>
      <w:pPr>
        <w:pStyle w:val="45"/>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pPr>
        <w:pStyle w:val="45"/>
        <w:ind w:left="679" w:hanging="679"/>
      </w:pPr>
      <w:r>
        <w:rPr>
          <w:rFonts w:hint="eastAsia"/>
        </w:rPr>
        <w:t>投标报价中不得包含招标文件要求以外的内容，否则，在评标时不予核减。投标报价中也不应缺漏招标文件所要求的内容。</w:t>
      </w:r>
      <w:bookmarkEnd w:id="82"/>
    </w:p>
    <w:p>
      <w:pPr>
        <w:pStyle w:val="45"/>
        <w:ind w:left="679" w:hanging="679"/>
      </w:pPr>
      <w:bookmarkStart w:id="83" w:name="_Ref469991043"/>
      <w:r>
        <w:rPr>
          <w:rFonts w:ascii="Arial" w:hAnsi="Arial" w:cs="Arial"/>
          <w:szCs w:val="24"/>
        </w:rPr>
        <w:t>本次招标不接受可选择或可调整的投标和报价，</w:t>
      </w:r>
      <w:r>
        <w:rPr>
          <w:rFonts w:hint="eastAsia"/>
        </w:rPr>
        <w:t>投标人对每种货物或服务只允许有一个报价，</w:t>
      </w:r>
      <w:r>
        <w:rPr>
          <w:rFonts w:ascii="Arial" w:hAnsi="Arial" w:cs="Arial"/>
          <w:szCs w:val="24"/>
        </w:rPr>
        <w:t>任何有选择的或可调整的投标方案和报价将被视为无效投标。</w:t>
      </w:r>
      <w:bookmarkEnd w:id="83"/>
    </w:p>
    <w:p>
      <w:pPr>
        <w:pStyle w:val="45"/>
        <w:ind w:left="679" w:hanging="679"/>
      </w:pPr>
      <w:bookmarkStart w:id="84" w:name="_Ref492028233"/>
      <w:r>
        <w:rPr>
          <w:rFonts w:hint="eastAsia"/>
        </w:rPr>
        <w:t>本次招标设定的最高投标限价见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_Ref51260090 \r \h</w:instrText>
      </w:r>
      <w:r>
        <w:rPr>
          <w:rStyle w:val="73"/>
        </w:rPr>
        <w:instrText xml:space="preserve"> </w:instrText>
      </w:r>
      <w:r>
        <w:rPr>
          <w:rStyle w:val="73"/>
        </w:rPr>
        <w:fldChar w:fldCharType="separate"/>
      </w:r>
      <w:r>
        <w:rPr>
          <w:rStyle w:val="73"/>
        </w:rPr>
        <w:t>14</w:t>
      </w:r>
      <w:r>
        <w:rPr>
          <w:rStyle w:val="73"/>
        </w:rPr>
        <w:fldChar w:fldCharType="end"/>
      </w:r>
      <w:r>
        <w:rPr>
          <w:rStyle w:val="73"/>
          <w:rFonts w:hint="eastAsia"/>
        </w:rPr>
        <w:t>条</w:t>
      </w:r>
      <w:r>
        <w:rPr>
          <w:rFonts w:hint="eastAsia"/>
        </w:rPr>
        <w:t>。</w:t>
      </w:r>
      <w:bookmarkEnd w:id="84"/>
    </w:p>
    <w:p>
      <w:pPr>
        <w:pStyle w:val="44"/>
        <w:ind w:left="679" w:hanging="679"/>
      </w:pPr>
      <w:bookmarkStart w:id="85" w:name="_Ref469991139"/>
      <w:r>
        <w:rPr>
          <w:rFonts w:hint="eastAsia"/>
        </w:rPr>
        <w:t>投标有效期和投标保证金</w:t>
      </w:r>
      <w:bookmarkEnd w:id="85"/>
    </w:p>
    <w:p>
      <w:pPr>
        <w:pStyle w:val="45"/>
        <w:ind w:left="679" w:hanging="679"/>
      </w:pPr>
      <w:bookmarkStart w:id="86" w:name="_Ref470250529"/>
      <w:bookmarkStart w:id="87" w:name="_Ref51264220"/>
      <w:r>
        <w:rPr>
          <w:rFonts w:hint="eastAsia"/>
        </w:rPr>
        <w:t>投标有效期见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_Ref51260155 \r \h</w:instrText>
      </w:r>
      <w:r>
        <w:rPr>
          <w:rStyle w:val="73"/>
        </w:rPr>
        <w:instrText xml:space="preserve"> </w:instrText>
      </w:r>
      <w:r>
        <w:rPr>
          <w:rStyle w:val="73"/>
        </w:rPr>
        <w:fldChar w:fldCharType="separate"/>
      </w:r>
      <w:r>
        <w:rPr>
          <w:rStyle w:val="73"/>
        </w:rPr>
        <w:t>15</w:t>
      </w:r>
      <w:r>
        <w:rPr>
          <w:rStyle w:val="73"/>
        </w:rPr>
        <w:fldChar w:fldCharType="end"/>
      </w:r>
      <w:r>
        <w:rPr>
          <w:rStyle w:val="73"/>
          <w:rFonts w:hint="eastAsia"/>
        </w:rPr>
        <w:t>条</w:t>
      </w:r>
      <w:r>
        <w:rPr>
          <w:rFonts w:hint="eastAsia"/>
        </w:rPr>
        <w:t>。</w:t>
      </w:r>
      <w:bookmarkEnd w:id="86"/>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87"/>
    </w:p>
    <w:p>
      <w:pPr>
        <w:pStyle w:val="45"/>
      </w:pPr>
      <w:bookmarkStart w:id="88"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_Ref51612197 \r \h</w:instrText>
      </w:r>
      <w:r>
        <w:rPr>
          <w:rStyle w:val="73"/>
        </w:rPr>
        <w:instrText xml:space="preserve"> </w:instrText>
      </w:r>
      <w:r>
        <w:rPr>
          <w:rStyle w:val="73"/>
        </w:rPr>
        <w:fldChar w:fldCharType="separate"/>
      </w:r>
      <w:r>
        <w:rPr>
          <w:rStyle w:val="73"/>
        </w:rPr>
        <w:t>16</w:t>
      </w:r>
      <w:r>
        <w:rPr>
          <w:rStyle w:val="73"/>
        </w:rPr>
        <w:fldChar w:fldCharType="end"/>
      </w:r>
      <w:r>
        <w:rPr>
          <w:rStyle w:val="73"/>
          <w:rFonts w:hint="eastAsia"/>
        </w:rPr>
        <w:t>条</w:t>
      </w:r>
      <w:r>
        <w:rPr>
          <w:rFonts w:ascii="Arial" w:hAnsi="Arial" w:cs="Arial"/>
        </w:rPr>
        <w:t>的要求。</w:t>
      </w:r>
      <w:r>
        <w:rPr>
          <w:rFonts w:hint="eastAsia"/>
        </w:rPr>
        <w:t>投标保证金提交方式建议见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_Ref51612197 \r \h</w:instrText>
      </w:r>
      <w:r>
        <w:rPr>
          <w:rStyle w:val="73"/>
        </w:rPr>
        <w:instrText xml:space="preserve"> </w:instrText>
      </w:r>
      <w:r>
        <w:rPr>
          <w:rStyle w:val="73"/>
        </w:rPr>
        <w:fldChar w:fldCharType="separate"/>
      </w:r>
      <w:r>
        <w:rPr>
          <w:rStyle w:val="73"/>
        </w:rPr>
        <w:t>16</w:t>
      </w:r>
      <w:r>
        <w:rPr>
          <w:rStyle w:val="73"/>
        </w:rPr>
        <w:fldChar w:fldCharType="end"/>
      </w:r>
      <w:r>
        <w:rPr>
          <w:rStyle w:val="73"/>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88"/>
    </w:p>
    <w:p>
      <w:pPr>
        <w:pStyle w:val="45"/>
      </w:pPr>
      <w:r>
        <w:rPr>
          <w:rFonts w:hint="eastAsia"/>
        </w:rPr>
        <w:t>以电汇形式提交投标保证金的，汇款底单或截图复印件作为凭证随投标文件一同提交；以其他形式提交投标保证金的，保证金原件随投标文件一同提交。</w:t>
      </w:r>
    </w:p>
    <w:p>
      <w:pPr>
        <w:pStyle w:val="45"/>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pPr>
        <w:pStyle w:val="45"/>
        <w:ind w:left="679" w:hanging="679"/>
      </w:pPr>
      <w:bookmarkStart w:id="89"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89"/>
    </w:p>
    <w:p>
      <w:pPr>
        <w:ind w:left="259" w:firstLine="420"/>
      </w:pPr>
      <w:r>
        <w:rPr>
          <w:rFonts w:hint="eastAsia"/>
        </w:rPr>
        <w:t xml:space="preserve">（1）投标人在投标有效期内撤销其投标文件的； </w:t>
      </w:r>
    </w:p>
    <w:p>
      <w:pPr>
        <w:ind w:left="259" w:firstLine="420"/>
      </w:pPr>
      <w:r>
        <w:rPr>
          <w:rFonts w:hint="eastAsia"/>
        </w:rPr>
        <w:t>（2）中标后无正当理由不与采购人签订合同（即“放弃中标”），在签订合同时向采购人提出附加条件的。</w:t>
      </w:r>
    </w:p>
    <w:p>
      <w:pPr>
        <w:pStyle w:val="4"/>
      </w:pPr>
      <w:bookmarkStart w:id="90" w:name="_Toc25594"/>
      <w:r>
        <w:rPr>
          <w:rFonts w:hint="eastAsia"/>
        </w:rPr>
        <w:t>四、投标文件的递交</w:t>
      </w:r>
      <w:bookmarkEnd w:id="90"/>
    </w:p>
    <w:p>
      <w:pPr>
        <w:pStyle w:val="44"/>
        <w:ind w:left="679" w:hanging="679"/>
      </w:pPr>
      <w:bookmarkStart w:id="91" w:name="_Ref469991455"/>
      <w:bookmarkStart w:id="92" w:name="_Ref492023973"/>
      <w:r>
        <w:rPr>
          <w:rFonts w:hint="eastAsia"/>
        </w:rPr>
        <w:t>投标文件的</w:t>
      </w:r>
      <w:bookmarkEnd w:id="91"/>
      <w:r>
        <w:rPr>
          <w:rFonts w:hint="eastAsia"/>
        </w:rPr>
        <w:t>包装及标记</w:t>
      </w:r>
      <w:bookmarkEnd w:id="92"/>
    </w:p>
    <w:p>
      <w:pPr>
        <w:pStyle w:val="45"/>
      </w:pPr>
      <w:bookmarkStart w:id="93" w:name="_Ref51612377"/>
      <w:r>
        <w:rPr>
          <w:rFonts w:hint="eastAsia"/>
        </w:rPr>
        <w:t>投标文件的包装及标记要求见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_Ref51533235 \r \h</w:instrText>
      </w:r>
      <w:r>
        <w:rPr>
          <w:rStyle w:val="73"/>
        </w:rPr>
        <w:instrText xml:space="preserve"> </w:instrText>
      </w:r>
      <w:r>
        <w:rPr>
          <w:rStyle w:val="73"/>
        </w:rPr>
        <w:fldChar w:fldCharType="separate"/>
      </w:r>
      <w:r>
        <w:rPr>
          <w:rStyle w:val="73"/>
        </w:rPr>
        <w:t>17</w:t>
      </w:r>
      <w:r>
        <w:rPr>
          <w:rStyle w:val="73"/>
        </w:rPr>
        <w:fldChar w:fldCharType="end"/>
      </w:r>
      <w:r>
        <w:rPr>
          <w:rStyle w:val="73"/>
          <w:rFonts w:hint="eastAsia"/>
        </w:rPr>
        <w:t>条</w:t>
      </w:r>
      <w:r>
        <w:rPr>
          <w:rFonts w:hint="eastAsia"/>
        </w:rPr>
        <w:t>。</w:t>
      </w:r>
      <w:bookmarkEnd w:id="93"/>
    </w:p>
    <w:p>
      <w:pPr>
        <w:pStyle w:val="45"/>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pPr>
        <w:pStyle w:val="44"/>
      </w:pPr>
      <w:bookmarkStart w:id="94" w:name="_Ref492021368"/>
      <w:r>
        <w:rPr>
          <w:rFonts w:hint="eastAsia"/>
        </w:rPr>
        <w:t>投标文件的密封</w:t>
      </w:r>
      <w:bookmarkEnd w:id="94"/>
    </w:p>
    <w:p>
      <w:pPr>
        <w:pStyle w:val="45"/>
        <w:ind w:left="679" w:hanging="679"/>
      </w:pPr>
      <w:r>
        <w:rPr>
          <w:rFonts w:hint="eastAsia"/>
        </w:rPr>
        <w:t>投标人的所有投标文件及其组成部分的包装均应进行密封。</w:t>
      </w:r>
    </w:p>
    <w:p>
      <w:pPr>
        <w:pStyle w:val="45"/>
      </w:pPr>
      <w:bookmarkStart w:id="95" w:name="_Ref492025470"/>
      <w:r>
        <w:rPr>
          <w:rFonts w:hint="eastAsia"/>
        </w:rPr>
        <w:t>为了方便唱标，放有开标一览表的包装应当单独密封，与装订成册的投标文件正副本及其它组成部分一起递交。</w:t>
      </w:r>
      <w:bookmarkEnd w:id="95"/>
    </w:p>
    <w:p>
      <w:pPr>
        <w:pStyle w:val="45"/>
      </w:pPr>
      <w:r>
        <w:rPr>
          <w:rFonts w:hint="eastAsia"/>
        </w:rPr>
        <w:t>为了方便开标时唱出，放有修改投标文件的通知（如有的话）的包装应当单独密封。</w:t>
      </w:r>
    </w:p>
    <w:p>
      <w:pPr>
        <w:pStyle w:val="44"/>
        <w:ind w:left="679" w:hanging="679"/>
      </w:pPr>
      <w:r>
        <w:rPr>
          <w:rFonts w:hint="eastAsia"/>
        </w:rPr>
        <w:t>投标截止时间及投标地点</w:t>
      </w:r>
    </w:p>
    <w:p>
      <w:pPr>
        <w:pStyle w:val="45"/>
      </w:pPr>
      <w:bookmarkStart w:id="96" w:name="_Ref470250554"/>
      <w:r>
        <w:rPr>
          <w:rFonts w:hint="eastAsia"/>
        </w:rPr>
        <w:t>提交投标文件截止时间（即“投标截止时间”）见</w:t>
      </w:r>
      <w:bookmarkEnd w:id="96"/>
      <w:r>
        <w:rPr>
          <w:rStyle w:val="73"/>
          <w:rFonts w:hint="eastAsia"/>
        </w:rPr>
        <w:t>第一章投标邀请</w:t>
      </w:r>
      <w:r>
        <w:rPr>
          <w:rFonts w:hint="eastAsia"/>
        </w:rPr>
        <w:t>。</w:t>
      </w:r>
    </w:p>
    <w:p>
      <w:pPr>
        <w:pStyle w:val="45"/>
      </w:pPr>
      <w:r>
        <w:rPr>
          <w:rFonts w:hint="eastAsia"/>
        </w:rPr>
        <w:t>投标文件须按照招标文件规定的时间、地点送达，在投标截止时间以后（以文件送达并完成递交登记为准）送达的投标文件，采购代理机构应当拒收。</w:t>
      </w:r>
    </w:p>
    <w:p>
      <w:pPr>
        <w:pStyle w:val="45"/>
        <w:ind w:left="679" w:hanging="679"/>
      </w:pPr>
      <w:r>
        <w:rPr>
          <w:rFonts w:hint="eastAsia"/>
        </w:rPr>
        <w:t>采购代理机构可以依法酌情延长投标截止时间。在此情况下，采购人和投标人受投标截止时间制约的所有权利和义务均应延长至新的投标截止时间。</w:t>
      </w:r>
    </w:p>
    <w:p>
      <w:pPr>
        <w:pStyle w:val="44"/>
        <w:ind w:left="679" w:hanging="679"/>
      </w:pPr>
      <w:r>
        <w:rPr>
          <w:rFonts w:hint="eastAsia"/>
        </w:rPr>
        <w:t>投标文件的修改与撤回</w:t>
      </w:r>
    </w:p>
    <w:p>
      <w:pPr>
        <w:pStyle w:val="45"/>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pPr>
        <w:pStyle w:val="45"/>
        <w:ind w:left="679" w:hanging="679"/>
      </w:pPr>
      <w:bookmarkStart w:id="97"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7"/>
    </w:p>
    <w:p>
      <w:pPr>
        <w:pStyle w:val="45"/>
        <w:ind w:left="679" w:hanging="679"/>
      </w:pPr>
      <w:r>
        <w:rPr>
          <w:rFonts w:hint="eastAsia"/>
        </w:rPr>
        <w:t>投标人撤回投标文件的通知应加盖公章或由投标人法定代表人签署或由被授权人签字。</w:t>
      </w:r>
    </w:p>
    <w:p>
      <w:pPr>
        <w:pStyle w:val="45"/>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pPr>
        <w:pStyle w:val="4"/>
      </w:pPr>
      <w:bookmarkStart w:id="98" w:name="_Toc32420"/>
      <w:r>
        <w:rPr>
          <w:rFonts w:hint="eastAsia"/>
        </w:rPr>
        <w:t>五、开标与评标</w:t>
      </w:r>
      <w:bookmarkEnd w:id="98"/>
    </w:p>
    <w:p>
      <w:pPr>
        <w:pStyle w:val="44"/>
        <w:ind w:left="679" w:hanging="679"/>
      </w:pPr>
      <w:r>
        <w:rPr>
          <w:rFonts w:hint="eastAsia"/>
        </w:rPr>
        <w:t>开标</w:t>
      </w:r>
    </w:p>
    <w:p>
      <w:pPr>
        <w:pStyle w:val="45"/>
      </w:pPr>
      <w:r>
        <w:rPr>
          <w:rFonts w:hint="eastAsia"/>
        </w:rPr>
        <w:t>采购代理机构在</w:t>
      </w:r>
      <w:r>
        <w:rPr>
          <w:rStyle w:val="73"/>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pPr>
        <w:pStyle w:val="45"/>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99" w:name="_Ref492909965"/>
      <w:r>
        <w:rPr>
          <w:rFonts w:hint="eastAsia"/>
        </w:rPr>
        <w:t>未宣读的投标价格或价格相关修改通知，评标时不予考虑。</w:t>
      </w:r>
      <w:bookmarkEnd w:id="99"/>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pPr>
        <w:pStyle w:val="45"/>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pPr>
        <w:pStyle w:val="45"/>
        <w:ind w:left="679" w:hanging="679"/>
        <w:rPr>
          <w:color w:val="FF0000"/>
        </w:rPr>
      </w:pPr>
      <w:r>
        <w:rPr>
          <w:rFonts w:hint="eastAsia"/>
        </w:rPr>
        <w:t>采购代理机构将做开标记录，请到场的投标人的代表在开标记录上签字确认开标记录。未签字且不提出疑义的视同确认开标记录。</w:t>
      </w:r>
    </w:p>
    <w:p>
      <w:pPr>
        <w:pStyle w:val="44"/>
        <w:ind w:left="679" w:hanging="679"/>
      </w:pPr>
      <w:r>
        <w:rPr>
          <w:rFonts w:hint="eastAsia"/>
        </w:rPr>
        <w:t>开标后的资格审查</w:t>
      </w:r>
    </w:p>
    <w:p>
      <w:pPr>
        <w:pStyle w:val="45"/>
        <w:ind w:left="679" w:hanging="679"/>
      </w:pPr>
      <w:r>
        <w:rPr>
          <w:rFonts w:hint="eastAsia"/>
        </w:rPr>
        <w:t>开标后，采购人或者采购代理机构将依法对投标人的资格进行审查。具体如下：</w:t>
      </w:r>
    </w:p>
    <w:p>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p>
    <w:p>
      <w:pPr>
        <w:ind w:left="1680" w:hanging="1001"/>
        <w:rPr>
          <w:rFonts w:hint="eastAsia" w:eastAsiaTheme="minorEastAsia"/>
          <w:lang w:eastAsia="zh-CN"/>
        </w:rPr>
      </w:pPr>
      <w:r>
        <w:rPr>
          <w:rFonts w:hint="eastAsia"/>
        </w:rPr>
        <w:t>1）查询渠道：“信用中国”网站（www.creditchina.gov.cn）和中国政府采购网（www.ccgp.gov.cn）。</w:t>
      </w:r>
    </w:p>
    <w:p>
      <w:pPr>
        <w:ind w:left="1680" w:hanging="1001"/>
        <w:rPr>
          <w:rFonts w:hint="eastAsia" w:eastAsiaTheme="minorEastAsia"/>
          <w:lang w:eastAsia="zh-CN"/>
        </w:rPr>
      </w:pPr>
      <w:r>
        <w:t>2</w:t>
      </w:r>
      <w:r>
        <w:rPr>
          <w:rFonts w:hint="eastAsia"/>
        </w:rPr>
        <w:t>）认定截止时间（查询截止时点）：评标当日；</w:t>
      </w:r>
    </w:p>
    <w:p>
      <w:pPr>
        <w:ind w:left="1680" w:hanging="1001"/>
        <w:rPr>
          <w:rFonts w:hint="eastAsia" w:eastAsiaTheme="minorEastAsia"/>
          <w:lang w:eastAsia="zh-CN"/>
        </w:rPr>
      </w:pPr>
      <w:r>
        <w:rPr>
          <w:rFonts w:hint="eastAsia"/>
        </w:rPr>
        <w:t>3）信用信息查询记录和证据留存方式：留存于评审报告；</w:t>
      </w:r>
    </w:p>
    <w:p>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pPr>
        <w:pStyle w:val="45"/>
        <w:ind w:left="679" w:hanging="679"/>
      </w:pPr>
      <w:r>
        <w:rPr>
          <w:rFonts w:hint="eastAsia"/>
        </w:rPr>
        <w:t>资格审查不合格的投标人不进入后续评标环节。</w:t>
      </w:r>
    </w:p>
    <w:p>
      <w:pPr>
        <w:pStyle w:val="45"/>
        <w:ind w:left="679" w:hanging="679"/>
      </w:pPr>
      <w:r>
        <w:rPr>
          <w:rFonts w:hint="eastAsia"/>
        </w:rPr>
        <w:t>资格审查后，合格投标人不足3家的，将不进行评标。</w:t>
      </w:r>
    </w:p>
    <w:p>
      <w:pPr>
        <w:pStyle w:val="44"/>
        <w:ind w:left="679" w:hanging="679"/>
      </w:pPr>
      <w:r>
        <w:rPr>
          <w:rFonts w:hint="eastAsia"/>
        </w:rPr>
        <w:t>评标委员会和评标方法</w:t>
      </w:r>
    </w:p>
    <w:p>
      <w:pPr>
        <w:pStyle w:val="45"/>
        <w:ind w:left="679" w:hanging="679"/>
      </w:pPr>
      <w:r>
        <w:rPr>
          <w:rFonts w:hint="eastAsia"/>
        </w:rPr>
        <w:t>评标由依照有关法规组建的评标委员会负责。本项目评标方法见</w:t>
      </w:r>
      <w:r>
        <w:rPr>
          <w:rStyle w:val="73"/>
          <w:rFonts w:hint="eastAsia"/>
        </w:rPr>
        <w:t>第三章评标方法和评标标准</w:t>
      </w:r>
      <w:r>
        <w:rPr>
          <w:rFonts w:hint="eastAsia"/>
        </w:rPr>
        <w:t>。</w:t>
      </w:r>
    </w:p>
    <w:p>
      <w:pPr>
        <w:pStyle w:val="44"/>
        <w:ind w:left="679" w:hanging="679"/>
      </w:pPr>
      <w:bookmarkStart w:id="100" w:name="_Ref469991962"/>
      <w:r>
        <w:rPr>
          <w:rFonts w:hint="eastAsia"/>
        </w:rPr>
        <w:t>投标文件的</w:t>
      </w:r>
      <w:bookmarkEnd w:id="100"/>
      <w:r>
        <w:rPr>
          <w:rFonts w:hint="eastAsia"/>
        </w:rPr>
        <w:t>初步审查</w:t>
      </w:r>
    </w:p>
    <w:p>
      <w:pPr>
        <w:pStyle w:val="45"/>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5"/>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投标文件是否</w:t>
            </w:r>
            <w:r>
              <w:t>有效签署</w:t>
            </w:r>
            <w:r>
              <w:rPr>
                <w:rFonts w:hint="eastAsia"/>
              </w:rPr>
              <w:t>、盖章</w:t>
            </w:r>
          </w:p>
        </w:tc>
        <w:tc>
          <w:tcPr>
            <w:tcW w:w="6096" w:type="dxa"/>
            <w:vAlign w:val="center"/>
          </w:tcPr>
          <w:p>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投标有效期是否满足招标文件要求</w:t>
            </w:r>
          </w:p>
        </w:tc>
        <w:tc>
          <w:tcPr>
            <w:tcW w:w="6096" w:type="dxa"/>
            <w:vAlign w:val="center"/>
          </w:tcPr>
          <w:p>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投标报价不得超过采购预算或最高限价</w:t>
            </w:r>
          </w:p>
        </w:tc>
        <w:tc>
          <w:tcPr>
            <w:tcW w:w="6096" w:type="dxa"/>
            <w:vAlign w:val="center"/>
          </w:tcPr>
          <w:p>
            <w:pPr>
              <w:spacing w:line="240" w:lineRule="auto"/>
            </w:pPr>
            <w:r>
              <w:rPr>
                <w:rFonts w:hint="eastAsia"/>
              </w:rPr>
              <w:t>采购预算、最高限价详见招标文件第一章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投标保证金是否符合要求</w:t>
            </w:r>
          </w:p>
        </w:tc>
        <w:tc>
          <w:tcPr>
            <w:tcW w:w="6096" w:type="dxa"/>
            <w:vAlign w:val="center"/>
          </w:tcPr>
          <w:p>
            <w:pPr>
              <w:spacing w:line="240" w:lineRule="auto"/>
            </w:pPr>
            <w:r>
              <w:rPr>
                <w:rFonts w:hint="eastAsia"/>
              </w:rPr>
              <w:t>投标保证金足额；投标保证金有效期与投标有效期一致或更长；投标保证金能够正常入账。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加注“*”的投标文件构成部分是否提供</w:t>
            </w:r>
          </w:p>
        </w:tc>
        <w:tc>
          <w:tcPr>
            <w:tcW w:w="6096" w:type="dxa"/>
            <w:vAlign w:val="center"/>
          </w:tcPr>
          <w:p>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加注“*”的投标文件构成部分内容是否符合要求</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是否存在招标文件中规定的其他无效投标情形</w:t>
            </w:r>
          </w:p>
        </w:tc>
        <w:tc>
          <w:tcPr>
            <w:tcW w:w="6096" w:type="dxa"/>
            <w:vAlign w:val="center"/>
          </w:tcPr>
          <w:p>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pPr>
        <w:pStyle w:val="45"/>
        <w:ind w:left="679" w:hanging="679"/>
      </w:pPr>
      <w:bookmarkStart w:id="101" w:name="_Ref53227820"/>
      <w:r>
        <w:rPr>
          <w:rFonts w:hint="eastAsia"/>
        </w:rPr>
        <w:t>在符合性审查时，如发现下列情况之一的，</w:t>
      </w:r>
      <w:r>
        <w:rPr>
          <w:rFonts w:hint="eastAsia"/>
          <w:b/>
        </w:rPr>
        <w:t>其投标也将被否决</w:t>
      </w:r>
      <w:r>
        <w:rPr>
          <w:rFonts w:hint="eastAsia"/>
        </w:rPr>
        <w:t>，为无效投标：</w:t>
      </w:r>
      <w:bookmarkEnd w:id="101"/>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_Ref51615771 \r \h</w:instrText>
      </w:r>
      <w:r>
        <w:rPr>
          <w:rStyle w:val="73"/>
        </w:rPr>
        <w:instrText xml:space="preserve">  \* MERGEFORMAT </w:instrText>
      </w:r>
      <w:r>
        <w:rPr>
          <w:rStyle w:val="73"/>
        </w:rPr>
        <w:fldChar w:fldCharType="separate"/>
      </w:r>
      <w:r>
        <w:rPr>
          <w:rStyle w:val="73"/>
        </w:rPr>
        <w:t>18</w:t>
      </w:r>
      <w:r>
        <w:rPr>
          <w:rStyle w:val="73"/>
        </w:rPr>
        <w:fldChar w:fldCharType="end"/>
      </w:r>
      <w:r>
        <w:rPr>
          <w:rStyle w:val="73"/>
        </w:rPr>
        <w:t>条</w:t>
      </w:r>
      <w:r>
        <w:rPr>
          <w:rFonts w:hint="eastAsia" w:hAnsiTheme="minorEastAsia"/>
          <w:b/>
        </w:rPr>
        <w:t>列明的其它无效投标情况之一的；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pPr>
        <w:pStyle w:val="45"/>
      </w:pPr>
      <w:r>
        <w:rPr>
          <w:rFonts w:hint="eastAsia"/>
        </w:rPr>
        <w:t>投标人有下列情形之一的，视为投标人串通投标，</w:t>
      </w:r>
      <w:r>
        <w:rPr>
          <w:rFonts w:hint="eastAsia"/>
          <w:b/>
        </w:rPr>
        <w:t>投标将被否决</w:t>
      </w:r>
      <w:r>
        <w:rPr>
          <w:rFonts w:hint="eastAsia"/>
        </w:rPr>
        <w:t>，其投标无效：</w:t>
      </w:r>
    </w:p>
    <w:p>
      <w:pPr>
        <w:ind w:left="1680" w:hanging="1001"/>
        <w:rPr>
          <w:rFonts w:hAnsiTheme="minorEastAsia"/>
        </w:rPr>
      </w:pPr>
      <w:r>
        <w:rPr>
          <w:rFonts w:hint="eastAsia" w:hAnsiTheme="minorEastAsia"/>
        </w:rPr>
        <w:t>（1）　　不同投标人的投标文件由同一单位或者个人编制；</w:t>
      </w:r>
    </w:p>
    <w:p>
      <w:pPr>
        <w:ind w:left="1680" w:hanging="1001"/>
        <w:rPr>
          <w:rFonts w:hAnsiTheme="minorEastAsia"/>
        </w:rPr>
      </w:pPr>
      <w:r>
        <w:rPr>
          <w:rFonts w:hint="eastAsia" w:hAnsiTheme="minorEastAsia"/>
        </w:rPr>
        <w:t>（2）　　不同投标人委托同一单位或者个人办理投标事宜；</w:t>
      </w:r>
    </w:p>
    <w:p>
      <w:pPr>
        <w:ind w:left="1680" w:hanging="1001"/>
        <w:rPr>
          <w:rFonts w:hAnsiTheme="minorEastAsia"/>
        </w:rPr>
      </w:pPr>
      <w:r>
        <w:rPr>
          <w:rFonts w:hint="eastAsia" w:hAnsiTheme="minorEastAsia"/>
        </w:rPr>
        <w:t>（3）　　不同投标人的投标文件载明的项目管理成员或者联系人员为同一人；</w:t>
      </w:r>
    </w:p>
    <w:p>
      <w:pPr>
        <w:ind w:left="1680" w:hanging="1001"/>
        <w:rPr>
          <w:rFonts w:hAnsiTheme="minorEastAsia"/>
        </w:rPr>
      </w:pPr>
      <w:r>
        <w:rPr>
          <w:rFonts w:hint="eastAsia" w:hAnsiTheme="minorEastAsia"/>
        </w:rPr>
        <w:t>（4）　　不同投标人的投标文件异常一致或者投标报价呈规律性差异；</w:t>
      </w:r>
    </w:p>
    <w:p>
      <w:pPr>
        <w:ind w:left="1680" w:hanging="1001"/>
        <w:rPr>
          <w:rFonts w:hAnsiTheme="minorEastAsia"/>
        </w:rPr>
      </w:pPr>
      <w:r>
        <w:rPr>
          <w:rFonts w:hint="eastAsia" w:hAnsiTheme="minorEastAsia"/>
        </w:rPr>
        <w:t>（5）　　不同投标人的投标文件相互混装；</w:t>
      </w:r>
    </w:p>
    <w:p>
      <w:pPr>
        <w:ind w:left="1680" w:hanging="1001"/>
        <w:rPr>
          <w:rFonts w:hAnsiTheme="minorEastAsia"/>
        </w:rPr>
      </w:pPr>
      <w:r>
        <w:rPr>
          <w:rFonts w:hint="eastAsia" w:hAnsiTheme="minorEastAsia"/>
        </w:rPr>
        <w:t>（6）　　不同投标人的投标保证金从同一单位或者个人的账户转出。</w:t>
      </w:r>
    </w:p>
    <w:p>
      <w:pPr>
        <w:pStyle w:val="45"/>
        <w:rPr>
          <w:rFonts w:hAnsiTheme="minorEastAsia"/>
        </w:rPr>
      </w:pPr>
      <w:r>
        <w:rPr>
          <w:rFonts w:hint="eastAsia"/>
        </w:rPr>
        <w:t>评标委员会决定投标的响应性只根据投标本身的真实无误的内容，而不依据外部的证据，但投标有不真实不正确的内容时除外。</w:t>
      </w:r>
    </w:p>
    <w:p>
      <w:pPr>
        <w:pStyle w:val="45"/>
        <w:ind w:left="679" w:hanging="679"/>
      </w:pPr>
      <w:bookmarkStart w:id="102" w:name="_Ref492909974"/>
      <w:r>
        <w:rPr>
          <w:rFonts w:hint="eastAsia"/>
        </w:rPr>
        <w:t>投标文件报价出现前后不一致的，除《投标人须知前附表》另有规定外，按照下列规定修正：</w:t>
      </w:r>
      <w:bookmarkEnd w:id="102"/>
    </w:p>
    <w:p>
      <w:pPr>
        <w:ind w:left="1680" w:hanging="1001"/>
      </w:pPr>
      <w:r>
        <w:rPr>
          <w:rFonts w:hint="eastAsia"/>
        </w:rPr>
        <w:t>（1）</w:t>
      </w:r>
      <w:r>
        <w:tab/>
      </w:r>
      <w:r>
        <w:rPr>
          <w:rFonts w:hint="eastAsia"/>
        </w:rPr>
        <w:t>公开唱出的开标一览表投标总价与投标文件中相应内容不一致的，以公开唱出的开标一览表为准；</w:t>
      </w:r>
    </w:p>
    <w:p>
      <w:pPr>
        <w:ind w:left="1680" w:hanging="1001"/>
      </w:pPr>
      <w:r>
        <w:rPr>
          <w:rFonts w:hint="eastAsia"/>
        </w:rPr>
        <w:t>（2）</w:t>
      </w:r>
      <w:r>
        <w:tab/>
      </w:r>
      <w:r>
        <w:rPr>
          <w:rFonts w:hint="eastAsia"/>
        </w:rPr>
        <w:t>公开唱出的开标一览表大写金额和小写金额不一致的，以大写金额为准；</w:t>
      </w:r>
    </w:p>
    <w:p>
      <w:pPr>
        <w:ind w:left="1680" w:hanging="1001"/>
      </w:pPr>
      <w:r>
        <w:rPr>
          <w:rFonts w:hint="eastAsia"/>
        </w:rPr>
        <w:t>（3）</w:t>
      </w:r>
      <w:r>
        <w:tab/>
      </w:r>
      <w:r>
        <w:rPr>
          <w:rFonts w:hint="eastAsia"/>
        </w:rPr>
        <w:t>分项报价表中汇总金额与公开唱出的价格不一致，以公开唱出的开标一览表的总价为准，并修改单价。</w:t>
      </w:r>
    </w:p>
    <w:p>
      <w:pPr>
        <w:pStyle w:val="45"/>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pPr>
        <w:pStyle w:val="45"/>
      </w:pPr>
      <w:bookmarkStart w:id="103"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_Ref53228379 \r \h</w:instrText>
      </w:r>
      <w:r>
        <w:rPr>
          <w:rStyle w:val="73"/>
        </w:rPr>
        <w:instrText xml:space="preserve"> </w:instrText>
      </w:r>
      <w:r>
        <w:rPr>
          <w:rStyle w:val="73"/>
        </w:rPr>
        <w:fldChar w:fldCharType="separate"/>
      </w:r>
      <w:r>
        <w:rPr>
          <w:rStyle w:val="73"/>
        </w:rPr>
        <w:t>19</w:t>
      </w:r>
      <w:r>
        <w:rPr>
          <w:rStyle w:val="73"/>
        </w:rPr>
        <w:fldChar w:fldCharType="end"/>
      </w:r>
      <w:r>
        <w:rPr>
          <w:rStyle w:val="73"/>
        </w:rPr>
        <w:t>条</w:t>
      </w:r>
      <w:r>
        <w:rPr>
          <w:rFonts w:hint="eastAsia"/>
        </w:rPr>
        <w:t>。</w:t>
      </w:r>
      <w:bookmarkEnd w:id="103"/>
    </w:p>
    <w:p>
      <w:pPr>
        <w:pStyle w:val="44"/>
      </w:pPr>
      <w:bookmarkStart w:id="104" w:name="_Ref51345041"/>
      <w:r>
        <w:rPr>
          <w:rFonts w:hint="eastAsia"/>
        </w:rPr>
        <w:t>投标文件的澄清、说明或补正</w:t>
      </w:r>
      <w:bookmarkEnd w:id="104"/>
    </w:p>
    <w:p>
      <w:pPr>
        <w:pStyle w:val="45"/>
        <w:ind w:left="679" w:hanging="679"/>
      </w:pPr>
      <w:bookmarkStart w:id="105"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pPr>
        <w:pStyle w:val="45"/>
        <w:ind w:left="679" w:hanging="679"/>
      </w:pPr>
      <w:r>
        <w:rPr>
          <w:rFonts w:hint="eastAsia"/>
        </w:rPr>
        <w:t>在评标期间，</w:t>
      </w:r>
      <w:bookmarkEnd w:id="105"/>
      <w:r>
        <w:rPr>
          <w:rFonts w:hint="eastAsia"/>
        </w:rPr>
        <w:t>对于投标文件中含义不明确、同类问题表述不一致或者有明显文字和计算错误的内容，评标委员会将以书面形式要求投标人作出必要的澄清、说明或者补正。</w:t>
      </w:r>
    </w:p>
    <w:p>
      <w:pPr>
        <w:pStyle w:val="45"/>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pPr>
        <w:pStyle w:val="44"/>
        <w:ind w:left="679" w:hanging="679"/>
      </w:pPr>
      <w:r>
        <w:rPr>
          <w:rFonts w:hint="eastAsia"/>
        </w:rPr>
        <w:t>投标文件的详细评审</w:t>
      </w:r>
    </w:p>
    <w:p>
      <w:pPr>
        <w:pStyle w:val="45"/>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73"/>
          <w:rFonts w:hint="eastAsia"/>
        </w:rPr>
        <w:t>第三章 评标标准和评分方法</w:t>
      </w:r>
      <w:r>
        <w:rPr>
          <w:rFonts w:hint="eastAsia"/>
        </w:rPr>
        <w:t>。</w:t>
      </w:r>
    </w:p>
    <w:p>
      <w:pPr>
        <w:pStyle w:val="44"/>
        <w:ind w:left="679" w:hanging="679"/>
      </w:pPr>
      <w:r>
        <w:rPr>
          <w:rFonts w:hint="eastAsia"/>
        </w:rPr>
        <w:t>中标候选人的推荐</w:t>
      </w:r>
    </w:p>
    <w:p>
      <w:pPr>
        <w:pStyle w:val="45"/>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pPr>
        <w:pStyle w:val="45"/>
      </w:pPr>
      <w:bookmarkStart w:id="106"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_Ref53228388 \r \h</w:instrText>
      </w:r>
      <w:r>
        <w:rPr>
          <w:rStyle w:val="73"/>
        </w:rPr>
        <w:instrText xml:space="preserve"> </w:instrText>
      </w:r>
      <w:r>
        <w:rPr>
          <w:rStyle w:val="73"/>
        </w:rPr>
        <w:fldChar w:fldCharType="separate"/>
      </w:r>
      <w:r>
        <w:rPr>
          <w:rStyle w:val="73"/>
        </w:rPr>
        <w:t>20</w:t>
      </w:r>
      <w:r>
        <w:rPr>
          <w:rStyle w:val="73"/>
        </w:rPr>
        <w:fldChar w:fldCharType="end"/>
      </w:r>
      <w:r>
        <w:rPr>
          <w:rStyle w:val="73"/>
          <w:rFonts w:hint="eastAsia"/>
        </w:rPr>
        <w:t>条</w:t>
      </w:r>
      <w:r>
        <w:rPr>
          <w:rFonts w:hint="eastAsia"/>
        </w:rPr>
        <w:t>规定的方式确定一个参加评标的投标人，其他投标无效。</w:t>
      </w:r>
      <w:bookmarkEnd w:id="106"/>
    </w:p>
    <w:p>
      <w:pPr>
        <w:pStyle w:val="45"/>
        <w:ind w:left="679" w:hanging="679"/>
      </w:pPr>
      <w:bookmarkStart w:id="107"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_Ref53228388 \r \h</w:instrText>
      </w:r>
      <w:r>
        <w:rPr>
          <w:rStyle w:val="73"/>
        </w:rPr>
        <w:instrText xml:space="preserve"> </w:instrText>
      </w:r>
      <w:r>
        <w:rPr>
          <w:rStyle w:val="73"/>
        </w:rPr>
        <w:fldChar w:fldCharType="separate"/>
      </w:r>
      <w:r>
        <w:rPr>
          <w:rStyle w:val="73"/>
        </w:rPr>
        <w:t>20</w:t>
      </w:r>
      <w:r>
        <w:rPr>
          <w:rStyle w:val="73"/>
        </w:rPr>
        <w:fldChar w:fldCharType="end"/>
      </w:r>
      <w:r>
        <w:rPr>
          <w:rStyle w:val="73"/>
          <w:rFonts w:hint="eastAsia"/>
        </w:rPr>
        <w:t>条</w:t>
      </w:r>
      <w:r>
        <w:rPr>
          <w:rFonts w:hint="eastAsia"/>
        </w:rPr>
        <w:t>规定的方式确定一个投标人获得中标人推荐资格，其他同品牌投标人不作为中标候选人。</w:t>
      </w:r>
      <w:bookmarkEnd w:id="107"/>
    </w:p>
    <w:p>
      <w:pPr>
        <w:pStyle w:val="44"/>
        <w:ind w:left="679" w:hanging="679"/>
      </w:pPr>
      <w:r>
        <w:rPr>
          <w:rFonts w:hint="eastAsia"/>
        </w:rPr>
        <w:t>废标处理</w:t>
      </w:r>
    </w:p>
    <w:p>
      <w:pPr>
        <w:pStyle w:val="45"/>
      </w:pPr>
      <w:r>
        <w:rPr>
          <w:rFonts w:hint="eastAsia"/>
        </w:rPr>
        <w:t>如发现下列情况之一的，本项目予以废标：</w:t>
      </w:r>
    </w:p>
    <w:p>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pPr>
        <w:pStyle w:val="45"/>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pPr>
        <w:pStyle w:val="4"/>
      </w:pPr>
      <w:bookmarkStart w:id="108" w:name="_Toc11993"/>
      <w:r>
        <w:rPr>
          <w:rFonts w:hint="eastAsia"/>
        </w:rPr>
        <w:t>六、授予合同</w:t>
      </w:r>
      <w:bookmarkEnd w:id="108"/>
    </w:p>
    <w:p>
      <w:pPr>
        <w:pStyle w:val="44"/>
        <w:ind w:left="679" w:hanging="679"/>
      </w:pPr>
      <w:r>
        <w:rPr>
          <w:rFonts w:hint="eastAsia"/>
        </w:rPr>
        <w:t>中标人的确定及合同授予</w:t>
      </w:r>
    </w:p>
    <w:p>
      <w:pPr>
        <w:pStyle w:val="45"/>
      </w:pPr>
      <w:bookmarkStart w:id="109" w:name="_Ref51684061"/>
      <w:r>
        <w:rPr>
          <w:rFonts w:hint="eastAsia"/>
        </w:rPr>
        <w:t>采购人将在评标报告确定的中标候选人名单中按顺序确定中标人，或者，采购人委托评标委员会直接确定的中标人，采用上述何种方式确定中标人详见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_Ref51684695 \r \h</w:instrText>
      </w:r>
      <w:r>
        <w:rPr>
          <w:rStyle w:val="73"/>
        </w:rPr>
        <w:instrText xml:space="preserve"> </w:instrText>
      </w:r>
      <w:r>
        <w:rPr>
          <w:rStyle w:val="73"/>
        </w:rPr>
        <w:fldChar w:fldCharType="separate"/>
      </w:r>
      <w:r>
        <w:rPr>
          <w:rStyle w:val="73"/>
        </w:rPr>
        <w:t>21</w:t>
      </w:r>
      <w:r>
        <w:rPr>
          <w:rStyle w:val="73"/>
        </w:rPr>
        <w:fldChar w:fldCharType="end"/>
      </w:r>
      <w:r>
        <w:rPr>
          <w:rStyle w:val="73"/>
          <w:rFonts w:hint="eastAsia"/>
        </w:rPr>
        <w:t>条。</w:t>
      </w:r>
      <w:bookmarkEnd w:id="109"/>
    </w:p>
    <w:p>
      <w:pPr>
        <w:pStyle w:val="45"/>
      </w:pPr>
      <w:bookmarkStart w:id="110" w:name="_Ref51684068"/>
      <w:r>
        <w:rPr>
          <w:rFonts w:hint="eastAsia"/>
        </w:rPr>
        <w:t>中标候选人并列的，由采购人或评标委员会按照</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_Ref51684703 \r \h</w:instrText>
      </w:r>
      <w:r>
        <w:rPr>
          <w:rStyle w:val="73"/>
        </w:rPr>
        <w:instrText xml:space="preserve"> </w:instrText>
      </w:r>
      <w:r>
        <w:rPr>
          <w:rStyle w:val="73"/>
        </w:rPr>
        <w:fldChar w:fldCharType="separate"/>
      </w:r>
      <w:r>
        <w:rPr>
          <w:rStyle w:val="73"/>
        </w:rPr>
        <w:t>22</w:t>
      </w:r>
      <w:r>
        <w:rPr>
          <w:rStyle w:val="73"/>
        </w:rPr>
        <w:fldChar w:fldCharType="end"/>
      </w:r>
      <w:r>
        <w:rPr>
          <w:rStyle w:val="73"/>
          <w:rFonts w:hint="eastAsia"/>
        </w:rPr>
        <w:t>条</w:t>
      </w:r>
      <w:r>
        <w:rPr>
          <w:rFonts w:hint="eastAsia"/>
        </w:rPr>
        <w:t>规定的方式确定中标人；</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_Ref51684703 \r \h</w:instrText>
      </w:r>
      <w:r>
        <w:rPr>
          <w:rStyle w:val="73"/>
        </w:rPr>
        <w:instrText xml:space="preserve"> </w:instrText>
      </w:r>
      <w:r>
        <w:rPr>
          <w:rStyle w:val="73"/>
        </w:rPr>
        <w:fldChar w:fldCharType="separate"/>
      </w:r>
      <w:r>
        <w:rPr>
          <w:rStyle w:val="73"/>
        </w:rPr>
        <w:t>22</w:t>
      </w:r>
      <w:r>
        <w:rPr>
          <w:rStyle w:val="73"/>
        </w:rPr>
        <w:fldChar w:fldCharType="end"/>
      </w:r>
      <w:r>
        <w:rPr>
          <w:rStyle w:val="73"/>
          <w:rFonts w:hint="eastAsia"/>
        </w:rPr>
        <w:t>条</w:t>
      </w:r>
      <w:r>
        <w:rPr>
          <w:rFonts w:hint="eastAsia"/>
        </w:rPr>
        <w:t>未规定的，采取随机抽取的方式确定。</w:t>
      </w:r>
      <w:bookmarkEnd w:id="110"/>
    </w:p>
    <w:p>
      <w:pPr>
        <w:pStyle w:val="44"/>
        <w:ind w:left="679" w:hanging="679"/>
      </w:pPr>
      <w:r>
        <w:rPr>
          <w:rFonts w:hint="eastAsia"/>
        </w:rPr>
        <w:t>中标通知</w:t>
      </w:r>
    </w:p>
    <w:p>
      <w:pPr>
        <w:pStyle w:val="45"/>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pPr>
        <w:pStyle w:val="45"/>
        <w:ind w:left="679" w:hanging="679"/>
      </w:pPr>
      <w:r>
        <w:rPr>
          <w:rFonts w:hint="eastAsia"/>
        </w:rPr>
        <w:t>中标通知书是合同的组成部分。</w:t>
      </w:r>
    </w:p>
    <w:p>
      <w:pPr>
        <w:pStyle w:val="44"/>
        <w:ind w:left="679" w:hanging="679"/>
      </w:pPr>
      <w:bookmarkStart w:id="111" w:name="_Ref469993976"/>
      <w:r>
        <w:rPr>
          <w:rFonts w:hint="eastAsia"/>
        </w:rPr>
        <w:t>签订合同</w:t>
      </w:r>
      <w:bookmarkEnd w:id="111"/>
    </w:p>
    <w:p>
      <w:pPr>
        <w:pStyle w:val="45"/>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pPr>
        <w:pStyle w:val="45"/>
      </w:pPr>
      <w:bookmarkStart w:id="112" w:name="_Ref51684086"/>
      <w:r>
        <w:rPr>
          <w:rFonts w:hint="eastAsia"/>
        </w:rPr>
        <w:t>未经采购人事先给予书面同意，中标人不得将本项目分包，即不得将合同全部及任何部分权利、义务向第三方转让。本次招标是否允许分包以及分包要求见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_Ref53228485 \r \h</w:instrText>
      </w:r>
      <w:r>
        <w:rPr>
          <w:rStyle w:val="73"/>
        </w:rPr>
        <w:instrText xml:space="preserve"> </w:instrText>
      </w:r>
      <w:r>
        <w:rPr>
          <w:rStyle w:val="73"/>
        </w:rPr>
        <w:fldChar w:fldCharType="separate"/>
      </w:r>
      <w:r>
        <w:rPr>
          <w:rStyle w:val="73"/>
        </w:rPr>
        <w:t>23</w:t>
      </w:r>
      <w:r>
        <w:rPr>
          <w:rStyle w:val="73"/>
        </w:rPr>
        <w:fldChar w:fldCharType="end"/>
      </w:r>
      <w:r>
        <w:rPr>
          <w:rStyle w:val="73"/>
          <w:rFonts w:hint="eastAsia"/>
        </w:rPr>
        <w:t>条</w:t>
      </w:r>
      <w:r>
        <w:rPr>
          <w:rFonts w:hint="eastAsia"/>
        </w:rPr>
        <w:t>。不允许分包的项目或部分中标人进行分包的，将被视为严重违约，依法依约承担相应法律责任。</w:t>
      </w:r>
      <w:bookmarkEnd w:id="112"/>
    </w:p>
    <w:p>
      <w:pPr>
        <w:pStyle w:val="45"/>
      </w:pPr>
      <w:r>
        <w:rPr>
          <w:rFonts w:hint="eastAsia"/>
        </w:rPr>
        <w:t>中标人拒绝与采购人签订合同的，采购人可以按照评标报告推荐的中标候选人名单排序，确定下一候选人为中标人，也可以重新开展政府采购活动。</w:t>
      </w:r>
    </w:p>
    <w:p>
      <w:pPr>
        <w:pStyle w:val="44"/>
      </w:pPr>
      <w:r>
        <w:rPr>
          <w:rFonts w:hint="eastAsia"/>
        </w:rPr>
        <w:t>招标代理服务费</w:t>
      </w:r>
    </w:p>
    <w:p>
      <w:pPr>
        <w:pStyle w:val="45"/>
      </w:pPr>
      <w:bookmarkStart w:id="113" w:name="_Ref506187614"/>
      <w:r>
        <w:rPr>
          <w:rFonts w:hint="eastAsia"/>
        </w:rPr>
        <w:t>中标人须在领取中标通知书的同时，按照</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_Ref53228540 \r \h</w:instrText>
      </w:r>
      <w:r>
        <w:rPr>
          <w:rStyle w:val="73"/>
        </w:rPr>
        <w:instrText xml:space="preserve"> </w:instrText>
      </w:r>
      <w:r>
        <w:rPr>
          <w:rStyle w:val="73"/>
        </w:rPr>
        <w:fldChar w:fldCharType="separate"/>
      </w:r>
      <w:r>
        <w:rPr>
          <w:rStyle w:val="73"/>
        </w:rPr>
        <w:t>24</w:t>
      </w:r>
      <w:r>
        <w:rPr>
          <w:rStyle w:val="73"/>
        </w:rPr>
        <w:fldChar w:fldCharType="end"/>
      </w:r>
      <w:r>
        <w:rPr>
          <w:rStyle w:val="73"/>
          <w:rFonts w:hint="eastAsia"/>
        </w:rPr>
        <w:t>条</w:t>
      </w:r>
      <w:r>
        <w:rPr>
          <w:rFonts w:hint="eastAsia"/>
        </w:rPr>
        <w:t>规定的标准向采购代理机构支付招标代理服务费。</w:t>
      </w:r>
      <w:bookmarkEnd w:id="113"/>
    </w:p>
    <w:p>
      <w:pPr>
        <w:pStyle w:val="4"/>
      </w:pPr>
      <w:bookmarkStart w:id="114" w:name="_Toc6669"/>
      <w:r>
        <w:rPr>
          <w:rFonts w:hint="eastAsia"/>
        </w:rPr>
        <w:t>七、其他</w:t>
      </w:r>
      <w:bookmarkEnd w:id="114"/>
    </w:p>
    <w:p>
      <w:pPr>
        <w:pStyle w:val="44"/>
      </w:pPr>
      <w:bookmarkStart w:id="115" w:name="_Ref506123196"/>
      <w:r>
        <w:rPr>
          <w:rFonts w:hint="eastAsia"/>
        </w:rPr>
        <w:t>质疑提出</w:t>
      </w:r>
      <w:bookmarkEnd w:id="115"/>
      <w:r>
        <w:rPr>
          <w:rFonts w:hint="eastAsia"/>
        </w:rPr>
        <w:t>与答复</w:t>
      </w:r>
    </w:p>
    <w:p>
      <w:pPr>
        <w:pStyle w:val="45"/>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pPr>
        <w:pStyle w:val="45"/>
      </w:pPr>
      <w:r>
        <w:rPr>
          <w:rFonts w:hint="eastAsia"/>
        </w:rPr>
        <w:t>提出质疑的投标人应当是参与所质疑项目相关包件招标活动的投标人。潜在投标人已依法获取其可质疑的招标文件的，可以对该文件提出质疑。</w:t>
      </w:r>
    </w:p>
    <w:p>
      <w:pPr>
        <w:pStyle w:val="45"/>
      </w:pPr>
      <w:bookmarkStart w:id="116" w:name="_Ref506132523"/>
      <w:r>
        <w:rPr>
          <w:rFonts w:hint="eastAsia"/>
        </w:rPr>
        <w:t>应当提交书面质疑函和必要的证明材料，</w:t>
      </w:r>
      <w:bookmarkEnd w:id="116"/>
      <w:bookmarkStart w:id="117" w:name="_Ref506126714"/>
      <w:r>
        <w:rPr>
          <w:rFonts w:hint="eastAsia"/>
        </w:rPr>
        <w:t>质疑函应当包括下列内容：</w:t>
      </w:r>
      <w:bookmarkEnd w:id="117"/>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5"/>
        <w:numPr>
          <w:ilvl w:val="0"/>
          <w:numId w:val="0"/>
        </w:numPr>
        <w:ind w:left="680"/>
      </w:pPr>
      <w:r>
        <w:rPr>
          <w:rFonts w:hint="eastAsia"/>
        </w:rPr>
        <w:t>质疑函应当使用中文。质疑函应采用财政部在中国政府采购网公布的范本。</w:t>
      </w:r>
    </w:p>
    <w:p>
      <w:pPr>
        <w:pStyle w:val="45"/>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5"/>
      </w:pPr>
      <w:bookmarkStart w:id="118" w:name="_Ref506126140"/>
      <w:r>
        <w:rPr>
          <w:rFonts w:hint="eastAsia"/>
        </w:rPr>
        <w:t>接收质疑函的方式、联系部门、联系电话和通讯地址等信息详见</w:t>
      </w:r>
      <w:r>
        <w:rPr>
          <w:rStyle w:val="73"/>
          <w:rFonts w:hint="eastAsia"/>
        </w:rPr>
        <w:t>《投标人须知前附表》第</w:t>
      </w:r>
      <w:r>
        <w:rPr>
          <w:rStyle w:val="73"/>
        </w:rPr>
        <w:fldChar w:fldCharType="begin"/>
      </w:r>
      <w:r>
        <w:rPr>
          <w:rStyle w:val="73"/>
        </w:rPr>
        <w:instrText xml:space="preserve"> </w:instrText>
      </w:r>
      <w:r>
        <w:rPr>
          <w:rStyle w:val="73"/>
          <w:rFonts w:hint="eastAsia"/>
        </w:rPr>
        <w:instrText xml:space="preserve">REF _Ref51684565 \r \h</w:instrText>
      </w:r>
      <w:r>
        <w:rPr>
          <w:rStyle w:val="73"/>
        </w:rPr>
        <w:instrText xml:space="preserve"> </w:instrText>
      </w:r>
      <w:r>
        <w:rPr>
          <w:rStyle w:val="73"/>
        </w:rPr>
        <w:fldChar w:fldCharType="separate"/>
      </w:r>
      <w:r>
        <w:rPr>
          <w:rStyle w:val="73"/>
        </w:rPr>
        <w:t>25</w:t>
      </w:r>
      <w:r>
        <w:rPr>
          <w:rStyle w:val="73"/>
        </w:rPr>
        <w:fldChar w:fldCharType="end"/>
      </w:r>
      <w:r>
        <w:rPr>
          <w:rStyle w:val="73"/>
          <w:rFonts w:hint="eastAsia"/>
        </w:rPr>
        <w:t>条</w:t>
      </w:r>
      <w:r>
        <w:rPr>
          <w:rFonts w:hint="eastAsia"/>
        </w:rPr>
        <w:t>。</w:t>
      </w:r>
      <w:bookmarkEnd w:id="118"/>
      <w:r>
        <w:rPr>
          <w:rFonts w:hint="eastAsia"/>
        </w:rPr>
        <w:t>供应商提出的质疑超出采购人对采购代理机构委托授权范围的，采购代理机构将告知供应商向采购人提出。</w:t>
      </w:r>
    </w:p>
    <w:p>
      <w:pPr>
        <w:pStyle w:val="45"/>
      </w:pPr>
      <w:r>
        <w:rPr>
          <w:rFonts w:hint="eastAsia"/>
        </w:rPr>
        <w:t>对于依法并按招标文件要求提出的供应商质疑，将在收到质疑函之日起（以送达日期开始计算）七个工作日内作出答复，并以书面形式通知质疑投标人和其他有关投标人。</w:t>
      </w:r>
    </w:p>
    <w:p>
      <w:pPr>
        <w:pStyle w:val="44"/>
      </w:pPr>
      <w:r>
        <w:rPr>
          <w:rFonts w:hint="eastAsia"/>
        </w:rPr>
        <w:t>投标人的商业秘密</w:t>
      </w:r>
    </w:p>
    <w:p>
      <w:pPr>
        <w:pStyle w:val="45"/>
      </w:pPr>
      <w:r>
        <w:rPr>
          <w:rFonts w:hint="eastAsia"/>
        </w:rPr>
        <w:t>投标人应在投标文件中将属于其商业秘密的内容进行明确标注，采购人、采购代理机构及其有关人员和评标委员会将对投标人的商业秘密进行保密。</w:t>
      </w:r>
    </w:p>
    <w:p>
      <w:pPr>
        <w:pStyle w:val="45"/>
      </w:pPr>
      <w:r>
        <w:rPr>
          <w:rFonts w:hint="eastAsia"/>
        </w:rPr>
        <w:t>投标标的名称、规格型号、单价及合同金额等内容不得作为商业秘密。投标人也不得以商业秘密为由拒绝提供招标文件要求提供的材料或内容。</w:t>
      </w:r>
    </w:p>
    <w:p>
      <w:pPr>
        <w:pStyle w:val="44"/>
      </w:pPr>
      <w:r>
        <w:rPr>
          <w:rFonts w:hint="eastAsia"/>
        </w:rPr>
        <w:t>货物和服务的质量</w:t>
      </w:r>
    </w:p>
    <w:p>
      <w:pPr>
        <w:pStyle w:val="45"/>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5"/>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pPr>
        <w:pStyle w:val="44"/>
      </w:pPr>
      <w:r>
        <w:rPr>
          <w:rFonts w:hint="eastAsia"/>
        </w:rPr>
        <w:t>保密条款</w:t>
      </w:r>
    </w:p>
    <w:p>
      <w:pPr>
        <w:pStyle w:val="45"/>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pPr>
        <w:pStyle w:val="45"/>
      </w:pPr>
      <w:r>
        <w:rPr>
          <w:rFonts w:hint="eastAsia"/>
        </w:rPr>
        <w:t>除非执行合同需要，在事先未得到采购人书面同意的情况下，投标人不得使用本招标书中所提供的任何文件和资料。</w:t>
      </w:r>
    </w:p>
    <w:p>
      <w:pPr>
        <w:pStyle w:val="45"/>
      </w:pPr>
      <w:r>
        <w:rPr>
          <w:rFonts w:hint="eastAsia"/>
        </w:rPr>
        <w:t>采购人对投标人提交的文件将给予保密，但无论中标与否，投标人的投标文件不予退还。</w:t>
      </w:r>
    </w:p>
    <w:p/>
    <w:p>
      <w:pPr>
        <w:widowControl/>
        <w:adjustRightInd/>
        <w:snapToGrid/>
        <w:spacing w:before="624" w:line="240" w:lineRule="auto"/>
        <w:ind w:firstLine="480"/>
        <w:jc w:val="left"/>
      </w:pPr>
      <w:r>
        <w:br w:type="page"/>
      </w:r>
    </w:p>
    <w:p>
      <w:pPr>
        <w:pStyle w:val="3"/>
      </w:pPr>
      <w:bookmarkStart w:id="119" w:name="_Ref469992889"/>
      <w:bookmarkStart w:id="120" w:name="_Toc12201"/>
      <w:r>
        <w:rPr>
          <w:rFonts w:hint="eastAsia"/>
        </w:rPr>
        <w:t xml:space="preserve">第三章  </w:t>
      </w:r>
      <w:bookmarkEnd w:id="119"/>
      <w:r>
        <w:rPr>
          <w:rFonts w:hint="eastAsia"/>
        </w:rPr>
        <w:t>评标方法和评标标准</w:t>
      </w:r>
      <w:bookmarkEnd w:id="120"/>
    </w:p>
    <w:p>
      <w:pPr>
        <w:pStyle w:val="4"/>
      </w:pPr>
      <w:bookmarkStart w:id="121" w:name="_Toc18718"/>
      <w:r>
        <w:rPr>
          <w:rFonts w:hint="eastAsia"/>
        </w:rPr>
        <w:t>一、评标方法</w:t>
      </w:r>
      <w:bookmarkEnd w:id="121"/>
    </w:p>
    <w:p>
      <w:pPr>
        <w:pStyle w:val="49"/>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pPr>
        <w:pStyle w:val="49"/>
        <w:ind w:firstLine="480"/>
        <w:rPr>
          <w:color w:val="auto"/>
        </w:rPr>
      </w:pPr>
      <w:r>
        <w:rPr>
          <w:rFonts w:hint="eastAsia"/>
          <w:color w:val="auto"/>
        </w:rPr>
        <w:t>每一投标人的综合得分为所有评标委员会成员给其评分的算术平均值。各项评分均保留两位小数。</w:t>
      </w:r>
    </w:p>
    <w:p>
      <w:pPr>
        <w:pStyle w:val="4"/>
      </w:pPr>
      <w:bookmarkStart w:id="122" w:name="_Toc3601"/>
      <w:r>
        <w:rPr>
          <w:rFonts w:hint="eastAsia"/>
        </w:rPr>
        <w:t>二、评标中的落实政府采购政策具体办法</w:t>
      </w:r>
      <w:bookmarkEnd w:id="122"/>
    </w:p>
    <w:p>
      <w:pPr>
        <w:pStyle w:val="5"/>
      </w:pPr>
      <w:bookmarkStart w:id="123" w:name="_Toc27315"/>
      <w:r>
        <w:rPr>
          <w:rFonts w:hint="eastAsia"/>
        </w:rPr>
        <w:t>1、促进中小企业、残疾人福利性单位、监狱企业政策落实</w:t>
      </w:r>
      <w:bookmarkEnd w:id="123"/>
    </w:p>
    <w:p>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pPr>
        <w:ind w:left="836" w:hanging="836"/>
      </w:pPr>
      <w:r>
        <w:rPr>
          <w:rFonts w:hint="eastAsia"/>
        </w:rPr>
        <w:t>以联合体形式参加政府采购活动，联合体各成员均为中小企业的，联合体视同中小企业。其中，联合体各成员均为小微企业的，联合体视同小微企业。</w:t>
      </w:r>
    </w:p>
    <w:p>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p>
    <w:p>
      <w:pPr>
        <w:ind w:left="836" w:hanging="836"/>
        <w:rPr>
          <w:rFonts w:hint="eastAsia" w:eastAsiaTheme="minorEastAsia"/>
          <w:color w:val="auto"/>
          <w:lang w:eastAsia="zh-CN"/>
        </w:rPr>
      </w:pPr>
      <w:r>
        <w:rPr>
          <w:rFonts w:hint="eastAsia"/>
        </w:rPr>
        <w:t>对招标文件第一章第二条第2项“落实政府采购政策需满足的资格要求”为“无”的项目/包件，对符合发展管理办法规定的小微企业报价给</w:t>
      </w:r>
      <w:r>
        <w:rPr>
          <w:rFonts w:hint="eastAsia"/>
          <w:color w:val="auto"/>
        </w:rPr>
        <w:t>予10%的扣除，用扣除后的投标报价参与评审。</w:t>
      </w:r>
    </w:p>
    <w:p>
      <w:pPr>
        <w:ind w:left="836" w:hanging="836"/>
        <w:rPr>
          <w:rFonts w:hint="eastAsia" w:eastAsiaTheme="minorEastAsia"/>
          <w:color w:val="333333"/>
          <w:lang w:eastAsia="zh-CN"/>
        </w:rPr>
      </w:pPr>
      <w:r>
        <w:rPr>
          <w:rFonts w:hint="eastAsia"/>
          <w:color w:val="auto"/>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4%的扣除，用扣除后的价格参加评审。组成联合体或者接受分包的小微企业与联合体内其他企业、分包企业之间存在直接控股、管</w:t>
      </w:r>
      <w:r>
        <w:rPr>
          <w:rFonts w:hint="eastAsia"/>
        </w:rPr>
        <w:t>理关系的，不享受价格扣除优惠政策。</w:t>
      </w:r>
      <w:r>
        <w:rPr>
          <w:rFonts w:hint="eastAsia"/>
          <w:color w:val="333333"/>
        </w:rPr>
        <w:t>如果小微供应商提供的货物既有中型企业制造货物，也有小微企业制造货物的，不享受价格扣除相关政策。</w:t>
      </w:r>
    </w:p>
    <w:p>
      <w:pPr>
        <w:ind w:left="836" w:hanging="836"/>
      </w:pP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p>
    <w:p>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p>
    <w:p>
      <w:pPr>
        <w:ind w:left="836" w:hanging="836"/>
        <w:rPr>
          <w:rFonts w:hint="eastAsia" w:eastAsiaTheme="minorEastAsia"/>
          <w:lang w:eastAsia="zh-CN"/>
        </w:rPr>
      </w:pPr>
      <w:r>
        <w:rPr>
          <w:rFonts w:hint="eastAsia"/>
        </w:rPr>
        <w:t>享受政府采购支持政策的残疾人福利性单位应当同时满足以下条件：</w:t>
      </w:r>
    </w:p>
    <w:p>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pPr>
        <w:ind w:left="836" w:hanging="836"/>
        <w:rPr>
          <w:rFonts w:hint="eastAsia" w:eastAsiaTheme="minorEastAsia"/>
          <w:lang w:eastAsia="zh-CN"/>
        </w:rPr>
      </w:pPr>
      <w:r>
        <w:rPr>
          <w:rFonts w:hint="eastAsia"/>
        </w:rPr>
        <w:t>（二）依法与安置的每位残疾人签订了一年以上（含一年）的劳动合同或服务协议；</w:t>
      </w:r>
    </w:p>
    <w:p>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pPr>
        <w:pStyle w:val="5"/>
      </w:pPr>
      <w:bookmarkStart w:id="124" w:name="_Toc29703"/>
      <w:r>
        <w:rPr>
          <w:rFonts w:hint="eastAsia"/>
        </w:rPr>
        <w:t>2、鼓励节能、环保政策落实</w:t>
      </w:r>
      <w:bookmarkEnd w:id="124"/>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4"/>
        <w:rPr>
          <w:rFonts w:hint="eastAsia" w:eastAsia="黑体"/>
          <w:lang w:eastAsia="zh-CN"/>
        </w:rPr>
      </w:pPr>
      <w:bookmarkStart w:id="125" w:name="_Toc21839"/>
      <w:r>
        <w:rPr>
          <w:rFonts w:hint="eastAsia"/>
        </w:rPr>
        <w:t>三、评标标准</w:t>
      </w:r>
      <w:bookmarkEnd w:id="125"/>
      <w:r>
        <w:rPr>
          <w:rFonts w:hint="eastAsia"/>
          <w:lang w:eastAsia="zh-CN"/>
        </w:rPr>
        <w:t>（</w:t>
      </w:r>
      <w:r>
        <w:rPr>
          <w:rFonts w:hint="eastAsia"/>
          <w:lang w:val="en-US" w:eastAsia="zh-CN"/>
        </w:rPr>
        <w:t>01、02、03包</w:t>
      </w:r>
      <w:r>
        <w:rPr>
          <w:rFonts w:hint="eastAsia"/>
          <w:lang w:eastAsia="zh-CN"/>
        </w:rPr>
        <w:t>）</w:t>
      </w:r>
    </w:p>
    <w:tbl>
      <w:tblPr>
        <w:tblStyle w:val="24"/>
        <w:tblW w:w="924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750"/>
        <w:gridCol w:w="1889"/>
        <w:gridCol w:w="587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750"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c>
          <w:tcPr>
            <w:tcW w:w="1889"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评分因素分项</w:t>
            </w:r>
          </w:p>
        </w:tc>
        <w:tc>
          <w:tcPr>
            <w:tcW w:w="5872"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c>
          <w:tcPr>
            <w:tcW w:w="750" w:type="dxa"/>
            <w:noWrap w:val="0"/>
            <w:vAlign w:val="center"/>
          </w:tcPr>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889"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评标价格</w:t>
            </w:r>
          </w:p>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5872" w:type="dxa"/>
            <w:noWrap w:val="0"/>
            <w:vAlign w:val="center"/>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评标价格分数=（评标基准价/投标报价）×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 </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备注：实质性响应招标文件要求且价格最低的投标报价为评标基准价。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商务部分</w:t>
            </w:r>
          </w:p>
        </w:tc>
        <w:tc>
          <w:tcPr>
            <w:tcW w:w="750" w:type="dxa"/>
            <w:vMerge w:val="restart"/>
            <w:noWrap w:val="0"/>
            <w:vAlign w:val="center"/>
          </w:tcPr>
          <w:p>
            <w:pPr>
              <w:widowControl/>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1889" w:type="dxa"/>
            <w:noWrap w:val="0"/>
            <w:vAlign w:val="center"/>
          </w:tcPr>
          <w:p>
            <w:pPr>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企业</w:t>
            </w:r>
            <w:r>
              <w:rPr>
                <w:rFonts w:hint="eastAsia" w:ascii="宋体" w:hAnsi="宋体" w:eastAsia="宋体" w:cs="宋体"/>
                <w:bCs/>
                <w:color w:val="auto"/>
                <w:sz w:val="24"/>
                <w:szCs w:val="24"/>
              </w:rPr>
              <w:t>业绩</w:t>
            </w:r>
          </w:p>
          <w:p>
            <w:pPr>
              <w:snapToGrid w:val="0"/>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rPr>
              <w:t>分）</w:t>
            </w:r>
          </w:p>
        </w:tc>
        <w:tc>
          <w:tcPr>
            <w:tcW w:w="5872"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bookmarkStart w:id="126" w:name="_Toc26849"/>
            <w:r>
              <w:rPr>
                <w:rFonts w:hint="eastAsia" w:ascii="宋体" w:hAnsi="宋体" w:eastAsia="宋体" w:cs="宋体"/>
                <w:color w:val="auto"/>
                <w:sz w:val="24"/>
                <w:szCs w:val="24"/>
              </w:rPr>
              <w:t>投标人</w:t>
            </w:r>
            <w:r>
              <w:rPr>
                <w:rFonts w:hint="eastAsia" w:ascii="宋体" w:hAnsi="宋体" w:eastAsia="宋体" w:cs="宋体"/>
                <w:color w:val="auto"/>
                <w:sz w:val="24"/>
                <w:szCs w:val="24"/>
                <w:lang w:val="en-US" w:eastAsia="zh-CN"/>
              </w:rPr>
              <w:t>自</w:t>
            </w:r>
            <w:r>
              <w:rPr>
                <w:rFonts w:hint="eastAsia" w:ascii="宋体" w:hAnsi="宋体" w:eastAsia="宋体" w:cs="宋体"/>
                <w:color w:val="auto"/>
                <w:sz w:val="24"/>
                <w:szCs w:val="24"/>
              </w:rPr>
              <w:t>2020年01月01日至投标文件提交截止日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具有一个</w:t>
            </w:r>
            <w:r>
              <w:rPr>
                <w:rFonts w:hint="eastAsia" w:ascii="宋体" w:hAnsi="宋体" w:eastAsia="宋体" w:cs="宋体"/>
                <w:color w:val="auto"/>
                <w:sz w:val="24"/>
                <w:szCs w:val="24"/>
                <w:lang w:val="en-US" w:eastAsia="zh-CN"/>
              </w:rPr>
              <w:t>绿地养护项目</w:t>
            </w:r>
            <w:r>
              <w:rPr>
                <w:rFonts w:hint="eastAsia" w:ascii="宋体" w:hAnsi="宋体" w:eastAsia="宋体" w:cs="宋体"/>
                <w:color w:val="auto"/>
                <w:sz w:val="24"/>
                <w:szCs w:val="24"/>
              </w:rPr>
              <w:t>业绩，得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分（需提供中标通知书或合同主要页复印件作为证明材料</w:t>
            </w:r>
            <w:r>
              <w:rPr>
                <w:rFonts w:hint="eastAsia" w:ascii="宋体" w:hAnsi="宋体" w:eastAsia="宋体" w:cs="宋体"/>
                <w:color w:val="auto"/>
                <w:kern w:val="0"/>
                <w:sz w:val="24"/>
                <w:szCs w:val="24"/>
              </w:rPr>
              <w:t>合同内容应包括但不限于：双方单位名称、委托金额、委托内容等</w:t>
            </w:r>
            <w:r>
              <w:rPr>
                <w:rFonts w:hint="eastAsia" w:ascii="宋体" w:hAnsi="宋体" w:eastAsia="宋体" w:cs="宋体"/>
                <w:color w:val="auto"/>
                <w:sz w:val="24"/>
                <w:szCs w:val="24"/>
              </w:rPr>
              <w:t>）。</w:t>
            </w:r>
            <w:bookmarkEnd w:id="126"/>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9"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889" w:type="dxa"/>
            <w:noWrap w:val="0"/>
            <w:vAlign w:val="center"/>
          </w:tcPr>
          <w:p>
            <w:pPr>
              <w:pStyle w:val="2"/>
              <w:ind w:left="0" w:leftChars="0" w:firstLine="0" w:firstLineChars="0"/>
              <w:jc w:val="center"/>
              <w:rPr>
                <w:rFonts w:hint="eastAsia" w:hAnsi="宋体" w:eastAsia="宋体" w:cs="宋体"/>
                <w:color w:val="auto"/>
                <w:kern w:val="2"/>
                <w:sz w:val="24"/>
                <w:szCs w:val="24"/>
                <w:lang w:val="en-US" w:eastAsia="zh-CN" w:bidi="ar-SA"/>
              </w:rPr>
            </w:pPr>
            <w:r>
              <w:rPr>
                <w:rFonts w:hint="eastAsia" w:hAnsi="宋体" w:eastAsia="宋体" w:cs="宋体"/>
                <w:color w:val="auto"/>
                <w:kern w:val="2"/>
                <w:sz w:val="24"/>
                <w:szCs w:val="24"/>
                <w:lang w:val="en-US" w:eastAsia="zh-CN" w:bidi="ar-SA"/>
              </w:rPr>
              <w:t>相关认证</w:t>
            </w:r>
          </w:p>
          <w:p>
            <w:pPr>
              <w:pStyle w:val="2"/>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w:t>
            </w:r>
            <w:r>
              <w:rPr>
                <w:rFonts w:hint="eastAsia" w:hAnsi="宋体" w:eastAsia="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分）</w:t>
            </w:r>
          </w:p>
        </w:tc>
        <w:tc>
          <w:tcPr>
            <w:tcW w:w="5872"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bookmarkStart w:id="127" w:name="_Toc14940"/>
            <w:r>
              <w:rPr>
                <w:rFonts w:ascii="宋体" w:hAnsi="宋体" w:eastAsia="宋体" w:cs="宋体"/>
                <w:sz w:val="24"/>
                <w:szCs w:val="24"/>
              </w:rPr>
              <w:t>投标人提供有效的质量管理体系、环境管理体系、职业健康安全管理体系。每提供一个有效的证书得1 分，最高得3分。注：须提供以上有效的证书复印件并加盖单位公章，否则不得分。</w:t>
            </w:r>
            <w:bookmarkEnd w:id="127"/>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技术部分</w:t>
            </w:r>
          </w:p>
        </w:tc>
        <w:tc>
          <w:tcPr>
            <w:tcW w:w="750" w:type="dxa"/>
            <w:vMerge w:val="restart"/>
            <w:noWrap w:val="0"/>
            <w:vAlign w:val="center"/>
          </w:tcPr>
          <w:p>
            <w:pPr>
              <w:widowControl/>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w:t>
            </w:r>
          </w:p>
        </w:tc>
        <w:tc>
          <w:tcPr>
            <w:tcW w:w="1889"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绿地养护</w:t>
            </w:r>
            <w:r>
              <w:rPr>
                <w:rFonts w:hint="eastAsia" w:ascii="宋体" w:hAnsi="宋体" w:eastAsia="宋体" w:cs="宋体"/>
                <w:color w:val="auto"/>
                <w:sz w:val="24"/>
                <w:szCs w:val="24"/>
              </w:rPr>
              <w:t>工作服务方案</w:t>
            </w:r>
          </w:p>
          <w:p>
            <w:pPr>
              <w:widowControl/>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5872" w:type="dxa"/>
            <w:noWrap w:val="0"/>
            <w:vAlign w:val="center"/>
          </w:tcPr>
          <w:p>
            <w:pPr>
              <w:tabs>
                <w:tab w:val="left" w:pos="-94"/>
                <w:tab w:val="left" w:pos="1620"/>
              </w:tabs>
              <w:snapToGrid w:val="0"/>
              <w:outlineLvl w:val="1"/>
              <w:rPr>
                <w:rFonts w:hint="eastAsia" w:ascii="宋体" w:hAnsi="宋体" w:eastAsia="宋体" w:cs="宋体"/>
                <w:color w:val="auto"/>
                <w:sz w:val="24"/>
                <w:szCs w:val="24"/>
                <w:lang w:val="en-US" w:eastAsia="zh-CN"/>
              </w:rPr>
            </w:pPr>
            <w:bookmarkStart w:id="128" w:name="_Toc18949"/>
            <w:r>
              <w:rPr>
                <w:rFonts w:hint="eastAsia" w:ascii="宋体" w:hAnsi="宋体" w:eastAsia="宋体" w:cs="宋体"/>
                <w:color w:val="auto"/>
                <w:sz w:val="24"/>
                <w:szCs w:val="24"/>
              </w:rPr>
              <w:t>服务方案合理详尽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完善、</w:t>
            </w:r>
            <w:r>
              <w:rPr>
                <w:rFonts w:hint="eastAsia" w:ascii="宋体" w:hAnsi="宋体" w:eastAsia="宋体" w:cs="宋体"/>
                <w:color w:val="auto"/>
                <w:sz w:val="24"/>
                <w:szCs w:val="24"/>
              </w:rPr>
              <w:t>齐全，且与本项目紧密结合，有针对性，得1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分；服务方案合理，</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满足采购需求，得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分；服务方案描述简单或</w:t>
            </w:r>
            <w:r>
              <w:rPr>
                <w:rFonts w:hint="eastAsia" w:ascii="宋体" w:hAnsi="宋体" w:eastAsia="宋体" w:cs="宋体"/>
                <w:color w:val="auto"/>
                <w:sz w:val="24"/>
                <w:szCs w:val="24"/>
                <w:lang w:val="en-US" w:eastAsia="zh-CN"/>
              </w:rPr>
              <w:t>绿地养护</w:t>
            </w:r>
            <w:r>
              <w:rPr>
                <w:rFonts w:hint="eastAsia" w:ascii="宋体" w:hAnsi="宋体" w:eastAsia="宋体" w:cs="宋体"/>
                <w:color w:val="auto"/>
                <w:sz w:val="24"/>
                <w:szCs w:val="24"/>
              </w:rPr>
              <w:t>装备配置不齐全，得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分；未提供不得分。</w:t>
            </w:r>
            <w:bookmarkEnd w:id="128"/>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889" w:type="dxa"/>
            <w:noWrap w:val="0"/>
            <w:vAlign w:val="center"/>
          </w:tcPr>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质量控制措施</w:t>
            </w:r>
          </w:p>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w:t>
            </w:r>
          </w:p>
        </w:tc>
        <w:tc>
          <w:tcPr>
            <w:tcW w:w="5872" w:type="dxa"/>
            <w:noWrap w:val="0"/>
            <w:vAlign w:val="center"/>
          </w:tcPr>
          <w:p>
            <w:pPr>
              <w:pStyle w:val="9"/>
              <w:ind w:left="0" w:leftChars="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包括但不限于不同养护等级的质量保障措施、质量管理制度、养护质量自检制度、技术工人培训方案等:内容全面且详细，质量保障措施可行性及针对性强有明确的质量管理制度和养护质量自检制度，技术工人培训方案可实施性强的，养护质量标准优于采购需求的，得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pPr>
              <w:pStyle w:val="9"/>
              <w:ind w:left="0" w:leftChars="0"/>
              <w:jc w:val="left"/>
              <w:rPr>
                <w:rFonts w:hint="eastAsia" w:ascii="宋体" w:hAnsi="宋体" w:eastAsia="宋体" w:cs="宋体"/>
                <w:color w:val="auto"/>
                <w:sz w:val="21"/>
                <w:szCs w:val="21"/>
              </w:rPr>
            </w:pPr>
            <w:r>
              <w:rPr>
                <w:rFonts w:hint="eastAsia" w:ascii="宋体" w:hAnsi="宋体" w:eastAsia="宋体" w:cs="宋体"/>
                <w:color w:val="auto"/>
                <w:sz w:val="24"/>
                <w:szCs w:val="24"/>
              </w:rPr>
              <w:t>内容全面，质量保障措施可行性及针对性一般，有明确的质量管理制度和养护质量自检制度，技术工火培训方案可实施性强一般，养护质量标准满足采购需求的，得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内容全面，质量保障措施可行性及针对性较差，有通用的质量管理制度，培训方案</w:t>
            </w:r>
            <w:r>
              <w:rPr>
                <w:rFonts w:hint="eastAsia" w:ascii="宋体" w:hAnsi="宋体" w:eastAsia="宋体" w:cs="宋体"/>
                <w:color w:val="auto"/>
                <w:sz w:val="24"/>
                <w:szCs w:val="24"/>
                <w:lang w:val="en-US" w:eastAsia="zh-CN"/>
              </w:rPr>
              <w:t>不详细</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养护质量标准不满足采购需求或未提供相关内容的不得分。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74"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889" w:type="dxa"/>
            <w:noWrap w:val="0"/>
            <w:vAlign w:val="center"/>
          </w:tcPr>
          <w:p>
            <w:pPr>
              <w:tabs>
                <w:tab w:val="left" w:pos="-94"/>
                <w:tab w:val="left" w:pos="1620"/>
              </w:tabs>
              <w:snapToGrid w:val="0"/>
              <w:jc w:val="center"/>
              <w:outlineLvl w:val="1"/>
              <w:rPr>
                <w:rFonts w:hint="eastAsia" w:ascii="宋体" w:hAnsi="宋体" w:eastAsia="宋体" w:cs="宋体"/>
                <w:color w:val="auto"/>
                <w:sz w:val="24"/>
                <w:szCs w:val="24"/>
                <w:lang w:val="en-US" w:eastAsia="zh-CN"/>
              </w:rPr>
            </w:pPr>
            <w:bookmarkStart w:id="129" w:name="_Toc21678"/>
            <w:r>
              <w:rPr>
                <w:rFonts w:hint="eastAsia" w:ascii="宋体" w:hAnsi="宋体" w:eastAsia="宋体" w:cs="宋体"/>
                <w:color w:val="auto"/>
                <w:sz w:val="24"/>
                <w:szCs w:val="24"/>
                <w:lang w:val="en-US" w:eastAsia="zh-CN"/>
              </w:rPr>
              <w:t>机械、材料、器具设备和交通工具配置</w:t>
            </w:r>
            <w:bookmarkEnd w:id="129"/>
          </w:p>
          <w:p>
            <w:pPr>
              <w:tabs>
                <w:tab w:val="left" w:pos="-94"/>
                <w:tab w:val="left" w:pos="1620"/>
              </w:tabs>
              <w:snapToGrid w:val="0"/>
              <w:jc w:val="center"/>
              <w:outlineLvl w:val="1"/>
              <w:rPr>
                <w:rFonts w:hint="eastAsia" w:ascii="宋体" w:hAnsi="宋体" w:eastAsia="宋体" w:cs="宋体"/>
                <w:color w:val="auto"/>
                <w:sz w:val="24"/>
                <w:szCs w:val="24"/>
                <w:lang w:val="en-US" w:eastAsia="zh-CN"/>
              </w:rPr>
            </w:pPr>
            <w:bookmarkStart w:id="130" w:name="_Toc30195"/>
            <w:r>
              <w:rPr>
                <w:rFonts w:hint="eastAsia" w:ascii="宋体" w:hAnsi="宋体" w:eastAsia="宋体" w:cs="宋体"/>
                <w:color w:val="auto"/>
                <w:sz w:val="24"/>
                <w:szCs w:val="24"/>
                <w:lang w:val="en-US" w:eastAsia="zh-CN"/>
              </w:rPr>
              <w:t>（5分）</w:t>
            </w:r>
            <w:bookmarkEnd w:id="130"/>
          </w:p>
        </w:tc>
        <w:tc>
          <w:tcPr>
            <w:tcW w:w="5872" w:type="dxa"/>
            <w:noWrap w:val="0"/>
            <w:vAlign w:val="center"/>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机械、材料、器具设备和交通工具配置充足，合理的，得5分；机械、材料、器具设备和交通工具配置基本满足要求的，得3分；机械、材料、器具设备和交通工具配置不能满足要求的，得1分；未提供机械、材料、器具设备和交通工具配置的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889" w:type="dxa"/>
            <w:noWrap w:val="0"/>
            <w:vAlign w:val="center"/>
          </w:tcPr>
          <w:p>
            <w:pPr>
              <w:tabs>
                <w:tab w:val="left" w:pos="-94"/>
                <w:tab w:val="left" w:pos="1620"/>
              </w:tabs>
              <w:snapToGrid w:val="0"/>
              <w:jc w:val="center"/>
              <w:outlineLvl w:val="1"/>
              <w:rPr>
                <w:rFonts w:hint="eastAsia" w:ascii="宋体" w:hAnsi="宋体" w:eastAsia="宋体" w:cs="宋体"/>
                <w:color w:val="auto"/>
                <w:sz w:val="24"/>
                <w:szCs w:val="24"/>
                <w:lang w:val="en-US" w:eastAsia="zh-CN"/>
              </w:rPr>
            </w:pPr>
            <w:bookmarkStart w:id="131" w:name="_Toc17369"/>
            <w:r>
              <w:rPr>
                <w:rFonts w:hint="eastAsia" w:ascii="宋体" w:hAnsi="宋体" w:eastAsia="宋体" w:cs="宋体"/>
                <w:color w:val="auto"/>
                <w:sz w:val="24"/>
                <w:szCs w:val="24"/>
                <w:lang w:val="en-US" w:eastAsia="zh-CN"/>
              </w:rPr>
              <w:t>应急</w:t>
            </w:r>
            <w:bookmarkEnd w:id="131"/>
          </w:p>
          <w:p>
            <w:pPr>
              <w:tabs>
                <w:tab w:val="left" w:pos="-94"/>
                <w:tab w:val="left" w:pos="1620"/>
              </w:tabs>
              <w:snapToGrid w:val="0"/>
              <w:jc w:val="center"/>
              <w:outlineLvl w:val="1"/>
              <w:rPr>
                <w:rFonts w:hint="eastAsia" w:ascii="宋体" w:hAnsi="宋体" w:eastAsia="宋体" w:cs="宋体"/>
                <w:color w:val="auto"/>
                <w:sz w:val="24"/>
                <w:szCs w:val="24"/>
                <w:lang w:val="en-US" w:eastAsia="zh-CN"/>
              </w:rPr>
            </w:pPr>
            <w:bookmarkStart w:id="132" w:name="_Toc9402"/>
            <w:r>
              <w:rPr>
                <w:rFonts w:hint="eastAsia" w:ascii="宋体" w:hAnsi="宋体" w:eastAsia="宋体" w:cs="宋体"/>
                <w:color w:val="auto"/>
                <w:sz w:val="24"/>
                <w:szCs w:val="24"/>
                <w:lang w:val="en-US" w:eastAsia="zh-CN"/>
              </w:rPr>
              <w:t>保障方案</w:t>
            </w:r>
            <w:bookmarkEnd w:id="132"/>
          </w:p>
          <w:p>
            <w:pPr>
              <w:tabs>
                <w:tab w:val="left" w:pos="-94"/>
                <w:tab w:val="left" w:pos="1620"/>
              </w:tabs>
              <w:snapToGrid w:val="0"/>
              <w:jc w:val="center"/>
              <w:outlineLvl w:val="1"/>
              <w:rPr>
                <w:rFonts w:hint="eastAsia" w:ascii="宋体" w:hAnsi="宋体" w:eastAsia="宋体" w:cs="宋体"/>
                <w:bCs/>
                <w:color w:val="auto"/>
                <w:kern w:val="2"/>
                <w:sz w:val="24"/>
                <w:szCs w:val="24"/>
                <w:lang w:val="en-US" w:eastAsia="zh-CN" w:bidi="ar-SA"/>
              </w:rPr>
            </w:pPr>
            <w:bookmarkStart w:id="133" w:name="_Toc17229"/>
            <w:r>
              <w:rPr>
                <w:rFonts w:hint="eastAsia" w:ascii="宋体" w:hAnsi="宋体" w:eastAsia="宋体" w:cs="宋体"/>
                <w:color w:val="auto"/>
                <w:sz w:val="24"/>
                <w:szCs w:val="24"/>
                <w:lang w:val="en-US" w:eastAsia="zh-CN"/>
              </w:rPr>
              <w:t>（10分）</w:t>
            </w:r>
            <w:bookmarkEnd w:id="133"/>
          </w:p>
        </w:tc>
        <w:tc>
          <w:tcPr>
            <w:tcW w:w="5872"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bookmarkStart w:id="134" w:name="_Toc291"/>
            <w:r>
              <w:rPr>
                <w:rFonts w:hint="eastAsia" w:ascii="宋体" w:hAnsi="宋体" w:eastAsia="宋体" w:cs="宋体"/>
                <w:color w:val="auto"/>
                <w:sz w:val="24"/>
                <w:szCs w:val="24"/>
                <w:lang w:val="en-US" w:eastAsia="zh-CN"/>
              </w:rPr>
              <w:t>应急预案全面、安全保障方案详尽、可操作性强，得10分；应急预案较为全面、安全保障方案较为详尽、可操作性较强得6分；应急预案不够全面、安全保障方案不够详尽、可操作性不强，得3分；未提供不得分。</w:t>
            </w:r>
            <w:bookmarkEnd w:id="134"/>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889"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项目负责人</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（5分）</w:t>
            </w:r>
          </w:p>
        </w:tc>
        <w:tc>
          <w:tcPr>
            <w:tcW w:w="5872" w:type="dxa"/>
            <w:noWrap w:val="0"/>
            <w:vAlign w:val="center"/>
          </w:tcPr>
          <w:p>
            <w:pPr>
              <w:jc w:val="left"/>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技术负责人具有园林绿化相关专业高级职称得3分；</w:t>
            </w:r>
          </w:p>
          <w:p>
            <w:pPr>
              <w:jc w:val="left"/>
              <w:rPr>
                <w:rFonts w:hint="default"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项目负责人具有园林绿化相关专业中级（含）及以上职称得2分。未提供不得分。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82"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889"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项目团队</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（10分）</w:t>
            </w:r>
          </w:p>
        </w:tc>
        <w:tc>
          <w:tcPr>
            <w:tcW w:w="5872" w:type="dxa"/>
            <w:noWrap w:val="0"/>
            <w:vAlign w:val="center"/>
          </w:tcPr>
          <w:p>
            <w:pPr>
              <w:spacing w:line="240" w:lineRule="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项目团队健全合理，人员专业配置合理，年度各月的人力资源投入量合理，切合实际的，得10分；</w:t>
            </w:r>
          </w:p>
          <w:p>
            <w:pPr>
              <w:spacing w:line="240" w:lineRule="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项目团队基本健全，人员专业配置基本合理，年度各月的人力资源投入量基本符合实际的，得6分；</w:t>
            </w:r>
          </w:p>
          <w:p>
            <w:pPr>
              <w:spacing w:line="240" w:lineRule="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项目团队基本健全，人员专业配置不合理，年度各月的人力资源投入量不符合实际的，得3分；</w:t>
            </w:r>
          </w:p>
          <w:p>
            <w:pPr>
              <w:spacing w:line="240" w:lineRule="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未提供项目团队和人力资源配置的不得分。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90"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889" w:type="dxa"/>
            <w:noWrap w:val="0"/>
            <w:vAlign w:val="center"/>
          </w:tcPr>
          <w:p>
            <w:pPr>
              <w:widowControl/>
              <w:jc w:val="center"/>
              <w:rPr>
                <w:rFonts w:hint="default"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内部管理制度（7分）</w:t>
            </w:r>
          </w:p>
        </w:tc>
        <w:tc>
          <w:tcPr>
            <w:tcW w:w="5872" w:type="dxa"/>
            <w:noWrap w:val="0"/>
            <w:vAlign w:val="center"/>
          </w:tcPr>
          <w:p>
            <w:pPr>
              <w:widowControl/>
              <w:jc w:val="left"/>
              <w:rPr>
                <w:rFonts w:hint="default" w:ascii="宋体" w:hAnsi="宋体" w:cs="宋体" w:eastAsiaTheme="minorEastAsia"/>
                <w:bCs/>
                <w:color w:val="auto"/>
                <w:kern w:val="2"/>
                <w:sz w:val="24"/>
                <w:szCs w:val="24"/>
                <w:lang w:val="en-US" w:eastAsia="zh-CN" w:bidi="ar-SA"/>
              </w:rPr>
            </w:pPr>
            <w:r>
              <w:rPr>
                <w:rFonts w:hint="default" w:ascii="宋体" w:hAnsi="宋体" w:cs="宋体" w:eastAsiaTheme="minorEastAsia"/>
                <w:bCs/>
                <w:color w:val="auto"/>
                <w:kern w:val="2"/>
                <w:sz w:val="24"/>
                <w:szCs w:val="24"/>
                <w:lang w:val="en-US" w:eastAsia="zh-CN" w:bidi="ar-SA"/>
              </w:rPr>
              <w:t>供应商应提供养护制度包括但不限于内部考核制度，资金管理制度，合同信息管理制度等:</w:t>
            </w:r>
            <w:r>
              <w:rPr>
                <w:rFonts w:hint="eastAsia" w:ascii="宋体" w:hAnsi="宋体" w:cs="宋体"/>
                <w:bCs/>
                <w:color w:val="auto"/>
                <w:kern w:val="2"/>
                <w:sz w:val="24"/>
                <w:szCs w:val="24"/>
                <w:lang w:val="en-US" w:eastAsia="zh-CN" w:bidi="ar-SA"/>
              </w:rPr>
              <w:t>内部管理</w:t>
            </w:r>
            <w:r>
              <w:rPr>
                <w:rFonts w:hint="default" w:ascii="宋体" w:hAnsi="宋体" w:cs="宋体" w:eastAsiaTheme="minorEastAsia"/>
                <w:bCs/>
                <w:color w:val="auto"/>
                <w:kern w:val="2"/>
                <w:sz w:val="24"/>
                <w:szCs w:val="24"/>
                <w:lang w:val="en-US" w:eastAsia="zh-CN" w:bidi="ar-SA"/>
              </w:rPr>
              <w:t>制度全面，合理，可操作性强的，得</w:t>
            </w:r>
            <w:r>
              <w:rPr>
                <w:rFonts w:hint="eastAsia" w:ascii="宋体" w:hAnsi="宋体" w:cs="宋体"/>
                <w:bCs/>
                <w:color w:val="auto"/>
                <w:kern w:val="2"/>
                <w:sz w:val="24"/>
                <w:szCs w:val="24"/>
                <w:lang w:val="en-US" w:eastAsia="zh-CN" w:bidi="ar-SA"/>
              </w:rPr>
              <w:t>7</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；内部管理</w:t>
            </w:r>
            <w:r>
              <w:rPr>
                <w:rFonts w:hint="default" w:ascii="宋体" w:hAnsi="宋体" w:cs="宋体" w:eastAsiaTheme="minorEastAsia"/>
                <w:bCs/>
                <w:color w:val="auto"/>
                <w:kern w:val="2"/>
                <w:sz w:val="24"/>
                <w:szCs w:val="24"/>
                <w:lang w:val="en-US" w:eastAsia="zh-CN" w:bidi="ar-SA"/>
              </w:rPr>
              <w:t>制度较齐全，较合理，有一定的可操作性的</w:t>
            </w:r>
            <w:r>
              <w:rPr>
                <w:rFonts w:hint="eastAsia" w:ascii="宋体" w:hAnsi="宋体" w:cs="宋体"/>
                <w:bCs/>
                <w:color w:val="auto"/>
                <w:kern w:val="2"/>
                <w:sz w:val="24"/>
                <w:szCs w:val="24"/>
                <w:lang w:val="en-US" w:eastAsia="zh-CN" w:bidi="ar-SA"/>
              </w:rPr>
              <w:t>4</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内部管理</w:t>
            </w:r>
            <w:r>
              <w:rPr>
                <w:rFonts w:hint="default" w:ascii="宋体" w:hAnsi="宋体" w:cs="宋体" w:eastAsiaTheme="minorEastAsia"/>
                <w:bCs/>
                <w:color w:val="auto"/>
                <w:kern w:val="2"/>
                <w:sz w:val="24"/>
                <w:szCs w:val="24"/>
                <w:lang w:val="en-US" w:eastAsia="zh-CN" w:bidi="ar-SA"/>
              </w:rPr>
              <w:t>制度不齐全，可以操作性一般的，得</w:t>
            </w:r>
            <w:r>
              <w:rPr>
                <w:rFonts w:hint="eastAsia" w:ascii="宋体" w:hAnsi="宋体" w:cs="宋体"/>
                <w:bCs/>
                <w:color w:val="auto"/>
                <w:kern w:val="2"/>
                <w:sz w:val="24"/>
                <w:szCs w:val="24"/>
                <w:lang w:val="en-US" w:eastAsia="zh-CN" w:bidi="ar-SA"/>
              </w:rPr>
              <w:t>2</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w:t>
            </w:r>
            <w:r>
              <w:rPr>
                <w:rFonts w:hint="default" w:ascii="宋体" w:hAnsi="宋体" w:cs="宋体" w:eastAsiaTheme="minorEastAsia"/>
                <w:bCs/>
                <w:color w:val="auto"/>
                <w:kern w:val="2"/>
                <w:sz w:val="24"/>
                <w:szCs w:val="24"/>
                <w:lang w:val="en-US" w:eastAsia="zh-CN" w:bidi="ar-SA"/>
              </w:rPr>
              <w:t>未提供相关内容的不得分。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90"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889"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安全、文明及环境保护的制度和措施</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（5分）</w:t>
            </w:r>
          </w:p>
        </w:tc>
        <w:tc>
          <w:tcPr>
            <w:tcW w:w="5872" w:type="dxa"/>
            <w:noWrap w:val="0"/>
            <w:vAlign w:val="center"/>
          </w:tcPr>
          <w:p>
            <w:pPr>
              <w:widowControl/>
              <w:jc w:val="left"/>
              <w:rPr>
                <w:rFonts w:hint="default" w:ascii="宋体" w:hAnsi="宋体" w:cs="宋体" w:eastAsiaTheme="minorEastAsia"/>
                <w:bCs/>
                <w:color w:val="auto"/>
                <w:kern w:val="2"/>
                <w:sz w:val="24"/>
                <w:szCs w:val="24"/>
                <w:lang w:val="en-US" w:eastAsia="zh-CN" w:bidi="ar-SA"/>
              </w:rPr>
            </w:pPr>
            <w:bookmarkStart w:id="201" w:name="_GoBack"/>
            <w:r>
              <w:rPr>
                <w:rFonts w:hint="default" w:ascii="宋体" w:hAnsi="宋体" w:cs="宋体" w:eastAsiaTheme="minorEastAsia"/>
                <w:bCs/>
                <w:color w:val="auto"/>
                <w:kern w:val="2"/>
                <w:sz w:val="24"/>
                <w:szCs w:val="24"/>
                <w:lang w:val="en-US" w:eastAsia="zh-CN" w:bidi="ar-SA"/>
              </w:rPr>
              <w:t>管理体系完善合理、保障措施可行的，得</w:t>
            </w:r>
            <w:r>
              <w:rPr>
                <w:rFonts w:hint="eastAsia" w:ascii="宋体" w:hAnsi="宋体" w:cs="宋体"/>
                <w:bCs/>
                <w:color w:val="auto"/>
                <w:kern w:val="2"/>
                <w:sz w:val="24"/>
                <w:szCs w:val="24"/>
                <w:lang w:val="en-US" w:eastAsia="zh-CN" w:bidi="ar-SA"/>
              </w:rPr>
              <w:t>5</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w:t>
            </w:r>
            <w:r>
              <w:rPr>
                <w:rFonts w:hint="default" w:ascii="宋体" w:hAnsi="宋体" w:cs="宋体" w:eastAsiaTheme="minorEastAsia"/>
                <w:bCs/>
                <w:color w:val="auto"/>
                <w:kern w:val="2"/>
                <w:sz w:val="24"/>
                <w:szCs w:val="24"/>
                <w:lang w:val="en-US" w:eastAsia="zh-CN" w:bidi="ar-SA"/>
              </w:rPr>
              <w:t>管理体系基本合理、保障措施基本可行的，得</w:t>
            </w:r>
            <w:r>
              <w:rPr>
                <w:rFonts w:hint="eastAsia" w:ascii="宋体" w:hAnsi="宋体" w:cs="宋体"/>
                <w:bCs/>
                <w:color w:val="auto"/>
                <w:kern w:val="2"/>
                <w:sz w:val="24"/>
                <w:szCs w:val="24"/>
                <w:lang w:val="en-US" w:eastAsia="zh-CN" w:bidi="ar-SA"/>
              </w:rPr>
              <w:t>3</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w:t>
            </w:r>
            <w:r>
              <w:rPr>
                <w:rFonts w:hint="default" w:ascii="宋体" w:hAnsi="宋体" w:cs="宋体" w:eastAsiaTheme="minorEastAsia"/>
                <w:bCs/>
                <w:color w:val="auto"/>
                <w:kern w:val="2"/>
                <w:sz w:val="24"/>
                <w:szCs w:val="24"/>
                <w:lang w:val="en-US" w:eastAsia="zh-CN" w:bidi="ar-SA"/>
              </w:rPr>
              <w:t>管理体系基本合理、保障措施一般的，得</w:t>
            </w:r>
            <w:r>
              <w:rPr>
                <w:rFonts w:hint="eastAsia" w:ascii="宋体" w:hAnsi="宋体" w:cs="宋体"/>
                <w:bCs/>
                <w:color w:val="auto"/>
                <w:kern w:val="2"/>
                <w:sz w:val="24"/>
                <w:szCs w:val="24"/>
                <w:lang w:val="en-US" w:eastAsia="zh-CN" w:bidi="ar-SA"/>
              </w:rPr>
              <w:t>1</w:t>
            </w:r>
            <w:r>
              <w:rPr>
                <w:rFonts w:hint="default" w:ascii="宋体" w:hAnsi="宋体" w:cs="宋体" w:eastAsiaTheme="minorEastAsia"/>
                <w:bCs/>
                <w:color w:val="auto"/>
                <w:kern w:val="2"/>
                <w:sz w:val="24"/>
                <w:szCs w:val="24"/>
                <w:lang w:val="en-US" w:eastAsia="zh-CN" w:bidi="ar-SA"/>
              </w:rPr>
              <w:t>分</w:t>
            </w:r>
            <w:r>
              <w:rPr>
                <w:rFonts w:hint="eastAsia" w:ascii="宋体" w:hAnsi="宋体" w:cs="宋体"/>
                <w:bCs/>
                <w:color w:val="auto"/>
                <w:kern w:val="2"/>
                <w:sz w:val="24"/>
                <w:szCs w:val="24"/>
                <w:lang w:val="en-US" w:eastAsia="zh-CN" w:bidi="ar-SA"/>
              </w:rPr>
              <w:t>；</w:t>
            </w:r>
            <w:r>
              <w:rPr>
                <w:rFonts w:hint="default" w:ascii="宋体" w:hAnsi="宋体" w:cs="宋体" w:eastAsiaTheme="minorEastAsia"/>
                <w:bCs/>
                <w:color w:val="auto"/>
                <w:kern w:val="2"/>
                <w:sz w:val="24"/>
                <w:szCs w:val="24"/>
                <w:lang w:val="en-US" w:eastAsia="zh-CN" w:bidi="ar-SA"/>
              </w:rPr>
              <w:t>管理体系不健全或未提供、无保障措的不得分。</w:t>
            </w:r>
            <w:bookmarkEnd w:id="201"/>
          </w:p>
        </w:tc>
      </w:tr>
    </w:tbl>
    <w:p/>
    <w:p/>
    <w:p>
      <w:pPr>
        <w:widowControl/>
        <w:spacing w:before="624"/>
        <w:ind w:firstLine="480"/>
        <w:jc w:val="left"/>
      </w:pPr>
      <w:r>
        <w:br w:type="page"/>
      </w:r>
    </w:p>
    <w:p>
      <w:pPr>
        <w:pStyle w:val="3"/>
      </w:pPr>
      <w:bookmarkStart w:id="135" w:name="_Toc9058"/>
      <w:r>
        <w:rPr>
          <w:rFonts w:hint="eastAsia"/>
        </w:rPr>
        <w:t>第四章  技术服务需求</w:t>
      </w:r>
      <w:bookmarkEnd w:id="135"/>
    </w:p>
    <w:p>
      <w:pPr>
        <w:pStyle w:val="49"/>
        <w:ind w:firstLine="480"/>
      </w:pPr>
    </w:p>
    <w:p>
      <w:pPr>
        <w:pStyle w:val="34"/>
      </w:pPr>
      <w:bookmarkStart w:id="136" w:name="_Toc28687"/>
      <w:r>
        <w:rPr>
          <w:rFonts w:hint="eastAsia"/>
        </w:rPr>
        <w:t>采购需求一览表</w:t>
      </w:r>
      <w:bookmarkEnd w:id="136"/>
    </w:p>
    <w:tbl>
      <w:tblPr>
        <w:tblStyle w:val="24"/>
        <w:tblW w:w="9506" w:type="dxa"/>
        <w:tblInd w:w="0" w:type="dxa"/>
        <w:shd w:val="clear" w:color="auto" w:fill="FFFFFF"/>
        <w:tblLayout w:type="fixed"/>
        <w:tblCellMar>
          <w:top w:w="0" w:type="dxa"/>
          <w:left w:w="0" w:type="dxa"/>
          <w:bottom w:w="0" w:type="dxa"/>
          <w:right w:w="0" w:type="dxa"/>
        </w:tblCellMar>
      </w:tblPr>
      <w:tblGrid>
        <w:gridCol w:w="700"/>
        <w:gridCol w:w="1056"/>
        <w:gridCol w:w="1000"/>
        <w:gridCol w:w="420"/>
        <w:gridCol w:w="960"/>
        <w:gridCol w:w="990"/>
        <w:gridCol w:w="930"/>
        <w:gridCol w:w="3450"/>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99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93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项目基本概况：</w:t>
            </w:r>
          </w:p>
        </w:tc>
      </w:tr>
      <w:tr>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color w:val="auto"/>
                <w:sz w:val="21"/>
              </w:rPr>
              <w:t>1</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鹰山区域绿地养护项目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鹰山区域绿地养护项目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556</w:t>
            </w:r>
            <w:r>
              <w:rPr>
                <w:rFonts w:hint="eastAsia"/>
                <w:color w:val="auto"/>
                <w:sz w:val="21"/>
                <w:lang w:eastAsia="zh-CN"/>
              </w:rPr>
              <w:t>.</w:t>
            </w:r>
            <w:r>
              <w:rPr>
                <w:rFonts w:hint="eastAsia"/>
                <w:color w:val="auto"/>
                <w:sz w:val="21"/>
              </w:rPr>
              <w:t>120616</w:t>
            </w:r>
          </w:p>
        </w:tc>
        <w:tc>
          <w:tcPr>
            <w:tcW w:w="990" w:type="dxa"/>
            <w:vMerge w:val="restart"/>
            <w:tcBorders>
              <w:top w:val="single" w:color="auto" w:sz="4" w:space="0"/>
              <w:left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lang w:eastAsia="zh-CN"/>
              </w:rPr>
              <w:t>自合同签订之日至2024年12月31日</w:t>
            </w:r>
            <w:r>
              <w:rPr>
                <w:rFonts w:hint="eastAsia"/>
                <w:color w:val="auto"/>
                <w:sz w:val="21"/>
                <w:lang w:val="en-US" w:eastAsia="zh-CN"/>
              </w:rPr>
              <w:t>。</w:t>
            </w:r>
          </w:p>
        </w:tc>
        <w:tc>
          <w:tcPr>
            <w:tcW w:w="930" w:type="dxa"/>
            <w:vMerge w:val="restart"/>
            <w:tcBorders>
              <w:top w:val="single" w:color="auto" w:sz="4" w:space="0"/>
              <w:left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鹰山区域绿地养护项目，面积为84.6356万平方米，养护范围包含鹰山、北坡古民居、广东园、福建园、梦唐园、江苏园及樱花园二期。</w:t>
            </w:r>
          </w:p>
        </w:tc>
      </w:tr>
      <w:tr>
        <w:tblPrEx>
          <w:tblCellMar>
            <w:top w:w="0" w:type="dxa"/>
            <w:left w:w="0" w:type="dxa"/>
            <w:bottom w:w="0" w:type="dxa"/>
            <w:right w:w="0" w:type="dxa"/>
          </w:tblCellMar>
        </w:tblPrEx>
        <w:trPr>
          <w:trHeight w:val="939"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2</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锦绣谷区域绿地养护项目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锦绣谷区域绿地养护项目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147</w:t>
            </w:r>
            <w:r>
              <w:rPr>
                <w:rFonts w:hint="eastAsia"/>
                <w:color w:val="auto"/>
                <w:sz w:val="21"/>
                <w:lang w:val="en-US" w:eastAsia="zh-CN"/>
              </w:rPr>
              <w:t>.</w:t>
            </w:r>
            <w:r>
              <w:rPr>
                <w:rFonts w:hint="eastAsia"/>
                <w:color w:val="auto"/>
                <w:sz w:val="21"/>
              </w:rPr>
              <w:t>102404</w:t>
            </w:r>
          </w:p>
        </w:tc>
        <w:tc>
          <w:tcPr>
            <w:tcW w:w="990" w:type="dxa"/>
            <w:vMerge w:val="continue"/>
            <w:tcBorders>
              <w:left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930" w:type="dxa"/>
            <w:vMerge w:val="continue"/>
            <w:tcBorders>
              <w:left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jc w:val="left"/>
              <w:rPr>
                <w:rFonts w:hint="eastAsia"/>
                <w:color w:val="auto"/>
                <w:sz w:val="21"/>
              </w:rPr>
            </w:pPr>
            <w:r>
              <w:rPr>
                <w:rFonts w:hint="eastAsia"/>
                <w:color w:val="auto"/>
                <w:sz w:val="21"/>
              </w:rPr>
              <w:t>锦绣谷区域绿地养护项目，面积为23.0494万平方米，养护范围包含锦绣谷及中轴路八大花岛。</w:t>
            </w:r>
          </w:p>
        </w:tc>
      </w:tr>
      <w:tr>
        <w:tblPrEx>
          <w:shd w:val="clear" w:color="auto" w:fill="FFFFFF"/>
          <w:tblCellMar>
            <w:top w:w="0" w:type="dxa"/>
            <w:left w:w="0" w:type="dxa"/>
            <w:bottom w:w="0" w:type="dxa"/>
            <w:right w:w="0" w:type="dxa"/>
          </w:tblCellMar>
        </w:tblPrEx>
        <w:trPr>
          <w:trHeight w:val="1019"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lang w:val="en-US" w:eastAsia="zh-CN"/>
              </w:rPr>
              <w:t>3</w:t>
            </w:r>
          </w:p>
        </w:tc>
        <w:tc>
          <w:tcPr>
            <w:tcW w:w="10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公共展园区域绿地养护项目</w:t>
            </w:r>
          </w:p>
        </w:tc>
        <w:tc>
          <w:tcPr>
            <w:tcW w:w="100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left"/>
              <w:rPr>
                <w:rFonts w:asciiTheme="minorEastAsia" w:hAnsiTheme="minorHAnsi" w:eastAsiaTheme="minorEastAsia" w:cstheme="minorBidi"/>
                <w:color w:val="auto"/>
                <w:kern w:val="2"/>
                <w:sz w:val="21"/>
                <w:szCs w:val="21"/>
                <w:lang w:val="en-US" w:eastAsia="zh-CN" w:bidi="ar-SA"/>
              </w:rPr>
            </w:pPr>
            <w:r>
              <w:rPr>
                <w:rFonts w:hint="eastAsia"/>
                <w:color w:val="auto"/>
                <w:sz w:val="21"/>
              </w:rPr>
              <w:t>公共展园区域绿地养护项目</w:t>
            </w:r>
          </w:p>
        </w:tc>
        <w:tc>
          <w:tcPr>
            <w:tcW w:w="4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723</w:t>
            </w:r>
            <w:r>
              <w:rPr>
                <w:rFonts w:hint="eastAsia"/>
                <w:color w:val="auto"/>
                <w:sz w:val="21"/>
                <w:lang w:eastAsia="zh-CN"/>
              </w:rPr>
              <w:t>.</w:t>
            </w:r>
            <w:r>
              <w:rPr>
                <w:rFonts w:hint="eastAsia"/>
                <w:color w:val="auto"/>
                <w:sz w:val="21"/>
              </w:rPr>
              <w:t>231156</w:t>
            </w:r>
          </w:p>
        </w:tc>
        <w:tc>
          <w:tcPr>
            <w:tcW w:w="990" w:type="dxa"/>
            <w:vMerge w:val="continue"/>
            <w:tcBorders>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930" w:type="dxa"/>
            <w:vMerge w:val="continue"/>
            <w:tcBorders>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p>
        </w:tc>
        <w:tc>
          <w:tcPr>
            <w:tcW w:w="34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pPr>
              <w:spacing w:line="240" w:lineRule="auto"/>
              <w:rPr>
                <w:color w:val="auto"/>
                <w:sz w:val="21"/>
              </w:rPr>
            </w:pPr>
            <w:r>
              <w:rPr>
                <w:rFonts w:hint="eastAsia"/>
                <w:color w:val="auto"/>
                <w:sz w:val="21"/>
              </w:rPr>
              <w:t>公共展园区域绿地养护项目，面积为94.4166万平方米，养护范围为除以上项目范围外的公共展园区域。</w:t>
            </w:r>
          </w:p>
        </w:tc>
      </w:tr>
    </w:tbl>
    <w:p/>
    <w:p>
      <w:pPr>
        <w:pStyle w:val="34"/>
      </w:pPr>
      <w:bookmarkStart w:id="137" w:name="_Toc23481"/>
      <w:r>
        <w:rPr>
          <w:rFonts w:hint="eastAsia"/>
        </w:rPr>
        <w:t>技术需求</w:t>
      </w:r>
      <w:bookmarkEnd w:id="137"/>
    </w:p>
    <w:p>
      <w:pPr>
        <w:pStyle w:val="78"/>
        <w:keepNext w:val="0"/>
        <w:keepLines w:val="0"/>
        <w:pageBreakBefore w:val="0"/>
        <w:kinsoku/>
        <w:wordWrap/>
        <w:overflowPunct/>
        <w:topLinePunct w:val="0"/>
        <w:autoSpaceDE/>
        <w:autoSpaceDN/>
        <w:bidi w:val="0"/>
        <w:spacing w:line="360" w:lineRule="auto"/>
        <w:ind w:firstLine="482" w:firstLineChars="200"/>
        <w:textAlignment w:val="auto"/>
        <w:outlineLvl w:val="0"/>
        <w:rPr>
          <w:rFonts w:hint="default" w:asciiTheme="minorEastAsia" w:hAnsiTheme="minorEastAsia" w:eastAsiaTheme="minorEastAsia" w:cstheme="minorEastAsia"/>
          <w:bCs/>
          <w:sz w:val="24"/>
          <w:szCs w:val="24"/>
          <w:lang w:val="en-US" w:eastAsia="zh-CN"/>
        </w:rPr>
      </w:pPr>
      <w:bookmarkStart w:id="138" w:name="_Toc21226"/>
      <w:bookmarkStart w:id="139" w:name="_Toc8152"/>
      <w:r>
        <w:rPr>
          <w:rFonts w:hint="eastAsia" w:asciiTheme="minorEastAsia" w:hAnsiTheme="minorEastAsia" w:eastAsiaTheme="minorEastAsia" w:cstheme="minorEastAsia"/>
          <w:b/>
          <w:bCs w:val="0"/>
          <w:sz w:val="24"/>
          <w:szCs w:val="24"/>
        </w:rPr>
        <w:t>一、</w:t>
      </w:r>
      <w:r>
        <w:rPr>
          <w:rFonts w:hint="eastAsia" w:hAnsiTheme="minorEastAsia" w:cstheme="minorEastAsia"/>
          <w:b/>
          <w:bCs w:val="0"/>
          <w:sz w:val="24"/>
          <w:szCs w:val="24"/>
          <w:lang w:val="en-US" w:eastAsia="zh-CN"/>
        </w:rPr>
        <w:t>项目概况</w:t>
      </w:r>
      <w:bookmarkEnd w:id="138"/>
      <w:bookmarkEnd w:id="13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i w:val="0"/>
          <w:iCs w:val="0"/>
          <w:caps w:val="0"/>
          <w:color w:val="000000"/>
          <w:spacing w:val="0"/>
          <w:sz w:val="24"/>
          <w:szCs w:val="24"/>
          <w:lang w:eastAsia="zh-CN"/>
        </w:rPr>
        <w:t>北京园博园绿地</w:t>
      </w:r>
      <w:r>
        <w:rPr>
          <w:rFonts w:hint="eastAsia" w:asciiTheme="minorEastAsia" w:hAnsiTheme="minorEastAsia" w:eastAsiaTheme="minorEastAsia" w:cstheme="minorEastAsia"/>
          <w:i w:val="0"/>
          <w:iCs w:val="0"/>
          <w:caps w:val="0"/>
          <w:color w:val="000000"/>
          <w:spacing w:val="0"/>
          <w:sz w:val="24"/>
          <w:szCs w:val="24"/>
          <w:lang w:val="en-US" w:eastAsia="zh-CN"/>
        </w:rPr>
        <w:t>面积</w:t>
      </w:r>
      <w:r>
        <w:rPr>
          <w:rFonts w:hint="eastAsia" w:asciiTheme="minorEastAsia" w:hAnsiTheme="minorEastAsia" w:eastAsiaTheme="minorEastAsia" w:cstheme="minorEastAsia"/>
          <w:i w:val="0"/>
          <w:iCs w:val="0"/>
          <w:caps w:val="0"/>
          <w:color w:val="000000"/>
          <w:spacing w:val="0"/>
          <w:sz w:val="24"/>
          <w:szCs w:val="24"/>
          <w:lang w:eastAsia="zh-CN"/>
        </w:rPr>
        <w:t>202.1</w:t>
      </w:r>
      <w:r>
        <w:rPr>
          <w:rFonts w:hint="eastAsia" w:asciiTheme="minorEastAsia" w:hAnsiTheme="minorEastAsia" w:eastAsiaTheme="minorEastAsia" w:cstheme="minorEastAsia"/>
          <w:i w:val="0"/>
          <w:iCs w:val="0"/>
          <w:caps w:val="0"/>
          <w:color w:val="000000"/>
          <w:spacing w:val="0"/>
          <w:sz w:val="24"/>
          <w:szCs w:val="24"/>
          <w:lang w:val="en-US" w:eastAsia="zh-CN"/>
        </w:rPr>
        <w:t>016万平米，</w:t>
      </w:r>
      <w:r>
        <w:rPr>
          <w:rFonts w:hint="eastAsia" w:asciiTheme="minorEastAsia" w:hAnsiTheme="minorEastAsia" w:eastAsiaTheme="minorEastAsia" w:cstheme="minorEastAsia"/>
          <w:i w:val="0"/>
          <w:iCs w:val="0"/>
          <w:caps w:val="0"/>
          <w:color w:val="000000"/>
          <w:spacing w:val="0"/>
          <w:sz w:val="24"/>
          <w:szCs w:val="24"/>
          <w:lang w:eastAsia="zh-CN"/>
        </w:rPr>
        <w:t>按照《北京市公园分类分级管理办法》（京绿办发〔2022〕148号）</w:t>
      </w:r>
      <w:r>
        <w:rPr>
          <w:rFonts w:hint="eastAsia" w:asciiTheme="minorEastAsia" w:hAnsiTheme="minorEastAsia" w:eastAsiaTheme="minorEastAsia" w:cstheme="minorEastAsia"/>
          <w:i w:val="0"/>
          <w:iCs w:val="0"/>
          <w:caps w:val="0"/>
          <w:color w:val="000000"/>
          <w:spacing w:val="0"/>
          <w:sz w:val="24"/>
          <w:szCs w:val="24"/>
          <w:lang w:val="en-US" w:eastAsia="zh-CN"/>
        </w:rPr>
        <w:t>划分我</w:t>
      </w:r>
      <w:r>
        <w:rPr>
          <w:rFonts w:hint="eastAsia" w:asciiTheme="minorEastAsia" w:hAnsiTheme="minorEastAsia" w:eastAsiaTheme="minorEastAsia" w:cstheme="minorEastAsia"/>
          <w:i w:val="0"/>
          <w:iCs w:val="0"/>
          <w:caps w:val="0"/>
          <w:color w:val="000000"/>
          <w:spacing w:val="0"/>
          <w:sz w:val="24"/>
          <w:szCs w:val="24"/>
          <w:lang w:eastAsia="zh-CN"/>
        </w:rPr>
        <w:t>园为一级专类公园，园区先后获批了国家4A级旅游景区、北京市精品公园、北京市园林绿化科普教育基地，</w:t>
      </w:r>
      <w:r>
        <w:rPr>
          <w:rFonts w:hint="eastAsia" w:asciiTheme="minorEastAsia" w:hAnsiTheme="minorEastAsia" w:eastAsiaTheme="minorEastAsia" w:cstheme="minorEastAsia"/>
          <w:i w:val="0"/>
          <w:iCs w:val="0"/>
          <w:caps w:val="0"/>
          <w:color w:val="000000"/>
          <w:spacing w:val="0"/>
          <w:sz w:val="24"/>
          <w:szCs w:val="24"/>
          <w:lang w:val="en-US" w:eastAsia="zh-CN"/>
        </w:rPr>
        <w:t>为做好园区绿地养护工作拟开展园区绿地养护服务采购。</w:t>
      </w:r>
    </w:p>
    <w:p>
      <w:pPr>
        <w:pStyle w:val="78"/>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Theme="minorEastAsia" w:hAnsiTheme="minorEastAsia" w:eastAsiaTheme="minorEastAsia" w:cstheme="minorEastAsia"/>
          <w:b/>
          <w:bCs w:val="0"/>
          <w:sz w:val="24"/>
          <w:szCs w:val="24"/>
        </w:rPr>
      </w:pPr>
      <w:bookmarkStart w:id="140" w:name="_Toc2453"/>
      <w:bookmarkStart w:id="141" w:name="_Toc32321"/>
      <w:r>
        <w:rPr>
          <w:rFonts w:hint="eastAsia" w:hAnsiTheme="minorEastAsia" w:cstheme="minorEastAsia"/>
          <w:b/>
          <w:bCs w:val="0"/>
          <w:sz w:val="24"/>
          <w:szCs w:val="24"/>
          <w:lang w:val="en-US" w:eastAsia="zh-CN"/>
        </w:rPr>
        <w:t>二</w:t>
      </w:r>
      <w:r>
        <w:rPr>
          <w:rFonts w:hint="eastAsia" w:asciiTheme="minorEastAsia" w:hAnsiTheme="minorEastAsia" w:eastAsiaTheme="minorEastAsia" w:cstheme="minorEastAsia"/>
          <w:b/>
          <w:bCs w:val="0"/>
          <w:sz w:val="24"/>
          <w:szCs w:val="24"/>
        </w:rPr>
        <w:t>、采购内容</w:t>
      </w:r>
      <w:bookmarkEnd w:id="140"/>
      <w:bookmarkEnd w:id="14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rPr>
        <w:t>将</w:t>
      </w:r>
      <w:r>
        <w:rPr>
          <w:rFonts w:hint="eastAsia" w:asciiTheme="minorEastAsia" w:hAnsiTheme="minorEastAsia" w:eastAsiaTheme="minorEastAsia" w:cstheme="minorEastAsia"/>
          <w:color w:val="000000"/>
          <w:sz w:val="24"/>
          <w:szCs w:val="24"/>
          <w:lang w:val="en-US" w:eastAsia="zh-CN"/>
        </w:rPr>
        <w:t>绿地养护</w:t>
      </w:r>
      <w:r>
        <w:rPr>
          <w:rFonts w:hint="eastAsia" w:asciiTheme="minorEastAsia" w:hAnsiTheme="minorEastAsia" w:eastAsiaTheme="minorEastAsia" w:cstheme="minorEastAsia"/>
          <w:color w:val="000000"/>
          <w:sz w:val="24"/>
          <w:szCs w:val="24"/>
        </w:rPr>
        <w:t>项目外包给</w:t>
      </w:r>
      <w:r>
        <w:rPr>
          <w:rFonts w:hint="eastAsia" w:asciiTheme="minorEastAsia" w:hAnsiTheme="minorEastAsia" w:eastAsiaTheme="minorEastAsia" w:cstheme="minorEastAsia"/>
          <w:color w:val="000000"/>
          <w:sz w:val="24"/>
          <w:szCs w:val="24"/>
          <w:lang w:eastAsia="zh-CN"/>
        </w:rPr>
        <w:t>符合条件的供应商</w:t>
      </w:r>
      <w:r>
        <w:rPr>
          <w:rFonts w:hint="eastAsia" w:asciiTheme="minorEastAsia" w:hAnsiTheme="minorEastAsia" w:eastAsiaTheme="minorEastAsia" w:cstheme="minorEastAsia"/>
          <w:color w:val="000000"/>
          <w:sz w:val="24"/>
          <w:szCs w:val="24"/>
        </w:rPr>
        <w:t>，要求</w:t>
      </w:r>
      <w:r>
        <w:rPr>
          <w:rFonts w:hint="eastAsia" w:asciiTheme="minorEastAsia" w:hAnsiTheme="minorEastAsia" w:eastAsiaTheme="minorEastAsia" w:cstheme="minorEastAsia"/>
          <w:color w:val="000000"/>
          <w:sz w:val="24"/>
          <w:szCs w:val="24"/>
          <w:lang w:eastAsia="zh-CN"/>
        </w:rPr>
        <w:t>供应商</w:t>
      </w:r>
      <w:r>
        <w:rPr>
          <w:rFonts w:hint="eastAsia" w:asciiTheme="minorEastAsia" w:hAnsiTheme="minorEastAsia" w:eastAsiaTheme="minorEastAsia" w:cstheme="minorEastAsia"/>
          <w:color w:val="000000"/>
          <w:sz w:val="24"/>
          <w:szCs w:val="24"/>
        </w:rPr>
        <w:t>派出服务和管理人员</w:t>
      </w:r>
      <w:r>
        <w:rPr>
          <w:rFonts w:hint="eastAsia" w:asciiTheme="minorEastAsia" w:hAnsiTheme="minorEastAsia" w:eastAsiaTheme="minorEastAsia" w:cstheme="minorEastAsia"/>
          <w:color w:val="000000"/>
          <w:sz w:val="24"/>
          <w:szCs w:val="24"/>
          <w:lang w:val="en-US" w:eastAsia="zh-CN"/>
        </w:rPr>
        <w:t>对现有202.1016万平方米绿地进行养护管理工作，</w:t>
      </w:r>
      <w:r>
        <w:rPr>
          <w:rFonts w:hint="eastAsia" w:asciiTheme="minorEastAsia" w:hAnsiTheme="minorEastAsia" w:eastAsiaTheme="minorEastAsia" w:cstheme="minorEastAsia"/>
          <w:sz w:val="24"/>
          <w:szCs w:val="24"/>
          <w:highlight w:val="none"/>
          <w:lang w:val="en-US" w:eastAsia="zh-CN"/>
        </w:rPr>
        <w:t>服务期限2024年度。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1.绿地养护工作及工作量</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1.1养护工作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1.1.1常态化养护工作: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1.浇水     2.施肥</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3.病虫防治 4.修剪</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5.中耕除草 6.打孔疏草</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7.园林生产垃圾收集运输</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8.绿地管理巡视</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9.展园安全隐患巡视</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10.护林防火巡视</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11.计划总结管理</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1.1.2依据实际发生的养护工作：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1.补植    2.支撑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3.防盐    4.防涝</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5.防寒    6.防风</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7.种植调整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lang w:val="en-US" w:eastAsia="zh-CN"/>
        </w:rPr>
        <w:t>园内园林科普标识的设计与制作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lang w:val="en-US" w:eastAsia="zh-CN"/>
        </w:rPr>
        <w:t>展园内道路铺装维护工作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lang w:val="en-US" w:eastAsia="zh-CN"/>
        </w:rPr>
        <w:t>喷灌支管线的维修工作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11.展园景观维护工作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highlight w:val="none"/>
          <w:lang w:val="en-US" w:eastAsia="zh-CN"/>
        </w:rPr>
        <w:t>.绿化相关防汛工作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13.配合园博园工程收尾及盘点工作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14.配合园区重大活动保障工作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15.按照采购人标准统一工作人员服装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16.根据采购人要求开展特养特护工作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17.其他采购人安排的临时任务</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1.2养护工作量</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drawing>
          <wp:anchor distT="0" distB="0" distL="114300" distR="114300" simplePos="0" relativeHeight="251660288" behindDoc="0" locked="0" layoutInCell="1" allowOverlap="1">
            <wp:simplePos x="0" y="0"/>
            <wp:positionH relativeFrom="column">
              <wp:posOffset>-355600</wp:posOffset>
            </wp:positionH>
            <wp:positionV relativeFrom="paragraph">
              <wp:posOffset>389255</wp:posOffset>
            </wp:positionV>
            <wp:extent cx="6390005" cy="3106420"/>
            <wp:effectExtent l="0" t="0" r="10795" b="5080"/>
            <wp:wrapSquare wrapText="bothSides"/>
            <wp:docPr id="5" name="图片 3" descr="京办_2024022016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京办_20240220162502"/>
                    <pic:cNvPicPr>
                      <a:picLocks noChangeAspect="1"/>
                    </pic:cNvPicPr>
                  </pic:nvPicPr>
                  <pic:blipFill>
                    <a:blip r:embed="rId13"/>
                    <a:stretch>
                      <a:fillRect/>
                    </a:stretch>
                  </pic:blipFill>
                  <pic:spPr>
                    <a:xfrm>
                      <a:off x="0" y="0"/>
                      <a:ext cx="6390005" cy="3106420"/>
                    </a:xfrm>
                    <a:prstGeom prst="rect">
                      <a:avLst/>
                    </a:prstGeom>
                    <a:noFill/>
                    <a:ln>
                      <a:noFill/>
                    </a:ln>
                  </pic:spPr>
                </pic:pic>
              </a:graphicData>
            </a:graphic>
          </wp:anchor>
        </w:drawing>
      </w:r>
      <w:r>
        <w:rPr>
          <w:rFonts w:hint="eastAsia" w:asciiTheme="minorEastAsia" w:hAnsiTheme="minorEastAsia" w:eastAsiaTheme="minorEastAsia" w:cstheme="minorEastAsia"/>
          <w:sz w:val="24"/>
          <w:szCs w:val="24"/>
          <w:highlight w:val="none"/>
          <w:lang w:val="en-US" w:eastAsia="zh-CN"/>
        </w:rPr>
        <w:t>1.2.1常态化养护工作量:</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1.2.2依据实际发生的养护工作量: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1.补植：当林木死亡时据实发生。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2.支撑：因补植或防风等需要时据实发生。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3.防盐：因防盐需要时据实发生。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4.防涝：当绿地发生洪涝时据实发生。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5.防寒：因防寒需要时据实发生。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6.防风：因防风需要时据实发生。 </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7.种植调整：因甲方需要时进行调整，全年不超过300株。</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8.园内园林科普标识的设计与制作：当甲方需要设计与制作时，全年不超过2000个标识。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lang w:val="en-US" w:eastAsia="zh-CN"/>
        </w:rPr>
        <w:t>展园内道路铺装维护工作</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lang w:val="en-US" w:eastAsia="zh-CN"/>
        </w:rPr>
        <w:t>53个展园内道路铺装发生损坏时，一周内完成维修（周最低平均气温低于0度时除外）。</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lang w:val="en-US" w:eastAsia="zh-CN"/>
        </w:rPr>
        <w:t>喷灌支管线维修工作</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lang w:val="en-US" w:eastAsia="zh-CN"/>
        </w:rPr>
        <w:t>当喷灌支管线发生损坏时，一周内完成维修（周最低平均气温低于0度时除外）。</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11.展园景观维护工作：当展园景观需要维护时，据实发生。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highlight w:val="none"/>
          <w:lang w:val="en-US" w:eastAsia="zh-CN"/>
        </w:rPr>
        <w:t>.绿化相关防汛工作：汛期按甲方要求组建防汛抢险队伍，据实际情况开展防汛工作。</w:t>
      </w:r>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42" w:name="_Toc1980"/>
      <w:r>
        <w:rPr>
          <w:rFonts w:hint="eastAsia" w:asciiTheme="minorEastAsia" w:hAnsiTheme="minorEastAsia" w:eastAsiaTheme="minorEastAsia" w:cstheme="minorEastAsia"/>
          <w:kern w:val="2"/>
          <w:sz w:val="24"/>
          <w:szCs w:val="24"/>
          <w:highlight w:val="none"/>
          <w:lang w:val="en-US" w:eastAsia="zh-CN" w:bidi="ar-SA"/>
        </w:rPr>
        <w:t>13.配合园博园工程收尾及盘点工作</w:t>
      </w:r>
      <w:bookmarkEnd w:id="142"/>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43" w:name="_Toc545"/>
      <w:r>
        <w:rPr>
          <w:rFonts w:hint="eastAsia" w:asciiTheme="minorEastAsia" w:hAnsiTheme="minorEastAsia" w:eastAsiaTheme="minorEastAsia" w:cstheme="minorEastAsia"/>
          <w:kern w:val="2"/>
          <w:sz w:val="24"/>
          <w:szCs w:val="24"/>
          <w:highlight w:val="none"/>
          <w:lang w:val="en-US" w:eastAsia="zh-CN" w:bidi="ar-SA"/>
        </w:rPr>
        <w:t>14.配合园区重大活动保障工作</w:t>
      </w:r>
      <w:bookmarkEnd w:id="143"/>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44" w:name="_Toc32661"/>
      <w:r>
        <w:rPr>
          <w:rFonts w:hint="eastAsia" w:asciiTheme="minorEastAsia" w:hAnsiTheme="minorEastAsia" w:eastAsiaTheme="minorEastAsia" w:cstheme="minorEastAsia"/>
          <w:kern w:val="2"/>
          <w:sz w:val="24"/>
          <w:szCs w:val="24"/>
          <w:highlight w:val="none"/>
          <w:lang w:val="en-US" w:eastAsia="zh-CN" w:bidi="ar-SA"/>
        </w:rPr>
        <w:t>15.按照采购人标准统一工作人员服装</w:t>
      </w:r>
      <w:bookmarkEnd w:id="144"/>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45" w:name="_Toc8124"/>
      <w:r>
        <w:rPr>
          <w:rFonts w:hint="eastAsia" w:asciiTheme="minorEastAsia" w:hAnsiTheme="minorEastAsia" w:eastAsiaTheme="minorEastAsia" w:cstheme="minorEastAsia"/>
          <w:kern w:val="2"/>
          <w:sz w:val="24"/>
          <w:szCs w:val="24"/>
          <w:highlight w:val="none"/>
          <w:lang w:val="en-US" w:eastAsia="zh-CN" w:bidi="ar-SA"/>
        </w:rPr>
        <w:t>16.根据采购人要求开展特养特护工作</w:t>
      </w:r>
      <w:bookmarkEnd w:id="145"/>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pPr>
      <w:bookmarkStart w:id="146" w:name="_Toc6771"/>
      <w:r>
        <w:rPr>
          <w:rFonts w:hint="eastAsia" w:asciiTheme="minorEastAsia" w:hAnsiTheme="minorEastAsia" w:eastAsiaTheme="minorEastAsia" w:cstheme="minorEastAsia"/>
          <w:kern w:val="2"/>
          <w:sz w:val="24"/>
          <w:szCs w:val="24"/>
          <w:highlight w:val="none"/>
          <w:lang w:val="en-US" w:eastAsia="zh-CN" w:bidi="ar-SA"/>
        </w:rPr>
        <w:t>17.其他采购人安排的临时任务</w:t>
      </w:r>
      <w:bookmarkEnd w:id="146"/>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eastAsia"/>
          <w:lang w:val="en-US" w:eastAsia="zh-CN"/>
        </w:rPr>
      </w:pPr>
      <w:bookmarkStart w:id="147" w:name="_Toc27323"/>
      <w:r>
        <w:rPr>
          <w:rFonts w:hint="eastAsia"/>
          <w:lang w:val="en-US" w:eastAsia="zh-CN"/>
        </w:rPr>
        <w:t>以上养护工作所需全部生产工具、养护作业车辆及耗材等全部由中标人自行负责与承担费用。</w:t>
      </w:r>
      <w:bookmarkEnd w:id="147"/>
    </w:p>
    <w:p>
      <w:pPr>
        <w:keepNext w:val="0"/>
        <w:keepLines w:val="0"/>
        <w:pageBreakBefore w:val="0"/>
        <w:widowControl w:val="0"/>
        <w:kinsoku/>
        <w:wordWrap/>
        <w:overflowPunct/>
        <w:topLinePunct w:val="0"/>
        <w:autoSpaceDE/>
        <w:autoSpaceDN/>
        <w:bidi w:val="0"/>
        <w:spacing w:line="360" w:lineRule="auto"/>
        <w:ind w:left="0" w:leftChars="0" w:firstLine="480" w:firstLineChars="200"/>
        <w:jc w:val="both"/>
        <w:textAlignment w:val="auto"/>
        <w:outlineLvl w:val="0"/>
        <w:rPr>
          <w:rFonts w:hint="default"/>
          <w:lang w:val="en-US" w:eastAsia="zh-CN"/>
        </w:rPr>
      </w:pPr>
      <w:bookmarkStart w:id="148" w:name="_Toc715"/>
      <w:r>
        <w:rPr>
          <w:rFonts w:hint="eastAsia"/>
          <w:lang w:val="en-US" w:eastAsia="zh-CN"/>
        </w:rPr>
        <w:t>在用水高峰期如以上养护工作使用园区两口自备井（编号分别为952、629号）保障供水，产生的水费依据水务部门的要求和定价按照三个包件中标人所负责养护面积分摊。</w:t>
      </w:r>
      <w:bookmarkEnd w:id="148"/>
    </w:p>
    <w:p>
      <w:pPr>
        <w:keepNext w:val="0"/>
        <w:keepLines w:val="0"/>
        <w:pageBreakBefore w:val="0"/>
        <w:widowControl w:val="0"/>
        <w:kinsoku/>
        <w:wordWrap/>
        <w:overflowPunct/>
        <w:topLinePunct w:val="0"/>
        <w:autoSpaceDE/>
        <w:autoSpaceDN/>
        <w:bidi w:val="0"/>
        <w:spacing w:line="360" w:lineRule="auto"/>
        <w:ind w:left="0" w:leftChars="0" w:firstLine="482" w:firstLineChars="200"/>
        <w:jc w:val="both"/>
        <w:textAlignment w:val="auto"/>
        <w:outlineLvl w:val="0"/>
        <w:rPr>
          <w:rFonts w:hint="eastAsia" w:asciiTheme="minorEastAsia" w:hAnsiTheme="minorEastAsia" w:eastAsiaTheme="minorEastAsia" w:cstheme="minorEastAsia"/>
          <w:b/>
          <w:bCs w:val="0"/>
          <w:kern w:val="2"/>
          <w:sz w:val="24"/>
          <w:szCs w:val="24"/>
          <w:lang w:val="en-US" w:eastAsia="zh-CN" w:bidi="ar-SA"/>
        </w:rPr>
      </w:pPr>
      <w:bookmarkStart w:id="149" w:name="_Toc335"/>
      <w:r>
        <w:rPr>
          <w:rFonts w:hint="eastAsia" w:asciiTheme="minorEastAsia" w:hAnsiTheme="minorEastAsia" w:eastAsiaTheme="minorEastAsia" w:cstheme="minorEastAsia"/>
          <w:b/>
          <w:bCs w:val="0"/>
          <w:kern w:val="2"/>
          <w:sz w:val="24"/>
          <w:szCs w:val="24"/>
          <w:lang w:val="en-US" w:eastAsia="zh-CN" w:bidi="ar-SA"/>
        </w:rPr>
        <w:t>三、质量标准</w:t>
      </w:r>
      <w:bookmarkEnd w:id="149"/>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0" w:name="_Toc19802"/>
      <w:r>
        <w:rPr>
          <w:rFonts w:hint="eastAsia" w:asciiTheme="minorEastAsia" w:hAnsiTheme="minorEastAsia" w:eastAsiaTheme="minorEastAsia" w:cstheme="minorEastAsia"/>
          <w:kern w:val="2"/>
          <w:sz w:val="24"/>
          <w:szCs w:val="24"/>
          <w:highlight w:val="none"/>
          <w:lang w:val="en-US" w:eastAsia="zh-CN" w:bidi="ar-SA"/>
        </w:rPr>
        <w:t>服务标准：</w:t>
      </w:r>
      <w:bookmarkEnd w:id="150"/>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1" w:name="_Toc32612"/>
      <w:r>
        <w:rPr>
          <w:rFonts w:hint="eastAsia" w:asciiTheme="minorEastAsia" w:hAnsiTheme="minorEastAsia" w:eastAsiaTheme="minorEastAsia" w:cstheme="minorEastAsia"/>
          <w:kern w:val="2"/>
          <w:sz w:val="24"/>
          <w:szCs w:val="24"/>
          <w:highlight w:val="none"/>
          <w:lang w:val="en-US" w:eastAsia="zh-CN" w:bidi="ar-SA"/>
        </w:rPr>
        <w:t>（1）《中华人民共和国城市绿化条例》</w:t>
      </w:r>
      <w:bookmarkEnd w:id="151"/>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2" w:name="_Toc8178"/>
      <w:r>
        <w:rPr>
          <w:rFonts w:hint="eastAsia" w:asciiTheme="minorEastAsia" w:hAnsiTheme="minorEastAsia" w:eastAsiaTheme="minorEastAsia" w:cstheme="minorEastAsia"/>
          <w:kern w:val="2"/>
          <w:sz w:val="24"/>
          <w:szCs w:val="24"/>
          <w:highlight w:val="none"/>
          <w:lang w:val="en-US" w:eastAsia="zh-CN" w:bidi="ar-SA"/>
        </w:rPr>
        <w:t>（2）《北京市绿化条例》</w:t>
      </w:r>
      <w:bookmarkEnd w:id="152"/>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3" w:name="_Toc28346"/>
      <w:r>
        <w:rPr>
          <w:rFonts w:hint="eastAsia" w:asciiTheme="minorEastAsia" w:hAnsiTheme="minorEastAsia" w:eastAsiaTheme="minorEastAsia" w:cstheme="minorEastAsia"/>
          <w:kern w:val="2"/>
          <w:sz w:val="24"/>
          <w:szCs w:val="24"/>
          <w:highlight w:val="none"/>
          <w:lang w:val="en-US" w:eastAsia="zh-CN" w:bidi="ar-SA"/>
        </w:rPr>
        <w:t>（3）《北京市公园分类分级管理办法》（京绿办发〔2022〕148号）</w:t>
      </w:r>
      <w:bookmarkEnd w:id="153"/>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4" w:name="_Toc13247"/>
      <w:r>
        <w:rPr>
          <w:rFonts w:hint="eastAsia" w:asciiTheme="minorEastAsia" w:hAnsiTheme="minorEastAsia" w:eastAsiaTheme="minorEastAsia" w:cstheme="minorEastAsia"/>
          <w:kern w:val="2"/>
          <w:sz w:val="24"/>
          <w:szCs w:val="24"/>
          <w:highlight w:val="none"/>
          <w:lang w:val="en-US" w:eastAsia="zh-CN" w:bidi="ar-SA"/>
        </w:rPr>
        <w:t>（4）《城镇绿地养护技术规范》（DB11T 213-2022）</w:t>
      </w:r>
      <w:bookmarkEnd w:id="154"/>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both"/>
        <w:textAlignment w:val="auto"/>
        <w:outlineLvl w:val="0"/>
        <w:rPr>
          <w:rFonts w:hint="eastAsia" w:asciiTheme="minorEastAsia" w:hAnsiTheme="minorEastAsia" w:eastAsiaTheme="minorEastAsia" w:cstheme="minorEastAsia"/>
          <w:kern w:val="2"/>
          <w:sz w:val="24"/>
          <w:szCs w:val="24"/>
          <w:highlight w:val="none"/>
          <w:lang w:val="en-US" w:eastAsia="zh-CN" w:bidi="ar-SA"/>
        </w:rPr>
      </w:pPr>
      <w:bookmarkStart w:id="155" w:name="_Toc18567"/>
      <w:r>
        <w:rPr>
          <w:rFonts w:hint="eastAsia" w:asciiTheme="minorEastAsia" w:hAnsiTheme="minorEastAsia" w:eastAsiaTheme="minorEastAsia" w:cstheme="minorEastAsia"/>
          <w:kern w:val="2"/>
          <w:sz w:val="24"/>
          <w:szCs w:val="24"/>
          <w:highlight w:val="none"/>
          <w:lang w:val="en-US" w:eastAsia="zh-CN" w:bidi="ar-SA"/>
        </w:rPr>
        <w:t>（5）《北京园博园管理中心绿化养护精细化管理考核办法》</w:t>
      </w:r>
      <w:bookmarkEnd w:id="155"/>
    </w:p>
    <w:p>
      <w:pPr>
        <w:pStyle w:val="14"/>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val="0"/>
          <w:sz w:val="24"/>
          <w:szCs w:val="24"/>
          <w:lang w:eastAsia="zh-CN"/>
        </w:rPr>
      </w:pPr>
      <w:r>
        <w:rPr>
          <w:rFonts w:hint="eastAsia" w:asciiTheme="minorEastAsia" w:hAnsiTheme="minorEastAsia" w:eastAsiaTheme="minorEastAsia" w:cstheme="minorEastAsia"/>
          <w:b/>
          <w:bCs w:val="0"/>
          <w:sz w:val="24"/>
          <w:szCs w:val="24"/>
          <w:lang w:val="en-US" w:eastAsia="zh-CN"/>
        </w:rPr>
        <w:t>四</w:t>
      </w:r>
      <w:r>
        <w:rPr>
          <w:rFonts w:hint="eastAsia" w:asciiTheme="minorEastAsia" w:hAnsiTheme="minorEastAsia" w:eastAsiaTheme="minorEastAsia" w:cstheme="minorEastAsia"/>
          <w:b/>
          <w:bCs w:val="0"/>
          <w:sz w:val="24"/>
          <w:szCs w:val="24"/>
          <w:lang w:eastAsia="zh-CN"/>
        </w:rPr>
        <w:t>、商务要求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签订合同后，如果</w:t>
      </w:r>
      <w:r>
        <w:rPr>
          <w:rFonts w:hint="eastAsia" w:asciiTheme="minorEastAsia" w:hAnsiTheme="minorEastAsia" w:eastAsiaTheme="minorEastAsia" w:cstheme="minorEastAsia"/>
          <w:sz w:val="24"/>
          <w:szCs w:val="24"/>
          <w:lang w:eastAsia="zh-CN"/>
        </w:rPr>
        <w:t>中标人</w:t>
      </w:r>
      <w:r>
        <w:rPr>
          <w:rFonts w:hint="eastAsia" w:asciiTheme="minorEastAsia" w:hAnsiTheme="minorEastAsia" w:eastAsiaTheme="minorEastAsia" w:cstheme="minorEastAsia"/>
          <w:sz w:val="24"/>
          <w:szCs w:val="24"/>
        </w:rPr>
        <w:t>非原服务供应商，则</w:t>
      </w:r>
      <w:r>
        <w:rPr>
          <w:rFonts w:hint="eastAsia" w:asciiTheme="minorEastAsia" w:hAnsiTheme="minorEastAsia" w:eastAsiaTheme="minorEastAsia" w:cstheme="minorEastAsia"/>
          <w:sz w:val="24"/>
          <w:szCs w:val="24"/>
          <w:lang w:eastAsia="zh-CN"/>
        </w:rPr>
        <w:t>中标人</w:t>
      </w:r>
      <w:r>
        <w:rPr>
          <w:rFonts w:hint="eastAsia" w:asciiTheme="minorEastAsia" w:hAnsiTheme="minorEastAsia" w:eastAsiaTheme="minorEastAsia" w:cstheme="minorEastAsia"/>
          <w:sz w:val="24"/>
          <w:szCs w:val="24"/>
        </w:rPr>
        <w:t>需按照</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要求在30日内与</w:t>
      </w:r>
      <w:r>
        <w:rPr>
          <w:rFonts w:hint="eastAsia" w:asciiTheme="minorEastAsia" w:hAnsiTheme="minorEastAsia" w:eastAsiaTheme="minorEastAsia" w:cstheme="minorEastAsia"/>
          <w:sz w:val="24"/>
          <w:szCs w:val="24"/>
          <w:lang w:eastAsia="zh-CN"/>
        </w:rPr>
        <w:t>2024</w:t>
      </w:r>
      <w:r>
        <w:rPr>
          <w:rFonts w:hint="eastAsia" w:asciiTheme="minorEastAsia" w:hAnsiTheme="minorEastAsia" w:eastAsiaTheme="minorEastAsia" w:cstheme="minorEastAsia"/>
          <w:sz w:val="24"/>
          <w:szCs w:val="24"/>
        </w:rPr>
        <w:t>年过渡期供应服务商完成工作交接，</w:t>
      </w:r>
      <w:r>
        <w:rPr>
          <w:rFonts w:hint="eastAsia" w:asciiTheme="minorEastAsia" w:hAnsiTheme="minorEastAsia" w:eastAsiaTheme="minorEastAsia" w:cstheme="minorEastAsia"/>
          <w:sz w:val="24"/>
          <w:szCs w:val="24"/>
          <w:lang w:eastAsia="zh-CN"/>
        </w:rPr>
        <w:t>中标人</w:t>
      </w:r>
      <w:r>
        <w:rPr>
          <w:rFonts w:hint="eastAsia" w:asciiTheme="minorEastAsia" w:hAnsiTheme="minorEastAsia" w:eastAsiaTheme="minorEastAsia" w:cstheme="minorEastAsia"/>
          <w:sz w:val="24"/>
          <w:szCs w:val="24"/>
        </w:rPr>
        <w:t>派出的服务和管理人员必须全部到位，合同签订一个月内必须达到80%以上与投标文件中承诺的派驻人员一致。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2024年</w:t>
      </w:r>
      <w:r>
        <w:rPr>
          <w:rFonts w:hint="eastAsia" w:asciiTheme="minorEastAsia" w:hAnsiTheme="minorEastAsia" w:eastAsiaTheme="minorEastAsia" w:cstheme="minorEastAsia"/>
          <w:sz w:val="24"/>
          <w:szCs w:val="24"/>
          <w:lang w:val="en-US" w:eastAsia="zh-CN"/>
        </w:rPr>
        <w:t>过渡期</w:t>
      </w:r>
      <w:r>
        <w:rPr>
          <w:rFonts w:hint="eastAsia" w:asciiTheme="minorEastAsia" w:hAnsiTheme="minorEastAsia" w:eastAsiaTheme="minorEastAsia" w:cstheme="minorEastAsia"/>
          <w:sz w:val="24"/>
          <w:szCs w:val="24"/>
        </w:rPr>
        <w:t>暂时继续由2023年</w:t>
      </w:r>
      <w:r>
        <w:rPr>
          <w:rFonts w:hint="eastAsia" w:asciiTheme="minorEastAsia" w:hAnsiTheme="minorEastAsia" w:eastAsiaTheme="minorEastAsia" w:cstheme="minorEastAsia"/>
          <w:sz w:val="24"/>
          <w:szCs w:val="24"/>
          <w:lang w:eastAsia="zh-CN"/>
        </w:rPr>
        <w:t>绿地养护</w:t>
      </w:r>
      <w:r>
        <w:rPr>
          <w:rFonts w:hint="eastAsia" w:asciiTheme="minorEastAsia" w:hAnsiTheme="minorEastAsia" w:eastAsiaTheme="minorEastAsia" w:cstheme="minorEastAsia"/>
          <w:sz w:val="24"/>
          <w:szCs w:val="24"/>
        </w:rPr>
        <w:t>项目的服务供应商提供</w:t>
      </w:r>
      <w:r>
        <w:rPr>
          <w:rFonts w:hint="eastAsia" w:asciiTheme="minorEastAsia" w:hAnsiTheme="minorEastAsia" w:eastAsiaTheme="minorEastAsia" w:cstheme="minorEastAsia"/>
          <w:sz w:val="24"/>
          <w:szCs w:val="24"/>
          <w:lang w:val="en-US" w:eastAsia="zh-CN"/>
        </w:rPr>
        <w:t>绿地养护</w:t>
      </w:r>
      <w:r>
        <w:rPr>
          <w:rFonts w:hint="eastAsia" w:asciiTheme="minorEastAsia" w:hAnsiTheme="minorEastAsia" w:eastAsiaTheme="minorEastAsia" w:cstheme="minorEastAsia"/>
          <w:sz w:val="24"/>
          <w:szCs w:val="24"/>
        </w:rPr>
        <w:t>服务。2024年本项目的中标服务供应商如果非原服务供应商，则应当在正式接管北京园博园</w:t>
      </w:r>
      <w:r>
        <w:rPr>
          <w:rFonts w:hint="eastAsia" w:asciiTheme="minorEastAsia" w:hAnsiTheme="minorEastAsia" w:eastAsiaTheme="minorEastAsia" w:cstheme="minorEastAsia"/>
          <w:sz w:val="24"/>
          <w:szCs w:val="24"/>
          <w:lang w:val="en-US" w:eastAsia="zh-CN"/>
        </w:rPr>
        <w:t>绿地养护</w:t>
      </w:r>
      <w:r>
        <w:rPr>
          <w:rFonts w:hint="eastAsia" w:asciiTheme="minorEastAsia" w:hAnsiTheme="minorEastAsia" w:eastAsiaTheme="minorEastAsia" w:cstheme="minorEastAsia"/>
          <w:sz w:val="24"/>
          <w:szCs w:val="24"/>
        </w:rPr>
        <w:t>工作后，根据本项目2024年中标金额</w:t>
      </w:r>
      <w:r>
        <w:rPr>
          <w:rFonts w:hint="eastAsia" w:asciiTheme="minorEastAsia" w:hAnsiTheme="minorEastAsia" w:eastAsiaTheme="minorEastAsia" w:cstheme="minorEastAsia"/>
          <w:sz w:val="24"/>
          <w:szCs w:val="24"/>
          <w:lang w:val="en-US" w:eastAsia="zh-CN"/>
        </w:rPr>
        <w:t>，由中标单位支付2024年绿地过渡期养护项目服务供应商的费用，费用按天数计算，每天费用为2024年合同中标金额的每天平均数额。</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合同签订生效后，</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按照《</w:t>
      </w:r>
      <w:r>
        <w:rPr>
          <w:rFonts w:hint="eastAsia" w:asciiTheme="minorEastAsia" w:hAnsiTheme="minorEastAsia" w:eastAsiaTheme="minorEastAsia" w:cstheme="minorEastAsia"/>
          <w:sz w:val="24"/>
          <w:szCs w:val="24"/>
          <w:lang w:eastAsia="zh-CN"/>
        </w:rPr>
        <w:t>北京园博园管理中心绿化养护精细化管理考核办法</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每季度进行考核，考核合格后</w:t>
      </w:r>
      <w:r>
        <w:rPr>
          <w:rFonts w:hint="eastAsia" w:asciiTheme="minorEastAsia" w:hAnsiTheme="minorEastAsia" w:eastAsiaTheme="minorEastAsia" w:cstheme="minorEastAsia"/>
          <w:sz w:val="24"/>
          <w:szCs w:val="24"/>
        </w:rPr>
        <w:t>足额</w:t>
      </w:r>
      <w:r>
        <w:rPr>
          <w:rFonts w:hint="eastAsia" w:asciiTheme="minorEastAsia" w:hAnsiTheme="minorEastAsia" w:eastAsiaTheme="minorEastAsia" w:cstheme="minorEastAsia"/>
          <w:sz w:val="24"/>
          <w:szCs w:val="24"/>
          <w:lang w:eastAsia="zh-CN"/>
        </w:rPr>
        <w:t>支付季度服务费。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中标人</w:t>
      </w:r>
      <w:r>
        <w:rPr>
          <w:rFonts w:hint="eastAsia" w:asciiTheme="minorEastAsia" w:hAnsiTheme="minorEastAsia" w:eastAsiaTheme="minorEastAsia" w:cstheme="minorEastAsia"/>
          <w:sz w:val="24"/>
          <w:szCs w:val="24"/>
          <w:lang w:val="en-US" w:eastAsia="zh-CN"/>
        </w:rPr>
        <w:t>应</w:t>
      </w:r>
      <w:r>
        <w:rPr>
          <w:rFonts w:hint="eastAsia" w:asciiTheme="minorEastAsia" w:hAnsiTheme="minorEastAsia" w:eastAsiaTheme="minorEastAsia" w:cstheme="minorEastAsia"/>
          <w:sz w:val="24"/>
          <w:szCs w:val="24"/>
        </w:rPr>
        <w:t>按照服务内容和服务质量标准科学设置</w:t>
      </w:r>
      <w:r>
        <w:rPr>
          <w:rFonts w:hint="eastAsia" w:asciiTheme="minorEastAsia" w:hAnsiTheme="minorEastAsia" w:eastAsiaTheme="minorEastAsia" w:cstheme="minorEastAsia"/>
          <w:sz w:val="24"/>
          <w:szCs w:val="24"/>
          <w:lang w:val="en-US" w:eastAsia="zh-CN"/>
        </w:rPr>
        <w:t>管理办法及相关制度</w:t>
      </w:r>
      <w:r>
        <w:rPr>
          <w:rFonts w:hint="eastAsia" w:asciiTheme="minorEastAsia" w:hAnsiTheme="minorEastAsia" w:eastAsiaTheme="minorEastAsia" w:cstheme="minorEastAsia"/>
          <w:sz w:val="24"/>
          <w:szCs w:val="24"/>
        </w:rPr>
        <w:t>、工作组和工作岗位，建立完善的制度规范、培训体系、安全管理体系等。</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北京园博园是4A级景区，是西山永定河文化带精华区的重要组成部分，投标人所提供服务及日常管理需符合A级景区标准，全力配合园博园争创5A，要求如下：</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（一）提供的服务及管理必须符合《旅游景区质量等级的划分与评定》国家标准对4A级景区的各项要求，按照5A级景区标准提高各项工作标准，全力配合园博园创建5A级景区。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（二）提供的服务和从业人员的行为及作业应达到安全生产标准化（二级）相应的标准。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（三）遵守园博园各项管理规定，高标准、无条件全力配合园博园内开展的各类大型活动。</w:t>
      </w:r>
    </w:p>
    <w:p>
      <w:pPr>
        <w:pStyle w:val="14"/>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五</w:t>
      </w:r>
      <w:r>
        <w:rPr>
          <w:rFonts w:hint="eastAsia" w:asciiTheme="minorEastAsia" w:hAnsiTheme="minorEastAsia" w:eastAsiaTheme="minorEastAsia" w:cstheme="minorEastAsia"/>
          <w:b/>
          <w:bCs w:val="0"/>
          <w:sz w:val="24"/>
          <w:szCs w:val="24"/>
          <w:lang w:eastAsia="zh-CN"/>
        </w:rPr>
        <w:t>、</w:t>
      </w:r>
      <w:r>
        <w:rPr>
          <w:rFonts w:hint="eastAsia" w:asciiTheme="minorEastAsia" w:hAnsiTheme="minorEastAsia" w:eastAsiaTheme="minorEastAsia" w:cstheme="minorEastAsia"/>
          <w:b/>
          <w:bCs w:val="0"/>
          <w:sz w:val="24"/>
          <w:szCs w:val="24"/>
          <w:lang w:val="en-US" w:eastAsia="zh-CN"/>
        </w:rPr>
        <w:t>支付方式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依据《</w:t>
      </w:r>
      <w:r>
        <w:rPr>
          <w:rFonts w:hint="eastAsia" w:asciiTheme="minorEastAsia" w:hAnsiTheme="minorEastAsia" w:eastAsiaTheme="minorEastAsia" w:cstheme="minorEastAsia"/>
          <w:sz w:val="24"/>
          <w:szCs w:val="24"/>
          <w:lang w:val="en-US" w:eastAsia="zh-CN"/>
        </w:rPr>
        <w:t>北京园博园管理中心绿化养护精细化管理考核办法</w:t>
      </w:r>
      <w:r>
        <w:rPr>
          <w:rFonts w:hint="eastAsia" w:asciiTheme="minorEastAsia" w:hAnsiTheme="minorEastAsia" w:eastAsiaTheme="minorEastAsia" w:cstheme="minorEastAsia"/>
          <w:sz w:val="24"/>
          <w:szCs w:val="24"/>
        </w:rPr>
        <w:t>》每季度进行考核，考核合格后足额支付服务费。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年</w:t>
      </w:r>
      <w:r>
        <w:rPr>
          <w:rFonts w:hint="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月</w:t>
      </w:r>
      <w:r>
        <w:rPr>
          <w:rFonts w:hint="eastAsia" w:hAnsiTheme="minorEastAsia" w:cstheme="minorEastAsia"/>
          <w:sz w:val="24"/>
          <w:szCs w:val="24"/>
          <w:lang w:val="en-US" w:eastAsia="zh-CN"/>
        </w:rPr>
        <w:t>15</w:t>
      </w:r>
      <w:r>
        <w:rPr>
          <w:rFonts w:hint="eastAsia" w:asciiTheme="minorEastAsia" w:hAnsiTheme="minorEastAsia" w:eastAsiaTheme="minorEastAsia" w:cstheme="minorEastAsia"/>
          <w:sz w:val="24"/>
          <w:szCs w:val="24"/>
        </w:rPr>
        <w:t xml:space="preserve">日前支付合同金额的40%；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年6月30日前支付合同金额的40%；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年9月30日前支付合同金额的15%；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年1</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月3</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日前支付合同金额的5%。</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附件：《北京园博园管理中心绿化养护精细化管理考核办法》</w:t>
      </w:r>
    </w:p>
    <w:p>
      <w:pPr>
        <w:spacing w:line="560" w:lineRule="exact"/>
        <w:jc w:val="both"/>
        <w:rPr>
          <w:rFonts w:ascii="方正小标宋简体" w:eastAsia="方正小标宋简体"/>
          <w:sz w:val="44"/>
          <w:szCs w:val="44"/>
        </w:rPr>
      </w:pPr>
    </w:p>
    <w:p>
      <w:pPr>
        <w:spacing w:line="560" w:lineRule="exact"/>
        <w:jc w:val="both"/>
        <w:rPr>
          <w:rFonts w:ascii="方正小标宋简体" w:eastAsia="方正小标宋简体"/>
          <w:sz w:val="44"/>
          <w:szCs w:val="44"/>
        </w:rPr>
      </w:pP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北京</w:t>
      </w:r>
      <w:r>
        <w:rPr>
          <w:rFonts w:ascii="方正小标宋简体" w:eastAsia="方正小标宋简体"/>
          <w:sz w:val="44"/>
          <w:szCs w:val="44"/>
        </w:rPr>
        <w:t>园博园管理中心</w:t>
      </w:r>
      <w:r>
        <w:rPr>
          <w:rFonts w:hint="eastAsia" w:ascii="方正小标宋简体" w:eastAsia="方正小标宋简体"/>
          <w:sz w:val="44"/>
          <w:szCs w:val="44"/>
        </w:rPr>
        <w:t>绿化养护</w:t>
      </w:r>
    </w:p>
    <w:p>
      <w:pPr>
        <w:spacing w:line="560" w:lineRule="exact"/>
        <w:jc w:val="center"/>
      </w:pPr>
      <w:r>
        <w:rPr>
          <w:rFonts w:hint="eastAsia" w:ascii="方正小标宋简体" w:eastAsia="方正小标宋简体"/>
          <w:sz w:val="44"/>
          <w:szCs w:val="44"/>
        </w:rPr>
        <w:t xml:space="preserve"> 精细化管理考核办法</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为进一步加强园博园绿化养护管理工作，建立长效的养护管理机制，参照《城镇绿地养护管理规范》（DB11/T213-2014）相关标准，结合园博园绿化养护管理实际，特制定本考核办法。</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一、考核对象</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北京园博园绿地养护项目中标单位。</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二、考核方式</w:t>
      </w:r>
    </w:p>
    <w:p>
      <w:pPr>
        <w:spacing w:line="560" w:lineRule="exact"/>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1.考核检查由园林绿化部组织实施，采用定期和不定期随机抽查两种考核方式，不定期考核即经常性巡查及重大节日、庆典、“迎检”等指令性检查时所进行的随机抽查考核。</w:t>
      </w:r>
    </w:p>
    <w:p>
      <w:pPr>
        <w:spacing w:line="560" w:lineRule="exact"/>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2.实行百分</w:t>
      </w:r>
      <w:r>
        <w:rPr>
          <w:rFonts w:hint="eastAsia" w:asciiTheme="minorEastAsia" w:hAnsiTheme="minorEastAsia" w:eastAsiaTheme="minorEastAsia" w:cstheme="minorEastAsia"/>
          <w:sz w:val="24"/>
          <w:szCs w:val="24"/>
          <w:lang w:val="en-US" w:eastAsia="zh-CN"/>
        </w:rPr>
        <w:t>考核</w:t>
      </w:r>
      <w:r>
        <w:rPr>
          <w:rFonts w:hint="eastAsia" w:asciiTheme="minorEastAsia" w:hAnsiTheme="minorEastAsia" w:eastAsiaTheme="minorEastAsia" w:cstheme="minorEastAsia"/>
          <w:sz w:val="24"/>
          <w:szCs w:val="24"/>
        </w:rPr>
        <w:t>评定，考核主体为园林绿化部管理人员，</w:t>
      </w:r>
      <w:r>
        <w:rPr>
          <w:rFonts w:hint="eastAsia" w:asciiTheme="minorEastAsia" w:hAnsiTheme="minorEastAsia" w:eastAsiaTheme="minorEastAsia" w:cstheme="minorEastAsia"/>
          <w:sz w:val="24"/>
          <w:szCs w:val="24"/>
          <w:lang w:eastAsia="zh-CN"/>
        </w:rPr>
        <w:t>每</w:t>
      </w:r>
      <w:r>
        <w:rPr>
          <w:rFonts w:hint="eastAsia" w:asciiTheme="minorEastAsia" w:hAnsiTheme="minorEastAsia" w:eastAsiaTheme="minorEastAsia" w:cstheme="minorEastAsia"/>
          <w:sz w:val="24"/>
          <w:szCs w:val="24"/>
        </w:rPr>
        <w:t>季度组织</w:t>
      </w:r>
      <w:r>
        <w:rPr>
          <w:rFonts w:hint="eastAsia" w:asciiTheme="minorEastAsia" w:hAnsiTheme="minorEastAsia" w:eastAsiaTheme="minorEastAsia" w:cstheme="minorEastAsia"/>
          <w:sz w:val="24"/>
          <w:szCs w:val="24"/>
          <w:lang w:eastAsia="zh-CN"/>
        </w:rPr>
        <w:t>三</w:t>
      </w:r>
      <w:r>
        <w:rPr>
          <w:rFonts w:hint="eastAsia" w:asciiTheme="minorEastAsia" w:hAnsiTheme="minorEastAsia" w:eastAsiaTheme="minorEastAsia" w:cstheme="minorEastAsia"/>
          <w:sz w:val="24"/>
          <w:szCs w:val="24"/>
        </w:rPr>
        <w:t>次考核。季度考核平均分值</w:t>
      </w:r>
      <w:r>
        <w:rPr>
          <w:rFonts w:hint="eastAsia" w:asciiTheme="minorEastAsia" w:hAnsiTheme="minorEastAsia" w:eastAsiaTheme="minorEastAsia" w:cstheme="minorEastAsia"/>
          <w:sz w:val="24"/>
          <w:szCs w:val="24"/>
          <w:lang w:val="en-US" w:eastAsia="zh-CN"/>
        </w:rPr>
        <w:t>85</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eastAsia="zh-CN"/>
        </w:rPr>
        <w:t>（含）</w:t>
      </w:r>
      <w:r>
        <w:rPr>
          <w:rFonts w:hint="eastAsia" w:asciiTheme="minorEastAsia" w:hAnsiTheme="minorEastAsia" w:eastAsiaTheme="minorEastAsia" w:cstheme="minorEastAsia"/>
          <w:sz w:val="24"/>
          <w:szCs w:val="24"/>
        </w:rPr>
        <w:t>以上为达标，</w:t>
      </w:r>
      <w:r>
        <w:rPr>
          <w:rFonts w:hint="eastAsia" w:asciiTheme="minorEastAsia" w:hAnsiTheme="minorEastAsia" w:eastAsiaTheme="minorEastAsia" w:cstheme="minorEastAsia"/>
          <w:sz w:val="24"/>
          <w:szCs w:val="24"/>
          <w:lang w:val="en-US" w:eastAsia="zh-CN"/>
        </w:rPr>
        <w:t>85</w:t>
      </w:r>
      <w:r>
        <w:rPr>
          <w:rFonts w:hint="eastAsia" w:asciiTheme="minorEastAsia" w:hAnsiTheme="minorEastAsia" w:eastAsiaTheme="minorEastAsia" w:cstheme="minorEastAsia"/>
          <w:sz w:val="24"/>
          <w:szCs w:val="24"/>
        </w:rPr>
        <w:t>分以下为不达标。</w:t>
      </w:r>
    </w:p>
    <w:p>
      <w:pPr>
        <w:spacing w:line="560" w:lineRule="exact"/>
        <w:ind w:firstLine="6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3.考核程序为现场检查、听取汇报、交换意见、提出整改意见、评定名次、公布结果。考核方式为全覆盖随机检查园内绿化养护管理区域。</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4.考核小组每次检查填写统一检查评分表。每次考核评分原始记录由园林绿化部存档备案，考核结果作为支付绿地养护合同进度款的主要依据。</w:t>
      </w:r>
    </w:p>
    <w:p>
      <w:pPr>
        <w:spacing w:line="560" w:lineRule="exact"/>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三、考核奖惩</w:t>
      </w:r>
    </w:p>
    <w:p>
      <w:pPr>
        <w:spacing w:line="560" w:lineRule="exact"/>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绿</w:t>
      </w:r>
      <w:r>
        <w:rPr>
          <w:rFonts w:hint="eastAsia" w:asciiTheme="minorEastAsia" w:hAnsiTheme="minorEastAsia" w:eastAsiaTheme="minorEastAsia" w:cstheme="minorEastAsia"/>
          <w:sz w:val="24"/>
          <w:szCs w:val="24"/>
          <w:lang w:eastAsia="zh-CN"/>
        </w:rPr>
        <w:t>地</w:t>
      </w:r>
      <w:r>
        <w:rPr>
          <w:rFonts w:hint="eastAsia" w:asciiTheme="minorEastAsia" w:hAnsiTheme="minorEastAsia" w:eastAsiaTheme="minorEastAsia" w:cstheme="minorEastAsia"/>
          <w:sz w:val="24"/>
          <w:szCs w:val="24"/>
        </w:rPr>
        <w:t>养护中标单位在季度考核中一次不达标的，园林绿化部下达整改通知，扣除养护中标单位履约保证金</w:t>
      </w:r>
      <w:r>
        <w:rPr>
          <w:rFonts w:hint="eastAsia" w:asciiTheme="minorEastAsia" w:hAnsiTheme="minorEastAsia" w:eastAsiaTheme="minorEastAsia" w:cstheme="minorEastAsia"/>
          <w:sz w:val="24"/>
          <w:szCs w:val="24"/>
          <w:lang w:eastAsia="zh-CN"/>
        </w:rPr>
        <w:t>总额的百分之十</w:t>
      </w:r>
      <w:r>
        <w:rPr>
          <w:rFonts w:hint="eastAsia" w:asciiTheme="minorEastAsia" w:hAnsiTheme="minorEastAsia" w:eastAsiaTheme="minorEastAsia" w:cstheme="minorEastAsia"/>
          <w:sz w:val="24"/>
          <w:szCs w:val="24"/>
        </w:rPr>
        <w:t>；两次季度考核不达标，扣除养护中标单位履约保证金</w:t>
      </w:r>
      <w:r>
        <w:rPr>
          <w:rFonts w:hint="eastAsia" w:asciiTheme="minorEastAsia" w:hAnsiTheme="minorEastAsia" w:eastAsiaTheme="minorEastAsia" w:cstheme="minorEastAsia"/>
          <w:sz w:val="24"/>
          <w:szCs w:val="24"/>
          <w:lang w:eastAsia="zh-CN"/>
        </w:rPr>
        <w:t>总额的百分之二十</w:t>
      </w:r>
      <w:r>
        <w:rPr>
          <w:rFonts w:hint="eastAsia" w:asciiTheme="minorEastAsia" w:hAnsiTheme="minorEastAsia" w:eastAsiaTheme="minorEastAsia" w:cstheme="minorEastAsia"/>
          <w:sz w:val="24"/>
          <w:szCs w:val="24"/>
        </w:rPr>
        <w:t>；三次季度考核不达标，则年度考核不达标，中心有权单方解除绿地养护合同。</w:t>
      </w:r>
    </w:p>
    <w:p>
      <w:pPr>
        <w:spacing w:line="560" w:lineRule="exact"/>
        <w:ind w:firstLine="360" w:firstLineChars="150"/>
        <w:rPr>
          <w:rFonts w:hint="eastAsia" w:asciiTheme="minorEastAsia" w:hAnsiTheme="minorEastAsia" w:eastAsiaTheme="minorEastAsia" w:cstheme="minorEastAsia"/>
          <w:sz w:val="24"/>
          <w:szCs w:val="24"/>
        </w:rPr>
      </w:pPr>
    </w:p>
    <w:p>
      <w:pPr>
        <w:spacing w:line="560" w:lineRule="exact"/>
        <w:ind w:firstLine="360" w:firstLineChars="150"/>
        <w:rPr>
          <w:rFonts w:hint="eastAsia" w:asciiTheme="minorEastAsia" w:hAnsiTheme="minorEastAsia" w:eastAsiaTheme="minorEastAsia" w:cstheme="minorEastAsia"/>
          <w:sz w:val="24"/>
          <w:szCs w:val="24"/>
        </w:rPr>
      </w:pPr>
    </w:p>
    <w:p>
      <w:pPr>
        <w:spacing w:line="560" w:lineRule="exact"/>
        <w:ind w:firstLine="360" w:firstLineChars="150"/>
        <w:rPr>
          <w:rFonts w:hint="eastAsia" w:asciiTheme="minorEastAsia" w:hAnsiTheme="minorEastAsia" w:eastAsiaTheme="minorEastAsia" w:cstheme="minorEastAsia"/>
          <w:sz w:val="24"/>
          <w:szCs w:val="24"/>
        </w:rPr>
      </w:pPr>
    </w:p>
    <w:p>
      <w:pPr>
        <w:spacing w:line="560" w:lineRule="exact"/>
        <w:ind w:firstLine="360" w:firstLineChars="150"/>
        <w:rPr>
          <w:rFonts w:hint="eastAsia" w:asciiTheme="minorEastAsia" w:hAnsiTheme="minorEastAsia" w:eastAsiaTheme="minorEastAsia" w:cstheme="minorEastAsia"/>
          <w:sz w:val="24"/>
          <w:szCs w:val="24"/>
        </w:rPr>
      </w:pP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四、考核项目及分值</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1.绿化养护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90</w:t>
      </w:r>
      <w:r>
        <w:rPr>
          <w:rFonts w:hint="eastAsia" w:asciiTheme="minorEastAsia" w:hAnsiTheme="minorEastAsia" w:eastAsiaTheme="minorEastAsia" w:cstheme="minorEastAsia"/>
          <w:sz w:val="24"/>
          <w:szCs w:val="24"/>
        </w:rPr>
        <w:t>分</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2.其</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他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0分</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eastAsia="zh-CN"/>
        </w:rPr>
        <w:t>安全生产、文明作业</w:t>
      </w:r>
      <w:r>
        <w:rPr>
          <w:rFonts w:hint="eastAsia" w:asciiTheme="minorEastAsia" w:hAnsiTheme="minorEastAsia" w:eastAsiaTheme="minorEastAsia" w:cstheme="minorEastAsia"/>
          <w:sz w:val="24"/>
          <w:szCs w:val="24"/>
          <w:lang w:val="en-US" w:eastAsia="zh-CN"/>
        </w:rPr>
        <w:t xml:space="preserve">           扣分项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五、相关要求</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（一）高度重视，增强意识</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园林绿化部及外包</w:t>
      </w:r>
      <w:r>
        <w:rPr>
          <w:rFonts w:hint="eastAsia" w:asciiTheme="minorEastAsia" w:hAnsiTheme="minorEastAsia" w:eastAsiaTheme="minorEastAsia" w:cstheme="minorEastAsia"/>
          <w:sz w:val="24"/>
          <w:szCs w:val="24"/>
        </w:rPr>
        <w:t>养护单位要高度重视绿化养护精细化管理考核工作，严格按照考核办法进行评分。园林绿化部进行考核时，养护单位必须及时到达现场予以确认，积极配合考核工作。涉及绿地植被品种改造调整的，应当报请园林绿化部研究同意后方可执行，不得擅自决定。</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（二）明确任务，责任到人</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各外包养护单位要根据绿化养护精细化考核管理办法，对考核检查中发现问题要做到及时整改、狠抓落实，细化目标任务，明确时间节点，责任到人，及时反馈上报，对重点区域重点问题盯紧盯牢，使改造后绿化总量不减少、绿化品质和景观面貌不低于改造前水平，确保问题整改到位。 </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（三）完善机制，建立长效</w:t>
      </w:r>
    </w:p>
    <w:p>
      <w:pPr>
        <w:spacing w:line="560" w:lineRule="exact"/>
        <w:ind w:firstLine="64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认真贯彻执行《城镇绿地养护管理规范》，完善园博绿化养护技术标准和规范，逐步建立和完善绿化管理体系。要加强对各外包养护单位的监督考核，推行管理责任制，客观评价各外包养护单位园林绿化工作，确保园林绿化的各项工作顺利开展。</w:t>
      </w:r>
    </w:p>
    <w:p>
      <w:pPr>
        <w:spacing w:line="560" w:lineRule="exact"/>
        <w:rPr>
          <w:rFonts w:hint="eastAsia" w:asciiTheme="minorEastAsia" w:hAnsiTheme="minorEastAsia" w:eastAsiaTheme="minorEastAsia" w:cstheme="minorEastAsia"/>
          <w:sz w:val="24"/>
          <w:szCs w:val="24"/>
        </w:rPr>
      </w:pPr>
    </w:p>
    <w:p>
      <w:pPr>
        <w:spacing w:line="560" w:lineRule="exact"/>
        <w:rPr>
          <w:rFonts w:hint="eastAsia" w:asciiTheme="minorEastAsia" w:hAnsiTheme="minorEastAsia" w:eastAsiaTheme="minorEastAsia" w:cstheme="minorEastAsia"/>
          <w:sz w:val="24"/>
          <w:szCs w:val="24"/>
        </w:rPr>
      </w:pPr>
    </w:p>
    <w:p>
      <w:pPr>
        <w:spacing w:line="560" w:lineRule="exact"/>
        <w:ind w:firstLine="645"/>
        <w:rPr>
          <w:rFonts w:hint="eastAsia" w:ascii="仿宋_GB2312" w:eastAsia="仿宋_GB2312"/>
          <w:sz w:val="32"/>
          <w:szCs w:val="32"/>
        </w:rPr>
      </w:pPr>
      <w:r>
        <w:rPr>
          <w:rFonts w:hint="eastAsia" w:asciiTheme="minorEastAsia" w:hAnsiTheme="minorEastAsia" w:eastAsiaTheme="minorEastAsia" w:cstheme="minorEastAsia"/>
          <w:sz w:val="24"/>
          <w:szCs w:val="24"/>
        </w:rPr>
        <w:t>附件：绿化养护精细化管理考核评分表</w:t>
      </w:r>
    </w:p>
    <w:tbl>
      <w:tblPr>
        <w:tblStyle w:val="24"/>
        <w:tblW w:w="8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7"/>
        <w:gridCol w:w="478"/>
        <w:gridCol w:w="726"/>
        <w:gridCol w:w="3009"/>
        <w:gridCol w:w="2714"/>
        <w:gridCol w:w="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57" w:type="dxa"/>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7873" w:type="dxa"/>
            <w:gridSpan w:val="5"/>
            <w:tcBorders>
              <w:top w:val="nil"/>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ascii="方正小标宋简体" w:hAnsi="方正小标宋简体" w:eastAsia="方正小标宋简体" w:cs="方正小标宋简体"/>
                <w:b/>
                <w:bCs/>
                <w:i w:val="0"/>
                <w:iCs w:val="0"/>
                <w:color w:val="000000"/>
                <w:sz w:val="28"/>
                <w:szCs w:val="28"/>
                <w:u w:val="none"/>
              </w:rPr>
            </w:pPr>
            <w:r>
              <w:rPr>
                <w:rFonts w:hint="eastAsia" w:ascii="方正小标宋简体" w:hAnsi="方正小标宋简体" w:eastAsia="方正小标宋简体" w:cs="方正小标宋简体"/>
                <w:b/>
                <w:bCs/>
                <w:i w:val="0"/>
                <w:iCs w:val="0"/>
                <w:color w:val="000000"/>
                <w:kern w:val="0"/>
                <w:sz w:val="28"/>
                <w:szCs w:val="28"/>
                <w:u w:val="none"/>
                <w:lang w:val="en-US" w:eastAsia="zh-CN" w:bidi="ar"/>
              </w:rPr>
              <w:t xml:space="preserve">绿化养护精细化管理考核评分表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序号</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类别</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考核项目</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考核标准</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扣分值</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小标宋_GBK" w:hAnsi="方正小标宋_GBK" w:eastAsia="方正小标宋_GBK" w:cs="方正小标宋_GBK"/>
                <w:b/>
                <w:bCs/>
                <w:i w:val="0"/>
                <w:iCs w:val="0"/>
                <w:color w:val="000000"/>
                <w:sz w:val="20"/>
                <w:szCs w:val="20"/>
                <w:u w:val="none"/>
              </w:rPr>
            </w:pPr>
            <w:r>
              <w:rPr>
                <w:rFonts w:hint="eastAsia" w:ascii="方正小标宋_GBK" w:hAnsi="方正小标宋_GBK" w:eastAsia="方正小标宋_GBK" w:cs="方正小标宋_GBK"/>
                <w:b/>
                <w:bCs/>
                <w:i w:val="0"/>
                <w:iCs w:val="0"/>
                <w:color w:val="000000"/>
                <w:kern w:val="0"/>
                <w:sz w:val="20"/>
                <w:szCs w:val="20"/>
                <w:u w:val="none"/>
                <w:lang w:val="en-US" w:eastAsia="zh-CN" w:bidi="ar"/>
              </w:rPr>
              <w:t>养护单位及扣分情况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树木(15分)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1.树冠完整、茂盛，主侧枝分布匀称、分枝点合适，修剪科学合理，具有一定的观赏效果。</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2.绿地内无死树。发现死树及时移除，并选用规格相近的原树种进行补植。</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3.叶片大小、颜色正常，除彩叶、皱叶等本身具特殊性状植物外，生长季节内，无黄叶、焦叶、卷叶。</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4.枝条无倾斜倒伏，无徒长枝、病虫枝、过密枝、枯枝、伤损枝、碰线枝。</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5.对树木要控制倾斜度，须扶架植物支撑方式合理，扶架方向整齐一致。并逐渐扶正。</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6.加强病虫害测报工作，做到“预防为主，防治结合”。</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1.因养护不当造成植物生长不良或影响景观的扣1分；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2.有明显病虫害未及时防治的扣1分；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3.有死树，没及时处理的或树木有明显枯枝、人为折损枝，修剪不及时的扣1分；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4.雨季没有及时采用排水措施对绿地和树池排涝，绿地和树池内积水超过24h的扣1分；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5.树上有影响生长的附着物扣1分。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6.发现有死树未及时移除，并在适宜的季节未按原规格相近的原树种进行及时补植的扣1分。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灌木及绿篱(15分)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1.生长茂盛，枝叶繁茂、层次分明，无死株、缺株，造成断垄、断行和成片缺株现象。</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2.观叶类观赏时期叶色鲜艳，观花类花期开花正常，形色均具最佳品质，观形类株形完全符合留养要求，同一要求的造型植株整体形状、大小保持一致，休眠期内进行整形修剪。</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3.修剪及时，无窜枝，无修剪后枝叶残存或散落不清。          </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4.越冬防寒措施方法得当，外形美观。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1.灌木绿篱修剪外形轮廓不清晰，外缘枝叶不紧密的扣1分；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2.发现修剪不及时、不正确扣1分；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3.发现死株、缺株，影响景观效果的扣1分；未及时移除并补栽扣3分。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4.防寒措施不得当，外观不美观的扣1分。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草坪(15分)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1.草坪生长旺盛，草根不裸露，无空秃、无各类杂草，无垃圾，无黄斑。</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2.草坪终年修剪平整，修剪高度符合景观要求，绿色度整齐，边缘线清晰（及时切边）。</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3.无毡化现象和馒头状突起，土壤不板结、龟裂，无积水现象。</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4.加强病虫害的监控和防范工作，做到及时发现，及早防治。</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5.根据不同草坪草种类确定施肥时间、施肥种类和施肥量，应少量多次，以缓效肥为宜。</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1.发现秃斑、黄斑，绿色度不整齐现象比较严重的扣1分；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2.草坪修剪不平整、不及时的扣1分；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3.有明显杂草的扣1分，有大面积杂草的扣3分；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4.未能根据草坪生长时期、生长状况给草坪施肥，出现因土壤肥力不足问题的扣1分；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5.对被破坏或其他原因引起死亡的草坪未能及时更换补植的扣1分；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6.冬季上冻前未及时浇足浇透冻水的扣1分。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地被(10分)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1.修剪平整，边缘线条清晰，种植地内土壤保持疏松，残花清理及时，无杂草，地被冬季休眠期，做好修剪和整理工作。</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2.观赏期内群体与单株能发挥最佳观赏功能。             </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3.生长状态良好，无退化和地表裸露情况。</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1.发现地被植物生长不良，观赏效果差扣1分；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2.发现未及时清除杂草，出现外来入侵植物的扣1分；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3.发现退化和地表裸露，未能及时更新补植的扣1分。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花卉(15分)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1.花卉植株生长健壮，花色艳丽，株行距适宜，不露底土，覆盖面达90%以上。</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2.木本花卉及时整枝、整形，花卉适时开花，花多色艳。</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3.宿根花卉要及时更新，易倒伏的花卉要立柱绑扎；做到三季有花，花期整齐，图案美观，布置效果良好。</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4.按时间节点进行花卉布置，要求图案优美，同种花卉花期一致，层次分明，高矮有序。死株、缺株及长势弱的花卉要及时更换。      </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5.花卉无缺株倒伏，无枯枝残花，无杂草，无病虫害。</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1.发现缺株倒伏、枯枝残花较严重扣1分；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2.花卉生长不健壮扣1分。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3.覆盖率低于90%的扣1分；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4.有明显病虫害的扣1分；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5.花卉布置与景观不协调或花卉布置形式不合理、造型欠整齐美观的扣1分；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6.有残花败叶或缺株倒伏、枯枝残花现象的扣1分。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水生植物及水体(10分)</w:t>
            </w:r>
          </w:p>
        </w:tc>
        <w:tc>
          <w:tcPr>
            <w:tcW w:w="3009"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1.水生植物植株健壮，花、叶色泽艳丽，无残花败叶。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2.水体清洁，水质好，无异味。</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3.水面无漂浮物，全日候保持水面清洁。</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4.无水体植物疯长现象，一旦发现，及时打捞治理。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271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1.水生植物有残花败叶或倒伏、枯枝残花等现象的扣1分。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2.水体浑浊、水质差、有异味扣1分；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3.水面漂浮物、水中杂物垃圾没及时打捞扣1分。   </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4.水体中有野生水体植物未及时治理的扣1分</w:t>
            </w:r>
          </w:p>
        </w:tc>
        <w:tc>
          <w:tcPr>
            <w:tcW w:w="946"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绿化养护</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作业管理(10分)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1.日常养护人员按照绿化面积配备，人均大约10000-12000平米。</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2.树下、绿地内无各类物料堆放、倾倒污水及其它污物。</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3.园林生产垃圾日产日清，不过夜、不焚烧。</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4.各类浇水管及其它养护工具及时归整，无乱堆乱放，浇灌系统无跑冒滴漏。</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5.防火期内，及时清理林下及绿地可燃物，道路两侧及绿地定期洒水保湿，安排专人定点定位24小时不间断进行防火巡查，并留存巡查记录。</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1.未按要求配备日常养护人员扣1分。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2.园林生产垃圾过夜扣1分；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3.焚烧园林生产垃圾扣1分；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4.园内乱堆杂物扣1 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5.绿化工具乱堆乱放且无人看管扣1分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6.发现跑冒滴漏现象的，没一处扣1分。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7 防火期内未及时清除林下、绿地可燃物扣3分；防火巡查人员脱岗扣3分；无巡查记录扣3分。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其他</w:t>
            </w:r>
          </w:p>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重大活动或其他临时突击增加的任务完成情况。(10分)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重大活动保障或临时突击任务，能按要求及时完成。</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1.能及时完成上级布置的养护任务或其它临时突击增加的任务完成及时受到表扬的，每次加3分。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2.对上级布置的养护任务或其他临时突击增加的任务态度消极、推诿，不配合或者未及时完成，造成不良后果的，每次扣3分。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4 任务派遣单未在规定时间内办结的，每发生一次扣3分。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组织领导（扣分项）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各项安全管理制度健全，按照“谁主管，谁负责”的原则，开展责任范围内的安全隐患排查，及时消除安全隐患并留存记录。</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1.各项管理制度不健全的扣3分。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2.现场项目负责人没有按规定定期参加绿化养护管理考核检查，每少一次扣3分；没有按规定亲自参加有关安全工作会议的，每少一次扣1分；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3.未按时开展安全隐患检查、排查，安全隐患未及时整改，无记录留存扣3分。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安全管理（扣分项）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1.严格遵守中心安全生产相关规定，依规进行相关作业审批工作，安全措施得当，文明作业。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2.绿化施工作业时，按要求备案并设置警示标志，人员应穿戴符合要求的警示服饰。</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3.进行病虫害防治作业时，应避开人流高峰，打药时得站在上风口。</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1.在安全生产责任事故中，发生重伤事故的扣20分，发生轻伤事故扣5分，发生轻伤事故2人以上扣20分；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2.发现的隐患或不安全因素没有及时整改或未采取防范措施的，每次扣3分；         </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3.季度内发生投诉，且经核实确属绿化养护人员责任的，每发生一次扣3分；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4.绿化工人着装袒胸露背不文明整洁、使用不文明用语，造成不良影响的扣2分。</w:t>
            </w:r>
          </w:p>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5.吊装、高空等特种作业没按要求报备扣5分，安全措施不规范扣3分。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消防安全（扣分项）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1.严格执行中心消防安全管理规定，库房及重点区域按要求配备灭火器材，分布合理。消防器材登记造册，专人管理，定期检查。</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2.建立安全用电、用油管理制度，保证使用电、油安全，无因违章用电、油引起的事故发生。</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1.库房及重点区域未按要求配备灭火器材，无专人管理，未定期检查的扣3分。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2.发生违章用电、用油现象的扣3分。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物资安全（扣分项）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1.严格病虫害防治农药使用管理工作，园内禁设农药库房，农药使用设专人管理，登记备案，并留存使用记录。</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2 严格房屋安全管理，设专人管理，不存放易燃易爆物品。</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 xml:space="preserve">    1.农药使用无专人管理，无登记备案和使用记录的扣3分。</w:t>
            </w:r>
          </w:p>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    2.检查中发现房屋存放易燃易爆品或其它违禁品扣3分。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合计扣分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最终得分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绿化部考核检查组签字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被检查单位负责人签字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4"/>
                <w:szCs w:val="24"/>
                <w:u w:val="none"/>
              </w:rPr>
            </w:pPr>
          </w:p>
        </w:tc>
      </w:tr>
    </w:tbl>
    <w:p>
      <w:pPr>
        <w:keepNext w:val="0"/>
        <w:keepLines w:val="0"/>
        <w:pageBreakBefore w:val="0"/>
        <w:kinsoku/>
        <w:wordWrap/>
        <w:overflowPunct/>
        <w:topLinePunct w:val="0"/>
        <w:autoSpaceDE/>
        <w:autoSpaceDN/>
        <w:bidi w:val="0"/>
        <w:spacing w:before="624" w:line="360" w:lineRule="auto"/>
        <w:textAlignment w:val="auto"/>
        <w:rPr>
          <w:rFonts w:hint="eastAsia" w:asciiTheme="minorEastAsia" w:hAnsiTheme="minorEastAsia" w:eastAsiaTheme="minorEastAsia" w:cstheme="minorEastAsia"/>
          <w:sz w:val="24"/>
          <w:szCs w:val="24"/>
        </w:rPr>
      </w:pPr>
    </w:p>
    <w:p>
      <w:pPr>
        <w:keepNext w:val="0"/>
        <w:keepLines w:val="0"/>
        <w:pageBreakBefore w:val="0"/>
        <w:kinsoku/>
        <w:wordWrap/>
        <w:overflowPunct/>
        <w:topLinePunct w:val="0"/>
        <w:autoSpaceDE/>
        <w:autoSpaceDN/>
        <w:bidi w:val="0"/>
        <w:spacing w:before="624" w:line="360" w:lineRule="auto"/>
        <w:ind w:firstLine="480" w:firstLineChars="200"/>
        <w:textAlignment w:val="auto"/>
        <w:rPr>
          <w:rFonts w:hint="eastAsia" w:asciiTheme="minorEastAsia" w:hAnsiTheme="minorEastAsia" w:eastAsiaTheme="minorEastAsia" w:cstheme="minorEastAsia"/>
          <w:sz w:val="24"/>
          <w:szCs w:val="24"/>
        </w:rPr>
      </w:pPr>
    </w:p>
    <w:p>
      <w:pPr>
        <w:keepNext w:val="0"/>
        <w:keepLines w:val="0"/>
        <w:pageBreakBefore w:val="0"/>
        <w:kinsoku/>
        <w:wordWrap/>
        <w:overflowPunct/>
        <w:topLinePunct w:val="0"/>
        <w:autoSpaceDE/>
        <w:autoSpaceDN/>
        <w:bidi w:val="0"/>
        <w:spacing w:before="624" w:line="360" w:lineRule="auto"/>
        <w:textAlignment w:val="auto"/>
        <w:rPr>
          <w:rFonts w:hint="eastAsia" w:asciiTheme="minorEastAsia" w:hAnsiTheme="minorEastAsia" w:eastAsiaTheme="minorEastAsia" w:cstheme="minorEastAsia"/>
          <w:sz w:val="24"/>
          <w:szCs w:val="24"/>
        </w:rPr>
      </w:pPr>
    </w:p>
    <w:p>
      <w:pPr>
        <w:widowControl/>
        <w:adjustRightInd/>
        <w:snapToGrid/>
        <w:spacing w:before="624" w:line="24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3"/>
      </w:pPr>
      <w:bookmarkStart w:id="156" w:name="_Toc14039"/>
      <w:r>
        <w:rPr>
          <w:rFonts w:hint="eastAsia"/>
        </w:rPr>
        <w:t>第五章  拟签订的合同文本</w:t>
      </w:r>
      <w:bookmarkEnd w:id="156"/>
    </w:p>
    <w:p>
      <w:pPr>
        <w:pStyle w:val="2"/>
        <w:jc w:val="center"/>
        <w:rPr>
          <w:rFonts w:hint="default" w:asciiTheme="minorEastAsia" w:hAnsiTheme="minorEastAsia" w:eastAsiaTheme="minorEastAsia"/>
          <w:b/>
          <w:bCs/>
          <w:kern w:val="24"/>
          <w:szCs w:val="21"/>
          <w:lang w:val="en-US" w:eastAsia="zh-CN"/>
        </w:rPr>
      </w:pPr>
      <w:bookmarkStart w:id="157" w:name="_Hlk74076695"/>
      <w:r>
        <w:rPr>
          <w:rFonts w:hint="eastAsia" w:asciiTheme="minorEastAsia" w:hAnsiTheme="minorEastAsia"/>
          <w:b/>
          <w:bCs/>
          <w:kern w:val="24"/>
          <w:szCs w:val="21"/>
          <w:lang w:val="en-US" w:eastAsia="zh-CN"/>
        </w:rPr>
        <w:t>01包</w:t>
      </w:r>
    </w:p>
    <w:p>
      <w:pPr>
        <w:spacing w:line="560" w:lineRule="exact"/>
        <w:ind w:firstLine="4960" w:firstLineChars="1550"/>
        <w:rPr>
          <w:color w:val="auto"/>
          <w:highlight w:val="none"/>
        </w:rPr>
      </w:pPr>
      <w:r>
        <w:rPr>
          <w:rFonts w:hint="eastAsia" w:ascii="仿宋_GB2312" w:eastAsia="仿宋_GB2312"/>
          <w:color w:val="auto"/>
          <w:sz w:val="32"/>
          <w:szCs w:val="32"/>
          <w:highlight w:val="none"/>
        </w:rPr>
        <w:t>合同编号：</w:t>
      </w:r>
      <w:r>
        <w:rPr>
          <w:rFonts w:hint="eastAsia" w:ascii="仿宋_GB2312" w:eastAsia="仿宋_GB2312"/>
          <w:color w:val="auto"/>
          <w:sz w:val="32"/>
          <w:szCs w:val="32"/>
          <w:highlight w:val="none"/>
          <w:u w:val="single"/>
        </w:rPr>
        <w:t xml:space="preserve">           </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北京园博园管理中心</w:t>
      </w:r>
    </w:p>
    <w:p>
      <w:pPr>
        <w:spacing w:line="560" w:lineRule="exact"/>
        <w:jc w:val="center"/>
        <w:rPr>
          <w:rFonts w:ascii="华文中宋" w:hAnsi="华文中宋" w:eastAsia="华文中宋"/>
          <w:b/>
          <w:color w:val="auto"/>
          <w:sz w:val="44"/>
          <w:szCs w:val="44"/>
          <w:highlight w:val="none"/>
        </w:rPr>
      </w:pPr>
      <w:bookmarkStart w:id="158" w:name="_Hlk160639712"/>
      <w:r>
        <w:rPr>
          <w:rFonts w:hint="eastAsia" w:ascii="华文中宋" w:hAnsi="华文中宋" w:eastAsia="华文中宋"/>
          <w:b/>
          <w:color w:val="auto"/>
          <w:sz w:val="44"/>
          <w:szCs w:val="44"/>
          <w:highlight w:val="none"/>
        </w:rPr>
        <w:t>2024年北京园博园绿地养护项目</w:t>
      </w:r>
    </w:p>
    <w:p>
      <w:pPr>
        <w:spacing w:line="560" w:lineRule="exact"/>
        <w:jc w:val="center"/>
        <w:rPr>
          <w:color w:val="auto"/>
          <w:highlight w:val="none"/>
        </w:rPr>
      </w:pPr>
      <w:r>
        <w:rPr>
          <w:rFonts w:hint="eastAsia" w:ascii="华文中宋" w:hAnsi="华文中宋" w:eastAsia="华文中宋"/>
          <w:b/>
          <w:color w:val="auto"/>
          <w:sz w:val="44"/>
          <w:szCs w:val="44"/>
          <w:highlight w:val="none"/>
        </w:rPr>
        <w:t>（鹰山区域绿地养护项目）合同</w:t>
      </w:r>
    </w:p>
    <w:bookmarkEnd w:id="158"/>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14:shadow w14:blurRad="50800" w14:dist="50800" w14:dir="5400000" w14:sx="1000" w14:sy="1000" w14:kx="0" w14:ky="0" w14:algn="ctr">
            <w14:srgbClr w14:val="000000">
              <w14:alpha w14:val="80000"/>
            </w14:srgbClr>
          </w14:shadow>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rFonts w:ascii="仿宋_GB2312" w:eastAsia="仿宋_GB2312"/>
          <w:color w:val="auto"/>
          <w:sz w:val="32"/>
          <w:szCs w:val="32"/>
          <w:highlight w:val="none"/>
        </w:rPr>
      </w:pPr>
      <w:r>
        <w:rPr>
          <w:rFonts w:hint="eastAsia" w:ascii="仿宋_GB2312" w:eastAsia="仿宋_GB2312"/>
          <w:color w:val="auto"/>
          <w:sz w:val="32"/>
          <w:szCs w:val="32"/>
          <w:highlight w:val="none"/>
        </w:rPr>
        <w:t>甲    方：</w:t>
      </w:r>
      <w:r>
        <w:rPr>
          <w:rFonts w:hint="eastAsia" w:ascii="仿宋_GB2312" w:eastAsia="仿宋_GB2312"/>
          <w:color w:val="auto"/>
          <w:sz w:val="32"/>
          <w:szCs w:val="32"/>
          <w:highlight w:val="none"/>
          <w:u w:val="single"/>
        </w:rPr>
        <w:t xml:space="preserve">    北京园博园管理中心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乙    方：</w:t>
      </w:r>
      <w:r>
        <w:rPr>
          <w:rFonts w:hint="eastAsia" w:ascii="仿宋_GB2312" w:eastAsia="仿宋_GB2312"/>
          <w:color w:val="auto"/>
          <w:sz w:val="32"/>
          <w:szCs w:val="32"/>
          <w:highlight w:val="none"/>
          <w:u w:val="single"/>
        </w:rPr>
        <w:t xml:space="preserve">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签订地点：</w:t>
      </w:r>
      <w:r>
        <w:rPr>
          <w:rFonts w:hint="eastAsia" w:ascii="仿宋_GB2312" w:eastAsia="仿宋_GB2312"/>
          <w:color w:val="auto"/>
          <w:sz w:val="32"/>
          <w:szCs w:val="32"/>
          <w:highlight w:val="none"/>
          <w:u w:val="single"/>
        </w:rPr>
        <w:t xml:space="preserve">    北京市丰台区园博园      </w:t>
      </w:r>
    </w:p>
    <w:p>
      <w:pPr>
        <w:spacing w:line="560" w:lineRule="exact"/>
        <w:rPr>
          <w:rFonts w:ascii="仿宋_GB2312" w:eastAsia="仿宋_GB2312"/>
          <w:color w:val="auto"/>
          <w:sz w:val="32"/>
          <w:szCs w:val="32"/>
          <w:highlight w:val="none"/>
        </w:rPr>
        <w:sectPr>
          <w:headerReference r:id="rId8" w:type="default"/>
          <w:pgSz w:w="11906" w:h="16838"/>
          <w:pgMar w:top="1440" w:right="1800" w:bottom="1440" w:left="1800" w:header="851" w:footer="992" w:gutter="0"/>
          <w:cols w:space="425" w:num="1"/>
          <w:docGrid w:type="lines" w:linePitch="312" w:charSpace="0"/>
        </w:sectPr>
      </w:pPr>
      <w:r>
        <w:rPr>
          <w:rFonts w:hint="eastAsia" w:ascii="仿宋_GB2312" w:eastAsia="仿宋_GB2312"/>
          <w:color w:val="auto"/>
          <w:sz w:val="32"/>
          <w:szCs w:val="32"/>
          <w:highlight w:val="none"/>
        </w:rPr>
        <w:t>签订日期：</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u w:val="single"/>
        </w:rPr>
        <w:t xml:space="preserve">       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 </w:t>
      </w:r>
      <w:r>
        <w:rPr>
          <w:rFonts w:hint="eastAsia" w:asciiTheme="minorEastAsia" w:hAnsiTheme="minorEastAsia" w:eastAsiaTheme="minorEastAsia" w:cstheme="minorEastAsia"/>
          <w:color w:val="auto"/>
          <w:sz w:val="24"/>
          <w:highlight w:val="none"/>
          <w:u w:val="single"/>
        </w:rPr>
        <w:t xml:space="preserve">   北京园博园管理中心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明确甲乙双方的权利和义务，依照《中华人民共和国民法典》《城市绿化条例》及城市园林绿化管理养护标准等相关规定，遵循平等、自愿、公平、诚实信用的原则，双方就甲方委托乙方进行绿地养护及管理事宜，经协商签订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1.绿化养护范围及内容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1.1项目名称：</w:t>
      </w:r>
      <w:r>
        <w:rPr>
          <w:rFonts w:hint="eastAsia" w:asciiTheme="minorEastAsia" w:hAnsiTheme="minorEastAsia" w:eastAsiaTheme="minorEastAsia" w:cstheme="minorEastAsia"/>
          <w:color w:val="auto"/>
          <w:sz w:val="24"/>
          <w:highlight w:val="none"/>
          <w:u w:val="single"/>
        </w:rPr>
        <w:t xml:space="preserve">  2024年北京园博园绿地养护项目</w:t>
      </w:r>
      <w:r>
        <w:rPr>
          <w:rFonts w:hint="eastAsia" w:ascii="宋体" w:hAnsi="宋体" w:eastAsia="宋体" w:cs="宋体"/>
          <w:color w:val="auto"/>
          <w:sz w:val="24"/>
          <w:szCs w:val="24"/>
          <w:highlight w:val="none"/>
          <w:u w:val="single"/>
        </w:rPr>
        <w:t>（鹰山区域绿地养护项目）</w:t>
      </w:r>
      <w:r>
        <w:rPr>
          <w:rFonts w:hint="eastAsia" w:ascii="宋体" w:hAnsi="宋体" w:eastAsia="宋体" w:cs="宋体"/>
          <w:color w:val="auto"/>
          <w:sz w:val="24"/>
          <w:szCs w:val="24"/>
          <w:highlight w:val="none"/>
        </w:rPr>
        <w:t xml:space="preserve">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1.2养护范围：</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eastAsia="宋体" w:cs="宋体"/>
          <w:color w:val="auto"/>
          <w:sz w:val="24"/>
          <w:szCs w:val="24"/>
          <w:highlight w:val="none"/>
          <w:u w:val="single"/>
        </w:rPr>
        <w:t xml:space="preserve"> 北京园博园鹰山区域</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北坡古民居、广东园、福建园、梦唐园、江苏园及樱花园二期。</w:t>
      </w:r>
    </w:p>
    <w:p>
      <w:pPr>
        <w:spacing w:line="360" w:lineRule="auto"/>
        <w:ind w:left="240" w:leftChars="100" w:firstLine="240" w:firstLineChars="100"/>
        <w:rPr>
          <w:rFonts w:hint="eastAsia" w:ascii="宋体" w:hAnsi="宋体" w:eastAsia="宋体" w:cs="宋体"/>
          <w:color w:val="auto"/>
          <w:sz w:val="24"/>
          <w:szCs w:val="24"/>
          <w:highlight w:val="none"/>
          <w:u w:val="single"/>
        </w:rPr>
      </w:pPr>
      <w:r>
        <w:rPr>
          <w:rFonts w:hint="eastAsia" w:asciiTheme="minorEastAsia" w:hAnsiTheme="minorEastAsia" w:eastAsiaTheme="minorEastAsia" w:cstheme="minorEastAsia"/>
          <w:color w:val="auto"/>
          <w:sz w:val="24"/>
          <w:highlight w:val="none"/>
        </w:rPr>
        <w:t>1.3养护总面积：</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eastAsia="宋体" w:cs="宋体"/>
          <w:color w:val="auto"/>
          <w:sz w:val="24"/>
          <w:szCs w:val="24"/>
          <w:highlight w:val="none"/>
          <w:u w:val="single"/>
          <w:lang w:val="en-US" w:eastAsia="zh-CN"/>
        </w:rPr>
        <w:t>846</w:t>
      </w:r>
      <w:r>
        <w:rPr>
          <w:rFonts w:hint="eastAsia" w:ascii="宋体" w:hAnsi="宋体" w:cs="宋体"/>
          <w:color w:val="auto"/>
          <w:sz w:val="24"/>
          <w:szCs w:val="24"/>
          <w:highlight w:val="none"/>
          <w:u w:val="single"/>
          <w:lang w:val="en-US" w:eastAsia="zh-CN"/>
        </w:rPr>
        <w:t>356</w:t>
      </w:r>
      <w:r>
        <w:rPr>
          <w:rFonts w:hint="eastAsia" w:ascii="宋体" w:hAnsi="宋体" w:eastAsia="宋体" w:cs="宋体"/>
          <w:color w:val="auto"/>
          <w:sz w:val="24"/>
          <w:szCs w:val="24"/>
          <w:highlight w:val="none"/>
          <w:u w:val="single"/>
        </w:rPr>
        <w:t>平方米，其中特级绿地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334200</w:t>
      </w:r>
      <w:r>
        <w:rPr>
          <w:rFonts w:hint="eastAsia" w:ascii="宋体" w:hAnsi="宋体" w:eastAsia="宋体" w:cs="宋体"/>
          <w:color w:val="auto"/>
          <w:sz w:val="24"/>
          <w:szCs w:val="24"/>
          <w:highlight w:val="none"/>
          <w:u w:val="single"/>
        </w:rPr>
        <w:t>平方米，一级绿地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512</w:t>
      </w:r>
      <w:r>
        <w:rPr>
          <w:rFonts w:hint="eastAsia" w:ascii="宋体" w:hAnsi="宋体" w:cs="宋体"/>
          <w:color w:val="auto"/>
          <w:sz w:val="24"/>
          <w:szCs w:val="24"/>
          <w:highlight w:val="none"/>
          <w:u w:val="single"/>
          <w:lang w:val="en-US" w:eastAsia="zh-CN"/>
        </w:rPr>
        <w:t>156</w:t>
      </w:r>
      <w:r>
        <w:rPr>
          <w:rFonts w:hint="eastAsia" w:ascii="宋体" w:hAnsi="宋体" w:eastAsia="宋体" w:cs="宋体"/>
          <w:color w:val="auto"/>
          <w:sz w:val="24"/>
          <w:szCs w:val="24"/>
          <w:highlight w:val="none"/>
          <w:u w:val="single"/>
        </w:rPr>
        <w:t>平方米。</w:t>
      </w:r>
    </w:p>
    <w:p>
      <w:pPr>
        <w:spacing w:line="360" w:lineRule="auto"/>
        <w:ind w:left="240" w:leftChars="100" w:firstLine="240" w:firstLineChars="100"/>
        <w:rPr>
          <w:rFonts w:asciiTheme="minorEastAsia" w:hAnsiTheme="minorEastAsia" w:eastAsiaTheme="minorEastAsia" w:cstheme="minorEastAsia"/>
          <w:color w:val="auto"/>
          <w:sz w:val="24"/>
          <w:highlight w:val="none"/>
          <w:u w:val="single"/>
        </w:rPr>
      </w:pP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1.4养护期限：</w:t>
      </w:r>
      <w:r>
        <w:rPr>
          <w:rFonts w:hint="eastAsia" w:asciiTheme="minorEastAsia" w:hAnsiTheme="minorEastAsia" w:eastAsiaTheme="minorEastAsia" w:cstheme="minorEastAsia"/>
          <w:color w:val="auto"/>
          <w:sz w:val="24"/>
          <w:highlight w:val="none"/>
          <w:u w:val="single"/>
        </w:rPr>
        <w:t xml:space="preserve">  自合同签订之日起至2024年12月31日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1.5承包方式：整体承包。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1.6养护标准：《中华人民共和国城市绿化条例》、《北京市绿化条例》、《北京市公园分类分级管理办法》（京绿办发〔2022〕148号）、《城镇绿地养护技术规范》（DB11T 213-2022）、《北京园博园管理中心绿化养护精细化管理考核办法》。</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1.7绿地养护工作及工作量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1.7.1养护工作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1.7.1.1常态化养护工作:浇水、施肥、病虫防治、修剪、中耕除草 、打孔疏草、园林生产垃圾收集运输、绿地管理巡视、展园安全隐患巡视、护林防火巡视、计划总结管理。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1.7.1.2依据实际发生的养护工作：补植、支撑、防盐、防涝、防寒、防风</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种植调整、园内园林科普标识的设计与制作、展园内道路铺装维护工作、喷灌支管线的维修工作、展园景观维护工作、绿化相关防汛工作、配合园博园工程收尾及盘点工作、配合园区重大活动保障工作、按照采购人标准统一工作人员服装</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、根据采购人要求开展特养特护工作、其他采购人安排的临时任务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1.7.2养护工作量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1.7.2.1常态化养护工作量: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drawing>
          <wp:anchor distT="0" distB="0" distL="114300" distR="114300" simplePos="0" relativeHeight="251661312" behindDoc="0" locked="0" layoutInCell="1" allowOverlap="1">
            <wp:simplePos x="0" y="0"/>
            <wp:positionH relativeFrom="column">
              <wp:posOffset>-17145</wp:posOffset>
            </wp:positionH>
            <wp:positionV relativeFrom="paragraph">
              <wp:posOffset>67945</wp:posOffset>
            </wp:positionV>
            <wp:extent cx="5304155" cy="3106420"/>
            <wp:effectExtent l="0" t="0" r="4445" b="5080"/>
            <wp:wrapSquare wrapText="bothSides"/>
            <wp:docPr id="3" name="图片 2" descr="京办_2024022016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京办_20240220162502"/>
                    <pic:cNvPicPr>
                      <a:picLocks noChangeAspect="1"/>
                    </pic:cNvPicPr>
                  </pic:nvPicPr>
                  <pic:blipFill>
                    <a:blip r:embed="rId13"/>
                    <a:stretch>
                      <a:fillRect/>
                    </a:stretch>
                  </pic:blipFill>
                  <pic:spPr>
                    <a:xfrm>
                      <a:off x="0" y="0"/>
                      <a:ext cx="5304155" cy="310642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4"/>
          <w:highlight w:val="none"/>
        </w:rPr>
        <w:t>1.7.2.2依据实际发生的养护工作量:补植，当林木死亡时据实发生。支撑，因补植或防风等需要时据实发生。防盐，因防盐需要时据实发生。防涝，当绿地发生洪涝时据实发生。防寒，因防寒需要时据实发生。防风，因防风需要时据实发生。种植调整，因甲方需要时进行调整，全年不超过1</w:t>
      </w:r>
      <w:r>
        <w:rPr>
          <w:rFonts w:hint="eastAsia" w:asciiTheme="minorEastAsia" w:hAnsiTheme="minorEastAsia" w:eastAsia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0株。园内园林科普标识的设计与制作，当甲方需要设计与制作时，全年不超过</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00个标识。展园内道路铺装维护工作，</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个展园内道路铺装发生损坏时，一周内完成维修（周最低平均气温低于0度时除外）。喷灌支管线维修工作，当喷灌支管线发生损坏时，一周内完成维修（周最低平均气温低于0度时除外）。展园景观维护工作，当展园景观需要维护时，乙方按照甲方的要求据实发生。绿化相关防汛工作，汛期按甲方要求组建防汛抢险队伍，据实际情况开展防汛工作。配合园博园工程收尾及盘点工作。配合园区重大活动保障工作。按照采购人标准统一工作人员服装。根据采购人要求开展特养特护工作。其他采购人安排的临时任务。以上养护工作所需全部生产工具及耗材全部由中标人自行负责与承担费用。在用水高峰期如以上养护工作使用园区两口自备井（编号分别为952、629号）保障供水，产生的水费依据水务部门的要求和定价按照乙方养护面积分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2.绿化养护费用及付款方式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2.1合同价款：</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本合同绿地养护费用共计：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元（大写人民币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，含税）</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本项目财政批复的服务期限为2024年1月1日至2024年12月31日，乙方须按照服务期一年进行报价。乙方实际服务期限为合同签订之日起至2024年12月31日。鉴于实际情况，为保证北京园博园的正常运转和绿化养护服务的连续性，自2024年1月1日至乙方正式交接前，过渡期内继续由2023年绿化养护服务外包项目的服务供应商提供绿化养护服务。如过渡期服务供应商未确定为绿化养护服务外包项目2024年中标单位，由中标单位支付过渡期服务供应商过渡期的费用。费用根据绿化养护服务外包项目2024年中标金额，结合过渡期服务供应商实际服务天数进行结算，中标单位正式接管2024年绿化养护服务外包项目15个工作日内支付到过渡期服务供应商账户。</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2.3付款方式：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2.3.1合同生效后，</w:t>
      </w:r>
      <w:r>
        <w:rPr>
          <w:rFonts w:hint="eastAsia" w:asciiTheme="minorEastAsia" w:hAnsiTheme="minorEastAsia" w:eastAsiaTheme="minorEastAsia" w:cstheme="minorEastAsia"/>
          <w:color w:val="auto"/>
          <w:sz w:val="24"/>
          <w:highlight w:val="none"/>
          <w:u w:val="single"/>
        </w:rPr>
        <w:t xml:space="preserve"> </w:t>
      </w:r>
      <w:r>
        <w:rPr>
          <w:rFonts w:hint="eastAsia" w:hAnsiTheme="minorEastAsia" w:cstheme="minorEastAsia"/>
          <w:color w:val="auto"/>
          <w:sz w:val="24"/>
          <w:highlight w:val="none"/>
          <w:u w:val="single"/>
          <w:lang w:eastAsia="zh-CN"/>
        </w:rPr>
        <w:t>2024 年 4 月 15 日</w:t>
      </w:r>
      <w:r>
        <w:rPr>
          <w:rFonts w:hint="eastAsia" w:asciiTheme="minorEastAsia" w:hAnsiTheme="minorEastAsia" w:eastAsiaTheme="minorEastAsia" w:cstheme="minorEastAsia"/>
          <w:color w:val="auto"/>
          <w:sz w:val="24"/>
          <w:highlight w:val="none"/>
        </w:rPr>
        <w:t>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6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9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元（合同金额的15%）；</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11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元（合同金额的5%）。</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2.3.2支付条件为经甲方考核，乙方季度考核平均分达标及以上。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2.3.3甲方每次付款前，乙方应提供等额正规发票，否则甲方有权暂不付款且不构成违约。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3.1收取：自本合同签订之日起1个月内，乙方应向甲方一次性缴纳</w:t>
      </w:r>
      <w:r>
        <w:rPr>
          <w:rFonts w:hint="eastAsia" w:asciiTheme="minorEastAsia" w:hAnsiTheme="minorEastAsia" w:eastAsiaTheme="minorEastAsia" w:cstheme="minorEastAsia"/>
          <w:color w:val="auto"/>
          <w:sz w:val="24"/>
          <w:highlight w:val="none"/>
          <w:u w:val="single" w:color="FF0000"/>
        </w:rPr>
        <w:t xml:space="preserve">    </w:t>
      </w:r>
      <w:r>
        <w:rPr>
          <w:rFonts w:hint="eastAsia" w:asciiTheme="minorEastAsia" w:hAnsiTheme="minorEastAsia" w:eastAsiaTheme="minorEastAsia" w:cstheme="minorEastAsia"/>
          <w:color w:val="auto"/>
          <w:sz w:val="24"/>
          <w:highlight w:val="none"/>
        </w:rPr>
        <w:t>万元履约保证金，作为按约定的服务期限、内容和标准履行本合同的担保。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3.2返还：合同履约完成后5个月内，依据合同履约情况，在甲方依据本协议扣除相关违约金（如有）、损害赔偿金（如有）等费用后一次性无息返还全部或剩余履约保证金。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4.服务考核</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北京园博园是4A级景区，是西山永定河文化带精华区的重要组成部分，乙方所提供服务及日常管理需符合A级景区标准，全力配合园博园争创5A，要求如下：</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4.1提供的服务及管理必须符合《旅游景区质量等级的划分与评定》国家标准对4A级景区的各项要求，按照5A级景区标准提高各项工作标准，全力配合园博园创建5A级景区。</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4.2提供的服务和从业人员的行为及作业应达到安全生产标准化（二级）相应的标准。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4.3遵守园博园各项管理规定，高标准、无条件全力配合园博园内开展的各类大型活动。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4.4按照《北京园博园管理中心绿化养护精细化管理考核办法》，甲方有权对合同服务内容进行考核，每季度组织三次考核。季度考核平均分值85分（含）以上为达标，85分以下为不达标。</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5.甲方的权利和义务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5.1甲方负责绿化养护的联系人：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甲方有权全面监督、指导、检查、验收乙方工作，发现问题及时通知乙方，要求乙方在指定时间内处理完毕。甲方有权对乙方提出的合理建议和要求予以采纳或提供必要帮助。甲方依据本协议约定的作业内容、标准，检查监督乙方的养护质量和服务水平，实行百分检查验收制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5.3如遇绿化特殊工作需求时（如外来人员参观视察、检查，或特殊天气等情况），甲方有权提前通知乙方安排人员进行相关养护或恢复等工作。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5.4协助乙方维持养护作业秩序，尽可能提供方便。</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5.5监督检查、验收绿地养护管理质量。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5.6按合同约定向乙方支付养护费。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5.7乙方养护前，需提供给乙方完善的养护清单，以便后期养护发生植株减少或损毁的认定。养护期限届满，甲方有权按照养护清单对乙方养护内容进行检查、验收。如甲方发现植株减少或损毁的情况，甲方有权要求乙方限期补植或修复并承担相应的费用，如乙方未能在甲方要求期限内补植或修复的，甲方有权按照相似植株的市场价值要求乙方进行赔偿，甲方有权从履约保证金中扣除乙方应承担的赔偿金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5.8因不可抗力(台风、洪水、地震、冰雹等)造成养护植物死亡的不属于乙方负责范围，乙方应当向甲方提供构成不可抗力情形的证明文件。在此情形下，需要乙方进行修复时，甲方有权根据实际工程量支付乙方相应费用。但在雨季、多风季节，乙方必须按照甲方要求先行采取用支架对树木进行必要防护等措施，材料应当用木或钢管，未提前采取必要防护措施造成养护植物减少、损毁或死亡的，甲方有权要求乙方限期补植或修复并承担相应的费用。乙方未在要求期限内补植或修复的，甲方有权自行或委托第三方补植或修复，相应的费用甲方有权从履约保证金中予以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6.乙方的权利和义务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6.1乙方负责绿化养护的代表人：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6.2乙方派驻的所有工作人员应当遵守甲方制定的各项规章制度，服从甲方管理，爱护甲方及园内财物，维护甲方良好形象。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6.3乙方派驻的所有工作人员，必须按甲方的有关规定办理相关手续，工作时间内所有乙方绿化养护人员必须依据甲方要求统一着装、佩带工作证。</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6.4乙方必须根据本协议约定的相关操作规程、技术规定和标准进行养护并接受甲方监督。</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乙方负责安全生产，确保全年不出安全责任事故。乙方工作人员必须严格执行安全操作规程，加强安全防护，妥善保管和使用农药、汽油等，由于乙方的养护人员操作不规范等因素造成的安全责任事故，由乙方承担一切责任及损失。甲方有权根据事故的严重情况保留单方解除本合同的权利，对事故给甲方造成的损失，甲方有权从履约保证金中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6.6乙方应当文明作业，及时清理养护现场，做到工完场清。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6.7乙方有权依据合同约定，按期向甲方申请款项。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6.8乙方在进行养护前，应自甲方提供养护清单之日起3日内进行清单的核实，以便后期养护发生植株减少或损毁的认定。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6.9合同期内，本合同养护项目因乙方养护不当造成的植株减少或损毁，乙方应在甲方指定时间内补植或修复并承担相应费用。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6.10因不可抗力(台风、洪水、地震等)的自然灾害造成养护植物死亡及非乙方因素造成养护植物减少、损毁或死亡的不属于乙方负责范围，乙方及时提请甲方予以认定，否则乙方应予以修复。在雨季、多风季节必须先行采取用支架对树木进行必要的防护，材料可以用木或钢管，未提前采取必要防护措施造成养护植物减少、损毁或死亡的，修复费用由乙方承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6.11关于法定节假日或重要活动，乙方应当按照甲方的具体要求(如品种、方位、数量等)增设的花坛花卉以增强节假日的气氛，相关费用双方另行协商确定。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各类因苗木养护作业所产生的园林生产垃圾(泥土、枯枝、草坪等)均由乙方负责清理，甲方不再另行支付费用。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乙方必须无条件配合甲方防汛抢险、护林防火、重要活动等相关保障工作。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乙方负责对养护范围内城市展园的管理工作，对展园开展内的建筑、土建、设备、铺装及其他安全隐患进行巡视检查，发现问题及时上报。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7.违约责任</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乙方养护达不到合同约定的养护标准或操作规程不规范，甲方可发出书面整改通知书或口头通知。乙方自收到通知之日起5天内未予整改的，甲方每次可扣除履约保证金10%的费用。自收到通知之日起20天内未整改的，甲方有权单方解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7.2在养护期限内，乙方一年内出现2次重大责任事故或3次一般责任事故的，甲方有权单方解除合同，产生的损失由乙方承担，甲方有权从履约保证金中扣除乙方应承担的赔偿额。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重大责任事故：安全生产事故；被新闻单位曝光，经查属实，影响重大的；各种重大政治活动及上级部门检查中，出现问题，造成严重后果的；未经采购方批准擅自停止绿地管理作业造成严重影响的；在有重大政治活动或紧急任务的情况下，没有按要求及时完成指令性工作任务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般责任事故：人大代表、政协委员、上级领导及群众反映业务管理及服务质量有问题，经查属实，造成一定影响的；各种重大政治活动或上级部门检查中出现问题，造成不良影响的；未能及时按质按量完成采购方布置的各项临时任务的；对各种检查和群众反映的问题，在规定的期限内未能及时解决的；造成一定影响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7.3乙方营业执照年检不合格，甲方有权单方解除合同。</w:t>
      </w:r>
    </w:p>
    <w:p>
      <w:pPr>
        <w:autoSpaceDE w:val="0"/>
        <w:autoSpaceDN w:val="0"/>
        <w:spacing w:line="360" w:lineRule="auto"/>
        <w:ind w:firstLine="480" w:firstLineChars="20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w:t>
      </w:r>
      <w:r>
        <w:rPr>
          <w:rFonts w:hint="eastAsia" w:asciiTheme="minorEastAsia" w:hAnsiTheme="minorEastAsia" w:eastAsiaTheme="minorEastAsia" w:cstheme="minorEastAsia"/>
          <w:bCs/>
          <w:color w:val="auto"/>
          <w:sz w:val="24"/>
          <w:highlight w:val="none"/>
          <w:lang w:val="zh-CN"/>
        </w:rPr>
        <w:t>争议解决方式</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8.1</w:t>
      </w:r>
      <w:r>
        <w:rPr>
          <w:rFonts w:hint="eastAsia" w:asciiTheme="minorEastAsia" w:hAnsiTheme="minorEastAsia" w:eastAsiaTheme="minorEastAsia" w:cstheme="minorEastAsia"/>
          <w:bCs/>
          <w:color w:val="auto"/>
          <w:sz w:val="24"/>
          <w:highlight w:val="none"/>
          <w:lang w:val="zh-CN"/>
        </w:rPr>
        <w:t>本合同在履行过程中发生的争议由双方当事人协商解决，协商不成的，依法向</w:t>
      </w:r>
      <w:r>
        <w:rPr>
          <w:rFonts w:hint="eastAsia" w:asciiTheme="minorEastAsia" w:hAnsiTheme="minorEastAsia" w:eastAsiaTheme="minorEastAsia" w:cstheme="minorEastAsia"/>
          <w:bCs/>
          <w:color w:val="auto"/>
          <w:sz w:val="24"/>
          <w:highlight w:val="none"/>
          <w:u w:val="single"/>
          <w:lang w:val="zh-CN"/>
        </w:rPr>
        <w:t>丰台区</w:t>
      </w:r>
      <w:r>
        <w:rPr>
          <w:rFonts w:hint="eastAsia" w:asciiTheme="minorEastAsia" w:hAnsiTheme="minorEastAsia" w:eastAsiaTheme="minorEastAsia" w:cstheme="minorEastAsia"/>
          <w:bCs/>
          <w:color w:val="auto"/>
          <w:sz w:val="24"/>
          <w:highlight w:val="none"/>
          <w:lang w:val="zh-CN"/>
        </w:rPr>
        <w:t>人民法院起诉。</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8.2</w:t>
      </w:r>
      <w:r>
        <w:rPr>
          <w:rFonts w:hint="eastAsia" w:asciiTheme="minorEastAsia" w:hAnsiTheme="minorEastAsia" w:eastAsiaTheme="minorEastAsia" w:cstheme="minorEastAsia"/>
          <w:bCs/>
          <w:color w:val="auto"/>
          <w:sz w:val="24"/>
          <w:highlight w:val="none"/>
          <w:lang w:val="zh-CN"/>
        </w:rPr>
        <w:t>双方认可本合同约定的联系方式和地址可作为诉讼中文书的送达地址。</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9.附则</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r>
        <w:rPr>
          <w:rFonts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rPr>
        <w:t>本合同若有未尽事宜，双方应本着诚信合作的态度，友好协商解决，在本合同养护期内签订的补充协议均作为本合同的有效附件。</w:t>
      </w:r>
    </w:p>
    <w:p>
      <w:pPr>
        <w:spacing w:line="360" w:lineRule="auto"/>
        <w:ind w:firstLine="480" w:firstLineChars="20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t>9.2</w:t>
      </w:r>
      <w:r>
        <w:rPr>
          <w:rFonts w:hint="eastAsia" w:asciiTheme="minorEastAsia" w:hAnsiTheme="minorEastAsia" w:eastAsiaTheme="minorEastAsia" w:cstheme="minorEastAsia"/>
          <w:color w:val="auto"/>
          <w:sz w:val="24"/>
          <w:highlight w:val="none"/>
        </w:rPr>
        <w:t>本合同一式陆份，双方各执</w:t>
      </w:r>
      <w:r>
        <w:rPr>
          <w:rFonts w:hint="eastAsia" w:asciiTheme="minorEastAsia" w:hAnsiTheme="minorEastAsia" w:eastAsiaTheme="minorEastAsia" w:cstheme="minorEastAsia"/>
          <w:color w:val="auto"/>
          <w:sz w:val="24"/>
          <w:highlight w:val="none"/>
          <w:lang w:val="en-US" w:eastAsia="zh-CN"/>
        </w:rPr>
        <w:t>叁</w:t>
      </w:r>
      <w:r>
        <w:rPr>
          <w:rFonts w:hint="eastAsia" w:asciiTheme="minorEastAsia" w:hAnsiTheme="minorEastAsia" w:eastAsiaTheme="minorEastAsia" w:cstheme="minorEastAsia"/>
          <w:color w:val="auto"/>
          <w:sz w:val="24"/>
          <w:highlight w:val="none"/>
        </w:rPr>
        <w:t>份，经双方签字盖章后生效，具有同等法律效力。</w:t>
      </w:r>
    </w:p>
    <w:p>
      <w:pPr>
        <w:pStyle w:val="2"/>
        <w:ind w:firstLine="480" w:firstLineChars="20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9.3</w:t>
      </w:r>
      <w:r>
        <w:rPr>
          <w:rFonts w:hint="eastAsia" w:asciiTheme="minorEastAsia" w:hAnsiTheme="minorEastAsia" w:eastAsiaTheme="minorEastAsia" w:cstheme="minorEastAsia"/>
          <w:color w:val="auto"/>
          <w:szCs w:val="24"/>
          <w:highlight w:val="none"/>
        </w:rPr>
        <w:t>附件为本协议的有效组成部分，具有同等法律效力。本协议附件有：</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附件1：《安全生产协议书》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附件2：《保密责任书》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附件3：《廉政责任书》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附件4：《北京园博园管理中心绿化养护精细化管理考核办法》</w:t>
      </w:r>
    </w:p>
    <w:p>
      <w:pPr>
        <w:pStyle w:val="2"/>
        <w:ind w:firstLine="480" w:firstLineChars="200"/>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甲方（盖章）：                        乙方（盖章）：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法定代表人（签章）：                  法定代表人（签章）：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委托代理人（签章）：                  委托代理人（签章）：</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                               地址：</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                           开户银行：             </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账号：                               账号：</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电话:                                电话:</w:t>
      </w:r>
    </w:p>
    <w:p>
      <w:pPr>
        <w:pStyle w:val="2"/>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签约时间：　　　　　　　　　  　　　　签约时间：</w:t>
      </w:r>
    </w:p>
    <w:p>
      <w:pPr>
        <w:pStyle w:val="2"/>
        <w:rPr>
          <w:rFonts w:asciiTheme="minorEastAsia" w:hAnsiTheme="minorEastAsia" w:eastAsiaTheme="minorEastAsia" w:cstheme="minorEastAsia"/>
          <w:color w:val="auto"/>
          <w:kern w:val="24"/>
          <w:szCs w:val="21"/>
          <w:highlight w:val="none"/>
        </w:rPr>
      </w:pPr>
    </w:p>
    <w:p>
      <w:pPr>
        <w:pStyle w:val="23"/>
        <w:ind w:firstLine="0"/>
        <w:rPr>
          <w:rFonts w:asciiTheme="minorEastAsia" w:hAnsiTheme="minorEastAsia" w:eastAsiaTheme="minorEastAsia" w:cstheme="minorEastAsia"/>
          <w:color w:val="auto"/>
          <w:kern w:val="0"/>
          <w:sz w:val="32"/>
          <w:szCs w:val="32"/>
          <w:highlight w:val="none"/>
          <w:lang w:bidi="ar"/>
        </w:rPr>
      </w:pPr>
    </w:p>
    <w:p>
      <w:pPr>
        <w:pStyle w:val="23"/>
        <w:spacing w:line="560" w:lineRule="exact"/>
        <w:ind w:firstLine="0"/>
        <w:rPr>
          <w:rFonts w:hint="eastAsia" w:asciiTheme="minorEastAsia" w:hAnsiTheme="minorEastAsia" w:eastAsiaTheme="minorEastAsia" w:cstheme="minorEastAsia"/>
          <w:color w:val="auto"/>
          <w:sz w:val="24"/>
          <w:szCs w:val="32"/>
          <w:highlight w:val="none"/>
        </w:rPr>
      </w:pPr>
    </w:p>
    <w:p>
      <w:pPr>
        <w:pStyle w:val="23"/>
        <w:spacing w:line="560" w:lineRule="exact"/>
        <w:ind w:firstLine="0"/>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本协议附件：</w:t>
      </w: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附件1：</w:t>
      </w:r>
    </w:p>
    <w:p>
      <w:pPr>
        <w:spacing w:before="120" w:after="120" w:line="560" w:lineRule="exact"/>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安全生产协议书</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甲方：北京园博园管理中心（以下简称甲方）</w:t>
      </w:r>
    </w:p>
    <w:p>
      <w:pPr>
        <w:tabs>
          <w:tab w:val="left" w:pos="2400"/>
        </w:tabs>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地址：北京市丰台区长辛店镇射击场路15号</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乙方：（以下简称乙方）</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 xml:space="preserve">地址： </w:t>
      </w:r>
    </w:p>
    <w:p>
      <w:pPr>
        <w:spacing w:line="560" w:lineRule="exact"/>
        <w:ind w:left="840" w:leftChars="350"/>
        <w:rPr>
          <w:rFonts w:asciiTheme="minorEastAsia" w:hAnsiTheme="minorEastAsia" w:eastAsiaTheme="minorEastAsia" w:cstheme="minorEastAsia"/>
          <w:color w:val="auto"/>
          <w:sz w:val="32"/>
          <w:szCs w:val="32"/>
          <w:highlight w:val="none"/>
        </w:rPr>
      </w:pPr>
    </w:p>
    <w:p>
      <w:pPr>
        <w:spacing w:line="560" w:lineRule="exact"/>
        <w:ind w:firstLine="64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甲乙双方经平等友好协商一致，就乙方使用的区域（以下简称“园区”），合作期间应尽到的安全生产义务，进行如下补充约定以资共同遵守：</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1.乙方的安全生产义务如下：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遵守国家有关安全施工、生产方面的法律、法规和其他要求，以及甲方制定的规章制度和其它要求；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建立健全乙方本单位安全生产责任制并设置安全管理机构，按规定配备专兼职安全管理人员，并报甲方备案。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 负责将包括园区在内的本单位作业场所和工作岗位存在的危险因素、防范措施以及事故应急措施告知乙方本单位员工。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 雇佣的员工或住宿人员必须按照当地派出所的要求履行登记备案制度并做好治安管理工作。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1.16 应按《中华人民共和国劳动法》等法律、法规、规定用工，不使用未成年工和有职业禁忌的人员进行施工、生产作业。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2.违约责任、协议的变更及解除</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乙方违反上述任何约定，应赔偿因此给甲方带来的全部责任和损失，包括直接损失和间接损失。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出现以下任一情形的，甲方有权单方解除合同，收回园区，并有权要求乙方赔偿甲方因此遭受的所有损失：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 乙方违反上述约定，甲方发出整改通知之日起五日内或甲方要求的整改期限内未达到整改目标的；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 乙方违反上述约定，受到行政处罚或者刑事处罚的；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2.2.3 乙方违反上述约定，导致甲方受到行政处罚或者刑事处罚的；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2.2.4 乙方违反上述约定，造成甲方经济损失达5000元以上的；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2.2.5 乙方拖欠甲方各种费用超过7天以上的；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2.2.6 乙方被吊销、注销或者停业整顿的；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2.2.7 其他因乙方原因导致合同无法继续履行，或者造成甲方重大经济或名誉损失的情形。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 经双方协商一致可以变更或者解除本协议。</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3.其他事项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合同履行期间，甲乙双方有任何争议均应协商解决，协商不成，任何一方有权向甲方所在地北京市丰台区人民法院提起诉讼。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 本协议是合同不可分割的一部分，与合同具有同等法律效力，经甲乙双方法定代表人或授权委托人签字并加盖公章后生效；本协议尚未约定事项以合同为准。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（以下无正文，为双方签署页）</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1084" w:hanging="1084" w:hangingChars="45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附件2：</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保密责任书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1.商业秘密之定义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甲方之档案资料：北京园博园管理中心相关图纸、设备设施资料等；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与甲方商业活动有关的信息：北京园博园管理中心运行方案、重要活动等；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与甲方专有技术有关的信息：设备设施资料、设备设施运行参数、设备设施运行记录等；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与甲方财务有关的信息：财务预算、财务报表等；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与甲方管理活动有关的信息：北京园博园管理中心重大活动及会议等；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与甲方有关的其他信息。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2.出于保护甲方商业秘密之目的，乙方理解并同意商业秘密包括任何与甲方有关之任何机密信息及商业信息。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3.乙方理解并同意在双开展业务过程中由甲方提供的任何信息，均属于商业秘密，乙方使用该信息同样受本责任书约束。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4.保密义务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非经甲方书面同意，乙方不得在任何时间以任何形式将商业秘密披露或提供给任何第三方；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除拟议目的外，不得将商业秘密用于任何其他目的，乙方不得在拟议目的之外，以任何方式复制被列为商业秘密的信息；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4.5 未经甲方书面同意，乙方不得使用或允许任何第三方使用不正当的手段获取的商业秘密。本条款所称之不正当的手段包括盗窃、欺诈、胁迫、贿赂、擅自复制、违反保密义务、引诱他人违反保密义务或其他不正当手段。</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 乙方对任何信息的性质、保密程度不明确的，必须主动向甲方寻求书面确认。</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6.例外情況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在下列情况下，乙方对于商业秘密的披露将不承担法律责任，前提条件是如果乙方能够证明该信息系：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乙方通过书面证据证明其在接受甲方的信息之前已知悉该商业秘密；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在本责任书签署之日或其后之任何时间在乙方不违反本责任书的情况下为公众所知悉；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 经由甲方以外的渠道合法获得；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 甲方书面批准乙方向第三方披露读信息；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7.材料之返还</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color w:val="auto"/>
          <w:sz w:val="24"/>
          <w:highlight w:val="none"/>
        </w:rPr>
        <w:t>甲方：北京园博园管理中心            乙方：</w:t>
      </w:r>
      <w:r>
        <w:rPr>
          <w:rFonts w:hint="eastAsia" w:asciiTheme="minorEastAsia" w:hAnsiTheme="minorEastAsia" w:eastAsiaTheme="minorEastAsia" w:cstheme="minorEastAsia"/>
          <w:b/>
          <w:snapToGrid w:val="0"/>
          <w:color w:val="auto"/>
          <w:sz w:val="24"/>
          <w:highlight w:val="none"/>
        </w:rPr>
        <w:t xml:space="preserve"> </w:t>
      </w:r>
    </w:p>
    <w:p>
      <w:pPr>
        <w:spacing w:line="560" w:lineRule="exact"/>
        <w:rPr>
          <w:rFonts w:asciiTheme="minorEastAsia" w:hAnsiTheme="minorEastAsia" w:eastAsiaTheme="minorEastAsia" w:cstheme="minorEastAsia"/>
          <w:b/>
          <w:snapToGrid w:val="0"/>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附件3：</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廉政责任书</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甲方：北京园博园管理中心</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乙方： </w:t>
      </w:r>
    </w:p>
    <w:p>
      <w:pPr>
        <w:spacing w:line="560" w:lineRule="exact"/>
        <w:rPr>
          <w:rFonts w:asciiTheme="minorEastAsia" w:hAnsiTheme="minorEastAsia" w:eastAsiaTheme="minorEastAsia" w:cstheme="minorEastAsia"/>
          <w:b/>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甲乙双方因北京园博园管理中心项目签订《</w:t>
      </w:r>
      <w:bookmarkStart w:id="159" w:name="_Hlk160639805"/>
      <w:r>
        <w:rPr>
          <w:rFonts w:hint="eastAsia" w:asciiTheme="minorEastAsia" w:hAnsiTheme="minorEastAsia" w:eastAsiaTheme="minorEastAsia" w:cstheme="minorEastAsia"/>
          <w:color w:val="auto"/>
          <w:sz w:val="24"/>
          <w:highlight w:val="none"/>
        </w:rPr>
        <w:t>2024年北京园博园绿地养护项目（</w:t>
      </w:r>
      <w:r>
        <w:rPr>
          <w:rFonts w:hint="eastAsia" w:asciiTheme="minorEastAsia" w:hAnsiTheme="minorEastAsia" w:eastAsiaTheme="minorEastAsia" w:cstheme="minorEastAsia"/>
          <w:color w:val="auto"/>
          <w:sz w:val="24"/>
          <w:highlight w:val="none"/>
          <w:lang w:val="en-US" w:eastAsia="zh-CN"/>
        </w:rPr>
        <w:t>鹰山</w:t>
      </w:r>
      <w:r>
        <w:rPr>
          <w:rFonts w:hint="eastAsia" w:asciiTheme="minorEastAsia" w:hAnsiTheme="minorEastAsia" w:eastAsiaTheme="minorEastAsia" w:cstheme="minorEastAsia"/>
          <w:color w:val="auto"/>
          <w:sz w:val="24"/>
          <w:highlight w:val="none"/>
        </w:rPr>
        <w:t>区域绿地养护项目）合同</w:t>
      </w:r>
      <w:bookmarkEnd w:id="159"/>
      <w:r>
        <w:rPr>
          <w:rFonts w:hint="eastAsia" w:asciiTheme="minorEastAsia" w:hAnsiTheme="minorEastAsia" w:eastAsiaTheme="minorEastAsia" w:cstheme="minorEastAsia"/>
          <w:color w:val="auto"/>
          <w:sz w:val="24"/>
          <w:highlight w:val="none"/>
        </w:rPr>
        <w:t>》，为加强在合同履行中的廉政建设，规范双方的行为，预防各种谋取不正当利益的违法、违纪行为的发生，特订立本廉政责任书。</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1.双方承诺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严格遵守国家法律、法规，相关政策及廉政建设的各项规定。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严格执行合同文件，自觉按合同办事。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甲、乙方及其所有工作人员，在合同的履行中禁止有下列任一行为：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 一方以任何理由向对方、相关单位及其工作人员索要、接受或赠送礼金、有价证券、贵重物品和回扣、好处费、感谢费等。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1.5.2 一方以任何理由为对方和相关单位报销任何应由对方或个人支付的费用。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1.5.3 一方要求、暗示或接受对方和相关单位为个人装修住房、婚丧嫁娶、配偶子女的工作安排以及出国（境）、旅游等提供方便。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1.5.4 一方组织或参加有可能影响对方和相关单位及工作人员履行合同权利义务和公正执行公务的宴请、健身、娱乐等活动。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1.5.5 一方向对方介绍配偶、子女、亲属参与同与本合同有关的经济活动。</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双方一致同意，在本责任书签署前，双方就签订《2024年北京园博园绿地养护项目（</w:t>
      </w:r>
      <w:r>
        <w:rPr>
          <w:rFonts w:hint="eastAsia" w:asciiTheme="minorEastAsia" w:hAnsiTheme="minorEastAsia" w:eastAsiaTheme="minorEastAsia" w:cstheme="minorEastAsia"/>
          <w:color w:val="auto"/>
          <w:sz w:val="24"/>
          <w:highlight w:val="none"/>
          <w:lang w:val="en-US" w:eastAsia="zh-CN"/>
        </w:rPr>
        <w:t>鹰山</w:t>
      </w:r>
      <w:r>
        <w:rPr>
          <w:rFonts w:hint="eastAsia" w:asciiTheme="minorEastAsia" w:hAnsiTheme="minorEastAsia" w:eastAsiaTheme="minorEastAsia" w:cstheme="minorEastAsia"/>
          <w:color w:val="auto"/>
          <w:sz w:val="24"/>
          <w:highlight w:val="none"/>
        </w:rPr>
        <w:t>区域绿地养护项目）合同》的协商过程中，如存在第一条第(五)项的禁止行为，同样受本责任书的约束。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3.本责任书作为《2024年北京园博园绿地养护项目（</w:t>
      </w:r>
      <w:r>
        <w:rPr>
          <w:rFonts w:hint="eastAsia" w:asciiTheme="minorEastAsia" w:hAnsiTheme="minorEastAsia" w:eastAsiaTheme="minorEastAsia" w:cstheme="minorEastAsia"/>
          <w:color w:val="auto"/>
          <w:sz w:val="24"/>
          <w:highlight w:val="none"/>
          <w:lang w:val="en-US" w:eastAsia="zh-CN"/>
        </w:rPr>
        <w:t>鹰山</w:t>
      </w:r>
      <w:r>
        <w:rPr>
          <w:rFonts w:hint="eastAsia" w:asciiTheme="minorEastAsia" w:hAnsiTheme="minorEastAsia" w:eastAsiaTheme="minorEastAsia" w:cstheme="minorEastAsia"/>
          <w:color w:val="auto"/>
          <w:sz w:val="24"/>
          <w:highlight w:val="none"/>
        </w:rPr>
        <w:t>区域绿地养护项目）合同》的附件，与合同具有同等法律效力，经双方签署后立即生效。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4.本责任书的有效期为双方签署之日起至合同约定的义务履行完毕止。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5.本责任书一式陆份，作为《2024年北京园博园绿地养护项目（</w:t>
      </w:r>
      <w:r>
        <w:rPr>
          <w:rFonts w:hint="eastAsia" w:asciiTheme="minorEastAsia" w:hAnsiTheme="minorEastAsia" w:eastAsiaTheme="minorEastAsia" w:cstheme="minorEastAsia"/>
          <w:color w:val="auto"/>
          <w:sz w:val="24"/>
          <w:highlight w:val="none"/>
          <w:lang w:val="en-US" w:eastAsia="zh-CN"/>
        </w:rPr>
        <w:t>鹰山</w:t>
      </w:r>
      <w:r>
        <w:rPr>
          <w:rFonts w:hint="eastAsia" w:asciiTheme="minorEastAsia" w:hAnsiTheme="minorEastAsia" w:eastAsiaTheme="minorEastAsia" w:cstheme="minorEastAsia"/>
          <w:color w:val="auto"/>
          <w:sz w:val="24"/>
          <w:highlight w:val="none"/>
        </w:rPr>
        <w:t>区域绿地养护项目）合同》的附件，自双方签字盖章之日生效。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6.监督联系方式:63915429</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6987" w:hanging="6987" w:hangingChars="29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b/>
          <w:color w:val="auto"/>
          <w:sz w:val="24"/>
          <w:highlight w:val="none"/>
        </w:rPr>
        <w:t>日期:    年   月   日                      日期:   年   月   日</w:t>
      </w:r>
    </w:p>
    <w:p>
      <w:pPr>
        <w:rPr>
          <w:rFonts w:asciiTheme="minorEastAsia" w:hAnsiTheme="minorEastAsia" w:eastAsiaTheme="minorEastAsia" w:cstheme="minorEastAsia"/>
          <w:color w:val="auto"/>
          <w:highlight w:val="none"/>
        </w:rPr>
      </w:pPr>
    </w:p>
    <w:p>
      <w:pPr>
        <w:pStyle w:val="2"/>
        <w:rPr>
          <w:rFonts w:asciiTheme="minorEastAsia" w:hAnsiTheme="minorEastAsia" w:eastAsiaTheme="minorEastAsia" w:cstheme="minorEastAsia"/>
          <w:color w:val="auto"/>
          <w:sz w:val="32"/>
          <w:szCs w:val="32"/>
          <w:highlight w:val="none"/>
          <w:lang w:bidi="ar"/>
        </w:rPr>
      </w:pPr>
    </w:p>
    <w:p>
      <w:pPr>
        <w:pStyle w:val="2"/>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附件4：</w:t>
      </w:r>
    </w:p>
    <w:p>
      <w:pPr>
        <w:spacing w:line="560" w:lineRule="exact"/>
        <w:rPr>
          <w:rFonts w:asciiTheme="minorEastAsia" w:hAnsiTheme="minorEastAsia" w:eastAsiaTheme="minorEastAsia" w:cstheme="minorEastAsia"/>
          <w:color w:val="auto"/>
          <w:sz w:val="44"/>
          <w:szCs w:val="44"/>
          <w:highlight w:val="none"/>
        </w:rPr>
      </w:pP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北京园博园管理中心绿化养护</w:t>
      </w: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 精细化管理考核办法</w:t>
      </w:r>
    </w:p>
    <w:p>
      <w:pPr>
        <w:spacing w:line="560" w:lineRule="exact"/>
        <w:jc w:val="center"/>
        <w:rPr>
          <w:rFonts w:asciiTheme="minorEastAsia" w:hAnsiTheme="minorEastAsia" w:eastAsiaTheme="minorEastAsia" w:cstheme="minorEastAsia"/>
          <w:color w:val="auto"/>
          <w:sz w:val="44"/>
          <w:szCs w:val="44"/>
          <w:highlight w:val="none"/>
        </w:rPr>
      </w:pPr>
    </w:p>
    <w:p>
      <w:pPr>
        <w:spacing w:line="560" w:lineRule="exact"/>
        <w:rPr>
          <w:rFonts w:asciiTheme="minorEastAsia" w:hAnsiTheme="minorEastAsia" w:eastAsiaTheme="minorEastAsia" w:cstheme="minorEastAsia"/>
          <w:color w:val="auto"/>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为进一步加强园博园绿化养护管理工作，建立长效的养护管理机制，参照《城镇绿地养护管理规范》（DB11/T213-2014）相关标准，结合园博园绿化养护管理实际，特制定本考核办法。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1.考核对象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北京园博园绿地养护项目中标单位。</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2.考核方式</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2.1考核检查由园林绿化部组织实施，采用定期和不定期随机抽查两种考核方式，不定期考核即经常性巡查及重大节日、庆典、“迎检”等指令性检查时所进行的随机抽查考核。</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2.2实行百分考核评定，考核主体为园林绿化部管理人员，每季度组织三次考核。季度考核平均分值85分（含）以上为达标，85分以下为不达标。</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2.3考核程序为现场检查、听取汇报、交换意见、提出整改意见、评定名次、公布结果。考核方式为全覆盖随机检查园内绿化养护管理区域。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2.4考核小组每次检查填写统一检查评分表。每次考核评分原始记录由园林绿化部存档备案，考核结果作为支付绿地养护合同进度款的主要依据。</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3.考核奖惩</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绿地养护中标单位在季度考核中一次不达标的，园林绿化部下达整改通知，扣除养护中标单位履约保证金总额的百分之十；两次季度考核不达标，扣除养护中标单位履约保证金总额的百分之二十；三次季度考核不达标，则年度考核不达标，中心有权单方解除绿地养护合同。</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4.考核项目及分值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4.1绿化养护                     90分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4.2其    他                     10分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4.3安全生产、文明作业           扣分项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5.相关要求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5.1高度重视，增强意识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园林绿化部及外包养护单位要高度重视绿化养护精细化管理考核工作，严格按照考核办法进行评分。园林绿化部进行考核时，养护单位必须及时到达现场予以确认，积极配合考核工作。涉及绿地植被品种改造调整的，应当报请园林绿化部研究同意后方可执行，不得擅自决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5.2明确任务，责任到人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各外包养护单位要根据绿化养护精细化考核管理办法，对考核检查中发现问题要做到及时整改、狠抓落实，细化目标任务，明确时间节点，责任到人，及时反馈上报，对重点区域重点问题盯紧盯牢，使改造后绿化总量不减少、绿化品质和景观面貌不低于改造前水平，确保问题整改到位。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5.3完善机制，建立长效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要认真贯彻执行《城镇绿地养护管理规范》，完善园博绿化养护技术标准和规范，逐步建立和完善绿化管理体系。要加强对各外包养护单位的监督考核，推行管理责任制，客观评价各外包养护单位园林绿化工作，确保园林绿化的各项工作顺利开展。</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附件：绿化养护精细化管理考核评分表</w:t>
      </w:r>
    </w:p>
    <w:tbl>
      <w:tblPr>
        <w:tblStyle w:val="24"/>
        <w:tblW w:w="8330" w:type="dxa"/>
        <w:tblInd w:w="93" w:type="dxa"/>
        <w:tblLayout w:type="fixed"/>
        <w:tblCellMar>
          <w:top w:w="0" w:type="dxa"/>
          <w:left w:w="108" w:type="dxa"/>
          <w:bottom w:w="0" w:type="dxa"/>
          <w:right w:w="108" w:type="dxa"/>
        </w:tblCellMar>
      </w:tblPr>
      <w:tblGrid>
        <w:gridCol w:w="457"/>
        <w:gridCol w:w="478"/>
        <w:gridCol w:w="726"/>
        <w:gridCol w:w="3009"/>
        <w:gridCol w:w="2714"/>
        <w:gridCol w:w="946"/>
      </w:tblGrid>
      <w:tr>
        <w:tblPrEx>
          <w:tblCellMar>
            <w:top w:w="0" w:type="dxa"/>
            <w:left w:w="108" w:type="dxa"/>
            <w:bottom w:w="0" w:type="dxa"/>
            <w:right w:w="108" w:type="dxa"/>
          </w:tblCellMar>
        </w:tblPrEx>
        <w:trPr>
          <w:trHeight w:val="780" w:hRule="atLeast"/>
        </w:trPr>
        <w:tc>
          <w:tcPr>
            <w:tcW w:w="457" w:type="dxa"/>
            <w:tcBorders>
              <w:top w:val="nil"/>
              <w:left w:val="nil"/>
              <w:bottom w:val="nil"/>
              <w:right w:val="nil"/>
            </w:tcBorders>
            <w:shd w:val="clear" w:color="auto" w:fill="auto"/>
            <w:noWrap/>
            <w:vAlign w:val="center"/>
          </w:tcPr>
          <w:p>
            <w:pPr>
              <w:jc w:val="center"/>
              <w:rPr>
                <w:rFonts w:asciiTheme="minorEastAsia" w:hAnsiTheme="minorEastAsia" w:eastAsiaTheme="minorEastAsia" w:cstheme="minorEastAsia"/>
                <w:color w:val="auto"/>
                <w:sz w:val="24"/>
                <w:highlight w:val="none"/>
              </w:rPr>
            </w:pPr>
          </w:p>
        </w:tc>
        <w:tc>
          <w:tcPr>
            <w:tcW w:w="7873" w:type="dxa"/>
            <w:gridSpan w:val="5"/>
            <w:tcBorders>
              <w:top w:val="nil"/>
              <w:left w:val="nil"/>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bidi="ar"/>
              </w:rPr>
              <w:t xml:space="preserve">绿化养护精细化管理考核评分表   </w:t>
            </w:r>
          </w:p>
        </w:tc>
      </w:tr>
      <w:tr>
        <w:tblPrEx>
          <w:tblCellMar>
            <w:top w:w="0" w:type="dxa"/>
            <w:left w:w="108" w:type="dxa"/>
            <w:bottom w:w="0" w:type="dxa"/>
            <w:right w:w="108" w:type="dxa"/>
          </w:tblCellMar>
        </w:tblPrEx>
        <w:trPr>
          <w:trHeight w:val="66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序号</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类别</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考核项目</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考核标准</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扣分值</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养护单位及扣分情况</w:t>
            </w:r>
          </w:p>
        </w:tc>
      </w:tr>
      <w:tr>
        <w:tblPrEx>
          <w:tblCellMar>
            <w:top w:w="0" w:type="dxa"/>
            <w:left w:w="108" w:type="dxa"/>
            <w:bottom w:w="0" w:type="dxa"/>
            <w:right w:w="108" w:type="dxa"/>
          </w:tblCellMar>
        </w:tblPrEx>
        <w:trPr>
          <w:trHeight w:val="4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树木(15分)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1.树冠完整、茂盛，主侧枝分布匀称、分枝点合适，修剪科学合理，具有一定的观赏效果。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2.绿地内无死树。发现死树及时移除，并选用规格相近的原树种进行补植。</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3.叶片大小、颜色正常，除彩叶、皱叶等本身具特殊性状植物外，生长季节内，无黄叶、焦叶、卷叶。</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4.枝条无倾斜倒伏，无徒长枝、病虫枝、过密枝、枯枝、伤损枝、碰线枝。</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5.对树木要控制倾斜度，须扶架植物支撑方式合理，扶架方向整齐一致。并逐渐扶正。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6.加强病虫害测报工作，做到“预防为主，防治结合”。</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1.因养护不当造成植物生长不良或影响景观的扣1分；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2.有明显病虫害未及时防治的扣1分；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3.有死树，没及时处理的或树木有明显枯枝、人为折损枝，修剪不及时的扣1分；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4.雨季没有及时采用排水措施对绿地和树池排涝，绿地和树池内积水超过24h的扣1分；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5.树上有影响生长的附着物扣1分。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6.发现有死树未及时移除，并在适宜的季节未按原规格相近的原树种进行及时补植的扣1分。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灌木及绿篱(15分)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1.生长茂盛，枝叶繁茂、层次分明，无死株、缺株，造成断垄、断行和成片缺株现象。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2.观叶类观赏时期叶色鲜艳，观花类花期开花正常，形色均具最佳品质，观形类株形完全符合留养要求，同一要求的造型植株整体形状、大小保持一致，休眠期内进行整形修剪。</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3.修剪及时，无窜枝，无修剪后枝叶残存或散落不清。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4.越冬防寒措施方法得当，外形美观。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1.灌木绿篱修剪外形轮廓不清晰，外缘枝叶不紧密的扣1分；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2.发现修剪不及时、不正确扣1分；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3.发现死株、缺株，影响景观效果的扣1分；未及时移除并补栽扣3分。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4.防寒措施不得当，外观不美观的扣1分。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7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草坪(15分)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1.草坪生长旺盛，草根不裸露，无空秃、无各类杂草，无垃圾，无黄斑。</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2.草坪终年修剪平整，修剪高度符合景观要求，绿色度整齐，边缘线清晰（及时切边）。</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3.无毡化现象和馒头状突起，土壤不板结、龟裂，无积水现象。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4.加强病虫害的监控和防范工作，做到及时发现，及早防治。</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5.根据不同草坪草种类确定施肥时间、施肥种类和施肥量，应少量多次，以缓效肥为宜。</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1.发现秃斑、黄斑，绿色度不整齐现象比较严重的扣1分；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2.草坪修剪不平整、不及时的扣1分；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3.有明显杂草的扣1分，有大面积杂草的扣3分；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4.未能根据草坪生长时期、生长状况给草坪施肥，出现因土壤肥力不足问题的扣1分；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5.对被破坏或其他原因引起死亡的草坪未能及时更换补植的扣1分；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6.冬季上冻前未及时浇足浇透冻水的扣1分。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地被(10分)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1.修剪平整，边缘线条清晰，种植地内土壤保持疏松，残花清理及时，无杂草，地被冬季休眠期，做好修剪和整理工作。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2.观赏期内群体与单株能发挥最佳观赏功能。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3.生长状态良好，无退化和地表裸露情况。</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1.发现地被植物生长不良，观赏效果差扣1分；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2.发现未及时清除杂草，出现外来入侵植物的扣1分；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3.发现退化和地表裸露，未能及时更新补植的扣1分。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花卉(15分)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1.花卉植株生长健壮，花色艳丽，株行距适宜，不露底土，覆盖面达90%以上。</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2.木本花卉及时整枝、整形，花卉适时开花，花多色艳。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3.宿根花卉要及时更新，易倒伏的花卉要立柱绑扎；做到三季有花，花期整齐，图案美观，布置效果良好。</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4.按时间节点进行花卉布置，要求图案优美，同种花卉花期一致，层次分明，高矮有序。死株、缺株及长势弱的花卉要及时更换。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5.花卉无缺株倒伏，无枯枝残花，无杂草，无病虫害。</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1.发现缺株倒伏、枯枝残花较严重扣1分；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2.花卉生长不健壮扣1分。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3.覆盖率低于90%的扣1分；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4.有明显病虫害的扣1分；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5.花卉布置与景观不协调或花卉布置形式不合理、造型欠整齐美观的扣1分；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6.有残花败叶或缺株倒伏、枯枝残花现象的扣1分。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9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水生植物及水体(10分)</w:t>
            </w:r>
          </w:p>
        </w:tc>
        <w:tc>
          <w:tcPr>
            <w:tcW w:w="3009"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1.水生植物植株健壮，花、叶色泽艳丽，无残花败叶。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2.水体清洁，水质好，无异味。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3.水面无漂浮物，全日候保持水面清洁。</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4.无水体植物疯长现象，一旦发现，及时打捞治理。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1.水生植物有残花败叶或倒伏、枯枝残花等现象的扣1分。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2.水体浑浊、水质差、有异味扣1分；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3.水面漂浮物、水中杂物垃圾没及时打捞扣1分。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4.水体中有野生水体植物未及时治理的扣1分</w:t>
            </w:r>
          </w:p>
        </w:tc>
        <w:tc>
          <w:tcPr>
            <w:tcW w:w="946"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作业管理(10分)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1.日常养护人员按照绿化面积配备，人均大约10000-12000平米。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2.树下、绿地内无各类物料堆放、倾倒污水及其它污物。</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3.园林生产垃圾日产日清，不过夜、不焚烧。</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4.各类浇水管及其它养护工具及时归整，无乱堆乱放，浇灌系统无跑冒滴漏。</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5.防火期内，及时清理林下及绿地可燃物，道路两侧及绿地定期洒水保湿，安排专人定点定位24小时不间断进行防火巡查，并留存巡查记录。</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1.未按要求配备日常养护人员扣1分。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2.园林生产垃圾过夜扣1分；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3.焚烧园林生产垃圾扣1分；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4.园内乱堆杂物扣1 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5.绿化工具乱堆乱放且无人看管扣1分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6.发现跑冒滴漏现象的，没一处扣1分。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7 防火期内未及时清除林下、绿地可燃物扣3分；防火巡查人员脱岗扣3分；无巡查记录扣3分。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其他</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（10分）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重大活动或其他临时突击增加的任务完成情况。(10分)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重大活动保障或临时突击任务，能按要求及时完成。</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1.能及时完成上级布置的养护任务或其它临时突击增加的任务完成及时受到表扬的，每次加3分。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2.对上级布置的养护任务或其他临时突击增加的任务态度消极、推诿，不配合或者未及时完成，造成不良后果的，每次扣3分。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 任务派遣单未在规定时间内办结的，每发生一次扣3分。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2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9</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组织领导（扣分项）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各项安全管理制度健全，按照“谁主管，谁负责”的原则，开展责任范围内的安全隐患排查，及时消除安全隐患并留存记录。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1.各项管理制度不健全的扣3分。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2.现场项目负责人没有按规定定期参加绿化养护管理考核检查，每少一次扣3分；没有按规定亲自参加有关安全工作会议的，每少一次扣1分；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3.未按时开展安全隐患检查、排查，安全隐患未及时整改，无记录留存扣3分。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50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安全管理（扣分项）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1.严格遵守中心安全生产相关规定，依规进行相关作业审批工作，安全措施得当，文明作业。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2.绿化施工作业时，按要求备案并设置警示标志，人员应穿戴符合要求的警示服饰。</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3.进行病虫害防治作业时，应避开人流高峰，打药时得站在上风口。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1.在安全生产责任事故中，发生重伤事故的扣20分，发生轻伤事故扣5分，发生轻伤事故2人以上扣20分；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2.发现的隐患或不安全因素没有及时整改或未采取防范措施的，每次扣3分；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3.季度内发生投诉，且经核实确属绿化养护人员责任的，每发生一次扣3分；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4.绿化工人着装袒胸露背不文明整洁、使用不文明用语，造成不良影响的扣2分。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5.吊装、高空等特种作业没按要求报备扣5分，安全措施不规范扣3分。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消防安全（扣分项）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1.严格执行中心消防安全管理规定，库房及重点区域按要求配备灭火器材，分布合理。消防器材登记造册，专人管理，定期检查。</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2.建立安全用电、用油管理制度，保证使用电、油安全，无因违章用电、油引起的事故发生。</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1.库房及重点区域未按要求配备灭火器材，无专人管理，未定期检查的扣3分。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2.发生违章用电、用油现象的扣3分。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物资安全（扣分项）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1.严格病虫害防治农药使用管理工作，园内禁设农药库房，农药使用设专人管理，登记备案，并留存使用记录。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 严格房屋安全管理，设专人管理，不存放易燃易爆物品。</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1.农药使用无专人管理，无登记备案和使用记录的扣3分。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2.检查中发现房屋存放易燃易爆品或其它违禁品扣3分。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72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合计扣分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66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最终得分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8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绿化部考核检查组签字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Theme="minorEastAsia" w:hAnsiTheme="minorEastAsia" w:eastAsiaTheme="minorEastAsia" w:cstheme="minorEastAsia"/>
                <w:color w:val="auto"/>
                <w:sz w:val="24"/>
                <w:highlight w:val="none"/>
              </w:rPr>
            </w:pPr>
          </w:p>
        </w:tc>
      </w:tr>
      <w:tr>
        <w:tblPrEx>
          <w:tblCellMar>
            <w:top w:w="0" w:type="dxa"/>
            <w:left w:w="108" w:type="dxa"/>
            <w:bottom w:w="0" w:type="dxa"/>
            <w:right w:w="108" w:type="dxa"/>
          </w:tblCellMar>
        </w:tblPrEx>
        <w:trPr>
          <w:trHeight w:val="9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被检查单位负责人签字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heme="minorEastAsia" w:hAnsiTheme="minorEastAsia" w:eastAsiaTheme="minorEastAsia" w:cstheme="minorEastAsia"/>
                <w:b/>
                <w:bCs/>
                <w:color w:val="auto"/>
                <w:sz w:val="24"/>
                <w:highlight w:val="none"/>
              </w:rPr>
            </w:pPr>
          </w:p>
        </w:tc>
      </w:tr>
    </w:tbl>
    <w:p>
      <w:r>
        <w:br w:type="page"/>
      </w:r>
    </w:p>
    <w:p>
      <w:pPr>
        <w:pStyle w:val="2"/>
        <w:jc w:val="center"/>
        <w:rPr>
          <w:rFonts w:hint="default" w:asciiTheme="minorEastAsia" w:hAnsiTheme="minorEastAsia" w:eastAsiaTheme="minorEastAsia"/>
          <w:b/>
          <w:bCs/>
          <w:kern w:val="24"/>
          <w:szCs w:val="21"/>
          <w:lang w:val="en-US" w:eastAsia="zh-CN"/>
        </w:rPr>
      </w:pPr>
      <w:r>
        <w:rPr>
          <w:rFonts w:hint="eastAsia" w:asciiTheme="minorEastAsia" w:hAnsiTheme="minorEastAsia"/>
          <w:b/>
          <w:bCs/>
          <w:kern w:val="24"/>
          <w:szCs w:val="21"/>
          <w:lang w:val="en-US" w:eastAsia="zh-CN"/>
        </w:rPr>
        <w:t>02包</w:t>
      </w:r>
    </w:p>
    <w:p>
      <w:pPr>
        <w:spacing w:line="560" w:lineRule="exact"/>
        <w:ind w:firstLine="4960" w:firstLineChars="1550"/>
        <w:rPr>
          <w:color w:val="auto"/>
          <w:highlight w:val="none"/>
        </w:rPr>
      </w:pPr>
      <w:r>
        <w:rPr>
          <w:rFonts w:hint="eastAsia" w:ascii="仿宋_GB2312" w:eastAsia="仿宋_GB2312"/>
          <w:color w:val="auto"/>
          <w:sz w:val="32"/>
          <w:szCs w:val="32"/>
          <w:highlight w:val="none"/>
        </w:rPr>
        <w:t>合同编号：</w:t>
      </w:r>
      <w:r>
        <w:rPr>
          <w:rFonts w:hint="eastAsia" w:ascii="仿宋_GB2312" w:eastAsia="仿宋_GB2312"/>
          <w:color w:val="auto"/>
          <w:sz w:val="32"/>
          <w:szCs w:val="32"/>
          <w:highlight w:val="none"/>
          <w:u w:val="single"/>
        </w:rPr>
        <w:t xml:space="preserve">           </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北京园博园管理中心</w:t>
      </w: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2024年北京园博园绿地养护项目</w:t>
      </w:r>
    </w:p>
    <w:p>
      <w:pPr>
        <w:spacing w:line="560" w:lineRule="exact"/>
        <w:jc w:val="center"/>
        <w:rPr>
          <w:color w:val="auto"/>
          <w:highlight w:val="none"/>
        </w:rPr>
      </w:pPr>
      <w:r>
        <w:rPr>
          <w:rFonts w:hint="eastAsia" w:ascii="华文中宋" w:hAnsi="华文中宋" w:eastAsia="华文中宋"/>
          <w:b/>
          <w:color w:val="auto"/>
          <w:sz w:val="44"/>
          <w:szCs w:val="44"/>
          <w:highlight w:val="none"/>
        </w:rPr>
        <w:t>（</w:t>
      </w:r>
      <w:r>
        <w:rPr>
          <w:rFonts w:hint="eastAsia" w:ascii="华文中宋" w:hAnsi="华文中宋" w:eastAsia="华文中宋"/>
          <w:b/>
          <w:color w:val="auto"/>
          <w:sz w:val="44"/>
          <w:szCs w:val="44"/>
          <w:highlight w:val="none"/>
          <w:lang w:eastAsia="zh-CN"/>
        </w:rPr>
        <w:t>锦绣谷</w:t>
      </w:r>
      <w:r>
        <w:rPr>
          <w:rFonts w:hint="eastAsia" w:ascii="华文中宋" w:hAnsi="华文中宋" w:eastAsia="华文中宋"/>
          <w:b/>
          <w:color w:val="auto"/>
          <w:sz w:val="44"/>
          <w:szCs w:val="44"/>
          <w:highlight w:val="none"/>
        </w:rPr>
        <w:t>区域绿地养护项目）合同</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14:shadow w14:blurRad="50800" w14:dist="50800" w14:dir="5400000" w14:sx="1000" w14:sy="1000" w14:kx="0" w14:ky="0" w14:algn="ctr">
            <w14:srgbClr w14:val="000000">
              <w14:alpha w14:val="80000"/>
            </w14:srgbClr>
          </w14:shadow>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rFonts w:ascii="仿宋_GB2312" w:eastAsia="仿宋_GB2312"/>
          <w:color w:val="auto"/>
          <w:sz w:val="32"/>
          <w:szCs w:val="32"/>
          <w:highlight w:val="none"/>
        </w:rPr>
      </w:pPr>
      <w:r>
        <w:rPr>
          <w:rFonts w:hint="eastAsia" w:ascii="仿宋_GB2312" w:eastAsia="仿宋_GB2312"/>
          <w:color w:val="auto"/>
          <w:sz w:val="32"/>
          <w:szCs w:val="32"/>
          <w:highlight w:val="none"/>
        </w:rPr>
        <w:t>甲    方：</w:t>
      </w:r>
      <w:r>
        <w:rPr>
          <w:rFonts w:hint="eastAsia" w:ascii="仿宋_GB2312" w:eastAsia="仿宋_GB2312"/>
          <w:color w:val="auto"/>
          <w:sz w:val="32"/>
          <w:szCs w:val="32"/>
          <w:highlight w:val="none"/>
          <w:u w:val="single"/>
        </w:rPr>
        <w:t xml:space="preserve">    北京园博园管理中心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乙    方：</w:t>
      </w:r>
      <w:r>
        <w:rPr>
          <w:rFonts w:hint="eastAsia" w:ascii="仿宋_GB2312" w:eastAsia="仿宋_GB2312"/>
          <w:color w:val="auto"/>
          <w:sz w:val="32"/>
          <w:szCs w:val="32"/>
          <w:highlight w:val="none"/>
          <w:u w:val="single"/>
        </w:rPr>
        <w:t xml:space="preserve">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签订地点：</w:t>
      </w:r>
      <w:r>
        <w:rPr>
          <w:rFonts w:hint="eastAsia" w:ascii="仿宋_GB2312" w:eastAsia="仿宋_GB2312"/>
          <w:color w:val="auto"/>
          <w:sz w:val="32"/>
          <w:szCs w:val="32"/>
          <w:highlight w:val="none"/>
          <w:u w:val="single"/>
        </w:rPr>
        <w:t xml:space="preserve">    北京市丰台区园博园      </w:t>
      </w:r>
    </w:p>
    <w:p>
      <w:pPr>
        <w:spacing w:line="560" w:lineRule="exact"/>
        <w:rPr>
          <w:rFonts w:ascii="仿宋_GB2312" w:eastAsia="仿宋_GB2312"/>
          <w:color w:val="auto"/>
          <w:sz w:val="32"/>
          <w:szCs w:val="32"/>
          <w:highlight w:val="none"/>
        </w:rPr>
        <w:sectPr>
          <w:headerReference r:id="rId9" w:type="default"/>
          <w:pgSz w:w="11906" w:h="16838"/>
          <w:pgMar w:top="1440" w:right="1800" w:bottom="1440" w:left="1800" w:header="851" w:footer="992" w:gutter="0"/>
          <w:cols w:space="425" w:num="1"/>
          <w:docGrid w:type="lines" w:linePitch="312" w:charSpace="0"/>
        </w:sectPr>
      </w:pPr>
      <w:r>
        <w:rPr>
          <w:rFonts w:hint="eastAsia" w:ascii="仿宋_GB2312" w:eastAsia="仿宋_GB2312"/>
          <w:color w:val="auto"/>
          <w:sz w:val="32"/>
          <w:szCs w:val="32"/>
          <w:highlight w:val="none"/>
        </w:rPr>
        <w:t>签订日期：</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u w:val="single"/>
        </w:rPr>
        <w:t xml:space="preserve">       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 </w:t>
      </w:r>
      <w:r>
        <w:rPr>
          <w:rFonts w:hint="eastAsia" w:asciiTheme="minorEastAsia" w:hAnsiTheme="minorEastAsia" w:eastAsiaTheme="minorEastAsia" w:cstheme="minorEastAsia"/>
          <w:color w:val="auto"/>
          <w:sz w:val="24"/>
          <w:highlight w:val="none"/>
          <w:u w:val="single"/>
        </w:rPr>
        <w:t xml:space="preserve">   北京园博园管理中心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明确甲乙双方的权利和义务，依照《中华人民共和国民法典》《城市绿化条例》及城市园林绿化管理养护标准等相关规定，遵循平等、自愿、公平、诚实信用的原则，双方就甲方委托乙方进行绿地养护及管理事宜，经协商签订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1.绿化养护范围及内容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1.1项目名称：</w:t>
      </w:r>
      <w:r>
        <w:rPr>
          <w:rFonts w:hint="eastAsia" w:asciiTheme="minorEastAsia" w:hAnsiTheme="minorEastAsia" w:eastAsiaTheme="minorEastAsia" w:cstheme="minorEastAsia"/>
          <w:color w:val="auto"/>
          <w:sz w:val="24"/>
          <w:highlight w:val="none"/>
          <w:u w:val="single"/>
        </w:rPr>
        <w:t xml:space="preserve">  2024年北京园博园绿地养护项目</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锦绣谷</w:t>
      </w:r>
      <w:r>
        <w:rPr>
          <w:rFonts w:hint="eastAsia" w:ascii="宋体" w:hAnsi="宋体" w:eastAsia="宋体" w:cs="宋体"/>
          <w:color w:val="auto"/>
          <w:sz w:val="24"/>
          <w:szCs w:val="24"/>
          <w:highlight w:val="none"/>
          <w:u w:val="single"/>
        </w:rPr>
        <w:t>区域绿地养护项目）</w:t>
      </w:r>
      <w:r>
        <w:rPr>
          <w:rFonts w:hint="eastAsia" w:ascii="宋体" w:hAnsi="宋体" w:eastAsia="宋体" w:cs="宋体"/>
          <w:color w:val="auto"/>
          <w:sz w:val="24"/>
          <w:szCs w:val="24"/>
          <w:highlight w:val="none"/>
        </w:rPr>
        <w:t xml:space="preserve">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1.2养护范围：</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eastAsia="宋体" w:cs="宋体"/>
          <w:color w:val="auto"/>
          <w:sz w:val="24"/>
          <w:szCs w:val="24"/>
          <w:highlight w:val="none"/>
          <w:u w:val="single"/>
        </w:rPr>
        <w:t xml:space="preserve"> 北京园博园锦绣谷及周边、花岛</w:t>
      </w:r>
    </w:p>
    <w:p>
      <w:pPr>
        <w:spacing w:line="360" w:lineRule="auto"/>
        <w:ind w:left="240" w:leftChars="100" w:firstLine="240" w:firstLineChars="100"/>
        <w:rPr>
          <w:rFonts w:hint="eastAsia" w:ascii="宋体" w:hAnsi="宋体" w:eastAsia="宋体" w:cs="宋体"/>
          <w:color w:val="auto"/>
          <w:sz w:val="24"/>
          <w:szCs w:val="24"/>
          <w:highlight w:val="none"/>
          <w:u w:val="single"/>
        </w:rPr>
      </w:pPr>
      <w:r>
        <w:rPr>
          <w:rFonts w:hint="eastAsia" w:asciiTheme="minorEastAsia" w:hAnsiTheme="minorEastAsia" w:eastAsiaTheme="minorEastAsia" w:cstheme="minorEastAsia"/>
          <w:color w:val="auto"/>
          <w:sz w:val="24"/>
          <w:highlight w:val="none"/>
        </w:rPr>
        <w:t>1.3养护总面积：</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230494平方米，其中特级绿地：174494平方米，水淹区域：56000平方米。</w:t>
      </w:r>
    </w:p>
    <w:p>
      <w:pPr>
        <w:spacing w:line="360" w:lineRule="auto"/>
        <w:ind w:left="240" w:leftChars="100" w:firstLine="240" w:firstLineChars="100"/>
        <w:rPr>
          <w:rFonts w:asciiTheme="minorEastAsia" w:hAnsiTheme="minorEastAsia" w:eastAsiaTheme="minorEastAsia" w:cstheme="minorEastAsia"/>
          <w:color w:val="auto"/>
          <w:sz w:val="24"/>
          <w:highlight w:val="none"/>
          <w:u w:val="single"/>
        </w:rPr>
      </w:pP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1.4养护期限：</w:t>
      </w:r>
      <w:r>
        <w:rPr>
          <w:rFonts w:hint="eastAsia" w:asciiTheme="minorEastAsia" w:hAnsiTheme="minorEastAsia" w:eastAsiaTheme="minorEastAsia" w:cstheme="minorEastAsia"/>
          <w:color w:val="auto"/>
          <w:sz w:val="24"/>
          <w:highlight w:val="none"/>
          <w:u w:val="single"/>
        </w:rPr>
        <w:t xml:space="preserve">  自合同签订之日起至2024年12月31日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1.5承包方式：整体承包。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1.6养护标准：《中华人民共和国城市绿化条例》、《北京市绿化条例》、《北京市公园分类分级管理办法》（京绿办发〔2022〕148号）、《城镇绿地养护技术规范》（DB11T 213-2022）、《北京园博园管理中心绿化养护精细化管理考核办法》。</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1.7绿地养护工作及工作量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1.7.1养护工作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1.7.1.1常态化养护工作:浇水、施肥、病虫防治、修剪、中耕除草 、打孔疏草、园林生产垃圾收集运输、绿地管理巡视、展园安全隐患巡视、护林防火巡视、计划总结管理。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1.7.1.2依据实际发生的养护工作：补植、支撑、防盐、防涝、防寒、防风</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种植调整、园内园林科普标识的设计与制作、展园内道路铺装维护工作、喷灌支管线的维修工作、展园景观维护工作、绿化相关防汛工作、配合园博园工程收尾及盘点工作、配合园区重大活动保障工作、按照采购人标准统一工作人员服装</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、根据采购人要求开展特养特护工作、其他采购人安排的临时任务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1.7.2养护工作量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1.7.2.1常态化养护工作量:</w:t>
      </w:r>
    </w:p>
    <w:p>
      <w:pPr>
        <w:spacing w:line="360" w:lineRule="auto"/>
        <w:ind w:firstLine="480" w:firstLineChars="200"/>
        <w:rPr>
          <w:rFonts w:hint="eastAsia" w:asciiTheme="minorEastAsia" w:hAnsiTheme="minorEastAsia" w:eastAsiaTheme="minorEastAsia" w:cstheme="minorEastAsia"/>
          <w:color w:val="auto"/>
          <w:sz w:val="24"/>
          <w:highlight w:val="none"/>
        </w:rPr>
      </w:pPr>
    </w:p>
    <w:p>
      <w:pPr>
        <w:spacing w:line="360" w:lineRule="auto"/>
        <w:ind w:firstLine="480" w:firstLineChars="200"/>
        <w:rPr>
          <w:rFonts w:hint="eastAsia" w:asciiTheme="minorEastAsia" w:hAnsiTheme="minorEastAsia" w:eastAsiaTheme="minorEastAsia" w:cstheme="minorEastAsia"/>
          <w:color w:val="auto"/>
          <w:sz w:val="24"/>
          <w:highlight w:val="none"/>
        </w:rPr>
      </w:pPr>
    </w:p>
    <w:p>
      <w:pPr>
        <w:pStyle w:val="2"/>
        <w:rPr>
          <w:rFonts w:hint="eastAsia" w:asciiTheme="minorEastAsia" w:hAnsiTheme="minorEastAsia" w:eastAsiaTheme="minorEastAsia" w:cstheme="minorEastAsia"/>
          <w:color w:val="auto"/>
          <w:sz w:val="24"/>
          <w:highlight w:val="none"/>
        </w:rPr>
      </w:pPr>
    </w:p>
    <w:p>
      <w:pPr>
        <w:pStyle w:val="2"/>
        <w:rPr>
          <w:rFonts w:hint="eastAsia" w:asciiTheme="minorEastAsia" w:hAnsiTheme="minorEastAsia" w:eastAsiaTheme="minorEastAsia" w:cstheme="minorEastAsia"/>
          <w:color w:val="auto"/>
          <w:sz w:val="24"/>
          <w:highlight w:val="none"/>
        </w:rPr>
      </w:pPr>
    </w:p>
    <w:p>
      <w:pPr>
        <w:pStyle w:val="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drawing>
          <wp:anchor distT="0" distB="0" distL="114300" distR="114300" simplePos="0" relativeHeight="251662336" behindDoc="0" locked="0" layoutInCell="1" allowOverlap="1">
            <wp:simplePos x="0" y="0"/>
            <wp:positionH relativeFrom="column">
              <wp:posOffset>176530</wp:posOffset>
            </wp:positionH>
            <wp:positionV relativeFrom="paragraph">
              <wp:posOffset>-234950</wp:posOffset>
            </wp:positionV>
            <wp:extent cx="5304155" cy="3106420"/>
            <wp:effectExtent l="0" t="0" r="4445" b="5080"/>
            <wp:wrapTopAndBottom/>
            <wp:docPr id="6" name="图片 2" descr="京办_2024022016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京办_20240220162502"/>
                    <pic:cNvPicPr>
                      <a:picLocks noChangeAspect="1"/>
                    </pic:cNvPicPr>
                  </pic:nvPicPr>
                  <pic:blipFill>
                    <a:blip r:embed="rId13"/>
                    <a:stretch>
                      <a:fillRect/>
                    </a:stretch>
                  </pic:blipFill>
                  <pic:spPr>
                    <a:xfrm>
                      <a:off x="0" y="0"/>
                      <a:ext cx="5304155" cy="3106420"/>
                    </a:xfrm>
                    <a:prstGeom prst="rect">
                      <a:avLst/>
                    </a:prstGeom>
                    <a:noFill/>
                    <a:ln>
                      <a:noFill/>
                    </a:ln>
                  </pic:spPr>
                </pic:pic>
              </a:graphicData>
            </a:graphic>
          </wp:anchor>
        </w:drawing>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1.7.2.2依据实际发生的养护工作量:补植，当林木死亡时据实发生。支撑，因补植或防风等需要时据实发生。防盐，因防盐需要时据实发生。防涝，当绿地发生洪涝时据实发生。防寒，因防寒需要时据实发生。防风，因防风需要时据实发生。种植调整，因甲方需要时进行调整，全年不超过50株。园内园林科普标识的设计与制作，当甲方需要设计与制作时，全年不超过</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00个标识。喷灌支管线维修工作，当喷灌支管线发生损坏时，一周内完成维修（周最低平均气温低于0度时除外）。展园景观维护工作，当展园景观需要维护时，乙方按照甲方的要求据实发生。绿化相关防汛工作，汛期按甲方要求组建防汛抢险队伍，据实际情况开展防汛工作。配合园博园工程收尾及盘点工作。配合园区重大活动保障工作。按照采购人标准统一工作人员服装。根据采购人要求开展特养特护工作。其他采购人安排的临时任务。以上养护工作所需全部生产工具及耗材全部由中标人自行负责与承担费用。在用水高峰期如以上养护工作使用园区两口自备井（编号分别为</w:t>
      </w:r>
      <w:r>
        <w:rPr>
          <w:rFonts w:hint="eastAsia" w:hAnsiTheme="minorEastAsia" w:cstheme="minorEastAsia"/>
          <w:color w:val="auto"/>
          <w:sz w:val="24"/>
          <w:highlight w:val="none"/>
          <w:lang w:val="en-US" w:eastAsia="zh-CN"/>
        </w:rPr>
        <w:t>952、</w:t>
      </w:r>
      <w:r>
        <w:rPr>
          <w:rFonts w:hint="eastAsia" w:asciiTheme="minorEastAsia" w:hAnsiTheme="minorEastAsia" w:eastAsiaTheme="minorEastAsia" w:cstheme="minorEastAsia"/>
          <w:color w:val="auto"/>
          <w:sz w:val="24"/>
          <w:highlight w:val="none"/>
        </w:rPr>
        <w:t>629号）保障供水，产生的水费依据水务部门的要求和定价按照乙方养护面积分摊。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2.绿化养护费用及付款方式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2.1合同价款：</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本合同绿地养护费用共计：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元（大写人民币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，含税）</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本项目财政批复的服务期限为2024年1月1日至2024年12月31日，乙方须按照服务期一年进行报价。乙方实际服务期限为合同签订之日起至2024年12月31日。鉴于实际情况，为保证北京园博园的正常运转和绿化养护服务的连续性，自2024年1月1日至乙方正式交接前，过渡期内继续由2023年绿化养护服务外包项目的服务供应商提供绿化养护服务。如过渡期服务供应商未确定为绿化养护服务外包项目2024年中标单位，由中标单位支付过渡期服务供应商过渡期的费用。费用根据绿化养护服务外包项目2024年中标金额，结合过渡期服务供应商实际服务天数进行结算，中标单位正式接管2024年绿化养护服务外包项目15个工作日内支付到过渡期服务供应商账户。</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2.3付款方式：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2.3.1合同生效后，</w:t>
      </w:r>
      <w:r>
        <w:rPr>
          <w:rFonts w:hint="eastAsia" w:asciiTheme="minorEastAsia" w:hAnsiTheme="minorEastAsia" w:eastAsiaTheme="minorEastAsia" w:cstheme="minorEastAsia"/>
          <w:color w:val="auto"/>
          <w:sz w:val="24"/>
          <w:highlight w:val="none"/>
          <w:u w:val="single"/>
        </w:rPr>
        <w:t xml:space="preserve"> </w:t>
      </w:r>
      <w:r>
        <w:rPr>
          <w:rFonts w:hint="eastAsia" w:hAnsiTheme="minorEastAsia" w:cstheme="minorEastAsia"/>
          <w:color w:val="auto"/>
          <w:sz w:val="24"/>
          <w:highlight w:val="none"/>
          <w:u w:val="single"/>
          <w:lang w:eastAsia="zh-CN"/>
        </w:rPr>
        <w:t>2024 年 4 月 15 日</w:t>
      </w:r>
      <w:r>
        <w:rPr>
          <w:rFonts w:hint="eastAsia" w:asciiTheme="minorEastAsia" w:hAnsiTheme="minorEastAsia" w:eastAsiaTheme="minorEastAsia" w:cstheme="minorEastAsia"/>
          <w:color w:val="auto"/>
          <w:sz w:val="24"/>
          <w:highlight w:val="none"/>
        </w:rPr>
        <w:t>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6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9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元（合同金额的15%）；</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11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元（合同金额的5%）。</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2.3.2支付条件为经甲方考核，乙方季度考核平均分达标及以上。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2.3.3甲方每次付款前，乙方应提供等额正规发票，否则甲方有权暂不付款且不构成违约。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3.1收取：自本合同签订之日起1个月内，乙方应向甲方一次性缴纳</w:t>
      </w:r>
      <w:r>
        <w:rPr>
          <w:rFonts w:hint="eastAsia" w:asciiTheme="minorEastAsia" w:hAnsiTheme="minorEastAsia" w:eastAsiaTheme="minorEastAsia" w:cstheme="minorEastAsia"/>
          <w:color w:val="auto"/>
          <w:sz w:val="24"/>
          <w:highlight w:val="none"/>
          <w:u w:val="single" w:color="FF0000"/>
        </w:rPr>
        <w:t xml:space="preserve">    </w:t>
      </w:r>
      <w:r>
        <w:rPr>
          <w:rFonts w:hint="eastAsia" w:asciiTheme="minorEastAsia" w:hAnsiTheme="minorEastAsia" w:eastAsiaTheme="minorEastAsia" w:cstheme="minorEastAsia"/>
          <w:color w:val="auto"/>
          <w:sz w:val="24"/>
          <w:highlight w:val="none"/>
        </w:rPr>
        <w:t>万元履约保证金，作为按约定的服务期限、内容和标准履行本合同的担保。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3.2返还：合同履约完成后5个月内，依据合同履约情况，在甲方依据本协议扣除相关违约金（如有）、损害赔偿金（如有）等费用后一次性无息返还全部或剩余履约保证金。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4.服务考核</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北京园博园是4A级景区，是西山永定河文化带精华区的重要组成部分，乙方所提供服务及日常管理需符合A级景区标准，全力配合园博园争创5A，要求如下：</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4.1提供的服务及管理必须符合《旅游景区质量等级的划分与评定》国家标准对4A级景区的各项要求，按照5A级景区标准提高各项工作标准，全力配合园博园创建5A级景区。</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4.2提供的服务和从业人员的行为及作业应达到安全生产标准化（二级）相应的标准。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4.3遵守园博园各项管理规定，高标准、无条件全力配合园博园内开展的各类大型活动。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4.4按照《北京园博园管理中心绿化养护精细化管理考核办法》，甲方有权对合同服务内容进行考核，每季度组织三次考核。季度考核平均分值85分（含）以上为达标，85分以下为不达标。</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5.甲方的权利和义务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5.1甲方负责绿化养护的联系人：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甲方有权全面监督、指导、检查、验收乙方工作，发现问题及时通知乙方，要求乙方在指定时间内处理完毕。甲方有权对乙方提出的合理建议和要求予以采纳或提供必要帮助。甲方依据本协议约定的作业内容、标准，检查监督乙方的养护质量和服务水平，实行百分检查验收制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5.3如遇绿化特殊工作需求时（如外来人员参观视察、检查，或特殊天气等情况），甲方有权提前通知乙方安排人员进行相关养护或恢复等工作。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5.4协助乙方维持养护作业秩序，尽可能提供方便。</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5.5监督检查、验收绿地养护管理质量。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5.6按合同约定向乙方支付养护费。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5.7乙方养护前，需提供给乙方完善的养护清单，以便后期养护发生植株减少或损毁的认定。养护期限届满，甲方有权按照养护清单对乙方养护内容进行检查、验收。如甲方发现植株减少或损毁的情况，甲方有权要求乙方限期补植或修复并承担相应的费用，如乙方未能在甲方要求期限内补植或修复的，甲方有权按照相似植株的市场价值要求乙方进行赔偿，甲方有权从履约保证金中扣除乙方应承担的赔偿金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5.8因不可抗力(台风、洪水、地震、冰雹等)造成养护植物死亡的不属于乙方负责范围，乙方应当向甲方提供构成不可抗力情形的证明文件。在此情形下，需要乙方进行修复时，甲方有权根据实际工程量支付乙方相应费用。但在雨季、多风季节，乙方必须按照甲方要求先行采取用支架对树木进行必要防护等措施，材料应当用木或钢管，未提前采取必要防护措施造成养护植物减少、损毁或死亡的，甲方有权要求乙方限期补植或修复并承担相应的费用。乙方未在要求期限内补植或修复的，甲方有权自行或委托第三方补植或修复，相应的费用甲方有权从履约保证金中予以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6.乙方的权利和义务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6.1乙方负责绿化养护的代表人：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6.2乙方派驻的所有工作人员应当遵守甲方制定的各项规章制度，服从甲方管理，爱护甲方及园内财物，维护甲方良好形象。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6.3乙方派驻的所有工作人员，必须按甲方的有关规定办理相关手续，工作时间内所有乙方绿化养护人员必须依据甲方要求统一着装、佩带工作证。</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6.4乙方必须根据本协议约定的相关操作规程、技术规定和标准进行养护并接受甲方监督。</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乙方负责安全生产，确保全年不出安全责任事故。乙方工作人员必须严格执行安全操作规程，加强安全防护，妥善保管和使用农药、汽油等，由于乙方的养护人员操作不规范等因素造成的安全责任事故，由乙方承担一切责任及损失。甲方有权根据事故的严重情况保留单方解除本合同的权利，对事故给甲方造成的损失，甲方有权从履约保证金中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6.6乙方应当文明作业，及时清理养护现场，做到工完场清。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6.7乙方有权依据合同约定，按期向甲方申请款项。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6.8乙方在进行养护前，应自甲方提供养护清单之日起3日内进行清单的核实，以便后期养护发生植株减少或损毁的认定。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6.9合同期内，本合同养护项目因乙方养护不当造成的植株减少或损毁，乙方应在甲方指定时间内补植或修复并承担相应费用。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6.10因不可抗力(台风、洪水、地震等)的自然灾害造成养护植物死亡及非乙方因素造成养护植物减少、损毁或死亡的不属于乙方负责范围，乙方及时提请甲方予以认定，否则乙方应予以修复。在雨季、多风季节必须先行采取用支架对树木进行必要的防护，材料可以用木或钢管，未提前采取必要防护措施造成养护植物减少、损毁或死亡的，修复费用由乙方承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6.11关于法定节假日或重要活动，乙方应当按照甲方的具体要求(如品种、方位、数量等)增设的花坛花卉以增强节假日的气氛，相关费用双方另行协商确定。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各类因苗木养护作业所产生的园林生产垃圾(泥土、枯枝、草坪等)均由乙方负责清理，甲方不再另行支付费用。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乙方必须无条件配合甲方防汛抢险、护林防火、重要活动等相关保障工作。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乙方负责对养护范围内城市展园的管理工作，对展园开展内的建筑、土建、设备、铺装及其他安全隐患进行巡视检查，发现问题及时上报。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7.违约责任</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乙方养护达不到合同约定的养护标准或操作规程不规范，甲方可发出书面整改通知书或口头通知。乙方自收到通知之日起5天内未予整改的，甲方每次可扣除履约保证金10%的费用。自收到通知之日起20天内未整改的，甲方有权单方解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7.2在养护期限内，乙方一年内出现2次重大责任事故或3次一般责任事故的，甲方有权单方解除合同，产生的损失由乙方承担，甲方有权从履约保证金中扣除乙方应承担的赔偿额。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重大责任事故：安全生产事故；被新闻单位曝光，经查属实，影响重大的；各种重大政治活动及上级部门检查中，出现问题，造成严重后果的；未经采购方批准擅自停止绿地管理作业造成严重影响的；在有重大政治活动或紧急任务的情况下，没有按要求及时完成指令性工作任务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般责任事故：人大代表、政协委员、上级领导及群众反映业务管理及服务质量有问题，经查属实，造成一定影响的；各种重大政治活动或上级部门检查中出现问题，造成不良影响的；未能及时按质按量完成采购方布置的各项临时任务的；对各种检查和群众反映的问题，在规定的期限内未能及时解决的；造成一定影响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7.3乙方营业执照年检不合格，甲方有权单方解除合同。</w:t>
      </w:r>
    </w:p>
    <w:p>
      <w:pPr>
        <w:autoSpaceDE w:val="0"/>
        <w:autoSpaceDN w:val="0"/>
        <w:spacing w:line="360" w:lineRule="auto"/>
        <w:ind w:firstLine="480" w:firstLineChars="20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w:t>
      </w:r>
      <w:r>
        <w:rPr>
          <w:rFonts w:hint="eastAsia" w:asciiTheme="minorEastAsia" w:hAnsiTheme="minorEastAsia" w:eastAsiaTheme="minorEastAsia" w:cstheme="minorEastAsia"/>
          <w:bCs/>
          <w:color w:val="auto"/>
          <w:sz w:val="24"/>
          <w:highlight w:val="none"/>
          <w:lang w:val="zh-CN"/>
        </w:rPr>
        <w:t>争议解决方式</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8.1</w:t>
      </w:r>
      <w:r>
        <w:rPr>
          <w:rFonts w:hint="eastAsia" w:asciiTheme="minorEastAsia" w:hAnsiTheme="minorEastAsia" w:eastAsiaTheme="minorEastAsia" w:cstheme="minorEastAsia"/>
          <w:bCs/>
          <w:color w:val="auto"/>
          <w:sz w:val="24"/>
          <w:highlight w:val="none"/>
          <w:lang w:val="zh-CN"/>
        </w:rPr>
        <w:t>本合同在履行过程中发生的争议由双方当事人协商解决，协商不成的，依法向</w:t>
      </w:r>
      <w:r>
        <w:rPr>
          <w:rFonts w:hint="eastAsia" w:asciiTheme="minorEastAsia" w:hAnsiTheme="minorEastAsia" w:eastAsiaTheme="minorEastAsia" w:cstheme="minorEastAsia"/>
          <w:bCs/>
          <w:color w:val="auto"/>
          <w:sz w:val="24"/>
          <w:highlight w:val="none"/>
          <w:u w:val="single"/>
          <w:lang w:val="zh-CN"/>
        </w:rPr>
        <w:t>丰台区</w:t>
      </w:r>
      <w:r>
        <w:rPr>
          <w:rFonts w:hint="eastAsia" w:asciiTheme="minorEastAsia" w:hAnsiTheme="minorEastAsia" w:eastAsiaTheme="minorEastAsia" w:cstheme="minorEastAsia"/>
          <w:bCs/>
          <w:color w:val="auto"/>
          <w:sz w:val="24"/>
          <w:highlight w:val="none"/>
          <w:lang w:val="zh-CN"/>
        </w:rPr>
        <w:t>人民法院起诉。</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8.2</w:t>
      </w:r>
      <w:r>
        <w:rPr>
          <w:rFonts w:hint="eastAsia" w:asciiTheme="minorEastAsia" w:hAnsiTheme="minorEastAsia" w:eastAsiaTheme="minorEastAsia" w:cstheme="minorEastAsia"/>
          <w:bCs/>
          <w:color w:val="auto"/>
          <w:sz w:val="24"/>
          <w:highlight w:val="none"/>
          <w:lang w:val="zh-CN"/>
        </w:rPr>
        <w:t>双方认可本合同约定的联系方式和地址可作为诉讼中文书的送达地址。</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9.附则</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r>
        <w:rPr>
          <w:rFonts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rPr>
        <w:t>本合同若有未尽事宜，双方应本着诚信合作的态度，友好协商解决，在本合同养护期内签订的补充协议均作为本合同的有效附件。</w:t>
      </w:r>
    </w:p>
    <w:p>
      <w:pPr>
        <w:spacing w:line="360" w:lineRule="auto"/>
        <w:ind w:firstLine="480" w:firstLineChars="20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t>9.2</w:t>
      </w:r>
      <w:r>
        <w:rPr>
          <w:rFonts w:hint="eastAsia" w:asciiTheme="minorEastAsia" w:hAnsiTheme="minorEastAsia" w:eastAsiaTheme="minorEastAsia" w:cstheme="minorEastAsia"/>
          <w:color w:val="auto"/>
          <w:sz w:val="24"/>
          <w:highlight w:val="none"/>
        </w:rPr>
        <w:t>本合同一式陆份，双方各执</w:t>
      </w:r>
      <w:r>
        <w:rPr>
          <w:rFonts w:hint="eastAsia" w:asciiTheme="minorEastAsia" w:hAnsiTheme="minorEastAsia" w:eastAsiaTheme="minorEastAsia" w:cstheme="minorEastAsia"/>
          <w:color w:val="auto"/>
          <w:sz w:val="24"/>
          <w:highlight w:val="none"/>
          <w:lang w:val="en-US" w:eastAsia="zh-CN"/>
        </w:rPr>
        <w:t>叁</w:t>
      </w:r>
      <w:r>
        <w:rPr>
          <w:rFonts w:hint="eastAsia" w:asciiTheme="minorEastAsia" w:hAnsiTheme="minorEastAsia" w:eastAsiaTheme="minorEastAsia" w:cstheme="minorEastAsia"/>
          <w:color w:val="auto"/>
          <w:sz w:val="24"/>
          <w:highlight w:val="none"/>
        </w:rPr>
        <w:t>份，经双方签字盖章后生效，具有同等法律效力。</w:t>
      </w:r>
    </w:p>
    <w:p>
      <w:pPr>
        <w:pStyle w:val="2"/>
        <w:ind w:firstLine="480" w:firstLineChars="20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9.3</w:t>
      </w:r>
      <w:r>
        <w:rPr>
          <w:rFonts w:hint="eastAsia" w:asciiTheme="minorEastAsia" w:hAnsiTheme="minorEastAsia" w:eastAsiaTheme="minorEastAsia" w:cstheme="minorEastAsia"/>
          <w:color w:val="auto"/>
          <w:szCs w:val="24"/>
          <w:highlight w:val="none"/>
        </w:rPr>
        <w:t>附件为本协议的有效组成部分，具有同等法律效力。本协议附件有：</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附件1：《安全生产协议书》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附件2：《保密责任书》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附件3：《廉政责任书》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附件4：《北京园博园管理中心绿化养护精细化管理考核办法》</w:t>
      </w:r>
    </w:p>
    <w:p>
      <w:pPr>
        <w:pStyle w:val="2"/>
        <w:ind w:firstLine="480" w:firstLineChars="200"/>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甲方（盖章）：                        乙方（盖章）：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法定代表人（签章）：                  法定代表人（签章）：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委托代理人（签章）：                  委托代理人（签章）：</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                               地址：</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                           开户银行：             </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账号：                               账号：</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电话:                                电话:</w:t>
      </w:r>
    </w:p>
    <w:p>
      <w:pPr>
        <w:pStyle w:val="2"/>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2" w:firstLineChars="200"/>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b/>
          <w:color w:val="auto"/>
          <w:sz w:val="24"/>
          <w:highlight w:val="none"/>
        </w:rPr>
        <w:t>签约时间：　　　　　　　　　  　　　　签约时间：</w:t>
      </w:r>
    </w:p>
    <w:p>
      <w:pPr>
        <w:pStyle w:val="23"/>
        <w:spacing w:line="560" w:lineRule="exact"/>
        <w:ind w:firstLine="0"/>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本协议附件：</w:t>
      </w: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附件1：</w:t>
      </w:r>
    </w:p>
    <w:p>
      <w:pPr>
        <w:spacing w:before="120" w:after="120" w:line="560" w:lineRule="exact"/>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安全生产协议书</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甲方：北京园博园管理中心（以下简称甲方）</w:t>
      </w:r>
    </w:p>
    <w:p>
      <w:pPr>
        <w:tabs>
          <w:tab w:val="left" w:pos="2400"/>
        </w:tabs>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地址：北京市丰台区长辛店镇射击场路15号</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乙方：（以下简称乙方）</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 xml:space="preserve">地址： </w:t>
      </w:r>
    </w:p>
    <w:p>
      <w:pPr>
        <w:spacing w:line="560" w:lineRule="exact"/>
        <w:ind w:left="840" w:leftChars="350"/>
        <w:rPr>
          <w:rFonts w:asciiTheme="minorEastAsia" w:hAnsiTheme="minorEastAsia" w:eastAsiaTheme="minorEastAsia" w:cstheme="minorEastAsia"/>
          <w:color w:val="auto"/>
          <w:sz w:val="32"/>
          <w:szCs w:val="32"/>
          <w:highlight w:val="none"/>
        </w:rPr>
      </w:pPr>
    </w:p>
    <w:p>
      <w:pPr>
        <w:spacing w:line="560" w:lineRule="exact"/>
        <w:ind w:firstLine="64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甲乙双方经平等友好协商一致，就乙方使用的区域（以下简称“园区”），合作期间应尽到的安全生产义务，进行如下补充约定以资共同遵守：</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1.乙方的安全生产义务如下：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遵守国家有关安全施工、生产方面的法律、法规和其他要求，以及甲方制定的规章制度和其它要求；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建立健全乙方本单位安全生产责任制并设置安全管理机构，按规定配备专兼职安全管理人员，并报甲方备案。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 负责将包括园区在内的本单位作业场所和工作岗位存在的危险因素、防范措施以及事故应急措施告知乙方本单位员工。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 雇佣的员工或住宿人员必须按照当地派出所的要求履行登记备案制度并做好治安管理工作。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1.16 应按《中华人民共和国劳动法》等法律、法规、规定用工，不使用未成年工和有职业禁忌的人员进行施工、生产作业。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2.违约责任、协议的变更及解除</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乙方违反上述任何约定，应赔偿因此给甲方带来的全部责任和损失，包括直接损失和间接损失。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出现以下任一情形的，甲方有权单方解除合同，收回园区，并有权要求乙方赔偿甲方因此遭受的所有损失：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 乙方违反上述约定，甲方发出整改通知之日起五日内或甲方要求的整改期限内未达到整改目标的；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 乙方违反上述约定，受到行政处罚或者刑事处罚的；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2.2.3 乙方违反上述约定，导致甲方受到行政处罚或者刑事处罚的；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2.2.4 乙方违反上述约定，造成甲方经济损失达5000元以上的；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2.2.5 乙方拖欠甲方各种费用超过7天以上的；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2.2.6 乙方被吊销、注销或者停业整顿的；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2.2.7 其他因乙方原因导致合同无法继续履行，或者造成甲方重大经济或名誉损失的情形。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 经双方协商一致可以变更或者解除本协议。</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3.其他事项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合同履行期间，甲乙双方有任何争议均应协商解决，协商不成，任何一方有权向甲方所在地北京市丰台区人民法院提起诉讼。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 本协议是合同不可分割的一部分，与合同具有同等法律效力，经甲乙双方法定代表人或授权委托人签字并加盖公章后生效；本协议尚未约定事项以合同为准。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（以下无正文，为双方签署页）</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1084" w:hanging="1084" w:hangingChars="45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附件2：</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保密责任书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1.商业秘密之定义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甲方之档案资料：北京园博园管理中心相关图纸、设备设施资料等；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与甲方商业活动有关的信息：北京园博园管理中心运行方案、重要活动等；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与甲方专有技术有关的信息：设备设施资料、设备设施运行参数、设备设施运行记录等；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与甲方财务有关的信息：财务预算、财务报表等；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与甲方管理活动有关的信息：北京园博园管理中心重大活动及会议等；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与甲方有关的其他信息。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2.出于保护甲方商业秘密之目的，乙方理解并同意商业秘密包括任何与甲方有关之任何机密信息及商业信息。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3.乙方理解并同意在双开展业务过程中由甲方提供的任何信息，均属于商业秘密，乙方使用该信息同样受本责任书约束。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4.保密义务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非经甲方书面同意，乙方不得在任何时间以任何形式将商业秘密披露或提供给任何第三方；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除拟议目的外，不得将商业秘密用于任何其他目的，乙方不得在拟议目的之外，以任何方式复制被列为商业秘密的信息；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4.5 未经甲方书面同意，乙方不得使用或允许任何第三方使用不正当的手段获取的商业秘密。本条款所称之不正当的手段包括盗窃、欺诈、胁迫、贿赂、擅自复制、违反保密义务、引诱他人违反保密义务或其他不正当手段。</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 乙方对任何信息的性质、保密程度不明确的，必须主动向甲方寻求书面确认。</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6.例外情況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在下列情况下，乙方对于商业秘密的披露将不承担法律责任，前提条件是如果乙方能够证明该信息系：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乙方通过书面证据证明其在接受甲方的信息之前已知悉该商业秘密；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在本责任书签署之日或其后之任何时间在乙方不违反本责任书的情况下为公众所知悉；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 经由甲方以外的渠道合法获得；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 甲方书面批准乙方向第三方披露读信息；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7.材料之返还</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color w:val="auto"/>
          <w:sz w:val="24"/>
          <w:highlight w:val="none"/>
        </w:rPr>
        <w:t>甲方：北京园博园管理中心            乙方：</w:t>
      </w:r>
      <w:r>
        <w:rPr>
          <w:rFonts w:hint="eastAsia" w:asciiTheme="minorEastAsia" w:hAnsiTheme="minorEastAsia" w:eastAsiaTheme="minorEastAsia" w:cstheme="minorEastAsia"/>
          <w:b/>
          <w:snapToGrid w:val="0"/>
          <w:color w:val="auto"/>
          <w:sz w:val="24"/>
          <w:highlight w:val="none"/>
        </w:rPr>
        <w:t xml:space="preserve"> </w:t>
      </w:r>
    </w:p>
    <w:p>
      <w:pPr>
        <w:spacing w:line="560" w:lineRule="exact"/>
        <w:rPr>
          <w:rFonts w:asciiTheme="minorEastAsia" w:hAnsiTheme="minorEastAsia" w:eastAsiaTheme="minorEastAsia" w:cstheme="minorEastAsia"/>
          <w:b/>
          <w:snapToGrid w:val="0"/>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附件3：</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廉政责任书</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甲方：北京园博园管理中心</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乙方： </w:t>
      </w:r>
    </w:p>
    <w:p>
      <w:pPr>
        <w:spacing w:line="560" w:lineRule="exact"/>
        <w:rPr>
          <w:rFonts w:asciiTheme="minorEastAsia" w:hAnsiTheme="minorEastAsia" w:eastAsiaTheme="minorEastAsia" w:cstheme="minorEastAsia"/>
          <w:b/>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甲乙双方因北京园博园管理中心项目签订《2024年北京园博园绿地养护项目（</w:t>
      </w:r>
      <w:r>
        <w:rPr>
          <w:rFonts w:hint="eastAsia" w:asciiTheme="minorEastAsia" w:hAnsiTheme="minorEastAsia" w:eastAsiaTheme="minorEastAsia" w:cstheme="minorEastAsia"/>
          <w:color w:val="auto"/>
          <w:sz w:val="24"/>
          <w:highlight w:val="none"/>
          <w:lang w:val="en-US" w:eastAsia="zh-CN"/>
        </w:rPr>
        <w:t>锦绣谷</w:t>
      </w:r>
      <w:r>
        <w:rPr>
          <w:rFonts w:hint="eastAsia" w:asciiTheme="minorEastAsia" w:hAnsiTheme="minorEastAsia" w:eastAsiaTheme="minorEastAsia" w:cstheme="minorEastAsia"/>
          <w:color w:val="auto"/>
          <w:sz w:val="24"/>
          <w:highlight w:val="none"/>
        </w:rPr>
        <w:t>区域绿地养护项目）合同》，为加强在合同履行中的廉政建设，规范双方的行为，预防各种谋取不正当利益的违法、违纪行为的发生，特订立本廉政责任书。</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1.双方承诺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严格遵守国家法律、法规，相关政策及廉政建设的各项规定。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严格执行合同文件，自觉按合同办事。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甲、乙方及其所有工作人员，在合同的履行中禁止有下列任一行为：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 一方以任何理由向对方、相关单位及其工作人员索要、接受或赠送礼金、有价证券、贵重物品和回扣、好处费、感谢费等。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1.5.2 一方以任何理由为对方和相关单位报销任何应由对方或个人支付的费用。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1.5.3 一方要求、暗示或接受对方和相关单位为个人装修住房、婚丧嫁娶、配偶子女的工作安排以及出国（境）、旅游等提供方便。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1.5.4 一方组织或参加有可能影响对方和相关单位及工作人员履行合同权利义务和公正执行公务的宴请、健身、娱乐等活动。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1.5.5 一方向对方介绍配偶、子女、亲属参与同与本合同有关的经济活动。</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双方一致同意，在本责任书签署前，双方就签订《2024年北京园博园绿地养护项目（</w:t>
      </w:r>
      <w:r>
        <w:rPr>
          <w:rFonts w:hint="eastAsia" w:asciiTheme="minorEastAsia" w:hAnsiTheme="minorEastAsia" w:eastAsiaTheme="minorEastAsia" w:cstheme="minorEastAsia"/>
          <w:color w:val="auto"/>
          <w:sz w:val="24"/>
          <w:highlight w:val="none"/>
          <w:lang w:val="en-US" w:eastAsia="zh-CN"/>
        </w:rPr>
        <w:t>锦绣谷</w:t>
      </w:r>
      <w:r>
        <w:rPr>
          <w:rFonts w:hint="eastAsia" w:asciiTheme="minorEastAsia" w:hAnsiTheme="minorEastAsia" w:eastAsiaTheme="minorEastAsia" w:cstheme="minorEastAsia"/>
          <w:color w:val="auto"/>
          <w:sz w:val="24"/>
          <w:highlight w:val="none"/>
        </w:rPr>
        <w:t>区域绿地养护项目）合同》的协商过程中，如存在第一条第(五)项的禁止行为，同样受本责任书的约束。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3.本责任书作为《2024年北京园博园绿地养护项目（</w:t>
      </w:r>
      <w:r>
        <w:rPr>
          <w:rFonts w:hint="eastAsia" w:asciiTheme="minorEastAsia" w:hAnsiTheme="minorEastAsia" w:eastAsiaTheme="minorEastAsia" w:cstheme="minorEastAsia"/>
          <w:color w:val="auto"/>
          <w:sz w:val="24"/>
          <w:highlight w:val="none"/>
          <w:lang w:val="en-US" w:eastAsia="zh-CN"/>
        </w:rPr>
        <w:t>锦绣谷</w:t>
      </w:r>
      <w:r>
        <w:rPr>
          <w:rFonts w:hint="eastAsia" w:asciiTheme="minorEastAsia" w:hAnsiTheme="minorEastAsia" w:eastAsiaTheme="minorEastAsia" w:cstheme="minorEastAsia"/>
          <w:color w:val="auto"/>
          <w:sz w:val="24"/>
          <w:highlight w:val="none"/>
        </w:rPr>
        <w:t>区域绿地养护项目）合同》的附件，与合同具有同等法律效力，经双方签署后立即生效。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4.本责任书的有效期为双方签署之日起至合同约定的义务履行完毕止。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5.本责任书一式陆份，作为《2024年北京园博园绿地养护项目（</w:t>
      </w:r>
      <w:r>
        <w:rPr>
          <w:rFonts w:hint="eastAsia" w:asciiTheme="minorEastAsia" w:hAnsiTheme="minorEastAsia" w:eastAsiaTheme="minorEastAsia" w:cstheme="minorEastAsia"/>
          <w:color w:val="auto"/>
          <w:sz w:val="24"/>
          <w:highlight w:val="none"/>
          <w:lang w:val="en-US" w:eastAsia="zh-CN"/>
        </w:rPr>
        <w:t>锦绣谷</w:t>
      </w:r>
      <w:r>
        <w:rPr>
          <w:rFonts w:hint="eastAsia" w:asciiTheme="minorEastAsia" w:hAnsiTheme="minorEastAsia" w:eastAsiaTheme="minorEastAsia" w:cstheme="minorEastAsia"/>
          <w:color w:val="auto"/>
          <w:sz w:val="24"/>
          <w:highlight w:val="none"/>
        </w:rPr>
        <w:t>区域绿地养护项目）合同》的附件，自双方签字盖章之日生效。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6.监督联系方式:63915429</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6987" w:hanging="6987" w:hangingChars="29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b/>
          <w:color w:val="auto"/>
          <w:sz w:val="24"/>
          <w:highlight w:val="none"/>
        </w:rPr>
        <w:t>日期:    年   月   日                      日期:   年   月   日</w:t>
      </w:r>
    </w:p>
    <w:p>
      <w:pPr>
        <w:rPr>
          <w:rFonts w:asciiTheme="minorEastAsia" w:hAnsiTheme="minorEastAsia" w:eastAsiaTheme="minorEastAsia" w:cstheme="minorEastAsia"/>
          <w:color w:val="auto"/>
          <w:highlight w:val="none"/>
        </w:rPr>
      </w:pPr>
    </w:p>
    <w:p>
      <w:pPr>
        <w:pStyle w:val="2"/>
        <w:rPr>
          <w:rFonts w:asciiTheme="minorEastAsia" w:hAnsiTheme="minorEastAsia" w:eastAsiaTheme="minorEastAsia" w:cstheme="minorEastAsia"/>
          <w:color w:val="auto"/>
          <w:sz w:val="32"/>
          <w:szCs w:val="32"/>
          <w:highlight w:val="none"/>
          <w:lang w:bidi="ar"/>
        </w:rPr>
      </w:pPr>
    </w:p>
    <w:p>
      <w:pPr>
        <w:pStyle w:val="2"/>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附件4：</w:t>
      </w:r>
    </w:p>
    <w:p>
      <w:pPr>
        <w:spacing w:line="560" w:lineRule="exact"/>
        <w:rPr>
          <w:rFonts w:asciiTheme="minorEastAsia" w:hAnsiTheme="minorEastAsia" w:eastAsiaTheme="minorEastAsia" w:cstheme="minorEastAsia"/>
          <w:color w:val="auto"/>
          <w:sz w:val="44"/>
          <w:szCs w:val="44"/>
          <w:highlight w:val="none"/>
        </w:rPr>
      </w:pP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北京园博园管理中心绿化养护</w:t>
      </w: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 精细化管理考核办法</w:t>
      </w:r>
    </w:p>
    <w:p>
      <w:pPr>
        <w:spacing w:line="560" w:lineRule="exact"/>
        <w:jc w:val="center"/>
        <w:rPr>
          <w:rFonts w:asciiTheme="minorEastAsia" w:hAnsiTheme="minorEastAsia" w:eastAsiaTheme="minorEastAsia" w:cstheme="minorEastAsia"/>
          <w:color w:val="auto"/>
          <w:sz w:val="44"/>
          <w:szCs w:val="44"/>
          <w:highlight w:val="none"/>
        </w:rPr>
      </w:pPr>
    </w:p>
    <w:p>
      <w:pPr>
        <w:spacing w:line="560" w:lineRule="exact"/>
        <w:rPr>
          <w:rFonts w:asciiTheme="minorEastAsia" w:hAnsiTheme="minorEastAsia" w:eastAsiaTheme="minorEastAsia" w:cstheme="minorEastAsia"/>
          <w:color w:val="auto"/>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为进一步加强园博园绿化养护管理工作，建立长效的养护管理机制，参照《城镇绿地养护管理规范》（DB11/T213-2014）相关标准，结合园博园绿化养护管理实际，特制定本考核办法。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1.考核对象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北京园博园绿地养护项目中标单位。</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2.考核方式</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2.1考核检查由园林绿化部组织实施，采用定期和不定期随机抽查两种考核方式，不定期考核即经常性巡查及重大节日、庆典、“迎检”等指令性检查时所进行的随机抽查考核。</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2.2实行百分考核评定，考核主体为园林绿化部管理人员，每季度组织三次考核。季度考核平均分值85分（含）以上为达标，85分以下为不达标。</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2.3考核程序为现场检查、听取汇报、交换意见、提出整改意见、评定名次、公布结果。考核方式为全覆盖随机检查园内绿化养护管理区域。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2.4考核小组每次检查填写统一检查评分表。每次考核评分原始记录由园林绿化部存档备案，考核结果作为支付绿地养护合同进度款的主要依据。</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3.考核奖惩</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绿地养护中标单位在季度考核中一次不达标的，园林绿化部下达整改通知，扣除养护中标单位履约保证金总额的百分之十；两次季度考核不达标，扣除养护中标单位履约保证金总额的百分之二十；三次季度考核不达标，则年度考核不达标，中心有权单方解除绿地养护合同。</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4.考核项目及分值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4.1绿化养护                     90分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4.2其    他                     10分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4.3安全生产、文明作业           扣分项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5.相关要求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5.1高度重视，增强意识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园林绿化部及外包养护单位要高度重视绿化养护精细化管理考核工作，严格按照考核办法进行评分。园林绿化部进行考核时，养护单位必须及时到达现场予以确认，积极配合考核工作。涉及绿地植被品种改造调整的，应当报请园林绿化部研究同意后方可执行，不得擅自决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5.2明确任务，责任到人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各外包养护单位要根据绿化养护精细化考核管理办法，对考核检查中发现问题要做到及时整改、狠抓落实，细化目标任务，明确时间节点，责任到人，及时反馈上报，对重点区域重点问题盯紧盯牢，使改造后绿化总量不减少、绿化品质和景观面貌不低于改造前水平，确保问题整改到位。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5.3完善机制，建立长效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要认真贯彻执行《城镇绿地养护管理规范》，完善园博绿化养护技术标准和规范，逐步建立和完善绿化管理体系。要加强对各外包养护单位的监督考核，推行管理责任制，客观评价各外包养护单位园林绿化工作，确保园林绿化的各项工作顺利开展。</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附件：绿化养护精细化管理考核评分表</w:t>
      </w:r>
    </w:p>
    <w:tbl>
      <w:tblPr>
        <w:tblStyle w:val="24"/>
        <w:tblW w:w="8330" w:type="dxa"/>
        <w:tblInd w:w="93" w:type="dxa"/>
        <w:tblLayout w:type="fixed"/>
        <w:tblCellMar>
          <w:top w:w="0" w:type="dxa"/>
          <w:left w:w="108" w:type="dxa"/>
          <w:bottom w:w="0" w:type="dxa"/>
          <w:right w:w="108" w:type="dxa"/>
        </w:tblCellMar>
      </w:tblPr>
      <w:tblGrid>
        <w:gridCol w:w="457"/>
        <w:gridCol w:w="478"/>
        <w:gridCol w:w="726"/>
        <w:gridCol w:w="3009"/>
        <w:gridCol w:w="2714"/>
        <w:gridCol w:w="946"/>
      </w:tblGrid>
      <w:tr>
        <w:tblPrEx>
          <w:tblCellMar>
            <w:top w:w="0" w:type="dxa"/>
            <w:left w:w="108" w:type="dxa"/>
            <w:bottom w:w="0" w:type="dxa"/>
            <w:right w:w="108" w:type="dxa"/>
          </w:tblCellMar>
        </w:tblPrEx>
        <w:trPr>
          <w:trHeight w:val="780" w:hRule="atLeast"/>
        </w:trPr>
        <w:tc>
          <w:tcPr>
            <w:tcW w:w="457" w:type="dxa"/>
            <w:tcBorders>
              <w:top w:val="nil"/>
              <w:left w:val="nil"/>
              <w:bottom w:val="nil"/>
              <w:right w:val="nil"/>
            </w:tcBorders>
            <w:shd w:val="clear" w:color="auto" w:fill="auto"/>
            <w:noWrap/>
            <w:vAlign w:val="center"/>
          </w:tcPr>
          <w:p>
            <w:pPr>
              <w:jc w:val="center"/>
              <w:rPr>
                <w:rFonts w:asciiTheme="minorEastAsia" w:hAnsiTheme="minorEastAsia" w:eastAsiaTheme="minorEastAsia" w:cstheme="minorEastAsia"/>
                <w:color w:val="auto"/>
                <w:sz w:val="24"/>
                <w:highlight w:val="none"/>
              </w:rPr>
            </w:pPr>
          </w:p>
        </w:tc>
        <w:tc>
          <w:tcPr>
            <w:tcW w:w="7873" w:type="dxa"/>
            <w:gridSpan w:val="5"/>
            <w:tcBorders>
              <w:top w:val="nil"/>
              <w:left w:val="nil"/>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bidi="ar"/>
              </w:rPr>
              <w:t xml:space="preserve">绿化养护精细化管理考核评分表   </w:t>
            </w:r>
          </w:p>
        </w:tc>
      </w:tr>
      <w:tr>
        <w:tblPrEx>
          <w:tblCellMar>
            <w:top w:w="0" w:type="dxa"/>
            <w:left w:w="108" w:type="dxa"/>
            <w:bottom w:w="0" w:type="dxa"/>
            <w:right w:w="108" w:type="dxa"/>
          </w:tblCellMar>
        </w:tblPrEx>
        <w:trPr>
          <w:trHeight w:val="66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序号</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类别</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考核项目</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考核标准</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扣分值</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养护单位及扣分情况</w:t>
            </w:r>
          </w:p>
        </w:tc>
      </w:tr>
      <w:tr>
        <w:tblPrEx>
          <w:tblCellMar>
            <w:top w:w="0" w:type="dxa"/>
            <w:left w:w="108" w:type="dxa"/>
            <w:bottom w:w="0" w:type="dxa"/>
            <w:right w:w="108" w:type="dxa"/>
          </w:tblCellMar>
        </w:tblPrEx>
        <w:trPr>
          <w:trHeight w:val="4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树木(15分)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1.树冠完整、茂盛，主侧枝分布匀称、分枝点合适，修剪科学合理，具有一定的观赏效果。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2.绿地内无死树。发现死树及时移除，并选用规格相近的原树种进行补植。</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3.叶片大小、颜色正常，除彩叶、皱叶等本身具特殊性状植物外，生长季节内，无黄叶、焦叶、卷叶。</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4.枝条无倾斜倒伏，无徒长枝、病虫枝、过密枝、枯枝、伤损枝、碰线枝。</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5.对树木要控制倾斜度，须扶架植物支撑方式合理，扶架方向整齐一致。并逐渐扶正。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6.加强病虫害测报工作，做到“预防为主，防治结合”。</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1.因养护不当造成植物生长不良或影响景观的扣1分；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2.有明显病虫害未及时防治的扣1分；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3.有死树，没及时处理的或树木有明显枯枝、人为折损枝，修剪不及时的扣1分；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4.雨季没有及时采用排水措施对绿地和树池排涝，绿地和树池内积水超过24h的扣1分；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5.树上有影响生长的附着物扣1分。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6.发现有死树未及时移除，并在适宜的季节未按原规格相近的原树种进行及时补植的扣1分。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灌木及绿篱(15分)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1.生长茂盛，枝叶繁茂、层次分明，无死株、缺株，造成断垄、断行和成片缺株现象。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2.观叶类观赏时期叶色鲜艳，观花类花期开花正常，形色均具最佳品质，观形类株形完全符合留养要求，同一要求的造型植株整体形状、大小保持一致，休眠期内进行整形修剪。</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3.修剪及时，无窜枝，无修剪后枝叶残存或散落不清。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4.越冬防寒措施方法得当，外形美观。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1.灌木绿篱修剪外形轮廓不清晰，外缘枝叶不紧密的扣1分；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2.发现修剪不及时、不正确扣1分；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3.发现死株、缺株，影响景观效果的扣1分；未及时移除并补栽扣3分。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4.防寒措施不得当，外观不美观的扣1分。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7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草坪(15分)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1.草坪生长旺盛，草根不裸露，无空秃、无各类杂草，无垃圾，无黄斑。</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2.草坪终年修剪平整，修剪高度符合景观要求，绿色度整齐，边缘线清晰（及时切边）。</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3.无毡化现象和馒头状突起，土壤不板结、龟裂，无积水现象。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4.加强病虫害的监控和防范工作，做到及时发现，及早防治。</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5.根据不同草坪草种类确定施肥时间、施肥种类和施肥量，应少量多次，以缓效肥为宜。</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1.发现秃斑、黄斑，绿色度不整齐现象比较严重的扣1分；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2.草坪修剪不平整、不及时的扣1分；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3.有明显杂草的扣1分，有大面积杂草的扣3分；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4.未能根据草坪生长时期、生长状况给草坪施肥，出现因土壤肥力不足问题的扣1分；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5.对被破坏或其他原因引起死亡的草坪未能及时更换补植的扣1分；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6.冬季上冻前未及时浇足浇透冻水的扣1分。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地被(10分)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1.修剪平整，边缘线条清晰，种植地内土壤保持疏松，残花清理及时，无杂草，地被冬季休眠期，做好修剪和整理工作。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2.观赏期内群体与单株能发挥最佳观赏功能。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3.生长状态良好，无退化和地表裸露情况。</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1.发现地被植物生长不良，观赏效果差扣1分；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2.发现未及时清除杂草，出现外来入侵植物的扣1分；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3.发现退化和地表裸露，未能及时更新补植的扣1分。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花卉(15分)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1.花卉植株生长健壮，花色艳丽，株行距适宜，不露底土，覆盖面达90%以上。</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2.木本花卉及时整枝、整形，花卉适时开花，花多色艳。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3.宿根花卉要及时更新，易倒伏的花卉要立柱绑扎；做到三季有花，花期整齐，图案美观，布置效果良好。</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4.按时间节点进行花卉布置，要求图案优美，同种花卉花期一致，层次分明，高矮有序。死株、缺株及长势弱的花卉要及时更换。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5.花卉无缺株倒伏，无枯枝残花，无杂草，无病虫害。</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1.发现缺株倒伏、枯枝残花较严重扣1分；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2.花卉生长不健壮扣1分。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3.覆盖率低于90%的扣1分；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4.有明显病虫害的扣1分；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5.花卉布置与景观不协调或花卉布置形式不合理、造型欠整齐美观的扣1分；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6.有残花败叶或缺株倒伏、枯枝残花现象的扣1分。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9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水生植物及水体(10分)</w:t>
            </w:r>
          </w:p>
        </w:tc>
        <w:tc>
          <w:tcPr>
            <w:tcW w:w="3009"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1.水生植物植株健壮，花、叶色泽艳丽，无残花败叶。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2.水体清洁，水质好，无异味。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3.水面无漂浮物，全日候保持水面清洁。</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4.无水体植物疯长现象，一旦发现，及时打捞治理。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1.水生植物有残花败叶或倒伏、枯枝残花等现象的扣1分。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2.水体浑浊、水质差、有异味扣1分；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3.水面漂浮物、水中杂物垃圾没及时打捞扣1分。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4.水体中有野生水体植物未及时治理的扣1分</w:t>
            </w:r>
          </w:p>
        </w:tc>
        <w:tc>
          <w:tcPr>
            <w:tcW w:w="946"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作业管理(10分)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1.日常养护人员按照绿化面积配备，人均大约10000-12000平米。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2.树下、绿地内无各类物料堆放、倾倒污水及其它污物。</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3.园林生产垃圾日产日清，不过夜、不焚烧。</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4.各类浇水管及其它养护工具及时归整，无乱堆乱放，浇灌系统无跑冒滴漏。</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5.防火期内，及时清理林下及绿地可燃物，道路两侧及绿地定期洒水保湿，安排专人定点定位24小时不间断进行防火巡查，并留存巡查记录。</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1.未按要求配备日常养护人员扣1分。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2.园林生产垃圾过夜扣1分；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3.焚烧园林生产垃圾扣1分；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4.园内乱堆杂物扣1 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5.绿化工具乱堆乱放且无人看管扣1分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6.发现跑冒滴漏现象的，没一处扣1分。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7 防火期内未及时清除林下、绿地可燃物扣3分；防火巡查人员脱岗扣3分；无巡查记录扣3分。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其他</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（10分）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重大活动或其他临时突击增加的任务完成情况。(10分)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重大活动保障或临时突击任务，能按要求及时完成。</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1.能及时完成上级布置的养护任务或其它临时突击增加的任务完成及时受到表扬的，每次加3分。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2.对上级布置的养护任务或其他临时突击增加的任务态度消极、推诿，不配合或者未及时完成，造成不良后果的，每次扣3分。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 任务派遣单未在规定时间内办结的，每发生一次扣3分。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2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9</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组织领导（扣分项）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各项安全管理制度健全，按照“谁主管，谁负责”的原则，开展责任范围内的安全隐患排查，及时消除安全隐患并留存记录。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1.各项管理制度不健全的扣3分。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2.现场项目负责人没有按规定定期参加绿化养护管理考核检查，每少一次扣3分；没有按规定亲自参加有关安全工作会议的，每少一次扣1分；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3.未按时开展安全隐患检查、排查，安全隐患未及时整改，无记录留存扣3分。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50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安全管理（扣分项）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1.严格遵守中心安全生产相关规定，依规进行相关作业审批工作，安全措施得当，文明作业。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2.绿化施工作业时，按要求备案并设置警示标志，人员应穿戴符合要求的警示服饰。</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3.进行病虫害防治作业时，应避开人流高峰，打药时得站在上风口。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1.在安全生产责任事故中，发生重伤事故的扣20分，发生轻伤事故扣5分，发生轻伤事故2人以上扣20分；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2.发现的隐患或不安全因素没有及时整改或未采取防范措施的，每次扣3分；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3.季度内发生投诉，且经核实确属绿化养护人员责任的，每发生一次扣3分；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4.绿化工人着装袒胸露背不文明整洁、使用不文明用语，造成不良影响的扣2分。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5.吊装、高空等特种作业没按要求报备扣5分，安全措施不规范扣3分。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消防安全（扣分项）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1.严格执行中心消防安全管理规定，库房及重点区域按要求配备灭火器材，分布合理。消防器材登记造册，专人管理，定期检查。</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2.建立安全用电、用油管理制度，保证使用电、油安全，无因违章用电、油引起的事故发生。</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1.库房及重点区域未按要求配备灭火器材，无专人管理，未定期检查的扣3分。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2.发生违章用电、用油现象的扣3分。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物资安全（扣分项）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1.严格病虫害防治农药使用管理工作，园内禁设农药库房，农药使用设专人管理，登记备案，并留存使用记录。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 严格房屋安全管理，设专人管理，不存放易燃易爆物品。</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1.农药使用无专人管理，无登记备案和使用记录的扣3分。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2.检查中发现房屋存放易燃易爆品或其它违禁品扣3分。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72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合计扣分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66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最终得分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8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绿化部考核检查组签字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Theme="minorEastAsia" w:hAnsiTheme="minorEastAsia" w:eastAsiaTheme="minorEastAsia" w:cstheme="minorEastAsia"/>
                <w:color w:val="auto"/>
                <w:sz w:val="24"/>
                <w:highlight w:val="none"/>
              </w:rPr>
            </w:pPr>
          </w:p>
        </w:tc>
      </w:tr>
      <w:tr>
        <w:tblPrEx>
          <w:tblCellMar>
            <w:top w:w="0" w:type="dxa"/>
            <w:left w:w="108" w:type="dxa"/>
            <w:bottom w:w="0" w:type="dxa"/>
            <w:right w:w="108" w:type="dxa"/>
          </w:tblCellMar>
        </w:tblPrEx>
        <w:trPr>
          <w:trHeight w:val="9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被检查单位负责人签字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heme="minorEastAsia" w:hAnsiTheme="minorEastAsia" w:eastAsiaTheme="minorEastAsia" w:cstheme="minorEastAsia"/>
                <w:b/>
                <w:bCs/>
                <w:color w:val="auto"/>
                <w:sz w:val="24"/>
                <w:highlight w:val="none"/>
              </w:rPr>
            </w:pPr>
          </w:p>
        </w:tc>
      </w:tr>
    </w:tbl>
    <w:p>
      <w:pPr>
        <w:spacing w:line="560" w:lineRule="exact"/>
        <w:rPr>
          <w:rFonts w:asciiTheme="minorEastAsia" w:hAnsiTheme="minorEastAsia" w:eastAsiaTheme="minorEastAsia" w:cstheme="minorEastAsia"/>
          <w:color w:val="auto"/>
          <w:sz w:val="32"/>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pStyle w:val="2"/>
        <w:ind w:firstLine="0"/>
        <w:rPr>
          <w:rFonts w:asciiTheme="minorEastAsia" w:hAnsiTheme="minorEastAsia" w:eastAsiaTheme="minorEastAsia" w:cstheme="minorEastAsia"/>
          <w:color w:val="auto"/>
          <w:sz w:val="32"/>
          <w:szCs w:val="32"/>
          <w:highlight w:val="none"/>
          <w:lang w:bidi="ar"/>
        </w:rPr>
      </w:pPr>
    </w:p>
    <w:p>
      <w:pPr>
        <w:pStyle w:val="2"/>
      </w:pPr>
    </w:p>
    <w:p>
      <w:pPr>
        <w:pStyle w:val="2"/>
      </w:pPr>
    </w:p>
    <w:p>
      <w:pPr>
        <w:pStyle w:val="2"/>
      </w:pPr>
    </w:p>
    <w:p>
      <w:pPr>
        <w:pStyle w:val="2"/>
      </w:pPr>
    </w:p>
    <w:p>
      <w:pPr>
        <w:pStyle w:val="2"/>
      </w:pPr>
    </w:p>
    <w:p>
      <w:pPr>
        <w:pStyle w:val="2"/>
      </w:pPr>
    </w:p>
    <w:p>
      <w:pPr>
        <w:pStyle w:val="2"/>
      </w:pPr>
    </w:p>
    <w:p>
      <w:pPr>
        <w:pStyle w:val="2"/>
        <w:jc w:val="center"/>
        <w:rPr>
          <w:rFonts w:hint="default" w:asciiTheme="minorEastAsia" w:hAnsiTheme="minorEastAsia" w:eastAsiaTheme="minorEastAsia"/>
          <w:b/>
          <w:bCs/>
          <w:kern w:val="24"/>
          <w:szCs w:val="21"/>
          <w:lang w:val="en-US" w:eastAsia="zh-CN"/>
        </w:rPr>
      </w:pPr>
      <w:r>
        <w:rPr>
          <w:rFonts w:hint="eastAsia" w:asciiTheme="minorEastAsia" w:hAnsiTheme="minorEastAsia"/>
          <w:b/>
          <w:bCs/>
          <w:kern w:val="24"/>
          <w:szCs w:val="21"/>
          <w:lang w:val="en-US" w:eastAsia="zh-CN"/>
        </w:rPr>
        <w:t>03包</w:t>
      </w:r>
    </w:p>
    <w:p>
      <w:pPr>
        <w:spacing w:line="560" w:lineRule="exact"/>
        <w:ind w:firstLine="4960" w:firstLineChars="1550"/>
        <w:rPr>
          <w:color w:val="auto"/>
          <w:highlight w:val="none"/>
        </w:rPr>
      </w:pPr>
      <w:r>
        <w:rPr>
          <w:rFonts w:hint="eastAsia" w:ascii="仿宋_GB2312" w:eastAsia="仿宋_GB2312"/>
          <w:color w:val="auto"/>
          <w:sz w:val="32"/>
          <w:szCs w:val="32"/>
          <w:highlight w:val="none"/>
        </w:rPr>
        <w:t>合同编号：</w:t>
      </w:r>
      <w:r>
        <w:rPr>
          <w:rFonts w:hint="eastAsia" w:ascii="仿宋_GB2312" w:eastAsia="仿宋_GB2312"/>
          <w:color w:val="auto"/>
          <w:sz w:val="32"/>
          <w:szCs w:val="32"/>
          <w:highlight w:val="none"/>
          <w:u w:val="single"/>
        </w:rPr>
        <w:t xml:space="preserve">           </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北京园博园管理中心</w:t>
      </w: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2024年北京园博园绿地养护项目</w:t>
      </w:r>
    </w:p>
    <w:p>
      <w:pPr>
        <w:spacing w:line="560" w:lineRule="exact"/>
        <w:jc w:val="center"/>
        <w:rPr>
          <w:color w:val="auto"/>
          <w:highlight w:val="none"/>
        </w:rPr>
      </w:pPr>
      <w:r>
        <w:rPr>
          <w:rFonts w:hint="eastAsia" w:ascii="华文中宋" w:hAnsi="华文中宋" w:eastAsia="华文中宋"/>
          <w:b/>
          <w:color w:val="auto"/>
          <w:sz w:val="44"/>
          <w:szCs w:val="44"/>
          <w:highlight w:val="none"/>
        </w:rPr>
        <w:t>（公共展园区域绿地养护项目）合同</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14:shadow w14:blurRad="50800" w14:dist="50800" w14:dir="5400000" w14:sx="1000" w14:sy="1000" w14:kx="0" w14:ky="0" w14:algn="ctr">
            <w14:srgbClr w14:val="000000">
              <w14:alpha w14:val="80000"/>
            </w14:srgbClr>
          </w14:shadow>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rFonts w:ascii="仿宋_GB2312" w:eastAsia="仿宋_GB2312"/>
          <w:color w:val="auto"/>
          <w:sz w:val="32"/>
          <w:szCs w:val="32"/>
          <w:highlight w:val="none"/>
        </w:rPr>
      </w:pPr>
      <w:r>
        <w:rPr>
          <w:rFonts w:hint="eastAsia" w:ascii="仿宋_GB2312" w:eastAsia="仿宋_GB2312"/>
          <w:color w:val="auto"/>
          <w:sz w:val="32"/>
          <w:szCs w:val="32"/>
          <w:highlight w:val="none"/>
        </w:rPr>
        <w:t>甲    方：</w:t>
      </w:r>
      <w:r>
        <w:rPr>
          <w:rFonts w:hint="eastAsia" w:ascii="仿宋_GB2312" w:eastAsia="仿宋_GB2312"/>
          <w:color w:val="auto"/>
          <w:sz w:val="32"/>
          <w:szCs w:val="32"/>
          <w:highlight w:val="none"/>
          <w:u w:val="single"/>
        </w:rPr>
        <w:t xml:space="preserve">    北京园博园管理中心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乙    方：</w:t>
      </w:r>
      <w:r>
        <w:rPr>
          <w:rFonts w:hint="eastAsia" w:ascii="仿宋_GB2312" w:eastAsia="仿宋_GB2312"/>
          <w:color w:val="auto"/>
          <w:sz w:val="32"/>
          <w:szCs w:val="32"/>
          <w:highlight w:val="none"/>
          <w:u w:val="single"/>
        </w:rPr>
        <w:t xml:space="preserve">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签订地点：</w:t>
      </w:r>
      <w:r>
        <w:rPr>
          <w:rFonts w:hint="eastAsia" w:ascii="仿宋_GB2312" w:eastAsia="仿宋_GB2312"/>
          <w:color w:val="auto"/>
          <w:sz w:val="32"/>
          <w:szCs w:val="32"/>
          <w:highlight w:val="none"/>
          <w:u w:val="single"/>
        </w:rPr>
        <w:t xml:space="preserve">    北京市丰台区园博园      </w:t>
      </w:r>
    </w:p>
    <w:p>
      <w:pPr>
        <w:spacing w:line="560" w:lineRule="exact"/>
        <w:rPr>
          <w:rFonts w:ascii="仿宋_GB2312" w:eastAsia="仿宋_GB2312"/>
          <w:color w:val="auto"/>
          <w:sz w:val="32"/>
          <w:szCs w:val="32"/>
          <w:highlight w:val="none"/>
        </w:rPr>
        <w:sectPr>
          <w:headerReference r:id="rId10" w:type="default"/>
          <w:pgSz w:w="11906" w:h="16838"/>
          <w:pgMar w:top="1440" w:right="1800" w:bottom="1440" w:left="1800" w:header="851" w:footer="992" w:gutter="0"/>
          <w:cols w:space="425" w:num="1"/>
          <w:docGrid w:type="lines" w:linePitch="312" w:charSpace="0"/>
        </w:sectPr>
      </w:pPr>
      <w:r>
        <w:rPr>
          <w:rFonts w:hint="eastAsia" w:ascii="仿宋_GB2312" w:eastAsia="仿宋_GB2312"/>
          <w:color w:val="auto"/>
          <w:sz w:val="32"/>
          <w:szCs w:val="32"/>
          <w:highlight w:val="none"/>
        </w:rPr>
        <w:t>签订日期：</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u w:val="single"/>
        </w:rPr>
        <w:t xml:space="preserve">       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 </w:t>
      </w:r>
      <w:r>
        <w:rPr>
          <w:rFonts w:hint="eastAsia" w:asciiTheme="minorEastAsia" w:hAnsiTheme="minorEastAsia" w:eastAsiaTheme="minorEastAsia" w:cstheme="minorEastAsia"/>
          <w:color w:val="auto"/>
          <w:sz w:val="24"/>
          <w:highlight w:val="none"/>
          <w:u w:val="single"/>
        </w:rPr>
        <w:t xml:space="preserve">   北京园博园管理中心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明确甲乙双方的权利和义务，依照《中华人民共和国民法典》《城市绿化条例》及城市园林绿化管理养护标准等相关规定，遵循平等、自愿、公平、诚实信用的原则，双方就甲方委托乙方进行绿地养护及管理事宜，经协商签订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1.绿化养护范围及内容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1.1项目名称：</w:t>
      </w:r>
      <w:r>
        <w:rPr>
          <w:rFonts w:hint="eastAsia" w:asciiTheme="minorEastAsia" w:hAnsiTheme="minorEastAsia" w:eastAsiaTheme="minorEastAsia" w:cstheme="minorEastAsia"/>
          <w:color w:val="auto"/>
          <w:sz w:val="24"/>
          <w:highlight w:val="none"/>
          <w:u w:val="single"/>
        </w:rPr>
        <w:t xml:space="preserve">  2024年北京园博园绿地养护项目（公共展园区域绿地养护项目）</w:t>
      </w:r>
      <w:r>
        <w:rPr>
          <w:rFonts w:hint="eastAsia" w:asciiTheme="minorEastAsia" w:hAnsiTheme="minorEastAsia" w:eastAsiaTheme="minorEastAsia" w:cstheme="minorEastAsia"/>
          <w:color w:val="auto"/>
          <w:sz w:val="24"/>
          <w:highlight w:val="none"/>
        </w:rPr>
        <w:t xml:space="preserve">        </w:t>
      </w:r>
    </w:p>
    <w:p>
      <w:pPr>
        <w:spacing w:line="360" w:lineRule="auto"/>
        <w:ind w:firstLine="480" w:firstLineChars="2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1.2养护范围：</w:t>
      </w:r>
      <w:r>
        <w:rPr>
          <w:rFonts w:hint="eastAsia" w:asciiTheme="minorEastAsia" w:hAnsiTheme="minorEastAsia" w:eastAsiaTheme="minorEastAsia" w:cstheme="minorEastAsia"/>
          <w:color w:val="auto"/>
          <w:sz w:val="24"/>
          <w:highlight w:val="none"/>
          <w:u w:val="single"/>
        </w:rPr>
        <w:t xml:space="preserve">  北京园博园公共展园区域绿地</w:t>
      </w:r>
    </w:p>
    <w:p>
      <w:pPr>
        <w:spacing w:line="360" w:lineRule="auto"/>
        <w:ind w:left="240" w:leftChars="100" w:firstLine="240" w:firstLineChars="1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1.3养护总面积：</w:t>
      </w:r>
      <w:r>
        <w:rPr>
          <w:rFonts w:hint="eastAsia" w:asciiTheme="minorEastAsia" w:hAnsiTheme="minorEastAsia" w:eastAsiaTheme="minorEastAsia" w:cstheme="minorEastAsia"/>
          <w:color w:val="auto"/>
          <w:sz w:val="24"/>
          <w:highlight w:val="none"/>
          <w:u w:val="single"/>
        </w:rPr>
        <w:t xml:space="preserve"> 944166平方米，其中特级绿地：944166平方米。</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1.4养护期限：</w:t>
      </w:r>
      <w:r>
        <w:rPr>
          <w:rFonts w:hint="eastAsia" w:asciiTheme="minorEastAsia" w:hAnsiTheme="minorEastAsia" w:eastAsiaTheme="minorEastAsia" w:cstheme="minorEastAsia"/>
          <w:color w:val="auto"/>
          <w:sz w:val="24"/>
          <w:highlight w:val="none"/>
          <w:u w:val="single"/>
        </w:rPr>
        <w:t xml:space="preserve">  自合同签订之日起至2024年12月31日  </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1.5承包方式：整体承包。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1.6养护标准：《中华人民共和国城市绿化条例》、《北京市绿化条例》、《北京市公园分类分级管理办法》（京绿办发〔2022〕148号）、《城镇绿地养护技术规范》（DB11T 213-2022）、《北京园博园管理中心绿化养护精细化管理考核办法》。</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1.7绿地养护工作及工作量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1.7.1养护工作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1.7.1.1常态化养护工作:浇水、施肥、病虫防治、修剪、中耕除草 、打孔疏草、园林生产垃圾收集运输、绿地管理巡视、展园安全隐患巡视、护林防火巡视、计划总结管理。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1.7.1.2依据实际发生的养护工作：补植、支撑、防盐、防涝、防寒、防风</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种植调整、园内园林科普标识的设计与制作、展园内道路铺装维护工作、喷灌支管线的维修工作、展园景观维护工作、绿化相关防汛工作、配合园博园工程收尾及盘点工作、配合园区重大活动保障工作、按照采购人标准统一工作人员服装</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、根据采购人要求开展特养特护工作、其他采购人安排的临时任务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1.7.2养护工作量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1.7.2.1常态化养护工作量: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drawing>
          <wp:anchor distT="0" distB="0" distL="114300" distR="114300" simplePos="0" relativeHeight="251663360" behindDoc="0" locked="0" layoutInCell="1" allowOverlap="1">
            <wp:simplePos x="0" y="0"/>
            <wp:positionH relativeFrom="column">
              <wp:posOffset>-17145</wp:posOffset>
            </wp:positionH>
            <wp:positionV relativeFrom="paragraph">
              <wp:posOffset>67945</wp:posOffset>
            </wp:positionV>
            <wp:extent cx="5304155" cy="3106420"/>
            <wp:effectExtent l="0" t="0" r="4445" b="5080"/>
            <wp:wrapTopAndBottom/>
            <wp:docPr id="8" name="图片 2" descr="京办_2024022016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京办_20240220162502"/>
                    <pic:cNvPicPr>
                      <a:picLocks noChangeAspect="1"/>
                    </pic:cNvPicPr>
                  </pic:nvPicPr>
                  <pic:blipFill>
                    <a:blip r:embed="rId13"/>
                    <a:stretch>
                      <a:fillRect/>
                    </a:stretch>
                  </pic:blipFill>
                  <pic:spPr>
                    <a:xfrm>
                      <a:off x="0" y="0"/>
                      <a:ext cx="5304155" cy="310642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4"/>
          <w:highlight w:val="none"/>
        </w:rPr>
        <w:t>1.7.2.2依据实际发生的养护工作量:补植，当林木死亡时据实发生。支撑，因补植或防风等需要时据实发生。防盐，因防盐需要时据实发生。防涝，当绿地发生洪涝时据实发生。防寒，因防寒需要时据实发生。防风，因防风需要时据实发生。种植调整，因甲方需要时进行调整，全年不超过150株。园内园林科普标识的设计与制作，当甲方需要设计与制作时，全年不超过1000个标识。展园内道路铺装维护工作，</w:t>
      </w:r>
      <w:r>
        <w:rPr>
          <w:rFonts w:hint="eastAsia" w:asciiTheme="minorEastAsia" w:hAnsiTheme="minorEastAsia" w:eastAsiaTheme="minorEastAsia" w:cstheme="minorEastAsia"/>
          <w:color w:val="auto"/>
          <w:sz w:val="24"/>
          <w:highlight w:val="none"/>
          <w:lang w:val="en-US" w:eastAsia="zh-CN"/>
        </w:rPr>
        <w:t>49</w:t>
      </w:r>
      <w:r>
        <w:rPr>
          <w:rFonts w:hint="eastAsia" w:asciiTheme="minorEastAsia" w:hAnsiTheme="minorEastAsia" w:eastAsiaTheme="minorEastAsia" w:cstheme="minorEastAsia"/>
          <w:color w:val="auto"/>
          <w:sz w:val="24"/>
          <w:highlight w:val="none"/>
        </w:rPr>
        <w:t>个展园内道路铺装发生损坏时，一周内完成维修（周最低平均气温低于0度时除外）。喷灌支管线维修工作，当喷灌支管线发生损坏时，一周内完成维修（周最低平均气温低于0度时除外）。展园景观维护工作，当展园景观需要维护时，乙方按照甲方的要求据实发生。绿化相关防汛工作，汛期按甲方要求组建防汛抢险队伍，据实际情况开展防汛工作。配合园博园工程收尾及盘点工作。配合园区重大活动保障工作。按照采购人标准统一工作人员服装。根据采购人要求开展特养特护工作。其他采购人安排的临时任务。以上养护工作所需全部生产工具及耗材全部由中标人自行负责与承担费用。在用水高峰期如以上养护工作使用园区两口自备井（编号分别为952、629号）保障供水，产生的水费依据水务部门的要求和定价按照乙方养护面积分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2.绿化养护费用及付款方式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2.1合同价款：</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本合同绿地养护费用共计：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元（大写人民币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，含税）</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本项目财政批复的服务期限为2024年1月1日至2024年12月31日，乙方须按照服务期一年进行报价。乙方实际服务期限为合同签订之日起至2024年12月31日。鉴于实际情况，为保证北京园博园的正常运转和绿化养护服务的连续性，自2024年1月1日至乙方正式交接前，过渡期内继续由2023年绿化养护服务外包项目的服务供应商提供绿化养护服务。如过渡期服务供应商未确定为绿化养护服务外包项目2024年中标单位，由中标单位支付过渡期服务供应商过渡期的费用。费用根据绿化养护服务外包项目2024年中标金额，结合过渡期服务供应商实际服务天数进行结算，中标单位正式接管2024年绿化养护服务外包项目15个工作日内支付到过渡期服务供应商账户。</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2.3付款方式：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2.3.1合同生效后，</w:t>
      </w:r>
      <w:r>
        <w:rPr>
          <w:rFonts w:hint="eastAsia" w:asciiTheme="minorEastAsia" w:hAnsiTheme="minorEastAsia" w:eastAsiaTheme="minorEastAsia" w:cstheme="minorEastAsia"/>
          <w:color w:val="auto"/>
          <w:sz w:val="24"/>
          <w:highlight w:val="none"/>
          <w:u w:val="single"/>
        </w:rPr>
        <w:t xml:space="preserve"> </w:t>
      </w:r>
      <w:r>
        <w:rPr>
          <w:rFonts w:hint="eastAsia" w:hAnsiTheme="minorEastAsia" w:cstheme="minorEastAsia"/>
          <w:color w:val="auto"/>
          <w:sz w:val="24"/>
          <w:highlight w:val="none"/>
          <w:u w:val="single"/>
          <w:lang w:eastAsia="zh-CN"/>
        </w:rPr>
        <w:t>2024 年 4 月 15 日</w:t>
      </w:r>
      <w:r>
        <w:rPr>
          <w:rFonts w:hint="eastAsia" w:asciiTheme="minorEastAsia" w:hAnsiTheme="minorEastAsia" w:eastAsiaTheme="minorEastAsia" w:cstheme="minorEastAsia"/>
          <w:color w:val="auto"/>
          <w:sz w:val="24"/>
          <w:highlight w:val="none"/>
        </w:rPr>
        <w:t>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6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元（合同金额的40%）；</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9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 </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元（合同金额的15%）；</w:t>
      </w:r>
      <w:r>
        <w:rPr>
          <w:rFonts w:hint="eastAsia" w:asciiTheme="minorEastAsia" w:hAnsiTheme="minorEastAsia" w:eastAsiaTheme="minorEastAsia" w:cstheme="minorEastAsia"/>
          <w:color w:val="auto"/>
          <w:sz w:val="24"/>
          <w:highlight w:val="none"/>
          <w:u w:val="single"/>
        </w:rPr>
        <w:t xml:space="preserve"> 2024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11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30</w:t>
      </w:r>
      <w:r>
        <w:rPr>
          <w:rFonts w:hint="eastAsia" w:asciiTheme="minorEastAsia" w:hAnsiTheme="minorEastAsia" w:eastAsiaTheme="minorEastAsia" w:cstheme="minorEastAsia"/>
          <w:color w:val="auto"/>
          <w:sz w:val="24"/>
          <w:highlight w:val="none"/>
        </w:rPr>
        <w:t>日前支付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元（合同金额的5%）。</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2.3.2支付条件为经甲方考核，乙方季度考核平均分达标及以上。</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2.3.3甲方每次付款前，乙方应提供等额正规发票，否则甲方有权暂不付款且不构成违约。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3.1收取：自本合同签订之日起1个月内，乙方应向甲方一次性缴纳</w:t>
      </w:r>
      <w:r>
        <w:rPr>
          <w:rFonts w:hint="eastAsia" w:asciiTheme="minorEastAsia" w:hAnsiTheme="minorEastAsia" w:eastAsiaTheme="minorEastAsia" w:cstheme="minorEastAsia"/>
          <w:color w:val="auto"/>
          <w:sz w:val="24"/>
          <w:highlight w:val="none"/>
          <w:u w:val="single" w:color="FF0000"/>
        </w:rPr>
        <w:t xml:space="preserve">    </w:t>
      </w:r>
      <w:r>
        <w:rPr>
          <w:rFonts w:hint="eastAsia" w:asciiTheme="minorEastAsia" w:hAnsiTheme="minorEastAsia" w:eastAsiaTheme="minorEastAsia" w:cstheme="minorEastAsia"/>
          <w:color w:val="auto"/>
          <w:sz w:val="24"/>
          <w:highlight w:val="none"/>
        </w:rPr>
        <w:t>万元履约保证金，作为按约定的服务期限、内容和标准履行本合同的担保。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3.2返还：合同履约完成后5个月内，依据合同履约情况，在甲方依据本协议扣除相关违约金（如有）、损害赔偿金（如有）等费用后一次性无息返还全部或剩余履约保证金。</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4.服务考核</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北京园博园是4A级景区，是西山永定河文化带精华区的重要组成部分，乙方所提供服务及日常管理需符合A级景区标准，全力配合园博园争创5A，要求如下：</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4.1提供的服务及管理必须符合《旅游景区质量等级的划分与评定》国家标准对4A级景区的各项要求，按照5A级景区标准提高各项工作标准，全力配合园博园创建5A级景区。</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4.2提供的服务和从业人员的行为及作业应达到安全生产标准化（二级）相应的标准。</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4.3遵守园博园各项管理规定，高标准、无条件全力配合园博园内开展的各类大型活动。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4.4按照《北京园博园管理中心绿化养护精细化管理考核办法》，甲方有权对合同服务内容进行考核，每季度组织三次考核。季度考核平均分值85分（含）以上为达标，85分以下为不达标。</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5.甲方的权利和义务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5.1甲方负责绿化养护的联系人：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甲方有权全面监督、指导、检查、验收乙方工作，发现问题及时通知乙方，要求乙方在指定时间内处理完毕。甲方有权对乙方提出的合理建议和要求予以采纳或提供必要帮助。甲方依据本协议约定的作业内容、标准，检查监督乙方的养护质量和服务水平，实行百分检查验收制度。</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5.3如遇绿化特殊工作需求时（如外来人员参观视察、检查，或特殊天气等情况），甲方有权提前通知乙方安排人员进行相关养护或恢复等工作。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5.4协助乙方维持养护作业秩序，尽可能提供方便。</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5.5监督检查、验收绿地养护管理质量。</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5.6按合同约定向乙方支付养护费。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5.7乙方养护前，需提供给乙方完善的养护清单，以便后期养护发生植株减少或损毁的认定。养护期限届满，甲方有权按照养护清单对乙方养护内容进行检查、验收。如甲方发现植株减少或损毁的情况，甲方有权要求乙方限期补植或修复并承担相应的费用，如乙方未能在甲方要求期限内补植或修复的，甲方有权按照相似植株的市场价值要求乙方进行赔偿，甲方有权从履约保证金中扣除乙方应承担的赔偿金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5.8因不可抗力(台风、洪水、地震、冰雹等)造成养护植物死亡的不属于乙方负责范围，乙方应当向甲方提供构成不可抗力情形的证明文件。在此情形下，需要乙方进行修复时，甲方有权根据实际工程量支付乙方相应费用。但在雨季、多风季节，乙方必须按照甲方要求先行采取用支架对树木进行必要防护等措施，材料应当用木或钢管，未提前采取必要防护措施造成养护植物减少、损毁或死亡的，甲方有权要求乙方限期补植或修复并承担相应的费用。乙方未在要求期限内补植或修复的，甲方有权自行或委托第三方补植或修复，相应的费用甲方有权从履约保证金中予以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6.乙方的权利和义务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6.1乙方负责绿化养护的代表人：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6.2乙方派驻的所有工作人员应当遵守甲方制定的各项规章制度，服从甲方管理，爱护甲方及园内财物，维护甲方良好形象。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6.3乙方派驻的所有工作人员，必须按甲方的有关规定办理相关手续，工作时间内所有乙方绿化养护人员必须依据甲方要求统一着装、佩带工作证。</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6.4乙方必须根据本协议约定的相关操作规程、技术规定和标准进行养护并接受甲方监督。</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乙方负责安全生产，确保全年不出安全责任事故。乙方工作人员必须严格执行安全操作规程，加强安全防护，妥善保管和使用农药、汽油等，由于乙方的养护人员操作不规范等因素造成的安全责任事故，由乙方承担一切责任及损失。甲方有权根据事故的严重情况保留单方解除本合同的权利，对事故给甲方造成的损失，甲方有权从履约保证金中扣除。</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6.6乙方应当文明作业，及时清理养护现场，做到工完场清。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6.7乙方有权依据合同约定，按期向甲方申请款项。</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6.8乙方在进行养护前，应自甲方提供养护清单之日起3日内进行清单的核实，以便后期养护发生植株减少或损毁的认定。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6.9合同期内，本合同养护项目因乙方养护不当造成的植株减少或损毁，乙方应在甲方指定时间内补植或修复并承担相应费用。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6.10因不可抗力(台风、洪水、地震等)的自然灾害造成养护植物死亡及非乙方因素造成养护植物减少、损毁或死亡的不属于乙方负责范围，乙方及时提请甲方予以认定，否则乙方应予以修复。在雨季、多风季节必须先行采取用支架对树木进行必要的防护，材料可以用木或钢管，未提前采取必要防护措施造成养护植物减少、损毁或死亡的，修复费用由乙方承担)。</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6.11关于法定节假日或重要活动，乙方应当按照甲方的具体要求(如品种、方位、数量等)增设的花坛花卉以增强节假日的气氛，相关费用双方另行协商确定。</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各类因苗木养护作业所产生的园林生产垃圾(泥土、枯枝、草坪等)均由乙方负责清理，甲方不再另行支付费用。</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乙方必须无条件配合甲方防汛抢险、护林防火、重要活动等相关保障工作。</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乙方负责对养护范围内城市展园的管理工作，对展园开展内的建筑、土建、设备、铺装及其他安全隐患进行巡视检查，发现问题及时上报。</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7.违约责任</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乙方养护达不到合同约定的养护标准或操作规程不规范，甲方可发出书面整改通知书或口头通知。乙方自收到通知之日起5天内未予整改的，甲方每次可扣除履约保证金10%的费用。自收到通知之日起20天内未整改的，甲方有权单方解除合同。</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7.2在养护期限内，乙方一年内出现2次重大责任事故或3次一般责任事故的，甲方有权单方解除合同，产生的损失由乙方承担，甲方有权从履约保证金中扣除乙方应承担的赔偿额。</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重大责任事故：安全生产事故；被新闻单位曝光，经查属实，影响重大的；各种重大政治活动及上级部门检查中，出现问题，造成严重后果的；未经采购方批准擅自停止绿地管理作业造成严重影响的；在有重大政治活动或紧急任务的情况下，没有按要求及时完成指令性工作任务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般责任事故：人大代表、政协委员、上级领导及群众反映业务管理及服务质量有问题，经查属实，造成一定影响的；各种重大政治活动或上级部门检查中出现问题，造成不良影响的；未能及时按质按量完成采购方布置的各项临时任务的；对各种检查和群众反映的问题，在规定的期限内未能及时解决的；造成一定影响的。</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7.3乙方营业执照年检不合格，甲方有权单方解除合同。</w:t>
      </w:r>
    </w:p>
    <w:p>
      <w:pPr>
        <w:autoSpaceDE w:val="0"/>
        <w:autoSpaceDN w:val="0"/>
        <w:spacing w:line="360" w:lineRule="auto"/>
        <w:ind w:firstLine="480" w:firstLineChars="20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w:t>
      </w:r>
      <w:r>
        <w:rPr>
          <w:rFonts w:hint="eastAsia" w:asciiTheme="minorEastAsia" w:hAnsiTheme="minorEastAsia" w:eastAsiaTheme="minorEastAsia" w:cstheme="minorEastAsia"/>
          <w:bCs/>
          <w:color w:val="auto"/>
          <w:sz w:val="24"/>
          <w:highlight w:val="none"/>
          <w:lang w:val="zh-CN"/>
        </w:rPr>
        <w:t>争议解决方式</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8.1</w:t>
      </w:r>
      <w:r>
        <w:rPr>
          <w:rFonts w:hint="eastAsia" w:asciiTheme="minorEastAsia" w:hAnsiTheme="minorEastAsia" w:eastAsiaTheme="minorEastAsia" w:cstheme="minorEastAsia"/>
          <w:bCs/>
          <w:color w:val="auto"/>
          <w:sz w:val="24"/>
          <w:highlight w:val="none"/>
          <w:lang w:val="zh-CN"/>
        </w:rPr>
        <w:t>本合同在履行过程中发生的争议由双方当事人协商解决，协商不成的，依法向</w:t>
      </w:r>
      <w:r>
        <w:rPr>
          <w:rFonts w:hint="eastAsia" w:asciiTheme="minorEastAsia" w:hAnsiTheme="minorEastAsia" w:eastAsiaTheme="minorEastAsia" w:cstheme="minorEastAsia"/>
          <w:bCs/>
          <w:color w:val="auto"/>
          <w:sz w:val="24"/>
          <w:highlight w:val="none"/>
          <w:u w:val="single"/>
          <w:lang w:val="zh-CN"/>
        </w:rPr>
        <w:t>丰台区</w:t>
      </w:r>
      <w:r>
        <w:rPr>
          <w:rFonts w:hint="eastAsia" w:asciiTheme="minorEastAsia" w:hAnsiTheme="minorEastAsia" w:eastAsiaTheme="minorEastAsia" w:cstheme="minorEastAsia"/>
          <w:bCs/>
          <w:color w:val="auto"/>
          <w:sz w:val="24"/>
          <w:highlight w:val="none"/>
          <w:lang w:val="zh-CN"/>
        </w:rPr>
        <w:t>人民法院起诉。</w:t>
      </w: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p>
    <w:p>
      <w:pPr>
        <w:autoSpaceDE w:val="0"/>
        <w:autoSpaceDN w:val="0"/>
        <w:spacing w:line="360" w:lineRule="auto"/>
        <w:ind w:firstLine="420"/>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rPr>
        <w:t>8.2</w:t>
      </w:r>
      <w:r>
        <w:rPr>
          <w:rFonts w:hint="eastAsia" w:asciiTheme="minorEastAsia" w:hAnsiTheme="minorEastAsia" w:eastAsiaTheme="minorEastAsia" w:cstheme="minorEastAsia"/>
          <w:bCs/>
          <w:color w:val="auto"/>
          <w:sz w:val="24"/>
          <w:highlight w:val="none"/>
          <w:lang w:val="zh-CN"/>
        </w:rPr>
        <w:t>双方认可本合同约定的联系方式和地址可作为诉讼中文书的送达地址。</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9.附则</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r>
        <w:rPr>
          <w:rFonts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rPr>
        <w:t>本合同若有未尽事宜，双方应本着诚信合作的态度，友好协商解决，在本合同养护期内签订的补充协议均作为本合同的有效附件。</w:t>
      </w:r>
    </w:p>
    <w:p>
      <w:pPr>
        <w:spacing w:line="360" w:lineRule="auto"/>
        <w:ind w:firstLine="480" w:firstLineChars="20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t>9.2</w:t>
      </w:r>
      <w:r>
        <w:rPr>
          <w:rFonts w:hint="eastAsia" w:asciiTheme="minorEastAsia" w:hAnsiTheme="minorEastAsia" w:eastAsiaTheme="minorEastAsia" w:cstheme="minorEastAsia"/>
          <w:color w:val="auto"/>
          <w:sz w:val="24"/>
          <w:highlight w:val="none"/>
        </w:rPr>
        <w:t>本合同一式陆份，双方各执</w:t>
      </w:r>
      <w:r>
        <w:rPr>
          <w:rFonts w:hint="eastAsia" w:asciiTheme="minorEastAsia" w:hAnsiTheme="minorEastAsia" w:eastAsiaTheme="minorEastAsia" w:cstheme="minorEastAsia"/>
          <w:color w:val="auto"/>
          <w:sz w:val="24"/>
          <w:highlight w:val="none"/>
          <w:lang w:val="en-US" w:eastAsia="zh-CN"/>
        </w:rPr>
        <w:t>叁</w:t>
      </w:r>
      <w:r>
        <w:rPr>
          <w:rFonts w:hint="eastAsia" w:asciiTheme="minorEastAsia" w:hAnsiTheme="minorEastAsia" w:eastAsiaTheme="minorEastAsia" w:cstheme="minorEastAsia"/>
          <w:color w:val="auto"/>
          <w:sz w:val="24"/>
          <w:highlight w:val="none"/>
        </w:rPr>
        <w:t>份，经双方签字盖章后生效，具有同等法律效力。</w:t>
      </w:r>
    </w:p>
    <w:p>
      <w:pPr>
        <w:pStyle w:val="2"/>
        <w:ind w:firstLine="480" w:firstLineChars="20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9.3</w:t>
      </w:r>
      <w:r>
        <w:rPr>
          <w:rFonts w:hint="eastAsia" w:asciiTheme="minorEastAsia" w:hAnsiTheme="minorEastAsia" w:eastAsiaTheme="minorEastAsia" w:cstheme="minorEastAsia"/>
          <w:color w:val="auto"/>
          <w:szCs w:val="24"/>
          <w:highlight w:val="none"/>
        </w:rPr>
        <w:t>附件为本协议的有效组成部分，具有同等法律效力。本协议附件有：</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附件1：《安全生产协议书》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附件2：《保密责任书》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附件3：《廉政责任书》</w:t>
      </w:r>
    </w:p>
    <w:p>
      <w:pPr>
        <w:pStyle w:val="2"/>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附件4：《北京园博园管理中心绿化养护精细化管理考核办法》</w:t>
      </w:r>
    </w:p>
    <w:p>
      <w:pPr>
        <w:pStyle w:val="2"/>
        <w:ind w:firstLine="480" w:firstLineChars="200"/>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甲方（盖章）：                        乙方（盖章）：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法定代表人（签章）：                  法定代表人（签章）：</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委托代理人（签章）：                  委托代理人（签章）：</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                               地址：</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                           开户银行：             </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账号：                               账号：</w:t>
      </w:r>
    </w:p>
    <w:p>
      <w:pPr>
        <w:spacing w:line="360" w:lineRule="auto"/>
        <w:ind w:left="5827" w:leftChars="228" w:hanging="5280" w:hangingChars="2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电话:                                电话:</w:t>
      </w:r>
    </w:p>
    <w:p>
      <w:pPr>
        <w:pStyle w:val="2"/>
        <w:rPr>
          <w:rFonts w:asciiTheme="minorEastAsia" w:hAnsiTheme="minorEastAsia" w:eastAsiaTheme="minorEastAsia" w:cstheme="minorEastAsia"/>
          <w:color w:val="auto"/>
          <w:szCs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0" w:firstLineChars="200"/>
        <w:rPr>
          <w:rFonts w:asciiTheme="minorEastAsia" w:hAnsiTheme="minorEastAsia" w:eastAsiaTheme="minorEastAsia" w:cstheme="minorEastAsia"/>
          <w:color w:val="auto"/>
          <w:sz w:val="24"/>
          <w:highlight w:val="none"/>
        </w:rPr>
      </w:pPr>
    </w:p>
    <w:p>
      <w:pPr>
        <w:spacing w:line="360" w:lineRule="auto"/>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签约时间：　　　　　　　　　  　　　　签约时间：</w:t>
      </w:r>
    </w:p>
    <w:p>
      <w:pPr>
        <w:pStyle w:val="23"/>
        <w:spacing w:line="560" w:lineRule="exact"/>
        <w:ind w:firstLine="0"/>
        <w:rPr>
          <w:rFonts w:hint="eastAsia" w:asciiTheme="minorEastAsia" w:hAnsiTheme="minorEastAsia" w:eastAsiaTheme="minorEastAsia" w:cstheme="minorEastAsia"/>
          <w:color w:val="auto"/>
          <w:sz w:val="24"/>
          <w:szCs w:val="32"/>
          <w:highlight w:val="none"/>
        </w:rPr>
      </w:pPr>
    </w:p>
    <w:p>
      <w:pPr>
        <w:pStyle w:val="23"/>
        <w:spacing w:line="560" w:lineRule="exact"/>
        <w:ind w:firstLine="0"/>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本协议附件：</w:t>
      </w: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附件1：</w:t>
      </w:r>
    </w:p>
    <w:p>
      <w:pPr>
        <w:spacing w:before="120" w:after="120" w:line="560" w:lineRule="exact"/>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安全生产协议书</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甲方：北京园博园管理中心（以下简称甲方）</w:t>
      </w:r>
    </w:p>
    <w:p>
      <w:pPr>
        <w:tabs>
          <w:tab w:val="left" w:pos="2400"/>
        </w:tabs>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地址：北京市丰台区长辛店镇射击场路15号</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乙方：（以下简称乙方）</w:t>
      </w:r>
    </w:p>
    <w:p>
      <w:pPr>
        <w:spacing w:line="560" w:lineRule="exact"/>
        <w:rPr>
          <w:rFonts w:asciiTheme="minorEastAsia" w:hAnsiTheme="minorEastAsia" w:eastAsiaTheme="minorEastAsia" w:cstheme="minorEastAsia"/>
          <w:b/>
          <w:color w:val="auto"/>
          <w:sz w:val="24"/>
          <w:szCs w:val="32"/>
          <w:highlight w:val="none"/>
        </w:rPr>
      </w:pPr>
      <w:r>
        <w:rPr>
          <w:rFonts w:hint="eastAsia" w:asciiTheme="minorEastAsia" w:hAnsiTheme="minorEastAsia" w:eastAsiaTheme="minorEastAsia" w:cstheme="minorEastAsia"/>
          <w:b/>
          <w:color w:val="auto"/>
          <w:sz w:val="24"/>
          <w:szCs w:val="32"/>
          <w:highlight w:val="none"/>
        </w:rPr>
        <w:t xml:space="preserve">地址： </w:t>
      </w:r>
    </w:p>
    <w:p>
      <w:pPr>
        <w:spacing w:line="560" w:lineRule="exact"/>
        <w:ind w:left="840" w:leftChars="350"/>
        <w:rPr>
          <w:rFonts w:asciiTheme="minorEastAsia" w:hAnsiTheme="minorEastAsia" w:eastAsiaTheme="minorEastAsia" w:cstheme="minorEastAsia"/>
          <w:color w:val="auto"/>
          <w:sz w:val="32"/>
          <w:szCs w:val="32"/>
          <w:highlight w:val="none"/>
        </w:rPr>
      </w:pPr>
    </w:p>
    <w:p>
      <w:pPr>
        <w:spacing w:line="560" w:lineRule="exact"/>
        <w:ind w:firstLine="64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甲乙双方经平等友好协商一致，就乙方使用的区域（以下简称“园区”），合作期间应尽到的安全生产义务，进行如下补充约定以资共同遵守：</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1.乙方的安全生产义务如下：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遵守国家有关安全施工、生产方面的法律、法规和其他要求，以及甲方制定的规章制度和其它要求；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建立健全乙方本单位安全生产责任制并设置安全管理机构，按规定配备专兼职安全管理人员，并报甲方备案。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 负责将包括园区在内的本单位作业场所和工作岗位存在的危险因素、防范措施以及事故应急措施告知乙方本单位员工。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 雇佣的员工或住宿人员必须按照当地派出所的要求履行登记备案制度并做好治安管理工作。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1.16 应按《中华人民共和国劳动法》等法律、法规、规定用工，不使用未成年工和有职业禁忌的人员进行施工、生产作业。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2.违约责任、协议的变更及解除</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乙方违反上述任何约定，应赔偿因此给甲方带来的全部责任和损失，包括直接损失和间接损失。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出现以下任一情形的，甲方有权单方解除合同，收回园区，并有权要求乙方赔偿甲方因此遭受的所有损失：</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 乙方违反上述约定，甲方发出整改通知之日起五日内或甲方要求的整改期限内未达到整改目标的；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 乙方违反上述约定，受到行政处罚或者刑事处罚的；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2.2.3 乙方违反上述约定，导致甲方受到行政处罚或者刑事处罚的；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2.2.4 乙方违反上述约定，造成甲方经济损失达5000元以上的；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2.2.5 乙方拖欠甲方各种费用超过7天以上的；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2.2.6 乙方被吊销、注销或者停业整顿的；</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2.2.7 其他因乙方原因导致合同无法继续履行，或者造成甲方重大经济或名誉损失的情形。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 经双方协商一致可以变更或者解除本协议。</w:t>
      </w:r>
    </w:p>
    <w:p>
      <w:pPr>
        <w:spacing w:line="560" w:lineRule="exact"/>
        <w:ind w:firstLine="645"/>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3.其他事项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合同履行期间，甲乙双方有任何争议均应协商解决，协商不成，任何一方有权向甲方所在地北京市丰台区人民法院提起诉讼。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 本协议是合同不可分割的一部分，与合同具有同等法律效力，经甲乙双方法定代表人或授权委托人签字并加盖公章后生效；本协议尚未约定事项以合同为准。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（以下无正文，为双方签署页）</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1084" w:hanging="1084" w:hangingChars="45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附件2：</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保密责任书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1.商业秘密之定义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甲方之档案资料：北京园博园管理中心相关图纸、设备设施资料等；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与甲方商业活动有关的信息：北京园博园管理中心运行方案、重要活动等；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与甲方专有技术有关的信息：设备设施资料、设备设施运行参数、设备设施运行记录等；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与甲方财务有关的信息：财务预算、财务报表等；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与甲方管理活动有关的信息：北京园博园管理中心重大活动及会议等；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与甲方有关的其他信息。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2.出于保护甲方商业秘密之目的，乙方理解并同意商业秘密包括任何与甲方有关之任何机密信息及商业信息。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3.乙方理解并同意在双开展业务过程中由甲方提供的任何信息，均属于商业秘密，乙方使用该信息同样受本责任书约束。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4.保密义务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非经甲方书面同意，乙方不得在任何时间以任何形式将商业秘密披露或提供给任何第三方；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除拟议目的外，不得将商业秘密用于任何其他目的，乙方不得在拟议目的之外，以任何方式复制被列为商业秘密的信息；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4.5 未经甲方书面同意，乙方不得使用或允许任何第三方使用不正当的手段获取的商业秘密。本条款所称之不正当的手段包括盗窃、欺诈、胁迫、贿赂、擅自复制、违反保密义务、引诱他人违反保密义务或其他不正当手段。</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 乙方对任何信息的性质、保密程度不明确的，必须主动向甲方寻求书面确认。</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6.例外情況</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在下列情况下，乙方对于商业秘密的披露将不承担法律责任，前提条件是如果乙方能够证明该信息系：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乙方通过书面证据证明其在接受甲方的信息之前已知悉该商业秘密；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在本责任书签署之日或其后之任何时间在乙方不违反本责任书的情况下为公众所知悉；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 经由甲方以外的渠道合法获得；</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 甲方书面批准乙方向第三方披露读信息；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7.材料之返还</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color w:val="auto"/>
          <w:sz w:val="24"/>
          <w:highlight w:val="none"/>
        </w:rPr>
        <w:t>甲方：北京园博园管理中心            乙方：</w:t>
      </w:r>
      <w:r>
        <w:rPr>
          <w:rFonts w:hint="eastAsia" w:asciiTheme="minorEastAsia" w:hAnsiTheme="minorEastAsia" w:eastAsiaTheme="minorEastAsia" w:cstheme="minorEastAsia"/>
          <w:b/>
          <w:snapToGrid w:val="0"/>
          <w:color w:val="auto"/>
          <w:sz w:val="24"/>
          <w:highlight w:val="none"/>
        </w:rPr>
        <w:t xml:space="preserve"> </w:t>
      </w:r>
    </w:p>
    <w:p>
      <w:pPr>
        <w:spacing w:line="560" w:lineRule="exact"/>
        <w:rPr>
          <w:rFonts w:asciiTheme="minorEastAsia" w:hAnsiTheme="minorEastAsia" w:eastAsiaTheme="minorEastAsia" w:cstheme="minorEastAsia"/>
          <w:b/>
          <w:snapToGrid w:val="0"/>
          <w:color w:val="auto"/>
          <w:sz w:val="24"/>
          <w:highlight w:val="none"/>
        </w:rPr>
      </w:pP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年   月   日               日期:   年   月   日</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pPr>
        <w:spacing w:before="120" w:after="120"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附件3：</w:t>
      </w:r>
    </w:p>
    <w:p>
      <w:pPr>
        <w:spacing w:before="120" w:after="120" w:line="56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廉政责任书</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甲方：北京园博园管理中心</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乙方： </w:t>
      </w:r>
    </w:p>
    <w:p>
      <w:pPr>
        <w:spacing w:line="560" w:lineRule="exact"/>
        <w:rPr>
          <w:rFonts w:asciiTheme="minorEastAsia" w:hAnsiTheme="minorEastAsia" w:eastAsiaTheme="minorEastAsia" w:cstheme="minorEastAsia"/>
          <w:b/>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因北京园博园管理中心项目签订《2024年北京园博园绿地养护项目（公共展园区域绿地养护项目）合同》，为加强在合同履行中的廉政建设，规范双方的行为，预防各种谋取不正当利益的违法、违纪行为的发生，特订立本廉政责任书。</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1.双方承诺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严格遵守国家法律、法规，相关政策及廉政建设的各项规定。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严格执行合同文件，自觉按合同办事。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甲、乙方及其所有工作人员，在合同的履行中禁止有下列任一行为：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 一方以任何理由向对方、相关单位及其工作人员索要、接受或赠送礼金、有价证券、贵重物品和回扣、好处费、感谢费等。</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1.5.2 一方以任何理由为对方和相关单位报销任何应由对方或个人支付的费用。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1.5.3 一方要求、暗示或接受对方和相关单位为个人装修住房、婚丧嫁娶、配偶子女的工作安排以及出国（境）、旅游等提供方便。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1.5.4 一方组织或参加有可能影响对方和相关单位及工作人员履行合同权利义务和公正执行公务的宴请、健身、娱乐等活动。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1.5.5 一方向对方介绍配偶、子女、亲属参与同与本合同有关的经济活动。</w:t>
      </w:r>
    </w:p>
    <w:p>
      <w:pPr>
        <w:spacing w:line="560" w:lineRule="exact"/>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2.责任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双方一致同意，在本责任书签署前，双方就签订《2024年北京园博园绿地养护项目（公共展园区域绿地养护项目）合同》的协商过程中，如存在第一条第(五)项的禁止行为，同样受本责任书的约束。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3.本责任书作为《2024年北京园博园绿地养护项目（公共展园区域绿地养护项目）合同》的附件，与合同具有同等法律效力，经双方签署后立即生效。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4.本责任书的有效期为双方签署之日起至合同约定的义务履行完毕止。</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5.本责任书一式</w:t>
      </w:r>
      <w:r>
        <w:rPr>
          <w:rFonts w:hint="eastAsia" w:asciiTheme="minorEastAsia" w:hAnsiTheme="minorEastAsia" w:eastAsiaTheme="minorEastAsia" w:cstheme="minorEastAsia"/>
          <w:color w:val="auto"/>
          <w:sz w:val="24"/>
          <w:highlight w:val="none"/>
          <w:lang w:val="en-US" w:eastAsia="zh-CN"/>
        </w:rPr>
        <w:t>陆</w:t>
      </w:r>
      <w:r>
        <w:rPr>
          <w:rFonts w:hint="eastAsia" w:asciiTheme="minorEastAsia" w:hAnsiTheme="minorEastAsia" w:eastAsiaTheme="minorEastAsia" w:cstheme="minorEastAsia"/>
          <w:color w:val="auto"/>
          <w:sz w:val="24"/>
          <w:highlight w:val="none"/>
        </w:rPr>
        <w:t>份，作为《2024年北京园博园绿地养护项目（公共展园区域绿地养护项目）合同》的附件，自双方签字盖章之日生效。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6.监督联系方式:63915429</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left="6987" w:hanging="6987" w:hangingChars="29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甲方：北京园博园管理中心                  乙方： </w:t>
      </w:r>
    </w:p>
    <w:p>
      <w:pPr>
        <w:spacing w:line="560" w:lineRule="exact"/>
        <w:rPr>
          <w:rFonts w:asciiTheme="minorEastAsia" w:hAnsiTheme="minorEastAsia" w:eastAsiaTheme="minorEastAsia" w:cstheme="minorEastAsia"/>
          <w:b/>
          <w:color w:val="auto"/>
          <w:sz w:val="24"/>
          <w:highlight w:val="none"/>
        </w:rPr>
      </w:pPr>
    </w:p>
    <w:p>
      <w:pPr>
        <w:spacing w:line="560" w:lineRule="exact"/>
        <w:rPr>
          <w:rFonts w:asciiTheme="minorEastAsia" w:hAnsiTheme="minorEastAsia" w:eastAsiaTheme="minorEastAsia" w:cstheme="minorEastAsia"/>
          <w:b/>
          <w:snapToGrid w:val="0"/>
          <w:color w:val="auto"/>
          <w:sz w:val="24"/>
          <w:highlight w:val="none"/>
        </w:rPr>
      </w:pP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snapToGrid w:val="0"/>
          <w:color w:val="auto"/>
          <w:sz w:val="24"/>
          <w:highlight w:val="none"/>
        </w:rPr>
        <w:t>法定代表人或授权委托人</w:t>
      </w:r>
      <w:r>
        <w:rPr>
          <w:rFonts w:hint="eastAsia" w:asciiTheme="minorEastAsia" w:hAnsiTheme="minorEastAsia" w:eastAsiaTheme="minorEastAsia" w:cstheme="minorEastAsia"/>
          <w:b/>
          <w:color w:val="auto"/>
          <w:sz w:val="24"/>
          <w:highlight w:val="none"/>
        </w:rPr>
        <w:t>：</w:t>
      </w:r>
    </w:p>
    <w:p>
      <w:pPr>
        <w:spacing w:line="5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p>
    <w:p>
      <w:pPr>
        <w:spacing w:line="560" w:lineRule="exact"/>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b/>
          <w:color w:val="auto"/>
          <w:sz w:val="24"/>
          <w:highlight w:val="none"/>
        </w:rPr>
        <w:t>日期:    年   月   日                      日期:   年   月   日</w:t>
      </w:r>
    </w:p>
    <w:p>
      <w:pPr>
        <w:rPr>
          <w:rFonts w:asciiTheme="minorEastAsia" w:hAnsiTheme="minorEastAsia" w:eastAsiaTheme="minorEastAsia" w:cstheme="minorEastAsia"/>
          <w:color w:val="auto"/>
          <w:highlight w:val="none"/>
        </w:rPr>
      </w:pPr>
    </w:p>
    <w:p>
      <w:pPr>
        <w:pStyle w:val="2"/>
        <w:rPr>
          <w:rFonts w:asciiTheme="minorEastAsia" w:hAnsiTheme="minorEastAsia" w:eastAsiaTheme="minorEastAsia" w:cstheme="minorEastAsia"/>
          <w:color w:val="auto"/>
          <w:sz w:val="32"/>
          <w:szCs w:val="32"/>
          <w:highlight w:val="none"/>
          <w:lang w:bidi="ar"/>
        </w:rPr>
      </w:pPr>
    </w:p>
    <w:p>
      <w:pPr>
        <w:pStyle w:val="2"/>
        <w:rPr>
          <w:rFonts w:asciiTheme="minorEastAsia" w:hAnsiTheme="minorEastAsia" w:eastAsiaTheme="minorEastAsia" w:cstheme="minorEastAsia"/>
          <w:color w:val="auto"/>
          <w:sz w:val="32"/>
          <w:szCs w:val="32"/>
          <w:highlight w:val="none"/>
          <w:lang w:bidi="ar"/>
        </w:rPr>
      </w:pPr>
    </w:p>
    <w:p>
      <w:pPr>
        <w:pStyle w:val="2"/>
        <w:ind w:firstLine="0"/>
        <w:rPr>
          <w:rFonts w:asciiTheme="minorEastAsia" w:hAnsiTheme="minorEastAsia" w:eastAsiaTheme="minorEastAsia" w:cstheme="minorEastAsia"/>
          <w:color w:val="auto"/>
          <w:sz w:val="32"/>
          <w:szCs w:val="32"/>
          <w:highlight w:val="none"/>
          <w:lang w:bidi="ar"/>
        </w:rPr>
      </w:pPr>
    </w:p>
    <w:p>
      <w:pPr>
        <w:spacing w:before="120" w:after="120" w:line="560" w:lineRule="exact"/>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附件4：</w:t>
      </w:r>
    </w:p>
    <w:p>
      <w:pPr>
        <w:spacing w:line="560" w:lineRule="exact"/>
        <w:rPr>
          <w:rFonts w:asciiTheme="minorEastAsia" w:hAnsiTheme="minorEastAsia" w:eastAsiaTheme="minorEastAsia" w:cstheme="minorEastAsia"/>
          <w:color w:val="auto"/>
          <w:sz w:val="44"/>
          <w:szCs w:val="44"/>
          <w:highlight w:val="none"/>
        </w:rPr>
      </w:pP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北京园博园管理中心绿化养护</w:t>
      </w:r>
    </w:p>
    <w:p>
      <w:pPr>
        <w:spacing w:line="56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 精细化管理考核办法</w:t>
      </w:r>
    </w:p>
    <w:p>
      <w:pPr>
        <w:spacing w:line="560" w:lineRule="exact"/>
        <w:jc w:val="center"/>
        <w:rPr>
          <w:rFonts w:asciiTheme="minorEastAsia" w:hAnsiTheme="minorEastAsia" w:eastAsiaTheme="minorEastAsia" w:cstheme="minorEastAsia"/>
          <w:color w:val="auto"/>
          <w:sz w:val="44"/>
          <w:szCs w:val="44"/>
          <w:highlight w:val="none"/>
        </w:rPr>
      </w:pPr>
    </w:p>
    <w:p>
      <w:pPr>
        <w:spacing w:line="560" w:lineRule="exact"/>
        <w:rPr>
          <w:rFonts w:asciiTheme="minorEastAsia" w:hAnsiTheme="minorEastAsia" w:eastAsiaTheme="minorEastAsia" w:cstheme="minorEastAsia"/>
          <w:color w:val="auto"/>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为进一步加强园博园绿化养护管理工作，建立长效的养护管理机制，参照《城镇绿地养护管理规范》（DB11/T213-2014）相关标准，结合园博园绿化养护管理实际，特制定本考核办法。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1.考核对象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北京园博园绿地养护项目中标单位。</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2.考核方式</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2.1考核检查由园林绿化部组织实施，采用定期和不定期随机抽查两种考核方式，不定期考核即经常性巡查及重大节日、庆典、“迎检”等指令性检查时所进行的随机抽查考核。</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2.2实行百分考核评定，考核主体为园林绿化部管理人员，每季度组织三次考核。季度考核平均分值85分（含）以上为达标，85分以下为不达标。</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2.3考核程序为现场检查、听取汇报、交换意见、提出整改意见、评定名次、公布结果。考核方式为全覆盖随机检查园内绿化养护管理区域。</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2.4考核小组每次检查填写统一检查评分表。每次考核评分原始记录由园林绿化部存档备案，考核结果作为支付绿地养护合同进度款的主要依据。</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3.考核奖惩</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绿地养护中标单位在季度考核中一次不达标的，园林绿化部下达整改通知，扣除养护中标单位履约保证金总额的百分之十；两次季度考核不达标，扣除养护中标单位履约保证金总额的百分之二十；三次季度考核不达标，则年度考核不达标，中心有权单方解除绿地养护合同。</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4.考核项目及分值</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4.1绿化养护                     90分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4.2其    他                     10分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4.3安全生产、文明作业           扣分项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5.相关要求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5.1高度重视，增强意识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园林绿化部及外包养护单位要高度重视绿化养护精细化管理考核工作，严格按照考核办法进行评分。园林绿化部进行考核时，养护单位必须及时到达现场予以确认，积极配合考核工作。涉及绿地植被品种改造调整的，应当报请园林绿化部研究同意后方可执行，不得擅自决定。</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5.2明确任务，责任到人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各外包养护单位要根据绿化养护精细化考核管理办法，对考核检查中发现问题要做到及时整改、狠抓落实，细化目标任务，明确时间节点，责任到人，及时反馈上报，对重点区域重点问题盯紧盯牢，使改造后绿化总量不减少、绿化品质和景观面貌不低于改造前水平，确保问题整改到位。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5.3完善机制，建立长效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要认真贯彻执行《城镇绿地养护管理规范》，完善园博绿化养护技术标准和规范，逐步建立和完善绿化管理体系。要加强对各外包养护单位的监督考核，推行管理责任制，客观评价各外包养护单位园林绿化工作，确保园林绿化的各项工作顺利开展。</w:t>
      </w: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附件：绿化养护精细化管理考核评分表</w:t>
      </w:r>
    </w:p>
    <w:tbl>
      <w:tblPr>
        <w:tblStyle w:val="24"/>
        <w:tblW w:w="8330" w:type="dxa"/>
        <w:tblInd w:w="93" w:type="dxa"/>
        <w:tblLayout w:type="fixed"/>
        <w:tblCellMar>
          <w:top w:w="0" w:type="dxa"/>
          <w:left w:w="108" w:type="dxa"/>
          <w:bottom w:w="0" w:type="dxa"/>
          <w:right w:w="108" w:type="dxa"/>
        </w:tblCellMar>
      </w:tblPr>
      <w:tblGrid>
        <w:gridCol w:w="457"/>
        <w:gridCol w:w="478"/>
        <w:gridCol w:w="726"/>
        <w:gridCol w:w="3009"/>
        <w:gridCol w:w="2714"/>
        <w:gridCol w:w="946"/>
      </w:tblGrid>
      <w:tr>
        <w:tblPrEx>
          <w:tblCellMar>
            <w:top w:w="0" w:type="dxa"/>
            <w:left w:w="108" w:type="dxa"/>
            <w:bottom w:w="0" w:type="dxa"/>
            <w:right w:w="108" w:type="dxa"/>
          </w:tblCellMar>
        </w:tblPrEx>
        <w:trPr>
          <w:trHeight w:val="780" w:hRule="atLeast"/>
        </w:trPr>
        <w:tc>
          <w:tcPr>
            <w:tcW w:w="457" w:type="dxa"/>
            <w:tcBorders>
              <w:top w:val="nil"/>
              <w:left w:val="nil"/>
              <w:bottom w:val="nil"/>
              <w:right w:val="nil"/>
            </w:tcBorders>
            <w:shd w:val="clear" w:color="auto" w:fill="auto"/>
            <w:noWrap/>
            <w:vAlign w:val="center"/>
          </w:tcPr>
          <w:p>
            <w:pPr>
              <w:jc w:val="center"/>
              <w:rPr>
                <w:rFonts w:asciiTheme="minorEastAsia" w:hAnsiTheme="minorEastAsia" w:eastAsiaTheme="minorEastAsia" w:cstheme="minorEastAsia"/>
                <w:color w:val="auto"/>
                <w:sz w:val="24"/>
                <w:highlight w:val="none"/>
              </w:rPr>
            </w:pPr>
          </w:p>
        </w:tc>
        <w:tc>
          <w:tcPr>
            <w:tcW w:w="7873" w:type="dxa"/>
            <w:gridSpan w:val="5"/>
            <w:tcBorders>
              <w:top w:val="nil"/>
              <w:left w:val="nil"/>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bidi="ar"/>
              </w:rPr>
              <w:t xml:space="preserve">绿化养护精细化管理考核评分表   </w:t>
            </w:r>
          </w:p>
        </w:tc>
      </w:tr>
      <w:tr>
        <w:tblPrEx>
          <w:tblCellMar>
            <w:top w:w="0" w:type="dxa"/>
            <w:left w:w="108" w:type="dxa"/>
            <w:bottom w:w="0" w:type="dxa"/>
            <w:right w:w="108" w:type="dxa"/>
          </w:tblCellMar>
        </w:tblPrEx>
        <w:trPr>
          <w:trHeight w:val="66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序号</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类别</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考核项目</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考核标准</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扣分值</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养护单位及扣分情况</w:t>
            </w:r>
          </w:p>
        </w:tc>
      </w:tr>
      <w:tr>
        <w:tblPrEx>
          <w:tblCellMar>
            <w:top w:w="0" w:type="dxa"/>
            <w:left w:w="108" w:type="dxa"/>
            <w:bottom w:w="0" w:type="dxa"/>
            <w:right w:w="108" w:type="dxa"/>
          </w:tblCellMar>
        </w:tblPrEx>
        <w:trPr>
          <w:trHeight w:val="4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树木(15分)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1.树冠完整、茂盛，主侧枝分布匀称、分枝点合适，修剪科学合理，具有一定的观赏效果。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2.绿地内无死树。发现死树及时移除，并选用规格相近的原树种进行补植。</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3.叶片大小、颜色正常，除彩叶、皱叶等本身具特殊性状植物外，生长季节内，无黄叶、焦叶、卷叶。</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4.枝条无倾斜倒伏，无徒长枝、病虫枝、过密枝、枯枝、伤损枝、碰线枝。</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5.对树木要控制倾斜度，须扶架植物支撑方式合理，扶架方向整齐一致。并逐渐扶正。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6.加强病虫害测报工作，做到“预防为主，防治结合”。</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1.因养护不当造成植物生长不良或影响景观的扣1分；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2.有明显病虫害未及时防治的扣1分；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3.有死树，没及时处理的或树木有明显枯枝、人为折损枝，修剪不及时的扣1分；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4.雨季没有及时采用排水措施对绿地和树池排涝，绿地和树池内积水超过24h的扣1分；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5.树上有影响生长的附着物扣1分。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6.发现有死树未及时移除，并在适宜的季节未按原规格相近的原树种进行及时补植的扣1分。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灌木及绿篱(15分)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1.生长茂盛，枝叶繁茂、层次分明，无死株、缺株，造成断垄、断行和成片缺株现象。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2.观叶类观赏时期叶色鲜艳，观花类花期开花正常，形色均具最佳品质，观形类株形完全符合留养要求，同一要求的造型植株整体形状、大小保持一致，休眠期内进行整形修剪。</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3.修剪及时，无窜枝，无修剪后枝叶残存或散落不清。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4.越冬防寒措施方法得当，外形美观。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1.灌木绿篱修剪外形轮廓不清晰，外缘枝叶不紧密的扣1分；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2.发现修剪不及时、不正确扣1分；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3.发现死株、缺株，影响景观效果的扣1分；未及时移除并补栽扣3分。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4.防寒措施不得当，外观不美观的扣1分。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7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草坪(15分)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1.草坪生长旺盛，草根不裸露，无空秃、无各类杂草，无垃圾，无黄斑。</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2.草坪终年修剪平整，修剪高度符合景观要求，绿色度整齐，边缘线清晰（及时切边）。</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3.无毡化现象和馒头状突起，土壤不板结、龟裂，无积水现象。</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4.加强病虫害的监控和防范工作，做到及时发现，及早防治。</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5.根据不同草坪草种类确定施肥时间、施肥种类和施肥量，应少量多次，以缓效肥为宜。</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1.发现秃斑、黄斑，绿色度不整齐现象比较严重的扣1分；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2.草坪修剪不平整、不及时的扣1分；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3.有明显杂草的扣1分，有大面积杂草的扣3分；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4.未能根据草坪生长时期、生长状况给草坪施肥，出现因土壤肥力不足问题的扣1分；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5.对被破坏或其他原因引起死亡的草坪未能及时更换补植的扣1分；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6.冬季上冻前未及时浇足浇透冻水的扣1分。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68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地被(10分)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1.修剪平整，边缘线条清晰，种植地内土壤保持疏松，残花清理及时，无杂草，地被冬季休眠期，做好修剪和整理工作。</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2.观赏期内群体与单株能发挥最佳观赏功能。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3.生长状态良好，无退化和地表裸露情况。</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1.发现地被植物生长不良，观赏效果差扣1分；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2.发现未及时清除杂草，出现外来入侵植物的扣1分；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3.发现退化和地表裸露，未能及时更新补植的扣1分。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花卉(15分)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1.花卉植株生长健壮，花色艳丽，株行距适宜，不露底土，覆盖面达90%以上。</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2.木本花卉及时整枝、整形，花卉适时开花，花多色艳。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3.宿根花卉要及时更新，易倒伏的花卉要立柱绑扎；做到三季有花，花期整齐，图案美观，布置效果良好。</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4.按时间节点进行花卉布置，要求图案优美，同种花卉花期一致，层次分明，高矮有序。死株、缺株及长势弱的花卉要及时更换。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5.花卉无缺株倒伏，无枯枝残花，无杂草，无病虫害。</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1.发现缺株倒伏、枯枝残花较严重扣1分；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2.花卉生长不健壮扣1分。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3.覆盖率低于90%的扣1分；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4.有明显病虫害的扣1分；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5.花卉布置与景观不协调或花卉布置形式不合理、造型欠整齐美观的扣1分；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6.有残花败叶或缺株倒伏、枯枝残花现象的扣1分。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29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水生植物及水体(10分)</w:t>
            </w:r>
          </w:p>
        </w:tc>
        <w:tc>
          <w:tcPr>
            <w:tcW w:w="3009"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1.水生植物植株健壮，花、叶色泽艳丽，无残花败叶。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2.水体清洁，水质好，无异味。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3.水面无漂浮物，全日候保持水面清洁。</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4.无水体植物疯长现象，一旦发现，及时打捞治理。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1.水生植物有残花败叶或倒伏、枯枝残花等现象的扣1分。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2.水体浑浊、水质差、有异味扣1分；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3.水面漂浮物、水中杂物垃圾没及时打捞扣1分。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4.水体中有野生水体植物未及时治理的扣1分</w:t>
            </w:r>
          </w:p>
        </w:tc>
        <w:tc>
          <w:tcPr>
            <w:tcW w:w="946"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绿化养护</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（90分）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作业管理(10分)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1.日常养护人员按照绿化面积配备，人均大约10000-12000平米。</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2.树下、绿地内无各类物料堆放、倾倒污水及其它污物。</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3.园林生产垃圾日产日清，不过夜、不焚烧。</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4.各类浇水管及其它养护工具及时归整，无乱堆乱放，浇灌系统无跑冒滴漏。</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5.防火期内，及时清理林下及绿地可燃物，道路两侧及绿地定期洒水保湿，安排专人定点定位24小时不间断进行防火巡查，并留存巡查记录。</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1.未按要求配备日常养护人员扣1分。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2.园林生产垃圾过夜扣1分；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3.焚烧园林生产垃圾扣1分；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4.园内乱堆杂物扣1 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5.绿化工具乱堆乱放且无人看管扣1分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6.发现跑冒滴漏现象的，没一处扣1分。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7 防火期内未及时清除林下、绿地可燃物扣3分；防火巡查人员脱岗扣3分；无巡查记录扣3分。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06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其他</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（10分）</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重大活动或其他临时突击增加的任务完成情况。(10分)</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重大活动保障或临时突击任务，能按要求及时完成。</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1.能及时完成上级布置的养护任务或其它临时突击增加的任务完成及时受到表扬的，每次加3分。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2.对上级布置的养护任务或其他临时突击增加的任务态度消极、推诿，不配合或者未及时完成，造成不良后果的，每次扣3分。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 任务派遣单未在规定时间内办结的，每发生一次扣3分。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2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9</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组织领导（扣分项）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各项安全管理制度健全，按照“谁主管，谁负责”的原则，开展责任范围内的安全隐患排查，及时消除安全隐患并留存记录。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1.各项管理制度不健全的扣3分。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2.现场项目负责人没有按规定定期参加绿化养护管理考核检查，每少一次扣3分；没有按规定亲自参加有关安全工作会议的，每少一次扣1分；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3.未按时开展安全隐患检查、排查，安全隐患未及时整改，无记录留存扣3分。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450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安全生产及文明作业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安全管理（扣分项）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1.严格遵守中心安全生产相关规定，依规进行相关作业审批工作，安全措施得当，文明作业。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2.绿化施工作业时，按要求备案并设置警示标志，人员应穿戴符合要求的警示服饰。</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3.进行病虫害防治作业时，应避开人流高峰，打药时得站在上风口。</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1.在安全生产责任事故中，发生重伤事故的扣20分，发生轻伤事故扣5分，发生轻伤事故2人以上扣20分；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2.发现的隐患或不安全因素没有及时整改或未采取防范措施的，每次扣3分；         </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3.季度内发生投诉，且经核实确属绿化养护人员责任的，每发生一次扣3分；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4.绿化工人着装袒胸露背不文明整洁、使用不文明用语，造成不良影响的扣2分。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5.吊装、高空等特种作业没按要求报备扣5分，安全措施不规范扣3分。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4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11</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消防安全（扣分项）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1.严格执行中心消防安全管理规定，库房及重点区域按要求配备灭火器材，分布合理。消防器材登记造册，专人管理，定期检查。</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2.建立安全用电、用油管理制度，保证使用电、油安全，无因违章用电、油引起的事故发生。</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1.库房及重点区域未按要求配备灭火器材，无专人管理，未定期检查的扣3分。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2.发生违章用电、用油现象的扣3分。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3120" w:hRule="atLeast"/>
        </w:trPr>
        <w:tc>
          <w:tcPr>
            <w:tcW w:w="457"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安全生产及文明作业</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物资安全（扣分项）</w:t>
            </w:r>
          </w:p>
        </w:tc>
        <w:tc>
          <w:tcPr>
            <w:tcW w:w="3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1.严格病虫害防治农药使用管理工作，园内禁设农药库房，农药使用设专人管理，登记备案，并留存使用记录。</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 严格房屋安全管理，设专人管理，不存放易燃易爆物品。</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 xml:space="preserve">    1.农药使用无专人管理，无登记备案和使用记录的扣3分。</w:t>
            </w:r>
            <w:r>
              <w:rPr>
                <w:rFonts w:hint="eastAsia" w:asciiTheme="minorEastAsia" w:hAnsiTheme="minorEastAsia" w:eastAsiaTheme="minorEastAsia" w:cstheme="minorEastAsia"/>
                <w:color w:val="auto"/>
                <w:kern w:val="0"/>
                <w:sz w:val="20"/>
                <w:szCs w:val="20"/>
                <w:highlight w:val="none"/>
                <w:lang w:bidi="ar"/>
              </w:rPr>
              <w:br w:type="textWrapping"/>
            </w:r>
            <w:r>
              <w:rPr>
                <w:rFonts w:hint="eastAsia" w:asciiTheme="minorEastAsia" w:hAnsiTheme="minorEastAsia" w:eastAsiaTheme="minorEastAsia" w:cstheme="minorEastAsia"/>
                <w:color w:val="auto"/>
                <w:kern w:val="0"/>
                <w:sz w:val="20"/>
                <w:szCs w:val="20"/>
                <w:highlight w:val="none"/>
                <w:lang w:bidi="ar"/>
              </w:rPr>
              <w:t xml:space="preserve">    2.检查中发现房屋存放易燃易爆品或其它违禁品扣3分。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72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合计扣分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660" w:hRule="atLeast"/>
        </w:trPr>
        <w:tc>
          <w:tcPr>
            <w:tcW w:w="738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最终得分</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Theme="minorEastAsia" w:hAnsiTheme="minorEastAsia" w:eastAsiaTheme="minorEastAsia" w:cstheme="minorEastAsia"/>
                <w:color w:val="auto"/>
                <w:sz w:val="20"/>
                <w:szCs w:val="20"/>
                <w:highlight w:val="none"/>
              </w:rPr>
            </w:pPr>
          </w:p>
        </w:tc>
      </w:tr>
      <w:tr>
        <w:tblPrEx>
          <w:tblCellMar>
            <w:top w:w="0" w:type="dxa"/>
            <w:left w:w="108" w:type="dxa"/>
            <w:bottom w:w="0" w:type="dxa"/>
            <w:right w:w="108" w:type="dxa"/>
          </w:tblCellMar>
        </w:tblPrEx>
        <w:trPr>
          <w:trHeight w:val="8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绿化部考核检查组签字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Theme="minorEastAsia" w:hAnsiTheme="minorEastAsia" w:eastAsiaTheme="minorEastAsia" w:cstheme="minorEastAsia"/>
                <w:color w:val="auto"/>
                <w:sz w:val="24"/>
                <w:highlight w:val="none"/>
              </w:rPr>
            </w:pPr>
          </w:p>
        </w:tc>
      </w:tr>
      <w:tr>
        <w:tblPrEx>
          <w:tblCellMar>
            <w:top w:w="0" w:type="dxa"/>
            <w:left w:w="108" w:type="dxa"/>
            <w:bottom w:w="0" w:type="dxa"/>
            <w:right w:w="108" w:type="dxa"/>
          </w:tblCellMar>
        </w:tblPrEx>
        <w:trPr>
          <w:trHeight w:val="940" w:hRule="atLeast"/>
        </w:trPr>
        <w:tc>
          <w:tcPr>
            <w:tcW w:w="467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被检查单位负责人签字</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heme="minorEastAsia" w:hAnsiTheme="minorEastAsia" w:eastAsiaTheme="minorEastAsia" w:cstheme="minorEastAsia"/>
                <w:b/>
                <w:bCs/>
                <w:color w:val="auto"/>
                <w:sz w:val="24"/>
                <w:highlight w:val="none"/>
              </w:rPr>
            </w:pPr>
          </w:p>
        </w:tc>
      </w:tr>
    </w:tbl>
    <w:p>
      <w:pPr>
        <w:spacing w:line="560" w:lineRule="exact"/>
        <w:rPr>
          <w:rFonts w:asciiTheme="minorEastAsia" w:hAnsiTheme="minorEastAsia" w:eastAsiaTheme="minorEastAsia" w:cstheme="minorEastAsia"/>
          <w:color w:val="auto"/>
          <w:sz w:val="32"/>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spacing w:before="120" w:after="120" w:line="560" w:lineRule="exact"/>
        <w:rPr>
          <w:rFonts w:asciiTheme="minorEastAsia" w:hAnsiTheme="minorEastAsia" w:eastAsiaTheme="minorEastAsia" w:cstheme="minorEastAsia"/>
          <w:color w:val="auto"/>
          <w:sz w:val="24"/>
          <w:szCs w:val="32"/>
          <w:highlight w:val="none"/>
        </w:rPr>
      </w:pPr>
    </w:p>
    <w:p>
      <w:pPr>
        <w:pStyle w:val="2"/>
        <w:ind w:firstLine="0"/>
        <w:rPr>
          <w:rFonts w:asciiTheme="minorEastAsia" w:hAnsiTheme="minorEastAsia" w:eastAsiaTheme="minorEastAsia" w:cstheme="minorEastAsia"/>
          <w:color w:val="auto"/>
          <w:sz w:val="32"/>
          <w:szCs w:val="32"/>
          <w:highlight w:val="none"/>
          <w:lang w:bidi="ar"/>
        </w:rPr>
      </w:pPr>
    </w:p>
    <w:p>
      <w:pPr>
        <w:pStyle w:val="2"/>
      </w:pPr>
    </w:p>
    <w:p>
      <w:pPr>
        <w:pStyle w:val="2"/>
      </w:pPr>
    </w:p>
    <w:p>
      <w:pPr>
        <w:pStyle w:val="2"/>
      </w:pPr>
    </w:p>
    <w:p>
      <w:pPr>
        <w:pStyle w:val="2"/>
      </w:pPr>
    </w:p>
    <w:p>
      <w:pPr>
        <w:pStyle w:val="2"/>
      </w:pPr>
    </w:p>
    <w:p>
      <w:pPr>
        <w:pStyle w:val="2"/>
      </w:pPr>
    </w:p>
    <w:p>
      <w:pPr>
        <w:pStyle w:val="2"/>
      </w:pPr>
    </w:p>
    <w:p>
      <w:pPr>
        <w:pStyle w:val="2"/>
      </w:pPr>
    </w:p>
    <w:p>
      <w:pPr>
        <w:pStyle w:val="2"/>
        <w:ind w:left="0" w:leftChars="0" w:firstLine="0" w:firstLineChars="0"/>
      </w:pPr>
    </w:p>
    <w:bookmarkEnd w:id="157"/>
    <w:p>
      <w:pPr>
        <w:pStyle w:val="3"/>
      </w:pPr>
      <w:bookmarkStart w:id="160" w:name="_Toc23871"/>
      <w:r>
        <w:rPr>
          <w:rFonts w:hint="eastAsia"/>
        </w:rPr>
        <w:t>第六章  投标文件格式</w:t>
      </w:r>
      <w:bookmarkEnd w:id="160"/>
    </w:p>
    <w:p>
      <w:pPr>
        <w:spacing w:line="360" w:lineRule="auto"/>
        <w:ind w:firstLine="480" w:firstLineChars="200"/>
        <w:rPr>
          <w:color w:val="auto"/>
        </w:rPr>
      </w:pPr>
      <w:r>
        <w:rPr>
          <w:rFonts w:hint="eastAsia"/>
        </w:rPr>
        <w:t>投标人提交的材料将被保密</w:t>
      </w:r>
      <w:r>
        <w:rPr>
          <w:rFonts w:hint="eastAsia"/>
          <w:color w:val="auto"/>
        </w:rPr>
        <w:t>，但不退还。除非招标文件另有规定，全部文件应按包件编制并按包件提交，投标文件的份数应符合招标文件的规定。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pPr>
        <w:spacing w:line="360" w:lineRule="auto"/>
        <w:ind w:firstLine="480" w:firstLineChars="200"/>
        <w:rPr>
          <w:color w:val="auto"/>
        </w:rPr>
      </w:pPr>
      <w:r>
        <w:rPr>
          <w:rFonts w:hint="eastAsia"/>
          <w:color w:val="auto"/>
        </w:rPr>
        <w:t>注：</w:t>
      </w:r>
    </w:p>
    <w:p>
      <w:pPr>
        <w:spacing w:line="360" w:lineRule="auto"/>
        <w:ind w:firstLine="480" w:firstLineChars="200"/>
        <w:rPr>
          <w:color w:val="auto"/>
        </w:rPr>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标文件相应盖章要求。</w:t>
      </w:r>
    </w:p>
    <w:p>
      <w:pPr>
        <w:spacing w:line="360" w:lineRule="auto"/>
        <w:ind w:firstLine="480" w:firstLineChars="200"/>
        <w:rPr>
          <w:rFonts w:hint="eastAsia" w:eastAsiaTheme="minorEastAsia"/>
          <w:color w:val="auto"/>
          <w:lang w:eastAsia="zh-CN"/>
        </w:rPr>
      </w:pPr>
      <w:r>
        <w:rPr>
          <w:rFonts w:hint="eastAsia"/>
          <w:color w:val="auto"/>
        </w:rPr>
        <w:t>（2）本章明确指明为“格式”的文件：</w:t>
      </w:r>
    </w:p>
    <w:p>
      <w:pPr>
        <w:spacing w:line="360" w:lineRule="auto"/>
        <w:ind w:firstLine="480" w:firstLineChars="200"/>
        <w:rPr>
          <w:color w:val="auto"/>
        </w:rPr>
      </w:pPr>
      <w:r>
        <w:rPr>
          <w:rFonts w:hint="eastAsia"/>
          <w:color w:val="auto"/>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rPr>
          <w:color w:val="auto"/>
        </w:rPr>
      </w:pPr>
      <w:r>
        <w:rPr>
          <w:rFonts w:hint="eastAsia"/>
          <w:color w:val="auto"/>
        </w:rPr>
        <w:t>（</w:t>
      </w:r>
      <w:r>
        <w:rPr>
          <w:color w:val="auto"/>
        </w:rPr>
        <w:t>3</w:t>
      </w:r>
      <w:r>
        <w:rPr>
          <w:rFonts w:hint="eastAsia"/>
          <w:color w:val="auto"/>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pPr>
        <w:ind w:firstLine="480" w:firstLineChars="200"/>
        <w:rPr>
          <w:color w:val="auto"/>
        </w:rPr>
      </w:pPr>
      <w:r>
        <w:rPr>
          <w:color w:val="auto"/>
        </w:rPr>
        <w:br w:type="page"/>
      </w:r>
    </w:p>
    <w:p>
      <w:pPr>
        <w:pStyle w:val="4"/>
        <w:rPr>
          <w:color w:val="auto"/>
        </w:rPr>
      </w:pPr>
      <w:bookmarkStart w:id="161" w:name="_Toc20536"/>
      <w:r>
        <w:rPr>
          <w:rFonts w:hint="eastAsia"/>
          <w:color w:val="auto"/>
        </w:rPr>
        <w:t>商务技术文件分册封面建议格式</w:t>
      </w:r>
      <w:bookmarkEnd w:id="161"/>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商务技术分册</w:t>
      </w:r>
    </w:p>
    <w:p>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162" w:name="_Toc18655"/>
      <w:r>
        <w:rPr>
          <w:rFonts w:hint="eastAsia"/>
        </w:rPr>
        <w:t>评分索引表建议格式</w:t>
      </w:r>
      <w:bookmarkEnd w:id="162"/>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24"/>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bl>
    <w:p>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63" w:name="_Toc2792"/>
      <w:r>
        <w:t>附件1 投标函格式</w:t>
      </w:r>
      <w:bookmarkEnd w:id="163"/>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pPr>
        <w:numPr>
          <w:ilvl w:val="0"/>
          <w:numId w:val="15"/>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pPr>
        <w:ind w:firstLine="480" w:firstLineChars="200"/>
        <w:rPr>
          <w:rFonts w:cs="Arial" w:hAnsiTheme="minorEastAsia"/>
          <w:color w:val="auto"/>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w:t>
      </w:r>
      <w:r>
        <w:rPr>
          <w:rFonts w:hint="eastAsia" w:cs="Arial" w:hAnsiTheme="minorEastAsia"/>
          <w:color w:val="auto"/>
          <w:szCs w:val="24"/>
        </w:rPr>
        <w:t>保证金有效期与投标有效期一致。</w:t>
      </w:r>
    </w:p>
    <w:p>
      <w:pPr>
        <w:ind w:firstLine="480" w:firstLineChars="200"/>
        <w:rPr>
          <w:rFonts w:cs="Arial" w:hAnsiTheme="minorEastAsia"/>
          <w:color w:val="auto"/>
          <w:szCs w:val="24"/>
        </w:rPr>
      </w:pPr>
      <w:r>
        <w:rPr>
          <w:rFonts w:hint="eastAsia" w:cs="Arial" w:hAnsiTheme="minorEastAsia"/>
          <w:color w:val="auto"/>
          <w:szCs w:val="24"/>
        </w:rPr>
        <w:t>（</w:t>
      </w:r>
      <w:r>
        <w:rPr>
          <w:rFonts w:cs="Arial" w:hAnsiTheme="minorEastAsia"/>
          <w:color w:val="auto"/>
          <w:szCs w:val="24"/>
        </w:rPr>
        <w:t>2</w:t>
      </w:r>
      <w:r>
        <w:rPr>
          <w:rFonts w:hint="eastAsia" w:cs="Arial" w:hAnsiTheme="minorEastAsia"/>
          <w:color w:val="auto"/>
          <w:szCs w:val="24"/>
        </w:rPr>
        <w:t>）、若我单位最终中标，我单位承诺于合同签订的下一个工作日内，将合同扫描件报采购代理机构，否则自行承担投标保证金未能在规定时间内退还的责任，采购代理机构不承担任何责任。</w:t>
      </w:r>
    </w:p>
    <w:p>
      <w:pPr>
        <w:pStyle w:val="49"/>
        <w:ind w:firstLine="480"/>
        <w:rPr>
          <w:color w:val="auto"/>
        </w:rPr>
      </w:pPr>
      <w:r>
        <w:rPr>
          <w:rFonts w:hint="eastAsia"/>
          <w:color w:val="auto"/>
        </w:rPr>
        <w:t>6、</w:t>
      </w:r>
      <w:r>
        <w:rPr>
          <w:rFonts w:hint="eastAsia" w:cs="Arial" w:hAnsiTheme="minorEastAsia"/>
          <w:color w:val="auto"/>
        </w:rPr>
        <w:t>若我单位最终中标，</w:t>
      </w:r>
      <w:r>
        <w:rPr>
          <w:rFonts w:hint="eastAsia"/>
          <w:color w:val="auto"/>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p>
    <w:p>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pPr>
        <w:numPr>
          <w:ilvl w:val="0"/>
          <w:numId w:val="16"/>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pPr>
        <w:numPr>
          <w:ilvl w:val="0"/>
          <w:numId w:val="16"/>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pPr>
        <w:numPr>
          <w:ilvl w:val="0"/>
          <w:numId w:val="16"/>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pPr>
        <w:numPr>
          <w:ilvl w:val="0"/>
          <w:numId w:val="16"/>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pgSz w:w="11906" w:h="16838"/>
          <w:pgMar w:top="1247" w:right="1247" w:bottom="1247" w:left="1247" w:header="851" w:footer="863" w:gutter="0"/>
          <w:cols w:space="425" w:num="1"/>
          <w:titlePg/>
          <w:docGrid w:linePitch="312" w:charSpace="0"/>
        </w:sectPr>
      </w:pPr>
    </w:p>
    <w:p>
      <w:pPr>
        <w:pStyle w:val="4"/>
      </w:pPr>
      <w:bookmarkStart w:id="164" w:name="_Toc7872"/>
      <w:r>
        <w:t>附件2 开标一览表格式</w:t>
      </w:r>
      <w:bookmarkEnd w:id="164"/>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r>
        <w:rPr>
          <w:rFonts w:hint="eastAsia"/>
        </w:rPr>
        <w:t>项目名称：</w:t>
      </w:r>
      <w:r>
        <w:t>____________________________</w:t>
      </w:r>
    </w:p>
    <w:p>
      <w:r>
        <w:rPr>
          <w:rFonts w:hint="eastAsia"/>
        </w:rPr>
        <w:t>项目编号：</w:t>
      </w:r>
      <w:r>
        <w:t>____________________________</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包件名称</w:t>
            </w:r>
          </w:p>
        </w:tc>
        <w:tc>
          <w:tcPr>
            <w:tcW w:w="2410" w:type="dxa"/>
            <w:vAlign w:val="center"/>
          </w:tcPr>
          <w:p>
            <w:pPr>
              <w:jc w:val="center"/>
              <w:rPr>
                <w:rFonts w:hAnsi="Calibri" w:cs="Times New Roman"/>
                <w:color w:val="auto"/>
              </w:rPr>
            </w:pPr>
            <w:r>
              <w:rPr>
                <w:rFonts w:hint="eastAsia" w:hAnsi="Calibri" w:cs="Times New Roman"/>
                <w:color w:val="auto"/>
              </w:rPr>
              <w:t>投标总价</w:t>
            </w:r>
          </w:p>
          <w:p>
            <w:pPr>
              <w:jc w:val="center"/>
              <w:rPr>
                <w:rFonts w:hAnsi="Calibri" w:cs="Times New Roman"/>
                <w:color w:val="auto"/>
              </w:rPr>
            </w:pPr>
            <w:r>
              <w:rPr>
                <w:rFonts w:hint="eastAsia" w:hAnsi="Calibri" w:cs="Times New Roman"/>
                <w:color w:val="auto"/>
              </w:rPr>
              <w:t>（单位人民币元）</w:t>
            </w:r>
          </w:p>
        </w:tc>
        <w:tc>
          <w:tcPr>
            <w:tcW w:w="2410" w:type="dxa"/>
            <w:vAlign w:val="center"/>
          </w:tcPr>
          <w:p>
            <w:pPr>
              <w:jc w:val="center"/>
              <w:rPr>
                <w:rFonts w:hAnsi="Calibri" w:cs="Times New Roman"/>
                <w:color w:val="auto"/>
              </w:rPr>
            </w:pPr>
            <w:r>
              <w:rPr>
                <w:rFonts w:hint="eastAsia" w:hAnsi="Calibri" w:cs="Times New Roman"/>
                <w:color w:val="auto"/>
              </w:rPr>
              <w:t>投标保证金</w:t>
            </w:r>
          </w:p>
        </w:tc>
        <w:tc>
          <w:tcPr>
            <w:tcW w:w="2410" w:type="dxa"/>
            <w:vAlign w:val="center"/>
          </w:tcPr>
          <w:p>
            <w:pPr>
              <w:jc w:val="center"/>
              <w:rPr>
                <w:rFonts w:hAnsi="Calibri" w:cs="Times New Roman"/>
                <w:color w:val="auto"/>
              </w:rPr>
            </w:pPr>
            <w:r>
              <w:rPr>
                <w:rFonts w:hint="eastAsia" w:hAnsi="Calibri" w:cs="Times New Roman"/>
                <w:color w:val="auto"/>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color w:val="auto"/>
              </w:rPr>
            </w:pPr>
          </w:p>
        </w:tc>
        <w:tc>
          <w:tcPr>
            <w:tcW w:w="1275" w:type="dxa"/>
            <w:tcBorders>
              <w:left w:val="single" w:color="000000" w:sz="4" w:space="0"/>
            </w:tcBorders>
            <w:vAlign w:val="center"/>
          </w:tcPr>
          <w:p>
            <w:pPr>
              <w:spacing w:line="240" w:lineRule="auto"/>
              <w:jc w:val="center"/>
              <w:rPr>
                <w:rFonts w:hAnsi="Calibri" w:cs="Times New Roman"/>
                <w:color w:val="auto"/>
              </w:rPr>
            </w:pPr>
          </w:p>
        </w:tc>
        <w:tc>
          <w:tcPr>
            <w:tcW w:w="2410" w:type="dxa"/>
            <w:vAlign w:val="center"/>
          </w:tcPr>
          <w:p>
            <w:pPr>
              <w:spacing w:line="240" w:lineRule="auto"/>
              <w:rPr>
                <w:rFonts w:hAnsi="Calibri" w:cs="Times New Roman"/>
                <w:color w:val="auto"/>
              </w:rPr>
            </w:pPr>
            <w:r>
              <w:rPr>
                <w:rFonts w:hint="eastAsia" w:hAnsi="Calibri" w:cs="Times New Roman"/>
                <w:color w:val="auto"/>
              </w:rPr>
              <w:t>大写：</w:t>
            </w:r>
          </w:p>
          <w:p>
            <w:pPr>
              <w:spacing w:line="240" w:lineRule="auto"/>
              <w:rPr>
                <w:rFonts w:hAnsi="Calibri" w:cs="Times New Roman"/>
                <w:color w:val="auto"/>
              </w:rPr>
            </w:pPr>
            <w:r>
              <w:rPr>
                <w:rFonts w:hint="eastAsia" w:hAnsi="Calibri" w:cs="Times New Roman"/>
                <w:color w:val="auto"/>
              </w:rPr>
              <w:t>小写：</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【如无投标声明可填写“无”】</w:t>
            </w:r>
          </w:p>
        </w:tc>
      </w:tr>
    </w:tbl>
    <w:p>
      <w:pPr>
        <w:ind w:firstLine="480" w:firstLineChars="200"/>
        <w:rPr>
          <w:color w:val="auto"/>
        </w:rPr>
      </w:pPr>
      <w:r>
        <w:rPr>
          <w:rFonts w:hint="eastAsia"/>
          <w:color w:val="auto"/>
        </w:rPr>
        <w:t>注：</w:t>
      </w:r>
    </w:p>
    <w:p>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pPr>
        <w:ind w:firstLine="480" w:firstLineChars="200"/>
      </w:pPr>
      <w:r>
        <w:t>2</w:t>
      </w:r>
      <w:r>
        <w:rPr>
          <w:rFonts w:hint="eastAsia"/>
        </w:rPr>
        <w:t>.此表中，投标总价应与附件3分项报价表中的投标总价一致。</w:t>
      </w:r>
    </w:p>
    <w:p>
      <w:pPr>
        <w:ind w:firstLine="480" w:firstLineChars="200"/>
      </w:pPr>
    </w:p>
    <w:p>
      <w:pPr>
        <w:rPr>
          <w:u w:val="single"/>
        </w:rPr>
      </w:pPr>
      <w:r>
        <w:t>投标人名称</w:t>
      </w:r>
      <w:r>
        <w:rPr>
          <w:rFonts w:hint="eastAsia"/>
        </w:rPr>
        <w:t>（公章）</w:t>
      </w:r>
      <w:r>
        <w:t>：</w:t>
      </w:r>
      <w:r>
        <w:rPr>
          <w:u w:val="single"/>
        </w:rPr>
        <w:t xml:space="preserve">                </w:t>
      </w:r>
    </w:p>
    <w:p>
      <w:pPr>
        <w:rPr>
          <w:u w:val="single"/>
        </w:rPr>
      </w:pPr>
      <w:r>
        <w:rPr>
          <w:rFonts w:hint="eastAsia" w:hAnsi="Calibri" w:cs="Times New Roman"/>
          <w:spacing w:val="2"/>
        </w:rPr>
        <w:t>法定代表人签署或被授权人签字</w:t>
      </w:r>
      <w:r>
        <w:t>：</w:t>
      </w:r>
      <w:r>
        <w:rPr>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65" w:name="_Toc31630"/>
      <w:r>
        <w:rPr>
          <w:rFonts w:hint="eastAsia"/>
        </w:rPr>
        <w:t>投标人开票信息表格式</w:t>
      </w:r>
      <w:bookmarkEnd w:id="165"/>
    </w:p>
    <w:p>
      <w:r>
        <w:rPr>
          <w:rFonts w:hint="eastAsia"/>
        </w:rPr>
        <w:t>项目名称：</w:t>
      </w:r>
      <w:r>
        <w:t>____________________________</w:t>
      </w:r>
    </w:p>
    <w:p>
      <w:r>
        <w:rPr>
          <w:rFonts w:hint="eastAsia"/>
        </w:rPr>
        <w:t>项目编号：</w:t>
      </w:r>
      <w:r>
        <w:t>____________________________</w:t>
      </w:r>
    </w:p>
    <w:p>
      <w:pPr>
        <w:pStyle w:val="49"/>
        <w:ind w:firstLine="480"/>
      </w:pPr>
      <w:r>
        <w:rPr>
          <w:rFonts w:hint="eastAsia"/>
        </w:rPr>
        <w:t>如果我单位中标/成交，请贵单位开具以下服务费发票：</w:t>
      </w:r>
    </w:p>
    <w:p>
      <w:pPr>
        <w:pStyle w:val="49"/>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9"/>
        <w:ind w:firstLine="480"/>
      </w:pPr>
      <w:r>
        <w:rPr>
          <w:rFonts w:hint="eastAsia"/>
        </w:rPr>
        <w:t>我单位开票信息为：</w:t>
      </w:r>
    </w:p>
    <w:p>
      <w:pPr>
        <w:pStyle w:val="49"/>
        <w:ind w:firstLine="480"/>
      </w:pPr>
      <w:r>
        <w:rPr>
          <w:rFonts w:hint="eastAsia"/>
        </w:rPr>
        <w:t>单位全称：</w:t>
      </w:r>
      <w:r>
        <w:t>____________________________</w:t>
      </w:r>
    </w:p>
    <w:p>
      <w:pPr>
        <w:pStyle w:val="49"/>
        <w:ind w:firstLine="480"/>
      </w:pPr>
      <w:r>
        <w:rPr>
          <w:rFonts w:hint="eastAsia"/>
        </w:rPr>
        <w:t>纳税人识别号：</w:t>
      </w:r>
      <w:r>
        <w:t>____________________________</w:t>
      </w:r>
    </w:p>
    <w:p>
      <w:pPr>
        <w:pStyle w:val="49"/>
        <w:ind w:firstLine="480"/>
      </w:pPr>
      <w:r>
        <w:rPr>
          <w:rFonts w:hint="eastAsia"/>
        </w:rPr>
        <w:t>增值税专用发票地址：</w:t>
      </w:r>
      <w:r>
        <w:t>____________________________</w:t>
      </w:r>
    </w:p>
    <w:p>
      <w:pPr>
        <w:pStyle w:val="49"/>
        <w:ind w:firstLine="480"/>
      </w:pPr>
      <w:r>
        <w:rPr>
          <w:rFonts w:hint="eastAsia"/>
        </w:rPr>
        <w:t>增值税专用发票电话：</w:t>
      </w:r>
      <w:r>
        <w:t>____________________________</w:t>
      </w:r>
    </w:p>
    <w:p>
      <w:pPr>
        <w:pStyle w:val="49"/>
        <w:ind w:firstLine="480"/>
      </w:pPr>
      <w:r>
        <w:rPr>
          <w:rFonts w:hint="eastAsia"/>
        </w:rPr>
        <w:t>增值税专用发票开户行名称：</w:t>
      </w:r>
      <w:r>
        <w:t>____________________________</w:t>
      </w:r>
    </w:p>
    <w:p>
      <w:pPr>
        <w:pStyle w:val="49"/>
        <w:ind w:firstLine="480"/>
      </w:pPr>
      <w:r>
        <w:rPr>
          <w:rFonts w:hint="eastAsia"/>
        </w:rPr>
        <w:t>增值税专用发票开户行账号：</w:t>
      </w:r>
      <w:r>
        <w:t>____________________________</w:t>
      </w:r>
    </w:p>
    <w:p>
      <w:pPr>
        <w:pStyle w:val="49"/>
        <w:ind w:firstLine="480"/>
      </w:pPr>
    </w:p>
    <w:p>
      <w:pPr>
        <w:pStyle w:val="49"/>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9"/>
        <w:ind w:firstLine="480"/>
      </w:pPr>
      <w:r>
        <w:rPr>
          <w:rFonts w:hint="eastAsia"/>
        </w:rPr>
        <w:t>我单位确认所填开票信息正确无误，以上信息已与我单位财务人员核实，若因开票信息错误等原因造成的相关损失，由我单位自行承担。</w:t>
      </w:r>
    </w:p>
    <w:p>
      <w:pPr>
        <w:pStyle w:val="49"/>
        <w:ind w:firstLine="480"/>
      </w:pPr>
      <w:r>
        <w:rPr>
          <w:rFonts w:hint="eastAsia"/>
        </w:rPr>
        <w:t>我单位将在贵单位发票开出后，派人到现场领取。</w:t>
      </w:r>
    </w:p>
    <w:p>
      <w:pPr>
        <w:pStyle w:val="49"/>
        <w:ind w:firstLine="480"/>
      </w:pPr>
      <w:r>
        <w:rPr>
          <w:rFonts w:hint="eastAsia"/>
        </w:rPr>
        <w:t>邮寄服务并非中化商务有限公司提供，存在发票丢失、损毁的风险，我单位自行负责。</w:t>
      </w:r>
    </w:p>
    <w:p>
      <w:pPr>
        <w:pStyle w:val="49"/>
        <w:ind w:firstLine="480"/>
      </w:pPr>
    </w:p>
    <w:p>
      <w:r>
        <w:rPr>
          <w:rFonts w:hint="eastAsia"/>
        </w:rPr>
        <w:t>投标人名称(公章)：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166" w:name="_Toc83547687"/>
    </w:p>
    <w:bookmarkEnd w:id="166"/>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4"/>
      </w:pPr>
      <w:bookmarkStart w:id="167" w:name="_Toc27029"/>
      <w:r>
        <w:rPr>
          <w:rFonts w:hint="eastAsia"/>
        </w:rPr>
        <w:t>附件</w:t>
      </w:r>
      <w:r>
        <w:t>3</w:t>
      </w:r>
      <w:r>
        <w:rPr>
          <w:rFonts w:hint="eastAsia"/>
        </w:rPr>
        <w:t xml:space="preserve"> 投标分项报价表格式</w:t>
      </w:r>
      <w:bookmarkEnd w:id="167"/>
    </w:p>
    <w:p>
      <w:pPr>
        <w:widowControl/>
        <w:adjustRightInd/>
        <w:snapToGrid/>
        <w:spacing w:line="240" w:lineRule="auto"/>
        <w:jc w:val="left"/>
        <w:rPr>
          <w:rFonts w:hAnsi="Calibri" w:cs="Times New Roman"/>
        </w:rPr>
      </w:pPr>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pPr>
        <w:spacing w:line="360" w:lineRule="auto"/>
        <w:ind w:left="720" w:right="-48" w:rightChars="-20" w:hanging="720"/>
        <w:rPr>
          <w:rFonts w:hAnsi="Calibri" w:cs="Times New Roman"/>
        </w:rPr>
      </w:pPr>
      <w:r>
        <w:rPr>
          <w:rFonts w:hint="eastAsia" w:hAnsi="Calibri" w:cs="Times New Roman"/>
        </w:rPr>
        <w:t>项目名称：</w:t>
      </w:r>
      <w:r>
        <w:t>____________________________</w:t>
      </w:r>
    </w:p>
    <w:p>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4"/>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1</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2</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3</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4</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pPr>
              <w:widowControl/>
              <w:adjustRightInd/>
              <w:snapToGrid/>
              <w:spacing w:line="240" w:lineRule="auto"/>
              <w:jc w:val="left"/>
              <w:rPr>
                <w:rFonts w:hAnsi="Calibri" w:cs="Times New Roman"/>
              </w:rPr>
            </w:pPr>
            <w:r>
              <w:rPr>
                <w:rFonts w:hAnsi="Calibri" w:cs="Times New Roman"/>
              </w:rPr>
              <w:t>5</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6</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pPr>
              <w:widowControl/>
              <w:adjustRightInd/>
              <w:snapToGrid/>
              <w:spacing w:line="240" w:lineRule="auto"/>
              <w:jc w:val="left"/>
              <w:rPr>
                <w:rFonts w:hAnsi="Calibri" w:cs="Times New Roman"/>
              </w:rPr>
            </w:pPr>
          </w:p>
        </w:tc>
        <w:tc>
          <w:tcPr>
            <w:tcW w:w="1978" w:type="dxa"/>
            <w:tcBorders>
              <w:left w:val="single" w:color="auto" w:sz="4" w:space="0"/>
            </w:tcBorders>
          </w:tcPr>
          <w:p>
            <w:pPr>
              <w:widowControl/>
              <w:adjustRightInd/>
              <w:snapToGrid/>
              <w:spacing w:line="240" w:lineRule="auto"/>
              <w:jc w:val="left"/>
              <w:rPr>
                <w:rFonts w:hAnsi="Calibri" w:cs="Times New Roman"/>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pPr>
        <w:spacing w:line="360" w:lineRule="auto"/>
        <w:rPr>
          <w:rFonts w:hAnsi="Calibri" w:cs="Times New Roman"/>
        </w:rPr>
      </w:pPr>
      <w:r>
        <w:rPr>
          <w:rFonts w:hint="eastAsia" w:hAnsi="Calibri" w:cs="Times New Roman"/>
        </w:rPr>
        <w:t>投标人名称（盖章）：____________________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widowControl/>
        <w:adjustRightInd/>
        <w:snapToGrid/>
        <w:spacing w:line="240" w:lineRule="auto"/>
        <w:jc w:val="left"/>
        <w:rPr>
          <w:rFonts w:hAnsi="Calibri" w:cs="Times New Roman"/>
        </w:rPr>
      </w:pPr>
    </w:p>
    <w:p>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pPr>
        <w:pStyle w:val="4"/>
        <w:rPr>
          <w:rFonts w:hAnsi="宋体"/>
        </w:rPr>
      </w:pPr>
      <w:bookmarkStart w:id="168" w:name="_Toc27097"/>
      <w:bookmarkStart w:id="169" w:name="_Toc350862083"/>
      <w:bookmarkStart w:id="170" w:name="_Toc353348622"/>
      <w:bookmarkStart w:id="171" w:name="_Toc350850482"/>
      <w:r>
        <w:rPr>
          <w:rFonts w:hint="eastAsia" w:hAnsi="Calibri"/>
        </w:rPr>
        <w:t>附件</w:t>
      </w:r>
      <w:r>
        <w:rPr>
          <w:rFonts w:hAnsi="Calibri"/>
        </w:rPr>
        <w:t xml:space="preserve">4 </w:t>
      </w:r>
      <w:r>
        <w:rPr>
          <w:rFonts w:hint="eastAsia" w:hAnsi="宋体"/>
        </w:rPr>
        <w:t>技术服务需求偏离表格式</w:t>
      </w:r>
      <w:bookmarkEnd w:id="168"/>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rPr>
      </w:pPr>
      <w:r>
        <w:rPr>
          <w:rFonts w:hint="eastAsia" w:hAnsi="宋体"/>
        </w:rPr>
        <w:t>项目名称：</w:t>
      </w:r>
    </w:p>
    <w:p>
      <w:pPr>
        <w:spacing w:line="360" w:lineRule="auto"/>
        <w:ind w:left="720" w:hanging="720"/>
        <w:rPr>
          <w:rFonts w:hAnsi="宋体"/>
        </w:rPr>
      </w:pPr>
      <w:r>
        <w:rPr>
          <w:rFonts w:hint="eastAsia" w:hAnsi="宋体"/>
        </w:rPr>
        <w:t>项目编号/包件号：                       包件名称：</w:t>
      </w:r>
    </w:p>
    <w:tbl>
      <w:tblPr>
        <w:tblStyle w:val="24"/>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rPr>
                <w:color w:val="auto"/>
              </w:rPr>
            </w:pPr>
            <w:r>
              <w:rPr>
                <w:rFonts w:hint="eastAsia"/>
                <w:color w:val="auto"/>
              </w:rPr>
              <w:t>序号</w:t>
            </w:r>
          </w:p>
        </w:tc>
        <w:tc>
          <w:tcPr>
            <w:tcW w:w="1559" w:type="dxa"/>
            <w:vAlign w:val="center"/>
          </w:tcPr>
          <w:p>
            <w:pPr>
              <w:spacing w:line="240" w:lineRule="auto"/>
              <w:rPr>
                <w:color w:val="auto"/>
              </w:rPr>
            </w:pPr>
            <w:r>
              <w:rPr>
                <w:rFonts w:hint="eastAsia"/>
                <w:color w:val="auto"/>
              </w:rPr>
              <w:t>指标项</w:t>
            </w:r>
          </w:p>
        </w:tc>
        <w:tc>
          <w:tcPr>
            <w:tcW w:w="1753" w:type="dxa"/>
            <w:vAlign w:val="center"/>
          </w:tcPr>
          <w:p>
            <w:pPr>
              <w:spacing w:line="240" w:lineRule="auto"/>
              <w:rPr>
                <w:color w:val="auto"/>
              </w:rPr>
            </w:pPr>
            <w:r>
              <w:rPr>
                <w:rFonts w:hint="eastAsia"/>
                <w:color w:val="auto"/>
              </w:rPr>
              <w:t>招标文件需求要求</w:t>
            </w:r>
          </w:p>
        </w:tc>
        <w:tc>
          <w:tcPr>
            <w:tcW w:w="1701" w:type="dxa"/>
            <w:vAlign w:val="center"/>
          </w:tcPr>
          <w:p>
            <w:pPr>
              <w:spacing w:line="240" w:lineRule="auto"/>
              <w:rPr>
                <w:color w:val="auto"/>
              </w:rPr>
            </w:pPr>
            <w:r>
              <w:rPr>
                <w:rFonts w:hint="eastAsia"/>
                <w:color w:val="auto"/>
              </w:rPr>
              <w:t>投标货物及服务的技术参数和性能</w:t>
            </w:r>
          </w:p>
        </w:tc>
        <w:tc>
          <w:tcPr>
            <w:tcW w:w="1843" w:type="dxa"/>
            <w:vAlign w:val="center"/>
          </w:tcPr>
          <w:p>
            <w:pPr>
              <w:spacing w:line="240" w:lineRule="auto"/>
              <w:rPr>
                <w:color w:val="auto"/>
              </w:rPr>
            </w:pPr>
            <w:r>
              <w:rPr>
                <w:rFonts w:hint="eastAsia"/>
                <w:color w:val="auto"/>
              </w:rPr>
              <w:t>偏离说明</w:t>
            </w:r>
          </w:p>
        </w:tc>
        <w:tc>
          <w:tcPr>
            <w:tcW w:w="1821" w:type="dxa"/>
            <w:vAlign w:val="center"/>
          </w:tcPr>
          <w:p>
            <w:pPr>
              <w:spacing w:line="240" w:lineRule="auto"/>
              <w:rPr>
                <w:color w:val="auto"/>
              </w:rPr>
            </w:pPr>
            <w:r>
              <w:rPr>
                <w:rFonts w:hint="eastAsia"/>
                <w:color w:val="auto"/>
              </w:rPr>
              <w:t>技术支持材料或说明证明文件在投标文件中的索引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rPr>
                <w:color w:val="auto"/>
              </w:rPr>
            </w:pPr>
          </w:p>
        </w:tc>
        <w:tc>
          <w:tcPr>
            <w:tcW w:w="1559" w:type="dxa"/>
          </w:tcPr>
          <w:p>
            <w:pPr>
              <w:spacing w:line="240" w:lineRule="auto"/>
              <w:rPr>
                <w:color w:val="auto"/>
              </w:rPr>
            </w:pPr>
            <w:r>
              <w:rPr>
                <w:rFonts w:hint="eastAsia"/>
                <w:color w:val="auto"/>
              </w:rPr>
              <w:t>【填写招标文件技术服务需求中条文的编号】</w:t>
            </w:r>
          </w:p>
        </w:tc>
        <w:tc>
          <w:tcPr>
            <w:tcW w:w="1753" w:type="dxa"/>
          </w:tcPr>
          <w:p>
            <w:pPr>
              <w:spacing w:line="240" w:lineRule="auto"/>
              <w:rPr>
                <w:color w:val="auto"/>
              </w:rPr>
            </w:pPr>
            <w:r>
              <w:rPr>
                <w:rFonts w:hint="eastAsia"/>
                <w:color w:val="auto"/>
              </w:rPr>
              <w:t>【直接复制招标文件的技术服务需求中该编号对应的具体条文要求】</w:t>
            </w:r>
          </w:p>
        </w:tc>
        <w:tc>
          <w:tcPr>
            <w:tcW w:w="1701" w:type="dxa"/>
          </w:tcPr>
          <w:p>
            <w:pPr>
              <w:spacing w:line="240" w:lineRule="auto"/>
              <w:rPr>
                <w:color w:val="auto"/>
              </w:rPr>
            </w:pPr>
            <w:r>
              <w:rPr>
                <w:rFonts w:hint="eastAsia"/>
                <w:color w:val="auto"/>
              </w:rPr>
              <w:t>【填写所提供货物及服务对该要求的技术参数或性能响应或者投标人对该条文的商务或其他响应】</w:t>
            </w:r>
          </w:p>
        </w:tc>
        <w:tc>
          <w:tcPr>
            <w:tcW w:w="1843" w:type="dxa"/>
          </w:tcPr>
          <w:p>
            <w:pPr>
              <w:spacing w:line="240" w:lineRule="auto"/>
              <w:rPr>
                <w:color w:val="auto"/>
              </w:rPr>
            </w:pPr>
            <w:r>
              <w:rPr>
                <w:rFonts w:hint="eastAsia"/>
                <w:color w:val="auto"/>
              </w:rPr>
              <w:t>【填写：优于（即“正偏离”）、满足（即无偏离）或不满足（即负偏离），并可进一步进行偏离说明】</w:t>
            </w:r>
          </w:p>
        </w:tc>
        <w:tc>
          <w:tcPr>
            <w:tcW w:w="1821" w:type="dxa"/>
          </w:tcPr>
          <w:p>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bl>
    <w:p>
      <w:pPr>
        <w:spacing w:line="360" w:lineRule="auto"/>
        <w:ind w:left="720" w:right="-48" w:rightChars="-20" w:hanging="720"/>
        <w:jc w:val="left"/>
        <w:rPr>
          <w:rFonts w:hAnsi="宋体"/>
          <w:color w:val="auto"/>
        </w:rPr>
      </w:pPr>
      <w:r>
        <w:rPr>
          <w:rFonts w:hint="eastAsia" w:hAnsi="宋体"/>
          <w:color w:val="auto"/>
        </w:rPr>
        <w:t>投标人名称（盖章）：</w:t>
      </w:r>
      <w:r>
        <w:rPr>
          <w:rFonts w:hint="eastAsia"/>
          <w:color w:val="auto"/>
        </w:rPr>
        <w:t>_____________________</w:t>
      </w:r>
    </w:p>
    <w:p>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pPr>
        <w:pStyle w:val="53"/>
        <w:rPr>
          <w:color w:val="auto"/>
        </w:rPr>
      </w:pPr>
    </w:p>
    <w:p>
      <w:pPr>
        <w:pStyle w:val="53"/>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pPr>
        <w:pStyle w:val="53"/>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pPr>
        <w:pStyle w:val="53"/>
        <w:ind w:left="709"/>
        <w:rPr>
          <w:rFonts w:hAnsi="Cambria" w:eastAsia="黑体"/>
          <w:b/>
          <w:bCs/>
          <w:color w:val="auto"/>
          <w:kern w:val="0"/>
          <w:sz w:val="32"/>
          <w:szCs w:val="32"/>
        </w:rPr>
      </w:pPr>
      <w:r>
        <w:rPr>
          <w:color w:val="auto"/>
        </w:rPr>
        <w:br w:type="page"/>
      </w:r>
    </w:p>
    <w:p>
      <w:pPr>
        <w:pStyle w:val="4"/>
      </w:pPr>
      <w:bookmarkStart w:id="172" w:name="_Toc17139"/>
      <w:r>
        <w:rPr>
          <w:rFonts w:hint="eastAsia"/>
        </w:rPr>
        <w:t>附件5 合同条款偏离表格式</w:t>
      </w:r>
      <w:bookmarkEnd w:id="172"/>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24"/>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jc w:val="center"/>
              <w:rPr>
                <w:rFonts w:hAnsi="Calibri" w:cs="Times New Roman"/>
                <w:b/>
                <w:bCs/>
              </w:rPr>
            </w:pPr>
            <w:r>
              <w:rPr>
                <w:rFonts w:hint="eastAsia" w:hAnsi="Calibri" w:cs="Times New Roman"/>
                <w:b/>
                <w:bCs/>
              </w:rPr>
              <w:t>序号</w:t>
            </w:r>
          </w:p>
        </w:tc>
        <w:tc>
          <w:tcPr>
            <w:tcW w:w="1545" w:type="dxa"/>
            <w:vAlign w:val="center"/>
          </w:tcPr>
          <w:p>
            <w:pPr>
              <w:spacing w:line="240" w:lineRule="auto"/>
              <w:jc w:val="center"/>
              <w:rPr>
                <w:rFonts w:hint="eastAsia" w:hAnsi="Calibri" w:cs="Times New Roman" w:eastAsiaTheme="minorEastAsia"/>
                <w:b/>
                <w:bCs/>
                <w:lang w:eastAsia="zh-CN"/>
              </w:rPr>
            </w:pPr>
            <w:r>
              <w:rPr>
                <w:rFonts w:hint="eastAsia" w:hAnsi="Calibri" w:cs="Times New Roman"/>
                <w:b/>
                <w:bCs/>
              </w:rPr>
              <w:t>招标文件</w:t>
            </w:r>
          </w:p>
          <w:p>
            <w:pPr>
              <w:spacing w:line="240" w:lineRule="auto"/>
              <w:jc w:val="center"/>
              <w:rPr>
                <w:rFonts w:hAnsi="Calibri" w:cs="Times New Roman"/>
                <w:b/>
                <w:bCs/>
              </w:rPr>
            </w:pPr>
            <w:r>
              <w:rPr>
                <w:rFonts w:hint="eastAsia" w:hAnsi="Calibri" w:cs="Times New Roman"/>
                <w:b/>
                <w:bCs/>
              </w:rPr>
              <w:t>条目号</w:t>
            </w:r>
          </w:p>
        </w:tc>
        <w:tc>
          <w:tcPr>
            <w:tcW w:w="2400" w:type="dxa"/>
            <w:vAlign w:val="center"/>
          </w:tcPr>
          <w:p>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240" w:lineRule="auto"/>
            </w:pPr>
            <w:r>
              <w:rPr>
                <w:rFonts w:hint="eastAsia"/>
              </w:rPr>
              <w:t>【填写招标文件拟签订的合同文本条款的编号】</w:t>
            </w:r>
          </w:p>
        </w:tc>
        <w:tc>
          <w:tcPr>
            <w:tcW w:w="2400" w:type="dxa"/>
          </w:tcPr>
          <w:p>
            <w:pPr>
              <w:spacing w:line="240" w:lineRule="auto"/>
            </w:pPr>
            <w:r>
              <w:rPr>
                <w:rFonts w:hint="eastAsia"/>
              </w:rPr>
              <w:t>【填写招标文件的拟签订的合同文本中该编号对应的具体条款内容】</w:t>
            </w:r>
          </w:p>
        </w:tc>
        <w:tc>
          <w:tcPr>
            <w:tcW w:w="2470" w:type="dxa"/>
          </w:tcPr>
          <w:p>
            <w:pPr>
              <w:spacing w:line="240" w:lineRule="auto"/>
            </w:pPr>
            <w:r>
              <w:rPr>
                <w:rFonts w:hint="eastAsia"/>
              </w:rPr>
              <w:t>【填写投标人对该条款内容的响应】</w:t>
            </w:r>
          </w:p>
        </w:tc>
        <w:tc>
          <w:tcPr>
            <w:tcW w:w="1934"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53"/>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pPr>
        <w:pStyle w:val="53"/>
      </w:pPr>
      <w:r>
        <w:tab/>
      </w:r>
      <w:r>
        <w:t>2</w:t>
      </w:r>
      <w:r>
        <w:rPr>
          <w:rFonts w:hint="eastAsia"/>
        </w:rPr>
        <w:t>、除以上“偏离说明”栏中列明的“不满足”或“优于”项外，视为投标人无条件满足并接受招标文件规定的所有其它商务条款。</w:t>
      </w:r>
    </w:p>
    <w:p>
      <w:pPr>
        <w:pStyle w:val="53"/>
      </w:pPr>
      <w:r>
        <w:rPr>
          <w:rFonts w:hint="eastAsia"/>
        </w:rPr>
        <w:tab/>
      </w:r>
      <w:r>
        <w:rPr>
          <w:rFonts w:hint="eastAsia"/>
        </w:rPr>
        <w:t>3、如不列出，视为投标人无条件满足并接受招标文件规定的所有合同条款。</w:t>
      </w:r>
    </w:p>
    <w:p/>
    <w:bookmarkEnd w:id="169"/>
    <w:bookmarkEnd w:id="170"/>
    <w:bookmarkEnd w:id="171"/>
    <w:p>
      <w:pPr>
        <w:pStyle w:val="4"/>
      </w:pPr>
      <w:r>
        <w:br w:type="page"/>
      </w:r>
      <w:bookmarkStart w:id="173" w:name="_Toc16170"/>
      <w:bookmarkStart w:id="174" w:name="_Toc469921740"/>
      <w:bookmarkStart w:id="175" w:name="_Toc353348618"/>
      <w:bookmarkStart w:id="176" w:name="_Toc451779067"/>
      <w:bookmarkStart w:id="177" w:name="_Toc350850478"/>
      <w:bookmarkStart w:id="178" w:name="_Toc451524465"/>
      <w:bookmarkStart w:id="179" w:name="_Toc350862079"/>
      <w:r>
        <w:rPr>
          <w:rFonts w:hint="eastAsia"/>
        </w:rPr>
        <w:t>附件</w:t>
      </w:r>
      <w:r>
        <w:t xml:space="preserve">6 </w:t>
      </w:r>
      <w:r>
        <w:rPr>
          <w:rFonts w:hint="eastAsia"/>
        </w:rPr>
        <w:t>法定代表人授权书格式</w:t>
      </w:r>
      <w:bookmarkEnd w:id="173"/>
    </w:p>
    <w:p>
      <w:pPr>
        <w:jc w:val="left"/>
      </w:pPr>
      <w:r>
        <w:rPr>
          <w:rFonts w:hint="eastAsia"/>
        </w:rPr>
        <w:t>【投标人为无法定代表人的其他团体组织等时，法定代表人则系指其负责人。法定代表人（或负责人）签字、盖手签章或盖姓名章均为有效法定代表人签署。】</w:t>
      </w:r>
    </w:p>
    <w:p>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180"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180"/>
    </w:tbl>
    <w:p>
      <w:pPr>
        <w:pStyle w:val="49"/>
        <w:ind w:firstLine="480"/>
      </w:pPr>
      <w:r>
        <w:rPr>
          <w:rFonts w:hint="eastAsia"/>
        </w:rPr>
        <w:t>被授权人身份证复印件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174"/>
    <w:bookmarkEnd w:id="175"/>
    <w:bookmarkEnd w:id="176"/>
    <w:bookmarkEnd w:id="177"/>
    <w:bookmarkEnd w:id="178"/>
    <w:bookmarkEnd w:id="179"/>
    <w:p>
      <w:pPr>
        <w:pStyle w:val="4"/>
      </w:pPr>
      <w:bookmarkStart w:id="181" w:name="_Toc13412"/>
      <w:r>
        <w:rPr>
          <w:rFonts w:hint="eastAsia"/>
        </w:rPr>
        <w:t>附件</w:t>
      </w:r>
      <w:r>
        <w:t>7</w:t>
      </w:r>
      <w:r>
        <w:rPr>
          <w:rFonts w:hint="eastAsia"/>
        </w:rPr>
        <w:t xml:space="preserve"> 详细的技术服务响应</w:t>
      </w:r>
      <w:bookmarkEnd w:id="181"/>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pPr>
        <w:pStyle w:val="49"/>
        <w:ind w:firstLine="480"/>
        <w:rPr>
          <w:color w:val="auto"/>
        </w:rPr>
      </w:pPr>
      <w:r>
        <w:rPr>
          <w:rFonts w:hint="eastAsia"/>
        </w:rPr>
        <w:t>【投标人对照招标文件</w:t>
      </w:r>
      <w:r>
        <w:rPr>
          <w:rFonts w:hint="eastAsia"/>
          <w:color w:val="auto"/>
        </w:rPr>
        <w:t>第三章评分标准和第四章技术服务需求编写响应技术文件。由投标人自行编制，须对招标文件的所有相关技术服务需求要求作出详尽响应。】</w:t>
      </w:r>
    </w:p>
    <w:p>
      <w:pPr>
        <w:pStyle w:val="49"/>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pPr>
        <w:pStyle w:val="48"/>
        <w:rPr>
          <w:color w:val="auto"/>
        </w:rPr>
      </w:pPr>
      <w:bookmarkStart w:id="182" w:name="_Toc21958"/>
      <w:bookmarkStart w:id="183" w:name="_Toc451786889"/>
      <w:r>
        <w:rPr>
          <w:color w:val="auto"/>
        </w:rPr>
        <w:t>7</w:t>
      </w:r>
      <w:r>
        <w:rPr>
          <w:rFonts w:hint="eastAsia"/>
          <w:color w:val="auto"/>
        </w:rPr>
        <w:t>-</w:t>
      </w:r>
      <w:r>
        <w:rPr>
          <w:color w:val="auto"/>
        </w:rPr>
        <w:t>1</w:t>
      </w:r>
      <w:r>
        <w:rPr>
          <w:rFonts w:hint="eastAsia"/>
          <w:color w:val="auto"/>
        </w:rPr>
        <w:t>、拟派实施人员汇总表格式</w:t>
      </w:r>
      <w:bookmarkEnd w:id="182"/>
    </w:p>
    <w:p>
      <w:pPr>
        <w:spacing w:line="360" w:lineRule="auto"/>
        <w:jc w:val="center"/>
        <w:rPr>
          <w:rFonts w:hAnsi="Calibri" w:cs="Times New Roman"/>
          <w:b/>
          <w:bCs/>
        </w:rPr>
      </w:pPr>
      <w:r>
        <w:rPr>
          <w:rFonts w:hint="eastAsia" w:hAnsi="Calibri" w:cs="Times New Roman"/>
          <w:b/>
          <w:bCs/>
        </w:rPr>
        <w:t>拟派实施人员汇总表</w:t>
      </w:r>
      <w:bookmarkEnd w:id="183"/>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r>
              <w:rPr>
                <w:rFonts w:hint="eastAsia"/>
              </w:rPr>
              <w:t>姓名</w:t>
            </w:r>
          </w:p>
        </w:tc>
        <w:tc>
          <w:tcPr>
            <w:tcW w:w="1702" w:type="dxa"/>
            <w:vAlign w:val="center"/>
          </w:tcPr>
          <w:p>
            <w:r>
              <w:rPr>
                <w:rFonts w:hint="eastAsia"/>
              </w:rPr>
              <w:t>联系方式</w:t>
            </w:r>
          </w:p>
        </w:tc>
        <w:tc>
          <w:tcPr>
            <w:tcW w:w="2693" w:type="dxa"/>
            <w:vAlign w:val="center"/>
          </w:tcPr>
          <w:p>
            <w:r>
              <w:rPr>
                <w:rFonts w:hint="eastAsia"/>
              </w:rPr>
              <w:t>本项目中拟任岗位</w:t>
            </w:r>
          </w:p>
        </w:tc>
        <w:tc>
          <w:tcPr>
            <w:tcW w:w="1773" w:type="dxa"/>
            <w:vAlign w:val="center"/>
          </w:tcPr>
          <w:p>
            <w:r>
              <w:rPr>
                <w:rFonts w:hint="eastAsia"/>
              </w:rPr>
              <w:t>相关资质认证</w:t>
            </w:r>
          </w:p>
        </w:tc>
        <w:tc>
          <w:tcPr>
            <w:tcW w:w="2126" w:type="dxa"/>
            <w:vAlign w:val="center"/>
          </w:tcPr>
          <w:p>
            <w:r>
              <w:rPr>
                <w:rFonts w:hint="eastAsia"/>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bl>
    <w:p/>
    <w:p/>
    <w:p>
      <w:pPr>
        <w:rPr>
          <w:rFonts w:hAnsi="Calibri" w:cs="Times New Roman"/>
        </w:rPr>
      </w:pPr>
    </w:p>
    <w:p>
      <w:pPr>
        <w:widowControl/>
        <w:adjustRightInd/>
        <w:snapToGrid/>
        <w:spacing w:line="240" w:lineRule="auto"/>
        <w:jc w:val="left"/>
        <w:rPr>
          <w:rFonts w:hAnsi="Calibri" w:cs="Times New Roman"/>
        </w:rPr>
      </w:pPr>
      <w:r>
        <w:rPr>
          <w:rFonts w:hAnsi="Calibri" w:cs="Times New Roman"/>
        </w:rPr>
        <w:br w:type="page"/>
      </w:r>
    </w:p>
    <w:p>
      <w:pPr>
        <w:pStyle w:val="48"/>
      </w:pPr>
      <w:bookmarkStart w:id="184" w:name="_Toc29280"/>
      <w:bookmarkStart w:id="185" w:name="_Toc451786890"/>
      <w:r>
        <w:t>7</w:t>
      </w:r>
      <w:r>
        <w:rPr>
          <w:rFonts w:hint="eastAsia"/>
        </w:rPr>
        <w:t>-</w:t>
      </w:r>
      <w:r>
        <w:t>2</w:t>
      </w:r>
      <w:r>
        <w:rPr>
          <w:rFonts w:hint="eastAsia"/>
        </w:rPr>
        <w:t>、拟派实施人员简历格式</w:t>
      </w:r>
      <w:bookmarkEnd w:id="184"/>
    </w:p>
    <w:p>
      <w:pPr>
        <w:spacing w:line="360" w:lineRule="auto"/>
        <w:jc w:val="center"/>
        <w:rPr>
          <w:rFonts w:hAnsi="Calibri" w:cs="Times New Roman"/>
          <w:b/>
          <w:bCs/>
        </w:rPr>
      </w:pPr>
      <w:r>
        <w:rPr>
          <w:rFonts w:hint="eastAsia" w:hAnsi="Calibri" w:cs="Times New Roman"/>
          <w:b/>
          <w:bCs/>
        </w:rPr>
        <w:t>人员简历</w:t>
      </w:r>
      <w:bookmarkEnd w:id="185"/>
    </w:p>
    <w:tbl>
      <w:tblPr>
        <w:tblStyle w:val="24"/>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4"/>
      </w:pPr>
      <w:bookmarkStart w:id="186" w:name="_Toc20099"/>
      <w:r>
        <w:rPr>
          <w:rFonts w:hint="eastAsia"/>
        </w:rPr>
        <w:t>附件</w:t>
      </w:r>
      <w:r>
        <w:t>8</w:t>
      </w:r>
      <w:r>
        <w:rPr>
          <w:rFonts w:hint="eastAsia"/>
        </w:rPr>
        <w:t xml:space="preserve"> 相关评审证明材料以及</w:t>
      </w:r>
      <w:r>
        <w:t>其他材料</w:t>
      </w:r>
      <w:bookmarkEnd w:id="186"/>
    </w:p>
    <w:p/>
    <w:p>
      <w:pPr>
        <w:pStyle w:val="48"/>
      </w:pPr>
      <w:bookmarkStart w:id="187" w:name="_Toc18355"/>
      <w:r>
        <w:t>8</w:t>
      </w:r>
      <w:r>
        <w:rPr>
          <w:rFonts w:hint="eastAsia"/>
        </w:rPr>
        <w:t>-1、相关业绩表建议格式</w:t>
      </w:r>
      <w:bookmarkEnd w:id="187"/>
    </w:p>
    <w:tbl>
      <w:tblPr>
        <w:tblStyle w:val="24"/>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bookmarkStart w:id="188" w:name="_Hlk108545644"/>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bookmarkEnd w:id="188"/>
    </w:tbl>
    <w:p>
      <w:pPr>
        <w:pStyle w:val="49"/>
        <w:ind w:firstLine="480"/>
      </w:pPr>
      <w:r>
        <w:rPr>
          <w:rFonts w:hint="eastAsia"/>
        </w:rPr>
        <w:t>注：需按评分标准要求后附相应业绩证明材料（如有的话）。</w:t>
      </w:r>
    </w:p>
    <w:p>
      <w:pPr>
        <w:pStyle w:val="49"/>
        <w:ind w:firstLine="480"/>
      </w:pPr>
    </w:p>
    <w:p>
      <w:pPr>
        <w:pStyle w:val="48"/>
      </w:pPr>
      <w:bookmarkStart w:id="189" w:name="_Toc2311"/>
      <w:r>
        <w:t>8</w:t>
      </w:r>
      <w:r>
        <w:rPr>
          <w:rFonts w:hint="eastAsia"/>
        </w:rPr>
        <w:t>-2、其它招标文件要求的或投标人认为应当或有必要提供的资料</w:t>
      </w:r>
      <w:bookmarkEnd w:id="189"/>
    </w:p>
    <w:p/>
    <w:p/>
    <w:p/>
    <w:p/>
    <w:p>
      <w:pPr>
        <w:widowControl/>
        <w:adjustRightInd/>
        <w:snapToGrid/>
        <w:spacing w:line="240" w:lineRule="auto"/>
        <w:jc w:val="left"/>
      </w:pPr>
    </w:p>
    <w:p/>
    <w:p/>
    <w:p>
      <w:pPr>
        <w:widowControl/>
        <w:adjustRightInd/>
        <w:snapToGrid/>
        <w:spacing w:line="240" w:lineRule="auto"/>
        <w:jc w:val="left"/>
        <w:rPr>
          <w:rFonts w:hAnsi="Cambria" w:eastAsia="黑体" w:cs="Times New Roman"/>
          <w:b/>
          <w:bCs/>
          <w:kern w:val="0"/>
          <w:sz w:val="32"/>
          <w:szCs w:val="32"/>
        </w:rPr>
      </w:pPr>
      <w:r>
        <w:br w:type="page"/>
      </w:r>
    </w:p>
    <w:p>
      <w:pPr>
        <w:pStyle w:val="4"/>
        <w:rPr>
          <w:color w:val="auto"/>
        </w:rPr>
      </w:pPr>
      <w:bookmarkStart w:id="190" w:name="_Hlk51263672"/>
      <w:bookmarkStart w:id="191" w:name="_Toc32081"/>
      <w:r>
        <w:rPr>
          <w:rFonts w:hint="eastAsia"/>
        </w:rPr>
        <w:t>资格、资信证明</w:t>
      </w:r>
      <w:r>
        <w:rPr>
          <w:rFonts w:hint="eastAsia"/>
          <w:color w:val="auto"/>
        </w:rPr>
        <w:t>文件</w:t>
      </w:r>
      <w:bookmarkEnd w:id="190"/>
      <w:r>
        <w:rPr>
          <w:rFonts w:hint="eastAsia"/>
          <w:color w:val="auto"/>
        </w:rPr>
        <w:t>分册封面建议格式</w:t>
      </w:r>
      <w:bookmarkEnd w:id="191"/>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资格、资信证明文件分册</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192" w:name="_Toc31439"/>
      <w:r>
        <w:rPr>
          <w:rFonts w:hint="eastAsia"/>
        </w:rPr>
        <w:t>附件</w:t>
      </w:r>
      <w:r>
        <w:t>9</w:t>
      </w:r>
      <w:r>
        <w:rPr>
          <w:rFonts w:hint="eastAsia"/>
        </w:rPr>
        <w:t xml:space="preserve"> 资格、资信证明文件</w:t>
      </w:r>
      <w:bookmarkEnd w:id="192"/>
    </w:p>
    <w:tbl>
      <w:tblPr>
        <w:tblStyle w:val="25"/>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pPr>
              <w:spacing w:line="240" w:lineRule="auto"/>
              <w:jc w:val="center"/>
              <w:rPr>
                <w:rFonts w:cs="Arial" w:hAnsiTheme="minorEastAsia"/>
                <w:b/>
                <w:bCs/>
                <w:color w:val="000000"/>
              </w:rPr>
            </w:pPr>
          </w:p>
        </w:tc>
        <w:tc>
          <w:tcPr>
            <w:tcW w:w="8363"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pPr>
              <w:pStyle w:val="50"/>
              <w:numPr>
                <w:ilvl w:val="0"/>
                <w:numId w:val="17"/>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pPr>
              <w:spacing w:line="240" w:lineRule="auto"/>
              <w:jc w:val="left"/>
              <w:rPr>
                <w:rFonts w:ascii="Arial" w:hAnsi="Arial" w:cs="Arial"/>
                <w:bCs/>
                <w:color w:val="auto"/>
              </w:rPr>
            </w:pPr>
            <w:r>
              <w:rPr>
                <w:rFonts w:hint="eastAsia" w:ascii="Arial" w:hAnsi="Arial" w:cs="Arial"/>
                <w:bCs/>
                <w:color w:val="auto"/>
              </w:rPr>
              <w:t>投标人资格声明书</w:t>
            </w:r>
          </w:p>
        </w:tc>
        <w:tc>
          <w:tcPr>
            <w:tcW w:w="5572" w:type="dxa"/>
            <w:vAlign w:val="center"/>
          </w:tcPr>
          <w:p>
            <w:pPr>
              <w:spacing w:line="240" w:lineRule="auto"/>
              <w:jc w:val="left"/>
              <w:rPr>
                <w:rFonts w:ascii="Arial" w:hAnsi="Arial" w:cs="Arial"/>
                <w:bCs/>
                <w:color w:val="auto"/>
              </w:rPr>
            </w:pPr>
            <w:r>
              <w:rPr>
                <w:rFonts w:hint="eastAsia"/>
                <w:color w:val="auto"/>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p>
        </w:tc>
        <w:tc>
          <w:tcPr>
            <w:tcW w:w="8363" w:type="dxa"/>
            <w:gridSpan w:val="2"/>
            <w:vAlign w:val="center"/>
          </w:tcPr>
          <w:p>
            <w:pPr>
              <w:spacing w:line="240" w:lineRule="auto"/>
              <w:jc w:val="center"/>
              <w:rPr>
                <w:rFonts w:ascii="Arial" w:hAnsi="Arial" w:cs="Arial"/>
                <w:bCs/>
                <w:color w:val="auto"/>
              </w:rPr>
            </w:pPr>
            <w:r>
              <w:rPr>
                <w:rFonts w:hint="eastAsia" w:ascii="Arial" w:hAnsi="Arial" w:cs="Arial"/>
                <w:b/>
                <w:bCs/>
                <w:color w:val="auto"/>
              </w:rPr>
              <w:t>落实政府采购政策需满足的资格要求的证明文件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pPr>
              <w:spacing w:line="240" w:lineRule="auto"/>
              <w:jc w:val="left"/>
              <w:rPr>
                <w:color w:val="auto"/>
              </w:rPr>
            </w:pPr>
            <w:r>
              <w:rPr>
                <w:rFonts w:hint="eastAsia"/>
                <w:color w:val="auto"/>
              </w:rPr>
              <w:t>投标人符合促进中小企业政策的资格证明文件</w:t>
            </w:r>
          </w:p>
        </w:tc>
        <w:tc>
          <w:tcPr>
            <w:tcW w:w="5572" w:type="dxa"/>
            <w:vAlign w:val="center"/>
          </w:tcPr>
          <w:p>
            <w:pPr>
              <w:spacing w:line="240" w:lineRule="auto"/>
              <w:jc w:val="left"/>
              <w:rPr>
                <w:rFonts w:ascii="Arial" w:hAnsi="Arial" w:cs="Arial"/>
                <w:bCs/>
                <w:color w:val="auto"/>
              </w:rPr>
            </w:pPr>
            <w:r>
              <w:rPr>
                <w:rFonts w:hint="eastAsia" w:hAnsiTheme="minorEastAsia"/>
                <w:color w:val="auto"/>
              </w:rPr>
              <w:t>由投标人出具（联合体投标时由牵头人出具）的“中小企业声明函”（格式见1</w:t>
            </w:r>
            <w:r>
              <w:rPr>
                <w:rFonts w:hAnsiTheme="minorEastAsia"/>
                <w:color w:val="auto"/>
              </w:rPr>
              <w:t>0</w:t>
            </w:r>
            <w:r>
              <w:rPr>
                <w:rFonts w:hint="eastAsia" w:hAnsiTheme="minorEastAsia"/>
                <w:color w:val="auto"/>
              </w:rPr>
              <w:t>-</w:t>
            </w:r>
            <w:r>
              <w:rPr>
                <w:rFonts w:hAnsiTheme="minorEastAsia"/>
                <w:color w:val="auto"/>
              </w:rPr>
              <w:t>1</w:t>
            </w:r>
            <w:r>
              <w:rPr>
                <w:rFonts w:hint="eastAsia" w:hAnsiTheme="minorEastAsia"/>
                <w:color w:val="auto"/>
              </w:rPr>
              <w:t>）或者由标的制造商或服务承接商出具的“残疾人福利性单位声明函” （格式见1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tc>
      </w:tr>
    </w:tbl>
    <w:p>
      <w:pPr>
        <w:spacing w:line="360" w:lineRule="auto"/>
        <w:ind w:right="-48" w:rightChars="-20"/>
        <w:rPr>
          <w:rFonts w:hAnsi="宋体" w:cs="Times New Roman"/>
        </w:rPr>
      </w:pPr>
    </w:p>
    <w:p>
      <w:pPr>
        <w:widowControl/>
        <w:adjustRightInd/>
        <w:snapToGrid/>
        <w:spacing w:line="240" w:lineRule="auto"/>
        <w:jc w:val="left"/>
        <w:rPr>
          <w:rFonts w:hAnsi="宋体" w:cs="Times New Roman"/>
          <w:b/>
          <w:bCs/>
          <w:sz w:val="28"/>
          <w:szCs w:val="32"/>
        </w:rPr>
      </w:pPr>
      <w:r>
        <w:br w:type="page"/>
      </w:r>
    </w:p>
    <w:p>
      <w:pPr>
        <w:pStyle w:val="48"/>
        <w:jc w:val="both"/>
        <w:rPr>
          <w:rFonts w:ascii="Arial" w:hAnsi="Arial" w:cs="Arial"/>
          <w:color w:val="000000"/>
        </w:rPr>
      </w:pPr>
      <w:bookmarkStart w:id="193" w:name="_Toc10677"/>
      <w:r>
        <w:t>9</w:t>
      </w:r>
      <w:r>
        <w:rPr>
          <w:rFonts w:hint="eastAsia"/>
        </w:rPr>
        <w:t>-</w:t>
      </w:r>
      <w:r>
        <w:t>2</w:t>
      </w:r>
      <w:r>
        <w:rPr>
          <w:rFonts w:hint="eastAsia"/>
        </w:rPr>
        <w:t>、</w:t>
      </w:r>
      <w:r>
        <w:rPr>
          <w:rFonts w:hint="eastAsia" w:ascii="Arial" w:hAnsi="Arial" w:cs="Arial"/>
          <w:color w:val="000000"/>
        </w:rPr>
        <w:t>投标人资格声明书格式</w:t>
      </w:r>
      <w:bookmarkEnd w:id="193"/>
    </w:p>
    <w:p>
      <w:pPr>
        <w:rPr>
          <w:u w:val="single"/>
        </w:rPr>
      </w:pPr>
      <w:r>
        <w:t>致：</w:t>
      </w:r>
      <w:r>
        <w:rPr>
          <w:rFonts w:hint="eastAsia"/>
          <w:u w:val="single"/>
        </w:rPr>
        <w:t>【</w:t>
      </w:r>
      <w:r>
        <w:rPr>
          <w:u w:val="single"/>
        </w:rPr>
        <w:t>采购人或采购代理机构</w:t>
      </w:r>
      <w:r>
        <w:rPr>
          <w:rFonts w:hint="eastAsia"/>
          <w:u w:val="single"/>
        </w:rPr>
        <w:t>】</w:t>
      </w:r>
    </w:p>
    <w:p>
      <w:pPr>
        <w:pStyle w:val="49"/>
        <w:ind w:firstLine="480"/>
        <w:rPr>
          <w:rFonts w:ascii="宋体"/>
        </w:rPr>
      </w:pPr>
      <w:r>
        <w:rPr>
          <w:rFonts w:hint="eastAsia" w:ascii="宋体"/>
        </w:rPr>
        <w:t>在参与本次项目投标中，我单位声明：</w:t>
      </w:r>
    </w:p>
    <w:p>
      <w:pPr>
        <w:pStyle w:val="49"/>
        <w:ind w:firstLine="480"/>
        <w:rPr>
          <w:rFonts w:ascii="宋体"/>
        </w:rPr>
      </w:pPr>
      <w:r>
        <w:rPr>
          <w:rFonts w:hint="eastAsia" w:ascii="宋体"/>
        </w:rPr>
        <w:t>1、我方具有良好的商业信誉和健全的财务会计制度。</w:t>
      </w:r>
    </w:p>
    <w:p>
      <w:pPr>
        <w:pStyle w:val="49"/>
        <w:ind w:firstLine="480"/>
        <w:rPr>
          <w:rFonts w:ascii="宋体"/>
        </w:rPr>
      </w:pPr>
      <w:r>
        <w:rPr>
          <w:rFonts w:ascii="宋体"/>
        </w:rPr>
        <w:t>2</w:t>
      </w:r>
      <w:r>
        <w:rPr>
          <w:rFonts w:hint="eastAsia" w:ascii="宋体"/>
        </w:rPr>
        <w:t>、我方具有履行合同所必需的设备和专业技术能力，详见下表：</w:t>
      </w:r>
    </w:p>
    <w:tbl>
      <w:tblPr>
        <w:tblStyle w:val="24"/>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808" w:type="dxa"/>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eastAsia="宋体" w:cs="宋体"/>
                <w:color w:val="FF0000"/>
                <w:kern w:val="0"/>
                <w:szCs w:val="24"/>
              </w:rPr>
            </w:pPr>
            <w:r>
              <w:rPr>
                <w:color w:val="auto"/>
                <w:szCs w:val="24"/>
              </w:rPr>
              <w:t>20</w:t>
            </w:r>
            <w:r>
              <w:rPr>
                <w:rFonts w:hint="eastAsia"/>
                <w:color w:val="auto"/>
                <w:szCs w:val="24"/>
                <w:lang w:val="en-US" w:eastAsia="zh-CN"/>
              </w:rPr>
              <w:t>23</w:t>
            </w:r>
            <w:r>
              <w:rPr>
                <w:color w:val="auto"/>
                <w:szCs w:val="24"/>
              </w:rPr>
              <w:t>年</w:t>
            </w:r>
          </w:p>
        </w:tc>
        <w:tc>
          <w:tcPr>
            <w:tcW w:w="1808" w:type="dxa"/>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FF0000"/>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808" w:type="dxa"/>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FF0000"/>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pPr>
    </w:p>
    <w:p>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pPr>
        <w:pStyle w:val="49"/>
        <w:ind w:firstLine="480"/>
        <w:rPr>
          <w:rFonts w:ascii="宋体"/>
        </w:rPr>
      </w:pPr>
      <w:r>
        <w:rPr>
          <w:rFonts w:ascii="宋体"/>
        </w:rPr>
        <w:t>3</w:t>
      </w:r>
      <w:r>
        <w:rPr>
          <w:rFonts w:hint="eastAsia" w:ascii="宋体"/>
        </w:rPr>
        <w:t>、我方有依法缴纳税收和社会保障资金的良好记录。</w:t>
      </w:r>
    </w:p>
    <w:p>
      <w:pPr>
        <w:pStyle w:val="49"/>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pPr>
        <w:pStyle w:val="49"/>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9"/>
              <w:ind w:firstLine="0" w:firstLineChars="0"/>
              <w:jc w:val="center"/>
            </w:pPr>
            <w:r>
              <w:rPr>
                <w:rFonts w:hint="eastAsia"/>
              </w:rPr>
              <w:t>序号</w:t>
            </w:r>
          </w:p>
        </w:tc>
        <w:tc>
          <w:tcPr>
            <w:tcW w:w="3827" w:type="dxa"/>
          </w:tcPr>
          <w:p>
            <w:pPr>
              <w:pStyle w:val="49"/>
              <w:ind w:firstLine="0" w:firstLineChars="0"/>
              <w:jc w:val="center"/>
            </w:pPr>
            <w:r>
              <w:rPr>
                <w:rFonts w:hint="eastAsia"/>
              </w:rPr>
              <w:t>供应商名称</w:t>
            </w:r>
          </w:p>
        </w:tc>
        <w:tc>
          <w:tcPr>
            <w:tcW w:w="4394" w:type="dxa"/>
          </w:tcPr>
          <w:p>
            <w:pPr>
              <w:pStyle w:val="49"/>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9"/>
              <w:ind w:firstLine="0" w:firstLineChars="0"/>
            </w:pPr>
          </w:p>
        </w:tc>
        <w:tc>
          <w:tcPr>
            <w:tcW w:w="3827" w:type="dxa"/>
          </w:tcPr>
          <w:p>
            <w:pPr>
              <w:pStyle w:val="49"/>
              <w:ind w:firstLine="0" w:firstLineChars="0"/>
            </w:pPr>
            <w:r>
              <w:rPr>
                <w:rFonts w:hint="eastAsia"/>
              </w:rPr>
              <w:t>【如不存在与投标人单位负责人同一人或者与直接控股、管理关系的供应商，可在此处填写“无”】</w:t>
            </w:r>
          </w:p>
        </w:tc>
        <w:tc>
          <w:tcPr>
            <w:tcW w:w="4394" w:type="dxa"/>
          </w:tcPr>
          <w:p>
            <w:pPr>
              <w:pStyle w:val="49"/>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9"/>
              <w:ind w:firstLine="0" w:firstLineChars="0"/>
            </w:pPr>
          </w:p>
        </w:tc>
        <w:tc>
          <w:tcPr>
            <w:tcW w:w="3827" w:type="dxa"/>
          </w:tcPr>
          <w:p>
            <w:pPr>
              <w:pStyle w:val="49"/>
              <w:ind w:firstLine="0" w:firstLineChars="0"/>
            </w:pPr>
          </w:p>
        </w:tc>
        <w:tc>
          <w:tcPr>
            <w:tcW w:w="4394" w:type="dxa"/>
          </w:tcPr>
          <w:p>
            <w:pPr>
              <w:pStyle w:val="49"/>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9"/>
              <w:ind w:firstLine="0" w:firstLineChars="0"/>
            </w:pPr>
          </w:p>
        </w:tc>
        <w:tc>
          <w:tcPr>
            <w:tcW w:w="3827" w:type="dxa"/>
          </w:tcPr>
          <w:p>
            <w:pPr>
              <w:pStyle w:val="49"/>
              <w:ind w:firstLine="0" w:firstLineChars="0"/>
            </w:pPr>
          </w:p>
        </w:tc>
        <w:tc>
          <w:tcPr>
            <w:tcW w:w="4394" w:type="dxa"/>
          </w:tcPr>
          <w:p>
            <w:pPr>
              <w:pStyle w:val="49"/>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9"/>
              <w:ind w:firstLine="0" w:firstLineChars="0"/>
            </w:pPr>
          </w:p>
        </w:tc>
        <w:tc>
          <w:tcPr>
            <w:tcW w:w="3827" w:type="dxa"/>
          </w:tcPr>
          <w:p>
            <w:pPr>
              <w:pStyle w:val="49"/>
              <w:ind w:firstLine="0" w:firstLineChars="0"/>
            </w:pPr>
          </w:p>
        </w:tc>
        <w:tc>
          <w:tcPr>
            <w:tcW w:w="4394" w:type="dxa"/>
          </w:tcPr>
          <w:p>
            <w:pPr>
              <w:pStyle w:val="49"/>
              <w:ind w:firstLine="0" w:firstLineChars="0"/>
            </w:pPr>
          </w:p>
        </w:tc>
      </w:tr>
    </w:tbl>
    <w:p>
      <w:pPr>
        <w:pStyle w:val="49"/>
        <w:ind w:firstLine="480"/>
      </w:pPr>
      <w:r>
        <w:rPr>
          <w:color w:val="auto"/>
        </w:rPr>
        <w:t>6</w:t>
      </w:r>
      <w:r>
        <w:rPr>
          <w:rFonts w:hint="eastAsia"/>
          <w:color w:val="auto"/>
        </w:rPr>
        <w:t>、针对投标人须知2.2条第3项第（2）款的规定，我方声明：若我方受托为采购项目提供了整体设计、规范编制或者项目管理、监理、检测等服务，则自动放弃参加该采购项目的其他采购活动。</w:t>
      </w:r>
    </w:p>
    <w:p>
      <w:pPr>
        <w:pStyle w:val="49"/>
        <w:ind w:firstLine="480"/>
        <w:rPr>
          <w:rFonts w:ascii="宋体"/>
        </w:rPr>
      </w:pPr>
      <w:r>
        <w:t>上述声明真实有效，否则我方负全部责任</w:t>
      </w:r>
      <w:r>
        <w:rPr>
          <w:rFonts w:hint="eastAsia"/>
        </w:rPr>
        <w:t>，</w:t>
      </w:r>
      <w:r>
        <w:rPr>
          <w:rFonts w:ascii="宋体"/>
        </w:rPr>
        <w:t>并承担因此引起的一切后果。</w:t>
      </w:r>
    </w:p>
    <w:p>
      <w:pPr>
        <w:ind w:firstLine="480" w:firstLineChars="200"/>
        <w:rPr>
          <w:szCs w:val="22"/>
        </w:rPr>
      </w:pPr>
    </w:p>
    <w:p>
      <w:pPr>
        <w:ind w:left="3542" w:leftChars="1476"/>
        <w:rPr>
          <w:rFonts w:ascii="Calibri"/>
        </w:rPr>
      </w:pPr>
      <w:r>
        <w:rPr>
          <w:rFonts w:hint="eastAsia" w:ascii="Calibri"/>
        </w:rPr>
        <w:t>投标人名称（公章）：_</w:t>
      </w:r>
      <w:r>
        <w:rPr>
          <w:rFonts w:ascii="Calibri"/>
        </w:rPr>
        <w:t>__________</w:t>
      </w:r>
    </w:p>
    <w:p>
      <w:pPr>
        <w:ind w:left="3542" w:leftChars="1476"/>
        <w:rPr>
          <w:rFonts w:ascii="Calibri"/>
        </w:rPr>
      </w:pPr>
    </w:p>
    <w:p>
      <w:pPr>
        <w:rPr>
          <w:rFonts w:ascii="Calibri"/>
        </w:rPr>
      </w:pPr>
    </w:p>
    <w:p>
      <w:pPr>
        <w:widowControl/>
        <w:adjustRightInd/>
        <w:snapToGrid/>
        <w:spacing w:line="240" w:lineRule="auto"/>
        <w:jc w:val="left"/>
        <w:rPr>
          <w:rFonts w:hAnsi="宋体" w:cs="Times New Roman"/>
          <w:b/>
          <w:bCs/>
          <w:sz w:val="28"/>
          <w:szCs w:val="32"/>
        </w:rPr>
      </w:pPr>
    </w:p>
    <w:p>
      <w:pPr>
        <w:widowControl/>
        <w:adjustRightInd/>
        <w:snapToGrid/>
        <w:spacing w:line="240" w:lineRule="auto"/>
        <w:jc w:val="left"/>
      </w:pPr>
      <w:r>
        <w:br w:type="page"/>
      </w:r>
    </w:p>
    <w:p>
      <w:pPr>
        <w:ind w:firstLine="3290" w:firstLineChars="1371"/>
      </w:pPr>
    </w:p>
    <w:p>
      <w:pPr>
        <w:pStyle w:val="4"/>
      </w:pPr>
      <w:bookmarkStart w:id="194" w:name="_Toc17299"/>
      <w:r>
        <w:rPr>
          <w:rFonts w:hint="eastAsia"/>
        </w:rPr>
        <w:t>附件</w:t>
      </w:r>
      <w:r>
        <w:t xml:space="preserve">10 </w:t>
      </w:r>
      <w:r>
        <w:rPr>
          <w:rFonts w:hint="eastAsia"/>
        </w:rPr>
        <w:t>政府采购政策落实附件及其他文件</w:t>
      </w:r>
      <w:bookmarkEnd w:id="194"/>
    </w:p>
    <w:p>
      <w:pPr>
        <w:pStyle w:val="48"/>
      </w:pPr>
      <w:bookmarkStart w:id="195" w:name="_Toc27700"/>
      <w:bookmarkStart w:id="196" w:name="_Hlk44011180"/>
      <w:r>
        <w:t>10</w:t>
      </w:r>
      <w:r>
        <w:rPr>
          <w:rFonts w:hint="eastAsia"/>
        </w:rPr>
        <w:t>-</w:t>
      </w:r>
      <w:r>
        <w:t>1</w:t>
      </w:r>
      <w:r>
        <w:rPr>
          <w:rFonts w:hint="eastAsia"/>
        </w:rPr>
        <w:t>、中小企业声明函格式</w:t>
      </w:r>
      <w:bookmarkEnd w:id="195"/>
    </w:p>
    <w:p>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pPr>
        <w:ind w:firstLine="480" w:firstLineChars="200"/>
        <w:jc w:val="left"/>
        <w:rPr>
          <w:rFonts w:hAnsi="宋体" w:cs="宋体"/>
          <w:szCs w:val="24"/>
        </w:rPr>
      </w:pPr>
    </w:p>
    <w:p>
      <w:pPr>
        <w:spacing w:line="360" w:lineRule="auto"/>
        <w:jc w:val="center"/>
        <w:rPr>
          <w:rFonts w:hAnsi="Calibri" w:cs="Times New Roman"/>
          <w:b/>
          <w:bCs/>
        </w:rPr>
      </w:pPr>
      <w:r>
        <w:rPr>
          <w:rFonts w:hint="eastAsia" w:hAnsi="Calibri" w:cs="Times New Roman"/>
          <w:b/>
          <w:bCs/>
        </w:rPr>
        <w:t>中小企业声明函（服务）</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【标的名称1】</w:t>
      </w:r>
      <w:r>
        <w:rPr>
          <w:rFonts w:hint="eastAsia" w:hAnsi="宋体" w:cs="宋体"/>
          <w:szCs w:val="24"/>
        </w:rPr>
        <w:t xml:space="preserve"> ，属于</w:t>
      </w:r>
      <w:r>
        <w:rPr>
          <w:rFonts w:hint="eastAsia" w:hAnsi="宋体" w:cs="宋体"/>
          <w:szCs w:val="24"/>
          <w:u w:val="single"/>
        </w:rPr>
        <w:t>【招标文件投标人须知前附表第3条中明确的所属行业】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 xml:space="preserve">】 </w:t>
      </w:r>
    </w:p>
    <w:p>
      <w:pPr>
        <w:ind w:left="3259" w:leftChars="1358" w:firstLine="480" w:firstLineChars="200"/>
        <w:jc w:val="left"/>
        <w:rPr>
          <w:rFonts w:hAnsi="宋体" w:cs="宋体"/>
          <w:szCs w:val="24"/>
        </w:rPr>
      </w:pPr>
      <w:r>
        <w:rPr>
          <w:rFonts w:hint="eastAsia" w:hAnsi="宋体" w:cs="宋体"/>
          <w:szCs w:val="24"/>
        </w:rPr>
        <w:t xml:space="preserve">日  期： </w:t>
      </w:r>
    </w:p>
    <w:p>
      <w:pPr>
        <w:spacing w:line="360" w:lineRule="auto"/>
        <w:jc w:val="left"/>
        <w:rPr>
          <w:rFonts w:hAnsi="宋体" w:cs="宋体"/>
          <w:szCs w:val="24"/>
        </w:rPr>
      </w:pPr>
      <w:r>
        <w:rPr>
          <w:rFonts w:hint="eastAsia" w:hAnsi="宋体" w:cs="宋体"/>
          <w:szCs w:val="24"/>
        </w:rPr>
        <w:t>注：</w:t>
      </w:r>
    </w:p>
    <w:p>
      <w:pPr>
        <w:spacing w:line="360" w:lineRule="auto"/>
        <w:jc w:val="left"/>
      </w:pPr>
      <w:r>
        <w:rPr>
          <w:rFonts w:hint="eastAsia" w:hAnsi="宋体" w:cs="宋体"/>
          <w:szCs w:val="24"/>
        </w:rPr>
        <w:t>1、</w:t>
      </w:r>
      <w:r>
        <w:t>从业人员、营业收入、资产总额填报上一年度数据，无上一年度数据的新成立企业可不填报。</w:t>
      </w:r>
    </w:p>
    <w:p>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p>
      <w:pPr>
        <w:pStyle w:val="48"/>
      </w:pPr>
      <w:bookmarkStart w:id="197" w:name="_Toc4560"/>
      <w:bookmarkStart w:id="198" w:name="_Toc492365663"/>
      <w:bookmarkStart w:id="199" w:name="OLE_LINK13"/>
      <w:bookmarkStart w:id="200" w:name="OLE_LINK14"/>
      <w:r>
        <w:t>10</w:t>
      </w:r>
      <w:r>
        <w:rPr>
          <w:rFonts w:hint="eastAsia"/>
        </w:rPr>
        <w:t>-</w:t>
      </w:r>
      <w:r>
        <w:t>2</w:t>
      </w:r>
      <w:r>
        <w:rPr>
          <w:rFonts w:hint="eastAsia"/>
        </w:rPr>
        <w:t>、残疾人福利性单位声明函格式</w:t>
      </w:r>
      <w:bookmarkEnd w:id="197"/>
      <w:bookmarkEnd w:id="198"/>
    </w:p>
    <w:p>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199"/>
    <w:bookmarkEnd w:id="200"/>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p/>
    <w:bookmarkEnd w:id="196"/>
    <w:p>
      <w:pPr>
        <w:widowControl/>
        <w:adjustRightInd/>
        <w:snapToGrid/>
        <w:spacing w:line="240" w:lineRule="auto"/>
        <w:jc w:val="left"/>
      </w:pP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2010601030101010101"/>
    <w:charset w:val="86"/>
    <w:family w:val="script"/>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pPr>
          <w:pStyle w:val="16"/>
          <w:jc w:val="center"/>
        </w:pPr>
        <w:r>
          <w:fldChar w:fldCharType="begin"/>
        </w:r>
        <w:r>
          <w:instrText xml:space="preserve">PAGE   \* MERGEFORMAT</w:instrText>
        </w:r>
        <w:r>
          <w:fldChar w:fldCharType="separate"/>
        </w:r>
        <w:r>
          <w:rPr>
            <w:lang w:val="zh-CN"/>
          </w:rPr>
          <w:t>48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30849"/>
    <w:multiLevelType w:val="multilevel"/>
    <w:tmpl w:val="0E230849"/>
    <w:lvl w:ilvl="0" w:tentative="0">
      <w:start w:val="1"/>
      <w:numFmt w:val="decimal"/>
      <w:pStyle w:val="44"/>
      <w:lvlText w:val="%1"/>
      <w:lvlJc w:val="left"/>
      <w:pPr>
        <w:ind w:left="680" w:hanging="680"/>
      </w:pPr>
      <w:rPr>
        <w:rFonts w:hint="eastAsia" w:asciiTheme="minorEastAsia" w:hAnsiTheme="minorEastAsia" w:eastAsiaTheme="minorEastAsia"/>
        <w:color w:val="auto"/>
      </w:rPr>
    </w:lvl>
    <w:lvl w:ilvl="1" w:tentative="0">
      <w:start w:val="1"/>
      <w:numFmt w:val="decimal"/>
      <w:pStyle w:val="45"/>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2">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412748DE"/>
    <w:multiLevelType w:val="multilevel"/>
    <w:tmpl w:val="412748DE"/>
    <w:lvl w:ilvl="0" w:tentative="0">
      <w:start w:val="1"/>
      <w:numFmt w:val="decimal"/>
      <w:pStyle w:val="52"/>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6FEF60BF"/>
    <w:multiLevelType w:val="multilevel"/>
    <w:tmpl w:val="6FEF60BF"/>
    <w:lvl w:ilvl="0" w:tentative="0">
      <w:start w:val="1"/>
      <w:numFmt w:val="decimal"/>
      <w:pStyle w:val="51"/>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9">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75895E16"/>
    <w:multiLevelType w:val="multilevel"/>
    <w:tmpl w:val="75895E16"/>
    <w:lvl w:ilvl="0" w:tentative="0">
      <w:start w:val="1"/>
      <w:numFmt w:val="decimal"/>
      <w:pStyle w:val="77"/>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76D3462B"/>
    <w:multiLevelType w:val="multilevel"/>
    <w:tmpl w:val="76D3462B"/>
    <w:lvl w:ilvl="0" w:tentative="0">
      <w:start w:val="1"/>
      <w:numFmt w:val="chineseCountingThousand"/>
      <w:pStyle w:val="34"/>
      <w:lvlText w:val="%1、"/>
      <w:lvlJc w:val="left"/>
      <w:pPr>
        <w:ind w:left="425" w:hanging="425"/>
      </w:pPr>
      <w:rPr>
        <w:rFonts w:hint="eastAsia"/>
        <w:lang w:val="en-US"/>
      </w:rPr>
    </w:lvl>
    <w:lvl w:ilvl="1" w:tentative="0">
      <w:start w:val="1"/>
      <w:numFmt w:val="decimal"/>
      <w:pStyle w:val="32"/>
      <w:isLgl/>
      <w:lvlText w:val="%1.%2"/>
      <w:lvlJc w:val="left"/>
      <w:pPr>
        <w:ind w:left="992" w:hanging="567"/>
      </w:pPr>
      <w:rPr>
        <w:rFonts w:hint="eastAsia"/>
      </w:rPr>
    </w:lvl>
    <w:lvl w:ilvl="2" w:tentative="0">
      <w:start w:val="1"/>
      <w:numFmt w:val="decimal"/>
      <w:pStyle w:val="36"/>
      <w:isLgl/>
      <w:lvlText w:val="%1.%2.%3"/>
      <w:lvlJc w:val="left"/>
      <w:pPr>
        <w:ind w:left="1418" w:hanging="567"/>
      </w:pPr>
      <w:rPr>
        <w:rFonts w:hint="eastAsia"/>
      </w:rPr>
    </w:lvl>
    <w:lvl w:ilvl="3" w:tentative="0">
      <w:start w:val="1"/>
      <w:numFmt w:val="decimal"/>
      <w:pStyle w:val="35"/>
      <w:isLgl/>
      <w:lvlText w:val="%1.%2.%3.%4"/>
      <w:lvlJc w:val="left"/>
      <w:pPr>
        <w:ind w:left="1984" w:hanging="708"/>
      </w:pPr>
      <w:rPr>
        <w:rFonts w:hint="eastAsia" w:ascii="宋体" w:eastAsia="宋体"/>
        <w:b/>
        <w:i w:val="0"/>
        <w:sz w:val="24"/>
      </w:rPr>
    </w:lvl>
    <w:lvl w:ilvl="4" w:tentative="0">
      <w:start w:val="1"/>
      <w:numFmt w:val="decimal"/>
      <w:pStyle w:val="33"/>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7B843E43"/>
    <w:multiLevelType w:val="singleLevel"/>
    <w:tmpl w:val="7B843E43"/>
    <w:lvl w:ilvl="0" w:tentative="0">
      <w:start w:val="1"/>
      <w:numFmt w:val="decimal"/>
      <w:pStyle w:val="74"/>
      <w:lvlText w:val="%1."/>
      <w:lvlJc w:val="left"/>
      <w:pPr>
        <w:tabs>
          <w:tab w:val="left" w:pos="482"/>
        </w:tabs>
        <w:ind w:left="510" w:hanging="510"/>
      </w:pPr>
      <w:rPr>
        <w:rFonts w:hint="default" w:ascii="Arial" w:hAnsi="Arial"/>
        <w:b w:val="0"/>
        <w:i w:val="0"/>
        <w:sz w:val="24"/>
        <w:szCs w:val="24"/>
      </w:rPr>
    </w:lvl>
  </w:abstractNum>
  <w:num w:numId="1">
    <w:abstractNumId w:val="11"/>
  </w:num>
  <w:num w:numId="2">
    <w:abstractNumId w:val="0"/>
  </w:num>
  <w:num w:numId="3">
    <w:abstractNumId w:val="8"/>
  </w:num>
  <w:num w:numId="4">
    <w:abstractNumId w:val="4"/>
  </w:num>
  <w:num w:numId="5">
    <w:abstractNumId w:val="12"/>
  </w:num>
  <w:num w:numId="6">
    <w:abstractNumId w:val="10"/>
  </w:num>
  <w:num w:numId="7">
    <w:abstractNumId w:val="3"/>
  </w:num>
  <w:num w:numId="8">
    <w:abstractNumId w:val="6"/>
  </w:num>
  <w:num w:numId="9">
    <w:abstractNumId w:val="9"/>
  </w:num>
  <w:num w:numId="10">
    <w:abstractNumId w:val="7"/>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 w:name="KSO_WPS_MARK_KEY" w:val="10c9932b-e0dd-4f58-be97-166cfbf66ed9"/>
  </w:docVars>
  <w:rsids>
    <w:rsidRoot w:val="20433B1C"/>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7E3"/>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02465E1F"/>
    <w:rsid w:val="0FF13352"/>
    <w:rsid w:val="10343AC7"/>
    <w:rsid w:val="11D21E9C"/>
    <w:rsid w:val="13C13857"/>
    <w:rsid w:val="1E7E7A54"/>
    <w:rsid w:val="20433B1C"/>
    <w:rsid w:val="214B0D73"/>
    <w:rsid w:val="23701662"/>
    <w:rsid w:val="27B931D0"/>
    <w:rsid w:val="29E057B6"/>
    <w:rsid w:val="2A163899"/>
    <w:rsid w:val="2A4F6365"/>
    <w:rsid w:val="36C567EC"/>
    <w:rsid w:val="3FF246E0"/>
    <w:rsid w:val="419754E8"/>
    <w:rsid w:val="44C76200"/>
    <w:rsid w:val="4B2A2856"/>
    <w:rsid w:val="4E630603"/>
    <w:rsid w:val="57BB0E3A"/>
    <w:rsid w:val="58523BC2"/>
    <w:rsid w:val="58994692"/>
    <w:rsid w:val="5BE0180F"/>
    <w:rsid w:val="5E9F7435"/>
    <w:rsid w:val="61812D1B"/>
    <w:rsid w:val="654E6FB8"/>
    <w:rsid w:val="68696EDC"/>
    <w:rsid w:val="6A2309C2"/>
    <w:rsid w:val="71DB1356"/>
    <w:rsid w:val="7BDA396D"/>
    <w:rsid w:val="7DC64CBA"/>
    <w:rsid w:val="7EAA2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link w:val="42"/>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4">
    <w:name w:val="heading 2"/>
    <w:basedOn w:val="1"/>
    <w:next w:val="1"/>
    <w:link w:val="39"/>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5">
    <w:name w:val="heading 3"/>
    <w:basedOn w:val="1"/>
    <w:next w:val="1"/>
    <w:link w:val="37"/>
    <w:autoRedefine/>
    <w:unhideWhenUsed/>
    <w:qFormat/>
    <w:uiPriority w:val="9"/>
    <w:pPr>
      <w:keepNext/>
      <w:keepLines/>
      <w:outlineLvl w:val="2"/>
    </w:pPr>
    <w:rPr>
      <w:b/>
      <w:bCs/>
      <w:szCs w:val="32"/>
    </w:rPr>
  </w:style>
  <w:style w:type="paragraph" w:styleId="6">
    <w:name w:val="heading 4"/>
    <w:basedOn w:val="1"/>
    <w:next w:val="1"/>
    <w:link w:val="41"/>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40"/>
    <w:autoRedefine/>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38"/>
    <w:autoRedefine/>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sz w:val="24"/>
    </w:rPr>
  </w:style>
  <w:style w:type="paragraph" w:styleId="9">
    <w:name w:val="index 8"/>
    <w:basedOn w:val="1"/>
    <w:next w:val="1"/>
    <w:autoRedefine/>
    <w:qFormat/>
    <w:uiPriority w:val="0"/>
    <w:pPr>
      <w:ind w:left="1400" w:leftChars="1400"/>
    </w:pPr>
  </w:style>
  <w:style w:type="paragraph" w:styleId="10">
    <w:name w:val="annotation text"/>
    <w:basedOn w:val="1"/>
    <w:link w:val="68"/>
    <w:autoRedefine/>
    <w:unhideWhenUsed/>
    <w:qFormat/>
    <w:uiPriority w:val="0"/>
    <w:pPr>
      <w:jc w:val="left"/>
    </w:pPr>
  </w:style>
  <w:style w:type="paragraph" w:styleId="11">
    <w:name w:val="Body Text Indent"/>
    <w:basedOn w:val="1"/>
    <w:next w:val="12"/>
    <w:autoRedefine/>
    <w:unhideWhenUsed/>
    <w:qFormat/>
    <w:uiPriority w:val="0"/>
    <w:pPr>
      <w:spacing w:after="120"/>
      <w:ind w:left="420" w:leftChars="200"/>
    </w:pPr>
  </w:style>
  <w:style w:type="paragraph" w:styleId="12">
    <w:name w:val="envelope return"/>
    <w:basedOn w:val="1"/>
    <w:autoRedefine/>
    <w:qFormat/>
    <w:uiPriority w:val="0"/>
    <w:pPr>
      <w:snapToGrid w:val="0"/>
    </w:pPr>
    <w:rPr>
      <w:rFonts w:ascii="Arial" w:hAnsi="Arial"/>
    </w:rPr>
  </w:style>
  <w:style w:type="paragraph" w:styleId="13">
    <w:name w:val="toc 3"/>
    <w:basedOn w:val="1"/>
    <w:next w:val="1"/>
    <w:autoRedefine/>
    <w:unhideWhenUsed/>
    <w:qFormat/>
    <w:uiPriority w:val="39"/>
    <w:pPr>
      <w:ind w:left="840" w:leftChars="400"/>
    </w:pPr>
  </w:style>
  <w:style w:type="paragraph" w:styleId="14">
    <w:name w:val="Body Text Indent 2"/>
    <w:autoRedefine/>
    <w:qFormat/>
    <w:uiPriority w:val="0"/>
    <w:pPr>
      <w:widowControl/>
      <w:ind w:firstLine="560" w:firstLineChars="200"/>
      <w:jc w:val="left"/>
    </w:pPr>
    <w:rPr>
      <w:rFonts w:ascii="Times New Roman" w:hAnsi="Times New Roman" w:eastAsia="宋体" w:cs="Times New Roman"/>
      <w:kern w:val="0"/>
      <w:sz w:val="28"/>
      <w:szCs w:val="20"/>
      <w:lang w:val="en-US" w:eastAsia="zh-CN" w:bidi="ar-SA"/>
    </w:rPr>
  </w:style>
  <w:style w:type="paragraph" w:styleId="15">
    <w:name w:val="Balloon Text"/>
    <w:basedOn w:val="1"/>
    <w:link w:val="69"/>
    <w:autoRedefine/>
    <w:semiHidden/>
    <w:unhideWhenUsed/>
    <w:qFormat/>
    <w:uiPriority w:val="99"/>
    <w:pPr>
      <w:spacing w:line="240" w:lineRule="auto"/>
    </w:pPr>
    <w:rPr>
      <w:sz w:val="18"/>
      <w:szCs w:val="18"/>
    </w:rPr>
  </w:style>
  <w:style w:type="paragraph" w:styleId="16">
    <w:name w:val="footer"/>
    <w:basedOn w:val="1"/>
    <w:link w:val="47"/>
    <w:autoRedefine/>
    <w:unhideWhenUsed/>
    <w:qFormat/>
    <w:uiPriority w:val="99"/>
    <w:pPr>
      <w:tabs>
        <w:tab w:val="center" w:pos="4153"/>
        <w:tab w:val="right" w:pos="8306"/>
      </w:tabs>
      <w:spacing w:line="240" w:lineRule="auto"/>
      <w:jc w:val="left"/>
    </w:pPr>
    <w:rPr>
      <w:sz w:val="18"/>
      <w:szCs w:val="18"/>
    </w:rPr>
  </w:style>
  <w:style w:type="paragraph" w:styleId="17">
    <w:name w:val="header"/>
    <w:basedOn w:val="1"/>
    <w:link w:val="46"/>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8">
    <w:name w:val="toc 1"/>
    <w:basedOn w:val="1"/>
    <w:next w:val="1"/>
    <w:autoRedefine/>
    <w:unhideWhenUsed/>
    <w:qFormat/>
    <w:uiPriority w:val="39"/>
  </w:style>
  <w:style w:type="paragraph" w:styleId="19">
    <w:name w:val="Subtitle"/>
    <w:basedOn w:val="1"/>
    <w:next w:val="1"/>
    <w:link w:val="58"/>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0">
    <w:name w:val="toc 2"/>
    <w:basedOn w:val="1"/>
    <w:next w:val="1"/>
    <w:autoRedefine/>
    <w:unhideWhenUsed/>
    <w:qFormat/>
    <w:uiPriority w:val="39"/>
    <w:pPr>
      <w:ind w:left="420" w:leftChars="200"/>
    </w:pPr>
  </w:style>
  <w:style w:type="paragraph" w:styleId="21">
    <w:name w:val="Title"/>
    <w:basedOn w:val="1"/>
    <w:next w:val="1"/>
    <w:link w:val="57"/>
    <w:autoRedefine/>
    <w:qFormat/>
    <w:uiPriority w:val="10"/>
    <w:pPr>
      <w:spacing w:before="240" w:after="60"/>
      <w:jc w:val="center"/>
      <w:outlineLvl w:val="0"/>
    </w:pPr>
    <w:rPr>
      <w:rFonts w:asciiTheme="majorHAnsi" w:hAnsiTheme="majorHAnsi" w:cstheme="majorBidi"/>
      <w:b/>
      <w:bCs/>
      <w:sz w:val="32"/>
      <w:szCs w:val="32"/>
    </w:rPr>
  </w:style>
  <w:style w:type="paragraph" w:styleId="22">
    <w:name w:val="annotation subject"/>
    <w:basedOn w:val="10"/>
    <w:next w:val="10"/>
    <w:link w:val="70"/>
    <w:autoRedefine/>
    <w:semiHidden/>
    <w:unhideWhenUsed/>
    <w:qFormat/>
    <w:uiPriority w:val="99"/>
    <w:rPr>
      <w:b/>
      <w:bCs/>
    </w:rPr>
  </w:style>
  <w:style w:type="paragraph" w:styleId="23">
    <w:name w:val="Body Text First Indent 2"/>
    <w:basedOn w:val="11"/>
    <w:next w:val="20"/>
    <w:autoRedefine/>
    <w:qFormat/>
    <w:uiPriority w:val="0"/>
    <w:pPr>
      <w:ind w:left="0" w:leftChars="0" w:firstLine="420"/>
    </w:pPr>
    <w:rPr>
      <w:sz w:val="22"/>
    </w:rPr>
  </w:style>
  <w:style w:type="table" w:styleId="25">
    <w:name w:val="Table Grid"/>
    <w:basedOn w:val="2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22"/>
    <w:rPr>
      <w:b/>
      <w:bCs/>
    </w:rPr>
  </w:style>
  <w:style w:type="character" w:styleId="28">
    <w:name w:val="FollowedHyperlink"/>
    <w:basedOn w:val="26"/>
    <w:autoRedefine/>
    <w:semiHidden/>
    <w:unhideWhenUsed/>
    <w:qFormat/>
    <w:uiPriority w:val="99"/>
    <w:rPr>
      <w:color w:val="800080" w:themeColor="followedHyperlink"/>
      <w:u w:val="single"/>
      <w14:textFill>
        <w14:solidFill>
          <w14:schemeClr w14:val="folHlink"/>
        </w14:solidFill>
      </w14:textFill>
    </w:rPr>
  </w:style>
  <w:style w:type="character" w:styleId="29">
    <w:name w:val="Emphasis"/>
    <w:basedOn w:val="26"/>
    <w:autoRedefine/>
    <w:qFormat/>
    <w:uiPriority w:val="20"/>
    <w:rPr>
      <w:i/>
      <w:iCs/>
    </w:rPr>
  </w:style>
  <w:style w:type="character" w:styleId="30">
    <w:name w:val="Hyperlink"/>
    <w:basedOn w:val="26"/>
    <w:autoRedefine/>
    <w:unhideWhenUsed/>
    <w:qFormat/>
    <w:uiPriority w:val="99"/>
    <w:rPr>
      <w:color w:val="0000FF" w:themeColor="hyperlink"/>
      <w:u w:val="single"/>
      <w14:textFill>
        <w14:solidFill>
          <w14:schemeClr w14:val="hlink"/>
        </w14:solidFill>
      </w14:textFill>
    </w:rPr>
  </w:style>
  <w:style w:type="character" w:styleId="31">
    <w:name w:val="annotation reference"/>
    <w:basedOn w:val="26"/>
    <w:autoRedefine/>
    <w:unhideWhenUsed/>
    <w:qFormat/>
    <w:uiPriority w:val="0"/>
    <w:rPr>
      <w:sz w:val="21"/>
      <w:szCs w:val="21"/>
    </w:rPr>
  </w:style>
  <w:style w:type="paragraph" w:customStyle="1" w:styleId="32">
    <w:name w:val="标题3-技术需求"/>
    <w:basedOn w:val="5"/>
    <w:autoRedefine/>
    <w:qFormat/>
    <w:uiPriority w:val="0"/>
    <w:pPr>
      <w:numPr>
        <w:ilvl w:val="1"/>
        <w:numId w:val="1"/>
      </w:numPr>
      <w:spacing w:line="360" w:lineRule="auto"/>
    </w:pPr>
    <w:rPr>
      <w:rFonts w:hAnsi="宋体" w:cs="宋体"/>
      <w:kern w:val="0"/>
      <w:szCs w:val="24"/>
    </w:rPr>
  </w:style>
  <w:style w:type="paragraph" w:customStyle="1" w:styleId="33">
    <w:name w:val="标题6-技术需求"/>
    <w:basedOn w:val="8"/>
    <w:autoRedefine/>
    <w:qFormat/>
    <w:uiPriority w:val="0"/>
    <w:pPr>
      <w:numPr>
        <w:ilvl w:val="4"/>
        <w:numId w:val="1"/>
      </w:numPr>
      <w:spacing w:before="0" w:after="0" w:line="360" w:lineRule="auto"/>
    </w:pPr>
    <w:rPr>
      <w:rFonts w:ascii="Cambria" w:hAnsi="Cambria" w:eastAsia="宋体" w:cs="Times New Roman"/>
    </w:rPr>
  </w:style>
  <w:style w:type="paragraph" w:customStyle="1" w:styleId="34">
    <w:name w:val="标题2-技术需求"/>
    <w:basedOn w:val="4"/>
    <w:autoRedefine/>
    <w:qFormat/>
    <w:uiPriority w:val="0"/>
    <w:pPr>
      <w:numPr>
        <w:ilvl w:val="0"/>
        <w:numId w:val="1"/>
      </w:numPr>
    </w:pPr>
    <w:rPr>
      <w:rFonts w:hAnsi="宋体" w:cs="宋体"/>
    </w:rPr>
  </w:style>
  <w:style w:type="paragraph" w:customStyle="1" w:styleId="35">
    <w:name w:val="标题5-技术需求"/>
    <w:basedOn w:val="7"/>
    <w:autoRedefine/>
    <w:qFormat/>
    <w:uiPriority w:val="0"/>
    <w:pPr>
      <w:numPr>
        <w:ilvl w:val="3"/>
        <w:numId w:val="1"/>
      </w:numPr>
      <w:spacing w:before="0" w:after="0" w:line="360" w:lineRule="auto"/>
    </w:pPr>
    <w:rPr>
      <w:rFonts w:hAnsi="Calibri" w:cs="Times New Roman"/>
      <w:sz w:val="24"/>
    </w:rPr>
  </w:style>
  <w:style w:type="paragraph" w:customStyle="1" w:styleId="36">
    <w:name w:val="标题4-技术需求"/>
    <w:basedOn w:val="6"/>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7">
    <w:name w:val="标题 3 字符"/>
    <w:basedOn w:val="26"/>
    <w:link w:val="5"/>
    <w:autoRedefine/>
    <w:qFormat/>
    <w:uiPriority w:val="9"/>
    <w:rPr>
      <w:rFonts w:asciiTheme="minorEastAsia"/>
      <w:b/>
      <w:bCs/>
      <w:sz w:val="24"/>
      <w:szCs w:val="32"/>
    </w:rPr>
  </w:style>
  <w:style w:type="character" w:customStyle="1" w:styleId="38">
    <w:name w:val="标题 6 字符"/>
    <w:basedOn w:val="26"/>
    <w:link w:val="8"/>
    <w:autoRedefine/>
    <w:semiHidden/>
    <w:qFormat/>
    <w:uiPriority w:val="9"/>
    <w:rPr>
      <w:rFonts w:asciiTheme="majorHAnsi" w:hAnsiTheme="majorHAnsi" w:eastAsiaTheme="majorEastAsia" w:cstheme="majorBidi"/>
      <w:b/>
      <w:bCs/>
      <w:sz w:val="24"/>
      <w:szCs w:val="24"/>
    </w:rPr>
  </w:style>
  <w:style w:type="character" w:customStyle="1" w:styleId="39">
    <w:name w:val="标题 2 字符"/>
    <w:basedOn w:val="26"/>
    <w:link w:val="4"/>
    <w:autoRedefine/>
    <w:qFormat/>
    <w:uiPriority w:val="9"/>
    <w:rPr>
      <w:rFonts w:hAnsi="Cambria" w:eastAsia="黑体" w:cs="Times New Roman" w:asciiTheme="minorEastAsia"/>
      <w:b/>
      <w:bCs/>
      <w:kern w:val="0"/>
      <w:sz w:val="32"/>
      <w:szCs w:val="32"/>
    </w:rPr>
  </w:style>
  <w:style w:type="character" w:customStyle="1" w:styleId="40">
    <w:name w:val="标题 5 字符"/>
    <w:basedOn w:val="26"/>
    <w:link w:val="7"/>
    <w:autoRedefine/>
    <w:semiHidden/>
    <w:qFormat/>
    <w:uiPriority w:val="9"/>
    <w:rPr>
      <w:b/>
      <w:bCs/>
      <w:sz w:val="28"/>
      <w:szCs w:val="28"/>
    </w:rPr>
  </w:style>
  <w:style w:type="character" w:customStyle="1" w:styleId="41">
    <w:name w:val="标题 4 字符"/>
    <w:basedOn w:val="26"/>
    <w:link w:val="6"/>
    <w:autoRedefine/>
    <w:semiHidden/>
    <w:qFormat/>
    <w:uiPriority w:val="9"/>
    <w:rPr>
      <w:rFonts w:asciiTheme="majorHAnsi" w:hAnsiTheme="majorHAnsi" w:eastAsiaTheme="majorEastAsia" w:cstheme="majorBidi"/>
      <w:b/>
      <w:bCs/>
      <w:sz w:val="28"/>
      <w:szCs w:val="28"/>
    </w:rPr>
  </w:style>
  <w:style w:type="character" w:customStyle="1" w:styleId="42">
    <w:name w:val="标题 1 字符"/>
    <w:basedOn w:val="26"/>
    <w:link w:val="3"/>
    <w:autoRedefine/>
    <w:qFormat/>
    <w:uiPriority w:val="9"/>
    <w:rPr>
      <w:rFonts w:hAnsi="Calibri" w:eastAsia="黑体" w:cs="Times New Roman" w:asciiTheme="minorEastAsia"/>
      <w:b/>
      <w:bCs/>
      <w:w w:val="80"/>
      <w:kern w:val="44"/>
      <w:sz w:val="36"/>
      <w:szCs w:val="44"/>
    </w:rPr>
  </w:style>
  <w:style w:type="paragraph" w:customStyle="1" w:styleId="43">
    <w:name w:val="正文-投标邀请"/>
    <w:basedOn w:val="1"/>
    <w:autoRedefine/>
    <w:qFormat/>
    <w:uiPriority w:val="0"/>
    <w:pPr>
      <w:spacing w:line="360" w:lineRule="auto"/>
    </w:pPr>
    <w:rPr>
      <w:sz w:val="28"/>
    </w:rPr>
  </w:style>
  <w:style w:type="paragraph" w:customStyle="1" w:styleId="44">
    <w:name w:val="正文须知-1级"/>
    <w:basedOn w:val="1"/>
    <w:next w:val="1"/>
    <w:autoRedefine/>
    <w:qFormat/>
    <w:uiPriority w:val="0"/>
    <w:pPr>
      <w:numPr>
        <w:ilvl w:val="0"/>
        <w:numId w:val="2"/>
      </w:numPr>
    </w:pPr>
    <w:rPr>
      <w:rFonts w:hAnsi="Calibri" w:cs="Times New Roman"/>
    </w:rPr>
  </w:style>
  <w:style w:type="paragraph" w:customStyle="1" w:styleId="45">
    <w:name w:val="正文须知-2级"/>
    <w:basedOn w:val="1"/>
    <w:autoRedefine/>
    <w:qFormat/>
    <w:uiPriority w:val="0"/>
    <w:pPr>
      <w:numPr>
        <w:ilvl w:val="1"/>
        <w:numId w:val="2"/>
      </w:numPr>
    </w:pPr>
  </w:style>
  <w:style w:type="character" w:customStyle="1" w:styleId="46">
    <w:name w:val="页眉 字符"/>
    <w:basedOn w:val="26"/>
    <w:link w:val="17"/>
    <w:autoRedefine/>
    <w:qFormat/>
    <w:uiPriority w:val="99"/>
    <w:rPr>
      <w:rFonts w:ascii="宋体" w:eastAsia="宋体"/>
      <w:sz w:val="18"/>
      <w:szCs w:val="18"/>
    </w:rPr>
  </w:style>
  <w:style w:type="character" w:customStyle="1" w:styleId="47">
    <w:name w:val="页脚 字符"/>
    <w:basedOn w:val="26"/>
    <w:link w:val="16"/>
    <w:autoRedefine/>
    <w:qFormat/>
    <w:uiPriority w:val="99"/>
    <w:rPr>
      <w:rFonts w:ascii="宋体" w:eastAsia="宋体"/>
      <w:sz w:val="18"/>
      <w:szCs w:val="18"/>
    </w:rPr>
  </w:style>
  <w:style w:type="paragraph" w:customStyle="1" w:styleId="48">
    <w:name w:val="附件六二级标题"/>
    <w:basedOn w:val="5"/>
    <w:next w:val="1"/>
    <w:autoRedefine/>
    <w:qFormat/>
    <w:uiPriority w:val="0"/>
    <w:pPr>
      <w:spacing w:line="240" w:lineRule="auto"/>
      <w:jc w:val="center"/>
    </w:pPr>
    <w:rPr>
      <w:rFonts w:hAnsi="宋体" w:cs="Times New Roman"/>
      <w:sz w:val="28"/>
    </w:rPr>
  </w:style>
  <w:style w:type="paragraph" w:customStyle="1" w:styleId="49">
    <w:name w:val="正文-首缩2字符"/>
    <w:basedOn w:val="1"/>
    <w:autoRedefine/>
    <w:qFormat/>
    <w:uiPriority w:val="99"/>
    <w:pPr>
      <w:ind w:firstLine="200" w:firstLineChars="200"/>
      <w:jc w:val="left"/>
    </w:pPr>
    <w:rPr>
      <w:rFonts w:hAnsi="宋体" w:cs="宋体"/>
      <w:szCs w:val="24"/>
    </w:rPr>
  </w:style>
  <w:style w:type="paragraph" w:styleId="50">
    <w:name w:val="List Paragraph"/>
    <w:basedOn w:val="1"/>
    <w:link w:val="72"/>
    <w:autoRedefine/>
    <w:qFormat/>
    <w:uiPriority w:val="34"/>
    <w:pPr>
      <w:ind w:firstLine="420" w:firstLineChars="200"/>
    </w:pPr>
  </w:style>
  <w:style w:type="paragraph" w:customStyle="1" w:styleId="51">
    <w:name w:val="附件六"/>
    <w:basedOn w:val="1"/>
    <w:autoRedefine/>
    <w:qFormat/>
    <w:uiPriority w:val="0"/>
    <w:pPr>
      <w:numPr>
        <w:ilvl w:val="0"/>
        <w:numId w:val="3"/>
      </w:numPr>
      <w:spacing w:line="360" w:lineRule="auto"/>
      <w:jc w:val="left"/>
    </w:pPr>
    <w:rPr>
      <w:rFonts w:hAnsi="宋体" w:cs="Times New Roman"/>
    </w:rPr>
  </w:style>
  <w:style w:type="paragraph" w:customStyle="1" w:styleId="52">
    <w:name w:val="须知前附表-带自动编号"/>
    <w:basedOn w:val="53"/>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53">
    <w:name w:val="正文须知"/>
    <w:basedOn w:val="1"/>
    <w:next w:val="1"/>
    <w:autoRedefine/>
    <w:qFormat/>
    <w:uiPriority w:val="0"/>
    <w:pPr>
      <w:ind w:left="419" w:hanging="720"/>
    </w:pPr>
    <w:rPr>
      <w:rFonts w:hAnsi="Calibri" w:cs="Times New Roman"/>
    </w:rPr>
  </w:style>
  <w:style w:type="paragraph" w:customStyle="1" w:styleId="54">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5">
    <w:name w:val="正文-前附表资格证明文件"/>
    <w:basedOn w:val="1"/>
    <w:next w:val="1"/>
    <w:autoRedefine/>
    <w:qFormat/>
    <w:uiPriority w:val="0"/>
    <w:pPr>
      <w:ind w:hanging="150" w:hangingChars="150"/>
    </w:pPr>
  </w:style>
  <w:style w:type="paragraph" w:styleId="56">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7">
    <w:name w:val="标题 字符"/>
    <w:basedOn w:val="26"/>
    <w:link w:val="21"/>
    <w:autoRedefine/>
    <w:qFormat/>
    <w:uiPriority w:val="10"/>
    <w:rPr>
      <w:rFonts w:eastAsia="宋体" w:asciiTheme="majorHAnsi" w:hAnsiTheme="majorHAnsi" w:cstheme="majorBidi"/>
      <w:b/>
      <w:bCs/>
      <w:sz w:val="32"/>
      <w:szCs w:val="32"/>
    </w:rPr>
  </w:style>
  <w:style w:type="character" w:customStyle="1" w:styleId="58">
    <w:name w:val="副标题 字符"/>
    <w:basedOn w:val="26"/>
    <w:link w:val="19"/>
    <w:autoRedefine/>
    <w:qFormat/>
    <w:uiPriority w:val="11"/>
    <w:rPr>
      <w:rFonts w:eastAsia="宋体" w:asciiTheme="majorHAnsi" w:hAnsiTheme="majorHAnsi" w:cstheme="majorBidi"/>
      <w:b/>
      <w:bCs/>
      <w:kern w:val="28"/>
      <w:sz w:val="32"/>
      <w:szCs w:val="32"/>
    </w:rPr>
  </w:style>
  <w:style w:type="character" w:customStyle="1" w:styleId="59">
    <w:name w:val="Subtle Emphasis"/>
    <w:basedOn w:val="26"/>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60">
    <w:name w:val="Intense Emphasis"/>
    <w:basedOn w:val="26"/>
    <w:autoRedefine/>
    <w:qFormat/>
    <w:uiPriority w:val="21"/>
    <w:rPr>
      <w:b/>
      <w:bCs/>
      <w:i/>
      <w:iCs/>
      <w:color w:val="4F81BD" w:themeColor="accent1"/>
      <w14:textFill>
        <w14:solidFill>
          <w14:schemeClr w14:val="accent1"/>
        </w14:solidFill>
      </w14:textFill>
    </w:rPr>
  </w:style>
  <w:style w:type="paragraph" w:styleId="61">
    <w:name w:val="Quote"/>
    <w:basedOn w:val="1"/>
    <w:next w:val="1"/>
    <w:link w:val="62"/>
    <w:autoRedefine/>
    <w:qFormat/>
    <w:uiPriority w:val="29"/>
    <w:rPr>
      <w:i/>
      <w:iCs/>
      <w:color w:val="000000" w:themeColor="text1"/>
      <w14:textFill>
        <w14:solidFill>
          <w14:schemeClr w14:val="tx1"/>
        </w14:solidFill>
      </w14:textFill>
    </w:rPr>
  </w:style>
  <w:style w:type="character" w:customStyle="1" w:styleId="62">
    <w:name w:val="引用 字符"/>
    <w:basedOn w:val="26"/>
    <w:link w:val="61"/>
    <w:autoRedefine/>
    <w:qFormat/>
    <w:uiPriority w:val="29"/>
    <w:rPr>
      <w:rFonts w:ascii="宋体" w:eastAsia="宋体"/>
      <w:i/>
      <w:iCs/>
      <w:color w:val="000000" w:themeColor="text1"/>
      <w:sz w:val="24"/>
      <w14:textFill>
        <w14:solidFill>
          <w14:schemeClr w14:val="tx1"/>
        </w14:solidFill>
      </w14:textFill>
    </w:rPr>
  </w:style>
  <w:style w:type="paragraph" w:styleId="63">
    <w:name w:val="Intense Quote"/>
    <w:basedOn w:val="1"/>
    <w:next w:val="1"/>
    <w:link w:val="64"/>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4">
    <w:name w:val="明显引用 字符"/>
    <w:basedOn w:val="26"/>
    <w:link w:val="63"/>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5">
    <w:name w:val="Subtle Reference"/>
    <w:basedOn w:val="26"/>
    <w:qFormat/>
    <w:uiPriority w:val="31"/>
    <w:rPr>
      <w:smallCaps/>
      <w:color w:val="C0504D" w:themeColor="accent2"/>
      <w:u w:val="single"/>
      <w14:textFill>
        <w14:solidFill>
          <w14:schemeClr w14:val="accent2"/>
        </w14:solidFill>
      </w14:textFill>
    </w:rPr>
  </w:style>
  <w:style w:type="character" w:customStyle="1" w:styleId="66">
    <w:name w:val="Intense Reference"/>
    <w:basedOn w:val="26"/>
    <w:qFormat/>
    <w:uiPriority w:val="32"/>
    <w:rPr>
      <w:b/>
      <w:bCs/>
      <w:smallCaps/>
      <w:color w:val="C0504D" w:themeColor="accent2"/>
      <w:spacing w:val="5"/>
      <w:u w:val="single"/>
      <w14:textFill>
        <w14:solidFill>
          <w14:schemeClr w14:val="accent2"/>
        </w14:solidFill>
      </w14:textFill>
    </w:rPr>
  </w:style>
  <w:style w:type="character" w:customStyle="1" w:styleId="67">
    <w:name w:val="Book Title"/>
    <w:basedOn w:val="26"/>
    <w:autoRedefine/>
    <w:qFormat/>
    <w:uiPriority w:val="33"/>
    <w:rPr>
      <w:b/>
      <w:bCs/>
      <w:smallCaps/>
      <w:spacing w:val="5"/>
    </w:rPr>
  </w:style>
  <w:style w:type="character" w:customStyle="1" w:styleId="68">
    <w:name w:val="批注文字 字符"/>
    <w:basedOn w:val="26"/>
    <w:link w:val="10"/>
    <w:autoRedefine/>
    <w:qFormat/>
    <w:uiPriority w:val="0"/>
    <w:rPr>
      <w:rFonts w:asciiTheme="minorEastAsia"/>
      <w:sz w:val="24"/>
    </w:rPr>
  </w:style>
  <w:style w:type="character" w:customStyle="1" w:styleId="69">
    <w:name w:val="批注框文本 字符"/>
    <w:basedOn w:val="26"/>
    <w:link w:val="15"/>
    <w:autoRedefine/>
    <w:semiHidden/>
    <w:qFormat/>
    <w:uiPriority w:val="99"/>
    <w:rPr>
      <w:rFonts w:asciiTheme="minorEastAsia"/>
      <w:sz w:val="18"/>
      <w:szCs w:val="18"/>
    </w:rPr>
  </w:style>
  <w:style w:type="character" w:customStyle="1" w:styleId="70">
    <w:name w:val="批注主题 字符"/>
    <w:basedOn w:val="68"/>
    <w:link w:val="22"/>
    <w:autoRedefine/>
    <w:semiHidden/>
    <w:qFormat/>
    <w:uiPriority w:val="99"/>
    <w:rPr>
      <w:rFonts w:asciiTheme="minorEastAsia"/>
      <w:b/>
      <w:bCs/>
      <w:sz w:val="24"/>
    </w:rPr>
  </w:style>
  <w:style w:type="paragraph" w:customStyle="1" w:styleId="71">
    <w:name w:val="列出段落1"/>
    <w:basedOn w:val="1"/>
    <w:autoRedefine/>
    <w:qFormat/>
    <w:uiPriority w:val="0"/>
    <w:pPr>
      <w:ind w:firstLine="420" w:firstLineChars="200"/>
    </w:pPr>
    <w:rPr>
      <w:rFonts w:ascii="宋体" w:hAnsi="Calibri" w:eastAsia="宋体" w:cs="Times New Roman"/>
    </w:rPr>
  </w:style>
  <w:style w:type="character" w:customStyle="1" w:styleId="72">
    <w:name w:val="列表段落 字符"/>
    <w:link w:val="50"/>
    <w:autoRedefine/>
    <w:qFormat/>
    <w:uiPriority w:val="34"/>
    <w:rPr>
      <w:rFonts w:asciiTheme="minorEastAsia"/>
      <w:sz w:val="24"/>
    </w:rPr>
  </w:style>
  <w:style w:type="character" w:customStyle="1" w:styleId="73">
    <w:name w:val="投标人须知前附表"/>
    <w:basedOn w:val="26"/>
    <w:qFormat/>
    <w:uiPriority w:val="1"/>
    <w:rPr>
      <w:rFonts w:ascii="黑体" w:hAnsi="黑体" w:eastAsia="黑体" w:cs="Times New Roman"/>
      <w:sz w:val="24"/>
    </w:rPr>
  </w:style>
  <w:style w:type="paragraph" w:customStyle="1" w:styleId="74">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5">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6">
    <w:name w:val="未处理的提及1"/>
    <w:basedOn w:val="26"/>
    <w:semiHidden/>
    <w:unhideWhenUsed/>
    <w:qFormat/>
    <w:uiPriority w:val="99"/>
    <w:rPr>
      <w:color w:val="605E5C"/>
      <w:shd w:val="clear" w:color="auto" w:fill="E1DFDD"/>
    </w:rPr>
  </w:style>
  <w:style w:type="paragraph" w:customStyle="1" w:styleId="77">
    <w:name w:val="须知前附表-带自动编号*"/>
    <w:basedOn w:val="52"/>
    <w:qFormat/>
    <w:uiPriority w:val="0"/>
    <w:pPr>
      <w:numPr>
        <w:numId w:val="6"/>
      </w:numPr>
      <w:ind w:left="541" w:hanging="541"/>
    </w:pPr>
  </w:style>
  <w:style w:type="paragraph" w:customStyle="1" w:styleId="78">
    <w:name w:val="列表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4&#24180;&#20010;&#20154;&#39033;&#30446;&#25191;&#34892;\08-&#22253;&#21338;&#22253;\N028\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9E68B-976D-440E-9FD5-55569385F50E}">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136</Pages>
  <Words>75303</Words>
  <Characters>79357</Characters>
  <Lines>451</Lines>
  <Paragraphs>127</Paragraphs>
  <TotalTime>38</TotalTime>
  <ScaleCrop>false</ScaleCrop>
  <LinksUpToDate>false</LinksUpToDate>
  <CharactersWithSpaces>85377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2024-02-26T06:01:00Z</dcterms:created>
  <dc:creator>中化商务-韩伟轩</dc:creator>
  <cp:lastModifiedBy>中化商务-韩伟轩</cp:lastModifiedBy>
  <dcterms:modified xsi:type="dcterms:W3CDTF">2024-03-11T06:17:47Z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5D0BEADDC7EA4CCA9BA1B85CE9CDBDCA</vt:lpwstr>
  </property>
  <property fmtid="{D5CDD505-2E9C-101B-9397-08002B2CF9AE}" pid="3" name="KSOProductBuildVer">
    <vt:lpwstr>2052-12.1.0.16388</vt:lpwstr>
  </property>
</Properties>
</file>