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spacing w:line="360" w:lineRule="auto"/>
        <w:ind w:firstLine="300" w:firstLineChars="50"/>
        <w:rPr>
          <w:rFonts w:hint="eastAsia"/>
          <w:sz w:val="60"/>
          <w:szCs w:val="60"/>
        </w:rPr>
      </w:pPr>
    </w:p>
    <w:p>
      <w:pPr>
        <w:jc w:val="center"/>
        <w:rPr>
          <w:b/>
          <w:bCs/>
          <w:sz w:val="60"/>
          <w:szCs w:val="60"/>
        </w:rPr>
      </w:pPr>
      <w:r>
        <w:rPr>
          <w:b/>
          <w:bCs/>
          <w:sz w:val="60"/>
          <w:szCs w:val="60"/>
        </w:rPr>
        <w:t>北京市政府采购项目</w:t>
      </w:r>
    </w:p>
    <w:p>
      <w:pPr>
        <w:pStyle w:val="2"/>
      </w:pPr>
    </w:p>
    <w:p>
      <w:pPr>
        <w:jc w:val="center"/>
        <w:rPr>
          <w:b/>
          <w:bCs/>
          <w:sz w:val="60"/>
          <w:szCs w:val="60"/>
        </w:rPr>
      </w:pPr>
      <w:r>
        <w:rPr>
          <w:rFonts w:hint="eastAsia"/>
          <w:b/>
          <w:bCs/>
          <w:sz w:val="60"/>
          <w:szCs w:val="60"/>
        </w:rPr>
        <w:t>公开</w:t>
      </w:r>
      <w:r>
        <w:rPr>
          <w:b/>
          <w:bCs/>
          <w:sz w:val="60"/>
          <w:szCs w:val="60"/>
        </w:rPr>
        <w:t>招标文件</w:t>
      </w:r>
    </w:p>
    <w:p>
      <w:pPr>
        <w:jc w:val="center"/>
        <w:rPr>
          <w:b/>
          <w:bCs/>
          <w:sz w:val="60"/>
          <w:szCs w:val="60"/>
        </w:rPr>
      </w:pPr>
    </w:p>
    <w:p>
      <w:pPr>
        <w:jc w:val="center"/>
        <w:rPr>
          <w:b/>
          <w:bCs/>
          <w:sz w:val="60"/>
          <w:szCs w:val="60"/>
        </w:rPr>
      </w:pPr>
    </w:p>
    <w:p>
      <w:pPr>
        <w:spacing w:line="360" w:lineRule="auto"/>
        <w:jc w:val="center"/>
        <w:rPr>
          <w:sz w:val="60"/>
          <w:szCs w:val="60"/>
        </w:rPr>
      </w:pPr>
    </w:p>
    <w:p>
      <w:pPr>
        <w:pStyle w:val="2"/>
      </w:pPr>
    </w:p>
    <w:p>
      <w:pPr>
        <w:pStyle w:val="3"/>
      </w:pPr>
    </w:p>
    <w:p>
      <w:pPr/>
    </w:p>
    <w:p>
      <w:pPr>
        <w:pStyle w:val="2"/>
      </w:pPr>
    </w:p>
    <w:p>
      <w:pPr>
        <w:pStyle w:val="3"/>
      </w:pPr>
    </w:p>
    <w:p>
      <w:pPr/>
    </w:p>
    <w:p>
      <w:pPr>
        <w:tabs>
          <w:tab w:val="left" w:pos="3240"/>
          <w:tab w:val="left" w:pos="3420"/>
        </w:tabs>
        <w:spacing w:line="360" w:lineRule="auto"/>
        <w:ind w:left="2833" w:leftChars="444" w:hanging="1901" w:hangingChars="528"/>
        <w:jc w:val="left"/>
        <w:rPr>
          <w:bCs/>
          <w:sz w:val="36"/>
          <w:szCs w:val="36"/>
        </w:rPr>
      </w:pPr>
      <w:r>
        <w:rPr>
          <w:bCs/>
          <w:sz w:val="36"/>
          <w:szCs w:val="36"/>
        </w:rPr>
        <w:t>项目名称：</w:t>
      </w:r>
      <w:r>
        <w:rPr>
          <w:rFonts w:hint="eastAsia"/>
          <w:bCs/>
          <w:sz w:val="36"/>
          <w:szCs w:val="36"/>
        </w:rPr>
        <w:t>轨道交通运营安全专职督查员工作餐</w:t>
      </w:r>
    </w:p>
    <w:p>
      <w:pPr>
        <w:tabs>
          <w:tab w:val="left" w:pos="3240"/>
          <w:tab w:val="left" w:pos="3420"/>
        </w:tabs>
        <w:spacing w:line="360" w:lineRule="auto"/>
        <w:ind w:left="2833" w:leftChars="444" w:hanging="1901" w:hangingChars="528"/>
        <w:jc w:val="left"/>
        <w:rPr>
          <w:bCs/>
          <w:sz w:val="36"/>
          <w:szCs w:val="36"/>
        </w:rPr>
      </w:pPr>
      <w:r>
        <w:rPr>
          <w:bCs/>
          <w:sz w:val="36"/>
          <w:szCs w:val="36"/>
        </w:rPr>
        <w:t>项目编号：</w:t>
      </w:r>
      <w:r>
        <w:rPr>
          <w:rFonts w:hint="eastAsia"/>
          <w:bCs/>
          <w:sz w:val="36"/>
          <w:szCs w:val="36"/>
        </w:rPr>
        <w:t>0686-2411BG100125Z</w:t>
      </w:r>
    </w:p>
    <w:p>
      <w:pPr>
        <w:tabs>
          <w:tab w:val="left" w:pos="3240"/>
          <w:tab w:val="left" w:pos="3420"/>
        </w:tabs>
        <w:spacing w:line="360" w:lineRule="auto"/>
        <w:ind w:left="2833" w:leftChars="444" w:hanging="1901" w:hangingChars="528"/>
        <w:jc w:val="left"/>
        <w:rPr>
          <w:bCs/>
          <w:sz w:val="36"/>
          <w:szCs w:val="36"/>
        </w:rPr>
      </w:pPr>
      <w:r>
        <w:rPr>
          <w:bCs/>
          <w:sz w:val="36"/>
          <w:szCs w:val="36"/>
        </w:rPr>
        <w:t>采 购 人：</w:t>
      </w:r>
      <w:r>
        <w:rPr>
          <w:rFonts w:hint="eastAsia"/>
          <w:bCs/>
          <w:sz w:val="36"/>
          <w:szCs w:val="36"/>
        </w:rPr>
        <w:t>北京市交通运输综合执法总队</w:t>
      </w:r>
    </w:p>
    <w:p>
      <w:pPr>
        <w:tabs>
          <w:tab w:val="left" w:pos="3240"/>
          <w:tab w:val="left" w:pos="3420"/>
        </w:tabs>
        <w:spacing w:line="360" w:lineRule="auto"/>
        <w:ind w:left="2833" w:leftChars="444" w:hanging="1901" w:hangingChars="528"/>
        <w:jc w:val="left"/>
        <w:rPr>
          <w:bCs/>
          <w:sz w:val="36"/>
          <w:szCs w:val="36"/>
        </w:rPr>
      </w:pPr>
      <w:r>
        <w:rPr>
          <w:rFonts w:hint="eastAsia"/>
          <w:bCs/>
          <w:sz w:val="36"/>
          <w:szCs w:val="36"/>
        </w:rPr>
        <w:t>采购</w:t>
      </w:r>
      <w:r>
        <w:rPr>
          <w:bCs/>
          <w:sz w:val="36"/>
          <w:szCs w:val="36"/>
        </w:rPr>
        <w:t>代理机构：</w:t>
      </w:r>
      <w:r>
        <w:rPr>
          <w:rFonts w:hint="eastAsia"/>
          <w:bCs/>
          <w:sz w:val="36"/>
          <w:szCs w:val="36"/>
        </w:rPr>
        <w:t>北京国际贸易有限公司</w:t>
      </w:r>
    </w:p>
    <w:p>
      <w:pPr>
        <w:tabs>
          <w:tab w:val="left" w:pos="3240"/>
          <w:tab w:val="left" w:pos="3420"/>
        </w:tabs>
        <w:spacing w:line="360" w:lineRule="auto"/>
        <w:ind w:left="2833" w:leftChars="444" w:hanging="1901" w:hangingChars="528"/>
        <w:jc w:val="left"/>
        <w:rPr>
          <w:bCs/>
          <w:sz w:val="36"/>
          <w:szCs w:val="36"/>
        </w:rPr>
      </w:pPr>
    </w:p>
    <w:p>
      <w:pPr>
        <w:tabs>
          <w:tab w:val="left" w:pos="3240"/>
          <w:tab w:val="left" w:pos="3420"/>
        </w:tabs>
        <w:spacing w:line="360" w:lineRule="auto"/>
        <w:ind w:leftChars="-1" w:hanging="2"/>
        <w:jc w:val="center"/>
        <w:rPr>
          <w:rFonts w:ascii="宋体" w:hAnsi="宋体"/>
          <w:bCs/>
          <w:sz w:val="36"/>
          <w:szCs w:val="36"/>
        </w:rPr>
      </w:pPr>
      <w:r>
        <w:rPr>
          <w:rFonts w:hint="eastAsia" w:ascii="宋体" w:hAnsi="宋体"/>
          <w:bCs/>
          <w:sz w:val="36"/>
          <w:szCs w:val="36"/>
        </w:rPr>
        <w:t>2</w:t>
      </w:r>
      <w:r>
        <w:rPr>
          <w:rFonts w:ascii="宋体" w:hAnsi="宋体"/>
          <w:bCs/>
          <w:sz w:val="36"/>
          <w:szCs w:val="36"/>
        </w:rPr>
        <w:t>02</w:t>
      </w:r>
      <w:r>
        <w:rPr>
          <w:rFonts w:hint="eastAsia" w:ascii="宋体" w:hAnsi="宋体"/>
          <w:bCs/>
          <w:sz w:val="36"/>
          <w:szCs w:val="36"/>
        </w:rPr>
        <w:t>4年</w:t>
      </w:r>
      <w:r>
        <w:rPr>
          <w:rFonts w:hint="eastAsia" w:ascii="宋体" w:hAnsi="宋体"/>
          <w:bCs/>
          <w:sz w:val="36"/>
          <w:szCs w:val="36"/>
          <w:lang w:val="en-US" w:eastAsia="zh-CN"/>
        </w:rPr>
        <w:t>2</w:t>
      </w:r>
      <w:r>
        <w:rPr>
          <w:rFonts w:hint="eastAsia" w:ascii="宋体" w:hAnsi="宋体"/>
          <w:bCs/>
          <w:sz w:val="36"/>
          <w:szCs w:val="36"/>
        </w:rPr>
        <w:t>月</w:t>
      </w:r>
    </w:p>
    <w:p>
      <w:pPr>
        <w:tabs>
          <w:tab w:val="left" w:pos="3240"/>
          <w:tab w:val="left" w:pos="3420"/>
        </w:tabs>
        <w:spacing w:line="360" w:lineRule="auto"/>
        <w:ind w:leftChars="-1" w:hanging="2"/>
        <w:jc w:val="center"/>
        <w:rPr>
          <w:rFonts w:ascii="宋体" w:hAnsi="宋体"/>
          <w:bCs/>
          <w:sz w:val="36"/>
          <w:szCs w:val="36"/>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pPr>
        <w:spacing w:line="360" w:lineRule="auto"/>
        <w:jc w:val="center"/>
        <w:outlineLvl w:val="0"/>
        <w:rPr>
          <w:b/>
          <w:sz w:val="36"/>
          <w:szCs w:val="36"/>
        </w:rPr>
      </w:pPr>
      <w:bookmarkStart w:id="0" w:name="_Toc147735549"/>
      <w:bookmarkStart w:id="1" w:name="_Toc99301418"/>
      <w:r>
        <w:rPr>
          <w:b/>
          <w:sz w:val="36"/>
          <w:szCs w:val="36"/>
        </w:rPr>
        <w:t>目      录</w:t>
      </w:r>
      <w:bookmarkEnd w:id="0"/>
      <w:bookmarkEnd w:id="1"/>
    </w:p>
    <w:p>
      <w:pPr/>
    </w:p>
    <w:p>
      <w:pPr/>
    </w:p>
    <w:p>
      <w:pPr/>
    </w:p>
    <w:p>
      <w:pPr>
        <w:pStyle w:val="33"/>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3"/>
        <w:rPr>
          <w:rFonts w:asciiTheme="minorHAnsi" w:hAnsiTheme="minorHAnsi" w:eastAsiaTheme="minorEastAsia" w:cstheme="minorBidi"/>
          <w:b w:val="0"/>
          <w:sz w:val="28"/>
          <w:szCs w:val="28"/>
        </w:rPr>
      </w:pPr>
      <w:r>
        <w:fldChar w:fldCharType="begin"/>
      </w:r>
      <w:r>
        <w:instrText xml:space="preserve"> HYPERLINK \l "_Toc147735550" </w:instrText>
      </w:r>
      <w:r>
        <w:fldChar w:fldCharType="separate"/>
      </w:r>
      <w:r>
        <w:rPr>
          <w:rStyle w:val="48"/>
          <w:sz w:val="28"/>
          <w:szCs w:val="28"/>
        </w:rPr>
        <w:t>第一章   投标邀请</w:t>
      </w:r>
      <w:r>
        <w:rPr>
          <w:sz w:val="28"/>
          <w:szCs w:val="28"/>
        </w:rPr>
        <w:tab/>
      </w:r>
      <w:r>
        <w:rPr>
          <w:sz w:val="28"/>
          <w:szCs w:val="28"/>
        </w:rPr>
        <w:fldChar w:fldCharType="begin"/>
      </w:r>
      <w:r>
        <w:rPr>
          <w:sz w:val="28"/>
          <w:szCs w:val="28"/>
        </w:rPr>
        <w:instrText xml:space="preserve"> PAGEREF _Toc147735550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33"/>
        <w:rPr>
          <w:rFonts w:asciiTheme="minorHAnsi" w:hAnsiTheme="minorHAnsi" w:eastAsiaTheme="minorEastAsia" w:cstheme="minorBidi"/>
          <w:b w:val="0"/>
          <w:sz w:val="28"/>
          <w:szCs w:val="28"/>
        </w:rPr>
      </w:pPr>
      <w:r>
        <w:fldChar w:fldCharType="begin"/>
      </w:r>
      <w:r>
        <w:instrText xml:space="preserve"> HYPERLINK \l "_Toc147735551" </w:instrText>
      </w:r>
      <w:r>
        <w:fldChar w:fldCharType="separate"/>
      </w:r>
      <w:r>
        <w:rPr>
          <w:rStyle w:val="48"/>
          <w:sz w:val="28"/>
          <w:szCs w:val="28"/>
        </w:rPr>
        <w:t>第二章   投标人须知</w:t>
      </w:r>
      <w:r>
        <w:rPr>
          <w:sz w:val="28"/>
          <w:szCs w:val="28"/>
        </w:rPr>
        <w:tab/>
      </w:r>
      <w:r>
        <w:rPr>
          <w:sz w:val="28"/>
          <w:szCs w:val="28"/>
        </w:rPr>
        <w:fldChar w:fldCharType="begin"/>
      </w:r>
      <w:r>
        <w:rPr>
          <w:sz w:val="28"/>
          <w:szCs w:val="28"/>
        </w:rPr>
        <w:instrText xml:space="preserve"> PAGEREF _Toc147735551 \h </w:instrText>
      </w:r>
      <w:r>
        <w:rPr>
          <w:sz w:val="28"/>
          <w:szCs w:val="28"/>
        </w:rPr>
        <w:fldChar w:fldCharType="separate"/>
      </w:r>
      <w:r>
        <w:rPr>
          <w:sz w:val="28"/>
          <w:szCs w:val="28"/>
        </w:rPr>
        <w:t>4</w:t>
      </w:r>
      <w:r>
        <w:rPr>
          <w:sz w:val="28"/>
          <w:szCs w:val="28"/>
        </w:rPr>
        <w:fldChar w:fldCharType="end"/>
      </w:r>
      <w:r>
        <w:rPr>
          <w:sz w:val="28"/>
          <w:szCs w:val="28"/>
        </w:rPr>
        <w:fldChar w:fldCharType="end"/>
      </w:r>
    </w:p>
    <w:p>
      <w:pPr>
        <w:pStyle w:val="33"/>
        <w:rPr>
          <w:rFonts w:asciiTheme="minorHAnsi" w:hAnsiTheme="minorHAnsi" w:eastAsiaTheme="minorEastAsia" w:cstheme="minorBidi"/>
          <w:b w:val="0"/>
          <w:sz w:val="28"/>
          <w:szCs w:val="28"/>
        </w:rPr>
      </w:pPr>
      <w:r>
        <w:fldChar w:fldCharType="begin"/>
      </w:r>
      <w:r>
        <w:instrText xml:space="preserve"> HYPERLINK \l "_Toc147735552" </w:instrText>
      </w:r>
      <w:r>
        <w:fldChar w:fldCharType="separate"/>
      </w:r>
      <w:r>
        <w:rPr>
          <w:rStyle w:val="48"/>
          <w:sz w:val="28"/>
          <w:szCs w:val="28"/>
        </w:rPr>
        <w:t>第三章   资格审查</w:t>
      </w:r>
      <w:r>
        <w:rPr>
          <w:sz w:val="28"/>
          <w:szCs w:val="28"/>
        </w:rPr>
        <w:tab/>
      </w:r>
      <w:r>
        <w:rPr>
          <w:sz w:val="28"/>
          <w:szCs w:val="28"/>
        </w:rPr>
        <w:fldChar w:fldCharType="begin"/>
      </w:r>
      <w:r>
        <w:rPr>
          <w:sz w:val="28"/>
          <w:szCs w:val="28"/>
        </w:rPr>
        <w:instrText xml:space="preserve"> PAGEREF _Toc147735552 \h </w:instrText>
      </w:r>
      <w:r>
        <w:rPr>
          <w:sz w:val="28"/>
          <w:szCs w:val="28"/>
        </w:rPr>
        <w:fldChar w:fldCharType="separate"/>
      </w:r>
      <w:r>
        <w:rPr>
          <w:sz w:val="28"/>
          <w:szCs w:val="28"/>
        </w:rPr>
        <w:t>20</w:t>
      </w:r>
      <w:r>
        <w:rPr>
          <w:sz w:val="28"/>
          <w:szCs w:val="28"/>
        </w:rPr>
        <w:fldChar w:fldCharType="end"/>
      </w:r>
      <w:r>
        <w:rPr>
          <w:sz w:val="28"/>
          <w:szCs w:val="28"/>
        </w:rPr>
        <w:fldChar w:fldCharType="end"/>
      </w:r>
    </w:p>
    <w:p>
      <w:pPr>
        <w:pStyle w:val="33"/>
        <w:rPr>
          <w:rFonts w:asciiTheme="minorHAnsi" w:hAnsiTheme="minorHAnsi" w:eastAsiaTheme="minorEastAsia" w:cstheme="minorBidi"/>
          <w:b w:val="0"/>
          <w:sz w:val="28"/>
          <w:szCs w:val="28"/>
        </w:rPr>
      </w:pPr>
      <w:r>
        <w:fldChar w:fldCharType="begin"/>
      </w:r>
      <w:r>
        <w:instrText xml:space="preserve"> HYPERLINK \l "_Toc147735553" </w:instrText>
      </w:r>
      <w:r>
        <w:fldChar w:fldCharType="separate"/>
      </w:r>
      <w:r>
        <w:rPr>
          <w:rStyle w:val="48"/>
          <w:sz w:val="28"/>
          <w:szCs w:val="28"/>
        </w:rPr>
        <w:t>第四章   评标程序、评标方法和评标标准</w:t>
      </w:r>
      <w:r>
        <w:rPr>
          <w:sz w:val="28"/>
          <w:szCs w:val="28"/>
        </w:rPr>
        <w:tab/>
      </w:r>
      <w:r>
        <w:rPr>
          <w:sz w:val="28"/>
          <w:szCs w:val="28"/>
        </w:rPr>
        <w:fldChar w:fldCharType="begin"/>
      </w:r>
      <w:r>
        <w:rPr>
          <w:sz w:val="28"/>
          <w:szCs w:val="28"/>
        </w:rPr>
        <w:instrText xml:space="preserve"> PAGEREF _Toc147735553 \h </w:instrText>
      </w:r>
      <w:r>
        <w:rPr>
          <w:sz w:val="28"/>
          <w:szCs w:val="28"/>
        </w:rPr>
        <w:fldChar w:fldCharType="separate"/>
      </w:r>
      <w:r>
        <w:rPr>
          <w:sz w:val="28"/>
          <w:szCs w:val="28"/>
        </w:rPr>
        <w:t>22</w:t>
      </w:r>
      <w:r>
        <w:rPr>
          <w:sz w:val="28"/>
          <w:szCs w:val="28"/>
        </w:rPr>
        <w:fldChar w:fldCharType="end"/>
      </w:r>
      <w:r>
        <w:rPr>
          <w:sz w:val="28"/>
          <w:szCs w:val="28"/>
        </w:rPr>
        <w:fldChar w:fldCharType="end"/>
      </w:r>
    </w:p>
    <w:p>
      <w:pPr>
        <w:pStyle w:val="33"/>
        <w:rPr>
          <w:rFonts w:asciiTheme="minorHAnsi" w:hAnsiTheme="minorHAnsi" w:eastAsiaTheme="minorEastAsia" w:cstheme="minorBidi"/>
          <w:b w:val="0"/>
          <w:sz w:val="28"/>
          <w:szCs w:val="28"/>
        </w:rPr>
      </w:pPr>
      <w:r>
        <w:fldChar w:fldCharType="begin"/>
      </w:r>
      <w:r>
        <w:instrText xml:space="preserve"> HYPERLINK \l "_Toc147735554" </w:instrText>
      </w:r>
      <w:r>
        <w:fldChar w:fldCharType="separate"/>
      </w:r>
      <w:r>
        <w:rPr>
          <w:rStyle w:val="48"/>
          <w:sz w:val="28"/>
          <w:szCs w:val="28"/>
        </w:rPr>
        <w:t>第五章   采购需求</w:t>
      </w:r>
      <w:r>
        <w:rPr>
          <w:sz w:val="28"/>
          <w:szCs w:val="28"/>
        </w:rPr>
        <w:tab/>
      </w:r>
      <w:r>
        <w:rPr>
          <w:sz w:val="28"/>
          <w:szCs w:val="28"/>
        </w:rPr>
        <w:fldChar w:fldCharType="begin"/>
      </w:r>
      <w:r>
        <w:rPr>
          <w:sz w:val="28"/>
          <w:szCs w:val="28"/>
        </w:rPr>
        <w:instrText xml:space="preserve"> PAGEREF _Toc147735554 \h </w:instrText>
      </w:r>
      <w:r>
        <w:rPr>
          <w:sz w:val="28"/>
          <w:szCs w:val="28"/>
        </w:rPr>
        <w:fldChar w:fldCharType="separate"/>
      </w:r>
      <w:r>
        <w:rPr>
          <w:sz w:val="28"/>
          <w:szCs w:val="28"/>
        </w:rPr>
        <w:t>30</w:t>
      </w:r>
      <w:r>
        <w:rPr>
          <w:sz w:val="28"/>
          <w:szCs w:val="28"/>
        </w:rPr>
        <w:fldChar w:fldCharType="end"/>
      </w:r>
      <w:r>
        <w:rPr>
          <w:sz w:val="28"/>
          <w:szCs w:val="28"/>
        </w:rPr>
        <w:fldChar w:fldCharType="end"/>
      </w:r>
    </w:p>
    <w:p>
      <w:pPr>
        <w:pStyle w:val="33"/>
        <w:rPr>
          <w:rFonts w:asciiTheme="minorHAnsi" w:hAnsiTheme="minorHAnsi" w:eastAsiaTheme="minorEastAsia" w:cstheme="minorBidi"/>
          <w:b w:val="0"/>
          <w:sz w:val="28"/>
          <w:szCs w:val="28"/>
        </w:rPr>
      </w:pPr>
      <w:r>
        <w:fldChar w:fldCharType="begin"/>
      </w:r>
      <w:r>
        <w:instrText xml:space="preserve"> HYPERLINK \l "_Toc147735555" </w:instrText>
      </w:r>
      <w:r>
        <w:fldChar w:fldCharType="separate"/>
      </w:r>
      <w:r>
        <w:rPr>
          <w:rStyle w:val="48"/>
          <w:sz w:val="28"/>
          <w:szCs w:val="28"/>
        </w:rPr>
        <w:t>第六章   政府采购合同格式</w:t>
      </w:r>
      <w:r>
        <w:rPr>
          <w:sz w:val="28"/>
          <w:szCs w:val="28"/>
        </w:rPr>
        <w:tab/>
      </w:r>
      <w:r>
        <w:rPr>
          <w:sz w:val="28"/>
          <w:szCs w:val="28"/>
        </w:rPr>
        <w:fldChar w:fldCharType="begin"/>
      </w:r>
      <w:r>
        <w:rPr>
          <w:sz w:val="28"/>
          <w:szCs w:val="28"/>
        </w:rPr>
        <w:instrText xml:space="preserve"> PAGEREF _Toc147735555 \h </w:instrText>
      </w:r>
      <w:r>
        <w:rPr>
          <w:sz w:val="28"/>
          <w:szCs w:val="28"/>
        </w:rPr>
        <w:fldChar w:fldCharType="separate"/>
      </w:r>
      <w:r>
        <w:rPr>
          <w:sz w:val="28"/>
          <w:szCs w:val="28"/>
        </w:rPr>
        <w:t>33</w:t>
      </w:r>
      <w:r>
        <w:rPr>
          <w:sz w:val="28"/>
          <w:szCs w:val="28"/>
        </w:rPr>
        <w:fldChar w:fldCharType="end"/>
      </w:r>
      <w:r>
        <w:rPr>
          <w:sz w:val="28"/>
          <w:szCs w:val="28"/>
        </w:rPr>
        <w:fldChar w:fldCharType="end"/>
      </w:r>
    </w:p>
    <w:p>
      <w:pPr>
        <w:pStyle w:val="33"/>
        <w:rPr>
          <w:rFonts w:asciiTheme="minorHAnsi" w:hAnsiTheme="minorHAnsi" w:eastAsiaTheme="minorEastAsia" w:cstheme="minorBidi"/>
          <w:b w:val="0"/>
          <w:sz w:val="28"/>
          <w:szCs w:val="28"/>
        </w:rPr>
      </w:pPr>
      <w:r>
        <w:fldChar w:fldCharType="begin"/>
      </w:r>
      <w:r>
        <w:instrText xml:space="preserve"> HYPERLINK \l "_Toc147735556" </w:instrText>
      </w:r>
      <w:r>
        <w:fldChar w:fldCharType="separate"/>
      </w:r>
      <w:r>
        <w:rPr>
          <w:rStyle w:val="48"/>
          <w:sz w:val="28"/>
          <w:szCs w:val="28"/>
        </w:rPr>
        <w:t>第七章   投标文件格式</w:t>
      </w:r>
      <w:r>
        <w:rPr>
          <w:sz w:val="28"/>
          <w:szCs w:val="28"/>
        </w:rPr>
        <w:tab/>
      </w:r>
      <w:r>
        <w:rPr>
          <w:sz w:val="28"/>
          <w:szCs w:val="28"/>
        </w:rPr>
        <w:fldChar w:fldCharType="begin"/>
      </w:r>
      <w:r>
        <w:rPr>
          <w:sz w:val="28"/>
          <w:szCs w:val="28"/>
        </w:rPr>
        <w:instrText xml:space="preserve"> PAGEREF _Toc147735556 \h </w:instrText>
      </w:r>
      <w:r>
        <w:rPr>
          <w:sz w:val="28"/>
          <w:szCs w:val="28"/>
        </w:rPr>
        <w:fldChar w:fldCharType="separate"/>
      </w:r>
      <w:r>
        <w:rPr>
          <w:sz w:val="28"/>
          <w:szCs w:val="28"/>
        </w:rPr>
        <w:t>38</w:t>
      </w:r>
      <w:r>
        <w:rPr>
          <w:sz w:val="28"/>
          <w:szCs w:val="28"/>
        </w:rPr>
        <w:fldChar w:fldCharType="end"/>
      </w:r>
      <w:r>
        <w:rPr>
          <w:sz w:val="28"/>
          <w:szCs w:val="28"/>
        </w:rPr>
        <w:fldChar w:fldCharType="end"/>
      </w:r>
    </w:p>
    <w:p>
      <w:pPr>
        <w:pStyle w:val="33"/>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r>
        <w:rPr>
          <w:sz w:val="24"/>
        </w:rPr>
        <w:br w:type="page"/>
      </w:r>
      <w:bookmarkStart w:id="2" w:name="_Toc147735550"/>
      <w:r>
        <w:rPr>
          <w:b/>
          <w:sz w:val="36"/>
          <w:szCs w:val="36"/>
        </w:rPr>
        <w:t>第一章   投标邀请</w:t>
      </w:r>
      <w:bookmarkEnd w:id="2"/>
    </w:p>
    <w:p>
      <w:pPr>
        <w:pStyle w:val="5"/>
        <w:spacing w:before="0" w:line="360" w:lineRule="auto"/>
        <w:jc w:val="left"/>
        <w:rPr>
          <w:rFonts w:ascii="Times New Roman" w:hAnsi="Times New Roman" w:eastAsia="宋体"/>
          <w:sz w:val="24"/>
          <w:szCs w:val="24"/>
        </w:rPr>
      </w:pPr>
      <w:bookmarkStart w:id="3" w:name="_Toc28359002"/>
      <w:bookmarkStart w:id="4" w:name="_Toc35393621"/>
      <w:bookmarkStart w:id="5" w:name="_Toc35393790"/>
      <w:bookmarkStart w:id="6" w:name="_Toc28359079"/>
      <w:bookmarkStart w:id="7" w:name="_Hlk24379207"/>
      <w:r>
        <w:rPr>
          <w:rFonts w:ascii="Times New Roman" w:hAnsi="Times New Roman" w:eastAsia="宋体"/>
          <w:sz w:val="24"/>
          <w:szCs w:val="24"/>
        </w:rPr>
        <w:t>一、项目基本情况</w:t>
      </w:r>
      <w:bookmarkEnd w:id="3"/>
      <w:bookmarkEnd w:id="4"/>
      <w:bookmarkEnd w:id="5"/>
      <w:bookmarkEnd w:id="6"/>
    </w:p>
    <w:p>
      <w:pPr>
        <w:spacing w:line="360" w:lineRule="auto"/>
        <w:ind w:firstLine="480" w:firstLineChars="200"/>
        <w:rPr>
          <w:sz w:val="24"/>
        </w:rPr>
      </w:pPr>
      <w:r>
        <w:rPr>
          <w:sz w:val="24"/>
        </w:rPr>
        <w:t>1.项目编号：</w:t>
      </w:r>
      <w:r>
        <w:rPr>
          <w:rFonts w:hint="eastAsia"/>
          <w:sz w:val="24"/>
        </w:rPr>
        <w:t>0686-2411BG100125Z</w:t>
      </w:r>
    </w:p>
    <w:p>
      <w:pPr>
        <w:spacing w:line="360" w:lineRule="auto"/>
        <w:ind w:firstLine="480" w:firstLineChars="200"/>
        <w:rPr>
          <w:sz w:val="24"/>
        </w:rPr>
      </w:pPr>
      <w:r>
        <w:rPr>
          <w:sz w:val="24"/>
        </w:rPr>
        <w:t>2.项目名称：</w:t>
      </w:r>
      <w:r>
        <w:rPr>
          <w:rFonts w:hint="eastAsia"/>
          <w:sz w:val="24"/>
        </w:rPr>
        <w:t>轨道交通运营安全专职督查员工作餐</w:t>
      </w:r>
    </w:p>
    <w:bookmarkEnd w:id="7"/>
    <w:p>
      <w:pPr>
        <w:spacing w:line="360" w:lineRule="auto"/>
        <w:ind w:firstLine="480" w:firstLineChars="200"/>
        <w:rPr>
          <w:sz w:val="24"/>
        </w:rPr>
      </w:pPr>
      <w:r>
        <w:rPr>
          <w:sz w:val="24"/>
        </w:rPr>
        <w:t>3.预算金额：</w:t>
      </w:r>
      <w:r>
        <w:rPr>
          <w:rFonts w:hint="eastAsia"/>
          <w:sz w:val="24"/>
        </w:rPr>
        <w:t>350.7196</w:t>
      </w:r>
      <w:r>
        <w:rPr>
          <w:sz w:val="24"/>
        </w:rPr>
        <w:t>万元</w:t>
      </w:r>
      <w:r>
        <w:rPr>
          <w:rFonts w:hint="eastAsia"/>
          <w:sz w:val="24"/>
        </w:rPr>
        <w:t>；最高限价：350.7196</w:t>
      </w:r>
      <w:r>
        <w:rPr>
          <w:sz w:val="24"/>
        </w:rPr>
        <w:t>万元</w:t>
      </w:r>
    </w:p>
    <w:p>
      <w:pPr>
        <w:pStyle w:val="256"/>
        <w:jc w:val="both"/>
      </w:pPr>
      <w:r>
        <w:t>4.采购需求：</w:t>
      </w:r>
      <w:r>
        <w:rPr>
          <w:rFonts w:hint="eastAsia" w:ascii="宋体" w:hAnsi="宋体" w:cs="仿宋"/>
        </w:rPr>
        <w:t>为北京市轨道交通运营安全专职督查员队伍提供日常工作餐的制作(2024年</w:t>
      </w:r>
      <w:r>
        <w:rPr>
          <w:rFonts w:hint="eastAsia" w:ascii="宋体" w:hAnsi="宋体" w:cs="仿宋"/>
          <w:lang w:val="en-US" w:eastAsia="zh-CN"/>
        </w:rPr>
        <w:t>3</w:t>
      </w:r>
      <w:r>
        <w:rPr>
          <w:rFonts w:hint="eastAsia" w:ascii="宋体" w:hAnsi="宋体" w:cs="仿宋"/>
        </w:rPr>
        <w:t>月至12月)，涉及员工总数约为6</w:t>
      </w:r>
      <w:r>
        <w:rPr>
          <w:rFonts w:hint="eastAsia" w:ascii="宋体" w:hAnsi="宋体" w:cs="仿宋"/>
          <w:lang w:val="en-US" w:eastAsia="zh-CN"/>
        </w:rPr>
        <w:t>49</w:t>
      </w:r>
      <w:r>
        <w:rPr>
          <w:rFonts w:hint="eastAsia" w:ascii="宋体" w:hAnsi="宋体" w:cs="仿宋"/>
        </w:rPr>
        <w:t>人。（详细内容见招标文件第五章采购需求）。</w:t>
      </w:r>
    </w:p>
    <w:p>
      <w:pPr>
        <w:numPr>
          <w:ilvl w:val="0"/>
          <w:numId w:val="8"/>
        </w:numPr>
        <w:tabs>
          <w:tab w:val="left" w:pos="312"/>
        </w:tabs>
        <w:spacing w:line="360" w:lineRule="auto"/>
        <w:ind w:firstLine="480"/>
        <w:rPr>
          <w:sz w:val="24"/>
        </w:rPr>
      </w:pPr>
      <w:r>
        <w:rPr>
          <w:sz w:val="24"/>
        </w:rPr>
        <w:t>合同履行期限：</w:t>
      </w:r>
      <w:r>
        <w:rPr>
          <w:rFonts w:hint="eastAsia"/>
          <w:sz w:val="24"/>
        </w:rPr>
        <w:t>2024年03月起至2024年12月。</w:t>
      </w:r>
    </w:p>
    <w:p>
      <w:pPr>
        <w:numPr>
          <w:ilvl w:val="0"/>
          <w:numId w:val="8"/>
        </w:numPr>
        <w:tabs>
          <w:tab w:val="left" w:pos="312"/>
        </w:tabs>
        <w:spacing w:line="360" w:lineRule="auto"/>
        <w:ind w:firstLine="480" w:firstLineChars="200"/>
        <w:rPr>
          <w:sz w:val="24"/>
        </w:rPr>
      </w:pPr>
      <w:r>
        <w:rPr>
          <w:sz w:val="24"/>
        </w:rPr>
        <w:t>本项目是否接受联合体投标：□是  ■否。</w:t>
      </w:r>
    </w:p>
    <w:p>
      <w:pPr>
        <w:spacing w:line="360" w:lineRule="auto"/>
        <w:ind w:firstLine="480" w:firstLineChars="200"/>
        <w:rPr>
          <w:sz w:val="24"/>
        </w:rPr>
      </w:pPr>
    </w:p>
    <w:p>
      <w:pPr>
        <w:pStyle w:val="5"/>
        <w:spacing w:before="0" w:line="360" w:lineRule="auto"/>
        <w:jc w:val="left"/>
        <w:rPr>
          <w:rFonts w:ascii="Times New Roman" w:hAnsi="Times New Roman" w:eastAsia="宋体"/>
          <w:sz w:val="24"/>
          <w:szCs w:val="24"/>
        </w:rPr>
      </w:pPr>
      <w:bookmarkStart w:id="8" w:name="_Toc28359003"/>
      <w:bookmarkStart w:id="9" w:name="_Toc35393622"/>
      <w:bookmarkStart w:id="10" w:name="_Toc35393791"/>
      <w:bookmarkStart w:id="11" w:name="_Toc28359080"/>
      <w:r>
        <w:rPr>
          <w:rFonts w:ascii="Times New Roman" w:hAnsi="Times New Roman" w:eastAsia="宋体"/>
          <w:sz w:val="24"/>
          <w:szCs w:val="24"/>
        </w:rPr>
        <w:t>二、申请人的资格要求（须同时满足）</w:t>
      </w:r>
      <w:bookmarkEnd w:id="8"/>
      <w:bookmarkEnd w:id="9"/>
      <w:bookmarkEnd w:id="10"/>
      <w:bookmarkEnd w:id="11"/>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2" w:name="_Toc28359004"/>
      <w:bookmarkStart w:id="13"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本项目专门面向</w:t>
      </w:r>
      <w:r>
        <w:rPr>
          <w:rFonts w:hint="eastAsia"/>
          <w:sz w:val="24"/>
          <w:lang w:val="en-US" w:eastAsia="zh-CN"/>
        </w:rPr>
        <w:t>小微</w:t>
      </w:r>
      <w:r>
        <w:rPr>
          <w:rFonts w:hint="eastAsia"/>
          <w:sz w:val="24"/>
        </w:rPr>
        <w:t>企业采购</w:t>
      </w:r>
      <w:r>
        <w:rPr>
          <w:sz w:val="24"/>
        </w:rPr>
        <w:t>。</w:t>
      </w:r>
    </w:p>
    <w:p>
      <w:pPr>
        <w:spacing w:line="360" w:lineRule="auto"/>
        <w:ind w:firstLine="480" w:firstLineChars="200"/>
        <w:rPr>
          <w:sz w:val="24"/>
        </w:rPr>
      </w:pPr>
      <w:r>
        <w:rPr>
          <w:sz w:val="24"/>
        </w:rPr>
        <w:t>2.2 其它落实政府采购政策的资格要求：</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firstLine="480" w:firstLineChars="200"/>
        <w:rPr>
          <w:sz w:val="24"/>
        </w:rPr>
      </w:pP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w:t>
      </w:r>
      <w:r>
        <w:rPr>
          <w:rFonts w:hint="eastAsia"/>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i/>
          <w:iCs/>
          <w:sz w:val="24"/>
          <w:u w:val="single"/>
        </w:rPr>
      </w:pPr>
      <w:r>
        <w:rPr>
          <w:sz w:val="24"/>
        </w:rPr>
        <w:t>3.2其他特定资格要求：</w:t>
      </w:r>
      <w:r>
        <w:rPr>
          <w:rFonts w:hint="eastAsia"/>
          <w:sz w:val="24"/>
          <w:u w:val="single"/>
        </w:rPr>
        <w:t xml:space="preserve"> /</w:t>
      </w:r>
      <w:r>
        <w:rPr>
          <w:sz w:val="24"/>
          <w:u w:val="single"/>
        </w:rPr>
        <w:t xml:space="preserve"> </w:t>
      </w:r>
    </w:p>
    <w:bookmarkEnd w:id="12"/>
    <w:bookmarkEnd w:id="13"/>
    <w:p>
      <w:pPr>
        <w:pStyle w:val="5"/>
        <w:widowControl/>
        <w:spacing w:before="0" w:line="360" w:lineRule="auto"/>
        <w:jc w:val="left"/>
        <w:rPr>
          <w:rFonts w:ascii="Times New Roman" w:hAnsi="Times New Roman" w:eastAsia="宋体"/>
          <w:sz w:val="24"/>
          <w:szCs w:val="24"/>
        </w:rPr>
      </w:pPr>
      <w:bookmarkStart w:id="14" w:name="_Toc35393792"/>
      <w:bookmarkStart w:id="15" w:name="_Toc35393623"/>
      <w:r>
        <w:rPr>
          <w:rFonts w:ascii="Times New Roman" w:hAnsi="Times New Roman" w:eastAsia="宋体"/>
          <w:sz w:val="24"/>
          <w:szCs w:val="24"/>
        </w:rPr>
        <w:t>三、获取招标文件</w:t>
      </w:r>
      <w:bookmarkEnd w:id="14"/>
      <w:bookmarkEnd w:id="15"/>
    </w:p>
    <w:p>
      <w:pPr>
        <w:adjustRightInd w:val="0"/>
        <w:snapToGrid w:val="0"/>
        <w:spacing w:line="360" w:lineRule="auto"/>
        <w:ind w:firstLine="480" w:firstLineChars="200"/>
        <w:rPr>
          <w:sz w:val="24"/>
          <w:lang w:bidi="ar"/>
        </w:rPr>
      </w:pPr>
      <w:r>
        <w:rPr>
          <w:sz w:val="24"/>
          <w:lang w:bidi="ar"/>
        </w:rPr>
        <w:t>1.时间：202</w:t>
      </w:r>
      <w:r>
        <w:rPr>
          <w:rFonts w:hint="eastAsia"/>
          <w:sz w:val="24"/>
          <w:lang w:bidi="ar"/>
        </w:rPr>
        <w:t>4</w:t>
      </w:r>
      <w:r>
        <w:rPr>
          <w:sz w:val="24"/>
          <w:lang w:bidi="ar"/>
        </w:rPr>
        <w:t>年</w:t>
      </w:r>
      <w:r>
        <w:rPr>
          <w:rFonts w:hint="eastAsia"/>
          <w:sz w:val="24"/>
          <w:lang w:bidi="ar"/>
        </w:rPr>
        <w:t>0</w:t>
      </w:r>
      <w:r>
        <w:rPr>
          <w:rFonts w:hint="eastAsia"/>
          <w:sz w:val="24"/>
          <w:lang w:val="en-US" w:eastAsia="zh-CN" w:bidi="ar"/>
        </w:rPr>
        <w:t>2</w:t>
      </w:r>
      <w:r>
        <w:rPr>
          <w:sz w:val="24"/>
          <w:lang w:bidi="ar"/>
        </w:rPr>
        <w:t>月</w:t>
      </w:r>
      <w:r>
        <w:rPr>
          <w:rFonts w:hint="eastAsia"/>
          <w:sz w:val="24"/>
          <w:lang w:val="en-US" w:eastAsia="zh-CN" w:bidi="ar"/>
        </w:rPr>
        <w:t>02</w:t>
      </w:r>
      <w:r>
        <w:rPr>
          <w:sz w:val="24"/>
          <w:lang w:bidi="ar"/>
        </w:rPr>
        <w:t>日至202</w:t>
      </w:r>
      <w:r>
        <w:rPr>
          <w:rFonts w:hint="eastAsia"/>
          <w:sz w:val="24"/>
          <w:lang w:bidi="ar"/>
        </w:rPr>
        <w:t>4</w:t>
      </w:r>
      <w:r>
        <w:rPr>
          <w:sz w:val="24"/>
          <w:lang w:bidi="ar"/>
        </w:rPr>
        <w:t>年</w:t>
      </w:r>
      <w:r>
        <w:rPr>
          <w:rFonts w:hint="eastAsia"/>
          <w:sz w:val="24"/>
          <w:lang w:bidi="ar"/>
        </w:rPr>
        <w:t>0</w:t>
      </w:r>
      <w:r>
        <w:rPr>
          <w:rFonts w:hint="eastAsia"/>
          <w:sz w:val="24"/>
          <w:lang w:val="en-US" w:eastAsia="zh-CN" w:bidi="ar"/>
        </w:rPr>
        <w:t>2</w:t>
      </w:r>
      <w:r>
        <w:rPr>
          <w:sz w:val="24"/>
          <w:lang w:bidi="ar"/>
        </w:rPr>
        <w:t>月</w:t>
      </w:r>
      <w:r>
        <w:rPr>
          <w:rFonts w:hint="eastAsia"/>
          <w:sz w:val="24"/>
          <w:lang w:val="en-US" w:eastAsia="zh-CN" w:bidi="ar"/>
        </w:rPr>
        <w:t>08</w:t>
      </w:r>
      <w:r>
        <w:rPr>
          <w:sz w:val="24"/>
          <w:lang w:bidi="ar"/>
        </w:rPr>
        <w:t>日，每天上午</w:t>
      </w:r>
      <w:r>
        <w:rPr>
          <w:rFonts w:ascii="宋体" w:hAnsi="宋体"/>
          <w:sz w:val="24"/>
        </w:rPr>
        <w:t>8:30至12</w:t>
      </w:r>
      <w:r>
        <w:rPr>
          <w:rFonts w:hint="eastAsia" w:ascii="宋体" w:hAnsi="宋体"/>
          <w:sz w:val="24"/>
        </w:rPr>
        <w:t>:0</w:t>
      </w:r>
      <w:r>
        <w:rPr>
          <w:rFonts w:ascii="宋体" w:hAnsi="宋体"/>
          <w:sz w:val="24"/>
        </w:rPr>
        <w:t>0</w:t>
      </w:r>
      <w:r>
        <w:rPr>
          <w:sz w:val="24"/>
          <w:lang w:bidi="ar"/>
        </w:rPr>
        <w:t>，下午</w:t>
      </w:r>
      <w:r>
        <w:rPr>
          <w:rFonts w:ascii="宋体" w:hAnsi="宋体"/>
          <w:sz w:val="24"/>
        </w:rPr>
        <w:t>12</w:t>
      </w:r>
      <w:r>
        <w:rPr>
          <w:rFonts w:hint="eastAsia" w:ascii="宋体" w:hAnsi="宋体"/>
          <w:sz w:val="24"/>
        </w:rPr>
        <w:t>:0</w:t>
      </w:r>
      <w:r>
        <w:rPr>
          <w:rFonts w:ascii="宋体" w:hAnsi="宋体"/>
          <w:sz w:val="24"/>
        </w:rPr>
        <w:t>0至17</w:t>
      </w:r>
      <w:r>
        <w:rPr>
          <w:rFonts w:hint="eastAsia" w:ascii="宋体" w:hAnsi="宋体"/>
          <w:sz w:val="24"/>
        </w:rPr>
        <w:t>:</w:t>
      </w:r>
      <w:r>
        <w:rPr>
          <w:rFonts w:ascii="宋体" w:hAnsi="宋体"/>
          <w:sz w:val="24"/>
        </w:rPr>
        <w:t>00</w:t>
      </w:r>
      <w:r>
        <w:rPr>
          <w:sz w:val="24"/>
          <w:lang w:bidi="ar"/>
        </w:rPr>
        <w:t>（北京时间，法定节假日除外）。</w:t>
      </w:r>
    </w:p>
    <w:p>
      <w:pPr>
        <w:adjustRightInd w:val="0"/>
        <w:snapToGrid w:val="0"/>
        <w:spacing w:line="360" w:lineRule="auto"/>
        <w:ind w:firstLine="480" w:firstLineChars="200"/>
        <w:jc w:val="left"/>
        <w:rPr>
          <w:sz w:val="24"/>
        </w:rPr>
      </w:pPr>
      <w:r>
        <w:rPr>
          <w:sz w:val="24"/>
          <w:lang w:bidi="ar"/>
        </w:rPr>
        <w:t>2.地点：</w:t>
      </w:r>
      <w:r>
        <w:rPr>
          <w:rFonts w:hint="eastAsia"/>
          <w:sz w:val="24"/>
          <w:lang w:bidi="ar"/>
        </w:rPr>
        <w:t>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w:t>
      </w:r>
      <w:r>
        <w:rPr>
          <w:rFonts w:hint="eastAsia"/>
          <w:sz w:val="24"/>
        </w:rPr>
        <w:t>供应商使用CA数字证书或电子营业执照登录北京市政府采购电子交易平台（</w:t>
      </w:r>
      <w:r>
        <w:fldChar w:fldCharType="begin"/>
      </w:r>
      <w:r>
        <w:instrText xml:space="preserve"> HYPERLINK "http://zbcg-bjzc.zhongcy.com/bjczj-portal-site/index.html%23/home" \h </w:instrText>
      </w:r>
      <w:r>
        <w:fldChar w:fldCharType="separate"/>
      </w:r>
      <w:r>
        <w:rPr>
          <w:rFonts w:hint="eastAsia"/>
          <w:sz w:val="24"/>
        </w:rPr>
        <w:t>http://zbcg-bjzc.zhongcy.com/bjczj-portal-site/index.html#/home</w:t>
      </w:r>
      <w:r>
        <w:rPr>
          <w:rFonts w:hint="eastAsia"/>
          <w:sz w:val="24"/>
        </w:rPr>
        <w:fldChar w:fldCharType="end"/>
      </w:r>
      <w:r>
        <w:rPr>
          <w:rFonts w:hint="eastAsia"/>
          <w:sz w:val="24"/>
        </w:rPr>
        <w:t>）获取电子版招标文件。</w:t>
      </w:r>
    </w:p>
    <w:p>
      <w:pPr>
        <w:widowControl/>
        <w:adjustRightInd w:val="0"/>
        <w:snapToGrid w:val="0"/>
        <w:spacing w:line="360" w:lineRule="auto"/>
        <w:ind w:firstLine="480" w:firstLineChars="200"/>
        <w:jc w:val="left"/>
        <w:rPr>
          <w:sz w:val="24"/>
          <w:lang w:bidi="ar"/>
        </w:rPr>
      </w:pPr>
      <w:r>
        <w:rPr>
          <w:rFonts w:ascii="宋体" w:hAnsi="宋体"/>
          <w:sz w:val="24"/>
        </w:rPr>
        <w:t>4.</w:t>
      </w:r>
      <w:r>
        <w:rPr>
          <w:rFonts w:ascii="宋体" w:hAnsi="宋体"/>
          <w:sz w:val="24"/>
        </w:rPr>
        <w:tab/>
      </w:r>
      <w:r>
        <w:rPr>
          <w:rFonts w:ascii="宋体" w:hAnsi="宋体"/>
          <w:sz w:val="24"/>
        </w:rPr>
        <w:t>售价：</w:t>
      </w:r>
      <w:r>
        <w:rPr>
          <w:rFonts w:ascii="宋体" w:hAnsi="宋体"/>
          <w:sz w:val="24"/>
          <w:u w:val="single"/>
        </w:rPr>
        <w:t>0</w:t>
      </w:r>
      <w:r>
        <w:rPr>
          <w:rFonts w:ascii="宋体" w:hAnsi="宋体"/>
          <w:sz w:val="24"/>
        </w:rPr>
        <w:t>元。</w:t>
      </w:r>
    </w:p>
    <w:p>
      <w:pPr>
        <w:tabs>
          <w:tab w:val="left" w:pos="900"/>
          <w:tab w:val="left" w:pos="1980"/>
        </w:tabs>
        <w:snapToGrid w:val="0"/>
        <w:spacing w:line="360" w:lineRule="auto"/>
        <w:ind w:left="840"/>
        <w:rPr>
          <w:sz w:val="24"/>
        </w:rPr>
      </w:pPr>
    </w:p>
    <w:p>
      <w:pPr>
        <w:pStyle w:val="5"/>
        <w:widowControl/>
        <w:spacing w:before="0" w:line="360" w:lineRule="auto"/>
        <w:jc w:val="left"/>
        <w:rPr>
          <w:rFonts w:ascii="Times New Roman" w:hAnsi="Times New Roman" w:eastAsia="宋体"/>
          <w:sz w:val="24"/>
          <w:szCs w:val="24"/>
        </w:rPr>
      </w:pPr>
      <w:bookmarkStart w:id="16" w:name="_Toc28359082"/>
      <w:bookmarkStart w:id="17" w:name="_Toc28359005"/>
      <w:bookmarkStart w:id="18" w:name="_Toc35393624"/>
      <w:bookmarkStart w:id="19" w:name="_Toc35393793"/>
      <w:r>
        <w:rPr>
          <w:rFonts w:ascii="Times New Roman" w:hAnsi="Times New Roman" w:eastAsia="宋体"/>
          <w:sz w:val="24"/>
          <w:szCs w:val="24"/>
        </w:rPr>
        <w:t>四、提交投标文件</w:t>
      </w:r>
      <w:bookmarkEnd w:id="16"/>
      <w:bookmarkEnd w:id="17"/>
      <w:r>
        <w:rPr>
          <w:rFonts w:ascii="Times New Roman" w:hAnsi="Times New Roman" w:eastAsia="宋体"/>
          <w:sz w:val="24"/>
          <w:szCs w:val="24"/>
        </w:rPr>
        <w:t>截止时间、开标时间和地点</w:t>
      </w:r>
      <w:bookmarkEnd w:id="18"/>
      <w:bookmarkEnd w:id="19"/>
    </w:p>
    <w:p>
      <w:pPr>
        <w:spacing w:line="360" w:lineRule="auto"/>
        <w:ind w:firstLine="480" w:firstLineChars="200"/>
        <w:rPr>
          <w:bCs/>
          <w:sz w:val="24"/>
          <w:u w:val="single"/>
        </w:rPr>
      </w:pPr>
      <w:r>
        <w:rPr>
          <w:sz w:val="24"/>
          <w:lang w:bidi="ar"/>
        </w:rPr>
        <w:t>投标截止时间、开标时间：202</w:t>
      </w:r>
      <w:r>
        <w:rPr>
          <w:rFonts w:hint="eastAsia"/>
          <w:sz w:val="24"/>
          <w:lang w:bidi="ar"/>
        </w:rPr>
        <w:t>4</w:t>
      </w:r>
      <w:r>
        <w:rPr>
          <w:sz w:val="24"/>
          <w:lang w:bidi="ar"/>
        </w:rPr>
        <w:t>年</w:t>
      </w:r>
      <w:r>
        <w:rPr>
          <w:rFonts w:hint="eastAsia"/>
          <w:sz w:val="24"/>
          <w:lang w:bidi="ar"/>
        </w:rPr>
        <w:t>02</w:t>
      </w:r>
      <w:r>
        <w:rPr>
          <w:sz w:val="24"/>
          <w:lang w:bidi="ar"/>
        </w:rPr>
        <w:t>月</w:t>
      </w:r>
      <w:r>
        <w:rPr>
          <w:rFonts w:hint="eastAsia"/>
          <w:sz w:val="24"/>
          <w:lang w:val="en-US" w:eastAsia="zh-CN" w:bidi="ar"/>
        </w:rPr>
        <w:t>23</w:t>
      </w:r>
      <w:r>
        <w:rPr>
          <w:sz w:val="24"/>
          <w:lang w:bidi="ar"/>
        </w:rPr>
        <w:t>日</w:t>
      </w:r>
      <w:r>
        <w:rPr>
          <w:rFonts w:hint="eastAsia"/>
          <w:sz w:val="24"/>
          <w:lang w:val="en-US" w:eastAsia="zh-CN" w:bidi="ar"/>
        </w:rPr>
        <w:t>13</w:t>
      </w:r>
      <w:r>
        <w:rPr>
          <w:sz w:val="24"/>
          <w:lang w:bidi="ar"/>
        </w:rPr>
        <w:t>点3</w:t>
      </w:r>
      <w:r>
        <w:rPr>
          <w:rFonts w:hint="eastAsia"/>
          <w:sz w:val="24"/>
          <w:lang w:bidi="ar"/>
        </w:rPr>
        <w:t>0</w:t>
      </w:r>
      <w:r>
        <w:rPr>
          <w:sz w:val="24"/>
          <w:lang w:bidi="ar"/>
        </w:rPr>
        <w:t>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sz w:val="24"/>
          <w:lang w:bidi="ar"/>
        </w:rPr>
        <w:t>北京国际贸易有限公司（北京市朝阳区建国门外大街甲3号）</w:t>
      </w:r>
      <w:r>
        <w:rPr>
          <w:rFonts w:hint="eastAsia"/>
          <w:sz w:val="24"/>
          <w:lang w:val="en-US" w:eastAsia="zh-CN" w:bidi="ar"/>
        </w:rPr>
        <w:t>第五评标室</w:t>
      </w:r>
      <w:r>
        <w:rPr>
          <w:rFonts w:hint="eastAsia"/>
          <w:sz w:val="24"/>
          <w:lang w:bidi="ar"/>
        </w:rPr>
        <w:t>。</w:t>
      </w:r>
    </w:p>
    <w:p>
      <w:pPr>
        <w:spacing w:line="360" w:lineRule="auto"/>
        <w:ind w:firstLine="480" w:firstLineChars="200"/>
        <w:rPr>
          <w:bCs/>
          <w:sz w:val="24"/>
          <w:u w:val="single"/>
        </w:rPr>
      </w:pPr>
    </w:p>
    <w:p>
      <w:pPr>
        <w:pStyle w:val="5"/>
        <w:spacing w:before="0" w:line="360" w:lineRule="auto"/>
        <w:jc w:val="left"/>
        <w:rPr>
          <w:rFonts w:ascii="Times New Roman" w:hAnsi="Times New Roman" w:eastAsia="宋体"/>
          <w:sz w:val="24"/>
          <w:szCs w:val="24"/>
        </w:rPr>
      </w:pPr>
      <w:bookmarkStart w:id="20" w:name="_Toc35393625"/>
      <w:bookmarkStart w:id="21" w:name="_Toc28359007"/>
      <w:bookmarkStart w:id="22" w:name="_Toc28359084"/>
      <w:bookmarkStart w:id="23" w:name="_Toc35393794"/>
      <w:r>
        <w:rPr>
          <w:rFonts w:ascii="Times New Roman" w:hAnsi="Times New Roman" w:eastAsia="宋体"/>
          <w:sz w:val="24"/>
          <w:szCs w:val="24"/>
        </w:rPr>
        <w:t>五、公告期限</w:t>
      </w:r>
      <w:bookmarkEnd w:id="20"/>
      <w:bookmarkEnd w:id="21"/>
      <w:bookmarkEnd w:id="22"/>
      <w:bookmarkEnd w:id="23"/>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5"/>
        <w:spacing w:before="0" w:line="360" w:lineRule="auto"/>
        <w:jc w:val="left"/>
        <w:rPr>
          <w:rFonts w:ascii="Times New Roman" w:hAnsi="Times New Roman" w:eastAsia="宋体"/>
          <w:sz w:val="24"/>
          <w:szCs w:val="24"/>
        </w:rPr>
      </w:pPr>
      <w:bookmarkStart w:id="24" w:name="_Toc35393795"/>
      <w:bookmarkStart w:id="25" w:name="_Toc35393626"/>
      <w:r>
        <w:rPr>
          <w:rFonts w:ascii="Times New Roman" w:hAnsi="Times New Roman" w:eastAsia="宋体"/>
          <w:sz w:val="24"/>
          <w:szCs w:val="24"/>
        </w:rPr>
        <w:t>六、其他补充事宜</w:t>
      </w:r>
      <w:bookmarkEnd w:id="24"/>
      <w:bookmarkEnd w:id="25"/>
    </w:p>
    <w:p>
      <w:pPr>
        <w:spacing w:line="360" w:lineRule="auto"/>
        <w:ind w:firstLine="480" w:firstLineChars="200"/>
        <w:rPr>
          <w:sz w:val="24"/>
        </w:rPr>
      </w:pPr>
      <w:r>
        <w:rPr>
          <w:sz w:val="24"/>
        </w:rPr>
        <w:t>1.本项目需要落实的政府采购政策：</w:t>
      </w:r>
      <w:r>
        <w:rPr>
          <w:rFonts w:hint="eastAsia"/>
          <w:sz w:val="24"/>
        </w:rPr>
        <w:t>节约能源、保护环境、促进中小企业及监狱企业发展、促进残疾人就业、支持乡村产业振兴等，政府采购政策具体落实情况详见招标文件。</w:t>
      </w:r>
    </w:p>
    <w:p>
      <w:pPr>
        <w:spacing w:line="360" w:lineRule="auto"/>
        <w:ind w:firstLine="480" w:firstLineChars="200"/>
        <w:rPr>
          <w:bCs/>
          <w:sz w:val="24"/>
          <w:lang w:bidi="ar"/>
        </w:rPr>
      </w:pPr>
      <w:r>
        <w:rPr>
          <w:rFonts w:ascii="宋体" w:hAnsi="宋体"/>
          <w:sz w:val="24"/>
        </w:rPr>
        <w:t>2.</w:t>
      </w:r>
      <w:r>
        <w:rPr>
          <w:b/>
          <w:bCs/>
          <w:sz w:val="24"/>
          <w:lang w:bidi="ar"/>
        </w:rPr>
        <w:t>本项目采用</w:t>
      </w:r>
      <w:r>
        <w:rPr>
          <w:rFonts w:hint="eastAsia"/>
          <w:b/>
          <w:bCs/>
          <w:sz w:val="24"/>
          <w:lang w:bidi="ar"/>
        </w:rPr>
        <w:t>线上线下相结合</w:t>
      </w:r>
      <w:r>
        <w:rPr>
          <w:b/>
          <w:bCs/>
          <w:sz w:val="24"/>
          <w:lang w:bidi="ar"/>
        </w:rPr>
        <w:t>采购方式</w:t>
      </w:r>
      <w:r>
        <w:rPr>
          <w:rFonts w:hint="eastAsia"/>
          <w:b/>
          <w:bCs/>
          <w:sz w:val="24"/>
          <w:lang w:bidi="ar"/>
        </w:rPr>
        <w:t>（请按文件要求现场递交纸质文件进行投标）。</w:t>
      </w:r>
      <w:r>
        <w:rPr>
          <w:b/>
          <w:bCs/>
          <w:sz w:val="24"/>
          <w:lang w:bidi="ar"/>
        </w:rPr>
        <w:t>请供应商认真学习北京市政府采购电子交易平台发布的相关操作手册，办理CA认证证书、进行北京市政府采购电子交易平台注册绑定，并认真核实数字认证证书情况确认是否符合本项目电子化采购流程要求。</w:t>
      </w:r>
    </w:p>
    <w:p>
      <w:pPr>
        <w:adjustRightInd w:val="0"/>
        <w:snapToGrid w:val="0"/>
        <w:spacing w:line="360" w:lineRule="auto"/>
        <w:ind w:firstLine="480" w:firstLineChars="200"/>
        <w:rPr>
          <w:sz w:val="24"/>
        </w:rPr>
      </w:pPr>
      <w:r>
        <w:rPr>
          <w:sz w:val="24"/>
          <w:lang w:bidi="ar"/>
        </w:rPr>
        <w:t>CA认证证书服务热线 010-58511086</w:t>
      </w:r>
    </w:p>
    <w:p>
      <w:pPr>
        <w:adjustRightInd w:val="0"/>
        <w:snapToGrid w:val="0"/>
        <w:spacing w:line="360" w:lineRule="auto"/>
        <w:ind w:firstLine="480" w:firstLineChars="200"/>
        <w:rPr>
          <w:sz w:val="24"/>
        </w:rPr>
      </w:pPr>
      <w:r>
        <w:rPr>
          <w:sz w:val="24"/>
          <w:lang w:bidi="ar"/>
        </w:rPr>
        <w:t>技术支持服务热线    010-86483801</w:t>
      </w:r>
    </w:p>
    <w:p>
      <w:pPr>
        <w:widowControl/>
        <w:adjustRightInd w:val="0"/>
        <w:snapToGrid w:val="0"/>
        <w:spacing w:line="360" w:lineRule="auto"/>
        <w:ind w:firstLine="480" w:firstLineChars="200"/>
        <w:rPr>
          <w:sz w:val="24"/>
          <w:lang w:bidi="ar"/>
        </w:rPr>
      </w:pPr>
      <w:r>
        <w:rPr>
          <w:rFonts w:hint="eastAsia"/>
          <w:sz w:val="24"/>
          <w:lang w:bidi="ar"/>
        </w:rPr>
        <w:t>2</w:t>
      </w:r>
      <w:r>
        <w:rPr>
          <w:sz w:val="24"/>
          <w:lang w:bidi="ar"/>
        </w:rPr>
        <w:t>.1 办理CA认证证书</w:t>
      </w:r>
    </w:p>
    <w:p>
      <w:pPr>
        <w:widowControl/>
        <w:adjustRightInd w:val="0"/>
        <w:snapToGrid w:val="0"/>
        <w:spacing w:line="360" w:lineRule="auto"/>
        <w:ind w:firstLine="480" w:firstLineChars="200"/>
        <w:rPr>
          <w:sz w:val="24"/>
        </w:rPr>
      </w:pPr>
      <w:r>
        <w:rPr>
          <w:sz w:val="24"/>
          <w:lang w:bidi="ar"/>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lang w:bidi="ar"/>
        </w:rPr>
      </w:pPr>
      <w:r>
        <w:rPr>
          <w:rFonts w:hint="eastAsia"/>
          <w:sz w:val="24"/>
          <w:lang w:bidi="ar"/>
        </w:rPr>
        <w:t>2</w:t>
      </w:r>
      <w:r>
        <w:rPr>
          <w:sz w:val="24"/>
          <w:lang w:bidi="ar"/>
        </w:rPr>
        <w:t>.2 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rPr>
          <w:sz w:val="24"/>
          <w:lang w:bidi="ar"/>
        </w:rPr>
      </w:pPr>
      <w:r>
        <w:rPr>
          <w:rFonts w:hint="eastAsia"/>
          <w:sz w:val="24"/>
          <w:lang w:bidi="ar"/>
        </w:rPr>
        <w:t>2</w:t>
      </w:r>
      <w:r>
        <w:rPr>
          <w:sz w:val="24"/>
          <w:lang w:bidi="ar"/>
        </w:rPr>
        <w:t>.3 驱动、客户端下载</w:t>
      </w:r>
    </w:p>
    <w:p>
      <w:pPr>
        <w:widowControl/>
        <w:adjustRightInd w:val="0"/>
        <w:snapToGrid w:val="0"/>
        <w:spacing w:line="360" w:lineRule="auto"/>
        <w:ind w:firstLine="480" w:firstLineChars="200"/>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rFonts w:hint="eastAsia"/>
          <w:sz w:val="24"/>
          <w:lang w:bidi="ar"/>
        </w:rPr>
        <w:t>2</w:t>
      </w:r>
      <w:r>
        <w:rPr>
          <w:sz w:val="24"/>
          <w:lang w:bidi="ar"/>
        </w:rPr>
        <w:t>.4 获取电子招标文件</w:t>
      </w:r>
    </w:p>
    <w:p>
      <w:pPr>
        <w:adjustRightInd w:val="0"/>
        <w:snapToGrid w:val="0"/>
        <w:spacing w:line="360" w:lineRule="auto"/>
        <w:ind w:firstLine="480" w:firstLineChars="200"/>
        <w:rPr>
          <w:rFonts w:ascii="宋体" w:hAnsi="宋体"/>
          <w:sz w:val="24"/>
        </w:rPr>
      </w:pPr>
      <w:r>
        <w:rPr>
          <w:sz w:val="24"/>
          <w:lang w:bidi="ar"/>
        </w:rPr>
        <w:t>供应商持CA数字认证证书登录北京市政府采购电子交易平台获取电子招标文件。未在规定期限内通过北京市政府采购电子交易平台获取招标文件的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pPr>
        <w:spacing w:line="360" w:lineRule="auto"/>
        <w:ind w:firstLine="480" w:firstLineChars="200"/>
        <w:rPr>
          <w:sz w:val="24"/>
        </w:rPr>
      </w:pPr>
      <w:r>
        <w:rPr>
          <w:rFonts w:hint="eastAsia"/>
          <w:sz w:val="24"/>
        </w:rPr>
        <w:t>3</w:t>
      </w:r>
      <w:r>
        <w:rPr>
          <w:sz w:val="24"/>
        </w:rPr>
        <w:t>.</w:t>
      </w:r>
      <w:r>
        <w:rPr>
          <w:sz w:val="24"/>
        </w:rPr>
        <w:tab/>
      </w:r>
      <w:r>
        <w:rPr>
          <w:rFonts w:hint="eastAsia"/>
          <w:sz w:val="24"/>
        </w:rPr>
        <w:t>项目编号：0686-2411BG100125Z</w:t>
      </w:r>
    </w:p>
    <w:p>
      <w:pPr>
        <w:pStyle w:val="5"/>
        <w:spacing w:before="0" w:line="360" w:lineRule="auto"/>
        <w:jc w:val="left"/>
        <w:rPr>
          <w:rFonts w:ascii="Times New Roman" w:hAnsi="Times New Roman" w:eastAsia="宋体"/>
          <w:sz w:val="24"/>
          <w:szCs w:val="24"/>
        </w:rPr>
      </w:pPr>
      <w:bookmarkStart w:id="26" w:name="_Toc28359008"/>
      <w:bookmarkStart w:id="27" w:name="_Toc28359085"/>
      <w:bookmarkStart w:id="28" w:name="_Toc35393796"/>
      <w:bookmarkStart w:id="29" w:name="_Toc35393627"/>
      <w:r>
        <w:rPr>
          <w:rFonts w:ascii="Times New Roman" w:hAnsi="Times New Roman" w:eastAsia="宋体"/>
          <w:sz w:val="24"/>
          <w:szCs w:val="24"/>
        </w:rPr>
        <w:t>七、对本次招标提出询问，请按以下方式联系。</w:t>
      </w:r>
      <w:bookmarkEnd w:id="26"/>
      <w:bookmarkEnd w:id="27"/>
      <w:bookmarkEnd w:id="28"/>
      <w:bookmarkEnd w:id="29"/>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rPr>
      </w:pPr>
      <w:bookmarkStart w:id="30" w:name="_Toc28359086"/>
      <w:bookmarkStart w:id="31" w:name="_Toc28359009"/>
      <w:r>
        <w:rPr>
          <w:sz w:val="24"/>
        </w:rPr>
        <w:t>名    称：</w:t>
      </w:r>
      <w:r>
        <w:rPr>
          <w:rFonts w:hint="eastAsia"/>
          <w:sz w:val="24"/>
        </w:rPr>
        <w:t>北京市交通运输综合执法总队</w:t>
      </w:r>
    </w:p>
    <w:p>
      <w:pPr>
        <w:spacing w:line="360" w:lineRule="auto"/>
        <w:ind w:left="1079" w:leftChars="371" w:hanging="300" w:hangingChars="125"/>
        <w:jc w:val="left"/>
        <w:rPr>
          <w:sz w:val="24"/>
        </w:rPr>
      </w:pPr>
      <w:r>
        <w:rPr>
          <w:sz w:val="24"/>
        </w:rPr>
        <w:t>地    址：</w:t>
      </w:r>
      <w:r>
        <w:rPr>
          <w:rFonts w:hint="eastAsia"/>
          <w:sz w:val="24"/>
        </w:rPr>
        <w:t>北京市西城区北礼士路22号</w:t>
      </w:r>
    </w:p>
    <w:p>
      <w:pPr>
        <w:spacing w:line="360" w:lineRule="auto"/>
        <w:ind w:left="1079" w:leftChars="371" w:hanging="300" w:hangingChars="125"/>
        <w:jc w:val="left"/>
        <w:rPr>
          <w:sz w:val="24"/>
          <w:u w:val="single"/>
        </w:rPr>
      </w:pPr>
      <w:r>
        <w:rPr>
          <w:sz w:val="24"/>
        </w:rPr>
        <w:t>联系方式：</w:t>
      </w:r>
      <w:r>
        <w:rPr>
          <w:rFonts w:hint="eastAsia"/>
          <w:sz w:val="24"/>
        </w:rPr>
        <w:t>马旭</w:t>
      </w:r>
      <w:r>
        <w:rPr>
          <w:rFonts w:hint="eastAsia"/>
          <w:sz w:val="24"/>
          <w:lang w:val="en-US" w:eastAsia="zh-CN"/>
        </w:rPr>
        <w:t xml:space="preserve"> </w:t>
      </w:r>
      <w:r>
        <w:rPr>
          <w:rFonts w:hint="eastAsia"/>
          <w:sz w:val="24"/>
        </w:rPr>
        <w:t>010-56683124/3113</w:t>
      </w:r>
    </w:p>
    <w:p>
      <w:pPr>
        <w:spacing w:line="360" w:lineRule="auto"/>
        <w:ind w:left="1080" w:leftChars="371" w:hanging="301" w:hangingChars="125"/>
        <w:jc w:val="left"/>
        <w:rPr>
          <w:b/>
          <w:sz w:val="24"/>
        </w:rPr>
      </w:pPr>
      <w:r>
        <w:rPr>
          <w:b/>
          <w:sz w:val="24"/>
        </w:rPr>
        <w:t>2.采购代理机构信息</w:t>
      </w:r>
      <w:bookmarkEnd w:id="30"/>
      <w:bookmarkEnd w:id="31"/>
    </w:p>
    <w:p>
      <w:pPr>
        <w:spacing w:line="360" w:lineRule="auto"/>
        <w:ind w:left="1079" w:leftChars="371" w:hanging="300" w:hangingChars="125"/>
        <w:jc w:val="left"/>
        <w:rPr>
          <w:sz w:val="24"/>
        </w:rPr>
      </w:pPr>
      <w:bookmarkStart w:id="32" w:name="_Toc28359010"/>
      <w:bookmarkStart w:id="33" w:name="_Toc28359087"/>
      <w:r>
        <w:rPr>
          <w:sz w:val="24"/>
        </w:rPr>
        <w:t>名    称：</w:t>
      </w:r>
      <w:r>
        <w:rPr>
          <w:rFonts w:hint="eastAsia"/>
          <w:sz w:val="24"/>
        </w:rPr>
        <w:t>北京国际贸易有限公司</w:t>
      </w:r>
    </w:p>
    <w:p>
      <w:pPr>
        <w:spacing w:line="360" w:lineRule="auto"/>
        <w:ind w:left="1079" w:leftChars="371" w:hanging="300" w:hangingChars="125"/>
        <w:jc w:val="left"/>
        <w:rPr>
          <w:sz w:val="24"/>
        </w:rPr>
      </w:pPr>
      <w:r>
        <w:rPr>
          <w:sz w:val="24"/>
        </w:rPr>
        <w:t>地    址：</w:t>
      </w:r>
      <w:r>
        <w:rPr>
          <w:rFonts w:hint="eastAsia"/>
          <w:sz w:val="24"/>
        </w:rPr>
        <w:t>北京市朝阳区建国门外大街甲3号</w:t>
      </w:r>
    </w:p>
    <w:p>
      <w:pPr>
        <w:spacing w:line="360" w:lineRule="auto"/>
        <w:ind w:left="1079" w:leftChars="371" w:hanging="300" w:hangingChars="125"/>
        <w:jc w:val="left"/>
        <w:rPr>
          <w:rFonts w:ascii="仿宋" w:hAnsi="仿宋"/>
          <w:sz w:val="24"/>
        </w:rPr>
      </w:pPr>
      <w:r>
        <w:rPr>
          <w:sz w:val="24"/>
        </w:rPr>
        <w:t>联系方式：</w:t>
      </w:r>
      <w:r>
        <w:rPr>
          <w:rFonts w:hint="eastAsia" w:ascii="仿宋" w:hAnsi="仿宋" w:eastAsia="仿宋"/>
          <w:sz w:val="24"/>
        </w:rPr>
        <w:t>010-85343411</w:t>
      </w:r>
    </w:p>
    <w:p>
      <w:pPr>
        <w:spacing w:line="360" w:lineRule="auto"/>
        <w:ind w:firstLine="723" w:firstLineChars="300"/>
        <w:rPr>
          <w:b/>
          <w:sz w:val="24"/>
          <w:u w:val="single"/>
        </w:rPr>
      </w:pPr>
      <w:r>
        <w:rPr>
          <w:b/>
          <w:sz w:val="24"/>
        </w:rPr>
        <w:t>3.项目联系方式</w:t>
      </w:r>
      <w:bookmarkEnd w:id="32"/>
      <w:bookmarkEnd w:id="33"/>
    </w:p>
    <w:p>
      <w:pPr>
        <w:pStyle w:val="25"/>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hAnsi="宋体"/>
          <w:sz w:val="24"/>
          <w:szCs w:val="24"/>
        </w:rPr>
        <w:t>郑捷、</w:t>
      </w:r>
      <w:r>
        <w:rPr>
          <w:rFonts w:ascii="Times New Roman" w:hAnsi="Times New Roman"/>
          <w:sz w:val="24"/>
        </w:rPr>
        <w:t>沈添玉、孙权</w:t>
      </w:r>
    </w:p>
    <w:p>
      <w:pPr>
        <w:spacing w:line="360" w:lineRule="auto"/>
        <w:ind w:left="1079" w:leftChars="371" w:hanging="300" w:hangingChars="125"/>
        <w:jc w:val="left"/>
        <w:rPr>
          <w:sz w:val="24"/>
        </w:rPr>
      </w:pPr>
      <w:r>
        <w:rPr>
          <w:sz w:val="24"/>
        </w:rPr>
        <w:t>电      话：</w:t>
      </w:r>
      <w:r>
        <w:rPr>
          <w:rFonts w:hint="eastAsia"/>
          <w:sz w:val="24"/>
        </w:rPr>
        <w:t>010-85343411</w:t>
      </w:r>
    </w:p>
    <w:p>
      <w:pPr>
        <w:spacing w:line="360" w:lineRule="auto"/>
        <w:jc w:val="center"/>
        <w:outlineLvl w:val="0"/>
        <w:rPr>
          <w:b/>
          <w:sz w:val="32"/>
          <w:szCs w:val="32"/>
        </w:rPr>
      </w:pPr>
      <w:r>
        <w:rPr>
          <w:sz w:val="24"/>
        </w:rPr>
        <w:br w:type="page"/>
      </w:r>
      <w:bookmarkStart w:id="34" w:name="_Toc147735551"/>
      <w:bookmarkStart w:id="35" w:name="_Toc195842950"/>
      <w:bookmarkStart w:id="36" w:name="_Toc150774783"/>
      <w:bookmarkStart w:id="37" w:name="_Toc226965856"/>
      <w:bookmarkStart w:id="38" w:name="_Toc512937850"/>
      <w:bookmarkStart w:id="39" w:name="_Toc353873938"/>
      <w:bookmarkStart w:id="40" w:name="_Toc264969275"/>
      <w:bookmarkStart w:id="41" w:name="_Toc127161488"/>
      <w:bookmarkStart w:id="42" w:name="_Toc305158928"/>
      <w:bookmarkStart w:id="43" w:name="_Toc265228423"/>
      <w:bookmarkStart w:id="44" w:name="_Toc127151777"/>
      <w:bookmarkStart w:id="45" w:name="_Toc305158854"/>
      <w:bookmarkStart w:id="46" w:name="_Toc353825548"/>
      <w:r>
        <w:rPr>
          <w:b/>
          <w:sz w:val="36"/>
          <w:szCs w:val="36"/>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5"/>
        <w:tabs>
          <w:tab w:val="center" w:pos="4592"/>
          <w:tab w:val="left" w:pos="7860"/>
        </w:tabs>
        <w:spacing w:before="0" w:line="360" w:lineRule="auto"/>
        <w:rPr>
          <w:rFonts w:ascii="Times New Roman" w:hAnsi="Times New Roman" w:eastAsia="宋体"/>
          <w:sz w:val="28"/>
        </w:rPr>
      </w:pPr>
      <w:bookmarkStart w:id="47" w:name="_Toc164229360"/>
      <w:bookmarkStart w:id="48" w:name="_Toc164608788"/>
      <w:bookmarkStart w:id="49" w:name="_Toc150480757"/>
      <w:bookmarkStart w:id="50" w:name="_Toc127151519"/>
      <w:bookmarkStart w:id="51" w:name="_Toc226337215"/>
      <w:bookmarkStart w:id="52" w:name="_Toc150774724"/>
      <w:bookmarkStart w:id="53" w:name="_Toc150774619"/>
      <w:bookmarkStart w:id="54" w:name="_Toc149720812"/>
      <w:bookmarkStart w:id="55" w:name="_Toc151193761"/>
      <w:bookmarkStart w:id="56" w:name="_Toc195842884"/>
      <w:bookmarkStart w:id="57" w:name="_Toc520356144"/>
      <w:bookmarkStart w:id="58" w:name="_Toc164351613"/>
      <w:bookmarkStart w:id="59" w:name="_Toc151190146"/>
      <w:bookmarkStart w:id="60" w:name="_Toc226965792"/>
      <w:bookmarkStart w:id="61" w:name="_Toc151193689"/>
      <w:bookmarkStart w:id="62" w:name="_Toc226309763"/>
      <w:bookmarkStart w:id="63" w:name="_Toc127151720"/>
      <w:bookmarkStart w:id="64" w:name="_Toc164229214"/>
      <w:bookmarkStart w:id="65" w:name="_Toc151193833"/>
      <w:bookmarkStart w:id="66" w:name="_Toc226965709"/>
      <w:bookmarkStart w:id="67" w:name="_Toc164608633"/>
      <w:bookmarkStart w:id="68" w:name="_Toc151193907"/>
      <w:bookmarkStart w:id="69" w:name="_Toc127161433"/>
      <w:bookmarkStart w:id="70" w:name="_Toc142311021"/>
      <w:bookmarkStart w:id="71" w:name="_Toc151193617"/>
      <w:bookmarkStart w:id="72" w:name="_Toc150509270"/>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51"/>
        <w:tblW w:w="9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506"/>
        <w:gridCol w:w="6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875" w:type="dxa"/>
            <w:vAlign w:val="center"/>
          </w:tcPr>
          <w:p>
            <w:pPr>
              <w:jc w:val="center"/>
              <w:rPr>
                <w:b/>
                <w:bCs/>
                <w:sz w:val="24"/>
              </w:rPr>
            </w:pPr>
            <w:r>
              <w:rPr>
                <w:b/>
                <w:sz w:val="24"/>
              </w:rPr>
              <w:t>条款号</w:t>
            </w:r>
          </w:p>
        </w:tc>
        <w:tc>
          <w:tcPr>
            <w:tcW w:w="1506" w:type="dxa"/>
            <w:vAlign w:val="center"/>
          </w:tcPr>
          <w:p>
            <w:pPr>
              <w:jc w:val="center"/>
              <w:rPr>
                <w:b/>
                <w:bCs/>
                <w:sz w:val="24"/>
              </w:rPr>
            </w:pPr>
            <w:r>
              <w:rPr>
                <w:b/>
                <w:bCs/>
                <w:sz w:val="24"/>
              </w:rPr>
              <w:t>条目</w:t>
            </w:r>
          </w:p>
        </w:tc>
        <w:tc>
          <w:tcPr>
            <w:tcW w:w="6681"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506" w:type="dxa"/>
            <w:vAlign w:val="center"/>
          </w:tcPr>
          <w:p>
            <w:pPr>
              <w:jc w:val="center"/>
              <w:rPr>
                <w:sz w:val="24"/>
              </w:rPr>
            </w:pPr>
            <w:r>
              <w:rPr>
                <w:sz w:val="24"/>
              </w:rPr>
              <w:t>项目属性</w:t>
            </w:r>
          </w:p>
        </w:tc>
        <w:tc>
          <w:tcPr>
            <w:tcW w:w="6681" w:type="dxa"/>
            <w:vAlign w:val="center"/>
          </w:tcPr>
          <w:p>
            <w:pPr>
              <w:jc w:val="left"/>
              <w:rPr>
                <w:sz w:val="24"/>
              </w:rPr>
            </w:pPr>
            <w:r>
              <w:rPr>
                <w:sz w:val="24"/>
              </w:rPr>
              <w:t>项目属性：</w:t>
            </w:r>
          </w:p>
          <w:p>
            <w:pPr>
              <w:jc w:val="left"/>
              <w:rPr>
                <w:sz w:val="24"/>
              </w:rPr>
            </w:pP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506" w:type="dxa"/>
            <w:vAlign w:val="center"/>
          </w:tcPr>
          <w:p>
            <w:pPr>
              <w:jc w:val="center"/>
              <w:rPr>
                <w:sz w:val="24"/>
              </w:rPr>
            </w:pPr>
            <w:r>
              <w:rPr>
                <w:sz w:val="24"/>
              </w:rPr>
              <w:t>科研仪器设备</w:t>
            </w:r>
          </w:p>
        </w:tc>
        <w:tc>
          <w:tcPr>
            <w:tcW w:w="6681"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506" w:type="dxa"/>
            <w:vAlign w:val="center"/>
          </w:tcPr>
          <w:p>
            <w:pPr>
              <w:jc w:val="center"/>
              <w:rPr>
                <w:sz w:val="24"/>
              </w:rPr>
            </w:pPr>
            <w:r>
              <w:rPr>
                <w:sz w:val="24"/>
              </w:rPr>
              <w:t>核心产品</w:t>
            </w:r>
          </w:p>
        </w:tc>
        <w:tc>
          <w:tcPr>
            <w:tcW w:w="6681" w:type="dxa"/>
            <w:vAlign w:val="center"/>
          </w:tcPr>
          <w:p>
            <w:pPr/>
            <w:r>
              <w:rPr>
                <w:sz w:val="24"/>
              </w:rPr>
              <w:t>■关于核心产品本项目不适用。</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□本项目为单一产品采购项目。</w:t>
            </w:r>
          </w:p>
          <w:p>
            <w:pPr>
              <w:jc w:val="left"/>
              <w:rPr>
                <w:sz w:val="24"/>
              </w:rPr>
            </w:pPr>
            <w:r>
              <w:rPr>
                <w:sz w:val="24"/>
              </w:rPr>
              <w:t>□本项目为非单一产品采购项目，核心产品为：</w:t>
            </w:r>
            <w:r>
              <w:rPr>
                <w:rFonts w:hint="eastAsia"/>
                <w:sz w:val="24"/>
                <w:u w:val="single"/>
              </w:rPr>
              <w:t xml:space="preserve"> </w:t>
            </w:r>
            <w:r>
              <w:rPr>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506" w:type="dxa"/>
            <w:vAlign w:val="center"/>
          </w:tcPr>
          <w:p>
            <w:pPr>
              <w:jc w:val="center"/>
              <w:rPr>
                <w:sz w:val="24"/>
              </w:rPr>
            </w:pPr>
            <w:r>
              <w:rPr>
                <w:sz w:val="24"/>
              </w:rPr>
              <w:t>现场考察</w:t>
            </w:r>
          </w:p>
        </w:tc>
        <w:tc>
          <w:tcPr>
            <w:tcW w:w="6681" w:type="dxa"/>
            <w:vAlign w:val="center"/>
          </w:tcPr>
          <w:p>
            <w:pPr>
              <w:jc w:val="left"/>
              <w:rPr>
                <w:sz w:val="24"/>
              </w:rPr>
            </w:pP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Merge w:val="continue"/>
            <w:vAlign w:val="center"/>
          </w:tcPr>
          <w:p>
            <w:pPr>
              <w:pStyle w:val="25"/>
              <w:adjustRightInd w:val="0"/>
              <w:snapToGrid w:val="0"/>
              <w:jc w:val="center"/>
              <w:rPr>
                <w:rFonts w:hint="default" w:ascii="Times New Roman" w:hAnsi="Times New Roman"/>
                <w:sz w:val="24"/>
                <w:szCs w:val="24"/>
              </w:rPr>
            </w:pPr>
          </w:p>
        </w:tc>
        <w:tc>
          <w:tcPr>
            <w:tcW w:w="1506" w:type="dxa"/>
            <w:vAlign w:val="center"/>
          </w:tcPr>
          <w:p>
            <w:pPr>
              <w:jc w:val="center"/>
              <w:rPr>
                <w:sz w:val="24"/>
              </w:rPr>
            </w:pPr>
            <w:r>
              <w:rPr>
                <w:sz w:val="24"/>
              </w:rPr>
              <w:t>开标前答疑会</w:t>
            </w:r>
          </w:p>
        </w:tc>
        <w:tc>
          <w:tcPr>
            <w:tcW w:w="6681" w:type="dxa"/>
            <w:vAlign w:val="center"/>
          </w:tcPr>
          <w:p>
            <w:pPr>
              <w:jc w:val="left"/>
              <w:rPr>
                <w:sz w:val="24"/>
              </w:rPr>
            </w:pP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506" w:type="dxa"/>
            <w:vAlign w:val="center"/>
          </w:tcPr>
          <w:p>
            <w:pPr>
              <w:jc w:val="center"/>
              <w:rPr>
                <w:sz w:val="24"/>
              </w:rPr>
            </w:pPr>
            <w:r>
              <w:rPr>
                <w:sz w:val="24"/>
              </w:rPr>
              <w:t>样品</w:t>
            </w:r>
          </w:p>
        </w:tc>
        <w:tc>
          <w:tcPr>
            <w:tcW w:w="6681" w:type="dxa"/>
            <w:vAlign w:val="center"/>
          </w:tcPr>
          <w:p>
            <w:pPr>
              <w:jc w:val="left"/>
              <w:rPr>
                <w:sz w:val="24"/>
              </w:rPr>
            </w:pPr>
            <w:r>
              <w:rPr>
                <w:sz w:val="24"/>
              </w:rPr>
              <w:t>投标样品递交：</w:t>
            </w:r>
          </w:p>
          <w:p>
            <w:pPr>
              <w:jc w:val="left"/>
              <w:rPr>
                <w:sz w:val="24"/>
              </w:rPr>
            </w:pPr>
            <w:r>
              <w:rPr>
                <w:b/>
                <w:color w:val="000000"/>
                <w:sz w:val="24"/>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w:t>
            </w:r>
            <w:r>
              <w:rPr>
                <w:rFonts w:hint="eastAsia"/>
                <w:sz w:val="24"/>
                <w:u w:val="single"/>
              </w:rPr>
              <w:t xml:space="preserve"> </w:t>
            </w:r>
            <w:r>
              <w:rPr>
                <w:sz w:val="24"/>
                <w:u w:val="single"/>
              </w:rPr>
              <w:t xml:space="preserve">    </w:t>
            </w:r>
            <w:r>
              <w:rPr>
                <w:sz w:val="24"/>
              </w:rPr>
              <w:t>；</w:t>
            </w:r>
          </w:p>
          <w:p>
            <w:pPr>
              <w:jc w:val="left"/>
              <w:rPr>
                <w:sz w:val="24"/>
                <w:u w:val="single"/>
              </w:rPr>
            </w:pPr>
            <w:r>
              <w:rPr>
                <w:sz w:val="24"/>
              </w:rPr>
              <w:t>（5）中标人样品保管、封存及退还：</w:t>
            </w:r>
            <w:r>
              <w:rPr>
                <w:rFonts w:hint="eastAsia"/>
                <w:sz w:val="24"/>
                <w:u w:val="single"/>
              </w:rPr>
              <w:t xml:space="preserve"> </w:t>
            </w:r>
            <w:r>
              <w:rPr>
                <w:sz w:val="24"/>
                <w:u w:val="single"/>
              </w:rPr>
              <w:t xml:space="preserve">       </w:t>
            </w:r>
            <w:r>
              <w:rPr>
                <w:sz w:val="24"/>
              </w:rPr>
              <w:t>；</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506" w:type="dxa"/>
            <w:vAlign w:val="center"/>
          </w:tcPr>
          <w:p>
            <w:pPr>
              <w:jc w:val="center"/>
              <w:rPr>
                <w:sz w:val="24"/>
              </w:rPr>
            </w:pPr>
            <w:r>
              <w:rPr>
                <w:sz w:val="24"/>
              </w:rPr>
              <w:t>标的所属行业</w:t>
            </w:r>
          </w:p>
        </w:tc>
        <w:tc>
          <w:tcPr>
            <w:tcW w:w="6681" w:type="dxa"/>
            <w:vAlign w:val="center"/>
          </w:tcPr>
          <w:p>
            <w:pPr>
              <w:jc w:val="left"/>
              <w:rPr>
                <w:sz w:val="24"/>
              </w:rPr>
            </w:pPr>
            <w:r>
              <w:rPr>
                <w:sz w:val="24"/>
              </w:rPr>
              <w:t>本项目采购标的对应的中小企业划分标准所属行业：</w:t>
            </w:r>
          </w:p>
          <w:tbl>
            <w:tblPr>
              <w:tblStyle w:val="51"/>
              <w:tblW w:w="6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19"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136"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19"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轨道交通运营安全专职督查员工作餐</w:t>
                  </w:r>
                </w:p>
              </w:tc>
              <w:tc>
                <w:tcPr>
                  <w:tcW w:w="3136"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住宿和餐饮业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6"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506" w:type="dxa"/>
            <w:vAlign w:val="center"/>
          </w:tcPr>
          <w:p>
            <w:pPr>
              <w:jc w:val="center"/>
              <w:rPr>
                <w:sz w:val="24"/>
              </w:rPr>
            </w:pPr>
            <w:r>
              <w:rPr>
                <w:rFonts w:hint="eastAsia"/>
                <w:sz w:val="24"/>
              </w:rPr>
              <w:t>投标报价</w:t>
            </w:r>
          </w:p>
        </w:tc>
        <w:tc>
          <w:tcPr>
            <w:tcW w:w="6681" w:type="dxa"/>
            <w:vAlign w:val="center"/>
          </w:tcPr>
          <w:p>
            <w:pPr>
              <w:jc w:val="left"/>
              <w:rPr>
                <w:sz w:val="24"/>
              </w:rPr>
            </w:pPr>
            <w:r>
              <w:rPr>
                <w:rFonts w:hint="eastAsia"/>
                <w:sz w:val="24"/>
              </w:rPr>
              <w:t>投标报价的特殊规定：</w:t>
            </w:r>
          </w:p>
          <w:p>
            <w:pPr>
              <w:jc w:val="left"/>
              <w:rPr>
                <w:sz w:val="24"/>
              </w:rPr>
            </w:pP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506" w:type="dxa"/>
            <w:vMerge w:val="restart"/>
            <w:vAlign w:val="center"/>
          </w:tcPr>
          <w:p>
            <w:pPr>
              <w:jc w:val="center"/>
              <w:rPr>
                <w:sz w:val="24"/>
              </w:rPr>
            </w:pPr>
            <w:r>
              <w:rPr>
                <w:sz w:val="24"/>
              </w:rPr>
              <w:t>投标保证金</w:t>
            </w:r>
          </w:p>
        </w:tc>
        <w:tc>
          <w:tcPr>
            <w:tcW w:w="6681" w:type="dxa"/>
            <w:vAlign w:val="center"/>
          </w:tcPr>
          <w:p>
            <w:pPr>
              <w:pStyle w:val="25"/>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rPr>
              <w:t>每包70,000.00</w:t>
            </w:r>
            <w:r>
              <w:rPr>
                <w:rFonts w:hint="default" w:ascii="Times New Roman" w:hAnsi="Times New Roman"/>
                <w:sz w:val="24"/>
                <w:szCs w:val="24"/>
              </w:rPr>
              <w:t>；</w:t>
            </w:r>
          </w:p>
          <w:p>
            <w:pPr>
              <w:jc w:val="left"/>
              <w:rPr>
                <w:sz w:val="24"/>
              </w:rPr>
            </w:pPr>
            <w:r>
              <w:rPr>
                <w:sz w:val="24"/>
              </w:rPr>
              <w:t>投标保证金收受人信息：</w:t>
            </w:r>
          </w:p>
          <w:p>
            <w:pPr>
              <w:jc w:val="left"/>
              <w:rPr>
                <w:sz w:val="24"/>
              </w:rPr>
            </w:pPr>
            <w:r>
              <w:rPr>
                <w:rFonts w:hint="eastAsia"/>
                <w:sz w:val="24"/>
              </w:rPr>
              <w:t>如投标人采用汇款形式递交保证金，须使用投标人单位账户一次性汇入采购代理机构指定的账户（账户信息如下），并将银行汇款凭证复印件加盖投标人单位公章，按招标文件要求进行送达。</w:t>
            </w:r>
          </w:p>
          <w:p>
            <w:pPr>
              <w:jc w:val="left"/>
              <w:rPr>
                <w:sz w:val="24"/>
              </w:rPr>
            </w:pPr>
            <w:r>
              <w:rPr>
                <w:rFonts w:hint="eastAsia"/>
                <w:sz w:val="24"/>
              </w:rPr>
              <w:t>招标代理机构指定的保证金收款账户信息如下：</w:t>
            </w:r>
          </w:p>
          <w:p>
            <w:pPr>
              <w:jc w:val="left"/>
              <w:rPr>
                <w:sz w:val="24"/>
              </w:rPr>
            </w:pPr>
            <w:r>
              <w:rPr>
                <w:rFonts w:hint="eastAsia"/>
                <w:sz w:val="24"/>
              </w:rPr>
              <w:t>开户名（全称）：北京国际贸易有限公司</w:t>
            </w:r>
          </w:p>
          <w:p>
            <w:pPr>
              <w:jc w:val="left"/>
              <w:rPr>
                <w:sz w:val="24"/>
              </w:rPr>
            </w:pPr>
            <w:r>
              <w:rPr>
                <w:rFonts w:hint="eastAsia"/>
                <w:sz w:val="24"/>
              </w:rPr>
              <w:t>开户银行：北京农商银行总行营业部</w:t>
            </w:r>
          </w:p>
          <w:p>
            <w:pPr>
              <w:jc w:val="left"/>
              <w:rPr>
                <w:sz w:val="24"/>
              </w:rPr>
            </w:pPr>
            <w:r>
              <w:rPr>
                <w:rFonts w:hint="eastAsia"/>
                <w:sz w:val="24"/>
              </w:rPr>
              <w:t>银行账号：</w:t>
            </w:r>
            <w:r>
              <w:rPr>
                <w:sz w:val="24"/>
              </w:rPr>
              <w:t>2000000311990</w:t>
            </w:r>
          </w:p>
          <w:p>
            <w:pPr>
              <w:jc w:val="left"/>
              <w:rPr>
                <w:sz w:val="24"/>
              </w:rPr>
            </w:pPr>
            <w:r>
              <w:rPr>
                <w:rFonts w:hint="eastAsia"/>
                <w:sz w:val="24"/>
              </w:rPr>
              <w:t>开户银行代码：402100007149</w:t>
            </w:r>
          </w:p>
          <w:p>
            <w:pPr>
              <w:jc w:val="left"/>
              <w:rPr>
                <w:sz w:val="24"/>
              </w:rPr>
            </w:pPr>
            <w:r>
              <w:rPr>
                <w:rFonts w:hint="eastAsia"/>
                <w:sz w:val="24"/>
              </w:rPr>
              <w:t>备注：以电汇方式递交保证金、支付中标服务费请投标人在电汇凭据附言栏中写明项目编号、包号及用途。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506" w:type="dxa"/>
            <w:vMerge w:val="continue"/>
            <w:vAlign w:val="center"/>
          </w:tcPr>
          <w:p>
            <w:pPr>
              <w:jc w:val="center"/>
              <w:rPr>
                <w:sz w:val="24"/>
              </w:rPr>
            </w:pPr>
          </w:p>
        </w:tc>
        <w:tc>
          <w:tcPr>
            <w:tcW w:w="6681" w:type="dxa"/>
            <w:vAlign w:val="center"/>
          </w:tcPr>
          <w:p>
            <w:pPr>
              <w:jc w:val="left"/>
              <w:rPr>
                <w:sz w:val="24"/>
              </w:rPr>
            </w:pPr>
            <w:r>
              <w:rPr>
                <w:sz w:val="24"/>
              </w:rPr>
              <w:t>投标保证金可以不予退还的其他情形：</w:t>
            </w:r>
          </w:p>
          <w:p>
            <w:pPr>
              <w:jc w:val="left"/>
              <w:rPr>
                <w:sz w:val="24"/>
              </w:rPr>
            </w:pPr>
            <w:r>
              <w:rPr>
                <w:sz w:val="24"/>
              </w:rPr>
              <w:t>■无</w:t>
            </w:r>
          </w:p>
          <w:p>
            <w:pPr>
              <w:pStyle w:val="25"/>
              <w:adjustRightInd w:val="0"/>
              <w:snapToGrid w:val="0"/>
              <w:rPr>
                <w:rFonts w:hint="default" w:ascii="Times New Roman" w:hAnsi="Times New Roman"/>
                <w:sz w:val="24"/>
                <w:szCs w:val="24"/>
              </w:rPr>
            </w:pPr>
            <w:r>
              <w:rPr>
                <w:sz w:val="24"/>
              </w:rPr>
              <w:t>□</w:t>
            </w:r>
            <w:r>
              <w:rPr>
                <w:rFonts w:hint="default" w:ascii="Times New Roman" w:hAnsi="Times New Roman"/>
                <w:sz w:val="24"/>
              </w:rPr>
              <w:t>有，具体情形：</w:t>
            </w:r>
            <w:r>
              <w:rPr>
                <w:rFonts w:ascii="Times New Roman" w:hAnsi="Times New Roman"/>
                <w:sz w:val="24"/>
                <w:u w:val="single"/>
              </w:rPr>
              <w:t xml:space="preserve"> </w:t>
            </w:r>
            <w:r>
              <w:rPr>
                <w:rFonts w:hint="default" w:ascii="Times New Roman" w:hAnsi="Times New Roman"/>
                <w:sz w:val="24"/>
                <w:u w:val="single"/>
              </w:rPr>
              <w:t xml:space="preserve">/ </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506" w:type="dxa"/>
            <w:vAlign w:val="center"/>
          </w:tcPr>
          <w:p>
            <w:pPr>
              <w:jc w:val="center"/>
              <w:rPr>
                <w:sz w:val="24"/>
              </w:rPr>
            </w:pPr>
            <w:r>
              <w:rPr>
                <w:sz w:val="24"/>
              </w:rPr>
              <w:t>投标有效期</w:t>
            </w:r>
          </w:p>
        </w:tc>
        <w:tc>
          <w:tcPr>
            <w:tcW w:w="6681" w:type="dxa"/>
            <w:vAlign w:val="center"/>
          </w:tcPr>
          <w:p>
            <w:pPr>
              <w:jc w:val="left"/>
              <w:rPr>
                <w:sz w:val="24"/>
              </w:rPr>
            </w:pPr>
            <w:r>
              <w:rPr>
                <w:sz w:val="24"/>
              </w:rPr>
              <w:t>自提交投标文件的截止之日起算</w:t>
            </w:r>
            <w:r>
              <w:rPr>
                <w:sz w:val="24"/>
                <w:u w:val="single"/>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506" w:type="dxa"/>
            <w:vAlign w:val="center"/>
          </w:tcPr>
          <w:p>
            <w:pPr>
              <w:jc w:val="center"/>
              <w:rPr>
                <w:sz w:val="24"/>
              </w:rPr>
            </w:pPr>
            <w:r>
              <w:rPr>
                <w:sz w:val="24"/>
              </w:rPr>
              <w:t>确定中标人</w:t>
            </w:r>
          </w:p>
        </w:tc>
        <w:tc>
          <w:tcPr>
            <w:tcW w:w="6681" w:type="dxa"/>
            <w:vAlign w:val="center"/>
          </w:tcPr>
          <w:p>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rPr>
                <w:rFonts w:hint="default" w:ascii="Times New Roman" w:hAnsi="Times New Roman"/>
                <w:sz w:val="24"/>
              </w:rPr>
            </w:pPr>
            <w:r>
              <w:rPr>
                <w:rFonts w:hint="default" w:ascii="Times New Roman" w:hAnsi="Times New Roman"/>
                <w:sz w:val="24"/>
              </w:rPr>
              <w:t>■否</w:t>
            </w:r>
          </w:p>
          <w:p>
            <w:pPr>
              <w:pStyle w:val="25"/>
              <w:adjustRightInd w:val="0"/>
              <w:snapToGrid w:val="0"/>
              <w:rPr>
                <w:rFonts w:hint="default" w:ascii="Times New Roman" w:hAnsi="Times New Roman"/>
                <w:sz w:val="24"/>
              </w:rPr>
            </w:pPr>
            <w:r>
              <w:rPr>
                <w:rFonts w:hint="default" w:ascii="Times New Roman" w:hAnsi="Times New Roman"/>
                <w:sz w:val="24"/>
              </w:rPr>
              <w:t>□是</w:t>
            </w:r>
          </w:p>
          <w:p>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5"/>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ascii="Times New Roman" w:hAnsi="Times New Roman"/>
                <w:sz w:val="24"/>
                <w:u w:val="single"/>
              </w:rPr>
              <w:t xml:space="preserve"> </w:t>
            </w:r>
            <w:r>
              <w:rPr>
                <w:rFonts w:hint="default" w:ascii="Times New Roman" w:hAnsi="Times New Roman"/>
                <w:sz w:val="24"/>
                <w:u w:val="single"/>
              </w:rPr>
              <w:t xml:space="preserve">    </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506" w:type="dxa"/>
            <w:vAlign w:val="center"/>
          </w:tcPr>
          <w:p>
            <w:pPr>
              <w:jc w:val="center"/>
              <w:rPr>
                <w:sz w:val="24"/>
              </w:rPr>
            </w:pPr>
            <w:r>
              <w:rPr>
                <w:sz w:val="24"/>
              </w:rPr>
              <w:t>分包</w:t>
            </w:r>
          </w:p>
        </w:tc>
        <w:tc>
          <w:tcPr>
            <w:tcW w:w="6681" w:type="dxa"/>
            <w:vAlign w:val="center"/>
          </w:tcPr>
          <w:p>
            <w:pPr>
              <w:jc w:val="left"/>
              <w:rPr>
                <w:sz w:val="24"/>
              </w:rPr>
            </w:pPr>
            <w:r>
              <w:rPr>
                <w:sz w:val="24"/>
              </w:rPr>
              <w:t xml:space="preserve">本项目的非主体、非关键性工作是否允许分包： </w:t>
            </w:r>
          </w:p>
          <w:p>
            <w:pPr>
              <w:jc w:val="left"/>
              <w:rPr>
                <w:sz w:val="24"/>
              </w:rPr>
            </w:pP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506" w:type="dxa"/>
            <w:vAlign w:val="center"/>
          </w:tcPr>
          <w:p>
            <w:pPr>
              <w:jc w:val="center"/>
              <w:rPr>
                <w:sz w:val="24"/>
              </w:rPr>
            </w:pPr>
            <w:r>
              <w:rPr>
                <w:sz w:val="24"/>
              </w:rPr>
              <w:t>询问</w:t>
            </w:r>
          </w:p>
        </w:tc>
        <w:tc>
          <w:tcPr>
            <w:tcW w:w="6681" w:type="dxa"/>
            <w:vAlign w:val="center"/>
          </w:tcPr>
          <w:p>
            <w:pPr>
              <w:jc w:val="left"/>
              <w:rPr>
                <w:sz w:val="24"/>
              </w:rPr>
            </w:pPr>
            <w:r>
              <w:rPr>
                <w:sz w:val="24"/>
              </w:rPr>
              <w:t>询问送达形式：</w:t>
            </w:r>
            <w:r>
              <w:rPr>
                <w:rFonts w:hint="eastAsia"/>
                <w:sz w:val="24"/>
              </w:rPr>
              <w:t>投标人提出询问时，应当提交书面询问函原件。以传真形式提起询问的，应当尽快提交询问函原件。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506" w:type="dxa"/>
            <w:vAlign w:val="center"/>
          </w:tcPr>
          <w:p>
            <w:pPr>
              <w:jc w:val="center"/>
              <w:rPr>
                <w:sz w:val="24"/>
              </w:rPr>
            </w:pPr>
            <w:r>
              <w:rPr>
                <w:sz w:val="24"/>
              </w:rPr>
              <w:t>联系方式</w:t>
            </w:r>
          </w:p>
        </w:tc>
        <w:tc>
          <w:tcPr>
            <w:tcW w:w="6681"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北京国际贸易有限公司第七业务部</w:t>
            </w:r>
            <w:r>
              <w:rPr>
                <w:sz w:val="24"/>
              </w:rPr>
              <w:t>；</w:t>
            </w:r>
          </w:p>
          <w:p>
            <w:pPr>
              <w:jc w:val="left"/>
              <w:rPr>
                <w:sz w:val="24"/>
              </w:rPr>
            </w:pPr>
            <w:r>
              <w:rPr>
                <w:sz w:val="24"/>
              </w:rPr>
              <w:t>联系电话：</w:t>
            </w:r>
            <w:r>
              <w:rPr>
                <w:rFonts w:hint="eastAsia"/>
                <w:sz w:val="24"/>
              </w:rPr>
              <w:t>010-85343411</w:t>
            </w:r>
            <w:r>
              <w:rPr>
                <w:sz w:val="24"/>
              </w:rPr>
              <w:t>；</w:t>
            </w:r>
          </w:p>
          <w:p>
            <w:pPr>
              <w:jc w:val="left"/>
              <w:rPr>
                <w:sz w:val="24"/>
              </w:rPr>
            </w:pPr>
            <w:r>
              <w:rPr>
                <w:sz w:val="24"/>
              </w:rPr>
              <w:t>通讯地址：</w:t>
            </w:r>
            <w:r>
              <w:rPr>
                <w:rFonts w:hint="eastAsia"/>
                <w:sz w:val="24"/>
              </w:rPr>
              <w:t>北京市朝阳区建国门外大街甲3号</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75"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506"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6681"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sz w:val="24"/>
              </w:rPr>
              <w:t>□采购人</w:t>
            </w:r>
          </w:p>
          <w:p>
            <w:pPr>
              <w:jc w:val="left"/>
              <w:rPr>
                <w:sz w:val="24"/>
              </w:rPr>
            </w:pPr>
            <w:r>
              <w:rPr>
                <w:sz w:val="24"/>
              </w:rPr>
              <w:t>■中标人</w:t>
            </w:r>
          </w:p>
          <w:p>
            <w:pPr>
              <w:jc w:val="left"/>
              <w:rPr>
                <w:sz w:val="24"/>
              </w:rPr>
            </w:pPr>
            <w:r>
              <w:rPr>
                <w:sz w:val="24"/>
              </w:rPr>
              <w:t>收费标准：</w:t>
            </w:r>
            <w:r>
              <w:rPr>
                <w:rFonts w:hint="eastAsia"/>
                <w:sz w:val="24"/>
              </w:rPr>
              <w:t>《招标代理服务收费管理暂行办法》（计价格[2002]1980号）和国家发展改革委办公厅关于招标代理服务收费有关问题的通知（发改办价格[2003]857号）及《国家发改委关于降低部分建设项目收费标准规范收费行为等有关问题的通知》（发改价格[2011]534号）的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062" w:type="dxa"/>
            <w:gridSpan w:val="3"/>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ascii="仿宋" w:hAnsi="仿宋" w:eastAsia="仿宋"/>
                <w:b/>
                <w:sz w:val="24"/>
              </w:rPr>
              <w:t>适用于本须知资料表的其他条款：/</w:t>
            </w:r>
          </w:p>
        </w:tc>
      </w:tr>
    </w:tbl>
    <w:p>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3" w:name="_Toc150480755"/>
      <w:bookmarkStart w:id="74" w:name="_Toc305158785"/>
      <w:bookmarkStart w:id="75" w:name="_Toc195842882"/>
      <w:bookmarkStart w:id="76" w:name="_Toc353873932"/>
      <w:bookmarkStart w:id="77" w:name="_Toc226337213"/>
      <w:bookmarkStart w:id="78" w:name="_Toc127151517"/>
      <w:bookmarkStart w:id="79" w:name="_Toc265228355"/>
      <w:bookmarkStart w:id="80" w:name="_Toc150774722"/>
      <w:bookmarkStart w:id="81" w:name="_Toc353873662"/>
      <w:bookmarkStart w:id="82" w:name="_Toc305158859"/>
      <w:bookmarkStart w:id="83" w:name="_Toc226965790"/>
      <w:bookmarkStart w:id="84" w:name="_Toc142311019"/>
      <w:bookmarkStart w:id="85" w:name="_Toc353825542"/>
      <w:bookmarkStart w:id="86" w:name="_Toc264969207"/>
      <w:r>
        <w:rPr>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pPr>
        <w:pStyle w:val="7"/>
        <w:spacing w:before="0" w:after="0" w:line="360" w:lineRule="auto"/>
        <w:ind w:right="194"/>
        <w:jc w:val="center"/>
        <w:rPr>
          <w:rFonts w:ascii="Times New Roman"/>
          <w:kern w:val="2"/>
          <w:sz w:val="28"/>
          <w:szCs w:val="28"/>
          <w:u w:val="none"/>
        </w:rPr>
      </w:pPr>
      <w:r>
        <w:rPr>
          <w:rFonts w:hint="eastAsia" w:ascii="Times New Roman"/>
          <w:bCs/>
          <w:kern w:val="2"/>
          <w:sz w:val="28"/>
          <w:szCs w:val="28"/>
          <w:u w:val="none"/>
        </w:rPr>
        <w:t xml:space="preserve">一 </w:t>
      </w:r>
      <w:r>
        <w:rPr>
          <w:rFonts w:ascii="Times New Roman"/>
          <w:bCs/>
          <w:kern w:val="2"/>
          <w:sz w:val="28"/>
          <w:szCs w:val="28"/>
          <w:u w:val="none"/>
        </w:rPr>
        <w:t xml:space="preserve"> </w:t>
      </w:r>
      <w:r>
        <w:rPr>
          <w:rFonts w:hint="eastAsia" w:ascii="Times New Roman"/>
          <w:bCs/>
          <w:kern w:val="2"/>
          <w:sz w:val="28"/>
          <w:szCs w:val="28"/>
          <w:u w:val="none"/>
        </w:rPr>
        <w:t>说 明</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采购人、采购代理机构、投标人、联合体</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采购人、采购代理机构：指依法进行政府采购的国家机关、事业单位、团体组织，及其委托的采购代理机构。本项目采购人、采购代理机构见第一章《投标邀请》。</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投标人（也称“供应商”、“申请人”）：指向采购人提供货物、工程或者服务的法人、其他组织或者自然人。</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联合体：指两个以上的自然人、法人或者其他组织组成一个联合体，以一个供应商的身份共同参加政府采购。</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资金来源、项目属性、科研仪器设备采购、核心产品</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资金来源为财政性资金和/或本项目采购中无法与财政性资金分割的非财政性资金。</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项目属性见《投标人须知资料表》。</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是否属于科研仪器设备采购见《投标人须知资料表》。</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核心产品见《投标人须知资料表》。</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现场考察、开标前答疑会</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若《投标人须知资料表》中规定了组织现场考察、召开开标前答疑会，则投标人应按要求在规定的时间和地点参加。</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由于未参加现场考察或开标前答疑会而导致对项目实际情况不了解，影响投标文件编制、投标报价准确性、综合因素响应不全面等问题的，由投标人自行承担不利评审后果。</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样品</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本项目是否要求投标人提供样品，以及样品制作的标准和要求、是否需要随样品提交相关检测报告、样品的递交与退还等要求见《投标人须知资料表》。</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样品的评审方法以及评审标准等内容见第四章《评标程序、评标方法和评标标准》。</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政府采购政策（包括但不限于下列具体政策要求）</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采购本国货物、工程和服务</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政府采购应当采购本国货物、工程和服务。但有《中华人民共和国政府采购法》第十条规定情形的除外。</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本项目如接受非本国货物、工程、服务参与投标，则具体要求见第四章《采购需求》。</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 号文）。</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中小企业、监狱企业及残疾人福利性单位</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中小企业定义：</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供应商提供的货物、工程或者服务符合下列情形的，享受中小企业扶持政策：</w:t>
      </w:r>
    </w:p>
    <w:p>
      <w:pPr>
        <w:pStyle w:val="181"/>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（1）在货物采购项目中，货物由中小企业制造，即货物由中小企业生产且使用该中小企业商号或者注册商标；</w:t>
      </w:r>
    </w:p>
    <w:p>
      <w:pPr>
        <w:pStyle w:val="181"/>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（2）在工程采购项目中，工程由中小企业承建，即工程施工单位为中小企业；</w:t>
      </w:r>
    </w:p>
    <w:p>
      <w:pPr>
        <w:pStyle w:val="181"/>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（3）在服务采购项目中，服务由中小企业承接，即提供服务的人员为中小企业依照《中华人民共和国劳动合同法》订立劳动合同的从业人员。</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在货物采购项目中，供应商提供的货物既有中小企业制造货物，也有大型企业制造货物的，不享受中小企业扶持政策。</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以联合体形式参加政府采购活动，联合体各方均为中小企业的，联合体视同中小企业。其中，联合体各方均为小微企业的，联合体视同小微企业。</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安置的残疾人占本单位在职职工人数的比例不低于25%（含 25%），并且安置的残疾人人数不少于10人（含10人）；</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依法与安置的每位残疾人签订了一年以上（含一年）的劳动合同或服务协议；</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为安置的每位残疾人按月足额缴纳了基本养老保险、基本医疗保险、失业保险、工伤保险和生育保险等社会保险费；</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通过银行等金融机构向安置的每位残疾人，按月支付了不低于单位所在区县适用的经省级人民政府批准的月最低工资标准的工资；</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提供本单位制造的货物、承担的工程或者服务（以下简称产品），或者提供其他残疾人福利性单位制造的货物（不包括使用非残疾人福利性单位注册商标的货物）；</w:t>
      </w:r>
    </w:p>
    <w:p>
      <w:pPr>
        <w:pStyle w:val="181"/>
        <w:numPr>
          <w:ilvl w:val="3"/>
          <w:numId w:val="9"/>
        </w:numPr>
        <w:autoSpaceDE w:val="0"/>
        <w:autoSpaceDN w:val="0"/>
        <w:spacing w:line="360" w:lineRule="auto"/>
        <w:ind w:left="1701" w:right="166" w:firstLine="0" w:firstLineChars="0"/>
        <w:rPr>
          <w:rFonts w:ascii="Times New Roman" w:hAnsi="Times New Roman"/>
          <w:sz w:val="24"/>
          <w:szCs w:val="24"/>
        </w:rPr>
      </w:pPr>
      <w:r>
        <w:rPr>
          <w:rFonts w:hint="eastAsia" w:ascii="Times New Roman" w:hAnsi="Times New Roman"/>
          <w:sz w:val="24"/>
          <w:szCs w:val="24"/>
        </w:rPr>
        <w:t>前款所称残疾人是指法定劳动年龄内，持有《中华人民共和国残疾人证》或者《中华人民共和国残疾军人证（1 至 8 级）》的自然人，包括具有劳动条件和劳动意愿的精神残疾人。在 职职工人数是指与残疾人福利性单位建立劳动关系并依法 签订劳动合同或服务协议的雇员人数。</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本项目是否专门面向中小企业预留采购份额见第一章《投标邀请》。</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采购标的对应的中小企业划分标准所属行业见《投标人须知资料表》。</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小微企业价格评审优惠的政策调整：见第四章《评标程序、评标方法和评标标准》。</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政府采购节能产品、环境标志产品</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采购人拟采购的产品属于品目清单范围的，采购人及其委托的采购代 理机构依据国家确定的认证机构出具的、处于有效期之内的节能产品、环境标志产品认证证书，对获得证书的产品实施政府优先采购或强制 采购。关于政府采购节能产品、环境标志产品的相关规定依据《关于 调整优化节能产品、环境标志产品政府采购执行机制的通知》（财库〔2019〕9 号）。</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如本项目采购产品属于实施政府强制采购品目清单范围的节能产品， 则投标人所报产品必须获得国家确定的认证机构出具的、处于有效期之内的节能产品认证证书，否则</w:t>
      </w:r>
      <w:r>
        <w:rPr>
          <w:rFonts w:hint="eastAsia" w:ascii="Times New Roman" w:hAnsi="Times New Roman"/>
          <w:bCs/>
          <w:sz w:val="24"/>
          <w:szCs w:val="24"/>
        </w:rPr>
        <w:t>投标无效</w:t>
      </w:r>
      <w:r>
        <w:rPr>
          <w:rFonts w:hint="eastAsia" w:ascii="Times New Roman" w:hAnsi="Times New Roman"/>
          <w:sz w:val="24"/>
          <w:szCs w:val="24"/>
        </w:rPr>
        <w:t>；</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非政府强制采购的节能产品或环境标志产品，依据品目清单和认证证书实施政府优先采购。优先采购的具体规定见第四章《评标程序、评标方法和评标标准》（如涉及）。</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正版软件</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 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网络安全专用产品</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推广使用低挥发性有机化合物（VOCs）</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ascii="Times New Roman" w:hAnsi="Times New Roman"/>
          <w:bCs/>
          <w:sz w:val="24"/>
          <w:szCs w:val="24"/>
        </w:rPr>
        <w:t>投标无效</w:t>
      </w:r>
      <w:r>
        <w:rPr>
          <w:rFonts w:hint="eastAsia" w:ascii="Times New Roman" w:hAnsi="Times New Roman"/>
          <w:sz w:val="24"/>
          <w:szCs w:val="24"/>
        </w:rPr>
        <w:t>；属于推荐性标准的，优先采购， 具体见第四章《评标程序、评标方法和评标标准》。</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采购需求标准</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商品包装、快递包装政府采购需求标准（试行）</w:t>
      </w:r>
    </w:p>
    <w:p>
      <w:pPr>
        <w:pStyle w:val="181"/>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绿色数据中心政府采购需求标准（试行）</w:t>
      </w:r>
    </w:p>
    <w:p>
      <w:pPr>
        <w:pStyle w:val="181"/>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为加快数据中心绿色转型，根据财政部 生态环境部 工业和信息化部关于印发《绿色数据中心政府采购需求标准（试行）》的通知（财库〔2023〕7 号），本项目如涉及绿色数据中心，则具体要求见第五章《采购需求》。</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投标费用</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投标人应自行承担所有与准备和参加投标有关的费用，无论投标的结果如何，采购人或采购代理机构在任何情况下均无承担这些费用的义务和责任。</w:t>
      </w:r>
    </w:p>
    <w:p>
      <w:pPr>
        <w:pStyle w:val="2"/>
        <w:spacing w:before="0" w:line="360" w:lineRule="auto"/>
        <w:ind w:left="851"/>
        <w:rPr>
          <w:rFonts w:ascii="Times New Roman" w:hAnsi="Times New Roman"/>
        </w:rPr>
      </w:pPr>
    </w:p>
    <w:p>
      <w:pPr>
        <w:pStyle w:val="7"/>
        <w:spacing w:before="0" w:after="0" w:line="360" w:lineRule="auto"/>
        <w:ind w:right="194"/>
        <w:jc w:val="center"/>
        <w:rPr>
          <w:rFonts w:ascii="Times New Roman"/>
          <w:bCs/>
          <w:kern w:val="2"/>
          <w:sz w:val="28"/>
          <w:szCs w:val="28"/>
          <w:u w:val="none"/>
        </w:rPr>
      </w:pPr>
      <w:r>
        <w:rPr>
          <w:rFonts w:hint="eastAsia" w:ascii="Times New Roman"/>
          <w:bCs/>
          <w:kern w:val="2"/>
          <w:sz w:val="28"/>
          <w:szCs w:val="28"/>
          <w:u w:val="none"/>
        </w:rPr>
        <w:t>二</w:t>
      </w:r>
      <w:r>
        <w:rPr>
          <w:rFonts w:hint="eastAsia" w:ascii="Times New Roman"/>
          <w:bCs/>
          <w:kern w:val="2"/>
          <w:sz w:val="28"/>
          <w:szCs w:val="28"/>
          <w:u w:val="none"/>
        </w:rPr>
        <w:tab/>
      </w:r>
      <w:r>
        <w:rPr>
          <w:rFonts w:ascii="Times New Roman"/>
          <w:bCs/>
          <w:kern w:val="2"/>
          <w:sz w:val="28"/>
          <w:szCs w:val="28"/>
          <w:u w:val="none"/>
        </w:rPr>
        <w:t xml:space="preserve"> </w:t>
      </w:r>
      <w:r>
        <w:rPr>
          <w:rFonts w:hint="eastAsia" w:ascii="Times New Roman"/>
          <w:bCs/>
          <w:kern w:val="2"/>
          <w:sz w:val="28"/>
          <w:szCs w:val="28"/>
          <w:u w:val="none"/>
        </w:rPr>
        <w:t>招标文件</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招标文件构成</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招标文件包括以下部分：</w:t>
      </w:r>
    </w:p>
    <w:p>
      <w:pPr>
        <w:pStyle w:val="2"/>
        <w:tabs>
          <w:tab w:val="clear" w:pos="567"/>
        </w:tabs>
        <w:spacing w:before="0" w:line="360" w:lineRule="auto"/>
        <w:ind w:left="993"/>
        <w:rPr>
          <w:rFonts w:ascii="Times New Roman" w:hAnsi="Times New Roman"/>
        </w:rPr>
      </w:pPr>
      <w:r>
        <w:rPr>
          <w:rFonts w:hint="eastAsia" w:ascii="Times New Roman" w:hAnsi="Times New Roman"/>
        </w:rPr>
        <w:t xml:space="preserve">第一章 </w:t>
      </w:r>
      <w:r>
        <w:rPr>
          <w:rFonts w:ascii="Times New Roman" w:hAnsi="Times New Roman"/>
        </w:rPr>
        <w:t xml:space="preserve"> </w:t>
      </w:r>
      <w:r>
        <w:rPr>
          <w:rFonts w:hint="eastAsia" w:ascii="Times New Roman" w:hAnsi="Times New Roman"/>
        </w:rPr>
        <w:t xml:space="preserve">投标邀请 </w:t>
      </w:r>
    </w:p>
    <w:p>
      <w:pPr>
        <w:pStyle w:val="2"/>
        <w:tabs>
          <w:tab w:val="clear" w:pos="567"/>
        </w:tabs>
        <w:spacing w:before="0" w:line="360" w:lineRule="auto"/>
        <w:ind w:left="993"/>
        <w:rPr>
          <w:rFonts w:ascii="Times New Roman" w:hAnsi="Times New Roman"/>
        </w:rPr>
      </w:pPr>
      <w:r>
        <w:rPr>
          <w:rFonts w:hint="eastAsia" w:ascii="Times New Roman" w:hAnsi="Times New Roman"/>
        </w:rPr>
        <w:t xml:space="preserve">第二章 </w:t>
      </w:r>
      <w:r>
        <w:rPr>
          <w:rFonts w:ascii="Times New Roman" w:hAnsi="Times New Roman"/>
        </w:rPr>
        <w:t xml:space="preserve"> </w:t>
      </w:r>
      <w:r>
        <w:rPr>
          <w:rFonts w:hint="eastAsia" w:ascii="Times New Roman" w:hAnsi="Times New Roman"/>
        </w:rPr>
        <w:t>投标人须知</w:t>
      </w:r>
    </w:p>
    <w:p>
      <w:pPr>
        <w:pStyle w:val="2"/>
        <w:tabs>
          <w:tab w:val="clear" w:pos="567"/>
        </w:tabs>
        <w:spacing w:before="0" w:line="360" w:lineRule="auto"/>
        <w:ind w:left="993"/>
        <w:rPr>
          <w:rFonts w:ascii="Times New Roman" w:hAnsi="Times New Roman"/>
        </w:rPr>
      </w:pPr>
      <w:r>
        <w:rPr>
          <w:rFonts w:hint="eastAsia" w:ascii="Times New Roman" w:hAnsi="Times New Roman"/>
        </w:rPr>
        <w:t xml:space="preserve">第三章 </w:t>
      </w:r>
      <w:r>
        <w:rPr>
          <w:rFonts w:ascii="Times New Roman" w:hAnsi="Times New Roman"/>
        </w:rPr>
        <w:t xml:space="preserve"> </w:t>
      </w:r>
      <w:r>
        <w:rPr>
          <w:rFonts w:hint="eastAsia" w:ascii="Times New Roman" w:hAnsi="Times New Roman"/>
        </w:rPr>
        <w:t>资格审查</w:t>
      </w:r>
    </w:p>
    <w:p>
      <w:pPr>
        <w:pStyle w:val="2"/>
        <w:tabs>
          <w:tab w:val="clear" w:pos="567"/>
        </w:tabs>
        <w:spacing w:before="0" w:line="360" w:lineRule="auto"/>
        <w:ind w:left="993"/>
        <w:rPr>
          <w:rFonts w:ascii="Times New Roman" w:hAnsi="Times New Roman"/>
        </w:rPr>
      </w:pPr>
      <w:r>
        <w:rPr>
          <w:rFonts w:hint="eastAsia" w:ascii="Times New Roman" w:hAnsi="Times New Roman"/>
        </w:rPr>
        <w:t xml:space="preserve">第四章 </w:t>
      </w:r>
      <w:r>
        <w:rPr>
          <w:rFonts w:ascii="Times New Roman" w:hAnsi="Times New Roman"/>
        </w:rPr>
        <w:t xml:space="preserve"> </w:t>
      </w:r>
      <w:r>
        <w:rPr>
          <w:rFonts w:hint="eastAsia" w:ascii="Times New Roman" w:hAnsi="Times New Roman"/>
        </w:rPr>
        <w:t>评标程序、评标方法和评标标准</w:t>
      </w:r>
    </w:p>
    <w:p>
      <w:pPr>
        <w:pStyle w:val="2"/>
        <w:tabs>
          <w:tab w:val="clear" w:pos="567"/>
        </w:tabs>
        <w:spacing w:before="0" w:line="360" w:lineRule="auto"/>
        <w:ind w:left="993"/>
        <w:rPr>
          <w:rFonts w:ascii="Times New Roman" w:hAnsi="Times New Roman"/>
        </w:rPr>
      </w:pPr>
      <w:r>
        <w:rPr>
          <w:rFonts w:hint="eastAsia" w:ascii="Times New Roman" w:hAnsi="Times New Roman"/>
        </w:rPr>
        <w:t xml:space="preserve">第五章 </w:t>
      </w:r>
      <w:r>
        <w:rPr>
          <w:rFonts w:ascii="Times New Roman" w:hAnsi="Times New Roman"/>
        </w:rPr>
        <w:t xml:space="preserve"> </w:t>
      </w:r>
      <w:r>
        <w:rPr>
          <w:rFonts w:hint="eastAsia" w:ascii="Times New Roman" w:hAnsi="Times New Roman"/>
        </w:rPr>
        <w:t>采购需求</w:t>
      </w:r>
    </w:p>
    <w:p>
      <w:pPr>
        <w:pStyle w:val="2"/>
        <w:tabs>
          <w:tab w:val="clear" w:pos="567"/>
        </w:tabs>
        <w:spacing w:before="0" w:line="360" w:lineRule="auto"/>
        <w:ind w:left="993"/>
        <w:rPr>
          <w:rFonts w:ascii="Times New Roman" w:hAnsi="Times New Roman"/>
        </w:rPr>
      </w:pPr>
      <w:r>
        <w:rPr>
          <w:rFonts w:hint="eastAsia" w:ascii="Times New Roman" w:hAnsi="Times New Roman"/>
        </w:rPr>
        <w:t xml:space="preserve">第六章 </w:t>
      </w:r>
      <w:r>
        <w:rPr>
          <w:rFonts w:ascii="Times New Roman" w:hAnsi="Times New Roman"/>
        </w:rPr>
        <w:t xml:space="preserve"> </w:t>
      </w:r>
      <w:r>
        <w:rPr>
          <w:rFonts w:hint="eastAsia" w:ascii="Times New Roman" w:hAnsi="Times New Roman"/>
        </w:rPr>
        <w:t>拟签订的合同文本</w:t>
      </w:r>
    </w:p>
    <w:p>
      <w:pPr>
        <w:pStyle w:val="2"/>
        <w:tabs>
          <w:tab w:val="clear" w:pos="567"/>
        </w:tabs>
        <w:spacing w:before="0" w:line="360" w:lineRule="auto"/>
        <w:ind w:left="993"/>
        <w:rPr>
          <w:rFonts w:ascii="Times New Roman" w:hAnsi="Times New Roman"/>
        </w:rPr>
      </w:pPr>
      <w:r>
        <w:rPr>
          <w:rFonts w:hint="eastAsia" w:ascii="Times New Roman" w:hAnsi="Times New Roman"/>
        </w:rPr>
        <w:t xml:space="preserve">第七章 </w:t>
      </w:r>
      <w:r>
        <w:rPr>
          <w:rFonts w:ascii="Times New Roman" w:hAnsi="Times New Roman"/>
        </w:rPr>
        <w:t xml:space="preserve"> </w:t>
      </w:r>
      <w:r>
        <w:rPr>
          <w:rFonts w:hint="eastAsia" w:ascii="Times New Roman" w:hAnsi="Times New Roman"/>
        </w:rPr>
        <w:t>投标文件格式</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投标人应认真阅读招标文件的全部内容。投标人应按照招标文件要求提交投标文件并保证所提供的全部资料的真实性，并对招标文件做出实质性响应，否则</w:t>
      </w:r>
      <w:r>
        <w:rPr>
          <w:rFonts w:hint="eastAsia" w:ascii="Times New Roman" w:hAnsi="Times New Roman"/>
          <w:bCs/>
          <w:sz w:val="24"/>
          <w:szCs w:val="24"/>
        </w:rPr>
        <w:t>投标无效</w:t>
      </w:r>
      <w:r>
        <w:rPr>
          <w:rFonts w:hint="eastAsia" w:ascii="Times New Roman" w:hAnsi="Times New Roman"/>
          <w:sz w:val="24"/>
          <w:szCs w:val="24"/>
        </w:rPr>
        <w:t>。</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对招标文件的澄清或修改</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采购人或采购代理机构对已发出的招标文件进行必要澄清或者修改的，将在原公告发布媒体上发布更正公告，并以书面形式通知所有获取招标文件的潜在投标人。</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上述书面通知，按照获取招标文件的潜在投标人提供的联系方式发出，因提供的信息有误导致通知延迟或无法通知的，采购人或采购代理机构不承担责任。</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 不足 15 日的，将顺延提交投标文件的截止时间和开标时间。</w:t>
      </w:r>
    </w:p>
    <w:p>
      <w:pPr>
        <w:pStyle w:val="2"/>
        <w:spacing w:before="0" w:line="360" w:lineRule="auto"/>
        <w:ind w:left="851"/>
        <w:rPr>
          <w:rFonts w:ascii="Times New Roman" w:hAnsi="Times New Roman"/>
        </w:rPr>
      </w:pPr>
    </w:p>
    <w:p>
      <w:pPr>
        <w:pStyle w:val="7"/>
        <w:spacing w:before="0" w:after="0" w:line="360" w:lineRule="auto"/>
        <w:ind w:right="194"/>
        <w:jc w:val="center"/>
        <w:rPr>
          <w:rFonts w:ascii="Times New Roman"/>
          <w:bCs/>
          <w:kern w:val="2"/>
          <w:sz w:val="28"/>
          <w:szCs w:val="28"/>
          <w:u w:val="none"/>
        </w:rPr>
      </w:pPr>
      <w:r>
        <w:rPr>
          <w:rFonts w:hint="eastAsia" w:ascii="Times New Roman"/>
          <w:bCs/>
          <w:kern w:val="2"/>
          <w:sz w:val="28"/>
          <w:szCs w:val="28"/>
          <w:u w:val="none"/>
        </w:rPr>
        <w:t xml:space="preserve">三 </w:t>
      </w:r>
      <w:r>
        <w:rPr>
          <w:rFonts w:hint="eastAsia" w:ascii="Times New Roman"/>
          <w:bCs/>
          <w:kern w:val="2"/>
          <w:sz w:val="28"/>
          <w:szCs w:val="28"/>
          <w:u w:val="none"/>
        </w:rPr>
        <w:tab/>
      </w:r>
      <w:r>
        <w:rPr>
          <w:rFonts w:hint="eastAsia" w:ascii="Times New Roman"/>
          <w:bCs/>
          <w:kern w:val="2"/>
          <w:sz w:val="28"/>
          <w:szCs w:val="28"/>
          <w:u w:val="none"/>
        </w:rPr>
        <w:t>投标文件的编制</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投标范围、投标文件中计量单位的使用及投标语言</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除招标文件有特殊要求外，本项目投标所使用的计量单位，应采用中华人民共和国法定计量单位。</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投标文件构成</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投标人应当按照招标文件的要求编制投标文件。投标文件应由《资格证明文件》、《商务技术文件》两部分构成。投标文件的部分格式要求，见第七章《投标文件格式》。</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第四章《评标程序、评标方法和评标标准》中涉及的证明文件。</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投标人认为应附的其他材料。</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投标报价</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所有投标均以人民币报价。</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按照招标文件要求完成本项目的全部相关费用。</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采购人不得向供应商索要或者接受其给予的赠品、回扣或者与采购无关的其他商品、服务。</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投标人不能提供任何有选择性或可调整的报价（招标文件另有规定的除外），否则其</w:t>
      </w:r>
      <w:r>
        <w:rPr>
          <w:rFonts w:hint="eastAsia" w:ascii="Times New Roman" w:hAnsi="Times New Roman"/>
          <w:bCs/>
          <w:sz w:val="24"/>
          <w:szCs w:val="24"/>
        </w:rPr>
        <w:t>投标无效</w:t>
      </w:r>
      <w:r>
        <w:rPr>
          <w:rFonts w:hint="eastAsia" w:ascii="Times New Roman" w:hAnsi="Times New Roman"/>
          <w:sz w:val="24"/>
          <w:szCs w:val="24"/>
        </w:rPr>
        <w:t>。</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投标保证金</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投标人应按《投标人须知资料表》中规定的金额及要求交纳投标保证金。</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交纳投标保证金可采用的形式：政府采购法律法规接受的支票、汇票、本票、网上银行支付或者金融机构、担保机构出具的保函等非现金形式。</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投标保证金有效期同投标有效期。</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投标人为联合体的，可以由联合体中的一方或者多方共同交纳投标保证金， 其交纳的投标保证金对联合体各方均具有约束力。</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投标人在投标截止时间前撤回已提交的投标文件的，自收到投标人书面撤回通知之日起 5 个工作日内退还已收取的投标保证金；</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中标人的投标保证金，自采购合同签订之日起 5 个工作日内退还中标人；</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未中标投标人的投标保证金，自中标通知书发出之日起 5 个工作日内退还未中标人；</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终止招标项目已经收取投标保证金的，自终止采购活动后 5 个工作日内退还已收取的投标保证金及其在银行产生的孳息。</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有下列情形之一的，采购人或采购代理机构可以不予退还投标保证金：</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投标有效期内投标人撤销投标文件的；</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《投标人须知资料表》中规定的其他情形。</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投标有效期</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投标文件应在本招标文件《投标人须知资料表》中规定的投标有效期内保持有效，投标有效期少于招标文件规定期限的，其</w:t>
      </w:r>
      <w:r>
        <w:rPr>
          <w:rFonts w:hint="eastAsia" w:ascii="Times New Roman" w:hAnsi="Times New Roman"/>
          <w:bCs/>
          <w:sz w:val="24"/>
          <w:szCs w:val="24"/>
        </w:rPr>
        <w:t>投标无效</w:t>
      </w:r>
      <w:r>
        <w:rPr>
          <w:rFonts w:hint="eastAsia" w:ascii="Times New Roman" w:hAnsi="Times New Roman"/>
          <w:sz w:val="24"/>
          <w:szCs w:val="24"/>
        </w:rPr>
        <w:t>。</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投标文件的签署、盖章</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投标人应当按包准备投标文件正本1份、副本3份和电子版U盘1份，每份投标文件须清楚地标明“正本”、“副本”、“电子版”。若正本和副本不符，以正本为准。</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文件的正本需打印或者用不褪色墨水书写，并由投标人的法定代表人授权代表在投标文件相应位置签字、盖单位印章。授权代表须持有书面的“授权委托书”（标准格式附后），并将其附在投标文件中。如果对投标文件进行了修改，则应当由投标人的法定代表人授权代表在修改的每一页上签字或盖单位印章。投标文件的副本可以采用正本的复印件。</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电子版应包含投标文件可编辑版和正本扫描件。</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任何行间插字、涂改和增删，必须由投标文件法定代表人授权代表签字或者加盖公章后才有效。</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投标文件因字迹潦草或者表达不清所引起的后果由投标人负责。</w:t>
      </w:r>
    </w:p>
    <w:p>
      <w:pPr>
        <w:pStyle w:val="7"/>
        <w:spacing w:before="0" w:after="0" w:line="360" w:lineRule="auto"/>
        <w:ind w:right="194"/>
        <w:jc w:val="center"/>
        <w:rPr>
          <w:rFonts w:ascii="Times New Roman"/>
          <w:bCs/>
          <w:kern w:val="2"/>
          <w:sz w:val="28"/>
          <w:szCs w:val="28"/>
          <w:u w:val="none"/>
        </w:rPr>
      </w:pPr>
      <w:r>
        <w:rPr>
          <w:rFonts w:hint="eastAsia" w:ascii="Times New Roman"/>
          <w:bCs/>
          <w:kern w:val="2"/>
          <w:sz w:val="28"/>
          <w:szCs w:val="28"/>
          <w:u w:val="none"/>
        </w:rPr>
        <w:t>四</w:t>
      </w:r>
      <w:r>
        <w:rPr>
          <w:rFonts w:hint="eastAsia" w:ascii="Times New Roman"/>
          <w:bCs/>
          <w:kern w:val="2"/>
          <w:sz w:val="28"/>
          <w:szCs w:val="28"/>
          <w:u w:val="none"/>
        </w:rPr>
        <w:tab/>
      </w:r>
      <w:r>
        <w:rPr>
          <w:rFonts w:ascii="Times New Roman"/>
          <w:bCs/>
          <w:kern w:val="2"/>
          <w:sz w:val="28"/>
          <w:szCs w:val="28"/>
          <w:u w:val="none"/>
        </w:rPr>
        <w:t xml:space="preserve"> </w:t>
      </w:r>
      <w:r>
        <w:rPr>
          <w:rFonts w:hint="eastAsia" w:ascii="Times New Roman"/>
          <w:bCs/>
          <w:kern w:val="2"/>
          <w:sz w:val="28"/>
          <w:szCs w:val="28"/>
          <w:u w:val="none"/>
        </w:rPr>
        <w:t>投标文件的提交</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投标文件的提交</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文件必须密封提交。对封装材料及样式不作特别规定，但投标人应当保证其封装的可靠性，不致因搬运、堆放等原因散开。投标时，投标人应当将投标文件正本以密封袋/箱单独密封，所有的副本以密封袋/箱单独密封，或者正、副本放入一个密封包装内。电子版为正本的扫描件，电子版可以单独密封一个密封袋。密封袋/箱正面和投标文件封面须标明“正本”“副本”“电子版”字样。</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在第15.1款规定的及其他有关包装袋/箱上均应当：</w:t>
      </w:r>
    </w:p>
    <w:p>
      <w:pPr>
        <w:pStyle w:val="181"/>
        <w:autoSpaceDE w:val="0"/>
        <w:autoSpaceDN w:val="0"/>
        <w:spacing w:line="360" w:lineRule="auto"/>
        <w:ind w:left="990" w:firstLine="2" w:firstLineChars="1"/>
        <w:jc w:val="left"/>
        <w:rPr>
          <w:rFonts w:ascii="Times New Roman" w:hAnsi="Times New Roman"/>
          <w:sz w:val="24"/>
          <w:szCs w:val="24"/>
        </w:rPr>
      </w:pPr>
      <w:r>
        <w:rPr>
          <w:rFonts w:hint="eastAsia" w:ascii="Times New Roman" w:hAnsi="Times New Roman"/>
          <w:sz w:val="24"/>
          <w:szCs w:val="24"/>
        </w:rPr>
        <w:t>15.3.1</w:t>
      </w:r>
      <w:r>
        <w:rPr>
          <w:rFonts w:ascii="Times New Roman" w:hAnsi="Times New Roman"/>
          <w:sz w:val="24"/>
          <w:szCs w:val="24"/>
        </w:rPr>
        <w:t xml:space="preserve"> </w:t>
      </w:r>
      <w:r>
        <w:rPr>
          <w:rFonts w:hint="eastAsia" w:ascii="Times New Roman" w:hAnsi="Times New Roman"/>
          <w:sz w:val="24"/>
          <w:szCs w:val="24"/>
        </w:rPr>
        <w:t>清楚标明提交至招标公告中指明的地址。</w:t>
      </w:r>
    </w:p>
    <w:p>
      <w:pPr>
        <w:pStyle w:val="181"/>
        <w:autoSpaceDE w:val="0"/>
        <w:autoSpaceDN w:val="0"/>
        <w:spacing w:line="360" w:lineRule="auto"/>
        <w:ind w:left="990" w:firstLine="2" w:firstLineChars="1"/>
        <w:jc w:val="left"/>
        <w:rPr>
          <w:rFonts w:ascii="Times New Roman" w:hAnsi="Times New Roman"/>
          <w:sz w:val="24"/>
          <w:szCs w:val="24"/>
        </w:rPr>
      </w:pPr>
      <w:r>
        <w:rPr>
          <w:rFonts w:hint="eastAsia" w:ascii="Times New Roman" w:hAnsi="Times New Roman"/>
          <w:sz w:val="24"/>
          <w:szCs w:val="24"/>
        </w:rPr>
        <w:t>15.3.2</w:t>
      </w:r>
      <w:r>
        <w:rPr>
          <w:rFonts w:ascii="Times New Roman" w:hAnsi="Times New Roman"/>
          <w:sz w:val="24"/>
          <w:szCs w:val="24"/>
        </w:rPr>
        <w:t xml:space="preserve"> </w:t>
      </w:r>
      <w:r>
        <w:rPr>
          <w:rFonts w:hint="eastAsia" w:ascii="Times New Roman" w:hAnsi="Times New Roman"/>
          <w:sz w:val="24"/>
          <w:szCs w:val="24"/>
        </w:rPr>
        <w:t>注明招标公告中指明的项目名称、项目编号、包号和“在（投标截止时间）之前不得启封”的字样。</w:t>
      </w:r>
    </w:p>
    <w:p>
      <w:pPr>
        <w:pStyle w:val="181"/>
        <w:autoSpaceDE w:val="0"/>
        <w:autoSpaceDN w:val="0"/>
        <w:spacing w:line="360" w:lineRule="auto"/>
        <w:ind w:left="990" w:firstLine="2" w:firstLineChars="1"/>
        <w:jc w:val="left"/>
        <w:rPr>
          <w:rFonts w:ascii="Times New Roman" w:hAnsi="Times New Roman"/>
          <w:sz w:val="24"/>
          <w:szCs w:val="24"/>
        </w:rPr>
      </w:pPr>
      <w:r>
        <w:rPr>
          <w:rFonts w:hint="eastAsia" w:ascii="Times New Roman" w:hAnsi="Times New Roman"/>
          <w:sz w:val="24"/>
          <w:szCs w:val="24"/>
        </w:rPr>
        <w:t>15.3.3</w:t>
      </w:r>
      <w:r>
        <w:rPr>
          <w:rFonts w:ascii="Times New Roman" w:hAnsi="Times New Roman"/>
          <w:sz w:val="24"/>
          <w:szCs w:val="24"/>
        </w:rPr>
        <w:t xml:space="preserve"> </w:t>
      </w:r>
      <w:r>
        <w:rPr>
          <w:rFonts w:hint="eastAsia" w:ascii="Times New Roman" w:hAnsi="Times New Roman"/>
          <w:sz w:val="24"/>
          <w:szCs w:val="24"/>
        </w:rPr>
        <w:t>在包装袋/箱的封装处加盖投标人单位公章或由法定代表人授权代表签字。</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sz w:val="24"/>
        </w:rPr>
        <w:t>拒收情形：采购人、采购代理机构将拒绝接收未按照招标文件要求密封的投标文件</w:t>
      </w:r>
      <w:r>
        <w:rPr>
          <w:sz w:val="24"/>
        </w:rPr>
        <w:t>。</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投标截止时间</w:t>
      </w:r>
    </w:p>
    <w:p>
      <w:pPr>
        <w:pStyle w:val="181"/>
        <w:numPr>
          <w:ilvl w:val="1"/>
          <w:numId w:val="9"/>
        </w:numPr>
        <w:autoSpaceDE w:val="0"/>
        <w:autoSpaceDN w:val="0"/>
        <w:spacing w:line="360" w:lineRule="auto"/>
        <w:ind w:left="990" w:leftChars="202" w:hanging="566" w:hangingChars="236"/>
        <w:jc w:val="left"/>
        <w:rPr>
          <w:sz w:val="24"/>
        </w:rPr>
      </w:pPr>
      <w:r>
        <w:rPr>
          <w:rFonts w:hint="eastAsia"/>
          <w:sz w:val="24"/>
        </w:rPr>
        <w:t>投标人的投标文件应当在招标公告或投标邀请函中规定的截止时间内，将投标文件递交采购单位，递交地点应当是招标公告或投标邀请函中规定的地址。</w:t>
      </w:r>
    </w:p>
    <w:p>
      <w:pPr>
        <w:pStyle w:val="181"/>
        <w:numPr>
          <w:ilvl w:val="1"/>
          <w:numId w:val="9"/>
        </w:numPr>
        <w:autoSpaceDE w:val="0"/>
        <w:autoSpaceDN w:val="0"/>
        <w:spacing w:line="360" w:lineRule="auto"/>
        <w:ind w:left="990" w:leftChars="202" w:hanging="566" w:hangingChars="236"/>
        <w:jc w:val="left"/>
        <w:rPr>
          <w:sz w:val="24"/>
        </w:rPr>
      </w:pPr>
      <w:r>
        <w:rPr>
          <w:rFonts w:hint="eastAsia"/>
          <w:sz w:val="24"/>
        </w:rPr>
        <w:t>采购人推迟投标时间时，应当以书面(或者传真、电邮)的形式，通知所有投标人。在这种情况下，双方的权利和义务将受到新的投标时间的约束。</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sz w:val="24"/>
        </w:rPr>
        <w:t>拒收情形：在本须知规定的投标截止时间后逾期送达的任何投标文件</w:t>
      </w:r>
      <w:r>
        <w:rPr>
          <w:rFonts w:hint="eastAsia" w:ascii="Times New Roman" w:hAnsi="Times New Roman"/>
          <w:sz w:val="24"/>
          <w:szCs w:val="24"/>
        </w:rPr>
        <w:t>将被拒绝接收。</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投标文件的修改与撤回</w:t>
      </w:r>
    </w:p>
    <w:p>
      <w:pPr>
        <w:pStyle w:val="181"/>
        <w:numPr>
          <w:ilvl w:val="1"/>
          <w:numId w:val="9"/>
        </w:numPr>
        <w:autoSpaceDE w:val="0"/>
        <w:autoSpaceDN w:val="0"/>
        <w:spacing w:line="360" w:lineRule="auto"/>
        <w:ind w:left="990" w:leftChars="202" w:hanging="566" w:hangingChars="236"/>
        <w:jc w:val="left"/>
        <w:rPr>
          <w:sz w:val="24"/>
        </w:rPr>
      </w:pPr>
      <w:r>
        <w:rPr>
          <w:rFonts w:hint="eastAsia"/>
          <w:sz w:val="24"/>
        </w:rPr>
        <w:t>投标截止时间前，投标人可以对所提交的投标文件进行补充、修改或者撤回。</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sz w:val="24"/>
        </w:rPr>
        <w:t>投标人对投标文件的补充、修改的内容应当按照招标文件要求签署、盖章， 作</w:t>
      </w:r>
      <w:r>
        <w:rPr>
          <w:rFonts w:hint="eastAsia" w:ascii="Times New Roman" w:hAnsi="Times New Roman"/>
          <w:sz w:val="24"/>
          <w:szCs w:val="24"/>
        </w:rPr>
        <w:t>为投标文件的组成部分。</w:t>
      </w:r>
    </w:p>
    <w:p>
      <w:pPr>
        <w:pStyle w:val="2"/>
        <w:spacing w:before="0" w:line="360" w:lineRule="auto"/>
        <w:ind w:left="851"/>
        <w:rPr>
          <w:rFonts w:ascii="Times New Roman" w:hAnsi="Times New Roman"/>
        </w:rPr>
      </w:pPr>
    </w:p>
    <w:p>
      <w:pPr>
        <w:pStyle w:val="7"/>
        <w:spacing w:before="0" w:after="0" w:line="360" w:lineRule="auto"/>
        <w:ind w:right="194"/>
        <w:jc w:val="center"/>
        <w:rPr>
          <w:rFonts w:ascii="Times New Roman"/>
          <w:bCs/>
          <w:kern w:val="2"/>
          <w:sz w:val="28"/>
          <w:szCs w:val="28"/>
          <w:u w:val="none"/>
        </w:rPr>
      </w:pPr>
      <w:r>
        <w:rPr>
          <w:rFonts w:hint="eastAsia" w:ascii="Times New Roman"/>
          <w:bCs/>
          <w:kern w:val="2"/>
          <w:sz w:val="28"/>
          <w:szCs w:val="28"/>
          <w:u w:val="none"/>
        </w:rPr>
        <w:t>五</w:t>
      </w:r>
      <w:r>
        <w:rPr>
          <w:rFonts w:hint="eastAsia" w:ascii="Times New Roman"/>
          <w:bCs/>
          <w:kern w:val="2"/>
          <w:sz w:val="28"/>
          <w:szCs w:val="28"/>
          <w:u w:val="none"/>
        </w:rPr>
        <w:tab/>
      </w:r>
      <w:r>
        <w:rPr>
          <w:rFonts w:ascii="Times New Roman"/>
          <w:bCs/>
          <w:kern w:val="2"/>
          <w:sz w:val="28"/>
          <w:szCs w:val="28"/>
          <w:u w:val="none"/>
        </w:rPr>
        <w:t xml:space="preserve"> </w:t>
      </w:r>
      <w:r>
        <w:rPr>
          <w:rFonts w:hint="eastAsia" w:ascii="Times New Roman"/>
          <w:bCs/>
          <w:kern w:val="2"/>
          <w:sz w:val="28"/>
          <w:szCs w:val="28"/>
          <w:u w:val="none"/>
        </w:rPr>
        <w:t>开标、资格审查及评标</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开标</w:t>
      </w:r>
    </w:p>
    <w:p>
      <w:pPr>
        <w:pStyle w:val="181"/>
        <w:numPr>
          <w:ilvl w:val="1"/>
          <w:numId w:val="9"/>
        </w:numPr>
        <w:autoSpaceDE w:val="0"/>
        <w:autoSpaceDN w:val="0"/>
        <w:spacing w:line="360" w:lineRule="auto"/>
        <w:ind w:left="990" w:leftChars="202" w:hanging="566" w:hangingChars="236"/>
        <w:jc w:val="left"/>
        <w:rPr>
          <w:sz w:val="24"/>
        </w:rPr>
      </w:pPr>
      <w:r>
        <w:rPr>
          <w:rFonts w:hint="eastAsia"/>
          <w:sz w:val="24"/>
        </w:rPr>
        <w:t>采购人或采购代理机构将按招标文件的规定，在投标截止时间的同一时间和招标文件预先确定的地点组织开标。</w:t>
      </w:r>
    </w:p>
    <w:p>
      <w:pPr>
        <w:pStyle w:val="181"/>
        <w:numPr>
          <w:ilvl w:val="1"/>
          <w:numId w:val="9"/>
        </w:numPr>
        <w:autoSpaceDE w:val="0"/>
        <w:autoSpaceDN w:val="0"/>
        <w:spacing w:line="360" w:lineRule="auto"/>
        <w:ind w:left="990" w:leftChars="202" w:hanging="566" w:hangingChars="236"/>
        <w:jc w:val="left"/>
        <w:rPr>
          <w:sz w:val="24"/>
        </w:rPr>
      </w:pPr>
      <w:r>
        <w:rPr>
          <w:rFonts w:hint="eastAsia"/>
          <w:sz w:val="24"/>
        </w:rPr>
        <w:t>开标时，应当由投标人或者其推选的代表检查投标文件的密封情况；经确认无误后，由采购人或者采购代理机构工作人员当众拆封，宣布投标人名称、投标价格和招标文件规定的需要宣布的其他内容。</w:t>
      </w:r>
    </w:p>
    <w:p>
      <w:pPr>
        <w:pStyle w:val="181"/>
        <w:numPr>
          <w:ilvl w:val="1"/>
          <w:numId w:val="9"/>
        </w:numPr>
        <w:autoSpaceDE w:val="0"/>
        <w:autoSpaceDN w:val="0"/>
        <w:spacing w:line="360" w:lineRule="auto"/>
        <w:ind w:left="990" w:leftChars="202" w:hanging="566" w:hangingChars="236"/>
        <w:jc w:val="left"/>
        <w:rPr>
          <w:sz w:val="24"/>
        </w:rPr>
      </w:pPr>
      <w:r>
        <w:rPr>
          <w:rFonts w:hint="eastAsia"/>
          <w:sz w:val="24"/>
        </w:rPr>
        <w:t>开标过程应当由采购人或者采购代理机构负责记录，由参加开标的各投标人代表和相关工作人员签字确认后随采购文件一并存档。投标人未参加开标的，视同认可开标结果。</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投标人不足 3 家的，不予开标。</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资格审查</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见第三章《资格审查》。</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评标委员会</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评标委员会根据政府采购有关规定和本次采购项目的特点进行组建，并负责</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具体评标事务，独立履行职责。</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评标程序、评标方法和评标标准</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见第四章《评标程序、评标方法和评标标准》。</w:t>
      </w:r>
    </w:p>
    <w:p>
      <w:pPr>
        <w:pStyle w:val="2"/>
        <w:spacing w:before="0" w:line="360" w:lineRule="auto"/>
        <w:ind w:left="851"/>
        <w:rPr>
          <w:rFonts w:ascii="Times New Roman" w:hAnsi="Times New Roman"/>
        </w:rPr>
      </w:pPr>
    </w:p>
    <w:p>
      <w:pPr>
        <w:pStyle w:val="7"/>
        <w:spacing w:before="0" w:after="0" w:line="360" w:lineRule="auto"/>
        <w:ind w:right="194"/>
        <w:jc w:val="center"/>
        <w:rPr>
          <w:rFonts w:ascii="Times New Roman"/>
          <w:bCs/>
          <w:kern w:val="2"/>
          <w:sz w:val="28"/>
          <w:szCs w:val="28"/>
          <w:u w:val="none"/>
        </w:rPr>
      </w:pPr>
      <w:r>
        <w:rPr>
          <w:rFonts w:hint="eastAsia" w:ascii="Times New Roman"/>
          <w:bCs/>
          <w:kern w:val="2"/>
          <w:sz w:val="28"/>
          <w:szCs w:val="28"/>
          <w:u w:val="none"/>
        </w:rPr>
        <w:t>六</w:t>
      </w:r>
      <w:r>
        <w:rPr>
          <w:rFonts w:hint="eastAsia" w:ascii="Times New Roman"/>
          <w:bCs/>
          <w:kern w:val="2"/>
          <w:sz w:val="28"/>
          <w:szCs w:val="28"/>
          <w:u w:val="none"/>
        </w:rPr>
        <w:tab/>
      </w:r>
      <w:r>
        <w:rPr>
          <w:rFonts w:ascii="Times New Roman"/>
          <w:bCs/>
          <w:kern w:val="2"/>
          <w:sz w:val="28"/>
          <w:szCs w:val="28"/>
          <w:u w:val="none"/>
        </w:rPr>
        <w:t xml:space="preserve"> </w:t>
      </w:r>
      <w:r>
        <w:rPr>
          <w:rFonts w:hint="eastAsia" w:ascii="Times New Roman"/>
          <w:bCs/>
          <w:kern w:val="2"/>
          <w:sz w:val="28"/>
          <w:szCs w:val="28"/>
          <w:u w:val="none"/>
        </w:rPr>
        <w:t>确定中标</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确定中标人</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 按照《投标人须知资料表》要求确定中标人。</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中标公告与中标通知书</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采购人或采购代理机构自中标人确定之日起 2 个工作日内，在北京市政府采购网公告中标结果，同时向中标人发出中标通知书，中标公告期限为 1 个工作日。</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中标通知书对采购人和中标供应商均具有法律效力。中标通知书发出后，采购人改变中标结果的，或者中标供应商放弃中标项目的，应当依法承担法律责任。</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废标</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在招标采购中，出现下列情形之一的，应予废标：</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符合专业条件的供应商或者对招标文件作实质响应的供应商不足三家的；</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出现影响采购公正的违法、违规行为的；</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投标人的报价均超过了采购预算，采购人不能支付的；</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因重大变故，采购任务取消的。</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废标后，采购人将废标理由书面通知所有投标人。</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签订合同</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中标人、采购人应当自中标通知书发出之日起 30 日内，按照招标文件和中标人投标文件的规定签订书面合同。所签订的合同不得对招标文件确定的事项和中标人投标文件作实质性修改。</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中标人拒绝与采购人签订合同的，采购人可以按照评标报告推荐的中标候选人名单排序，确定下一候选人为中标人，也可以重新开展政府采购活动。</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联合体中标的，联合体各方应当共同与采购人签订合同，就采购合同约定的事项向采购人承担连带责任。</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政府采购合同不能转包。</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 应当在投标文件中载明分包承担主体，分包承担主体应当具备相应资质条件且不得再次分包，否则</w:t>
      </w:r>
      <w:r>
        <w:rPr>
          <w:rFonts w:hint="eastAsia" w:ascii="Times New Roman" w:hAnsi="Times New Roman"/>
          <w:bCs/>
          <w:sz w:val="24"/>
          <w:szCs w:val="24"/>
        </w:rPr>
        <w:t>投标无效</w:t>
      </w:r>
      <w:r>
        <w:rPr>
          <w:rFonts w:hint="eastAsia" w:ascii="Times New Roman" w:hAnsi="Times New Roman"/>
          <w:sz w:val="24"/>
          <w:szCs w:val="24"/>
        </w:rPr>
        <w:t>。中标人就采购项目和分包项目向采购人负责，分包供应商就分包项目承担责任。</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询问与质疑</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询问</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投标人对政府采购活动事项有疑问的，可依法提出询问，并按《投标人须知资料表》载明的形式送达采购人或采购代理机构。</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采购人或采购代理机构对供应商依法提出的询问，在 3 个工作日内作出答复，但答复的内容不得涉及商业秘密。</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质疑</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投标人认为采购文件、采购过程、中标结果使自己的权益受到损害的， 可以在知道或者应知其权益受到损害之日起 7 个工作日内，以书面形式向采购人、采购代理机构提出质疑。采购人、采购代理机构在收到质疑函后 7 个工作日内作出答复。</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质疑函须使用财政部制定的范本文件。投标人为自然人的，质疑函应当由本人签字；投标人为法人或者其他组织的，质疑函应当由法定代表人、主要负责人，或者其授权代表签字或者盖章，并加盖公章。</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投标人委托代理人进行质疑的，应当随质疑函同时提交投标人签署的授权委托书。授权委托书应当载明代理人的姓名或者名称、代理事项、具体权限、期限和相关事项。投标人为自然人的，应当由本人签字； 投标人为法人或者其他组织的，应当由法定代表人、主要负责人签字或者盖章，并加盖公章。</w:t>
      </w:r>
    </w:p>
    <w:p>
      <w:pPr>
        <w:pStyle w:val="181"/>
        <w:numPr>
          <w:ilvl w:val="2"/>
          <w:numId w:val="9"/>
        </w:numPr>
        <w:autoSpaceDE w:val="0"/>
        <w:autoSpaceDN w:val="0"/>
        <w:spacing w:line="360" w:lineRule="auto"/>
        <w:ind w:left="993" w:right="224" w:firstLine="0" w:firstLineChars="0"/>
        <w:rPr>
          <w:rFonts w:ascii="Times New Roman" w:hAnsi="Times New Roman"/>
          <w:sz w:val="24"/>
          <w:szCs w:val="24"/>
        </w:rPr>
      </w:pPr>
      <w:r>
        <w:rPr>
          <w:rFonts w:hint="eastAsia" w:ascii="Times New Roman" w:hAnsi="Times New Roman"/>
          <w:sz w:val="24"/>
          <w:szCs w:val="24"/>
        </w:rPr>
        <w:t>投标人应在法定质疑期内一次性提出针对同一采购程序环节的质疑， 法定质疑期内针对同一采购程序环节再次提出的质疑，采购人、采购代理机构有权不予答复。</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接收询问和质疑的联系部门、联系电话和通讯地址见《投标人须知资料表》。</w:t>
      </w:r>
    </w:p>
    <w:p>
      <w:pPr>
        <w:pStyle w:val="181"/>
        <w:numPr>
          <w:ilvl w:val="0"/>
          <w:numId w:val="9"/>
        </w:numPr>
        <w:autoSpaceDE w:val="0"/>
        <w:autoSpaceDN w:val="0"/>
        <w:spacing w:line="360" w:lineRule="auto"/>
        <w:ind w:left="426" w:hanging="426" w:firstLineChars="0"/>
        <w:jc w:val="left"/>
        <w:rPr>
          <w:rFonts w:ascii="Times New Roman" w:hAnsi="Times New Roman"/>
          <w:sz w:val="24"/>
          <w:szCs w:val="24"/>
        </w:rPr>
      </w:pPr>
      <w:r>
        <w:rPr>
          <w:rFonts w:hint="eastAsia" w:ascii="Times New Roman" w:hAnsi="Times New Roman"/>
          <w:sz w:val="24"/>
          <w:szCs w:val="24"/>
        </w:rPr>
        <w:t>代理费</w:t>
      </w:r>
    </w:p>
    <w:p>
      <w:pPr>
        <w:pStyle w:val="181"/>
        <w:numPr>
          <w:ilvl w:val="1"/>
          <w:numId w:val="9"/>
        </w:numPr>
        <w:autoSpaceDE w:val="0"/>
        <w:autoSpaceDN w:val="0"/>
        <w:spacing w:line="360" w:lineRule="auto"/>
        <w:ind w:left="990" w:leftChars="202" w:hanging="566" w:hangingChars="236"/>
        <w:jc w:val="left"/>
        <w:rPr>
          <w:rFonts w:ascii="Times New Roman" w:hAnsi="Times New Roman"/>
          <w:sz w:val="24"/>
          <w:szCs w:val="24"/>
        </w:rPr>
      </w:pPr>
      <w:r>
        <w:rPr>
          <w:rFonts w:hint="eastAsia" w:ascii="Times New Roman" w:hAnsi="Times New Roman"/>
          <w:sz w:val="24"/>
          <w:szCs w:val="24"/>
        </w:rPr>
        <w:t>收费对象、收费标准及缴纳时间见《投标人须知资料表》。由中标人支付的， 中标人须一次性向采购代理机构缴纳代理费。</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87" w:name="_Toc226965827"/>
      <w:bookmarkStart w:id="88" w:name="_Toc127151554"/>
      <w:bookmarkStart w:id="89" w:name="_Toc142311056"/>
      <w:bookmarkStart w:id="90" w:name="_Toc353825544"/>
      <w:bookmarkStart w:id="91" w:name="_Toc150480792"/>
      <w:bookmarkStart w:id="92" w:name="_Toc150774759"/>
      <w:bookmarkStart w:id="93" w:name="_Toc353873664"/>
      <w:bookmarkStart w:id="94" w:name="_Toc265228392"/>
      <w:bookmarkStart w:id="95" w:name="_Toc305158896"/>
      <w:bookmarkStart w:id="96" w:name="_Toc305158822"/>
      <w:bookmarkStart w:id="97" w:name="_Toc264969244"/>
      <w:bookmarkStart w:id="98" w:name="_Toc226337250"/>
      <w:bookmarkStart w:id="99" w:name="_Toc353873934"/>
      <w:r>
        <w:rPr>
          <w:sz w:val="24"/>
        </w:rPr>
        <w:br w:type="page"/>
      </w:r>
      <w:bookmarkStart w:id="100" w:name="_Toc147735552"/>
      <w:r>
        <w:rPr>
          <w:b/>
          <w:sz w:val="36"/>
          <w:szCs w:val="36"/>
        </w:rPr>
        <w:t xml:space="preserve">第三章   </w:t>
      </w:r>
      <w:bookmarkEnd w:id="87"/>
      <w:bookmarkEnd w:id="88"/>
      <w:bookmarkEnd w:id="89"/>
      <w:bookmarkEnd w:id="90"/>
      <w:bookmarkEnd w:id="91"/>
      <w:bookmarkEnd w:id="92"/>
      <w:bookmarkEnd w:id="93"/>
      <w:bookmarkEnd w:id="94"/>
      <w:bookmarkEnd w:id="95"/>
      <w:bookmarkEnd w:id="96"/>
      <w:bookmarkEnd w:id="97"/>
      <w:bookmarkEnd w:id="98"/>
      <w:bookmarkEnd w:id="99"/>
      <w:r>
        <w:rPr>
          <w:b/>
          <w:sz w:val="36"/>
          <w:szCs w:val="36"/>
        </w:rPr>
        <w:t>资格审查</w:t>
      </w:r>
      <w:bookmarkEnd w:id="100"/>
      <w:bookmarkStart w:id="101" w:name="_Toc487900382"/>
    </w:p>
    <w:p>
      <w:pPr>
        <w:tabs>
          <w:tab w:val="left" w:pos="360"/>
          <w:tab w:val="left" w:pos="900"/>
        </w:tabs>
        <w:snapToGrid w:val="0"/>
        <w:spacing w:line="360" w:lineRule="auto"/>
        <w:jc w:val="center"/>
        <w:outlineLvl w:val="1"/>
        <w:rPr>
          <w:b/>
          <w:sz w:val="24"/>
        </w:rPr>
      </w:pPr>
      <w:bookmarkStart w:id="102" w:name="_Toc99301422"/>
      <w:r>
        <w:rPr>
          <w:b/>
          <w:sz w:val="24"/>
        </w:rPr>
        <w:t>一、资格审查程序</w:t>
      </w:r>
      <w:bookmarkEnd w:id="102"/>
    </w:p>
    <w:p>
      <w:pPr>
        <w:numPr>
          <w:ilvl w:val="0"/>
          <w:numId w:val="10"/>
        </w:numPr>
        <w:tabs>
          <w:tab w:val="left" w:pos="426"/>
          <w:tab w:val="left" w:pos="851"/>
          <w:tab w:val="left"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0"/>
        </w:numPr>
        <w:tabs>
          <w:tab w:val="left" w:pos="426"/>
          <w:tab w:val="left" w:pos="851"/>
          <w:tab w:val="left"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0"/>
        </w:numPr>
        <w:tabs>
          <w:tab w:val="left" w:pos="426"/>
          <w:tab w:val="left" w:pos="851"/>
          <w:tab w:val="left"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0"/>
        </w:numPr>
        <w:tabs>
          <w:tab w:val="left" w:pos="426"/>
          <w:tab w:val="left" w:pos="851"/>
          <w:tab w:val="left"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tbl>
      <w:tblPr>
        <w:tblStyle w:val="51"/>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
        <w:gridCol w:w="1934"/>
        <w:gridCol w:w="4707"/>
        <w:gridCol w:w="1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822" w:type="dxa"/>
            <w:vAlign w:val="center"/>
          </w:tcPr>
          <w:p>
            <w:pPr>
              <w:tabs>
                <w:tab w:val="left" w:pos="1080"/>
              </w:tabs>
              <w:snapToGrid w:val="0"/>
              <w:jc w:val="center"/>
              <w:rPr>
                <w:b/>
                <w:sz w:val="24"/>
              </w:rPr>
            </w:pPr>
            <w:bookmarkStart w:id="103" w:name="_Hlt487972895"/>
            <w:bookmarkEnd w:id="103"/>
            <w:r>
              <w:rPr>
                <w:b/>
                <w:sz w:val="24"/>
              </w:rPr>
              <w:t>序号</w:t>
            </w:r>
          </w:p>
        </w:tc>
        <w:tc>
          <w:tcPr>
            <w:tcW w:w="1934" w:type="dxa"/>
            <w:vAlign w:val="center"/>
          </w:tcPr>
          <w:p>
            <w:pPr>
              <w:tabs>
                <w:tab w:val="left" w:pos="1080"/>
              </w:tabs>
              <w:snapToGrid w:val="0"/>
              <w:jc w:val="center"/>
              <w:rPr>
                <w:b/>
                <w:sz w:val="24"/>
              </w:rPr>
            </w:pPr>
            <w:r>
              <w:rPr>
                <w:b/>
                <w:sz w:val="24"/>
              </w:rPr>
              <w:t>审查因素</w:t>
            </w:r>
          </w:p>
        </w:tc>
        <w:tc>
          <w:tcPr>
            <w:tcW w:w="4707" w:type="dxa"/>
            <w:vAlign w:val="center"/>
          </w:tcPr>
          <w:p>
            <w:pPr>
              <w:tabs>
                <w:tab w:val="left" w:pos="1080"/>
              </w:tabs>
              <w:snapToGrid w:val="0"/>
              <w:jc w:val="center"/>
              <w:rPr>
                <w:b/>
                <w:sz w:val="24"/>
              </w:rPr>
            </w:pPr>
            <w:r>
              <w:rPr>
                <w:b/>
                <w:sz w:val="24"/>
              </w:rPr>
              <w:t>审查内容</w:t>
            </w:r>
          </w:p>
        </w:tc>
        <w:tc>
          <w:tcPr>
            <w:tcW w:w="1599"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2" w:type="dxa"/>
            <w:vAlign w:val="center"/>
          </w:tcPr>
          <w:p>
            <w:pPr>
              <w:tabs>
                <w:tab w:val="left" w:pos="1080"/>
              </w:tabs>
              <w:snapToGrid w:val="0"/>
              <w:jc w:val="center"/>
              <w:rPr>
                <w:rFonts w:ascii="仿宋_GB2312" w:eastAsia="仿宋_GB2312"/>
                <w:sz w:val="24"/>
              </w:rPr>
            </w:pPr>
            <w:r>
              <w:rPr>
                <w:rFonts w:hint="eastAsia" w:ascii="仿宋_GB2312" w:eastAsia="仿宋_GB2312"/>
                <w:sz w:val="24"/>
              </w:rPr>
              <w:t>1</w:t>
            </w:r>
          </w:p>
        </w:tc>
        <w:tc>
          <w:tcPr>
            <w:tcW w:w="1934" w:type="dxa"/>
            <w:vAlign w:val="center"/>
          </w:tcPr>
          <w:p>
            <w:pPr>
              <w:tabs>
                <w:tab w:val="left" w:pos="1080"/>
              </w:tabs>
              <w:snapToGrid w:val="0"/>
              <w:rPr>
                <w:sz w:val="24"/>
              </w:rPr>
            </w:pPr>
            <w:r>
              <w:rPr>
                <w:rFonts w:hint="eastAsia"/>
                <w:sz w:val="24"/>
              </w:rPr>
              <w:t>营业执照等证明文件</w:t>
            </w:r>
          </w:p>
        </w:tc>
        <w:tc>
          <w:tcPr>
            <w:tcW w:w="4707" w:type="dxa"/>
            <w:vAlign w:val="center"/>
          </w:tcPr>
          <w:p>
            <w:pPr>
              <w:tabs>
                <w:tab w:val="left" w:pos="1080"/>
              </w:tabs>
              <w:snapToGrid w:val="0"/>
              <w:rPr>
                <w:sz w:val="24"/>
              </w:rPr>
            </w:pPr>
            <w:r>
              <w:rPr>
                <w:rFonts w:hint="eastAsia"/>
                <w:sz w:val="24"/>
              </w:rPr>
              <w:t>投标人为企业（包括合伙企业）的，应提供有效的“营业执照”；</w:t>
            </w:r>
          </w:p>
          <w:p>
            <w:pPr>
              <w:tabs>
                <w:tab w:val="left" w:pos="1080"/>
              </w:tabs>
              <w:snapToGrid w:val="0"/>
              <w:rPr>
                <w:sz w:val="24"/>
              </w:rPr>
            </w:pPr>
            <w:r>
              <w:rPr>
                <w:rFonts w:hint="eastAsia"/>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rFonts w:hint="eastAsia"/>
                <w:sz w:val="24"/>
              </w:rPr>
              <w:t>投标人是个体工商户的，应提供有效的“个体工商户营业执照”；</w:t>
            </w:r>
          </w:p>
          <w:p>
            <w:pPr>
              <w:tabs>
                <w:tab w:val="left" w:pos="1080"/>
              </w:tabs>
              <w:snapToGrid w:val="0"/>
              <w:rPr>
                <w:sz w:val="24"/>
              </w:rPr>
            </w:pPr>
            <w:r>
              <w:rPr>
                <w:rFonts w:hint="eastAsia"/>
                <w:sz w:val="24"/>
              </w:rPr>
              <w:t>投标人是自然人的，应提供有效的自然人身份证明。</w:t>
            </w:r>
          </w:p>
        </w:tc>
        <w:tc>
          <w:tcPr>
            <w:tcW w:w="1599" w:type="dxa"/>
            <w:vAlign w:val="center"/>
          </w:tcPr>
          <w:p>
            <w:pPr>
              <w:tabs>
                <w:tab w:val="left" w:pos="1080"/>
              </w:tabs>
              <w:snapToGrid w:val="0"/>
              <w:rPr>
                <w:sz w:val="24"/>
              </w:rPr>
            </w:pPr>
            <w:r>
              <w:rPr>
                <w:rFonts w:hint="eastAsia"/>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2" w:type="dxa"/>
            <w:vAlign w:val="center"/>
          </w:tcPr>
          <w:p>
            <w:pPr>
              <w:tabs>
                <w:tab w:val="left" w:pos="1080"/>
              </w:tabs>
              <w:snapToGrid w:val="0"/>
              <w:jc w:val="center"/>
              <w:rPr>
                <w:rFonts w:ascii="仿宋_GB2312" w:eastAsia="仿宋_GB2312"/>
                <w:sz w:val="24"/>
              </w:rPr>
            </w:pPr>
            <w:r>
              <w:rPr>
                <w:rFonts w:hint="eastAsia" w:ascii="仿宋_GB2312" w:eastAsia="仿宋_GB2312"/>
                <w:sz w:val="24"/>
              </w:rPr>
              <w:t>2</w:t>
            </w:r>
          </w:p>
        </w:tc>
        <w:tc>
          <w:tcPr>
            <w:tcW w:w="1934" w:type="dxa"/>
            <w:vAlign w:val="center"/>
          </w:tcPr>
          <w:p>
            <w:pPr>
              <w:tabs>
                <w:tab w:val="left" w:pos="1080"/>
              </w:tabs>
              <w:snapToGrid w:val="0"/>
              <w:rPr>
                <w:sz w:val="24"/>
              </w:rPr>
            </w:pPr>
            <w:r>
              <w:rPr>
                <w:rFonts w:hint="eastAsia"/>
                <w:sz w:val="24"/>
              </w:rPr>
              <w:t>投标人资格声明书</w:t>
            </w:r>
          </w:p>
        </w:tc>
        <w:tc>
          <w:tcPr>
            <w:tcW w:w="4707" w:type="dxa"/>
            <w:vAlign w:val="center"/>
          </w:tcPr>
          <w:p>
            <w:pPr>
              <w:tabs>
                <w:tab w:val="left" w:pos="1080"/>
              </w:tabs>
              <w:snapToGrid w:val="0"/>
              <w:rPr>
                <w:sz w:val="24"/>
              </w:rPr>
            </w:pPr>
            <w:r>
              <w:rPr>
                <w:rFonts w:hint="eastAsia"/>
                <w:sz w:val="24"/>
              </w:rPr>
              <w:t>提供了符合招标文件要求的《投标人资格声明书》。</w:t>
            </w:r>
          </w:p>
        </w:tc>
        <w:tc>
          <w:tcPr>
            <w:tcW w:w="1599" w:type="dxa"/>
            <w:vAlign w:val="center"/>
          </w:tcPr>
          <w:p>
            <w:pPr>
              <w:tabs>
                <w:tab w:val="left" w:pos="1080"/>
              </w:tabs>
              <w:snapToGrid w:val="0"/>
              <w:rPr>
                <w:sz w:val="24"/>
              </w:rPr>
            </w:pPr>
            <w:r>
              <w:rPr>
                <w:rFonts w:hint="eastAsia"/>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2" w:type="dxa"/>
            <w:vAlign w:val="center"/>
          </w:tcPr>
          <w:p>
            <w:pPr>
              <w:tabs>
                <w:tab w:val="left" w:pos="1080"/>
              </w:tabs>
              <w:snapToGrid w:val="0"/>
              <w:jc w:val="center"/>
              <w:rPr>
                <w:rFonts w:ascii="仿宋_GB2312" w:eastAsia="仿宋_GB2312"/>
                <w:sz w:val="24"/>
              </w:rPr>
            </w:pPr>
            <w:r>
              <w:rPr>
                <w:rFonts w:hint="eastAsia" w:ascii="仿宋_GB2312" w:eastAsia="仿宋_GB2312"/>
                <w:sz w:val="24"/>
              </w:rPr>
              <w:t>3</w:t>
            </w:r>
          </w:p>
        </w:tc>
        <w:tc>
          <w:tcPr>
            <w:tcW w:w="1934" w:type="dxa"/>
            <w:vAlign w:val="center"/>
          </w:tcPr>
          <w:p>
            <w:pPr>
              <w:tabs>
                <w:tab w:val="left" w:pos="1080"/>
              </w:tabs>
              <w:snapToGrid w:val="0"/>
              <w:rPr>
                <w:sz w:val="24"/>
              </w:rPr>
            </w:pPr>
            <w:r>
              <w:rPr>
                <w:rFonts w:hint="eastAsia"/>
                <w:sz w:val="24"/>
              </w:rPr>
              <w:t>投标人信用记录</w:t>
            </w:r>
          </w:p>
        </w:tc>
        <w:tc>
          <w:tcPr>
            <w:tcW w:w="4707" w:type="dxa"/>
            <w:vAlign w:val="center"/>
          </w:tcPr>
          <w:p>
            <w:pPr>
              <w:tabs>
                <w:tab w:val="left" w:pos="1080"/>
              </w:tabs>
              <w:snapToGrid w:val="0"/>
              <w:jc w:val="left"/>
              <w:rPr>
                <w:sz w:val="24"/>
              </w:rPr>
            </w:pPr>
            <w:r>
              <w:rPr>
                <w:rFonts w:hint="eastAsia"/>
                <w:sz w:val="24"/>
              </w:rPr>
              <w:t>查询渠道：信用中国网站和中国政府采购网（www.creditchina.gov.cn、www.ccgp.gov.cn）；</w:t>
            </w:r>
          </w:p>
          <w:p>
            <w:pPr>
              <w:tabs>
                <w:tab w:val="left" w:pos="900"/>
                <w:tab w:val="left" w:pos="1980"/>
              </w:tabs>
              <w:snapToGrid w:val="0"/>
              <w:rPr>
                <w:sz w:val="24"/>
              </w:rPr>
            </w:pPr>
            <w:r>
              <w:rPr>
                <w:rFonts w:hint="eastAsia"/>
                <w:sz w:val="24"/>
              </w:rPr>
              <w:t>截止时点：投标文件提交当日；</w:t>
            </w:r>
          </w:p>
          <w:p>
            <w:pPr>
              <w:tabs>
                <w:tab w:val="left" w:pos="900"/>
                <w:tab w:val="left" w:pos="1980"/>
              </w:tabs>
              <w:snapToGrid w:val="0"/>
              <w:rPr>
                <w:sz w:val="24"/>
              </w:rPr>
            </w:pPr>
            <w:r>
              <w:rPr>
                <w:rFonts w:hint="eastAsia"/>
                <w:sz w:val="24"/>
              </w:rPr>
              <w:t>信用信息查询记录和证据留存具体方式：查询结果网页打印页作为查询记录和证据，与其他评审文件一并保存；</w:t>
            </w:r>
          </w:p>
          <w:p>
            <w:pPr>
              <w:tabs>
                <w:tab w:val="left" w:pos="1080"/>
              </w:tabs>
              <w:snapToGrid w:val="0"/>
              <w:rPr>
                <w:sz w:val="24"/>
              </w:rPr>
            </w:pPr>
            <w:r>
              <w:rPr>
                <w:rFonts w:hint="eastAsia"/>
                <w:sz w:val="24"/>
              </w:rPr>
              <w:t>信用信息的使用原则：经认定的被列入失信被执行人、重大税收违法案件当事人名单、政府采购严重违法失信行为记录名单的投标人，其投标无效。</w:t>
            </w:r>
          </w:p>
        </w:tc>
        <w:tc>
          <w:tcPr>
            <w:tcW w:w="1599" w:type="dxa"/>
            <w:vAlign w:val="center"/>
          </w:tcPr>
          <w:p>
            <w:pPr>
              <w:tabs>
                <w:tab w:val="left" w:pos="1080"/>
              </w:tabs>
              <w:snapToGrid w:val="0"/>
              <w:rPr>
                <w:sz w:val="24"/>
              </w:rPr>
            </w:pPr>
            <w:r>
              <w:rPr>
                <w:rFonts w:hint="eastAsia"/>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2" w:type="dxa"/>
            <w:vAlign w:val="center"/>
          </w:tcPr>
          <w:p>
            <w:pPr>
              <w:tabs>
                <w:tab w:val="left" w:pos="1080"/>
              </w:tabs>
              <w:snapToGrid w:val="0"/>
              <w:jc w:val="center"/>
              <w:rPr>
                <w:rFonts w:ascii="仿宋_GB2312" w:eastAsia="仿宋_GB2312"/>
                <w:sz w:val="24"/>
              </w:rPr>
            </w:pPr>
            <w:r>
              <w:rPr>
                <w:rFonts w:hint="eastAsia" w:ascii="仿宋_GB2312" w:eastAsia="仿宋_GB2312"/>
                <w:sz w:val="24"/>
              </w:rPr>
              <w:t>4</w:t>
            </w:r>
          </w:p>
        </w:tc>
        <w:tc>
          <w:tcPr>
            <w:tcW w:w="1934" w:type="dxa"/>
            <w:vAlign w:val="center"/>
          </w:tcPr>
          <w:p>
            <w:pPr>
              <w:tabs>
                <w:tab w:val="left" w:pos="1080"/>
              </w:tabs>
              <w:snapToGrid w:val="0"/>
              <w:rPr>
                <w:sz w:val="24"/>
              </w:rPr>
            </w:pPr>
            <w:r>
              <w:rPr>
                <w:rFonts w:hint="eastAsia"/>
                <w:sz w:val="24"/>
              </w:rPr>
              <w:t>中小企业声明函</w:t>
            </w:r>
          </w:p>
        </w:tc>
        <w:tc>
          <w:tcPr>
            <w:tcW w:w="4707" w:type="dxa"/>
            <w:vAlign w:val="center"/>
          </w:tcPr>
          <w:p>
            <w:pPr>
              <w:tabs>
                <w:tab w:val="left" w:pos="1080"/>
              </w:tabs>
              <w:snapToGrid w:val="0"/>
              <w:rPr>
                <w:sz w:val="24"/>
              </w:rPr>
            </w:pPr>
            <w:r>
              <w:rPr>
                <w:rFonts w:hint="eastAsia"/>
                <w:sz w:val="24"/>
              </w:rPr>
              <w:t>本项目专门面向中小企业采购。</w:t>
            </w:r>
          </w:p>
          <w:p>
            <w:pPr>
              <w:tabs>
                <w:tab w:val="left" w:pos="1080"/>
              </w:tabs>
              <w:snapToGrid w:val="0"/>
              <w:rPr>
                <w:sz w:val="24"/>
              </w:rPr>
            </w:pPr>
            <w:r>
              <w:rPr>
                <w:rFonts w:hint="eastAsia"/>
                <w:sz w:val="24"/>
              </w:rPr>
              <w:t>提供中小企业声明函；如为监狱企业或残疾人福利性单位，不必提供中小企业声明函，但须按注1或注2要求提供证明材料。</w:t>
            </w:r>
          </w:p>
          <w:p>
            <w:pPr>
              <w:tabs>
                <w:tab w:val="left" w:pos="1080"/>
              </w:tabs>
              <w:snapToGrid w:val="0"/>
              <w:rPr>
                <w:sz w:val="24"/>
              </w:rPr>
            </w:pPr>
          </w:p>
          <w:p>
            <w:pPr>
              <w:tabs>
                <w:tab w:val="left" w:pos="1080"/>
              </w:tabs>
              <w:snapToGrid w:val="0"/>
              <w:rPr>
                <w:sz w:val="24"/>
              </w:rPr>
            </w:pPr>
            <w:r>
              <w:rPr>
                <w:rFonts w:hint="eastAsia"/>
                <w:sz w:val="24"/>
              </w:rPr>
              <w:t>注1：监狱企业须提供由省级以上监狱管理局（北京市含教育矫治局）、戒毒管理局（含新疆生产建设兵团）出具的属于监狱企业的证明文件。</w:t>
            </w:r>
          </w:p>
          <w:p>
            <w:pPr>
              <w:tabs>
                <w:tab w:val="left" w:pos="1080"/>
              </w:tabs>
              <w:snapToGrid w:val="0"/>
              <w:rPr>
                <w:sz w:val="24"/>
              </w:rPr>
            </w:pPr>
            <w:r>
              <w:rPr>
                <w:rFonts w:hint="eastAsia"/>
                <w:sz w:val="24"/>
              </w:rPr>
              <w:t>注2：残疾人福利性单位须按招标文件要求提供《残疾人福利性单位声明函》。</w:t>
            </w:r>
          </w:p>
        </w:tc>
        <w:tc>
          <w:tcPr>
            <w:tcW w:w="1599" w:type="dxa"/>
            <w:vAlign w:val="center"/>
          </w:tcPr>
          <w:p>
            <w:pPr>
              <w:tabs>
                <w:tab w:val="left" w:pos="1080"/>
              </w:tabs>
              <w:snapToGrid w:val="0"/>
              <w:rPr>
                <w:sz w:val="24"/>
              </w:rPr>
            </w:pPr>
            <w:r>
              <w:rPr>
                <w:rFonts w:hint="eastAsia"/>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2" w:type="dxa"/>
            <w:vAlign w:val="center"/>
          </w:tcPr>
          <w:p>
            <w:pPr>
              <w:tabs>
                <w:tab w:val="left" w:pos="1080"/>
              </w:tabs>
              <w:snapToGrid w:val="0"/>
              <w:jc w:val="center"/>
              <w:rPr>
                <w:rFonts w:ascii="仿宋_GB2312" w:eastAsia="仿宋_GB2312"/>
                <w:sz w:val="24"/>
              </w:rPr>
            </w:pPr>
            <w:r>
              <w:rPr>
                <w:rFonts w:hint="eastAsia" w:ascii="仿宋_GB2312" w:eastAsia="仿宋_GB2312"/>
                <w:sz w:val="24"/>
              </w:rPr>
              <w:t>5</w:t>
            </w:r>
          </w:p>
        </w:tc>
        <w:tc>
          <w:tcPr>
            <w:tcW w:w="1934" w:type="dxa"/>
            <w:vAlign w:val="center"/>
          </w:tcPr>
          <w:p>
            <w:pPr>
              <w:tabs>
                <w:tab w:val="left" w:pos="1080"/>
              </w:tabs>
              <w:snapToGrid w:val="0"/>
              <w:rPr>
                <w:sz w:val="24"/>
              </w:rPr>
            </w:pPr>
            <w:r>
              <w:rPr>
                <w:rFonts w:hint="eastAsia"/>
                <w:sz w:val="24"/>
              </w:rPr>
              <w:t>是否接受联合体</w:t>
            </w:r>
          </w:p>
        </w:tc>
        <w:tc>
          <w:tcPr>
            <w:tcW w:w="4707" w:type="dxa"/>
            <w:vAlign w:val="center"/>
          </w:tcPr>
          <w:p>
            <w:pPr>
              <w:tabs>
                <w:tab w:val="left" w:pos="1080"/>
              </w:tabs>
              <w:snapToGrid w:val="0"/>
              <w:rPr>
                <w:sz w:val="24"/>
              </w:rPr>
            </w:pPr>
            <w:r>
              <w:rPr>
                <w:rFonts w:hint="eastAsia"/>
                <w:sz w:val="24"/>
              </w:rPr>
              <w:t xml:space="preserve">投标人不得为联合体。 </w:t>
            </w:r>
          </w:p>
        </w:tc>
        <w:tc>
          <w:tcPr>
            <w:tcW w:w="1599" w:type="dxa"/>
            <w:vAlign w:val="center"/>
          </w:tcPr>
          <w:p>
            <w:pPr>
              <w:tabs>
                <w:tab w:val="left" w:pos="1080"/>
              </w:tabs>
              <w:snapToGrid w:val="0"/>
              <w:rPr>
                <w:rFonts w:ascii="仿宋_GB2312"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0" w:hRule="atLeast"/>
        </w:trPr>
        <w:tc>
          <w:tcPr>
            <w:tcW w:w="822" w:type="dxa"/>
            <w:vAlign w:val="center"/>
          </w:tcPr>
          <w:p>
            <w:pPr>
              <w:tabs>
                <w:tab w:val="left" w:pos="1080"/>
              </w:tabs>
              <w:snapToGrid w:val="0"/>
              <w:jc w:val="center"/>
              <w:rPr>
                <w:rFonts w:ascii="仿宋_GB2312" w:eastAsia="仿宋_GB2312"/>
                <w:sz w:val="24"/>
              </w:rPr>
            </w:pPr>
            <w:r>
              <w:rPr>
                <w:rFonts w:hint="eastAsia" w:ascii="仿宋_GB2312" w:eastAsia="仿宋_GB2312"/>
                <w:sz w:val="24"/>
              </w:rPr>
              <w:t>6</w:t>
            </w:r>
          </w:p>
        </w:tc>
        <w:tc>
          <w:tcPr>
            <w:tcW w:w="1934" w:type="dxa"/>
            <w:vAlign w:val="center"/>
          </w:tcPr>
          <w:p>
            <w:pPr>
              <w:tabs>
                <w:tab w:val="left" w:pos="1080"/>
              </w:tabs>
              <w:snapToGrid w:val="0"/>
              <w:rPr>
                <w:sz w:val="24"/>
              </w:rPr>
            </w:pPr>
            <w:r>
              <w:rPr>
                <w:rFonts w:hint="eastAsia"/>
                <w:sz w:val="24"/>
              </w:rPr>
              <w:t>投标保证金</w:t>
            </w:r>
          </w:p>
        </w:tc>
        <w:tc>
          <w:tcPr>
            <w:tcW w:w="4707" w:type="dxa"/>
            <w:vAlign w:val="center"/>
          </w:tcPr>
          <w:p>
            <w:pPr>
              <w:tabs>
                <w:tab w:val="left" w:pos="1080"/>
              </w:tabs>
              <w:snapToGrid w:val="0"/>
              <w:rPr>
                <w:sz w:val="24"/>
              </w:rPr>
            </w:pPr>
            <w:r>
              <w:rPr>
                <w:rFonts w:hint="eastAsia"/>
                <w:sz w:val="24"/>
              </w:rPr>
              <w:t>按照招标文件的要求提交投标保证金。</w:t>
            </w:r>
          </w:p>
        </w:tc>
        <w:tc>
          <w:tcPr>
            <w:tcW w:w="1599" w:type="dxa"/>
            <w:vAlign w:val="center"/>
          </w:tcPr>
          <w:p>
            <w:pPr>
              <w:tabs>
                <w:tab w:val="left" w:pos="1080"/>
              </w:tabs>
              <w:snapToGrid w:val="0"/>
              <w:rPr>
                <w:sz w:val="24"/>
              </w:rPr>
            </w:pPr>
            <w:r>
              <w:rPr>
                <w:rFonts w:hint="eastAsia"/>
                <w:sz w:val="24"/>
              </w:rPr>
              <w:t>提供凭证或交款单据电子件</w:t>
            </w:r>
          </w:p>
        </w:tc>
      </w:t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101"/>
    </w:tbl>
    <w:p>
      <w:pPr>
        <w:widowControl/>
        <w:jc w:val="left"/>
        <w:rPr>
          <w:sz w:val="24"/>
        </w:rPr>
      </w:pPr>
      <w:bookmarkStart w:id="104" w:name="_Toc127161490"/>
      <w:bookmarkStart w:id="105" w:name="_Toc127151779"/>
      <w:bookmarkStart w:id="106" w:name="_Toc353825550"/>
      <w:bookmarkStart w:id="107" w:name="_Toc226965858"/>
      <w:bookmarkStart w:id="108" w:name="_Toc353873940"/>
      <w:r>
        <w:rPr>
          <w:sz w:val="24"/>
        </w:rPr>
        <w:br w:type="page"/>
      </w:r>
    </w:p>
    <w:p>
      <w:pPr>
        <w:spacing w:line="360" w:lineRule="auto"/>
        <w:jc w:val="center"/>
        <w:outlineLvl w:val="0"/>
        <w:rPr>
          <w:b/>
          <w:sz w:val="36"/>
          <w:szCs w:val="36"/>
        </w:rPr>
      </w:pPr>
      <w:bookmarkStart w:id="109" w:name="_Toc147735553"/>
      <w:r>
        <w:rPr>
          <w:b/>
          <w:sz w:val="36"/>
          <w:szCs w:val="36"/>
        </w:rPr>
        <w:t xml:space="preserve">第四章   </w:t>
      </w:r>
      <w:bookmarkStart w:id="110" w:name="_Hlt164229061"/>
      <w:bookmarkEnd w:id="110"/>
      <w:bookmarkEnd w:id="104"/>
      <w:bookmarkEnd w:id="105"/>
      <w:bookmarkEnd w:id="106"/>
      <w:bookmarkEnd w:id="107"/>
      <w:bookmarkEnd w:id="108"/>
      <w:r>
        <w:rPr>
          <w:b/>
          <w:sz w:val="36"/>
          <w:szCs w:val="36"/>
        </w:rPr>
        <w:t>评标程序、评标方法和评标标准</w:t>
      </w:r>
      <w:bookmarkEnd w:id="109"/>
    </w:p>
    <w:p>
      <w:pPr>
        <w:tabs>
          <w:tab w:val="left" w:pos="360"/>
          <w:tab w:val="left" w:pos="900"/>
        </w:tabs>
        <w:snapToGrid w:val="0"/>
        <w:spacing w:line="360" w:lineRule="auto"/>
        <w:jc w:val="center"/>
        <w:outlineLvl w:val="1"/>
        <w:rPr>
          <w:b/>
        </w:rPr>
      </w:pPr>
      <w:r>
        <w:rPr>
          <w:b/>
          <w:sz w:val="24"/>
        </w:rPr>
        <w:t>一、评标方法</w:t>
      </w:r>
    </w:p>
    <w:p>
      <w:pPr>
        <w:numPr>
          <w:ilvl w:val="0"/>
          <w:numId w:val="11"/>
        </w:numPr>
        <w:tabs>
          <w:tab w:val="left" w:pos="360"/>
          <w:tab w:val="left" w:pos="900"/>
        </w:tabs>
        <w:snapToGrid w:val="0"/>
        <w:spacing w:line="360" w:lineRule="auto"/>
        <w:outlineLvl w:val="1"/>
        <w:rPr>
          <w:sz w:val="24"/>
        </w:rPr>
      </w:pPr>
      <w:bookmarkStart w:id="111" w:name="_Toc195842906"/>
      <w:bookmarkStart w:id="112" w:name="_Toc226309785"/>
      <w:bookmarkStart w:id="113" w:name="_Toc149720834"/>
      <w:bookmarkStart w:id="114" w:name="_Toc150480779"/>
      <w:bookmarkStart w:id="115" w:name="_Toc226965731"/>
      <w:bookmarkStart w:id="116" w:name="_Toc127151742"/>
      <w:bookmarkStart w:id="117" w:name="_Toc151193929"/>
      <w:bookmarkStart w:id="118" w:name="_Toc226965814"/>
      <w:bookmarkStart w:id="119" w:name="_Toc127151541"/>
      <w:bookmarkStart w:id="120" w:name="_Toc164608810"/>
      <w:bookmarkStart w:id="121" w:name="_Toc151193855"/>
      <w:bookmarkStart w:id="122" w:name="_Toc265228379"/>
      <w:bookmarkStart w:id="123" w:name="_Toc305158883"/>
      <w:bookmarkStart w:id="124" w:name="_Toc164351635"/>
      <w:bookmarkStart w:id="125" w:name="_Toc151193639"/>
      <w:bookmarkStart w:id="126" w:name="_Toc150774746"/>
      <w:bookmarkStart w:id="127" w:name="_Toc164608655"/>
      <w:bookmarkStart w:id="128" w:name="_Toc151190168"/>
      <w:bookmarkStart w:id="129" w:name="_Toc150774641"/>
      <w:bookmarkStart w:id="130" w:name="_Toc150509292"/>
      <w:bookmarkStart w:id="131" w:name="_Toc151193783"/>
      <w:bookmarkStart w:id="132" w:name="_Toc127161455"/>
      <w:bookmarkStart w:id="133" w:name="_Toc151193711"/>
      <w:bookmarkStart w:id="134" w:name="_Toc164229382"/>
      <w:bookmarkStart w:id="135" w:name="_Toc226337237"/>
      <w:bookmarkStart w:id="136" w:name="_Toc305158809"/>
      <w:bookmarkStart w:id="137" w:name="_Toc164229236"/>
      <w:bookmarkStart w:id="138" w:name="_Toc264969231"/>
      <w:bookmarkStart w:id="139" w:name="_Toc142311043"/>
      <w:bookmarkStart w:id="140" w:name="_Toc353873941"/>
      <w:bookmarkStart w:id="141" w:name="_Toc353825551"/>
      <w:bookmarkStart w:id="142" w:name="_Toc226337251"/>
      <w:bookmarkStart w:id="143" w:name="_Toc142311057"/>
      <w:bookmarkStart w:id="144" w:name="_Toc353825545"/>
      <w:bookmarkStart w:id="145" w:name="_Toc305158823"/>
      <w:bookmarkStart w:id="146" w:name="_Toc195842920"/>
      <w:bookmarkStart w:id="147" w:name="_Toc264969245"/>
      <w:bookmarkStart w:id="148" w:name="_Toc353873665"/>
      <w:bookmarkStart w:id="149" w:name="_Toc353873935"/>
      <w:bookmarkStart w:id="150" w:name="_Toc150774760"/>
      <w:bookmarkStart w:id="151" w:name="_Toc226965828"/>
      <w:bookmarkStart w:id="152" w:name="_Toc265228393"/>
      <w:bookmarkStart w:id="153" w:name="_Toc127151555"/>
      <w:bookmarkStart w:id="154" w:name="_Toc305158897"/>
      <w:bookmarkStart w:id="155" w:name="_Toc150480793"/>
      <w:r>
        <w:rPr>
          <w:sz w:val="24"/>
        </w:rPr>
        <w:t>投标文件的符合性审查</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pPr>
        <w:numPr>
          <w:ilvl w:val="1"/>
          <w:numId w:val="11"/>
        </w:numPr>
        <w:tabs>
          <w:tab w:val="left" w:pos="1080"/>
          <w:tab w:val="left" w:pos="1589"/>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156" w:name="_Toc520356167"/>
    </w:p>
    <w:p>
      <w:pPr>
        <w:numPr>
          <w:ilvl w:val="1"/>
          <w:numId w:val="11"/>
        </w:numPr>
        <w:tabs>
          <w:tab w:val="left" w:pos="1080"/>
          <w:tab w:val="left" w:pos="1589"/>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156"/>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51"/>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810"/>
        <w:gridCol w:w="6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jc w:val="center"/>
        </w:trPr>
        <w:tc>
          <w:tcPr>
            <w:tcW w:w="745" w:type="dxa"/>
            <w:vAlign w:val="center"/>
          </w:tcPr>
          <w:p>
            <w:pPr>
              <w:widowControl/>
              <w:jc w:val="center"/>
              <w:rPr>
                <w:b/>
                <w:color w:val="000000"/>
                <w:kern w:val="0"/>
                <w:sz w:val="24"/>
              </w:rPr>
            </w:pPr>
            <w:r>
              <w:rPr>
                <w:b/>
                <w:color w:val="000000"/>
                <w:kern w:val="0"/>
                <w:sz w:val="24"/>
              </w:rPr>
              <w:t>序号</w:t>
            </w:r>
          </w:p>
        </w:tc>
        <w:tc>
          <w:tcPr>
            <w:tcW w:w="1810" w:type="dxa"/>
            <w:vAlign w:val="center"/>
          </w:tcPr>
          <w:p>
            <w:pPr>
              <w:widowControl/>
              <w:jc w:val="center"/>
              <w:rPr>
                <w:b/>
                <w:color w:val="000000"/>
                <w:kern w:val="0"/>
                <w:sz w:val="24"/>
              </w:rPr>
            </w:pPr>
            <w:r>
              <w:rPr>
                <w:b/>
                <w:color w:val="000000"/>
                <w:kern w:val="0"/>
                <w:sz w:val="24"/>
              </w:rPr>
              <w:t>审查因素</w:t>
            </w:r>
          </w:p>
        </w:tc>
        <w:tc>
          <w:tcPr>
            <w:tcW w:w="6733" w:type="dxa"/>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1</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授权委托书</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2</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投标完整性</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3</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投标报价</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投标报价未超过招标文件中规定的项目/采购包预算金额或者项目/采购包最高限价；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4</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报价唯一性</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投标文件未出现可选择性或可调整的报价（招标文件另有规定的除外）；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5</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投标有效期</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6</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实质性格式</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color w:val="000000"/>
                <w:kern w:val="0"/>
                <w:sz w:val="24"/>
              </w:rPr>
              <w:t>7</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报价的修正（如有）</w:t>
            </w:r>
          </w:p>
        </w:tc>
        <w:tc>
          <w:tcPr>
            <w:tcW w:w="6733" w:type="dxa"/>
            <w:vAlign w:val="center"/>
          </w:tcPr>
          <w:p>
            <w:pPr>
              <w:widowControl/>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5"/>
                <w:sz w:val="24"/>
              </w:rPr>
              <w:t>8</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报价合理性</w:t>
            </w:r>
          </w:p>
        </w:tc>
        <w:tc>
          <w:tcPr>
            <w:tcW w:w="6733" w:type="dxa"/>
            <w:vAlign w:val="center"/>
          </w:tcPr>
          <w:p>
            <w:pPr>
              <w:pStyle w:val="248"/>
              <w:spacing w:line="275"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报价合理，或投标人的报价明显低于其他通过符合性审查投标</w:t>
            </w:r>
          </w:p>
          <w:p>
            <w:pPr>
              <w:widowControl/>
              <w:jc w:val="left"/>
              <w:rPr>
                <w:rFonts w:asciiTheme="minorEastAsia" w:hAnsiTheme="minorEastAsia" w:eastAsiaTheme="minorEastAsia"/>
                <w:color w:val="000000"/>
                <w:sz w:val="24"/>
              </w:rPr>
            </w:pPr>
            <w:r>
              <w:rPr>
                <w:rFonts w:hint="eastAsia" w:asciiTheme="minorEastAsia" w:hAnsiTheme="minorEastAsia" w:eastAsiaTheme="minorEastAsia"/>
                <w:sz w:val="24"/>
              </w:rPr>
              <w:t>人的报价，有可能影响产品质量或者不能诚信履约的，能够应评标委员会要求在规定时间内证明其报价合理性的；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9</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公平竞争</w:t>
            </w:r>
          </w:p>
        </w:tc>
        <w:tc>
          <w:tcPr>
            <w:tcW w:w="6733" w:type="dxa"/>
            <w:vAlign w:val="center"/>
          </w:tcPr>
          <w:p>
            <w:pPr>
              <w:pStyle w:val="248"/>
              <w:spacing w:line="274" w:lineRule="exact"/>
              <w:rPr>
                <w:rFonts w:asciiTheme="minorEastAsia" w:hAnsiTheme="minorEastAsia" w:eastAsiaTheme="minorEastAsia"/>
                <w:color w:val="000000"/>
                <w:sz w:val="24"/>
                <w:szCs w:val="24"/>
                <w:lang w:eastAsia="zh-CN"/>
              </w:rPr>
            </w:pPr>
            <w:r>
              <w:rPr>
                <w:rFonts w:hint="eastAsia" w:asciiTheme="minorEastAsia" w:hAnsiTheme="minorEastAsia" w:eastAsiaTheme="minorEastAsia"/>
                <w:sz w:val="24"/>
                <w:szCs w:val="24"/>
                <w:lang w:eastAsia="zh-CN"/>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5"/>
                <w:sz w:val="24"/>
              </w:rPr>
              <w:t>10</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串通投标</w:t>
            </w:r>
          </w:p>
        </w:tc>
        <w:tc>
          <w:tcPr>
            <w:tcW w:w="6733" w:type="dxa"/>
            <w:vAlign w:val="center"/>
          </w:tcPr>
          <w:p>
            <w:pPr>
              <w:pStyle w:val="248"/>
              <w:spacing w:line="274" w:lineRule="exact"/>
              <w:rPr>
                <w:rFonts w:asciiTheme="minorEastAsia" w:hAnsiTheme="minorEastAsia" w:eastAsiaTheme="minorEastAsia"/>
                <w:color w:val="000000"/>
                <w:sz w:val="24"/>
                <w:szCs w:val="24"/>
                <w:lang w:eastAsia="zh-CN"/>
              </w:rPr>
            </w:pPr>
            <w:r>
              <w:rPr>
                <w:rFonts w:hint="eastAsia" w:asciiTheme="minorEastAsia" w:hAnsiTheme="minorEastAsia" w:eastAsiaTheme="minorEastAsia"/>
                <w:sz w:val="24"/>
                <w:szCs w:val="24"/>
                <w:lang w:eastAsia="zh-CN"/>
              </w:rPr>
              <w:t>不存在《政府采购货物和服务招标投标管理办法》视为投标人串通投标的情形</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一</w:t>
            </w:r>
            <w:r>
              <w:rPr>
                <w:rFonts w:hint="eastAsia" w:asciiTheme="minorEastAsia" w:hAnsiTheme="minorEastAsia" w:eastAsiaTheme="minorEastAsia"/>
                <w:spacing w:val="-43"/>
                <w:sz w:val="24"/>
                <w:szCs w:val="24"/>
                <w:lang w:eastAsia="zh-CN"/>
              </w:rPr>
              <w:t>）</w:t>
            </w:r>
            <w:r>
              <w:rPr>
                <w:rFonts w:hint="eastAsia" w:asciiTheme="minorEastAsia" w:hAnsiTheme="minorEastAsia" w:eastAsiaTheme="minorEastAsia"/>
                <w:sz w:val="24"/>
                <w:szCs w:val="24"/>
                <w:lang w:eastAsia="zh-CN"/>
              </w:rPr>
              <w:t>不同投标人的投标文件由同一单位或者个人编制</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二</w:t>
            </w:r>
            <w:r>
              <w:rPr>
                <w:rFonts w:hint="eastAsia" w:asciiTheme="minorEastAsia" w:hAnsiTheme="minorEastAsia" w:eastAsiaTheme="minorEastAsia"/>
                <w:spacing w:val="-44"/>
                <w:sz w:val="24"/>
                <w:szCs w:val="24"/>
                <w:lang w:eastAsia="zh-CN"/>
              </w:rPr>
              <w:t>）</w:t>
            </w:r>
            <w:r>
              <w:rPr>
                <w:rFonts w:hint="eastAsia" w:asciiTheme="minorEastAsia" w:hAnsiTheme="minorEastAsia" w:eastAsiaTheme="minorEastAsia"/>
                <w:sz w:val="24"/>
                <w:szCs w:val="24"/>
                <w:lang w:eastAsia="zh-CN"/>
              </w:rPr>
              <w:t>不同投标人委托同一单位或者个人办理投标事</w:t>
            </w:r>
            <w:r>
              <w:rPr>
                <w:rFonts w:hint="eastAsia" w:asciiTheme="minorEastAsia" w:hAnsiTheme="minorEastAsia" w:eastAsiaTheme="minorEastAsia"/>
                <w:spacing w:val="-83"/>
                <w:sz w:val="24"/>
                <w:szCs w:val="24"/>
                <w:lang w:eastAsia="zh-CN"/>
              </w:rPr>
              <w:t>宜；</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三</w:t>
            </w:r>
            <w:r>
              <w:rPr>
                <w:rFonts w:hint="eastAsia" w:asciiTheme="minorEastAsia" w:hAnsiTheme="minorEastAsia" w:eastAsiaTheme="minorEastAsia"/>
                <w:spacing w:val="-44"/>
                <w:sz w:val="24"/>
                <w:szCs w:val="24"/>
                <w:lang w:eastAsia="zh-CN"/>
              </w:rPr>
              <w:t>）</w:t>
            </w:r>
            <w:r>
              <w:rPr>
                <w:rFonts w:hint="eastAsia" w:asciiTheme="minorEastAsia" w:hAnsiTheme="minorEastAsia" w:eastAsiaTheme="minorEastAsia"/>
                <w:sz w:val="24"/>
                <w:szCs w:val="24"/>
                <w:lang w:eastAsia="zh-CN"/>
              </w:rPr>
              <w:t>不同投标人的投标文件载明的项目管理成员或者联系人员为同一人</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四</w:t>
            </w:r>
            <w:r>
              <w:rPr>
                <w:rFonts w:hint="eastAsia" w:asciiTheme="minorEastAsia" w:hAnsiTheme="minorEastAsia" w:eastAsiaTheme="minorEastAsia"/>
                <w:spacing w:val="-43"/>
                <w:sz w:val="24"/>
                <w:szCs w:val="24"/>
                <w:lang w:eastAsia="zh-CN"/>
              </w:rPr>
              <w:t>）</w:t>
            </w:r>
            <w:r>
              <w:rPr>
                <w:rFonts w:hint="eastAsia" w:asciiTheme="minorEastAsia" w:hAnsiTheme="minorEastAsia" w:eastAsiaTheme="minorEastAsia"/>
                <w:sz w:val="24"/>
                <w:szCs w:val="24"/>
                <w:lang w:eastAsia="zh-CN"/>
              </w:rPr>
              <w:t>不同投标人的投标文件异常一致或者投标报价呈规律性差异</w:t>
            </w:r>
            <w:r>
              <w:rPr>
                <w:rFonts w:hint="eastAsia" w:asciiTheme="minorEastAsia" w:hAnsiTheme="minorEastAsia" w:eastAsiaTheme="minorEastAsia"/>
                <w:spacing w:val="-231"/>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五</w:t>
            </w:r>
            <w:r>
              <w:rPr>
                <w:rFonts w:hint="eastAsia" w:asciiTheme="minorEastAsia" w:hAnsiTheme="minorEastAsia" w:eastAsiaTheme="minorEastAsia"/>
                <w:spacing w:val="-109"/>
                <w:sz w:val="24"/>
                <w:szCs w:val="24"/>
                <w:lang w:eastAsia="zh-CN"/>
              </w:rPr>
              <w:t>）</w:t>
            </w:r>
            <w:r>
              <w:rPr>
                <w:rFonts w:hint="eastAsia" w:asciiTheme="minorEastAsia" w:hAnsiTheme="minorEastAsia" w:eastAsiaTheme="minorEastAsia"/>
                <w:sz w:val="24"/>
                <w:szCs w:val="24"/>
                <w:lang w:eastAsia="zh-CN"/>
              </w:rPr>
              <w:t>不同投标人的投标文件相互混装</w:t>
            </w:r>
            <w:r>
              <w:rPr>
                <w:rFonts w:hint="eastAsia" w:asciiTheme="minorEastAsia" w:hAnsiTheme="minorEastAsia" w:eastAsiaTheme="minorEastAsia"/>
                <w:spacing w:val="-231"/>
                <w:sz w:val="24"/>
                <w:szCs w:val="24"/>
                <w:lang w:eastAsia="zh-CN"/>
              </w:rPr>
              <w:t>；</w:t>
            </w:r>
            <w:r>
              <w:rPr>
                <w:rFonts w:hint="eastAsia" w:asciiTheme="minorEastAsia" w:hAnsiTheme="minorEastAsia" w:eastAsiaTheme="minorEastAsia"/>
                <w:sz w:val="24"/>
                <w:szCs w:val="24"/>
                <w:lang w:eastAsia="zh-CN"/>
              </w:rPr>
              <w:t>（六）不同投标人的投标保证金从同一单位或者个人的账户转出；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5"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w w:val="115"/>
                <w:sz w:val="24"/>
              </w:rPr>
              <w:t>11</w:t>
            </w:r>
          </w:p>
        </w:tc>
        <w:tc>
          <w:tcPr>
            <w:tcW w:w="1810" w:type="dxa"/>
            <w:vAlign w:val="center"/>
          </w:tcPr>
          <w:p>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其他无效情形</w:t>
            </w:r>
          </w:p>
        </w:tc>
        <w:tc>
          <w:tcPr>
            <w:tcW w:w="6733" w:type="dxa"/>
            <w:vAlign w:val="center"/>
          </w:tcPr>
          <w:p>
            <w:pPr>
              <w:widowControl/>
              <w:jc w:val="left"/>
              <w:rPr>
                <w:rFonts w:asciiTheme="minorEastAsia" w:hAnsiTheme="minorEastAsia" w:eastAsiaTheme="minorEastAsia"/>
                <w:color w:val="000000"/>
                <w:sz w:val="24"/>
              </w:rPr>
            </w:pPr>
            <w:r>
              <w:rPr>
                <w:rFonts w:hint="eastAsia" w:asciiTheme="minorEastAsia" w:hAnsiTheme="minorEastAsia" w:eastAsiaTheme="minorEastAsia"/>
                <w:sz w:val="24"/>
              </w:rPr>
              <w:t>投标人、投标文件不存在不符合法律、法规和招标文件规定的其他无效情形。</w:t>
            </w:r>
          </w:p>
        </w:tc>
      </w:tr>
    </w:tbl>
    <w:p>
      <w:pPr>
        <w:numPr>
          <w:ilvl w:val="0"/>
          <w:numId w:val="12"/>
        </w:numPr>
        <w:tabs>
          <w:tab w:val="left" w:pos="900"/>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1"/>
        </w:numPr>
        <w:tabs>
          <w:tab w:val="left" w:pos="360"/>
          <w:tab w:val="left" w:pos="900"/>
        </w:tabs>
        <w:snapToGrid w:val="0"/>
        <w:spacing w:line="360" w:lineRule="auto"/>
        <w:outlineLvl w:val="1"/>
        <w:rPr>
          <w:sz w:val="24"/>
        </w:rPr>
      </w:pPr>
      <w:r>
        <w:rPr>
          <w:sz w:val="24"/>
        </w:rPr>
        <w:t>投标文件有关事项的澄清或者说明</w:t>
      </w:r>
    </w:p>
    <w:p>
      <w:pPr>
        <w:numPr>
          <w:ilvl w:val="1"/>
          <w:numId w:val="11"/>
        </w:numPr>
        <w:tabs>
          <w:tab w:val="left" w:pos="1080"/>
          <w:tab w:val="left" w:pos="1589"/>
        </w:tabs>
        <w:snapToGrid w:val="0"/>
        <w:spacing w:line="360" w:lineRule="auto"/>
        <w:ind w:left="1077" w:hanging="720"/>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 可为单位负责人）或其授权的代表签字。投标人的澄清、说明或者补正不得超出投标文件的范围或者改变投标文件的实质性内容。澄清文件将作为投标文件内容的一部分。</w:t>
      </w:r>
    </w:p>
    <w:p>
      <w:pPr>
        <w:numPr>
          <w:ilvl w:val="1"/>
          <w:numId w:val="11"/>
        </w:numPr>
        <w:tabs>
          <w:tab w:val="left" w:pos="1080"/>
          <w:tab w:val="left" w:pos="1589"/>
        </w:tabs>
        <w:snapToGrid w:val="0"/>
        <w:spacing w:line="360" w:lineRule="auto"/>
        <w:ind w:left="1077" w:hanging="720"/>
        <w:rPr>
          <w:sz w:val="24"/>
        </w:rPr>
      </w:pPr>
      <w:r>
        <w:rPr>
          <w:rFonts w:hint="eastAsia"/>
          <w:sz w:val="24"/>
        </w:rPr>
        <w:t>评标委员会认为投标人的报价明显低于其他通过符合性审查投标人的报价， 有可能影响产品质量或者不能诚信履约的，有权要求该投标人在评标现场合理的时间内提供书面说明，必要时提交相关证明材料；若投标人不能证明其报价合理性，评标委员会将其作为</w:t>
      </w:r>
      <w:r>
        <w:rPr>
          <w:rFonts w:hint="eastAsia"/>
          <w:b/>
          <w:bCs/>
          <w:sz w:val="24"/>
        </w:rPr>
        <w:t>无效投标处理</w:t>
      </w:r>
      <w:r>
        <w:rPr>
          <w:rFonts w:hint="eastAsia"/>
          <w:sz w:val="24"/>
        </w:rPr>
        <w:t>。</w:t>
      </w:r>
    </w:p>
    <w:p>
      <w:pPr>
        <w:numPr>
          <w:ilvl w:val="1"/>
          <w:numId w:val="11"/>
        </w:numPr>
        <w:tabs>
          <w:tab w:val="left" w:pos="1080"/>
          <w:tab w:val="left" w:pos="1589"/>
        </w:tabs>
        <w:snapToGrid w:val="0"/>
        <w:spacing w:line="360" w:lineRule="auto"/>
        <w:ind w:left="1077" w:hanging="720"/>
        <w:rPr>
          <w:sz w:val="24"/>
        </w:rPr>
      </w:pPr>
      <w:r>
        <w:rPr>
          <w:rFonts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rPr>
        <w:t>投标无效</w:t>
      </w:r>
      <w:r>
        <w:rPr>
          <w:rFonts w:hint="eastAsia"/>
          <w:sz w:val="24"/>
        </w:rPr>
        <w:t>。</w:t>
      </w:r>
    </w:p>
    <w:p>
      <w:pPr>
        <w:numPr>
          <w:ilvl w:val="1"/>
          <w:numId w:val="11"/>
        </w:numPr>
        <w:tabs>
          <w:tab w:val="left" w:pos="1080"/>
          <w:tab w:val="left" w:pos="1589"/>
        </w:tabs>
        <w:snapToGrid w:val="0"/>
        <w:spacing w:line="360" w:lineRule="auto"/>
        <w:ind w:left="1077" w:hanging="720"/>
        <w:rPr>
          <w:sz w:val="24"/>
        </w:rPr>
      </w:pPr>
      <w:r>
        <w:rPr>
          <w:sz w:val="24"/>
        </w:rPr>
        <w:t>投标文件报价出现前后不一致的，按照下列规定修正：</w:t>
      </w:r>
    </w:p>
    <w:p>
      <w:pPr>
        <w:numPr>
          <w:ilvl w:val="2"/>
          <w:numId w:val="11"/>
        </w:numPr>
        <w:tabs>
          <w:tab w:val="left" w:pos="1080"/>
          <w:tab w:val="left" w:pos="1589"/>
          <w:tab w:val="left" w:pos="1980"/>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sz w:val="24"/>
        </w:rPr>
        <w:t>■无，按下述2.4.2-2.4.7项规定修正。</w:t>
      </w:r>
    </w:p>
    <w:p>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1"/>
        </w:numPr>
        <w:tabs>
          <w:tab w:val="left" w:pos="1080"/>
          <w:tab w:val="left" w:pos="1589"/>
          <w:tab w:val="left" w:pos="1980"/>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1"/>
        </w:numPr>
        <w:tabs>
          <w:tab w:val="left" w:pos="1080"/>
          <w:tab w:val="left" w:pos="1589"/>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1"/>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 xml:space="preserve"> </w:t>
      </w:r>
      <w:r>
        <w:rPr>
          <w:sz w:val="24"/>
        </w:rPr>
        <w:t>%的扣除，用扣除后的价格参加评审。</w:t>
      </w:r>
    </w:p>
    <w:p>
      <w:pPr>
        <w:numPr>
          <w:ilvl w:val="2"/>
          <w:numId w:val="11"/>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u w:val="single"/>
        </w:rPr>
        <w:t>/</w:t>
      </w:r>
      <w:r>
        <w:rPr>
          <w:sz w:val="24"/>
        </w:rPr>
        <w:t>_%的扣除，用扣除后的价格参加评审。</w:t>
      </w:r>
    </w:p>
    <w:p>
      <w:pPr>
        <w:numPr>
          <w:ilvl w:val="2"/>
          <w:numId w:val="11"/>
        </w:numPr>
        <w:tabs>
          <w:tab w:val="left" w:pos="1080"/>
          <w:tab w:val="left" w:pos="1589"/>
          <w:tab w:val="left" w:pos="1980"/>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1980"/>
          <w:tab w:val="left" w:pos="2035"/>
        </w:tabs>
        <w:snapToGrid w:val="0"/>
        <w:spacing w:line="360" w:lineRule="auto"/>
        <w:ind w:left="2035"/>
        <w:rPr>
          <w:sz w:val="24"/>
        </w:rPr>
      </w:pPr>
      <w:r>
        <w:rPr>
          <w:sz w:val="24"/>
        </w:rPr>
        <w:t>价格扣除比例对小型企业和微型企业同等对待，不作区分。</w:t>
      </w:r>
    </w:p>
    <w:p>
      <w:pPr>
        <w:numPr>
          <w:ilvl w:val="2"/>
          <w:numId w:val="11"/>
        </w:numPr>
        <w:tabs>
          <w:tab w:val="left" w:pos="1080"/>
          <w:tab w:val="left" w:pos="1589"/>
          <w:tab w:val="left" w:pos="1980"/>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1"/>
        </w:numPr>
        <w:tabs>
          <w:tab w:val="left" w:pos="1080"/>
          <w:tab w:val="left" w:pos="1589"/>
          <w:tab w:val="left" w:pos="1980"/>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1980"/>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1"/>
        </w:numPr>
        <w:tabs>
          <w:tab w:val="left" w:pos="1080"/>
          <w:tab w:val="left" w:pos="1589"/>
          <w:tab w:val="left" w:pos="1980"/>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1"/>
        </w:numPr>
        <w:tabs>
          <w:tab w:val="left" w:pos="360"/>
          <w:tab w:val="left" w:pos="900"/>
        </w:tabs>
        <w:snapToGrid w:val="0"/>
        <w:spacing w:line="360" w:lineRule="auto"/>
        <w:outlineLvl w:val="1"/>
        <w:rPr>
          <w:sz w:val="24"/>
        </w:rPr>
      </w:pPr>
      <w:r>
        <w:rPr>
          <w:sz w:val="24"/>
        </w:rPr>
        <w:t>投标文件的比较和评价</w:t>
      </w:r>
      <w:bookmarkEnd w:id="140"/>
      <w:bookmarkEnd w:id="141"/>
    </w:p>
    <w:p>
      <w:pPr>
        <w:numPr>
          <w:ilvl w:val="1"/>
          <w:numId w:val="11"/>
        </w:numPr>
        <w:tabs>
          <w:tab w:val="left" w:pos="1080"/>
          <w:tab w:val="left" w:pos="1589"/>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1"/>
        </w:numPr>
        <w:tabs>
          <w:tab w:val="left" w:pos="1080"/>
          <w:tab w:val="left" w:pos="1589"/>
        </w:tabs>
        <w:snapToGrid w:val="0"/>
        <w:spacing w:line="360" w:lineRule="auto"/>
        <w:ind w:left="1077" w:hanging="720"/>
        <w:rPr>
          <w:sz w:val="24"/>
        </w:rPr>
      </w:pPr>
      <w:r>
        <w:rPr>
          <w:sz w:val="24"/>
        </w:rPr>
        <w:t>评标方法和评标标准</w:t>
      </w:r>
    </w:p>
    <w:p>
      <w:pPr>
        <w:numPr>
          <w:ilvl w:val="2"/>
          <w:numId w:val="11"/>
        </w:numPr>
        <w:tabs>
          <w:tab w:val="left" w:pos="1080"/>
          <w:tab w:val="left" w:pos="1589"/>
          <w:tab w:val="left" w:pos="1980"/>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1"/>
        </w:numPr>
        <w:tabs>
          <w:tab w:val="left" w:pos="1080"/>
          <w:tab w:val="left" w:pos="1589"/>
          <w:tab w:val="left" w:pos="1980"/>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w:t>
      </w:r>
      <w:r>
        <w:rPr>
          <w:sz w:val="24"/>
          <w:u w:val="single"/>
        </w:rPr>
        <w:t>/</w:t>
      </w:r>
      <w:r>
        <w:rPr>
          <w:sz w:val="24"/>
        </w:rPr>
        <w:t>__</w:t>
      </w:r>
    </w:p>
    <w:p>
      <w:pPr>
        <w:numPr>
          <w:ilvl w:val="2"/>
          <w:numId w:val="11"/>
        </w:numPr>
        <w:tabs>
          <w:tab w:val="left" w:pos="1080"/>
          <w:tab w:val="left" w:pos="1589"/>
          <w:tab w:val="left" w:pos="1980"/>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 xml:space="preserve"> </w:t>
      </w:r>
      <w:r>
        <w:rPr>
          <w:sz w:val="24"/>
          <w:u w:val="single"/>
        </w:rPr>
        <w:t xml:space="preserve">/ </w:t>
      </w:r>
      <w:r>
        <w:rPr>
          <w:sz w:val="24"/>
        </w:rPr>
        <w:t>。</w:t>
      </w:r>
    </w:p>
    <w:p>
      <w:pPr>
        <w:numPr>
          <w:ilvl w:val="2"/>
          <w:numId w:val="11"/>
        </w:numPr>
        <w:tabs>
          <w:tab w:val="left" w:pos="1080"/>
          <w:tab w:val="left" w:pos="1589"/>
          <w:tab w:val="left" w:pos="1980"/>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rPr>
        <w:t xml:space="preserve"> </w:t>
      </w:r>
      <w:r>
        <w:rPr>
          <w:sz w:val="24"/>
          <w:u w:val="single"/>
        </w:rPr>
        <w:t xml:space="preserve">/ </w:t>
      </w:r>
      <w:r>
        <w:rPr>
          <w:sz w:val="24"/>
        </w:rPr>
        <w:t>。</w:t>
      </w:r>
    </w:p>
    <w:p>
      <w:pPr>
        <w:numPr>
          <w:ilvl w:val="0"/>
          <w:numId w:val="11"/>
        </w:numPr>
        <w:tabs>
          <w:tab w:val="left" w:pos="360"/>
          <w:tab w:val="left" w:pos="900"/>
        </w:tabs>
        <w:snapToGrid w:val="0"/>
        <w:spacing w:line="360" w:lineRule="auto"/>
        <w:outlineLvl w:val="1"/>
        <w:rPr>
          <w:sz w:val="24"/>
        </w:rPr>
      </w:pPr>
      <w:r>
        <w:rPr>
          <w:sz w:val="24"/>
        </w:rPr>
        <w:t>确定</w:t>
      </w:r>
      <w:bookmarkStart w:id="157" w:name="_Toc150509297"/>
      <w:bookmarkStart w:id="158" w:name="_Toc151190173"/>
      <w:bookmarkStart w:id="159" w:name="_Ref467307010"/>
      <w:bookmarkStart w:id="160" w:name="_Toc149720839"/>
      <w:bookmarkStart w:id="161" w:name="_Toc264969236"/>
      <w:bookmarkStart w:id="162" w:name="_Toc142311048"/>
      <w:bookmarkStart w:id="163" w:name="_Toc127151546"/>
      <w:bookmarkStart w:id="164" w:name="_Toc164229241"/>
      <w:bookmarkStart w:id="165" w:name="_Toc150774646"/>
      <w:bookmarkStart w:id="166" w:name="_Toc164608660"/>
      <w:bookmarkStart w:id="167" w:name="_Toc151193934"/>
      <w:bookmarkStart w:id="168" w:name="_Toc305158814"/>
      <w:bookmarkStart w:id="169" w:name="_Toc265228384"/>
      <w:bookmarkStart w:id="170" w:name="_Toc226309790"/>
      <w:bookmarkStart w:id="171" w:name="_Toc305158888"/>
      <w:bookmarkStart w:id="172" w:name="_Toc520356170"/>
      <w:bookmarkStart w:id="173" w:name="_Toc127151747"/>
      <w:bookmarkStart w:id="174" w:name="_Toc151193788"/>
      <w:bookmarkStart w:id="175" w:name="_Toc127161460"/>
      <w:bookmarkStart w:id="176" w:name="_Toc151193860"/>
      <w:bookmarkStart w:id="177" w:name="_Toc164608815"/>
      <w:bookmarkStart w:id="178" w:name="_Toc164351640"/>
      <w:bookmarkStart w:id="179" w:name="_Toc151193716"/>
      <w:bookmarkStart w:id="180" w:name="_Toc226965819"/>
      <w:bookmarkStart w:id="181" w:name="_Toc164229387"/>
      <w:bookmarkStart w:id="182" w:name="_Toc195842911"/>
      <w:bookmarkStart w:id="183" w:name="_Toc226965736"/>
      <w:bookmarkStart w:id="184" w:name="_Toc150480784"/>
      <w:bookmarkStart w:id="185" w:name="_Toc151193644"/>
      <w:bookmarkStart w:id="186" w:name="_Toc226337242"/>
      <w:bookmarkStart w:id="187" w:name="_Toc150774751"/>
      <w:r>
        <w:rPr>
          <w:sz w:val="24"/>
        </w:rPr>
        <w:t>中标候选人名单</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pPr>
        <w:numPr>
          <w:ilvl w:val="1"/>
          <w:numId w:val="11"/>
        </w:numPr>
        <w:tabs>
          <w:tab w:val="left" w:pos="1080"/>
          <w:tab w:val="left" w:pos="1589"/>
        </w:tabs>
        <w:snapToGrid w:val="0"/>
        <w:spacing w:line="360" w:lineRule="auto"/>
        <w:ind w:left="1077" w:hanging="720"/>
        <w:rPr>
          <w:sz w:val="24"/>
        </w:rPr>
      </w:pPr>
      <w:r>
        <w:rPr>
          <w:rFonts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sz w:val="24"/>
          <w:szCs w:val="24"/>
        </w:rPr>
        <w:t>□其他方式，具体要求：___</w:t>
      </w:r>
      <w:r>
        <w:rPr>
          <w:rFonts w:hint="default" w:ascii="Times New Roman" w:hAnsi="Times New Roman"/>
          <w:sz w:val="24"/>
          <w:szCs w:val="24"/>
          <w:u w:val="single"/>
        </w:rPr>
        <w:t>/</w:t>
      </w:r>
      <w:r>
        <w:rPr>
          <w:rFonts w:hint="default" w:ascii="Times New Roman" w:hAnsi="Times New Roman"/>
          <w:sz w:val="24"/>
          <w:szCs w:val="24"/>
        </w:rPr>
        <w:t>__</w:t>
      </w:r>
    </w:p>
    <w:p>
      <w:pPr>
        <w:numPr>
          <w:ilvl w:val="1"/>
          <w:numId w:val="11"/>
        </w:numPr>
        <w:tabs>
          <w:tab w:val="left" w:pos="1080"/>
          <w:tab w:val="left" w:pos="1589"/>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tabs>
          <w:tab w:val="left" w:pos="900"/>
          <w:tab w:val="left" w:pos="1080"/>
          <w:tab w:val="left" w:pos="1589"/>
        </w:tabs>
        <w:snapToGrid w:val="0"/>
        <w:spacing w:line="360" w:lineRule="auto"/>
        <w:ind w:left="1077"/>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1"/>
        </w:numPr>
        <w:tabs>
          <w:tab w:val="left" w:pos="1080"/>
          <w:tab w:val="left" w:pos="1589"/>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1"/>
        </w:numPr>
        <w:tabs>
          <w:tab w:val="left" w:pos="1080"/>
          <w:tab w:val="left" w:pos="1589"/>
        </w:tabs>
        <w:snapToGrid w:val="0"/>
        <w:spacing w:line="360" w:lineRule="auto"/>
        <w:ind w:left="1077" w:hanging="720"/>
        <w:rPr>
          <w:sz w:val="24"/>
        </w:rPr>
      </w:pPr>
      <w:r>
        <w:rPr>
          <w:sz w:val="24"/>
        </w:rPr>
        <w:t>评标委员会将根据各投标人的评标排序，依次推荐本项目的中标候选人，起草并签署评标报告。本项目评标委员会共推荐</w:t>
      </w:r>
      <w:r>
        <w:rPr>
          <w:rFonts w:hint="eastAsia"/>
          <w:sz w:val="24"/>
        </w:rPr>
        <w:t>三</w:t>
      </w:r>
      <w:r>
        <w:rPr>
          <w:sz w:val="24"/>
        </w:rPr>
        <w:t>名中标候选人。</w:t>
      </w:r>
    </w:p>
    <w:p>
      <w:pPr>
        <w:numPr>
          <w:ilvl w:val="0"/>
          <w:numId w:val="11"/>
        </w:numPr>
        <w:tabs>
          <w:tab w:val="left" w:pos="360"/>
          <w:tab w:val="left" w:pos="900"/>
        </w:tabs>
        <w:snapToGrid w:val="0"/>
        <w:spacing w:line="360" w:lineRule="auto"/>
        <w:outlineLvl w:val="1"/>
        <w:rPr>
          <w:sz w:val="24"/>
        </w:rPr>
      </w:pPr>
      <w:r>
        <w:rPr>
          <w:sz w:val="24"/>
        </w:rPr>
        <w:t>报告违法行为</w:t>
      </w:r>
    </w:p>
    <w:p>
      <w:pPr>
        <w:widowControl/>
        <w:numPr>
          <w:ilvl w:val="1"/>
          <w:numId w:val="11"/>
        </w:numPr>
        <w:tabs>
          <w:tab w:val="left" w:pos="1080"/>
          <w:tab w:val="left" w:pos="1589"/>
        </w:tabs>
        <w:snapToGrid w:val="0"/>
        <w:spacing w:line="360" w:lineRule="auto"/>
        <w:ind w:left="1077" w:hanging="720"/>
        <w:jc w:val="left"/>
        <w:rPr>
          <w:b/>
          <w:sz w:val="24"/>
        </w:rPr>
      </w:pPr>
      <w:r>
        <w:rPr>
          <w:sz w:val="24"/>
        </w:rPr>
        <w:t>评标委员会在评标过程中发现投标人有行贿、提供虚假材料或者串通等违法行为时，有向采购人、采购代理机构或者有关部门报告的职责。</w:t>
      </w:r>
    </w:p>
    <w:p>
      <w:pPr>
        <w:tabs>
          <w:tab w:val="left" w:pos="360"/>
          <w:tab w:val="left" w:pos="900"/>
        </w:tabs>
        <w:snapToGrid w:val="0"/>
        <w:spacing w:line="360" w:lineRule="auto"/>
        <w:jc w:val="center"/>
        <w:outlineLvl w:val="1"/>
        <w:rPr>
          <w:b/>
        </w:rPr>
      </w:pPr>
      <w:r>
        <w:rPr>
          <w:sz w:val="24"/>
        </w:rPr>
        <w:br w:type="page"/>
      </w:r>
      <w:r>
        <w:rPr>
          <w:b/>
          <w:sz w:val="22"/>
          <w:szCs w:val="22"/>
        </w:rPr>
        <w:t>评分标准</w:t>
      </w:r>
    </w:p>
    <w:tbl>
      <w:tblPr>
        <w:tblStyle w:val="51"/>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625"/>
        <w:gridCol w:w="849"/>
        <w:gridCol w:w="6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3" w:hRule="atLeast"/>
        </w:trPr>
        <w:tc>
          <w:tcPr>
            <w:tcW w:w="805" w:type="dxa"/>
            <w:vAlign w:val="center"/>
          </w:tcPr>
          <w:p>
            <w:pPr>
              <w:ind w:firstLine="28"/>
              <w:jc w:val="center"/>
              <w:rPr>
                <w:b/>
                <w:sz w:val="22"/>
                <w:szCs w:val="22"/>
              </w:rPr>
            </w:pPr>
            <w:r>
              <w:rPr>
                <w:b/>
                <w:sz w:val="22"/>
                <w:szCs w:val="22"/>
              </w:rPr>
              <w:t>序号</w:t>
            </w:r>
          </w:p>
        </w:tc>
        <w:tc>
          <w:tcPr>
            <w:tcW w:w="1625" w:type="dxa"/>
            <w:vAlign w:val="center"/>
          </w:tcPr>
          <w:p>
            <w:pPr>
              <w:jc w:val="center"/>
              <w:rPr>
                <w:b/>
                <w:sz w:val="22"/>
                <w:szCs w:val="22"/>
              </w:rPr>
            </w:pPr>
            <w:r>
              <w:rPr>
                <w:b/>
                <w:sz w:val="22"/>
                <w:szCs w:val="22"/>
              </w:rPr>
              <w:t>评分因素</w:t>
            </w:r>
          </w:p>
        </w:tc>
        <w:tc>
          <w:tcPr>
            <w:tcW w:w="849" w:type="dxa"/>
            <w:vAlign w:val="center"/>
          </w:tcPr>
          <w:p>
            <w:pPr>
              <w:ind w:firstLine="28"/>
              <w:jc w:val="center"/>
              <w:rPr>
                <w:b/>
                <w:sz w:val="22"/>
                <w:szCs w:val="22"/>
              </w:rPr>
            </w:pPr>
            <w:r>
              <w:rPr>
                <w:b/>
                <w:sz w:val="22"/>
                <w:szCs w:val="22"/>
              </w:rPr>
              <w:t>分值</w:t>
            </w:r>
          </w:p>
        </w:tc>
        <w:tc>
          <w:tcPr>
            <w:tcW w:w="6781" w:type="dxa"/>
            <w:vAlign w:val="center"/>
          </w:tcPr>
          <w:p>
            <w:pPr>
              <w:ind w:firstLine="28"/>
              <w:jc w:val="center"/>
              <w:rPr>
                <w:b/>
                <w:sz w:val="22"/>
                <w:szCs w:val="22"/>
              </w:rPr>
            </w:pPr>
            <w:r>
              <w:rPr>
                <w:b/>
                <w:sz w:val="22"/>
                <w:szCs w:val="22"/>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9" w:hRule="atLeast"/>
        </w:trPr>
        <w:tc>
          <w:tcPr>
            <w:tcW w:w="805" w:type="dxa"/>
            <w:vAlign w:val="center"/>
          </w:tcPr>
          <w:p>
            <w:pPr>
              <w:snapToGrid w:val="0"/>
              <w:ind w:firstLine="28"/>
              <w:jc w:val="center"/>
              <w:rPr>
                <w:rFonts w:asciiTheme="minorEastAsia" w:hAnsiTheme="minorEastAsia" w:eastAsiaTheme="minorEastAsia"/>
                <w:b/>
                <w:szCs w:val="21"/>
              </w:rPr>
            </w:pPr>
            <w:r>
              <w:rPr>
                <w:rFonts w:hint="eastAsia" w:asciiTheme="minorEastAsia" w:hAnsiTheme="minorEastAsia" w:eastAsiaTheme="minorEastAsia"/>
                <w:szCs w:val="21"/>
              </w:rPr>
              <w:t>1</w:t>
            </w:r>
          </w:p>
        </w:tc>
        <w:tc>
          <w:tcPr>
            <w:tcW w:w="1625"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投标报价</w:t>
            </w:r>
          </w:p>
        </w:tc>
        <w:tc>
          <w:tcPr>
            <w:tcW w:w="849" w:type="dxa"/>
            <w:vAlign w:val="center"/>
          </w:tcPr>
          <w:p>
            <w:pPr>
              <w:snapToGrid w:val="0"/>
              <w:ind w:firstLine="28"/>
              <w:jc w:val="center"/>
              <w:rPr>
                <w:rFonts w:asciiTheme="minorEastAsia" w:hAnsiTheme="minorEastAsia" w:eastAsiaTheme="minorEastAsia"/>
                <w:b/>
                <w:szCs w:val="21"/>
              </w:rPr>
            </w:pPr>
            <w:r>
              <w:rPr>
                <w:rFonts w:hint="eastAsia" w:asciiTheme="minorEastAsia" w:hAnsiTheme="minorEastAsia" w:eastAsiaTheme="minorEastAsia"/>
                <w:szCs w:val="21"/>
              </w:rPr>
              <w:t>30</w:t>
            </w:r>
          </w:p>
        </w:tc>
        <w:tc>
          <w:tcPr>
            <w:tcW w:w="6781" w:type="dxa"/>
            <w:vAlign w:val="center"/>
          </w:tcPr>
          <w:p>
            <w:pPr>
              <w:snapToGrid w:val="0"/>
              <w:rPr>
                <w:rFonts w:asciiTheme="minorEastAsia" w:hAnsiTheme="minorEastAsia" w:eastAsiaTheme="minorEastAsia"/>
                <w:szCs w:val="21"/>
              </w:rPr>
            </w:pPr>
            <w:r>
              <w:rPr>
                <w:rFonts w:hint="eastAsia" w:asciiTheme="minorEastAsia" w:hAnsiTheme="minorEastAsia" w:eastAsiaTheme="minorEastAsia"/>
                <w:spacing w:val="6"/>
                <w:szCs w:val="21"/>
              </w:rPr>
              <w:t>满足招标文件要求且投标价格最低</w:t>
            </w:r>
            <w:r>
              <w:rPr>
                <w:rFonts w:hint="eastAsia" w:asciiTheme="minorEastAsia" w:hAnsiTheme="minorEastAsia" w:eastAsiaTheme="minorEastAsia"/>
                <w:spacing w:val="-1"/>
                <w:szCs w:val="21"/>
              </w:rPr>
              <w:t>的投标报价为评标基准价，其价格分</w:t>
            </w:r>
            <w:r>
              <w:rPr>
                <w:rFonts w:hint="eastAsia" w:asciiTheme="minorEastAsia" w:hAnsiTheme="minorEastAsia" w:eastAsiaTheme="minorEastAsia"/>
                <w:spacing w:val="-9"/>
                <w:szCs w:val="21"/>
              </w:rPr>
              <w:t>为满分。其他投标人的价格分统一按照下列公式计算：</w:t>
            </w:r>
          </w:p>
          <w:p>
            <w:pPr>
              <w:snapToGrid w:val="0"/>
              <w:ind w:firstLine="28"/>
              <w:rPr>
                <w:rFonts w:asciiTheme="minorEastAsia" w:hAnsiTheme="minorEastAsia" w:eastAsiaTheme="minorEastAsia"/>
                <w:szCs w:val="21"/>
              </w:rPr>
            </w:pPr>
            <w:r>
              <w:rPr>
                <w:rFonts w:hint="eastAsia" w:asciiTheme="minorEastAsia" w:hAnsiTheme="minorEastAsia" w:eastAsiaTheme="minorEastAsia"/>
                <w:szCs w:val="21"/>
              </w:rPr>
              <w:t>投标报价得分＝（评标基准价/投标报价）×30。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9" w:hRule="atLeast"/>
        </w:trPr>
        <w:tc>
          <w:tcPr>
            <w:tcW w:w="805" w:type="dxa"/>
            <w:vAlign w:val="center"/>
          </w:tcPr>
          <w:p>
            <w:pPr>
              <w:snapToGrid w:val="0"/>
              <w:ind w:firstLine="28"/>
              <w:jc w:val="center"/>
              <w:rPr>
                <w:rFonts w:asciiTheme="minorEastAsia" w:hAnsiTheme="minorEastAsia" w:eastAsiaTheme="minorEastAsia"/>
                <w:b/>
                <w:szCs w:val="21"/>
              </w:rPr>
            </w:pPr>
            <w:r>
              <w:rPr>
                <w:rFonts w:hint="eastAsia" w:asciiTheme="minorEastAsia" w:hAnsiTheme="minorEastAsia" w:eastAsiaTheme="minorEastAsia"/>
                <w:szCs w:val="21"/>
              </w:rPr>
              <w:t>2</w:t>
            </w:r>
          </w:p>
        </w:tc>
        <w:tc>
          <w:tcPr>
            <w:tcW w:w="1625" w:type="dxa"/>
            <w:vAlign w:val="center"/>
          </w:tcPr>
          <w:p>
            <w:pPr>
              <w:snapToGrid w:val="0"/>
              <w:ind w:firstLine="28"/>
              <w:jc w:val="center"/>
              <w:rPr>
                <w:rFonts w:cs="仿宋_GB2312" w:asciiTheme="minorEastAsia" w:hAnsiTheme="minorEastAsia" w:eastAsiaTheme="minorEastAsia"/>
                <w:szCs w:val="21"/>
              </w:rPr>
            </w:pPr>
            <w:r>
              <w:rPr>
                <w:rFonts w:hint="eastAsia" w:ascii="宋体" w:hAnsi="宋体"/>
                <w:sz w:val="24"/>
              </w:rPr>
              <w:t>投标人通用管理能力</w:t>
            </w:r>
          </w:p>
        </w:tc>
        <w:tc>
          <w:tcPr>
            <w:tcW w:w="849" w:type="dxa"/>
            <w:vAlign w:val="center"/>
          </w:tcPr>
          <w:p>
            <w:pPr>
              <w:snapToGrid w:val="0"/>
              <w:ind w:firstLine="28"/>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2</w:t>
            </w:r>
          </w:p>
        </w:tc>
        <w:tc>
          <w:tcPr>
            <w:tcW w:w="6781" w:type="dxa"/>
            <w:vAlign w:val="center"/>
          </w:tcPr>
          <w:p>
            <w:pPr>
              <w:widowControl/>
              <w:jc w:val="left"/>
              <w:rPr>
                <w:rFonts w:ascii="宋体" w:hAnsi="宋体"/>
                <w:kern w:val="0"/>
                <w:sz w:val="24"/>
              </w:rPr>
            </w:pPr>
            <w:r>
              <w:rPr>
                <w:rFonts w:hint="eastAsia" w:ascii="宋体" w:hAnsi="宋体"/>
                <w:kern w:val="0"/>
                <w:sz w:val="24"/>
              </w:rPr>
              <w:t>（1）投标人具有质量管理体系认证证书，得0.5分；</w:t>
            </w:r>
          </w:p>
          <w:p>
            <w:pPr>
              <w:widowControl/>
              <w:jc w:val="left"/>
              <w:rPr>
                <w:rFonts w:ascii="宋体" w:hAnsi="宋体"/>
                <w:kern w:val="0"/>
                <w:sz w:val="24"/>
              </w:rPr>
            </w:pPr>
            <w:r>
              <w:rPr>
                <w:rFonts w:hint="eastAsia" w:ascii="宋体" w:hAnsi="宋体"/>
                <w:kern w:val="0"/>
                <w:sz w:val="24"/>
              </w:rPr>
              <w:t>（2）投标人具有职业健康安全管理体系认证证书，得0.5分；</w:t>
            </w:r>
          </w:p>
          <w:p>
            <w:pPr>
              <w:widowControl/>
              <w:jc w:val="left"/>
              <w:rPr>
                <w:rFonts w:ascii="宋体" w:hAnsi="宋体"/>
                <w:kern w:val="0"/>
                <w:sz w:val="24"/>
              </w:rPr>
            </w:pPr>
            <w:r>
              <w:rPr>
                <w:rFonts w:hint="eastAsia" w:ascii="宋体" w:hAnsi="宋体"/>
                <w:kern w:val="0"/>
                <w:sz w:val="24"/>
              </w:rPr>
              <w:t>（3）投标人具有环境管理体系认证证书，得0.5分。</w:t>
            </w:r>
          </w:p>
          <w:p>
            <w:pPr>
              <w:widowControl/>
              <w:jc w:val="left"/>
              <w:rPr>
                <w:rFonts w:ascii="宋体" w:hAnsi="宋体"/>
                <w:kern w:val="0"/>
                <w:sz w:val="24"/>
              </w:rPr>
            </w:pPr>
            <w:r>
              <w:rPr>
                <w:rFonts w:hint="eastAsia" w:ascii="宋体" w:hAnsi="宋体"/>
                <w:kern w:val="0"/>
                <w:sz w:val="24"/>
              </w:rPr>
              <w:t>（4）投标人具有食品安全管理体系认证证书，得0.5分。</w:t>
            </w:r>
          </w:p>
          <w:p>
            <w:pPr>
              <w:pStyle w:val="2"/>
              <w:spacing w:before="0"/>
              <w:rPr>
                <w:rFonts w:asciiTheme="minorEastAsia" w:hAnsiTheme="minorEastAsia" w:eastAsiaTheme="minorEastAsia"/>
                <w:sz w:val="21"/>
                <w:szCs w:val="21"/>
              </w:rPr>
            </w:pPr>
            <w:r>
              <w:rPr>
                <w:rFonts w:hint="eastAsia"/>
                <w:kern w:val="0"/>
              </w:rPr>
              <w:t>注：需提供有效期内的证书复印件并加盖投标人公章，否则不得分。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9" w:hRule="atLeast"/>
        </w:trPr>
        <w:tc>
          <w:tcPr>
            <w:tcW w:w="805" w:type="dxa"/>
            <w:vAlign w:val="center"/>
          </w:tcPr>
          <w:p>
            <w:pPr>
              <w:snapToGrid w:val="0"/>
              <w:ind w:firstLine="28"/>
              <w:jc w:val="center"/>
              <w:rPr>
                <w:rFonts w:asciiTheme="minorEastAsia" w:hAnsiTheme="minorEastAsia" w:eastAsiaTheme="minorEastAsia"/>
                <w:b/>
                <w:szCs w:val="21"/>
              </w:rPr>
            </w:pPr>
            <w:r>
              <w:rPr>
                <w:rFonts w:hint="eastAsia" w:asciiTheme="minorEastAsia" w:hAnsiTheme="minorEastAsia" w:eastAsiaTheme="minorEastAsia"/>
                <w:szCs w:val="21"/>
              </w:rPr>
              <w:t>3</w:t>
            </w:r>
          </w:p>
        </w:tc>
        <w:tc>
          <w:tcPr>
            <w:tcW w:w="1625" w:type="dxa"/>
            <w:vAlign w:val="center"/>
          </w:tcPr>
          <w:p>
            <w:pPr>
              <w:widowControl/>
              <w:jc w:val="center"/>
              <w:rPr>
                <w:rFonts w:ascii="宋体" w:hAnsi="宋体"/>
                <w:kern w:val="0"/>
                <w:sz w:val="24"/>
              </w:rPr>
            </w:pPr>
            <w:r>
              <w:rPr>
                <w:rFonts w:ascii="宋体" w:hAnsi="宋体"/>
                <w:kern w:val="0"/>
                <w:sz w:val="24"/>
              </w:rPr>
              <w:t>类似</w:t>
            </w:r>
          </w:p>
          <w:p>
            <w:pPr>
              <w:snapToGrid w:val="0"/>
              <w:ind w:firstLine="28"/>
              <w:jc w:val="center"/>
              <w:rPr>
                <w:rFonts w:asciiTheme="minorEastAsia" w:hAnsiTheme="minorEastAsia" w:eastAsiaTheme="minorEastAsia"/>
                <w:szCs w:val="21"/>
              </w:rPr>
            </w:pPr>
            <w:r>
              <w:rPr>
                <w:rFonts w:ascii="宋体" w:hAnsi="宋体"/>
                <w:kern w:val="0"/>
                <w:sz w:val="24"/>
              </w:rPr>
              <w:t>业绩</w:t>
            </w:r>
          </w:p>
        </w:tc>
        <w:tc>
          <w:tcPr>
            <w:tcW w:w="849" w:type="dxa"/>
            <w:vAlign w:val="center"/>
          </w:tcPr>
          <w:p>
            <w:pPr>
              <w:snapToGrid w:val="0"/>
              <w:ind w:firstLine="28"/>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5</w:t>
            </w:r>
          </w:p>
        </w:tc>
        <w:tc>
          <w:tcPr>
            <w:tcW w:w="6781" w:type="dxa"/>
            <w:vAlign w:val="center"/>
          </w:tcPr>
          <w:p>
            <w:pPr>
              <w:rPr>
                <w:rFonts w:ascii="宋体" w:hAnsi="宋体"/>
                <w:sz w:val="24"/>
              </w:rPr>
            </w:pPr>
            <w:r>
              <w:rPr>
                <w:rFonts w:hint="eastAsia" w:ascii="宋体" w:hAnsi="宋体"/>
                <w:kern w:val="0"/>
                <w:sz w:val="24"/>
              </w:rPr>
              <w:t>20</w:t>
            </w:r>
            <w:r>
              <w:rPr>
                <w:rFonts w:ascii="宋体" w:hAnsi="宋体"/>
                <w:kern w:val="0"/>
                <w:sz w:val="24"/>
              </w:rPr>
              <w:t>18</w:t>
            </w:r>
            <w:r>
              <w:rPr>
                <w:rFonts w:hint="eastAsia" w:ascii="宋体" w:hAnsi="宋体"/>
                <w:kern w:val="0"/>
                <w:sz w:val="24"/>
              </w:rPr>
              <w:t>年</w:t>
            </w:r>
            <w:r>
              <w:rPr>
                <w:rFonts w:ascii="宋体" w:hAnsi="宋体"/>
                <w:kern w:val="0"/>
                <w:sz w:val="24"/>
              </w:rPr>
              <w:t>1</w:t>
            </w:r>
            <w:r>
              <w:rPr>
                <w:rFonts w:hint="eastAsia" w:ascii="宋体" w:hAnsi="宋体"/>
                <w:kern w:val="0"/>
                <w:sz w:val="24"/>
              </w:rPr>
              <w:t>月</w:t>
            </w:r>
            <w:r>
              <w:rPr>
                <w:rFonts w:ascii="宋体" w:hAnsi="宋体"/>
                <w:kern w:val="0"/>
                <w:sz w:val="24"/>
              </w:rPr>
              <w:t>1</w:t>
            </w:r>
            <w:r>
              <w:rPr>
                <w:rFonts w:hint="eastAsia" w:ascii="宋体" w:hAnsi="宋体"/>
                <w:kern w:val="0"/>
                <w:sz w:val="24"/>
              </w:rPr>
              <w:t>日至今（以合同签订时间为准）</w:t>
            </w:r>
            <w:r>
              <w:rPr>
                <w:rFonts w:hint="eastAsia" w:ascii="宋体" w:hAnsi="宋体"/>
                <w:sz w:val="24"/>
              </w:rPr>
              <w:t>，投标人承担过类似项目，每提供1个合格案例得0.5分，本项满分为5分。</w:t>
            </w:r>
          </w:p>
          <w:p>
            <w:pPr>
              <w:snapToGrid w:val="0"/>
              <w:rPr>
                <w:rFonts w:asciiTheme="minorEastAsia" w:hAnsiTheme="minorEastAsia" w:eastAsiaTheme="minorEastAsia"/>
                <w:szCs w:val="21"/>
              </w:rPr>
            </w:pPr>
            <w:r>
              <w:rPr>
                <w:rFonts w:hint="eastAsia" w:ascii="宋体" w:hAnsi="宋体"/>
                <w:sz w:val="24"/>
              </w:rPr>
              <w:t>注：需提供合同（包括首页、合同内容描述页、合同盖章页）复印件并加盖投标人公章；合同案例中合同的乙方必须与投标人的名称完全一致，如公司名称发生变更，必须提供工商部门的证明文件。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55" w:hRule="atLeast"/>
        </w:trPr>
        <w:tc>
          <w:tcPr>
            <w:tcW w:w="805" w:type="dxa"/>
            <w:vAlign w:val="center"/>
          </w:tcPr>
          <w:p>
            <w:pPr>
              <w:snapToGrid w:val="0"/>
              <w:ind w:firstLine="28"/>
              <w:jc w:val="center"/>
              <w:rPr>
                <w:rFonts w:asciiTheme="minorEastAsia" w:hAnsiTheme="minorEastAsia" w:eastAsiaTheme="minorEastAsia"/>
                <w:b/>
                <w:szCs w:val="21"/>
              </w:rPr>
            </w:pPr>
            <w:r>
              <w:rPr>
                <w:rFonts w:hint="eastAsia" w:asciiTheme="minorEastAsia" w:hAnsiTheme="minorEastAsia" w:eastAsiaTheme="minorEastAsia"/>
                <w:szCs w:val="21"/>
              </w:rPr>
              <w:t>4</w:t>
            </w:r>
          </w:p>
        </w:tc>
        <w:tc>
          <w:tcPr>
            <w:tcW w:w="1625" w:type="dxa"/>
            <w:vAlign w:val="center"/>
          </w:tcPr>
          <w:p>
            <w:pPr>
              <w:snapToGrid w:val="0"/>
              <w:ind w:firstLine="28"/>
              <w:jc w:val="center"/>
              <w:rPr>
                <w:rFonts w:asciiTheme="minorEastAsia" w:hAnsiTheme="minorEastAsia" w:eastAsiaTheme="minorEastAsia"/>
                <w:szCs w:val="21"/>
              </w:rPr>
            </w:pPr>
            <w:r>
              <w:rPr>
                <w:rFonts w:hint="eastAsia" w:ascii="宋体" w:hAnsi="宋体"/>
                <w:sz w:val="24"/>
              </w:rPr>
              <w:t>食材、餐具质量控制方案</w:t>
            </w:r>
          </w:p>
        </w:tc>
        <w:tc>
          <w:tcPr>
            <w:tcW w:w="849"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15</w:t>
            </w:r>
          </w:p>
        </w:tc>
        <w:tc>
          <w:tcPr>
            <w:tcW w:w="6781" w:type="dxa"/>
            <w:vAlign w:val="center"/>
          </w:tcPr>
          <w:p>
            <w:pPr>
              <w:rPr>
                <w:rFonts w:ascii="宋体" w:hAnsi="宋体"/>
                <w:sz w:val="24"/>
              </w:rPr>
            </w:pPr>
            <w:r>
              <w:rPr>
                <w:rFonts w:hint="eastAsia" w:ascii="宋体" w:hAnsi="宋体"/>
                <w:sz w:val="24"/>
              </w:rPr>
              <w:t>针对第五章采购需求，提供食材及餐具质量控制方案，内容包括原材料采购流程及管理制度、原材料验收制度及标准、菜品生产过程中控制方案、营养保证措施、餐具采购方案，共</w:t>
            </w:r>
            <w:r>
              <w:rPr>
                <w:rFonts w:ascii="宋体" w:hAnsi="宋体"/>
                <w:sz w:val="24"/>
              </w:rPr>
              <w:t>5</w:t>
            </w:r>
            <w:r>
              <w:rPr>
                <w:rFonts w:hint="eastAsia" w:ascii="宋体" w:hAnsi="宋体"/>
                <w:sz w:val="24"/>
              </w:rPr>
              <w:t>项内容进行综合评审。</w:t>
            </w:r>
          </w:p>
          <w:p>
            <w:pPr>
              <w:rPr>
                <w:rFonts w:ascii="宋体" w:hAnsi="宋体"/>
                <w:sz w:val="24"/>
              </w:rPr>
            </w:pPr>
            <w:r>
              <w:rPr>
                <w:rFonts w:hint="eastAsia" w:ascii="宋体" w:hAnsi="宋体"/>
                <w:sz w:val="24"/>
              </w:rPr>
              <w:t>（1）每有一项内容进行了阐述且满足采购需求的，得</w:t>
            </w:r>
            <w:r>
              <w:rPr>
                <w:rFonts w:ascii="宋体" w:hAnsi="宋体"/>
                <w:sz w:val="24"/>
              </w:rPr>
              <w:t>3</w:t>
            </w:r>
            <w:r>
              <w:rPr>
                <w:rFonts w:hint="eastAsia" w:ascii="宋体" w:hAnsi="宋体"/>
                <w:sz w:val="24"/>
              </w:rPr>
              <w:t>分，满分</w:t>
            </w:r>
            <w:r>
              <w:rPr>
                <w:rFonts w:ascii="宋体" w:hAnsi="宋体"/>
                <w:sz w:val="24"/>
              </w:rPr>
              <w:t>15</w:t>
            </w:r>
            <w:r>
              <w:rPr>
                <w:rFonts w:hint="eastAsia" w:ascii="宋体" w:hAnsi="宋体"/>
                <w:sz w:val="24"/>
              </w:rPr>
              <w:t>分。</w:t>
            </w:r>
          </w:p>
          <w:p>
            <w:pPr>
              <w:rPr>
                <w:rFonts w:ascii="宋体" w:hAnsi="宋体"/>
                <w:sz w:val="24"/>
              </w:rPr>
            </w:pPr>
            <w:r>
              <w:rPr>
                <w:rFonts w:hint="eastAsia" w:ascii="宋体" w:hAnsi="宋体"/>
                <w:sz w:val="24"/>
              </w:rPr>
              <w:t>（2）每有一项内容虽然进行了阐述但并未贴合采购需求的，得</w:t>
            </w:r>
            <w:r>
              <w:rPr>
                <w:rFonts w:ascii="宋体" w:hAnsi="宋体"/>
                <w:sz w:val="24"/>
              </w:rPr>
              <w:t>1.5</w:t>
            </w:r>
            <w:r>
              <w:rPr>
                <w:rFonts w:hint="eastAsia" w:ascii="宋体" w:hAnsi="宋体"/>
                <w:sz w:val="24"/>
              </w:rPr>
              <w:t>分，满分</w:t>
            </w:r>
            <w:r>
              <w:rPr>
                <w:rFonts w:ascii="宋体" w:hAnsi="宋体"/>
                <w:sz w:val="24"/>
              </w:rPr>
              <w:t>7.5</w:t>
            </w:r>
            <w:r>
              <w:rPr>
                <w:rFonts w:hint="eastAsia" w:ascii="宋体" w:hAnsi="宋体"/>
                <w:sz w:val="24"/>
              </w:rPr>
              <w:t>分。</w:t>
            </w:r>
          </w:p>
          <w:p>
            <w:pPr>
              <w:rPr>
                <w:rFonts w:asciiTheme="minorEastAsia" w:hAnsiTheme="minorEastAsia" w:eastAsiaTheme="minorEastAsia"/>
                <w:szCs w:val="21"/>
              </w:rPr>
            </w:pPr>
            <w:r>
              <w:rPr>
                <w:rFonts w:hint="eastAsia" w:ascii="宋体" w:hAnsi="宋体"/>
                <w:sz w:val="24"/>
              </w:rPr>
              <w:t>（3）每有一项内容未进行阐述或阐述内容无法满足采购需求，得0分。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9" w:hRule="atLeast"/>
        </w:trPr>
        <w:tc>
          <w:tcPr>
            <w:tcW w:w="805" w:type="dxa"/>
            <w:vAlign w:val="center"/>
          </w:tcPr>
          <w:p>
            <w:pPr>
              <w:snapToGrid w:val="0"/>
              <w:ind w:firstLine="28"/>
              <w:jc w:val="center"/>
              <w:rPr>
                <w:rFonts w:asciiTheme="minorEastAsia" w:hAnsiTheme="minorEastAsia" w:eastAsiaTheme="minorEastAsia"/>
                <w:b/>
                <w:szCs w:val="21"/>
              </w:rPr>
            </w:pPr>
            <w:r>
              <w:rPr>
                <w:rFonts w:hint="eastAsia" w:asciiTheme="minorEastAsia" w:hAnsiTheme="minorEastAsia" w:eastAsiaTheme="minorEastAsia"/>
                <w:szCs w:val="21"/>
              </w:rPr>
              <w:t>5</w:t>
            </w:r>
          </w:p>
        </w:tc>
        <w:tc>
          <w:tcPr>
            <w:tcW w:w="1625" w:type="dxa"/>
            <w:vAlign w:val="center"/>
          </w:tcPr>
          <w:p>
            <w:pPr>
              <w:jc w:val="center"/>
              <w:rPr>
                <w:rFonts w:ascii="宋体" w:hAnsi="宋体"/>
                <w:sz w:val="24"/>
              </w:rPr>
            </w:pPr>
            <w:r>
              <w:rPr>
                <w:rFonts w:hint="eastAsia" w:ascii="宋体" w:hAnsi="宋体"/>
                <w:sz w:val="24"/>
              </w:rPr>
              <w:t>食谱菜单配置方案</w:t>
            </w:r>
          </w:p>
          <w:p>
            <w:pPr>
              <w:snapToGrid w:val="0"/>
              <w:ind w:firstLine="28"/>
              <w:jc w:val="center"/>
              <w:rPr>
                <w:rFonts w:asciiTheme="minorEastAsia" w:hAnsiTheme="minorEastAsia" w:eastAsiaTheme="minorEastAsia"/>
                <w:szCs w:val="21"/>
              </w:rPr>
            </w:pPr>
          </w:p>
        </w:tc>
        <w:tc>
          <w:tcPr>
            <w:tcW w:w="849"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3</w:t>
            </w:r>
          </w:p>
        </w:tc>
        <w:tc>
          <w:tcPr>
            <w:tcW w:w="6781" w:type="dxa"/>
            <w:vAlign w:val="center"/>
          </w:tcPr>
          <w:p>
            <w:pPr>
              <w:rPr>
                <w:rFonts w:ascii="宋体" w:hAnsi="宋体"/>
                <w:sz w:val="24"/>
              </w:rPr>
            </w:pPr>
            <w:r>
              <w:rPr>
                <w:rFonts w:hint="eastAsia" w:ascii="宋体" w:hAnsi="宋体"/>
                <w:sz w:val="24"/>
              </w:rPr>
              <w:t>根据第五章服务内容的要求，制定食谱示例，</w:t>
            </w:r>
          </w:p>
          <w:p>
            <w:pPr>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食谱精确到每日且不重复的，得1分；不满足得0分；</w:t>
            </w:r>
          </w:p>
          <w:p>
            <w:pPr>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能满足清真及其他少数民族职工就餐需求，得1分；不满足得0分；</w:t>
            </w:r>
          </w:p>
          <w:p>
            <w:pPr>
              <w:pStyle w:val="248"/>
              <w:spacing w:before="17" w:line="225" w:lineRule="auto"/>
              <w:ind w:right="100"/>
              <w:rPr>
                <w:rFonts w:asciiTheme="minorEastAsia" w:hAnsiTheme="minorEastAsia" w:eastAsiaTheme="minorEastAsia"/>
                <w:sz w:val="21"/>
                <w:szCs w:val="21"/>
                <w:lang w:eastAsia="zh-CN"/>
              </w:rPr>
            </w:pPr>
            <w:r>
              <w:rPr>
                <w:sz w:val="24"/>
                <w:szCs w:val="24"/>
                <w:lang w:eastAsia="zh-CN"/>
              </w:rPr>
              <w:t>3.</w:t>
            </w:r>
            <w:r>
              <w:rPr>
                <w:rFonts w:hint="eastAsia"/>
                <w:sz w:val="24"/>
                <w:szCs w:val="24"/>
                <w:lang w:eastAsia="zh-CN"/>
              </w:rPr>
              <w:t>能提供节日特色餐饮，且有具体描述的，得1分；不满足得0分。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1" w:hRule="atLeast"/>
        </w:trPr>
        <w:tc>
          <w:tcPr>
            <w:tcW w:w="805" w:type="dxa"/>
            <w:vAlign w:val="center"/>
          </w:tcPr>
          <w:p>
            <w:pPr>
              <w:snapToGrid w:val="0"/>
              <w:ind w:firstLine="28"/>
              <w:jc w:val="center"/>
              <w:rPr>
                <w:rFonts w:ascii="宋体" w:hAnsi="宋体"/>
                <w:b/>
                <w:sz w:val="22"/>
                <w:szCs w:val="22"/>
              </w:rPr>
            </w:pPr>
            <w:r>
              <w:rPr>
                <w:rFonts w:hint="eastAsia" w:asciiTheme="minorEastAsia" w:hAnsiTheme="minorEastAsia" w:eastAsiaTheme="minorEastAsia"/>
                <w:szCs w:val="21"/>
              </w:rPr>
              <w:t>6</w:t>
            </w:r>
          </w:p>
        </w:tc>
        <w:tc>
          <w:tcPr>
            <w:tcW w:w="1625" w:type="dxa"/>
            <w:vAlign w:val="center"/>
          </w:tcPr>
          <w:p>
            <w:pPr>
              <w:snapToGrid w:val="0"/>
              <w:ind w:firstLine="28"/>
              <w:jc w:val="center"/>
              <w:rPr>
                <w:rFonts w:asciiTheme="minorEastAsia" w:hAnsiTheme="minorEastAsia" w:eastAsiaTheme="minorEastAsia"/>
                <w:szCs w:val="21"/>
              </w:rPr>
            </w:pPr>
            <w:r>
              <w:rPr>
                <w:rFonts w:hint="eastAsia" w:ascii="宋体" w:hAnsi="宋体"/>
                <w:sz w:val="24"/>
              </w:rPr>
              <w:t>配餐服务方案</w:t>
            </w:r>
          </w:p>
        </w:tc>
        <w:tc>
          <w:tcPr>
            <w:tcW w:w="849"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20</w:t>
            </w:r>
          </w:p>
        </w:tc>
        <w:tc>
          <w:tcPr>
            <w:tcW w:w="6781" w:type="dxa"/>
            <w:vAlign w:val="center"/>
          </w:tcPr>
          <w:p>
            <w:pPr>
              <w:jc w:val="left"/>
              <w:rPr>
                <w:rFonts w:ascii="宋体" w:hAnsi="宋体"/>
                <w:sz w:val="24"/>
              </w:rPr>
            </w:pPr>
            <w:r>
              <w:rPr>
                <w:rFonts w:hint="eastAsia" w:ascii="宋体" w:hAnsi="宋体"/>
                <w:sz w:val="24"/>
              </w:rPr>
              <w:t>根据第五章采购需求，提供配餐服务方案，内容包括配送服务控制、配送时间安排、重点节假日的配餐方案、菜品保温方案、垃圾清运管理，共5</w:t>
            </w:r>
            <w:r>
              <w:rPr>
                <w:rFonts w:ascii="宋体" w:hAnsi="宋体"/>
                <w:sz w:val="24"/>
              </w:rPr>
              <w:t>项内容</w:t>
            </w:r>
            <w:r>
              <w:rPr>
                <w:rFonts w:hint="eastAsia" w:ascii="宋体" w:hAnsi="宋体"/>
                <w:sz w:val="24"/>
              </w:rPr>
              <w:t>进行综合评审。</w:t>
            </w:r>
          </w:p>
          <w:p>
            <w:pPr>
              <w:jc w:val="left"/>
              <w:rPr>
                <w:rFonts w:ascii="宋体" w:hAnsi="宋体"/>
                <w:sz w:val="24"/>
              </w:rPr>
            </w:pPr>
            <w:r>
              <w:rPr>
                <w:rFonts w:hint="eastAsia" w:ascii="宋体" w:hAnsi="宋体"/>
                <w:sz w:val="24"/>
              </w:rPr>
              <w:t>每有一项内容</w:t>
            </w:r>
            <w:r>
              <w:rPr>
                <w:rFonts w:ascii="宋体" w:hAnsi="宋体"/>
                <w:sz w:val="24"/>
              </w:rPr>
              <w:t>均进行阐述且满足采购需求的，</w:t>
            </w:r>
            <w:r>
              <w:rPr>
                <w:rFonts w:hint="eastAsia" w:ascii="宋体" w:hAnsi="宋体"/>
                <w:sz w:val="24"/>
              </w:rPr>
              <w:t>该项得</w:t>
            </w:r>
            <w:r>
              <w:rPr>
                <w:rFonts w:ascii="宋体" w:hAnsi="宋体"/>
                <w:sz w:val="24"/>
              </w:rPr>
              <w:t>4</w:t>
            </w:r>
            <w:r>
              <w:rPr>
                <w:rFonts w:hint="eastAsia" w:ascii="宋体" w:hAnsi="宋体"/>
                <w:sz w:val="24"/>
              </w:rPr>
              <w:t>分，满分</w:t>
            </w:r>
            <w:r>
              <w:rPr>
                <w:rFonts w:ascii="宋体" w:hAnsi="宋体"/>
                <w:sz w:val="24"/>
              </w:rPr>
              <w:t>20</w:t>
            </w:r>
            <w:r>
              <w:rPr>
                <w:rFonts w:hint="eastAsia" w:ascii="宋体" w:hAnsi="宋体"/>
                <w:sz w:val="24"/>
              </w:rPr>
              <w:t>分；</w:t>
            </w:r>
          </w:p>
          <w:p>
            <w:pPr>
              <w:jc w:val="left"/>
              <w:rPr>
                <w:rFonts w:ascii="宋体" w:hAnsi="宋体"/>
                <w:sz w:val="24"/>
              </w:rPr>
            </w:pPr>
            <w:r>
              <w:rPr>
                <w:rFonts w:hint="eastAsia" w:ascii="宋体" w:hAnsi="宋体"/>
                <w:sz w:val="24"/>
              </w:rPr>
              <w:t>若</w:t>
            </w:r>
            <w:r>
              <w:rPr>
                <w:rFonts w:ascii="宋体" w:hAnsi="宋体"/>
                <w:sz w:val="24"/>
              </w:rPr>
              <w:t>有一项内容虽进行阐述但未贴合采购需求的，则此项得</w:t>
            </w:r>
            <w:r>
              <w:rPr>
                <w:rFonts w:hint="eastAsia" w:ascii="宋体" w:hAnsi="宋体"/>
                <w:sz w:val="24"/>
              </w:rPr>
              <w:t>2</w:t>
            </w:r>
            <w:r>
              <w:rPr>
                <w:rFonts w:ascii="宋体" w:hAnsi="宋体"/>
                <w:sz w:val="24"/>
              </w:rPr>
              <w:t>分。</w:t>
            </w:r>
          </w:p>
          <w:p>
            <w:pPr>
              <w:snapToGrid w:val="0"/>
              <w:rPr>
                <w:rFonts w:asciiTheme="minorEastAsia" w:hAnsiTheme="minorEastAsia" w:eastAsiaTheme="minorEastAsia"/>
                <w:szCs w:val="21"/>
              </w:rPr>
            </w:pPr>
            <w:r>
              <w:rPr>
                <w:rFonts w:hint="eastAsia" w:ascii="宋体" w:hAnsi="宋体"/>
                <w:sz w:val="24"/>
              </w:rPr>
              <w:t>若</w:t>
            </w:r>
            <w:r>
              <w:rPr>
                <w:rFonts w:ascii="宋体" w:hAnsi="宋体"/>
                <w:sz w:val="24"/>
              </w:rPr>
              <w:t>有一项内容未进行阐述的，则此项不得分。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2" w:hRule="atLeast"/>
        </w:trPr>
        <w:tc>
          <w:tcPr>
            <w:tcW w:w="805"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7</w:t>
            </w:r>
          </w:p>
        </w:tc>
        <w:tc>
          <w:tcPr>
            <w:tcW w:w="1625" w:type="dxa"/>
            <w:vAlign w:val="center"/>
          </w:tcPr>
          <w:p>
            <w:pPr>
              <w:widowControl/>
              <w:jc w:val="center"/>
              <w:rPr>
                <w:rFonts w:asciiTheme="minorEastAsia" w:hAnsiTheme="minorEastAsia" w:eastAsiaTheme="minorEastAsia"/>
                <w:szCs w:val="21"/>
              </w:rPr>
            </w:pPr>
            <w:r>
              <w:rPr>
                <w:rFonts w:hint="eastAsia" w:ascii="宋体" w:hAnsi="宋体"/>
                <w:kern w:val="0"/>
                <w:sz w:val="24"/>
              </w:rPr>
              <w:t>服务人员配置</w:t>
            </w:r>
          </w:p>
        </w:tc>
        <w:tc>
          <w:tcPr>
            <w:tcW w:w="849"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10</w:t>
            </w:r>
          </w:p>
        </w:tc>
        <w:tc>
          <w:tcPr>
            <w:tcW w:w="6781" w:type="dxa"/>
            <w:vAlign w:val="center"/>
          </w:tcPr>
          <w:p>
            <w:pPr>
              <w:jc w:val="left"/>
              <w:rPr>
                <w:rFonts w:ascii="宋体" w:hAnsi="宋体"/>
                <w:sz w:val="24"/>
              </w:rPr>
            </w:pPr>
            <w:r>
              <w:rPr>
                <w:rFonts w:hint="eastAsia" w:ascii="宋体" w:hAnsi="宋体"/>
                <w:sz w:val="24"/>
              </w:rPr>
              <w:t>根据第五章采购需求，配备送餐人员。配备人数合理且满足采购需求，得</w:t>
            </w:r>
            <w:r>
              <w:rPr>
                <w:rFonts w:ascii="宋体" w:hAnsi="宋体"/>
                <w:sz w:val="24"/>
              </w:rPr>
              <w:t>10</w:t>
            </w:r>
            <w:r>
              <w:rPr>
                <w:rFonts w:hint="eastAsia" w:ascii="宋体" w:hAnsi="宋体"/>
                <w:sz w:val="24"/>
              </w:rPr>
              <w:t>分；配备人数不能满足采购需求的，得</w:t>
            </w:r>
            <w:r>
              <w:rPr>
                <w:rFonts w:ascii="宋体" w:hAnsi="宋体"/>
                <w:sz w:val="24"/>
              </w:rPr>
              <w:t>4</w:t>
            </w:r>
            <w:r>
              <w:rPr>
                <w:rFonts w:hint="eastAsia" w:ascii="宋体" w:hAnsi="宋体"/>
                <w:sz w:val="24"/>
              </w:rPr>
              <w:t>分；未提供配送人员，该项不得分。</w:t>
            </w:r>
          </w:p>
          <w:p>
            <w:pPr>
              <w:snapToGrid w:val="0"/>
              <w:rPr>
                <w:rFonts w:asciiTheme="minorEastAsia" w:hAnsiTheme="minorEastAsia" w:eastAsiaTheme="minorEastAsia"/>
                <w:szCs w:val="21"/>
              </w:rPr>
            </w:pPr>
            <w:r>
              <w:rPr>
                <w:rFonts w:hint="eastAsia" w:ascii="宋体" w:hAnsi="宋体"/>
                <w:sz w:val="24"/>
              </w:rPr>
              <w:t>注：须提供配餐人员有效健康证复印件，并加盖公章。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33" w:hRule="atLeast"/>
        </w:trPr>
        <w:tc>
          <w:tcPr>
            <w:tcW w:w="805"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8</w:t>
            </w:r>
          </w:p>
        </w:tc>
        <w:tc>
          <w:tcPr>
            <w:tcW w:w="1625" w:type="dxa"/>
            <w:vAlign w:val="center"/>
          </w:tcPr>
          <w:p>
            <w:pPr>
              <w:jc w:val="center"/>
              <w:rPr>
                <w:rFonts w:asciiTheme="minorEastAsia" w:hAnsiTheme="minorEastAsia" w:eastAsiaTheme="minorEastAsia"/>
                <w:szCs w:val="21"/>
              </w:rPr>
            </w:pPr>
            <w:r>
              <w:rPr>
                <w:rFonts w:hint="eastAsia" w:ascii="宋体" w:hAnsi="宋体"/>
                <w:sz w:val="24"/>
              </w:rPr>
              <w:t>员工培训计划及内容</w:t>
            </w:r>
          </w:p>
        </w:tc>
        <w:tc>
          <w:tcPr>
            <w:tcW w:w="849"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3</w:t>
            </w:r>
          </w:p>
        </w:tc>
        <w:tc>
          <w:tcPr>
            <w:tcW w:w="6781" w:type="dxa"/>
            <w:vAlign w:val="center"/>
          </w:tcPr>
          <w:p>
            <w:pPr>
              <w:rPr>
                <w:rFonts w:ascii="宋体" w:hAnsi="宋体"/>
                <w:sz w:val="24"/>
              </w:rPr>
            </w:pPr>
            <w:r>
              <w:rPr>
                <w:rFonts w:hint="eastAsia" w:ascii="宋体" w:hAnsi="宋体"/>
                <w:sz w:val="24"/>
              </w:rPr>
              <w:t>针对第五章采购需求，提供员工培训计划，内容包括人员配备标准、工作职责、工作要求</w:t>
            </w:r>
          </w:p>
          <w:p>
            <w:pPr>
              <w:rPr>
                <w:rFonts w:ascii="宋体" w:hAnsi="宋体"/>
                <w:sz w:val="24"/>
              </w:rPr>
            </w:pPr>
            <w:r>
              <w:rPr>
                <w:rFonts w:hint="eastAsia" w:ascii="宋体" w:hAnsi="宋体"/>
                <w:sz w:val="24"/>
              </w:rPr>
              <w:t>（1）每有一项内容进行了阐述且满足采购需求的，得1分，满分3分。</w:t>
            </w:r>
          </w:p>
          <w:p>
            <w:pPr>
              <w:rPr>
                <w:rFonts w:ascii="宋体" w:hAnsi="宋体"/>
                <w:sz w:val="24"/>
              </w:rPr>
            </w:pPr>
            <w:r>
              <w:rPr>
                <w:rFonts w:hint="eastAsia" w:ascii="宋体" w:hAnsi="宋体"/>
                <w:sz w:val="24"/>
              </w:rPr>
              <w:t>（2）每有一项内容虽然进行了阐述但并未贴合采购需求的，得0.5分，满分1分。</w:t>
            </w:r>
          </w:p>
          <w:p>
            <w:pPr>
              <w:snapToGrid w:val="0"/>
              <w:rPr>
                <w:rFonts w:asciiTheme="minorEastAsia" w:hAnsiTheme="minorEastAsia" w:eastAsiaTheme="minorEastAsia"/>
                <w:szCs w:val="21"/>
              </w:rPr>
            </w:pPr>
            <w:r>
              <w:rPr>
                <w:rFonts w:hint="eastAsia" w:ascii="宋体" w:hAnsi="宋体"/>
                <w:sz w:val="24"/>
              </w:rPr>
              <w:t>（3）每有一项内容未进行阐述或阐述内容无法满足采购需求，得0分。</w:t>
            </w:r>
          </w:p>
        </w:tc>
      </w:tr>
    </w:tbl>
    <w:tbl>
      <w:tblPr>
        <w:tblStyle w:val="51"/>
        <w:tblpPr w:leftFromText="180" w:rightFromText="180" w:vertAnchor="text" w:horzAnchor="page" w:tblpX="1625" w:tblpY="55"/>
        <w:tblOverlap w:val="never"/>
        <w:tblW w:w="10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636"/>
        <w:gridCol w:w="856"/>
        <w:gridCol w:w="6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75" w:hRule="atLeast"/>
        </w:trPr>
        <w:tc>
          <w:tcPr>
            <w:tcW w:w="813"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9</w:t>
            </w:r>
          </w:p>
        </w:tc>
        <w:tc>
          <w:tcPr>
            <w:tcW w:w="1636"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突发事件应急处置方案</w:t>
            </w:r>
          </w:p>
          <w:p>
            <w:pPr>
              <w:snapToGrid w:val="0"/>
              <w:ind w:firstLine="28"/>
              <w:jc w:val="center"/>
              <w:rPr>
                <w:rFonts w:asciiTheme="minorEastAsia" w:hAnsiTheme="minorEastAsia" w:eastAsiaTheme="minorEastAsia"/>
                <w:szCs w:val="21"/>
              </w:rPr>
            </w:pPr>
          </w:p>
        </w:tc>
        <w:tc>
          <w:tcPr>
            <w:tcW w:w="856"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6</w:t>
            </w:r>
          </w:p>
        </w:tc>
        <w:tc>
          <w:tcPr>
            <w:tcW w:w="6835" w:type="dxa"/>
            <w:vAlign w:val="center"/>
          </w:tcPr>
          <w:p>
            <w:pPr>
              <w:snapToGrid w:val="0"/>
              <w:ind w:firstLine="28"/>
              <w:jc w:val="left"/>
              <w:rPr>
                <w:rFonts w:asciiTheme="minorEastAsia" w:hAnsiTheme="minorEastAsia" w:eastAsiaTheme="minorEastAsia"/>
                <w:szCs w:val="21"/>
              </w:rPr>
            </w:pPr>
            <w:r>
              <w:rPr>
                <w:rFonts w:hint="eastAsia" w:asciiTheme="minorEastAsia" w:hAnsiTheme="minorEastAsia" w:eastAsiaTheme="minorEastAsia"/>
                <w:szCs w:val="21"/>
              </w:rPr>
              <w:t>针对第五章采购需求，提供投诉处理、案件突发事件应急处置方案。内容包括投诉处理操作、突发事件应急处置共2项内容进行综合评审</w:t>
            </w:r>
          </w:p>
          <w:p>
            <w:pPr>
              <w:snapToGrid w:val="0"/>
              <w:ind w:firstLine="28"/>
              <w:jc w:val="left"/>
              <w:rPr>
                <w:rFonts w:asciiTheme="minorEastAsia" w:hAnsiTheme="minorEastAsia" w:eastAsiaTheme="minorEastAsia"/>
                <w:szCs w:val="21"/>
              </w:rPr>
            </w:pPr>
            <w:r>
              <w:rPr>
                <w:rFonts w:hint="eastAsia" w:asciiTheme="minorEastAsia" w:hAnsiTheme="minorEastAsia" w:eastAsiaTheme="minorEastAsia"/>
                <w:szCs w:val="21"/>
              </w:rPr>
              <w:t>（1）每有一项内容进行了阐述且满足采购需求的，得3分，满分6分。</w:t>
            </w:r>
          </w:p>
          <w:p>
            <w:pPr>
              <w:snapToGrid w:val="0"/>
              <w:ind w:firstLine="28"/>
              <w:jc w:val="left"/>
              <w:rPr>
                <w:rFonts w:asciiTheme="minorEastAsia" w:hAnsiTheme="minorEastAsia" w:eastAsiaTheme="minorEastAsia"/>
                <w:szCs w:val="21"/>
              </w:rPr>
            </w:pPr>
            <w:r>
              <w:rPr>
                <w:rFonts w:hint="eastAsia" w:asciiTheme="minorEastAsia" w:hAnsiTheme="minorEastAsia" w:eastAsiaTheme="minorEastAsia"/>
                <w:szCs w:val="21"/>
              </w:rPr>
              <w:t>（2）每有一项内容虽然进行了阐述但并未贴合采购需求的，得1.5分，满分3分。</w:t>
            </w:r>
          </w:p>
          <w:p>
            <w:pPr>
              <w:snapToGrid w:val="0"/>
              <w:ind w:firstLine="28"/>
              <w:jc w:val="left"/>
              <w:rPr>
                <w:rFonts w:asciiTheme="minorEastAsia" w:hAnsiTheme="minorEastAsia" w:eastAsiaTheme="minorEastAsia"/>
                <w:szCs w:val="21"/>
              </w:rPr>
            </w:pPr>
            <w:r>
              <w:rPr>
                <w:rFonts w:hint="eastAsia" w:asciiTheme="minorEastAsia" w:hAnsiTheme="minorEastAsia" w:eastAsiaTheme="minorEastAsia"/>
                <w:szCs w:val="21"/>
              </w:rPr>
              <w:t>（3）每有一项内容未进行阐述或阐述内容无法满足采购需求，得0分。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1" w:hRule="atLeast"/>
        </w:trPr>
        <w:tc>
          <w:tcPr>
            <w:tcW w:w="813"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10</w:t>
            </w:r>
          </w:p>
        </w:tc>
        <w:tc>
          <w:tcPr>
            <w:tcW w:w="1636"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规章制度</w:t>
            </w:r>
          </w:p>
          <w:p>
            <w:pPr>
              <w:snapToGrid w:val="0"/>
              <w:ind w:firstLine="28"/>
              <w:jc w:val="center"/>
              <w:rPr>
                <w:rFonts w:asciiTheme="minorEastAsia" w:hAnsiTheme="minorEastAsia" w:eastAsiaTheme="minorEastAsia"/>
                <w:szCs w:val="21"/>
              </w:rPr>
            </w:pPr>
          </w:p>
        </w:tc>
        <w:tc>
          <w:tcPr>
            <w:tcW w:w="856" w:type="dxa"/>
            <w:vAlign w:val="center"/>
          </w:tcPr>
          <w:p>
            <w:pPr>
              <w:snapToGrid w:val="0"/>
              <w:ind w:firstLine="28"/>
              <w:jc w:val="center"/>
              <w:rPr>
                <w:rFonts w:asciiTheme="minorEastAsia" w:hAnsiTheme="minorEastAsia" w:eastAsiaTheme="minorEastAsia"/>
                <w:szCs w:val="21"/>
              </w:rPr>
            </w:pPr>
            <w:r>
              <w:rPr>
                <w:rFonts w:hint="eastAsia" w:asciiTheme="minorEastAsia" w:hAnsiTheme="minorEastAsia" w:eastAsiaTheme="minorEastAsia"/>
                <w:szCs w:val="21"/>
              </w:rPr>
              <w:t>6</w:t>
            </w:r>
          </w:p>
        </w:tc>
        <w:tc>
          <w:tcPr>
            <w:tcW w:w="6835" w:type="dxa"/>
            <w:vAlign w:val="center"/>
          </w:tcPr>
          <w:p>
            <w:pPr>
              <w:snapToGrid w:val="0"/>
              <w:ind w:firstLine="28"/>
              <w:jc w:val="left"/>
              <w:rPr>
                <w:rFonts w:asciiTheme="minorEastAsia" w:hAnsiTheme="minorEastAsia" w:eastAsiaTheme="minorEastAsia"/>
                <w:szCs w:val="21"/>
              </w:rPr>
            </w:pPr>
            <w:r>
              <w:rPr>
                <w:rFonts w:hint="eastAsia" w:asciiTheme="minorEastAsia" w:hAnsiTheme="minorEastAsia" w:eastAsiaTheme="minorEastAsia"/>
                <w:szCs w:val="21"/>
              </w:rPr>
              <w:t>根据第五章采购需求，提供针对本项目的规章制度，内容包括工作人员卫生管理制度、工作人员文明服务规范、全过程业务工作质量管理共3项内容进行综合评审。</w:t>
            </w:r>
          </w:p>
          <w:p>
            <w:pPr>
              <w:snapToGrid w:val="0"/>
              <w:ind w:firstLine="28"/>
              <w:jc w:val="left"/>
              <w:rPr>
                <w:rFonts w:asciiTheme="minorEastAsia" w:hAnsiTheme="minorEastAsia" w:eastAsiaTheme="minorEastAsia"/>
                <w:szCs w:val="21"/>
              </w:rPr>
            </w:pPr>
            <w:r>
              <w:rPr>
                <w:rFonts w:hint="eastAsia" w:asciiTheme="minorEastAsia" w:hAnsiTheme="minorEastAsia" w:eastAsiaTheme="minorEastAsia"/>
                <w:szCs w:val="21"/>
              </w:rPr>
              <w:t>（1）每有一项内容进行了阐述且满足采购需求的，得2分，满分6分。</w:t>
            </w:r>
          </w:p>
          <w:p>
            <w:pPr>
              <w:snapToGrid w:val="0"/>
              <w:ind w:firstLine="28"/>
              <w:jc w:val="left"/>
              <w:rPr>
                <w:rFonts w:asciiTheme="minorEastAsia" w:hAnsiTheme="minorEastAsia" w:eastAsiaTheme="minorEastAsia"/>
                <w:szCs w:val="21"/>
              </w:rPr>
            </w:pPr>
            <w:r>
              <w:rPr>
                <w:rFonts w:hint="eastAsia" w:asciiTheme="minorEastAsia" w:hAnsiTheme="minorEastAsia" w:eastAsiaTheme="minorEastAsia"/>
                <w:szCs w:val="21"/>
              </w:rPr>
              <w:t>（2）每有一项内容虽然进行了阐述但并未贴合采购需求的，得1分，满分3分。</w:t>
            </w:r>
          </w:p>
          <w:p>
            <w:pPr>
              <w:snapToGrid w:val="0"/>
              <w:ind w:firstLine="28"/>
              <w:jc w:val="left"/>
              <w:rPr>
                <w:rFonts w:asciiTheme="minorEastAsia" w:hAnsiTheme="minorEastAsia" w:eastAsiaTheme="minorEastAsia"/>
                <w:szCs w:val="21"/>
              </w:rPr>
            </w:pPr>
            <w:r>
              <w:rPr>
                <w:rFonts w:hint="eastAsia" w:asciiTheme="minorEastAsia" w:hAnsiTheme="minorEastAsia" w:eastAsiaTheme="minorEastAsia"/>
                <w:szCs w:val="21"/>
              </w:rPr>
              <w:t>（3）每有一项内容未进行阐述或阐述内容无法满足采购需求，得0分。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8" w:hRule="atLeast"/>
        </w:trPr>
        <w:tc>
          <w:tcPr>
            <w:tcW w:w="2449" w:type="dxa"/>
            <w:gridSpan w:val="2"/>
            <w:vAlign w:val="center"/>
          </w:tcPr>
          <w:p>
            <w:pPr>
              <w:ind w:firstLine="28"/>
              <w:jc w:val="center"/>
              <w:rPr>
                <w:sz w:val="20"/>
                <w:szCs w:val="20"/>
              </w:rPr>
            </w:pPr>
            <w:r>
              <w:rPr>
                <w:sz w:val="20"/>
                <w:szCs w:val="20"/>
              </w:rPr>
              <w:t>合计</w:t>
            </w:r>
          </w:p>
        </w:tc>
        <w:tc>
          <w:tcPr>
            <w:tcW w:w="856" w:type="dxa"/>
            <w:vAlign w:val="center"/>
          </w:tcPr>
          <w:p>
            <w:pPr>
              <w:ind w:firstLine="28"/>
              <w:jc w:val="center"/>
              <w:rPr>
                <w:sz w:val="20"/>
                <w:szCs w:val="20"/>
              </w:rPr>
            </w:pPr>
            <w:r>
              <w:rPr>
                <w:sz w:val="20"/>
                <w:szCs w:val="20"/>
              </w:rPr>
              <w:t>100</w:t>
            </w:r>
          </w:p>
        </w:tc>
        <w:tc>
          <w:tcPr>
            <w:tcW w:w="6835" w:type="dxa"/>
            <w:vAlign w:val="center"/>
          </w:tcPr>
          <w:p>
            <w:pPr>
              <w:rPr>
                <w:sz w:val="20"/>
                <w:szCs w:val="20"/>
              </w:rPr>
            </w:pPr>
          </w:p>
        </w:tc>
      </w:tr>
    </w:tbl>
    <w:p>
      <w:pPr>
        <w:tabs>
          <w:tab w:val="left" w:pos="360"/>
          <w:tab w:val="left" w:pos="900"/>
        </w:tabs>
        <w:snapToGrid w:val="0"/>
        <w:spacing w:line="360" w:lineRule="auto"/>
        <w:outlineLvl w:val="1"/>
        <w:rPr>
          <w:sz w:val="24"/>
        </w:rPr>
      </w:pPr>
    </w:p>
    <w:p>
      <w:pPr>
        <w:pStyle w:val="2"/>
      </w:pPr>
    </w:p>
    <w:p>
      <w:pPr>
        <w:spacing w:line="360" w:lineRule="auto"/>
        <w:jc w:val="center"/>
        <w:outlineLvl w:val="0"/>
        <w:rPr>
          <w:b/>
          <w:sz w:val="36"/>
          <w:szCs w:val="36"/>
        </w:rPr>
      </w:pPr>
      <w:r>
        <w:rPr>
          <w:b/>
          <w:sz w:val="36"/>
          <w:szCs w:val="36"/>
        </w:rPr>
        <w:br w:type="page"/>
      </w:r>
      <w:bookmarkStart w:id="188" w:name="_Toc147735554"/>
      <w:r>
        <w:rPr>
          <w:b/>
          <w:sz w:val="36"/>
          <w:szCs w:val="36"/>
        </w:rPr>
        <w:t>第五章   采购需求</w:t>
      </w:r>
      <w:bookmarkEnd w:id="188"/>
    </w:p>
    <w:p>
      <w:pPr>
        <w:spacing w:before="120" w:line="360" w:lineRule="auto"/>
        <w:rPr>
          <w:rFonts w:ascii="宋体" w:hAnsi="宋体" w:cs="Arial"/>
          <w:kern w:val="0"/>
          <w:sz w:val="24"/>
        </w:rPr>
      </w:pPr>
      <w:r>
        <w:rPr>
          <w:rFonts w:hint="eastAsia" w:ascii="宋体" w:hAnsi="宋体"/>
          <w:sz w:val="24"/>
        </w:rPr>
        <w:t>一.项目编号：0686-2411BG100125Z</w:t>
      </w:r>
    </w:p>
    <w:p>
      <w:pPr>
        <w:spacing w:before="120" w:line="360" w:lineRule="auto"/>
        <w:rPr>
          <w:rFonts w:ascii="宋体" w:hAnsi="宋体" w:cs="Arial"/>
          <w:kern w:val="0"/>
          <w:sz w:val="24"/>
        </w:rPr>
      </w:pPr>
      <w:r>
        <w:rPr>
          <w:rFonts w:hint="eastAsia" w:ascii="宋体" w:hAnsi="宋体"/>
          <w:sz w:val="24"/>
        </w:rPr>
        <w:t>二.项目名称：</w:t>
      </w:r>
      <w:r>
        <w:rPr>
          <w:rFonts w:ascii="宋体" w:hAnsi="宋体" w:cs="Arial"/>
          <w:kern w:val="0"/>
          <w:sz w:val="24"/>
        </w:rPr>
        <w:t xml:space="preserve"> </w:t>
      </w:r>
      <w:r>
        <w:rPr>
          <w:rFonts w:hint="eastAsia" w:ascii="宋体" w:hAnsi="宋体"/>
          <w:bCs/>
          <w:sz w:val="24"/>
        </w:rPr>
        <w:t>轨道交通运营安全专职督察员工作餐</w:t>
      </w:r>
    </w:p>
    <w:p>
      <w:pPr>
        <w:spacing w:before="120" w:line="360" w:lineRule="auto"/>
        <w:ind w:left="240" w:hanging="240" w:hangingChars="100"/>
        <w:rPr>
          <w:rFonts w:ascii="宋体" w:hAnsi="宋体"/>
          <w:sz w:val="24"/>
        </w:rPr>
      </w:pPr>
      <w:r>
        <w:rPr>
          <w:rFonts w:hint="eastAsia" w:ascii="宋体" w:hAnsi="宋体"/>
          <w:sz w:val="24"/>
        </w:rPr>
        <w:t>三.采购需求书：</w:t>
      </w:r>
    </w:p>
    <w:p>
      <w:pPr>
        <w:pStyle w:val="96"/>
        <w:numPr>
          <w:ilvl w:val="0"/>
          <w:numId w:val="13"/>
        </w:numPr>
        <w:spacing w:line="560" w:lineRule="exact"/>
        <w:ind w:firstLineChars="0"/>
        <w:rPr>
          <w:rFonts w:ascii="宋体" w:hAnsi="宋体"/>
          <w:sz w:val="24"/>
          <w:szCs w:val="24"/>
        </w:rPr>
      </w:pPr>
      <w:r>
        <w:rPr>
          <w:rFonts w:hint="eastAsia" w:ascii="宋体" w:hAnsi="宋体"/>
          <w:sz w:val="24"/>
          <w:szCs w:val="24"/>
        </w:rPr>
        <w:t>项目基本情况介绍</w:t>
      </w:r>
    </w:p>
    <w:p>
      <w:pPr>
        <w:spacing w:line="560" w:lineRule="exact"/>
        <w:ind w:firstLine="480" w:firstLineChars="200"/>
        <w:rPr>
          <w:rFonts w:ascii="宋体" w:hAnsi="宋体"/>
          <w:sz w:val="24"/>
        </w:rPr>
      </w:pPr>
      <w:r>
        <w:rPr>
          <w:rFonts w:hint="eastAsia" w:ascii="宋体" w:hAnsi="宋体"/>
          <w:sz w:val="24"/>
        </w:rPr>
        <w:t>十三支队按照目前工作餐28元/份的标准，对2024年3月至12月督查员工作餐实施公开招标，预计总金额不超过350.7196万元。</w:t>
      </w:r>
    </w:p>
    <w:p>
      <w:pPr>
        <w:pStyle w:val="96"/>
        <w:numPr>
          <w:ilvl w:val="0"/>
          <w:numId w:val="13"/>
        </w:numPr>
        <w:spacing w:line="560" w:lineRule="exact"/>
        <w:ind w:firstLineChars="0"/>
        <w:rPr>
          <w:rFonts w:ascii="宋体" w:hAnsi="宋体"/>
          <w:sz w:val="24"/>
          <w:szCs w:val="24"/>
        </w:rPr>
      </w:pPr>
      <w:r>
        <w:rPr>
          <w:rFonts w:hint="eastAsia" w:ascii="宋体" w:hAnsi="宋体"/>
          <w:sz w:val="24"/>
          <w:szCs w:val="24"/>
        </w:rPr>
        <w:t>供餐企业需求</w:t>
      </w:r>
    </w:p>
    <w:p>
      <w:pPr>
        <w:spacing w:line="560" w:lineRule="exact"/>
        <w:ind w:firstLine="480" w:firstLineChars="200"/>
        <w:rPr>
          <w:rFonts w:ascii="宋体" w:hAnsi="宋体"/>
          <w:sz w:val="24"/>
        </w:rPr>
      </w:pPr>
      <w:r>
        <w:rPr>
          <w:rFonts w:ascii="宋体" w:hAnsi="宋体"/>
          <w:sz w:val="24"/>
        </w:rPr>
        <w:t>1</w:t>
      </w:r>
      <w:r>
        <w:rPr>
          <w:rFonts w:hint="eastAsia" w:ascii="宋体" w:hAnsi="宋体"/>
          <w:sz w:val="24"/>
        </w:rPr>
        <w:t>.企业拥有独立的蔬菜、肉蛋、海鲜、调味料、农副产品的供应公司。</w:t>
      </w:r>
    </w:p>
    <w:p>
      <w:pPr>
        <w:spacing w:line="560" w:lineRule="exact"/>
        <w:ind w:firstLine="480" w:firstLineChars="200"/>
        <w:rPr>
          <w:rFonts w:ascii="宋体" w:hAnsi="宋体"/>
          <w:sz w:val="24"/>
        </w:rPr>
      </w:pPr>
      <w:r>
        <w:rPr>
          <w:rFonts w:ascii="宋体" w:hAnsi="宋体"/>
          <w:sz w:val="24"/>
        </w:rPr>
        <w:t>2</w:t>
      </w:r>
      <w:r>
        <w:rPr>
          <w:rFonts w:hint="eastAsia" w:ascii="宋体" w:hAnsi="宋体"/>
          <w:sz w:val="24"/>
        </w:rPr>
        <w:t>.企业须拥有食品安全管理体系认证证书、质量管理体系认证证书、职业健康安全管理体系认证证书和环境管理体系认证证书。</w:t>
      </w:r>
    </w:p>
    <w:p>
      <w:pPr>
        <w:pStyle w:val="96"/>
        <w:numPr>
          <w:ilvl w:val="0"/>
          <w:numId w:val="13"/>
        </w:numPr>
        <w:spacing w:line="560" w:lineRule="exact"/>
        <w:ind w:firstLineChars="0"/>
        <w:rPr>
          <w:rFonts w:ascii="宋体" w:hAnsi="宋体"/>
          <w:sz w:val="24"/>
          <w:szCs w:val="24"/>
        </w:rPr>
      </w:pPr>
      <w:r>
        <w:rPr>
          <w:rFonts w:hint="eastAsia" w:ascii="宋体" w:hAnsi="宋体"/>
          <w:sz w:val="24"/>
          <w:szCs w:val="24"/>
        </w:rPr>
        <w:t>供餐需求</w:t>
      </w:r>
    </w:p>
    <w:p>
      <w:pPr>
        <w:spacing w:line="560" w:lineRule="exact"/>
        <w:ind w:firstLine="480" w:firstLineChars="200"/>
        <w:rPr>
          <w:rFonts w:ascii="宋体" w:hAnsi="宋体"/>
          <w:sz w:val="24"/>
        </w:rPr>
      </w:pPr>
      <w:bookmarkStart w:id="189" w:name="_Hlk70584724"/>
      <w:r>
        <w:rPr>
          <w:rFonts w:hint="eastAsia" w:ascii="宋体" w:hAnsi="宋体"/>
          <w:sz w:val="24"/>
        </w:rPr>
        <w:t>为十三支队在全市轨道交通路网勤务工作提供盒饭配餐服务。共计五个大队及支队机关，涉及员工总数约为</w:t>
      </w:r>
      <w:r>
        <w:rPr>
          <w:rFonts w:hint="eastAsia" w:ascii="宋体" w:hAnsi="宋体"/>
          <w:color w:val="auto"/>
          <w:sz w:val="24"/>
        </w:rPr>
        <w:t>649人。供</w:t>
      </w:r>
      <w:r>
        <w:rPr>
          <w:rFonts w:hint="eastAsia" w:ascii="宋体" w:hAnsi="宋体"/>
          <w:color w:val="000000" w:themeColor="text1"/>
          <w:sz w:val="24"/>
          <w14:textFill>
            <w14:solidFill>
              <w14:schemeClr w14:val="tx1"/>
            </w14:solidFill>
          </w14:textFill>
        </w:rPr>
        <w:t>餐点位需求如下：</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一大队需要在郝家府、北京站、十里堡、方庄、大望路、共计5</w:t>
      </w:r>
      <w:r>
        <w:rPr>
          <w:rFonts w:ascii="宋体" w:hAnsi="宋体" w:cs="微软雅黑"/>
          <w:color w:val="auto"/>
          <w:sz w:val="24"/>
        </w:rPr>
        <w:t>处地铁站提供配餐。</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二大队需要在北京西站、西红门、慈寿寺、科怡路、建国门共计</w:t>
      </w:r>
      <w:r>
        <w:rPr>
          <w:rFonts w:ascii="宋体" w:hAnsi="宋体" w:cs="微软雅黑"/>
          <w:color w:val="auto"/>
          <w:sz w:val="24"/>
        </w:rPr>
        <w:t>5处地铁站提供配餐。</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三大队需要在动物园、积水潭、慈寿寺、安定门、清河、大屯路东共计6</w:t>
      </w:r>
      <w:r>
        <w:rPr>
          <w:rFonts w:ascii="宋体" w:hAnsi="宋体" w:cs="微软雅黑"/>
          <w:color w:val="auto"/>
          <w:sz w:val="24"/>
        </w:rPr>
        <w:t>处地铁站提供配餐。</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四大队需要在东大桥、阜通、安定门、大屯路东、东直门共计5</w:t>
      </w:r>
      <w:r>
        <w:rPr>
          <w:rFonts w:ascii="宋体" w:hAnsi="宋体" w:cs="微软雅黑"/>
          <w:color w:val="auto"/>
          <w:sz w:val="24"/>
        </w:rPr>
        <w:t>处地铁站提供配餐。</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五大队需要在方庄、草桥、安定门、西红门、动物园、北京站、北京西站、积水潭共计8</w:t>
      </w:r>
      <w:r>
        <w:rPr>
          <w:rFonts w:ascii="宋体" w:hAnsi="宋体" w:cs="微软雅黑"/>
          <w:color w:val="auto"/>
          <w:sz w:val="24"/>
        </w:rPr>
        <w:t>处地铁站提供配餐。</w:t>
      </w:r>
    </w:p>
    <w:p>
      <w:pPr>
        <w:spacing w:line="470" w:lineRule="exact"/>
        <w:ind w:firstLine="480" w:firstLineChars="200"/>
        <w:rPr>
          <w:rFonts w:ascii="宋体" w:hAnsi="宋体"/>
          <w:color w:val="auto"/>
          <w:sz w:val="24"/>
        </w:rPr>
      </w:pPr>
      <w:r>
        <w:rPr>
          <w:rFonts w:hint="eastAsia" w:ascii="宋体" w:hAnsi="宋体" w:cs="微软雅黑"/>
          <w:color w:val="auto"/>
          <w:sz w:val="24"/>
        </w:rPr>
        <w:t>在极端天气或重大活动保障任务等特殊情况下需要在指定地点提供配餐。</w:t>
      </w:r>
    </w:p>
    <w:bookmarkEnd w:id="189"/>
    <w:p>
      <w:pPr>
        <w:pStyle w:val="96"/>
        <w:numPr>
          <w:ilvl w:val="0"/>
          <w:numId w:val="13"/>
        </w:numPr>
        <w:spacing w:line="560" w:lineRule="exact"/>
        <w:ind w:firstLineChars="0"/>
        <w:rPr>
          <w:rFonts w:ascii="宋体" w:hAnsi="宋体"/>
          <w:color w:val="auto"/>
          <w:sz w:val="24"/>
          <w:szCs w:val="24"/>
        </w:rPr>
      </w:pPr>
      <w:r>
        <w:rPr>
          <w:rFonts w:hint="eastAsia" w:ascii="宋体" w:hAnsi="宋体"/>
          <w:color w:val="auto"/>
          <w:sz w:val="24"/>
          <w:szCs w:val="24"/>
        </w:rPr>
        <w:t>供餐标准</w:t>
      </w:r>
    </w:p>
    <w:p>
      <w:pPr>
        <w:pStyle w:val="96"/>
        <w:spacing w:line="560" w:lineRule="exact"/>
        <w:ind w:left="1360" w:firstLine="0" w:firstLineChars="0"/>
        <w:rPr>
          <w:rFonts w:ascii="宋体" w:hAnsi="宋体"/>
          <w:sz w:val="24"/>
          <w:szCs w:val="24"/>
        </w:rPr>
      </w:pPr>
    </w:p>
    <w:p>
      <w:pPr>
        <w:tabs>
          <w:tab w:val="left" w:pos="2196"/>
        </w:tabs>
        <w:spacing w:line="560" w:lineRule="exact"/>
        <w:ind w:left="210" w:leftChars="100" w:firstLine="360" w:firstLineChars="150"/>
        <w:jc w:val="left"/>
        <w:rPr>
          <w:rFonts w:ascii="宋体" w:hAnsi="宋体"/>
          <w:sz w:val="24"/>
        </w:rPr>
      </w:pPr>
    </w:p>
    <w:p>
      <w:pPr>
        <w:tabs>
          <w:tab w:val="left" w:pos="2196"/>
        </w:tabs>
        <w:spacing w:line="560" w:lineRule="exact"/>
        <w:ind w:left="210" w:leftChars="100" w:firstLine="360" w:firstLineChars="150"/>
        <w:jc w:val="left"/>
        <w:rPr>
          <w:rFonts w:ascii="宋体" w:hAnsi="宋体"/>
          <w:sz w:val="24"/>
        </w:rPr>
      </w:pPr>
      <w:r>
        <w:rPr>
          <w:rFonts w:hint="eastAsia" w:ascii="宋体" w:hAnsi="宋体"/>
          <w:sz w:val="24"/>
        </w:rPr>
        <w:t>1.盒饭每份份量以一般饭盒标准为准，配置为：</w:t>
      </w:r>
    </w:p>
    <w:p>
      <w:pPr>
        <w:tabs>
          <w:tab w:val="left" w:pos="2196"/>
        </w:tabs>
        <w:spacing w:line="560" w:lineRule="exact"/>
        <w:ind w:firstLine="240" w:firstLineChars="100"/>
        <w:jc w:val="left"/>
        <w:rPr>
          <w:rFonts w:ascii="宋体" w:hAnsi="宋体"/>
          <w:color w:val="auto"/>
          <w:sz w:val="24"/>
        </w:rPr>
      </w:pPr>
      <w:r>
        <w:rPr>
          <w:rFonts w:hint="eastAsia" w:ascii="宋体" w:hAnsi="宋体"/>
          <w:color w:val="auto"/>
          <w:sz w:val="24"/>
        </w:rPr>
        <w:t>两荤菜+两素菜+小吃+米饭+面食+（饮料、酸奶、水果）三选一。</w:t>
      </w:r>
    </w:p>
    <w:p>
      <w:pPr>
        <w:tabs>
          <w:tab w:val="left" w:pos="1926"/>
        </w:tabs>
        <w:spacing w:line="560" w:lineRule="exact"/>
        <w:jc w:val="left"/>
        <w:rPr>
          <w:rFonts w:ascii="宋体" w:hAnsi="宋体"/>
          <w:sz w:val="24"/>
        </w:rPr>
      </w:pPr>
      <w:r>
        <w:rPr>
          <w:rFonts w:hint="eastAsia" w:ascii="宋体" w:hAnsi="宋体"/>
          <w:sz w:val="24"/>
        </w:rPr>
        <w:t>节日期间要有特色小吃：春节饺子，元宵节汤圆，端午节粽子，中秋节月饼。</w:t>
      </w:r>
    </w:p>
    <w:p>
      <w:pPr>
        <w:spacing w:line="560" w:lineRule="exact"/>
        <w:ind w:firstLine="600" w:firstLineChars="250"/>
        <w:rPr>
          <w:rFonts w:ascii="宋体" w:hAnsi="宋体"/>
          <w:sz w:val="24"/>
        </w:rPr>
      </w:pPr>
      <w:r>
        <w:rPr>
          <w:rFonts w:hint="eastAsia" w:ascii="宋体" w:hAnsi="宋体"/>
          <w:sz w:val="24"/>
        </w:rPr>
        <w:t>2.供餐时间：</w:t>
      </w:r>
    </w:p>
    <w:p>
      <w:pPr>
        <w:spacing w:line="560" w:lineRule="exact"/>
        <w:ind w:firstLine="600" w:firstLineChars="250"/>
        <w:rPr>
          <w:rFonts w:ascii="宋体" w:hAnsi="宋体"/>
          <w:sz w:val="24"/>
        </w:rPr>
      </w:pPr>
      <w:r>
        <w:rPr>
          <w:rFonts w:hint="eastAsia" w:ascii="宋体" w:hAnsi="宋体"/>
          <w:sz w:val="24"/>
        </w:rPr>
        <w:t>（1）供餐方保证全年365天不间断供餐，并重点保障法定节假日（特别是春节、五一、十一期间）的供餐。如日常未能保障供餐的，则按照当日不能供餐金额的两倍支付违约金，如节假日未能保障供餐的，则按照当日不能供餐金额的三倍支付违约金（未能供餐是指：支队及支队订餐后，供餐方未能提供供餐）支队在结算餐费时扣除违约金。</w:t>
      </w:r>
    </w:p>
    <w:p>
      <w:pPr>
        <w:spacing w:line="560" w:lineRule="exact"/>
        <w:ind w:firstLine="480" w:firstLineChars="200"/>
        <w:rPr>
          <w:rFonts w:ascii="宋体" w:hAnsi="宋体"/>
          <w:sz w:val="24"/>
        </w:rPr>
      </w:pPr>
      <w:r>
        <w:rPr>
          <w:rFonts w:hint="eastAsia" w:ascii="宋体" w:hAnsi="宋体"/>
          <w:sz w:val="24"/>
        </w:rPr>
        <w:t>（2）大队提前与供餐方约定好各供餐点每日午餐及晚餐的配送时间，供餐方按照要求将所报盒饭的数量制作完成，等待各餐点配送及取餐。</w:t>
      </w:r>
    </w:p>
    <w:p>
      <w:pPr>
        <w:spacing w:line="560" w:lineRule="exact"/>
        <w:ind w:firstLine="600" w:firstLineChars="250"/>
        <w:rPr>
          <w:rFonts w:ascii="宋体" w:hAnsi="宋体"/>
          <w:sz w:val="24"/>
        </w:rPr>
      </w:pPr>
      <w:r>
        <w:rPr>
          <w:rFonts w:hint="eastAsia" w:ascii="宋体" w:hAnsi="宋体"/>
          <w:sz w:val="24"/>
        </w:rPr>
        <w:t>3.每日供餐份数：各大队指定人员提前与供餐方约定好时间，提前告知次日各供餐点订餐数量（具体数量以双方实际发生的数量为准）。</w:t>
      </w:r>
    </w:p>
    <w:p>
      <w:pPr>
        <w:spacing w:line="560" w:lineRule="exact"/>
        <w:ind w:firstLine="600" w:firstLineChars="250"/>
        <w:rPr>
          <w:rFonts w:ascii="宋体" w:hAnsi="宋体"/>
          <w:sz w:val="24"/>
        </w:rPr>
      </w:pPr>
      <w:r>
        <w:rPr>
          <w:rFonts w:hint="eastAsia" w:ascii="宋体" w:hAnsi="宋体"/>
          <w:sz w:val="24"/>
        </w:rPr>
        <w:t>4.每日供餐，除主食外，荤菜、素菜、食物应当没有相同的菜肴，食谱上一周内应当不出现相同菜肴，如有供应困难的情况，必须重复同一种菜时，需提前告知各大队联系人征得同意后，方可使用不同烹调方法进行配餐。</w:t>
      </w:r>
    </w:p>
    <w:p>
      <w:pPr>
        <w:spacing w:line="560" w:lineRule="exact"/>
        <w:ind w:firstLine="600" w:firstLineChars="250"/>
        <w:rPr>
          <w:rFonts w:ascii="宋体" w:hAnsi="宋体"/>
          <w:sz w:val="24"/>
        </w:rPr>
      </w:pPr>
      <w:r>
        <w:rPr>
          <w:rFonts w:hint="eastAsia" w:ascii="宋体" w:hAnsi="宋体"/>
          <w:sz w:val="24"/>
        </w:rPr>
        <w:t>5.供餐方提供的菜品应做好保温工作，保证菜品温度。</w:t>
      </w:r>
    </w:p>
    <w:p>
      <w:pPr>
        <w:spacing w:line="560" w:lineRule="exact"/>
        <w:ind w:firstLine="600" w:firstLineChars="250"/>
        <w:rPr>
          <w:rFonts w:ascii="宋体" w:hAnsi="宋体"/>
          <w:sz w:val="24"/>
        </w:rPr>
      </w:pPr>
      <w:r>
        <w:rPr>
          <w:rFonts w:hint="eastAsia" w:ascii="宋体" w:hAnsi="宋体"/>
          <w:sz w:val="24"/>
        </w:rPr>
        <w:t>6.供餐方保证按需求份数提供回民餐。</w:t>
      </w:r>
    </w:p>
    <w:p>
      <w:pPr>
        <w:spacing w:line="560" w:lineRule="exact"/>
        <w:ind w:firstLine="600" w:firstLineChars="250"/>
        <w:rPr>
          <w:rFonts w:ascii="宋体" w:hAnsi="宋体"/>
          <w:sz w:val="24"/>
        </w:rPr>
      </w:pPr>
      <w:r>
        <w:rPr>
          <w:rFonts w:hint="eastAsia" w:ascii="宋体" w:hAnsi="宋体"/>
          <w:sz w:val="24"/>
        </w:rPr>
        <w:t>7.供餐方对于支队及大队提供关于员工口味要求、菜品种类的合理要求，需要满足。</w:t>
      </w:r>
    </w:p>
    <w:p>
      <w:pPr>
        <w:spacing w:line="560" w:lineRule="exact"/>
        <w:ind w:firstLine="480" w:firstLineChars="200"/>
        <w:rPr>
          <w:rFonts w:ascii="宋体" w:hAnsi="宋体"/>
          <w:sz w:val="24"/>
        </w:rPr>
      </w:pPr>
      <w:r>
        <w:rPr>
          <w:rFonts w:hint="eastAsia" w:ascii="宋体" w:hAnsi="宋体"/>
          <w:sz w:val="24"/>
        </w:rPr>
        <w:t>五、原材料采购及制作人标准</w:t>
      </w:r>
    </w:p>
    <w:p>
      <w:pPr>
        <w:spacing w:line="560" w:lineRule="exact"/>
        <w:ind w:firstLine="600" w:firstLineChars="250"/>
        <w:rPr>
          <w:rFonts w:ascii="宋体" w:hAnsi="宋体"/>
          <w:color w:val="auto"/>
          <w:sz w:val="24"/>
        </w:rPr>
      </w:pPr>
      <w:r>
        <w:rPr>
          <w:rFonts w:hint="eastAsia" w:ascii="宋体" w:hAnsi="宋体"/>
          <w:color w:val="auto"/>
          <w:sz w:val="24"/>
        </w:rPr>
        <w:t>1.供餐方保证所使用的食用油为非转基因油、食材、餐具等均为正规厂商提供保证健康、安全、卫生，有票据可追溯，并对所使用的的原材料进行定期公示，严禁使用预制品。</w:t>
      </w:r>
    </w:p>
    <w:p>
      <w:pPr>
        <w:spacing w:line="560" w:lineRule="exact"/>
        <w:ind w:firstLine="600" w:firstLineChars="250"/>
        <w:rPr>
          <w:rFonts w:ascii="宋体" w:hAnsi="宋体"/>
          <w:color w:val="auto"/>
          <w:sz w:val="24"/>
        </w:rPr>
      </w:pPr>
      <w:r>
        <w:rPr>
          <w:rFonts w:hint="eastAsia" w:ascii="宋体" w:hAnsi="宋体"/>
          <w:color w:val="auto"/>
          <w:sz w:val="24"/>
        </w:rPr>
        <w:t>2.供餐方人员均符合国家健康、卫生、安全等要求。健康证件须公示在餐厅明显位置。</w:t>
      </w:r>
    </w:p>
    <w:p>
      <w:pPr>
        <w:spacing w:line="560" w:lineRule="exact"/>
        <w:ind w:firstLine="480" w:firstLineChars="200"/>
        <w:rPr>
          <w:rFonts w:ascii="宋体" w:hAnsi="宋体"/>
          <w:sz w:val="24"/>
        </w:rPr>
      </w:pPr>
      <w:r>
        <w:rPr>
          <w:rFonts w:hint="eastAsia" w:ascii="宋体" w:hAnsi="宋体"/>
          <w:sz w:val="24"/>
        </w:rPr>
        <w:t>3. 供餐方提供以下食品，支队有权利立即解除合同，供餐方还应承担由此引发的全部法律责任。</w:t>
      </w:r>
    </w:p>
    <w:p>
      <w:pPr>
        <w:spacing w:line="560" w:lineRule="exact"/>
        <w:ind w:firstLine="600" w:firstLineChars="250"/>
        <w:rPr>
          <w:rFonts w:ascii="宋体" w:hAnsi="宋体"/>
          <w:sz w:val="24"/>
        </w:rPr>
      </w:pPr>
      <w:r>
        <w:rPr>
          <w:rFonts w:hint="eastAsia" w:ascii="宋体" w:hAnsi="宋体"/>
          <w:sz w:val="24"/>
        </w:rPr>
        <w:t>（1）腐败变质、油脂酸败、霉变、生虫、混有异物、污秽不洁或者其他器官形状异常，对人体健康有害的。</w:t>
      </w:r>
    </w:p>
    <w:p>
      <w:pPr>
        <w:spacing w:line="560" w:lineRule="exact"/>
        <w:ind w:firstLine="840" w:firstLineChars="350"/>
        <w:rPr>
          <w:rFonts w:ascii="宋体" w:hAnsi="宋体"/>
          <w:sz w:val="24"/>
        </w:rPr>
      </w:pPr>
      <w:r>
        <w:rPr>
          <w:rFonts w:hint="eastAsia" w:ascii="宋体" w:hAnsi="宋体"/>
          <w:sz w:val="24"/>
        </w:rPr>
        <w:t>（2）有毒、有害物质或者被有害物质污染，对人体健康有害的。</w:t>
      </w:r>
    </w:p>
    <w:p>
      <w:pPr>
        <w:spacing w:line="560" w:lineRule="exact"/>
        <w:ind w:firstLine="840" w:firstLineChars="350"/>
        <w:rPr>
          <w:rFonts w:ascii="宋体" w:hAnsi="宋体"/>
          <w:sz w:val="24"/>
        </w:rPr>
      </w:pPr>
      <w:r>
        <w:rPr>
          <w:rFonts w:hint="eastAsia" w:ascii="宋体" w:hAnsi="宋体"/>
          <w:sz w:val="24"/>
        </w:rPr>
        <w:t>（3）含有治病性寄生虫、微生物或者微生物含量超过国家限定标准的。</w:t>
      </w:r>
    </w:p>
    <w:p>
      <w:pPr>
        <w:spacing w:line="560" w:lineRule="exact"/>
        <w:ind w:firstLine="840" w:firstLineChars="350"/>
        <w:rPr>
          <w:rFonts w:ascii="宋体" w:hAnsi="宋体"/>
          <w:sz w:val="24"/>
        </w:rPr>
      </w:pPr>
      <w:r>
        <w:rPr>
          <w:rFonts w:hint="eastAsia" w:ascii="宋体" w:hAnsi="宋体"/>
          <w:sz w:val="24"/>
        </w:rPr>
        <w:t>（4）未经动物检疫部门检疫、检验或者检疫、检验不合格的肉类及其制品。</w:t>
      </w:r>
    </w:p>
    <w:p>
      <w:pPr>
        <w:spacing w:line="560" w:lineRule="exact"/>
        <w:ind w:firstLine="840" w:firstLineChars="350"/>
        <w:rPr>
          <w:rFonts w:ascii="宋体" w:hAnsi="宋体"/>
          <w:sz w:val="24"/>
        </w:rPr>
      </w:pPr>
      <w:r>
        <w:rPr>
          <w:rFonts w:hint="eastAsia" w:ascii="宋体" w:hAnsi="宋体"/>
          <w:sz w:val="24"/>
        </w:rPr>
        <w:t>（5）病死、毒死或者死因不明的禽、畜、兽、水产动物等及其制品。</w:t>
      </w:r>
    </w:p>
    <w:p>
      <w:pPr>
        <w:spacing w:line="560" w:lineRule="exact"/>
        <w:ind w:firstLine="840" w:firstLineChars="350"/>
        <w:rPr>
          <w:rFonts w:ascii="宋体" w:hAnsi="宋体"/>
          <w:sz w:val="24"/>
        </w:rPr>
      </w:pPr>
      <w:r>
        <w:rPr>
          <w:rFonts w:hint="eastAsia" w:ascii="宋体" w:hAnsi="宋体"/>
          <w:sz w:val="24"/>
        </w:rPr>
        <w:t>（6）掺假、掺杂、伪造，影响营养、卫生的。</w:t>
      </w:r>
    </w:p>
    <w:p>
      <w:pPr>
        <w:spacing w:line="560" w:lineRule="exact"/>
        <w:ind w:firstLine="840" w:firstLineChars="350"/>
        <w:rPr>
          <w:rFonts w:ascii="宋体" w:hAnsi="宋体"/>
          <w:sz w:val="24"/>
        </w:rPr>
      </w:pPr>
      <w:r>
        <w:rPr>
          <w:rFonts w:hint="eastAsia" w:ascii="宋体" w:hAnsi="宋体"/>
          <w:sz w:val="24"/>
        </w:rPr>
        <w:t>（7）用非食品原料加工的，加入非食品用化学物质或者将非食品当作食品的。</w:t>
      </w:r>
    </w:p>
    <w:p>
      <w:pPr>
        <w:spacing w:line="560" w:lineRule="exact"/>
        <w:ind w:firstLine="840" w:firstLineChars="350"/>
        <w:rPr>
          <w:rFonts w:ascii="宋体" w:hAnsi="宋体"/>
          <w:sz w:val="24"/>
        </w:rPr>
      </w:pPr>
      <w:r>
        <w:rPr>
          <w:rFonts w:hint="eastAsia" w:ascii="宋体" w:hAnsi="宋体"/>
          <w:sz w:val="24"/>
        </w:rPr>
        <w:t>（8</w:t>
      </w:r>
      <w:r>
        <w:rPr>
          <w:rFonts w:hint="eastAsia" w:ascii="宋体" w:hAnsi="宋体"/>
          <w:sz w:val="24"/>
        </w:rPr>
        <w:tab/>
      </w:r>
      <w:r>
        <w:rPr>
          <w:rFonts w:hint="eastAsia" w:ascii="宋体" w:hAnsi="宋体"/>
          <w:sz w:val="24"/>
        </w:rPr>
        <w:t>）超过保质期限的。</w:t>
      </w:r>
    </w:p>
    <w:p>
      <w:pPr>
        <w:spacing w:line="560" w:lineRule="exact"/>
        <w:ind w:firstLine="480" w:firstLineChars="200"/>
        <w:rPr>
          <w:rFonts w:ascii="宋体" w:hAnsi="宋体"/>
          <w:sz w:val="24"/>
        </w:rPr>
      </w:pPr>
      <w:r>
        <w:rPr>
          <w:rFonts w:hint="eastAsia" w:ascii="宋体" w:hAnsi="宋体"/>
          <w:sz w:val="24"/>
        </w:rPr>
        <w:t>六、结算方式</w:t>
      </w:r>
    </w:p>
    <w:p>
      <w:pPr>
        <w:spacing w:line="560" w:lineRule="exact"/>
        <w:ind w:firstLine="840" w:firstLineChars="350"/>
        <w:rPr>
          <w:rFonts w:ascii="宋体" w:hAnsi="宋体"/>
          <w:sz w:val="24"/>
        </w:rPr>
      </w:pPr>
      <w:r>
        <w:rPr>
          <w:rFonts w:hint="eastAsia" w:ascii="宋体" w:hAnsi="宋体"/>
          <w:sz w:val="24"/>
        </w:rPr>
        <w:t>结算标准：28元/份（可根据总队统一部署适当提高）</w:t>
      </w:r>
    </w:p>
    <w:p>
      <w:pPr>
        <w:spacing w:line="560" w:lineRule="exact"/>
        <w:ind w:firstLine="840" w:firstLineChars="350"/>
        <w:rPr>
          <w:sz w:val="24"/>
        </w:rPr>
      </w:pPr>
      <w:r>
        <w:rPr>
          <w:rFonts w:hint="eastAsia" w:ascii="宋体" w:hAnsi="宋体"/>
          <w:sz w:val="24"/>
        </w:rPr>
        <w:t>结算周期：大队负责餐费人员与供餐方每月月底结束后相互核对就餐底单数量及金额，对账无误后，大队人员将就餐底单交至后勤装备科负责餐费人员，再次核对无误后，上报财务，支队于次月20日前 向供餐方支付上月餐费（支票或转账）。供餐方在收到餐费3日内将相关发票交至支队负责人处。</w:t>
      </w:r>
      <w:r>
        <w:rPr>
          <w:sz w:val="24"/>
        </w:rPr>
        <w:br w:type="page"/>
      </w:r>
    </w:p>
    <w:p>
      <w:pPr>
        <w:spacing w:before="360" w:after="240" w:line="360" w:lineRule="auto"/>
        <w:jc w:val="center"/>
        <w:outlineLvl w:val="0"/>
        <w:rPr>
          <w:b/>
          <w:sz w:val="36"/>
          <w:szCs w:val="36"/>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bookmarkStart w:id="190" w:name="_Toc147735555"/>
      <w:r>
        <w:rPr>
          <w:b/>
          <w:sz w:val="36"/>
          <w:szCs w:val="36"/>
        </w:rPr>
        <w:t xml:space="preserve">第六章   </w:t>
      </w:r>
      <w:r>
        <w:rPr>
          <w:rFonts w:hint="eastAsia"/>
          <w:b/>
          <w:sz w:val="36"/>
          <w:szCs w:val="36"/>
        </w:rPr>
        <w:t>政府采购合同格式</w:t>
      </w:r>
      <w:bookmarkEnd w:id="190"/>
    </w:p>
    <w:p>
      <w:pPr>
        <w:spacing w:line="470" w:lineRule="exact"/>
        <w:jc w:val="center"/>
        <w:rPr>
          <w:rFonts w:ascii="宋体" w:hAnsi="宋体" w:cs="微软雅黑"/>
          <w:sz w:val="24"/>
        </w:rPr>
      </w:pPr>
      <w:bookmarkStart w:id="191" w:name="_Toc109542395"/>
      <w:bookmarkStart w:id="192" w:name="_Toc109543215"/>
      <w:r>
        <w:rPr>
          <w:rFonts w:hint="eastAsia" w:ascii="宋体" w:hAnsi="宋体"/>
          <w:sz w:val="30"/>
          <w:szCs w:val="30"/>
        </w:rPr>
        <w:t xml:space="preserve">  </w:t>
      </w:r>
      <w:r>
        <w:rPr>
          <w:rFonts w:hint="eastAsia" w:ascii="宋体" w:hAnsi="宋体" w:cs="微软雅黑"/>
          <w:b/>
          <w:bCs/>
          <w:sz w:val="28"/>
          <w:szCs w:val="28"/>
        </w:rPr>
        <w:t>订  餐  协  议  书</w:t>
      </w:r>
    </w:p>
    <w:p>
      <w:pPr>
        <w:spacing w:line="470" w:lineRule="exact"/>
        <w:rPr>
          <w:rFonts w:ascii="宋体" w:hAnsi="宋体" w:cs="微软雅黑"/>
          <w:sz w:val="24"/>
        </w:rPr>
      </w:pPr>
    </w:p>
    <w:p>
      <w:pPr>
        <w:spacing w:line="470" w:lineRule="exact"/>
        <w:rPr>
          <w:rFonts w:ascii="宋体" w:hAnsi="宋体" w:cs="微软雅黑"/>
          <w:sz w:val="24"/>
        </w:rPr>
      </w:pPr>
      <w:r>
        <w:rPr>
          <w:rFonts w:hint="eastAsia" w:ascii="宋体" w:hAnsi="宋体" w:cs="微软雅黑"/>
          <w:sz w:val="24"/>
        </w:rPr>
        <w:t>甲方：北京市交通运输综合执法总队</w:t>
      </w:r>
    </w:p>
    <w:p>
      <w:pPr>
        <w:spacing w:line="470" w:lineRule="exact"/>
        <w:rPr>
          <w:rFonts w:ascii="宋体" w:hAnsi="宋体" w:cs="微软雅黑"/>
          <w:sz w:val="24"/>
        </w:rPr>
      </w:pPr>
      <w:r>
        <w:rPr>
          <w:rFonts w:hint="eastAsia" w:ascii="宋体" w:hAnsi="宋体" w:cs="微软雅黑"/>
          <w:sz w:val="24"/>
        </w:rPr>
        <w:t>法定代表人：黄建军</w:t>
      </w:r>
      <w:r>
        <w:rPr>
          <w:rFonts w:hint="eastAsia" w:ascii="宋体" w:hAnsi="宋体" w:cs="微软雅黑"/>
          <w:sz w:val="24"/>
        </w:rPr>
        <w:tab/>
      </w:r>
    </w:p>
    <w:p>
      <w:pPr>
        <w:spacing w:line="470" w:lineRule="exact"/>
        <w:jc w:val="left"/>
        <w:rPr>
          <w:rFonts w:ascii="宋体" w:hAnsi="宋体" w:cs="微软雅黑"/>
          <w:sz w:val="24"/>
        </w:rPr>
      </w:pPr>
      <w:r>
        <w:rPr>
          <w:rFonts w:hint="eastAsia" w:ascii="宋体" w:hAnsi="宋体" w:cs="微软雅黑"/>
          <w:sz w:val="24"/>
        </w:rPr>
        <w:t>地址：北京市西城区北礼士路22号</w:t>
      </w:r>
    </w:p>
    <w:p>
      <w:pPr>
        <w:spacing w:line="470" w:lineRule="exact"/>
        <w:jc w:val="left"/>
        <w:rPr>
          <w:rFonts w:ascii="宋体" w:hAnsi="宋体" w:cs="微软雅黑"/>
          <w:sz w:val="24"/>
        </w:rPr>
      </w:pPr>
      <w:r>
        <w:rPr>
          <w:rFonts w:hint="eastAsia" w:ascii="宋体" w:hAnsi="宋体" w:cs="微软雅黑"/>
          <w:sz w:val="24"/>
        </w:rPr>
        <w:t>联系电话：010-88640792</w:t>
      </w:r>
    </w:p>
    <w:p>
      <w:pPr>
        <w:spacing w:line="470" w:lineRule="exact"/>
        <w:rPr>
          <w:rFonts w:ascii="宋体" w:hAnsi="宋体" w:cs="Calibri"/>
          <w:sz w:val="24"/>
        </w:rPr>
      </w:pPr>
    </w:p>
    <w:p>
      <w:pPr>
        <w:spacing w:line="470" w:lineRule="exact"/>
        <w:rPr>
          <w:rFonts w:ascii="宋体" w:hAnsi="宋体" w:cs="微软雅黑"/>
          <w:sz w:val="24"/>
          <w:u w:val="single"/>
        </w:rPr>
      </w:pPr>
      <w:r>
        <w:rPr>
          <w:rFonts w:hint="eastAsia" w:ascii="宋体" w:hAnsi="宋体" w:cs="Calibri"/>
          <w:sz w:val="24"/>
        </w:rPr>
        <w:t>乙</w:t>
      </w:r>
      <w:r>
        <w:rPr>
          <w:rFonts w:hint="eastAsia" w:ascii="宋体" w:hAnsi="宋体" w:cs="微软雅黑"/>
          <w:sz w:val="24"/>
        </w:rPr>
        <w:t>方：</w:t>
      </w:r>
      <w:r>
        <w:rPr>
          <w:rFonts w:hint="eastAsia" w:ascii="宋体" w:hAnsi="宋体" w:cs="微软雅黑"/>
          <w:sz w:val="24"/>
          <w:u w:val="single"/>
        </w:rPr>
        <w:t xml:space="preserve"> </w:t>
      </w:r>
      <w:r>
        <w:rPr>
          <w:rFonts w:ascii="宋体" w:hAnsi="宋体" w:cs="微软雅黑"/>
          <w:sz w:val="24"/>
          <w:u w:val="single"/>
        </w:rPr>
        <w:t xml:space="preserve">                         </w:t>
      </w:r>
    </w:p>
    <w:p>
      <w:pPr>
        <w:spacing w:line="470" w:lineRule="exact"/>
        <w:rPr>
          <w:rFonts w:ascii="宋体" w:hAnsi="宋体" w:cs="微软雅黑"/>
          <w:sz w:val="24"/>
        </w:rPr>
      </w:pPr>
      <w:r>
        <w:rPr>
          <w:rFonts w:hint="eastAsia" w:ascii="宋体" w:hAnsi="宋体" w:cs="微软雅黑"/>
          <w:sz w:val="24"/>
        </w:rPr>
        <w:t>法定代表人：</w:t>
      </w:r>
      <w:r>
        <w:rPr>
          <w:rFonts w:hint="eastAsia" w:ascii="宋体" w:hAnsi="宋体" w:cs="微软雅黑"/>
          <w:sz w:val="24"/>
          <w:u w:val="single"/>
        </w:rPr>
        <w:t xml:space="preserve"> </w:t>
      </w:r>
      <w:r>
        <w:rPr>
          <w:rFonts w:ascii="宋体" w:hAnsi="宋体" w:cs="微软雅黑"/>
          <w:sz w:val="24"/>
          <w:u w:val="single"/>
        </w:rPr>
        <w:t xml:space="preserve">                  </w:t>
      </w:r>
    </w:p>
    <w:p>
      <w:pPr>
        <w:spacing w:line="470" w:lineRule="exact"/>
        <w:rPr>
          <w:rFonts w:ascii="宋体" w:hAnsi="宋体" w:cs="微软雅黑"/>
          <w:sz w:val="24"/>
          <w:u w:val="single"/>
        </w:rPr>
      </w:pPr>
      <w:r>
        <w:rPr>
          <w:rFonts w:hint="eastAsia" w:ascii="宋体" w:hAnsi="宋体" w:cs="微软雅黑"/>
          <w:sz w:val="24"/>
        </w:rPr>
        <w:t>地址：</w:t>
      </w:r>
      <w:r>
        <w:rPr>
          <w:rFonts w:hint="eastAsia" w:ascii="宋体" w:hAnsi="宋体" w:cs="微软雅黑"/>
          <w:sz w:val="24"/>
          <w:u w:val="single"/>
        </w:rPr>
        <w:t xml:space="preserve"> </w:t>
      </w:r>
      <w:r>
        <w:rPr>
          <w:rFonts w:ascii="宋体" w:hAnsi="宋体" w:cs="微软雅黑"/>
          <w:sz w:val="24"/>
          <w:u w:val="single"/>
        </w:rPr>
        <w:t xml:space="preserve">                      </w:t>
      </w:r>
    </w:p>
    <w:p>
      <w:pPr>
        <w:spacing w:line="470" w:lineRule="exact"/>
        <w:rPr>
          <w:rFonts w:ascii="宋体" w:hAnsi="宋体" w:cstheme="majorEastAsia"/>
          <w:sz w:val="24"/>
        </w:rPr>
      </w:pPr>
      <w:r>
        <w:rPr>
          <w:rFonts w:hint="eastAsia" w:ascii="宋体" w:hAnsi="宋体" w:cs="微软雅黑"/>
          <w:sz w:val="24"/>
        </w:rPr>
        <w:t>联系电话：</w:t>
      </w:r>
      <w:r>
        <w:rPr>
          <w:rFonts w:ascii="宋体" w:hAnsi="宋体" w:cs="微软雅黑"/>
          <w:sz w:val="24"/>
          <w:u w:val="single"/>
        </w:rPr>
        <w:t xml:space="preserve">                     </w:t>
      </w:r>
    </w:p>
    <w:p>
      <w:pPr>
        <w:spacing w:line="470" w:lineRule="exact"/>
        <w:rPr>
          <w:rFonts w:ascii="宋体" w:hAnsi="宋体" w:cstheme="majorEastAsia"/>
          <w:sz w:val="24"/>
        </w:rPr>
      </w:pPr>
      <w:r>
        <w:rPr>
          <w:rFonts w:hint="eastAsia" w:ascii="宋体" w:hAnsi="宋体" w:cstheme="majorEastAsia"/>
          <w:sz w:val="24"/>
        </w:rPr>
        <w:t xml:space="preserve"> </w:t>
      </w:r>
    </w:p>
    <w:p>
      <w:pPr>
        <w:spacing w:line="470" w:lineRule="exact"/>
        <w:ind w:firstLine="480" w:firstLineChars="200"/>
        <w:rPr>
          <w:rFonts w:ascii="宋体" w:hAnsi="宋体" w:cs="微软雅黑"/>
          <w:sz w:val="24"/>
        </w:rPr>
      </w:pPr>
      <w:r>
        <w:rPr>
          <w:rFonts w:hint="eastAsia" w:ascii="宋体" w:hAnsi="宋体" w:cs="微软雅黑"/>
          <w:sz w:val="24"/>
        </w:rPr>
        <w:t>甲乙双方在诚信、平等、自愿的前提下，依据《中华人民共和国民法典》及相关法律法规，达成以下订餐协议：</w:t>
      </w:r>
      <w:r>
        <w:rPr>
          <w:rFonts w:ascii="宋体" w:hAnsi="宋体" w:cs="Calibri"/>
          <w:sz w:val="24"/>
        </w:rPr>
        <w:t> </w:t>
      </w:r>
    </w:p>
    <w:p>
      <w:pPr>
        <w:numPr>
          <w:ilvl w:val="0"/>
          <w:numId w:val="14"/>
        </w:numPr>
        <w:spacing w:line="470" w:lineRule="exact"/>
        <w:rPr>
          <w:rFonts w:ascii="宋体" w:hAnsi="宋体" w:cs="微软雅黑"/>
          <w:sz w:val="24"/>
        </w:rPr>
      </w:pPr>
      <w:r>
        <w:rPr>
          <w:rFonts w:hint="eastAsia" w:ascii="宋体" w:hAnsi="宋体" w:cs="微软雅黑"/>
          <w:sz w:val="24"/>
        </w:rPr>
        <w:t>甲方为改善员工用餐福利，现向乙方提出订餐需求（即外卖快餐盒饭）。</w:t>
      </w:r>
    </w:p>
    <w:p>
      <w:pPr>
        <w:spacing w:line="470" w:lineRule="exact"/>
        <w:rPr>
          <w:rFonts w:ascii="宋体" w:hAnsi="宋体" w:cs="微软雅黑"/>
          <w:color w:val="auto"/>
          <w:sz w:val="24"/>
        </w:rPr>
      </w:pPr>
      <w:r>
        <w:rPr>
          <w:rFonts w:hint="eastAsia" w:ascii="宋体" w:hAnsi="宋体" w:cs="微软雅黑"/>
          <w:sz w:val="24"/>
        </w:rPr>
        <w:t>二、合同期从</w:t>
      </w:r>
      <w:r>
        <w:rPr>
          <w:rFonts w:hint="eastAsia" w:ascii="宋体" w:hAnsi="宋体" w:cs="微软雅黑"/>
          <w:color w:val="auto"/>
          <w:sz w:val="24"/>
        </w:rPr>
        <w:t xml:space="preserve"> </w:t>
      </w:r>
      <w:r>
        <w:rPr>
          <w:rFonts w:hint="eastAsia" w:ascii="宋体" w:hAnsi="宋体" w:cs="微软雅黑"/>
          <w:color w:val="auto"/>
          <w:sz w:val="24"/>
          <w:u w:val="single"/>
        </w:rPr>
        <w:t xml:space="preserve">        年    月   日起至   年    月    日合同之日止</w:t>
      </w:r>
      <w:r>
        <w:rPr>
          <w:rFonts w:hint="eastAsia" w:ascii="宋体" w:hAnsi="宋体" w:cs="微软雅黑"/>
          <w:color w:val="auto"/>
          <w:sz w:val="24"/>
        </w:rPr>
        <w:t>。</w:t>
      </w:r>
    </w:p>
    <w:p>
      <w:pPr>
        <w:spacing w:line="470" w:lineRule="exact"/>
        <w:rPr>
          <w:rFonts w:ascii="宋体" w:hAnsi="宋体" w:cs="微软雅黑"/>
          <w:sz w:val="24"/>
        </w:rPr>
      </w:pPr>
      <w:r>
        <w:rPr>
          <w:rFonts w:hint="eastAsia" w:ascii="宋体" w:hAnsi="宋体" w:cs="微软雅黑"/>
          <w:sz w:val="24"/>
        </w:rPr>
        <w:t>三、供餐时间及地点</w:t>
      </w:r>
    </w:p>
    <w:p>
      <w:pPr>
        <w:spacing w:line="470" w:lineRule="exact"/>
        <w:ind w:firstLine="480" w:firstLineChars="200"/>
        <w:rPr>
          <w:rFonts w:ascii="宋体" w:hAnsi="宋体" w:cs="微软雅黑"/>
          <w:sz w:val="24"/>
        </w:rPr>
      </w:pPr>
      <w:r>
        <w:rPr>
          <w:rFonts w:hint="eastAsia" w:ascii="宋体" w:hAnsi="宋体" w:cs="微软雅黑"/>
          <w:sz w:val="24"/>
        </w:rPr>
        <w:t>乙方按照甲方的要求，在每天上午：11:30、下午：16:30将甲方所报快餐的数量制作完成，等待甲方人员取餐。由乙方旗下任意餐厅就近提供供餐服务。</w:t>
      </w:r>
    </w:p>
    <w:p>
      <w:pPr>
        <w:spacing w:line="470" w:lineRule="exact"/>
        <w:rPr>
          <w:rFonts w:ascii="宋体" w:hAnsi="宋体" w:cs="微软雅黑"/>
          <w:sz w:val="24"/>
        </w:rPr>
      </w:pPr>
      <w:r>
        <w:rPr>
          <w:rFonts w:hint="eastAsia" w:ascii="宋体" w:hAnsi="宋体" w:cs="微软雅黑"/>
          <w:sz w:val="24"/>
        </w:rPr>
        <w:t>四、餐标及要求</w:t>
      </w:r>
    </w:p>
    <w:p>
      <w:pPr>
        <w:spacing w:line="470" w:lineRule="exact"/>
        <w:ind w:firstLine="480" w:firstLineChars="200"/>
        <w:rPr>
          <w:rFonts w:ascii="宋体" w:hAnsi="宋体" w:cs="微软雅黑"/>
          <w:sz w:val="24"/>
        </w:rPr>
      </w:pPr>
      <w:r>
        <w:rPr>
          <w:rFonts w:hint="eastAsia" w:ascii="宋体" w:hAnsi="宋体" w:cs="微软雅黑"/>
          <w:sz w:val="24"/>
        </w:rPr>
        <w:t>①甲方须每日17:00前将次日订餐数量告知乙方，（具体数量以双方实际发生的数量为准）；每份餐单价以</w:t>
      </w:r>
      <w:r>
        <w:rPr>
          <w:rFonts w:hint="eastAsia" w:ascii="宋体" w:hAnsi="宋体" w:cs="微软雅黑"/>
          <w:sz w:val="24"/>
          <w:u w:val="single"/>
        </w:rPr>
        <w:t xml:space="preserve"> </w:t>
      </w:r>
      <w:r>
        <w:rPr>
          <w:rFonts w:ascii="宋体" w:hAnsi="宋体" w:cs="微软雅黑"/>
          <w:sz w:val="24"/>
          <w:u w:val="single"/>
        </w:rPr>
        <w:t xml:space="preserve">  </w:t>
      </w:r>
      <w:r>
        <w:rPr>
          <w:rFonts w:hint="eastAsia" w:ascii="宋体" w:hAnsi="宋体" w:cs="微软雅黑"/>
          <w:sz w:val="24"/>
          <w:u w:val="single"/>
        </w:rPr>
        <w:t xml:space="preserve"> 元人民币</w:t>
      </w:r>
      <w:r>
        <w:rPr>
          <w:rFonts w:hint="eastAsia" w:ascii="宋体" w:hAnsi="宋体" w:cs="微软雅黑"/>
          <w:sz w:val="24"/>
        </w:rPr>
        <w:t>为准；快餐每份份量以一般饭盒标准为准，配置为：</w:t>
      </w:r>
      <w:r>
        <w:rPr>
          <w:rFonts w:hint="eastAsia" w:ascii="宋体" w:hAnsi="宋体"/>
          <w:color w:val="auto"/>
          <w:sz w:val="24"/>
        </w:rPr>
        <w:t>两荤菜+两素菜+小吃+米饭+面食+（饮料、酸奶、水果）三选一。</w:t>
      </w:r>
      <w:r>
        <w:rPr>
          <w:rFonts w:hint="eastAsia" w:ascii="宋体" w:hAnsi="宋体" w:cs="微软雅黑"/>
          <w:color w:val="auto"/>
          <w:sz w:val="24"/>
        </w:rPr>
        <w:t>特殊情况另</w:t>
      </w:r>
      <w:r>
        <w:rPr>
          <w:rFonts w:hint="eastAsia" w:ascii="宋体" w:hAnsi="宋体" w:cs="微软雅黑"/>
          <w:sz w:val="24"/>
        </w:rPr>
        <w:t>行协商。</w:t>
      </w:r>
      <w:r>
        <w:rPr>
          <w:rFonts w:ascii="宋体" w:hAnsi="宋体" w:cs="Calibri"/>
          <w:sz w:val="24"/>
        </w:rPr>
        <w:t> </w:t>
      </w:r>
    </w:p>
    <w:p>
      <w:pPr>
        <w:spacing w:line="470" w:lineRule="exact"/>
        <w:ind w:firstLine="480" w:firstLineChars="200"/>
        <w:rPr>
          <w:rFonts w:ascii="宋体" w:hAnsi="宋体" w:cs="微软雅黑"/>
          <w:sz w:val="24"/>
        </w:rPr>
      </w:pPr>
      <w:r>
        <w:rPr>
          <w:rFonts w:hint="eastAsia" w:ascii="宋体" w:hAnsi="宋体" w:cs="微软雅黑"/>
          <w:sz w:val="24"/>
        </w:rPr>
        <w:t>②乙方须每周三下午17:00前提交下周参考菜单给甲方，如甲方或乙方需要变更菜单，应及时通知对方，所变更菜单由乙方接收到通知后次日起生效。</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③乙方保证所使用的食用油为非转基因油、食材、餐具等均为正规厂商提供，保证健康、安全、卫生，有票据，可追溯，</w:t>
      </w:r>
      <w:r>
        <w:rPr>
          <w:rFonts w:hint="eastAsia" w:ascii="宋体" w:hAnsi="宋体"/>
          <w:color w:val="auto"/>
          <w:sz w:val="24"/>
        </w:rPr>
        <w:t>并对所使用的的原材料进行定期公示，</w:t>
      </w:r>
      <w:r>
        <w:rPr>
          <w:rFonts w:hint="eastAsia" w:ascii="宋体" w:hAnsi="宋体" w:cs="微软雅黑"/>
          <w:color w:val="auto"/>
          <w:sz w:val="24"/>
        </w:rPr>
        <w:t>严禁使用预制品。</w:t>
      </w:r>
    </w:p>
    <w:p>
      <w:pPr>
        <w:spacing w:line="560" w:lineRule="exact"/>
        <w:ind w:firstLine="600" w:firstLineChars="250"/>
        <w:rPr>
          <w:rFonts w:ascii="宋体" w:hAnsi="宋体"/>
          <w:color w:val="FF0000"/>
          <w:sz w:val="24"/>
        </w:rPr>
      </w:pPr>
      <w:r>
        <w:rPr>
          <w:rFonts w:hint="eastAsia" w:ascii="宋体" w:hAnsi="宋体" w:cs="微软雅黑"/>
          <w:sz w:val="24"/>
        </w:rPr>
        <w:t>④</w:t>
      </w:r>
      <w:r>
        <w:rPr>
          <w:rFonts w:hint="eastAsia" w:ascii="宋体" w:hAnsi="宋体"/>
          <w:sz w:val="24"/>
        </w:rPr>
        <w:t>供餐方人员均符合国家健康、卫生、安全等</w:t>
      </w:r>
      <w:r>
        <w:rPr>
          <w:rFonts w:hint="eastAsia" w:ascii="宋体" w:hAnsi="宋体"/>
          <w:color w:val="auto"/>
          <w:sz w:val="24"/>
        </w:rPr>
        <w:t>要求。健康证件须公示在餐厅明显位置。</w:t>
      </w:r>
    </w:p>
    <w:p>
      <w:pPr>
        <w:spacing w:line="470" w:lineRule="exact"/>
        <w:ind w:firstLine="600" w:firstLineChars="250"/>
        <w:rPr>
          <w:rFonts w:ascii="宋体" w:hAnsi="宋体" w:cs="微软雅黑"/>
          <w:sz w:val="24"/>
        </w:rPr>
      </w:pPr>
      <w:r>
        <w:rPr>
          <w:rFonts w:hint="eastAsia" w:ascii="宋体" w:hAnsi="宋体" w:cs="微软雅黑"/>
          <w:sz w:val="24"/>
        </w:rPr>
        <w:t>⑤乙方保证全年365天不间断供餐，并重点保障法定节假日（特别是春节期间）的供餐。如日常未能保证供餐的，则按照当日不能供餐金额的两倍支付违约金；如节假日未能保证供餐的，则按照当日不能供餐金额的三倍支付违约金（未能供餐是指：客户订餐后，乙方未能提供供餐）。甲方在结算餐费时扣除违约金。</w:t>
      </w:r>
    </w:p>
    <w:p>
      <w:pPr>
        <w:spacing w:line="470" w:lineRule="exact"/>
        <w:ind w:firstLine="480" w:firstLineChars="200"/>
        <w:rPr>
          <w:rFonts w:ascii="宋体" w:hAnsi="宋体" w:cs="微软雅黑"/>
          <w:sz w:val="24"/>
        </w:rPr>
      </w:pPr>
      <w:r>
        <w:rPr>
          <w:rFonts w:hint="eastAsia" w:ascii="宋体" w:hAnsi="宋体" w:cs="微软雅黑"/>
          <w:sz w:val="24"/>
        </w:rPr>
        <w:t>⑥</w:t>
      </w:r>
      <w:r>
        <w:rPr>
          <w:rFonts w:ascii="宋体" w:hAnsi="宋体" w:cs="微软雅黑"/>
          <w:sz w:val="24"/>
        </w:rPr>
        <w:t xml:space="preserve"> </w:t>
      </w:r>
      <w:r>
        <w:rPr>
          <w:rFonts w:hint="eastAsia" w:ascii="宋体" w:hAnsi="宋体" w:cs="微软雅黑"/>
          <w:sz w:val="24"/>
        </w:rPr>
        <w:t>供餐点位分布：</w:t>
      </w:r>
      <w:r>
        <w:rPr>
          <w:rFonts w:ascii="宋体" w:hAnsi="宋体" w:cs="微软雅黑"/>
          <w:sz w:val="24"/>
        </w:rPr>
        <w:t xml:space="preserve"> </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一大队需要在郝家府、北京站、十里堡、方庄、大望路、共计5</w:t>
      </w:r>
      <w:r>
        <w:rPr>
          <w:rFonts w:ascii="宋体" w:hAnsi="宋体" w:cs="微软雅黑"/>
          <w:color w:val="auto"/>
          <w:sz w:val="24"/>
        </w:rPr>
        <w:t>处地铁站提供配餐。</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二大队需要在北京西站、西红门、慈寿寺、科怡路、建国门共计</w:t>
      </w:r>
      <w:r>
        <w:rPr>
          <w:rFonts w:ascii="宋体" w:hAnsi="宋体" w:cs="微软雅黑"/>
          <w:color w:val="auto"/>
          <w:sz w:val="24"/>
        </w:rPr>
        <w:t>5处地铁站提供配餐。</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三大队需要在动物园、积水潭、慈寿寺、安定门、清河、大屯路东共计6</w:t>
      </w:r>
      <w:r>
        <w:rPr>
          <w:rFonts w:ascii="宋体" w:hAnsi="宋体" w:cs="微软雅黑"/>
          <w:color w:val="auto"/>
          <w:sz w:val="24"/>
        </w:rPr>
        <w:t>处地铁站提供配餐。</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四大队需要在东大桥、阜通、安定门、大屯路东、东直门共计5</w:t>
      </w:r>
      <w:r>
        <w:rPr>
          <w:rFonts w:ascii="宋体" w:hAnsi="宋体" w:cs="微软雅黑"/>
          <w:color w:val="auto"/>
          <w:sz w:val="24"/>
        </w:rPr>
        <w:t>处地铁站提供配餐。</w:t>
      </w:r>
    </w:p>
    <w:p>
      <w:pPr>
        <w:spacing w:line="470" w:lineRule="exact"/>
        <w:ind w:firstLine="480" w:firstLineChars="200"/>
        <w:rPr>
          <w:rFonts w:ascii="宋体" w:hAnsi="宋体" w:cs="微软雅黑"/>
          <w:color w:val="auto"/>
          <w:sz w:val="24"/>
        </w:rPr>
      </w:pPr>
      <w:r>
        <w:rPr>
          <w:rFonts w:hint="eastAsia" w:ascii="宋体" w:hAnsi="宋体" w:cs="微软雅黑"/>
          <w:color w:val="auto"/>
          <w:sz w:val="24"/>
        </w:rPr>
        <w:t>五大队需要在方庄、草桥、安定门、西红门、动物园、北京站、北京西站、积水潭共计8</w:t>
      </w:r>
      <w:r>
        <w:rPr>
          <w:rFonts w:ascii="宋体" w:hAnsi="宋体" w:cs="微软雅黑"/>
          <w:color w:val="auto"/>
          <w:sz w:val="24"/>
        </w:rPr>
        <w:t>处地铁站提供配餐。</w:t>
      </w:r>
    </w:p>
    <w:p>
      <w:pPr>
        <w:spacing w:line="470" w:lineRule="exact"/>
        <w:ind w:firstLine="480" w:firstLineChars="200"/>
        <w:rPr>
          <w:rFonts w:ascii="宋体" w:hAnsi="宋体"/>
          <w:color w:val="auto"/>
          <w:sz w:val="24"/>
        </w:rPr>
      </w:pPr>
      <w:r>
        <w:rPr>
          <w:rFonts w:hint="eastAsia" w:ascii="宋体" w:hAnsi="宋体" w:cs="微软雅黑"/>
          <w:color w:val="auto"/>
          <w:sz w:val="24"/>
        </w:rPr>
        <w:t>在极端天气或重大活动保障任务等特殊情况下需要在指定地点提供配餐。</w:t>
      </w:r>
    </w:p>
    <w:p>
      <w:pPr>
        <w:spacing w:line="470" w:lineRule="exact"/>
        <w:ind w:firstLine="480" w:firstLineChars="200"/>
        <w:rPr>
          <w:rFonts w:ascii="宋体" w:hAnsi="宋体" w:cs="微软雅黑"/>
          <w:sz w:val="24"/>
        </w:rPr>
      </w:pPr>
      <w:r>
        <w:rPr>
          <w:rFonts w:hint="eastAsia" w:ascii="宋体" w:hAnsi="宋体" w:cs="微软雅黑"/>
          <w:sz w:val="24"/>
        </w:rPr>
        <w:t>中标人提供服务的经营网点应包括但不限于以上点位，每大队至少多出一个点位作为备选方案，具体事宜由甲乙双方另行协商。</w:t>
      </w:r>
    </w:p>
    <w:p>
      <w:pPr>
        <w:numPr>
          <w:ilvl w:val="0"/>
          <w:numId w:val="15"/>
        </w:numPr>
        <w:spacing w:line="470" w:lineRule="exact"/>
        <w:rPr>
          <w:rFonts w:ascii="宋体" w:hAnsi="宋体" w:cs="微软雅黑"/>
          <w:sz w:val="24"/>
        </w:rPr>
      </w:pPr>
      <w:r>
        <w:rPr>
          <w:rFonts w:hint="eastAsia" w:ascii="宋体" w:hAnsi="宋体" w:cs="微软雅黑"/>
          <w:sz w:val="24"/>
        </w:rPr>
        <w:t>付款方式：按月结算，甲乙双方每月月底结束后相互对账，对账无误后，乙方应在次月的5号前出具相关发票给甲方，等待甲方结款，甲方需于次月20日前向乙方支付上月餐费。甲方未在规定时间内向乙方支付餐费超过10日的，乙方有权拒绝继续为甲方提供供餐。</w:t>
      </w:r>
    </w:p>
    <w:p>
      <w:pPr>
        <w:numPr>
          <w:ilvl w:val="0"/>
          <w:numId w:val="15"/>
        </w:numPr>
        <w:spacing w:line="470" w:lineRule="exact"/>
        <w:rPr>
          <w:rFonts w:ascii="宋体" w:hAnsi="宋体" w:cs="微软雅黑"/>
          <w:sz w:val="24"/>
        </w:rPr>
      </w:pPr>
      <w:r>
        <w:rPr>
          <w:rFonts w:hint="eastAsia" w:ascii="宋体" w:hAnsi="宋体" w:cs="微软雅黑"/>
          <w:sz w:val="24"/>
        </w:rPr>
        <w:t>甲方的权利和义务：</w:t>
      </w:r>
      <w:r>
        <w:rPr>
          <w:rFonts w:ascii="宋体" w:hAnsi="宋体" w:cs="Calibri"/>
          <w:sz w:val="24"/>
        </w:rPr>
        <w:t> </w:t>
      </w:r>
    </w:p>
    <w:p>
      <w:pPr>
        <w:numPr>
          <w:ilvl w:val="0"/>
          <w:numId w:val="16"/>
        </w:numPr>
        <w:spacing w:line="470" w:lineRule="exact"/>
        <w:rPr>
          <w:rFonts w:ascii="宋体" w:hAnsi="宋体" w:cs="微软雅黑"/>
          <w:sz w:val="24"/>
        </w:rPr>
      </w:pPr>
      <w:r>
        <w:rPr>
          <w:rFonts w:hint="eastAsia" w:ascii="宋体" w:hAnsi="宋体" w:cs="微软雅黑"/>
          <w:sz w:val="24"/>
        </w:rPr>
        <w:t>甲方有权对乙方所提供的食品及服务提出合理的建议和要求。</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2、甲方有权对乙方的供餐质量进行监督，对存在遐疵的食品提出更换或退货的要求。</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3、甲方用餐数量有变动的，应提前1天通知乙方。因甲方未提前通知，致使乙方已制作的，甲方应以收到的快餐数量结算给乙方。</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4、甲方应指定人员签收送货单据。</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5、甲方应准时将餐费结算给乙方。</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六、乙方的权利和义务：</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1、乙方按甲方的要求制作快餐并按时、按质、按量供应给甲方。</w:t>
      </w:r>
    </w:p>
    <w:p>
      <w:pPr>
        <w:spacing w:line="470" w:lineRule="exact"/>
        <w:rPr>
          <w:rFonts w:ascii="宋体" w:hAnsi="宋体" w:cs="微软雅黑"/>
          <w:sz w:val="24"/>
        </w:rPr>
      </w:pPr>
      <w:r>
        <w:rPr>
          <w:rFonts w:hint="eastAsia" w:ascii="宋体" w:hAnsi="宋体" w:cs="微软雅黑"/>
          <w:sz w:val="24"/>
        </w:rPr>
        <w:t>2、乙方有权因物价上涨原因对快餐单价作出申请，甲方批准后乙方做出相应的调整。</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3、如遇不可抗因素导致供餐迟延的（断水、断电、断气、机械故障等一切非人为故意的情况），甲方应给予理解并接收，不得以此作违约处理，但乙方应提供相关证明。</w:t>
      </w:r>
    </w:p>
    <w:p>
      <w:pPr>
        <w:spacing w:line="470" w:lineRule="exact"/>
        <w:rPr>
          <w:rFonts w:ascii="宋体" w:hAnsi="宋体" w:cs="微软雅黑"/>
          <w:sz w:val="24"/>
        </w:rPr>
      </w:pPr>
      <w:r>
        <w:rPr>
          <w:rFonts w:hint="eastAsia" w:ascii="宋体" w:hAnsi="宋体" w:cs="微软雅黑"/>
          <w:sz w:val="24"/>
        </w:rPr>
        <w:t>4、乙方保证所供应的食品、餐具、加工工艺等，均符合安全、卫生标准、规范及要求；保证提供优质高效的服务。</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七、违约责任：双方诚信合作，如有违约，违约方应给守约方作出相应的经济赔偿。</w:t>
      </w:r>
    </w:p>
    <w:p>
      <w:pPr>
        <w:spacing w:line="470" w:lineRule="exact"/>
        <w:ind w:firstLine="480" w:firstLineChars="200"/>
        <w:rPr>
          <w:rFonts w:ascii="宋体" w:hAnsi="宋体" w:cs="微软雅黑"/>
          <w:sz w:val="24"/>
        </w:rPr>
      </w:pPr>
      <w:r>
        <w:rPr>
          <w:rFonts w:hint="eastAsia" w:ascii="宋体" w:hAnsi="宋体" w:cs="微软雅黑"/>
          <w:sz w:val="24"/>
        </w:rPr>
        <w:t>①因乙方与甲方沟通不及时导致甲方员工伙食供餐延时，乙方已采取补救措施且未对甲方造成不良影响，但累计三次以上的，甲方可单方解除合同。</w:t>
      </w:r>
    </w:p>
    <w:p>
      <w:pPr>
        <w:spacing w:line="470" w:lineRule="exact"/>
        <w:ind w:firstLine="480" w:firstLineChars="200"/>
        <w:rPr>
          <w:rFonts w:ascii="宋体" w:hAnsi="宋体" w:cs="微软雅黑"/>
          <w:sz w:val="24"/>
        </w:rPr>
      </w:pPr>
      <w:r>
        <w:rPr>
          <w:rFonts w:hint="eastAsia" w:ascii="宋体" w:hAnsi="宋体" w:cs="微软雅黑"/>
          <w:sz w:val="24"/>
        </w:rPr>
        <w:t>②因乙方供餐质量不符合甲方要求（如有异物、口味不适）、数量有误、无保温措施等，且不能改进的，甲方可单方解除合同。</w:t>
      </w:r>
    </w:p>
    <w:p>
      <w:pPr>
        <w:spacing w:line="470" w:lineRule="exact"/>
        <w:ind w:firstLine="480" w:firstLineChars="200"/>
        <w:rPr>
          <w:rFonts w:ascii="宋体" w:hAnsi="宋体" w:cs="微软雅黑"/>
          <w:sz w:val="24"/>
        </w:rPr>
      </w:pPr>
      <w:r>
        <w:rPr>
          <w:rFonts w:hint="eastAsia" w:ascii="宋体" w:hAnsi="宋体" w:cs="微软雅黑"/>
          <w:sz w:val="24"/>
        </w:rPr>
        <w:t>③出现食物中毒等食品安全事故，经过国家相关部门核查、检验后认定为乙方责任的，乙方须承担全部法律责任及赔偿全部损失。甲方有权以未付的餐费抵扣乙方的赔偿款。</w:t>
      </w:r>
    </w:p>
    <w:p>
      <w:pPr>
        <w:spacing w:line="470" w:lineRule="exact"/>
        <w:rPr>
          <w:rFonts w:ascii="宋体" w:hAnsi="宋体" w:cs="微软雅黑"/>
          <w:sz w:val="24"/>
        </w:rPr>
      </w:pPr>
      <w:r>
        <w:rPr>
          <w:rFonts w:hint="eastAsia" w:ascii="宋体" w:hAnsi="宋体" w:cs="微软雅黑"/>
          <w:sz w:val="24"/>
        </w:rPr>
        <w:t>八、双方沟通过手机微信、QQ、电话、传真等方式进行信息沟通，以方便彼此工作。</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九、合同的终止或解除</w:t>
      </w:r>
    </w:p>
    <w:p>
      <w:pPr>
        <w:spacing w:line="470" w:lineRule="exact"/>
        <w:ind w:firstLine="480" w:firstLineChars="200"/>
        <w:rPr>
          <w:rFonts w:ascii="宋体" w:hAnsi="宋体" w:cs="微软雅黑"/>
          <w:sz w:val="24"/>
        </w:rPr>
      </w:pPr>
      <w:r>
        <w:rPr>
          <w:rFonts w:hint="eastAsia" w:ascii="宋体" w:hAnsi="宋体" w:cs="微软雅黑"/>
          <w:sz w:val="24"/>
        </w:rPr>
        <w:t>1.双方协商一致可以终止本合同。</w:t>
      </w:r>
      <w:r>
        <w:rPr>
          <w:rFonts w:ascii="宋体" w:hAnsi="宋体" w:cs="Calibri"/>
          <w:sz w:val="24"/>
        </w:rPr>
        <w:t> </w:t>
      </w:r>
    </w:p>
    <w:p>
      <w:pPr>
        <w:spacing w:line="470" w:lineRule="exact"/>
        <w:ind w:firstLine="480" w:firstLineChars="200"/>
        <w:jc w:val="left"/>
        <w:rPr>
          <w:rFonts w:ascii="宋体" w:hAnsi="宋体" w:cs="仿宋_GB2312"/>
          <w:b/>
          <w:bCs/>
          <w:sz w:val="24"/>
        </w:rPr>
      </w:pPr>
      <w:r>
        <w:rPr>
          <w:rFonts w:hint="eastAsia" w:ascii="宋体" w:hAnsi="宋体" w:cs="微软雅黑"/>
          <w:sz w:val="24"/>
        </w:rPr>
        <w:t>2.</w:t>
      </w:r>
      <w:r>
        <w:rPr>
          <w:rFonts w:hint="eastAsia" w:ascii="宋体" w:hAnsi="宋体" w:cs="仿宋_GB2312"/>
          <w:b/>
          <w:bCs/>
          <w:sz w:val="24"/>
        </w:rPr>
        <w:t>乙方供应以下食品的，甲方有权立即解除合同，乙方还应承担由此引发的全部法律责任。</w:t>
      </w:r>
    </w:p>
    <w:p>
      <w:pPr>
        <w:spacing w:line="470" w:lineRule="exact"/>
        <w:ind w:firstLine="482" w:firstLineChars="200"/>
        <w:jc w:val="left"/>
        <w:rPr>
          <w:rFonts w:ascii="宋体" w:hAnsi="宋体" w:cs="仿宋_GB2312"/>
          <w:b/>
          <w:bCs/>
          <w:sz w:val="24"/>
        </w:rPr>
      </w:pPr>
      <w:r>
        <w:rPr>
          <w:rFonts w:hint="eastAsia" w:ascii="宋体" w:hAnsi="宋体" w:cs="仿宋_GB2312"/>
          <w:b/>
          <w:bCs/>
          <w:sz w:val="24"/>
        </w:rPr>
        <w:t>（1）腐败变质、油脂酸败、霉变、生虫、污秽不洁、混有异物或者其他器官形状异常，对人体健康有害的；</w:t>
      </w:r>
    </w:p>
    <w:p>
      <w:pPr>
        <w:spacing w:line="470" w:lineRule="exact"/>
        <w:ind w:firstLine="482" w:firstLineChars="200"/>
        <w:jc w:val="left"/>
        <w:rPr>
          <w:rFonts w:ascii="宋体" w:hAnsi="宋体" w:cs="仿宋_GB2312"/>
          <w:b/>
          <w:bCs/>
          <w:sz w:val="24"/>
        </w:rPr>
      </w:pPr>
      <w:r>
        <w:rPr>
          <w:rFonts w:hint="eastAsia" w:ascii="宋体" w:hAnsi="宋体" w:cs="仿宋_GB2312"/>
          <w:b/>
          <w:bCs/>
          <w:sz w:val="24"/>
        </w:rPr>
        <w:t>（2）有毒、有害物质或者被有害物质污染，对人体健康有害的；</w:t>
      </w:r>
    </w:p>
    <w:p>
      <w:pPr>
        <w:spacing w:line="470" w:lineRule="exact"/>
        <w:ind w:firstLine="482" w:firstLineChars="200"/>
        <w:jc w:val="left"/>
        <w:rPr>
          <w:rFonts w:ascii="宋体" w:hAnsi="宋体" w:cs="仿宋_GB2312"/>
          <w:b/>
          <w:bCs/>
          <w:sz w:val="24"/>
        </w:rPr>
      </w:pPr>
      <w:r>
        <w:rPr>
          <w:rFonts w:hint="eastAsia" w:ascii="宋体" w:hAnsi="宋体" w:cs="仿宋_GB2312"/>
          <w:b/>
          <w:bCs/>
          <w:sz w:val="24"/>
        </w:rPr>
        <w:t>（3）含有致病性寄生虫、微生物或者微生物含量超过国家限定标准的；</w:t>
      </w:r>
    </w:p>
    <w:p>
      <w:pPr>
        <w:spacing w:line="470" w:lineRule="exact"/>
        <w:ind w:firstLine="482" w:firstLineChars="200"/>
        <w:jc w:val="left"/>
        <w:rPr>
          <w:rFonts w:ascii="宋体" w:hAnsi="宋体" w:cs="仿宋_GB2312"/>
          <w:b/>
          <w:bCs/>
          <w:sz w:val="24"/>
        </w:rPr>
      </w:pPr>
      <w:r>
        <w:rPr>
          <w:rFonts w:hint="eastAsia" w:ascii="宋体" w:hAnsi="宋体" w:cs="仿宋_GB2312"/>
          <w:b/>
          <w:bCs/>
          <w:sz w:val="24"/>
        </w:rPr>
        <w:t>（4）未经动物检疫部门检疫、检验或者检疫、检验不合格的肉类及其制品；</w:t>
      </w:r>
    </w:p>
    <w:p>
      <w:pPr>
        <w:spacing w:line="470" w:lineRule="exact"/>
        <w:ind w:firstLine="482" w:firstLineChars="200"/>
        <w:jc w:val="left"/>
        <w:rPr>
          <w:rFonts w:ascii="宋体" w:hAnsi="宋体" w:cs="仿宋_GB2312"/>
          <w:b/>
          <w:bCs/>
          <w:sz w:val="24"/>
        </w:rPr>
      </w:pPr>
      <w:r>
        <w:rPr>
          <w:rFonts w:hint="eastAsia" w:ascii="宋体" w:hAnsi="宋体" w:cs="仿宋_GB2312"/>
          <w:b/>
          <w:bCs/>
          <w:sz w:val="24"/>
        </w:rPr>
        <w:t>（5）病死、毒死或者死因不明的禽、畜、兽、水产动物等及其制品；</w:t>
      </w:r>
    </w:p>
    <w:p>
      <w:pPr>
        <w:spacing w:line="470" w:lineRule="exact"/>
        <w:ind w:firstLine="482" w:firstLineChars="200"/>
        <w:jc w:val="left"/>
        <w:rPr>
          <w:rFonts w:ascii="宋体" w:hAnsi="宋体" w:cs="仿宋_GB2312"/>
          <w:b/>
          <w:bCs/>
          <w:sz w:val="24"/>
        </w:rPr>
      </w:pPr>
      <w:r>
        <w:rPr>
          <w:rFonts w:hint="eastAsia" w:ascii="宋体" w:hAnsi="宋体" w:cs="仿宋_GB2312"/>
          <w:b/>
          <w:bCs/>
          <w:sz w:val="24"/>
        </w:rPr>
        <w:t>（6）掺假、掺杂、伪造，影响营养、卫生的；</w:t>
      </w:r>
    </w:p>
    <w:p>
      <w:pPr>
        <w:spacing w:line="470" w:lineRule="exact"/>
        <w:ind w:firstLine="482" w:firstLineChars="200"/>
        <w:jc w:val="left"/>
        <w:rPr>
          <w:rFonts w:ascii="宋体" w:hAnsi="宋体" w:cs="仿宋_GB2312"/>
          <w:b/>
          <w:bCs/>
          <w:sz w:val="24"/>
        </w:rPr>
      </w:pPr>
      <w:r>
        <w:rPr>
          <w:rFonts w:hint="eastAsia" w:ascii="宋体" w:hAnsi="宋体" w:cs="仿宋_GB2312"/>
          <w:b/>
          <w:bCs/>
          <w:sz w:val="24"/>
        </w:rPr>
        <w:t>（7）用非食品原料加工的，加入非食品用化学物质或者将非食品当作食品的；</w:t>
      </w:r>
    </w:p>
    <w:p>
      <w:pPr>
        <w:spacing w:line="470" w:lineRule="exact"/>
        <w:ind w:firstLine="482" w:firstLineChars="200"/>
        <w:jc w:val="left"/>
        <w:rPr>
          <w:rFonts w:ascii="宋体" w:hAnsi="宋体" w:cs="仿宋_GB2312"/>
          <w:b/>
          <w:bCs/>
          <w:sz w:val="24"/>
        </w:rPr>
      </w:pPr>
      <w:r>
        <w:rPr>
          <w:rFonts w:hint="eastAsia" w:ascii="宋体" w:hAnsi="宋体" w:cs="仿宋_GB2312"/>
          <w:b/>
          <w:bCs/>
          <w:sz w:val="24"/>
        </w:rPr>
        <w:t>（8）超过保质期限的。</w:t>
      </w:r>
    </w:p>
    <w:p>
      <w:pPr>
        <w:spacing w:line="470" w:lineRule="exact"/>
        <w:ind w:firstLine="482" w:firstLineChars="200"/>
        <w:jc w:val="left"/>
        <w:rPr>
          <w:rFonts w:ascii="宋体" w:hAnsi="宋体" w:cs="仿宋_GB2312"/>
          <w:b/>
          <w:bCs/>
          <w:sz w:val="24"/>
        </w:rPr>
      </w:pPr>
      <w:r>
        <w:rPr>
          <w:rFonts w:hint="eastAsia" w:ascii="宋体" w:hAnsi="宋体" w:cs="仿宋_GB2312"/>
          <w:b/>
          <w:bCs/>
          <w:sz w:val="24"/>
        </w:rPr>
        <w:t>3、一方拟解除合同的，应当提前30日通知对方。</w:t>
      </w:r>
    </w:p>
    <w:p>
      <w:pPr>
        <w:spacing w:line="470" w:lineRule="exact"/>
        <w:rPr>
          <w:rFonts w:ascii="宋体" w:hAnsi="宋体" w:cs="微软雅黑"/>
          <w:sz w:val="24"/>
        </w:rPr>
      </w:pPr>
      <w:r>
        <w:rPr>
          <w:rFonts w:hint="eastAsia" w:ascii="宋体" w:hAnsi="宋体" w:cs="微软雅黑"/>
          <w:sz w:val="24"/>
        </w:rPr>
        <w:t>十、本合同未尽事宜由双方协商处理，协商不成可以提交甲方住所地人民法院处理。</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十一、本合同书一式陆份，甲方执肆份、乙方执贰份；经双方签署后即生效。</w:t>
      </w: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十二、乙方银行账号信息：</w:t>
      </w:r>
    </w:p>
    <w:p>
      <w:pPr>
        <w:spacing w:line="470" w:lineRule="exact"/>
        <w:rPr>
          <w:rFonts w:ascii="宋体" w:hAnsi="宋体" w:cs="微软雅黑"/>
          <w:sz w:val="24"/>
        </w:rPr>
      </w:pPr>
      <w:r>
        <w:rPr>
          <w:rFonts w:hint="eastAsia" w:ascii="宋体" w:hAnsi="宋体" w:cs="微软雅黑"/>
          <w:sz w:val="24"/>
        </w:rPr>
        <w:t>开户行：</w:t>
      </w:r>
      <w:r>
        <w:rPr>
          <w:rFonts w:ascii="宋体" w:hAnsi="宋体" w:cs="微软雅黑"/>
          <w:sz w:val="24"/>
        </w:rPr>
        <w:t xml:space="preserve"> </w:t>
      </w:r>
    </w:p>
    <w:p>
      <w:pPr>
        <w:spacing w:line="470" w:lineRule="exact"/>
        <w:rPr>
          <w:rFonts w:ascii="宋体" w:hAnsi="宋体" w:cs="微软雅黑"/>
          <w:sz w:val="24"/>
        </w:rPr>
      </w:pPr>
      <w:r>
        <w:rPr>
          <w:rFonts w:hint="eastAsia" w:ascii="宋体" w:hAnsi="宋体" w:cs="微软雅黑"/>
          <w:sz w:val="24"/>
        </w:rPr>
        <w:t>账户名称：</w:t>
      </w:r>
      <w:r>
        <w:rPr>
          <w:rFonts w:ascii="宋体" w:hAnsi="宋体" w:cs="微软雅黑"/>
          <w:sz w:val="24"/>
        </w:rPr>
        <w:t xml:space="preserve"> </w:t>
      </w:r>
    </w:p>
    <w:p>
      <w:pPr>
        <w:spacing w:line="470" w:lineRule="exact"/>
        <w:rPr>
          <w:rFonts w:ascii="宋体" w:hAnsi="宋体" w:cs="微软雅黑"/>
          <w:sz w:val="24"/>
        </w:rPr>
      </w:pPr>
      <w:r>
        <w:rPr>
          <w:rFonts w:hint="eastAsia" w:ascii="宋体" w:hAnsi="宋体" w:cs="微软雅黑"/>
          <w:sz w:val="24"/>
        </w:rPr>
        <w:t>账号：</w:t>
      </w:r>
    </w:p>
    <w:p>
      <w:pPr>
        <w:spacing w:line="470" w:lineRule="exact"/>
        <w:rPr>
          <w:rFonts w:ascii="宋体" w:hAnsi="宋体" w:cs="微软雅黑"/>
          <w:sz w:val="24"/>
        </w:rPr>
      </w:pPr>
    </w:p>
    <w:p>
      <w:pPr>
        <w:spacing w:line="470" w:lineRule="exact"/>
        <w:jc w:val="left"/>
        <w:rPr>
          <w:rFonts w:ascii="宋体" w:hAnsi="宋体" w:cs="微软雅黑"/>
          <w:sz w:val="24"/>
        </w:rPr>
      </w:pPr>
      <w:r>
        <w:rPr>
          <w:rFonts w:hint="eastAsia" w:ascii="宋体" w:hAnsi="宋体" w:cs="微软雅黑"/>
          <w:sz w:val="24"/>
        </w:rPr>
        <w:t>甲方</w:t>
      </w:r>
      <w:r>
        <w:rPr>
          <w:rFonts w:ascii="宋体" w:hAnsi="宋体" w:cs="Calibri"/>
          <w:sz w:val="24"/>
        </w:rPr>
        <w:t> </w:t>
      </w:r>
      <w:r>
        <w:rPr>
          <w:rFonts w:hint="eastAsia" w:ascii="宋体" w:hAnsi="宋体" w:cs="微软雅黑"/>
          <w:sz w:val="24"/>
        </w:rPr>
        <w:t>（盖章）：</w:t>
      </w:r>
      <w:r>
        <w:rPr>
          <w:rFonts w:ascii="宋体" w:hAnsi="宋体" w:cs="Calibri"/>
          <w:sz w:val="24"/>
        </w:rPr>
        <w:t>             </w:t>
      </w:r>
      <w:r>
        <w:rPr>
          <w:rFonts w:hint="eastAsia" w:ascii="宋体" w:hAnsi="宋体" w:cs="微软雅黑"/>
          <w:sz w:val="24"/>
        </w:rPr>
        <w:t xml:space="preserve"> 乙方（盖章）：</w:t>
      </w:r>
      <w:r>
        <w:rPr>
          <w:rFonts w:ascii="宋体" w:hAnsi="宋体" w:cs="微软雅黑"/>
          <w:sz w:val="24"/>
        </w:rPr>
        <w:t xml:space="preserve"> </w:t>
      </w:r>
    </w:p>
    <w:p>
      <w:pPr>
        <w:spacing w:line="470" w:lineRule="exact"/>
        <w:rPr>
          <w:rFonts w:ascii="宋体" w:hAnsi="宋体" w:cs="微软雅黑"/>
          <w:sz w:val="24"/>
        </w:rPr>
      </w:pPr>
      <w:r>
        <w:rPr>
          <w:rFonts w:ascii="宋体" w:hAnsi="宋体" w:cs="Calibri"/>
          <w:sz w:val="24"/>
        </w:rPr>
        <w:t>        </w:t>
      </w:r>
    </w:p>
    <w:p>
      <w:pPr>
        <w:spacing w:line="470" w:lineRule="exact"/>
        <w:rPr>
          <w:rFonts w:ascii="宋体" w:hAnsi="宋体" w:cs="微软雅黑"/>
          <w:sz w:val="24"/>
        </w:rPr>
      </w:pPr>
      <w:r>
        <w:rPr>
          <w:rFonts w:hint="eastAsia" w:ascii="宋体" w:hAnsi="宋体" w:cs="微软雅黑"/>
          <w:sz w:val="24"/>
        </w:rPr>
        <w:t>法定代表人（或授权代表人）：               法定代表人（或授权代表人）</w:t>
      </w:r>
    </w:p>
    <w:p>
      <w:pPr>
        <w:spacing w:line="470" w:lineRule="exact"/>
        <w:rPr>
          <w:rFonts w:ascii="宋体" w:hAnsi="宋体" w:cs="微软雅黑"/>
          <w:sz w:val="24"/>
        </w:rPr>
      </w:pPr>
      <w:r>
        <w:rPr>
          <w:rFonts w:hint="eastAsia" w:ascii="宋体" w:hAnsi="宋体" w:cs="微软雅黑"/>
          <w:sz w:val="24"/>
        </w:rPr>
        <w:t>日期：      年    月    日</w:t>
      </w:r>
      <w:r>
        <w:rPr>
          <w:rFonts w:ascii="宋体" w:hAnsi="宋体" w:cs="Calibri"/>
          <w:sz w:val="24"/>
        </w:rPr>
        <w:t>       </w:t>
      </w:r>
      <w:r>
        <w:rPr>
          <w:rFonts w:hint="eastAsia" w:ascii="宋体" w:hAnsi="宋体" w:cs="微软雅黑"/>
          <w:sz w:val="24"/>
        </w:rPr>
        <w:t>日期：      年    月    日</w:t>
      </w:r>
      <w:r>
        <w:rPr>
          <w:rFonts w:ascii="宋体" w:hAnsi="宋体" w:cs="Calibri"/>
          <w:sz w:val="24"/>
        </w:rPr>
        <w:t> </w:t>
      </w:r>
    </w:p>
    <w:p>
      <w:pPr>
        <w:jc w:val="center"/>
        <w:rPr>
          <w:rFonts w:ascii="宋体" w:hAnsi="宋体"/>
          <w:sz w:val="24"/>
        </w:rPr>
      </w:pPr>
    </w:p>
    <w:bookmarkEnd w:id="191"/>
    <w:bookmarkEnd w:id="192"/>
    <w:p>
      <w:pPr>
        <w:widowControl/>
        <w:rPr>
          <w:rFonts w:ascii="宋体" w:hAnsi="宋体" w:cs="宋体"/>
          <w:bCs/>
          <w:kern w:val="0"/>
          <w:sz w:val="24"/>
        </w:rPr>
      </w:pPr>
      <w:r>
        <w:rPr>
          <w:rFonts w:hint="eastAsia" w:ascii="宋体" w:hAnsi="宋体"/>
          <w:b/>
          <w:sz w:val="32"/>
          <w:szCs w:val="32"/>
        </w:rPr>
        <w:t>本合同文本为拟定文本，最终条款及内容以实际签署的协议为准。</w:t>
      </w:r>
    </w:p>
    <w:p>
      <w:pPr>
        <w:pStyle w:val="2"/>
      </w:pPr>
    </w:p>
    <w:p>
      <w:pPr>
        <w:widowControl/>
        <w:jc w:val="left"/>
        <w:rPr>
          <w:b/>
          <w:sz w:val="36"/>
          <w:szCs w:val="36"/>
        </w:rPr>
      </w:pPr>
      <w:r>
        <w:rPr>
          <w:b/>
          <w:sz w:val="36"/>
          <w:szCs w:val="36"/>
        </w:rPr>
        <w:br w:type="page"/>
      </w:r>
    </w:p>
    <w:p>
      <w:pPr>
        <w:spacing w:before="360" w:after="240" w:line="360" w:lineRule="auto"/>
        <w:jc w:val="center"/>
        <w:outlineLvl w:val="0"/>
        <w:rPr>
          <w:b/>
          <w:sz w:val="36"/>
          <w:szCs w:val="36"/>
        </w:rPr>
      </w:pPr>
      <w:bookmarkStart w:id="193" w:name="_Toc147735556"/>
      <w:r>
        <w:rPr>
          <w:b/>
          <w:sz w:val="36"/>
          <w:szCs w:val="36"/>
        </w:rPr>
        <w:t>第七章   投标文件格式</w:t>
      </w:r>
      <w:bookmarkEnd w:id="193"/>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b/>
          <w:bCs/>
          <w:color w:val="000000"/>
        </w:rPr>
      </w:pPr>
      <w:r>
        <w:rPr>
          <w:color w:val="000000"/>
          <w:sz w:val="24"/>
        </w:rPr>
        <w:br w:type="page"/>
      </w:r>
      <w:r>
        <w:rPr>
          <w:b/>
          <w:color w:val="000000"/>
        </w:rPr>
        <w:t>1-2 投标人资格声明书</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7"/>
        </w:numPr>
        <w:spacing w:line="360" w:lineRule="auto"/>
        <w:ind w:left="1134"/>
        <w:rPr>
          <w:sz w:val="24"/>
          <w:szCs w:val="22"/>
        </w:rPr>
      </w:pPr>
      <w:r>
        <w:rPr>
          <w:sz w:val="24"/>
          <w:szCs w:val="22"/>
        </w:rPr>
        <w:t>具有良好的商业信誉和健全的财务会计制度；</w:t>
      </w:r>
    </w:p>
    <w:p>
      <w:pPr>
        <w:numPr>
          <w:ilvl w:val="0"/>
          <w:numId w:val="17"/>
        </w:numPr>
        <w:spacing w:line="360" w:lineRule="auto"/>
        <w:ind w:left="1134"/>
        <w:rPr>
          <w:sz w:val="24"/>
          <w:szCs w:val="22"/>
        </w:rPr>
      </w:pPr>
      <w:r>
        <w:rPr>
          <w:sz w:val="24"/>
          <w:szCs w:val="22"/>
        </w:rPr>
        <w:t>具有履行合同所必需的设备和专业技术能力；</w:t>
      </w:r>
    </w:p>
    <w:p>
      <w:pPr>
        <w:numPr>
          <w:ilvl w:val="0"/>
          <w:numId w:val="17"/>
        </w:numPr>
        <w:spacing w:line="360" w:lineRule="auto"/>
        <w:ind w:left="1134"/>
        <w:rPr>
          <w:sz w:val="24"/>
          <w:szCs w:val="22"/>
        </w:rPr>
      </w:pPr>
      <w:r>
        <w:rPr>
          <w:sz w:val="24"/>
          <w:szCs w:val="22"/>
        </w:rPr>
        <w:t>有依法缴纳税收和社会保障资金的良好记录；</w:t>
      </w:r>
    </w:p>
    <w:p>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1"/>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Pr/>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r>
        <w:rPr>
          <w:sz w:val="24"/>
        </w:rPr>
        <w:br w:type="page"/>
      </w: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color w:val="000000"/>
          <w:sz w:val="24"/>
          <w:szCs w:val="20"/>
        </w:rPr>
      </w:pPr>
      <w:r>
        <w:rPr>
          <w:color w:val="000000"/>
          <w:sz w:val="24"/>
          <w:szCs w:val="20"/>
        </w:rPr>
        <w:t>2-1</w:t>
      </w:r>
      <w:r>
        <w:rPr>
          <w:rFonts w:hint="eastAsia"/>
          <w:sz w:val="24"/>
        </w:rPr>
        <w:t>中小企业证明文件</w:t>
      </w:r>
    </w:p>
    <w:p>
      <w:pPr>
        <w:tabs>
          <w:tab w:val="left" w:pos="5580"/>
        </w:tabs>
        <w:spacing w:line="360" w:lineRule="auto"/>
        <w:rPr>
          <w:sz w:val="24"/>
        </w:rPr>
      </w:pPr>
    </w:p>
    <w:p>
      <w:pPr>
        <w:tabs>
          <w:tab w:val="left" w:pos="5580"/>
        </w:tabs>
        <w:spacing w:line="360" w:lineRule="auto"/>
        <w:rPr>
          <w:sz w:val="24"/>
        </w:rPr>
      </w:pPr>
      <w:r>
        <w:rPr>
          <w:sz w:val="24"/>
        </w:rPr>
        <w:t>说明：</w:t>
      </w:r>
    </w:p>
    <w:p>
      <w:pPr>
        <w:pStyle w:val="2"/>
        <w:spacing w:before="55" w:line="360" w:lineRule="auto"/>
        <w:ind w:left="121"/>
        <w:rPr>
          <w:rFonts w:ascii="Times New Roman" w:hAnsi="Times New Roman"/>
        </w:rPr>
      </w:pPr>
      <w:r>
        <w:rPr>
          <w:rFonts w:hint="eastAsia" w:ascii="Times New Roman" w:hAnsi="Times New Roman"/>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pStyle w:val="2"/>
        <w:spacing w:before="36" w:line="360" w:lineRule="auto"/>
        <w:ind w:left="121" w:right="150"/>
        <w:rPr>
          <w:rFonts w:ascii="Times New Roman" w:hAnsi="Times New Roman"/>
        </w:rPr>
      </w:pPr>
      <w:r>
        <w:rPr>
          <w:rFonts w:hint="eastAsia" w:ascii="Times New Roman" w:hAnsi="Times New Roman"/>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pStyle w:val="2"/>
        <w:spacing w:before="43" w:line="360" w:lineRule="auto"/>
        <w:ind w:left="121" w:right="102"/>
        <w:rPr>
          <w:rFonts w:ascii="Times New Roman" w:hAnsi="Times New Roman"/>
        </w:rPr>
      </w:pPr>
      <w:r>
        <w:rPr>
          <w:rFonts w:hint="eastAsia" w:ascii="Times New Roman" w:hAnsi="Times New Roman"/>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pStyle w:val="2"/>
        <w:spacing w:before="38" w:line="360" w:lineRule="auto"/>
        <w:ind w:left="121" w:right="150"/>
        <w:rPr>
          <w:rFonts w:ascii="Times New Roman" w:hAnsi="Times New Roman"/>
        </w:rPr>
      </w:pPr>
      <w:r>
        <w:rPr>
          <w:rFonts w:hint="eastAsia" w:ascii="Times New Roman" w:hAnsi="Times New Roman"/>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pStyle w:val="2"/>
        <w:spacing w:before="41" w:line="360" w:lineRule="auto"/>
        <w:ind w:left="121"/>
        <w:rPr>
          <w:rFonts w:ascii="Times New Roman" w:hAnsi="Times New Roman"/>
        </w:rPr>
      </w:pPr>
      <w:r>
        <w:rPr>
          <w:rFonts w:hint="eastAsia" w:ascii="Times New Roman" w:hAnsi="Times New Roman"/>
        </w:rPr>
        <w:t>（5）中小企业声明函填写注意事项</w:t>
      </w:r>
    </w:p>
    <w:p>
      <w:pPr>
        <w:pStyle w:val="2"/>
        <w:spacing w:before="134" w:line="360" w:lineRule="auto"/>
        <w:ind w:left="121" w:right="150"/>
        <w:rPr>
          <w:rFonts w:ascii="Times New Roman" w:hAnsi="Times New Roman"/>
        </w:rPr>
      </w:pPr>
      <w:r>
        <w:rPr>
          <w:rFonts w:hint="eastAsia" w:ascii="Times New Roman" w:hAnsi="Times New Roman"/>
        </w:rPr>
        <w:t>1）《中小企业声明函》由参加政府采购活动的投标人出具。联合体投标的，《中小企业声明函》可由牵头人出具。</w:t>
      </w:r>
    </w:p>
    <w:p>
      <w:pPr>
        <w:pStyle w:val="2"/>
        <w:spacing w:before="52" w:line="360" w:lineRule="auto"/>
        <w:ind w:left="121" w:right="151"/>
        <w:rPr>
          <w:rFonts w:ascii="Times New Roman" w:hAnsi="Times New Roman"/>
        </w:rPr>
      </w:pPr>
      <w:r>
        <w:rPr>
          <w:rFonts w:hint="eastAsia" w:ascii="Times New Roman" w:hAnsi="Times New Roma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2"/>
        <w:spacing w:before="55" w:line="360" w:lineRule="auto"/>
        <w:ind w:left="121" w:right="153"/>
        <w:rPr>
          <w:rFonts w:ascii="Times New Roman" w:hAnsi="Times New Roman"/>
        </w:rPr>
      </w:pPr>
      <w:r>
        <w:rPr>
          <w:rFonts w:hint="eastAsia" w:ascii="Times New Roman" w:hAnsi="Times New Roman"/>
        </w:rPr>
        <w:t>3）对于多标的采购项目，投标人应充分、准确地了解所提供货物的制造企业、提供服务的承接企业信息。对相关情况了解不清楚的，不建议填报本声明函。</w:t>
      </w:r>
    </w:p>
    <w:p>
      <w:pPr>
        <w:pStyle w:val="2"/>
        <w:spacing w:before="55" w:line="360" w:lineRule="auto"/>
        <w:ind w:left="121" w:right="150"/>
      </w:pPr>
      <w:r>
        <w:rPr>
          <w:rFonts w:hint="eastAsia" w:ascii="Times New Roman" w:hAnsi="Times New Roman"/>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r>
        <w:br w:type="page"/>
      </w:r>
    </w:p>
    <w:p>
      <w:pPr>
        <w:pStyle w:val="2"/>
        <w:spacing w:before="42"/>
        <w:ind w:left="221"/>
      </w:pPr>
      <w:r>
        <w:rPr>
          <w:rFonts w:hint="eastAsia"/>
        </w:rPr>
        <w:t>2-1-1 中小企业声明函及残疾人福利性单位声明函格式</w:t>
      </w:r>
    </w:p>
    <w:p>
      <w:pPr>
        <w:spacing w:before="240" w:beforeLines="100" w:after="240" w:afterLines="100" w:line="360" w:lineRule="auto"/>
        <w:jc w:val="center"/>
        <w:rPr>
          <w:b/>
          <w:bCs/>
          <w:sz w:val="36"/>
          <w:szCs w:val="36"/>
        </w:rPr>
      </w:pPr>
      <w:r>
        <w:rPr>
          <w:rFonts w:hint="eastAsia"/>
          <w:b/>
          <w:bCs/>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企业名称（盖章）：________</w:t>
      </w:r>
    </w:p>
    <w:p>
      <w:pPr>
        <w:spacing w:line="360" w:lineRule="auto"/>
        <w:ind w:right="360" w:firstLine="480"/>
        <w:jc w:val="right"/>
        <w:rPr>
          <w:sz w:val="24"/>
        </w:rPr>
      </w:pPr>
      <w:r>
        <w:rPr>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51"/>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color w:val="000000"/>
          <w:sz w:val="24"/>
          <w:szCs w:val="20"/>
        </w:rPr>
      </w:pPr>
      <w:r>
        <w:rPr>
          <w:color w:val="000000"/>
          <w:sz w:val="24"/>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pStyle w:val="2"/>
        <w:spacing w:before="42"/>
        <w:ind w:left="121"/>
      </w:pPr>
      <w:r>
        <w:rPr>
          <w:rFonts w:hint="eastAsia"/>
        </w:rPr>
        <w:t>2-1-2 拟分包情况说明及分包意向协议（本项目不适用）</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51"/>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456" w:type="dxa"/>
            <w:vAlign w:val="center"/>
          </w:tcPr>
          <w:p>
            <w:pPr>
              <w:pStyle w:val="248"/>
              <w:jc w:val="center"/>
              <w:rPr>
                <w:sz w:val="24"/>
              </w:rPr>
            </w:pPr>
            <w:r>
              <w:rPr>
                <w:sz w:val="24"/>
              </w:rPr>
              <w:t>序号</w:t>
            </w:r>
          </w:p>
        </w:tc>
        <w:tc>
          <w:tcPr>
            <w:tcW w:w="1287" w:type="dxa"/>
            <w:vAlign w:val="center"/>
          </w:tcPr>
          <w:p>
            <w:pPr>
              <w:pStyle w:val="248"/>
              <w:jc w:val="center"/>
              <w:rPr>
                <w:sz w:val="24"/>
              </w:rPr>
            </w:pPr>
            <w:r>
              <w:rPr>
                <w:sz w:val="24"/>
              </w:rPr>
              <w:t>分包承担</w:t>
            </w:r>
          </w:p>
          <w:p>
            <w:pPr>
              <w:pStyle w:val="248"/>
              <w:jc w:val="center"/>
              <w:rPr>
                <w:sz w:val="24"/>
              </w:rPr>
            </w:pPr>
            <w:r>
              <w:rPr>
                <w:sz w:val="24"/>
              </w:rPr>
              <w:t>主体名称</w:t>
            </w:r>
          </w:p>
        </w:tc>
        <w:tc>
          <w:tcPr>
            <w:tcW w:w="1513" w:type="dxa"/>
            <w:vAlign w:val="center"/>
          </w:tcPr>
          <w:p>
            <w:pPr>
              <w:pStyle w:val="248"/>
              <w:jc w:val="center"/>
              <w:rPr>
                <w:sz w:val="24"/>
                <w:lang w:eastAsia="zh-CN"/>
              </w:rPr>
            </w:pPr>
            <w:r>
              <w:rPr>
                <w:sz w:val="24"/>
                <w:lang w:eastAsia="zh-CN"/>
              </w:rPr>
              <w:t>分包承担</w:t>
            </w:r>
          </w:p>
          <w:p>
            <w:pPr>
              <w:pStyle w:val="248"/>
              <w:jc w:val="center"/>
              <w:rPr>
                <w:sz w:val="24"/>
                <w:lang w:eastAsia="zh-CN"/>
              </w:rPr>
            </w:pPr>
            <w:r>
              <w:rPr>
                <w:sz w:val="24"/>
                <w:lang w:eastAsia="zh-CN"/>
              </w:rPr>
              <w:t>主体类型</w:t>
            </w:r>
          </w:p>
          <w:p>
            <w:pPr>
              <w:pStyle w:val="248"/>
              <w:jc w:val="center"/>
              <w:rPr>
                <w:sz w:val="24"/>
                <w:lang w:eastAsia="zh-CN"/>
              </w:rPr>
            </w:pPr>
            <w:r>
              <w:rPr>
                <w:rFonts w:hint="eastAsia"/>
                <w:sz w:val="24"/>
                <w:lang w:eastAsia="zh-CN"/>
              </w:rPr>
              <w:t>（勾选）</w:t>
            </w:r>
          </w:p>
        </w:tc>
        <w:tc>
          <w:tcPr>
            <w:tcW w:w="1125" w:type="dxa"/>
            <w:vAlign w:val="center"/>
          </w:tcPr>
          <w:p>
            <w:pPr>
              <w:pStyle w:val="248"/>
              <w:jc w:val="center"/>
              <w:rPr>
                <w:sz w:val="24"/>
              </w:rPr>
            </w:pPr>
            <w:r>
              <w:rPr>
                <w:sz w:val="24"/>
              </w:rPr>
              <w:t>资质等级</w:t>
            </w:r>
          </w:p>
        </w:tc>
        <w:tc>
          <w:tcPr>
            <w:tcW w:w="1561" w:type="dxa"/>
            <w:vAlign w:val="center"/>
          </w:tcPr>
          <w:p>
            <w:pPr>
              <w:pStyle w:val="248"/>
              <w:jc w:val="center"/>
              <w:rPr>
                <w:sz w:val="24"/>
              </w:rPr>
            </w:pPr>
            <w:r>
              <w:rPr>
                <w:sz w:val="24"/>
              </w:rPr>
              <w:t>拟分包</w:t>
            </w:r>
          </w:p>
          <w:p>
            <w:pPr>
              <w:pStyle w:val="248"/>
              <w:jc w:val="center"/>
              <w:rPr>
                <w:sz w:val="24"/>
              </w:rPr>
            </w:pPr>
            <w:r>
              <w:rPr>
                <w:sz w:val="24"/>
              </w:rPr>
              <w:t>合同内容</w:t>
            </w:r>
          </w:p>
        </w:tc>
        <w:tc>
          <w:tcPr>
            <w:tcW w:w="1498" w:type="dxa"/>
            <w:vAlign w:val="center"/>
          </w:tcPr>
          <w:p>
            <w:pPr>
              <w:pStyle w:val="248"/>
              <w:jc w:val="center"/>
              <w:rPr>
                <w:sz w:val="24"/>
                <w:lang w:eastAsia="zh-CN"/>
              </w:rPr>
            </w:pPr>
            <w:r>
              <w:rPr>
                <w:sz w:val="24"/>
                <w:lang w:eastAsia="zh-CN"/>
              </w:rPr>
              <w:t>拟分包</w:t>
            </w:r>
          </w:p>
          <w:p>
            <w:pPr>
              <w:pStyle w:val="248"/>
              <w:jc w:val="center"/>
              <w:rPr>
                <w:sz w:val="24"/>
                <w:lang w:eastAsia="zh-CN"/>
              </w:rPr>
            </w:pPr>
            <w:r>
              <w:rPr>
                <w:sz w:val="24"/>
                <w:lang w:eastAsia="zh-CN"/>
              </w:rPr>
              <w:t>合同金额</w:t>
            </w:r>
          </w:p>
          <w:p>
            <w:pPr>
              <w:pStyle w:val="248"/>
              <w:jc w:val="center"/>
              <w:rPr>
                <w:sz w:val="24"/>
                <w:lang w:eastAsia="zh-CN"/>
              </w:rPr>
            </w:pPr>
            <w:r>
              <w:rPr>
                <w:sz w:val="24"/>
                <w:lang w:eastAsia="zh-CN"/>
              </w:rPr>
              <w:t>（人民币元）</w:t>
            </w:r>
          </w:p>
        </w:tc>
        <w:tc>
          <w:tcPr>
            <w:tcW w:w="1564" w:type="dxa"/>
            <w:vAlign w:val="center"/>
          </w:tcPr>
          <w:p>
            <w:pPr>
              <w:pStyle w:val="248"/>
              <w:jc w:val="center"/>
              <w:rPr>
                <w:sz w:val="24"/>
                <w:lang w:eastAsia="zh-CN"/>
              </w:rPr>
            </w:pPr>
            <w:r>
              <w:rPr>
                <w:rFonts w:hint="eastAsia"/>
                <w:sz w:val="24"/>
                <w:lang w:eastAsia="zh-CN"/>
              </w:rPr>
              <w:t>占合同金额的比例（%）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sz w:val="24"/>
              </w:rPr>
            </w:pPr>
            <w:r>
              <w:rPr>
                <w:rFonts w:ascii="Times New Roman"/>
                <w:sz w:val="24"/>
              </w:rPr>
              <w:t>1</w:t>
            </w:r>
          </w:p>
        </w:tc>
        <w:tc>
          <w:tcPr>
            <w:tcW w:w="1287" w:type="dxa"/>
            <w:vAlign w:val="center"/>
          </w:tcPr>
          <w:p>
            <w:pPr>
              <w:pStyle w:val="248"/>
              <w:jc w:val="center"/>
              <w:rPr>
                <w:rFonts w:ascii="Times New Roman" w:hAnsi="Times New Roman" w:cs="Times New Roman"/>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248"/>
              <w:jc w:val="center"/>
              <w:rPr>
                <w:rFonts w:ascii="Times New Roman"/>
                <w:sz w:val="30"/>
                <w:lang w:eastAsia="zh-CN"/>
              </w:rPr>
            </w:pPr>
          </w:p>
        </w:tc>
        <w:tc>
          <w:tcPr>
            <w:tcW w:w="1561" w:type="dxa"/>
            <w:vAlign w:val="center"/>
          </w:tcPr>
          <w:p>
            <w:pPr>
              <w:pStyle w:val="248"/>
              <w:jc w:val="center"/>
              <w:rPr>
                <w:rFonts w:ascii="Times New Roman"/>
                <w:sz w:val="30"/>
                <w:lang w:eastAsia="zh-CN"/>
              </w:rPr>
            </w:pPr>
          </w:p>
        </w:tc>
        <w:tc>
          <w:tcPr>
            <w:tcW w:w="1498" w:type="dxa"/>
            <w:vAlign w:val="center"/>
          </w:tcPr>
          <w:p>
            <w:pPr>
              <w:pStyle w:val="248"/>
              <w:jc w:val="center"/>
              <w:rPr>
                <w:rFonts w:ascii="Times New Roman"/>
                <w:sz w:val="30"/>
                <w:lang w:eastAsia="zh-CN"/>
              </w:rPr>
            </w:pPr>
          </w:p>
        </w:tc>
        <w:tc>
          <w:tcPr>
            <w:tcW w:w="1564" w:type="dxa"/>
            <w:vAlign w:val="center"/>
          </w:tcPr>
          <w:p>
            <w:pPr>
              <w:pStyle w:val="248"/>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sz w:val="24"/>
                <w:lang w:eastAsia="zh-CN"/>
              </w:rPr>
            </w:pPr>
            <w:r>
              <w:rPr>
                <w:rFonts w:hint="eastAsia" w:ascii="Times New Roman"/>
                <w:sz w:val="24"/>
                <w:lang w:eastAsia="zh-CN"/>
              </w:rPr>
              <w:t>2</w:t>
            </w:r>
          </w:p>
        </w:tc>
        <w:tc>
          <w:tcPr>
            <w:tcW w:w="1287" w:type="dxa"/>
            <w:vAlign w:val="center"/>
          </w:tcPr>
          <w:p>
            <w:pPr>
              <w:pStyle w:val="248"/>
              <w:jc w:val="center"/>
              <w:rPr>
                <w:rFonts w:ascii="Times New Roman"/>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248"/>
              <w:jc w:val="center"/>
              <w:rPr>
                <w:rFonts w:ascii="Times New Roman"/>
                <w:sz w:val="30"/>
                <w:lang w:eastAsia="zh-CN"/>
              </w:rPr>
            </w:pPr>
          </w:p>
        </w:tc>
        <w:tc>
          <w:tcPr>
            <w:tcW w:w="1561" w:type="dxa"/>
            <w:vAlign w:val="center"/>
          </w:tcPr>
          <w:p>
            <w:pPr>
              <w:pStyle w:val="248"/>
              <w:jc w:val="center"/>
              <w:rPr>
                <w:rFonts w:ascii="Times New Roman"/>
                <w:sz w:val="30"/>
                <w:lang w:eastAsia="zh-CN"/>
              </w:rPr>
            </w:pPr>
          </w:p>
        </w:tc>
        <w:tc>
          <w:tcPr>
            <w:tcW w:w="1498" w:type="dxa"/>
            <w:vAlign w:val="center"/>
          </w:tcPr>
          <w:p>
            <w:pPr>
              <w:pStyle w:val="248"/>
              <w:jc w:val="center"/>
              <w:rPr>
                <w:rFonts w:ascii="Times New Roman"/>
                <w:sz w:val="30"/>
                <w:lang w:eastAsia="zh-CN"/>
              </w:rPr>
            </w:pPr>
          </w:p>
        </w:tc>
        <w:tc>
          <w:tcPr>
            <w:tcW w:w="1564" w:type="dxa"/>
            <w:vAlign w:val="center"/>
          </w:tcPr>
          <w:p>
            <w:pPr>
              <w:pStyle w:val="248"/>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sz w:val="24"/>
                <w:lang w:eastAsia="zh-CN"/>
              </w:rPr>
            </w:pPr>
            <w:r>
              <w:rPr>
                <w:rFonts w:ascii="Times New Roman"/>
                <w:sz w:val="24"/>
                <w:lang w:eastAsia="zh-CN"/>
              </w:rPr>
              <w:t>…</w:t>
            </w:r>
          </w:p>
        </w:tc>
        <w:tc>
          <w:tcPr>
            <w:tcW w:w="1287" w:type="dxa"/>
            <w:vAlign w:val="center"/>
          </w:tcPr>
          <w:p>
            <w:pPr>
              <w:pStyle w:val="248"/>
              <w:jc w:val="center"/>
              <w:rPr>
                <w:rFonts w:ascii="Times New Roman"/>
                <w:sz w:val="30"/>
              </w:rPr>
            </w:pPr>
          </w:p>
        </w:tc>
        <w:tc>
          <w:tcPr>
            <w:tcW w:w="1513" w:type="dxa"/>
            <w:vAlign w:val="center"/>
          </w:tcPr>
          <w:p>
            <w:pPr>
              <w:pStyle w:val="248"/>
              <w:tabs>
                <w:tab w:val="left" w:pos="235"/>
              </w:tabs>
              <w:jc w:val="center"/>
              <w:rPr>
                <w:sz w:val="24"/>
              </w:rPr>
            </w:pPr>
          </w:p>
        </w:tc>
        <w:tc>
          <w:tcPr>
            <w:tcW w:w="1125" w:type="dxa"/>
            <w:vAlign w:val="center"/>
          </w:tcPr>
          <w:p>
            <w:pPr>
              <w:pStyle w:val="248"/>
              <w:jc w:val="center"/>
              <w:rPr>
                <w:rFonts w:ascii="Times New Roman"/>
                <w:sz w:val="30"/>
              </w:rPr>
            </w:pPr>
          </w:p>
        </w:tc>
        <w:tc>
          <w:tcPr>
            <w:tcW w:w="1561" w:type="dxa"/>
            <w:vAlign w:val="center"/>
          </w:tcPr>
          <w:p>
            <w:pPr>
              <w:pStyle w:val="248"/>
              <w:jc w:val="center"/>
              <w:rPr>
                <w:rFonts w:ascii="Times New Roman"/>
                <w:sz w:val="30"/>
              </w:rPr>
            </w:pPr>
          </w:p>
        </w:tc>
        <w:tc>
          <w:tcPr>
            <w:tcW w:w="1498" w:type="dxa"/>
            <w:vAlign w:val="center"/>
          </w:tcPr>
          <w:p>
            <w:pPr>
              <w:pStyle w:val="248"/>
              <w:jc w:val="center"/>
              <w:rPr>
                <w:rFonts w:ascii="Times New Roman"/>
                <w:sz w:val="30"/>
              </w:rPr>
            </w:pPr>
          </w:p>
        </w:tc>
        <w:tc>
          <w:tcPr>
            <w:tcW w:w="1564" w:type="dxa"/>
            <w:vAlign w:val="center"/>
          </w:tcPr>
          <w:p>
            <w:pPr>
              <w:pStyle w:val="248"/>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sz w:val="24"/>
                <w:lang w:eastAsia="zh-CN"/>
              </w:rPr>
            </w:pPr>
            <w:r>
              <w:rPr>
                <w:rFonts w:hint="eastAsia"/>
                <w:sz w:val="24"/>
                <w:lang w:eastAsia="zh-CN"/>
              </w:rPr>
              <w:t>合计：</w:t>
            </w:r>
          </w:p>
        </w:tc>
        <w:tc>
          <w:tcPr>
            <w:tcW w:w="1498" w:type="dxa"/>
            <w:vAlign w:val="center"/>
          </w:tcPr>
          <w:p>
            <w:pPr>
              <w:pStyle w:val="248"/>
              <w:jc w:val="center"/>
              <w:rPr>
                <w:rFonts w:ascii="Times New Roman"/>
                <w:sz w:val="30"/>
              </w:rPr>
            </w:pPr>
          </w:p>
        </w:tc>
        <w:tc>
          <w:tcPr>
            <w:tcW w:w="1564" w:type="dxa"/>
            <w:vAlign w:val="center"/>
          </w:tcPr>
          <w:p>
            <w:pPr>
              <w:pStyle w:val="248"/>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jc w:val="left"/>
        <w:rPr>
          <w:color w:val="000000"/>
          <w:sz w:val="30"/>
          <w:szCs w:val="30"/>
        </w:rPr>
      </w:pPr>
      <w:r>
        <w:rPr>
          <w:rFonts w:hint="eastAsia"/>
          <w:sz w:val="24"/>
        </w:rPr>
        <w:t>如本招标文件《投标人须知资料表》载明本项目分包承担主体应具备的相应资质条件， 则投标人须在本表中列明分包承担主体的资质等级，并后附资质证书电子件，否则投标无效。</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2.分包金额：_____，该金额占该采购包预算总金额的比例为___%。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sectPr>
          <w:pgSz w:w="11907" w:h="16840"/>
          <w:pgMar w:top="1418" w:right="1134" w:bottom="1418" w:left="1701" w:header="851" w:footer="851" w:gutter="0"/>
          <w:cols w:space="720" w:num="1"/>
          <w:docGrid w:linePitch="462" w:charSpace="0"/>
        </w:sectPr>
      </w:pPr>
      <w:r>
        <w:rPr>
          <w:color w:val="000000"/>
          <w:sz w:val="24"/>
        </w:rPr>
        <w:t>说明：</w:t>
      </w:r>
      <w:r>
        <w:rPr>
          <w:rFonts w:hint="eastAsia"/>
          <w:color w:val="000000"/>
          <w:sz w:val="24"/>
        </w:rPr>
        <w:t>本协议仅在投标人“为落实政府采购政策”面向中小企业分包时必须提供，否则投标无效；且投标人须与所有拟分包单位分别签订《分包意向协议》，每单位签订一份，并在投标文件中提交全部协议原件的电子件，否则投标无效。</w:t>
      </w:r>
    </w:p>
    <w:p>
      <w:pPr>
        <w:spacing w:line="360" w:lineRule="auto"/>
        <w:outlineLvl w:val="2"/>
        <w:rPr>
          <w:color w:val="000000"/>
          <w:sz w:val="24"/>
          <w:szCs w:val="20"/>
        </w:rPr>
      </w:pPr>
      <w:bookmarkStart w:id="284" w:name="_GoBack"/>
      <w:r>
        <w:rPr>
          <w:color w:val="000000"/>
          <w:sz w:val="24"/>
          <w:szCs w:val="20"/>
        </w:rPr>
        <w:t xml:space="preserve">2-2 </w:t>
      </w:r>
      <w:r>
        <w:rPr>
          <w:sz w:val="24"/>
        </w:rPr>
        <w:t>其它落实政府采购政策的资格要求</w:t>
      </w:r>
      <w:r>
        <w:rPr>
          <w:color w:val="000000"/>
          <w:sz w:val="24"/>
          <w:szCs w:val="20"/>
        </w:rPr>
        <w:t>（如有）</w:t>
      </w:r>
    </w:p>
    <w:bookmarkEnd w:id="284"/>
    <w:p>
      <w:pPr>
        <w:widowControl/>
        <w:jc w:val="left"/>
        <w:rPr>
          <w:sz w:val="24"/>
        </w:rPr>
      </w:pP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r>
        <w:rPr>
          <w:rFonts w:hint="eastAsia"/>
          <w:color w:val="000000"/>
          <w:sz w:val="24"/>
          <w:szCs w:val="20"/>
        </w:rPr>
        <w:t>（</w:t>
      </w:r>
      <w:r>
        <w:rPr>
          <w:rFonts w:hint="eastAsia"/>
          <w:sz w:val="24"/>
        </w:rPr>
        <w:t>本项目不适用</w:t>
      </w:r>
      <w:r>
        <w:rPr>
          <w:rFonts w:hint="eastAsia"/>
          <w:color w:val="000000"/>
          <w:sz w:val="24"/>
          <w:szCs w:val="20"/>
        </w:rPr>
        <w:t>）</w:t>
      </w:r>
    </w:p>
    <w:p>
      <w:pPr>
        <w:spacing w:line="360" w:lineRule="auto"/>
        <w:outlineLvl w:val="2"/>
        <w:rPr>
          <w:color w:val="000000"/>
          <w:sz w:val="24"/>
          <w:szCs w:val="20"/>
        </w:rPr>
      </w:pPr>
      <w:r>
        <w:rPr>
          <w:color w:val="000000"/>
          <w:sz w:val="24"/>
          <w:szCs w:val="20"/>
        </w:rPr>
        <w:t>3-1联合协议（如有）（实质性格式）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18"/>
        </w:numPr>
        <w:tabs>
          <w:tab w:val="left" w:pos="780"/>
        </w:tabs>
        <w:spacing w:line="360" w:lineRule="auto"/>
        <w:rPr>
          <w:bCs/>
          <w:color w:val="000000"/>
          <w:sz w:val="24"/>
        </w:rPr>
      </w:pPr>
      <w:r>
        <w:rPr>
          <w:bCs/>
          <w:color w:val="000000"/>
          <w:sz w:val="24"/>
        </w:rPr>
        <w:t>由_________牵头，_________、__________参加，组成联合体共同进行招标项目的投标工作。</w:t>
      </w:r>
    </w:p>
    <w:p>
      <w:pPr>
        <w:numPr>
          <w:ilvl w:val="0"/>
          <w:numId w:val="18"/>
        </w:numPr>
        <w:tabs>
          <w:tab w:val="left" w:pos="780"/>
        </w:tabs>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pPr>
        <w:numPr>
          <w:ilvl w:val="0"/>
          <w:numId w:val="18"/>
        </w:numPr>
        <w:tabs>
          <w:tab w:val="left" w:pos="780"/>
        </w:tabs>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18"/>
        </w:numPr>
        <w:tabs>
          <w:tab w:val="left" w:pos="780"/>
        </w:tabs>
        <w:spacing w:line="360" w:lineRule="auto"/>
        <w:rPr>
          <w:bCs/>
          <w:color w:val="000000"/>
          <w:sz w:val="24"/>
        </w:rPr>
      </w:pPr>
      <w:r>
        <w:rPr>
          <w:bCs/>
          <w:color w:val="000000"/>
          <w:sz w:val="24"/>
        </w:rPr>
        <w:t>牵头人为项目的总负责单位；组织各参加方进行项目实施工作。</w:t>
      </w:r>
    </w:p>
    <w:p>
      <w:pPr>
        <w:numPr>
          <w:ilvl w:val="0"/>
          <w:numId w:val="18"/>
        </w:numPr>
        <w:tabs>
          <w:tab w:val="left" w:pos="780"/>
        </w:tabs>
        <w:spacing w:line="360" w:lineRule="auto"/>
        <w:rPr>
          <w:bCs/>
          <w:color w:val="000000"/>
          <w:sz w:val="24"/>
        </w:rPr>
      </w:pPr>
      <w:r>
        <w:rPr>
          <w:bCs/>
          <w:color w:val="000000"/>
          <w:sz w:val="24"/>
        </w:rPr>
        <w:t>______负责_____，具体工作范围、内容以投标文件及合同为准。</w:t>
      </w:r>
    </w:p>
    <w:p>
      <w:pPr>
        <w:numPr>
          <w:ilvl w:val="0"/>
          <w:numId w:val="18"/>
        </w:numPr>
        <w:tabs>
          <w:tab w:val="left" w:pos="780"/>
        </w:tabs>
        <w:spacing w:line="360" w:lineRule="auto"/>
        <w:rPr>
          <w:bCs/>
          <w:color w:val="000000"/>
          <w:sz w:val="24"/>
        </w:rPr>
      </w:pPr>
      <w:r>
        <w:rPr>
          <w:bCs/>
          <w:color w:val="000000"/>
          <w:sz w:val="24"/>
        </w:rPr>
        <w:t>______负责_____，具体工作范围、内容以投标文件及合同为准。</w:t>
      </w:r>
    </w:p>
    <w:p>
      <w:pPr>
        <w:numPr>
          <w:ilvl w:val="0"/>
          <w:numId w:val="18"/>
        </w:numPr>
        <w:tabs>
          <w:tab w:val="left" w:pos="780"/>
        </w:tabs>
        <w:spacing w:line="360" w:lineRule="auto"/>
        <w:rPr>
          <w:bCs/>
          <w:color w:val="000000"/>
          <w:sz w:val="24"/>
        </w:rPr>
      </w:pPr>
      <w:r>
        <w:rPr>
          <w:bCs/>
          <w:color w:val="000000"/>
          <w:sz w:val="24"/>
        </w:rPr>
        <w:t>______负责_____（如有），具体工作范围、内容以投标文件及合同为准。</w:t>
      </w:r>
    </w:p>
    <w:p>
      <w:pPr>
        <w:numPr>
          <w:ilvl w:val="0"/>
          <w:numId w:val="18"/>
        </w:numPr>
        <w:tabs>
          <w:tab w:val="left" w:pos="780"/>
        </w:tabs>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18"/>
        </w:numPr>
        <w:tabs>
          <w:tab w:val="left" w:pos="780"/>
          <w:tab w:val="left" w:pos="993"/>
        </w:tabs>
        <w:spacing w:line="360" w:lineRule="auto"/>
        <w:rPr>
          <w:bCs/>
          <w:color w:val="000000"/>
          <w:sz w:val="24"/>
        </w:rPr>
      </w:pPr>
      <w:r>
        <w:rPr>
          <w:rFonts w:hint="eastAsia"/>
          <w:bCs/>
          <w:color w:val="000000"/>
          <w:sz w:val="24"/>
        </w:rPr>
        <w:t>以联合体形式参加政府采购活动的，联合体各方不得再单独参加或者与其他投标人另外组成联合体参加同一合同项下的政府采购活动</w:t>
      </w:r>
      <w:r>
        <w:rPr>
          <w:bCs/>
          <w:color w:val="000000"/>
          <w:sz w:val="24"/>
        </w:rPr>
        <w:t>。</w:t>
      </w:r>
    </w:p>
    <w:p>
      <w:pPr>
        <w:numPr>
          <w:ilvl w:val="0"/>
          <w:numId w:val="18"/>
        </w:numPr>
        <w:tabs>
          <w:tab w:val="left" w:pos="780"/>
        </w:tabs>
        <w:spacing w:line="360" w:lineRule="auto"/>
        <w:rPr>
          <w:bCs/>
          <w:color w:val="000000"/>
          <w:sz w:val="24"/>
        </w:rPr>
      </w:pPr>
      <w:r>
        <w:rPr>
          <w:bCs/>
          <w:color w:val="000000"/>
          <w:sz w:val="24"/>
        </w:rPr>
        <w:t>其他约定（如有）：_______</w:t>
      </w:r>
      <w:r>
        <w:rPr>
          <w:rFonts w:hint="eastAsia"/>
          <w:bCs/>
          <w:color w:val="000000"/>
          <w:sz w:val="24"/>
        </w:rPr>
        <w:t>。</w:t>
      </w:r>
    </w:p>
    <w:p>
      <w:pPr>
        <w:tabs>
          <w:tab w:val="left" w:pos="780"/>
        </w:tabs>
        <w:spacing w:line="360" w:lineRule="auto"/>
        <w:ind w:firstLine="480" w:firstLineChars="20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rPr>
          <w:color w:val="000000"/>
          <w:sz w:val="24"/>
        </w:rPr>
      </w:pPr>
      <w:r>
        <w:rPr>
          <w:color w:val="000000"/>
          <w:sz w:val="24"/>
        </w:rPr>
        <w:t>注：</w:t>
      </w:r>
    </w:p>
    <w:p>
      <w:pPr>
        <w:pStyle w:val="2"/>
        <w:tabs>
          <w:tab w:val="left" w:pos="330"/>
          <w:tab w:val="clear" w:pos="567"/>
        </w:tabs>
        <w:spacing w:line="360" w:lineRule="auto"/>
      </w:pPr>
      <w:r>
        <w:rPr>
          <w:rFonts w:hint="eastAsia"/>
        </w:rPr>
        <w:t>1.</w:t>
      </w:r>
      <w:r>
        <w:rPr>
          <w:rFonts w:hint="eastAsia"/>
        </w:rPr>
        <w:tab/>
      </w:r>
      <w:r>
        <w:rPr>
          <w:rFonts w:hint="eastAsia"/>
        </w:rPr>
        <w:t>如本项目（包）接受供应商以联合体形式参加采购活动，且供应商以联合体形式参与时，须提供《联合协议》，否则投标无效。</w:t>
      </w:r>
    </w:p>
    <w:p>
      <w:pPr>
        <w:pStyle w:val="2"/>
        <w:spacing w:line="360" w:lineRule="auto"/>
      </w:pPr>
      <w:r>
        <w:rPr>
          <w:rFonts w:hint="eastAsia"/>
        </w:rPr>
        <w:t>2.联合体各方成员需在本协议上共同盖章。</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p>
    <w:p>
      <w:pPr>
        <w:widowControl/>
        <w:jc w:val="left"/>
        <w:rPr>
          <w:sz w:val="24"/>
        </w:rPr>
      </w:pPr>
      <w:r>
        <w:rPr>
          <w:rFonts w:hint="eastAsia"/>
          <w:sz w:val="24"/>
        </w:rPr>
        <w:t>无</w:t>
      </w:r>
      <w:r>
        <w:rPr>
          <w:sz w:val="24"/>
        </w:rPr>
        <w:br w:type="page"/>
      </w:r>
    </w:p>
    <w:p>
      <w:pPr>
        <w:spacing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凭证/</w:t>
      </w:r>
      <w:r>
        <w:rPr>
          <w:color w:val="000000"/>
          <w:sz w:val="24"/>
          <w:szCs w:val="20"/>
        </w:rPr>
        <w:t>交款单据电子件</w:t>
      </w: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194" w:name="_Hlt520273711"/>
      <w:bookmarkEnd w:id="194"/>
      <w:bookmarkStart w:id="195" w:name="_Hlt520343000"/>
      <w:bookmarkEnd w:id="195"/>
      <w:bookmarkStart w:id="196" w:name="_Hlt520355504"/>
      <w:bookmarkEnd w:id="196"/>
      <w:bookmarkStart w:id="197" w:name="_Hlt520274065"/>
      <w:bookmarkEnd w:id="197"/>
      <w:bookmarkStart w:id="198" w:name="_Hlt520343392"/>
      <w:bookmarkEnd w:id="198"/>
      <w:bookmarkStart w:id="199" w:name="_Hlt520274121"/>
      <w:bookmarkEnd w:id="199"/>
      <w:bookmarkStart w:id="200" w:name="_Hlt520271212"/>
      <w:bookmarkEnd w:id="200"/>
      <w:bookmarkStart w:id="201" w:name="_Hlt520350918"/>
      <w:bookmarkEnd w:id="201"/>
      <w:bookmarkStart w:id="202" w:name="_Hlt520274393"/>
      <w:bookmarkEnd w:id="202"/>
      <w:bookmarkStart w:id="203" w:name="_Hlt520274407"/>
      <w:bookmarkEnd w:id="203"/>
      <w:bookmarkStart w:id="204" w:name="_Ref467988698"/>
      <w:bookmarkStart w:id="205" w:name="_Toc480942349"/>
      <w:bookmarkStart w:id="206" w:name="_Toc226337252"/>
      <w:bookmarkStart w:id="207" w:name="_Toc520356217"/>
      <w:bookmarkStart w:id="208" w:name="_Toc150774761"/>
      <w:bookmarkStart w:id="209" w:name="_Toc226965746"/>
      <w:bookmarkStart w:id="210" w:name="_Toc226309800"/>
      <w:bookmarkStart w:id="211" w:name="_Toc150480794"/>
      <w:bookmarkStart w:id="212" w:name="_Toc195842921"/>
      <w:bookmarkStart w:id="213" w:name="_Toc127151556"/>
      <w:bookmarkStart w:id="214" w:name="_Toc142311058"/>
      <w:bookmarkStart w:id="215" w:name="_Toc226965829"/>
      <w:r>
        <w:rPr>
          <w:color w:val="000000"/>
          <w:sz w:val="24"/>
        </w:rPr>
        <w:t>1</w:t>
      </w:r>
      <w:r>
        <w:rPr>
          <w:color w:val="000000"/>
          <w:sz w:val="24"/>
          <w:szCs w:val="20"/>
        </w:rPr>
        <w:t xml:space="preserve">  </w:t>
      </w:r>
      <w:r>
        <w:rPr>
          <w:color w:val="000000"/>
          <w:sz w:val="24"/>
        </w:rPr>
        <w:t>投标</w:t>
      </w:r>
      <w:bookmarkEnd w:id="204"/>
      <w:bookmarkEnd w:id="205"/>
      <w:r>
        <w:rPr>
          <w:color w:val="000000"/>
          <w:sz w:val="24"/>
        </w:rPr>
        <w:t>书</w:t>
      </w:r>
      <w:bookmarkEnd w:id="206"/>
      <w:bookmarkEnd w:id="207"/>
      <w:bookmarkEnd w:id="208"/>
      <w:bookmarkEnd w:id="209"/>
      <w:bookmarkEnd w:id="210"/>
      <w:bookmarkEnd w:id="211"/>
      <w:bookmarkEnd w:id="212"/>
      <w:bookmarkEnd w:id="213"/>
      <w:bookmarkEnd w:id="214"/>
      <w:bookmarkEnd w:id="215"/>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216" w:name="_Hlt520356243"/>
      <w:bookmarkEnd w:id="216"/>
      <w:bookmarkStart w:id="217" w:name="_Hlt520355938"/>
      <w:bookmarkEnd w:id="217"/>
      <w:bookmarkStart w:id="218" w:name="_Toc195842922"/>
      <w:bookmarkStart w:id="219" w:name="_Toc226337253"/>
      <w:bookmarkStart w:id="220" w:name="_Ref467988705"/>
      <w:bookmarkStart w:id="221" w:name="_Toc150480795"/>
      <w:bookmarkStart w:id="222" w:name="_Toc226965830"/>
      <w:bookmarkStart w:id="223" w:name="_Toc150774762"/>
      <w:bookmarkStart w:id="224" w:name="_Toc305158825"/>
      <w:bookmarkStart w:id="225" w:name="_Toc264969247"/>
      <w:bookmarkStart w:id="226" w:name="_Toc265228395"/>
      <w:bookmarkStart w:id="227" w:name="_Toc305158899"/>
      <w:bookmarkStart w:id="228" w:name="_Toc142311059"/>
      <w:bookmarkStart w:id="229" w:name="_Toc226965747"/>
      <w:bookmarkStart w:id="230" w:name="_Toc480942350"/>
      <w:bookmarkStart w:id="231" w:name="_Toc520356218"/>
      <w:bookmarkStart w:id="232" w:name="_Toc226309801"/>
      <w:bookmarkStart w:id="233" w:name="_Toc127151557"/>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投标</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投标</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法定代表人（单位负责人）（签字或</w:t>
      </w:r>
      <w:r>
        <w:rPr>
          <w:rFonts w:hint="eastAsia" w:ascii="宋体" w:hAnsi="宋体"/>
          <w:color w:val="000000"/>
          <w:sz w:val="24"/>
          <w:szCs w:val="20"/>
        </w:rPr>
        <w:t>盖章）</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或签章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pStyle w:val="2"/>
        <w:spacing w:before="233"/>
        <w:ind w:left="221"/>
      </w:pPr>
      <w:r>
        <w:rPr>
          <w:rFonts w:hint="eastAsia"/>
        </w:rPr>
        <w:t>附：法定代表人及委托代理人身份证明文件电子件：</w:t>
      </w:r>
    </w:p>
    <w:p>
      <w:pPr>
        <w:pStyle w:val="2"/>
        <w:spacing w:before="1"/>
        <w:rPr>
          <w:sz w:val="11"/>
        </w:rPr>
      </w:pPr>
      <w:r>
        <w:rPr>
          <w:rFonts w:hint="eastAsia"/>
        </w:rPr>
        <mc:AlternateContent>
          <mc:Choice Requires="wpg">
            <w:drawing>
              <wp:anchor distT="0" distB="0" distL="114300" distR="114300" simplePos="0" relativeHeight="251659264" behindDoc="0" locked="0" layoutInCell="1" allowOverlap="1">
                <wp:simplePos x="0" y="0"/>
                <wp:positionH relativeFrom="page">
                  <wp:posOffset>1009650</wp:posOffset>
                </wp:positionH>
                <wp:positionV relativeFrom="paragraph">
                  <wp:posOffset>118745</wp:posOffset>
                </wp:positionV>
                <wp:extent cx="5281295" cy="1162050"/>
                <wp:effectExtent l="0" t="0" r="14605" b="19050"/>
                <wp:wrapTopAndBottom/>
                <wp:docPr id="14" name="组合 14"/>
                <wp:cNvGraphicFramePr/>
                <a:graphic xmlns:a="http://schemas.openxmlformats.org/drawingml/2006/main">
                  <a:graphicData uri="http://schemas.microsoft.com/office/word/2010/wordprocessingGroup">
                    <wpg:wgp>
                      <wpg:cNvGrpSpPr/>
                      <wpg:grpSpPr>
                        <a:xfrm>
                          <a:off x="0" y="0"/>
                          <a:ext cx="5281295" cy="1162050"/>
                          <a:chOff x="1583" y="184"/>
                          <a:chExt cx="8317" cy="2167"/>
                        </a:xfrm>
                      </wpg:grpSpPr>
                      <wps:wsp>
                        <wps:cNvPr id="6" name="直接连接符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8" name="直接连接符 8"/>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0" name="直接连接符 10"/>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2" name="直接连接符 12"/>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79.5pt;margin-top:9.35pt;height:91.5pt;width:415.85pt;mso-position-horizontal-relative:page;mso-wrap-distance-bottom:0pt;mso-wrap-distance-top:0pt;z-index:251659264;mso-width-relative:page;mso-height-relative:page;" coordorigin="1583,184" coordsize="8317,2167" o:gfxdata="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Mzb&#10;XYbZAAAACgEAAA8AAAAAAAAAAQAgAAAAIgAAAGRycy9kb3ducmV2LnhtbFBLAQIUABQAAAAIAIdO&#10;4kAzblnulAIAAJIKAAAOAAAAAAAAAAEAIAAAACgBAABkcnMvZTJvRG9jLnhtbFBLBQYAAAAABgAG&#10;AFkBAAAuBgAAAAA=&#10;">
                <o:lock v:ext="edit" aspectratio="f"/>
                <v:line id="_x0000_s1026" o:spid="_x0000_s1026" o:spt="20" style="position:absolute;left:1588;top:194;height:0;width:8306;"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_x0000_s1026" o:spid="_x0000_s1026" o:spt="20" style="position:absolute;left:1588;top:2346;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_x0000_s1026" o:spid="_x0000_s1026" o:spt="20" style="position:absolute;left:1593;top:189;height:2153;width:0;"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_x0000_s1026" o:spid="_x0000_s1026" o:spt="20" style="position:absolute;left:9889;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1.若供应商为事业单位或其他组织或分支机构，则法定代表人（单位负责人）处的签署人可为单位负责人。</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3.供应商为自然人的情形，可不提供本《授权委托书》。</w:t>
      </w:r>
    </w:p>
    <w:p>
      <w:pPr>
        <w:tabs>
          <w:tab w:val="left" w:pos="5580"/>
        </w:tabs>
        <w:spacing w:line="360" w:lineRule="auto"/>
        <w:jc w:val="left"/>
        <w:rPr>
          <w:rFonts w:ascii="宋体" w:hAnsi="宋体"/>
          <w:color w:val="000000"/>
          <w:sz w:val="30"/>
          <w:szCs w:val="30"/>
        </w:rPr>
      </w:pPr>
      <w:r>
        <w:rPr>
          <w:rFonts w:hint="eastAsia" w:ascii="宋体" w:hAnsi="宋体"/>
          <w:color w:val="000000"/>
          <w:sz w:val="24"/>
          <w:szCs w:val="20"/>
        </w:rPr>
        <w:t>4.供应商应随本《授权委托书》同时提供法定代表人（单位负责人）及委托代理人的有效的身份证、护照等身份证明文件电子件。提供身份证的，应同时提供身份证双面电子件。</w:t>
      </w: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2"/>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2"/>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2"/>
        <w:tabs>
          <w:tab w:val="left" w:pos="2412"/>
          <w:tab w:val="left" w:pos="3883"/>
          <w:tab w:val="left" w:pos="5352"/>
          <w:tab w:val="left" w:pos="6821"/>
        </w:tabs>
        <w:kinsoku w:val="0"/>
        <w:overflowPunct w:val="0"/>
        <w:spacing w:line="335" w:lineRule="exact"/>
      </w:pPr>
    </w:p>
    <w:p>
      <w:pPr>
        <w:pStyle w:val="2"/>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2"/>
        <w:tabs>
          <w:tab w:val="left" w:pos="2412"/>
          <w:tab w:val="left" w:pos="3883"/>
          <w:tab w:val="left" w:pos="5352"/>
          <w:tab w:val="left" w:pos="6821"/>
        </w:tabs>
        <w:kinsoku w:val="0"/>
        <w:overflowPunct w:val="0"/>
        <w:spacing w:line="335" w:lineRule="exact"/>
      </w:pPr>
    </w:p>
    <w:p>
      <w:pPr>
        <w:pStyle w:val="2"/>
        <w:tabs>
          <w:tab w:val="left" w:pos="2412"/>
          <w:tab w:val="left" w:pos="3883"/>
          <w:tab w:val="left" w:pos="5352"/>
          <w:tab w:val="left" w:pos="6821"/>
        </w:tabs>
        <w:kinsoku w:val="0"/>
        <w:overflowPunct w:val="0"/>
        <w:spacing w:line="335" w:lineRule="exact"/>
      </w:pPr>
    </w:p>
    <w:p>
      <w:pPr>
        <w:pStyle w:val="2"/>
        <w:tabs>
          <w:tab w:val="left" w:pos="2412"/>
          <w:tab w:val="left" w:pos="3883"/>
          <w:tab w:val="left" w:pos="5352"/>
          <w:tab w:val="left" w:pos="6821"/>
        </w:tabs>
        <w:kinsoku w:val="0"/>
        <w:overflowPunct w:val="0"/>
        <w:spacing w:line="335" w:lineRule="exact"/>
      </w:pPr>
    </w:p>
    <w:p>
      <w:pPr>
        <w:pStyle w:val="2"/>
        <w:kinsoku w:val="0"/>
        <w:overflowPunct w:val="0"/>
        <w:spacing w:line="583" w:lineRule="auto"/>
        <w:ind w:right="-46"/>
        <w:rPr>
          <w:spacing w:val="-3"/>
        </w:rPr>
      </w:pPr>
      <w:r>
        <w:t>附：</w:t>
      </w:r>
      <w:r>
        <w:rPr>
          <w:rFonts w:hint="eastAsia"/>
        </w:rPr>
        <w:t>法定代表人（单位负责人）身份证、护照等身份证明文件电子件</w:t>
      </w:r>
      <w:r>
        <w:rPr>
          <w:rFonts w:hint="eastAsia"/>
          <w:spacing w:val="-3"/>
        </w:rPr>
        <w:t>。</w:t>
      </w:r>
    </w:p>
    <w:tbl>
      <w:tblPr>
        <w:tblStyle w:val="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2"/>
        <w:kinsoku w:val="0"/>
        <w:overflowPunct w:val="0"/>
        <w:spacing w:line="583" w:lineRule="auto"/>
        <w:ind w:right="4305"/>
        <w:rPr>
          <w:spacing w:val="-3"/>
        </w:rPr>
      </w:pPr>
    </w:p>
    <w:p>
      <w:pPr>
        <w:pStyle w:val="2"/>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2"/>
        <w:kinsoku w:val="0"/>
        <w:overflowPunct w:val="0"/>
        <w:spacing w:line="583" w:lineRule="auto"/>
        <w:ind w:right="95"/>
        <w:rPr>
          <w:spacing w:val="-3"/>
        </w:rPr>
      </w:pPr>
      <w:r>
        <w:rPr>
          <w:rFonts w:hint="eastAsia"/>
          <w:spacing w:val="-3"/>
        </w:rPr>
        <w:t>法定代表人（</w:t>
      </w:r>
      <w:r>
        <w:t>单位负责人</w:t>
      </w:r>
      <w:r>
        <w:rPr>
          <w:rFonts w:hint="eastAsia"/>
          <w:spacing w:val="-3"/>
        </w:rPr>
        <w:t>）（签字或盖章）：_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color w:val="000000"/>
          <w:sz w:val="24"/>
          <w:szCs w:val="20"/>
        </w:rPr>
        <w:t>（实质性格式）</w:t>
      </w:r>
    </w:p>
    <w:p>
      <w:pPr>
        <w:spacing w:line="360" w:lineRule="exact"/>
        <w:jc w:val="center"/>
        <w:rPr>
          <w:b/>
          <w:color w:val="000000"/>
          <w:sz w:val="36"/>
          <w:szCs w:val="36"/>
        </w:rPr>
      </w:pPr>
      <w:bookmarkStart w:id="234" w:name="_Toc226965748"/>
      <w:bookmarkStart w:id="235" w:name="_Toc164608672"/>
      <w:bookmarkStart w:id="236" w:name="_Toc164608827"/>
      <w:bookmarkStart w:id="237" w:name="_Toc305158826"/>
      <w:bookmarkStart w:id="238" w:name="_Toc226309802"/>
      <w:bookmarkStart w:id="239" w:name="_Toc265228396"/>
      <w:bookmarkStart w:id="240" w:name="_Toc264969248"/>
      <w:bookmarkStart w:id="241" w:name="_Toc226965831"/>
      <w:bookmarkStart w:id="242" w:name="_Toc226337254"/>
      <w:bookmarkStart w:id="243" w:name="_Toc195842923"/>
      <w:bookmarkStart w:id="244" w:name="_Toc305158900"/>
      <w:r>
        <w:rPr>
          <w:rFonts w:hint="eastAsia"/>
          <w:b/>
          <w:color w:val="000000"/>
          <w:sz w:val="36"/>
          <w:szCs w:val="36"/>
        </w:rPr>
        <w:t>开标一览表</w:t>
      </w:r>
      <w:bookmarkEnd w:id="234"/>
      <w:bookmarkEnd w:id="235"/>
      <w:bookmarkEnd w:id="236"/>
      <w:bookmarkEnd w:id="237"/>
      <w:bookmarkEnd w:id="238"/>
      <w:bookmarkEnd w:id="239"/>
      <w:bookmarkEnd w:id="240"/>
      <w:bookmarkEnd w:id="241"/>
      <w:bookmarkEnd w:id="242"/>
      <w:bookmarkEnd w:id="243"/>
      <w:bookmarkEnd w:id="244"/>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52"/>
        <w:tblW w:w="89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2268"/>
        <w:gridCol w:w="2160"/>
        <w:gridCol w:w="1644"/>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69" w:hRule="atLeast"/>
          <w:jc w:val="center"/>
        </w:trPr>
        <w:tc>
          <w:tcPr>
            <w:tcW w:w="988" w:type="dxa"/>
            <w:vAlign w:val="center"/>
          </w:tcPr>
          <w:p>
            <w:pPr>
              <w:widowControl/>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序号</w:t>
            </w:r>
          </w:p>
        </w:tc>
        <w:tc>
          <w:tcPr>
            <w:tcW w:w="2268" w:type="dxa"/>
            <w:vAlign w:val="center"/>
          </w:tcPr>
          <w:p>
            <w:pPr>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投标人名称</w:t>
            </w:r>
          </w:p>
        </w:tc>
        <w:tc>
          <w:tcPr>
            <w:tcW w:w="2160" w:type="dxa"/>
            <w:vAlign w:val="center"/>
          </w:tcPr>
          <w:p>
            <w:pPr>
              <w:widowControl/>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投标总价</w:t>
            </w:r>
          </w:p>
        </w:tc>
        <w:tc>
          <w:tcPr>
            <w:tcW w:w="1644" w:type="dxa"/>
            <w:vAlign w:val="center"/>
          </w:tcPr>
          <w:p>
            <w:pPr>
              <w:widowControl/>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投标保证金（有/无）</w:t>
            </w:r>
          </w:p>
        </w:tc>
        <w:tc>
          <w:tcPr>
            <w:tcW w:w="1843" w:type="dxa"/>
            <w:vAlign w:val="center"/>
          </w:tcPr>
          <w:p>
            <w:pPr>
              <w:widowControl/>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00" w:hRule="atLeast"/>
          <w:jc w:val="center"/>
        </w:trPr>
        <w:tc>
          <w:tcPr>
            <w:tcW w:w="988" w:type="dxa"/>
            <w:vAlign w:val="center"/>
          </w:tcPr>
          <w:p>
            <w:pPr>
              <w:pStyle w:val="25"/>
              <w:spacing w:line="360" w:lineRule="auto"/>
              <w:jc w:val="center"/>
              <w:rPr>
                <w:rFonts w:hint="default"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w:t>
            </w:r>
          </w:p>
        </w:tc>
        <w:tc>
          <w:tcPr>
            <w:tcW w:w="2268" w:type="dxa"/>
            <w:vAlign w:val="center"/>
          </w:tcPr>
          <w:p>
            <w:pPr>
              <w:widowControl/>
              <w:spacing w:line="360" w:lineRule="auto"/>
              <w:jc w:val="center"/>
              <w:rPr>
                <w:color w:val="000000" w:themeColor="text1"/>
                <w:sz w:val="24"/>
                <w14:textFill>
                  <w14:solidFill>
                    <w14:schemeClr w14:val="tx1"/>
                  </w14:solidFill>
                </w14:textFill>
              </w:rPr>
            </w:pPr>
          </w:p>
        </w:tc>
        <w:tc>
          <w:tcPr>
            <w:tcW w:w="2160" w:type="dxa"/>
            <w:vAlign w:val="center"/>
          </w:tcPr>
          <w:p>
            <w:pPr>
              <w:widowControl/>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p>
          <w:p>
            <w:pPr>
              <w:widowControl/>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大写：</w:t>
            </w:r>
          </w:p>
        </w:tc>
        <w:tc>
          <w:tcPr>
            <w:tcW w:w="1644" w:type="dxa"/>
            <w:vAlign w:val="center"/>
          </w:tcPr>
          <w:p>
            <w:pPr>
              <w:widowControl/>
              <w:spacing w:line="360" w:lineRule="auto"/>
              <w:jc w:val="center"/>
              <w:rPr>
                <w:sz w:val="24"/>
              </w:rPr>
            </w:pPr>
          </w:p>
        </w:tc>
        <w:tc>
          <w:tcPr>
            <w:tcW w:w="1843" w:type="dxa"/>
          </w:tcPr>
          <w:p>
            <w:pPr>
              <w:pStyle w:val="2"/>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.此表中的投标报价应和《投标分项报价表》中的总价相一致。</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245" w:name="_Toc265228397"/>
      <w:bookmarkStart w:id="246" w:name="_Toc226965749"/>
      <w:bookmarkStart w:id="247" w:name="_Toc305158827"/>
      <w:bookmarkStart w:id="248" w:name="_Toc195842924"/>
      <w:bookmarkStart w:id="249" w:name="_Toc226965832"/>
      <w:bookmarkStart w:id="250" w:name="_Toc150774763"/>
      <w:bookmarkStart w:id="251" w:name="_Toc305158901"/>
      <w:bookmarkStart w:id="252" w:name="_Toc226337255"/>
      <w:bookmarkStart w:id="253" w:name="_Toc226309803"/>
      <w:bookmarkStart w:id="254" w:name="_Toc127151558"/>
      <w:bookmarkStart w:id="255" w:name="_Toc142311060"/>
      <w:bookmarkStart w:id="256" w:name="_Toc264969249"/>
      <w:bookmarkStart w:id="257" w:name="_Toc150480796"/>
      <w:r>
        <w:rPr>
          <w:color w:val="000000"/>
          <w:sz w:val="24"/>
          <w:szCs w:val="20"/>
        </w:rPr>
        <w:br w:type="page"/>
      </w:r>
    </w:p>
    <w:p>
      <w:pPr>
        <w:spacing w:line="360" w:lineRule="auto"/>
        <w:outlineLvl w:val="2"/>
        <w:rPr>
          <w:color w:val="000000"/>
          <w:sz w:val="24"/>
          <w:szCs w:val="20"/>
        </w:rPr>
      </w:pPr>
      <w:r>
        <w:rPr>
          <w:color w:val="000000"/>
          <w:sz w:val="24"/>
          <w:szCs w:val="20"/>
        </w:rPr>
        <w:t>4  投标分项报价表</w:t>
      </w:r>
      <w:bookmarkEnd w:id="245"/>
      <w:bookmarkEnd w:id="246"/>
      <w:bookmarkEnd w:id="247"/>
      <w:bookmarkEnd w:id="248"/>
      <w:bookmarkEnd w:id="249"/>
      <w:bookmarkEnd w:id="250"/>
      <w:bookmarkEnd w:id="251"/>
      <w:bookmarkEnd w:id="252"/>
      <w:bookmarkEnd w:id="253"/>
      <w:bookmarkEnd w:id="254"/>
      <w:bookmarkEnd w:id="255"/>
      <w:bookmarkEnd w:id="256"/>
      <w:bookmarkEnd w:id="257"/>
    </w:p>
    <w:p>
      <w:pPr>
        <w:spacing w:line="360" w:lineRule="exact"/>
        <w:jc w:val="center"/>
        <w:rPr>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 xml:space="preserve">项目编号：___________                  项目名称：__________ </w:t>
      </w:r>
    </w:p>
    <w:tbl>
      <w:tblPr>
        <w:tblStyle w:val="51"/>
        <w:tblW w:w="9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2978"/>
        <w:gridCol w:w="1983"/>
        <w:gridCol w:w="1352"/>
        <w:gridCol w:w="20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3" w:type="dxa"/>
            <w:vAlign w:val="center"/>
          </w:tcPr>
          <w:p>
            <w:pPr>
              <w:pStyle w:val="25"/>
              <w:tabs>
                <w:tab w:val="left" w:pos="5580"/>
              </w:tabs>
              <w:spacing w:line="360" w:lineRule="auto"/>
              <w:jc w:val="center"/>
              <w:rPr>
                <w:rFonts w:hint="default" w:hAnsi="宋体"/>
                <w:b/>
                <w:sz w:val="24"/>
                <w:szCs w:val="24"/>
              </w:rPr>
            </w:pPr>
            <w:r>
              <w:rPr>
                <w:rFonts w:hAnsi="宋体"/>
                <w:b/>
                <w:sz w:val="24"/>
                <w:szCs w:val="24"/>
              </w:rPr>
              <w:t>序号</w:t>
            </w:r>
          </w:p>
        </w:tc>
        <w:tc>
          <w:tcPr>
            <w:tcW w:w="2978" w:type="dxa"/>
            <w:vAlign w:val="center"/>
          </w:tcPr>
          <w:p>
            <w:pPr>
              <w:pStyle w:val="25"/>
              <w:tabs>
                <w:tab w:val="left" w:pos="5580"/>
              </w:tabs>
              <w:spacing w:line="360" w:lineRule="auto"/>
              <w:ind w:left="-1" w:leftChars="-51" w:hanging="106" w:hangingChars="44"/>
              <w:jc w:val="center"/>
              <w:rPr>
                <w:rFonts w:hint="default" w:hAnsi="宋体"/>
                <w:b/>
                <w:sz w:val="24"/>
                <w:szCs w:val="24"/>
              </w:rPr>
            </w:pPr>
            <w:r>
              <w:rPr>
                <w:rFonts w:hAnsi="宋体"/>
                <w:b/>
                <w:sz w:val="24"/>
                <w:szCs w:val="24"/>
              </w:rPr>
              <w:t>内容</w:t>
            </w:r>
          </w:p>
        </w:tc>
        <w:tc>
          <w:tcPr>
            <w:tcW w:w="1983" w:type="dxa"/>
            <w:vAlign w:val="center"/>
          </w:tcPr>
          <w:p>
            <w:pPr>
              <w:pStyle w:val="25"/>
              <w:tabs>
                <w:tab w:val="left" w:pos="1050"/>
                <w:tab w:val="left" w:pos="5580"/>
              </w:tabs>
              <w:spacing w:line="360" w:lineRule="auto"/>
              <w:jc w:val="center"/>
              <w:rPr>
                <w:rFonts w:hint="default" w:hAnsi="宋体"/>
                <w:b/>
                <w:sz w:val="24"/>
                <w:szCs w:val="24"/>
              </w:rPr>
            </w:pPr>
            <w:r>
              <w:rPr>
                <w:rFonts w:hAnsi="宋体"/>
                <w:b/>
                <w:sz w:val="24"/>
                <w:szCs w:val="24"/>
              </w:rPr>
              <w:t>数量</w:t>
            </w:r>
          </w:p>
        </w:tc>
        <w:tc>
          <w:tcPr>
            <w:tcW w:w="1352" w:type="dxa"/>
            <w:vAlign w:val="center"/>
          </w:tcPr>
          <w:p>
            <w:pPr>
              <w:pStyle w:val="25"/>
              <w:tabs>
                <w:tab w:val="left" w:pos="5580"/>
              </w:tabs>
              <w:spacing w:line="360" w:lineRule="auto"/>
              <w:jc w:val="center"/>
              <w:rPr>
                <w:rFonts w:hint="default" w:hAnsi="宋体"/>
                <w:b/>
                <w:sz w:val="24"/>
                <w:szCs w:val="24"/>
              </w:rPr>
            </w:pPr>
            <w:r>
              <w:rPr>
                <w:rFonts w:hAnsi="宋体"/>
                <w:b/>
                <w:sz w:val="24"/>
                <w:szCs w:val="24"/>
              </w:rPr>
              <w:t>单价</w:t>
            </w:r>
          </w:p>
        </w:tc>
        <w:tc>
          <w:tcPr>
            <w:tcW w:w="2046" w:type="dxa"/>
            <w:vAlign w:val="center"/>
          </w:tcPr>
          <w:p>
            <w:pPr>
              <w:pStyle w:val="25"/>
              <w:tabs>
                <w:tab w:val="left" w:pos="5580"/>
              </w:tabs>
              <w:spacing w:line="360" w:lineRule="auto"/>
              <w:ind w:firstLine="36" w:firstLineChars="15"/>
              <w:jc w:val="center"/>
              <w:rPr>
                <w:rFonts w:hint="default" w:hAnsi="宋体"/>
                <w:b/>
                <w:sz w:val="24"/>
                <w:szCs w:val="24"/>
              </w:rPr>
            </w:pPr>
            <w:r>
              <w:rPr>
                <w:rFonts w:hAnsi="宋体"/>
                <w:b/>
                <w:sz w:val="24"/>
                <w:szCs w:val="24"/>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3" w:type="dxa"/>
            <w:vAlign w:val="center"/>
          </w:tcPr>
          <w:p>
            <w:pPr>
              <w:pStyle w:val="25"/>
              <w:tabs>
                <w:tab w:val="left" w:pos="5580"/>
              </w:tabs>
              <w:spacing w:line="360" w:lineRule="auto"/>
              <w:ind w:right="-13" w:rightChars="-6"/>
              <w:jc w:val="center"/>
              <w:rPr>
                <w:rFonts w:hint="default" w:hAnsi="宋体"/>
                <w:sz w:val="24"/>
                <w:szCs w:val="24"/>
              </w:rPr>
            </w:pPr>
            <w:r>
              <w:rPr>
                <w:rFonts w:hAnsi="宋体"/>
                <w:sz w:val="24"/>
                <w:szCs w:val="24"/>
              </w:rPr>
              <w:t>1</w:t>
            </w:r>
          </w:p>
        </w:tc>
        <w:tc>
          <w:tcPr>
            <w:tcW w:w="2978" w:type="dxa"/>
            <w:vAlign w:val="center"/>
          </w:tcPr>
          <w:p>
            <w:pPr>
              <w:ind w:left="-1" w:leftChars="-51" w:hanging="106" w:hangingChars="44"/>
              <w:jc w:val="center"/>
              <w:rPr>
                <w:rFonts w:ascii="宋体" w:hAnsi="宋体"/>
                <w:sz w:val="24"/>
              </w:rPr>
            </w:pPr>
          </w:p>
        </w:tc>
        <w:tc>
          <w:tcPr>
            <w:tcW w:w="1983" w:type="dxa"/>
            <w:vAlign w:val="center"/>
          </w:tcPr>
          <w:p>
            <w:pPr>
              <w:pStyle w:val="25"/>
              <w:tabs>
                <w:tab w:val="left" w:pos="5580"/>
              </w:tabs>
              <w:spacing w:line="360" w:lineRule="auto"/>
              <w:jc w:val="center"/>
              <w:rPr>
                <w:rFonts w:hint="default" w:hAnsi="宋体"/>
                <w:sz w:val="24"/>
                <w:szCs w:val="24"/>
              </w:rPr>
            </w:pPr>
          </w:p>
        </w:tc>
        <w:tc>
          <w:tcPr>
            <w:tcW w:w="1352" w:type="dxa"/>
            <w:vAlign w:val="center"/>
          </w:tcPr>
          <w:p>
            <w:pPr>
              <w:pStyle w:val="25"/>
              <w:tabs>
                <w:tab w:val="left" w:pos="5580"/>
              </w:tabs>
              <w:spacing w:line="360" w:lineRule="auto"/>
              <w:ind w:firstLine="74" w:firstLineChars="31"/>
              <w:jc w:val="center"/>
              <w:rPr>
                <w:rFonts w:hint="default" w:hAnsi="宋体"/>
                <w:sz w:val="24"/>
                <w:szCs w:val="24"/>
              </w:rPr>
            </w:pPr>
          </w:p>
        </w:tc>
        <w:tc>
          <w:tcPr>
            <w:tcW w:w="2046" w:type="dxa"/>
            <w:vAlign w:val="center"/>
          </w:tcPr>
          <w:p>
            <w:pPr>
              <w:pStyle w:val="25"/>
              <w:tabs>
                <w:tab w:val="left" w:pos="5580"/>
              </w:tabs>
              <w:spacing w:line="360" w:lineRule="auto"/>
              <w:ind w:firstLine="53" w:firstLineChars="22"/>
              <w:jc w:val="center"/>
              <w:rPr>
                <w:rFonts w:hint="default"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03" w:type="dxa"/>
            <w:vAlign w:val="center"/>
          </w:tcPr>
          <w:p>
            <w:pPr>
              <w:pStyle w:val="25"/>
              <w:tabs>
                <w:tab w:val="left" w:pos="5580"/>
              </w:tabs>
              <w:spacing w:line="360" w:lineRule="auto"/>
              <w:ind w:right="-13" w:rightChars="-6"/>
              <w:jc w:val="center"/>
              <w:rPr>
                <w:rFonts w:hint="default" w:hAnsi="宋体"/>
                <w:sz w:val="24"/>
                <w:szCs w:val="24"/>
              </w:rPr>
            </w:pPr>
            <w:r>
              <w:rPr>
                <w:rFonts w:hAnsi="宋体"/>
                <w:sz w:val="24"/>
                <w:szCs w:val="24"/>
              </w:rPr>
              <w:t>2</w:t>
            </w:r>
          </w:p>
        </w:tc>
        <w:tc>
          <w:tcPr>
            <w:tcW w:w="2978" w:type="dxa"/>
            <w:vAlign w:val="center"/>
          </w:tcPr>
          <w:p>
            <w:pPr>
              <w:ind w:left="-1" w:leftChars="-51" w:hanging="106" w:hangingChars="44"/>
              <w:jc w:val="center"/>
              <w:rPr>
                <w:rFonts w:ascii="宋体" w:hAnsi="宋体"/>
                <w:sz w:val="24"/>
              </w:rPr>
            </w:pPr>
          </w:p>
        </w:tc>
        <w:tc>
          <w:tcPr>
            <w:tcW w:w="1983" w:type="dxa"/>
            <w:vAlign w:val="center"/>
          </w:tcPr>
          <w:p>
            <w:pPr>
              <w:pStyle w:val="25"/>
              <w:tabs>
                <w:tab w:val="left" w:pos="5580"/>
              </w:tabs>
              <w:spacing w:line="360" w:lineRule="auto"/>
              <w:jc w:val="center"/>
              <w:rPr>
                <w:rFonts w:hint="default" w:hAnsi="宋体"/>
                <w:sz w:val="24"/>
                <w:szCs w:val="24"/>
              </w:rPr>
            </w:pPr>
          </w:p>
        </w:tc>
        <w:tc>
          <w:tcPr>
            <w:tcW w:w="1352" w:type="dxa"/>
            <w:vAlign w:val="center"/>
          </w:tcPr>
          <w:p>
            <w:pPr>
              <w:pStyle w:val="25"/>
              <w:tabs>
                <w:tab w:val="left" w:pos="5580"/>
              </w:tabs>
              <w:spacing w:line="360" w:lineRule="auto"/>
              <w:ind w:firstLine="74" w:firstLineChars="31"/>
              <w:jc w:val="center"/>
              <w:rPr>
                <w:rFonts w:hint="default" w:hAnsi="宋体"/>
                <w:sz w:val="24"/>
                <w:szCs w:val="24"/>
              </w:rPr>
            </w:pPr>
          </w:p>
        </w:tc>
        <w:tc>
          <w:tcPr>
            <w:tcW w:w="2046" w:type="dxa"/>
            <w:vAlign w:val="center"/>
          </w:tcPr>
          <w:p>
            <w:pPr>
              <w:pStyle w:val="25"/>
              <w:tabs>
                <w:tab w:val="left" w:pos="5580"/>
              </w:tabs>
              <w:spacing w:line="360" w:lineRule="auto"/>
              <w:ind w:firstLine="53" w:firstLineChars="22"/>
              <w:jc w:val="center"/>
              <w:rPr>
                <w:rFonts w:hint="default"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664" w:type="dxa"/>
            <w:gridSpan w:val="3"/>
            <w:vAlign w:val="center"/>
          </w:tcPr>
          <w:p>
            <w:pPr>
              <w:pStyle w:val="25"/>
              <w:tabs>
                <w:tab w:val="left" w:pos="5580"/>
              </w:tabs>
              <w:spacing w:line="360" w:lineRule="auto"/>
              <w:ind w:firstLine="360"/>
              <w:jc w:val="center"/>
              <w:rPr>
                <w:rFonts w:hint="default" w:hAnsi="宋体"/>
                <w:sz w:val="24"/>
                <w:szCs w:val="24"/>
              </w:rPr>
            </w:pPr>
            <w:r>
              <w:rPr>
                <w:rFonts w:hAnsi="宋体"/>
                <w:sz w:val="24"/>
                <w:szCs w:val="24"/>
              </w:rPr>
              <w:t>投标总价</w:t>
            </w:r>
          </w:p>
        </w:tc>
        <w:tc>
          <w:tcPr>
            <w:tcW w:w="3398" w:type="dxa"/>
            <w:gridSpan w:val="2"/>
            <w:vAlign w:val="center"/>
          </w:tcPr>
          <w:p>
            <w:pPr>
              <w:pStyle w:val="25"/>
              <w:tabs>
                <w:tab w:val="left" w:pos="5580"/>
              </w:tabs>
              <w:spacing w:line="360" w:lineRule="auto"/>
              <w:ind w:firstLine="360"/>
              <w:jc w:val="center"/>
              <w:rPr>
                <w:rFonts w:hint="default" w:hAnsi="宋体"/>
                <w:sz w:val="24"/>
                <w:szCs w:val="24"/>
              </w:rPr>
            </w:pPr>
          </w:p>
        </w:tc>
      </w:tr>
    </w:tbl>
    <w:p>
      <w:pPr>
        <w:tabs>
          <w:tab w:val="left" w:pos="1800"/>
          <w:tab w:val="left" w:pos="5580"/>
        </w:tabs>
        <w:rPr>
          <w:b/>
          <w:color w:val="FF0000"/>
          <w:sz w:val="24"/>
        </w:rPr>
      </w:pPr>
    </w:p>
    <w:p>
      <w:pPr>
        <w:adjustRightInd w:val="0"/>
        <w:snapToGrid w:val="0"/>
        <w:spacing w:before="240" w:beforeLines="100" w:after="240" w:afterLines="100"/>
        <w:jc w:val="left"/>
        <w:rPr>
          <w:color w:val="000000"/>
          <w:sz w:val="24"/>
        </w:rPr>
      </w:pPr>
    </w:p>
    <w:p>
      <w:pPr>
        <w:tabs>
          <w:tab w:val="left" w:pos="1800"/>
          <w:tab w:val="left" w:pos="5580"/>
        </w:tabs>
        <w:jc w:val="left"/>
        <w:rPr>
          <w:color w:val="000000"/>
          <w:sz w:val="24"/>
        </w:rPr>
      </w:pPr>
      <w:r>
        <w:rPr>
          <w:color w:val="000000"/>
          <w:sz w:val="24"/>
        </w:rPr>
        <w:t>注：上述各项的详细规格（如有），可另页描述。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bookmarkStart w:id="258" w:name="_Toc142311062"/>
      <w:bookmarkStart w:id="259" w:name="_Toc226309806"/>
      <w:bookmarkStart w:id="260" w:name="_Toc305158904"/>
      <w:bookmarkStart w:id="261" w:name="_Toc150480798"/>
      <w:bookmarkStart w:id="262" w:name="_Toc226965752"/>
      <w:bookmarkStart w:id="263" w:name="_Toc195842927"/>
      <w:bookmarkStart w:id="264" w:name="_Toc265228400"/>
      <w:bookmarkStart w:id="265" w:name="_Toc226965835"/>
      <w:bookmarkStart w:id="266" w:name="_Toc305158830"/>
      <w:bookmarkStart w:id="267" w:name="_Toc264969252"/>
      <w:bookmarkStart w:id="268" w:name="_Toc226337258"/>
      <w:bookmarkStart w:id="269" w:name="_Toc127151562"/>
      <w:bookmarkStart w:id="270" w:name="_Toc150774765"/>
      <w:bookmarkStart w:id="271" w:name="_Toc127151561"/>
      <w:bookmarkStart w:id="272" w:name="_Toc265228399"/>
      <w:bookmarkStart w:id="273" w:name="_Toc226309805"/>
      <w:bookmarkStart w:id="274" w:name="_Toc264969251"/>
      <w:bookmarkStart w:id="275" w:name="_Toc142311061"/>
      <w:bookmarkStart w:id="276" w:name="_Toc226337257"/>
      <w:bookmarkStart w:id="277" w:name="_Toc150480797"/>
      <w:bookmarkStart w:id="278" w:name="_Toc226965751"/>
      <w:bookmarkStart w:id="279" w:name="_Toc226965834"/>
      <w:bookmarkStart w:id="280" w:name="_Toc305158903"/>
      <w:bookmarkStart w:id="281" w:name="_Toc150774764"/>
      <w:bookmarkStart w:id="282" w:name="_Toc305158829"/>
      <w:bookmarkStart w:id="283" w:name="_Toc195842926"/>
      <w:r>
        <w:rPr>
          <w:color w:val="000000"/>
          <w:sz w:val="24"/>
          <w:szCs w:val="20"/>
        </w:rPr>
        <w:br w:type="page"/>
      </w:r>
      <w:r>
        <w:rPr>
          <w:color w:val="000000"/>
          <w:sz w:val="24"/>
          <w:szCs w:val="20"/>
        </w:rPr>
        <w:t>5  合同条款偏离表</w:t>
      </w:r>
      <w:bookmarkEnd w:id="258"/>
      <w:bookmarkEnd w:id="259"/>
      <w:bookmarkEnd w:id="260"/>
      <w:bookmarkEnd w:id="261"/>
      <w:bookmarkEnd w:id="262"/>
      <w:bookmarkEnd w:id="263"/>
      <w:bookmarkEnd w:id="264"/>
      <w:bookmarkEnd w:id="265"/>
      <w:bookmarkEnd w:id="266"/>
      <w:bookmarkEnd w:id="267"/>
      <w:bookmarkEnd w:id="268"/>
      <w:bookmarkEnd w:id="269"/>
      <w:bookmarkEnd w:id="270"/>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51"/>
        <w:tblW w:w="9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1414"/>
        <w:gridCol w:w="1835"/>
        <w:gridCol w:w="1836"/>
        <w:gridCol w:w="2190"/>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w:t>
            </w:r>
            <w:r>
              <w:rPr>
                <w:rFonts w:hint="eastAsia"/>
                <w:spacing w:val="-1"/>
                <w:sz w:val="24"/>
              </w:rPr>
              <w:t>应进行选择，未选择</w:t>
            </w:r>
            <w:r>
              <w:rPr>
                <w:rFonts w:hint="eastAsia"/>
                <w:b/>
                <w:bCs/>
                <w:spacing w:val="-1"/>
                <w:sz w:val="24"/>
              </w:rPr>
              <w:t>投标无效</w:t>
            </w:r>
            <w:r>
              <w:rPr>
                <w:b/>
                <w:color w:val="000000"/>
                <w:sz w:val="24"/>
              </w:rPr>
              <w:t>）：</w:t>
            </w:r>
          </w:p>
          <w:p>
            <w:pPr>
              <w:adjustRightInd w:val="0"/>
              <w:snapToGrid w:val="0"/>
              <w:jc w:val="left"/>
              <w:rPr>
                <w:b/>
                <w:color w:val="000000"/>
                <w:sz w:val="24"/>
              </w:rPr>
            </w:pPr>
            <w:r>
              <w:rPr>
                <w:b/>
                <w:color w:val="000000"/>
                <w:sz w:val="24"/>
              </w:rPr>
              <w:t>□无偏离</w:t>
            </w:r>
            <w:r>
              <w:rPr>
                <w:color w:val="000000"/>
                <w:sz w:val="24"/>
              </w:rPr>
              <w:t>（</w:t>
            </w:r>
            <w:r>
              <w:rPr>
                <w:rFonts w:hint="eastAsia"/>
                <w:sz w:val="24"/>
              </w:rPr>
              <w:t>如无偏离，仅选择无偏离即可；无偏离即为对合同条款中的所有要求，均视作供应商已对之理解和响应。</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rFonts w:hint="eastAsia"/>
                <w:sz w:val="24"/>
              </w:rPr>
              <w:t>如有偏离，则应在本表中对偏离项逐一列明，否则</w:t>
            </w:r>
            <w:r>
              <w:rPr>
                <w:rFonts w:hint="eastAsia"/>
                <w:b/>
                <w:bCs/>
                <w:sz w:val="24"/>
              </w:rPr>
              <w:t>投标无效</w:t>
            </w:r>
            <w:r>
              <w:rPr>
                <w:rFonts w:hint="eastAsia"/>
                <w:sz w:val="24"/>
              </w:rPr>
              <w:t>；对合同条款中的所有要求，除本表列明的偏离外，均视作供应商已对之理解和响应。</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11" w:type="dxa"/>
            <w:vAlign w:val="center"/>
          </w:tcPr>
          <w:p>
            <w:pPr>
              <w:adjustRightInd w:val="0"/>
              <w:snapToGrid w:val="0"/>
              <w:jc w:val="center"/>
              <w:rPr>
                <w:color w:val="000000"/>
                <w:sz w:val="24"/>
              </w:rPr>
            </w:pPr>
            <w:r>
              <w:rPr>
                <w:color w:val="000000"/>
                <w:sz w:val="24"/>
              </w:rPr>
              <w:t>序号</w:t>
            </w:r>
          </w:p>
        </w:tc>
        <w:tc>
          <w:tcPr>
            <w:tcW w:w="1414"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835"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836" w:type="dxa"/>
            <w:vAlign w:val="center"/>
          </w:tcPr>
          <w:p>
            <w:pPr>
              <w:adjustRightInd w:val="0"/>
              <w:snapToGrid w:val="0"/>
              <w:jc w:val="center"/>
              <w:rPr>
                <w:color w:val="000000"/>
                <w:sz w:val="24"/>
              </w:rPr>
            </w:pPr>
            <w:r>
              <w:rPr>
                <w:color w:val="000000"/>
                <w:sz w:val="24"/>
              </w:rPr>
              <w:t>投标文件内容</w:t>
            </w:r>
          </w:p>
        </w:tc>
        <w:tc>
          <w:tcPr>
            <w:tcW w:w="2190" w:type="dxa"/>
            <w:vAlign w:val="center"/>
          </w:tcPr>
          <w:p>
            <w:pPr>
              <w:adjustRightInd w:val="0"/>
              <w:snapToGrid w:val="0"/>
              <w:jc w:val="center"/>
              <w:rPr>
                <w:color w:val="000000"/>
                <w:sz w:val="24"/>
              </w:rPr>
            </w:pPr>
            <w:r>
              <w:rPr>
                <w:color w:val="000000"/>
                <w:sz w:val="24"/>
              </w:rPr>
              <w:t>偏离情况</w:t>
            </w:r>
          </w:p>
        </w:tc>
        <w:tc>
          <w:tcPr>
            <w:tcW w:w="876"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11" w:type="dxa"/>
            <w:vAlign w:val="center"/>
          </w:tcPr>
          <w:p>
            <w:pPr>
              <w:adjustRightInd w:val="0"/>
              <w:snapToGrid w:val="0"/>
              <w:jc w:val="center"/>
              <w:rPr>
                <w:color w:val="000000"/>
                <w:sz w:val="24"/>
              </w:rPr>
            </w:pPr>
          </w:p>
        </w:tc>
        <w:tc>
          <w:tcPr>
            <w:tcW w:w="1414" w:type="dxa"/>
            <w:vAlign w:val="center"/>
          </w:tcPr>
          <w:p>
            <w:pPr>
              <w:adjustRightInd w:val="0"/>
              <w:snapToGrid w:val="0"/>
              <w:jc w:val="center"/>
              <w:rPr>
                <w:color w:val="000000"/>
                <w:sz w:val="24"/>
              </w:rPr>
            </w:pPr>
          </w:p>
        </w:tc>
        <w:tc>
          <w:tcPr>
            <w:tcW w:w="1835" w:type="dxa"/>
            <w:vAlign w:val="center"/>
          </w:tcPr>
          <w:p>
            <w:pPr>
              <w:adjustRightInd w:val="0"/>
              <w:snapToGrid w:val="0"/>
              <w:jc w:val="center"/>
              <w:rPr>
                <w:color w:val="000000"/>
                <w:sz w:val="24"/>
              </w:rPr>
            </w:pPr>
          </w:p>
        </w:tc>
        <w:tc>
          <w:tcPr>
            <w:tcW w:w="1836" w:type="dxa"/>
            <w:vAlign w:val="center"/>
          </w:tcPr>
          <w:p>
            <w:pPr>
              <w:adjustRightInd w:val="0"/>
              <w:snapToGrid w:val="0"/>
              <w:jc w:val="center"/>
              <w:rPr>
                <w:color w:val="000000"/>
                <w:sz w:val="24"/>
              </w:rPr>
            </w:pPr>
          </w:p>
        </w:tc>
        <w:tc>
          <w:tcPr>
            <w:tcW w:w="2190" w:type="dxa"/>
            <w:vAlign w:val="center"/>
          </w:tcPr>
          <w:p>
            <w:pPr>
              <w:adjustRightInd w:val="0"/>
              <w:snapToGrid w:val="0"/>
              <w:jc w:val="center"/>
              <w:rPr>
                <w:color w:val="000000"/>
                <w:sz w:val="24"/>
              </w:rPr>
            </w:pPr>
          </w:p>
        </w:tc>
        <w:tc>
          <w:tcPr>
            <w:tcW w:w="876"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11" w:type="dxa"/>
            <w:vAlign w:val="center"/>
          </w:tcPr>
          <w:p>
            <w:pPr>
              <w:adjustRightInd w:val="0"/>
              <w:snapToGrid w:val="0"/>
              <w:jc w:val="center"/>
              <w:rPr>
                <w:color w:val="000000"/>
                <w:sz w:val="24"/>
              </w:rPr>
            </w:pPr>
          </w:p>
        </w:tc>
        <w:tc>
          <w:tcPr>
            <w:tcW w:w="1414" w:type="dxa"/>
            <w:vAlign w:val="center"/>
          </w:tcPr>
          <w:p>
            <w:pPr>
              <w:adjustRightInd w:val="0"/>
              <w:snapToGrid w:val="0"/>
              <w:jc w:val="center"/>
              <w:rPr>
                <w:color w:val="000000"/>
                <w:sz w:val="24"/>
              </w:rPr>
            </w:pPr>
          </w:p>
        </w:tc>
        <w:tc>
          <w:tcPr>
            <w:tcW w:w="1835" w:type="dxa"/>
            <w:vAlign w:val="center"/>
          </w:tcPr>
          <w:p>
            <w:pPr>
              <w:adjustRightInd w:val="0"/>
              <w:snapToGrid w:val="0"/>
              <w:jc w:val="center"/>
              <w:rPr>
                <w:color w:val="000000"/>
                <w:sz w:val="24"/>
              </w:rPr>
            </w:pPr>
          </w:p>
        </w:tc>
        <w:tc>
          <w:tcPr>
            <w:tcW w:w="1836" w:type="dxa"/>
            <w:vAlign w:val="center"/>
          </w:tcPr>
          <w:p>
            <w:pPr>
              <w:adjustRightInd w:val="0"/>
              <w:snapToGrid w:val="0"/>
              <w:jc w:val="center"/>
              <w:rPr>
                <w:color w:val="000000"/>
                <w:sz w:val="24"/>
              </w:rPr>
            </w:pPr>
          </w:p>
        </w:tc>
        <w:tc>
          <w:tcPr>
            <w:tcW w:w="2190" w:type="dxa"/>
            <w:vAlign w:val="center"/>
          </w:tcPr>
          <w:p>
            <w:pPr>
              <w:adjustRightInd w:val="0"/>
              <w:snapToGrid w:val="0"/>
              <w:jc w:val="center"/>
              <w:rPr>
                <w:color w:val="000000"/>
                <w:sz w:val="24"/>
              </w:rPr>
            </w:pPr>
          </w:p>
        </w:tc>
        <w:tc>
          <w:tcPr>
            <w:tcW w:w="876"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11" w:type="dxa"/>
            <w:vAlign w:val="center"/>
          </w:tcPr>
          <w:p>
            <w:pPr>
              <w:adjustRightInd w:val="0"/>
              <w:snapToGrid w:val="0"/>
              <w:jc w:val="center"/>
              <w:rPr>
                <w:color w:val="000000"/>
                <w:sz w:val="24"/>
              </w:rPr>
            </w:pPr>
          </w:p>
        </w:tc>
        <w:tc>
          <w:tcPr>
            <w:tcW w:w="1414" w:type="dxa"/>
            <w:vAlign w:val="center"/>
          </w:tcPr>
          <w:p>
            <w:pPr>
              <w:adjustRightInd w:val="0"/>
              <w:snapToGrid w:val="0"/>
              <w:jc w:val="center"/>
              <w:rPr>
                <w:color w:val="000000"/>
                <w:sz w:val="24"/>
              </w:rPr>
            </w:pPr>
          </w:p>
        </w:tc>
        <w:tc>
          <w:tcPr>
            <w:tcW w:w="1835" w:type="dxa"/>
            <w:vAlign w:val="center"/>
          </w:tcPr>
          <w:p>
            <w:pPr>
              <w:adjustRightInd w:val="0"/>
              <w:snapToGrid w:val="0"/>
              <w:jc w:val="center"/>
              <w:rPr>
                <w:color w:val="000000"/>
                <w:sz w:val="24"/>
              </w:rPr>
            </w:pPr>
          </w:p>
        </w:tc>
        <w:tc>
          <w:tcPr>
            <w:tcW w:w="1836" w:type="dxa"/>
            <w:vAlign w:val="center"/>
          </w:tcPr>
          <w:p>
            <w:pPr>
              <w:adjustRightInd w:val="0"/>
              <w:snapToGrid w:val="0"/>
              <w:jc w:val="center"/>
              <w:rPr>
                <w:color w:val="000000"/>
                <w:sz w:val="24"/>
              </w:rPr>
            </w:pPr>
          </w:p>
        </w:tc>
        <w:tc>
          <w:tcPr>
            <w:tcW w:w="2190" w:type="dxa"/>
            <w:vAlign w:val="center"/>
          </w:tcPr>
          <w:p>
            <w:pPr>
              <w:adjustRightInd w:val="0"/>
              <w:snapToGrid w:val="0"/>
              <w:jc w:val="center"/>
              <w:rPr>
                <w:color w:val="000000"/>
                <w:sz w:val="24"/>
              </w:rPr>
            </w:pPr>
          </w:p>
        </w:tc>
        <w:tc>
          <w:tcPr>
            <w:tcW w:w="876"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11" w:type="dxa"/>
            <w:vAlign w:val="center"/>
          </w:tcPr>
          <w:p>
            <w:pPr>
              <w:adjustRightInd w:val="0"/>
              <w:snapToGrid w:val="0"/>
              <w:jc w:val="center"/>
              <w:rPr>
                <w:color w:val="000000"/>
                <w:sz w:val="24"/>
              </w:rPr>
            </w:pPr>
          </w:p>
        </w:tc>
        <w:tc>
          <w:tcPr>
            <w:tcW w:w="1414" w:type="dxa"/>
            <w:vAlign w:val="center"/>
          </w:tcPr>
          <w:p>
            <w:pPr>
              <w:adjustRightInd w:val="0"/>
              <w:snapToGrid w:val="0"/>
              <w:jc w:val="center"/>
              <w:rPr>
                <w:color w:val="000000"/>
                <w:sz w:val="24"/>
              </w:rPr>
            </w:pPr>
          </w:p>
        </w:tc>
        <w:tc>
          <w:tcPr>
            <w:tcW w:w="1835" w:type="dxa"/>
            <w:vAlign w:val="center"/>
          </w:tcPr>
          <w:p>
            <w:pPr>
              <w:adjustRightInd w:val="0"/>
              <w:snapToGrid w:val="0"/>
              <w:jc w:val="center"/>
              <w:rPr>
                <w:color w:val="000000"/>
                <w:sz w:val="24"/>
              </w:rPr>
            </w:pPr>
          </w:p>
        </w:tc>
        <w:tc>
          <w:tcPr>
            <w:tcW w:w="1836" w:type="dxa"/>
            <w:vAlign w:val="center"/>
          </w:tcPr>
          <w:p>
            <w:pPr>
              <w:adjustRightInd w:val="0"/>
              <w:snapToGrid w:val="0"/>
              <w:jc w:val="center"/>
              <w:rPr>
                <w:color w:val="000000"/>
                <w:sz w:val="24"/>
              </w:rPr>
            </w:pPr>
          </w:p>
        </w:tc>
        <w:tc>
          <w:tcPr>
            <w:tcW w:w="2190" w:type="dxa"/>
            <w:vAlign w:val="center"/>
          </w:tcPr>
          <w:p>
            <w:pPr>
              <w:adjustRightInd w:val="0"/>
              <w:snapToGrid w:val="0"/>
              <w:jc w:val="center"/>
              <w:rPr>
                <w:color w:val="000000"/>
                <w:sz w:val="24"/>
              </w:rPr>
            </w:pPr>
          </w:p>
        </w:tc>
        <w:tc>
          <w:tcPr>
            <w:tcW w:w="876"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271"/>
      <w:bookmarkEnd w:id="272"/>
      <w:bookmarkEnd w:id="273"/>
      <w:bookmarkEnd w:id="274"/>
      <w:bookmarkEnd w:id="275"/>
      <w:bookmarkEnd w:id="276"/>
      <w:bookmarkEnd w:id="277"/>
      <w:bookmarkEnd w:id="278"/>
      <w:bookmarkEnd w:id="279"/>
      <w:bookmarkEnd w:id="280"/>
      <w:bookmarkEnd w:id="281"/>
      <w:bookmarkEnd w:id="282"/>
      <w:bookmarkEnd w:id="283"/>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51"/>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925"/>
        <w:gridCol w:w="2410"/>
        <w:gridCol w:w="2268"/>
        <w:gridCol w:w="1264"/>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925" w:type="dxa"/>
            <w:vAlign w:val="center"/>
          </w:tcPr>
          <w:p>
            <w:pPr>
              <w:adjustRightInd w:val="0"/>
              <w:snapToGrid w:val="0"/>
              <w:jc w:val="center"/>
              <w:rPr>
                <w:color w:val="000000"/>
                <w:sz w:val="24"/>
              </w:rPr>
            </w:pPr>
            <w:r>
              <w:rPr>
                <w:color w:val="000000"/>
                <w:sz w:val="24"/>
              </w:rPr>
              <w:t>招标文件条目号(页码)</w:t>
            </w:r>
          </w:p>
        </w:tc>
        <w:tc>
          <w:tcPr>
            <w:tcW w:w="2410" w:type="dxa"/>
            <w:vAlign w:val="center"/>
          </w:tcPr>
          <w:p>
            <w:pPr>
              <w:adjustRightInd w:val="0"/>
              <w:snapToGrid w:val="0"/>
              <w:jc w:val="center"/>
              <w:rPr>
                <w:color w:val="000000"/>
                <w:sz w:val="24"/>
              </w:rPr>
            </w:pPr>
            <w:r>
              <w:rPr>
                <w:color w:val="000000"/>
                <w:sz w:val="24"/>
              </w:rPr>
              <w:t>招标文件要求</w:t>
            </w:r>
          </w:p>
        </w:tc>
        <w:tc>
          <w:tcPr>
            <w:tcW w:w="2268" w:type="dxa"/>
            <w:vAlign w:val="center"/>
          </w:tcPr>
          <w:p>
            <w:pPr>
              <w:adjustRightInd w:val="0"/>
              <w:snapToGrid w:val="0"/>
              <w:jc w:val="center"/>
              <w:rPr>
                <w:color w:val="000000"/>
                <w:sz w:val="24"/>
              </w:rPr>
            </w:pPr>
            <w:r>
              <w:rPr>
                <w:color w:val="000000"/>
                <w:sz w:val="24"/>
              </w:rPr>
              <w:t>投标响应内容</w:t>
            </w:r>
          </w:p>
        </w:tc>
        <w:tc>
          <w:tcPr>
            <w:tcW w:w="1264"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2410" w:type="dxa"/>
            <w:vAlign w:val="center"/>
          </w:tcPr>
          <w:p>
            <w:pPr>
              <w:adjustRightInd w:val="0"/>
              <w:snapToGrid w:val="0"/>
              <w:jc w:val="center"/>
              <w:rPr>
                <w:color w:val="000000"/>
                <w:sz w:val="24"/>
              </w:rPr>
            </w:pPr>
          </w:p>
        </w:tc>
        <w:tc>
          <w:tcPr>
            <w:tcW w:w="2268" w:type="dxa"/>
            <w:vAlign w:val="center"/>
          </w:tcPr>
          <w:p>
            <w:pPr>
              <w:adjustRightInd w:val="0"/>
              <w:snapToGrid w:val="0"/>
              <w:jc w:val="center"/>
              <w:rPr>
                <w:color w:val="000000"/>
                <w:sz w:val="24"/>
              </w:rPr>
            </w:pPr>
          </w:p>
        </w:tc>
        <w:tc>
          <w:tcPr>
            <w:tcW w:w="1264"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2410" w:type="dxa"/>
            <w:vAlign w:val="center"/>
          </w:tcPr>
          <w:p>
            <w:pPr>
              <w:adjustRightInd w:val="0"/>
              <w:snapToGrid w:val="0"/>
              <w:jc w:val="center"/>
              <w:rPr>
                <w:color w:val="000000"/>
                <w:sz w:val="24"/>
              </w:rPr>
            </w:pPr>
          </w:p>
        </w:tc>
        <w:tc>
          <w:tcPr>
            <w:tcW w:w="2268" w:type="dxa"/>
            <w:vAlign w:val="center"/>
          </w:tcPr>
          <w:p>
            <w:pPr>
              <w:adjustRightInd w:val="0"/>
              <w:snapToGrid w:val="0"/>
              <w:jc w:val="center"/>
              <w:rPr>
                <w:color w:val="000000"/>
                <w:sz w:val="24"/>
              </w:rPr>
            </w:pPr>
          </w:p>
        </w:tc>
        <w:tc>
          <w:tcPr>
            <w:tcW w:w="1264"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2410" w:type="dxa"/>
            <w:vAlign w:val="center"/>
          </w:tcPr>
          <w:p>
            <w:pPr>
              <w:adjustRightInd w:val="0"/>
              <w:snapToGrid w:val="0"/>
              <w:jc w:val="center"/>
              <w:rPr>
                <w:color w:val="000000"/>
                <w:sz w:val="24"/>
              </w:rPr>
            </w:pPr>
          </w:p>
        </w:tc>
        <w:tc>
          <w:tcPr>
            <w:tcW w:w="2268" w:type="dxa"/>
            <w:vAlign w:val="center"/>
          </w:tcPr>
          <w:p>
            <w:pPr>
              <w:adjustRightInd w:val="0"/>
              <w:snapToGrid w:val="0"/>
              <w:jc w:val="center"/>
              <w:rPr>
                <w:color w:val="000000"/>
                <w:sz w:val="24"/>
              </w:rPr>
            </w:pPr>
          </w:p>
        </w:tc>
        <w:tc>
          <w:tcPr>
            <w:tcW w:w="1264"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2410" w:type="dxa"/>
            <w:vAlign w:val="center"/>
          </w:tcPr>
          <w:p>
            <w:pPr>
              <w:adjustRightInd w:val="0"/>
              <w:snapToGrid w:val="0"/>
              <w:jc w:val="center"/>
              <w:rPr>
                <w:color w:val="000000"/>
                <w:sz w:val="24"/>
              </w:rPr>
            </w:pPr>
          </w:p>
        </w:tc>
        <w:tc>
          <w:tcPr>
            <w:tcW w:w="2268" w:type="dxa"/>
            <w:vAlign w:val="center"/>
          </w:tcPr>
          <w:p>
            <w:pPr>
              <w:adjustRightInd w:val="0"/>
              <w:snapToGrid w:val="0"/>
              <w:jc w:val="center"/>
              <w:rPr>
                <w:color w:val="000000"/>
                <w:sz w:val="24"/>
              </w:rPr>
            </w:pPr>
          </w:p>
        </w:tc>
        <w:tc>
          <w:tcPr>
            <w:tcW w:w="1264"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2410" w:type="dxa"/>
            <w:vAlign w:val="center"/>
          </w:tcPr>
          <w:p>
            <w:pPr>
              <w:adjustRightInd w:val="0"/>
              <w:snapToGrid w:val="0"/>
              <w:jc w:val="center"/>
              <w:rPr>
                <w:color w:val="000000"/>
                <w:sz w:val="24"/>
              </w:rPr>
            </w:pPr>
          </w:p>
        </w:tc>
        <w:tc>
          <w:tcPr>
            <w:tcW w:w="2268" w:type="dxa"/>
            <w:vAlign w:val="center"/>
          </w:tcPr>
          <w:p>
            <w:pPr>
              <w:adjustRightInd w:val="0"/>
              <w:snapToGrid w:val="0"/>
              <w:jc w:val="center"/>
              <w:rPr>
                <w:color w:val="000000"/>
                <w:sz w:val="24"/>
              </w:rPr>
            </w:pPr>
          </w:p>
        </w:tc>
        <w:tc>
          <w:tcPr>
            <w:tcW w:w="1264"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2410" w:type="dxa"/>
            <w:vAlign w:val="center"/>
          </w:tcPr>
          <w:p>
            <w:pPr>
              <w:adjustRightInd w:val="0"/>
              <w:snapToGrid w:val="0"/>
              <w:jc w:val="center"/>
              <w:rPr>
                <w:color w:val="000000"/>
                <w:sz w:val="24"/>
              </w:rPr>
            </w:pPr>
          </w:p>
        </w:tc>
        <w:tc>
          <w:tcPr>
            <w:tcW w:w="2268" w:type="dxa"/>
            <w:vAlign w:val="center"/>
          </w:tcPr>
          <w:p>
            <w:pPr>
              <w:adjustRightInd w:val="0"/>
              <w:snapToGrid w:val="0"/>
              <w:jc w:val="center"/>
              <w:rPr>
                <w:color w:val="000000"/>
                <w:sz w:val="24"/>
              </w:rPr>
            </w:pPr>
          </w:p>
        </w:tc>
        <w:tc>
          <w:tcPr>
            <w:tcW w:w="1264"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spacing w:line="360" w:lineRule="auto"/>
        <w:jc w:val="left"/>
        <w:rPr>
          <w:color w:val="000000"/>
          <w:sz w:val="24"/>
        </w:rPr>
      </w:pPr>
      <w:r>
        <w:rPr>
          <w:rFonts w:hint="eastAsia"/>
          <w:color w:val="000000"/>
          <w:sz w:val="24"/>
        </w:rPr>
        <w:t>1. 对招标文件中的所有商务、技术要求，除本表所列明的所有偏离外，均视作供应商已对之理解和响应。此表中若无任何文字说明，内容为空白的，</w:t>
      </w:r>
      <w:r>
        <w:rPr>
          <w:rFonts w:hint="eastAsia"/>
          <w:b/>
          <w:color w:val="000000"/>
          <w:sz w:val="24"/>
        </w:rPr>
        <w:t>投标无效</w:t>
      </w:r>
      <w:r>
        <w:rPr>
          <w:rFonts w:hint="eastAsia"/>
          <w:color w:val="000000"/>
          <w:sz w:val="24"/>
        </w:rPr>
        <w:t>。</w:t>
      </w:r>
    </w:p>
    <w:p>
      <w:pPr>
        <w:tabs>
          <w:tab w:val="left" w:pos="1800"/>
          <w:tab w:val="left" w:pos="5580"/>
        </w:tabs>
        <w:spacing w:line="360" w:lineRule="auto"/>
        <w:jc w:val="left"/>
        <w:rPr>
          <w:sz w:val="24"/>
        </w:rPr>
      </w:pPr>
      <w:r>
        <w:rPr>
          <w:rFonts w:hint="eastAsia"/>
          <w:color w:val="000000"/>
          <w:sz w:val="24"/>
        </w:rPr>
        <w:t>2.“偏离情况”列应据实填写“无偏离”、“正偏离”或“负偏离”。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7  中小企业</w:t>
      </w:r>
      <w:r>
        <w:rPr>
          <w:rFonts w:hint="eastAsia"/>
          <w:sz w:val="24"/>
        </w:rPr>
        <w:t>证明文件</w:t>
      </w:r>
    </w:p>
    <w:p>
      <w:pPr>
        <w:tabs>
          <w:tab w:val="left" w:pos="5580"/>
        </w:tabs>
        <w:spacing w:line="360" w:lineRule="auto"/>
        <w:rPr>
          <w:sz w:val="24"/>
        </w:rPr>
      </w:pPr>
      <w:r>
        <w:rPr>
          <w:rFonts w:hint="eastAsia"/>
          <w:sz w:val="24"/>
        </w:rPr>
        <w:t>说明：</w:t>
      </w:r>
    </w:p>
    <w:p>
      <w:pPr>
        <w:pStyle w:val="2"/>
        <w:spacing w:before="55" w:line="350" w:lineRule="auto"/>
        <w:ind w:left="121" w:right="110"/>
        <w:rPr>
          <w:rFonts w:ascii="Times New Roman" w:hAnsi="Times New Roman"/>
        </w:rPr>
      </w:pPr>
      <w:r>
        <w:rPr>
          <w:rFonts w:hint="eastAsia" w:ascii="Times New Roman" w:hAnsi="Times New Roma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pStyle w:val="2"/>
        <w:spacing w:before="41" w:line="338" w:lineRule="auto"/>
        <w:ind w:left="121" w:right="111"/>
        <w:rPr>
          <w:rFonts w:ascii="Times New Roman" w:hAnsi="Times New Roman"/>
        </w:rPr>
      </w:pPr>
      <w:r>
        <w:rPr>
          <w:rFonts w:hint="eastAsia" w:ascii="Times New Roman" w:hAnsi="Times New Roma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2"/>
        <w:spacing w:before="55" w:line="338" w:lineRule="auto"/>
        <w:ind w:left="121" w:right="113"/>
        <w:rPr>
          <w:rFonts w:ascii="Times New Roman" w:hAnsi="Times New Roman"/>
        </w:rPr>
      </w:pPr>
      <w:r>
        <w:rPr>
          <w:rFonts w:hint="eastAsia" w:ascii="Times New Roman" w:hAnsi="Times New Roman"/>
        </w:rPr>
        <w:t>3）对于多标的采购项目，投标人应充分、准确地了解所提供货物的制造企业、提供服务的承接企业信息。对相关情况了解不清楚的，不建议填报本声明函。</w:t>
      </w:r>
    </w:p>
    <w:p>
      <w:pPr>
        <w:pStyle w:val="2"/>
        <w:spacing w:before="55" w:line="352" w:lineRule="auto"/>
        <w:ind w:left="121" w:right="110"/>
        <w:rPr>
          <w:rFonts w:ascii="Times New Roman" w:hAnsi="Times New Roman"/>
          <w:b/>
          <w:bCs/>
          <w:color w:val="000000"/>
        </w:rPr>
      </w:pPr>
      <w:r>
        <w:rPr>
          <w:rFonts w:hint="eastAsia" w:ascii="Times New Roman" w:hAnsi="Times New Roma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r>
        <w:rPr>
          <w:rFonts w:ascii="Times New Roman" w:hAnsi="Times New Roman"/>
          <w:b/>
          <w:bCs/>
          <w:color w:val="000000"/>
        </w:rPr>
        <w:br w:type="page"/>
      </w:r>
    </w:p>
    <w:p>
      <w:pPr>
        <w:spacing w:before="240" w:beforeLines="100" w:after="240" w:afterLines="100" w:line="360" w:lineRule="auto"/>
        <w:jc w:val="center"/>
        <w:rPr>
          <w:b/>
          <w:bCs/>
          <w:sz w:val="36"/>
          <w:szCs w:val="36"/>
        </w:rPr>
      </w:pPr>
      <w:r>
        <w:rPr>
          <w:rFonts w:hint="eastAsia"/>
          <w:b/>
          <w:bCs/>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企业名称（盖章）：________</w:t>
      </w:r>
    </w:p>
    <w:p>
      <w:pPr>
        <w:spacing w:line="360" w:lineRule="auto"/>
        <w:ind w:right="360" w:firstLine="480"/>
        <w:jc w:val="right"/>
        <w:rPr>
          <w:sz w:val="24"/>
        </w:rPr>
      </w:pPr>
      <w:r>
        <w:rPr>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51"/>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color w:val="000000"/>
          <w:sz w:val="24"/>
          <w:szCs w:val="20"/>
        </w:rPr>
      </w:pPr>
      <w:r>
        <w:rPr>
          <w:color w:val="000000"/>
          <w:sz w:val="24"/>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color w:val="000000"/>
          <w:sz w:val="24"/>
          <w:szCs w:val="20"/>
        </w:rPr>
      </w:pPr>
      <w:r>
        <w:rPr>
          <w:color w:val="000000"/>
          <w:szCs w:val="20"/>
        </w:rPr>
        <w:br w:type="page"/>
      </w:r>
      <w:r>
        <w:rPr>
          <w:color w:val="000000"/>
          <w:sz w:val="24"/>
          <w:szCs w:val="20"/>
        </w:rPr>
        <w:t>8  拟分包情况说明</w:t>
      </w:r>
      <w:r>
        <w:rPr>
          <w:rFonts w:hint="eastAsia"/>
          <w:color w:val="000000"/>
          <w:sz w:val="24"/>
        </w:rPr>
        <w:t>（</w:t>
      </w:r>
      <w:r>
        <w:rPr>
          <w:rFonts w:hint="eastAsia"/>
          <w:sz w:val="24"/>
        </w:rPr>
        <w:t>本项目不适用</w:t>
      </w:r>
      <w:r>
        <w:rPr>
          <w:rFonts w:hint="eastAsia"/>
          <w:color w:val="000000"/>
          <w:sz w:val="24"/>
        </w:rPr>
        <w:t>）</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51"/>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49" w:hRule="atLeast"/>
          <w:jc w:val="center"/>
        </w:trPr>
        <w:tc>
          <w:tcPr>
            <w:tcW w:w="456" w:type="dxa"/>
            <w:vAlign w:val="center"/>
          </w:tcPr>
          <w:p>
            <w:pPr>
              <w:pStyle w:val="248"/>
              <w:jc w:val="center"/>
              <w:rPr>
                <w:sz w:val="24"/>
              </w:rPr>
            </w:pPr>
            <w:r>
              <w:rPr>
                <w:sz w:val="24"/>
              </w:rPr>
              <w:t>序号</w:t>
            </w:r>
          </w:p>
        </w:tc>
        <w:tc>
          <w:tcPr>
            <w:tcW w:w="1287" w:type="dxa"/>
            <w:vAlign w:val="center"/>
          </w:tcPr>
          <w:p>
            <w:pPr>
              <w:pStyle w:val="248"/>
              <w:jc w:val="center"/>
              <w:rPr>
                <w:sz w:val="24"/>
              </w:rPr>
            </w:pPr>
            <w:r>
              <w:rPr>
                <w:sz w:val="24"/>
              </w:rPr>
              <w:t>分包承担</w:t>
            </w:r>
          </w:p>
          <w:p>
            <w:pPr>
              <w:pStyle w:val="248"/>
              <w:jc w:val="center"/>
              <w:rPr>
                <w:sz w:val="24"/>
              </w:rPr>
            </w:pPr>
            <w:r>
              <w:rPr>
                <w:sz w:val="24"/>
              </w:rPr>
              <w:t>主体名称</w:t>
            </w:r>
          </w:p>
        </w:tc>
        <w:tc>
          <w:tcPr>
            <w:tcW w:w="1513" w:type="dxa"/>
            <w:vAlign w:val="center"/>
          </w:tcPr>
          <w:p>
            <w:pPr>
              <w:pStyle w:val="248"/>
              <w:jc w:val="center"/>
              <w:rPr>
                <w:sz w:val="24"/>
                <w:lang w:eastAsia="zh-CN"/>
              </w:rPr>
            </w:pPr>
            <w:r>
              <w:rPr>
                <w:sz w:val="24"/>
                <w:lang w:eastAsia="zh-CN"/>
              </w:rPr>
              <w:t>分包承担</w:t>
            </w:r>
          </w:p>
          <w:p>
            <w:pPr>
              <w:pStyle w:val="248"/>
              <w:jc w:val="center"/>
              <w:rPr>
                <w:sz w:val="24"/>
                <w:lang w:eastAsia="zh-CN"/>
              </w:rPr>
            </w:pPr>
            <w:r>
              <w:rPr>
                <w:sz w:val="24"/>
                <w:lang w:eastAsia="zh-CN"/>
              </w:rPr>
              <w:t>主体类型</w:t>
            </w:r>
          </w:p>
          <w:p>
            <w:pPr>
              <w:pStyle w:val="248"/>
              <w:jc w:val="center"/>
              <w:rPr>
                <w:sz w:val="24"/>
                <w:lang w:eastAsia="zh-CN"/>
              </w:rPr>
            </w:pPr>
            <w:r>
              <w:rPr>
                <w:rFonts w:hint="eastAsia"/>
                <w:sz w:val="24"/>
                <w:lang w:eastAsia="zh-CN"/>
              </w:rPr>
              <w:t>（勾选）</w:t>
            </w:r>
          </w:p>
        </w:tc>
        <w:tc>
          <w:tcPr>
            <w:tcW w:w="1125" w:type="dxa"/>
            <w:vAlign w:val="center"/>
          </w:tcPr>
          <w:p>
            <w:pPr>
              <w:pStyle w:val="248"/>
              <w:jc w:val="center"/>
              <w:rPr>
                <w:sz w:val="24"/>
              </w:rPr>
            </w:pPr>
            <w:r>
              <w:rPr>
                <w:sz w:val="24"/>
              </w:rPr>
              <w:t>资质等级</w:t>
            </w:r>
          </w:p>
        </w:tc>
        <w:tc>
          <w:tcPr>
            <w:tcW w:w="1561" w:type="dxa"/>
            <w:vAlign w:val="center"/>
          </w:tcPr>
          <w:p>
            <w:pPr>
              <w:pStyle w:val="248"/>
              <w:jc w:val="center"/>
              <w:rPr>
                <w:sz w:val="24"/>
              </w:rPr>
            </w:pPr>
            <w:r>
              <w:rPr>
                <w:sz w:val="24"/>
              </w:rPr>
              <w:t>拟分包</w:t>
            </w:r>
          </w:p>
          <w:p>
            <w:pPr>
              <w:pStyle w:val="248"/>
              <w:jc w:val="center"/>
              <w:rPr>
                <w:sz w:val="24"/>
              </w:rPr>
            </w:pPr>
            <w:r>
              <w:rPr>
                <w:sz w:val="24"/>
              </w:rPr>
              <w:t>合同内容</w:t>
            </w:r>
          </w:p>
        </w:tc>
        <w:tc>
          <w:tcPr>
            <w:tcW w:w="1498" w:type="dxa"/>
            <w:vAlign w:val="center"/>
          </w:tcPr>
          <w:p>
            <w:pPr>
              <w:pStyle w:val="248"/>
              <w:jc w:val="center"/>
              <w:rPr>
                <w:sz w:val="24"/>
                <w:lang w:eastAsia="zh-CN"/>
              </w:rPr>
            </w:pPr>
            <w:r>
              <w:rPr>
                <w:sz w:val="24"/>
                <w:lang w:eastAsia="zh-CN"/>
              </w:rPr>
              <w:t>拟分包</w:t>
            </w:r>
          </w:p>
          <w:p>
            <w:pPr>
              <w:pStyle w:val="248"/>
              <w:jc w:val="center"/>
              <w:rPr>
                <w:sz w:val="24"/>
                <w:lang w:eastAsia="zh-CN"/>
              </w:rPr>
            </w:pPr>
            <w:r>
              <w:rPr>
                <w:sz w:val="24"/>
                <w:lang w:eastAsia="zh-CN"/>
              </w:rPr>
              <w:t>合同金额</w:t>
            </w:r>
          </w:p>
          <w:p>
            <w:pPr>
              <w:pStyle w:val="248"/>
              <w:jc w:val="center"/>
              <w:rPr>
                <w:sz w:val="24"/>
                <w:lang w:eastAsia="zh-CN"/>
              </w:rPr>
            </w:pPr>
            <w:r>
              <w:rPr>
                <w:sz w:val="24"/>
                <w:lang w:eastAsia="zh-CN"/>
              </w:rPr>
              <w:t>（人民币元）</w:t>
            </w:r>
          </w:p>
        </w:tc>
        <w:tc>
          <w:tcPr>
            <w:tcW w:w="1564" w:type="dxa"/>
            <w:vAlign w:val="center"/>
          </w:tcPr>
          <w:p>
            <w:pPr>
              <w:pStyle w:val="248"/>
              <w:jc w:val="center"/>
              <w:rPr>
                <w:sz w:val="24"/>
                <w:lang w:eastAsia="zh-CN"/>
              </w:rPr>
            </w:pPr>
            <w:r>
              <w:rPr>
                <w:rFonts w:hint="eastAsia"/>
                <w:sz w:val="24"/>
                <w:lang w:eastAsia="zh-CN"/>
              </w:rPr>
              <w:t>占合同金额的比例（%）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sz w:val="24"/>
              </w:rPr>
            </w:pPr>
            <w:r>
              <w:rPr>
                <w:rFonts w:ascii="Times New Roman"/>
                <w:sz w:val="24"/>
              </w:rPr>
              <w:t>1</w:t>
            </w:r>
          </w:p>
        </w:tc>
        <w:tc>
          <w:tcPr>
            <w:tcW w:w="1287" w:type="dxa"/>
            <w:vAlign w:val="center"/>
          </w:tcPr>
          <w:p>
            <w:pPr>
              <w:pStyle w:val="248"/>
              <w:jc w:val="center"/>
              <w:rPr>
                <w:rFonts w:ascii="Times New Roman" w:hAnsi="Times New Roman" w:cs="Times New Roman"/>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pPr>
              <w:pStyle w:val="248"/>
              <w:jc w:val="center"/>
              <w:rPr>
                <w:rFonts w:ascii="Times New Roman"/>
                <w:sz w:val="30"/>
                <w:lang w:eastAsia="zh-CN"/>
              </w:rPr>
            </w:pPr>
          </w:p>
        </w:tc>
        <w:tc>
          <w:tcPr>
            <w:tcW w:w="1561" w:type="dxa"/>
            <w:vAlign w:val="center"/>
          </w:tcPr>
          <w:p>
            <w:pPr>
              <w:pStyle w:val="248"/>
              <w:jc w:val="center"/>
              <w:rPr>
                <w:rFonts w:ascii="Times New Roman"/>
                <w:sz w:val="30"/>
                <w:lang w:eastAsia="zh-CN"/>
              </w:rPr>
            </w:pPr>
          </w:p>
        </w:tc>
        <w:tc>
          <w:tcPr>
            <w:tcW w:w="1498" w:type="dxa"/>
            <w:vAlign w:val="center"/>
          </w:tcPr>
          <w:p>
            <w:pPr>
              <w:pStyle w:val="248"/>
              <w:jc w:val="center"/>
              <w:rPr>
                <w:rFonts w:ascii="Times New Roman"/>
                <w:sz w:val="30"/>
                <w:lang w:eastAsia="zh-CN"/>
              </w:rPr>
            </w:pPr>
          </w:p>
        </w:tc>
        <w:tc>
          <w:tcPr>
            <w:tcW w:w="1564" w:type="dxa"/>
            <w:vAlign w:val="center"/>
          </w:tcPr>
          <w:p>
            <w:pPr>
              <w:pStyle w:val="248"/>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sz w:val="24"/>
                <w:lang w:eastAsia="zh-CN"/>
              </w:rPr>
            </w:pPr>
            <w:r>
              <w:rPr>
                <w:rFonts w:hint="eastAsia" w:ascii="Times New Roman"/>
                <w:sz w:val="24"/>
                <w:lang w:eastAsia="zh-CN"/>
              </w:rPr>
              <w:t>2</w:t>
            </w:r>
          </w:p>
        </w:tc>
        <w:tc>
          <w:tcPr>
            <w:tcW w:w="1287" w:type="dxa"/>
            <w:vAlign w:val="center"/>
          </w:tcPr>
          <w:p>
            <w:pPr>
              <w:pStyle w:val="248"/>
              <w:jc w:val="center"/>
              <w:rPr>
                <w:rFonts w:ascii="Times New Roman"/>
                <w:sz w:val="30"/>
              </w:rPr>
            </w:pPr>
          </w:p>
        </w:tc>
        <w:tc>
          <w:tcPr>
            <w:tcW w:w="1513" w:type="dxa"/>
            <w:vAlign w:val="center"/>
          </w:tcPr>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24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pPr>
              <w:pStyle w:val="248"/>
              <w:jc w:val="center"/>
              <w:rPr>
                <w:rFonts w:ascii="Times New Roman"/>
                <w:sz w:val="30"/>
                <w:lang w:eastAsia="zh-CN"/>
              </w:rPr>
            </w:pPr>
          </w:p>
        </w:tc>
        <w:tc>
          <w:tcPr>
            <w:tcW w:w="1561" w:type="dxa"/>
            <w:vAlign w:val="center"/>
          </w:tcPr>
          <w:p>
            <w:pPr>
              <w:pStyle w:val="248"/>
              <w:jc w:val="center"/>
              <w:rPr>
                <w:rFonts w:ascii="Times New Roman"/>
                <w:sz w:val="30"/>
                <w:lang w:eastAsia="zh-CN"/>
              </w:rPr>
            </w:pPr>
          </w:p>
        </w:tc>
        <w:tc>
          <w:tcPr>
            <w:tcW w:w="1498" w:type="dxa"/>
            <w:vAlign w:val="center"/>
          </w:tcPr>
          <w:p>
            <w:pPr>
              <w:pStyle w:val="248"/>
              <w:jc w:val="center"/>
              <w:rPr>
                <w:rFonts w:ascii="Times New Roman"/>
                <w:sz w:val="30"/>
                <w:lang w:eastAsia="zh-CN"/>
              </w:rPr>
            </w:pPr>
          </w:p>
        </w:tc>
        <w:tc>
          <w:tcPr>
            <w:tcW w:w="1564" w:type="dxa"/>
            <w:vAlign w:val="center"/>
          </w:tcPr>
          <w:p>
            <w:pPr>
              <w:pStyle w:val="248"/>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sz w:val="24"/>
                <w:lang w:eastAsia="zh-CN"/>
              </w:rPr>
            </w:pPr>
            <w:r>
              <w:rPr>
                <w:rFonts w:ascii="Times New Roman"/>
                <w:sz w:val="24"/>
                <w:lang w:eastAsia="zh-CN"/>
              </w:rPr>
              <w:t>…</w:t>
            </w:r>
          </w:p>
        </w:tc>
        <w:tc>
          <w:tcPr>
            <w:tcW w:w="1287" w:type="dxa"/>
            <w:vAlign w:val="center"/>
          </w:tcPr>
          <w:p>
            <w:pPr>
              <w:pStyle w:val="248"/>
              <w:jc w:val="center"/>
              <w:rPr>
                <w:rFonts w:ascii="Times New Roman"/>
                <w:sz w:val="30"/>
              </w:rPr>
            </w:pPr>
          </w:p>
        </w:tc>
        <w:tc>
          <w:tcPr>
            <w:tcW w:w="1513" w:type="dxa"/>
            <w:vAlign w:val="center"/>
          </w:tcPr>
          <w:p>
            <w:pPr>
              <w:pStyle w:val="248"/>
              <w:tabs>
                <w:tab w:val="left" w:pos="235"/>
              </w:tabs>
              <w:jc w:val="center"/>
              <w:rPr>
                <w:sz w:val="24"/>
              </w:rPr>
            </w:pPr>
          </w:p>
        </w:tc>
        <w:tc>
          <w:tcPr>
            <w:tcW w:w="1125" w:type="dxa"/>
            <w:vAlign w:val="center"/>
          </w:tcPr>
          <w:p>
            <w:pPr>
              <w:pStyle w:val="248"/>
              <w:jc w:val="center"/>
              <w:rPr>
                <w:rFonts w:ascii="Times New Roman"/>
                <w:sz w:val="30"/>
              </w:rPr>
            </w:pPr>
          </w:p>
        </w:tc>
        <w:tc>
          <w:tcPr>
            <w:tcW w:w="1561" w:type="dxa"/>
            <w:vAlign w:val="center"/>
          </w:tcPr>
          <w:p>
            <w:pPr>
              <w:pStyle w:val="248"/>
              <w:jc w:val="center"/>
              <w:rPr>
                <w:rFonts w:ascii="Times New Roman"/>
                <w:sz w:val="30"/>
              </w:rPr>
            </w:pPr>
          </w:p>
        </w:tc>
        <w:tc>
          <w:tcPr>
            <w:tcW w:w="1498" w:type="dxa"/>
            <w:vAlign w:val="center"/>
          </w:tcPr>
          <w:p>
            <w:pPr>
              <w:pStyle w:val="248"/>
              <w:jc w:val="center"/>
              <w:rPr>
                <w:rFonts w:ascii="Times New Roman"/>
                <w:sz w:val="30"/>
              </w:rPr>
            </w:pPr>
          </w:p>
        </w:tc>
        <w:tc>
          <w:tcPr>
            <w:tcW w:w="1564" w:type="dxa"/>
            <w:vAlign w:val="center"/>
          </w:tcPr>
          <w:p>
            <w:pPr>
              <w:pStyle w:val="248"/>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sz w:val="24"/>
                <w:lang w:eastAsia="zh-CN"/>
              </w:rPr>
            </w:pPr>
            <w:r>
              <w:rPr>
                <w:rFonts w:hint="eastAsia"/>
                <w:sz w:val="24"/>
                <w:lang w:eastAsia="zh-CN"/>
              </w:rPr>
              <w:t>合计：</w:t>
            </w:r>
          </w:p>
        </w:tc>
        <w:tc>
          <w:tcPr>
            <w:tcW w:w="1498" w:type="dxa"/>
            <w:vAlign w:val="center"/>
          </w:tcPr>
          <w:p>
            <w:pPr>
              <w:pStyle w:val="248"/>
              <w:jc w:val="center"/>
              <w:rPr>
                <w:rFonts w:ascii="Times New Roman"/>
                <w:sz w:val="30"/>
              </w:rPr>
            </w:pPr>
          </w:p>
        </w:tc>
        <w:tc>
          <w:tcPr>
            <w:tcW w:w="1564" w:type="dxa"/>
            <w:vAlign w:val="center"/>
          </w:tcPr>
          <w:p>
            <w:pPr>
              <w:pStyle w:val="248"/>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1.本表仅在投标人非因“为落实政府采购政策”而分包时填写；投标人“为落实政府采购政策”</w:t>
      </w:r>
      <w:r>
        <w:rPr>
          <w:rFonts w:hint="eastAsia"/>
          <w:sz w:val="24"/>
        </w:rPr>
        <w:t>面</w:t>
      </w:r>
      <w:r>
        <w:rPr>
          <w:sz w:val="24"/>
        </w:rPr>
        <w:t>向中小企业分包时请按照《</w:t>
      </w:r>
      <w:r>
        <w:rPr>
          <w:color w:val="000000"/>
          <w:sz w:val="24"/>
          <w:szCs w:val="20"/>
        </w:rPr>
        <w:t>拟分包情况说明及分包意向协议</w:t>
      </w:r>
      <w:r>
        <w:rPr>
          <w:sz w:val="24"/>
        </w:rPr>
        <w:t>》（类型一）要求填写。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pPr>
        <w:adjustRightInd w:val="0"/>
        <w:snapToGrid w:val="0"/>
        <w:spacing w:line="360" w:lineRule="auto"/>
        <w:jc w:val="left"/>
        <w:rPr>
          <w:sz w:val="24"/>
        </w:rPr>
      </w:pP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sz w:val="24"/>
        </w:rPr>
      </w:pPr>
      <w:r>
        <w:rPr>
          <w:color w:val="000000"/>
          <w:sz w:val="24"/>
        </w:rPr>
        <w:t>日期：_____年______月______日</w:t>
      </w:r>
    </w:p>
    <w:p>
      <w:pPr>
        <w:spacing w:line="360" w:lineRule="auto"/>
        <w:rPr>
          <w:b/>
          <w:color w:val="000000"/>
          <w:sz w:val="24"/>
        </w:rPr>
      </w:pPr>
    </w:p>
    <w:p>
      <w:pPr>
        <w:spacing w:before="120" w:line="360" w:lineRule="auto"/>
        <w:outlineLvl w:val="2"/>
        <w:rPr>
          <w:sz w:val="24"/>
          <w:szCs w:val="20"/>
        </w:rPr>
      </w:pPr>
      <w:r>
        <w:rPr>
          <w:color w:val="000000"/>
          <w:sz w:val="24"/>
          <w:szCs w:val="20"/>
        </w:rPr>
        <w:br w:type="page"/>
      </w:r>
    </w:p>
    <w:p>
      <w:pPr>
        <w:spacing w:before="120" w:line="360" w:lineRule="auto"/>
        <w:outlineLvl w:val="2"/>
        <w:rPr>
          <w:color w:val="000000"/>
          <w:sz w:val="24"/>
          <w:szCs w:val="20"/>
        </w:rPr>
      </w:pPr>
      <w:r>
        <w:rPr>
          <w:sz w:val="24"/>
          <w:szCs w:val="20"/>
        </w:rPr>
        <w:t xml:space="preserve">9  </w:t>
      </w:r>
      <w:r>
        <w:rPr>
          <w:color w:val="000000"/>
          <w:sz w:val="24"/>
          <w:szCs w:val="20"/>
        </w:rPr>
        <w:t>招标文件要求提供或投标人认为应附的其他材料</w:t>
      </w:r>
    </w:p>
    <w:p>
      <w:pPr>
        <w:spacing w:before="120" w:line="360" w:lineRule="auto"/>
        <w:outlineLvl w:val="2"/>
        <w:rPr>
          <w:b/>
          <w:sz w:val="36"/>
          <w:szCs w:val="36"/>
        </w:rPr>
      </w:pPr>
    </w:p>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Calibri">
    <w:panose1 w:val="020F0502020204030204"/>
    <w:charset w:val="00"/>
    <w:family w:val="decorative"/>
    <w:pitch w:val="default"/>
    <w:sig w:usb0="E4002EFF" w:usb1="C000247B" w:usb2="00000009" w:usb3="00000000" w:csb0="200001F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0"/>
    <w:family w:val="decorative"/>
    <w:pitch w:val="default"/>
    <w:sig w:usb0="E0002EFF" w:usb1="C000785B" w:usb2="00000009" w:usb3="00000000" w:csb0="400001FF" w:csb1="FFFF0000"/>
  </w:font>
  <w:font w:name="Courier New">
    <w:panose1 w:val="02070309020205020404"/>
    <w:charset w:val="00"/>
    <w:family w:val="swiss"/>
    <w:pitch w:val="default"/>
    <w:sig w:usb0="E0002EFF" w:usb1="C0007843" w:usb2="00000009" w:usb3="00000000" w:csb0="400001FF" w:csb1="FFFF0000"/>
  </w:font>
  <w:font w:name="Cambria">
    <w:panose1 w:val="02040503050406030204"/>
    <w:charset w:val="00"/>
    <w:family w:val="modern"/>
    <w:pitch w:val="default"/>
    <w:sig w:usb0="E00006FF" w:usb1="420024FF" w:usb2="02000000" w:usb3="00000000" w:csb0="2000019F" w:csb1="00000000"/>
  </w:font>
  <w:font w:name="黑体">
    <w:panose1 w:val="02010609060101010101"/>
    <w:charset w:val="86"/>
    <w:family w:val="swiss"/>
    <w:pitch w:val="default"/>
    <w:sig w:usb0="800002BF" w:usb1="38CF7CFA" w:usb2="00000016" w:usb3="00000000" w:csb0="00040001" w:csb1="00000000"/>
  </w:font>
  <w:font w:name="微软雅黑">
    <w:panose1 w:val="020B0503020204020204"/>
    <w:charset w:val="86"/>
    <w:family w:val="decorative"/>
    <w:pitch w:val="default"/>
    <w:sig w:usb0="80000287" w:usb1="2ACF3C50" w:usb2="00000016" w:usb3="00000000" w:csb0="0004001F" w:csb1="00000000"/>
  </w:font>
  <w:font w:name="仿宋">
    <w:panose1 w:val="02010609060101010101"/>
    <w:charset w:val="86"/>
    <w:family w:val="swiss"/>
    <w:pitch w:val="default"/>
    <w:sig w:usb0="800002BF" w:usb1="38CF7CFA" w:usb2="00000016" w:usb3="00000000" w:csb0="00040001" w:csb1="00000000"/>
  </w:font>
  <w:font w:name="仿宋_GB2312">
    <w:altName w:val="仿宋"/>
    <w:panose1 w:val="00000000000000000000"/>
    <w:charset w:val="86"/>
    <w:family w:val="swiss"/>
    <w:pitch w:val="default"/>
    <w:sig w:usb0="00000000" w:usb1="00000000" w:usb2="00000000" w:usb3="00000000" w:csb0="00040000" w:csb1="00000000"/>
  </w:font>
  <w:font w:name="Calibri">
    <w:panose1 w:val="020F0502020204030204"/>
    <w:charset w:val="00"/>
    <w:family w:val="modern"/>
    <w:pitch w:val="default"/>
    <w:sig w:usb0="E4002EFF" w:usb1="C000247B" w:usb2="00000009" w:usb3="00000000" w:csb0="200001FF" w:csb1="00000000"/>
  </w:font>
  <w:font w:name="仿宋_GB2312">
    <w:altName w:val="仿宋"/>
    <w:panose1 w:val="02010609030101010101"/>
    <w:charset w:val="86"/>
    <w:family w:val="decorative"/>
    <w:pitch w:val="default"/>
    <w:sig w:usb0="00000000" w:usb1="00000000" w:usb2="00000000" w:usb3="00000000" w:csb0="00040000" w:csb1="00000000"/>
  </w:font>
  <w:font w:name="MS Sans Serif">
    <w:altName w:val="Arial"/>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swiss"/>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decorative"/>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decorative"/>
    <w:pitch w:val="default"/>
    <w:sig w:usb0="800002BF" w:usb1="38CF7CFA" w:usb2="00000016" w:usb3="00000000" w:csb0="00040001" w:csb1="00000000"/>
  </w:font>
  <w:font w:name="Arial">
    <w:panose1 w:val="020B0604020202020204"/>
    <w:charset w:val="00"/>
    <w:family w:val="modern"/>
    <w:pitch w:val="default"/>
    <w:sig w:usb0="E0002EFF" w:usb1="C000785B" w:usb2="00000009" w:usb3="00000000" w:csb0="400001FF" w:csb1="FFFF0000"/>
  </w:font>
  <w:font w:name="Courier New">
    <w:panose1 w:val="02070309020205020404"/>
    <w:charset w:val="00"/>
    <w:family w:val="roman"/>
    <w:pitch w:val="default"/>
    <w:sig w:usb0="E0002EFF" w:usb1="C0007843" w:usb2="00000009" w:usb3="00000000" w:csb0="400001FF" w:csb1="FFFF0000"/>
  </w:font>
  <w:font w:name="Cambria">
    <w:panose1 w:val="02040503050406030204"/>
    <w:charset w:val="00"/>
    <w:family w:val="decorative"/>
    <w:pitch w:val="default"/>
    <w:sig w:usb0="E00006FF" w:usb1="420024FF" w:usb2="02000000" w:usb3="00000000" w:csb0="2000019F" w:csb1="00000000"/>
  </w:font>
  <w:font w:name="黑体">
    <w:panose1 w:val="02010609060101010101"/>
    <w:charset w:val="86"/>
    <w:family w:val="roman"/>
    <w:pitch w:val="default"/>
    <w:sig w:usb0="800002BF" w:usb1="38CF7CFA" w:usb2="00000016" w:usb3="00000000" w:csb0="00040001" w:csb1="00000000"/>
  </w:font>
  <w:font w:name="微软雅黑">
    <w:panose1 w:val="020B0503020204020204"/>
    <w:charset w:val="86"/>
    <w:family w:val="modern"/>
    <w:pitch w:val="default"/>
    <w:sig w:usb0="80000287" w:usb1="2ACF3C50" w:usb2="00000016" w:usb3="00000000" w:csb0="0004001F" w:csb1="00000000"/>
  </w:font>
  <w:font w:name="仿宋">
    <w:panose1 w:val="02010609060101010101"/>
    <w:charset w:val="86"/>
    <w:family w:val="roman"/>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00" w:usb3="00000000" w:csb0="00040000" w:csb1="00000000"/>
  </w:font>
  <w:font w:name="仿宋_GB2312">
    <w:altName w:val="仿宋"/>
    <w:panose1 w:val="02010609030101010101"/>
    <w:charset w:val="86"/>
    <w:family w:val="roman"/>
    <w:pitch w:val="default"/>
    <w:sig w:usb0="00000000" w:usb1="00000000" w:usb2="00000000" w:usb3="00000000" w:csb0="00040000" w:csb1="00000000"/>
  </w:font>
  <w:font w:name="MS Sans Serif">
    <w:altName w:val="Arial"/>
    <w:panose1 w:val="00000000000000000000"/>
    <w:charset w:val="00"/>
    <w:family w:val="modern"/>
    <w:pitch w:val="default"/>
    <w:sig w:usb0="00000000" w:usb1="00000000" w:usb2="00000000" w:usb3="00000000" w:csb0="00000001" w:csb1="00000000"/>
  </w:font>
  <w:font w:name="ˎ̥">
    <w:altName w:val="Times New Roman"/>
    <w:panose1 w:val="00000000000000000000"/>
    <w:charset w:val="00"/>
    <w:family w:val="decorative"/>
    <w:pitch w:val="default"/>
    <w:sig w:usb0="00000000" w:usb1="00000000" w:usb2="00000000" w:usb3="00000000" w:csb0="00040001" w:csb1="00000000"/>
  </w:font>
  <w:font w:name="楷体">
    <w:panose1 w:val="02010609060101010101"/>
    <w:charset w:val="86"/>
    <w:family w:val="roma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黑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S Sans Serif">
    <w:altName w:val="Arial"/>
    <w:panose1 w:val="00000000000000000000"/>
    <w:charset w:val="00"/>
    <w:family w:val="swiss"/>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roman"/>
    <w:pitch w:val="default"/>
    <w:sig w:usb0="E0002EFF" w:usb1="C000785B" w:usb2="00000009" w:usb3="00000000" w:csb0="400001FF" w:csb1="FFFF0000"/>
  </w:font>
  <w:font w:name="Courier New">
    <w:panose1 w:val="02070309020205020404"/>
    <w:charset w:val="00"/>
    <w:family w:val="decorative"/>
    <w:pitch w:val="default"/>
    <w:sig w:usb0="E0002EFF" w:usb1="C0007843" w:usb2="00000009" w:usb3="00000000" w:csb0="400001FF" w:csb1="FFFF0000"/>
  </w:font>
  <w:font w:name="Cambria">
    <w:panose1 w:val="02040503050406030204"/>
    <w:charset w:val="00"/>
    <w:family w:val="swiss"/>
    <w:pitch w:val="default"/>
    <w:sig w:usb0="E00006FF" w:usb1="420024FF" w:usb2="02000000" w:usb3="00000000" w:csb0="2000019F" w:csb1="00000000"/>
  </w:font>
  <w:font w:name="黑体">
    <w:panose1 w:val="02010609060101010101"/>
    <w:charset w:val="86"/>
    <w:family w:val="decorative"/>
    <w:pitch w:val="default"/>
    <w:sig w:usb0="800002BF" w:usb1="38CF7CFA" w:usb2="00000016" w:usb3="00000000" w:csb0="00040001" w:csb1="00000000"/>
  </w:font>
  <w:font w:name="微软雅黑">
    <w:panose1 w:val="020B0503020204020204"/>
    <w:charset w:val="86"/>
    <w:family w:val="roman"/>
    <w:pitch w:val="default"/>
    <w:sig w:usb0="80000287" w:usb1="2ACF3C50" w:usb2="00000016" w:usb3="00000000" w:csb0="0004001F" w:csb1="00000000"/>
  </w:font>
  <w:font w:name="仿宋_GB2312">
    <w:altName w:val="仿宋"/>
    <w:panose1 w:val="02010609030101010101"/>
    <w:charset w:val="86"/>
    <w:family w:val="swiss"/>
    <w:pitch w:val="default"/>
    <w:sig w:usb0="00000000" w:usb1="00000000" w:usb2="00000000" w:usb3="00000000" w:csb0="00040000" w:csb1="00000000"/>
  </w:font>
  <w:font w:name="MS Sans Serif">
    <w:altName w:val="Arial"/>
    <w:panose1 w:val="00000000000000000000"/>
    <w:charset w:val="00"/>
    <w:family w:val="decorative"/>
    <w:pitch w:val="default"/>
    <w:sig w:usb0="00000000" w:usb1="00000000" w:usb2="00000000" w:usb3="00000000" w:csb0="00000001" w:csb1="00000000"/>
  </w:font>
  <w:font w:name="ˎ̥">
    <w:altName w:val="Times New Roman"/>
    <w:panose1 w:val="00000000000000000000"/>
    <w:charset w:val="00"/>
    <w:family w:val="modern"/>
    <w:pitch w:val="default"/>
    <w:sig w:usb0="00000000" w:usb1="00000000" w:usb2="00000000" w:usb3="00000000" w:csb0="00040001" w:csb1="00000000"/>
  </w:font>
  <w:font w:name="楷体">
    <w:panose1 w:val="02010609060101010101"/>
    <w:charset w:val="86"/>
    <w:family w:val="swiss"/>
    <w:pitch w:val="default"/>
    <w:sig w:usb0="800002BF" w:usb1="38CF7CFA" w:usb2="00000016" w:usb3="00000000" w:csb0="00040001" w:csb1="00000000"/>
  </w:font>
  <w:font w:name="Calibri Light">
    <w:panose1 w:val="020F0302020204030204"/>
    <w:charset w:val="00"/>
    <w:family w:val="roman"/>
    <w:pitch w:val="default"/>
    <w:sig w:usb0="E4002EFF" w:usb1="C000247B" w:usb2="00000009" w:usb3="00000000" w:csb0="200001FF" w:csb1="00000000"/>
  </w:font>
  <w:font w:name="Calibri Light">
    <w:panose1 w:val="020F0302020204030204"/>
    <w:charset w:val="00"/>
    <w:family w:val="modern"/>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libri Light">
    <w:panose1 w:val="020F0302020204030204"/>
    <w:charset w:val="00"/>
    <w:family w:val="decorative"/>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Arial Narrow">
    <w:panose1 w:val="020B0606020202030204"/>
    <w:charset w:val="00"/>
    <w:family w:val="roman"/>
    <w:pitch w:val="default"/>
    <w:sig w:usb0="00000287" w:usb1="00000800" w:usb2="00000000" w:usb3="00000000" w:csb0="2000009F" w:csb1="DFD70000"/>
  </w:font>
  <w:font w:name="inherit">
    <w:altName w:val="Times New Roman"/>
    <w:panose1 w:val="00000000000000000000"/>
    <w:charset w:val="00"/>
    <w:family w:val="swiss"/>
    <w:pitch w:val="default"/>
    <w:sig w:usb0="00000000" w:usb1="00000000" w:usb2="00000000" w:usb3="00000000" w:csb0="00040001" w:csb1="00000000"/>
  </w:font>
  <w:font w:name="宋体-18030">
    <w:altName w:val="宋体"/>
    <w:panose1 w:val="00000000000000000000"/>
    <w:charset w:val="86"/>
    <w:family w:val="decorative"/>
    <w:pitch w:val="default"/>
    <w:sig w:usb0="00000000" w:usb1="00000000" w:usb2="000A005E" w:usb3="00000000" w:csb0="00040001" w:csb1="00000000"/>
  </w:font>
  <w:font w:name="Arial Narrow">
    <w:panose1 w:val="020B0606020202030204"/>
    <w:charset w:val="00"/>
    <w:family w:val="modern"/>
    <w:pitch w:val="default"/>
    <w:sig w:usb0="00000287" w:usb1="00000800" w:usb2="00000000" w:usb3="00000000" w:csb0="2000009F" w:csb1="DFD70000"/>
  </w:font>
  <w:font w:name="inherit">
    <w:altName w:val="Times New Roman"/>
    <w:panose1 w:val="00000000000000000000"/>
    <w:charset w:val="00"/>
    <w:family w:val="decorative"/>
    <w:pitch w:val="default"/>
    <w:sig w:usb0="00000000" w:usb1="00000000" w:usb2="00000000" w:usb3="00000000" w:csb0="00040001" w:csb1="00000000"/>
  </w:font>
  <w:font w:name="宋体-18030">
    <w:altName w:val="宋体"/>
    <w:panose1 w:val="00000000000000000000"/>
    <w:charset w:val="86"/>
    <w:family w:val="roman"/>
    <w:pitch w:val="default"/>
    <w:sig w:usb0="00000000" w:usb1="00000000" w:usb2="000A005E" w:usb3="00000000" w:csb0="00040001" w:csb1="00000000"/>
  </w:font>
  <w:font w:name="Arial Narrow">
    <w:panose1 w:val="020B0606020202030204"/>
    <w:charset w:val="00"/>
    <w:family w:val="swiss"/>
    <w:pitch w:val="default"/>
    <w:sig w:usb0="00000287" w:usb1="000008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 w:name="宋体-18030">
    <w:altName w:val="宋体"/>
    <w:panose1 w:val="00000000000000000000"/>
    <w:charset w:val="86"/>
    <w:family w:val="modern"/>
    <w:pitch w:val="default"/>
    <w:sig w:usb0="00000000" w:usb1="00000000" w:usb2="000A005E" w:usb3="00000000" w:csb0="00040001" w:csb1="00000000"/>
  </w:font>
  <w:font w:name="Arial Narrow">
    <w:panose1 w:val="020B0606020202030204"/>
    <w:charset w:val="00"/>
    <w:family w:val="decorative"/>
    <w:pitch w:val="default"/>
    <w:sig w:usb0="00000287" w:usb1="00000800" w:usb2="00000000" w:usb3="00000000" w:csb0="2000009F" w:csb1="DFD70000"/>
  </w:font>
  <w:font w:name="inherit">
    <w:altName w:val="Times New Roman"/>
    <w:panose1 w:val="00000000000000000000"/>
    <w:charset w:val="00"/>
    <w:family w:val="modern"/>
    <w:pitch w:val="default"/>
    <w:sig w:usb0="00000000" w:usb1="00000000" w:usb2="00000000" w:usb3="00000000" w:csb0="00040001" w:csb1="00000000"/>
  </w:font>
  <w:font w:name="宋体-18030">
    <w:altName w:val="宋体"/>
    <w:panose1 w:val="00000000000000000000"/>
    <w:charset w:val="86"/>
    <w:family w:val="swiss"/>
    <w:pitch w:val="default"/>
    <w:sig w:usb0="00000000" w:usb1="00000000" w:usb2="000A005E" w:usb3="00000000" w:csb0="00040001" w:csb1="00000000"/>
  </w:font>
  <w:font w:name="等线 Light">
    <w:panose1 w:val="02010600030101010101"/>
    <w:charset w:val="86"/>
    <w:family w:val="auto"/>
    <w:pitch w:val="default"/>
    <w:sig w:usb0="A00002BF" w:usb1="38CF7CFA" w:usb2="00000016" w:usb3="00000000" w:csb0="0004000F" w:csb1="00000000"/>
  </w:font>
  <w:font w:name="隶书">
    <w:panose1 w:val="02010509060101010101"/>
    <w:charset w:val="86"/>
    <w:family w:val="decorative"/>
    <w:pitch w:val="default"/>
    <w:sig w:usb0="00000001" w:usb1="080E0000" w:usb2="00000000" w:usb3="00000000" w:csb0="00040000" w:csb1="00000000"/>
  </w:font>
  <w:font w:name="微软雅黑 Light">
    <w:panose1 w:val="020B0502040204020203"/>
    <w:charset w:val="86"/>
    <w:family w:val="roman"/>
    <w:pitch w:val="default"/>
    <w:sig w:usb0="80000287" w:usb1="2ACF0010" w:usb2="00000016" w:usb3="00000000" w:csb0="0004001F" w:csb1="00000000"/>
  </w:font>
  <w:font w:name="隶书">
    <w:panose1 w:val="02010509060101010101"/>
    <w:charset w:val="86"/>
    <w:family w:val="modern"/>
    <w:pitch w:val="default"/>
    <w:sig w:usb0="00000001" w:usb1="080E0000" w:usb2="00000000" w:usb3="00000000" w:csb0="00040000" w:csb1="00000000"/>
  </w:font>
  <w:font w:name="微软雅黑 Light">
    <w:panose1 w:val="020B0502040204020203"/>
    <w:charset w:val="86"/>
    <w:family w:val="swiss"/>
    <w:pitch w:val="default"/>
    <w:sig w:usb0="80000287" w:usb1="2ACF0010" w:usb2="00000016" w:usb3="00000000" w:csb0="0004001F" w:csb1="00000000"/>
  </w:font>
  <w:font w:name="华文宋体">
    <w:panose1 w:val="02010600040101010101"/>
    <w:charset w:val="86"/>
    <w:family w:val="auto"/>
    <w:pitch w:val="default"/>
    <w:sig w:usb0="00000287" w:usb1="080F0000" w:usb2="00000000" w:usb3="00000000" w:csb0="0004009F" w:csb1="DFD70000"/>
  </w:font>
  <w:font w:name="隶书">
    <w:panose1 w:val="02010509060101010101"/>
    <w:charset w:val="86"/>
    <w:family w:val="swiss"/>
    <w:pitch w:val="default"/>
    <w:sig w:usb0="00000001" w:usb1="080E0000" w:usb2="00000000" w:usb3="00000000" w:csb0="00040000" w:csb1="00000000"/>
  </w:font>
  <w:font w:name="微软雅黑 Light">
    <w:panose1 w:val="020B0502040204020203"/>
    <w:charset w:val="86"/>
    <w:family w:val="decorative"/>
    <w:pitch w:val="default"/>
    <w:sig w:usb0="80000287" w:usb1="2ACF0010" w:usb2="00000016" w:usb3="00000000" w:csb0="0004001F" w:csb1="00000000"/>
  </w:font>
  <w:font w:name="Tahoma">
    <w:panose1 w:val="020B0604030504040204"/>
    <w:charset w:val="00"/>
    <w:family w:val="roman"/>
    <w:pitch w:val="default"/>
    <w:sig w:usb0="E1002EFF" w:usb1="C000605B" w:usb2="00000029" w:usb3="00000000" w:csb0="200101FF" w:csb1="20280000"/>
  </w:font>
  <w:font w:name="-apple-system-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e">
    <w:altName w:val="Segoe Print"/>
    <w:panose1 w:val="00000000000000000000"/>
    <w:charset w:val="00"/>
    <w:family w:val="auto"/>
    <w:pitch w:val="default"/>
    <w:sig w:usb0="00000000" w:usb1="00000000" w:usb2="00000000" w:usb3="00000000" w:csb0="00000000" w:csb1="00000000"/>
  </w:font>
  <w:font w:name="楷体_GB2312">
    <w:altName w:val="楷体"/>
    <w:panose1 w:val="02010609030101010101"/>
    <w:charset w:val="86"/>
    <w:family w:val="auto"/>
    <w:pitch w:val="default"/>
    <w:sig w:usb0="00000000" w:usb1="00000000" w:usb2="00000000" w:usb3="00000000" w:csb0="00040000" w:csb1="00000000"/>
  </w:font>
  <w:font w:name="方正小标宋_GBK">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隶书">
    <w:panose1 w:val="02010509060101010101"/>
    <w:charset w:val="86"/>
    <w:family w:val="roma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modern"/>
    <w:pitch w:val="default"/>
    <w:sig w:usb0="E1002EFF" w:usb1="C000605B" w:usb2="00000029" w:usb3="00000000" w:csb0="200101FF" w:csb1="20280000"/>
  </w:font>
  <w:font w:name="Tahoma">
    <w:panose1 w:val="020B0604030504040204"/>
    <w:charset w:val="00"/>
    <w:family w:val="swiss"/>
    <w:pitch w:val="default"/>
    <w:sig w:usb0="E1002EFF" w:usb1="C000605B" w:usb2="00000029" w:usb3="00000000" w:csb0="200101FF" w:csb1="20280000"/>
  </w:font>
  <w:font w:name="Tahoma">
    <w:panose1 w:val="020B0604030504040204"/>
    <w:charset w:val="00"/>
    <w:family w:val="decorative"/>
    <w:pitch w:val="default"/>
    <w:sig w:usb0="E1002EFF" w:usb1="C000605B" w:usb2="00000029" w:usb3="00000000" w:csb0="200101FF" w:csb1="20280000"/>
  </w:font>
  <w:font w:name="Lucida Sans Unicode">
    <w:panose1 w:val="020B0602030504020204"/>
    <w:charset w:val="00"/>
    <w:family w:val="modern"/>
    <w:pitch w:val="default"/>
    <w:sig w:usb0="80001AFF" w:usb1="0000396B" w:usb2="00000000" w:usb3="00000000" w:csb0="200000BF" w:csb1="D7F70000"/>
  </w:font>
  <w:font w:name="Lucida Sans Unicode">
    <w:panose1 w:val="020B0602030504020204"/>
    <w:charset w:val="00"/>
    <w:family w:val="swiss"/>
    <w:pitch w:val="default"/>
    <w:sig w:usb0="80001AFF" w:usb1="0000396B" w:usb2="00000000" w:usb3="00000000" w:csb0="200000BF" w:csb1="D7F70000"/>
  </w:font>
  <w:font w:name="Lucida Sans Unicode">
    <w:panose1 w:val="020B0602030504020204"/>
    <w:charset w:val="00"/>
    <w:family w:val="decorative"/>
    <w:pitch w:val="default"/>
    <w:sig w:usb0="80001AFF" w:usb1="0000396B" w:usb2="00000000" w:usb3="00000000" w:csb0="200000BF" w:csb1="D7F70000"/>
  </w:font>
  <w:font w:name="Lucida Sans Unicode">
    <w:panose1 w:val="020B0602030504020204"/>
    <w:charset w:val="00"/>
    <w:family w:val="roman"/>
    <w:pitch w:val="default"/>
    <w:sig w:usb0="80001AFF" w:usb1="0000396B" w:usb2="00000000" w:usb3="00000000" w:csb0="200000BF" w:csb1="D7F70000"/>
  </w:font>
  <w:font w:name="PingFang SC">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Menlo">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Microsoft YaHei UI">
    <w:panose1 w:val="020B0503020204020204"/>
    <w:charset w:val="86"/>
    <w:family w:val="modern"/>
    <w:pitch w:val="default"/>
    <w:sig w:usb0="80000287" w:usb1="2ACF3C50" w:usb2="00000016" w:usb3="00000000" w:csb0="0004001F" w:csb1="00000000"/>
  </w:font>
  <w:font w:name="Verdana">
    <w:panose1 w:val="020B0604030504040204"/>
    <w:charset w:val="00"/>
    <w:family w:val="modern"/>
    <w:pitch w:val="default"/>
    <w:sig w:usb0="A00006FF" w:usb1="4000205B" w:usb2="00000010" w:usb3="00000000" w:csb0="2000019F" w:csb1="00000000"/>
  </w:font>
  <w:font w:name="Arial Unicode MS">
    <w:panose1 w:val="020B0604020202020204"/>
    <w:charset w:val="86"/>
    <w:family w:val="modern"/>
    <w:pitch w:val="default"/>
    <w:sig w:usb0="FFFFFFFF" w:usb1="E9FFFFFF" w:usb2="0000003F" w:usb3="00000000" w:csb0="603F01FF" w:csb1="FFFF0000"/>
  </w:font>
  <w:font w:name="Century Gothic">
    <w:panose1 w:val="020B0502020202020204"/>
    <w:charset w:val="00"/>
    <w:family w:val="modern"/>
    <w:pitch w:val="default"/>
    <w:sig w:usb0="00000287" w:usb1="00000000" w:usb2="00000000" w:usb3="00000000" w:csb0="2000009F" w:csb1="DFD70000"/>
  </w:font>
  <w:font w:name="Frutiger 55 Roman">
    <w:altName w:val="Courier New"/>
    <w:panose1 w:val="00000000000000000000"/>
    <w:charset w:val="00"/>
    <w:family w:val="auto"/>
    <w:pitch w:val="default"/>
    <w:sig w:usb0="00000000" w:usb1="00000000" w:usb2="00000000" w:usb3="00000000" w:csb0="00000001" w:csb1="00000000"/>
  </w:font>
  <w:font w:name="Helvetica-Black">
    <w:altName w:val="Arial"/>
    <w:panose1 w:val="00000000000000000000"/>
    <w:charset w:val="00"/>
    <w:family w:val="modern"/>
    <w:pitch w:val="default"/>
    <w:sig w:usb0="00000000" w:usb1="00000000" w:usb2="00000000" w:usb3="00000000" w:csb0="00000001" w:csb1="00000000"/>
  </w:font>
  <w:font w:name="新宋体">
    <w:panose1 w:val="02010609030101010101"/>
    <w:charset w:val="86"/>
    <w:family w:val="roman"/>
    <w:pitch w:val="default"/>
    <w:sig w:usb0="00000283" w:usb1="288F0000" w:usb2="00000006" w:usb3="00000000" w:csb0="00040001" w:csb1="00000000"/>
  </w:font>
  <w:font w:name="Microsoft YaHei UI">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Century Gothic">
    <w:panose1 w:val="020B0502020202020204"/>
    <w:charset w:val="00"/>
    <w:family w:val="swiss"/>
    <w:pitch w:val="default"/>
    <w:sig w:usb0="00000287" w:usb1="00000000" w:usb2="00000000" w:usb3="00000000" w:csb0="2000009F" w:csb1="DFD70000"/>
  </w:font>
  <w:font w:name="Helvetica-Black">
    <w:altName w:val="Arial"/>
    <w:panose1 w:val="00000000000000000000"/>
    <w:charset w:val="00"/>
    <w:family w:val="swiss"/>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Microsoft YaHei UI">
    <w:panose1 w:val="020B0503020204020204"/>
    <w:charset w:val="86"/>
    <w:family w:val="decorative"/>
    <w:pitch w:val="default"/>
    <w:sig w:usb0="80000287" w:usb1="2ACF3C50" w:usb2="00000016" w:usb3="00000000" w:csb0="0004001F" w:csb1="00000000"/>
  </w:font>
  <w:font w:name="Verdana">
    <w:panose1 w:val="020B0604030504040204"/>
    <w:charset w:val="00"/>
    <w:family w:val="decorative"/>
    <w:pitch w:val="default"/>
    <w:sig w:usb0="A00006FF" w:usb1="4000205B" w:usb2="00000010" w:usb3="00000000" w:csb0="2000019F" w:csb1="00000000"/>
  </w:font>
  <w:font w:name="Arial Unicode MS">
    <w:panose1 w:val="020B0604020202020204"/>
    <w:charset w:val="86"/>
    <w:family w:val="decorative"/>
    <w:pitch w:val="default"/>
    <w:sig w:usb0="FFFFFFFF" w:usb1="E9FFFFFF" w:usb2="0000003F" w:usb3="00000000" w:csb0="603F01FF" w:csb1="FFFF0000"/>
  </w:font>
  <w:font w:name="Century Gothic">
    <w:panose1 w:val="020B0502020202020204"/>
    <w:charset w:val="00"/>
    <w:family w:val="decorative"/>
    <w:pitch w:val="default"/>
    <w:sig w:usb0="00000287" w:usb1="00000000" w:usb2="00000000" w:usb3="00000000" w:csb0="2000009F" w:csb1="DFD70000"/>
  </w:font>
  <w:font w:name="Helvetica-Black">
    <w:altName w:val="Arial"/>
    <w:panose1 w:val="00000000000000000000"/>
    <w:charset w:val="00"/>
    <w:family w:val="decorative"/>
    <w:pitch w:val="default"/>
    <w:sig w:usb0="00000000" w:usb1="00000000" w:usb2="00000000" w:usb3="00000000" w:csb0="00000001" w:csb1="00000000"/>
  </w:font>
  <w:font w:name="新宋体">
    <w:panose1 w:val="02010609030101010101"/>
    <w:charset w:val="86"/>
    <w:family w:val="swiss"/>
    <w:pitch w:val="default"/>
    <w:sig w:usb0="00000283" w:usb1="288F0000" w:usb2="00000006" w:usb3="00000000" w:csb0="00040001" w:csb1="00000000"/>
  </w:font>
  <w:font w:name="Microsoft YaHei UI">
    <w:panose1 w:val="020B0503020204020204"/>
    <w:charset w:val="86"/>
    <w:family w:val="roman"/>
    <w:pitch w:val="default"/>
    <w:sig w:usb0="80000287" w:usb1="2ACF3C50" w:usb2="00000016" w:usb3="00000000" w:csb0="0004001F" w:csb1="00000000"/>
  </w:font>
  <w:font w:name="Verdana">
    <w:panose1 w:val="020B0604030504040204"/>
    <w:charset w:val="00"/>
    <w:family w:val="roman"/>
    <w:pitch w:val="default"/>
    <w:sig w:usb0="A00006FF" w:usb1="4000205B" w:usb2="00000010" w:usb3="00000000" w:csb0="2000019F" w:csb1="00000000"/>
  </w:font>
  <w:font w:name="Arial Unicode MS">
    <w:panose1 w:val="020B0604020202020204"/>
    <w:charset w:val="86"/>
    <w:family w:val="roman"/>
    <w:pitch w:val="default"/>
    <w:sig w:usb0="FFFFFFFF" w:usb1="E9FFFFFF" w:usb2="0000003F" w:usb3="00000000" w:csb0="603F01FF" w:csb1="FFFF0000"/>
  </w:font>
  <w:font w:name="Century Gothic">
    <w:panose1 w:val="020B0502020202020204"/>
    <w:charset w:val="00"/>
    <w:family w:val="roman"/>
    <w:pitch w:val="default"/>
    <w:sig w:usb0="00000287" w:usb1="00000000" w:usb2="00000000" w:usb3="00000000" w:csb0="2000009F" w:csb1="DFD70000"/>
  </w:font>
  <w:font w:name="Helvetica-Black">
    <w:altName w:val="Arial"/>
    <w:panose1 w:val="00000000000000000000"/>
    <w:charset w:val="00"/>
    <w:family w:val="roman"/>
    <w:pitch w:val="default"/>
    <w:sig w:usb0="00000000" w:usb1="00000000" w:usb2="00000000" w:usb3="00000000" w:csb0="00000001" w:csb1="00000000"/>
  </w:font>
  <w:font w:name="新宋体">
    <w:panose1 w:val="02010609030101010101"/>
    <w:charset w:val="86"/>
    <w:family w:val="decorative"/>
    <w:pitch w:val="default"/>
    <w:sig w:usb0="0000028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Microsoft YaHei UI">
    <w:panose1 w:val="020B0503020204020204"/>
    <w:charset w:val="86"/>
    <w:family w:val="script"/>
    <w:pitch w:val="default"/>
    <w:sig w:usb0="80000287" w:usb1="2ACF3C50" w:usb2="00000016" w:usb3="00000000" w:csb0="0004001F" w:csb1="00000000"/>
  </w:font>
  <w:font w:name="楷体_GB2312">
    <w:altName w:val="楷体"/>
    <w:panose1 w:val="00000000000000000000"/>
    <w:charset w:val="86"/>
    <w:family w:val="swiss"/>
    <w:pitch w:val="default"/>
    <w:sig w:usb0="00000000" w:usb1="00000000" w:usb2="00000010" w:usb3="00000000" w:csb0="00040000" w:csb1="00000000"/>
  </w:font>
  <w:font w:name="楷体_GB2312">
    <w:altName w:val="楷体"/>
    <w:panose1 w:val="00000000000000000000"/>
    <w:charset w:val="86"/>
    <w:family w:val="decorative"/>
    <w:pitch w:val="default"/>
    <w:sig w:usb0="00000000" w:usb1="00000000" w:usb2="00000010" w:usb3="00000000" w:csb0="00040000" w:csb1="00000000"/>
  </w:font>
  <w:font w:name="楷体_GB2312">
    <w:altName w:val="楷体"/>
    <w:panose1 w:val="00000000000000000000"/>
    <w:charset w:val="86"/>
    <w:family w:val="roman"/>
    <w:pitch w:val="default"/>
    <w:sig w:usb0="00000000" w:usb1="00000000" w:usb2="00000010" w:usb3="00000000" w:csb0="00040000" w:csb1="00000000"/>
  </w:font>
  <w:font w:name="楷体_GB2312">
    <w:altName w:val="楷体"/>
    <w:panose1 w:val="02010609030101010101"/>
    <w:charset w:val="86"/>
    <w:family w:val="decorative"/>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楷体_GB2312">
    <w:altName w:val="楷体"/>
    <w:panose1 w:val="02010609030101010101"/>
    <w:charset w:val="86"/>
    <w:family w:val="roma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swiss"/>
    <w:pitch w:val="default"/>
    <w:sig w:usb0="00000000" w:usb1="00000000" w:usb2="00000010" w:usb3="00000000" w:csb0="00040000" w:csb1="00000000"/>
  </w:font>
  <w:font w:name="华文彩云">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MS Gothic">
    <w:panose1 w:val="020B0609070205080204"/>
    <w:charset w:val="80"/>
    <w:family w:val="roman"/>
    <w:pitch w:val="default"/>
    <w:sig w:usb0="E00002FF" w:usb1="6AC7FDFB" w:usb2="08000012" w:usb3="00000000" w:csb0="4002009F" w:csb1="DFD70000"/>
  </w:font>
  <w:font w:name="Batang">
    <w:altName w:val="Malgun Gothic"/>
    <w:panose1 w:val="02030600000101010101"/>
    <w:charset w:val="81"/>
    <w:family w:val="decorative"/>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Malgun Gothic">
    <w:panose1 w:val="020B0503020000020004"/>
    <w:charset w:val="81"/>
    <w:family w:val="decorative"/>
    <w:pitch w:val="default"/>
    <w:sig w:usb0="9000002F" w:usb1="29D77CFB" w:usb2="00000012" w:usb3="00000000" w:csb0="00080001" w:csb1="0000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roman"/>
    <w:pitch w:val="default"/>
    <w:sig w:usb0="9000002F" w:usb1="29D77CFB" w:usb2="00000012" w:usb3="00000000" w:csb0="00080001" w:csb1="00000000"/>
  </w:font>
  <w:font w:name="DejaVu Sans">
    <w:altName w:val="Times New Roman"/>
    <w:panose1 w:val="02020603050405020304"/>
    <w:charset w:val="00"/>
    <w:family w:val="roman"/>
    <w:pitch w:val="default"/>
    <w:sig w:usb0="00000000" w:usb1="00000000" w:usb2="00000008" w:usb3="00000000" w:csb0="000001FF" w:csb1="00000000"/>
  </w:font>
  <w:font w:name="方正书宋_GBK">
    <w:altName w:val="Arial Unicode MS"/>
    <w:panose1 w:val="02000000000000000000"/>
    <w:charset w:val="86"/>
    <w:family w:val="auto"/>
    <w:pitch w:val="default"/>
    <w:sig w:usb0="00000000" w:usb1="00000000" w:usb2="00000000" w:usb3="00000000" w:csb0="00040000" w:csb1="00000000"/>
  </w:font>
  <w:font w:name="方正黑体_GBK">
    <w:altName w:val="Arial Unicode MS"/>
    <w:panose1 w:val="02000000000000000000"/>
    <w:charset w:val="00"/>
    <w:family w:val="auto"/>
    <w:pitch w:val="default"/>
    <w:sig w:usb0="00000000" w:usb1="00000000" w:usb2="00000000" w:usb3="00000000" w:csb0="00040000" w:csb1="00000000"/>
  </w:font>
  <w:font w:name="苹方-简">
    <w:altName w:val="宋体"/>
    <w:panose1 w:val="020B0400000000000000"/>
    <w:charset w:val="86"/>
    <w:family w:val="auto"/>
    <w:pitch w:val="default"/>
    <w:sig w:usb0="00000000" w:usb1="00000000" w:usb2="00000017" w:usb3="00000000" w:csb0="00040001" w:csb1="00000000"/>
  </w:font>
  <w:font w:name="汉仪书宋二KW">
    <w:altName w:val="宋体"/>
    <w:panose1 w:val="00020600040101010101"/>
    <w:charset w:val="86"/>
    <w:family w:val="auto"/>
    <w:pitch w:val="default"/>
    <w:sig w:usb0="00000000" w:usb1="00000000" w:usb2="00000016"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Helvetica Neue">
    <w:altName w:val="Corbel"/>
    <w:panose1 w:val="02000503000000020004"/>
    <w:charset w:val="00"/>
    <w:family w:val="auto"/>
    <w:pitch w:val="default"/>
    <w:sig w:usb0="00000000" w:usb1="00000000" w:usb2="00000010" w:usb3="00000000" w:csb0="00000000" w:csb1="00000000"/>
  </w:font>
  <w:font w:name="Corbel">
    <w:panose1 w:val="020B0503020204020204"/>
    <w:charset w:val="00"/>
    <w:family w:val="auto"/>
    <w:pitch w:val="default"/>
    <w:sig w:usb0="A00002EF" w:usb1="4000A44B" w:usb2="00000000" w:usb3="00000000" w:csb0="2000019F" w:csb1="00000000"/>
  </w:font>
  <w:font w:name="Batang">
    <w:altName w:val="Malgun Gothic"/>
    <w:panose1 w:val="02030600000101010101"/>
    <w:charset w:val="81"/>
    <w:family w:val="modern"/>
    <w:pitch w:val="default"/>
    <w:sig w:usb0="00000000" w:usb1="00000000" w:usb2="00000030" w:usb3="00000000" w:csb0="0008009F" w:csb1="00000000"/>
  </w:font>
  <w:font w:name="Malgun Gothic">
    <w:panose1 w:val="020B0503020000020004"/>
    <w:charset w:val="81"/>
    <w:family w:val="modern"/>
    <w:pitch w:val="default"/>
    <w:sig w:usb0="9000002F" w:usb1="29D77CFB" w:usb2="00000012" w:usb3="00000000" w:csb0="00080001" w:csb1="00000000"/>
  </w:font>
  <w:font w:name="DejaVu Sans">
    <w:altName w:val="Times New Roman"/>
    <w:panose1 w:val="02020603050405020304"/>
    <w:charset w:val="00"/>
    <w:family w:val="modern"/>
    <w:pitch w:val="default"/>
    <w:sig w:usb0="00000000" w:usb1="00000000" w:usb2="00000008" w:usb3="00000000" w:csb0="000001FF" w:csb1="00000000"/>
  </w:font>
  <w:font w:name="Batang">
    <w:altName w:val="Malgun Gothic"/>
    <w:panose1 w:val="02030600000101010101"/>
    <w:charset w:val="81"/>
    <w:family w:val="swiss"/>
    <w:pitch w:val="default"/>
    <w:sig w:usb0="00000000" w:usb1="00000000" w:usb2="00000030" w:usb3="00000000" w:csb0="0008009F" w:csb1="00000000"/>
  </w:font>
  <w:font w:name="Malgun Gothic">
    <w:panose1 w:val="020B0503020000020004"/>
    <w:charset w:val="81"/>
    <w:family w:val="swiss"/>
    <w:pitch w:val="default"/>
    <w:sig w:usb0="9000002F" w:usb1="29D77CFB" w:usb2="00000012" w:usb3="00000000" w:csb0="00080001" w:csb1="00000000"/>
  </w:font>
  <w:font w:name="DejaVu Sans">
    <w:altName w:val="Times New Roman"/>
    <w:panose1 w:val="02020603050405020304"/>
    <w:charset w:val="00"/>
    <w:family w:val="swiss"/>
    <w:pitch w:val="default"/>
    <w:sig w:usb0="00000000" w:usb1="00000000" w:usb2="00000008" w:usb3="00000000" w:csb0="000001FF" w:csb1="00000000"/>
  </w:font>
  <w:font w:name="DejaVu Sans">
    <w:altName w:val="Times New Roman"/>
    <w:panose1 w:val="02020603050405020304"/>
    <w:charset w:val="00"/>
    <w:family w:val="decorative"/>
    <w:pitch w:val="default"/>
    <w:sig w:usb0="00000000" w:usb1="00000000" w:usb2="00000008" w:usb3="00000000" w:csb0="000001FF" w:csb1="00000000"/>
  </w:font>
  <w:font w:name="MS Gothic">
    <w:panose1 w:val="020B0609070205080204"/>
    <w:charset w:val="80"/>
    <w:family w:val="modern"/>
    <w:pitch w:val="default"/>
    <w:sig w:usb0="E00002FF" w:usb1="6AC7FDFB" w:usb2="08000012" w:usb3="00000000" w:csb0="4002009F" w:csb1="DFD70000"/>
  </w:font>
  <w:font w:name="MS Gothic">
    <w:panose1 w:val="020B0609070205080204"/>
    <w:charset w:val="80"/>
    <w:family w:val="swiss"/>
    <w:pitch w:val="default"/>
    <w:sig w:usb0="E00002FF" w:usb1="6AC7FDFB" w:usb2="08000012" w:usb3="00000000" w:csb0="4002009F" w:csb1="DFD70000"/>
  </w:font>
  <w:font w:name="MS Gothic">
    <w:panose1 w:val="020B0609070205080204"/>
    <w:charset w:val="80"/>
    <w:family w:val="decorative"/>
    <w:pitch w:val="default"/>
    <w:sig w:usb0="E00002FF" w:usb1="6AC7FDFB" w:usb2="08000012" w:usb3="00000000" w:csb0="4002009F" w:csb1="DFD70000"/>
  </w:font>
  <w:font w:name="微软雅黑 Light">
    <w:panose1 w:val="020B0502040204020203"/>
    <w:charset w:val="86"/>
    <w:family w:val="modern"/>
    <w:pitch w:val="default"/>
    <w:sig w:usb0="80000287" w:usb1="2ACF0010" w:usb2="00000016" w:usb3="00000000" w:csb0="0004001F" w:csb1="00000000"/>
  </w:font>
  <w:font w:name="Garamond">
    <w:panose1 w:val="02020404030301010803"/>
    <w:charset w:val="00"/>
    <w:family w:val="swiss"/>
    <w:pitch w:val="default"/>
    <w:sig w:usb0="00000287" w:usb1="00000000" w:usb2="00000000" w:usb3="00000000" w:csb0="0000009F" w:csb1="DFD70000"/>
  </w:font>
  <w:font w:name="Helv">
    <w:altName w:val="Segoe Print"/>
    <w:panose1 w:val="020B0604020202030204"/>
    <w:charset w:val="00"/>
    <w:family w:val="roman"/>
    <w:pitch w:val="default"/>
    <w:sig w:usb0="00000000" w:usb1="00000000" w:usb2="00000000" w:usb3="00000000" w:csb0="00000001" w:csb1="00000000"/>
  </w:font>
  <w:font w:name="Century">
    <w:panose1 w:val="02040604050505020304"/>
    <w:charset w:val="00"/>
    <w:family w:val="swiss"/>
    <w:pitch w:val="default"/>
    <w:sig w:usb0="00000287" w:usb1="00000000" w:usb2="00000000" w:usb3="00000000" w:csb0="2000009F" w:csb1="DFD70000"/>
  </w:font>
  <w:font w:name="B Frutiger Bold">
    <w:altName w:val="Impact"/>
    <w:panose1 w:val="00000000000000000000"/>
    <w:charset w:val="00"/>
    <w:family w:val="auto"/>
    <w:pitch w:val="default"/>
    <w:sig w:usb0="00000000" w:usb1="00000000" w:usb2="00000000" w:usb3="00000000" w:csb0="00000001" w:csb1="00000000"/>
  </w:font>
  <w:font w:name="Impact">
    <w:panose1 w:val="020B0806030902050204"/>
    <w:charset w:val="00"/>
    <w:family w:val="auto"/>
    <w:pitch w:val="default"/>
    <w:sig w:usb0="00000287" w:usb1="00000000" w:usb2="00000000" w:usb3="00000000" w:csb0="2000009F" w:csb1="DFD70000"/>
  </w:font>
  <w:font w:name="Garamond">
    <w:panose1 w:val="02020404030301010803"/>
    <w:charset w:val="00"/>
    <w:family w:val="decorative"/>
    <w:pitch w:val="default"/>
    <w:sig w:usb0="00000287" w:usb1="00000000" w:usb2="00000000" w:usb3="00000000" w:csb0="0000009F" w:csb1="DFD70000"/>
  </w:font>
  <w:font w:name="Helv">
    <w:altName w:val="Segoe Print"/>
    <w:panose1 w:val="020B0604020202030204"/>
    <w:charset w:val="00"/>
    <w:family w:val="modern"/>
    <w:pitch w:val="default"/>
    <w:sig w:usb0="00000000" w:usb1="00000000" w:usb2="00000000" w:usb3="00000000" w:csb0="00000001" w:csb1="00000000"/>
  </w:font>
  <w:font w:name="Century">
    <w:panose1 w:val="02040604050505020304"/>
    <w:charset w:val="00"/>
    <w:family w:val="decorative"/>
    <w:pitch w:val="default"/>
    <w:sig w:usb0="00000287" w:usb1="00000000" w:usb2="00000000" w:usb3="00000000" w:csb0="2000009F" w:csb1="DFD70000"/>
  </w:font>
  <w:font w:name="Garamond">
    <w:panose1 w:val="02020404030301010803"/>
    <w:charset w:val="00"/>
    <w:family w:val="roman"/>
    <w:pitch w:val="default"/>
    <w:sig w:usb0="00000287" w:usb1="00000000" w:usb2="00000000" w:usb3="00000000" w:csb0="0000009F" w:csb1="DFD70000"/>
  </w:font>
  <w:font w:name="Helv">
    <w:altName w:val="Segoe Print"/>
    <w:panose1 w:val="020B0604020202030204"/>
    <w:charset w:val="00"/>
    <w:family w:val="swiss"/>
    <w:pitch w:val="default"/>
    <w:sig w:usb0="00000000" w:usb1="00000000" w:usb2="00000000" w:usb3="00000000" w:csb0="00000001" w:csb1="00000000"/>
  </w:font>
  <w:font w:name="Century">
    <w:panose1 w:val="02040604050505020304"/>
    <w:charset w:val="00"/>
    <w:family w:val="roman"/>
    <w:pitch w:val="default"/>
    <w:sig w:usb0="00000287" w:usb1="00000000" w:usb2="00000000" w:usb3="00000000" w:csb0="2000009F" w:csb1="DFD70000"/>
  </w:font>
  <w:font w:name="Garamond">
    <w:panose1 w:val="02020404030301010803"/>
    <w:charset w:val="00"/>
    <w:family w:val="modern"/>
    <w:pitch w:val="default"/>
    <w:sig w:usb0="00000287" w:usb1="00000000" w:usb2="00000000" w:usb3="00000000" w:csb0="0000009F" w:csb1="DFD70000"/>
  </w:font>
  <w:font w:name="Helv">
    <w:altName w:val="Segoe Print"/>
    <w:panose1 w:val="020B0604020202030204"/>
    <w:charset w:val="00"/>
    <w:family w:val="decorative"/>
    <w:pitch w:val="default"/>
    <w:sig w:usb0="00000000" w:usb1="00000000" w:usb2="00000000" w:usb3="00000000" w:csb0="00000001" w:csb1="00000000"/>
  </w:font>
  <w:font w:name="Century">
    <w:panose1 w:val="02040604050505020304"/>
    <w:charset w:val="00"/>
    <w:family w:val="modern"/>
    <w:pitch w:val="default"/>
    <w:sig w:usb0="00000287" w:usb1="00000000" w:usb2="00000000" w:usb3="00000000" w:csb0="2000009F" w:csb1="DFD70000"/>
  </w:font>
  <w:font w:name="PingFang SC Regular">
    <w:altName w:val="宋体"/>
    <w:panose1 w:val="00000000000000000000"/>
    <w:charset w:val="86"/>
    <w:family w:val="roman"/>
    <w:pitch w:val="default"/>
    <w:sig w:usb0="00000000" w:usb1="00000000" w:usb2="00000000" w:usb3="00000000" w:csb0="0016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decorative"/>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framePr w:wrap="around" w:vAnchor="text" w:hAnchor="margin" w:y="1"/>
      <w:ind w:right="360"/>
      <w:rPr>
        <w:rStyle w:val="45"/>
      </w:rPr>
    </w:pPr>
  </w:p>
  <w:p>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framePr w:wrap="around" w:vAnchor="text" w:hAnchor="margin" w:xAlign="center" w:y="1"/>
      <w:rPr>
        <w:rStyle w:val="45"/>
      </w:rPr>
    </w:pPr>
    <w:r>
      <w:fldChar w:fldCharType="begin"/>
    </w:r>
    <w:r>
      <w:rPr>
        <w:rStyle w:val="45"/>
      </w:rPr>
      <w:instrText xml:space="preserve">PAGE  </w:instrText>
    </w:r>
    <w:r>
      <w:fldChar w:fldCharType="end"/>
    </w:r>
  </w:p>
  <w:p>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framePr w:wrap="around" w:vAnchor="text" w:hAnchor="margin" w:xAlign="right" w:y="1"/>
      <w:rPr>
        <w:rStyle w:val="45"/>
      </w:rPr>
    </w:pPr>
  </w:p>
  <w:p>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34</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framePr w:wrap="around" w:vAnchor="text" w:hAnchor="margin" w:xAlign="right" w:y="1"/>
      <w:rPr>
        <w:rStyle w:val="45"/>
      </w:rPr>
    </w:pPr>
    <w:r>
      <w:rPr>
        <w:rStyle w:val="45"/>
      </w:rPr>
      <w:fldChar w:fldCharType="begin"/>
    </w:r>
    <w:r>
      <w:rPr>
        <w:rStyle w:val="45"/>
      </w:rPr>
      <w:instrText xml:space="preserve">PAGE  </w:instrText>
    </w:r>
    <w:r>
      <w:rPr>
        <w:rStyle w:val="45"/>
      </w:rPr>
      <w:fldChar w:fldCharType="end"/>
    </w:r>
  </w:p>
  <w:p>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548066"/>
    </w:sdtPr>
    <w:sdtContent>
      <w:p>
        <w:pPr>
          <w:pStyle w:val="30"/>
          <w:jc w:val="center"/>
        </w:pPr>
        <w:r>
          <w:fldChar w:fldCharType="begin"/>
        </w:r>
        <w:r>
          <w:instrText xml:space="preserve">PAGE   \* MERGEFORMAT</w:instrText>
        </w:r>
        <w:r>
          <w:fldChar w:fldCharType="separate"/>
        </w:r>
        <w:r>
          <w:rPr>
            <w:lang w:val="zh-CN"/>
          </w:rPr>
          <w:t>32</w:t>
        </w:r>
        <w:r>
          <w:fldChar w:fldCharType="end"/>
        </w:r>
      </w:p>
    </w:sdtContent>
  </w:sdt>
  <w:p>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framePr w:wrap="around" w:vAnchor="text" w:hAnchor="margin" w:xAlign="right" w:y="1"/>
      <w:rPr>
        <w:rStyle w:val="45"/>
      </w:rPr>
    </w:pPr>
    <w:r>
      <w:rPr>
        <w:rStyle w:val="45"/>
      </w:rPr>
      <w:fldChar w:fldCharType="begin"/>
    </w:r>
    <w:r>
      <w:rPr>
        <w:rStyle w:val="45"/>
      </w:rPr>
      <w:instrText xml:space="preserve">PAGE  </w:instrText>
    </w:r>
    <w:r>
      <w:rPr>
        <w:rStyle w:val="45"/>
      </w:rPr>
      <w:fldChar w:fldCharType="end"/>
    </w:r>
  </w:p>
  <w:p>
    <w:pPr>
      <w:pStyle w:val="30"/>
      <w:ind w:right="360"/>
    </w:pPr>
  </w:p>
  <w:p>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framePr w:wrap="around" w:vAnchor="text" w:hAnchor="margin" w:xAlign="right" w:y="1"/>
      <w:rPr>
        <w:rStyle w:val="45"/>
      </w:rPr>
    </w:pPr>
    <w:r>
      <w:rPr>
        <w:rStyle w:val="45"/>
      </w:rPr>
      <w:fldChar w:fldCharType="begin"/>
    </w:r>
    <w:r>
      <w:rPr>
        <w:rStyle w:val="45"/>
      </w:rPr>
      <w:instrText xml:space="preserve">PAGE  </w:instrText>
    </w:r>
    <w:r>
      <w:rPr>
        <w:rStyle w:val="45"/>
      </w:rPr>
      <w:fldChar w:fldCharType="end"/>
    </w:r>
  </w:p>
  <w:p>
    <w:pPr>
      <w:pStyle w:val="30"/>
      <w:ind w:right="360"/>
    </w:pPr>
  </w:p>
  <w:p>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2"/>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2"/>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2"/>
    </w:pPr>
  </w:p>
  <w:p>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2"/>
    </w:pPr>
  </w:p>
  <w:p>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846168304">
    <w:nsid w:val="6E0A4AF0"/>
    <w:multiLevelType w:val="multilevel"/>
    <w:tmpl w:val="6E0A4AF0"/>
    <w:lvl w:ilvl="0" w:tentative="1">
      <w:start w:val="1"/>
      <w:numFmt w:val="decimal"/>
      <w:lvlText w:val="%1"/>
      <w:lvlJc w:val="left"/>
      <w:pPr>
        <w:tabs>
          <w:tab w:val="left" w:pos="900"/>
        </w:tabs>
        <w:ind w:left="900" w:hanging="900"/>
      </w:pPr>
      <w:rPr>
        <w:rFonts w:hint="eastAsia"/>
      </w:rPr>
    </w:lvl>
    <w:lvl w:ilvl="1" w:tentative="1">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1">
      <w:start w:val="1"/>
      <w:numFmt w:val="decimal"/>
      <w:lvlText w:val="%1.%2.%3"/>
      <w:lvlJc w:val="left"/>
      <w:pPr>
        <w:tabs>
          <w:tab w:val="left" w:pos="1980"/>
        </w:tabs>
        <w:ind w:left="1980" w:hanging="900"/>
      </w:pPr>
      <w:rPr>
        <w:rFonts w:hint="eastAsia"/>
      </w:rPr>
    </w:lvl>
    <w:lvl w:ilvl="3" w:tentative="1">
      <w:start w:val="1"/>
      <w:numFmt w:val="decimal"/>
      <w:lvlText w:val="%1.%2.%3.%4"/>
      <w:lvlJc w:val="left"/>
      <w:pPr>
        <w:tabs>
          <w:tab w:val="left" w:pos="900"/>
        </w:tabs>
        <w:ind w:left="900" w:hanging="900"/>
      </w:pPr>
      <w:rPr>
        <w:rFonts w:hint="eastAsia"/>
      </w:rPr>
    </w:lvl>
    <w:lvl w:ilvl="4" w:tentative="1">
      <w:start w:val="1"/>
      <w:numFmt w:val="decimal"/>
      <w:lvlText w:val="%1.%2.%3.%4.%5"/>
      <w:lvlJc w:val="left"/>
      <w:pPr>
        <w:tabs>
          <w:tab w:val="left" w:pos="900"/>
        </w:tabs>
        <w:ind w:left="900" w:hanging="900"/>
      </w:pPr>
      <w:rPr>
        <w:rFonts w:hint="eastAsia"/>
      </w:rPr>
    </w:lvl>
    <w:lvl w:ilvl="5" w:tentative="1">
      <w:start w:val="1"/>
      <w:numFmt w:val="decimal"/>
      <w:lvlText w:val="%1.%2.%3.%4.%5.%6"/>
      <w:lvlJc w:val="left"/>
      <w:pPr>
        <w:tabs>
          <w:tab w:val="left" w:pos="900"/>
        </w:tabs>
        <w:ind w:left="900" w:hanging="900"/>
      </w:pPr>
      <w:rPr>
        <w:rFonts w:hint="eastAsia"/>
      </w:rPr>
    </w:lvl>
    <w:lvl w:ilvl="6" w:tentative="1">
      <w:start w:val="1"/>
      <w:numFmt w:val="decimal"/>
      <w:lvlText w:val="%1.%2.%3.%4.%5.%6.%7"/>
      <w:lvlJc w:val="left"/>
      <w:pPr>
        <w:tabs>
          <w:tab w:val="left" w:pos="900"/>
        </w:tabs>
        <w:ind w:left="900" w:hanging="900"/>
      </w:pPr>
      <w:rPr>
        <w:rFonts w:hint="eastAsia"/>
      </w:rPr>
    </w:lvl>
    <w:lvl w:ilvl="7" w:tentative="1">
      <w:start w:val="1"/>
      <w:numFmt w:val="decimal"/>
      <w:lvlText w:val="%1.%2.%3.%4.%5.%6.%7.%8"/>
      <w:lvlJc w:val="left"/>
      <w:pPr>
        <w:tabs>
          <w:tab w:val="left" w:pos="900"/>
        </w:tabs>
        <w:ind w:left="900" w:hanging="900"/>
      </w:pPr>
      <w:rPr>
        <w:rFonts w:hint="eastAsia"/>
      </w:rPr>
    </w:lvl>
    <w:lvl w:ilvl="8" w:tentative="1">
      <w:start w:val="1"/>
      <w:numFmt w:val="decimal"/>
      <w:lvlText w:val="%1.%2.%3.%4.%5.%6.%7.%8.%9"/>
      <w:lvlJc w:val="left"/>
      <w:pPr>
        <w:tabs>
          <w:tab w:val="left" w:pos="900"/>
        </w:tabs>
        <w:ind w:left="900" w:hanging="900"/>
      </w:pPr>
      <w:rPr>
        <w:rFonts w:hint="eastAsia"/>
      </w:rPr>
    </w:lvl>
  </w:abstractNum>
  <w:abstractNum w:abstractNumId="1694400868">
    <w:nsid w:val="64FE8164"/>
    <w:multiLevelType w:val="multilevel"/>
    <w:tmpl w:val="64FE8164"/>
    <w:lvl w:ilvl="0" w:tentative="1">
      <w:start w:val="1"/>
      <w:numFmt w:val="decimal"/>
      <w:lvlText w:val="%1"/>
      <w:lvlJc w:val="left"/>
      <w:pPr>
        <w:ind w:left="476" w:hanging="356"/>
      </w:pPr>
      <w:rPr>
        <w:rFonts w:hint="default" w:ascii="Times New Roman" w:hAnsi="Times New Roman" w:cs="Times New Roman"/>
        <w:w w:val="114"/>
      </w:rPr>
    </w:lvl>
    <w:lvl w:ilvl="1" w:tentative="1">
      <w:start w:val="1"/>
      <w:numFmt w:val="decimal"/>
      <w:lvlText w:val="%1.%2"/>
      <w:lvlJc w:val="left"/>
      <w:pPr>
        <w:ind w:left="1196" w:hanging="720"/>
      </w:pPr>
      <w:rPr>
        <w:rFonts w:hint="default"/>
        <w:spacing w:val="-2"/>
        <w:w w:val="100"/>
      </w:rPr>
    </w:lvl>
    <w:lvl w:ilvl="2" w:tentative="1">
      <w:start w:val="1"/>
      <w:numFmt w:val="decimal"/>
      <w:lvlText w:val="%1.%2.%3"/>
      <w:lvlJc w:val="left"/>
      <w:pPr>
        <w:ind w:left="2101" w:hanging="720"/>
      </w:pPr>
      <w:rPr>
        <w:rFonts w:hint="default"/>
        <w:spacing w:val="-2"/>
        <w:w w:val="100"/>
      </w:rPr>
    </w:lvl>
    <w:lvl w:ilvl="3" w:tentative="1">
      <w:start w:val="1"/>
      <w:numFmt w:val="decimal"/>
      <w:lvlText w:val="%1.%2.%3.%4"/>
      <w:lvlJc w:val="left"/>
      <w:pPr>
        <w:ind w:left="3006" w:hanging="720"/>
      </w:pPr>
      <w:rPr>
        <w:rFonts w:hint="default"/>
        <w:spacing w:val="-2"/>
        <w:w w:val="114"/>
      </w:rPr>
    </w:lvl>
    <w:lvl w:ilvl="4" w:tentative="1">
      <w:start w:val="0"/>
      <w:numFmt w:val="bullet"/>
      <w:lvlText w:val="•"/>
      <w:lvlJc w:val="left"/>
      <w:pPr>
        <w:ind w:left="3901" w:hanging="720"/>
      </w:pPr>
      <w:rPr>
        <w:rFonts w:hint="default"/>
      </w:rPr>
    </w:lvl>
    <w:lvl w:ilvl="5" w:tentative="1">
      <w:start w:val="0"/>
      <w:numFmt w:val="bullet"/>
      <w:lvlText w:val="•"/>
      <w:lvlJc w:val="left"/>
      <w:pPr>
        <w:ind w:left="4802" w:hanging="720"/>
      </w:pPr>
      <w:rPr>
        <w:rFonts w:hint="default"/>
      </w:rPr>
    </w:lvl>
    <w:lvl w:ilvl="6" w:tentative="1">
      <w:start w:val="0"/>
      <w:numFmt w:val="bullet"/>
      <w:lvlText w:val="•"/>
      <w:lvlJc w:val="left"/>
      <w:pPr>
        <w:ind w:left="5703" w:hanging="720"/>
      </w:pPr>
      <w:rPr>
        <w:rFonts w:hint="default"/>
      </w:rPr>
    </w:lvl>
    <w:lvl w:ilvl="7" w:tentative="1">
      <w:start w:val="0"/>
      <w:numFmt w:val="bullet"/>
      <w:lvlText w:val="•"/>
      <w:lvlJc w:val="left"/>
      <w:pPr>
        <w:ind w:left="6604" w:hanging="720"/>
      </w:pPr>
      <w:rPr>
        <w:rFonts w:hint="default"/>
      </w:rPr>
    </w:lvl>
    <w:lvl w:ilvl="8" w:tentative="1">
      <w:start w:val="0"/>
      <w:numFmt w:val="bullet"/>
      <w:lvlText w:val="•"/>
      <w:lvlJc w:val="left"/>
      <w:pPr>
        <w:ind w:left="7505" w:hanging="720"/>
      </w:pPr>
      <w:rPr>
        <w:rFonts w:hint="default"/>
      </w:rPr>
    </w:lvl>
  </w:abstractNum>
  <w:abstractNum w:abstractNumId="1044938295">
    <w:nsid w:val="3E487E37"/>
    <w:multiLevelType w:val="multilevel"/>
    <w:tmpl w:val="3E487E37"/>
    <w:lvl w:ilvl="0" w:tentative="1">
      <w:start w:val="1"/>
      <w:numFmt w:val="decimal"/>
      <w:lvlText w:val="%1"/>
      <w:lvlJc w:val="left"/>
      <w:pPr>
        <w:tabs>
          <w:tab w:val="left" w:pos="900"/>
        </w:tabs>
        <w:ind w:left="900" w:hanging="900"/>
      </w:pPr>
      <w:rPr>
        <w:rFonts w:hint="eastAsia"/>
      </w:rPr>
    </w:lvl>
    <w:lvl w:ilvl="1" w:tentative="1">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1">
      <w:start w:val="1"/>
      <w:numFmt w:val="decimal"/>
      <w:lvlText w:val="%1.%2.%3"/>
      <w:lvlJc w:val="left"/>
      <w:pPr>
        <w:tabs>
          <w:tab w:val="left" w:pos="1980"/>
        </w:tabs>
        <w:ind w:left="1980" w:hanging="900"/>
      </w:pPr>
      <w:rPr>
        <w:rFonts w:hint="eastAsia"/>
      </w:rPr>
    </w:lvl>
    <w:lvl w:ilvl="3" w:tentative="1">
      <w:start w:val="1"/>
      <w:numFmt w:val="decimal"/>
      <w:lvlText w:val="%1.%2.%3.%4"/>
      <w:lvlJc w:val="left"/>
      <w:pPr>
        <w:tabs>
          <w:tab w:val="left" w:pos="900"/>
        </w:tabs>
        <w:ind w:left="900" w:hanging="900"/>
      </w:pPr>
      <w:rPr>
        <w:rFonts w:hint="eastAsia"/>
      </w:rPr>
    </w:lvl>
    <w:lvl w:ilvl="4" w:tentative="1">
      <w:start w:val="1"/>
      <w:numFmt w:val="decimal"/>
      <w:lvlText w:val="%1.%2.%3.%4.%5"/>
      <w:lvlJc w:val="left"/>
      <w:pPr>
        <w:tabs>
          <w:tab w:val="left" w:pos="900"/>
        </w:tabs>
        <w:ind w:left="900" w:hanging="900"/>
      </w:pPr>
      <w:rPr>
        <w:rFonts w:hint="eastAsia"/>
      </w:rPr>
    </w:lvl>
    <w:lvl w:ilvl="5" w:tentative="1">
      <w:start w:val="1"/>
      <w:numFmt w:val="decimal"/>
      <w:lvlText w:val="%1.%2.%3.%4.%5.%6"/>
      <w:lvlJc w:val="left"/>
      <w:pPr>
        <w:tabs>
          <w:tab w:val="left" w:pos="900"/>
        </w:tabs>
        <w:ind w:left="900" w:hanging="900"/>
      </w:pPr>
      <w:rPr>
        <w:rFonts w:hint="eastAsia"/>
      </w:rPr>
    </w:lvl>
    <w:lvl w:ilvl="6" w:tentative="1">
      <w:start w:val="1"/>
      <w:numFmt w:val="decimal"/>
      <w:lvlText w:val="%1.%2.%3.%4.%5.%6.%7"/>
      <w:lvlJc w:val="left"/>
      <w:pPr>
        <w:tabs>
          <w:tab w:val="left" w:pos="900"/>
        </w:tabs>
        <w:ind w:left="900" w:hanging="900"/>
      </w:pPr>
      <w:rPr>
        <w:rFonts w:hint="eastAsia"/>
      </w:rPr>
    </w:lvl>
    <w:lvl w:ilvl="7" w:tentative="1">
      <w:start w:val="1"/>
      <w:numFmt w:val="decimal"/>
      <w:lvlText w:val="%1.%2.%3.%4.%5.%6.%7.%8"/>
      <w:lvlJc w:val="left"/>
      <w:pPr>
        <w:tabs>
          <w:tab w:val="left" w:pos="900"/>
        </w:tabs>
        <w:ind w:left="900" w:hanging="900"/>
      </w:pPr>
      <w:rPr>
        <w:rFonts w:hint="eastAsia"/>
      </w:rPr>
    </w:lvl>
    <w:lvl w:ilvl="8" w:tentative="1">
      <w:start w:val="1"/>
      <w:numFmt w:val="decimal"/>
      <w:lvlText w:val="%1.%2.%3.%4.%5.%6.%7.%8.%9"/>
      <w:lvlJc w:val="left"/>
      <w:pPr>
        <w:tabs>
          <w:tab w:val="left" w:pos="900"/>
        </w:tabs>
        <w:ind w:left="900" w:hanging="900"/>
      </w:pPr>
      <w:rPr>
        <w:rFonts w:hint="eastAsia"/>
      </w:rPr>
    </w:lvl>
  </w:abstractNum>
  <w:abstractNum w:abstractNumId="1166358810">
    <w:nsid w:val="4585391A"/>
    <w:multiLevelType w:val="multilevel"/>
    <w:tmpl w:val="4585391A"/>
    <w:lvl w:ilvl="0" w:tentative="1">
      <w:start w:val="1"/>
      <w:numFmt w:val="chineseCountingThousand"/>
      <w:lvlText w:val="(%1)"/>
      <w:lvlJc w:val="left"/>
      <w:pPr>
        <w:ind w:left="1360" w:hanging="720"/>
      </w:p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abstractNum w:abstractNumId="277294506">
    <w:nsid w:val="10872DAA"/>
    <w:multiLevelType w:val="multilevel"/>
    <w:tmpl w:val="10872DAA"/>
    <w:lvl w:ilvl="0" w:tentative="1">
      <w:start w:val="1"/>
      <w:numFmt w:val="decimal"/>
      <w:lvlText w:val="%1"/>
      <w:lvlJc w:val="left"/>
      <w:pPr>
        <w:tabs>
          <w:tab w:val="left" w:pos="900"/>
        </w:tabs>
        <w:ind w:left="900" w:hanging="900"/>
      </w:pPr>
      <w:rPr>
        <w:rFonts w:hint="eastAsia"/>
      </w:rPr>
    </w:lvl>
    <w:lvl w:ilvl="1" w:tentative="1">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1">
      <w:start w:val="1"/>
      <w:numFmt w:val="decimal"/>
      <w:lvlText w:val="%1.%2.%3"/>
      <w:lvlJc w:val="left"/>
      <w:pPr>
        <w:tabs>
          <w:tab w:val="left" w:pos="1980"/>
        </w:tabs>
        <w:ind w:left="1980" w:hanging="900"/>
      </w:pPr>
      <w:rPr>
        <w:rFonts w:hint="eastAsia"/>
      </w:rPr>
    </w:lvl>
    <w:lvl w:ilvl="3" w:tentative="1">
      <w:start w:val="1"/>
      <w:numFmt w:val="decimal"/>
      <w:lvlText w:val="%1.%2.%3.%4"/>
      <w:lvlJc w:val="left"/>
      <w:pPr>
        <w:tabs>
          <w:tab w:val="left" w:pos="900"/>
        </w:tabs>
        <w:ind w:left="900" w:hanging="900"/>
      </w:pPr>
      <w:rPr>
        <w:rFonts w:hint="eastAsia"/>
      </w:rPr>
    </w:lvl>
    <w:lvl w:ilvl="4" w:tentative="1">
      <w:start w:val="1"/>
      <w:numFmt w:val="decimal"/>
      <w:lvlText w:val="%1.%2.%3.%4.%5"/>
      <w:lvlJc w:val="left"/>
      <w:pPr>
        <w:tabs>
          <w:tab w:val="left" w:pos="900"/>
        </w:tabs>
        <w:ind w:left="900" w:hanging="900"/>
      </w:pPr>
      <w:rPr>
        <w:rFonts w:hint="eastAsia"/>
      </w:rPr>
    </w:lvl>
    <w:lvl w:ilvl="5" w:tentative="1">
      <w:start w:val="1"/>
      <w:numFmt w:val="decimal"/>
      <w:lvlText w:val="%1.%2.%3.%4.%5.%6"/>
      <w:lvlJc w:val="left"/>
      <w:pPr>
        <w:tabs>
          <w:tab w:val="left" w:pos="900"/>
        </w:tabs>
        <w:ind w:left="900" w:hanging="900"/>
      </w:pPr>
      <w:rPr>
        <w:rFonts w:hint="eastAsia"/>
      </w:rPr>
    </w:lvl>
    <w:lvl w:ilvl="6" w:tentative="1">
      <w:start w:val="1"/>
      <w:numFmt w:val="decimal"/>
      <w:lvlText w:val="%1.%2.%3.%4.%5.%6.%7"/>
      <w:lvlJc w:val="left"/>
      <w:pPr>
        <w:tabs>
          <w:tab w:val="left" w:pos="900"/>
        </w:tabs>
        <w:ind w:left="900" w:hanging="900"/>
      </w:pPr>
      <w:rPr>
        <w:rFonts w:hint="eastAsia"/>
      </w:rPr>
    </w:lvl>
    <w:lvl w:ilvl="7" w:tentative="1">
      <w:start w:val="1"/>
      <w:numFmt w:val="decimal"/>
      <w:lvlText w:val="%1.%2.%3.%4.%5.%6.%7.%8"/>
      <w:lvlJc w:val="left"/>
      <w:pPr>
        <w:tabs>
          <w:tab w:val="left" w:pos="900"/>
        </w:tabs>
        <w:ind w:left="900" w:hanging="900"/>
      </w:pPr>
      <w:rPr>
        <w:rFonts w:hint="eastAsia"/>
      </w:rPr>
    </w:lvl>
    <w:lvl w:ilvl="8" w:tentative="1">
      <w:start w:val="1"/>
      <w:numFmt w:val="decimal"/>
      <w:lvlText w:val="%1.%2.%3.%4.%5.%6.%7.%8.%9"/>
      <w:lvlJc w:val="left"/>
      <w:pPr>
        <w:tabs>
          <w:tab w:val="left" w:pos="900"/>
        </w:tabs>
        <w:ind w:left="900" w:hanging="900"/>
      </w:pPr>
      <w:rPr>
        <w:rFonts w:hint="eastAsia"/>
      </w:rPr>
    </w:lvl>
  </w:abstractNum>
  <w:abstractNum w:abstractNumId="3706493548">
    <w:nsid w:val="DCEC9A6C"/>
    <w:multiLevelType w:val="singleLevel"/>
    <w:tmpl w:val="DCEC9A6C"/>
    <w:lvl w:ilvl="0" w:tentative="1">
      <w:start w:val="5"/>
      <w:numFmt w:val="decimal"/>
      <w:lvlText w:val="%1."/>
      <w:lvlJc w:val="left"/>
      <w:pPr>
        <w:tabs>
          <w:tab w:val="left" w:pos="312"/>
        </w:tabs>
      </w:pPr>
    </w:lvl>
  </w:abstractNum>
  <w:abstractNum w:abstractNumId="807429601">
    <w:nsid w:val="302065E1"/>
    <w:multiLevelType w:val="multilevel"/>
    <w:tmpl w:val="302065E1"/>
    <w:lvl w:ilvl="0" w:tentative="1">
      <w:start w:val="1"/>
      <w:numFmt w:val="japaneseCounting"/>
      <w:lvlText w:val="（%1）"/>
      <w:lvlJc w:val="left"/>
      <w:pPr>
        <w:ind w:left="1560" w:hanging="720"/>
      </w:pPr>
      <w:rPr>
        <w:rFonts w:hint="default"/>
      </w:rPr>
    </w:lvl>
    <w:lvl w:ilvl="1" w:tentative="1">
      <w:start w:val="1"/>
      <w:numFmt w:val="lowerLetter"/>
      <w:lvlText w:val="%2)"/>
      <w:lvlJc w:val="left"/>
      <w:pPr>
        <w:ind w:left="1680" w:hanging="420"/>
      </w:pPr>
    </w:lvl>
    <w:lvl w:ilvl="2" w:tentative="1">
      <w:start w:val="1"/>
      <w:numFmt w:val="lowerRoman"/>
      <w:lvlText w:val="%3."/>
      <w:lvlJc w:val="right"/>
      <w:pPr>
        <w:ind w:left="2100" w:hanging="420"/>
      </w:pPr>
    </w:lvl>
    <w:lvl w:ilvl="3" w:tentative="1">
      <w:start w:val="1"/>
      <w:numFmt w:val="decimal"/>
      <w:lvlText w:val="%4."/>
      <w:lvlJc w:val="left"/>
      <w:pPr>
        <w:ind w:left="2520" w:hanging="420"/>
      </w:pPr>
    </w:lvl>
    <w:lvl w:ilvl="4" w:tentative="1">
      <w:start w:val="1"/>
      <w:numFmt w:val="lowerLetter"/>
      <w:lvlText w:val="%5)"/>
      <w:lvlJc w:val="left"/>
      <w:pPr>
        <w:ind w:left="2940" w:hanging="420"/>
      </w:pPr>
    </w:lvl>
    <w:lvl w:ilvl="5" w:tentative="1">
      <w:start w:val="1"/>
      <w:numFmt w:val="lowerRoman"/>
      <w:lvlText w:val="%6."/>
      <w:lvlJc w:val="right"/>
      <w:pPr>
        <w:ind w:left="3360" w:hanging="420"/>
      </w:pPr>
    </w:lvl>
    <w:lvl w:ilvl="6" w:tentative="1">
      <w:start w:val="1"/>
      <w:numFmt w:val="decimal"/>
      <w:lvlText w:val="%7."/>
      <w:lvlJc w:val="left"/>
      <w:pPr>
        <w:ind w:left="3780" w:hanging="420"/>
      </w:pPr>
    </w:lvl>
    <w:lvl w:ilvl="7" w:tentative="1">
      <w:start w:val="1"/>
      <w:numFmt w:val="lowerLetter"/>
      <w:lvlText w:val="%8)"/>
      <w:lvlJc w:val="left"/>
      <w:pPr>
        <w:ind w:left="4200" w:hanging="420"/>
      </w:pPr>
    </w:lvl>
    <w:lvl w:ilvl="8" w:tentative="1">
      <w:start w:val="1"/>
      <w:numFmt w:val="lowerRoman"/>
      <w:lvlText w:val="%9."/>
      <w:lvlJc w:val="right"/>
      <w:pPr>
        <w:ind w:left="4620" w:hanging="420"/>
      </w:pPr>
    </w:lvl>
  </w:abstractNum>
  <w:abstractNum w:abstractNumId="1488704807">
    <w:nsid w:val="58BBD527"/>
    <w:multiLevelType w:val="singleLevel"/>
    <w:tmpl w:val="58BBD527"/>
    <w:lvl w:ilvl="0" w:tentative="1">
      <w:start w:val="1"/>
      <w:numFmt w:val="chineseCounting"/>
      <w:suff w:val="nothing"/>
      <w:lvlText w:val="%1、"/>
      <w:lvlJc w:val="left"/>
    </w:lvl>
  </w:abstractNum>
  <w:abstractNum w:abstractNumId="1488704873">
    <w:nsid w:val="58BBD569"/>
    <w:multiLevelType w:val="singleLevel"/>
    <w:tmpl w:val="58BBD569"/>
    <w:lvl w:ilvl="0" w:tentative="1">
      <w:start w:val="1"/>
      <w:numFmt w:val="decimal"/>
      <w:suff w:val="nothing"/>
      <w:lvlText w:val="%1、"/>
      <w:lvlJc w:val="left"/>
    </w:lvl>
  </w:abstractNum>
  <w:abstractNum w:abstractNumId="1232234317">
    <w:nsid w:val="4972674D"/>
    <w:multiLevelType w:val="singleLevel"/>
    <w:tmpl w:val="4972674D"/>
    <w:lvl w:ilvl="0" w:tentative="1">
      <w:start w:val="1"/>
      <w:numFmt w:val="japaneseCounting"/>
      <w:lvlText w:val="%1、"/>
      <w:lvlJc w:val="left"/>
      <w:pPr>
        <w:tabs>
          <w:tab w:val="left" w:pos="780"/>
        </w:tabs>
        <w:ind w:left="780" w:hanging="600"/>
      </w:pPr>
      <w:rPr>
        <w:rFonts w:hint="eastAsia"/>
        <w:b w:val="0"/>
      </w:rPr>
    </w:lvl>
  </w:abstractNum>
  <w:abstractNum w:abstractNumId="4179885412">
    <w:nsid w:val="F923FD64"/>
    <w:multiLevelType w:val="singleLevel"/>
    <w:tmpl w:val="F923FD64"/>
    <w:lvl w:ilvl="0" w:tentative="1">
      <w:start w:val="4"/>
      <w:numFmt w:val="chineseCounting"/>
      <w:suff w:val="nothing"/>
      <w:lvlText w:val="%1、"/>
      <w:lvlJc w:val="left"/>
      <w:rPr>
        <w:rFonts w:hint="eastAsia"/>
      </w:rPr>
    </w:lvl>
  </w:abstractNum>
  <w:abstractNum w:abstractNumId="38">
    <w:nsid w:val="00000026"/>
    <w:multiLevelType w:val="multilevel"/>
    <w:tmpl w:val="00000026"/>
    <w:lvl w:ilvl="0" w:tentative="1">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1">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1">
      <w:start w:val="1"/>
      <w:numFmt w:val="decimal"/>
      <w:isLgl/>
      <w:suff w:val="nothing"/>
      <w:lvlText w:val="%1.%2.%3　"/>
      <w:lvlJc w:val="left"/>
      <w:pPr>
        <w:ind w:left="-25" w:firstLine="0"/>
      </w:pPr>
      <w:rPr>
        <w:rFonts w:hint="default" w:ascii="Times New Roman" w:hAnsi="Times New Roman" w:eastAsia="黑体"/>
        <w:b/>
        <w:i w:val="0"/>
        <w:sz w:val="28"/>
      </w:rPr>
    </w:lvl>
    <w:lvl w:ilvl="3" w:tentative="1">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1">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1">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1">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1">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1">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7">
    <w:nsid w:val="0000002F"/>
    <w:multiLevelType w:val="multilevel"/>
    <w:tmpl w:val="0000002F"/>
    <w:lvl w:ilvl="0" w:tentative="1">
      <w:start w:val="1"/>
      <w:numFmt w:val="decimal"/>
      <w:pStyle w:val="109"/>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0000000A"/>
    <w:multiLevelType w:val="multilevel"/>
    <w:tmpl w:val="0000000A"/>
    <w:lvl w:ilvl="0" w:tentative="1">
      <w:start w:val="1"/>
      <w:numFmt w:val="decimal"/>
      <w:pStyle w:val="110"/>
      <w:lvlText w:val="%1."/>
      <w:lvlJc w:val="left"/>
      <w:pPr>
        <w:ind w:left="420" w:hanging="420"/>
      </w:pPr>
    </w:lvl>
    <w:lvl w:ilvl="1" w:tentative="1">
      <w:start w:val="1"/>
      <w:numFmt w:val="decimal"/>
      <w:lvlText w:val="（%2）"/>
      <w:lvlJc w:val="left"/>
      <w:pPr>
        <w:tabs>
          <w:tab w:val="left" w:pos="1140"/>
        </w:tabs>
        <w:ind w:left="1140" w:hanging="720"/>
      </w:pPr>
      <w:rPr>
        <w:rFonts w:hint="eastAsia"/>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
    <w:nsid w:val="00000028"/>
    <w:multiLevelType w:val="multilevel"/>
    <w:tmpl w:val="00000028"/>
    <w:lvl w:ilvl="0" w:tentative="1">
      <w:start w:val="1"/>
      <w:numFmt w:val="decimal"/>
      <w:lvlText w:val="%1．"/>
      <w:lvlJc w:val="left"/>
      <w:pPr>
        <w:tabs>
          <w:tab w:val="left" w:pos="768"/>
        </w:tabs>
        <w:ind w:left="768" w:hanging="360"/>
      </w:pPr>
      <w:rPr>
        <w:rFonts w:hint="eastAsia"/>
      </w:rPr>
    </w:lvl>
    <w:lvl w:ilvl="1" w:tentative="1">
      <w:start w:val="1"/>
      <w:numFmt w:val="decimal"/>
      <w:pStyle w:val="142"/>
      <w:lvlText w:val="%2、"/>
      <w:lvlJc w:val="left"/>
      <w:pPr>
        <w:tabs>
          <w:tab w:val="left" w:pos="1188"/>
        </w:tabs>
        <w:ind w:left="1188" w:hanging="360"/>
      </w:pPr>
      <w:rPr>
        <w:rFonts w:hint="eastAsia"/>
      </w:rPr>
    </w:lvl>
    <w:lvl w:ilvl="2" w:tentative="1">
      <w:start w:val="1"/>
      <w:numFmt w:val="decimal"/>
      <w:lvlText w:val="（%3）"/>
      <w:lvlJc w:val="left"/>
      <w:pPr>
        <w:tabs>
          <w:tab w:val="left" w:pos="1968"/>
        </w:tabs>
        <w:ind w:left="1968" w:hanging="720"/>
      </w:pPr>
      <w:rPr>
        <w:rFonts w:hint="eastAsia"/>
        <w:u w:val="none"/>
      </w:rPr>
    </w:lvl>
    <w:lvl w:ilvl="3" w:tentative="1">
      <w:start w:val="1"/>
      <w:numFmt w:val="decimal"/>
      <w:lvlText w:val="%4."/>
      <w:lvlJc w:val="left"/>
      <w:pPr>
        <w:tabs>
          <w:tab w:val="left" w:pos="2088"/>
        </w:tabs>
        <w:ind w:left="2088" w:hanging="420"/>
      </w:pPr>
    </w:lvl>
    <w:lvl w:ilvl="4" w:tentative="1">
      <w:start w:val="1"/>
      <w:numFmt w:val="lowerLetter"/>
      <w:lvlText w:val="%5)"/>
      <w:lvlJc w:val="left"/>
      <w:pPr>
        <w:tabs>
          <w:tab w:val="left" w:pos="2508"/>
        </w:tabs>
        <w:ind w:left="2508" w:hanging="420"/>
      </w:pPr>
    </w:lvl>
    <w:lvl w:ilvl="5" w:tentative="1">
      <w:start w:val="1"/>
      <w:numFmt w:val="lowerRoman"/>
      <w:lvlText w:val="%6."/>
      <w:lvlJc w:val="right"/>
      <w:pPr>
        <w:tabs>
          <w:tab w:val="left" w:pos="2928"/>
        </w:tabs>
        <w:ind w:left="2928" w:hanging="420"/>
      </w:pPr>
    </w:lvl>
    <w:lvl w:ilvl="6" w:tentative="1">
      <w:start w:val="1"/>
      <w:numFmt w:val="decimal"/>
      <w:lvlText w:val="%7."/>
      <w:lvlJc w:val="left"/>
      <w:pPr>
        <w:tabs>
          <w:tab w:val="left" w:pos="3348"/>
        </w:tabs>
        <w:ind w:left="3348" w:hanging="420"/>
      </w:pPr>
    </w:lvl>
    <w:lvl w:ilvl="7" w:tentative="1">
      <w:start w:val="1"/>
      <w:numFmt w:val="lowerLetter"/>
      <w:lvlText w:val="%8)"/>
      <w:lvlJc w:val="left"/>
      <w:pPr>
        <w:tabs>
          <w:tab w:val="left" w:pos="3768"/>
        </w:tabs>
        <w:ind w:left="3768" w:hanging="420"/>
      </w:pPr>
    </w:lvl>
    <w:lvl w:ilvl="8" w:tentative="1">
      <w:start w:val="1"/>
      <w:numFmt w:val="lowerRoman"/>
      <w:lvlText w:val="%9."/>
      <w:lvlJc w:val="right"/>
      <w:pPr>
        <w:tabs>
          <w:tab w:val="left" w:pos="4188"/>
        </w:tabs>
        <w:ind w:left="4188" w:hanging="420"/>
      </w:pPr>
    </w:lvl>
  </w:abstractNum>
  <w:abstractNum w:abstractNumId="19">
    <w:nsid w:val="00000013"/>
    <w:multiLevelType w:val="singleLevel"/>
    <w:tmpl w:val="00000013"/>
    <w:lvl w:ilvl="0" w:tentative="1">
      <w:start w:val="1"/>
      <w:numFmt w:val="decimal"/>
      <w:pStyle w:val="155"/>
      <w:lvlText w:val="%1."/>
      <w:lvlJc w:val="left"/>
      <w:pPr>
        <w:tabs>
          <w:tab w:val="left" w:pos="360"/>
        </w:tabs>
        <w:ind w:left="360" w:hanging="360"/>
      </w:pPr>
      <w:rPr>
        <w:rFonts w:hint="default"/>
      </w:rPr>
    </w:lvl>
  </w:abstractNum>
  <w:abstractNum w:abstractNumId="13">
    <w:nsid w:val="0000000D"/>
    <w:multiLevelType w:val="multilevel"/>
    <w:tmpl w:val="0000000D"/>
    <w:lvl w:ilvl="0" w:tentative="1">
      <w:start w:val="1"/>
      <w:numFmt w:val="lowerLetter"/>
      <w:pStyle w:val="185"/>
      <w:lvlText w:val="%1)"/>
      <w:lvlJc w:val="left"/>
      <w:pPr>
        <w:ind w:left="902" w:hanging="420"/>
      </w:pPr>
      <w:rPr>
        <w:color w:val="auto"/>
      </w:rPr>
    </w:lvl>
    <w:lvl w:ilvl="1" w:tentative="1">
      <w:start w:val="1"/>
      <w:numFmt w:val="lowerLetter"/>
      <w:lvlText w:val="%2)"/>
      <w:lvlJc w:val="left"/>
      <w:pPr>
        <w:ind w:left="1322" w:hanging="420"/>
      </w:pPr>
    </w:lvl>
    <w:lvl w:ilvl="2" w:tentative="1">
      <w:start w:val="1"/>
      <w:numFmt w:val="lowerRoman"/>
      <w:lvlText w:val="%3."/>
      <w:lvlJc w:val="right"/>
      <w:pPr>
        <w:ind w:left="1742" w:hanging="420"/>
      </w:pPr>
    </w:lvl>
    <w:lvl w:ilvl="3" w:tentative="1">
      <w:start w:val="1"/>
      <w:numFmt w:val="decimal"/>
      <w:lvlText w:val="%4."/>
      <w:lvlJc w:val="left"/>
      <w:pPr>
        <w:ind w:left="2162" w:hanging="420"/>
      </w:pPr>
    </w:lvl>
    <w:lvl w:ilvl="4" w:tentative="1">
      <w:start w:val="1"/>
      <w:numFmt w:val="lowerLetter"/>
      <w:lvlText w:val="%5)"/>
      <w:lvlJc w:val="left"/>
      <w:pPr>
        <w:ind w:left="2582" w:hanging="420"/>
      </w:pPr>
    </w:lvl>
    <w:lvl w:ilvl="5" w:tentative="1">
      <w:start w:val="1"/>
      <w:numFmt w:val="lowerRoman"/>
      <w:lvlText w:val="%6."/>
      <w:lvlJc w:val="right"/>
      <w:pPr>
        <w:ind w:left="3002" w:hanging="420"/>
      </w:pPr>
    </w:lvl>
    <w:lvl w:ilvl="6" w:tentative="1">
      <w:start w:val="1"/>
      <w:numFmt w:val="decimal"/>
      <w:lvlText w:val="%7."/>
      <w:lvlJc w:val="left"/>
      <w:pPr>
        <w:ind w:left="3422" w:hanging="420"/>
      </w:pPr>
    </w:lvl>
    <w:lvl w:ilvl="7" w:tentative="1">
      <w:start w:val="1"/>
      <w:numFmt w:val="lowerLetter"/>
      <w:lvlText w:val="%8)"/>
      <w:lvlJc w:val="left"/>
      <w:pPr>
        <w:ind w:left="3842" w:hanging="420"/>
      </w:pPr>
    </w:lvl>
    <w:lvl w:ilvl="8" w:tentative="1">
      <w:start w:val="1"/>
      <w:numFmt w:val="lowerRoman"/>
      <w:lvlText w:val="%9."/>
      <w:lvlJc w:val="right"/>
      <w:pPr>
        <w:ind w:left="4262" w:hanging="420"/>
      </w:pPr>
    </w:lvl>
  </w:abstractNum>
  <w:abstractNum w:abstractNumId="237176905">
    <w:nsid w:val="0E230849"/>
    <w:multiLevelType w:val="multilevel"/>
    <w:tmpl w:val="0E230849"/>
    <w:lvl w:ilvl="0" w:tentative="1">
      <w:start w:val="1"/>
      <w:numFmt w:val="decimal"/>
      <w:pStyle w:val="210"/>
      <w:lvlText w:val="%1"/>
      <w:lvlJc w:val="left"/>
      <w:pPr>
        <w:ind w:left="680" w:hanging="680"/>
      </w:pPr>
      <w:rPr>
        <w:rFonts w:hint="eastAsia" w:ascii="宋体" w:hAnsi="宋体" w:eastAsia="宋体"/>
      </w:rPr>
    </w:lvl>
    <w:lvl w:ilvl="1" w:tentative="1">
      <w:start w:val="1"/>
      <w:numFmt w:val="decimal"/>
      <w:pStyle w:val="211"/>
      <w:lvlText w:val="%1.%2"/>
      <w:lvlJc w:val="left"/>
      <w:pPr>
        <w:ind w:left="851" w:hanging="851"/>
      </w:pPr>
      <w:rPr>
        <w:rFonts w:hint="eastAsia" w:ascii="宋体" w:hAnsi="宋体" w:eastAsia="宋体"/>
        <w:color w:val="auto"/>
      </w:rPr>
    </w:lvl>
    <w:lvl w:ilvl="2" w:tentative="1">
      <w:start w:val="1"/>
      <w:numFmt w:val="decimal"/>
      <w:pStyle w:val="212"/>
      <w:lvlText w:val="%1.%2.%3"/>
      <w:lvlJc w:val="left"/>
      <w:pPr>
        <w:ind w:left="851" w:hanging="851"/>
      </w:pPr>
      <w:rPr>
        <w:rFonts w:hint="eastAsia"/>
      </w:rPr>
    </w:lvl>
    <w:lvl w:ilvl="3" w:tentative="1">
      <w:start w:val="1"/>
      <w:numFmt w:val="decimal"/>
      <w:lvlText w:val="%1.%2.%3.%4"/>
      <w:lvlJc w:val="left"/>
      <w:pPr>
        <w:ind w:left="680" w:hanging="680"/>
      </w:pPr>
      <w:rPr>
        <w:rFonts w:hint="eastAsia"/>
      </w:rPr>
    </w:lvl>
    <w:lvl w:ilvl="4" w:tentative="1">
      <w:start w:val="1"/>
      <w:numFmt w:val="decimal"/>
      <w:lvlText w:val="%1.%2.%3.%4.%5"/>
      <w:lvlJc w:val="left"/>
      <w:pPr>
        <w:ind w:left="680" w:hanging="680"/>
      </w:pPr>
      <w:rPr>
        <w:rFonts w:hint="eastAsia"/>
      </w:rPr>
    </w:lvl>
    <w:lvl w:ilvl="5" w:tentative="1">
      <w:start w:val="1"/>
      <w:numFmt w:val="decimal"/>
      <w:lvlText w:val="%1.%2.%3.%4.%5.%6"/>
      <w:lvlJc w:val="left"/>
      <w:pPr>
        <w:ind w:left="680" w:hanging="680"/>
      </w:pPr>
      <w:rPr>
        <w:rFonts w:hint="eastAsia"/>
      </w:rPr>
    </w:lvl>
    <w:lvl w:ilvl="6" w:tentative="1">
      <w:start w:val="1"/>
      <w:numFmt w:val="decimal"/>
      <w:lvlText w:val="%1.%2.%3.%4.%5.%6.%7"/>
      <w:lvlJc w:val="left"/>
      <w:pPr>
        <w:ind w:left="680" w:hanging="680"/>
      </w:pPr>
      <w:rPr>
        <w:rFonts w:hint="eastAsia"/>
      </w:rPr>
    </w:lvl>
    <w:lvl w:ilvl="7" w:tentative="1">
      <w:start w:val="1"/>
      <w:numFmt w:val="decimal"/>
      <w:lvlText w:val="%1.%2.%3.%4.%5.%6.%7.%8"/>
      <w:lvlJc w:val="left"/>
      <w:pPr>
        <w:ind w:left="680" w:hanging="680"/>
      </w:pPr>
      <w:rPr>
        <w:rFonts w:hint="eastAsia"/>
      </w:rPr>
    </w:lvl>
    <w:lvl w:ilvl="8" w:tentative="1">
      <w:start w:val="1"/>
      <w:numFmt w:val="decimal"/>
      <w:lvlText w:val="%1.%2.%3.%4.%5.%6.%7.%8.%9"/>
      <w:lvlJc w:val="left"/>
      <w:pPr>
        <w:ind w:left="680" w:hanging="680"/>
      </w:pPr>
      <w:rPr>
        <w:rFonts w:hint="eastAsia"/>
      </w:rPr>
    </w:lvl>
  </w:abstractNum>
  <w:num w:numId="1">
    <w:abstractNumId w:val="38"/>
  </w:num>
  <w:num w:numId="2">
    <w:abstractNumId w:val="47"/>
  </w:num>
  <w:num w:numId="3">
    <w:abstractNumId w:val="10"/>
  </w:num>
  <w:num w:numId="4">
    <w:abstractNumId w:val="40"/>
  </w:num>
  <w:num w:numId="5">
    <w:abstractNumId w:val="19"/>
  </w:num>
  <w:num w:numId="6">
    <w:abstractNumId w:val="13"/>
  </w:num>
  <w:num w:numId="7">
    <w:abstractNumId w:val="237176905"/>
  </w:num>
  <w:num w:numId="8">
    <w:abstractNumId w:val="3706493548"/>
  </w:num>
  <w:num w:numId="9">
    <w:abstractNumId w:val="1694400868"/>
  </w:num>
  <w:num w:numId="10">
    <w:abstractNumId w:val="1044938295"/>
  </w:num>
  <w:num w:numId="11">
    <w:abstractNumId w:val="277294506"/>
  </w:num>
  <w:num w:numId="12">
    <w:abstractNumId w:val="1846168304"/>
  </w:num>
  <w:num w:numId="13">
    <w:abstractNumId w:val="1166358810"/>
  </w:num>
  <w:num w:numId="14">
    <w:abstractNumId w:val="1488704807"/>
  </w:num>
  <w:num w:numId="15">
    <w:abstractNumId w:val="4179885412"/>
  </w:num>
  <w:num w:numId="16">
    <w:abstractNumId w:val="1488704873"/>
  </w:num>
  <w:num w:numId="17">
    <w:abstractNumId w:val="807429601"/>
  </w:num>
  <w:num w:numId="18">
    <w:abstractNumId w:val="1232234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ZTM2ODA3YWEwZjg2MDY1NGQ5MTI0OTc2M2JjMjdkMG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1C"/>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ABC"/>
    <w:rsid w:val="00025BF3"/>
    <w:rsid w:val="00025DA9"/>
    <w:rsid w:val="00026353"/>
    <w:rsid w:val="00026693"/>
    <w:rsid w:val="000267C8"/>
    <w:rsid w:val="00026845"/>
    <w:rsid w:val="00026AAC"/>
    <w:rsid w:val="00026D3D"/>
    <w:rsid w:val="00026D90"/>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899"/>
    <w:rsid w:val="00033A69"/>
    <w:rsid w:val="0003416B"/>
    <w:rsid w:val="000342A7"/>
    <w:rsid w:val="000343B7"/>
    <w:rsid w:val="000343F4"/>
    <w:rsid w:val="0003447F"/>
    <w:rsid w:val="00034786"/>
    <w:rsid w:val="00034820"/>
    <w:rsid w:val="0003491D"/>
    <w:rsid w:val="00034F4A"/>
    <w:rsid w:val="000352D3"/>
    <w:rsid w:val="0003536A"/>
    <w:rsid w:val="000357FF"/>
    <w:rsid w:val="00035A29"/>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50B"/>
    <w:rsid w:val="00043A61"/>
    <w:rsid w:val="00043B1C"/>
    <w:rsid w:val="00043C68"/>
    <w:rsid w:val="00043D59"/>
    <w:rsid w:val="00043DD6"/>
    <w:rsid w:val="000441F6"/>
    <w:rsid w:val="000446D5"/>
    <w:rsid w:val="0004473A"/>
    <w:rsid w:val="0004483E"/>
    <w:rsid w:val="00044AA1"/>
    <w:rsid w:val="00044D9C"/>
    <w:rsid w:val="00044E7A"/>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908"/>
    <w:rsid w:val="00050A3F"/>
    <w:rsid w:val="00050C78"/>
    <w:rsid w:val="00051332"/>
    <w:rsid w:val="000514DF"/>
    <w:rsid w:val="0005161F"/>
    <w:rsid w:val="00051756"/>
    <w:rsid w:val="000517DD"/>
    <w:rsid w:val="0005182E"/>
    <w:rsid w:val="0005191F"/>
    <w:rsid w:val="0005192B"/>
    <w:rsid w:val="00051C52"/>
    <w:rsid w:val="00052978"/>
    <w:rsid w:val="00052D2A"/>
    <w:rsid w:val="00052FD2"/>
    <w:rsid w:val="00053251"/>
    <w:rsid w:val="000533F3"/>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208"/>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74"/>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0B"/>
    <w:rsid w:val="00075AFF"/>
    <w:rsid w:val="00075BC6"/>
    <w:rsid w:val="00075C77"/>
    <w:rsid w:val="00076259"/>
    <w:rsid w:val="0007662D"/>
    <w:rsid w:val="00076D3D"/>
    <w:rsid w:val="00076E3C"/>
    <w:rsid w:val="00076E8A"/>
    <w:rsid w:val="00076EFF"/>
    <w:rsid w:val="00076FDA"/>
    <w:rsid w:val="00077079"/>
    <w:rsid w:val="000770B3"/>
    <w:rsid w:val="00077705"/>
    <w:rsid w:val="0007778B"/>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47B"/>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0C"/>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FA7"/>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33B"/>
    <w:rsid w:val="000C655D"/>
    <w:rsid w:val="000C692E"/>
    <w:rsid w:val="000C69D5"/>
    <w:rsid w:val="000C6D78"/>
    <w:rsid w:val="000C6EBF"/>
    <w:rsid w:val="000C6F06"/>
    <w:rsid w:val="000C70D6"/>
    <w:rsid w:val="000C76DD"/>
    <w:rsid w:val="000C78FF"/>
    <w:rsid w:val="000C7E46"/>
    <w:rsid w:val="000D02EB"/>
    <w:rsid w:val="000D0723"/>
    <w:rsid w:val="000D07F4"/>
    <w:rsid w:val="000D08FF"/>
    <w:rsid w:val="000D0D09"/>
    <w:rsid w:val="000D0E8B"/>
    <w:rsid w:val="000D0F36"/>
    <w:rsid w:val="000D0F46"/>
    <w:rsid w:val="000D11FA"/>
    <w:rsid w:val="000D144A"/>
    <w:rsid w:val="000D16DF"/>
    <w:rsid w:val="000D1A8A"/>
    <w:rsid w:val="000D1AC6"/>
    <w:rsid w:val="000D1D24"/>
    <w:rsid w:val="000D21FE"/>
    <w:rsid w:val="000D248C"/>
    <w:rsid w:val="000D2589"/>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39"/>
    <w:rsid w:val="000D524E"/>
    <w:rsid w:val="000D54BA"/>
    <w:rsid w:val="000D5B64"/>
    <w:rsid w:val="000D5C3A"/>
    <w:rsid w:val="000D613F"/>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2D"/>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1A9"/>
    <w:rsid w:val="00102313"/>
    <w:rsid w:val="0010234F"/>
    <w:rsid w:val="001024AC"/>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0D4"/>
    <w:rsid w:val="0011139D"/>
    <w:rsid w:val="0011199A"/>
    <w:rsid w:val="00111AB0"/>
    <w:rsid w:val="00111B72"/>
    <w:rsid w:val="00111BB5"/>
    <w:rsid w:val="00111D5C"/>
    <w:rsid w:val="00111D99"/>
    <w:rsid w:val="00111DD5"/>
    <w:rsid w:val="0011204B"/>
    <w:rsid w:val="00112212"/>
    <w:rsid w:val="0011261B"/>
    <w:rsid w:val="00112659"/>
    <w:rsid w:val="00112BFA"/>
    <w:rsid w:val="00112C7A"/>
    <w:rsid w:val="00112CFB"/>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486"/>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27"/>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5E50"/>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D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682"/>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D4B"/>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4E"/>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61B"/>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6F"/>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AD"/>
    <w:rsid w:val="001846ED"/>
    <w:rsid w:val="001849ED"/>
    <w:rsid w:val="00184A4E"/>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4EB"/>
    <w:rsid w:val="00191517"/>
    <w:rsid w:val="00191ABB"/>
    <w:rsid w:val="00191D08"/>
    <w:rsid w:val="00191E46"/>
    <w:rsid w:val="00191F11"/>
    <w:rsid w:val="00191FD1"/>
    <w:rsid w:val="00192450"/>
    <w:rsid w:val="001924F5"/>
    <w:rsid w:val="001928B8"/>
    <w:rsid w:val="00192A48"/>
    <w:rsid w:val="00192ADE"/>
    <w:rsid w:val="00192D14"/>
    <w:rsid w:val="00192E9C"/>
    <w:rsid w:val="001930E3"/>
    <w:rsid w:val="00193106"/>
    <w:rsid w:val="001931AA"/>
    <w:rsid w:val="00193A98"/>
    <w:rsid w:val="00193BEE"/>
    <w:rsid w:val="00193C95"/>
    <w:rsid w:val="00193D98"/>
    <w:rsid w:val="00193E32"/>
    <w:rsid w:val="00194050"/>
    <w:rsid w:val="00194200"/>
    <w:rsid w:val="00194427"/>
    <w:rsid w:val="001944C6"/>
    <w:rsid w:val="00194695"/>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3EC"/>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31F"/>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275"/>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D67"/>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222"/>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BF"/>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6C"/>
    <w:rsid w:val="001F07D6"/>
    <w:rsid w:val="001F07F7"/>
    <w:rsid w:val="001F08D7"/>
    <w:rsid w:val="001F0C50"/>
    <w:rsid w:val="001F126A"/>
    <w:rsid w:val="001F137C"/>
    <w:rsid w:val="001F17AB"/>
    <w:rsid w:val="001F1B18"/>
    <w:rsid w:val="001F1D26"/>
    <w:rsid w:val="001F1D8A"/>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76F"/>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63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33"/>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661"/>
    <w:rsid w:val="002239ED"/>
    <w:rsid w:val="00223B55"/>
    <w:rsid w:val="00223C8D"/>
    <w:rsid w:val="0022418F"/>
    <w:rsid w:val="0022432D"/>
    <w:rsid w:val="00224378"/>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27C75"/>
    <w:rsid w:val="00230A63"/>
    <w:rsid w:val="00230AEB"/>
    <w:rsid w:val="00230B42"/>
    <w:rsid w:val="00230CB0"/>
    <w:rsid w:val="00230CFB"/>
    <w:rsid w:val="00230EA6"/>
    <w:rsid w:val="0023108B"/>
    <w:rsid w:val="0023109B"/>
    <w:rsid w:val="002313D6"/>
    <w:rsid w:val="0023145D"/>
    <w:rsid w:val="00231655"/>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CA"/>
    <w:rsid w:val="002355E5"/>
    <w:rsid w:val="00235640"/>
    <w:rsid w:val="002359F1"/>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49"/>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AEF"/>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E3"/>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24"/>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771"/>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4E"/>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6F8"/>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0CC"/>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57"/>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48B"/>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AEB"/>
    <w:rsid w:val="002B4CAF"/>
    <w:rsid w:val="002B4CB5"/>
    <w:rsid w:val="002B4CC2"/>
    <w:rsid w:val="002B4DE1"/>
    <w:rsid w:val="002B502D"/>
    <w:rsid w:val="002B5166"/>
    <w:rsid w:val="002B518F"/>
    <w:rsid w:val="002B531C"/>
    <w:rsid w:val="002B5632"/>
    <w:rsid w:val="002B584C"/>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BDB"/>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7A8"/>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3C"/>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45"/>
    <w:rsid w:val="002E6675"/>
    <w:rsid w:val="002E6E1F"/>
    <w:rsid w:val="002E6ED1"/>
    <w:rsid w:val="002E6ED6"/>
    <w:rsid w:val="002E6EDD"/>
    <w:rsid w:val="002E70A9"/>
    <w:rsid w:val="002E73BC"/>
    <w:rsid w:val="002E7454"/>
    <w:rsid w:val="002E75F9"/>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0D8"/>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7C"/>
    <w:rsid w:val="0031524C"/>
    <w:rsid w:val="003152F2"/>
    <w:rsid w:val="0031572F"/>
    <w:rsid w:val="00315AD1"/>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01D"/>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4BA"/>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5CF6"/>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0D"/>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41"/>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37B"/>
    <w:rsid w:val="0034761D"/>
    <w:rsid w:val="00347954"/>
    <w:rsid w:val="00347ACA"/>
    <w:rsid w:val="00347BB1"/>
    <w:rsid w:val="00347D36"/>
    <w:rsid w:val="00347D5F"/>
    <w:rsid w:val="00347FF3"/>
    <w:rsid w:val="003500E9"/>
    <w:rsid w:val="00350101"/>
    <w:rsid w:val="00350290"/>
    <w:rsid w:val="003503B3"/>
    <w:rsid w:val="003504AD"/>
    <w:rsid w:val="00350504"/>
    <w:rsid w:val="0035054A"/>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6E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DFB"/>
    <w:rsid w:val="003561DF"/>
    <w:rsid w:val="00356734"/>
    <w:rsid w:val="00356C97"/>
    <w:rsid w:val="00356EBA"/>
    <w:rsid w:val="00357A03"/>
    <w:rsid w:val="00357B76"/>
    <w:rsid w:val="00357C60"/>
    <w:rsid w:val="00357CAC"/>
    <w:rsid w:val="00357D2E"/>
    <w:rsid w:val="00357EBC"/>
    <w:rsid w:val="00357EC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57E"/>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5C5"/>
    <w:rsid w:val="00371680"/>
    <w:rsid w:val="003718C3"/>
    <w:rsid w:val="00371B5B"/>
    <w:rsid w:val="00371BB8"/>
    <w:rsid w:val="00371DE5"/>
    <w:rsid w:val="00371E3E"/>
    <w:rsid w:val="00371EF8"/>
    <w:rsid w:val="003720D2"/>
    <w:rsid w:val="00372165"/>
    <w:rsid w:val="003723CB"/>
    <w:rsid w:val="0037249A"/>
    <w:rsid w:val="003725BC"/>
    <w:rsid w:val="003726D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2A5"/>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1F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C0"/>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6D5"/>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8C5"/>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020"/>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4F90"/>
    <w:rsid w:val="003B5128"/>
    <w:rsid w:val="003B5268"/>
    <w:rsid w:val="003B5445"/>
    <w:rsid w:val="003B559B"/>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092"/>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10"/>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E8C"/>
    <w:rsid w:val="003D7368"/>
    <w:rsid w:val="003D7589"/>
    <w:rsid w:val="003D775F"/>
    <w:rsid w:val="003D7A34"/>
    <w:rsid w:val="003D7A93"/>
    <w:rsid w:val="003D7AB7"/>
    <w:rsid w:val="003D7BA7"/>
    <w:rsid w:val="003E0153"/>
    <w:rsid w:val="003E051D"/>
    <w:rsid w:val="003E05FE"/>
    <w:rsid w:val="003E0645"/>
    <w:rsid w:val="003E06E1"/>
    <w:rsid w:val="003E077D"/>
    <w:rsid w:val="003E07B9"/>
    <w:rsid w:val="003E0902"/>
    <w:rsid w:val="003E119D"/>
    <w:rsid w:val="003E1223"/>
    <w:rsid w:val="003E12C2"/>
    <w:rsid w:val="003E135D"/>
    <w:rsid w:val="003E1520"/>
    <w:rsid w:val="003E17E4"/>
    <w:rsid w:val="003E1DBA"/>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06A"/>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DB3"/>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167"/>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9C1"/>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420"/>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48"/>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B93"/>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978"/>
    <w:rsid w:val="00437AB3"/>
    <w:rsid w:val="00437ABC"/>
    <w:rsid w:val="00437CDD"/>
    <w:rsid w:val="00437D0E"/>
    <w:rsid w:val="00437E2E"/>
    <w:rsid w:val="00440015"/>
    <w:rsid w:val="004406C1"/>
    <w:rsid w:val="004408D1"/>
    <w:rsid w:val="00440C32"/>
    <w:rsid w:val="00440DD7"/>
    <w:rsid w:val="00440DED"/>
    <w:rsid w:val="00440EC0"/>
    <w:rsid w:val="00440F5D"/>
    <w:rsid w:val="00441030"/>
    <w:rsid w:val="00441405"/>
    <w:rsid w:val="00441490"/>
    <w:rsid w:val="004417C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3F"/>
    <w:rsid w:val="00460158"/>
    <w:rsid w:val="00460360"/>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9DE"/>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C42"/>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0C"/>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87FFA"/>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B7"/>
    <w:rsid w:val="00493259"/>
    <w:rsid w:val="00493278"/>
    <w:rsid w:val="0049334B"/>
    <w:rsid w:val="004933AD"/>
    <w:rsid w:val="004936C0"/>
    <w:rsid w:val="004936FA"/>
    <w:rsid w:val="0049379C"/>
    <w:rsid w:val="00493956"/>
    <w:rsid w:val="00493E34"/>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3B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826"/>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8A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EA4"/>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055"/>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15F"/>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B83"/>
    <w:rsid w:val="004F3D77"/>
    <w:rsid w:val="004F3F39"/>
    <w:rsid w:val="004F3F7B"/>
    <w:rsid w:val="004F3FC4"/>
    <w:rsid w:val="004F41DC"/>
    <w:rsid w:val="004F4217"/>
    <w:rsid w:val="004F42C0"/>
    <w:rsid w:val="004F4752"/>
    <w:rsid w:val="004F4870"/>
    <w:rsid w:val="004F4990"/>
    <w:rsid w:val="004F4F76"/>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DBF"/>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AA"/>
    <w:rsid w:val="00513CC8"/>
    <w:rsid w:val="00514436"/>
    <w:rsid w:val="005145E2"/>
    <w:rsid w:val="00514A01"/>
    <w:rsid w:val="00514B4F"/>
    <w:rsid w:val="005151AE"/>
    <w:rsid w:val="00515238"/>
    <w:rsid w:val="0051557F"/>
    <w:rsid w:val="005156C8"/>
    <w:rsid w:val="00515A8D"/>
    <w:rsid w:val="00515DEB"/>
    <w:rsid w:val="00515E1A"/>
    <w:rsid w:val="005161C1"/>
    <w:rsid w:val="00516478"/>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33"/>
    <w:rsid w:val="0052435B"/>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B8F"/>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1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3C6"/>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B08"/>
    <w:rsid w:val="00557D30"/>
    <w:rsid w:val="00560344"/>
    <w:rsid w:val="005603D9"/>
    <w:rsid w:val="00560420"/>
    <w:rsid w:val="0056044E"/>
    <w:rsid w:val="0056055F"/>
    <w:rsid w:val="005607CA"/>
    <w:rsid w:val="005608DB"/>
    <w:rsid w:val="00560AC9"/>
    <w:rsid w:val="00561038"/>
    <w:rsid w:val="00561075"/>
    <w:rsid w:val="00561329"/>
    <w:rsid w:val="00561446"/>
    <w:rsid w:val="0056153B"/>
    <w:rsid w:val="005617D0"/>
    <w:rsid w:val="005618F1"/>
    <w:rsid w:val="00561AC8"/>
    <w:rsid w:val="00561AD8"/>
    <w:rsid w:val="00561BA3"/>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66E"/>
    <w:rsid w:val="00570896"/>
    <w:rsid w:val="00571152"/>
    <w:rsid w:val="005715E8"/>
    <w:rsid w:val="005717D2"/>
    <w:rsid w:val="00571881"/>
    <w:rsid w:val="0057189C"/>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DC7"/>
    <w:rsid w:val="00575E57"/>
    <w:rsid w:val="0057601E"/>
    <w:rsid w:val="005760AC"/>
    <w:rsid w:val="0057618A"/>
    <w:rsid w:val="00576235"/>
    <w:rsid w:val="0057636D"/>
    <w:rsid w:val="005763AD"/>
    <w:rsid w:val="005763B8"/>
    <w:rsid w:val="00576504"/>
    <w:rsid w:val="005765DC"/>
    <w:rsid w:val="00576715"/>
    <w:rsid w:val="00576798"/>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61"/>
    <w:rsid w:val="005839EF"/>
    <w:rsid w:val="00583E24"/>
    <w:rsid w:val="00583F52"/>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7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A43"/>
    <w:rsid w:val="00592C45"/>
    <w:rsid w:val="00592CAF"/>
    <w:rsid w:val="00592EE6"/>
    <w:rsid w:val="00592F4C"/>
    <w:rsid w:val="00592FF2"/>
    <w:rsid w:val="00593042"/>
    <w:rsid w:val="00593065"/>
    <w:rsid w:val="00593218"/>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467"/>
    <w:rsid w:val="005A36BC"/>
    <w:rsid w:val="005A37E5"/>
    <w:rsid w:val="005A3933"/>
    <w:rsid w:val="005A3B89"/>
    <w:rsid w:val="005A3DBA"/>
    <w:rsid w:val="005A3EC6"/>
    <w:rsid w:val="005A44AE"/>
    <w:rsid w:val="005A44D3"/>
    <w:rsid w:val="005A4564"/>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6AB"/>
    <w:rsid w:val="005A6824"/>
    <w:rsid w:val="005A68E5"/>
    <w:rsid w:val="005A6AD0"/>
    <w:rsid w:val="005A6D88"/>
    <w:rsid w:val="005A6DC0"/>
    <w:rsid w:val="005A6EC5"/>
    <w:rsid w:val="005A6FAD"/>
    <w:rsid w:val="005A7050"/>
    <w:rsid w:val="005A706B"/>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3C"/>
    <w:rsid w:val="005B6C58"/>
    <w:rsid w:val="005B6DDD"/>
    <w:rsid w:val="005B6E54"/>
    <w:rsid w:val="005B7074"/>
    <w:rsid w:val="005B71B7"/>
    <w:rsid w:val="005B7328"/>
    <w:rsid w:val="005B752E"/>
    <w:rsid w:val="005B7BBC"/>
    <w:rsid w:val="005B7C4A"/>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CE5"/>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1C"/>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3D8"/>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0AC"/>
    <w:rsid w:val="005E019B"/>
    <w:rsid w:val="005E0B26"/>
    <w:rsid w:val="005E1749"/>
    <w:rsid w:val="005E1C8A"/>
    <w:rsid w:val="005E1DA5"/>
    <w:rsid w:val="005E216B"/>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9D8"/>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10E"/>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559"/>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8D6"/>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B5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3F1"/>
    <w:rsid w:val="00631426"/>
    <w:rsid w:val="006314B3"/>
    <w:rsid w:val="0063169B"/>
    <w:rsid w:val="006317F0"/>
    <w:rsid w:val="006318C2"/>
    <w:rsid w:val="00631A0C"/>
    <w:rsid w:val="00631A74"/>
    <w:rsid w:val="00631D94"/>
    <w:rsid w:val="00631EB7"/>
    <w:rsid w:val="00631F57"/>
    <w:rsid w:val="00631F8E"/>
    <w:rsid w:val="00631FC4"/>
    <w:rsid w:val="0063219B"/>
    <w:rsid w:val="0063223A"/>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8A2"/>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D24"/>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6CB"/>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9B"/>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8CD"/>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0E87"/>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46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01"/>
    <w:rsid w:val="00691F17"/>
    <w:rsid w:val="006923E6"/>
    <w:rsid w:val="0069243E"/>
    <w:rsid w:val="00692510"/>
    <w:rsid w:val="006926AB"/>
    <w:rsid w:val="006926D0"/>
    <w:rsid w:val="006926D4"/>
    <w:rsid w:val="006929B9"/>
    <w:rsid w:val="006929F5"/>
    <w:rsid w:val="00692B5F"/>
    <w:rsid w:val="00692FB1"/>
    <w:rsid w:val="00693117"/>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2B3"/>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F83"/>
    <w:rsid w:val="006A121A"/>
    <w:rsid w:val="006A15AB"/>
    <w:rsid w:val="006A1D19"/>
    <w:rsid w:val="006A1FFE"/>
    <w:rsid w:val="006A203D"/>
    <w:rsid w:val="006A20EF"/>
    <w:rsid w:val="006A233A"/>
    <w:rsid w:val="006A244D"/>
    <w:rsid w:val="006A2721"/>
    <w:rsid w:val="006A28AC"/>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CC6"/>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79"/>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C7E9C"/>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2E1"/>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DFB"/>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EB0"/>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03"/>
    <w:rsid w:val="007465E4"/>
    <w:rsid w:val="00746830"/>
    <w:rsid w:val="0074692D"/>
    <w:rsid w:val="00746985"/>
    <w:rsid w:val="00746CFB"/>
    <w:rsid w:val="00746FCE"/>
    <w:rsid w:val="00747030"/>
    <w:rsid w:val="007473E7"/>
    <w:rsid w:val="00747411"/>
    <w:rsid w:val="007479EB"/>
    <w:rsid w:val="00747C73"/>
    <w:rsid w:val="00747F2A"/>
    <w:rsid w:val="00750376"/>
    <w:rsid w:val="00750408"/>
    <w:rsid w:val="00750915"/>
    <w:rsid w:val="00750B42"/>
    <w:rsid w:val="00750DB3"/>
    <w:rsid w:val="00750E44"/>
    <w:rsid w:val="00751054"/>
    <w:rsid w:val="00751311"/>
    <w:rsid w:val="007515BE"/>
    <w:rsid w:val="0075161A"/>
    <w:rsid w:val="00751695"/>
    <w:rsid w:val="007518F4"/>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F87"/>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13D"/>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C7B"/>
    <w:rsid w:val="00765E51"/>
    <w:rsid w:val="007660A3"/>
    <w:rsid w:val="00766142"/>
    <w:rsid w:val="007661D1"/>
    <w:rsid w:val="007662BE"/>
    <w:rsid w:val="00766480"/>
    <w:rsid w:val="007664C0"/>
    <w:rsid w:val="00766703"/>
    <w:rsid w:val="00766A28"/>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D00"/>
    <w:rsid w:val="00780169"/>
    <w:rsid w:val="0078019A"/>
    <w:rsid w:val="0078023B"/>
    <w:rsid w:val="00780322"/>
    <w:rsid w:val="007804AE"/>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0E8"/>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258"/>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036"/>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C4E"/>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74"/>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7BF"/>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1F6"/>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679"/>
    <w:rsid w:val="007E5AB7"/>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73"/>
    <w:rsid w:val="007F31AB"/>
    <w:rsid w:val="007F3222"/>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6D7"/>
    <w:rsid w:val="00800904"/>
    <w:rsid w:val="00800919"/>
    <w:rsid w:val="00800A8E"/>
    <w:rsid w:val="00800D8E"/>
    <w:rsid w:val="00800DEE"/>
    <w:rsid w:val="00800E4F"/>
    <w:rsid w:val="0080104C"/>
    <w:rsid w:val="00801630"/>
    <w:rsid w:val="00801A51"/>
    <w:rsid w:val="00801B1D"/>
    <w:rsid w:val="00802339"/>
    <w:rsid w:val="008024EB"/>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B4"/>
    <w:rsid w:val="00817D68"/>
    <w:rsid w:val="00817EEC"/>
    <w:rsid w:val="00820288"/>
    <w:rsid w:val="00820293"/>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34C"/>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83A"/>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4CE"/>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1DB"/>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DD5"/>
    <w:rsid w:val="00864E70"/>
    <w:rsid w:val="00865414"/>
    <w:rsid w:val="00865472"/>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49F"/>
    <w:rsid w:val="00870639"/>
    <w:rsid w:val="008707D3"/>
    <w:rsid w:val="00870A44"/>
    <w:rsid w:val="00870A5B"/>
    <w:rsid w:val="00870AAE"/>
    <w:rsid w:val="00870C9E"/>
    <w:rsid w:val="00870DD2"/>
    <w:rsid w:val="00870FCA"/>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CC5"/>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41"/>
    <w:rsid w:val="00896127"/>
    <w:rsid w:val="00896206"/>
    <w:rsid w:val="00896221"/>
    <w:rsid w:val="008968C2"/>
    <w:rsid w:val="00896BFE"/>
    <w:rsid w:val="00896C9E"/>
    <w:rsid w:val="00896D12"/>
    <w:rsid w:val="008972B0"/>
    <w:rsid w:val="0089762D"/>
    <w:rsid w:val="008977B4"/>
    <w:rsid w:val="008978F0"/>
    <w:rsid w:val="008979A2"/>
    <w:rsid w:val="00897CD7"/>
    <w:rsid w:val="008A0463"/>
    <w:rsid w:val="008A069D"/>
    <w:rsid w:val="008A0767"/>
    <w:rsid w:val="008A0AD8"/>
    <w:rsid w:val="008A0B3C"/>
    <w:rsid w:val="008A0F40"/>
    <w:rsid w:val="008A16F7"/>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79"/>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DC4"/>
    <w:rsid w:val="008B7090"/>
    <w:rsid w:val="008B71F9"/>
    <w:rsid w:val="008B7214"/>
    <w:rsid w:val="008B73C4"/>
    <w:rsid w:val="008B7442"/>
    <w:rsid w:val="008B755E"/>
    <w:rsid w:val="008B7576"/>
    <w:rsid w:val="008B7587"/>
    <w:rsid w:val="008B783C"/>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D83"/>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2A1"/>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93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4E7"/>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40"/>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49"/>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E0"/>
    <w:rsid w:val="0090404C"/>
    <w:rsid w:val="00904383"/>
    <w:rsid w:val="009043BA"/>
    <w:rsid w:val="009044EA"/>
    <w:rsid w:val="0090463B"/>
    <w:rsid w:val="009046D4"/>
    <w:rsid w:val="00904925"/>
    <w:rsid w:val="00904AF3"/>
    <w:rsid w:val="00904DCE"/>
    <w:rsid w:val="0090517C"/>
    <w:rsid w:val="009051E1"/>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22"/>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13"/>
    <w:rsid w:val="00914541"/>
    <w:rsid w:val="00914ADC"/>
    <w:rsid w:val="00914B9E"/>
    <w:rsid w:val="00914C92"/>
    <w:rsid w:val="00914CBD"/>
    <w:rsid w:val="00914CD6"/>
    <w:rsid w:val="00914E6A"/>
    <w:rsid w:val="00915CA8"/>
    <w:rsid w:val="0091601E"/>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834"/>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0E8"/>
    <w:rsid w:val="00936111"/>
    <w:rsid w:val="0093626D"/>
    <w:rsid w:val="00936680"/>
    <w:rsid w:val="009368BB"/>
    <w:rsid w:val="00936C6B"/>
    <w:rsid w:val="00936D9E"/>
    <w:rsid w:val="00936F91"/>
    <w:rsid w:val="00937052"/>
    <w:rsid w:val="009373B9"/>
    <w:rsid w:val="0093746C"/>
    <w:rsid w:val="00937B39"/>
    <w:rsid w:val="00937D1A"/>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4FCE"/>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7EE"/>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7AA"/>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1EB"/>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4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344"/>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5F0"/>
    <w:rsid w:val="00991658"/>
    <w:rsid w:val="00991789"/>
    <w:rsid w:val="009917E4"/>
    <w:rsid w:val="00991E1D"/>
    <w:rsid w:val="00991F20"/>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745"/>
    <w:rsid w:val="009A3F6E"/>
    <w:rsid w:val="009A4086"/>
    <w:rsid w:val="009A4591"/>
    <w:rsid w:val="009A48BD"/>
    <w:rsid w:val="009A496E"/>
    <w:rsid w:val="009A4B9A"/>
    <w:rsid w:val="009A4BFB"/>
    <w:rsid w:val="009A4C39"/>
    <w:rsid w:val="009A4C5A"/>
    <w:rsid w:val="009A4D1D"/>
    <w:rsid w:val="009A508D"/>
    <w:rsid w:val="009A5244"/>
    <w:rsid w:val="009A534F"/>
    <w:rsid w:val="009A5429"/>
    <w:rsid w:val="009A5515"/>
    <w:rsid w:val="009A5677"/>
    <w:rsid w:val="009A585D"/>
    <w:rsid w:val="009A59E9"/>
    <w:rsid w:val="009A5D2A"/>
    <w:rsid w:val="009A5E2B"/>
    <w:rsid w:val="009A5ED2"/>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A6E"/>
    <w:rsid w:val="009B2F2F"/>
    <w:rsid w:val="009B33F8"/>
    <w:rsid w:val="009B3411"/>
    <w:rsid w:val="009B36DD"/>
    <w:rsid w:val="009B394B"/>
    <w:rsid w:val="009B3983"/>
    <w:rsid w:val="009B3A11"/>
    <w:rsid w:val="009B3F50"/>
    <w:rsid w:val="009B3F9B"/>
    <w:rsid w:val="009B4164"/>
    <w:rsid w:val="009B41E9"/>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36"/>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3F00"/>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7D0"/>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10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18"/>
    <w:rsid w:val="009E7EC0"/>
    <w:rsid w:val="009F0011"/>
    <w:rsid w:val="009F062E"/>
    <w:rsid w:val="009F066D"/>
    <w:rsid w:val="009F06A9"/>
    <w:rsid w:val="009F071B"/>
    <w:rsid w:val="009F0C8A"/>
    <w:rsid w:val="009F0D6F"/>
    <w:rsid w:val="009F0FFD"/>
    <w:rsid w:val="009F1428"/>
    <w:rsid w:val="009F152C"/>
    <w:rsid w:val="009F178C"/>
    <w:rsid w:val="009F1AAB"/>
    <w:rsid w:val="009F1B6E"/>
    <w:rsid w:val="009F1E22"/>
    <w:rsid w:val="009F2076"/>
    <w:rsid w:val="009F216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4E7"/>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6FA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9CF"/>
    <w:rsid w:val="00A16AFB"/>
    <w:rsid w:val="00A16B6B"/>
    <w:rsid w:val="00A16BD2"/>
    <w:rsid w:val="00A170A8"/>
    <w:rsid w:val="00A17926"/>
    <w:rsid w:val="00A179B0"/>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3"/>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7F6"/>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EF1"/>
    <w:rsid w:val="00A64055"/>
    <w:rsid w:val="00A64171"/>
    <w:rsid w:val="00A6455B"/>
    <w:rsid w:val="00A64582"/>
    <w:rsid w:val="00A6463A"/>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33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BFC"/>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5F"/>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796"/>
    <w:rsid w:val="00A7683C"/>
    <w:rsid w:val="00A76A95"/>
    <w:rsid w:val="00A76C12"/>
    <w:rsid w:val="00A76C51"/>
    <w:rsid w:val="00A77035"/>
    <w:rsid w:val="00A77136"/>
    <w:rsid w:val="00A77267"/>
    <w:rsid w:val="00A773C6"/>
    <w:rsid w:val="00A775FD"/>
    <w:rsid w:val="00A77784"/>
    <w:rsid w:val="00A77807"/>
    <w:rsid w:val="00A77993"/>
    <w:rsid w:val="00A80272"/>
    <w:rsid w:val="00A803E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35F"/>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603"/>
    <w:rsid w:val="00A93D0E"/>
    <w:rsid w:val="00A93EBF"/>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C7"/>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0FF"/>
    <w:rsid w:val="00AB26B5"/>
    <w:rsid w:val="00AB2E6E"/>
    <w:rsid w:val="00AB2EC7"/>
    <w:rsid w:val="00AB2FA7"/>
    <w:rsid w:val="00AB303F"/>
    <w:rsid w:val="00AB3097"/>
    <w:rsid w:val="00AB3197"/>
    <w:rsid w:val="00AB3250"/>
    <w:rsid w:val="00AB32D3"/>
    <w:rsid w:val="00AB334C"/>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354"/>
    <w:rsid w:val="00AC4C08"/>
    <w:rsid w:val="00AC511C"/>
    <w:rsid w:val="00AC5357"/>
    <w:rsid w:val="00AC566A"/>
    <w:rsid w:val="00AC5D9D"/>
    <w:rsid w:val="00AC5DDE"/>
    <w:rsid w:val="00AC5F08"/>
    <w:rsid w:val="00AC614A"/>
    <w:rsid w:val="00AC6173"/>
    <w:rsid w:val="00AC62F8"/>
    <w:rsid w:val="00AC64A3"/>
    <w:rsid w:val="00AC66F1"/>
    <w:rsid w:val="00AC6845"/>
    <w:rsid w:val="00AC6A5A"/>
    <w:rsid w:val="00AC6A9B"/>
    <w:rsid w:val="00AC6AE4"/>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34"/>
    <w:rsid w:val="00AD47EF"/>
    <w:rsid w:val="00AD486A"/>
    <w:rsid w:val="00AD4AFD"/>
    <w:rsid w:val="00AD4CA9"/>
    <w:rsid w:val="00AD4DDC"/>
    <w:rsid w:val="00AD4E56"/>
    <w:rsid w:val="00AD50EA"/>
    <w:rsid w:val="00AD50FB"/>
    <w:rsid w:val="00AD5813"/>
    <w:rsid w:val="00AD58F6"/>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950"/>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80F"/>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3F7E"/>
    <w:rsid w:val="00AE41EF"/>
    <w:rsid w:val="00AE4703"/>
    <w:rsid w:val="00AE4BF3"/>
    <w:rsid w:val="00AE516D"/>
    <w:rsid w:val="00AE517E"/>
    <w:rsid w:val="00AE5246"/>
    <w:rsid w:val="00AE5292"/>
    <w:rsid w:val="00AE52B4"/>
    <w:rsid w:val="00AE5617"/>
    <w:rsid w:val="00AE56A2"/>
    <w:rsid w:val="00AE56C7"/>
    <w:rsid w:val="00AE58C5"/>
    <w:rsid w:val="00AE5993"/>
    <w:rsid w:val="00AE5B55"/>
    <w:rsid w:val="00AE5BF8"/>
    <w:rsid w:val="00AE5F51"/>
    <w:rsid w:val="00AE6070"/>
    <w:rsid w:val="00AE6119"/>
    <w:rsid w:val="00AE6127"/>
    <w:rsid w:val="00AE619F"/>
    <w:rsid w:val="00AE65BC"/>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4B"/>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2D21"/>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CB6"/>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8F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13"/>
    <w:rsid w:val="00B30817"/>
    <w:rsid w:val="00B3086D"/>
    <w:rsid w:val="00B308E5"/>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9A8"/>
    <w:rsid w:val="00B33DD3"/>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19E"/>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843"/>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1C1"/>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3F"/>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C7E"/>
    <w:rsid w:val="00B56F47"/>
    <w:rsid w:val="00B57039"/>
    <w:rsid w:val="00B5717A"/>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828"/>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CE8"/>
    <w:rsid w:val="00B64D0E"/>
    <w:rsid w:val="00B654E9"/>
    <w:rsid w:val="00B656C5"/>
    <w:rsid w:val="00B656FE"/>
    <w:rsid w:val="00B66018"/>
    <w:rsid w:val="00B66127"/>
    <w:rsid w:val="00B6616E"/>
    <w:rsid w:val="00B663DD"/>
    <w:rsid w:val="00B6647A"/>
    <w:rsid w:val="00B66648"/>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729"/>
    <w:rsid w:val="00B80A15"/>
    <w:rsid w:val="00B80A20"/>
    <w:rsid w:val="00B80D12"/>
    <w:rsid w:val="00B80DB4"/>
    <w:rsid w:val="00B80FCC"/>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EE5"/>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29E"/>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841"/>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089"/>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ACB"/>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52"/>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B96"/>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4F"/>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C8"/>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7DD"/>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8B8"/>
    <w:rsid w:val="00C41A77"/>
    <w:rsid w:val="00C41C94"/>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1DF"/>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AF"/>
    <w:rsid w:val="00C53ECF"/>
    <w:rsid w:val="00C542DF"/>
    <w:rsid w:val="00C54388"/>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648"/>
    <w:rsid w:val="00C6091C"/>
    <w:rsid w:val="00C60E2E"/>
    <w:rsid w:val="00C610D2"/>
    <w:rsid w:val="00C61270"/>
    <w:rsid w:val="00C6144E"/>
    <w:rsid w:val="00C618C7"/>
    <w:rsid w:val="00C61CEA"/>
    <w:rsid w:val="00C61F29"/>
    <w:rsid w:val="00C61FD1"/>
    <w:rsid w:val="00C62015"/>
    <w:rsid w:val="00C625F4"/>
    <w:rsid w:val="00C6265A"/>
    <w:rsid w:val="00C62710"/>
    <w:rsid w:val="00C62C6C"/>
    <w:rsid w:val="00C63336"/>
    <w:rsid w:val="00C63370"/>
    <w:rsid w:val="00C636BA"/>
    <w:rsid w:val="00C638E0"/>
    <w:rsid w:val="00C63D0C"/>
    <w:rsid w:val="00C63D12"/>
    <w:rsid w:val="00C63D71"/>
    <w:rsid w:val="00C63DEE"/>
    <w:rsid w:val="00C63EE7"/>
    <w:rsid w:val="00C63F9C"/>
    <w:rsid w:val="00C64232"/>
    <w:rsid w:val="00C6452E"/>
    <w:rsid w:val="00C64994"/>
    <w:rsid w:val="00C64E9E"/>
    <w:rsid w:val="00C64EBA"/>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8FE"/>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22"/>
    <w:rsid w:val="00CA3589"/>
    <w:rsid w:val="00CA367F"/>
    <w:rsid w:val="00CA3796"/>
    <w:rsid w:val="00CA3CE3"/>
    <w:rsid w:val="00CA3D63"/>
    <w:rsid w:val="00CA4312"/>
    <w:rsid w:val="00CA4534"/>
    <w:rsid w:val="00CA49D0"/>
    <w:rsid w:val="00CA4B1F"/>
    <w:rsid w:val="00CA4BFB"/>
    <w:rsid w:val="00CA4C4D"/>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94F"/>
    <w:rsid w:val="00CA7B4B"/>
    <w:rsid w:val="00CA7CDC"/>
    <w:rsid w:val="00CA7D9B"/>
    <w:rsid w:val="00CA7F93"/>
    <w:rsid w:val="00CB0014"/>
    <w:rsid w:val="00CB0135"/>
    <w:rsid w:val="00CB0198"/>
    <w:rsid w:val="00CB02C7"/>
    <w:rsid w:val="00CB04A5"/>
    <w:rsid w:val="00CB05F3"/>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D0"/>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2A9"/>
    <w:rsid w:val="00CE339D"/>
    <w:rsid w:val="00CE347A"/>
    <w:rsid w:val="00CE34D3"/>
    <w:rsid w:val="00CE352F"/>
    <w:rsid w:val="00CE353E"/>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1E16"/>
    <w:rsid w:val="00CF2564"/>
    <w:rsid w:val="00CF2AE6"/>
    <w:rsid w:val="00CF304C"/>
    <w:rsid w:val="00CF3379"/>
    <w:rsid w:val="00CF393C"/>
    <w:rsid w:val="00CF3A56"/>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6B7"/>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1E9"/>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99"/>
    <w:rsid w:val="00D20F98"/>
    <w:rsid w:val="00D2119C"/>
    <w:rsid w:val="00D21543"/>
    <w:rsid w:val="00D21602"/>
    <w:rsid w:val="00D2162E"/>
    <w:rsid w:val="00D2196D"/>
    <w:rsid w:val="00D219EC"/>
    <w:rsid w:val="00D21B2C"/>
    <w:rsid w:val="00D21F98"/>
    <w:rsid w:val="00D220D9"/>
    <w:rsid w:val="00D2266D"/>
    <w:rsid w:val="00D22852"/>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D6"/>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E29"/>
    <w:rsid w:val="00D341CB"/>
    <w:rsid w:val="00D342A1"/>
    <w:rsid w:val="00D3431B"/>
    <w:rsid w:val="00D34794"/>
    <w:rsid w:val="00D34F66"/>
    <w:rsid w:val="00D35333"/>
    <w:rsid w:val="00D3537C"/>
    <w:rsid w:val="00D353FB"/>
    <w:rsid w:val="00D35417"/>
    <w:rsid w:val="00D358EF"/>
    <w:rsid w:val="00D358F3"/>
    <w:rsid w:val="00D358FB"/>
    <w:rsid w:val="00D3595F"/>
    <w:rsid w:val="00D35963"/>
    <w:rsid w:val="00D3596D"/>
    <w:rsid w:val="00D35C45"/>
    <w:rsid w:val="00D35D1E"/>
    <w:rsid w:val="00D35D53"/>
    <w:rsid w:val="00D35D9C"/>
    <w:rsid w:val="00D35E78"/>
    <w:rsid w:val="00D3648B"/>
    <w:rsid w:val="00D36624"/>
    <w:rsid w:val="00D36DF4"/>
    <w:rsid w:val="00D36E5C"/>
    <w:rsid w:val="00D36F82"/>
    <w:rsid w:val="00D3727B"/>
    <w:rsid w:val="00D373F2"/>
    <w:rsid w:val="00D376B7"/>
    <w:rsid w:val="00D37758"/>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1D1"/>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79"/>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E80"/>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D8"/>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DAA"/>
    <w:rsid w:val="00D841A8"/>
    <w:rsid w:val="00D84252"/>
    <w:rsid w:val="00D8469F"/>
    <w:rsid w:val="00D846E7"/>
    <w:rsid w:val="00D8485A"/>
    <w:rsid w:val="00D84AB7"/>
    <w:rsid w:val="00D84CF0"/>
    <w:rsid w:val="00D84D6A"/>
    <w:rsid w:val="00D84DD6"/>
    <w:rsid w:val="00D8533B"/>
    <w:rsid w:val="00D855CF"/>
    <w:rsid w:val="00D85942"/>
    <w:rsid w:val="00D85BBC"/>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B8"/>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9A6"/>
    <w:rsid w:val="00DB1B8E"/>
    <w:rsid w:val="00DB1C7C"/>
    <w:rsid w:val="00DB1CF8"/>
    <w:rsid w:val="00DB1D67"/>
    <w:rsid w:val="00DB1F48"/>
    <w:rsid w:val="00DB20C5"/>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DD5"/>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0E"/>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4C5"/>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012"/>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3B3"/>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2BD"/>
    <w:rsid w:val="00DD1378"/>
    <w:rsid w:val="00DD140A"/>
    <w:rsid w:val="00DD1506"/>
    <w:rsid w:val="00DD157D"/>
    <w:rsid w:val="00DD1973"/>
    <w:rsid w:val="00DD1B0D"/>
    <w:rsid w:val="00DD1C37"/>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7"/>
    <w:rsid w:val="00DD531D"/>
    <w:rsid w:val="00DD56B9"/>
    <w:rsid w:val="00DD5955"/>
    <w:rsid w:val="00DD59A4"/>
    <w:rsid w:val="00DD5A0C"/>
    <w:rsid w:val="00DD5BA4"/>
    <w:rsid w:val="00DD5D7A"/>
    <w:rsid w:val="00DD5D9E"/>
    <w:rsid w:val="00DD6558"/>
    <w:rsid w:val="00DD6731"/>
    <w:rsid w:val="00DD68B3"/>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1A"/>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057"/>
    <w:rsid w:val="00DF05C8"/>
    <w:rsid w:val="00DF0768"/>
    <w:rsid w:val="00DF0C29"/>
    <w:rsid w:val="00DF0C96"/>
    <w:rsid w:val="00DF0FD9"/>
    <w:rsid w:val="00DF15B0"/>
    <w:rsid w:val="00DF1795"/>
    <w:rsid w:val="00DF182E"/>
    <w:rsid w:val="00DF1A59"/>
    <w:rsid w:val="00DF1AED"/>
    <w:rsid w:val="00DF1B33"/>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BE8"/>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6F4"/>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63"/>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967"/>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73"/>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79"/>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8E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887"/>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489"/>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1B"/>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CE5"/>
    <w:rsid w:val="00ED2146"/>
    <w:rsid w:val="00ED21DF"/>
    <w:rsid w:val="00ED2759"/>
    <w:rsid w:val="00ED2DCB"/>
    <w:rsid w:val="00ED3131"/>
    <w:rsid w:val="00ED34D6"/>
    <w:rsid w:val="00ED3555"/>
    <w:rsid w:val="00ED386C"/>
    <w:rsid w:val="00ED388D"/>
    <w:rsid w:val="00ED3D55"/>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1FE1"/>
    <w:rsid w:val="00EE2314"/>
    <w:rsid w:val="00EE244C"/>
    <w:rsid w:val="00EE244E"/>
    <w:rsid w:val="00EE25AA"/>
    <w:rsid w:val="00EE25CE"/>
    <w:rsid w:val="00EE2991"/>
    <w:rsid w:val="00EE2A50"/>
    <w:rsid w:val="00EE2B34"/>
    <w:rsid w:val="00EE2D64"/>
    <w:rsid w:val="00EE2F25"/>
    <w:rsid w:val="00EE310E"/>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31"/>
    <w:rsid w:val="00EF2956"/>
    <w:rsid w:val="00EF2EEA"/>
    <w:rsid w:val="00EF2FF5"/>
    <w:rsid w:val="00EF32EF"/>
    <w:rsid w:val="00EF3821"/>
    <w:rsid w:val="00EF3AFF"/>
    <w:rsid w:val="00EF3C24"/>
    <w:rsid w:val="00EF3F75"/>
    <w:rsid w:val="00EF3FAA"/>
    <w:rsid w:val="00EF4185"/>
    <w:rsid w:val="00EF421E"/>
    <w:rsid w:val="00EF4329"/>
    <w:rsid w:val="00EF4717"/>
    <w:rsid w:val="00EF47CC"/>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1F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EED"/>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405"/>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8EF"/>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689"/>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A0B"/>
    <w:rsid w:val="00F25C6C"/>
    <w:rsid w:val="00F26066"/>
    <w:rsid w:val="00F26125"/>
    <w:rsid w:val="00F261FB"/>
    <w:rsid w:val="00F2622B"/>
    <w:rsid w:val="00F262C1"/>
    <w:rsid w:val="00F2650D"/>
    <w:rsid w:val="00F26A49"/>
    <w:rsid w:val="00F26CF1"/>
    <w:rsid w:val="00F26FC4"/>
    <w:rsid w:val="00F2785A"/>
    <w:rsid w:val="00F27996"/>
    <w:rsid w:val="00F279DD"/>
    <w:rsid w:val="00F27D20"/>
    <w:rsid w:val="00F27DCE"/>
    <w:rsid w:val="00F300C2"/>
    <w:rsid w:val="00F307F2"/>
    <w:rsid w:val="00F308EE"/>
    <w:rsid w:val="00F30BC5"/>
    <w:rsid w:val="00F30BEF"/>
    <w:rsid w:val="00F310B4"/>
    <w:rsid w:val="00F31185"/>
    <w:rsid w:val="00F3124C"/>
    <w:rsid w:val="00F31511"/>
    <w:rsid w:val="00F3160D"/>
    <w:rsid w:val="00F317F5"/>
    <w:rsid w:val="00F31B00"/>
    <w:rsid w:val="00F31B12"/>
    <w:rsid w:val="00F31BA5"/>
    <w:rsid w:val="00F31CE6"/>
    <w:rsid w:val="00F31EE4"/>
    <w:rsid w:val="00F32644"/>
    <w:rsid w:val="00F32981"/>
    <w:rsid w:val="00F32A9F"/>
    <w:rsid w:val="00F32D78"/>
    <w:rsid w:val="00F32DE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4C"/>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48A"/>
    <w:rsid w:val="00F7090E"/>
    <w:rsid w:val="00F70D58"/>
    <w:rsid w:val="00F70EF1"/>
    <w:rsid w:val="00F70FAD"/>
    <w:rsid w:val="00F711AF"/>
    <w:rsid w:val="00F7120C"/>
    <w:rsid w:val="00F712EE"/>
    <w:rsid w:val="00F71383"/>
    <w:rsid w:val="00F716BF"/>
    <w:rsid w:val="00F7170C"/>
    <w:rsid w:val="00F71753"/>
    <w:rsid w:val="00F71EF5"/>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22C"/>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21E"/>
    <w:rsid w:val="00F874DE"/>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723"/>
    <w:rsid w:val="00FB29E0"/>
    <w:rsid w:val="00FB2DA9"/>
    <w:rsid w:val="00FB2F46"/>
    <w:rsid w:val="00FB330B"/>
    <w:rsid w:val="00FB3649"/>
    <w:rsid w:val="00FB36A0"/>
    <w:rsid w:val="00FB3BEA"/>
    <w:rsid w:val="00FB3D89"/>
    <w:rsid w:val="00FB4243"/>
    <w:rsid w:val="00FB4420"/>
    <w:rsid w:val="00FB44CA"/>
    <w:rsid w:val="00FB5189"/>
    <w:rsid w:val="00FB5361"/>
    <w:rsid w:val="00FB53E3"/>
    <w:rsid w:val="00FB5403"/>
    <w:rsid w:val="00FB55F0"/>
    <w:rsid w:val="00FB566A"/>
    <w:rsid w:val="00FB56C5"/>
    <w:rsid w:val="00FB5E41"/>
    <w:rsid w:val="00FB6021"/>
    <w:rsid w:val="00FB61C4"/>
    <w:rsid w:val="00FB637D"/>
    <w:rsid w:val="00FB65ED"/>
    <w:rsid w:val="00FB6612"/>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CF0"/>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6D59"/>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1D"/>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230"/>
    <w:rsid w:val="00FE7352"/>
    <w:rsid w:val="00FE7C5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C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BD8"/>
    <w:rsid w:val="00FF7D03"/>
    <w:rsid w:val="02547D8E"/>
    <w:rsid w:val="05070348"/>
    <w:rsid w:val="05DB7FFE"/>
    <w:rsid w:val="0B4130A2"/>
    <w:rsid w:val="0B660C1A"/>
    <w:rsid w:val="0DBA5B51"/>
    <w:rsid w:val="17F93E0B"/>
    <w:rsid w:val="18257121"/>
    <w:rsid w:val="1BB05AD7"/>
    <w:rsid w:val="1C455CA5"/>
    <w:rsid w:val="1D2C69D2"/>
    <w:rsid w:val="1EAC70F7"/>
    <w:rsid w:val="21410864"/>
    <w:rsid w:val="239E00B4"/>
    <w:rsid w:val="241F6957"/>
    <w:rsid w:val="251E74A4"/>
    <w:rsid w:val="260C6284"/>
    <w:rsid w:val="27843CE5"/>
    <w:rsid w:val="28DF6675"/>
    <w:rsid w:val="296E458D"/>
    <w:rsid w:val="2B8115E9"/>
    <w:rsid w:val="2DBA2F11"/>
    <w:rsid w:val="32EB653A"/>
    <w:rsid w:val="35080862"/>
    <w:rsid w:val="37AF57B7"/>
    <w:rsid w:val="3BCB6780"/>
    <w:rsid w:val="42CD0A98"/>
    <w:rsid w:val="431A0C09"/>
    <w:rsid w:val="480E2158"/>
    <w:rsid w:val="4B65373A"/>
    <w:rsid w:val="4D00163A"/>
    <w:rsid w:val="4F0F5BE3"/>
    <w:rsid w:val="52422029"/>
    <w:rsid w:val="537B16CC"/>
    <w:rsid w:val="55040901"/>
    <w:rsid w:val="56170651"/>
    <w:rsid w:val="56DF05DE"/>
    <w:rsid w:val="56F70118"/>
    <w:rsid w:val="57A35AED"/>
    <w:rsid w:val="57AB174B"/>
    <w:rsid w:val="57FC6189"/>
    <w:rsid w:val="5D6C6A6D"/>
    <w:rsid w:val="5E7C19A1"/>
    <w:rsid w:val="5F073306"/>
    <w:rsid w:val="5F5F73B9"/>
    <w:rsid w:val="5FEBC10B"/>
    <w:rsid w:val="5FF6432C"/>
    <w:rsid w:val="67090D32"/>
    <w:rsid w:val="6737062F"/>
    <w:rsid w:val="6838144E"/>
    <w:rsid w:val="68AA7398"/>
    <w:rsid w:val="6E94468F"/>
    <w:rsid w:val="6F97D24A"/>
    <w:rsid w:val="71E909FE"/>
    <w:rsid w:val="73942A59"/>
    <w:rsid w:val="742C597A"/>
    <w:rsid w:val="7A335389"/>
    <w:rsid w:val="7BC506FF"/>
    <w:rsid w:val="7EDB7F26"/>
    <w:rsid w:val="7F97D7F2"/>
    <w:rsid w:val="7FE6212F"/>
    <w:rsid w:val="A6FEB8E8"/>
    <w:rsid w:val="B85FDB83"/>
    <w:rsid w:val="C1BF7C39"/>
    <w:rsid w:val="C4BD4666"/>
    <w:rsid w:val="DAF67373"/>
    <w:rsid w:val="DC7C6527"/>
    <w:rsid w:val="DEE73C2B"/>
    <w:rsid w:val="EBA7250A"/>
    <w:rsid w:val="EDFF1E69"/>
    <w:rsid w:val="EF7CB3D9"/>
    <w:rsid w:val="EFFBF8F2"/>
    <w:rsid w:val="F9F3A65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5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3">
    <w:name w:val="Default Paragraph Font"/>
    <w:unhideWhenUsed/>
    <w:uiPriority w:val="1"/>
  </w:style>
  <w:style w:type="table" w:default="1" w:styleId="51">
    <w:name w:val="Normal Table"/>
    <w:unhideWhenUsed/>
    <w:uiPriority w:val="99"/>
    <w:tblPr>
      <w:tblLayout w:type="fixed"/>
      <w:tblCellMar>
        <w:top w:w="0" w:type="dxa"/>
        <w:left w:w="108" w:type="dxa"/>
        <w:bottom w:w="0" w:type="dxa"/>
        <w:right w:w="108" w:type="dxa"/>
      </w:tblCellMar>
    </w:tblPr>
  </w:style>
  <w:style w:type="paragraph" w:styleId="2">
    <w:name w:val="Body Text"/>
    <w:basedOn w:val="1"/>
    <w:next w:val="3"/>
    <w:link w:val="55"/>
    <w:qFormat/>
    <w:uiPriority w:val="0"/>
    <w:pPr>
      <w:tabs>
        <w:tab w:val="left" w:pos="567"/>
      </w:tabs>
      <w:spacing w:before="120" w:line="22" w:lineRule="atLeast"/>
    </w:pPr>
    <w:rPr>
      <w:rFonts w:ascii="宋体" w:hAnsi="宋体"/>
      <w:sz w:val="24"/>
    </w:rPr>
  </w:style>
  <w:style w:type="paragraph" w:styleId="3">
    <w:name w:val="index 5"/>
    <w:basedOn w:val="1"/>
    <w:next w:val="1"/>
    <w:qFormat/>
    <w:uiPriority w:val="0"/>
    <w:pPr>
      <w:ind w:left="1680"/>
    </w:pPr>
  </w:style>
  <w:style w:type="paragraph" w:styleId="6">
    <w:name w:val="Normal Indent"/>
    <w:basedOn w:val="1"/>
    <w:link w:val="57"/>
    <w:qFormat/>
    <w:uiPriority w:val="0"/>
    <w:pPr>
      <w:autoSpaceDE w:val="0"/>
      <w:autoSpaceDN w:val="0"/>
      <w:adjustRightInd w:val="0"/>
      <w:ind w:firstLine="420"/>
      <w:jc w:val="left"/>
    </w:pPr>
    <w:rPr>
      <w:rFonts w:ascii="宋体"/>
      <w:sz w:val="24"/>
    </w:rPr>
  </w:style>
  <w:style w:type="paragraph" w:styleId="14">
    <w:name w:val="annotation subject"/>
    <w:basedOn w:val="15"/>
    <w:next w:val="15"/>
    <w:link w:val="78"/>
    <w:qFormat/>
    <w:uiPriority w:val="0"/>
    <w:rPr>
      <w:b/>
      <w:bCs/>
    </w:rPr>
  </w:style>
  <w:style w:type="paragraph" w:styleId="15">
    <w:name w:val="annotation text"/>
    <w:basedOn w:val="1"/>
    <w:link w:val="66"/>
    <w:qFormat/>
    <w:uiPriority w:val="0"/>
    <w:pPr>
      <w:jc w:val="left"/>
    </w:pPr>
  </w:style>
  <w:style w:type="paragraph" w:styleId="16">
    <w:name w:val="toc 7"/>
    <w:basedOn w:val="1"/>
    <w:next w:val="1"/>
    <w:qFormat/>
    <w:uiPriority w:val="0"/>
    <w:pPr>
      <w:ind w:left="2520" w:leftChars="1200"/>
    </w:pPr>
  </w:style>
  <w:style w:type="paragraph" w:styleId="17">
    <w:name w:val="caption"/>
    <w:basedOn w:val="1"/>
    <w:next w:val="1"/>
    <w:qFormat/>
    <w:uiPriority w:val="0"/>
    <w:pPr>
      <w:spacing w:line="480" w:lineRule="auto"/>
    </w:pPr>
    <w:rPr>
      <w:rFonts w:ascii="华文中宋" w:hAnsi="华文中宋" w:eastAsia="华文中宋"/>
      <w:sz w:val="36"/>
      <w:szCs w:val="20"/>
    </w:rPr>
  </w:style>
  <w:style w:type="paragraph" w:styleId="18">
    <w:name w:val="Document Map"/>
    <w:basedOn w:val="1"/>
    <w:link w:val="65"/>
    <w:qFormat/>
    <w:uiPriority w:val="0"/>
    <w:pPr>
      <w:shd w:val="clear" w:color="auto" w:fill="000080"/>
    </w:pPr>
  </w:style>
  <w:style w:type="paragraph" w:styleId="19">
    <w:name w:val="Body Text 3"/>
    <w:basedOn w:val="1"/>
    <w:link w:val="67"/>
    <w:qFormat/>
    <w:uiPriority w:val="0"/>
    <w:pPr>
      <w:spacing w:after="120"/>
    </w:pPr>
    <w:rPr>
      <w:sz w:val="16"/>
      <w:szCs w:val="16"/>
    </w:rPr>
  </w:style>
  <w:style w:type="paragraph" w:styleId="20">
    <w:name w:val="Body Text Indent"/>
    <w:basedOn w:val="1"/>
    <w:link w:val="68"/>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69"/>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0"/>
    <w:qFormat/>
    <w:uiPriority w:val="0"/>
    <w:pPr>
      <w:ind w:left="100" w:leftChars="2500"/>
    </w:pPr>
    <w:rPr>
      <w:rFonts w:ascii="仿宋_GB2312" w:hAnsi="宋体" w:eastAsia="仿宋_GB2312"/>
      <w:color w:val="000000"/>
      <w:sz w:val="24"/>
    </w:rPr>
  </w:style>
  <w:style w:type="paragraph" w:styleId="28">
    <w:name w:val="Body Text Indent 2"/>
    <w:basedOn w:val="1"/>
    <w:link w:val="71"/>
    <w:qFormat/>
    <w:uiPriority w:val="0"/>
    <w:pPr>
      <w:ind w:firstLine="480" w:firstLineChars="200"/>
    </w:pPr>
    <w:rPr>
      <w:rFonts w:ascii="仿宋_GB2312" w:eastAsia="仿宋_GB2312"/>
      <w:sz w:val="24"/>
    </w:rPr>
  </w:style>
  <w:style w:type="paragraph" w:styleId="29">
    <w:name w:val="Balloon Text"/>
    <w:basedOn w:val="1"/>
    <w:link w:val="72"/>
    <w:qFormat/>
    <w:uiPriority w:val="0"/>
    <w:rPr>
      <w:sz w:val="18"/>
      <w:szCs w:val="18"/>
    </w:rPr>
  </w:style>
  <w:style w:type="paragraph" w:styleId="30">
    <w:name w:val="footer"/>
    <w:basedOn w:val="1"/>
    <w:link w:val="73"/>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Body Text First Indent 2"/>
    <w:basedOn w:val="20"/>
    <w:link w:val="79"/>
    <w:qFormat/>
    <w:uiPriority w:val="0"/>
    <w:pPr>
      <w:spacing w:after="120" w:line="480" w:lineRule="exact"/>
      <w:ind w:left="420" w:leftChars="200" w:firstLine="420" w:firstLineChars="200"/>
    </w:pPr>
  </w:style>
  <w:style w:type="paragraph" w:styleId="32">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77"/>
    <w:qFormat/>
    <w:uiPriority w:val="0"/>
    <w:pPr>
      <w:jc w:val="center"/>
      <w:outlineLvl w:val="0"/>
    </w:pPr>
    <w:rPr>
      <w:b/>
      <w:sz w:val="32"/>
      <w:szCs w:val="20"/>
    </w:rPr>
  </w:style>
  <w:style w:type="character" w:styleId="44">
    <w:name w:val="Strong"/>
    <w:qFormat/>
    <w:uiPriority w:val="0"/>
    <w:rPr>
      <w:b/>
      <w:bCs/>
    </w:rPr>
  </w:style>
  <w:style w:type="character" w:styleId="45">
    <w:name w:val="page number"/>
    <w:qFormat/>
    <w:uiPriority w:val="0"/>
  </w:style>
  <w:style w:type="character" w:styleId="46">
    <w:name w:val="FollowedHyperlink"/>
    <w:qFormat/>
    <w:uiPriority w:val="0"/>
    <w:rPr>
      <w:color w:val="800080"/>
      <w:u w:val="single"/>
    </w:rPr>
  </w:style>
  <w:style w:type="character" w:styleId="47">
    <w:name w:val="Emphasis"/>
    <w:qFormat/>
    <w:uiPriority w:val="0"/>
    <w:rPr>
      <w:color w:val="CC0033"/>
    </w:rPr>
  </w:style>
  <w:style w:type="character" w:styleId="48">
    <w:name w:val="Hyperlink"/>
    <w:qFormat/>
    <w:uiPriority w:val="99"/>
    <w:rPr>
      <w:color w:val="0000FF"/>
      <w:u w:val="single"/>
    </w:rPr>
  </w:style>
  <w:style w:type="character" w:styleId="49">
    <w:name w:val="annotation reference"/>
    <w:qFormat/>
    <w:uiPriority w:val="99"/>
    <w:rPr>
      <w:sz w:val="21"/>
      <w:szCs w:val="21"/>
    </w:rPr>
  </w:style>
  <w:style w:type="character" w:styleId="50">
    <w:name w:val="HTML Cite"/>
    <w:qFormat/>
    <w:uiPriority w:val="0"/>
    <w:rPr>
      <w:i/>
      <w:iCs/>
    </w:rPr>
  </w:style>
  <w:style w:type="table" w:styleId="52">
    <w:name w:val="Table Grid"/>
    <w:basedOn w:val="5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53">
    <w:name w:val="Medium Grid 1 Accent 2"/>
    <w:basedOn w:val="51"/>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54">
    <w:name w:val="标题 1 Char"/>
    <w:link w:val="4"/>
    <w:qFormat/>
    <w:uiPriority w:val="0"/>
    <w:rPr>
      <w:rFonts w:ascii="宋体"/>
      <w:b/>
      <w:kern w:val="44"/>
      <w:sz w:val="32"/>
    </w:rPr>
  </w:style>
  <w:style w:type="character" w:customStyle="1" w:styleId="55">
    <w:name w:val="正文文本 Char"/>
    <w:link w:val="2"/>
    <w:qFormat/>
    <w:uiPriority w:val="0"/>
    <w:rPr>
      <w:rFonts w:ascii="宋体" w:hAnsi="宋体"/>
      <w:kern w:val="2"/>
      <w:sz w:val="24"/>
      <w:szCs w:val="24"/>
    </w:rPr>
  </w:style>
  <w:style w:type="character" w:customStyle="1" w:styleId="56">
    <w:name w:val="标题 2 Char1"/>
    <w:link w:val="5"/>
    <w:qFormat/>
    <w:uiPriority w:val="0"/>
    <w:rPr>
      <w:rFonts w:ascii="Arial" w:hAnsi="Arial" w:eastAsia="黑体"/>
      <w:b/>
      <w:sz w:val="30"/>
      <w:lang w:val="en-US" w:eastAsia="zh-CN" w:bidi="ar-SA"/>
    </w:rPr>
  </w:style>
  <w:style w:type="character" w:customStyle="1" w:styleId="57">
    <w:name w:val="正文缩进 Char1"/>
    <w:link w:val="6"/>
    <w:qFormat/>
    <w:uiPriority w:val="0"/>
    <w:rPr>
      <w:rFonts w:ascii="宋体" w:eastAsia="宋体"/>
      <w:kern w:val="2"/>
      <w:sz w:val="24"/>
      <w:szCs w:val="24"/>
      <w:lang w:val="en-US" w:eastAsia="zh-CN" w:bidi="ar-SA"/>
    </w:rPr>
  </w:style>
  <w:style w:type="character" w:customStyle="1" w:styleId="58">
    <w:name w:val="标题 3 Char1"/>
    <w:link w:val="7"/>
    <w:qFormat/>
    <w:uiPriority w:val="0"/>
    <w:rPr>
      <w:rFonts w:ascii="宋体" w:eastAsia="宋体"/>
      <w:b/>
      <w:sz w:val="24"/>
      <w:u w:val="single"/>
      <w:lang w:val="en-US" w:eastAsia="zh-CN" w:bidi="ar-SA"/>
    </w:rPr>
  </w:style>
  <w:style w:type="character" w:customStyle="1" w:styleId="59">
    <w:name w:val="标题 4 Char"/>
    <w:link w:val="8"/>
    <w:qFormat/>
    <w:uiPriority w:val="0"/>
    <w:rPr>
      <w:rFonts w:ascii="Arial" w:hAnsi="Arial" w:eastAsia="黑体"/>
      <w:b/>
      <w:sz w:val="28"/>
    </w:rPr>
  </w:style>
  <w:style w:type="character" w:customStyle="1" w:styleId="60">
    <w:name w:val="标题 5 Char"/>
    <w:link w:val="9"/>
    <w:qFormat/>
    <w:uiPriority w:val="0"/>
    <w:rPr>
      <w:b/>
      <w:sz w:val="28"/>
    </w:rPr>
  </w:style>
  <w:style w:type="character" w:customStyle="1" w:styleId="61">
    <w:name w:val="标题 6 Char"/>
    <w:link w:val="10"/>
    <w:qFormat/>
    <w:uiPriority w:val="0"/>
    <w:rPr>
      <w:rFonts w:ascii="Arial" w:hAnsi="Arial" w:eastAsia="黑体"/>
      <w:b/>
      <w:sz w:val="24"/>
    </w:rPr>
  </w:style>
  <w:style w:type="character" w:customStyle="1" w:styleId="62">
    <w:name w:val="标题 7 Char"/>
    <w:link w:val="11"/>
    <w:qFormat/>
    <w:uiPriority w:val="0"/>
    <w:rPr>
      <w:b/>
      <w:sz w:val="24"/>
    </w:rPr>
  </w:style>
  <w:style w:type="character" w:customStyle="1" w:styleId="63">
    <w:name w:val="标题 8 Char"/>
    <w:link w:val="12"/>
    <w:qFormat/>
    <w:uiPriority w:val="0"/>
    <w:rPr>
      <w:rFonts w:ascii="Arial" w:hAnsi="Arial" w:eastAsia="黑体"/>
      <w:sz w:val="24"/>
    </w:rPr>
  </w:style>
  <w:style w:type="character" w:customStyle="1" w:styleId="64">
    <w:name w:val="标题 9 Char"/>
    <w:link w:val="13"/>
    <w:qFormat/>
    <w:uiPriority w:val="0"/>
    <w:rPr>
      <w:rFonts w:ascii="Arial" w:hAnsi="Arial" w:eastAsia="黑体"/>
      <w:sz w:val="21"/>
    </w:rPr>
  </w:style>
  <w:style w:type="character" w:customStyle="1" w:styleId="65">
    <w:name w:val="文档结构图 Char"/>
    <w:link w:val="18"/>
    <w:qFormat/>
    <w:uiPriority w:val="0"/>
    <w:rPr>
      <w:kern w:val="2"/>
      <w:sz w:val="21"/>
      <w:szCs w:val="24"/>
      <w:shd w:val="clear" w:color="auto" w:fill="000080"/>
    </w:rPr>
  </w:style>
  <w:style w:type="character" w:customStyle="1" w:styleId="66">
    <w:name w:val="批注文字 Char1"/>
    <w:link w:val="15"/>
    <w:qFormat/>
    <w:uiPriority w:val="99"/>
    <w:rPr>
      <w:kern w:val="2"/>
      <w:sz w:val="21"/>
      <w:szCs w:val="24"/>
    </w:rPr>
  </w:style>
  <w:style w:type="character" w:customStyle="1" w:styleId="67">
    <w:name w:val="正文文本 3 Char"/>
    <w:link w:val="19"/>
    <w:qFormat/>
    <w:uiPriority w:val="0"/>
    <w:rPr>
      <w:kern w:val="2"/>
      <w:sz w:val="16"/>
      <w:szCs w:val="16"/>
    </w:rPr>
  </w:style>
  <w:style w:type="character" w:customStyle="1" w:styleId="68">
    <w:name w:val="正文文本缩进 Char2"/>
    <w:link w:val="20"/>
    <w:qFormat/>
    <w:uiPriority w:val="0"/>
    <w:rPr>
      <w:rFonts w:eastAsia="宋体"/>
      <w:kern w:val="2"/>
      <w:sz w:val="24"/>
      <w:szCs w:val="24"/>
      <w:lang w:val="en-US" w:eastAsia="zh-CN" w:bidi="ar-SA"/>
    </w:rPr>
  </w:style>
  <w:style w:type="character" w:customStyle="1" w:styleId="69">
    <w:name w:val="纯文本 Char"/>
    <w:link w:val="25"/>
    <w:qFormat/>
    <w:uiPriority w:val="0"/>
    <w:rPr>
      <w:rFonts w:hint="eastAsia" w:ascii="宋体" w:hAnsi="Courier New" w:eastAsia="宋体" w:cs="宋体"/>
      <w:kern w:val="2"/>
      <w:sz w:val="21"/>
    </w:rPr>
  </w:style>
  <w:style w:type="character" w:customStyle="1" w:styleId="70">
    <w:name w:val="日期 Char"/>
    <w:link w:val="27"/>
    <w:qFormat/>
    <w:uiPriority w:val="0"/>
    <w:rPr>
      <w:rFonts w:ascii="仿宋_GB2312" w:hAnsi="宋体" w:eastAsia="仿宋_GB2312"/>
      <w:color w:val="000000"/>
      <w:kern w:val="2"/>
      <w:sz w:val="24"/>
      <w:szCs w:val="24"/>
    </w:rPr>
  </w:style>
  <w:style w:type="character" w:customStyle="1" w:styleId="71">
    <w:name w:val="正文文本缩进 2 Char"/>
    <w:link w:val="28"/>
    <w:qFormat/>
    <w:uiPriority w:val="0"/>
    <w:rPr>
      <w:rFonts w:ascii="仿宋_GB2312" w:eastAsia="仿宋_GB2312"/>
      <w:kern w:val="2"/>
      <w:sz w:val="24"/>
      <w:szCs w:val="24"/>
    </w:rPr>
  </w:style>
  <w:style w:type="character" w:customStyle="1" w:styleId="72">
    <w:name w:val="批注框文本 Char"/>
    <w:link w:val="29"/>
    <w:qFormat/>
    <w:uiPriority w:val="0"/>
    <w:rPr>
      <w:kern w:val="2"/>
      <w:sz w:val="18"/>
      <w:szCs w:val="18"/>
    </w:rPr>
  </w:style>
  <w:style w:type="character" w:customStyle="1" w:styleId="73">
    <w:name w:val="页脚 Char1"/>
    <w:link w:val="30"/>
    <w:qFormat/>
    <w:uiPriority w:val="99"/>
    <w:rPr>
      <w:rFonts w:ascii="宋体" w:eastAsia="宋体"/>
      <w:sz w:val="18"/>
      <w:lang w:val="en-US" w:eastAsia="zh-CN" w:bidi="ar-SA"/>
    </w:rPr>
  </w:style>
  <w:style w:type="character" w:customStyle="1" w:styleId="74">
    <w:name w:val="页眉 Char1"/>
    <w:link w:val="32"/>
    <w:qFormat/>
    <w:uiPriority w:val="0"/>
    <w:rPr>
      <w:rFonts w:eastAsia="宋体"/>
      <w:kern w:val="2"/>
      <w:sz w:val="18"/>
      <w:szCs w:val="18"/>
      <w:lang w:val="en-US" w:eastAsia="zh-CN" w:bidi="ar-SA"/>
    </w:rPr>
  </w:style>
  <w:style w:type="character" w:customStyle="1" w:styleId="75">
    <w:name w:val="正文文本缩进 3 Char"/>
    <w:link w:val="36"/>
    <w:qFormat/>
    <w:uiPriority w:val="0"/>
    <w:rPr>
      <w:rFonts w:ascii="宋体"/>
      <w:sz w:val="24"/>
    </w:rPr>
  </w:style>
  <w:style w:type="character" w:customStyle="1" w:styleId="76">
    <w:name w:val="HTML 预设格式 Char"/>
    <w:link w:val="39"/>
    <w:qFormat/>
    <w:uiPriority w:val="0"/>
    <w:rPr>
      <w:rFonts w:ascii="宋体" w:hAnsi="宋体" w:cs="宋体"/>
      <w:sz w:val="24"/>
      <w:szCs w:val="24"/>
    </w:rPr>
  </w:style>
  <w:style w:type="character" w:customStyle="1" w:styleId="77">
    <w:name w:val="标题 Char1"/>
    <w:link w:val="42"/>
    <w:qFormat/>
    <w:uiPriority w:val="0"/>
    <w:rPr>
      <w:b/>
      <w:kern w:val="2"/>
      <w:sz w:val="32"/>
    </w:rPr>
  </w:style>
  <w:style w:type="character" w:customStyle="1" w:styleId="78">
    <w:name w:val="批注主题 Char"/>
    <w:link w:val="14"/>
    <w:qFormat/>
    <w:uiPriority w:val="0"/>
    <w:rPr>
      <w:rFonts w:ascii="Times New Roman" w:hAnsi="Times New Roman" w:eastAsia="宋体" w:cs="Times New Roman"/>
      <w:b/>
      <w:bCs/>
      <w:kern w:val="2"/>
      <w:sz w:val="21"/>
      <w:szCs w:val="24"/>
      <w:lang w:val="en-US" w:eastAsia="zh-CN" w:bidi="ar-SA"/>
    </w:rPr>
  </w:style>
  <w:style w:type="character" w:customStyle="1" w:styleId="79">
    <w:name w:val="正文首行缩进 2 Char"/>
    <w:link w:val="31"/>
    <w:qFormat/>
    <w:uiPriority w:val="0"/>
    <w:rPr>
      <w:rFonts w:eastAsia="宋体"/>
      <w:kern w:val="2"/>
      <w:sz w:val="24"/>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qFormat/>
    <w:uiPriority w:val="0"/>
  </w:style>
  <w:style w:type="character" w:customStyle="1" w:styleId="86">
    <w:name w:val="locality"/>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出段落 字符"/>
    <w:link w:val="96"/>
    <w:qFormat/>
    <w:uiPriority w:val="34"/>
    <w:rPr>
      <w:rFonts w:ascii="Calibri" w:hAnsi="Calibri" w:eastAsia="宋体"/>
      <w:kern w:val="2"/>
      <w:sz w:val="21"/>
      <w:szCs w:val="22"/>
      <w:lang w:val="en-US" w:eastAsia="zh-CN" w:bidi="ar-SA"/>
    </w:rPr>
  </w:style>
  <w:style w:type="paragraph" w:customStyle="1" w:styleId="96">
    <w:name w:val="列出段落1"/>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left"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8"/>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5"/>
    <w:qFormat/>
    <w:uiPriority w:val="0"/>
    <w:pPr>
      <w:numPr>
        <w:ilvl w:val="1"/>
        <w:numId w:val="4"/>
      </w:numPr>
      <w:tabs>
        <w:tab w:val="left" w:pos="1188"/>
      </w:tabs>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tabs>
        <w:tab w:val="left" w:pos="360"/>
      </w:tabs>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left"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41"/>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1"/>
    <w:basedOn w:val="1"/>
    <w:qFormat/>
    <w:uiPriority w:val="1"/>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customStyle="1" w:styleId="19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bidi="ar-SA"/>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4"/>
    <w:qFormat/>
    <w:uiPriority w:val="0"/>
    <w:pPr>
      <w:jc w:val="left"/>
    </w:pPr>
    <w:rPr>
      <w:sz w:val="24"/>
      <w:szCs w:val="24"/>
    </w:rPr>
  </w:style>
  <w:style w:type="paragraph" w:customStyle="1" w:styleId="204">
    <w:name w:val="正文小标题"/>
    <w:basedOn w:val="1"/>
    <w:next w:val="6"/>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6"/>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0"/>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unhideWhenUsed/>
    <w:qFormat/>
    <w:uiPriority w:val="2"/>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正文 A"/>
    <w:qFormat/>
    <w:uiPriority w:val="0"/>
    <w:pPr>
      <w:framePr w:wrap="around" w:vAnchor="margin" w:hAnchor="text" w:y="1"/>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250">
    <w:name w:val="表格样式 2"/>
    <w:qFormat/>
    <w:uiPriority w:val="0"/>
    <w:pPr>
      <w:framePr w:wrap="around" w:vAnchor="margin" w:hAnchor="text" w:yAlign="top"/>
    </w:pPr>
    <w:rPr>
      <w:rFonts w:ascii="Helvetica Neue" w:hAnsi="Helvetica Neue" w:eastAsia="Helvetica Neue" w:cs="Helvetica Neue"/>
      <w:color w:val="000000"/>
      <w:lang w:val="en-US" w:eastAsia="zh-CN" w:bidi="ar-SA"/>
    </w:rPr>
  </w:style>
  <w:style w:type="paragraph" w:customStyle="1" w:styleId="251">
    <w:name w:val="正文1"/>
    <w:qFormat/>
    <w:uiPriority w:val="0"/>
    <w:pPr>
      <w:framePr w:wrap="around" w:vAnchor="margin" w:hAnchor="text" w:yAlign="top"/>
    </w:pPr>
    <w:rPr>
      <w:rFonts w:ascii="Helvetica Neue" w:hAnsi="Helvetica Neue" w:eastAsia="Arial Unicode MS" w:cs="Arial Unicode MS"/>
      <w:color w:val="000000"/>
      <w:sz w:val="22"/>
      <w:szCs w:val="22"/>
      <w:lang w:val="zh-CN" w:eastAsia="zh-CN" w:bidi="ar-SA"/>
    </w:rPr>
  </w:style>
  <w:style w:type="paragraph" w:customStyle="1" w:styleId="252">
    <w:name w:val="默认"/>
    <w:qFormat/>
    <w:uiPriority w:val="0"/>
    <w:pPr>
      <w:spacing w:before="160" w:line="288" w:lineRule="auto"/>
    </w:pPr>
    <w:rPr>
      <w:rFonts w:hint="eastAsia" w:ascii="Arial Unicode MS" w:hAnsi="Arial Unicode MS" w:eastAsia="PingFang SC Regular" w:cs="Arial Unicode MS"/>
      <w:color w:val="000000"/>
      <w:sz w:val="24"/>
      <w:szCs w:val="24"/>
      <w:lang w:val="zh-TW" w:eastAsia="zh-TW" w:bidi="ar-SA"/>
    </w:rPr>
  </w:style>
  <w:style w:type="paragraph" w:customStyle="1" w:styleId="253">
    <w:name w:val="List Paragraph2"/>
    <w:basedOn w:val="1"/>
    <w:qFormat/>
    <w:uiPriority w:val="34"/>
    <w:pPr>
      <w:ind w:firstLine="420" w:firstLineChars="200"/>
    </w:pPr>
  </w:style>
  <w:style w:type="paragraph" w:customStyle="1" w:styleId="254">
    <w:name w:val="_Style 253"/>
    <w:unhideWhenUsed/>
    <w:qFormat/>
    <w:uiPriority w:val="99"/>
    <w:rPr>
      <w:rFonts w:ascii="Times New Roman" w:hAnsi="Times New Roman" w:eastAsia="宋体" w:cs="Times New Roman"/>
      <w:kern w:val="2"/>
      <w:sz w:val="21"/>
      <w:szCs w:val="24"/>
      <w:lang w:val="en-US" w:eastAsia="zh-CN" w:bidi="ar-SA"/>
    </w:rPr>
  </w:style>
  <w:style w:type="paragraph" w:customStyle="1" w:styleId="255">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56">
    <w:name w:val="技术报告-正文"/>
    <w:qFormat/>
    <w:uiPriority w:val="0"/>
    <w:pPr>
      <w:widowControl w:val="0"/>
      <w:spacing w:line="360" w:lineRule="auto"/>
      <w:ind w:firstLine="480" w:firstLineChars="200"/>
    </w:pPr>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87B9E4-D904-4FCA-A7A9-0EE3B370667E}">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67</Pages>
  <Words>4947</Words>
  <Characters>28198</Characters>
  <Lines>234</Lines>
  <Paragraphs>66</Paragraphs>
  <ScaleCrop>false</ScaleCrop>
  <LinksUpToDate>false</LinksUpToDate>
  <CharactersWithSpaces>33079</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2024-01-22T03:17:00Z</dcterms:created>
  <dc:creator>尹皓</dc:creator>
  <cp:lastModifiedBy>1234</cp:lastModifiedBy>
  <cp:lastPrinted>2024-01-24T07:49:00Z</cp:lastPrinted>
  <dcterms:modified xsi:type="dcterms:W3CDTF">2024-02-01T10:38:14Z</dcterms:modified>
  <dc:title>02年杜范本稿</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y fmtid="{D5CDD505-2E9C-101B-9397-08002B2CF9AE}" pid="3" name="ICV">
    <vt:lpwstr>EE032C2FF0BF489194AC331F3FD3B672_13</vt:lpwstr>
  </property>
</Properties>
</file>