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C02C2">
      <w:pPr>
        <w:keepNext w:val="0"/>
        <w:keepLines w:val="0"/>
        <w:pageBreakBefore w:val="0"/>
        <w:widowControl w:val="0"/>
        <w:tabs>
          <w:tab w:val="left" w:pos="0"/>
        </w:tabs>
        <w:kinsoku/>
        <w:wordWrap/>
        <w:overflowPunct/>
        <w:topLinePunct w:val="0"/>
        <w:autoSpaceDE w:val="0"/>
        <w:autoSpaceDN w:val="0"/>
        <w:bidi w:val="0"/>
        <w:adjustRightInd w:val="0"/>
        <w:snapToGrid w:val="0"/>
        <w:spacing w:before="0" w:beforeAutospacing="0" w:after="0" w:afterAutospacing="0" w:line="360" w:lineRule="auto"/>
        <w:jc w:val="center"/>
        <w:textAlignment w:val="auto"/>
        <w:outlineLvl w:val="9"/>
        <w:rPr>
          <w:rFonts w:hint="default" w:ascii="Times New Roman" w:hAnsi="Times New Roman" w:eastAsia="宋体" w:cs="Times New Roman"/>
          <w:b/>
          <w:bCs/>
          <w:sz w:val="28"/>
          <w:szCs w:val="28"/>
        </w:rPr>
      </w:pPr>
      <w:bookmarkStart w:id="0" w:name="_Toc28359022"/>
      <w:bookmarkStart w:id="1" w:name="_Toc35393809"/>
      <w:r>
        <w:rPr>
          <w:rFonts w:hint="eastAsia" w:ascii="Times New Roman" w:hAnsi="Times New Roman" w:eastAsia="宋体" w:cs="Times New Roman"/>
          <w:b/>
          <w:bCs/>
          <w:sz w:val="28"/>
          <w:szCs w:val="28"/>
          <w:lang w:eastAsia="zh-CN"/>
        </w:rPr>
        <w:t>北京工业大学服务新质生产力发展推动交叉融合研究仪器设备更新项目-标段二（</w:t>
      </w:r>
      <w:r>
        <w:rPr>
          <w:rFonts w:hint="eastAsia" w:ascii="Times New Roman" w:hAnsi="Times New Roman" w:eastAsia="宋体" w:cs="Times New Roman"/>
          <w:b/>
          <w:bCs/>
          <w:sz w:val="28"/>
          <w:szCs w:val="28"/>
          <w:lang w:val="en-US" w:eastAsia="zh-CN"/>
        </w:rPr>
        <w:t>第10包</w:t>
      </w:r>
      <w:r>
        <w:rPr>
          <w:rFonts w:hint="eastAsia" w:ascii="Times New Roman" w:hAnsi="Times New Roman" w:eastAsia="宋体" w:cs="Times New Roman"/>
          <w:b/>
          <w:bCs/>
          <w:sz w:val="28"/>
          <w:szCs w:val="28"/>
          <w:lang w:eastAsia="zh-CN"/>
        </w:rPr>
        <w:t>）</w:t>
      </w:r>
      <w:r>
        <w:rPr>
          <w:rFonts w:hint="default" w:ascii="Times New Roman" w:hAnsi="Times New Roman" w:eastAsia="宋体" w:cs="Times New Roman"/>
          <w:b/>
          <w:bCs/>
          <w:sz w:val="28"/>
          <w:szCs w:val="28"/>
        </w:rPr>
        <w:t>中标公告</w:t>
      </w:r>
      <w:bookmarkEnd w:id="0"/>
      <w:bookmarkEnd w:id="1"/>
    </w:p>
    <w:p w14:paraId="47A174F6">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一、项目编号：BJJQ-</w:t>
      </w:r>
      <w:r>
        <w:rPr>
          <w:rFonts w:hint="eastAsia" w:ascii="Times New Roman" w:hAnsi="Times New Roman" w:eastAsia="宋体" w:cs="Times New Roman"/>
          <w:sz w:val="24"/>
          <w:szCs w:val="24"/>
          <w:lang w:eastAsia="zh-CN"/>
        </w:rPr>
        <w:t>20</w:t>
      </w:r>
      <w:r>
        <w:rPr>
          <w:rFonts w:hint="eastAsia" w:ascii="Times New Roman" w:hAnsi="Times New Roman" w:eastAsia="宋体" w:cs="Times New Roman"/>
          <w:sz w:val="24"/>
          <w:szCs w:val="24"/>
          <w:highlight w:val="none"/>
          <w:lang w:eastAsia="zh-CN"/>
        </w:rPr>
        <w:t>2</w:t>
      </w:r>
      <w:r>
        <w:rPr>
          <w:rFonts w:hint="eastAsia" w:ascii="Times New Roman" w:hAnsi="Times New Roman" w:eastAsia="宋体" w:cs="Times New Roman"/>
          <w:sz w:val="24"/>
          <w:szCs w:val="24"/>
          <w:highlight w:val="none"/>
          <w:lang w:val="en-US" w:eastAsia="zh-CN"/>
        </w:rPr>
        <w:t>6-276/10</w:t>
      </w:r>
    </w:p>
    <w:p w14:paraId="49F001CC">
      <w:pPr>
        <w:keepNext w:val="0"/>
        <w:keepLines w:val="0"/>
        <w:pageBreakBefore w:val="0"/>
        <w:widowControl w:val="0"/>
        <w:wordWrap/>
        <w:topLinePunct w:val="0"/>
        <w:bidi w:val="0"/>
        <w:snapToGrid w:val="0"/>
        <w:spacing w:line="360" w:lineRule="auto"/>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二、</w:t>
      </w:r>
      <w:r>
        <w:rPr>
          <w:rFonts w:hint="default" w:ascii="Times New Roman" w:hAnsi="Times New Roman" w:eastAsia="宋体" w:cs="Times New Roman"/>
          <w:sz w:val="24"/>
          <w:szCs w:val="24"/>
          <w:highlight w:val="none"/>
        </w:rPr>
        <w:t>项目名称：北京工业大学服务新质生产力发展推动交叉融合研究仪器设备更新项目-标段二</w:t>
      </w:r>
    </w:p>
    <w:p w14:paraId="2C897CA2">
      <w:pPr>
        <w:keepNext w:val="0"/>
        <w:keepLines w:val="0"/>
        <w:pageBreakBefore w:val="0"/>
        <w:widowControl w:val="0"/>
        <w:kinsoku/>
        <w:wordWrap/>
        <w:overflowPunct/>
        <w:topLinePunct w:val="0"/>
        <w:bidi w:val="0"/>
        <w:snapToGrid w:val="0"/>
        <w:spacing w:line="360" w:lineRule="auto"/>
        <w:jc w:val="left"/>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三、中标信息</w:t>
      </w:r>
    </w:p>
    <w:p w14:paraId="2111A0B9">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中标人名称：北京莱博实验室科技有限公司</w:t>
      </w:r>
      <w:r>
        <w:rPr>
          <w:rFonts w:hint="eastAsia" w:ascii="Times New Roman" w:hAnsi="Times New Roman" w:eastAsia="宋体" w:cs="Times New Roman"/>
          <w:sz w:val="24"/>
          <w:szCs w:val="24"/>
          <w:highlight w:val="none"/>
          <w:lang w:eastAsia="zh-CN"/>
        </w:rPr>
        <w:t>（91110102348355873W）</w:t>
      </w:r>
    </w:p>
    <w:p w14:paraId="11E65D8D">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中标人地址：北京市昌平区凉水河路1号院2号楼11层1112</w:t>
      </w:r>
    </w:p>
    <w:p w14:paraId="18B8D5A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中标金额：</w:t>
      </w:r>
    </w:p>
    <w:p w14:paraId="67F6B00A">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人民币大写：壹佰伍拾壹万玖仟肆佰玖拾叁元整</w:t>
      </w:r>
    </w:p>
    <w:p w14:paraId="61AC59E6">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lang w:val="en-US" w:eastAsia="zh-CN"/>
        </w:rPr>
      </w:pPr>
      <w:r>
        <w:rPr>
          <w:rFonts w:hint="eastAsia" w:ascii="Times New Roman" w:hAnsi="Times New Roman" w:eastAsia="宋体" w:cs="Times New Roman"/>
          <w:sz w:val="24"/>
          <w:szCs w:val="24"/>
          <w:highlight w:val="none"/>
          <w:lang w:val="en-US" w:eastAsia="zh-CN"/>
        </w:rPr>
        <w:t>人民币小写：¥1519493.00</w:t>
      </w:r>
    </w:p>
    <w:p w14:paraId="130D4228">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四、主要标的信息</w:t>
      </w:r>
    </w:p>
    <w:p w14:paraId="26F6DA51">
      <w:pPr>
        <w:keepNext w:val="0"/>
        <w:keepLines w:val="0"/>
        <w:pageBreakBefore w:val="0"/>
        <w:widowControl w:val="0"/>
        <w:numPr>
          <w:ilvl w:val="0"/>
          <w:numId w:val="0"/>
        </w:numPr>
        <w:kinsoku/>
        <w:wordWrap/>
        <w:overflowPunct/>
        <w:topLinePunct w:val="0"/>
        <w:bidi w:val="0"/>
        <w:snapToGrid w:val="0"/>
        <w:spacing w:line="360" w:lineRule="auto"/>
        <w:textAlignment w:val="auto"/>
        <w:outlineLvl w:val="9"/>
        <w:rPr>
          <w:rFonts w:hint="eastAsia"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货物类</w:t>
      </w:r>
    </w:p>
    <w:p w14:paraId="6AA7CCEA">
      <w:pPr>
        <w:keepNext w:val="0"/>
        <w:keepLines w:val="0"/>
        <w:pageBreakBefore w:val="0"/>
        <w:widowControl w:val="0"/>
        <w:kinsoku/>
        <w:wordWrap/>
        <w:overflowPunct/>
        <w:topLinePunct w:val="0"/>
        <w:bidi w:val="0"/>
        <w:snapToGrid w:val="0"/>
        <w:spacing w:line="360" w:lineRule="auto"/>
        <w:textAlignment w:val="auto"/>
        <w:outlineLvl w:val="9"/>
        <w:rPr>
          <w:rFonts w:hint="eastAsia" w:ascii="Times New Roman" w:hAnsi="Times New Roman" w:eastAsia="宋体" w:cs="Times New Roman"/>
          <w:kern w:val="2"/>
          <w:sz w:val="24"/>
          <w:szCs w:val="24"/>
          <w:lang w:val="en-US" w:eastAsia="zh-CN" w:bidi="ar-SA"/>
        </w:rPr>
      </w:pPr>
      <w:r>
        <w:rPr>
          <w:rFonts w:hint="default" w:ascii="Times New Roman" w:hAnsi="Times New Roman" w:eastAsia="宋体" w:cs="Times New Roman"/>
          <w:kern w:val="0"/>
          <w:sz w:val="24"/>
          <w:szCs w:val="24"/>
          <w:highlight w:val="none"/>
        </w:rPr>
        <w:t>名称：北京工业大学服务新质生产力发展推动交叉融合研究仪器设备更新项目-标段二</w:t>
      </w:r>
    </w:p>
    <w:tbl>
      <w:tblPr>
        <w:tblStyle w:val="12"/>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6"/>
        <w:gridCol w:w="2575"/>
        <w:gridCol w:w="1536"/>
        <w:gridCol w:w="1043"/>
        <w:gridCol w:w="1468"/>
        <w:gridCol w:w="1757"/>
      </w:tblGrid>
      <w:tr w14:paraId="5CC1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424" w:type="pct"/>
            <w:vAlign w:val="center"/>
          </w:tcPr>
          <w:p w14:paraId="01EA4998">
            <w:pPr>
              <w:jc w:val="center"/>
              <w:rPr>
                <w:rFonts w:hint="eastAsia" w:ascii="宋体" w:hAnsi="宋体" w:eastAsia="宋体" w:cs="宋体"/>
                <w:b/>
                <w:sz w:val="24"/>
                <w:szCs w:val="24"/>
              </w:rPr>
            </w:pPr>
            <w:r>
              <w:rPr>
                <w:rFonts w:hint="eastAsia" w:ascii="宋体" w:hAnsi="宋体" w:eastAsia="宋体" w:cs="宋体"/>
                <w:b/>
                <w:sz w:val="24"/>
                <w:szCs w:val="24"/>
              </w:rPr>
              <w:t>包号</w:t>
            </w:r>
          </w:p>
        </w:tc>
        <w:tc>
          <w:tcPr>
            <w:tcW w:w="1405" w:type="pct"/>
            <w:shd w:val="clear" w:color="auto" w:fill="auto"/>
            <w:vAlign w:val="center"/>
          </w:tcPr>
          <w:p w14:paraId="5F37B72F">
            <w:pPr>
              <w:jc w:val="center"/>
              <w:rPr>
                <w:rFonts w:hint="eastAsia" w:ascii="宋体" w:hAnsi="宋体" w:eastAsia="宋体" w:cs="宋体"/>
                <w:b/>
                <w:kern w:val="2"/>
                <w:sz w:val="24"/>
                <w:szCs w:val="24"/>
                <w:lang w:val="en-US" w:eastAsia="zh-CN" w:bidi="ar-SA"/>
              </w:rPr>
            </w:pPr>
            <w:r>
              <w:rPr>
                <w:rFonts w:hint="eastAsia" w:ascii="宋体" w:hAnsi="宋体" w:eastAsia="宋体" w:cs="宋体"/>
                <w:b/>
                <w:sz w:val="24"/>
                <w:szCs w:val="24"/>
              </w:rPr>
              <w:t>标的名称</w:t>
            </w:r>
          </w:p>
        </w:tc>
        <w:tc>
          <w:tcPr>
            <w:tcW w:w="838" w:type="pct"/>
            <w:vAlign w:val="center"/>
          </w:tcPr>
          <w:p w14:paraId="67C722C0">
            <w:pPr>
              <w:jc w:val="center"/>
              <w:rPr>
                <w:rFonts w:hint="eastAsia" w:ascii="宋体" w:hAnsi="宋体" w:eastAsia="宋体" w:cs="宋体"/>
                <w:b/>
                <w:sz w:val="24"/>
                <w:szCs w:val="24"/>
                <w:lang w:eastAsia="zh-CN"/>
              </w:rPr>
            </w:pPr>
            <w:r>
              <w:rPr>
                <w:rFonts w:hint="eastAsia" w:ascii="宋体" w:hAnsi="宋体" w:eastAsia="宋体" w:cs="宋体"/>
                <w:b/>
                <w:bCs/>
                <w:color w:val="000000"/>
                <w:sz w:val="24"/>
                <w:szCs w:val="24"/>
                <w:lang w:val="en-US" w:eastAsia="zh-CN"/>
              </w:rPr>
              <w:t>单价</w:t>
            </w:r>
          </w:p>
        </w:tc>
        <w:tc>
          <w:tcPr>
            <w:tcW w:w="569" w:type="pct"/>
            <w:vAlign w:val="center"/>
          </w:tcPr>
          <w:p w14:paraId="4A443FCB">
            <w:pPr>
              <w:jc w:val="center"/>
              <w:rPr>
                <w:rFonts w:hint="eastAsia" w:ascii="宋体" w:hAnsi="宋体" w:eastAsia="宋体" w:cs="宋体"/>
                <w:b/>
                <w:sz w:val="24"/>
                <w:szCs w:val="24"/>
              </w:rPr>
            </w:pPr>
            <w:r>
              <w:rPr>
                <w:rFonts w:hint="eastAsia" w:ascii="宋体" w:hAnsi="宋体" w:eastAsia="宋体" w:cs="宋体"/>
                <w:b/>
                <w:sz w:val="24"/>
                <w:szCs w:val="24"/>
              </w:rPr>
              <w:t>数量</w:t>
            </w:r>
          </w:p>
          <w:p w14:paraId="557AA27F">
            <w:pPr>
              <w:jc w:val="center"/>
              <w:rPr>
                <w:rFonts w:hint="eastAsia" w:ascii="宋体" w:hAnsi="宋体" w:eastAsia="宋体" w:cs="宋体"/>
                <w:b/>
                <w:sz w:val="24"/>
                <w:szCs w:val="24"/>
              </w:rPr>
            </w:pPr>
            <w:r>
              <w:rPr>
                <w:rFonts w:hint="eastAsia" w:ascii="宋体" w:hAnsi="宋体" w:eastAsia="宋体" w:cs="宋体"/>
                <w:b/>
                <w:sz w:val="24"/>
                <w:szCs w:val="24"/>
              </w:rPr>
              <w:t>（项/套）</w:t>
            </w:r>
          </w:p>
        </w:tc>
        <w:tc>
          <w:tcPr>
            <w:tcW w:w="801" w:type="pct"/>
            <w:vAlign w:val="center"/>
          </w:tcPr>
          <w:p w14:paraId="4D231E82">
            <w:pPr>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品牌</w:t>
            </w:r>
          </w:p>
        </w:tc>
        <w:tc>
          <w:tcPr>
            <w:tcW w:w="959" w:type="pct"/>
            <w:vAlign w:val="center"/>
          </w:tcPr>
          <w:p w14:paraId="709F0215">
            <w:pPr>
              <w:jc w:val="center"/>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规格型号</w:t>
            </w:r>
          </w:p>
        </w:tc>
      </w:tr>
      <w:tr w14:paraId="392FA2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4" w:type="pct"/>
            <w:vAlign w:val="center"/>
          </w:tcPr>
          <w:p w14:paraId="5869C980">
            <w:pPr>
              <w:widowControl/>
              <w:jc w:val="center"/>
              <w:textAlignment w:val="center"/>
              <w:rPr>
                <w:rFonts w:hint="eastAsia" w:ascii="宋体" w:hAnsi="宋体" w:eastAsia="宋体" w:cs="宋体"/>
                <w:sz w:val="24"/>
                <w:szCs w:val="24"/>
                <w:lang w:val="en-US" w:eastAsia="zh-CN"/>
              </w:rPr>
            </w:pPr>
            <w:bookmarkStart w:id="2" w:name="_Hlk199947147"/>
            <w:r>
              <w:rPr>
                <w:rFonts w:hint="eastAsia" w:ascii="宋体" w:hAnsi="宋体" w:eastAsia="宋体" w:cs="宋体"/>
                <w:sz w:val="24"/>
                <w:szCs w:val="24"/>
                <w:lang w:val="en-US" w:eastAsia="zh-CN"/>
              </w:rPr>
              <w:t>10</w:t>
            </w:r>
          </w:p>
        </w:tc>
        <w:tc>
          <w:tcPr>
            <w:tcW w:w="1405" w:type="pct"/>
            <w:shd w:val="clear" w:color="auto" w:fill="auto"/>
            <w:vAlign w:val="center"/>
          </w:tcPr>
          <w:p w14:paraId="3459CC1B">
            <w:pPr>
              <w:widowControl/>
              <w:jc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color w:val="000000"/>
                <w:kern w:val="0"/>
                <w:sz w:val="24"/>
                <w:szCs w:val="24"/>
              </w:rPr>
              <w:t>多靶磁控溅射系统</w:t>
            </w:r>
          </w:p>
        </w:tc>
        <w:tc>
          <w:tcPr>
            <w:tcW w:w="838" w:type="pct"/>
            <w:vAlign w:val="center"/>
          </w:tcPr>
          <w:p w14:paraId="0B41B40D">
            <w:pPr>
              <w:widowControl/>
              <w:jc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¥1519493.00</w:t>
            </w:r>
          </w:p>
        </w:tc>
        <w:tc>
          <w:tcPr>
            <w:tcW w:w="569" w:type="pct"/>
            <w:vAlign w:val="center"/>
          </w:tcPr>
          <w:p w14:paraId="115BB9B3">
            <w:pPr>
              <w:widowControl/>
              <w:jc w:val="center"/>
              <w:textAlignment w:val="cente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w:t>
            </w:r>
          </w:p>
        </w:tc>
        <w:tc>
          <w:tcPr>
            <w:tcW w:w="801" w:type="pct"/>
            <w:vAlign w:val="center"/>
          </w:tcPr>
          <w:p w14:paraId="1A957E92">
            <w:pPr>
              <w:widowControl/>
              <w:jc w:val="center"/>
              <w:textAlignment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美誉</w:t>
            </w:r>
          </w:p>
        </w:tc>
        <w:tc>
          <w:tcPr>
            <w:tcW w:w="959" w:type="pct"/>
            <w:vAlign w:val="center"/>
          </w:tcPr>
          <w:p w14:paraId="66654EBB">
            <w:pPr>
              <w:widowControl/>
              <w:jc w:val="center"/>
              <w:textAlignment w:val="center"/>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MYCK700</w:t>
            </w:r>
          </w:p>
        </w:tc>
      </w:tr>
      <w:bookmarkEnd w:id="2"/>
    </w:tbl>
    <w:p w14:paraId="527BAEA6">
      <w:pPr>
        <w:keepNext w:val="0"/>
        <w:keepLines w:val="0"/>
        <w:pageBreakBefore w:val="0"/>
        <w:widowControl w:val="0"/>
        <w:numPr>
          <w:ilvl w:val="0"/>
          <w:numId w:val="0"/>
        </w:numPr>
        <w:kinsoku/>
        <w:wordWrap/>
        <w:overflowPunct/>
        <w:topLinePunct w:val="0"/>
        <w:bidi w:val="0"/>
        <w:snapToGrid w:val="0"/>
        <w:spacing w:line="360" w:lineRule="auto"/>
        <w:textAlignment w:val="auto"/>
        <w:outlineLvl w:val="9"/>
        <w:rPr>
          <w:rFonts w:hint="eastAsia" w:ascii="Times New Roman" w:hAnsi="Times New Roman" w:eastAsia="宋体" w:cs="Times New Roman"/>
          <w:kern w:val="2"/>
          <w:sz w:val="24"/>
          <w:szCs w:val="24"/>
          <w:lang w:val="en-US" w:eastAsia="zh-CN" w:bidi="ar-SA"/>
        </w:rPr>
      </w:pPr>
    </w:p>
    <w:p w14:paraId="712FDAEE">
      <w:pPr>
        <w:keepNext w:val="0"/>
        <w:keepLines w:val="0"/>
        <w:pageBreakBefore w:val="0"/>
        <w:widowControl w:val="0"/>
        <w:numPr>
          <w:ilvl w:val="0"/>
          <w:numId w:val="0"/>
        </w:numPr>
        <w:kinsoku/>
        <w:wordWrap/>
        <w:overflowPunct/>
        <w:topLinePunct w:val="0"/>
        <w:bidi w:val="0"/>
        <w:snapToGrid w:val="0"/>
        <w:spacing w:line="360" w:lineRule="auto"/>
        <w:textAlignment w:val="auto"/>
        <w:outlineLvl w:val="9"/>
        <w:rPr>
          <w:rFonts w:hint="eastAsia" w:ascii="Times New Roman" w:hAnsi="Times New Roman" w:eastAsia="宋体" w:cs="Times New Roman"/>
          <w:sz w:val="24"/>
          <w:szCs w:val="24"/>
          <w:lang w:eastAsia="zh-CN"/>
        </w:rPr>
      </w:pPr>
      <w:r>
        <w:rPr>
          <w:rFonts w:hint="eastAsia" w:ascii="Times New Roman" w:hAnsi="Times New Roman" w:eastAsia="宋体" w:cs="Times New Roman"/>
          <w:kern w:val="2"/>
          <w:sz w:val="24"/>
          <w:szCs w:val="24"/>
          <w:lang w:val="en-US" w:eastAsia="zh-CN" w:bidi="ar-SA"/>
        </w:rPr>
        <w:t>五、</w:t>
      </w:r>
      <w:r>
        <w:rPr>
          <w:rFonts w:hint="default" w:ascii="Times New Roman" w:hAnsi="Times New Roman" w:eastAsia="宋体" w:cs="Times New Roman"/>
          <w:sz w:val="24"/>
          <w:szCs w:val="24"/>
        </w:rPr>
        <w:t>评审专家名单：刘荣梅、朱伟娟、赵扬、王文清、蒋从根、王如志</w:t>
      </w:r>
      <w:r>
        <w:rPr>
          <w:rFonts w:hint="eastAsia" w:ascii="Times New Roman" w:hAnsi="Times New Roman" w:eastAsia="宋体" w:cs="Times New Roman"/>
          <w:sz w:val="24"/>
          <w:szCs w:val="24"/>
          <w:lang w:eastAsia="zh-CN"/>
        </w:rPr>
        <w:t>、王波</w:t>
      </w:r>
      <w:bookmarkStart w:id="3" w:name="_GoBack"/>
      <w:bookmarkEnd w:id="3"/>
    </w:p>
    <w:p w14:paraId="3CFFC3F4">
      <w:pPr>
        <w:keepNext w:val="0"/>
        <w:keepLines w:val="0"/>
        <w:pageBreakBefore w:val="0"/>
        <w:widowControl w:val="0"/>
        <w:numPr>
          <w:ilvl w:val="0"/>
          <w:numId w:val="0"/>
        </w:numPr>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六、代理服务收费标准及金额：</w:t>
      </w:r>
      <w:r>
        <w:rPr>
          <w:rFonts w:hint="eastAsia" w:ascii="Times New Roman" w:hAnsi="Times New Roman" w:eastAsia="宋体" w:cs="Times New Roman"/>
          <w:sz w:val="24"/>
          <w:szCs w:val="24"/>
          <w:highlight w:val="none"/>
          <w:lang w:val="en-US" w:eastAsia="zh-CN"/>
        </w:rPr>
        <w:t>2.0714</w:t>
      </w:r>
      <w:r>
        <w:rPr>
          <w:rFonts w:hint="default" w:ascii="Times New Roman" w:hAnsi="Times New Roman" w:eastAsia="宋体" w:cs="Times New Roman"/>
          <w:sz w:val="24"/>
          <w:szCs w:val="24"/>
          <w:highlight w:val="none"/>
        </w:rPr>
        <w:t>万元</w:t>
      </w:r>
      <w:r>
        <w:rPr>
          <w:rFonts w:hint="default" w:ascii="Times New Roman" w:hAnsi="Times New Roman" w:eastAsia="宋体" w:cs="Times New Roman"/>
          <w:sz w:val="24"/>
          <w:szCs w:val="24"/>
          <w:highlight w:val="none"/>
          <w:lang w:val="en-US" w:eastAsia="zh-CN"/>
        </w:rPr>
        <w:t>。</w:t>
      </w:r>
      <w:r>
        <w:rPr>
          <w:rFonts w:hint="default" w:ascii="Times New Roman" w:hAnsi="Times New Roman" w:eastAsia="宋体" w:cs="Times New Roman"/>
          <w:sz w:val="24"/>
          <w:szCs w:val="24"/>
          <w:highlight w:val="none"/>
        </w:rPr>
        <w:t>（收费标准详见招标文件）</w:t>
      </w:r>
    </w:p>
    <w:p w14:paraId="02A9241F">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七、公告期限</w:t>
      </w:r>
    </w:p>
    <w:p w14:paraId="138759AC">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自本公告发布之日起1个工作日。</w:t>
      </w:r>
    </w:p>
    <w:p w14:paraId="788441DF">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八、其他补充事宜</w:t>
      </w:r>
    </w:p>
    <w:p w14:paraId="1C81ACC4">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8.1本公告同时在中国政府采购网（http://www.ccgp.gov.cn）、北京市政府采购网（http://www.ccgp-beijing.gov.cn/）发布。</w:t>
      </w:r>
    </w:p>
    <w:p w14:paraId="3D67201E">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lang w:val="en-US" w:eastAsia="zh-CN"/>
        </w:rPr>
      </w:pPr>
      <w:r>
        <w:rPr>
          <w:rFonts w:hint="default" w:ascii="Times New Roman" w:hAnsi="Times New Roman" w:eastAsia="宋体" w:cs="Times New Roman"/>
          <w:kern w:val="0"/>
          <w:sz w:val="24"/>
          <w:szCs w:val="24"/>
        </w:rPr>
        <w:t>8.2采购代理机构项目编号/包号：BJJQ-2026-</w:t>
      </w:r>
      <w:r>
        <w:rPr>
          <w:rFonts w:hint="default" w:ascii="Times New Roman" w:hAnsi="Times New Roman" w:eastAsia="宋体" w:cs="Times New Roman"/>
          <w:kern w:val="0"/>
          <w:sz w:val="24"/>
          <w:szCs w:val="24"/>
          <w:lang w:val="en-US" w:eastAsia="zh-CN"/>
        </w:rPr>
        <w:t>276</w:t>
      </w:r>
      <w:r>
        <w:rPr>
          <w:rFonts w:hint="eastAsia" w:ascii="Times New Roman" w:hAnsi="Times New Roman" w:eastAsia="宋体" w:cs="Times New Roman"/>
          <w:kern w:val="0"/>
          <w:sz w:val="24"/>
          <w:szCs w:val="24"/>
          <w:lang w:val="en-US" w:eastAsia="zh-CN"/>
        </w:rPr>
        <w:t>/</w:t>
      </w:r>
      <w:r>
        <w:rPr>
          <w:rFonts w:hint="eastAsia" w:ascii="Times New Roman" w:hAnsi="Times New Roman" w:eastAsia="宋体" w:cs="Times New Roman"/>
          <w:sz w:val="24"/>
          <w:szCs w:val="24"/>
          <w:highlight w:val="none"/>
          <w:lang w:val="en-US" w:eastAsia="zh-CN"/>
        </w:rPr>
        <w:t>10</w:t>
      </w:r>
    </w:p>
    <w:p w14:paraId="5577B707">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highlight w:val="none"/>
          <w:lang w:val="en-US" w:eastAsia="zh-CN"/>
        </w:rPr>
      </w:pPr>
      <w:r>
        <w:rPr>
          <w:rFonts w:hint="default" w:ascii="Times New Roman" w:hAnsi="Times New Roman" w:eastAsia="宋体" w:cs="Times New Roman"/>
          <w:sz w:val="24"/>
          <w:szCs w:val="24"/>
          <w:lang w:val="en-US" w:eastAsia="zh-CN"/>
        </w:rPr>
        <w:t>8.3</w:t>
      </w:r>
      <w:r>
        <w:rPr>
          <w:rFonts w:hint="default" w:ascii="Times New Roman" w:hAnsi="Times New Roman" w:eastAsia="宋体" w:cs="Times New Roman"/>
          <w:sz w:val="24"/>
          <w:szCs w:val="24"/>
          <w:highlight w:val="none"/>
          <w:lang w:val="en-US" w:eastAsia="zh-CN"/>
        </w:rPr>
        <w:t>中标/成交供应商的评审总得分为：</w:t>
      </w:r>
      <w:r>
        <w:rPr>
          <w:rFonts w:hint="default" w:ascii="Times New Roman" w:hAnsi="Times New Roman" w:eastAsia="宋体" w:cs="Times New Roman"/>
          <w:i w:val="0"/>
          <w:iCs w:val="0"/>
          <w:color w:val="000000"/>
          <w:kern w:val="2"/>
          <w:sz w:val="24"/>
          <w:szCs w:val="24"/>
          <w:highlight w:val="none"/>
          <w:u w:val="none"/>
          <w:lang w:val="en-US" w:eastAsia="zh-CN" w:bidi="ar-SA"/>
        </w:rPr>
        <w:t>9</w:t>
      </w:r>
      <w:r>
        <w:rPr>
          <w:rFonts w:hint="eastAsia" w:ascii="Times New Roman" w:hAnsi="Times New Roman" w:eastAsia="宋体" w:cs="Times New Roman"/>
          <w:i w:val="0"/>
          <w:iCs w:val="0"/>
          <w:color w:val="000000"/>
          <w:kern w:val="2"/>
          <w:sz w:val="24"/>
          <w:szCs w:val="24"/>
          <w:highlight w:val="none"/>
          <w:u w:val="none"/>
          <w:lang w:val="en-US" w:eastAsia="zh-CN" w:bidi="ar-SA"/>
        </w:rPr>
        <w:t>6</w:t>
      </w:r>
      <w:r>
        <w:rPr>
          <w:rFonts w:hint="default" w:ascii="Times New Roman" w:hAnsi="Times New Roman" w:eastAsia="宋体" w:cs="Times New Roman"/>
          <w:i w:val="0"/>
          <w:iCs w:val="0"/>
          <w:color w:val="000000"/>
          <w:kern w:val="2"/>
          <w:sz w:val="24"/>
          <w:szCs w:val="24"/>
          <w:highlight w:val="none"/>
          <w:u w:val="none"/>
          <w:lang w:val="en-US" w:eastAsia="zh-CN" w:bidi="ar-SA"/>
        </w:rPr>
        <w:t>.29</w:t>
      </w:r>
      <w:r>
        <w:rPr>
          <w:rFonts w:hint="default" w:ascii="Times New Roman" w:hAnsi="Times New Roman" w:eastAsia="宋体" w:cs="Times New Roman"/>
          <w:kern w:val="0"/>
          <w:sz w:val="24"/>
          <w:szCs w:val="24"/>
          <w:highlight w:val="none"/>
        </w:rPr>
        <w:t>。</w:t>
      </w:r>
    </w:p>
    <w:p w14:paraId="3365984A">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九、凡对本次公告内容提出询问，请按以下方式联系。</w:t>
      </w:r>
    </w:p>
    <w:p w14:paraId="446CD385">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1.采购人信息</w:t>
      </w:r>
    </w:p>
    <w:p w14:paraId="389D7EC4">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称：北京工业大学</w:t>
      </w:r>
    </w:p>
    <w:p w14:paraId="6C1A1912">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    址：北京市朝阳区平乐园100号</w:t>
      </w:r>
    </w:p>
    <w:p w14:paraId="0D335D5A">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联系方式：李老师，010-67392339</w:t>
      </w:r>
    </w:p>
    <w:p w14:paraId="4AA55A81">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2.采购代理机构信息</w:t>
      </w:r>
    </w:p>
    <w:p w14:paraId="395AD841">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名    称：北京汇诚金桥国际招标咨询有限公司</w:t>
      </w:r>
    </w:p>
    <w:p w14:paraId="6EE63BA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地    址：北京市东城区朝内大街南竹杆胡同6号北京INN 3号楼9层</w:t>
      </w:r>
    </w:p>
    <w:p w14:paraId="1D19A1A5">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联系方式：张微、王鑫国、王佳琪、李先磊、张萍，010-65699706、65244876</w:t>
      </w:r>
    </w:p>
    <w:p w14:paraId="0EB33C87">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3.项目联系方式</w:t>
      </w:r>
    </w:p>
    <w:p w14:paraId="357CEE1E">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项目联系人：张微、王鑫国、王佳琪、李先磊、张萍</w:t>
      </w:r>
    </w:p>
    <w:p w14:paraId="50A911C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电      话：010-65699706、65244876</w:t>
      </w:r>
    </w:p>
    <w:p w14:paraId="3C5537CD">
      <w:pPr>
        <w:keepNext w:val="0"/>
        <w:keepLines w:val="0"/>
        <w:pageBreakBefore w:val="0"/>
        <w:widowControl w:val="0"/>
        <w:kinsoku/>
        <w:wordWrap/>
        <w:overflowPunct/>
        <w:topLinePunct w:val="0"/>
        <w:bidi w:val="0"/>
        <w:snapToGrid w:val="0"/>
        <w:spacing w:line="360" w:lineRule="auto"/>
        <w:textAlignment w:val="auto"/>
        <w:outlineLvl w:val="9"/>
        <w:rPr>
          <w:rFonts w:hint="default" w:ascii="Times New Roman" w:hAnsi="Times New Roman" w:eastAsia="宋体" w:cs="Times New Roman"/>
          <w:kern w:val="0"/>
          <w:sz w:val="24"/>
          <w:szCs w:val="24"/>
        </w:rPr>
      </w:pPr>
      <w:r>
        <w:rPr>
          <w:rFonts w:hint="default" w:ascii="Times New Roman" w:hAnsi="Times New Roman" w:eastAsia="宋体" w:cs="Times New Roman"/>
          <w:kern w:val="0"/>
          <w:sz w:val="24"/>
          <w:szCs w:val="24"/>
        </w:rPr>
        <w:t>十、附件</w:t>
      </w:r>
    </w:p>
    <w:p w14:paraId="2EF583D0">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kern w:val="0"/>
          <w:sz w:val="24"/>
          <w:szCs w:val="24"/>
          <w:highlight w:val="none"/>
        </w:rPr>
      </w:pPr>
      <w:r>
        <w:rPr>
          <w:rFonts w:hint="default" w:ascii="Times New Roman" w:hAnsi="Times New Roman" w:eastAsia="宋体" w:cs="Times New Roman"/>
          <w:kern w:val="0"/>
          <w:sz w:val="24"/>
          <w:szCs w:val="24"/>
          <w:highlight w:val="none"/>
        </w:rPr>
        <w:t>1.采购文件</w:t>
      </w:r>
    </w:p>
    <w:p w14:paraId="28F3569C">
      <w:pPr>
        <w:keepNext w:val="0"/>
        <w:keepLines w:val="0"/>
        <w:pageBreakBefore w:val="0"/>
        <w:widowControl w:val="0"/>
        <w:kinsoku/>
        <w:wordWrap/>
        <w:overflowPunct/>
        <w:topLinePunct w:val="0"/>
        <w:bidi w:val="0"/>
        <w:snapToGrid w:val="0"/>
        <w:spacing w:line="360" w:lineRule="auto"/>
        <w:ind w:firstLine="480" w:firstLineChars="200"/>
        <w:textAlignment w:val="auto"/>
        <w:outlineLvl w:val="9"/>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2.中小企业声明函</w:t>
      </w:r>
    </w:p>
    <w:sectPr>
      <w:pgSz w:w="11906" w:h="16838"/>
      <w:pgMar w:top="1440" w:right="1480" w:bottom="1440" w:left="14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00006FF" w:usb1="4000205B" w:usb2="0000001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WRlMDc5ZmI4OGJkMzU2ZmQ2ZGJkNGUwMGUzZjkyMTMifQ=="/>
  </w:docVars>
  <w:rsids>
    <w:rsidRoot w:val="004D1179"/>
    <w:rsid w:val="00041363"/>
    <w:rsid w:val="00051475"/>
    <w:rsid w:val="0006144F"/>
    <w:rsid w:val="000F1E9E"/>
    <w:rsid w:val="00114392"/>
    <w:rsid w:val="00200845"/>
    <w:rsid w:val="00222088"/>
    <w:rsid w:val="002223BB"/>
    <w:rsid w:val="00242A0B"/>
    <w:rsid w:val="00276863"/>
    <w:rsid w:val="00291F93"/>
    <w:rsid w:val="002B0001"/>
    <w:rsid w:val="002C135D"/>
    <w:rsid w:val="002E320C"/>
    <w:rsid w:val="00323F82"/>
    <w:rsid w:val="00403D39"/>
    <w:rsid w:val="0041710E"/>
    <w:rsid w:val="004B7BE5"/>
    <w:rsid w:val="004D1179"/>
    <w:rsid w:val="00567B81"/>
    <w:rsid w:val="005A36BD"/>
    <w:rsid w:val="005A3917"/>
    <w:rsid w:val="00616AC2"/>
    <w:rsid w:val="006608AB"/>
    <w:rsid w:val="0068011A"/>
    <w:rsid w:val="006A11AD"/>
    <w:rsid w:val="0070324D"/>
    <w:rsid w:val="00705D10"/>
    <w:rsid w:val="007126CB"/>
    <w:rsid w:val="00721F31"/>
    <w:rsid w:val="0077059A"/>
    <w:rsid w:val="007E5356"/>
    <w:rsid w:val="007F65BC"/>
    <w:rsid w:val="00951B8E"/>
    <w:rsid w:val="009729BF"/>
    <w:rsid w:val="00980C03"/>
    <w:rsid w:val="009E442F"/>
    <w:rsid w:val="00A42D63"/>
    <w:rsid w:val="00A4544A"/>
    <w:rsid w:val="00A83878"/>
    <w:rsid w:val="00AC6049"/>
    <w:rsid w:val="00AE5856"/>
    <w:rsid w:val="00B13947"/>
    <w:rsid w:val="00B13FF5"/>
    <w:rsid w:val="00B33BC6"/>
    <w:rsid w:val="00BA3803"/>
    <w:rsid w:val="00BA7848"/>
    <w:rsid w:val="00C42EAD"/>
    <w:rsid w:val="00C61709"/>
    <w:rsid w:val="00C852EA"/>
    <w:rsid w:val="00CB59BC"/>
    <w:rsid w:val="00CC205A"/>
    <w:rsid w:val="00D20014"/>
    <w:rsid w:val="00D230C0"/>
    <w:rsid w:val="00D916AE"/>
    <w:rsid w:val="00DA630C"/>
    <w:rsid w:val="00DD001C"/>
    <w:rsid w:val="00DE3240"/>
    <w:rsid w:val="00DF35BE"/>
    <w:rsid w:val="00E00211"/>
    <w:rsid w:val="00E20D6A"/>
    <w:rsid w:val="00ED27D0"/>
    <w:rsid w:val="00F65A74"/>
    <w:rsid w:val="00FA634B"/>
    <w:rsid w:val="00FE10A1"/>
    <w:rsid w:val="00FE498C"/>
    <w:rsid w:val="01136E63"/>
    <w:rsid w:val="01696E62"/>
    <w:rsid w:val="02553FCA"/>
    <w:rsid w:val="02BE2C9A"/>
    <w:rsid w:val="02CB0D62"/>
    <w:rsid w:val="02CF4A12"/>
    <w:rsid w:val="03F07270"/>
    <w:rsid w:val="047D4ADC"/>
    <w:rsid w:val="04AB0DE4"/>
    <w:rsid w:val="05257DE5"/>
    <w:rsid w:val="07C17B6D"/>
    <w:rsid w:val="07ED6B70"/>
    <w:rsid w:val="08C07E24"/>
    <w:rsid w:val="08F902D0"/>
    <w:rsid w:val="09B1391A"/>
    <w:rsid w:val="0A1246B0"/>
    <w:rsid w:val="0B6451D5"/>
    <w:rsid w:val="0BA77260"/>
    <w:rsid w:val="0C7D610B"/>
    <w:rsid w:val="0C9D67DB"/>
    <w:rsid w:val="0D01255D"/>
    <w:rsid w:val="0D2F2227"/>
    <w:rsid w:val="0D887D9E"/>
    <w:rsid w:val="0F2A424A"/>
    <w:rsid w:val="0FAD5E77"/>
    <w:rsid w:val="0FF241AB"/>
    <w:rsid w:val="110765F0"/>
    <w:rsid w:val="11183D21"/>
    <w:rsid w:val="123F1734"/>
    <w:rsid w:val="12C90772"/>
    <w:rsid w:val="13913A86"/>
    <w:rsid w:val="15797DD7"/>
    <w:rsid w:val="15E02488"/>
    <w:rsid w:val="164C2CF7"/>
    <w:rsid w:val="16D57556"/>
    <w:rsid w:val="17C65B59"/>
    <w:rsid w:val="181D7194"/>
    <w:rsid w:val="184521C1"/>
    <w:rsid w:val="185D0F99"/>
    <w:rsid w:val="190A06E1"/>
    <w:rsid w:val="1AC032FE"/>
    <w:rsid w:val="1CCF5B1C"/>
    <w:rsid w:val="1D3A7D4E"/>
    <w:rsid w:val="1D4C2506"/>
    <w:rsid w:val="1EF54315"/>
    <w:rsid w:val="1F2C703E"/>
    <w:rsid w:val="200B1D89"/>
    <w:rsid w:val="20D56BF9"/>
    <w:rsid w:val="217001E2"/>
    <w:rsid w:val="21C16614"/>
    <w:rsid w:val="21F96902"/>
    <w:rsid w:val="221F5568"/>
    <w:rsid w:val="223B5668"/>
    <w:rsid w:val="22932D9C"/>
    <w:rsid w:val="22D446A8"/>
    <w:rsid w:val="22EE7E5C"/>
    <w:rsid w:val="230C4872"/>
    <w:rsid w:val="239D5B35"/>
    <w:rsid w:val="23D75E19"/>
    <w:rsid w:val="23DA097F"/>
    <w:rsid w:val="243634BC"/>
    <w:rsid w:val="24A7178C"/>
    <w:rsid w:val="261C1E67"/>
    <w:rsid w:val="26BD7F0C"/>
    <w:rsid w:val="26DE70F5"/>
    <w:rsid w:val="27F50152"/>
    <w:rsid w:val="28B67AF8"/>
    <w:rsid w:val="29334258"/>
    <w:rsid w:val="2959266F"/>
    <w:rsid w:val="29B77AED"/>
    <w:rsid w:val="29BB1C3D"/>
    <w:rsid w:val="2ACD5ABD"/>
    <w:rsid w:val="2B8B1BD1"/>
    <w:rsid w:val="2BEA3703"/>
    <w:rsid w:val="2D0E6797"/>
    <w:rsid w:val="2E6B4FE9"/>
    <w:rsid w:val="2E74760D"/>
    <w:rsid w:val="2EF97A69"/>
    <w:rsid w:val="2FE80BCD"/>
    <w:rsid w:val="301D32E3"/>
    <w:rsid w:val="31707DD9"/>
    <w:rsid w:val="31A54FC6"/>
    <w:rsid w:val="31F80E20"/>
    <w:rsid w:val="323E2BF9"/>
    <w:rsid w:val="331A5143"/>
    <w:rsid w:val="33BF1E86"/>
    <w:rsid w:val="33E30508"/>
    <w:rsid w:val="33E71DD4"/>
    <w:rsid w:val="33EB211A"/>
    <w:rsid w:val="34A65CD1"/>
    <w:rsid w:val="34C06528"/>
    <w:rsid w:val="34E42621"/>
    <w:rsid w:val="353E7F47"/>
    <w:rsid w:val="35D76ECB"/>
    <w:rsid w:val="35DC2459"/>
    <w:rsid w:val="36463C3A"/>
    <w:rsid w:val="36D93CDC"/>
    <w:rsid w:val="371E7D05"/>
    <w:rsid w:val="3820693B"/>
    <w:rsid w:val="38A30A45"/>
    <w:rsid w:val="38FF40E2"/>
    <w:rsid w:val="39372984"/>
    <w:rsid w:val="394D6D52"/>
    <w:rsid w:val="397228F1"/>
    <w:rsid w:val="3A9540E4"/>
    <w:rsid w:val="3B062BD9"/>
    <w:rsid w:val="3B74579C"/>
    <w:rsid w:val="3C3B29DE"/>
    <w:rsid w:val="3C4758CA"/>
    <w:rsid w:val="3CA7694E"/>
    <w:rsid w:val="3D2B1E55"/>
    <w:rsid w:val="3EA76F04"/>
    <w:rsid w:val="3F784910"/>
    <w:rsid w:val="4113657C"/>
    <w:rsid w:val="417A21AD"/>
    <w:rsid w:val="4292190E"/>
    <w:rsid w:val="43657023"/>
    <w:rsid w:val="43AF4E7B"/>
    <w:rsid w:val="45D83ADD"/>
    <w:rsid w:val="45F44786"/>
    <w:rsid w:val="4678078E"/>
    <w:rsid w:val="4703102D"/>
    <w:rsid w:val="47377ED1"/>
    <w:rsid w:val="473D66E2"/>
    <w:rsid w:val="4817505D"/>
    <w:rsid w:val="48382C99"/>
    <w:rsid w:val="48474BEB"/>
    <w:rsid w:val="486C05FC"/>
    <w:rsid w:val="48E64762"/>
    <w:rsid w:val="494237D2"/>
    <w:rsid w:val="49E061A1"/>
    <w:rsid w:val="4A353E64"/>
    <w:rsid w:val="4B95421D"/>
    <w:rsid w:val="4C2A2BB8"/>
    <w:rsid w:val="4C704EB3"/>
    <w:rsid w:val="4D357A66"/>
    <w:rsid w:val="4D950505"/>
    <w:rsid w:val="4E284F78"/>
    <w:rsid w:val="4F5B7E44"/>
    <w:rsid w:val="5052089F"/>
    <w:rsid w:val="50546455"/>
    <w:rsid w:val="50C23D07"/>
    <w:rsid w:val="50F252BD"/>
    <w:rsid w:val="51564A5C"/>
    <w:rsid w:val="51C370F3"/>
    <w:rsid w:val="523C53F3"/>
    <w:rsid w:val="524C1D13"/>
    <w:rsid w:val="535661E9"/>
    <w:rsid w:val="53E50FED"/>
    <w:rsid w:val="54452748"/>
    <w:rsid w:val="55047602"/>
    <w:rsid w:val="552B4657"/>
    <w:rsid w:val="572D3910"/>
    <w:rsid w:val="58812CC3"/>
    <w:rsid w:val="59040777"/>
    <w:rsid w:val="590C46A9"/>
    <w:rsid w:val="59832A99"/>
    <w:rsid w:val="5A555CC1"/>
    <w:rsid w:val="5AA7161B"/>
    <w:rsid w:val="5B0D4C47"/>
    <w:rsid w:val="5B227472"/>
    <w:rsid w:val="5BC53F6F"/>
    <w:rsid w:val="5D1D62C3"/>
    <w:rsid w:val="5D2E3660"/>
    <w:rsid w:val="5D9600A9"/>
    <w:rsid w:val="5DFA4E92"/>
    <w:rsid w:val="5FB766A7"/>
    <w:rsid w:val="615C1384"/>
    <w:rsid w:val="61CB1C59"/>
    <w:rsid w:val="61DA761E"/>
    <w:rsid w:val="61FE6414"/>
    <w:rsid w:val="620938BB"/>
    <w:rsid w:val="638D0FC5"/>
    <w:rsid w:val="639E415F"/>
    <w:rsid w:val="64555495"/>
    <w:rsid w:val="6464424D"/>
    <w:rsid w:val="65210C32"/>
    <w:rsid w:val="67DE134E"/>
    <w:rsid w:val="688073A5"/>
    <w:rsid w:val="688866DB"/>
    <w:rsid w:val="68AA7C5D"/>
    <w:rsid w:val="68BC27D9"/>
    <w:rsid w:val="6BD24BEE"/>
    <w:rsid w:val="6BF316FD"/>
    <w:rsid w:val="6C3732C3"/>
    <w:rsid w:val="6C44786E"/>
    <w:rsid w:val="6C7831E9"/>
    <w:rsid w:val="6CD31260"/>
    <w:rsid w:val="6F911144"/>
    <w:rsid w:val="70577AF6"/>
    <w:rsid w:val="70730722"/>
    <w:rsid w:val="709B4D1C"/>
    <w:rsid w:val="70E125B1"/>
    <w:rsid w:val="715B1BB0"/>
    <w:rsid w:val="722667E1"/>
    <w:rsid w:val="72565C05"/>
    <w:rsid w:val="72A61BB4"/>
    <w:rsid w:val="72D119A7"/>
    <w:rsid w:val="73B11409"/>
    <w:rsid w:val="74122D63"/>
    <w:rsid w:val="743862F7"/>
    <w:rsid w:val="74D73A54"/>
    <w:rsid w:val="755900D2"/>
    <w:rsid w:val="75D53A13"/>
    <w:rsid w:val="75F15752"/>
    <w:rsid w:val="763F1768"/>
    <w:rsid w:val="76854D0B"/>
    <w:rsid w:val="77446EFF"/>
    <w:rsid w:val="77DF672E"/>
    <w:rsid w:val="77F15368"/>
    <w:rsid w:val="77FC0C7C"/>
    <w:rsid w:val="78085EAD"/>
    <w:rsid w:val="782918BB"/>
    <w:rsid w:val="7886117B"/>
    <w:rsid w:val="78F706C7"/>
    <w:rsid w:val="79064EBE"/>
    <w:rsid w:val="790A1D26"/>
    <w:rsid w:val="79D30EB7"/>
    <w:rsid w:val="7AE75338"/>
    <w:rsid w:val="7B2678E9"/>
    <w:rsid w:val="7B76356F"/>
    <w:rsid w:val="7C1F21B2"/>
    <w:rsid w:val="7E153109"/>
    <w:rsid w:val="7E957F19"/>
    <w:rsid w:val="7ED925CB"/>
    <w:rsid w:val="7F5F5509"/>
    <w:rsid w:val="7F673200"/>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qFormat="1" w:unhideWhenUsed="0" w:uiPriority="0" w:semiHidden="0" w:name="Normal Indent"/>
    <w:lsdException w:uiPriority="99" w:name="footnote text"/>
    <w:lsdException w:qFormat="1" w:unhideWhenUsed="0"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qFormat="1" w:unhideWhenUsed="0"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0" w:semiHidden="0" w:name="Plain Text"/>
    <w:lsdException w:uiPriority="99" w:name="E-mail Signature"/>
    <w:lsdException w:uiPriority="99"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uiPriority="99" w:name="HTML Preformatted"/>
    <w:lsdException w:uiPriority="99" w:name="HTML Sample"/>
    <w:lsdException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26"/>
    <w:autoRedefine/>
    <w:qFormat/>
    <w:uiPriority w:val="99"/>
    <w:pPr>
      <w:widowControl/>
      <w:spacing w:before="100" w:beforeAutospacing="1" w:after="100" w:afterAutospacing="1"/>
      <w:jc w:val="left"/>
      <w:outlineLvl w:val="0"/>
    </w:pPr>
    <w:rPr>
      <w:rFonts w:ascii="宋体" w:hAnsi="宋体" w:eastAsia="宋体" w:cs="宋体"/>
      <w:b/>
      <w:bCs/>
      <w:kern w:val="36"/>
      <w:sz w:val="48"/>
      <w:szCs w:val="48"/>
    </w:rPr>
  </w:style>
  <w:style w:type="paragraph" w:styleId="3">
    <w:name w:val="heading 2"/>
    <w:basedOn w:val="1"/>
    <w:next w:val="1"/>
    <w:link w:val="27"/>
    <w:autoRedefine/>
    <w:qFormat/>
    <w:uiPriority w:val="9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4">
    <w:name w:val="Default Paragraph Font"/>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4">
    <w:name w:val="Normal Indent"/>
    <w:basedOn w:val="1"/>
    <w:next w:val="1"/>
    <w:autoRedefine/>
    <w:qFormat/>
    <w:uiPriority w:val="0"/>
    <w:pPr>
      <w:autoSpaceDE w:val="0"/>
      <w:autoSpaceDN w:val="0"/>
      <w:adjustRightInd w:val="0"/>
      <w:ind w:firstLine="420"/>
      <w:jc w:val="left"/>
    </w:pPr>
    <w:rPr>
      <w:rFonts w:ascii="宋体"/>
      <w:sz w:val="24"/>
    </w:rPr>
  </w:style>
  <w:style w:type="paragraph" w:styleId="5">
    <w:name w:val="annotation text"/>
    <w:basedOn w:val="1"/>
    <w:link w:val="29"/>
    <w:autoRedefine/>
    <w:semiHidden/>
    <w:qFormat/>
    <w:uiPriority w:val="99"/>
    <w:pPr>
      <w:jc w:val="left"/>
    </w:pPr>
    <w:rPr>
      <w:rFonts w:ascii="Times New Roman" w:hAnsi="Times New Roman" w:eastAsia="宋体"/>
      <w:szCs w:val="24"/>
    </w:rPr>
  </w:style>
  <w:style w:type="paragraph" w:styleId="6">
    <w:name w:val="Body Text"/>
    <w:basedOn w:val="1"/>
    <w:next w:val="7"/>
    <w:autoRedefine/>
    <w:qFormat/>
    <w:uiPriority w:val="0"/>
    <w:pPr>
      <w:tabs>
        <w:tab w:val="left" w:pos="567"/>
      </w:tabs>
      <w:spacing w:before="120" w:line="22" w:lineRule="atLeast"/>
    </w:pPr>
    <w:rPr>
      <w:rFonts w:ascii="宋体" w:hAnsi="宋体"/>
      <w:sz w:val="24"/>
    </w:rPr>
  </w:style>
  <w:style w:type="paragraph" w:customStyle="1" w:styleId="7">
    <w:name w:val="目录 53"/>
    <w:next w:val="1"/>
    <w:autoRedefine/>
    <w:qFormat/>
    <w:uiPriority w:val="0"/>
    <w:pPr>
      <w:wordWrap w:val="0"/>
      <w:ind w:left="1275"/>
      <w:jc w:val="both"/>
    </w:pPr>
    <w:rPr>
      <w:rFonts w:ascii="Times New Roman" w:hAnsi="Times New Roman" w:eastAsia="宋体" w:cs="Times New Roman"/>
      <w:sz w:val="21"/>
      <w:lang w:val="en-US" w:eastAsia="zh-CN" w:bidi="ar-SA"/>
    </w:rPr>
  </w:style>
  <w:style w:type="paragraph" w:styleId="8">
    <w:name w:val="Plain Text"/>
    <w:basedOn w:val="1"/>
    <w:link w:val="28"/>
    <w:autoRedefine/>
    <w:qFormat/>
    <w:uiPriority w:val="0"/>
    <w:rPr>
      <w:rFonts w:ascii="宋体" w:hAnsi="Courier New"/>
    </w:rPr>
  </w:style>
  <w:style w:type="paragraph" w:styleId="9">
    <w:name w:val="Balloon Text"/>
    <w:basedOn w:val="1"/>
    <w:link w:val="30"/>
    <w:autoRedefine/>
    <w:semiHidden/>
    <w:qFormat/>
    <w:uiPriority w:val="99"/>
    <w:rPr>
      <w:sz w:val="18"/>
      <w:szCs w:val="18"/>
    </w:rPr>
  </w:style>
  <w:style w:type="paragraph" w:styleId="10">
    <w:name w:val="footer"/>
    <w:basedOn w:val="1"/>
    <w:link w:val="32"/>
    <w:autoRedefine/>
    <w:unhideWhenUsed/>
    <w:qFormat/>
    <w:uiPriority w:val="99"/>
    <w:pPr>
      <w:tabs>
        <w:tab w:val="center" w:pos="4153"/>
        <w:tab w:val="right" w:pos="8306"/>
      </w:tabs>
      <w:snapToGrid w:val="0"/>
      <w:jc w:val="left"/>
    </w:pPr>
    <w:rPr>
      <w:sz w:val="18"/>
      <w:szCs w:val="18"/>
    </w:rPr>
  </w:style>
  <w:style w:type="paragraph" w:styleId="11">
    <w:name w:val="header"/>
    <w:basedOn w:val="1"/>
    <w:link w:val="31"/>
    <w:autoRedefine/>
    <w:unhideWhenUsed/>
    <w:qFormat/>
    <w:uiPriority w:val="99"/>
    <w:pPr>
      <w:pBdr>
        <w:bottom w:val="single" w:color="auto" w:sz="6" w:space="1"/>
      </w:pBdr>
      <w:tabs>
        <w:tab w:val="center" w:pos="4153"/>
        <w:tab w:val="right" w:pos="8306"/>
      </w:tabs>
      <w:snapToGrid w:val="0"/>
      <w:jc w:val="center"/>
    </w:pPr>
    <w:rPr>
      <w:sz w:val="18"/>
      <w:szCs w:val="18"/>
    </w:rPr>
  </w:style>
  <w:style w:type="table" w:styleId="13">
    <w:name w:val="Table Grid"/>
    <w:basedOn w:val="12"/>
    <w:autoRedefine/>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5">
    <w:name w:val="Strong"/>
    <w:basedOn w:val="14"/>
    <w:autoRedefine/>
    <w:qFormat/>
    <w:locked/>
    <w:uiPriority w:val="0"/>
  </w:style>
  <w:style w:type="character" w:styleId="16">
    <w:name w:val="FollowedHyperlink"/>
    <w:basedOn w:val="14"/>
    <w:autoRedefine/>
    <w:semiHidden/>
    <w:unhideWhenUsed/>
    <w:qFormat/>
    <w:uiPriority w:val="99"/>
    <w:rPr>
      <w:color w:val="000000"/>
      <w:u w:val="none"/>
    </w:rPr>
  </w:style>
  <w:style w:type="character" w:styleId="17">
    <w:name w:val="Emphasis"/>
    <w:basedOn w:val="14"/>
    <w:autoRedefine/>
    <w:qFormat/>
    <w:locked/>
    <w:uiPriority w:val="0"/>
  </w:style>
  <w:style w:type="character" w:styleId="18">
    <w:name w:val="HTML Definition"/>
    <w:basedOn w:val="14"/>
    <w:autoRedefine/>
    <w:semiHidden/>
    <w:unhideWhenUsed/>
    <w:qFormat/>
    <w:uiPriority w:val="99"/>
  </w:style>
  <w:style w:type="character" w:styleId="19">
    <w:name w:val="HTML Acronym"/>
    <w:basedOn w:val="14"/>
    <w:autoRedefine/>
    <w:semiHidden/>
    <w:unhideWhenUsed/>
    <w:qFormat/>
    <w:uiPriority w:val="99"/>
  </w:style>
  <w:style w:type="character" w:styleId="20">
    <w:name w:val="HTML Variable"/>
    <w:basedOn w:val="14"/>
    <w:autoRedefine/>
    <w:semiHidden/>
    <w:unhideWhenUsed/>
    <w:qFormat/>
    <w:uiPriority w:val="99"/>
  </w:style>
  <w:style w:type="character" w:styleId="21">
    <w:name w:val="Hyperlink"/>
    <w:basedOn w:val="14"/>
    <w:autoRedefine/>
    <w:semiHidden/>
    <w:unhideWhenUsed/>
    <w:qFormat/>
    <w:uiPriority w:val="99"/>
    <w:rPr>
      <w:color w:val="000000"/>
      <w:u w:val="none"/>
    </w:rPr>
  </w:style>
  <w:style w:type="character" w:styleId="22">
    <w:name w:val="HTML Code"/>
    <w:basedOn w:val="14"/>
    <w:semiHidden/>
    <w:unhideWhenUsed/>
    <w:qFormat/>
    <w:uiPriority w:val="99"/>
    <w:rPr>
      <w:rFonts w:ascii="Courier New" w:hAnsi="Courier New"/>
      <w:sz w:val="20"/>
    </w:rPr>
  </w:style>
  <w:style w:type="character" w:styleId="23">
    <w:name w:val="annotation reference"/>
    <w:autoRedefine/>
    <w:semiHidden/>
    <w:qFormat/>
    <w:uiPriority w:val="99"/>
    <w:rPr>
      <w:rFonts w:cs="Times New Roman"/>
      <w:sz w:val="21"/>
      <w:szCs w:val="21"/>
    </w:rPr>
  </w:style>
  <w:style w:type="character" w:styleId="24">
    <w:name w:val="HTML Cite"/>
    <w:basedOn w:val="14"/>
    <w:autoRedefine/>
    <w:semiHidden/>
    <w:unhideWhenUsed/>
    <w:qFormat/>
    <w:uiPriority w:val="99"/>
  </w:style>
  <w:style w:type="paragraph" w:customStyle="1" w:styleId="25">
    <w:name w:val="Default"/>
    <w:autoRedefine/>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character" w:customStyle="1" w:styleId="26">
    <w:name w:val="标题 1 字符"/>
    <w:link w:val="2"/>
    <w:autoRedefine/>
    <w:qFormat/>
    <w:locked/>
    <w:uiPriority w:val="99"/>
    <w:rPr>
      <w:rFonts w:ascii="宋体" w:hAnsi="宋体" w:eastAsia="宋体" w:cs="宋体"/>
      <w:b/>
      <w:bCs/>
      <w:kern w:val="36"/>
      <w:sz w:val="48"/>
      <w:szCs w:val="48"/>
    </w:rPr>
  </w:style>
  <w:style w:type="character" w:customStyle="1" w:styleId="27">
    <w:name w:val="标题 2 字符"/>
    <w:link w:val="3"/>
    <w:autoRedefine/>
    <w:qFormat/>
    <w:locked/>
    <w:uiPriority w:val="99"/>
    <w:rPr>
      <w:rFonts w:ascii="宋体" w:hAnsi="宋体" w:eastAsia="宋体" w:cs="宋体"/>
      <w:b/>
      <w:bCs/>
      <w:kern w:val="0"/>
      <w:sz w:val="36"/>
      <w:szCs w:val="36"/>
    </w:rPr>
  </w:style>
  <w:style w:type="character" w:customStyle="1" w:styleId="28">
    <w:name w:val="纯文本 字符"/>
    <w:link w:val="8"/>
    <w:autoRedefine/>
    <w:qFormat/>
    <w:locked/>
    <w:uiPriority w:val="0"/>
    <w:rPr>
      <w:rFonts w:ascii="宋体" w:hAnsi="Courier New" w:cs="Times New Roman"/>
    </w:rPr>
  </w:style>
  <w:style w:type="character" w:customStyle="1" w:styleId="29">
    <w:name w:val="批注文字 字符"/>
    <w:basedOn w:val="14"/>
    <w:link w:val="5"/>
    <w:autoRedefine/>
    <w:semiHidden/>
    <w:qFormat/>
    <w:uiPriority w:val="99"/>
  </w:style>
  <w:style w:type="character" w:customStyle="1" w:styleId="30">
    <w:name w:val="批注框文本 字符"/>
    <w:link w:val="9"/>
    <w:autoRedefine/>
    <w:semiHidden/>
    <w:qFormat/>
    <w:uiPriority w:val="99"/>
    <w:rPr>
      <w:sz w:val="0"/>
      <w:szCs w:val="0"/>
    </w:rPr>
  </w:style>
  <w:style w:type="character" w:customStyle="1" w:styleId="31">
    <w:name w:val="页眉 字符"/>
    <w:link w:val="11"/>
    <w:autoRedefine/>
    <w:qFormat/>
    <w:uiPriority w:val="99"/>
    <w:rPr>
      <w:sz w:val="18"/>
      <w:szCs w:val="18"/>
    </w:rPr>
  </w:style>
  <w:style w:type="character" w:customStyle="1" w:styleId="32">
    <w:name w:val="页脚 字符"/>
    <w:link w:val="10"/>
    <w:autoRedefine/>
    <w:qFormat/>
    <w:uiPriority w:val="99"/>
    <w:rPr>
      <w:sz w:val="18"/>
      <w:szCs w:val="18"/>
    </w:rPr>
  </w:style>
  <w:style w:type="character" w:customStyle="1" w:styleId="33">
    <w:name w:val="hover4"/>
    <w:basedOn w:val="14"/>
    <w:autoRedefine/>
    <w:qFormat/>
    <w:uiPriority w:val="0"/>
    <w:rPr>
      <w:color w:val="0063BA"/>
    </w:rPr>
  </w:style>
  <w:style w:type="character" w:customStyle="1" w:styleId="34">
    <w:name w:val="margin_right202"/>
    <w:basedOn w:val="14"/>
    <w:autoRedefine/>
    <w:qFormat/>
    <w:uiPriority w:val="0"/>
  </w:style>
  <w:style w:type="character" w:customStyle="1" w:styleId="35">
    <w:name w:val="active5"/>
    <w:basedOn w:val="14"/>
    <w:autoRedefine/>
    <w:qFormat/>
    <w:uiPriority w:val="0"/>
    <w:rPr>
      <w:color w:val="FFFFFF"/>
      <w:shd w:val="clear" w:fill="E22323"/>
    </w:rPr>
  </w:style>
  <w:style w:type="character" w:customStyle="1" w:styleId="36">
    <w:name w:val="before"/>
    <w:basedOn w:val="14"/>
    <w:autoRedefine/>
    <w:qFormat/>
    <w:uiPriority w:val="0"/>
    <w:rPr>
      <w:shd w:val="clear" w:fill="E22323"/>
    </w:rPr>
  </w:style>
  <w:style w:type="character" w:customStyle="1" w:styleId="37">
    <w:name w:val="margin_right20"/>
    <w:basedOn w:val="14"/>
    <w:autoRedefine/>
    <w:qFormat/>
    <w:uiPriority w:val="0"/>
  </w:style>
  <w:style w:type="character" w:customStyle="1" w:styleId="38">
    <w:name w:val="active6"/>
    <w:basedOn w:val="14"/>
    <w:autoRedefine/>
    <w:qFormat/>
    <w:uiPriority w:val="0"/>
    <w:rPr>
      <w:color w:val="FFFFFF"/>
      <w:shd w:val="clear" w:fill="E22323"/>
    </w:rPr>
  </w:style>
  <w:style w:type="character" w:customStyle="1" w:styleId="39">
    <w:name w:val="hover5"/>
    <w:basedOn w:val="14"/>
    <w:autoRedefine/>
    <w:qFormat/>
    <w:uiPriority w:val="0"/>
    <w:rPr>
      <w:color w:val="0063B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620</Words>
  <Characters>821</Characters>
  <Lines>6</Lines>
  <Paragraphs>1</Paragraphs>
  <TotalTime>1</TotalTime>
  <ScaleCrop>false</ScaleCrop>
  <LinksUpToDate>false</LinksUpToDate>
  <CharactersWithSpaces>844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2020-04-26T03:35:00Z</dcterms:created>
  <dc:creator>L</dc:creator>
  <cp:lastModifiedBy>汇诚金桥业务一部</cp:lastModifiedBy>
  <cp:lastPrinted>2026-04-17T06:58:00Z</cp:lastPrinted>
  <dcterms:modified xsi:type="dcterms:W3CDTF">2026-06-23T05:50:49Z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78D7606D78F347D9B44A74E2CAAC88AD</vt:lpwstr>
  </property>
  <property fmtid="{D5CDD505-2E9C-101B-9397-08002B2CF9AE}" pid="4" name="KSOTemplateDocerSaveRecord">
    <vt:lpwstr>eyJoZGlkIjoiYTI0N2QzN2M1MWRmOWJiMTc5Zjg4ZWViMTNiNTBhYjkiLCJ1c2VySWQiOiIxNTg3OTkxMzIyIn0=</vt:lpwstr>
  </property>
</Properties>
</file>