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spacing w:line="360" w:lineRule="auto"/>
        <w:ind w:firstLine="300" w:firstLineChars="50"/>
        <w:rPr>
          <w:color w:val="auto"/>
          <w:sz w:val="60"/>
          <w:szCs w:val="60"/>
        </w:rPr>
      </w:pPr>
    </w:p>
    <w:p>
      <w:pPr>
        <w:spacing w:line="360" w:lineRule="auto"/>
        <w:ind w:firstLine="300" w:firstLineChars="50"/>
        <w:rPr>
          <w:color w:val="auto"/>
          <w:sz w:val="60"/>
          <w:szCs w:val="60"/>
        </w:rPr>
      </w:pPr>
    </w:p>
    <w:p>
      <w:pPr>
        <w:jc w:val="center"/>
        <w:rPr>
          <w:b/>
          <w:bCs/>
          <w:color w:val="auto"/>
          <w:sz w:val="60"/>
          <w:szCs w:val="60"/>
        </w:rPr>
      </w:pPr>
      <w:bookmarkStart w:id="0" w:name="_Hlk146460001"/>
      <w:r>
        <w:rPr>
          <w:b/>
          <w:bCs/>
          <w:color w:val="auto"/>
          <w:sz w:val="60"/>
          <w:szCs w:val="60"/>
        </w:rPr>
        <w:t>北京市政府采购项目</w:t>
      </w:r>
    </w:p>
    <w:p>
      <w:pPr>
        <w:jc w:val="center"/>
        <w:rPr>
          <w:b/>
          <w:bCs/>
          <w:color w:val="auto"/>
          <w:sz w:val="60"/>
          <w:szCs w:val="60"/>
        </w:rPr>
      </w:pPr>
      <w:r>
        <w:rPr>
          <w:rFonts w:hint="eastAsia"/>
          <w:b/>
          <w:bCs/>
          <w:color w:val="auto"/>
          <w:sz w:val="60"/>
          <w:szCs w:val="60"/>
        </w:rPr>
        <w:t>公开</w:t>
      </w:r>
      <w:r>
        <w:rPr>
          <w:b/>
          <w:bCs/>
          <w:color w:val="auto"/>
          <w:sz w:val="60"/>
          <w:szCs w:val="60"/>
        </w:rPr>
        <w:t>招标文件</w:t>
      </w:r>
      <w:bookmarkEnd w:id="0"/>
    </w:p>
    <w:p>
      <w:pPr>
        <w:spacing w:line="360" w:lineRule="auto"/>
        <w:jc w:val="center"/>
        <w:rPr>
          <w:color w:val="auto"/>
          <w:sz w:val="60"/>
          <w:szCs w:val="60"/>
        </w:rPr>
      </w:pPr>
    </w:p>
    <w:p>
      <w:pPr>
        <w:tabs>
          <w:tab w:val="left" w:pos="3240"/>
          <w:tab w:val="left" w:pos="3420"/>
        </w:tabs>
        <w:spacing w:line="360" w:lineRule="auto"/>
        <w:jc w:val="left"/>
        <w:rPr>
          <w:rFonts w:hint="eastAsia" w:eastAsia="宋体"/>
          <w:bCs/>
          <w:color w:val="auto"/>
          <w:sz w:val="36"/>
          <w:szCs w:val="36"/>
          <w:lang w:eastAsia="zh-CN"/>
        </w:rPr>
      </w:pPr>
      <w:bookmarkStart w:id="1" w:name="_Hlk146460018"/>
      <w:r>
        <w:rPr>
          <w:bCs/>
          <w:color w:val="auto"/>
          <w:sz w:val="36"/>
          <w:szCs w:val="36"/>
        </w:rPr>
        <w:t>项目名称：</w:t>
      </w:r>
      <w:bookmarkEnd w:id="1"/>
      <w:r>
        <w:rPr>
          <w:rFonts w:hint="eastAsia"/>
          <w:bCs/>
          <w:color w:val="auto"/>
          <w:sz w:val="36"/>
          <w:szCs w:val="36"/>
          <w:lang w:eastAsia="zh-CN"/>
        </w:rPr>
        <w:t>2024年西城区空间数据治理与服务</w:t>
      </w:r>
    </w:p>
    <w:p>
      <w:pPr>
        <w:tabs>
          <w:tab w:val="left" w:pos="3240"/>
          <w:tab w:val="left" w:pos="3420"/>
        </w:tabs>
        <w:spacing w:line="360" w:lineRule="auto"/>
        <w:jc w:val="left"/>
        <w:rPr>
          <w:rFonts w:hint="eastAsia" w:eastAsia="宋体"/>
          <w:bCs/>
          <w:color w:val="auto"/>
          <w:sz w:val="36"/>
          <w:szCs w:val="36"/>
          <w:lang w:eastAsia="zh-CN"/>
        </w:rPr>
      </w:pPr>
      <w:r>
        <w:rPr>
          <w:bCs/>
          <w:color w:val="auto"/>
          <w:sz w:val="36"/>
          <w:szCs w:val="36"/>
        </w:rPr>
        <w:t>项目编号：</w:t>
      </w:r>
      <w:r>
        <w:rPr>
          <w:rFonts w:hint="eastAsia"/>
          <w:bCs/>
          <w:color w:val="auto"/>
          <w:sz w:val="36"/>
          <w:szCs w:val="36"/>
          <w:highlight w:val="none"/>
          <w:lang w:eastAsia="zh-CN"/>
        </w:rPr>
        <w:t>ZGGJ-BJ04-24021075</w:t>
      </w:r>
    </w:p>
    <w:p>
      <w:pPr>
        <w:tabs>
          <w:tab w:val="left" w:pos="3240"/>
          <w:tab w:val="left" w:pos="3420"/>
        </w:tabs>
        <w:spacing w:line="360" w:lineRule="auto"/>
        <w:jc w:val="left"/>
        <w:rPr>
          <w:rFonts w:hint="eastAsia" w:eastAsia="宋体"/>
          <w:bCs/>
          <w:color w:val="auto"/>
          <w:sz w:val="36"/>
          <w:szCs w:val="36"/>
          <w:lang w:eastAsia="zh-CN"/>
        </w:rPr>
      </w:pPr>
      <w:r>
        <w:rPr>
          <w:bCs/>
          <w:color w:val="auto"/>
          <w:sz w:val="36"/>
          <w:szCs w:val="36"/>
        </w:rPr>
        <w:t>采 购 人：</w:t>
      </w:r>
      <w:r>
        <w:rPr>
          <w:rFonts w:hint="eastAsia"/>
          <w:bCs/>
          <w:color w:val="auto"/>
          <w:sz w:val="36"/>
          <w:szCs w:val="36"/>
          <w:lang w:eastAsia="zh-CN"/>
        </w:rPr>
        <w:t>北京市西城区科学技术和信息化局</w:t>
      </w:r>
    </w:p>
    <w:p>
      <w:pPr>
        <w:tabs>
          <w:tab w:val="left" w:pos="3240"/>
          <w:tab w:val="left" w:pos="3420"/>
        </w:tabs>
        <w:spacing w:line="360" w:lineRule="auto"/>
        <w:jc w:val="left"/>
        <w:rPr>
          <w:bCs/>
          <w:color w:val="auto"/>
          <w:sz w:val="36"/>
          <w:szCs w:val="36"/>
        </w:rPr>
      </w:pPr>
      <w:r>
        <w:rPr>
          <w:bCs/>
          <w:color w:val="auto"/>
          <w:sz w:val="36"/>
          <w:szCs w:val="36"/>
        </w:rPr>
        <w:t>采购代理机构：</w:t>
      </w:r>
      <w:r>
        <w:rPr>
          <w:rFonts w:hint="eastAsia"/>
          <w:bCs/>
          <w:color w:val="auto"/>
          <w:sz w:val="36"/>
          <w:szCs w:val="36"/>
        </w:rPr>
        <w:t>中工国际招标有限公司</w:t>
      </w:r>
    </w:p>
    <w:p>
      <w:pPr>
        <w:widowControl/>
        <w:jc w:val="left"/>
        <w:rPr>
          <w:b/>
          <w:bCs/>
          <w:color w:val="auto"/>
          <w:sz w:val="44"/>
        </w:rPr>
      </w:pPr>
      <w:r>
        <w:rPr>
          <w:b/>
          <w:bCs/>
          <w:color w:val="auto"/>
          <w:sz w:val="44"/>
        </w:rPr>
        <w:br w:type="page"/>
      </w:r>
    </w:p>
    <w:p>
      <w:pPr>
        <w:pStyle w:val="160"/>
        <w:spacing w:line="360" w:lineRule="auto"/>
        <w:ind w:firstLine="723" w:firstLineChars="200"/>
        <w:rPr>
          <w:rFonts w:hint="eastAsia"/>
          <w:b/>
          <w:color w:val="auto"/>
          <w:sz w:val="36"/>
          <w:szCs w:val="36"/>
        </w:rPr>
      </w:pPr>
      <w:bookmarkStart w:id="2" w:name="_Toc99301417"/>
      <w:bookmarkStart w:id="3" w:name="_Toc74227630"/>
    </w:p>
    <w:bookmarkEnd w:id="2"/>
    <w:bookmarkEnd w:id="3"/>
    <w:p>
      <w:pPr>
        <w:spacing w:line="360" w:lineRule="auto"/>
        <w:jc w:val="center"/>
        <w:outlineLvl w:val="0"/>
        <w:rPr>
          <w:b/>
          <w:color w:val="auto"/>
          <w:sz w:val="36"/>
          <w:szCs w:val="36"/>
        </w:rPr>
      </w:pPr>
      <w:bookmarkStart w:id="4" w:name="_Toc99301418"/>
      <w:r>
        <w:rPr>
          <w:b/>
          <w:color w:val="auto"/>
          <w:sz w:val="36"/>
          <w:szCs w:val="36"/>
        </w:rPr>
        <w:t>目      录</w:t>
      </w:r>
      <w:bookmarkEnd w:id="4"/>
    </w:p>
    <w:p>
      <w:pPr>
        <w:rPr>
          <w:color w:val="auto"/>
        </w:rPr>
      </w:pPr>
    </w:p>
    <w:p>
      <w:pPr>
        <w:rPr>
          <w:color w:val="auto"/>
        </w:rPr>
      </w:pPr>
    </w:p>
    <w:p>
      <w:pPr>
        <w:rPr>
          <w:color w:val="auto"/>
        </w:rPr>
      </w:pPr>
    </w:p>
    <w:p>
      <w:pPr>
        <w:pStyle w:val="30"/>
        <w:rPr>
          <w:rFonts w:ascii="Times New Roman" w:hAnsi="Times New Roman" w:eastAsiaTheme="minorEastAsia"/>
          <w:b w:val="0"/>
          <w:color w:val="auto"/>
          <w:sz w:val="21"/>
          <w:szCs w:val="22"/>
        </w:rPr>
      </w:pPr>
      <w:r>
        <w:rPr>
          <w:rFonts w:ascii="Times New Roman" w:hAnsi="Times New Roman"/>
          <w:b w:val="0"/>
          <w:color w:val="auto"/>
        </w:rPr>
        <w:fldChar w:fldCharType="begin"/>
      </w:r>
      <w:r>
        <w:rPr>
          <w:rFonts w:ascii="Times New Roman" w:hAnsi="Times New Roman"/>
          <w:b w:val="0"/>
          <w:color w:val="auto"/>
        </w:rPr>
        <w:instrText xml:space="preserve"> TOC \o "1-1" \h \z \u </w:instrText>
      </w:r>
      <w:r>
        <w:rPr>
          <w:rFonts w:ascii="Times New Roman" w:hAnsi="Times New Roman"/>
          <w:b w:val="0"/>
          <w:color w:val="auto"/>
        </w:rPr>
        <w:fldChar w:fldCharType="separate"/>
      </w:r>
    </w:p>
    <w:p>
      <w:pPr>
        <w:pStyle w:val="30"/>
        <w:spacing w:line="360" w:lineRule="auto"/>
        <w:rPr>
          <w:rFonts w:ascii="Times New Roman" w:hAnsi="Times New Roman" w:eastAsiaTheme="minorEastAsia"/>
          <w:b w:val="0"/>
          <w:color w:val="auto"/>
          <w:sz w:val="21"/>
          <w:szCs w:val="22"/>
        </w:rPr>
      </w:pPr>
      <w:r>
        <w:rPr>
          <w:color w:val="auto"/>
        </w:rPr>
        <w:fldChar w:fldCharType="begin"/>
      </w:r>
      <w:r>
        <w:rPr>
          <w:color w:val="auto"/>
        </w:rPr>
        <w:instrText xml:space="preserve"> HYPERLINK \l "_Toc99301419" </w:instrText>
      </w:r>
      <w:r>
        <w:rPr>
          <w:color w:val="auto"/>
        </w:rPr>
        <w:fldChar w:fldCharType="separate"/>
      </w:r>
      <w:r>
        <w:rPr>
          <w:rStyle w:val="52"/>
          <w:rFonts w:ascii="Times New Roman" w:hAnsi="Times New Roman"/>
          <w:color w:val="auto"/>
        </w:rPr>
        <w:t>第一章   投标邀请</w:t>
      </w:r>
      <w:r>
        <w:rPr>
          <w:rFonts w:ascii="Times New Roman" w:hAnsi="Times New Roman"/>
          <w:color w:val="auto"/>
        </w:rPr>
        <w:tab/>
      </w:r>
      <w:r>
        <w:rPr>
          <w:rFonts w:ascii="Times New Roman" w:hAnsi="Times New Roman"/>
          <w:color w:val="auto"/>
        </w:rPr>
        <w:fldChar w:fldCharType="begin"/>
      </w:r>
      <w:r>
        <w:rPr>
          <w:rFonts w:ascii="Times New Roman" w:hAnsi="Times New Roman"/>
          <w:color w:val="auto"/>
        </w:rPr>
        <w:instrText xml:space="preserve"> PAGEREF _Toc99301419 \h </w:instrText>
      </w:r>
      <w:r>
        <w:rPr>
          <w:rFonts w:ascii="Times New Roman" w:hAnsi="Times New Roman"/>
          <w:color w:val="auto"/>
        </w:rPr>
        <w:fldChar w:fldCharType="separate"/>
      </w:r>
      <w:r>
        <w:rPr>
          <w:rFonts w:ascii="Times New Roman" w:hAnsi="Times New Roman"/>
          <w:color w:val="auto"/>
        </w:rPr>
        <w:t>2</w:t>
      </w:r>
      <w:r>
        <w:rPr>
          <w:rFonts w:ascii="Times New Roman" w:hAnsi="Times New Roman"/>
          <w:color w:val="auto"/>
        </w:rPr>
        <w:fldChar w:fldCharType="end"/>
      </w:r>
      <w:r>
        <w:rPr>
          <w:rFonts w:ascii="Times New Roman" w:hAnsi="Times New Roman"/>
          <w:color w:val="auto"/>
        </w:rPr>
        <w:fldChar w:fldCharType="end"/>
      </w:r>
    </w:p>
    <w:p>
      <w:pPr>
        <w:pStyle w:val="30"/>
        <w:spacing w:line="360" w:lineRule="auto"/>
        <w:rPr>
          <w:rFonts w:ascii="Times New Roman" w:hAnsi="Times New Roman" w:eastAsiaTheme="minorEastAsia"/>
          <w:b w:val="0"/>
          <w:color w:val="auto"/>
          <w:sz w:val="21"/>
          <w:szCs w:val="22"/>
        </w:rPr>
      </w:pPr>
      <w:r>
        <w:rPr>
          <w:color w:val="auto"/>
        </w:rPr>
        <w:fldChar w:fldCharType="begin"/>
      </w:r>
      <w:r>
        <w:rPr>
          <w:color w:val="auto"/>
        </w:rPr>
        <w:instrText xml:space="preserve"> HYPERLINK \l "_Toc99301420" </w:instrText>
      </w:r>
      <w:r>
        <w:rPr>
          <w:color w:val="auto"/>
        </w:rPr>
        <w:fldChar w:fldCharType="separate"/>
      </w:r>
      <w:r>
        <w:rPr>
          <w:rStyle w:val="52"/>
          <w:rFonts w:ascii="Times New Roman" w:hAnsi="Times New Roman"/>
          <w:color w:val="auto"/>
        </w:rPr>
        <w:t>第二章   投标人须知</w:t>
      </w:r>
      <w:r>
        <w:rPr>
          <w:rFonts w:ascii="Times New Roman" w:hAnsi="Times New Roman"/>
          <w:color w:val="auto"/>
        </w:rPr>
        <w:tab/>
      </w:r>
      <w:r>
        <w:rPr>
          <w:rFonts w:ascii="Times New Roman" w:hAnsi="Times New Roman"/>
          <w:color w:val="auto"/>
        </w:rPr>
        <w:fldChar w:fldCharType="begin"/>
      </w:r>
      <w:r>
        <w:rPr>
          <w:rFonts w:ascii="Times New Roman" w:hAnsi="Times New Roman"/>
          <w:color w:val="auto"/>
        </w:rPr>
        <w:instrText xml:space="preserve"> PAGEREF _Toc99301420 \h </w:instrText>
      </w:r>
      <w:r>
        <w:rPr>
          <w:rFonts w:ascii="Times New Roman" w:hAnsi="Times New Roman"/>
          <w:color w:val="auto"/>
        </w:rPr>
        <w:fldChar w:fldCharType="separate"/>
      </w:r>
      <w:r>
        <w:rPr>
          <w:rFonts w:ascii="Times New Roman" w:hAnsi="Times New Roman"/>
          <w:color w:val="auto"/>
        </w:rPr>
        <w:t>5</w:t>
      </w:r>
      <w:r>
        <w:rPr>
          <w:rFonts w:ascii="Times New Roman" w:hAnsi="Times New Roman"/>
          <w:color w:val="auto"/>
        </w:rPr>
        <w:fldChar w:fldCharType="end"/>
      </w:r>
      <w:r>
        <w:rPr>
          <w:rFonts w:ascii="Times New Roman" w:hAnsi="Times New Roman"/>
          <w:color w:val="auto"/>
        </w:rPr>
        <w:fldChar w:fldCharType="end"/>
      </w:r>
    </w:p>
    <w:p>
      <w:pPr>
        <w:pStyle w:val="30"/>
        <w:spacing w:line="360" w:lineRule="auto"/>
        <w:rPr>
          <w:rFonts w:ascii="Times New Roman" w:hAnsi="Times New Roman" w:eastAsiaTheme="minorEastAsia"/>
          <w:b w:val="0"/>
          <w:color w:val="auto"/>
          <w:sz w:val="21"/>
          <w:szCs w:val="22"/>
        </w:rPr>
      </w:pPr>
      <w:r>
        <w:rPr>
          <w:color w:val="auto"/>
        </w:rPr>
        <w:fldChar w:fldCharType="begin"/>
      </w:r>
      <w:r>
        <w:rPr>
          <w:color w:val="auto"/>
        </w:rPr>
        <w:instrText xml:space="preserve"> HYPERLINK \l "_Toc99301421" </w:instrText>
      </w:r>
      <w:r>
        <w:rPr>
          <w:color w:val="auto"/>
        </w:rPr>
        <w:fldChar w:fldCharType="separate"/>
      </w:r>
      <w:r>
        <w:rPr>
          <w:rStyle w:val="52"/>
          <w:rFonts w:ascii="Times New Roman" w:hAnsi="Times New Roman"/>
          <w:color w:val="auto"/>
        </w:rPr>
        <w:t>第三章   资格审查</w:t>
      </w:r>
      <w:r>
        <w:rPr>
          <w:rFonts w:ascii="Times New Roman" w:hAnsi="Times New Roman"/>
          <w:color w:val="auto"/>
        </w:rPr>
        <w:tab/>
      </w:r>
      <w:r>
        <w:rPr>
          <w:rFonts w:ascii="Times New Roman" w:hAnsi="Times New Roman"/>
          <w:color w:val="auto"/>
        </w:rPr>
        <w:fldChar w:fldCharType="begin"/>
      </w:r>
      <w:r>
        <w:rPr>
          <w:rFonts w:ascii="Times New Roman" w:hAnsi="Times New Roman"/>
          <w:color w:val="auto"/>
        </w:rPr>
        <w:instrText xml:space="preserve"> PAGEREF _Toc99301421 \h </w:instrText>
      </w:r>
      <w:r>
        <w:rPr>
          <w:rFonts w:ascii="Times New Roman" w:hAnsi="Times New Roman"/>
          <w:color w:val="auto"/>
        </w:rPr>
        <w:fldChar w:fldCharType="separate"/>
      </w:r>
      <w:r>
        <w:rPr>
          <w:rFonts w:ascii="Times New Roman" w:hAnsi="Times New Roman"/>
          <w:color w:val="auto"/>
        </w:rPr>
        <w:t>21</w:t>
      </w:r>
      <w:r>
        <w:rPr>
          <w:rFonts w:ascii="Times New Roman" w:hAnsi="Times New Roman"/>
          <w:color w:val="auto"/>
        </w:rPr>
        <w:fldChar w:fldCharType="end"/>
      </w:r>
      <w:r>
        <w:rPr>
          <w:rFonts w:ascii="Times New Roman" w:hAnsi="Times New Roman"/>
          <w:color w:val="auto"/>
        </w:rPr>
        <w:fldChar w:fldCharType="end"/>
      </w:r>
    </w:p>
    <w:p>
      <w:pPr>
        <w:pStyle w:val="30"/>
        <w:spacing w:line="360" w:lineRule="auto"/>
        <w:rPr>
          <w:rFonts w:ascii="Times New Roman" w:hAnsi="Times New Roman" w:eastAsiaTheme="minorEastAsia"/>
          <w:b w:val="0"/>
          <w:color w:val="auto"/>
          <w:sz w:val="21"/>
          <w:szCs w:val="22"/>
        </w:rPr>
      </w:pPr>
      <w:r>
        <w:rPr>
          <w:color w:val="auto"/>
        </w:rPr>
        <w:fldChar w:fldCharType="begin"/>
      </w:r>
      <w:r>
        <w:rPr>
          <w:color w:val="auto"/>
        </w:rPr>
        <w:instrText xml:space="preserve"> HYPERLINK \l "_Toc99301423" </w:instrText>
      </w:r>
      <w:r>
        <w:rPr>
          <w:color w:val="auto"/>
        </w:rPr>
        <w:fldChar w:fldCharType="separate"/>
      </w:r>
      <w:r>
        <w:rPr>
          <w:rStyle w:val="52"/>
          <w:rFonts w:ascii="Times New Roman" w:hAnsi="Times New Roman"/>
          <w:color w:val="auto"/>
        </w:rPr>
        <w:t>第四章   评标程序、评标方法和评标标准</w:t>
      </w:r>
      <w:r>
        <w:rPr>
          <w:rFonts w:ascii="Times New Roman" w:hAnsi="Times New Roman"/>
          <w:color w:val="auto"/>
        </w:rPr>
        <w:tab/>
      </w:r>
      <w:r>
        <w:rPr>
          <w:rFonts w:ascii="Times New Roman" w:hAnsi="Times New Roman"/>
          <w:color w:val="auto"/>
        </w:rPr>
        <w:fldChar w:fldCharType="begin"/>
      </w:r>
      <w:r>
        <w:rPr>
          <w:rFonts w:ascii="Times New Roman" w:hAnsi="Times New Roman"/>
          <w:color w:val="auto"/>
        </w:rPr>
        <w:instrText xml:space="preserve"> PAGEREF _Toc99301423 \h </w:instrText>
      </w:r>
      <w:r>
        <w:rPr>
          <w:rFonts w:ascii="Times New Roman" w:hAnsi="Times New Roman"/>
          <w:color w:val="auto"/>
        </w:rPr>
        <w:fldChar w:fldCharType="separate"/>
      </w:r>
      <w:r>
        <w:rPr>
          <w:rFonts w:ascii="Times New Roman" w:hAnsi="Times New Roman"/>
          <w:color w:val="auto"/>
        </w:rPr>
        <w:t>25</w:t>
      </w:r>
      <w:r>
        <w:rPr>
          <w:rFonts w:ascii="Times New Roman" w:hAnsi="Times New Roman"/>
          <w:color w:val="auto"/>
        </w:rPr>
        <w:fldChar w:fldCharType="end"/>
      </w:r>
      <w:r>
        <w:rPr>
          <w:rFonts w:ascii="Times New Roman" w:hAnsi="Times New Roman"/>
          <w:color w:val="auto"/>
        </w:rPr>
        <w:fldChar w:fldCharType="end"/>
      </w:r>
    </w:p>
    <w:p>
      <w:pPr>
        <w:pStyle w:val="30"/>
        <w:spacing w:line="360" w:lineRule="auto"/>
        <w:rPr>
          <w:rFonts w:ascii="Times New Roman" w:hAnsi="Times New Roman" w:eastAsiaTheme="minorEastAsia"/>
          <w:b w:val="0"/>
          <w:color w:val="auto"/>
          <w:sz w:val="21"/>
          <w:szCs w:val="22"/>
        </w:rPr>
      </w:pPr>
      <w:r>
        <w:rPr>
          <w:color w:val="auto"/>
        </w:rPr>
        <w:fldChar w:fldCharType="begin"/>
      </w:r>
      <w:r>
        <w:rPr>
          <w:color w:val="auto"/>
        </w:rPr>
        <w:instrText xml:space="preserve"> HYPERLINK \l "_Toc99301424" </w:instrText>
      </w:r>
      <w:r>
        <w:rPr>
          <w:color w:val="auto"/>
        </w:rPr>
        <w:fldChar w:fldCharType="separate"/>
      </w:r>
      <w:r>
        <w:rPr>
          <w:rStyle w:val="52"/>
          <w:rFonts w:ascii="Times New Roman" w:hAnsi="Times New Roman"/>
          <w:color w:val="auto"/>
        </w:rPr>
        <w:t>第五章   采购需求</w:t>
      </w:r>
      <w:r>
        <w:rPr>
          <w:rFonts w:ascii="Times New Roman" w:hAnsi="Times New Roman"/>
          <w:color w:val="auto"/>
        </w:rPr>
        <w:tab/>
      </w:r>
      <w:r>
        <w:rPr>
          <w:rFonts w:ascii="Times New Roman" w:hAnsi="Times New Roman"/>
          <w:color w:val="auto"/>
        </w:rPr>
        <w:fldChar w:fldCharType="begin"/>
      </w:r>
      <w:r>
        <w:rPr>
          <w:rFonts w:ascii="Times New Roman" w:hAnsi="Times New Roman"/>
          <w:color w:val="auto"/>
        </w:rPr>
        <w:instrText xml:space="preserve"> PAGEREF _Toc99301424 \h </w:instrText>
      </w:r>
      <w:r>
        <w:rPr>
          <w:rFonts w:ascii="Times New Roman" w:hAnsi="Times New Roman"/>
          <w:color w:val="auto"/>
        </w:rPr>
        <w:fldChar w:fldCharType="separate"/>
      </w:r>
      <w:r>
        <w:rPr>
          <w:rFonts w:ascii="Times New Roman" w:hAnsi="Times New Roman"/>
          <w:color w:val="auto"/>
        </w:rPr>
        <w:t>35</w:t>
      </w:r>
      <w:r>
        <w:rPr>
          <w:rFonts w:ascii="Times New Roman" w:hAnsi="Times New Roman"/>
          <w:color w:val="auto"/>
        </w:rPr>
        <w:fldChar w:fldCharType="end"/>
      </w:r>
      <w:r>
        <w:rPr>
          <w:rFonts w:ascii="Times New Roman" w:hAnsi="Times New Roman"/>
          <w:color w:val="auto"/>
        </w:rPr>
        <w:fldChar w:fldCharType="end"/>
      </w:r>
    </w:p>
    <w:p>
      <w:pPr>
        <w:pStyle w:val="30"/>
        <w:spacing w:line="360" w:lineRule="auto"/>
        <w:rPr>
          <w:rFonts w:ascii="Times New Roman" w:hAnsi="Times New Roman" w:eastAsiaTheme="minorEastAsia"/>
          <w:b w:val="0"/>
          <w:color w:val="auto"/>
          <w:sz w:val="21"/>
          <w:szCs w:val="22"/>
        </w:rPr>
      </w:pPr>
      <w:r>
        <w:rPr>
          <w:color w:val="auto"/>
        </w:rPr>
        <w:fldChar w:fldCharType="begin"/>
      </w:r>
      <w:r>
        <w:rPr>
          <w:color w:val="auto"/>
        </w:rPr>
        <w:instrText xml:space="preserve"> HYPERLINK \l "_Toc99301425" </w:instrText>
      </w:r>
      <w:r>
        <w:rPr>
          <w:color w:val="auto"/>
        </w:rPr>
        <w:fldChar w:fldCharType="separate"/>
      </w:r>
      <w:r>
        <w:rPr>
          <w:rStyle w:val="52"/>
          <w:rFonts w:ascii="Times New Roman" w:hAnsi="Times New Roman"/>
          <w:color w:val="auto"/>
        </w:rPr>
        <w:t>第六章   拟签订的合同文本</w:t>
      </w:r>
      <w:r>
        <w:rPr>
          <w:rFonts w:ascii="Times New Roman" w:hAnsi="Times New Roman"/>
          <w:color w:val="auto"/>
        </w:rPr>
        <w:tab/>
      </w:r>
      <w:r>
        <w:rPr>
          <w:rFonts w:ascii="Times New Roman" w:hAnsi="Times New Roman"/>
          <w:color w:val="auto"/>
        </w:rPr>
        <w:fldChar w:fldCharType="begin"/>
      </w:r>
      <w:r>
        <w:rPr>
          <w:rFonts w:ascii="Times New Roman" w:hAnsi="Times New Roman"/>
          <w:color w:val="auto"/>
        </w:rPr>
        <w:instrText xml:space="preserve"> PAGEREF _Toc99301425 \h </w:instrText>
      </w:r>
      <w:r>
        <w:rPr>
          <w:rFonts w:ascii="Times New Roman" w:hAnsi="Times New Roman"/>
          <w:color w:val="auto"/>
        </w:rPr>
        <w:fldChar w:fldCharType="separate"/>
      </w:r>
      <w:r>
        <w:rPr>
          <w:rFonts w:ascii="Times New Roman" w:hAnsi="Times New Roman"/>
          <w:color w:val="auto"/>
        </w:rPr>
        <w:t>37</w:t>
      </w:r>
      <w:r>
        <w:rPr>
          <w:rFonts w:ascii="Times New Roman" w:hAnsi="Times New Roman"/>
          <w:color w:val="auto"/>
        </w:rPr>
        <w:fldChar w:fldCharType="end"/>
      </w:r>
      <w:r>
        <w:rPr>
          <w:rFonts w:ascii="Times New Roman" w:hAnsi="Times New Roman"/>
          <w:color w:val="auto"/>
        </w:rPr>
        <w:fldChar w:fldCharType="end"/>
      </w:r>
    </w:p>
    <w:p>
      <w:pPr>
        <w:pStyle w:val="30"/>
        <w:spacing w:line="360" w:lineRule="auto"/>
        <w:rPr>
          <w:rFonts w:hint="eastAsia" w:ascii="Times New Roman" w:hAnsi="Times New Roman" w:eastAsia="宋体"/>
          <w:b w:val="0"/>
          <w:color w:val="auto"/>
          <w:sz w:val="21"/>
          <w:szCs w:val="22"/>
          <w:lang w:eastAsia="zh-CN"/>
        </w:rPr>
      </w:pPr>
      <w:r>
        <w:rPr>
          <w:color w:val="auto"/>
        </w:rPr>
        <w:fldChar w:fldCharType="begin"/>
      </w:r>
      <w:r>
        <w:rPr>
          <w:color w:val="auto"/>
        </w:rPr>
        <w:instrText xml:space="preserve"> HYPERLINK \l "_Toc99301426" </w:instrText>
      </w:r>
      <w:r>
        <w:rPr>
          <w:color w:val="auto"/>
        </w:rPr>
        <w:fldChar w:fldCharType="separate"/>
      </w:r>
      <w:r>
        <w:rPr>
          <w:rStyle w:val="52"/>
          <w:rFonts w:ascii="Times New Roman" w:hAnsi="Times New Roman"/>
          <w:color w:val="auto"/>
        </w:rPr>
        <w:t>第七章   投标文件格式</w:t>
      </w:r>
      <w:r>
        <w:rPr>
          <w:rFonts w:ascii="Times New Roman" w:hAnsi="Times New Roman"/>
          <w:color w:val="auto"/>
        </w:rPr>
        <w:tab/>
      </w:r>
      <w:r>
        <w:rPr>
          <w:rFonts w:ascii="Times New Roman" w:hAnsi="Times New Roman"/>
          <w:color w:val="auto"/>
        </w:rPr>
        <w:fldChar w:fldCharType="begin"/>
      </w:r>
      <w:r>
        <w:rPr>
          <w:rFonts w:ascii="Times New Roman" w:hAnsi="Times New Roman"/>
          <w:color w:val="auto"/>
        </w:rPr>
        <w:instrText xml:space="preserve"> PAGEREF _Toc99301426 \h </w:instrText>
      </w:r>
      <w:r>
        <w:rPr>
          <w:rFonts w:ascii="Times New Roman" w:hAnsi="Times New Roman"/>
          <w:color w:val="auto"/>
        </w:rPr>
        <w:fldChar w:fldCharType="separate"/>
      </w:r>
      <w:r>
        <w:rPr>
          <w:rFonts w:ascii="Times New Roman" w:hAnsi="Times New Roman"/>
          <w:color w:val="auto"/>
        </w:rPr>
        <w:t>45</w:t>
      </w:r>
      <w:r>
        <w:rPr>
          <w:rFonts w:ascii="Times New Roman" w:hAnsi="Times New Roman"/>
          <w:color w:val="auto"/>
        </w:rPr>
        <w:fldChar w:fldCharType="end"/>
      </w:r>
      <w:r>
        <w:rPr>
          <w:rFonts w:ascii="Times New Roman" w:hAnsi="Times New Roman"/>
          <w:color w:val="auto"/>
        </w:rPr>
        <w:fldChar w:fldCharType="end"/>
      </w:r>
    </w:p>
    <w:p>
      <w:pPr>
        <w:pStyle w:val="30"/>
        <w:spacing w:line="360" w:lineRule="auto"/>
        <w:rPr>
          <w:rFonts w:ascii="Times New Roman" w:hAnsi="Times New Roman"/>
          <w:b w:val="0"/>
          <w:color w:val="auto"/>
        </w:rPr>
      </w:pPr>
      <w:r>
        <w:rPr>
          <w:rFonts w:ascii="Times New Roman" w:hAnsi="Times New Roman"/>
          <w:b w:val="0"/>
          <w:color w:val="auto"/>
        </w:rPr>
        <w:fldChar w:fldCharType="end"/>
      </w:r>
    </w:p>
    <w:p>
      <w:pPr>
        <w:spacing w:line="360" w:lineRule="auto"/>
        <w:jc w:val="center"/>
        <w:outlineLvl w:val="0"/>
        <w:rPr>
          <w:b/>
          <w:color w:val="auto"/>
          <w:sz w:val="36"/>
          <w:szCs w:val="36"/>
        </w:rPr>
      </w:pPr>
      <w:r>
        <w:rPr>
          <w:color w:val="auto"/>
          <w:sz w:val="24"/>
        </w:rPr>
        <w:br w:type="page"/>
      </w:r>
      <w:bookmarkStart w:id="5" w:name="_Toc99301419"/>
      <w:r>
        <w:rPr>
          <w:b/>
          <w:color w:val="auto"/>
          <w:sz w:val="36"/>
          <w:szCs w:val="36"/>
        </w:rPr>
        <w:t>第一章   投标邀请</w:t>
      </w:r>
      <w:bookmarkEnd w:id="5"/>
    </w:p>
    <w:p>
      <w:pPr>
        <w:spacing w:line="360" w:lineRule="auto"/>
        <w:ind w:firstLine="640" w:firstLineChars="200"/>
        <w:rPr>
          <w:color w:val="auto"/>
          <w:sz w:val="32"/>
          <w:szCs w:val="32"/>
        </w:rPr>
      </w:pPr>
    </w:p>
    <w:p>
      <w:pPr>
        <w:pStyle w:val="3"/>
        <w:spacing w:before="0" w:line="360" w:lineRule="auto"/>
        <w:jc w:val="left"/>
        <w:rPr>
          <w:rFonts w:ascii="Times New Roman" w:hAnsi="Times New Roman" w:eastAsia="宋体"/>
          <w:color w:val="auto"/>
          <w:sz w:val="24"/>
          <w:szCs w:val="24"/>
          <w:highlight w:val="none"/>
        </w:rPr>
      </w:pPr>
      <w:bookmarkStart w:id="6" w:name="_Toc28359002"/>
      <w:bookmarkStart w:id="7" w:name="_Toc35393790"/>
      <w:bookmarkStart w:id="8" w:name="_Toc28359079"/>
      <w:bookmarkStart w:id="9" w:name="_Toc35393621"/>
      <w:bookmarkStart w:id="10" w:name="_Hlk24379207"/>
      <w:r>
        <w:rPr>
          <w:rFonts w:ascii="Times New Roman" w:hAnsi="Times New Roman" w:eastAsia="宋体"/>
          <w:color w:val="auto"/>
          <w:sz w:val="24"/>
          <w:szCs w:val="24"/>
        </w:rPr>
        <w:t>一、项目基本情</w:t>
      </w:r>
      <w:r>
        <w:rPr>
          <w:rFonts w:ascii="Times New Roman" w:hAnsi="Times New Roman" w:eastAsia="宋体"/>
          <w:color w:val="auto"/>
          <w:sz w:val="24"/>
          <w:szCs w:val="24"/>
          <w:highlight w:val="none"/>
        </w:rPr>
        <w:t>况</w:t>
      </w:r>
      <w:bookmarkEnd w:id="6"/>
      <w:bookmarkEnd w:id="7"/>
      <w:bookmarkEnd w:id="8"/>
      <w:bookmarkEnd w:id="9"/>
    </w:p>
    <w:p>
      <w:pPr>
        <w:spacing w:line="360" w:lineRule="auto"/>
        <w:ind w:firstLine="480" w:firstLineChars="200"/>
        <w:rPr>
          <w:color w:val="auto"/>
          <w:sz w:val="24"/>
          <w:highlight w:val="none"/>
        </w:rPr>
      </w:pPr>
      <w:r>
        <w:rPr>
          <w:color w:val="auto"/>
          <w:sz w:val="24"/>
          <w:highlight w:val="none"/>
        </w:rPr>
        <w:t>1.项目编号：</w:t>
      </w:r>
      <w:r>
        <w:rPr>
          <w:rFonts w:hint="eastAsia"/>
          <w:color w:val="auto"/>
          <w:sz w:val="24"/>
          <w:highlight w:val="none"/>
          <w:u w:val="single"/>
          <w:lang w:eastAsia="zh-CN"/>
        </w:rPr>
        <w:t>ZGGJ-BJ04-24021075</w:t>
      </w:r>
    </w:p>
    <w:p>
      <w:pPr>
        <w:spacing w:line="360" w:lineRule="auto"/>
        <w:ind w:firstLine="480" w:firstLineChars="200"/>
        <w:rPr>
          <w:rFonts w:hint="eastAsia" w:eastAsia="宋体"/>
          <w:color w:val="auto"/>
          <w:sz w:val="24"/>
          <w:lang w:eastAsia="zh-CN"/>
        </w:rPr>
      </w:pPr>
      <w:r>
        <w:rPr>
          <w:color w:val="auto"/>
          <w:sz w:val="24"/>
          <w:highlight w:val="none"/>
        </w:rPr>
        <w:t>2.项目名称：</w:t>
      </w:r>
      <w:r>
        <w:rPr>
          <w:rFonts w:hint="eastAsia"/>
          <w:color w:val="auto"/>
          <w:sz w:val="24"/>
          <w:highlight w:val="none"/>
          <w:u w:val="single"/>
          <w:lang w:eastAsia="zh-CN"/>
        </w:rPr>
        <w:t>2024年西城区空间数据治理与服务</w:t>
      </w:r>
    </w:p>
    <w:bookmarkEnd w:id="10"/>
    <w:p>
      <w:pPr>
        <w:spacing w:line="360" w:lineRule="auto"/>
        <w:ind w:firstLine="480" w:firstLineChars="200"/>
        <w:rPr>
          <w:color w:val="auto"/>
          <w:sz w:val="24"/>
        </w:rPr>
      </w:pPr>
      <w:r>
        <w:rPr>
          <w:color w:val="auto"/>
          <w:sz w:val="24"/>
        </w:rPr>
        <w:t>3.项目预算金额：</w:t>
      </w:r>
      <w:r>
        <w:rPr>
          <w:rFonts w:hint="eastAsia"/>
          <w:color w:val="auto"/>
          <w:sz w:val="24"/>
          <w:u w:val="single"/>
          <w:lang w:eastAsia="zh-CN"/>
        </w:rPr>
        <w:t>399</w:t>
      </w:r>
      <w:r>
        <w:rPr>
          <w:color w:val="auto"/>
          <w:sz w:val="24"/>
        </w:rPr>
        <w:t>万元、项目最高限价（如有）：</w:t>
      </w:r>
      <w:r>
        <w:rPr>
          <w:rFonts w:hint="eastAsia"/>
          <w:color w:val="auto"/>
          <w:sz w:val="24"/>
          <w:u w:val="single"/>
          <w:lang w:eastAsia="zh-CN"/>
        </w:rPr>
        <w:t>399</w:t>
      </w:r>
      <w:r>
        <w:rPr>
          <w:color w:val="auto"/>
          <w:sz w:val="24"/>
        </w:rPr>
        <w:t>万元</w:t>
      </w:r>
    </w:p>
    <w:p>
      <w:pPr>
        <w:spacing w:line="360" w:lineRule="auto"/>
        <w:ind w:firstLine="480" w:firstLineChars="200"/>
        <w:rPr>
          <w:color w:val="auto"/>
          <w:sz w:val="24"/>
        </w:rPr>
      </w:pPr>
      <w:r>
        <w:rPr>
          <w:color w:val="auto"/>
          <w:sz w:val="24"/>
        </w:rPr>
        <w:t>4.采购需求：</w:t>
      </w:r>
    </w:p>
    <w:tbl>
      <w:tblPr>
        <w:tblStyle w:val="44"/>
        <w:tblW w:w="853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57"/>
        <w:gridCol w:w="1702"/>
        <w:gridCol w:w="997"/>
        <w:gridCol w:w="427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557" w:type="dxa"/>
            <w:vAlign w:val="center"/>
          </w:tcPr>
          <w:p>
            <w:pPr>
              <w:jc w:val="center"/>
              <w:rPr>
                <w:bCs/>
                <w:color w:val="auto"/>
                <w:szCs w:val="21"/>
              </w:rPr>
            </w:pPr>
            <w:r>
              <w:rPr>
                <w:bCs/>
                <w:color w:val="auto"/>
                <w:szCs w:val="21"/>
              </w:rPr>
              <w:t>标的名称</w:t>
            </w:r>
          </w:p>
        </w:tc>
        <w:tc>
          <w:tcPr>
            <w:tcW w:w="1702" w:type="dxa"/>
            <w:vAlign w:val="center"/>
          </w:tcPr>
          <w:p>
            <w:pPr>
              <w:jc w:val="center"/>
              <w:rPr>
                <w:bCs/>
                <w:color w:val="auto"/>
                <w:szCs w:val="21"/>
              </w:rPr>
            </w:pPr>
            <w:r>
              <w:rPr>
                <w:bCs/>
                <w:color w:val="auto"/>
                <w:szCs w:val="21"/>
              </w:rPr>
              <w:t>采购包预算金额</w:t>
            </w:r>
          </w:p>
          <w:p>
            <w:pPr>
              <w:jc w:val="center"/>
              <w:rPr>
                <w:bCs/>
                <w:color w:val="auto"/>
                <w:szCs w:val="21"/>
              </w:rPr>
            </w:pPr>
            <w:r>
              <w:rPr>
                <w:bCs/>
                <w:color w:val="auto"/>
                <w:szCs w:val="21"/>
              </w:rPr>
              <w:t>（万元）</w:t>
            </w:r>
          </w:p>
        </w:tc>
        <w:tc>
          <w:tcPr>
            <w:tcW w:w="997" w:type="dxa"/>
            <w:vAlign w:val="center"/>
          </w:tcPr>
          <w:p>
            <w:pPr>
              <w:jc w:val="center"/>
              <w:rPr>
                <w:bCs/>
                <w:color w:val="auto"/>
                <w:szCs w:val="21"/>
              </w:rPr>
            </w:pPr>
            <w:r>
              <w:rPr>
                <w:bCs/>
                <w:color w:val="auto"/>
                <w:szCs w:val="21"/>
              </w:rPr>
              <w:t>数量</w:t>
            </w:r>
          </w:p>
        </w:tc>
        <w:tc>
          <w:tcPr>
            <w:tcW w:w="4278" w:type="dxa"/>
            <w:vAlign w:val="center"/>
          </w:tcPr>
          <w:p>
            <w:pPr>
              <w:jc w:val="center"/>
              <w:rPr>
                <w:color w:val="auto"/>
                <w:szCs w:val="21"/>
              </w:rPr>
            </w:pPr>
            <w:r>
              <w:rPr>
                <w:color w:val="auto"/>
                <w:szCs w:val="21"/>
              </w:rPr>
              <w:t>简要技术需求或服务要求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557" w:type="dxa"/>
            <w:vAlign w:val="center"/>
          </w:tcPr>
          <w:p>
            <w:pPr>
              <w:jc w:val="center"/>
              <w:rPr>
                <w:rFonts w:hint="eastAsia" w:eastAsia="宋体"/>
                <w:bCs/>
                <w:color w:val="auto"/>
                <w:szCs w:val="21"/>
                <w:lang w:eastAsia="zh-CN"/>
              </w:rPr>
            </w:pPr>
            <w:r>
              <w:rPr>
                <w:rFonts w:hint="eastAsia"/>
                <w:bCs/>
                <w:color w:val="auto"/>
                <w:szCs w:val="21"/>
                <w:lang w:eastAsia="zh-CN"/>
              </w:rPr>
              <w:t>2024年西城区空间数据治理与服务</w:t>
            </w:r>
          </w:p>
        </w:tc>
        <w:tc>
          <w:tcPr>
            <w:tcW w:w="1702" w:type="dxa"/>
            <w:vAlign w:val="center"/>
          </w:tcPr>
          <w:p>
            <w:pPr>
              <w:jc w:val="center"/>
              <w:rPr>
                <w:bCs/>
                <w:color w:val="auto"/>
                <w:szCs w:val="21"/>
              </w:rPr>
            </w:pPr>
            <w:r>
              <w:rPr>
                <w:rFonts w:hint="eastAsia"/>
                <w:bCs/>
                <w:color w:val="auto"/>
                <w:szCs w:val="21"/>
                <w:lang w:eastAsia="zh-CN"/>
              </w:rPr>
              <w:t>399</w:t>
            </w:r>
          </w:p>
        </w:tc>
        <w:tc>
          <w:tcPr>
            <w:tcW w:w="997" w:type="dxa"/>
            <w:vAlign w:val="center"/>
          </w:tcPr>
          <w:p>
            <w:pPr>
              <w:jc w:val="center"/>
              <w:rPr>
                <w:rFonts w:hint="eastAsia" w:ascii="Times New Roman" w:hAnsi="Times New Roman" w:eastAsia="宋体" w:cs="Times New Roman"/>
                <w:bCs/>
                <w:color w:val="auto"/>
                <w:szCs w:val="21"/>
                <w:lang w:eastAsia="zh-CN"/>
              </w:rPr>
            </w:pPr>
            <w:r>
              <w:rPr>
                <w:rFonts w:hint="eastAsia" w:ascii="Times New Roman" w:hAnsi="Times New Roman" w:eastAsia="宋体" w:cs="Times New Roman"/>
                <w:bCs/>
                <w:color w:val="auto"/>
                <w:szCs w:val="21"/>
                <w:lang w:eastAsia="zh-CN"/>
              </w:rPr>
              <w:t>一项</w:t>
            </w:r>
          </w:p>
        </w:tc>
        <w:tc>
          <w:tcPr>
            <w:tcW w:w="4278" w:type="dxa"/>
            <w:vAlign w:val="center"/>
          </w:tcPr>
          <w:p>
            <w:pPr>
              <w:jc w:val="center"/>
              <w:rPr>
                <w:rFonts w:hint="default" w:ascii="Times New Roman" w:hAnsi="Times New Roman" w:eastAsia="宋体" w:cs="Times New Roman"/>
                <w:bCs/>
                <w:color w:val="auto"/>
                <w:szCs w:val="21"/>
                <w:lang w:val="en-US" w:eastAsia="zh-CN"/>
              </w:rPr>
            </w:pPr>
            <w:r>
              <w:rPr>
                <w:rFonts w:hint="eastAsia" w:cs="Times New Roman"/>
                <w:bCs/>
                <w:color w:val="auto"/>
                <w:szCs w:val="21"/>
                <w:lang w:val="en-US" w:eastAsia="zh-CN"/>
              </w:rPr>
              <w:t>通过</w:t>
            </w:r>
            <w:r>
              <w:rPr>
                <w:rFonts w:hint="eastAsia" w:ascii="Times New Roman" w:hAnsi="Times New Roman" w:eastAsia="宋体" w:cs="Times New Roman"/>
                <w:bCs/>
                <w:color w:val="auto"/>
                <w:szCs w:val="21"/>
                <w:lang w:eastAsia="zh-CN"/>
              </w:rPr>
              <w:t>相关数据统筹工作</w:t>
            </w:r>
            <w:r>
              <w:rPr>
                <w:rFonts w:hint="eastAsia" w:cs="Times New Roman"/>
                <w:bCs/>
                <w:color w:val="auto"/>
                <w:szCs w:val="21"/>
                <w:lang w:eastAsia="zh-CN"/>
              </w:rPr>
              <w:t>，</w:t>
            </w:r>
            <w:r>
              <w:rPr>
                <w:rFonts w:hint="eastAsia" w:ascii="Times New Roman" w:hAnsi="Times New Roman" w:eastAsia="宋体" w:cs="Times New Roman"/>
                <w:bCs/>
                <w:color w:val="auto"/>
                <w:szCs w:val="21"/>
                <w:lang w:eastAsia="zh-CN"/>
              </w:rPr>
              <w:t>为全区空间数据的采集生产、汇聚管理、融合治理、共享使用和监管评价全流程提供能力支撑，实现全区空间数据进得来、流得动、管理住、用得好，激活空间数据要素潜能，支撑数字政府、数字治理和数字经济建设。</w:t>
            </w:r>
          </w:p>
        </w:tc>
      </w:tr>
    </w:tbl>
    <w:p>
      <w:pPr>
        <w:spacing w:before="120" w:beforeLines="50" w:line="360" w:lineRule="auto"/>
        <w:ind w:firstLine="480" w:firstLineChars="200"/>
        <w:rPr>
          <w:color w:val="auto"/>
          <w:sz w:val="24"/>
          <w:u w:val="single"/>
        </w:rPr>
      </w:pPr>
      <w:r>
        <w:rPr>
          <w:color w:val="auto"/>
          <w:sz w:val="24"/>
        </w:rPr>
        <w:t>5.</w:t>
      </w:r>
      <w:r>
        <w:rPr>
          <w:rFonts w:hint="eastAsia"/>
          <w:color w:val="auto"/>
          <w:sz w:val="24"/>
          <w:lang w:eastAsia="zh-CN"/>
        </w:rPr>
        <w:t>项目建设期</w:t>
      </w:r>
      <w:r>
        <w:rPr>
          <w:color w:val="auto"/>
          <w:sz w:val="24"/>
        </w:rPr>
        <w:t>：</w:t>
      </w:r>
      <w:r>
        <w:rPr>
          <w:rFonts w:hint="eastAsia"/>
          <w:color w:val="auto"/>
          <w:sz w:val="24"/>
          <w:u w:val="single"/>
        </w:rPr>
        <w:t>202</w:t>
      </w:r>
      <w:r>
        <w:rPr>
          <w:rFonts w:hint="eastAsia"/>
          <w:color w:val="auto"/>
          <w:sz w:val="24"/>
          <w:u w:val="single"/>
          <w:lang w:val="en-US" w:eastAsia="zh-CN"/>
        </w:rPr>
        <w:t>5</w:t>
      </w:r>
      <w:r>
        <w:rPr>
          <w:rFonts w:hint="eastAsia"/>
          <w:color w:val="auto"/>
          <w:sz w:val="24"/>
          <w:u w:val="single"/>
        </w:rPr>
        <w:t>年2月底前完成项目竣工验收</w:t>
      </w:r>
      <w:r>
        <w:rPr>
          <w:rFonts w:hint="eastAsia"/>
          <w:color w:val="auto"/>
          <w:sz w:val="24"/>
        </w:rPr>
        <w:t>。</w:t>
      </w:r>
    </w:p>
    <w:p>
      <w:pPr>
        <w:spacing w:line="360" w:lineRule="auto"/>
        <w:ind w:firstLine="480" w:firstLineChars="200"/>
        <w:rPr>
          <w:color w:val="auto"/>
          <w:sz w:val="24"/>
        </w:rPr>
      </w:pPr>
      <w:r>
        <w:rPr>
          <w:color w:val="auto"/>
          <w:sz w:val="24"/>
        </w:rPr>
        <w:t>6.本项目是否接受联合体投标：□是  ■否。</w:t>
      </w:r>
    </w:p>
    <w:p>
      <w:pPr>
        <w:spacing w:line="360" w:lineRule="auto"/>
        <w:ind w:firstLine="480" w:firstLineChars="200"/>
        <w:rPr>
          <w:color w:val="auto"/>
          <w:sz w:val="24"/>
        </w:rPr>
      </w:pPr>
      <w:bookmarkStart w:id="922" w:name="_GoBack"/>
      <w:bookmarkEnd w:id="922"/>
    </w:p>
    <w:p>
      <w:pPr>
        <w:pStyle w:val="3"/>
        <w:spacing w:before="0" w:line="360" w:lineRule="auto"/>
        <w:jc w:val="left"/>
        <w:rPr>
          <w:rFonts w:ascii="Times New Roman" w:hAnsi="Times New Roman" w:eastAsia="宋体"/>
          <w:color w:val="auto"/>
          <w:sz w:val="24"/>
          <w:szCs w:val="24"/>
          <w:highlight w:val="none"/>
        </w:rPr>
      </w:pPr>
      <w:bookmarkStart w:id="11" w:name="_Toc28359003"/>
      <w:bookmarkStart w:id="12" w:name="_Toc35393622"/>
      <w:bookmarkStart w:id="13" w:name="_Toc35393791"/>
      <w:bookmarkStart w:id="14" w:name="_Toc28359080"/>
      <w:r>
        <w:rPr>
          <w:rFonts w:ascii="Times New Roman" w:hAnsi="Times New Roman" w:eastAsia="宋体"/>
          <w:color w:val="auto"/>
          <w:sz w:val="24"/>
          <w:szCs w:val="24"/>
          <w:highlight w:val="none"/>
        </w:rPr>
        <w:t>二、申请人的资格要求（须同时满足）</w:t>
      </w:r>
      <w:bookmarkEnd w:id="11"/>
      <w:bookmarkEnd w:id="12"/>
      <w:bookmarkEnd w:id="13"/>
      <w:bookmarkEnd w:id="14"/>
    </w:p>
    <w:p>
      <w:pPr>
        <w:spacing w:line="360" w:lineRule="auto"/>
        <w:ind w:firstLine="480" w:firstLineChars="200"/>
        <w:rPr>
          <w:color w:val="auto"/>
          <w:sz w:val="24"/>
          <w:highlight w:val="none"/>
        </w:rPr>
      </w:pPr>
      <w:r>
        <w:rPr>
          <w:color w:val="auto"/>
          <w:sz w:val="24"/>
          <w:highlight w:val="none"/>
        </w:rPr>
        <w:t>1.满足《中华人民共和国政府采购法》第二十二条规定；</w:t>
      </w:r>
    </w:p>
    <w:p>
      <w:pPr>
        <w:spacing w:line="360" w:lineRule="auto"/>
        <w:ind w:firstLine="480" w:firstLineChars="200"/>
        <w:rPr>
          <w:color w:val="auto"/>
          <w:sz w:val="24"/>
          <w:highlight w:val="none"/>
        </w:rPr>
      </w:pPr>
      <w:bookmarkStart w:id="15" w:name="_Toc28359081"/>
      <w:bookmarkStart w:id="16" w:name="_Toc28359004"/>
      <w:r>
        <w:rPr>
          <w:color w:val="auto"/>
          <w:sz w:val="24"/>
          <w:highlight w:val="none"/>
        </w:rPr>
        <w:t>2.落实政府采购政策需满足的资格要求：</w:t>
      </w:r>
    </w:p>
    <w:p>
      <w:pPr>
        <w:spacing w:line="360" w:lineRule="auto"/>
        <w:ind w:firstLine="480" w:firstLineChars="200"/>
        <w:rPr>
          <w:color w:val="auto"/>
          <w:sz w:val="24"/>
          <w:highlight w:val="none"/>
        </w:rPr>
      </w:pPr>
      <w:r>
        <w:rPr>
          <w:color w:val="auto"/>
          <w:sz w:val="24"/>
          <w:highlight w:val="none"/>
        </w:rPr>
        <w:t>2.1 中小企业政策</w:t>
      </w:r>
    </w:p>
    <w:p>
      <w:pPr>
        <w:spacing w:line="360" w:lineRule="auto"/>
        <w:ind w:firstLine="480" w:firstLineChars="200"/>
        <w:rPr>
          <w:color w:val="auto"/>
          <w:sz w:val="24"/>
          <w:highlight w:val="none"/>
        </w:rPr>
      </w:pPr>
      <w:r>
        <w:rPr>
          <w:color w:val="auto"/>
          <w:sz w:val="24"/>
          <w:highlight w:val="none"/>
        </w:rPr>
        <w:t>□本项目不专门面向中小企业预留采购份额。</w:t>
      </w:r>
    </w:p>
    <w:p>
      <w:pPr>
        <w:spacing w:line="360" w:lineRule="auto"/>
        <w:ind w:firstLine="482" w:firstLineChars="200"/>
        <w:rPr>
          <w:color w:val="auto"/>
          <w:sz w:val="24"/>
          <w:highlight w:val="none"/>
        </w:rPr>
      </w:pPr>
      <w:r>
        <w:rPr>
          <w:b/>
          <w:color w:val="auto"/>
          <w:sz w:val="24"/>
          <w:highlight w:val="none"/>
        </w:rPr>
        <w:t>■</w:t>
      </w:r>
      <w:r>
        <w:rPr>
          <w:color w:val="auto"/>
          <w:sz w:val="24"/>
          <w:highlight w:val="none"/>
        </w:rPr>
        <w:t xml:space="preserve">本项目专门面向  </w:t>
      </w:r>
      <w:r>
        <w:rPr>
          <w:b/>
          <w:color w:val="auto"/>
          <w:sz w:val="24"/>
          <w:highlight w:val="none"/>
        </w:rPr>
        <w:t>■</w:t>
      </w:r>
      <w:r>
        <w:rPr>
          <w:color w:val="auto"/>
          <w:sz w:val="24"/>
          <w:highlight w:val="none"/>
        </w:rPr>
        <w:t>中小 □小微企业  采购。即：提供的货物全部由符合政策要求的中小/小微企业制造、服务全部由符合政策要求的中小/小微企业承接。</w:t>
      </w:r>
    </w:p>
    <w:p>
      <w:pPr>
        <w:spacing w:line="360" w:lineRule="auto"/>
        <w:ind w:firstLine="480" w:firstLineChars="200"/>
        <w:rPr>
          <w:color w:val="auto"/>
          <w:sz w:val="24"/>
          <w:highlight w:val="none"/>
        </w:rPr>
      </w:pPr>
      <w:r>
        <w:rPr>
          <w:color w:val="auto"/>
          <w:sz w:val="24"/>
          <w:highlight w:val="none"/>
        </w:rPr>
        <w:t>□本项目预留部分采购项目预算专门面向中小企业采购。对于预留份额，提供的货物由符合政策要求的中小企业制造、服务由符合政策要求的中小企业承接。预留份额通过以下措施进行：__________________。</w:t>
      </w:r>
    </w:p>
    <w:p>
      <w:pPr>
        <w:spacing w:line="360" w:lineRule="auto"/>
        <w:ind w:firstLine="480" w:firstLineChars="200"/>
        <w:rPr>
          <w:color w:val="auto"/>
          <w:sz w:val="24"/>
          <w:highlight w:val="none"/>
        </w:rPr>
      </w:pPr>
      <w:r>
        <w:rPr>
          <w:color w:val="auto"/>
          <w:sz w:val="24"/>
          <w:highlight w:val="none"/>
        </w:rPr>
        <w:t>2.2 其它落实政府采购政策的资格要求（如有）：_</w:t>
      </w:r>
      <w:r>
        <w:rPr>
          <w:rFonts w:hint="eastAsia"/>
          <w:color w:val="auto"/>
          <w:sz w:val="24"/>
          <w:highlight w:val="none"/>
          <w:u w:val="single"/>
        </w:rPr>
        <w:t>/</w:t>
      </w:r>
      <w:r>
        <w:rPr>
          <w:color w:val="auto"/>
          <w:sz w:val="24"/>
          <w:highlight w:val="none"/>
        </w:rPr>
        <w:t>_。</w:t>
      </w:r>
    </w:p>
    <w:p>
      <w:pPr>
        <w:tabs>
          <w:tab w:val="left" w:pos="6938"/>
        </w:tabs>
        <w:spacing w:line="360" w:lineRule="auto"/>
        <w:ind w:firstLine="480" w:firstLineChars="200"/>
        <w:rPr>
          <w:i/>
          <w:iCs/>
          <w:color w:val="auto"/>
          <w:sz w:val="24"/>
          <w:highlight w:val="none"/>
          <w:u w:val="single"/>
        </w:rPr>
      </w:pPr>
      <w:r>
        <w:rPr>
          <w:color w:val="auto"/>
          <w:sz w:val="24"/>
          <w:highlight w:val="none"/>
        </w:rPr>
        <w:t>3.本项目的特定资格要求：</w:t>
      </w:r>
      <w:r>
        <w:rPr>
          <w:color w:val="auto"/>
          <w:sz w:val="24"/>
          <w:highlight w:val="none"/>
        </w:rPr>
        <w:tab/>
      </w:r>
    </w:p>
    <w:p>
      <w:pPr>
        <w:tabs>
          <w:tab w:val="left" w:pos="900"/>
          <w:tab w:val="left" w:pos="1134"/>
          <w:tab w:val="left" w:pos="1589"/>
          <w:tab w:val="left" w:pos="5521"/>
        </w:tabs>
        <w:snapToGrid w:val="0"/>
        <w:spacing w:line="360" w:lineRule="auto"/>
        <w:ind w:firstLine="480" w:firstLineChars="200"/>
        <w:rPr>
          <w:color w:val="auto"/>
          <w:sz w:val="24"/>
          <w:highlight w:val="none"/>
        </w:rPr>
      </w:pPr>
      <w:r>
        <w:rPr>
          <w:color w:val="auto"/>
          <w:sz w:val="24"/>
          <w:highlight w:val="none"/>
        </w:rPr>
        <w:t>3.1本项目是否属于政府购买服务：</w:t>
      </w:r>
    </w:p>
    <w:p>
      <w:pPr>
        <w:tabs>
          <w:tab w:val="left" w:pos="900"/>
          <w:tab w:val="left" w:pos="1134"/>
          <w:tab w:val="left" w:pos="1589"/>
          <w:tab w:val="left" w:pos="5521"/>
        </w:tabs>
        <w:snapToGrid w:val="0"/>
        <w:spacing w:line="360" w:lineRule="auto"/>
        <w:ind w:left="991" w:leftChars="472" w:firstLine="2"/>
        <w:rPr>
          <w:color w:val="auto"/>
          <w:sz w:val="24"/>
          <w:highlight w:val="none"/>
        </w:rPr>
      </w:pPr>
      <w:r>
        <w:rPr>
          <w:color w:val="auto"/>
          <w:sz w:val="24"/>
          <w:highlight w:val="none"/>
        </w:rPr>
        <w:t>■否</w:t>
      </w:r>
    </w:p>
    <w:p>
      <w:pPr>
        <w:tabs>
          <w:tab w:val="left" w:pos="900"/>
          <w:tab w:val="left" w:pos="1134"/>
          <w:tab w:val="left" w:pos="1589"/>
          <w:tab w:val="left" w:pos="5521"/>
        </w:tabs>
        <w:snapToGrid w:val="0"/>
        <w:spacing w:line="360" w:lineRule="auto"/>
        <w:ind w:left="991" w:leftChars="472" w:firstLine="2"/>
        <w:rPr>
          <w:color w:val="auto"/>
          <w:sz w:val="24"/>
          <w:highlight w:val="none"/>
        </w:rPr>
      </w:pPr>
      <w:r>
        <w:rPr>
          <w:color w:val="auto"/>
          <w:sz w:val="24"/>
          <w:highlight w:val="none"/>
        </w:rPr>
        <w:t>□是，公益一类事业单位、使用事业编制且由财政拨款保障的群团组织，不得作为承接主体；</w:t>
      </w:r>
    </w:p>
    <w:p>
      <w:pPr>
        <w:tabs>
          <w:tab w:val="left" w:pos="900"/>
          <w:tab w:val="left" w:pos="1134"/>
          <w:tab w:val="left" w:pos="1589"/>
          <w:tab w:val="left" w:pos="5521"/>
        </w:tabs>
        <w:snapToGrid w:val="0"/>
        <w:spacing w:line="360" w:lineRule="auto"/>
        <w:ind w:firstLine="480" w:firstLineChars="200"/>
        <w:rPr>
          <w:color w:val="auto"/>
          <w:sz w:val="24"/>
          <w:highlight w:val="none"/>
        </w:rPr>
      </w:pPr>
      <w:r>
        <w:rPr>
          <w:color w:val="auto"/>
          <w:sz w:val="24"/>
          <w:highlight w:val="none"/>
        </w:rPr>
        <w:t>3.2其他特定资格要求</w:t>
      </w:r>
      <w:r>
        <w:rPr>
          <w:rFonts w:eastAsiaTheme="minorEastAsia"/>
          <w:color w:val="auto"/>
          <w:sz w:val="24"/>
          <w:highlight w:val="none"/>
        </w:rPr>
        <w:t>：_</w:t>
      </w:r>
      <w:r>
        <w:rPr>
          <w:rFonts w:hint="eastAsia" w:eastAsiaTheme="minorEastAsia"/>
          <w:color w:val="auto"/>
          <w:sz w:val="24"/>
          <w:highlight w:val="none"/>
          <w:u w:val="single"/>
        </w:rPr>
        <w:t>投标人</w:t>
      </w:r>
      <w:r>
        <w:rPr>
          <w:color w:val="auto"/>
          <w:sz w:val="24"/>
          <w:highlight w:val="none"/>
          <w:u w:val="single"/>
        </w:rPr>
        <w:t>不得被</w:t>
      </w:r>
      <w:r>
        <w:rPr>
          <w:rFonts w:hint="eastAsia"/>
          <w:color w:val="auto"/>
          <w:sz w:val="24"/>
          <w:highlight w:val="none"/>
          <w:u w:val="single"/>
        </w:rPr>
        <w:t>“信用中国”和“中国政府采购网”网站</w:t>
      </w:r>
      <w:r>
        <w:rPr>
          <w:color w:val="auto"/>
          <w:sz w:val="24"/>
          <w:highlight w:val="none"/>
          <w:u w:val="single"/>
        </w:rPr>
        <w:t>列入失信被执行人、重大税收违法案件当事人名单、政府采购严重违法失信行为记录名单</w:t>
      </w:r>
      <w:r>
        <w:rPr>
          <w:color w:val="auto"/>
          <w:sz w:val="24"/>
          <w:highlight w:val="none"/>
        </w:rPr>
        <w:t>。</w:t>
      </w:r>
    </w:p>
    <w:p>
      <w:pPr>
        <w:spacing w:line="360" w:lineRule="auto"/>
        <w:ind w:firstLine="480" w:firstLineChars="200"/>
        <w:rPr>
          <w:i/>
          <w:iCs/>
          <w:color w:val="auto"/>
          <w:sz w:val="24"/>
          <w:highlight w:val="none"/>
          <w:u w:val="single"/>
        </w:rPr>
      </w:pPr>
    </w:p>
    <w:bookmarkEnd w:id="15"/>
    <w:bookmarkEnd w:id="16"/>
    <w:p>
      <w:pPr>
        <w:pStyle w:val="3"/>
        <w:widowControl/>
        <w:spacing w:before="0" w:line="360" w:lineRule="auto"/>
        <w:jc w:val="left"/>
        <w:rPr>
          <w:rFonts w:ascii="Times New Roman" w:hAnsi="Times New Roman" w:eastAsia="宋体"/>
          <w:color w:val="auto"/>
          <w:sz w:val="24"/>
          <w:szCs w:val="24"/>
          <w:highlight w:val="none"/>
        </w:rPr>
      </w:pPr>
      <w:bookmarkStart w:id="17" w:name="_Toc35393792"/>
      <w:bookmarkStart w:id="18" w:name="_Toc35393623"/>
      <w:r>
        <w:rPr>
          <w:rFonts w:ascii="Times New Roman" w:hAnsi="Times New Roman" w:eastAsia="宋体"/>
          <w:color w:val="auto"/>
          <w:sz w:val="24"/>
          <w:szCs w:val="24"/>
          <w:highlight w:val="none"/>
        </w:rPr>
        <w:t>三、获取招标文件</w:t>
      </w:r>
      <w:bookmarkEnd w:id="17"/>
      <w:bookmarkEnd w:id="18"/>
    </w:p>
    <w:p>
      <w:pPr>
        <w:adjustRightInd w:val="0"/>
        <w:snapToGrid w:val="0"/>
        <w:spacing w:line="360" w:lineRule="auto"/>
        <w:ind w:firstLine="480" w:firstLineChars="200"/>
        <w:rPr>
          <w:color w:val="auto"/>
          <w:sz w:val="24"/>
          <w:highlight w:val="none"/>
          <w:lang w:bidi="ar"/>
        </w:rPr>
      </w:pPr>
      <w:r>
        <w:rPr>
          <w:color w:val="auto"/>
          <w:sz w:val="24"/>
          <w:highlight w:val="none"/>
          <w:lang w:bidi="ar"/>
        </w:rPr>
        <w:t>1.时间：</w:t>
      </w:r>
      <w:r>
        <w:rPr>
          <w:rFonts w:hint="eastAsia"/>
          <w:color w:val="auto"/>
          <w:sz w:val="24"/>
          <w:highlight w:val="none"/>
          <w:u w:val="single"/>
          <w:lang w:bidi="ar"/>
        </w:rPr>
        <w:t>202</w:t>
      </w:r>
      <w:r>
        <w:rPr>
          <w:rFonts w:hint="eastAsia"/>
          <w:color w:val="auto"/>
          <w:sz w:val="24"/>
          <w:highlight w:val="none"/>
          <w:u w:val="single"/>
          <w:lang w:val="en-US" w:eastAsia="zh-CN" w:bidi="ar"/>
        </w:rPr>
        <w:t>4</w:t>
      </w:r>
      <w:r>
        <w:rPr>
          <w:color w:val="auto"/>
          <w:sz w:val="24"/>
          <w:highlight w:val="none"/>
          <w:lang w:bidi="ar"/>
        </w:rPr>
        <w:t>年</w:t>
      </w:r>
      <w:r>
        <w:rPr>
          <w:rFonts w:hint="eastAsia"/>
          <w:color w:val="auto"/>
          <w:sz w:val="24"/>
          <w:highlight w:val="none"/>
          <w:u w:val="single"/>
          <w:lang w:val="en-US" w:eastAsia="zh-CN" w:bidi="ar"/>
        </w:rPr>
        <w:t>03</w:t>
      </w:r>
      <w:r>
        <w:rPr>
          <w:color w:val="auto"/>
          <w:sz w:val="24"/>
          <w:highlight w:val="none"/>
          <w:lang w:bidi="ar"/>
        </w:rPr>
        <w:t>月</w:t>
      </w:r>
      <w:r>
        <w:rPr>
          <w:rFonts w:hint="eastAsia"/>
          <w:color w:val="auto"/>
          <w:sz w:val="24"/>
          <w:highlight w:val="none"/>
          <w:u w:val="single"/>
          <w:lang w:val="en-US" w:eastAsia="zh-CN" w:bidi="ar"/>
        </w:rPr>
        <w:t>1</w:t>
      </w:r>
      <w:r>
        <w:rPr>
          <w:color w:val="auto"/>
          <w:sz w:val="24"/>
          <w:highlight w:val="none"/>
          <w:lang w:bidi="ar"/>
        </w:rPr>
        <w:t>日至</w:t>
      </w:r>
      <w:r>
        <w:rPr>
          <w:rFonts w:hint="eastAsia"/>
          <w:color w:val="auto"/>
          <w:sz w:val="24"/>
          <w:highlight w:val="none"/>
          <w:u w:val="single"/>
          <w:lang w:bidi="ar"/>
        </w:rPr>
        <w:t>202</w:t>
      </w:r>
      <w:r>
        <w:rPr>
          <w:rFonts w:hint="eastAsia"/>
          <w:color w:val="auto"/>
          <w:sz w:val="24"/>
          <w:highlight w:val="none"/>
          <w:u w:val="single"/>
          <w:lang w:val="en-US" w:eastAsia="zh-CN" w:bidi="ar"/>
        </w:rPr>
        <w:t>4</w:t>
      </w:r>
      <w:r>
        <w:rPr>
          <w:color w:val="auto"/>
          <w:sz w:val="24"/>
          <w:highlight w:val="none"/>
          <w:lang w:bidi="ar"/>
        </w:rPr>
        <w:t>年</w:t>
      </w:r>
      <w:r>
        <w:rPr>
          <w:rFonts w:hint="eastAsia"/>
          <w:color w:val="auto"/>
          <w:sz w:val="24"/>
          <w:highlight w:val="none"/>
          <w:u w:val="single"/>
          <w:lang w:val="en-US" w:eastAsia="zh-CN" w:bidi="ar"/>
        </w:rPr>
        <w:t>03</w:t>
      </w:r>
      <w:r>
        <w:rPr>
          <w:color w:val="auto"/>
          <w:sz w:val="24"/>
          <w:highlight w:val="none"/>
          <w:lang w:bidi="ar"/>
        </w:rPr>
        <w:t>月</w:t>
      </w:r>
      <w:r>
        <w:rPr>
          <w:rFonts w:hint="eastAsia"/>
          <w:color w:val="auto"/>
          <w:sz w:val="24"/>
          <w:highlight w:val="none"/>
          <w:u w:val="single"/>
          <w:lang w:val="en-US" w:eastAsia="zh-CN" w:bidi="ar"/>
        </w:rPr>
        <w:t>07</w:t>
      </w:r>
      <w:r>
        <w:rPr>
          <w:color w:val="auto"/>
          <w:sz w:val="24"/>
          <w:highlight w:val="none"/>
          <w:lang w:bidi="ar"/>
        </w:rPr>
        <w:t>日，每天上午</w:t>
      </w:r>
      <w:r>
        <w:rPr>
          <w:rFonts w:hint="eastAsia"/>
          <w:color w:val="auto"/>
          <w:sz w:val="24"/>
          <w:highlight w:val="none"/>
          <w:u w:val="single"/>
          <w:lang w:bidi="ar"/>
        </w:rPr>
        <w:t>9:</w:t>
      </w:r>
      <w:r>
        <w:rPr>
          <w:rFonts w:hint="eastAsia"/>
          <w:color w:val="auto"/>
          <w:sz w:val="24"/>
          <w:highlight w:val="none"/>
          <w:u w:val="single"/>
          <w:lang w:val="en-US" w:eastAsia="zh-CN" w:bidi="ar"/>
        </w:rPr>
        <w:t>30</w:t>
      </w:r>
      <w:r>
        <w:rPr>
          <w:color w:val="auto"/>
          <w:sz w:val="24"/>
          <w:highlight w:val="none"/>
          <w:lang w:bidi="ar"/>
        </w:rPr>
        <w:t>至</w:t>
      </w:r>
      <w:r>
        <w:rPr>
          <w:rFonts w:hint="eastAsia"/>
          <w:color w:val="auto"/>
          <w:sz w:val="24"/>
          <w:highlight w:val="none"/>
          <w:u w:val="single"/>
          <w:lang w:val="en-US" w:eastAsia="zh-CN" w:bidi="ar"/>
        </w:rPr>
        <w:t>11</w:t>
      </w:r>
      <w:r>
        <w:rPr>
          <w:rFonts w:hint="eastAsia"/>
          <w:color w:val="auto"/>
          <w:sz w:val="24"/>
          <w:highlight w:val="none"/>
          <w:u w:val="single"/>
          <w:lang w:bidi="ar"/>
        </w:rPr>
        <w:t>：</w:t>
      </w:r>
      <w:r>
        <w:rPr>
          <w:rFonts w:hint="eastAsia"/>
          <w:color w:val="auto"/>
          <w:sz w:val="24"/>
          <w:highlight w:val="none"/>
          <w:u w:val="single"/>
          <w:lang w:val="en-US" w:eastAsia="zh-CN" w:bidi="ar"/>
        </w:rPr>
        <w:t>30</w:t>
      </w:r>
      <w:r>
        <w:rPr>
          <w:color w:val="auto"/>
          <w:sz w:val="24"/>
          <w:highlight w:val="none"/>
          <w:lang w:bidi="ar"/>
        </w:rPr>
        <w:t>，下午</w:t>
      </w:r>
      <w:r>
        <w:rPr>
          <w:rFonts w:hint="eastAsia"/>
          <w:color w:val="auto"/>
          <w:sz w:val="24"/>
          <w:highlight w:val="none"/>
          <w:u w:val="single"/>
          <w:lang w:bidi="ar"/>
        </w:rPr>
        <w:t>13:</w:t>
      </w:r>
      <w:r>
        <w:rPr>
          <w:rFonts w:hint="eastAsia"/>
          <w:color w:val="auto"/>
          <w:sz w:val="24"/>
          <w:highlight w:val="none"/>
          <w:u w:val="single"/>
          <w:lang w:val="en-US" w:eastAsia="zh-CN" w:bidi="ar"/>
        </w:rPr>
        <w:t>30</w:t>
      </w:r>
      <w:r>
        <w:rPr>
          <w:color w:val="auto"/>
          <w:sz w:val="24"/>
          <w:highlight w:val="none"/>
          <w:lang w:bidi="ar"/>
        </w:rPr>
        <w:t>至</w:t>
      </w:r>
      <w:r>
        <w:rPr>
          <w:rFonts w:hint="eastAsia"/>
          <w:color w:val="auto"/>
          <w:sz w:val="24"/>
          <w:highlight w:val="none"/>
          <w:u w:val="single"/>
          <w:lang w:bidi="ar"/>
        </w:rPr>
        <w:t>17:</w:t>
      </w:r>
      <w:r>
        <w:rPr>
          <w:rFonts w:hint="eastAsia"/>
          <w:color w:val="auto"/>
          <w:sz w:val="24"/>
          <w:highlight w:val="none"/>
          <w:u w:val="single"/>
          <w:lang w:val="en-US" w:eastAsia="zh-CN" w:bidi="ar"/>
        </w:rPr>
        <w:t>30</w:t>
      </w:r>
      <w:r>
        <w:rPr>
          <w:color w:val="auto"/>
          <w:sz w:val="24"/>
          <w:highlight w:val="none"/>
          <w:lang w:bidi="ar"/>
        </w:rPr>
        <w:t>（北京时间，法定节假日除外）。</w:t>
      </w:r>
    </w:p>
    <w:p>
      <w:pPr>
        <w:adjustRightInd w:val="0"/>
        <w:snapToGrid w:val="0"/>
        <w:spacing w:line="360" w:lineRule="auto"/>
        <w:ind w:firstLine="480" w:firstLineChars="200"/>
        <w:rPr>
          <w:color w:val="auto"/>
          <w:sz w:val="24"/>
          <w:highlight w:val="none"/>
        </w:rPr>
      </w:pPr>
      <w:r>
        <w:rPr>
          <w:color w:val="auto"/>
          <w:sz w:val="24"/>
          <w:highlight w:val="none"/>
          <w:lang w:bidi="ar"/>
        </w:rPr>
        <w:t>2.地点：北京市政府采购电子交易平台</w:t>
      </w:r>
    </w:p>
    <w:p>
      <w:pPr>
        <w:widowControl/>
        <w:adjustRightInd w:val="0"/>
        <w:snapToGrid w:val="0"/>
        <w:spacing w:line="360" w:lineRule="auto"/>
        <w:ind w:firstLine="480" w:firstLineChars="200"/>
        <w:jc w:val="left"/>
        <w:rPr>
          <w:color w:val="auto"/>
          <w:sz w:val="24"/>
          <w:highlight w:val="none"/>
          <w:lang w:bidi="ar"/>
        </w:rPr>
      </w:pPr>
      <w:r>
        <w:rPr>
          <w:color w:val="auto"/>
          <w:sz w:val="24"/>
          <w:highlight w:val="none"/>
          <w:lang w:bidi="ar"/>
        </w:rPr>
        <w:t>3.方式：供应商使用CA数字证书或电子营业执照登录北京市政府采购电子交易平台（http://zbcg-bjzc.zhongcy.com/bjczj-portal-site/index.html#/home）获取电子版招标文件。</w:t>
      </w:r>
    </w:p>
    <w:p>
      <w:pPr>
        <w:widowControl/>
        <w:adjustRightInd w:val="0"/>
        <w:snapToGrid w:val="0"/>
        <w:spacing w:line="360" w:lineRule="auto"/>
        <w:ind w:firstLine="480" w:firstLineChars="200"/>
        <w:jc w:val="left"/>
        <w:rPr>
          <w:color w:val="auto"/>
          <w:sz w:val="24"/>
          <w:highlight w:val="none"/>
        </w:rPr>
      </w:pPr>
      <w:r>
        <w:rPr>
          <w:color w:val="auto"/>
          <w:sz w:val="24"/>
          <w:highlight w:val="none"/>
          <w:lang w:bidi="ar"/>
        </w:rPr>
        <w:t>4.售价：0元。</w:t>
      </w:r>
    </w:p>
    <w:p>
      <w:pPr>
        <w:tabs>
          <w:tab w:val="left" w:pos="900"/>
          <w:tab w:val="left" w:pos="1980"/>
        </w:tabs>
        <w:snapToGrid w:val="0"/>
        <w:spacing w:line="360" w:lineRule="auto"/>
        <w:ind w:left="840"/>
        <w:rPr>
          <w:color w:val="auto"/>
          <w:sz w:val="24"/>
          <w:highlight w:val="none"/>
        </w:rPr>
      </w:pPr>
    </w:p>
    <w:p>
      <w:pPr>
        <w:pStyle w:val="3"/>
        <w:widowControl/>
        <w:spacing w:before="0" w:line="360" w:lineRule="auto"/>
        <w:jc w:val="left"/>
        <w:rPr>
          <w:rFonts w:ascii="Times New Roman" w:hAnsi="Times New Roman" w:eastAsia="宋体"/>
          <w:color w:val="auto"/>
          <w:sz w:val="24"/>
          <w:szCs w:val="24"/>
          <w:highlight w:val="none"/>
        </w:rPr>
      </w:pPr>
      <w:bookmarkStart w:id="19" w:name="_Toc28359005"/>
      <w:bookmarkStart w:id="20" w:name="_Toc28359082"/>
      <w:bookmarkStart w:id="21" w:name="_Toc35393624"/>
      <w:bookmarkStart w:id="22" w:name="_Toc35393793"/>
      <w:r>
        <w:rPr>
          <w:rFonts w:ascii="Times New Roman" w:hAnsi="Times New Roman" w:eastAsia="宋体"/>
          <w:color w:val="auto"/>
          <w:sz w:val="24"/>
          <w:szCs w:val="24"/>
          <w:highlight w:val="none"/>
        </w:rPr>
        <w:t>四、提交投标文件</w:t>
      </w:r>
      <w:bookmarkEnd w:id="19"/>
      <w:bookmarkEnd w:id="20"/>
      <w:r>
        <w:rPr>
          <w:rFonts w:ascii="Times New Roman" w:hAnsi="Times New Roman" w:eastAsia="宋体"/>
          <w:color w:val="auto"/>
          <w:sz w:val="24"/>
          <w:szCs w:val="24"/>
          <w:highlight w:val="none"/>
        </w:rPr>
        <w:t>截止时间、开标时间和地点</w:t>
      </w:r>
      <w:bookmarkEnd w:id="21"/>
      <w:bookmarkEnd w:id="22"/>
    </w:p>
    <w:p>
      <w:pPr>
        <w:spacing w:line="360" w:lineRule="auto"/>
        <w:ind w:firstLine="480" w:firstLineChars="200"/>
        <w:rPr>
          <w:bCs/>
          <w:color w:val="auto"/>
          <w:sz w:val="24"/>
          <w:highlight w:val="none"/>
          <w:u w:val="single"/>
        </w:rPr>
      </w:pPr>
      <w:r>
        <w:rPr>
          <w:color w:val="auto"/>
          <w:sz w:val="24"/>
          <w:highlight w:val="none"/>
          <w:lang w:bidi="ar"/>
        </w:rPr>
        <w:t>投标截止时间、开标时间：</w:t>
      </w:r>
      <w:r>
        <w:rPr>
          <w:rFonts w:hint="eastAsia"/>
          <w:color w:val="auto"/>
          <w:sz w:val="24"/>
          <w:highlight w:val="none"/>
          <w:u w:val="single"/>
          <w:lang w:bidi="ar"/>
        </w:rPr>
        <w:t>202</w:t>
      </w:r>
      <w:r>
        <w:rPr>
          <w:rFonts w:hint="eastAsia"/>
          <w:color w:val="auto"/>
          <w:sz w:val="24"/>
          <w:highlight w:val="none"/>
          <w:u w:val="single"/>
          <w:lang w:val="en-US" w:eastAsia="zh-CN" w:bidi="ar"/>
        </w:rPr>
        <w:t>4</w:t>
      </w:r>
      <w:r>
        <w:rPr>
          <w:color w:val="auto"/>
          <w:sz w:val="24"/>
          <w:highlight w:val="none"/>
          <w:lang w:bidi="ar"/>
        </w:rPr>
        <w:t>年</w:t>
      </w:r>
      <w:r>
        <w:rPr>
          <w:rFonts w:hint="eastAsia"/>
          <w:color w:val="auto"/>
          <w:sz w:val="24"/>
          <w:highlight w:val="none"/>
          <w:u w:val="single"/>
          <w:lang w:val="en-US" w:eastAsia="zh-CN" w:bidi="ar"/>
        </w:rPr>
        <w:t>03</w:t>
      </w:r>
      <w:r>
        <w:rPr>
          <w:color w:val="auto"/>
          <w:sz w:val="24"/>
          <w:highlight w:val="none"/>
          <w:lang w:bidi="ar"/>
        </w:rPr>
        <w:t>月</w:t>
      </w:r>
      <w:r>
        <w:rPr>
          <w:rFonts w:hint="eastAsia"/>
          <w:color w:val="auto"/>
          <w:sz w:val="24"/>
          <w:highlight w:val="none"/>
          <w:u w:val="single"/>
          <w:lang w:val="en-US" w:eastAsia="zh-CN" w:bidi="ar"/>
        </w:rPr>
        <w:t>21</w:t>
      </w:r>
      <w:r>
        <w:rPr>
          <w:color w:val="auto"/>
          <w:sz w:val="24"/>
          <w:highlight w:val="none"/>
          <w:lang w:bidi="ar"/>
        </w:rPr>
        <w:t>日</w:t>
      </w:r>
      <w:r>
        <w:rPr>
          <w:rFonts w:hint="eastAsia"/>
          <w:color w:val="auto"/>
          <w:sz w:val="24"/>
          <w:highlight w:val="none"/>
          <w:u w:val="single"/>
          <w:lang w:val="en-US" w:eastAsia="zh-CN" w:bidi="ar"/>
        </w:rPr>
        <w:t>13点30分</w:t>
      </w:r>
      <w:r>
        <w:rPr>
          <w:bCs/>
          <w:color w:val="auto"/>
          <w:sz w:val="24"/>
          <w:highlight w:val="none"/>
          <w:lang w:bidi="ar"/>
        </w:rPr>
        <w:t>（北京时间）</w:t>
      </w:r>
      <w:r>
        <w:rPr>
          <w:iCs/>
          <w:color w:val="auto"/>
          <w:sz w:val="24"/>
          <w:highlight w:val="none"/>
          <w:lang w:bidi="ar"/>
        </w:rPr>
        <w:t>。</w:t>
      </w:r>
    </w:p>
    <w:p>
      <w:pPr>
        <w:spacing w:line="360" w:lineRule="auto"/>
        <w:ind w:firstLine="480" w:firstLineChars="200"/>
        <w:rPr>
          <w:color w:val="auto"/>
          <w:sz w:val="24"/>
          <w:highlight w:val="none"/>
          <w:lang w:val="zh-TW" w:bidi="ar"/>
        </w:rPr>
      </w:pPr>
      <w:r>
        <w:rPr>
          <w:color w:val="auto"/>
          <w:sz w:val="24"/>
          <w:highlight w:val="none"/>
          <w:lang w:bidi="ar"/>
        </w:rPr>
        <w:t>地点：</w:t>
      </w:r>
      <w:r>
        <w:rPr>
          <w:rFonts w:hint="eastAsia"/>
          <w:color w:val="auto"/>
          <w:sz w:val="24"/>
          <w:highlight w:val="none"/>
          <w:u w:val="single"/>
          <w:lang w:eastAsia="zh-CN"/>
        </w:rPr>
        <w:t>北京市西城区宣武门外大街8号D座5层西城区公共资源交易平台（以当日大屏幕显示为准）</w:t>
      </w:r>
      <w:r>
        <w:rPr>
          <w:color w:val="auto"/>
          <w:sz w:val="24"/>
          <w:highlight w:val="none"/>
          <w:lang w:val="zh-TW" w:bidi="ar"/>
        </w:rPr>
        <w:t>。</w:t>
      </w:r>
    </w:p>
    <w:p>
      <w:pPr>
        <w:spacing w:line="360" w:lineRule="auto"/>
        <w:ind w:firstLine="480" w:firstLineChars="200"/>
        <w:rPr>
          <w:bCs/>
          <w:color w:val="auto"/>
          <w:sz w:val="24"/>
          <w:highlight w:val="none"/>
          <w:u w:val="single"/>
        </w:rPr>
      </w:pPr>
    </w:p>
    <w:p>
      <w:pPr>
        <w:pStyle w:val="3"/>
        <w:spacing w:before="0" w:line="360" w:lineRule="auto"/>
        <w:jc w:val="left"/>
        <w:rPr>
          <w:rFonts w:ascii="Times New Roman" w:hAnsi="Times New Roman" w:eastAsia="宋体"/>
          <w:color w:val="auto"/>
          <w:sz w:val="24"/>
          <w:szCs w:val="24"/>
          <w:highlight w:val="none"/>
        </w:rPr>
      </w:pPr>
      <w:bookmarkStart w:id="23" w:name="_Toc35393794"/>
      <w:bookmarkStart w:id="24" w:name="_Toc28359084"/>
      <w:bookmarkStart w:id="25" w:name="_Toc28359007"/>
      <w:bookmarkStart w:id="26" w:name="_Toc35393625"/>
      <w:r>
        <w:rPr>
          <w:rFonts w:ascii="Times New Roman" w:hAnsi="Times New Roman" w:eastAsia="宋体"/>
          <w:color w:val="auto"/>
          <w:sz w:val="24"/>
          <w:szCs w:val="24"/>
          <w:highlight w:val="none"/>
        </w:rPr>
        <w:t>五、公告期限</w:t>
      </w:r>
      <w:bookmarkEnd w:id="23"/>
      <w:bookmarkEnd w:id="24"/>
      <w:bookmarkEnd w:id="25"/>
      <w:bookmarkEnd w:id="26"/>
    </w:p>
    <w:p>
      <w:pPr>
        <w:spacing w:line="360" w:lineRule="auto"/>
        <w:ind w:firstLine="480" w:firstLineChars="200"/>
        <w:rPr>
          <w:color w:val="auto"/>
          <w:kern w:val="0"/>
          <w:sz w:val="24"/>
          <w:highlight w:val="none"/>
        </w:rPr>
      </w:pPr>
      <w:r>
        <w:rPr>
          <w:color w:val="auto"/>
          <w:kern w:val="0"/>
          <w:sz w:val="24"/>
          <w:highlight w:val="none"/>
        </w:rPr>
        <w:t>自本公告发布之日起5个工作日。</w:t>
      </w:r>
    </w:p>
    <w:p>
      <w:pPr>
        <w:spacing w:line="360" w:lineRule="auto"/>
        <w:ind w:firstLine="480" w:firstLineChars="200"/>
        <w:rPr>
          <w:color w:val="auto"/>
          <w:kern w:val="0"/>
          <w:sz w:val="24"/>
          <w:highlight w:val="none"/>
        </w:rPr>
      </w:pPr>
    </w:p>
    <w:p>
      <w:pPr>
        <w:pStyle w:val="3"/>
        <w:spacing w:before="0" w:line="360" w:lineRule="auto"/>
        <w:jc w:val="left"/>
        <w:rPr>
          <w:rFonts w:ascii="Times New Roman" w:hAnsi="Times New Roman" w:eastAsia="宋体"/>
          <w:color w:val="auto"/>
          <w:sz w:val="24"/>
          <w:szCs w:val="24"/>
          <w:highlight w:val="none"/>
        </w:rPr>
      </w:pPr>
      <w:bookmarkStart w:id="27" w:name="_Toc35393795"/>
      <w:bookmarkStart w:id="28" w:name="_Toc35393626"/>
      <w:r>
        <w:rPr>
          <w:rFonts w:ascii="Times New Roman" w:hAnsi="Times New Roman" w:eastAsia="宋体"/>
          <w:color w:val="auto"/>
          <w:sz w:val="24"/>
          <w:szCs w:val="24"/>
          <w:highlight w:val="none"/>
        </w:rPr>
        <w:t>六、其他补充事宜</w:t>
      </w:r>
      <w:bookmarkEnd w:id="27"/>
      <w:bookmarkEnd w:id="28"/>
    </w:p>
    <w:p>
      <w:pPr>
        <w:spacing w:line="360" w:lineRule="auto"/>
        <w:ind w:firstLine="480" w:firstLineChars="200"/>
        <w:rPr>
          <w:color w:val="auto"/>
          <w:sz w:val="24"/>
          <w:highlight w:val="none"/>
        </w:rPr>
      </w:pPr>
      <w:r>
        <w:rPr>
          <w:color w:val="auto"/>
          <w:sz w:val="24"/>
          <w:highlight w:val="none"/>
        </w:rPr>
        <w:t>1.本项目需要落实的政府采购政策：</w:t>
      </w:r>
      <w:r>
        <w:rPr>
          <w:rFonts w:hint="eastAsia"/>
          <w:color w:val="auto"/>
          <w:sz w:val="24"/>
          <w:highlight w:val="none"/>
          <w:u w:val="single"/>
        </w:rPr>
        <w:t>（1）政府采购信用担保；（</w:t>
      </w:r>
      <w:r>
        <w:rPr>
          <w:rFonts w:hint="eastAsia"/>
          <w:color w:val="auto"/>
          <w:sz w:val="24"/>
          <w:highlight w:val="none"/>
          <w:u w:val="single"/>
          <w:lang w:val="en-US" w:eastAsia="zh-CN"/>
        </w:rPr>
        <w:t>2</w:t>
      </w:r>
      <w:r>
        <w:rPr>
          <w:rFonts w:hint="eastAsia"/>
          <w:color w:val="auto"/>
          <w:sz w:val="24"/>
          <w:highlight w:val="none"/>
          <w:u w:val="single"/>
        </w:rPr>
        <w:t>）政府采购促进中小企业发展；（</w:t>
      </w:r>
      <w:r>
        <w:rPr>
          <w:rFonts w:hint="eastAsia"/>
          <w:color w:val="auto"/>
          <w:sz w:val="24"/>
          <w:highlight w:val="none"/>
          <w:u w:val="single"/>
          <w:lang w:val="en-US" w:eastAsia="zh-CN"/>
        </w:rPr>
        <w:t>3</w:t>
      </w:r>
      <w:r>
        <w:rPr>
          <w:rFonts w:hint="eastAsia"/>
          <w:color w:val="auto"/>
          <w:sz w:val="24"/>
          <w:highlight w:val="none"/>
          <w:u w:val="single"/>
        </w:rPr>
        <w:t>）政府采购支持监狱企业发展；（</w:t>
      </w:r>
      <w:r>
        <w:rPr>
          <w:rFonts w:hint="eastAsia"/>
          <w:color w:val="auto"/>
          <w:sz w:val="24"/>
          <w:highlight w:val="none"/>
          <w:u w:val="single"/>
          <w:lang w:val="en-US" w:eastAsia="zh-CN"/>
        </w:rPr>
        <w:t>4</w:t>
      </w:r>
      <w:r>
        <w:rPr>
          <w:rFonts w:hint="eastAsia"/>
          <w:color w:val="auto"/>
          <w:sz w:val="24"/>
          <w:highlight w:val="none"/>
          <w:u w:val="single"/>
        </w:rPr>
        <w:t xml:space="preserve">）促进残疾人就业政府采购政策； </w:t>
      </w:r>
      <w:r>
        <w:rPr>
          <w:color w:val="auto"/>
          <w:sz w:val="24"/>
          <w:highlight w:val="none"/>
          <w:lang w:bidi="ar"/>
        </w:rPr>
        <w:t>。</w:t>
      </w:r>
      <w:r>
        <w:rPr>
          <w:color w:val="auto"/>
          <w:sz w:val="24"/>
          <w:highlight w:val="none"/>
        </w:rPr>
        <w:t xml:space="preserve"> </w:t>
      </w:r>
    </w:p>
    <w:p>
      <w:pPr>
        <w:widowControl/>
        <w:adjustRightInd w:val="0"/>
        <w:snapToGrid w:val="0"/>
        <w:spacing w:line="360" w:lineRule="auto"/>
        <w:ind w:firstLine="480" w:firstLineChars="200"/>
        <w:jc w:val="left"/>
        <w:rPr>
          <w:bCs/>
          <w:color w:val="auto"/>
          <w:sz w:val="24"/>
          <w:highlight w:val="none"/>
        </w:rPr>
      </w:pPr>
      <w:r>
        <w:rPr>
          <w:color w:val="auto"/>
          <w:sz w:val="24"/>
          <w:highlight w:val="none"/>
        </w:rPr>
        <w:t>2.</w:t>
      </w:r>
      <w:r>
        <w:rPr>
          <w:rFonts w:hint="eastAsia"/>
          <w:color w:val="auto"/>
          <w:sz w:val="24"/>
          <w:highlight w:val="none"/>
        </w:rPr>
        <w:t>本项目采用电子化与线下流程结合招标方式</w:t>
      </w:r>
      <w:r>
        <w:rPr>
          <w:color w:val="auto"/>
          <w:sz w:val="24"/>
          <w:highlight w:val="none"/>
        </w:rPr>
        <w:t>，请供应商认真学习北京市政府采购电子交易平台发布的相关操作手册，办理CA认证证书、进行北京市政府采购电子交易平台注册绑定，并认真核实</w:t>
      </w:r>
      <w:r>
        <w:rPr>
          <w:bCs/>
          <w:color w:val="auto"/>
          <w:sz w:val="24"/>
          <w:highlight w:val="none"/>
        </w:rPr>
        <w:t>数字认证证书情况确认是否符合本项目电子化采购流程要求。</w:t>
      </w:r>
    </w:p>
    <w:p>
      <w:pPr>
        <w:adjustRightInd w:val="0"/>
        <w:snapToGrid w:val="0"/>
        <w:spacing w:line="360" w:lineRule="auto"/>
        <w:ind w:firstLine="480" w:firstLineChars="200"/>
        <w:rPr>
          <w:color w:val="auto"/>
          <w:sz w:val="24"/>
          <w:highlight w:val="none"/>
        </w:rPr>
      </w:pPr>
      <w:r>
        <w:rPr>
          <w:color w:val="auto"/>
          <w:sz w:val="24"/>
          <w:highlight w:val="none"/>
        </w:rPr>
        <w:t>CA认证证书服务热线 010-58511086</w:t>
      </w:r>
    </w:p>
    <w:p>
      <w:pPr>
        <w:adjustRightInd w:val="0"/>
        <w:snapToGrid w:val="0"/>
        <w:spacing w:line="360" w:lineRule="auto"/>
        <w:ind w:firstLine="480" w:firstLineChars="200"/>
        <w:rPr>
          <w:color w:val="auto"/>
          <w:sz w:val="24"/>
          <w:highlight w:val="none"/>
        </w:rPr>
      </w:pPr>
      <w:r>
        <w:rPr>
          <w:color w:val="auto"/>
          <w:sz w:val="24"/>
          <w:highlight w:val="none"/>
        </w:rPr>
        <w:t>技术支持服务热线    010-86483801</w:t>
      </w:r>
    </w:p>
    <w:p>
      <w:pPr>
        <w:widowControl/>
        <w:adjustRightInd w:val="0"/>
        <w:snapToGrid w:val="0"/>
        <w:spacing w:line="360" w:lineRule="auto"/>
        <w:ind w:firstLine="480" w:firstLineChars="200"/>
        <w:jc w:val="left"/>
        <w:rPr>
          <w:color w:val="auto"/>
          <w:sz w:val="24"/>
          <w:highlight w:val="none"/>
        </w:rPr>
      </w:pPr>
      <w:r>
        <w:rPr>
          <w:color w:val="auto"/>
          <w:sz w:val="24"/>
          <w:highlight w:val="none"/>
        </w:rPr>
        <w:t>3.1办理CA认证证书</w:t>
      </w:r>
    </w:p>
    <w:p>
      <w:pPr>
        <w:widowControl/>
        <w:adjustRightInd w:val="0"/>
        <w:snapToGrid w:val="0"/>
        <w:spacing w:line="360" w:lineRule="auto"/>
        <w:ind w:firstLine="480" w:firstLineChars="200"/>
        <w:jc w:val="left"/>
        <w:rPr>
          <w:color w:val="auto"/>
          <w:sz w:val="24"/>
          <w:highlight w:val="none"/>
        </w:rPr>
      </w:pPr>
      <w:r>
        <w:rPr>
          <w:color w:val="auto"/>
          <w:sz w:val="24"/>
          <w:highlight w:val="none"/>
        </w:rPr>
        <w:t>供应商登录北京市政府采购电子交易平台查阅 “用户指南”—“操作指南”—“市场主体CA办理操作流程指引”，按照程序要求办理。</w:t>
      </w:r>
    </w:p>
    <w:p>
      <w:pPr>
        <w:adjustRightInd w:val="0"/>
        <w:snapToGrid w:val="0"/>
        <w:spacing w:line="360" w:lineRule="auto"/>
        <w:ind w:firstLine="480" w:firstLineChars="200"/>
        <w:rPr>
          <w:color w:val="auto"/>
          <w:sz w:val="24"/>
          <w:highlight w:val="none"/>
        </w:rPr>
      </w:pPr>
      <w:r>
        <w:rPr>
          <w:color w:val="auto"/>
          <w:sz w:val="24"/>
          <w:highlight w:val="none"/>
        </w:rPr>
        <w:t>3.2注册</w:t>
      </w:r>
    </w:p>
    <w:p>
      <w:pPr>
        <w:adjustRightInd w:val="0"/>
        <w:snapToGrid w:val="0"/>
        <w:spacing w:line="360" w:lineRule="auto"/>
        <w:ind w:firstLine="480" w:firstLineChars="200"/>
        <w:rPr>
          <w:color w:val="auto"/>
          <w:sz w:val="24"/>
          <w:highlight w:val="none"/>
        </w:rPr>
      </w:pPr>
      <w:r>
        <w:rPr>
          <w:color w:val="auto"/>
          <w:sz w:val="24"/>
          <w:highlight w:val="none"/>
        </w:rPr>
        <w:t>供应商登录北京市政府采购电子交易平台“用户指南”—“操作指南”—“市场主体注册入库操作流程指引”进行自助注册绑定。</w:t>
      </w:r>
    </w:p>
    <w:p>
      <w:pPr>
        <w:widowControl/>
        <w:adjustRightInd w:val="0"/>
        <w:snapToGrid w:val="0"/>
        <w:spacing w:line="360" w:lineRule="auto"/>
        <w:ind w:firstLine="480" w:firstLineChars="200"/>
        <w:jc w:val="left"/>
        <w:rPr>
          <w:color w:val="auto"/>
          <w:sz w:val="24"/>
          <w:highlight w:val="none"/>
        </w:rPr>
      </w:pPr>
      <w:r>
        <w:rPr>
          <w:color w:val="auto"/>
          <w:sz w:val="24"/>
          <w:highlight w:val="none"/>
        </w:rPr>
        <w:t>3.3驱动下载</w:t>
      </w:r>
    </w:p>
    <w:p>
      <w:pPr>
        <w:widowControl/>
        <w:adjustRightInd w:val="0"/>
        <w:snapToGrid w:val="0"/>
        <w:spacing w:line="360" w:lineRule="auto"/>
        <w:ind w:firstLine="480" w:firstLineChars="200"/>
        <w:jc w:val="left"/>
        <w:rPr>
          <w:color w:val="auto"/>
          <w:sz w:val="24"/>
          <w:highlight w:val="none"/>
        </w:rPr>
      </w:pPr>
      <w:r>
        <w:rPr>
          <w:color w:val="auto"/>
          <w:sz w:val="24"/>
          <w:highlight w:val="none"/>
        </w:rPr>
        <w:t>供应商登录北京市政府采购电子交易平台“用户指南”—“工具下载”—“招标采购系统文件驱动安装包”下载相关驱动。</w:t>
      </w:r>
    </w:p>
    <w:p>
      <w:pPr>
        <w:adjustRightInd w:val="0"/>
        <w:snapToGrid w:val="0"/>
        <w:spacing w:line="360" w:lineRule="auto"/>
        <w:ind w:firstLine="480" w:firstLineChars="200"/>
        <w:rPr>
          <w:color w:val="auto"/>
          <w:sz w:val="24"/>
          <w:highlight w:val="none"/>
        </w:rPr>
      </w:pPr>
      <w:r>
        <w:rPr>
          <w:color w:val="auto"/>
          <w:sz w:val="24"/>
          <w:highlight w:val="none"/>
        </w:rPr>
        <w:t>3.4 获取电子招标文件</w:t>
      </w:r>
    </w:p>
    <w:p>
      <w:pPr>
        <w:spacing w:line="360" w:lineRule="auto"/>
        <w:ind w:firstLine="480" w:firstLineChars="200"/>
        <w:rPr>
          <w:color w:val="auto"/>
          <w:sz w:val="24"/>
          <w:highlight w:val="none"/>
          <w:lang w:eastAsia="zh-TW"/>
        </w:rPr>
      </w:pPr>
      <w:r>
        <w:rPr>
          <w:color w:val="auto"/>
          <w:sz w:val="24"/>
          <w:highlight w:val="none"/>
        </w:rPr>
        <w:t>供应商持CA数字认证证书登录北京市政府采购电子交易平台获取电子招标文件。未在规定期限内通过北京市政府采购电子交易平台获取招标文件的</w:t>
      </w:r>
      <w:r>
        <w:rPr>
          <w:b/>
          <w:color w:val="auto"/>
          <w:sz w:val="24"/>
          <w:highlight w:val="none"/>
        </w:rPr>
        <w:t>投标无效</w:t>
      </w:r>
      <w:r>
        <w:rPr>
          <w:color w:val="auto"/>
          <w:sz w:val="24"/>
          <w:highlight w:val="none"/>
        </w:rPr>
        <w:t>。</w:t>
      </w:r>
    </w:p>
    <w:p>
      <w:pPr>
        <w:spacing w:line="360" w:lineRule="auto"/>
        <w:ind w:firstLine="480" w:firstLineChars="200"/>
        <w:rPr>
          <w:color w:val="auto"/>
          <w:sz w:val="24"/>
          <w:highlight w:val="none"/>
        </w:rPr>
      </w:pPr>
    </w:p>
    <w:p>
      <w:pPr>
        <w:pStyle w:val="3"/>
        <w:spacing w:before="0" w:line="360" w:lineRule="auto"/>
        <w:jc w:val="left"/>
        <w:rPr>
          <w:rFonts w:ascii="Times New Roman" w:hAnsi="Times New Roman" w:eastAsia="宋体"/>
          <w:color w:val="auto"/>
          <w:sz w:val="24"/>
          <w:szCs w:val="24"/>
          <w:highlight w:val="none"/>
        </w:rPr>
      </w:pPr>
      <w:bookmarkStart w:id="29" w:name="_Toc35393627"/>
      <w:bookmarkStart w:id="30" w:name="_Toc35393796"/>
      <w:bookmarkStart w:id="31" w:name="_Toc28359008"/>
      <w:bookmarkStart w:id="32" w:name="_Toc28359085"/>
      <w:r>
        <w:rPr>
          <w:rFonts w:ascii="Times New Roman" w:hAnsi="Times New Roman" w:eastAsia="宋体"/>
          <w:color w:val="auto"/>
          <w:sz w:val="24"/>
          <w:szCs w:val="24"/>
          <w:highlight w:val="none"/>
        </w:rPr>
        <w:t>七、对本次招标提出询问，请按以下方式联系。</w:t>
      </w:r>
      <w:bookmarkEnd w:id="29"/>
      <w:bookmarkEnd w:id="30"/>
      <w:bookmarkEnd w:id="31"/>
      <w:bookmarkEnd w:id="32"/>
    </w:p>
    <w:p>
      <w:pPr>
        <w:spacing w:line="360" w:lineRule="auto"/>
        <w:ind w:left="1080" w:leftChars="371" w:hanging="301" w:hangingChars="125"/>
        <w:jc w:val="left"/>
        <w:rPr>
          <w:b/>
          <w:color w:val="auto"/>
          <w:sz w:val="24"/>
          <w:highlight w:val="none"/>
        </w:rPr>
      </w:pPr>
      <w:r>
        <w:rPr>
          <w:b/>
          <w:color w:val="auto"/>
          <w:sz w:val="24"/>
          <w:highlight w:val="none"/>
        </w:rPr>
        <w:t>1.采购人信息</w:t>
      </w:r>
    </w:p>
    <w:p>
      <w:pPr>
        <w:spacing w:line="360" w:lineRule="auto"/>
        <w:ind w:left="1079" w:leftChars="371" w:hanging="300" w:hangingChars="125"/>
        <w:jc w:val="left"/>
        <w:rPr>
          <w:color w:val="auto"/>
          <w:sz w:val="24"/>
        </w:rPr>
      </w:pPr>
      <w:bookmarkStart w:id="33" w:name="_Toc28359009"/>
      <w:bookmarkStart w:id="34" w:name="_Toc28359086"/>
      <w:r>
        <w:rPr>
          <w:color w:val="auto"/>
          <w:sz w:val="24"/>
        </w:rPr>
        <w:t>名    称：</w:t>
      </w:r>
      <w:r>
        <w:rPr>
          <w:rFonts w:hint="eastAsia"/>
          <w:color w:val="auto"/>
          <w:sz w:val="24"/>
          <w:u w:val="single"/>
          <w:lang w:val="en-US" w:eastAsia="zh-CN"/>
        </w:rPr>
        <w:t>北京市</w:t>
      </w:r>
      <w:r>
        <w:rPr>
          <w:rFonts w:hint="eastAsia"/>
          <w:color w:val="auto"/>
          <w:sz w:val="24"/>
          <w:u w:val="single"/>
        </w:rPr>
        <w:t>西城区科学技术和信息化局</w:t>
      </w:r>
    </w:p>
    <w:p>
      <w:pPr>
        <w:spacing w:line="360" w:lineRule="auto"/>
        <w:ind w:left="1079" w:leftChars="371" w:hanging="300" w:hangingChars="125"/>
        <w:jc w:val="left"/>
        <w:rPr>
          <w:color w:val="auto"/>
          <w:sz w:val="24"/>
          <w:highlight w:val="none"/>
        </w:rPr>
      </w:pPr>
      <w:r>
        <w:rPr>
          <w:color w:val="auto"/>
          <w:sz w:val="24"/>
          <w:highlight w:val="none"/>
        </w:rPr>
        <w:t>地    址：</w:t>
      </w:r>
      <w:r>
        <w:rPr>
          <w:rFonts w:hint="eastAsia"/>
          <w:color w:val="auto"/>
          <w:sz w:val="24"/>
          <w:highlight w:val="none"/>
          <w:u w:val="single"/>
        </w:rPr>
        <w:t>北京市西城区广安门南街68号</w:t>
      </w:r>
      <w:r>
        <w:rPr>
          <w:color w:val="auto"/>
          <w:sz w:val="24"/>
          <w:highlight w:val="none"/>
        </w:rPr>
        <w:t>_</w:t>
      </w:r>
    </w:p>
    <w:p>
      <w:pPr>
        <w:spacing w:line="360" w:lineRule="auto"/>
        <w:ind w:left="1079" w:leftChars="371" w:hanging="300" w:hangingChars="125"/>
        <w:jc w:val="left"/>
        <w:rPr>
          <w:rFonts w:hint="default"/>
          <w:color w:val="auto"/>
          <w:sz w:val="24"/>
          <w:highlight w:val="none"/>
          <w:u w:val="single"/>
          <w:lang w:val="en-US" w:eastAsia="zh-CN"/>
        </w:rPr>
      </w:pPr>
      <w:r>
        <w:rPr>
          <w:color w:val="auto"/>
          <w:sz w:val="24"/>
          <w:highlight w:val="none"/>
        </w:rPr>
        <w:t>联系方式：</w:t>
      </w:r>
      <w:r>
        <w:rPr>
          <w:rFonts w:hint="eastAsia"/>
          <w:color w:val="auto"/>
          <w:sz w:val="24"/>
          <w:highlight w:val="none"/>
          <w:u w:val="single"/>
          <w:lang w:val="en-US" w:eastAsia="zh-CN"/>
        </w:rPr>
        <w:t>王</w:t>
      </w:r>
      <w:r>
        <w:rPr>
          <w:color w:val="auto"/>
          <w:sz w:val="24"/>
          <w:highlight w:val="none"/>
          <w:u w:val="single"/>
        </w:rPr>
        <w:t>老师</w:t>
      </w:r>
      <w:r>
        <w:rPr>
          <w:rFonts w:hint="eastAsia"/>
          <w:color w:val="auto"/>
          <w:sz w:val="24"/>
          <w:highlight w:val="none"/>
          <w:u w:val="single"/>
          <w:lang w:val="en-US" w:eastAsia="zh-CN"/>
        </w:rPr>
        <w:t xml:space="preserve">  010-83976426 </w:t>
      </w:r>
      <w:r>
        <w:rPr>
          <w:rFonts w:hint="eastAsia"/>
          <w:color w:val="auto"/>
          <w:sz w:val="24"/>
          <w:highlight w:val="none"/>
          <w:u w:val="single"/>
        </w:rPr>
        <w:t xml:space="preserve">       </w:t>
      </w:r>
    </w:p>
    <w:p>
      <w:pPr>
        <w:spacing w:line="360" w:lineRule="auto"/>
        <w:ind w:left="1080" w:leftChars="371" w:hanging="301" w:hangingChars="125"/>
        <w:jc w:val="left"/>
        <w:rPr>
          <w:b/>
          <w:color w:val="auto"/>
          <w:sz w:val="24"/>
          <w:highlight w:val="none"/>
        </w:rPr>
      </w:pPr>
      <w:r>
        <w:rPr>
          <w:b/>
          <w:color w:val="auto"/>
          <w:sz w:val="24"/>
          <w:highlight w:val="none"/>
        </w:rPr>
        <w:t>2.采购代理机构信息</w:t>
      </w:r>
      <w:bookmarkEnd w:id="33"/>
      <w:bookmarkEnd w:id="34"/>
    </w:p>
    <w:p>
      <w:pPr>
        <w:spacing w:line="360" w:lineRule="auto"/>
        <w:ind w:left="1079" w:leftChars="371" w:hanging="300" w:hangingChars="125"/>
        <w:jc w:val="left"/>
        <w:rPr>
          <w:color w:val="auto"/>
          <w:sz w:val="24"/>
          <w:highlight w:val="none"/>
        </w:rPr>
      </w:pPr>
      <w:bookmarkStart w:id="35" w:name="_Toc28359010"/>
      <w:bookmarkStart w:id="36" w:name="_Toc28359087"/>
      <w:r>
        <w:rPr>
          <w:color w:val="auto"/>
          <w:sz w:val="24"/>
          <w:highlight w:val="none"/>
        </w:rPr>
        <w:t>名    称：</w:t>
      </w:r>
      <w:r>
        <w:rPr>
          <w:rFonts w:hint="eastAsia"/>
          <w:color w:val="auto"/>
          <w:sz w:val="24"/>
          <w:highlight w:val="none"/>
          <w:u w:val="single"/>
        </w:rPr>
        <w:t>中工国际招标有限公司</w:t>
      </w:r>
    </w:p>
    <w:p>
      <w:pPr>
        <w:spacing w:line="360" w:lineRule="auto"/>
        <w:ind w:left="1079" w:leftChars="371" w:hanging="300" w:hangingChars="125"/>
        <w:jc w:val="left"/>
        <w:rPr>
          <w:rFonts w:hint="eastAsia" w:eastAsia="宋体"/>
          <w:color w:val="auto"/>
          <w:sz w:val="24"/>
          <w:highlight w:val="none"/>
          <w:lang w:eastAsia="zh-CN"/>
        </w:rPr>
      </w:pPr>
      <w:r>
        <w:rPr>
          <w:color w:val="auto"/>
          <w:sz w:val="24"/>
          <w:highlight w:val="none"/>
        </w:rPr>
        <w:t>地    址：</w:t>
      </w:r>
      <w:r>
        <w:rPr>
          <w:rFonts w:hint="eastAsia"/>
          <w:color w:val="auto"/>
          <w:sz w:val="24"/>
          <w:highlight w:val="none"/>
          <w:u w:val="single"/>
          <w:lang w:eastAsia="zh-CN"/>
        </w:rPr>
        <w:t>北京市朝阳亚运村朝阳区慧忠路5号远大中心二层</w:t>
      </w:r>
    </w:p>
    <w:p>
      <w:pPr>
        <w:spacing w:line="360" w:lineRule="auto"/>
        <w:ind w:left="1079" w:leftChars="371" w:hanging="300" w:hangingChars="125"/>
        <w:jc w:val="left"/>
        <w:rPr>
          <w:color w:val="auto"/>
          <w:sz w:val="24"/>
          <w:highlight w:val="none"/>
          <w:u w:val="single"/>
        </w:rPr>
      </w:pPr>
      <w:r>
        <w:rPr>
          <w:color w:val="auto"/>
          <w:sz w:val="24"/>
          <w:highlight w:val="none"/>
        </w:rPr>
        <w:t>联系方式：</w:t>
      </w:r>
      <w:r>
        <w:rPr>
          <w:rFonts w:hint="eastAsia"/>
          <w:color w:val="auto"/>
          <w:sz w:val="24"/>
          <w:highlight w:val="none"/>
          <w:u w:val="single"/>
        </w:rPr>
        <w:t xml:space="preserve">王宇婷(女士) </w:t>
      </w:r>
      <w:r>
        <w:rPr>
          <w:rFonts w:hint="eastAsia"/>
          <w:color w:val="auto"/>
          <w:sz w:val="24"/>
          <w:highlight w:val="none"/>
          <w:u w:val="single"/>
          <w:lang w:eastAsia="zh-CN"/>
        </w:rPr>
        <w:t>、</w:t>
      </w:r>
      <w:r>
        <w:rPr>
          <w:rFonts w:hint="eastAsia"/>
          <w:color w:val="auto"/>
          <w:sz w:val="24"/>
          <w:highlight w:val="none"/>
          <w:u w:val="single"/>
          <w:lang w:val="en-US" w:eastAsia="zh-CN"/>
        </w:rPr>
        <w:t xml:space="preserve">赵可欣 </w:t>
      </w:r>
      <w:r>
        <w:rPr>
          <w:rFonts w:hint="eastAsia"/>
          <w:color w:val="auto"/>
          <w:sz w:val="24"/>
          <w:highlight w:val="none"/>
          <w:u w:val="single"/>
        </w:rPr>
        <w:t xml:space="preserve"> 010-82952950-814</w:t>
      </w:r>
      <w:r>
        <w:rPr>
          <w:color w:val="auto"/>
          <w:sz w:val="24"/>
          <w:highlight w:val="none"/>
        </w:rPr>
        <w:t>_</w:t>
      </w:r>
    </w:p>
    <w:p>
      <w:pPr>
        <w:spacing w:line="360" w:lineRule="auto"/>
        <w:ind w:firstLine="723" w:firstLineChars="300"/>
        <w:rPr>
          <w:b/>
          <w:color w:val="auto"/>
          <w:sz w:val="24"/>
          <w:highlight w:val="none"/>
          <w:u w:val="single"/>
        </w:rPr>
      </w:pPr>
      <w:r>
        <w:rPr>
          <w:b/>
          <w:color w:val="auto"/>
          <w:sz w:val="24"/>
          <w:highlight w:val="none"/>
        </w:rPr>
        <w:t>3.项目联系方式</w:t>
      </w:r>
      <w:bookmarkEnd w:id="35"/>
      <w:bookmarkEnd w:id="36"/>
    </w:p>
    <w:p>
      <w:pPr>
        <w:pStyle w:val="23"/>
        <w:spacing w:line="360" w:lineRule="auto"/>
        <w:ind w:firstLine="720" w:firstLineChars="300"/>
        <w:rPr>
          <w:rFonts w:hint="default" w:ascii="Times New Roman" w:hAnsi="Times New Roman"/>
          <w:color w:val="auto"/>
          <w:sz w:val="24"/>
          <w:szCs w:val="24"/>
        </w:rPr>
      </w:pPr>
      <w:r>
        <w:rPr>
          <w:rFonts w:hint="default" w:ascii="Times New Roman" w:hAnsi="Times New Roman"/>
          <w:color w:val="auto"/>
          <w:sz w:val="24"/>
          <w:szCs w:val="24"/>
        </w:rPr>
        <w:t>项目联系人：</w:t>
      </w:r>
      <w:r>
        <w:rPr>
          <w:rFonts w:hint="default" w:ascii="Times New Roman" w:hAnsi="Times New Roman"/>
          <w:color w:val="auto"/>
          <w:sz w:val="24"/>
          <w:u w:val="single"/>
        </w:rPr>
        <w:t>王宇婷(女士)</w:t>
      </w:r>
    </w:p>
    <w:p>
      <w:pPr>
        <w:spacing w:line="360" w:lineRule="auto"/>
        <w:ind w:firstLine="720" w:firstLineChars="300"/>
        <w:rPr>
          <w:color w:val="auto"/>
          <w:sz w:val="24"/>
        </w:rPr>
      </w:pPr>
      <w:r>
        <w:rPr>
          <w:color w:val="auto"/>
          <w:sz w:val="24"/>
        </w:rPr>
        <w:t>电      话：</w:t>
      </w:r>
      <w:r>
        <w:rPr>
          <w:color w:val="auto"/>
          <w:sz w:val="24"/>
          <w:u w:val="single"/>
        </w:rPr>
        <w:t>010-82952950-814</w:t>
      </w:r>
    </w:p>
    <w:p>
      <w:pPr>
        <w:spacing w:line="360" w:lineRule="auto"/>
        <w:jc w:val="center"/>
        <w:outlineLvl w:val="0"/>
        <w:rPr>
          <w:b/>
          <w:color w:val="auto"/>
          <w:sz w:val="32"/>
          <w:szCs w:val="32"/>
        </w:rPr>
      </w:pPr>
      <w:r>
        <w:rPr>
          <w:color w:val="auto"/>
          <w:sz w:val="24"/>
        </w:rPr>
        <w:br w:type="page"/>
      </w:r>
      <w:bookmarkStart w:id="37" w:name="_Toc512937850"/>
      <w:bookmarkStart w:id="38" w:name="_Toc127161488"/>
      <w:bookmarkStart w:id="39" w:name="_Toc195842950"/>
      <w:bookmarkStart w:id="40" w:name="_Toc226965856"/>
      <w:bookmarkStart w:id="41" w:name="_Toc265228423"/>
      <w:bookmarkStart w:id="42" w:name="_Toc305158854"/>
      <w:bookmarkStart w:id="43" w:name="_Toc353825548"/>
      <w:bookmarkStart w:id="44" w:name="_Toc127151777"/>
      <w:bookmarkStart w:id="45" w:name="_Toc264969275"/>
      <w:bookmarkStart w:id="46" w:name="_Toc150774783"/>
      <w:bookmarkStart w:id="47" w:name="_Toc305158928"/>
      <w:bookmarkStart w:id="48" w:name="_Toc99301420"/>
      <w:bookmarkStart w:id="49" w:name="_Toc353873938"/>
      <w:r>
        <w:rPr>
          <w:b/>
          <w:color w:val="auto"/>
          <w:sz w:val="36"/>
          <w:szCs w:val="36"/>
        </w:rPr>
        <w:t>第二章   投标人须知</w:t>
      </w:r>
      <w:bookmarkEnd w:id="37"/>
      <w:bookmarkEnd w:id="38"/>
      <w:bookmarkEnd w:id="39"/>
      <w:bookmarkEnd w:id="40"/>
      <w:bookmarkEnd w:id="41"/>
      <w:bookmarkEnd w:id="42"/>
      <w:bookmarkEnd w:id="43"/>
      <w:bookmarkEnd w:id="44"/>
      <w:bookmarkEnd w:id="45"/>
      <w:bookmarkEnd w:id="46"/>
      <w:bookmarkEnd w:id="47"/>
      <w:bookmarkEnd w:id="48"/>
      <w:bookmarkEnd w:id="49"/>
    </w:p>
    <w:p>
      <w:pPr>
        <w:pStyle w:val="3"/>
        <w:tabs>
          <w:tab w:val="center" w:pos="4592"/>
          <w:tab w:val="left" w:pos="7860"/>
        </w:tabs>
        <w:spacing w:before="0" w:line="360" w:lineRule="auto"/>
        <w:rPr>
          <w:rFonts w:ascii="Times New Roman" w:hAnsi="Times New Roman" w:eastAsia="宋体"/>
          <w:color w:val="auto"/>
          <w:sz w:val="28"/>
        </w:rPr>
      </w:pPr>
      <w:bookmarkStart w:id="50" w:name="_Toc164608633"/>
      <w:bookmarkStart w:id="51" w:name="_Toc149720812"/>
      <w:bookmarkStart w:id="52" w:name="_Toc151193761"/>
      <w:bookmarkStart w:id="53" w:name="_Toc195842884"/>
      <w:bookmarkStart w:id="54" w:name="_Toc127151519"/>
      <w:bookmarkStart w:id="55" w:name="_Toc226309763"/>
      <w:bookmarkStart w:id="56" w:name="_Toc150509270"/>
      <w:bookmarkStart w:id="57" w:name="_Toc151193617"/>
      <w:bookmarkStart w:id="58" w:name="_Toc142311021"/>
      <w:bookmarkStart w:id="59" w:name="_Toc151193833"/>
      <w:bookmarkStart w:id="60" w:name="_Toc127161433"/>
      <w:bookmarkStart w:id="61" w:name="_Toc150774619"/>
      <w:bookmarkStart w:id="62" w:name="_Toc520356144"/>
      <w:bookmarkStart w:id="63" w:name="_Toc151193907"/>
      <w:bookmarkStart w:id="64" w:name="_Toc150774724"/>
      <w:bookmarkStart w:id="65" w:name="_Toc164351613"/>
      <w:bookmarkStart w:id="66" w:name="_Toc164229360"/>
      <w:bookmarkStart w:id="67" w:name="_Toc164229214"/>
      <w:bookmarkStart w:id="68" w:name="_Toc151193689"/>
      <w:bookmarkStart w:id="69" w:name="_Toc164608788"/>
      <w:bookmarkStart w:id="70" w:name="_Toc127151720"/>
      <w:bookmarkStart w:id="71" w:name="_Toc151190146"/>
      <w:bookmarkStart w:id="72" w:name="_Toc226965792"/>
      <w:bookmarkStart w:id="73" w:name="_Toc226965709"/>
      <w:bookmarkStart w:id="74" w:name="_Toc226337215"/>
      <w:bookmarkStart w:id="75" w:name="_Toc150480757"/>
      <w:r>
        <w:rPr>
          <w:rFonts w:ascii="Times New Roman" w:hAnsi="Times New Roman" w:eastAsia="宋体"/>
          <w:color w:val="auto"/>
          <w:sz w:val="28"/>
        </w:rPr>
        <w:t>投标人须知资料表</w:t>
      </w:r>
    </w:p>
    <w:p>
      <w:pPr>
        <w:jc w:val="center"/>
        <w:rPr>
          <w:b/>
          <w:color w:val="auto"/>
          <w:sz w:val="28"/>
          <w:szCs w:val="28"/>
        </w:rPr>
      </w:pPr>
    </w:p>
    <w:p>
      <w:pPr>
        <w:spacing w:line="360" w:lineRule="auto"/>
        <w:ind w:firstLine="480"/>
        <w:rPr>
          <w:color w:val="auto"/>
          <w:sz w:val="24"/>
        </w:rPr>
      </w:pPr>
      <w:r>
        <w:rPr>
          <w:color w:val="auto"/>
          <w:sz w:val="24"/>
        </w:rPr>
        <w:t>本表是对投标人须知的具体补充和修改，如有矛盾，均以本资料表为准。标记“</w:t>
      </w:r>
      <w:r>
        <w:rPr>
          <w:b/>
          <w:color w:val="auto"/>
          <w:sz w:val="24"/>
        </w:rPr>
        <w:t>■</w:t>
      </w:r>
      <w:r>
        <w:rPr>
          <w:color w:val="auto"/>
          <w:sz w:val="24"/>
        </w:rPr>
        <w:t>”的选项意为适用于本项目，标记“□”的选项意为不适用于本项目。</w:t>
      </w:r>
    </w:p>
    <w:tbl>
      <w:tblPr>
        <w:tblStyle w:val="44"/>
        <w:tblW w:w="102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8"/>
        <w:gridCol w:w="1701"/>
        <w:gridCol w:w="754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tblHeader/>
          <w:jc w:val="center"/>
        </w:trPr>
        <w:tc>
          <w:tcPr>
            <w:tcW w:w="988" w:type="dxa"/>
            <w:vAlign w:val="center"/>
          </w:tcPr>
          <w:p>
            <w:pPr>
              <w:jc w:val="center"/>
              <w:rPr>
                <w:b/>
                <w:bCs/>
                <w:color w:val="auto"/>
                <w:sz w:val="24"/>
              </w:rPr>
            </w:pPr>
            <w:r>
              <w:rPr>
                <w:b/>
                <w:color w:val="auto"/>
                <w:sz w:val="24"/>
              </w:rPr>
              <w:t>条款号</w:t>
            </w:r>
          </w:p>
        </w:tc>
        <w:tc>
          <w:tcPr>
            <w:tcW w:w="1701" w:type="dxa"/>
            <w:vAlign w:val="center"/>
          </w:tcPr>
          <w:p>
            <w:pPr>
              <w:jc w:val="center"/>
              <w:rPr>
                <w:b/>
                <w:bCs/>
                <w:color w:val="auto"/>
                <w:sz w:val="24"/>
              </w:rPr>
            </w:pPr>
            <w:r>
              <w:rPr>
                <w:b/>
                <w:bCs/>
                <w:color w:val="auto"/>
                <w:sz w:val="24"/>
              </w:rPr>
              <w:t>条目</w:t>
            </w:r>
          </w:p>
        </w:tc>
        <w:tc>
          <w:tcPr>
            <w:tcW w:w="7540" w:type="dxa"/>
            <w:vAlign w:val="center"/>
          </w:tcPr>
          <w:p>
            <w:pPr>
              <w:jc w:val="center"/>
              <w:rPr>
                <w:b/>
                <w:bCs/>
                <w:color w:val="auto"/>
                <w:sz w:val="24"/>
              </w:rPr>
            </w:pPr>
            <w:r>
              <w:rPr>
                <w:b/>
                <w:bCs/>
                <w:color w:val="auto"/>
                <w:sz w:val="24"/>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3"/>
              <w:adjustRightInd w:val="0"/>
              <w:snapToGrid w:val="0"/>
              <w:jc w:val="center"/>
              <w:rPr>
                <w:rFonts w:hint="default" w:ascii="Times New Roman" w:hAnsi="Times New Roman"/>
                <w:color w:val="auto"/>
                <w:sz w:val="24"/>
                <w:szCs w:val="24"/>
              </w:rPr>
            </w:pPr>
            <w:r>
              <w:rPr>
                <w:rFonts w:hint="default" w:ascii="Times New Roman" w:hAnsi="Times New Roman"/>
                <w:color w:val="auto"/>
                <w:sz w:val="24"/>
                <w:szCs w:val="24"/>
              </w:rPr>
              <w:t>2.2</w:t>
            </w:r>
          </w:p>
        </w:tc>
        <w:tc>
          <w:tcPr>
            <w:tcW w:w="1701" w:type="dxa"/>
            <w:vAlign w:val="center"/>
          </w:tcPr>
          <w:p>
            <w:pPr>
              <w:jc w:val="center"/>
              <w:rPr>
                <w:color w:val="auto"/>
                <w:sz w:val="24"/>
              </w:rPr>
            </w:pPr>
            <w:r>
              <w:rPr>
                <w:color w:val="auto"/>
                <w:sz w:val="24"/>
              </w:rPr>
              <w:t>项目属性</w:t>
            </w:r>
          </w:p>
        </w:tc>
        <w:tc>
          <w:tcPr>
            <w:tcW w:w="7540" w:type="dxa"/>
            <w:vAlign w:val="center"/>
          </w:tcPr>
          <w:p>
            <w:pPr>
              <w:jc w:val="left"/>
              <w:rPr>
                <w:color w:val="auto"/>
                <w:sz w:val="24"/>
              </w:rPr>
            </w:pPr>
            <w:r>
              <w:rPr>
                <w:color w:val="auto"/>
                <w:sz w:val="24"/>
              </w:rPr>
              <w:t>项目属性：</w:t>
            </w:r>
          </w:p>
          <w:p>
            <w:pPr>
              <w:jc w:val="left"/>
              <w:rPr>
                <w:color w:val="auto"/>
                <w:sz w:val="24"/>
              </w:rPr>
            </w:pPr>
            <w:r>
              <w:rPr>
                <w:b/>
                <w:color w:val="auto"/>
                <w:sz w:val="24"/>
              </w:rPr>
              <w:t>■</w:t>
            </w:r>
            <w:r>
              <w:rPr>
                <w:color w:val="auto"/>
                <w:sz w:val="24"/>
              </w:rPr>
              <w:t>服务</w:t>
            </w:r>
          </w:p>
          <w:p>
            <w:pPr>
              <w:jc w:val="left"/>
              <w:rPr>
                <w:color w:val="auto"/>
                <w:sz w:val="24"/>
              </w:rPr>
            </w:pPr>
            <w:r>
              <w:rPr>
                <w:color w:val="auto"/>
                <w:sz w:val="24"/>
              </w:rPr>
              <w:t>□货物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3"/>
              <w:adjustRightInd w:val="0"/>
              <w:snapToGrid w:val="0"/>
              <w:jc w:val="center"/>
              <w:rPr>
                <w:rFonts w:hint="default" w:ascii="Times New Roman" w:hAnsi="Times New Roman"/>
                <w:color w:val="auto"/>
                <w:sz w:val="24"/>
                <w:szCs w:val="24"/>
              </w:rPr>
            </w:pPr>
            <w:r>
              <w:rPr>
                <w:rFonts w:hint="default" w:ascii="Times New Roman" w:hAnsi="Times New Roman"/>
                <w:color w:val="auto"/>
                <w:sz w:val="24"/>
                <w:szCs w:val="24"/>
              </w:rPr>
              <w:t>2.3</w:t>
            </w:r>
          </w:p>
        </w:tc>
        <w:tc>
          <w:tcPr>
            <w:tcW w:w="1701" w:type="dxa"/>
            <w:vAlign w:val="center"/>
          </w:tcPr>
          <w:p>
            <w:pPr>
              <w:jc w:val="center"/>
              <w:rPr>
                <w:color w:val="auto"/>
                <w:sz w:val="24"/>
              </w:rPr>
            </w:pPr>
            <w:r>
              <w:rPr>
                <w:color w:val="auto"/>
                <w:sz w:val="24"/>
              </w:rPr>
              <w:t>科研仪器设备</w:t>
            </w:r>
          </w:p>
        </w:tc>
        <w:tc>
          <w:tcPr>
            <w:tcW w:w="7540" w:type="dxa"/>
            <w:vAlign w:val="center"/>
          </w:tcPr>
          <w:p>
            <w:pPr>
              <w:jc w:val="left"/>
              <w:rPr>
                <w:color w:val="auto"/>
                <w:sz w:val="24"/>
              </w:rPr>
            </w:pPr>
            <w:r>
              <w:rPr>
                <w:color w:val="auto"/>
                <w:sz w:val="24"/>
              </w:rPr>
              <w:t>是否属于科研仪器设备采购项目：</w:t>
            </w:r>
          </w:p>
          <w:p>
            <w:pPr>
              <w:jc w:val="left"/>
              <w:rPr>
                <w:color w:val="auto"/>
                <w:sz w:val="24"/>
              </w:rPr>
            </w:pPr>
            <w:r>
              <w:rPr>
                <w:color w:val="auto"/>
                <w:sz w:val="24"/>
              </w:rPr>
              <w:t>□是</w:t>
            </w:r>
          </w:p>
          <w:p>
            <w:pPr>
              <w:jc w:val="left"/>
              <w:rPr>
                <w:color w:val="auto"/>
                <w:sz w:val="24"/>
              </w:rPr>
            </w:pPr>
            <w:r>
              <w:rPr>
                <w:b/>
                <w:color w:val="auto"/>
                <w:sz w:val="24"/>
              </w:rPr>
              <w:t>■</w:t>
            </w:r>
            <w:r>
              <w:rPr>
                <w:color w:val="auto"/>
                <w:sz w:val="24"/>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3"/>
              <w:adjustRightInd w:val="0"/>
              <w:snapToGrid w:val="0"/>
              <w:jc w:val="center"/>
              <w:rPr>
                <w:rFonts w:hint="default" w:ascii="Times New Roman" w:hAnsi="Times New Roman"/>
                <w:color w:val="auto"/>
                <w:sz w:val="24"/>
                <w:szCs w:val="24"/>
              </w:rPr>
            </w:pPr>
            <w:r>
              <w:rPr>
                <w:rFonts w:hint="default" w:ascii="Times New Roman" w:hAnsi="Times New Roman"/>
                <w:color w:val="auto"/>
                <w:sz w:val="24"/>
                <w:szCs w:val="24"/>
              </w:rPr>
              <w:t>2.4</w:t>
            </w:r>
          </w:p>
        </w:tc>
        <w:tc>
          <w:tcPr>
            <w:tcW w:w="1701" w:type="dxa"/>
            <w:vAlign w:val="center"/>
          </w:tcPr>
          <w:p>
            <w:pPr>
              <w:jc w:val="center"/>
              <w:rPr>
                <w:color w:val="auto"/>
                <w:sz w:val="24"/>
              </w:rPr>
            </w:pPr>
            <w:r>
              <w:rPr>
                <w:color w:val="auto"/>
                <w:sz w:val="24"/>
              </w:rPr>
              <w:t>核心产品</w:t>
            </w:r>
          </w:p>
        </w:tc>
        <w:tc>
          <w:tcPr>
            <w:tcW w:w="7540" w:type="dxa"/>
            <w:vAlign w:val="center"/>
          </w:tcPr>
          <w:p>
            <w:pPr>
              <w:pStyle w:val="23"/>
              <w:adjustRightInd w:val="0"/>
              <w:snapToGrid w:val="0"/>
              <w:rPr>
                <w:rFonts w:hint="default" w:ascii="Times New Roman" w:hAnsi="Times New Roman"/>
                <w:color w:val="auto"/>
                <w:sz w:val="24"/>
                <w:szCs w:val="24"/>
              </w:rPr>
            </w:pPr>
            <w:r>
              <w:rPr>
                <w:rFonts w:hint="default" w:ascii="Times New Roman" w:hAnsi="Times New Roman"/>
                <w:color w:val="auto"/>
                <w:sz w:val="24"/>
                <w:szCs w:val="24"/>
              </w:rPr>
              <w:t>■关于核心产品本项目_</w:t>
            </w:r>
            <w:r>
              <w:rPr>
                <w:rFonts w:ascii="Times New Roman" w:hAnsi="Times New Roman"/>
                <w:color w:val="auto"/>
                <w:sz w:val="24"/>
                <w:szCs w:val="24"/>
              </w:rPr>
              <w:t>/</w:t>
            </w:r>
            <w:r>
              <w:rPr>
                <w:rFonts w:hint="default" w:ascii="Times New Roman" w:hAnsi="Times New Roman"/>
                <w:color w:val="auto"/>
                <w:sz w:val="24"/>
                <w:szCs w:val="24"/>
              </w:rPr>
              <w:t>_包不适用。</w:t>
            </w:r>
          </w:p>
          <w:p>
            <w:pPr>
              <w:pStyle w:val="23"/>
              <w:adjustRightInd w:val="0"/>
              <w:snapToGrid w:val="0"/>
              <w:rPr>
                <w:rFonts w:hint="default" w:ascii="Times New Roman" w:hAnsi="Times New Roman"/>
                <w:color w:val="auto"/>
                <w:sz w:val="24"/>
                <w:szCs w:val="24"/>
              </w:rPr>
            </w:pPr>
            <w:r>
              <w:rPr>
                <w:rFonts w:hint="default" w:ascii="Times New Roman" w:hAnsi="Times New Roman"/>
                <w:color w:val="auto"/>
                <w:sz w:val="24"/>
                <w:szCs w:val="24"/>
              </w:rPr>
              <w:t>□本项目__包为单一产品采购项目。</w:t>
            </w:r>
          </w:p>
          <w:p>
            <w:pPr>
              <w:jc w:val="left"/>
              <w:rPr>
                <w:color w:val="auto"/>
                <w:sz w:val="24"/>
              </w:rPr>
            </w:pPr>
            <w:r>
              <w:rPr>
                <w:color w:val="auto"/>
                <w:sz w:val="24"/>
              </w:rPr>
              <w:t>□本项目为非单一产品采购项目，核心产品为：</w:t>
            </w:r>
            <w:r>
              <w:rPr>
                <w:rFonts w:hint="eastAsia"/>
                <w:color w:val="auto"/>
                <w:sz w:val="24"/>
                <w:u w:val="single"/>
              </w:rPr>
              <w:t xml:space="preserve">     </w:t>
            </w:r>
            <w:r>
              <w:rPr>
                <w:color w:val="auto"/>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restart"/>
            <w:vAlign w:val="center"/>
          </w:tcPr>
          <w:p>
            <w:pPr>
              <w:pStyle w:val="23"/>
              <w:adjustRightInd w:val="0"/>
              <w:snapToGrid w:val="0"/>
              <w:jc w:val="center"/>
              <w:rPr>
                <w:rFonts w:hint="default" w:ascii="Times New Roman" w:hAnsi="Times New Roman"/>
                <w:color w:val="auto"/>
                <w:sz w:val="24"/>
                <w:szCs w:val="24"/>
              </w:rPr>
            </w:pPr>
            <w:r>
              <w:rPr>
                <w:rFonts w:hint="default" w:ascii="Times New Roman" w:hAnsi="Times New Roman"/>
                <w:color w:val="auto"/>
                <w:sz w:val="24"/>
                <w:szCs w:val="24"/>
              </w:rPr>
              <w:t>3.1</w:t>
            </w:r>
          </w:p>
        </w:tc>
        <w:tc>
          <w:tcPr>
            <w:tcW w:w="1701" w:type="dxa"/>
            <w:vAlign w:val="center"/>
          </w:tcPr>
          <w:p>
            <w:pPr>
              <w:jc w:val="center"/>
              <w:rPr>
                <w:color w:val="auto"/>
                <w:sz w:val="24"/>
              </w:rPr>
            </w:pPr>
            <w:r>
              <w:rPr>
                <w:color w:val="auto"/>
                <w:sz w:val="24"/>
              </w:rPr>
              <w:t>现场考察</w:t>
            </w:r>
          </w:p>
        </w:tc>
        <w:tc>
          <w:tcPr>
            <w:tcW w:w="7540" w:type="dxa"/>
            <w:vAlign w:val="center"/>
          </w:tcPr>
          <w:p>
            <w:pPr>
              <w:jc w:val="left"/>
              <w:rPr>
                <w:color w:val="auto"/>
                <w:sz w:val="24"/>
              </w:rPr>
            </w:pPr>
            <w:r>
              <w:rPr>
                <w:b/>
                <w:color w:val="auto"/>
                <w:sz w:val="24"/>
              </w:rPr>
              <w:t>■</w:t>
            </w:r>
            <w:r>
              <w:rPr>
                <w:color w:val="auto"/>
                <w:sz w:val="24"/>
              </w:rPr>
              <w:t>不组织</w:t>
            </w:r>
          </w:p>
          <w:p>
            <w:pPr>
              <w:jc w:val="left"/>
              <w:rPr>
                <w:bCs/>
                <w:color w:val="auto"/>
                <w:sz w:val="24"/>
              </w:rPr>
            </w:pPr>
            <w:r>
              <w:rPr>
                <w:color w:val="auto"/>
                <w:sz w:val="24"/>
              </w:rPr>
              <w:t>□组织，考察时间：__年_月_日_</w:t>
            </w:r>
            <w:r>
              <w:rPr>
                <w:bCs/>
                <w:color w:val="auto"/>
                <w:sz w:val="24"/>
              </w:rPr>
              <w:t>点</w:t>
            </w:r>
            <w:r>
              <w:rPr>
                <w:color w:val="auto"/>
                <w:sz w:val="24"/>
              </w:rPr>
              <w:t>_</w:t>
            </w:r>
            <w:r>
              <w:rPr>
                <w:bCs/>
                <w:color w:val="auto"/>
                <w:sz w:val="24"/>
              </w:rPr>
              <w:t>分</w:t>
            </w:r>
          </w:p>
          <w:p>
            <w:pPr>
              <w:pStyle w:val="23"/>
              <w:adjustRightInd w:val="0"/>
              <w:snapToGrid w:val="0"/>
              <w:rPr>
                <w:rFonts w:hint="default" w:ascii="Times New Roman" w:hAnsi="Times New Roman"/>
                <w:color w:val="auto"/>
                <w:sz w:val="24"/>
                <w:szCs w:val="24"/>
              </w:rPr>
            </w:pPr>
            <w:r>
              <w:rPr>
                <w:rFonts w:hint="default" w:ascii="Times New Roman" w:hAnsi="Times New Roman"/>
                <w:color w:val="auto"/>
                <w:sz w:val="24"/>
              </w:rPr>
              <w:t>考察地点：____________</w:t>
            </w:r>
            <w:r>
              <w:rPr>
                <w:rFonts w:ascii="Times New Roman" w:hAnsi="Times New Roman"/>
                <w:color w:val="auto"/>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continue"/>
            <w:vAlign w:val="center"/>
          </w:tcPr>
          <w:p>
            <w:pPr>
              <w:pStyle w:val="23"/>
              <w:adjustRightInd w:val="0"/>
              <w:snapToGrid w:val="0"/>
              <w:jc w:val="center"/>
              <w:rPr>
                <w:rFonts w:hint="default" w:ascii="Times New Roman" w:hAnsi="Times New Roman"/>
                <w:color w:val="auto"/>
                <w:sz w:val="24"/>
                <w:szCs w:val="24"/>
              </w:rPr>
            </w:pPr>
          </w:p>
        </w:tc>
        <w:tc>
          <w:tcPr>
            <w:tcW w:w="1701" w:type="dxa"/>
            <w:vAlign w:val="center"/>
          </w:tcPr>
          <w:p>
            <w:pPr>
              <w:jc w:val="center"/>
              <w:rPr>
                <w:color w:val="auto"/>
                <w:sz w:val="24"/>
              </w:rPr>
            </w:pPr>
            <w:r>
              <w:rPr>
                <w:color w:val="auto"/>
                <w:sz w:val="24"/>
              </w:rPr>
              <w:t>开标前答疑会</w:t>
            </w:r>
          </w:p>
        </w:tc>
        <w:tc>
          <w:tcPr>
            <w:tcW w:w="7540" w:type="dxa"/>
            <w:vAlign w:val="center"/>
          </w:tcPr>
          <w:p>
            <w:pPr>
              <w:jc w:val="left"/>
              <w:rPr>
                <w:color w:val="auto"/>
                <w:sz w:val="24"/>
              </w:rPr>
            </w:pPr>
            <w:r>
              <w:rPr>
                <w:b/>
                <w:color w:val="auto"/>
                <w:sz w:val="24"/>
              </w:rPr>
              <w:t>■</w:t>
            </w:r>
            <w:r>
              <w:rPr>
                <w:color w:val="auto"/>
                <w:sz w:val="24"/>
              </w:rPr>
              <w:t>不召开</w:t>
            </w:r>
          </w:p>
          <w:p>
            <w:pPr>
              <w:jc w:val="left"/>
              <w:rPr>
                <w:color w:val="auto"/>
                <w:sz w:val="24"/>
              </w:rPr>
            </w:pPr>
            <w:r>
              <w:rPr>
                <w:color w:val="auto"/>
                <w:sz w:val="24"/>
              </w:rPr>
              <w:t>□召开，召开时间：__年_月_日_</w:t>
            </w:r>
            <w:r>
              <w:rPr>
                <w:bCs/>
                <w:color w:val="auto"/>
                <w:sz w:val="24"/>
              </w:rPr>
              <w:t>点</w:t>
            </w:r>
            <w:r>
              <w:rPr>
                <w:color w:val="auto"/>
                <w:sz w:val="24"/>
              </w:rPr>
              <w:t>_</w:t>
            </w:r>
            <w:r>
              <w:rPr>
                <w:bCs/>
                <w:color w:val="auto"/>
                <w:sz w:val="24"/>
              </w:rPr>
              <w:t>分</w:t>
            </w:r>
          </w:p>
          <w:p>
            <w:pPr>
              <w:jc w:val="left"/>
              <w:rPr>
                <w:color w:val="auto"/>
                <w:sz w:val="24"/>
              </w:rPr>
            </w:pPr>
            <w:r>
              <w:rPr>
                <w:color w:val="auto"/>
                <w:sz w:val="24"/>
              </w:rPr>
              <w:t>召开地点：____________</w:t>
            </w:r>
            <w:r>
              <w:rPr>
                <w:rFonts w:hint="eastAsia"/>
                <w:color w:val="auto"/>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3"/>
              <w:adjustRightInd w:val="0"/>
              <w:snapToGrid w:val="0"/>
              <w:jc w:val="center"/>
              <w:rPr>
                <w:rFonts w:hint="default" w:ascii="Times New Roman" w:hAnsi="Times New Roman"/>
                <w:color w:val="auto"/>
                <w:sz w:val="24"/>
                <w:szCs w:val="24"/>
              </w:rPr>
            </w:pPr>
            <w:r>
              <w:rPr>
                <w:rFonts w:hint="default" w:ascii="Times New Roman" w:hAnsi="Times New Roman"/>
                <w:color w:val="auto"/>
                <w:sz w:val="24"/>
                <w:szCs w:val="24"/>
              </w:rPr>
              <w:t>4.1</w:t>
            </w:r>
          </w:p>
        </w:tc>
        <w:tc>
          <w:tcPr>
            <w:tcW w:w="1701" w:type="dxa"/>
            <w:vAlign w:val="center"/>
          </w:tcPr>
          <w:p>
            <w:pPr>
              <w:jc w:val="center"/>
              <w:rPr>
                <w:color w:val="auto"/>
                <w:sz w:val="24"/>
              </w:rPr>
            </w:pPr>
            <w:r>
              <w:rPr>
                <w:color w:val="auto"/>
                <w:sz w:val="24"/>
              </w:rPr>
              <w:t>样品</w:t>
            </w:r>
          </w:p>
        </w:tc>
        <w:tc>
          <w:tcPr>
            <w:tcW w:w="7540" w:type="dxa"/>
            <w:vAlign w:val="center"/>
          </w:tcPr>
          <w:p>
            <w:pPr>
              <w:jc w:val="left"/>
              <w:rPr>
                <w:color w:val="auto"/>
                <w:sz w:val="24"/>
              </w:rPr>
            </w:pPr>
            <w:r>
              <w:rPr>
                <w:color w:val="auto"/>
                <w:sz w:val="24"/>
              </w:rPr>
              <w:t>投标样品递交：</w:t>
            </w:r>
          </w:p>
          <w:p>
            <w:pPr>
              <w:jc w:val="left"/>
              <w:rPr>
                <w:color w:val="auto"/>
                <w:sz w:val="24"/>
              </w:rPr>
            </w:pPr>
            <w:r>
              <w:rPr>
                <w:b/>
                <w:color w:val="auto"/>
                <w:sz w:val="24"/>
              </w:rPr>
              <w:t>■</w:t>
            </w:r>
            <w:r>
              <w:rPr>
                <w:color w:val="auto"/>
                <w:sz w:val="24"/>
              </w:rPr>
              <w:t>不需要</w:t>
            </w:r>
          </w:p>
          <w:p>
            <w:pPr>
              <w:jc w:val="left"/>
              <w:rPr>
                <w:color w:val="auto"/>
                <w:sz w:val="24"/>
              </w:rPr>
            </w:pPr>
            <w:r>
              <w:rPr>
                <w:color w:val="auto"/>
                <w:sz w:val="24"/>
              </w:rPr>
              <w:t>□需要，具体要求如下：</w:t>
            </w:r>
          </w:p>
          <w:p>
            <w:pPr>
              <w:jc w:val="left"/>
              <w:rPr>
                <w:color w:val="auto"/>
                <w:sz w:val="24"/>
                <w:u w:val="single"/>
              </w:rPr>
            </w:pPr>
            <w:r>
              <w:rPr>
                <w:color w:val="auto"/>
                <w:sz w:val="24"/>
              </w:rPr>
              <w:t>（1）样品制作的标准和要求：</w:t>
            </w:r>
            <w:r>
              <w:rPr>
                <w:rFonts w:hint="eastAsia"/>
                <w:color w:val="auto"/>
                <w:sz w:val="24"/>
                <w:u w:val="single"/>
              </w:rPr>
              <w:t>/</w:t>
            </w:r>
            <w:r>
              <w:rPr>
                <w:color w:val="auto"/>
                <w:sz w:val="24"/>
              </w:rPr>
              <w:t>；</w:t>
            </w:r>
          </w:p>
          <w:p>
            <w:pPr>
              <w:jc w:val="left"/>
              <w:rPr>
                <w:color w:val="auto"/>
                <w:sz w:val="24"/>
              </w:rPr>
            </w:pPr>
            <w:r>
              <w:rPr>
                <w:color w:val="auto"/>
                <w:sz w:val="24"/>
              </w:rPr>
              <w:t>（2）是否需要随样品提交相关检测报告：</w:t>
            </w:r>
          </w:p>
          <w:p>
            <w:pPr>
              <w:ind w:firstLine="600" w:firstLineChars="250"/>
              <w:jc w:val="left"/>
              <w:rPr>
                <w:color w:val="auto"/>
                <w:sz w:val="24"/>
              </w:rPr>
            </w:pPr>
            <w:r>
              <w:rPr>
                <w:color w:val="auto"/>
                <w:sz w:val="24"/>
              </w:rPr>
              <w:t>□不需要</w:t>
            </w:r>
          </w:p>
          <w:p>
            <w:pPr>
              <w:ind w:firstLine="600" w:firstLineChars="250"/>
              <w:jc w:val="left"/>
              <w:rPr>
                <w:color w:val="auto"/>
                <w:sz w:val="24"/>
              </w:rPr>
            </w:pPr>
            <w:r>
              <w:rPr>
                <w:color w:val="auto"/>
                <w:sz w:val="24"/>
              </w:rPr>
              <w:t>□需要</w:t>
            </w:r>
          </w:p>
          <w:p>
            <w:pPr>
              <w:jc w:val="left"/>
              <w:rPr>
                <w:color w:val="auto"/>
                <w:sz w:val="24"/>
              </w:rPr>
            </w:pPr>
            <w:r>
              <w:rPr>
                <w:color w:val="auto"/>
                <w:sz w:val="24"/>
              </w:rPr>
              <w:t>（3）样品递交要求：_</w:t>
            </w:r>
            <w:r>
              <w:rPr>
                <w:rFonts w:hint="eastAsia"/>
                <w:color w:val="auto"/>
                <w:sz w:val="24"/>
                <w:u w:val="single"/>
              </w:rPr>
              <w:t>/</w:t>
            </w:r>
            <w:r>
              <w:rPr>
                <w:color w:val="auto"/>
                <w:sz w:val="24"/>
              </w:rPr>
              <w:t>_；</w:t>
            </w:r>
          </w:p>
          <w:p>
            <w:pPr>
              <w:jc w:val="left"/>
              <w:rPr>
                <w:color w:val="auto"/>
                <w:sz w:val="24"/>
              </w:rPr>
            </w:pPr>
            <w:r>
              <w:rPr>
                <w:color w:val="auto"/>
                <w:sz w:val="24"/>
              </w:rPr>
              <w:t>（4）未中标人样品退还：</w:t>
            </w:r>
            <w:r>
              <w:rPr>
                <w:rFonts w:hint="eastAsia"/>
                <w:color w:val="auto"/>
                <w:sz w:val="24"/>
                <w:u w:val="single"/>
              </w:rPr>
              <w:t>/</w:t>
            </w:r>
            <w:r>
              <w:rPr>
                <w:color w:val="auto"/>
                <w:sz w:val="24"/>
              </w:rPr>
              <w:t>_；</w:t>
            </w:r>
          </w:p>
          <w:p>
            <w:pPr>
              <w:jc w:val="left"/>
              <w:rPr>
                <w:color w:val="auto"/>
                <w:sz w:val="24"/>
                <w:u w:val="single"/>
              </w:rPr>
            </w:pPr>
            <w:r>
              <w:rPr>
                <w:color w:val="auto"/>
                <w:sz w:val="24"/>
              </w:rPr>
              <w:t>（5）中标人样品保管、封存及退还：</w:t>
            </w:r>
            <w:r>
              <w:rPr>
                <w:rFonts w:hint="eastAsia"/>
                <w:color w:val="auto"/>
                <w:sz w:val="24"/>
                <w:u w:val="single"/>
              </w:rPr>
              <w:t>/</w:t>
            </w:r>
            <w:r>
              <w:rPr>
                <w:color w:val="auto"/>
                <w:sz w:val="24"/>
              </w:rPr>
              <w:t>；</w:t>
            </w:r>
          </w:p>
          <w:p>
            <w:pPr>
              <w:jc w:val="left"/>
              <w:rPr>
                <w:color w:val="auto"/>
                <w:sz w:val="24"/>
              </w:rPr>
            </w:pPr>
            <w:r>
              <w:rPr>
                <w:color w:val="auto"/>
                <w:sz w:val="24"/>
              </w:rPr>
              <w:t>（6）其他要求（如有）：</w:t>
            </w:r>
            <w:r>
              <w:rPr>
                <w:rFonts w:hint="eastAsia"/>
                <w:color w:val="auto"/>
                <w:sz w:val="24"/>
                <w:u w:val="single"/>
              </w:rPr>
              <w:t xml:space="preserve">   /   </w:t>
            </w:r>
            <w:r>
              <w:rPr>
                <w:color w:val="auto"/>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5" w:hRule="atLeast"/>
          <w:jc w:val="center"/>
        </w:trPr>
        <w:tc>
          <w:tcPr>
            <w:tcW w:w="988" w:type="dxa"/>
            <w:vAlign w:val="center"/>
          </w:tcPr>
          <w:p>
            <w:pPr>
              <w:pStyle w:val="23"/>
              <w:adjustRightInd w:val="0"/>
              <w:snapToGrid w:val="0"/>
              <w:jc w:val="center"/>
              <w:rPr>
                <w:rFonts w:hint="default" w:ascii="Times New Roman" w:hAnsi="Times New Roman"/>
                <w:color w:val="auto"/>
                <w:sz w:val="24"/>
                <w:szCs w:val="24"/>
              </w:rPr>
            </w:pPr>
            <w:r>
              <w:rPr>
                <w:rFonts w:hint="default" w:ascii="Times New Roman" w:hAnsi="Times New Roman"/>
                <w:color w:val="auto"/>
                <w:sz w:val="24"/>
                <w:szCs w:val="24"/>
              </w:rPr>
              <w:t>5.2.5</w:t>
            </w:r>
          </w:p>
        </w:tc>
        <w:tc>
          <w:tcPr>
            <w:tcW w:w="1701" w:type="dxa"/>
            <w:vAlign w:val="center"/>
          </w:tcPr>
          <w:p>
            <w:pPr>
              <w:jc w:val="center"/>
              <w:rPr>
                <w:color w:val="auto"/>
                <w:sz w:val="24"/>
              </w:rPr>
            </w:pPr>
            <w:r>
              <w:rPr>
                <w:color w:val="auto"/>
                <w:sz w:val="24"/>
              </w:rPr>
              <w:t>标的所属行业</w:t>
            </w:r>
          </w:p>
        </w:tc>
        <w:tc>
          <w:tcPr>
            <w:tcW w:w="7540" w:type="dxa"/>
            <w:vAlign w:val="center"/>
          </w:tcPr>
          <w:p>
            <w:pPr>
              <w:jc w:val="left"/>
              <w:rPr>
                <w:color w:val="auto"/>
                <w:sz w:val="24"/>
              </w:rPr>
            </w:pPr>
            <w:r>
              <w:rPr>
                <w:color w:val="auto"/>
                <w:sz w:val="24"/>
              </w:rPr>
              <w:t>本项目采购标的对应的中小企业划分标准所属行业：</w:t>
            </w:r>
          </w:p>
          <w:tbl>
            <w:tblPr>
              <w:tblStyle w:val="44"/>
              <w:tblW w:w="745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495"/>
              <w:gridCol w:w="395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7" w:hRule="atLeast"/>
              </w:trPr>
              <w:tc>
                <w:tcPr>
                  <w:tcW w:w="3495" w:type="dxa"/>
                  <w:tcBorders>
                    <w:top w:val="single" w:color="auto" w:sz="4" w:space="0"/>
                    <w:left w:val="single" w:color="auto" w:sz="4" w:space="0"/>
                    <w:bottom w:val="single" w:color="auto" w:sz="4" w:space="0"/>
                    <w:right w:val="single" w:color="auto" w:sz="4" w:space="0"/>
                  </w:tcBorders>
                  <w:vAlign w:val="center"/>
                </w:tcPr>
                <w:p>
                  <w:pPr>
                    <w:jc w:val="center"/>
                    <w:rPr>
                      <w:rFonts w:eastAsiaTheme="minorEastAsia"/>
                      <w:bCs/>
                      <w:color w:val="auto"/>
                      <w:sz w:val="24"/>
                    </w:rPr>
                  </w:pPr>
                  <w:r>
                    <w:rPr>
                      <w:rFonts w:eastAsiaTheme="minorEastAsia"/>
                      <w:bCs/>
                      <w:color w:val="auto"/>
                      <w:sz w:val="24"/>
                    </w:rPr>
                    <w:t>标的名称</w:t>
                  </w:r>
                </w:p>
              </w:tc>
              <w:tc>
                <w:tcPr>
                  <w:tcW w:w="3957" w:type="dxa"/>
                  <w:tcBorders>
                    <w:top w:val="single" w:color="auto" w:sz="4" w:space="0"/>
                    <w:left w:val="single" w:color="auto" w:sz="4" w:space="0"/>
                    <w:bottom w:val="single" w:color="auto" w:sz="4" w:space="0"/>
                    <w:right w:val="single" w:color="auto" w:sz="4" w:space="0"/>
                  </w:tcBorders>
                  <w:vAlign w:val="center"/>
                </w:tcPr>
                <w:p>
                  <w:pPr>
                    <w:jc w:val="center"/>
                    <w:rPr>
                      <w:rFonts w:eastAsiaTheme="minorEastAsia"/>
                      <w:color w:val="auto"/>
                      <w:sz w:val="24"/>
                    </w:rPr>
                  </w:pPr>
                  <w:r>
                    <w:rPr>
                      <w:rFonts w:eastAsiaTheme="minorEastAsia"/>
                      <w:color w:val="auto"/>
                      <w:sz w:val="24"/>
                    </w:rPr>
                    <w:t>中小企业划分标准所属行业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3495" w:type="dxa"/>
                  <w:tcBorders>
                    <w:top w:val="single" w:color="auto" w:sz="4" w:space="0"/>
                    <w:left w:val="single" w:color="auto" w:sz="4" w:space="0"/>
                    <w:bottom w:val="single" w:color="auto" w:sz="4" w:space="0"/>
                    <w:right w:val="single" w:color="auto" w:sz="4" w:space="0"/>
                  </w:tcBorders>
                  <w:vAlign w:val="center"/>
                </w:tcPr>
                <w:p>
                  <w:pPr>
                    <w:jc w:val="center"/>
                    <w:rPr>
                      <w:rFonts w:hint="eastAsia" w:eastAsiaTheme="minorEastAsia"/>
                      <w:bCs/>
                      <w:color w:val="auto"/>
                      <w:sz w:val="24"/>
                      <w:lang w:eastAsia="zh-CN"/>
                    </w:rPr>
                  </w:pPr>
                  <w:r>
                    <w:rPr>
                      <w:rFonts w:hint="eastAsia" w:eastAsiaTheme="minorEastAsia"/>
                      <w:bCs/>
                      <w:color w:val="auto"/>
                      <w:sz w:val="24"/>
                      <w:lang w:eastAsia="zh-CN"/>
                    </w:rPr>
                    <w:t>2024年西城区空间数据治理与服务</w:t>
                  </w:r>
                </w:p>
              </w:tc>
              <w:tc>
                <w:tcPr>
                  <w:tcW w:w="3957" w:type="dxa"/>
                  <w:tcBorders>
                    <w:top w:val="single" w:color="auto" w:sz="4" w:space="0"/>
                    <w:left w:val="single" w:color="auto" w:sz="4" w:space="0"/>
                    <w:bottom w:val="single" w:color="auto" w:sz="4" w:space="0"/>
                    <w:right w:val="single" w:color="auto" w:sz="4" w:space="0"/>
                  </w:tcBorders>
                  <w:vAlign w:val="center"/>
                </w:tcPr>
                <w:p>
                  <w:pPr>
                    <w:jc w:val="center"/>
                    <w:rPr>
                      <w:rFonts w:hint="default" w:eastAsiaTheme="minorEastAsia"/>
                      <w:color w:val="auto"/>
                      <w:kern w:val="0"/>
                      <w:sz w:val="24"/>
                      <w:lang w:val="en-US" w:eastAsia="zh-CN"/>
                    </w:rPr>
                  </w:pPr>
                  <w:r>
                    <w:rPr>
                      <w:rFonts w:hint="eastAsia" w:eastAsiaTheme="minorEastAsia"/>
                      <w:color w:val="auto"/>
                      <w:kern w:val="0"/>
                      <w:sz w:val="24"/>
                      <w:highlight w:val="none"/>
                      <w:lang w:val="en-US" w:eastAsia="zh-CN"/>
                    </w:rPr>
                    <w:t>软件和信息技术服务业</w:t>
                  </w:r>
                </w:p>
              </w:tc>
            </w:tr>
          </w:tbl>
          <w:p>
            <w:pPr>
              <w:jc w:val="left"/>
              <w:rPr>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1" w:hRule="atLeast"/>
          <w:jc w:val="center"/>
        </w:trPr>
        <w:tc>
          <w:tcPr>
            <w:tcW w:w="988" w:type="dxa"/>
            <w:vAlign w:val="center"/>
          </w:tcPr>
          <w:p>
            <w:pPr>
              <w:pStyle w:val="23"/>
              <w:adjustRightInd w:val="0"/>
              <w:snapToGrid w:val="0"/>
              <w:jc w:val="center"/>
              <w:rPr>
                <w:rFonts w:hint="default" w:ascii="Times New Roman" w:hAnsi="Times New Roman"/>
                <w:color w:val="auto"/>
                <w:sz w:val="24"/>
                <w:szCs w:val="24"/>
              </w:rPr>
            </w:pPr>
            <w:r>
              <w:rPr>
                <w:rFonts w:ascii="Times New Roman" w:hAnsi="Times New Roman"/>
                <w:color w:val="auto"/>
                <w:sz w:val="24"/>
                <w:szCs w:val="24"/>
              </w:rPr>
              <w:t>1</w:t>
            </w:r>
            <w:r>
              <w:rPr>
                <w:rFonts w:hint="default" w:ascii="Times New Roman" w:hAnsi="Times New Roman"/>
                <w:color w:val="auto"/>
                <w:sz w:val="24"/>
                <w:szCs w:val="24"/>
              </w:rPr>
              <w:t>1.2</w:t>
            </w:r>
          </w:p>
        </w:tc>
        <w:tc>
          <w:tcPr>
            <w:tcW w:w="1701" w:type="dxa"/>
            <w:vAlign w:val="center"/>
          </w:tcPr>
          <w:p>
            <w:pPr>
              <w:jc w:val="center"/>
              <w:rPr>
                <w:color w:val="auto"/>
                <w:sz w:val="24"/>
              </w:rPr>
            </w:pPr>
            <w:r>
              <w:rPr>
                <w:rFonts w:hint="eastAsia"/>
                <w:color w:val="auto"/>
                <w:sz w:val="24"/>
              </w:rPr>
              <w:t>投标报价</w:t>
            </w:r>
          </w:p>
        </w:tc>
        <w:tc>
          <w:tcPr>
            <w:tcW w:w="7540" w:type="dxa"/>
            <w:vAlign w:val="center"/>
          </w:tcPr>
          <w:p>
            <w:pPr>
              <w:jc w:val="left"/>
              <w:rPr>
                <w:color w:val="auto"/>
                <w:sz w:val="24"/>
              </w:rPr>
            </w:pPr>
            <w:r>
              <w:rPr>
                <w:rFonts w:hint="eastAsia"/>
                <w:color w:val="auto"/>
                <w:sz w:val="24"/>
              </w:rPr>
              <w:t>投标报价的特殊规定：</w:t>
            </w:r>
          </w:p>
          <w:p>
            <w:pPr>
              <w:jc w:val="left"/>
              <w:rPr>
                <w:color w:val="auto"/>
                <w:sz w:val="24"/>
              </w:rPr>
            </w:pPr>
            <w:r>
              <w:rPr>
                <w:b/>
                <w:color w:val="auto"/>
                <w:sz w:val="24"/>
              </w:rPr>
              <w:t>■</w:t>
            </w:r>
            <w:r>
              <w:rPr>
                <w:color w:val="auto"/>
                <w:sz w:val="24"/>
              </w:rPr>
              <w:t>无</w:t>
            </w:r>
          </w:p>
          <w:p>
            <w:pPr>
              <w:jc w:val="left"/>
              <w:rPr>
                <w:color w:val="auto"/>
                <w:sz w:val="24"/>
              </w:rPr>
            </w:pPr>
            <w:r>
              <w:rPr>
                <w:color w:val="auto"/>
                <w:sz w:val="24"/>
              </w:rPr>
              <w:t>□有，具体情形：_____。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7" w:hRule="atLeast"/>
          <w:jc w:val="center"/>
        </w:trPr>
        <w:tc>
          <w:tcPr>
            <w:tcW w:w="988" w:type="dxa"/>
            <w:vAlign w:val="center"/>
          </w:tcPr>
          <w:p>
            <w:pPr>
              <w:pStyle w:val="23"/>
              <w:adjustRightInd w:val="0"/>
              <w:snapToGrid w:val="0"/>
              <w:jc w:val="center"/>
              <w:rPr>
                <w:rFonts w:hint="default" w:ascii="Times New Roman" w:hAnsi="Times New Roman"/>
                <w:color w:val="auto"/>
                <w:sz w:val="24"/>
                <w:szCs w:val="24"/>
              </w:rPr>
            </w:pPr>
            <w:r>
              <w:rPr>
                <w:rFonts w:hint="default" w:ascii="Times New Roman" w:hAnsi="Times New Roman"/>
                <w:color w:val="auto"/>
                <w:sz w:val="24"/>
                <w:szCs w:val="24"/>
              </w:rPr>
              <w:t>12.1</w:t>
            </w:r>
          </w:p>
        </w:tc>
        <w:tc>
          <w:tcPr>
            <w:tcW w:w="1701" w:type="dxa"/>
            <w:vMerge w:val="restart"/>
            <w:vAlign w:val="center"/>
          </w:tcPr>
          <w:p>
            <w:pPr>
              <w:jc w:val="center"/>
              <w:rPr>
                <w:color w:val="auto"/>
                <w:sz w:val="24"/>
              </w:rPr>
            </w:pPr>
            <w:r>
              <w:rPr>
                <w:color w:val="auto"/>
                <w:sz w:val="24"/>
              </w:rPr>
              <w:t>投标保证金</w:t>
            </w:r>
          </w:p>
        </w:tc>
        <w:tc>
          <w:tcPr>
            <w:tcW w:w="7540" w:type="dxa"/>
            <w:vAlign w:val="center"/>
          </w:tcPr>
          <w:p>
            <w:pPr>
              <w:pStyle w:val="23"/>
              <w:adjustRightInd w:val="0"/>
              <w:snapToGrid w:val="0"/>
              <w:rPr>
                <w:rFonts w:hint="default" w:ascii="Times New Roman" w:hAnsi="Times New Roman"/>
                <w:color w:val="auto"/>
                <w:sz w:val="24"/>
                <w:szCs w:val="24"/>
              </w:rPr>
            </w:pPr>
            <w:r>
              <w:rPr>
                <w:rFonts w:hint="default" w:ascii="Times New Roman" w:hAnsi="Times New Roman"/>
                <w:color w:val="auto"/>
                <w:sz w:val="24"/>
                <w:szCs w:val="24"/>
              </w:rPr>
              <w:t>投标保证金金额：</w:t>
            </w:r>
            <w:r>
              <w:rPr>
                <w:rFonts w:ascii="Times New Roman" w:hAnsi="Times New Roman"/>
                <w:color w:val="auto"/>
                <w:sz w:val="24"/>
                <w:szCs w:val="24"/>
                <w:u w:val="single"/>
              </w:rPr>
              <w:t>人民币</w:t>
            </w:r>
            <w:r>
              <w:rPr>
                <w:rFonts w:ascii="Times New Roman" w:hAnsi="Times New Roman"/>
                <w:color w:val="auto"/>
                <w:sz w:val="24"/>
                <w:u w:val="single"/>
              </w:rPr>
              <w:t>70000元</w:t>
            </w:r>
            <w:r>
              <w:rPr>
                <w:rFonts w:hint="default" w:ascii="Times New Roman" w:hAnsi="Times New Roman"/>
                <w:color w:val="auto"/>
                <w:sz w:val="24"/>
                <w:szCs w:val="24"/>
              </w:rPr>
              <w:t>；</w:t>
            </w:r>
          </w:p>
          <w:p>
            <w:pPr>
              <w:jc w:val="left"/>
              <w:rPr>
                <w:color w:val="auto"/>
                <w:sz w:val="24"/>
              </w:rPr>
            </w:pPr>
            <w:r>
              <w:rPr>
                <w:color w:val="auto"/>
                <w:sz w:val="24"/>
              </w:rPr>
              <w:t>投标保证金收受人信息：</w:t>
            </w:r>
          </w:p>
          <w:p>
            <w:pPr>
              <w:jc w:val="left"/>
              <w:rPr>
                <w:rFonts w:hint="eastAsia"/>
                <w:color w:val="auto"/>
                <w:sz w:val="24"/>
                <w:u w:val="single"/>
              </w:rPr>
            </w:pPr>
            <w:r>
              <w:rPr>
                <w:rFonts w:hint="eastAsia"/>
                <w:color w:val="auto"/>
                <w:sz w:val="24"/>
                <w:u w:val="single"/>
              </w:rPr>
              <w:t>户名：中工国际招标有限公司</w:t>
            </w:r>
          </w:p>
          <w:p>
            <w:pPr>
              <w:jc w:val="left"/>
              <w:rPr>
                <w:rFonts w:hint="eastAsia"/>
                <w:color w:val="auto"/>
                <w:sz w:val="24"/>
                <w:u w:val="single"/>
              </w:rPr>
            </w:pPr>
            <w:r>
              <w:rPr>
                <w:rFonts w:hint="eastAsia"/>
                <w:color w:val="auto"/>
                <w:sz w:val="24"/>
                <w:u w:val="single"/>
              </w:rPr>
              <w:t>账号：1101041060000011296</w:t>
            </w:r>
          </w:p>
          <w:p>
            <w:pPr>
              <w:jc w:val="left"/>
              <w:rPr>
                <w:rFonts w:hint="eastAsia"/>
                <w:color w:val="auto"/>
                <w:sz w:val="24"/>
                <w:u w:val="single"/>
              </w:rPr>
            </w:pPr>
            <w:r>
              <w:rPr>
                <w:rFonts w:hint="eastAsia"/>
                <w:color w:val="auto"/>
                <w:sz w:val="24"/>
                <w:u w:val="single"/>
              </w:rPr>
              <w:t>开户行：杭州银行股份有限公司北京分行</w:t>
            </w:r>
          </w:p>
          <w:p>
            <w:pPr>
              <w:jc w:val="left"/>
              <w:rPr>
                <w:rFonts w:hint="eastAsia"/>
                <w:color w:val="auto"/>
                <w:sz w:val="24"/>
                <w:u w:val="single"/>
              </w:rPr>
            </w:pPr>
            <w:r>
              <w:rPr>
                <w:rFonts w:hint="eastAsia"/>
                <w:color w:val="auto"/>
                <w:sz w:val="24"/>
                <w:u w:val="single"/>
              </w:rPr>
              <w:t>行号：313100090018</w:t>
            </w:r>
          </w:p>
          <w:p>
            <w:pPr>
              <w:jc w:val="left"/>
              <w:rPr>
                <w:color w:val="auto"/>
                <w:sz w:val="24"/>
              </w:rPr>
            </w:pPr>
            <w:r>
              <w:rPr>
                <w:rFonts w:hint="eastAsia"/>
                <w:color w:val="auto"/>
                <w:sz w:val="24"/>
                <w:u w:val="single"/>
              </w:rPr>
              <w:t>（注：采用电汇方式缴纳投标保证金时务必备注务必注明“项目编号+保证金”，未备注的财务部门不予受理，后果由投标人自行承担。）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3"/>
              <w:adjustRightInd w:val="0"/>
              <w:snapToGrid w:val="0"/>
              <w:jc w:val="center"/>
              <w:rPr>
                <w:rFonts w:hint="default" w:ascii="Times New Roman" w:hAnsi="Times New Roman"/>
                <w:color w:val="auto"/>
                <w:sz w:val="24"/>
                <w:szCs w:val="24"/>
              </w:rPr>
            </w:pPr>
            <w:r>
              <w:rPr>
                <w:rFonts w:hint="default" w:ascii="Times New Roman" w:hAnsi="Times New Roman"/>
                <w:color w:val="auto"/>
                <w:sz w:val="24"/>
                <w:szCs w:val="24"/>
              </w:rPr>
              <w:t>12.7.2</w:t>
            </w:r>
          </w:p>
        </w:tc>
        <w:tc>
          <w:tcPr>
            <w:tcW w:w="1701" w:type="dxa"/>
            <w:vMerge w:val="continue"/>
            <w:vAlign w:val="center"/>
          </w:tcPr>
          <w:p>
            <w:pPr>
              <w:jc w:val="center"/>
              <w:rPr>
                <w:color w:val="auto"/>
                <w:sz w:val="24"/>
              </w:rPr>
            </w:pPr>
          </w:p>
        </w:tc>
        <w:tc>
          <w:tcPr>
            <w:tcW w:w="7540" w:type="dxa"/>
            <w:vAlign w:val="center"/>
          </w:tcPr>
          <w:p>
            <w:pPr>
              <w:jc w:val="left"/>
              <w:rPr>
                <w:color w:val="auto"/>
                <w:sz w:val="24"/>
              </w:rPr>
            </w:pPr>
            <w:r>
              <w:rPr>
                <w:color w:val="auto"/>
                <w:sz w:val="24"/>
              </w:rPr>
              <w:t>投标保证金可以不予退还的其他情形：</w:t>
            </w:r>
          </w:p>
          <w:p>
            <w:pPr>
              <w:jc w:val="left"/>
              <w:rPr>
                <w:color w:val="auto"/>
                <w:sz w:val="24"/>
              </w:rPr>
            </w:pPr>
            <w:r>
              <w:rPr>
                <w:color w:val="auto"/>
                <w:sz w:val="24"/>
              </w:rPr>
              <w:t>□无</w:t>
            </w:r>
          </w:p>
          <w:p>
            <w:pPr>
              <w:autoSpaceDE w:val="0"/>
              <w:autoSpaceDN w:val="0"/>
              <w:adjustRightInd w:val="0"/>
              <w:jc w:val="left"/>
              <w:rPr>
                <w:color w:val="auto"/>
                <w:sz w:val="24"/>
              </w:rPr>
            </w:pPr>
            <w:r>
              <w:rPr>
                <w:color w:val="auto"/>
                <w:sz w:val="24"/>
              </w:rPr>
              <w:t>■有，具体情形：</w:t>
            </w:r>
          </w:p>
          <w:p>
            <w:pPr>
              <w:autoSpaceDE w:val="0"/>
              <w:autoSpaceDN w:val="0"/>
              <w:adjustRightInd w:val="0"/>
              <w:jc w:val="left"/>
              <w:rPr>
                <w:color w:val="auto"/>
                <w:sz w:val="24"/>
                <w:u w:val="single"/>
              </w:rPr>
            </w:pPr>
            <w:r>
              <w:rPr>
                <w:color w:val="auto"/>
                <w:sz w:val="24"/>
                <w:u w:val="single"/>
              </w:rPr>
              <w:t>1.</w:t>
            </w:r>
            <w:r>
              <w:rPr>
                <w:rFonts w:hint="eastAsia"/>
                <w:color w:val="auto"/>
                <w:sz w:val="24"/>
                <w:u w:val="single"/>
              </w:rPr>
              <w:t>投标人在提交投标文件截止时间后撤回投标文件的；</w:t>
            </w:r>
          </w:p>
          <w:p>
            <w:pPr>
              <w:autoSpaceDE w:val="0"/>
              <w:autoSpaceDN w:val="0"/>
              <w:adjustRightInd w:val="0"/>
              <w:jc w:val="left"/>
              <w:rPr>
                <w:color w:val="auto"/>
                <w:sz w:val="24"/>
                <w:u w:val="single"/>
              </w:rPr>
            </w:pPr>
            <w:r>
              <w:rPr>
                <w:color w:val="auto"/>
                <w:sz w:val="24"/>
                <w:u w:val="single"/>
              </w:rPr>
              <w:t>2.</w:t>
            </w:r>
            <w:r>
              <w:rPr>
                <w:rFonts w:hint="eastAsia"/>
                <w:color w:val="auto"/>
                <w:sz w:val="24"/>
                <w:u w:val="single"/>
              </w:rPr>
              <w:t>投标人在投标文件中提供虚假材料的；</w:t>
            </w:r>
          </w:p>
          <w:p>
            <w:pPr>
              <w:pStyle w:val="23"/>
              <w:adjustRightInd w:val="0"/>
              <w:snapToGrid w:val="0"/>
              <w:rPr>
                <w:rFonts w:hint="default" w:ascii="Times New Roman" w:hAnsi="Times New Roman"/>
                <w:color w:val="auto"/>
                <w:sz w:val="24"/>
                <w:szCs w:val="24"/>
              </w:rPr>
            </w:pPr>
            <w:r>
              <w:rPr>
                <w:color w:val="auto"/>
                <w:sz w:val="24"/>
                <w:u w:val="single"/>
              </w:rPr>
              <w:t>3.除因不可抗力或招标文件认可的情形以外，中标人未按本须知第25条与采购人签订合同的</w:t>
            </w:r>
            <w:r>
              <w:rPr>
                <w:color w:val="auto"/>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3"/>
              <w:adjustRightInd w:val="0"/>
              <w:snapToGrid w:val="0"/>
              <w:jc w:val="center"/>
              <w:rPr>
                <w:rFonts w:hint="default" w:ascii="Times New Roman" w:hAnsi="Times New Roman"/>
                <w:color w:val="auto"/>
                <w:sz w:val="24"/>
                <w:szCs w:val="24"/>
              </w:rPr>
            </w:pPr>
            <w:r>
              <w:rPr>
                <w:rFonts w:hint="default" w:ascii="Times New Roman" w:hAnsi="Times New Roman"/>
                <w:color w:val="auto"/>
                <w:sz w:val="24"/>
                <w:szCs w:val="24"/>
              </w:rPr>
              <w:t>13.1</w:t>
            </w:r>
          </w:p>
        </w:tc>
        <w:tc>
          <w:tcPr>
            <w:tcW w:w="1701" w:type="dxa"/>
            <w:vAlign w:val="center"/>
          </w:tcPr>
          <w:p>
            <w:pPr>
              <w:jc w:val="center"/>
              <w:rPr>
                <w:color w:val="auto"/>
                <w:sz w:val="24"/>
              </w:rPr>
            </w:pPr>
            <w:r>
              <w:rPr>
                <w:color w:val="auto"/>
                <w:sz w:val="24"/>
              </w:rPr>
              <w:t>投标有效期</w:t>
            </w:r>
          </w:p>
        </w:tc>
        <w:tc>
          <w:tcPr>
            <w:tcW w:w="7540" w:type="dxa"/>
            <w:vAlign w:val="center"/>
          </w:tcPr>
          <w:p>
            <w:pPr>
              <w:jc w:val="left"/>
              <w:rPr>
                <w:color w:val="auto"/>
                <w:sz w:val="24"/>
              </w:rPr>
            </w:pPr>
            <w:r>
              <w:rPr>
                <w:color w:val="auto"/>
                <w:sz w:val="24"/>
              </w:rPr>
              <w:t>自提交投标文件的截止之日起算</w:t>
            </w:r>
            <w:r>
              <w:rPr>
                <w:rFonts w:hint="eastAsia"/>
                <w:color w:val="auto"/>
                <w:sz w:val="24"/>
                <w:u w:val="single"/>
              </w:rPr>
              <w:t xml:space="preserve"> 90 </w:t>
            </w:r>
            <w:r>
              <w:rPr>
                <w:color w:val="auto"/>
                <w:sz w:val="24"/>
              </w:rPr>
              <w:t>日历天。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3"/>
              <w:adjustRightInd w:val="0"/>
              <w:snapToGrid w:val="0"/>
              <w:jc w:val="center"/>
              <w:rPr>
                <w:rFonts w:hint="default" w:ascii="Times New Roman" w:hAnsi="Times New Roman"/>
                <w:color w:val="auto"/>
                <w:sz w:val="24"/>
                <w:szCs w:val="24"/>
              </w:rPr>
            </w:pPr>
            <w:r>
              <w:rPr>
                <w:rFonts w:hint="default" w:ascii="Times New Roman" w:hAnsi="Times New Roman"/>
                <w:color w:val="auto"/>
                <w:sz w:val="24"/>
                <w:szCs w:val="24"/>
              </w:rPr>
              <w:t>22.1</w:t>
            </w:r>
          </w:p>
        </w:tc>
        <w:tc>
          <w:tcPr>
            <w:tcW w:w="1701" w:type="dxa"/>
            <w:vAlign w:val="center"/>
          </w:tcPr>
          <w:p>
            <w:pPr>
              <w:jc w:val="center"/>
              <w:rPr>
                <w:color w:val="auto"/>
                <w:sz w:val="24"/>
              </w:rPr>
            </w:pPr>
            <w:r>
              <w:rPr>
                <w:color w:val="auto"/>
                <w:sz w:val="24"/>
              </w:rPr>
              <w:t>确定中标人</w:t>
            </w:r>
          </w:p>
        </w:tc>
        <w:tc>
          <w:tcPr>
            <w:tcW w:w="7540" w:type="dxa"/>
            <w:vAlign w:val="center"/>
          </w:tcPr>
          <w:p>
            <w:pPr>
              <w:pStyle w:val="23"/>
              <w:adjustRightInd w:val="0"/>
              <w:snapToGrid w:val="0"/>
              <w:rPr>
                <w:rFonts w:hint="default" w:ascii="Times New Roman" w:hAnsi="Times New Roman"/>
                <w:color w:val="auto"/>
                <w:sz w:val="24"/>
              </w:rPr>
            </w:pPr>
            <w:r>
              <w:rPr>
                <w:rFonts w:hint="default" w:ascii="Times New Roman" w:hAnsi="Times New Roman"/>
                <w:color w:val="auto"/>
                <w:sz w:val="24"/>
              </w:rPr>
              <w:t>中标候选人并列的，采购人是否委托评标委员会确定中标人：</w:t>
            </w:r>
          </w:p>
          <w:p>
            <w:pPr>
              <w:pStyle w:val="23"/>
              <w:adjustRightInd w:val="0"/>
              <w:snapToGrid w:val="0"/>
              <w:rPr>
                <w:rFonts w:hint="default" w:ascii="Times New Roman" w:hAnsi="Times New Roman"/>
                <w:color w:val="auto"/>
                <w:sz w:val="24"/>
              </w:rPr>
            </w:pPr>
            <w:r>
              <w:rPr>
                <w:rFonts w:hint="default" w:ascii="Times New Roman" w:hAnsi="Times New Roman"/>
                <w:color w:val="auto"/>
                <w:sz w:val="24"/>
              </w:rPr>
              <w:t>□否</w:t>
            </w:r>
          </w:p>
          <w:p>
            <w:pPr>
              <w:pStyle w:val="23"/>
              <w:adjustRightInd w:val="0"/>
              <w:snapToGrid w:val="0"/>
              <w:rPr>
                <w:rFonts w:hint="default" w:ascii="Times New Roman" w:hAnsi="Times New Roman"/>
                <w:color w:val="auto"/>
                <w:sz w:val="24"/>
              </w:rPr>
            </w:pPr>
            <w:r>
              <w:rPr>
                <w:rFonts w:hint="default" w:ascii="Times New Roman" w:hAnsi="Times New Roman"/>
                <w:color w:val="auto"/>
                <w:sz w:val="24"/>
              </w:rPr>
              <w:t>■是</w:t>
            </w:r>
          </w:p>
          <w:p>
            <w:pPr>
              <w:pStyle w:val="23"/>
              <w:adjustRightInd w:val="0"/>
              <w:snapToGrid w:val="0"/>
              <w:rPr>
                <w:rFonts w:hint="default" w:ascii="Times New Roman" w:hAnsi="Times New Roman"/>
                <w:color w:val="auto"/>
              </w:rPr>
            </w:pPr>
            <w:r>
              <w:rPr>
                <w:rFonts w:hint="default" w:ascii="Times New Roman" w:hAnsi="Times New Roman"/>
                <w:color w:val="auto"/>
                <w:sz w:val="24"/>
              </w:rPr>
              <w:t>中标候选人并列的，按照以下方式确定中标人：</w:t>
            </w:r>
            <w:r>
              <w:rPr>
                <w:rFonts w:hint="default" w:ascii="Times New Roman" w:hAnsi="Times New Roman"/>
                <w:color w:val="auto"/>
              </w:rPr>
              <w:t xml:space="preserve"> </w:t>
            </w:r>
          </w:p>
          <w:p>
            <w:pPr>
              <w:pStyle w:val="23"/>
              <w:adjustRightInd w:val="0"/>
              <w:snapToGrid w:val="0"/>
              <w:rPr>
                <w:rFonts w:hint="default" w:ascii="Times New Roman" w:hAnsi="Times New Roman"/>
                <w:color w:val="auto"/>
                <w:sz w:val="24"/>
              </w:rPr>
            </w:pPr>
            <w:r>
              <w:rPr>
                <w:rFonts w:hint="default" w:ascii="Times New Roman" w:hAnsi="Times New Roman"/>
                <w:color w:val="auto"/>
                <w:sz w:val="24"/>
              </w:rPr>
              <w:t>■得分且投标报价均相同的，</w:t>
            </w:r>
            <w:r>
              <w:rPr>
                <w:color w:val="auto"/>
                <w:sz w:val="24"/>
              </w:rPr>
              <w:t>以</w:t>
            </w:r>
            <w:r>
              <w:rPr>
                <w:color w:val="auto"/>
                <w:sz w:val="24"/>
                <w:u w:val="single"/>
              </w:rPr>
              <w:t xml:space="preserve"> 服务方案</w:t>
            </w:r>
            <w:r>
              <w:rPr>
                <w:rFonts w:ascii="Times New Roman" w:hAnsi="Times New Roman"/>
                <w:color w:val="auto"/>
                <w:sz w:val="24"/>
                <w:u w:val="single"/>
              </w:rPr>
              <w:t xml:space="preserve"> </w:t>
            </w:r>
            <w:r>
              <w:rPr>
                <w:rFonts w:hint="default" w:ascii="Times New Roman" w:hAnsi="Times New Roman"/>
                <w:color w:val="auto"/>
                <w:sz w:val="24"/>
              </w:rPr>
              <w:t>得分高者为中标人</w:t>
            </w:r>
          </w:p>
          <w:p>
            <w:pPr>
              <w:jc w:val="left"/>
              <w:rPr>
                <w:color w:val="auto"/>
                <w:sz w:val="24"/>
                <w:u w:val="single"/>
              </w:rPr>
            </w:pPr>
            <w:r>
              <w:rPr>
                <w:color w:val="auto"/>
                <w:sz w:val="24"/>
              </w:rPr>
              <w:t>□随机抽取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3"/>
              <w:adjustRightInd w:val="0"/>
              <w:snapToGrid w:val="0"/>
              <w:jc w:val="center"/>
              <w:rPr>
                <w:rFonts w:hint="default" w:ascii="Times New Roman" w:hAnsi="Times New Roman"/>
                <w:color w:val="auto"/>
                <w:sz w:val="24"/>
                <w:szCs w:val="24"/>
              </w:rPr>
            </w:pPr>
            <w:r>
              <w:rPr>
                <w:rFonts w:hint="default" w:ascii="Times New Roman" w:hAnsi="Times New Roman"/>
                <w:color w:val="auto"/>
                <w:sz w:val="24"/>
                <w:szCs w:val="24"/>
              </w:rPr>
              <w:t>25.5</w:t>
            </w:r>
          </w:p>
        </w:tc>
        <w:tc>
          <w:tcPr>
            <w:tcW w:w="1701" w:type="dxa"/>
            <w:vAlign w:val="center"/>
          </w:tcPr>
          <w:p>
            <w:pPr>
              <w:jc w:val="center"/>
              <w:rPr>
                <w:color w:val="auto"/>
                <w:sz w:val="24"/>
              </w:rPr>
            </w:pPr>
            <w:r>
              <w:rPr>
                <w:color w:val="auto"/>
                <w:sz w:val="24"/>
              </w:rPr>
              <w:t>分包</w:t>
            </w:r>
          </w:p>
        </w:tc>
        <w:tc>
          <w:tcPr>
            <w:tcW w:w="7540" w:type="dxa"/>
            <w:vAlign w:val="center"/>
          </w:tcPr>
          <w:p>
            <w:pPr>
              <w:jc w:val="left"/>
              <w:rPr>
                <w:color w:val="auto"/>
                <w:sz w:val="24"/>
              </w:rPr>
            </w:pPr>
            <w:r>
              <w:rPr>
                <w:color w:val="auto"/>
                <w:sz w:val="24"/>
              </w:rPr>
              <w:t xml:space="preserve">本项目的非主体、非关键性工作是否允许分包： </w:t>
            </w:r>
          </w:p>
          <w:p>
            <w:pPr>
              <w:jc w:val="left"/>
              <w:rPr>
                <w:color w:val="auto"/>
                <w:sz w:val="24"/>
              </w:rPr>
            </w:pPr>
            <w:r>
              <w:rPr>
                <w:b/>
                <w:color w:val="auto"/>
                <w:sz w:val="24"/>
              </w:rPr>
              <w:t>■</w:t>
            </w:r>
            <w:r>
              <w:rPr>
                <w:color w:val="auto"/>
                <w:sz w:val="24"/>
              </w:rPr>
              <w:t>不允许</w:t>
            </w:r>
          </w:p>
          <w:p>
            <w:pPr>
              <w:jc w:val="left"/>
              <w:rPr>
                <w:color w:val="auto"/>
                <w:sz w:val="24"/>
              </w:rPr>
            </w:pPr>
            <w:r>
              <w:rPr>
                <w:color w:val="auto"/>
                <w:sz w:val="24"/>
              </w:rPr>
              <w:t>□允许，具体要求：</w:t>
            </w:r>
          </w:p>
          <w:p>
            <w:pPr>
              <w:jc w:val="left"/>
              <w:rPr>
                <w:color w:val="auto"/>
                <w:sz w:val="24"/>
              </w:rPr>
            </w:pPr>
            <w:r>
              <w:rPr>
                <w:color w:val="auto"/>
                <w:sz w:val="24"/>
              </w:rPr>
              <w:t>（1）可以分包履行的具体内容：_____；</w:t>
            </w:r>
          </w:p>
          <w:p>
            <w:pPr>
              <w:jc w:val="left"/>
              <w:rPr>
                <w:color w:val="auto"/>
                <w:sz w:val="24"/>
              </w:rPr>
            </w:pPr>
            <w:r>
              <w:rPr>
                <w:color w:val="auto"/>
                <w:sz w:val="24"/>
              </w:rPr>
              <w:t>（2）允许分包的金额或者比例：_____；</w:t>
            </w:r>
          </w:p>
          <w:p>
            <w:pPr>
              <w:jc w:val="left"/>
              <w:rPr>
                <w:color w:val="auto"/>
                <w:sz w:val="24"/>
                <w:u w:val="single"/>
              </w:rPr>
            </w:pPr>
            <w:r>
              <w:rPr>
                <w:color w:val="auto"/>
                <w:sz w:val="24"/>
              </w:rPr>
              <w:t>（3）其他要求：_____。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3"/>
              <w:adjustRightInd w:val="0"/>
              <w:snapToGrid w:val="0"/>
              <w:jc w:val="center"/>
              <w:rPr>
                <w:rFonts w:hint="default" w:ascii="Times New Roman" w:hAnsi="Times New Roman"/>
                <w:color w:val="auto"/>
                <w:sz w:val="24"/>
                <w:szCs w:val="24"/>
              </w:rPr>
            </w:pPr>
            <w:r>
              <w:rPr>
                <w:rFonts w:hint="default" w:ascii="Times New Roman" w:hAnsi="Times New Roman"/>
                <w:color w:val="auto"/>
                <w:sz w:val="24"/>
                <w:szCs w:val="24"/>
              </w:rPr>
              <w:t>26.1.1</w:t>
            </w:r>
          </w:p>
        </w:tc>
        <w:tc>
          <w:tcPr>
            <w:tcW w:w="1701" w:type="dxa"/>
            <w:vAlign w:val="center"/>
          </w:tcPr>
          <w:p>
            <w:pPr>
              <w:jc w:val="center"/>
              <w:rPr>
                <w:color w:val="auto"/>
                <w:sz w:val="24"/>
              </w:rPr>
            </w:pPr>
            <w:r>
              <w:rPr>
                <w:color w:val="auto"/>
                <w:sz w:val="24"/>
              </w:rPr>
              <w:t>询问</w:t>
            </w:r>
          </w:p>
        </w:tc>
        <w:tc>
          <w:tcPr>
            <w:tcW w:w="7540" w:type="dxa"/>
            <w:vAlign w:val="center"/>
          </w:tcPr>
          <w:p>
            <w:pPr>
              <w:jc w:val="left"/>
              <w:rPr>
                <w:color w:val="auto"/>
                <w:sz w:val="24"/>
              </w:rPr>
            </w:pPr>
            <w:r>
              <w:rPr>
                <w:color w:val="auto"/>
                <w:sz w:val="24"/>
              </w:rPr>
              <w:t>询问送达形式：</w:t>
            </w:r>
            <w:r>
              <w:rPr>
                <w:rFonts w:hint="eastAsia"/>
                <w:color w:val="auto"/>
                <w:sz w:val="24"/>
                <w:u w:val="single"/>
              </w:rPr>
              <w:t>书面形式，现场或邮寄递交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3"/>
              <w:adjustRightInd w:val="0"/>
              <w:snapToGrid w:val="0"/>
              <w:jc w:val="center"/>
              <w:rPr>
                <w:rFonts w:hint="default" w:ascii="Times New Roman" w:hAnsi="Times New Roman"/>
                <w:color w:val="auto"/>
                <w:sz w:val="24"/>
                <w:szCs w:val="24"/>
              </w:rPr>
            </w:pPr>
            <w:r>
              <w:rPr>
                <w:rFonts w:hint="default" w:ascii="Times New Roman" w:hAnsi="Times New Roman"/>
                <w:color w:val="auto"/>
                <w:sz w:val="24"/>
                <w:szCs w:val="24"/>
              </w:rPr>
              <w:t>26.3</w:t>
            </w:r>
          </w:p>
        </w:tc>
        <w:tc>
          <w:tcPr>
            <w:tcW w:w="1701" w:type="dxa"/>
            <w:vAlign w:val="center"/>
          </w:tcPr>
          <w:p>
            <w:pPr>
              <w:jc w:val="center"/>
              <w:rPr>
                <w:color w:val="auto"/>
                <w:sz w:val="24"/>
              </w:rPr>
            </w:pPr>
            <w:r>
              <w:rPr>
                <w:color w:val="auto"/>
                <w:sz w:val="24"/>
              </w:rPr>
              <w:t>联系方式</w:t>
            </w:r>
          </w:p>
        </w:tc>
        <w:tc>
          <w:tcPr>
            <w:tcW w:w="7540" w:type="dxa"/>
            <w:vAlign w:val="center"/>
          </w:tcPr>
          <w:p>
            <w:pPr>
              <w:jc w:val="left"/>
              <w:rPr>
                <w:color w:val="auto"/>
                <w:sz w:val="24"/>
              </w:rPr>
            </w:pPr>
            <w:r>
              <w:rPr>
                <w:color w:val="auto"/>
                <w:sz w:val="24"/>
              </w:rPr>
              <w:t>接收询问和质疑的联系方式</w:t>
            </w:r>
          </w:p>
          <w:p>
            <w:pPr>
              <w:jc w:val="left"/>
              <w:rPr>
                <w:color w:val="auto"/>
                <w:sz w:val="24"/>
              </w:rPr>
            </w:pPr>
            <w:r>
              <w:rPr>
                <w:color w:val="auto"/>
                <w:sz w:val="24"/>
              </w:rPr>
              <w:t>联系部门：</w:t>
            </w:r>
            <w:r>
              <w:rPr>
                <w:rFonts w:hint="eastAsia"/>
                <w:color w:val="auto"/>
                <w:sz w:val="24"/>
                <w:u w:val="single"/>
              </w:rPr>
              <w:t>中工国际招标有限公司综合管理部</w:t>
            </w:r>
            <w:r>
              <w:rPr>
                <w:color w:val="auto"/>
                <w:sz w:val="24"/>
              </w:rPr>
              <w:t>；</w:t>
            </w:r>
          </w:p>
          <w:p>
            <w:pPr>
              <w:jc w:val="left"/>
              <w:rPr>
                <w:color w:val="auto"/>
                <w:sz w:val="24"/>
              </w:rPr>
            </w:pPr>
            <w:r>
              <w:rPr>
                <w:color w:val="auto"/>
                <w:sz w:val="24"/>
              </w:rPr>
              <w:t>联系电话：</w:t>
            </w:r>
            <w:r>
              <w:rPr>
                <w:rFonts w:hint="eastAsia"/>
                <w:color w:val="auto"/>
                <w:sz w:val="24"/>
                <w:u w:val="single"/>
              </w:rPr>
              <w:t xml:space="preserve">010-82952950-814   </w:t>
            </w:r>
            <w:r>
              <w:rPr>
                <w:color w:val="auto"/>
                <w:sz w:val="24"/>
              </w:rPr>
              <w:t>；</w:t>
            </w:r>
          </w:p>
          <w:p>
            <w:pPr>
              <w:jc w:val="left"/>
              <w:rPr>
                <w:color w:val="auto"/>
                <w:sz w:val="24"/>
              </w:rPr>
            </w:pPr>
            <w:r>
              <w:rPr>
                <w:color w:val="auto"/>
                <w:sz w:val="24"/>
              </w:rPr>
              <w:t>通讯地址：</w:t>
            </w:r>
            <w:r>
              <w:rPr>
                <w:rFonts w:hint="eastAsia"/>
                <w:color w:val="auto"/>
                <w:sz w:val="24"/>
                <w:u w:val="single"/>
                <w:lang w:eastAsia="zh-CN"/>
              </w:rPr>
              <w:t>北京市朝阳亚运村朝阳区慧忠路5号远大中心二层</w:t>
            </w:r>
            <w:r>
              <w:rPr>
                <w:color w:val="auto"/>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tcBorders>
              <w:top w:val="single" w:color="auto" w:sz="4" w:space="0"/>
              <w:left w:val="single" w:color="auto" w:sz="4" w:space="0"/>
              <w:bottom w:val="single" w:color="auto" w:sz="4" w:space="0"/>
              <w:right w:val="single" w:color="auto" w:sz="4" w:space="0"/>
            </w:tcBorders>
            <w:vAlign w:val="center"/>
          </w:tcPr>
          <w:p>
            <w:pPr>
              <w:pStyle w:val="23"/>
              <w:adjustRightInd w:val="0"/>
              <w:snapToGrid w:val="0"/>
              <w:jc w:val="center"/>
              <w:rPr>
                <w:rFonts w:hint="default" w:ascii="Times New Roman" w:hAnsi="Times New Roman"/>
                <w:color w:val="auto"/>
                <w:sz w:val="24"/>
                <w:szCs w:val="24"/>
              </w:rPr>
            </w:pPr>
            <w:r>
              <w:rPr>
                <w:rFonts w:hint="default" w:ascii="Times New Roman" w:hAnsi="Times New Roman"/>
                <w:color w:val="auto"/>
                <w:sz w:val="24"/>
                <w:szCs w:val="24"/>
              </w:rPr>
              <w:t>27</w:t>
            </w:r>
          </w:p>
        </w:tc>
        <w:tc>
          <w:tcPr>
            <w:tcW w:w="1701" w:type="dxa"/>
            <w:tcBorders>
              <w:top w:val="single" w:color="auto" w:sz="4" w:space="0"/>
              <w:left w:val="single" w:color="auto" w:sz="4" w:space="0"/>
              <w:bottom w:val="single" w:color="auto" w:sz="4" w:space="0"/>
              <w:right w:val="single" w:color="auto" w:sz="4" w:space="0"/>
            </w:tcBorders>
            <w:vAlign w:val="center"/>
          </w:tcPr>
          <w:p>
            <w:pPr>
              <w:jc w:val="center"/>
              <w:rPr>
                <w:color w:val="auto"/>
                <w:sz w:val="24"/>
              </w:rPr>
            </w:pPr>
            <w:r>
              <w:rPr>
                <w:color w:val="auto"/>
                <w:sz w:val="24"/>
              </w:rPr>
              <w:t>代理费</w:t>
            </w:r>
          </w:p>
        </w:tc>
        <w:tc>
          <w:tcPr>
            <w:tcW w:w="7540" w:type="dxa"/>
            <w:tcBorders>
              <w:top w:val="single" w:color="auto" w:sz="4" w:space="0"/>
              <w:left w:val="single" w:color="auto" w:sz="4" w:space="0"/>
              <w:bottom w:val="single" w:color="auto" w:sz="4" w:space="0"/>
              <w:right w:val="single" w:color="auto" w:sz="4" w:space="0"/>
            </w:tcBorders>
            <w:vAlign w:val="center"/>
          </w:tcPr>
          <w:p>
            <w:pPr>
              <w:jc w:val="left"/>
              <w:rPr>
                <w:color w:val="auto"/>
                <w:sz w:val="24"/>
              </w:rPr>
            </w:pPr>
            <w:r>
              <w:rPr>
                <w:color w:val="auto"/>
                <w:sz w:val="24"/>
              </w:rPr>
              <w:t>收费对象：</w:t>
            </w:r>
          </w:p>
          <w:p>
            <w:pPr>
              <w:jc w:val="left"/>
              <w:rPr>
                <w:color w:val="auto"/>
                <w:sz w:val="24"/>
              </w:rPr>
            </w:pPr>
            <w:r>
              <w:rPr>
                <w:color w:val="auto"/>
                <w:sz w:val="24"/>
              </w:rPr>
              <w:t>□采购人</w:t>
            </w:r>
          </w:p>
          <w:p>
            <w:pPr>
              <w:jc w:val="left"/>
              <w:rPr>
                <w:color w:val="auto"/>
                <w:sz w:val="24"/>
              </w:rPr>
            </w:pPr>
            <w:r>
              <w:rPr>
                <w:color w:val="auto"/>
                <w:sz w:val="24"/>
              </w:rPr>
              <w:t>■中标人</w:t>
            </w:r>
          </w:p>
          <w:p>
            <w:pPr>
              <w:jc w:val="left"/>
              <w:rPr>
                <w:color w:val="auto"/>
                <w:sz w:val="24"/>
              </w:rPr>
            </w:pPr>
            <w:r>
              <w:rPr>
                <w:color w:val="auto"/>
                <w:sz w:val="24"/>
              </w:rPr>
              <w:t>收费标准：</w:t>
            </w:r>
            <w:r>
              <w:rPr>
                <w:rFonts w:hint="eastAsia"/>
                <w:color w:val="auto"/>
                <w:sz w:val="24"/>
                <w:u w:val="single"/>
              </w:rPr>
              <w:t>以中标金额为基准，按差额累进法计算</w:t>
            </w:r>
            <w:r>
              <w:rPr>
                <w:color w:val="auto"/>
                <w:sz w:val="24"/>
              </w:rPr>
              <w:t>；</w:t>
            </w:r>
          </w:p>
          <w:p>
            <w:pPr>
              <w:jc w:val="left"/>
              <w:rPr>
                <w:color w:val="auto"/>
                <w:sz w:val="24"/>
              </w:rPr>
            </w:pPr>
            <w:r>
              <w:rPr>
                <w:color w:val="auto"/>
                <w:sz w:val="24"/>
              </w:rPr>
              <w:t>缴纳时间：</w:t>
            </w:r>
            <w:r>
              <w:rPr>
                <w:rFonts w:hint="eastAsia"/>
                <w:color w:val="auto"/>
                <w:sz w:val="24"/>
                <w:u w:val="single"/>
              </w:rPr>
              <w:t>领取中标通知书时</w:t>
            </w:r>
            <w:r>
              <w:rPr>
                <w:rFonts w:hint="eastAsia"/>
                <w:color w:val="auto"/>
                <w:sz w:val="24"/>
              </w:rPr>
              <w:t>；</w:t>
            </w:r>
          </w:p>
          <w:p>
            <w:pPr>
              <w:jc w:val="left"/>
              <w:rPr>
                <w:color w:val="auto"/>
                <w:sz w:val="24"/>
              </w:rPr>
            </w:pPr>
            <w:r>
              <w:rPr>
                <w:rFonts w:hint="eastAsia"/>
                <w:color w:val="auto"/>
                <w:sz w:val="24"/>
              </w:rPr>
              <w:t>缴纳账户信息：</w:t>
            </w:r>
          </w:p>
          <w:p>
            <w:pPr>
              <w:jc w:val="left"/>
              <w:rPr>
                <w:color w:val="auto"/>
                <w:sz w:val="24"/>
              </w:rPr>
            </w:pPr>
            <w:r>
              <w:rPr>
                <w:color w:val="auto"/>
                <w:sz w:val="24"/>
              </w:rPr>
              <w:t>账户名称：中工国际招标有限公司</w:t>
            </w:r>
          </w:p>
          <w:p>
            <w:pPr>
              <w:jc w:val="left"/>
              <w:rPr>
                <w:color w:val="auto"/>
                <w:sz w:val="24"/>
              </w:rPr>
            </w:pPr>
            <w:r>
              <w:rPr>
                <w:color w:val="auto"/>
                <w:sz w:val="24"/>
              </w:rPr>
              <w:t>开户行：中国工商银行西三旗支行</w:t>
            </w:r>
          </w:p>
          <w:p>
            <w:pPr>
              <w:jc w:val="left"/>
              <w:rPr>
                <w:color w:val="auto"/>
                <w:sz w:val="24"/>
              </w:rPr>
            </w:pPr>
            <w:r>
              <w:rPr>
                <w:color w:val="auto"/>
                <w:sz w:val="24"/>
              </w:rPr>
              <w:t>账号：0200240109200060854</w:t>
            </w:r>
          </w:p>
        </w:tc>
      </w:tr>
    </w:tbl>
    <w:p>
      <w:pPr>
        <w:tabs>
          <w:tab w:val="left" w:pos="5580"/>
        </w:tabs>
        <w:adjustRightInd w:val="0"/>
        <w:spacing w:line="360" w:lineRule="auto"/>
        <w:jc w:val="distribute"/>
        <w:rPr>
          <w:color w:val="auto"/>
          <w:sz w:val="24"/>
        </w:rPr>
        <w:sectPr>
          <w:headerReference r:id="rId4" w:type="first"/>
          <w:footerReference r:id="rId6" w:type="first"/>
          <w:headerReference r:id="rId3" w:type="default"/>
          <w:footerReference r:id="rId5" w:type="default"/>
          <w:type w:val="nextColumn"/>
          <w:pgSz w:w="11907" w:h="16840"/>
          <w:pgMar w:top="1418" w:right="1134" w:bottom="1418" w:left="1701" w:header="851" w:footer="851" w:gutter="0"/>
          <w:pgNumType w:start="0"/>
          <w:cols w:space="720" w:num="1"/>
          <w:titlePg/>
          <w:docGrid w:linePitch="462" w:charSpace="0"/>
        </w:sectPr>
      </w:pPr>
    </w:p>
    <w:p>
      <w:pPr>
        <w:spacing w:before="240" w:beforeLines="100" w:after="240" w:afterLines="100"/>
        <w:jc w:val="center"/>
        <w:rPr>
          <w:b/>
          <w:color w:val="auto"/>
          <w:sz w:val="28"/>
          <w:szCs w:val="28"/>
        </w:rPr>
      </w:pPr>
      <w:bookmarkStart w:id="76" w:name="_Toc305158785"/>
      <w:bookmarkStart w:id="77" w:name="_Toc150480755"/>
      <w:bookmarkStart w:id="78" w:name="_Toc353873932"/>
      <w:bookmarkStart w:id="79" w:name="_Toc305158859"/>
      <w:bookmarkStart w:id="80" w:name="_Toc142311019"/>
      <w:bookmarkStart w:id="81" w:name="_Toc264969207"/>
      <w:bookmarkStart w:id="82" w:name="_Toc265228355"/>
      <w:bookmarkStart w:id="83" w:name="_Toc353825542"/>
      <w:bookmarkStart w:id="84" w:name="_Toc127151517"/>
      <w:bookmarkStart w:id="85" w:name="_Toc353873662"/>
      <w:bookmarkStart w:id="86" w:name="_Toc195842882"/>
      <w:bookmarkStart w:id="87" w:name="_Toc150774722"/>
      <w:bookmarkStart w:id="88" w:name="_Toc226337213"/>
      <w:bookmarkStart w:id="89" w:name="_Toc226965790"/>
      <w:r>
        <w:rPr>
          <w:b/>
          <w:color w:val="auto"/>
          <w:sz w:val="28"/>
          <w:szCs w:val="28"/>
        </w:rPr>
        <w:t>投标人须知</w:t>
      </w:r>
      <w:bookmarkEnd w:id="76"/>
      <w:bookmarkEnd w:id="77"/>
      <w:bookmarkEnd w:id="78"/>
      <w:bookmarkEnd w:id="79"/>
      <w:bookmarkEnd w:id="80"/>
      <w:bookmarkEnd w:id="81"/>
      <w:bookmarkEnd w:id="82"/>
      <w:bookmarkEnd w:id="83"/>
      <w:bookmarkEnd w:id="84"/>
      <w:bookmarkEnd w:id="85"/>
      <w:bookmarkEnd w:id="86"/>
      <w:bookmarkEnd w:id="87"/>
      <w:bookmarkEnd w:id="88"/>
      <w:bookmarkEnd w:id="89"/>
    </w:p>
    <w:p>
      <w:pPr>
        <w:pStyle w:val="3"/>
        <w:tabs>
          <w:tab w:val="center" w:pos="4592"/>
          <w:tab w:val="left" w:pos="7860"/>
        </w:tabs>
        <w:spacing w:before="0" w:line="360" w:lineRule="auto"/>
        <w:jc w:val="left"/>
        <w:rPr>
          <w:rFonts w:ascii="Times New Roman" w:hAnsi="Times New Roman" w:eastAsia="宋体"/>
          <w:color w:val="auto"/>
          <w:sz w:val="28"/>
        </w:rPr>
      </w:pPr>
      <w:bookmarkStart w:id="90" w:name="_Toc520356143"/>
      <w:bookmarkStart w:id="91" w:name="_Toc127151518"/>
      <w:r>
        <w:rPr>
          <w:rFonts w:ascii="Times New Roman" w:hAnsi="Times New Roman" w:eastAsia="宋体"/>
          <w:color w:val="auto"/>
          <w:sz w:val="28"/>
        </w:rPr>
        <w:tab/>
      </w:r>
      <w:bookmarkStart w:id="92" w:name="_Toc265228356"/>
      <w:bookmarkStart w:id="93" w:name="_Toc150774618"/>
      <w:bookmarkStart w:id="94" w:name="_Toc226965791"/>
      <w:bookmarkStart w:id="95" w:name="_Toc151190145"/>
      <w:bookmarkStart w:id="96" w:name="_Toc226337214"/>
      <w:bookmarkStart w:id="97" w:name="_Toc305158786"/>
      <w:bookmarkStart w:id="98" w:name="_Toc151193616"/>
      <w:bookmarkStart w:id="99" w:name="_Toc150509269"/>
      <w:bookmarkStart w:id="100" w:name="_Toc151193832"/>
      <w:bookmarkStart w:id="101" w:name="_Toc151193906"/>
      <w:bookmarkStart w:id="102" w:name="_Toc226965708"/>
      <w:bookmarkStart w:id="103" w:name="_Toc195842883"/>
      <w:bookmarkStart w:id="104" w:name="_Toc305158860"/>
      <w:bookmarkStart w:id="105" w:name="_Toc151193760"/>
      <w:bookmarkStart w:id="106" w:name="_Toc150480756"/>
      <w:bookmarkStart w:id="107" w:name="_Toc264969208"/>
      <w:bookmarkStart w:id="108" w:name="_Toc151193688"/>
      <w:bookmarkStart w:id="109" w:name="_Toc142311020"/>
      <w:bookmarkStart w:id="110" w:name="_Toc226309762"/>
      <w:bookmarkStart w:id="111" w:name="_Toc150774723"/>
      <w:r>
        <w:rPr>
          <w:rFonts w:ascii="Times New Roman" w:hAnsi="Times New Roman" w:eastAsia="宋体"/>
          <w:color w:val="auto"/>
          <w:sz w:val="28"/>
        </w:rPr>
        <w:t>一   说  明</w:t>
      </w:r>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r>
        <w:rPr>
          <w:rFonts w:ascii="Times New Roman" w:hAnsi="Times New Roman" w:eastAsia="宋体"/>
          <w:color w:val="auto"/>
          <w:sz w:val="28"/>
        </w:rPr>
        <w:tab/>
      </w:r>
    </w:p>
    <w:p>
      <w:pPr>
        <w:numPr>
          <w:ilvl w:val="0"/>
          <w:numId w:val="8"/>
        </w:numPr>
        <w:tabs>
          <w:tab w:val="left" w:pos="360"/>
          <w:tab w:val="clear" w:pos="900"/>
        </w:tabs>
        <w:snapToGrid w:val="0"/>
        <w:spacing w:line="360" w:lineRule="auto"/>
        <w:ind w:left="357" w:hanging="357"/>
        <w:outlineLvl w:val="1"/>
        <w:rPr>
          <w:color w:val="auto"/>
          <w:sz w:val="24"/>
        </w:rPr>
      </w:pPr>
      <w:bookmarkStart w:id="112" w:name="_Toc264969209"/>
      <w:bookmarkStart w:id="113" w:name="_Toc305158787"/>
      <w:bookmarkStart w:id="114" w:name="_Toc265228357"/>
      <w:bookmarkStart w:id="115" w:name="_Toc305158861"/>
      <w:r>
        <w:rPr>
          <w:color w:val="auto"/>
          <w:sz w:val="24"/>
        </w:rPr>
        <w:t>采购人、采购代理机构、投标人</w:t>
      </w:r>
      <w:bookmarkEnd w:id="112"/>
      <w:bookmarkEnd w:id="113"/>
      <w:bookmarkEnd w:id="114"/>
      <w:bookmarkEnd w:id="115"/>
      <w:r>
        <w:rPr>
          <w:color w:val="auto"/>
          <w:sz w:val="24"/>
        </w:rPr>
        <w:t>、联合体</w:t>
      </w:r>
    </w:p>
    <w:p>
      <w:pPr>
        <w:numPr>
          <w:ilvl w:val="1"/>
          <w:numId w:val="8"/>
        </w:numPr>
        <w:tabs>
          <w:tab w:val="left" w:pos="1080"/>
          <w:tab w:val="left" w:pos="2014"/>
          <w:tab w:val="left" w:pos="5521"/>
        </w:tabs>
        <w:snapToGrid w:val="0"/>
        <w:spacing w:line="360" w:lineRule="auto"/>
        <w:ind w:left="1080" w:hanging="720"/>
        <w:rPr>
          <w:color w:val="auto"/>
          <w:sz w:val="24"/>
        </w:rPr>
      </w:pPr>
      <w:r>
        <w:rPr>
          <w:color w:val="auto"/>
          <w:sz w:val="24"/>
        </w:rPr>
        <w:t>采购人、采购代理机构：指依法进行政府采购的国家机关、事业单位、团体组织，及其委托的采购代理机构。本项目采购人、采购代理机构见第一章《投标邀请》。</w:t>
      </w:r>
    </w:p>
    <w:p>
      <w:pPr>
        <w:numPr>
          <w:ilvl w:val="1"/>
          <w:numId w:val="8"/>
        </w:numPr>
        <w:tabs>
          <w:tab w:val="left" w:pos="1080"/>
          <w:tab w:val="left" w:pos="2014"/>
          <w:tab w:val="left" w:pos="5521"/>
        </w:tabs>
        <w:snapToGrid w:val="0"/>
        <w:spacing w:line="360" w:lineRule="auto"/>
        <w:ind w:left="1080" w:hanging="720"/>
        <w:rPr>
          <w:color w:val="auto"/>
          <w:sz w:val="24"/>
        </w:rPr>
      </w:pPr>
      <w:r>
        <w:rPr>
          <w:color w:val="auto"/>
          <w:sz w:val="24"/>
        </w:rPr>
        <w:t>投标人（也称“供应商”、“申请人”）：指向采购人提供货物、工程或者服务的法人、其他组织或者自然人。</w:t>
      </w:r>
    </w:p>
    <w:p>
      <w:pPr>
        <w:numPr>
          <w:ilvl w:val="1"/>
          <w:numId w:val="8"/>
        </w:numPr>
        <w:tabs>
          <w:tab w:val="left" w:pos="1080"/>
          <w:tab w:val="left" w:pos="2014"/>
          <w:tab w:val="left" w:pos="5521"/>
        </w:tabs>
        <w:snapToGrid w:val="0"/>
        <w:spacing w:line="360" w:lineRule="auto"/>
        <w:ind w:left="1080" w:hanging="720"/>
        <w:rPr>
          <w:color w:val="auto"/>
          <w:sz w:val="24"/>
        </w:rPr>
      </w:pPr>
      <w:r>
        <w:rPr>
          <w:color w:val="auto"/>
          <w:sz w:val="24"/>
        </w:rPr>
        <w:t>联合体：指两个以上的自然人、法人或者其他组织组成一个联合体，以一个供应商的身份共同参加政府采购。</w:t>
      </w:r>
    </w:p>
    <w:p>
      <w:pPr>
        <w:numPr>
          <w:ilvl w:val="0"/>
          <w:numId w:val="8"/>
        </w:numPr>
        <w:tabs>
          <w:tab w:val="left" w:pos="360"/>
          <w:tab w:val="clear" w:pos="900"/>
        </w:tabs>
        <w:snapToGrid w:val="0"/>
        <w:spacing w:line="360" w:lineRule="auto"/>
        <w:ind w:left="357" w:hanging="357"/>
        <w:outlineLvl w:val="1"/>
        <w:rPr>
          <w:color w:val="auto"/>
          <w:sz w:val="24"/>
        </w:rPr>
      </w:pPr>
      <w:bookmarkStart w:id="116" w:name="_Toc164608789"/>
      <w:bookmarkStart w:id="117" w:name="_Toc264969210"/>
      <w:bookmarkStart w:id="118" w:name="_Toc151190147"/>
      <w:bookmarkStart w:id="119" w:name="_Toc150774725"/>
      <w:bookmarkStart w:id="120" w:name="_Toc195842885"/>
      <w:bookmarkStart w:id="121" w:name="_Toc150774620"/>
      <w:bookmarkStart w:id="122" w:name="_Toc226965793"/>
      <w:bookmarkStart w:id="123" w:name="_Toc151193908"/>
      <w:bookmarkStart w:id="124" w:name="_Toc164229215"/>
      <w:bookmarkStart w:id="125" w:name="_Toc142311022"/>
      <w:bookmarkStart w:id="126" w:name="_Toc150480758"/>
      <w:bookmarkStart w:id="127" w:name="_Toc151193834"/>
      <w:bookmarkStart w:id="128" w:name="_Toc127151721"/>
      <w:bookmarkStart w:id="129" w:name="_Toc127151520"/>
      <w:bookmarkStart w:id="130" w:name="_Toc226965710"/>
      <w:bookmarkStart w:id="131" w:name="_Toc226309764"/>
      <w:bookmarkStart w:id="132" w:name="_Toc151193762"/>
      <w:bookmarkStart w:id="133" w:name="_Toc151193690"/>
      <w:bookmarkStart w:id="134" w:name="_Toc164351614"/>
      <w:bookmarkStart w:id="135" w:name="_Toc226337216"/>
      <w:bookmarkStart w:id="136" w:name="_Toc150509271"/>
      <w:bookmarkStart w:id="137" w:name="_Toc164608634"/>
      <w:bookmarkStart w:id="138" w:name="_Toc265228358"/>
      <w:bookmarkStart w:id="139" w:name="_Toc164229361"/>
      <w:bookmarkStart w:id="140" w:name="_Toc149720813"/>
      <w:bookmarkStart w:id="141" w:name="_Toc151193618"/>
      <w:bookmarkStart w:id="142" w:name="_Toc305158862"/>
      <w:bookmarkStart w:id="143" w:name="_Toc305158788"/>
      <w:bookmarkStart w:id="144" w:name="_Toc127161434"/>
      <w:r>
        <w:rPr>
          <w:color w:val="auto"/>
          <w:sz w:val="24"/>
        </w:rPr>
        <w:t>资金来源</w:t>
      </w:r>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r>
        <w:rPr>
          <w:color w:val="auto"/>
          <w:sz w:val="24"/>
        </w:rPr>
        <w:t>、项目属性、科研仪器设备采购、核心产品</w:t>
      </w:r>
    </w:p>
    <w:p>
      <w:pPr>
        <w:numPr>
          <w:ilvl w:val="1"/>
          <w:numId w:val="8"/>
        </w:numPr>
        <w:tabs>
          <w:tab w:val="left" w:pos="1080"/>
          <w:tab w:val="left" w:pos="2014"/>
        </w:tabs>
        <w:snapToGrid w:val="0"/>
        <w:spacing w:line="360" w:lineRule="auto"/>
        <w:ind w:left="1080" w:hanging="720"/>
        <w:rPr>
          <w:color w:val="auto"/>
          <w:sz w:val="24"/>
        </w:rPr>
      </w:pPr>
      <w:r>
        <w:rPr>
          <w:color w:val="auto"/>
          <w:sz w:val="24"/>
        </w:rPr>
        <w:t>资金来源为财政性资金和/或本项目采购中无法与财政性资金分割的非财政性资金。</w:t>
      </w:r>
    </w:p>
    <w:p>
      <w:pPr>
        <w:numPr>
          <w:ilvl w:val="1"/>
          <w:numId w:val="8"/>
        </w:numPr>
        <w:tabs>
          <w:tab w:val="left" w:pos="1080"/>
          <w:tab w:val="left" w:pos="2014"/>
        </w:tabs>
        <w:snapToGrid w:val="0"/>
        <w:spacing w:line="360" w:lineRule="auto"/>
        <w:ind w:left="1080" w:hanging="720"/>
        <w:rPr>
          <w:color w:val="auto"/>
          <w:sz w:val="24"/>
        </w:rPr>
      </w:pPr>
      <w:r>
        <w:rPr>
          <w:color w:val="auto"/>
          <w:sz w:val="24"/>
        </w:rPr>
        <w:t>项目属性见《投标人须知资料表》。</w:t>
      </w:r>
    </w:p>
    <w:p>
      <w:pPr>
        <w:numPr>
          <w:ilvl w:val="1"/>
          <w:numId w:val="8"/>
        </w:numPr>
        <w:tabs>
          <w:tab w:val="left" w:pos="1080"/>
          <w:tab w:val="left" w:pos="2014"/>
        </w:tabs>
        <w:snapToGrid w:val="0"/>
        <w:spacing w:line="360" w:lineRule="auto"/>
        <w:ind w:left="1080" w:hanging="720"/>
        <w:rPr>
          <w:color w:val="auto"/>
          <w:sz w:val="24"/>
        </w:rPr>
      </w:pPr>
      <w:r>
        <w:rPr>
          <w:color w:val="auto"/>
          <w:sz w:val="24"/>
        </w:rPr>
        <w:t>是否属于科研仪器设备采购见《投标人须知资料表》。</w:t>
      </w:r>
    </w:p>
    <w:p>
      <w:pPr>
        <w:numPr>
          <w:ilvl w:val="1"/>
          <w:numId w:val="8"/>
        </w:numPr>
        <w:tabs>
          <w:tab w:val="left" w:pos="1080"/>
          <w:tab w:val="left" w:pos="2014"/>
          <w:tab w:val="left" w:pos="5521"/>
        </w:tabs>
        <w:snapToGrid w:val="0"/>
        <w:spacing w:line="360" w:lineRule="auto"/>
        <w:ind w:left="1080" w:hanging="720"/>
        <w:rPr>
          <w:color w:val="auto"/>
          <w:sz w:val="24"/>
        </w:rPr>
      </w:pPr>
      <w:r>
        <w:rPr>
          <w:color w:val="auto"/>
          <w:sz w:val="24"/>
        </w:rPr>
        <w:t>核心产品见《投标人须知资料表》。</w:t>
      </w:r>
    </w:p>
    <w:p>
      <w:pPr>
        <w:numPr>
          <w:ilvl w:val="0"/>
          <w:numId w:val="8"/>
        </w:numPr>
        <w:tabs>
          <w:tab w:val="left" w:pos="360"/>
        </w:tabs>
        <w:snapToGrid w:val="0"/>
        <w:spacing w:line="360" w:lineRule="auto"/>
        <w:ind w:left="357" w:hanging="357"/>
        <w:outlineLvl w:val="1"/>
        <w:rPr>
          <w:color w:val="auto"/>
          <w:sz w:val="24"/>
        </w:rPr>
      </w:pPr>
      <w:r>
        <w:rPr>
          <w:color w:val="auto"/>
          <w:sz w:val="24"/>
        </w:rPr>
        <w:t>现场考察、开标前答疑会</w:t>
      </w:r>
    </w:p>
    <w:p>
      <w:pPr>
        <w:numPr>
          <w:ilvl w:val="1"/>
          <w:numId w:val="8"/>
        </w:numPr>
        <w:tabs>
          <w:tab w:val="left" w:pos="1080"/>
          <w:tab w:val="left" w:pos="2014"/>
        </w:tabs>
        <w:snapToGrid w:val="0"/>
        <w:spacing w:line="360" w:lineRule="auto"/>
        <w:ind w:left="1080" w:hanging="720"/>
        <w:rPr>
          <w:color w:val="auto"/>
          <w:sz w:val="28"/>
        </w:rPr>
      </w:pPr>
      <w:r>
        <w:rPr>
          <w:color w:val="auto"/>
          <w:sz w:val="24"/>
        </w:rPr>
        <w:t>若《投标人须知资料表》中规定了组织现场考察、召开开标前答疑会，则投标人应按要求在规定的时间和地点参加。</w:t>
      </w:r>
      <w:bookmarkStart w:id="145" w:name="_Toc226965795"/>
      <w:bookmarkStart w:id="146" w:name="_Toc150480760"/>
      <w:bookmarkStart w:id="147" w:name="_Toc305158864"/>
      <w:bookmarkStart w:id="148" w:name="_Toc151193836"/>
      <w:bookmarkStart w:id="149" w:name="_Toc127151522"/>
      <w:bookmarkStart w:id="150" w:name="_Toc226337218"/>
      <w:bookmarkStart w:id="151" w:name="_Toc150509273"/>
      <w:bookmarkStart w:id="152" w:name="_Toc265228360"/>
      <w:bookmarkStart w:id="153" w:name="_Toc195842887"/>
      <w:bookmarkStart w:id="154" w:name="_Toc151193692"/>
      <w:bookmarkStart w:id="155" w:name="_Toc226965712"/>
      <w:bookmarkStart w:id="156" w:name="_Toc264969212"/>
      <w:bookmarkStart w:id="157" w:name="_Toc151193910"/>
      <w:bookmarkStart w:id="158" w:name="_Toc520356146"/>
      <w:bookmarkStart w:id="159" w:name="_Toc150774727"/>
      <w:bookmarkStart w:id="160" w:name="_Toc142311024"/>
      <w:bookmarkStart w:id="161" w:name="_Toc150774622"/>
      <w:bookmarkStart w:id="162" w:name="_Toc151193620"/>
      <w:bookmarkStart w:id="163" w:name="_Toc151193764"/>
      <w:bookmarkStart w:id="164" w:name="_Toc305158790"/>
      <w:bookmarkStart w:id="165" w:name="_Toc226309766"/>
      <w:bookmarkStart w:id="166" w:name="_Toc151190149"/>
    </w:p>
    <w:p>
      <w:pPr>
        <w:numPr>
          <w:ilvl w:val="1"/>
          <w:numId w:val="8"/>
        </w:numPr>
        <w:tabs>
          <w:tab w:val="left" w:pos="1080"/>
          <w:tab w:val="left" w:pos="2014"/>
        </w:tabs>
        <w:snapToGrid w:val="0"/>
        <w:spacing w:line="360" w:lineRule="auto"/>
        <w:ind w:left="1080" w:hanging="720"/>
        <w:rPr>
          <w:color w:val="auto"/>
          <w:sz w:val="24"/>
        </w:rPr>
      </w:pPr>
      <w:r>
        <w:rPr>
          <w:color w:val="auto"/>
          <w:sz w:val="24"/>
        </w:rPr>
        <w:t>由于未参加现场考察或开标前答疑会而导致对项目实际情况不了解，影响投标文件编制、投标报价准确性、综合因素响应不全面等问题的，由投标人自行承担不利评审后果。</w:t>
      </w:r>
    </w:p>
    <w:p>
      <w:pPr>
        <w:numPr>
          <w:ilvl w:val="0"/>
          <w:numId w:val="8"/>
        </w:numPr>
        <w:tabs>
          <w:tab w:val="left" w:pos="360"/>
        </w:tabs>
        <w:snapToGrid w:val="0"/>
        <w:spacing w:line="360" w:lineRule="auto"/>
        <w:ind w:left="357" w:hanging="357"/>
        <w:outlineLvl w:val="1"/>
        <w:rPr>
          <w:color w:val="auto"/>
          <w:sz w:val="24"/>
        </w:rPr>
      </w:pPr>
      <w:r>
        <w:rPr>
          <w:color w:val="auto"/>
          <w:sz w:val="24"/>
        </w:rPr>
        <w:t>样品</w:t>
      </w:r>
    </w:p>
    <w:p>
      <w:pPr>
        <w:numPr>
          <w:ilvl w:val="1"/>
          <w:numId w:val="8"/>
        </w:numPr>
        <w:tabs>
          <w:tab w:val="left" w:pos="1080"/>
          <w:tab w:val="left" w:pos="2014"/>
        </w:tabs>
        <w:snapToGrid w:val="0"/>
        <w:spacing w:line="360" w:lineRule="auto"/>
        <w:ind w:left="1080" w:hanging="720"/>
        <w:rPr>
          <w:color w:val="auto"/>
          <w:sz w:val="24"/>
        </w:rPr>
      </w:pPr>
      <w:r>
        <w:rPr>
          <w:color w:val="auto"/>
          <w:sz w:val="24"/>
        </w:rPr>
        <w:t>本项目是否要求投标人提供样品，以及样品制作的标准和要求、是否需要随样品提交相关检测报告、样品的递交与退还等要求见《投标人须知资料表》。</w:t>
      </w:r>
    </w:p>
    <w:p>
      <w:pPr>
        <w:numPr>
          <w:ilvl w:val="1"/>
          <w:numId w:val="8"/>
        </w:numPr>
        <w:tabs>
          <w:tab w:val="left" w:pos="1080"/>
          <w:tab w:val="left" w:pos="2014"/>
        </w:tabs>
        <w:snapToGrid w:val="0"/>
        <w:spacing w:line="360" w:lineRule="auto"/>
        <w:ind w:left="1080" w:hanging="720"/>
        <w:rPr>
          <w:color w:val="auto"/>
          <w:sz w:val="24"/>
        </w:rPr>
      </w:pPr>
      <w:r>
        <w:rPr>
          <w:color w:val="auto"/>
          <w:sz w:val="24"/>
        </w:rPr>
        <w:t>样品的评审方法以及评审标准等内容见第四章《评标程序、评标方法和评标标准》。</w:t>
      </w:r>
    </w:p>
    <w:p>
      <w:pPr>
        <w:numPr>
          <w:ilvl w:val="0"/>
          <w:numId w:val="8"/>
        </w:numPr>
        <w:tabs>
          <w:tab w:val="left" w:pos="360"/>
          <w:tab w:val="clear" w:pos="900"/>
        </w:tabs>
        <w:snapToGrid w:val="0"/>
        <w:spacing w:line="360" w:lineRule="auto"/>
        <w:ind w:left="357" w:hanging="357"/>
        <w:outlineLvl w:val="1"/>
        <w:rPr>
          <w:color w:val="auto"/>
          <w:sz w:val="24"/>
        </w:rPr>
      </w:pPr>
      <w:r>
        <w:rPr>
          <w:color w:val="auto"/>
          <w:sz w:val="24"/>
        </w:rPr>
        <w:t>政府采购政策（包括但不限于下列具体政策要求）</w:t>
      </w:r>
    </w:p>
    <w:p>
      <w:pPr>
        <w:numPr>
          <w:ilvl w:val="1"/>
          <w:numId w:val="8"/>
        </w:numPr>
        <w:tabs>
          <w:tab w:val="left" w:pos="1080"/>
          <w:tab w:val="left" w:pos="2014"/>
        </w:tabs>
        <w:snapToGrid w:val="0"/>
        <w:spacing w:line="360" w:lineRule="auto"/>
        <w:ind w:left="1080" w:hanging="720"/>
        <w:rPr>
          <w:color w:val="auto"/>
          <w:sz w:val="24"/>
        </w:rPr>
      </w:pPr>
      <w:r>
        <w:rPr>
          <w:color w:val="auto"/>
          <w:sz w:val="24"/>
        </w:rPr>
        <w:t>采购本国货物、工程和服务</w:t>
      </w:r>
    </w:p>
    <w:p>
      <w:pPr>
        <w:numPr>
          <w:ilvl w:val="2"/>
          <w:numId w:val="8"/>
        </w:numPr>
        <w:tabs>
          <w:tab w:val="left" w:pos="2014"/>
        </w:tabs>
        <w:snapToGrid w:val="0"/>
        <w:spacing w:line="360" w:lineRule="auto"/>
        <w:rPr>
          <w:color w:val="auto"/>
          <w:sz w:val="24"/>
        </w:rPr>
      </w:pPr>
      <w:r>
        <w:rPr>
          <w:color w:val="auto"/>
          <w:kern w:val="0"/>
          <w:sz w:val="24"/>
        </w:rPr>
        <w:t>政府采购应当采购本国货物、工程和服务。但有《</w:t>
      </w:r>
      <w:r>
        <w:rPr>
          <w:b/>
          <w:color w:val="auto"/>
          <w:kern w:val="0"/>
          <w:sz w:val="24"/>
        </w:rPr>
        <w:t>中华人民共和国政府采购法</w:t>
      </w:r>
      <w:r>
        <w:rPr>
          <w:color w:val="auto"/>
          <w:kern w:val="0"/>
          <w:sz w:val="24"/>
        </w:rPr>
        <w:t>》第十条规定情形的除外。</w:t>
      </w:r>
    </w:p>
    <w:p>
      <w:pPr>
        <w:numPr>
          <w:ilvl w:val="2"/>
          <w:numId w:val="8"/>
        </w:numPr>
        <w:tabs>
          <w:tab w:val="left" w:pos="2014"/>
        </w:tabs>
        <w:snapToGrid w:val="0"/>
        <w:spacing w:line="360" w:lineRule="auto"/>
        <w:rPr>
          <w:color w:val="auto"/>
          <w:sz w:val="24"/>
        </w:rPr>
      </w:pPr>
      <w:r>
        <w:rPr>
          <w:color w:val="auto"/>
          <w:sz w:val="24"/>
        </w:rPr>
        <w:t>本项目如接受非本国货物、工程、服务参与投标，则具体要求见第四章《采购需求》。</w:t>
      </w:r>
    </w:p>
    <w:p>
      <w:pPr>
        <w:numPr>
          <w:ilvl w:val="2"/>
          <w:numId w:val="8"/>
        </w:numPr>
        <w:tabs>
          <w:tab w:val="left" w:pos="2014"/>
        </w:tabs>
        <w:snapToGrid w:val="0"/>
        <w:spacing w:line="360" w:lineRule="auto"/>
        <w:rPr>
          <w:color w:val="auto"/>
          <w:sz w:val="24"/>
        </w:rPr>
      </w:pPr>
      <w:r>
        <w:rPr>
          <w:rFonts w:eastAsiaTheme="minorEastAsia"/>
          <w:color w:val="auto"/>
          <w:sz w:val="24"/>
        </w:rPr>
        <w:t>进口产品</w:t>
      </w:r>
      <w:r>
        <w:rPr>
          <w:color w:val="auto"/>
          <w:sz w:val="24"/>
        </w:rPr>
        <w:t>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pPr>
        <w:numPr>
          <w:ilvl w:val="1"/>
          <w:numId w:val="8"/>
        </w:numPr>
        <w:tabs>
          <w:tab w:val="left" w:pos="1080"/>
          <w:tab w:val="left" w:pos="2014"/>
        </w:tabs>
        <w:snapToGrid w:val="0"/>
        <w:spacing w:line="360" w:lineRule="auto"/>
        <w:ind w:left="1080" w:hanging="720"/>
        <w:rPr>
          <w:color w:val="auto"/>
          <w:sz w:val="24"/>
        </w:rPr>
      </w:pPr>
      <w:r>
        <w:rPr>
          <w:color w:val="auto"/>
          <w:sz w:val="24"/>
        </w:rPr>
        <w:t>中小企业、监狱企业及残疾人福利性单位</w:t>
      </w:r>
    </w:p>
    <w:p>
      <w:pPr>
        <w:numPr>
          <w:ilvl w:val="2"/>
          <w:numId w:val="8"/>
        </w:numPr>
        <w:snapToGrid w:val="0"/>
        <w:spacing w:line="360" w:lineRule="auto"/>
        <w:rPr>
          <w:color w:val="auto"/>
          <w:sz w:val="24"/>
        </w:rPr>
      </w:pPr>
      <w:r>
        <w:rPr>
          <w:color w:val="auto"/>
          <w:sz w:val="24"/>
        </w:rPr>
        <w:t>中小企业定义：</w:t>
      </w:r>
    </w:p>
    <w:p>
      <w:pPr>
        <w:pStyle w:val="75"/>
        <w:numPr>
          <w:ilvl w:val="0"/>
          <w:numId w:val="9"/>
        </w:numPr>
        <w:tabs>
          <w:tab w:val="left" w:pos="1980"/>
          <w:tab w:val="left" w:pos="2035"/>
          <w:tab w:val="left" w:pos="2977"/>
        </w:tabs>
        <w:snapToGrid w:val="0"/>
        <w:spacing w:line="360" w:lineRule="auto"/>
        <w:ind w:firstLineChars="0"/>
        <w:rPr>
          <w:rFonts w:ascii="Times New Roman" w:hAnsi="Times New Roman"/>
          <w:vanish/>
          <w:color w:val="auto"/>
          <w:sz w:val="24"/>
          <w:szCs w:val="24"/>
        </w:rPr>
      </w:pPr>
    </w:p>
    <w:p>
      <w:pPr>
        <w:pStyle w:val="75"/>
        <w:numPr>
          <w:ilvl w:val="0"/>
          <w:numId w:val="9"/>
        </w:numPr>
        <w:tabs>
          <w:tab w:val="left" w:pos="1980"/>
          <w:tab w:val="left" w:pos="2035"/>
          <w:tab w:val="left" w:pos="2977"/>
        </w:tabs>
        <w:snapToGrid w:val="0"/>
        <w:spacing w:line="360" w:lineRule="auto"/>
        <w:ind w:firstLineChars="0"/>
        <w:rPr>
          <w:rFonts w:ascii="Times New Roman" w:hAnsi="Times New Roman"/>
          <w:vanish/>
          <w:color w:val="auto"/>
          <w:sz w:val="24"/>
          <w:szCs w:val="24"/>
        </w:rPr>
      </w:pPr>
    </w:p>
    <w:p>
      <w:pPr>
        <w:pStyle w:val="75"/>
        <w:numPr>
          <w:ilvl w:val="0"/>
          <w:numId w:val="9"/>
        </w:numPr>
        <w:tabs>
          <w:tab w:val="left" w:pos="1980"/>
          <w:tab w:val="left" w:pos="2035"/>
          <w:tab w:val="left" w:pos="2977"/>
        </w:tabs>
        <w:snapToGrid w:val="0"/>
        <w:spacing w:line="360" w:lineRule="auto"/>
        <w:ind w:firstLineChars="0"/>
        <w:rPr>
          <w:rFonts w:ascii="Times New Roman" w:hAnsi="Times New Roman"/>
          <w:vanish/>
          <w:color w:val="auto"/>
          <w:sz w:val="24"/>
          <w:szCs w:val="24"/>
        </w:rPr>
      </w:pPr>
    </w:p>
    <w:p>
      <w:pPr>
        <w:pStyle w:val="75"/>
        <w:numPr>
          <w:ilvl w:val="0"/>
          <w:numId w:val="9"/>
        </w:numPr>
        <w:tabs>
          <w:tab w:val="left" w:pos="1980"/>
          <w:tab w:val="left" w:pos="2035"/>
          <w:tab w:val="left" w:pos="2977"/>
        </w:tabs>
        <w:snapToGrid w:val="0"/>
        <w:spacing w:line="360" w:lineRule="auto"/>
        <w:ind w:firstLineChars="0"/>
        <w:rPr>
          <w:rFonts w:ascii="Times New Roman" w:hAnsi="Times New Roman"/>
          <w:vanish/>
          <w:color w:val="auto"/>
          <w:sz w:val="24"/>
          <w:szCs w:val="24"/>
        </w:rPr>
      </w:pPr>
    </w:p>
    <w:p>
      <w:pPr>
        <w:pStyle w:val="75"/>
        <w:numPr>
          <w:ilvl w:val="0"/>
          <w:numId w:val="9"/>
        </w:numPr>
        <w:tabs>
          <w:tab w:val="left" w:pos="1980"/>
          <w:tab w:val="left" w:pos="2035"/>
          <w:tab w:val="left" w:pos="2977"/>
        </w:tabs>
        <w:snapToGrid w:val="0"/>
        <w:spacing w:line="360" w:lineRule="auto"/>
        <w:ind w:firstLineChars="0"/>
        <w:rPr>
          <w:rFonts w:ascii="Times New Roman" w:hAnsi="Times New Roman"/>
          <w:vanish/>
          <w:color w:val="auto"/>
          <w:sz w:val="24"/>
          <w:szCs w:val="24"/>
        </w:rPr>
      </w:pPr>
    </w:p>
    <w:p>
      <w:pPr>
        <w:pStyle w:val="75"/>
        <w:numPr>
          <w:ilvl w:val="1"/>
          <w:numId w:val="9"/>
        </w:numPr>
        <w:tabs>
          <w:tab w:val="left" w:pos="1980"/>
          <w:tab w:val="left" w:pos="2035"/>
          <w:tab w:val="left" w:pos="2977"/>
        </w:tabs>
        <w:snapToGrid w:val="0"/>
        <w:spacing w:line="360" w:lineRule="auto"/>
        <w:ind w:firstLineChars="0"/>
        <w:rPr>
          <w:rFonts w:ascii="Times New Roman" w:hAnsi="Times New Roman"/>
          <w:vanish/>
          <w:color w:val="auto"/>
          <w:sz w:val="24"/>
          <w:szCs w:val="24"/>
        </w:rPr>
      </w:pPr>
    </w:p>
    <w:p>
      <w:pPr>
        <w:pStyle w:val="75"/>
        <w:numPr>
          <w:ilvl w:val="1"/>
          <w:numId w:val="9"/>
        </w:numPr>
        <w:tabs>
          <w:tab w:val="left" w:pos="1980"/>
          <w:tab w:val="left" w:pos="2035"/>
          <w:tab w:val="left" w:pos="2977"/>
        </w:tabs>
        <w:snapToGrid w:val="0"/>
        <w:spacing w:line="360" w:lineRule="auto"/>
        <w:ind w:firstLineChars="0"/>
        <w:rPr>
          <w:rFonts w:ascii="Times New Roman" w:hAnsi="Times New Roman"/>
          <w:vanish/>
          <w:color w:val="auto"/>
          <w:sz w:val="24"/>
          <w:szCs w:val="24"/>
        </w:rPr>
      </w:pPr>
    </w:p>
    <w:p>
      <w:pPr>
        <w:pStyle w:val="75"/>
        <w:numPr>
          <w:ilvl w:val="2"/>
          <w:numId w:val="9"/>
        </w:numPr>
        <w:tabs>
          <w:tab w:val="left" w:pos="2035"/>
          <w:tab w:val="left" w:pos="2977"/>
        </w:tabs>
        <w:snapToGrid w:val="0"/>
        <w:spacing w:line="360" w:lineRule="auto"/>
        <w:ind w:firstLineChars="0"/>
        <w:rPr>
          <w:rFonts w:ascii="Times New Roman" w:hAnsi="Times New Roman"/>
          <w:vanish/>
          <w:color w:val="auto"/>
          <w:sz w:val="24"/>
          <w:szCs w:val="24"/>
        </w:rPr>
      </w:pPr>
    </w:p>
    <w:p>
      <w:pPr>
        <w:numPr>
          <w:ilvl w:val="3"/>
          <w:numId w:val="9"/>
        </w:numPr>
        <w:tabs>
          <w:tab w:val="left" w:pos="1980"/>
          <w:tab w:val="left" w:pos="2035"/>
          <w:tab w:val="left" w:pos="2885"/>
          <w:tab w:val="left" w:pos="2977"/>
          <w:tab w:val="clear" w:pos="900"/>
        </w:tabs>
        <w:snapToGrid w:val="0"/>
        <w:spacing w:line="360" w:lineRule="auto"/>
        <w:ind w:left="2885"/>
        <w:rPr>
          <w:color w:val="auto"/>
          <w:sz w:val="24"/>
        </w:rPr>
      </w:pPr>
      <w:r>
        <w:rPr>
          <w:color w:val="auto"/>
          <w:sz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关于进一步加大政府采购支持中小企业力度的通知》（财库〔2022〕19号）、《政府采购促进中小企业发展管理办法》（财库〔2020〕46号）、《关于印发中小企业划型标准规定的通知》（工信部联企业〔2011〕300 号）。</w:t>
      </w:r>
    </w:p>
    <w:p>
      <w:pPr>
        <w:numPr>
          <w:ilvl w:val="3"/>
          <w:numId w:val="9"/>
        </w:numPr>
        <w:tabs>
          <w:tab w:val="left" w:pos="1980"/>
          <w:tab w:val="left" w:pos="2035"/>
          <w:tab w:val="left" w:pos="2885"/>
          <w:tab w:val="left" w:pos="2977"/>
          <w:tab w:val="clear" w:pos="900"/>
        </w:tabs>
        <w:snapToGrid w:val="0"/>
        <w:spacing w:line="360" w:lineRule="auto"/>
        <w:ind w:left="2885"/>
        <w:rPr>
          <w:color w:val="auto"/>
          <w:sz w:val="24"/>
        </w:rPr>
      </w:pPr>
      <w:r>
        <w:rPr>
          <w:color w:val="auto"/>
          <w:sz w:val="24"/>
        </w:rPr>
        <w:t>供应商提供的货物、工程或者服务符合下列情形的，享受中小企业扶持政策：</w:t>
      </w:r>
    </w:p>
    <w:p>
      <w:pPr>
        <w:tabs>
          <w:tab w:val="left" w:pos="1980"/>
        </w:tabs>
        <w:snapToGrid w:val="0"/>
        <w:spacing w:line="360" w:lineRule="auto"/>
        <w:ind w:left="2835" w:leftChars="1350"/>
        <w:rPr>
          <w:color w:val="auto"/>
          <w:sz w:val="24"/>
        </w:rPr>
      </w:pPr>
      <w:r>
        <w:rPr>
          <w:color w:val="auto"/>
          <w:sz w:val="24"/>
        </w:rPr>
        <w:t>（1）在货物采购项目中，货物由中小企业制造，即货物由中小企业生产且使用该中小企业商号或者注册商标；</w:t>
      </w:r>
    </w:p>
    <w:p>
      <w:pPr>
        <w:tabs>
          <w:tab w:val="left" w:pos="1980"/>
        </w:tabs>
        <w:snapToGrid w:val="0"/>
        <w:spacing w:line="360" w:lineRule="auto"/>
        <w:ind w:left="2835" w:leftChars="1350"/>
        <w:rPr>
          <w:color w:val="auto"/>
          <w:sz w:val="24"/>
        </w:rPr>
      </w:pPr>
      <w:r>
        <w:rPr>
          <w:color w:val="auto"/>
          <w:sz w:val="24"/>
        </w:rPr>
        <w:t>（2）在工程采购项目中，工程由中小企业承建，即工程施工单位为中小企业；</w:t>
      </w:r>
    </w:p>
    <w:p>
      <w:pPr>
        <w:tabs>
          <w:tab w:val="left" w:pos="1980"/>
        </w:tabs>
        <w:snapToGrid w:val="0"/>
        <w:spacing w:line="360" w:lineRule="auto"/>
        <w:ind w:left="2835" w:leftChars="1350"/>
        <w:rPr>
          <w:color w:val="auto"/>
          <w:sz w:val="24"/>
        </w:rPr>
      </w:pPr>
      <w:r>
        <w:rPr>
          <w:color w:val="auto"/>
          <w:sz w:val="24"/>
        </w:rPr>
        <w:t>（3）在服务采购项目中，服务由中小企业承接，即提供服务的人员为中小企业依照《中华人民共和国劳动合同法》订立劳动合同的从业人员。</w:t>
      </w:r>
    </w:p>
    <w:p>
      <w:pPr>
        <w:numPr>
          <w:ilvl w:val="3"/>
          <w:numId w:val="9"/>
        </w:numPr>
        <w:tabs>
          <w:tab w:val="left" w:pos="1980"/>
          <w:tab w:val="left" w:pos="2035"/>
          <w:tab w:val="left" w:pos="2885"/>
          <w:tab w:val="left" w:pos="2977"/>
          <w:tab w:val="clear" w:pos="900"/>
        </w:tabs>
        <w:snapToGrid w:val="0"/>
        <w:spacing w:line="360" w:lineRule="auto"/>
        <w:ind w:left="2885"/>
        <w:rPr>
          <w:color w:val="auto"/>
          <w:sz w:val="24"/>
        </w:rPr>
      </w:pPr>
      <w:r>
        <w:rPr>
          <w:color w:val="auto"/>
          <w:sz w:val="24"/>
        </w:rPr>
        <w:t>在货物采购项目中，供应商提供的货物既有中小企业制造货物，也有大型企业制造货物的，不享受中小企业扶持政策。</w:t>
      </w:r>
    </w:p>
    <w:p>
      <w:pPr>
        <w:numPr>
          <w:ilvl w:val="3"/>
          <w:numId w:val="9"/>
        </w:numPr>
        <w:tabs>
          <w:tab w:val="left" w:pos="1980"/>
          <w:tab w:val="left" w:pos="2035"/>
          <w:tab w:val="left" w:pos="2885"/>
          <w:tab w:val="left" w:pos="2977"/>
          <w:tab w:val="clear" w:pos="900"/>
        </w:tabs>
        <w:snapToGrid w:val="0"/>
        <w:spacing w:line="360" w:lineRule="auto"/>
        <w:ind w:left="2885"/>
        <w:rPr>
          <w:color w:val="auto"/>
          <w:sz w:val="24"/>
        </w:rPr>
      </w:pPr>
      <w:r>
        <w:rPr>
          <w:color w:val="auto"/>
          <w:sz w:val="24"/>
        </w:rPr>
        <w:t>以联合体形式参加政府采购活动，联合体各方均为中小企业的，联合体视同中小企业。其中，联合体各方均为小微企业的，联合体视同小微企业。</w:t>
      </w:r>
    </w:p>
    <w:p>
      <w:pPr>
        <w:numPr>
          <w:ilvl w:val="2"/>
          <w:numId w:val="8"/>
        </w:numPr>
        <w:snapToGrid w:val="0"/>
        <w:spacing w:line="360" w:lineRule="auto"/>
        <w:rPr>
          <w:color w:val="auto"/>
          <w:sz w:val="24"/>
        </w:rPr>
      </w:pPr>
      <w:r>
        <w:rPr>
          <w:color w:val="auto"/>
          <w:sz w:val="24"/>
        </w:rPr>
        <w:t>在政府采购活动中，监狱企业视同小型、微型企业，享受预留份额、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pPr>
        <w:numPr>
          <w:ilvl w:val="2"/>
          <w:numId w:val="8"/>
        </w:numPr>
        <w:snapToGrid w:val="0"/>
        <w:spacing w:line="360" w:lineRule="auto"/>
        <w:rPr>
          <w:color w:val="auto"/>
          <w:sz w:val="24"/>
        </w:rPr>
      </w:pPr>
      <w:r>
        <w:rPr>
          <w:color w:val="auto"/>
          <w:sz w:val="24"/>
        </w:rPr>
        <w:t>在政府采购活动中，残疾人福利性单位视同小型、微型企业，享受预留份额、评审中价格扣除等促进中小企业发展的政府采购政策。残疾人福利性单位定义：享受政府采购支持政策的残疾人福利性单位应当同时满足以下条件：</w:t>
      </w:r>
    </w:p>
    <w:p>
      <w:pPr>
        <w:pStyle w:val="75"/>
        <w:numPr>
          <w:ilvl w:val="2"/>
          <w:numId w:val="9"/>
        </w:numPr>
        <w:tabs>
          <w:tab w:val="left" w:pos="2035"/>
          <w:tab w:val="left" w:pos="2977"/>
        </w:tabs>
        <w:snapToGrid w:val="0"/>
        <w:spacing w:line="360" w:lineRule="auto"/>
        <w:ind w:firstLineChars="0"/>
        <w:rPr>
          <w:rFonts w:ascii="Times New Roman" w:hAnsi="Times New Roman"/>
          <w:vanish/>
          <w:color w:val="auto"/>
          <w:sz w:val="24"/>
          <w:szCs w:val="24"/>
        </w:rPr>
      </w:pPr>
    </w:p>
    <w:p>
      <w:pPr>
        <w:pStyle w:val="75"/>
        <w:numPr>
          <w:ilvl w:val="2"/>
          <w:numId w:val="9"/>
        </w:numPr>
        <w:tabs>
          <w:tab w:val="left" w:pos="2035"/>
          <w:tab w:val="left" w:pos="2977"/>
        </w:tabs>
        <w:snapToGrid w:val="0"/>
        <w:spacing w:line="360" w:lineRule="auto"/>
        <w:ind w:firstLineChars="0"/>
        <w:rPr>
          <w:rFonts w:ascii="Times New Roman" w:hAnsi="Times New Roman"/>
          <w:vanish/>
          <w:color w:val="auto"/>
          <w:sz w:val="24"/>
          <w:szCs w:val="24"/>
        </w:rPr>
      </w:pPr>
    </w:p>
    <w:p>
      <w:pPr>
        <w:numPr>
          <w:ilvl w:val="3"/>
          <w:numId w:val="9"/>
        </w:numPr>
        <w:tabs>
          <w:tab w:val="left" w:pos="1980"/>
          <w:tab w:val="left" w:pos="2035"/>
          <w:tab w:val="left" w:pos="2885"/>
          <w:tab w:val="left" w:pos="2977"/>
          <w:tab w:val="clear" w:pos="900"/>
        </w:tabs>
        <w:snapToGrid w:val="0"/>
        <w:spacing w:line="360" w:lineRule="auto"/>
        <w:ind w:left="2885"/>
        <w:rPr>
          <w:color w:val="auto"/>
          <w:sz w:val="24"/>
        </w:rPr>
      </w:pPr>
      <w:r>
        <w:rPr>
          <w:color w:val="auto"/>
          <w:sz w:val="24"/>
        </w:rPr>
        <w:t>安置的残疾人占本单位在职职工人数的比例不低于25%（含25%），并且安置的残疾人人数不少于10 人（含10 人）；</w:t>
      </w:r>
    </w:p>
    <w:p>
      <w:pPr>
        <w:numPr>
          <w:ilvl w:val="3"/>
          <w:numId w:val="9"/>
        </w:numPr>
        <w:tabs>
          <w:tab w:val="left" w:pos="1980"/>
          <w:tab w:val="left" w:pos="2035"/>
          <w:tab w:val="left" w:pos="2885"/>
          <w:tab w:val="left" w:pos="2977"/>
          <w:tab w:val="clear" w:pos="900"/>
        </w:tabs>
        <w:snapToGrid w:val="0"/>
        <w:spacing w:line="360" w:lineRule="auto"/>
        <w:ind w:left="2885"/>
        <w:rPr>
          <w:color w:val="auto"/>
          <w:sz w:val="24"/>
        </w:rPr>
      </w:pPr>
      <w:r>
        <w:rPr>
          <w:color w:val="auto"/>
          <w:sz w:val="24"/>
        </w:rPr>
        <w:t>依法与安置的每位残疾人签订了一年以上（含一年）的劳动合同或服务协议；</w:t>
      </w:r>
    </w:p>
    <w:p>
      <w:pPr>
        <w:numPr>
          <w:ilvl w:val="3"/>
          <w:numId w:val="9"/>
        </w:numPr>
        <w:tabs>
          <w:tab w:val="left" w:pos="1980"/>
          <w:tab w:val="left" w:pos="2035"/>
          <w:tab w:val="left" w:pos="2885"/>
          <w:tab w:val="left" w:pos="2977"/>
          <w:tab w:val="clear" w:pos="900"/>
        </w:tabs>
        <w:snapToGrid w:val="0"/>
        <w:spacing w:line="360" w:lineRule="auto"/>
        <w:ind w:left="2885"/>
        <w:rPr>
          <w:color w:val="auto"/>
          <w:sz w:val="24"/>
        </w:rPr>
      </w:pPr>
      <w:r>
        <w:rPr>
          <w:color w:val="auto"/>
          <w:sz w:val="24"/>
        </w:rPr>
        <w:t>为安置的每位残疾人按月足额缴纳了基本养老保险、基本医疗保险、失业保险、工伤保险和生育保险等社会保险费；</w:t>
      </w:r>
    </w:p>
    <w:p>
      <w:pPr>
        <w:numPr>
          <w:ilvl w:val="3"/>
          <w:numId w:val="9"/>
        </w:numPr>
        <w:tabs>
          <w:tab w:val="left" w:pos="1980"/>
          <w:tab w:val="left" w:pos="2035"/>
          <w:tab w:val="left" w:pos="2885"/>
          <w:tab w:val="left" w:pos="2977"/>
          <w:tab w:val="clear" w:pos="900"/>
        </w:tabs>
        <w:snapToGrid w:val="0"/>
        <w:spacing w:line="360" w:lineRule="auto"/>
        <w:ind w:left="2885"/>
        <w:rPr>
          <w:color w:val="auto"/>
          <w:sz w:val="24"/>
        </w:rPr>
      </w:pPr>
      <w:r>
        <w:rPr>
          <w:color w:val="auto"/>
          <w:sz w:val="24"/>
        </w:rPr>
        <w:t>通过银行等金融机构向安置的每位残疾人，按月支付了不低于单位所在区县适用的经省级人民政府批准的月最低工资标准的工资；</w:t>
      </w:r>
    </w:p>
    <w:p>
      <w:pPr>
        <w:numPr>
          <w:ilvl w:val="3"/>
          <w:numId w:val="9"/>
        </w:numPr>
        <w:tabs>
          <w:tab w:val="left" w:pos="1980"/>
          <w:tab w:val="left" w:pos="2035"/>
          <w:tab w:val="left" w:pos="2885"/>
          <w:tab w:val="left" w:pos="2977"/>
          <w:tab w:val="clear" w:pos="900"/>
        </w:tabs>
        <w:snapToGrid w:val="0"/>
        <w:spacing w:line="360" w:lineRule="auto"/>
        <w:ind w:left="2885"/>
        <w:rPr>
          <w:color w:val="auto"/>
          <w:sz w:val="24"/>
        </w:rPr>
      </w:pPr>
      <w:r>
        <w:rPr>
          <w:color w:val="auto"/>
          <w:sz w:val="24"/>
        </w:rPr>
        <w:t>提供本单位制造的货物、承担的工程或者服务（以下简称产品），或者提供其他残疾人福利性单位制造的货物（不包括使用非残疾人福利性单位注册商标的货物）；</w:t>
      </w:r>
    </w:p>
    <w:p>
      <w:pPr>
        <w:numPr>
          <w:ilvl w:val="3"/>
          <w:numId w:val="9"/>
        </w:numPr>
        <w:tabs>
          <w:tab w:val="left" w:pos="1980"/>
          <w:tab w:val="left" w:pos="2035"/>
          <w:tab w:val="left" w:pos="2885"/>
          <w:tab w:val="left" w:pos="2977"/>
          <w:tab w:val="clear" w:pos="900"/>
        </w:tabs>
        <w:snapToGrid w:val="0"/>
        <w:spacing w:line="360" w:lineRule="auto"/>
        <w:ind w:left="2885"/>
        <w:rPr>
          <w:color w:val="auto"/>
          <w:sz w:val="24"/>
        </w:rPr>
      </w:pPr>
      <w:r>
        <w:rPr>
          <w:color w:val="auto"/>
          <w:sz w:val="24"/>
        </w:rPr>
        <w:t>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pPr>
        <w:numPr>
          <w:ilvl w:val="2"/>
          <w:numId w:val="8"/>
        </w:numPr>
        <w:snapToGrid w:val="0"/>
        <w:spacing w:line="360" w:lineRule="auto"/>
        <w:rPr>
          <w:color w:val="auto"/>
          <w:sz w:val="24"/>
        </w:rPr>
      </w:pPr>
      <w:r>
        <w:rPr>
          <w:color w:val="auto"/>
          <w:sz w:val="24"/>
        </w:rPr>
        <w:t>本项目是否专门面向中小企业预留采购份额见第一章《投标邀请》。</w:t>
      </w:r>
    </w:p>
    <w:p>
      <w:pPr>
        <w:numPr>
          <w:ilvl w:val="2"/>
          <w:numId w:val="8"/>
        </w:numPr>
        <w:snapToGrid w:val="0"/>
        <w:spacing w:line="360" w:lineRule="auto"/>
        <w:rPr>
          <w:color w:val="auto"/>
          <w:sz w:val="24"/>
        </w:rPr>
      </w:pPr>
      <w:r>
        <w:rPr>
          <w:color w:val="auto"/>
          <w:sz w:val="24"/>
        </w:rPr>
        <w:t>采购标的对应的中小企业划分标准所属行业见《投标人须知资料表》。</w:t>
      </w:r>
    </w:p>
    <w:p>
      <w:pPr>
        <w:numPr>
          <w:ilvl w:val="2"/>
          <w:numId w:val="8"/>
        </w:numPr>
        <w:snapToGrid w:val="0"/>
        <w:spacing w:line="360" w:lineRule="auto"/>
        <w:rPr>
          <w:color w:val="auto"/>
          <w:sz w:val="24"/>
        </w:rPr>
      </w:pPr>
      <w:r>
        <w:rPr>
          <w:color w:val="auto"/>
          <w:sz w:val="24"/>
        </w:rPr>
        <w:t>小微企业价格评审优惠的政策调整：见第四章《评标程序、评标方法和评标标准》。</w:t>
      </w:r>
    </w:p>
    <w:p>
      <w:pPr>
        <w:numPr>
          <w:ilvl w:val="1"/>
          <w:numId w:val="8"/>
        </w:numPr>
        <w:tabs>
          <w:tab w:val="left" w:pos="1080"/>
          <w:tab w:val="left" w:pos="2014"/>
        </w:tabs>
        <w:snapToGrid w:val="0"/>
        <w:spacing w:line="360" w:lineRule="auto"/>
        <w:ind w:left="1080" w:hanging="720"/>
        <w:rPr>
          <w:color w:val="auto"/>
          <w:sz w:val="24"/>
        </w:rPr>
      </w:pPr>
      <w:r>
        <w:rPr>
          <w:color w:val="auto"/>
          <w:sz w:val="24"/>
        </w:rPr>
        <w:t>政府采购节能产品、环境标志产品</w:t>
      </w:r>
    </w:p>
    <w:p>
      <w:pPr>
        <w:numPr>
          <w:ilvl w:val="2"/>
          <w:numId w:val="8"/>
        </w:numPr>
        <w:snapToGrid w:val="0"/>
        <w:spacing w:line="360" w:lineRule="auto"/>
        <w:rPr>
          <w:color w:val="auto"/>
          <w:sz w:val="24"/>
        </w:rPr>
      </w:pPr>
      <w:r>
        <w:rPr>
          <w:color w:val="auto"/>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pPr>
        <w:numPr>
          <w:ilvl w:val="2"/>
          <w:numId w:val="8"/>
        </w:numPr>
        <w:snapToGrid w:val="0"/>
        <w:spacing w:line="360" w:lineRule="auto"/>
        <w:rPr>
          <w:color w:val="auto"/>
          <w:sz w:val="24"/>
        </w:rPr>
      </w:pPr>
      <w:r>
        <w:rPr>
          <w:color w:val="auto"/>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pPr>
        <w:numPr>
          <w:ilvl w:val="2"/>
          <w:numId w:val="8"/>
        </w:numPr>
        <w:snapToGrid w:val="0"/>
        <w:spacing w:line="360" w:lineRule="auto"/>
        <w:rPr>
          <w:color w:val="auto"/>
          <w:sz w:val="24"/>
        </w:rPr>
      </w:pPr>
      <w:r>
        <w:rPr>
          <w:color w:val="auto"/>
          <w:sz w:val="24"/>
        </w:rPr>
        <w:t>如本项目采购产品属于实施政府强制采购品目清单范围的节能产品，则投标人所报产品必须获得国家确定的认证机构出具的、处于有效期之内的节能产品认证证书，</w:t>
      </w:r>
      <w:r>
        <w:rPr>
          <w:color w:val="auto"/>
          <w:kern w:val="0"/>
          <w:sz w:val="24"/>
        </w:rPr>
        <w:t>否则</w:t>
      </w:r>
      <w:r>
        <w:rPr>
          <w:b/>
          <w:color w:val="auto"/>
          <w:kern w:val="0"/>
          <w:sz w:val="24"/>
        </w:rPr>
        <w:t>投标无效</w:t>
      </w:r>
      <w:r>
        <w:rPr>
          <w:color w:val="auto"/>
          <w:sz w:val="24"/>
        </w:rPr>
        <w:t>；</w:t>
      </w:r>
    </w:p>
    <w:p>
      <w:pPr>
        <w:numPr>
          <w:ilvl w:val="2"/>
          <w:numId w:val="8"/>
        </w:numPr>
        <w:snapToGrid w:val="0"/>
        <w:spacing w:line="360" w:lineRule="auto"/>
        <w:rPr>
          <w:color w:val="auto"/>
          <w:sz w:val="24"/>
        </w:rPr>
      </w:pPr>
      <w:r>
        <w:rPr>
          <w:color w:val="auto"/>
          <w:sz w:val="24"/>
        </w:rPr>
        <w:t>非政府强制采购的节能产品或环境标志产品，依据品目清单和认证证书实施政府优先采购。优先采购的具体规定见第四章《评标程序、评标方法和评标标准》（如涉及）。</w:t>
      </w:r>
    </w:p>
    <w:p>
      <w:pPr>
        <w:numPr>
          <w:ilvl w:val="1"/>
          <w:numId w:val="8"/>
        </w:numPr>
        <w:tabs>
          <w:tab w:val="left" w:pos="1080"/>
          <w:tab w:val="left" w:pos="2014"/>
        </w:tabs>
        <w:snapToGrid w:val="0"/>
        <w:spacing w:line="360" w:lineRule="auto"/>
        <w:ind w:left="1080" w:hanging="720"/>
        <w:rPr>
          <w:color w:val="auto"/>
          <w:sz w:val="24"/>
        </w:rPr>
      </w:pPr>
      <w:r>
        <w:rPr>
          <w:color w:val="auto"/>
          <w:sz w:val="24"/>
        </w:rPr>
        <w:t>正版软件</w:t>
      </w:r>
    </w:p>
    <w:p>
      <w:pPr>
        <w:numPr>
          <w:ilvl w:val="2"/>
          <w:numId w:val="8"/>
        </w:numPr>
        <w:snapToGrid w:val="0"/>
        <w:spacing w:line="360" w:lineRule="auto"/>
        <w:rPr>
          <w:color w:val="auto"/>
          <w:sz w:val="24"/>
        </w:rPr>
      </w:pPr>
      <w:r>
        <w:rPr>
          <w:color w:val="auto"/>
          <w:sz w:val="24"/>
        </w:rPr>
        <w:t>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color w:val="auto"/>
          <w:kern w:val="0"/>
          <w:sz w:val="24"/>
        </w:rPr>
        <w:t>否则</w:t>
      </w:r>
      <w:r>
        <w:rPr>
          <w:b/>
          <w:color w:val="auto"/>
          <w:kern w:val="0"/>
          <w:sz w:val="24"/>
        </w:rPr>
        <w:t>投标无效</w:t>
      </w:r>
      <w:r>
        <w:rPr>
          <w:color w:val="auto"/>
          <w:sz w:val="24"/>
        </w:rPr>
        <w:t>。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p>
    <w:p>
      <w:pPr>
        <w:numPr>
          <w:ilvl w:val="2"/>
          <w:numId w:val="8"/>
        </w:numPr>
        <w:snapToGrid w:val="0"/>
        <w:spacing w:line="360" w:lineRule="auto"/>
        <w:rPr>
          <w:color w:val="auto"/>
          <w:sz w:val="24"/>
        </w:rPr>
      </w:pPr>
      <w:r>
        <w:rPr>
          <w:color w:val="auto"/>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p>
    <w:p>
      <w:pPr>
        <w:numPr>
          <w:ilvl w:val="1"/>
          <w:numId w:val="8"/>
        </w:numPr>
        <w:tabs>
          <w:tab w:val="left" w:pos="1080"/>
          <w:tab w:val="left" w:pos="2014"/>
        </w:tabs>
        <w:snapToGrid w:val="0"/>
        <w:spacing w:line="360" w:lineRule="auto"/>
        <w:ind w:left="1080" w:hanging="720"/>
        <w:rPr>
          <w:color w:val="auto"/>
          <w:sz w:val="24"/>
        </w:rPr>
      </w:pPr>
      <w:r>
        <w:rPr>
          <w:rFonts w:eastAsiaTheme="minorEastAsia"/>
          <w:color w:val="auto"/>
          <w:sz w:val="24"/>
        </w:rPr>
        <w:t>网络安全专用产品</w:t>
      </w:r>
    </w:p>
    <w:p>
      <w:pPr>
        <w:numPr>
          <w:ilvl w:val="2"/>
          <w:numId w:val="8"/>
        </w:numPr>
        <w:tabs>
          <w:tab w:val="left" w:pos="2014"/>
        </w:tabs>
        <w:snapToGrid w:val="0"/>
        <w:spacing w:line="360" w:lineRule="auto"/>
        <w:rPr>
          <w:color w:val="auto"/>
          <w:sz w:val="24"/>
        </w:rPr>
      </w:pPr>
      <w:r>
        <w:rPr>
          <w:color w:val="auto"/>
          <w:sz w:val="24"/>
        </w:rPr>
        <w:t>所投产品属于列入《网络关键设备和网络安全专用产品目录》的网络安全专用产品，应当在国家互联网信息办公室会同工业和信息化部、公安部、国家认证认可监督管理委员会统一公布和更新的符合要求的网络关键设备和网络安全专用产品清单中。</w:t>
      </w:r>
    </w:p>
    <w:p>
      <w:pPr>
        <w:numPr>
          <w:ilvl w:val="1"/>
          <w:numId w:val="8"/>
        </w:numPr>
        <w:tabs>
          <w:tab w:val="left" w:pos="1080"/>
          <w:tab w:val="left" w:pos="2014"/>
        </w:tabs>
        <w:snapToGrid w:val="0"/>
        <w:spacing w:line="360" w:lineRule="auto"/>
        <w:ind w:left="1080" w:hanging="720"/>
        <w:rPr>
          <w:color w:val="auto"/>
          <w:sz w:val="24"/>
        </w:rPr>
      </w:pPr>
      <w:r>
        <w:rPr>
          <w:color w:val="auto"/>
          <w:sz w:val="24"/>
        </w:rPr>
        <w:t>推广使用低挥发性有机化合物（VOCs）</w:t>
      </w:r>
    </w:p>
    <w:p>
      <w:pPr>
        <w:numPr>
          <w:ilvl w:val="2"/>
          <w:numId w:val="8"/>
        </w:numPr>
        <w:tabs>
          <w:tab w:val="left" w:pos="2014"/>
        </w:tabs>
        <w:snapToGrid w:val="0"/>
        <w:spacing w:line="360" w:lineRule="auto"/>
        <w:rPr>
          <w:color w:val="auto"/>
          <w:sz w:val="24"/>
        </w:rPr>
      </w:pPr>
      <w:r>
        <w:rPr>
          <w:color w:val="auto"/>
          <w:sz w:val="24"/>
        </w:rPr>
        <w:t>为全面推进本市挥发性有机物（VOCs）治理，贯彻落实挥发性有机物污染治理专项行动有关要求，相关规定依据《北京市财政局北京市生态环境局关于政府采购推广使用低挥发性有机化合物（VOCs）有关事项的通知》（京财采购〔2020〕2381 号）。本项目中涉及涂料、胶黏剂、油墨、清洗剂等挥发性有机物产品的，属于强制性标准的，供应商应执行符合本市和国家的VOCs 含量限制标准（具体标准见第五章《采购需求》），</w:t>
      </w:r>
      <w:r>
        <w:rPr>
          <w:color w:val="auto"/>
          <w:kern w:val="0"/>
          <w:sz w:val="24"/>
        </w:rPr>
        <w:t>否则</w:t>
      </w:r>
      <w:r>
        <w:rPr>
          <w:b/>
          <w:color w:val="auto"/>
          <w:kern w:val="0"/>
          <w:sz w:val="24"/>
        </w:rPr>
        <w:t>投标无效</w:t>
      </w:r>
      <w:r>
        <w:rPr>
          <w:color w:val="auto"/>
          <w:sz w:val="24"/>
        </w:rPr>
        <w:t>；属于推荐性标准的，优先采购，具体见第四章《评标程序、评标方法和评标标准》。</w:t>
      </w:r>
    </w:p>
    <w:p>
      <w:pPr>
        <w:numPr>
          <w:ilvl w:val="1"/>
          <w:numId w:val="8"/>
        </w:numPr>
        <w:tabs>
          <w:tab w:val="left" w:pos="1080"/>
          <w:tab w:val="left" w:pos="2014"/>
        </w:tabs>
        <w:snapToGrid w:val="0"/>
        <w:spacing w:line="360" w:lineRule="auto"/>
        <w:ind w:left="1080" w:hanging="720"/>
        <w:rPr>
          <w:color w:val="auto"/>
          <w:sz w:val="24"/>
        </w:rPr>
      </w:pPr>
      <w:r>
        <w:rPr>
          <w:color w:val="auto"/>
          <w:sz w:val="24"/>
        </w:rPr>
        <w:t>采购需求标准</w:t>
      </w:r>
    </w:p>
    <w:p>
      <w:pPr>
        <w:numPr>
          <w:ilvl w:val="2"/>
          <w:numId w:val="8"/>
        </w:numPr>
        <w:tabs>
          <w:tab w:val="left" w:pos="2014"/>
        </w:tabs>
        <w:snapToGrid w:val="0"/>
        <w:spacing w:line="360" w:lineRule="auto"/>
        <w:rPr>
          <w:color w:val="auto"/>
          <w:sz w:val="24"/>
        </w:rPr>
      </w:pPr>
      <w:r>
        <w:rPr>
          <w:color w:val="auto"/>
          <w:sz w:val="24"/>
        </w:rPr>
        <w:t>商品包装、快递包装政府采购需求标准（试行）</w:t>
      </w:r>
    </w:p>
    <w:p>
      <w:pPr>
        <w:tabs>
          <w:tab w:val="left" w:pos="900"/>
          <w:tab w:val="left" w:pos="1980"/>
        </w:tabs>
        <w:snapToGrid w:val="0"/>
        <w:spacing w:line="360" w:lineRule="auto"/>
        <w:ind w:left="1985"/>
        <w:rPr>
          <w:color w:val="auto"/>
          <w:sz w:val="24"/>
        </w:rPr>
      </w:pPr>
      <w:r>
        <w:rPr>
          <w:color w:val="auto"/>
          <w:sz w:val="24"/>
        </w:rPr>
        <w:t>为助力打好污染防治攻坚战，推广使用绿色包装，根据财政部关于印发《商品包装政府采购需求标准（试行）》、《快递包装政府采购需求标准（试行）》的通知（财办库〔2020〕123号），本项目如涉及商品包装和快递包装的，则其具体要求见第五章《采购需求》。</w:t>
      </w:r>
    </w:p>
    <w:p>
      <w:pPr>
        <w:numPr>
          <w:ilvl w:val="2"/>
          <w:numId w:val="8"/>
        </w:numPr>
        <w:tabs>
          <w:tab w:val="left" w:pos="2014"/>
        </w:tabs>
        <w:snapToGrid w:val="0"/>
        <w:spacing w:line="360" w:lineRule="auto"/>
        <w:rPr>
          <w:color w:val="auto"/>
          <w:sz w:val="24"/>
        </w:rPr>
      </w:pPr>
      <w:r>
        <w:rPr>
          <w:color w:val="auto"/>
          <w:sz w:val="24"/>
        </w:rPr>
        <w:t>绿色数据中心政府采购需求标准（试行）</w:t>
      </w:r>
    </w:p>
    <w:p>
      <w:pPr>
        <w:tabs>
          <w:tab w:val="left" w:pos="900"/>
          <w:tab w:val="left" w:pos="1980"/>
        </w:tabs>
        <w:snapToGrid w:val="0"/>
        <w:spacing w:line="360" w:lineRule="auto"/>
        <w:ind w:left="1980"/>
        <w:rPr>
          <w:color w:val="auto"/>
          <w:sz w:val="24"/>
        </w:rPr>
      </w:pPr>
      <w:r>
        <w:rPr>
          <w:color w:val="auto"/>
          <w:sz w:val="24"/>
        </w:rPr>
        <w:t>为加快数据中心绿色转型，根据财政部 生态环境部 工业和信息化部关于印发《绿色数据中心政府采购需求标准（试行）》的通知（财库〔2023〕7号），本项目如涉及绿色数据中心，则具体要求见第五章《采购需求》。</w:t>
      </w:r>
    </w:p>
    <w:p>
      <w:pPr>
        <w:numPr>
          <w:ilvl w:val="0"/>
          <w:numId w:val="8"/>
        </w:numPr>
        <w:tabs>
          <w:tab w:val="left" w:pos="360"/>
        </w:tabs>
        <w:snapToGrid w:val="0"/>
        <w:spacing w:line="360" w:lineRule="auto"/>
        <w:ind w:left="357" w:hanging="357"/>
        <w:outlineLvl w:val="1"/>
        <w:rPr>
          <w:color w:val="auto"/>
          <w:sz w:val="24"/>
        </w:rPr>
      </w:pPr>
      <w:r>
        <w:rPr>
          <w:color w:val="auto"/>
          <w:sz w:val="24"/>
        </w:rPr>
        <w:t>投标费用</w:t>
      </w:r>
    </w:p>
    <w:p>
      <w:pPr>
        <w:numPr>
          <w:ilvl w:val="1"/>
          <w:numId w:val="8"/>
        </w:numPr>
        <w:tabs>
          <w:tab w:val="left" w:pos="1080"/>
          <w:tab w:val="left" w:pos="2014"/>
        </w:tabs>
        <w:snapToGrid w:val="0"/>
        <w:spacing w:line="360" w:lineRule="auto"/>
        <w:ind w:left="1080" w:hanging="720"/>
        <w:rPr>
          <w:color w:val="auto"/>
          <w:sz w:val="24"/>
        </w:rPr>
      </w:pPr>
      <w:r>
        <w:rPr>
          <w:color w:val="auto"/>
          <w:sz w:val="24"/>
        </w:rPr>
        <w:t>投标人应自行承担所有与准备和参加投标有关的费用，无论投标的结果如何，采购人或采购代理机构在任何情况下均无承担这些费用的义务和责任。</w:t>
      </w:r>
    </w:p>
    <w:p>
      <w:pPr>
        <w:tabs>
          <w:tab w:val="left" w:pos="1080"/>
        </w:tabs>
        <w:snapToGrid w:val="0"/>
        <w:spacing w:line="360" w:lineRule="auto"/>
        <w:ind w:left="1080"/>
        <w:rPr>
          <w:color w:val="auto"/>
          <w:sz w:val="28"/>
        </w:rPr>
      </w:pPr>
      <w:bookmarkStart w:id="167" w:name="_1.8_计量单位"/>
      <w:bookmarkEnd w:id="167"/>
    </w:p>
    <w:p>
      <w:pPr>
        <w:pStyle w:val="3"/>
        <w:spacing w:before="0" w:line="360" w:lineRule="auto"/>
        <w:rPr>
          <w:rFonts w:ascii="Times New Roman" w:hAnsi="Times New Roman" w:eastAsia="宋体"/>
          <w:color w:val="auto"/>
          <w:sz w:val="28"/>
        </w:rPr>
      </w:pPr>
      <w:r>
        <w:rPr>
          <w:rFonts w:ascii="Times New Roman" w:hAnsi="Times New Roman" w:eastAsia="宋体"/>
          <w:color w:val="auto"/>
          <w:sz w:val="28"/>
        </w:rPr>
        <w:t>二   招标文件</w:t>
      </w:r>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p>
    <w:p>
      <w:pPr>
        <w:numPr>
          <w:ilvl w:val="0"/>
          <w:numId w:val="8"/>
        </w:numPr>
        <w:tabs>
          <w:tab w:val="left" w:pos="360"/>
        </w:tabs>
        <w:snapToGrid w:val="0"/>
        <w:spacing w:line="360" w:lineRule="auto"/>
        <w:ind w:left="357" w:hanging="357"/>
        <w:outlineLvl w:val="1"/>
        <w:rPr>
          <w:color w:val="auto"/>
          <w:sz w:val="24"/>
        </w:rPr>
      </w:pPr>
      <w:bookmarkStart w:id="168" w:name="_Toc142311025"/>
      <w:bookmarkStart w:id="169" w:name="_Toc127151523"/>
      <w:bookmarkStart w:id="170" w:name="_Toc151193693"/>
      <w:bookmarkStart w:id="171" w:name="_Toc305158791"/>
      <w:bookmarkStart w:id="172" w:name="_Toc264969213"/>
      <w:bookmarkStart w:id="173" w:name="_Toc127161437"/>
      <w:bookmarkStart w:id="174" w:name="_Toc150774728"/>
      <w:bookmarkStart w:id="175" w:name="_Toc127151724"/>
      <w:bookmarkStart w:id="176" w:name="_Toc226309767"/>
      <w:bookmarkStart w:id="177" w:name="_Toc151193765"/>
      <w:bookmarkStart w:id="178" w:name="_Toc164229218"/>
      <w:bookmarkStart w:id="179" w:name="_Toc164608792"/>
      <w:bookmarkStart w:id="180" w:name="_Toc151193621"/>
      <w:bookmarkStart w:id="181" w:name="_Toc164229364"/>
      <w:bookmarkStart w:id="182" w:name="_Toc149720816"/>
      <w:bookmarkStart w:id="183" w:name="_Toc226965796"/>
      <w:bookmarkStart w:id="184" w:name="_Toc151190150"/>
      <w:bookmarkStart w:id="185" w:name="_Toc265228361"/>
      <w:bookmarkStart w:id="186" w:name="_Toc195842888"/>
      <w:bookmarkStart w:id="187" w:name="_Toc151193911"/>
      <w:bookmarkStart w:id="188" w:name="_Toc164351617"/>
      <w:bookmarkStart w:id="189" w:name="_Toc305158865"/>
      <w:bookmarkStart w:id="190" w:name="_Toc150774623"/>
      <w:bookmarkStart w:id="191" w:name="_Toc150480761"/>
      <w:bookmarkStart w:id="192" w:name="_Toc150509274"/>
      <w:bookmarkStart w:id="193" w:name="_Toc151193837"/>
      <w:bookmarkStart w:id="194" w:name="_Toc226337219"/>
      <w:bookmarkStart w:id="195" w:name="_Toc164608637"/>
      <w:bookmarkStart w:id="196" w:name="_Toc226965713"/>
      <w:bookmarkStart w:id="197" w:name="_Toc520356147"/>
      <w:r>
        <w:rPr>
          <w:color w:val="auto"/>
          <w:sz w:val="24"/>
        </w:rPr>
        <w:t>招标文件构</w:t>
      </w:r>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r>
        <w:rPr>
          <w:color w:val="auto"/>
          <w:sz w:val="24"/>
        </w:rPr>
        <w:t>成</w:t>
      </w:r>
    </w:p>
    <w:p>
      <w:pPr>
        <w:numPr>
          <w:ilvl w:val="1"/>
          <w:numId w:val="8"/>
        </w:numPr>
        <w:tabs>
          <w:tab w:val="left" w:pos="1080"/>
          <w:tab w:val="left" w:pos="2014"/>
        </w:tabs>
        <w:snapToGrid w:val="0"/>
        <w:spacing w:line="360" w:lineRule="auto"/>
        <w:ind w:left="1080" w:hanging="720"/>
        <w:rPr>
          <w:color w:val="auto"/>
          <w:sz w:val="24"/>
        </w:rPr>
      </w:pPr>
      <w:r>
        <w:rPr>
          <w:color w:val="auto"/>
          <w:sz w:val="24"/>
        </w:rPr>
        <w:t>招标文件包括以下部分：</w:t>
      </w:r>
    </w:p>
    <w:p>
      <w:pPr>
        <w:numPr>
          <w:ilvl w:val="0"/>
          <w:numId w:val="10"/>
        </w:numPr>
        <w:tabs>
          <w:tab w:val="left" w:pos="1980"/>
          <w:tab w:val="left" w:pos="2520"/>
        </w:tabs>
        <w:snapToGrid w:val="0"/>
        <w:spacing w:line="360" w:lineRule="auto"/>
        <w:ind w:left="1440" w:firstLine="5"/>
        <w:rPr>
          <w:color w:val="auto"/>
          <w:sz w:val="24"/>
        </w:rPr>
      </w:pPr>
      <w:r>
        <w:rPr>
          <w:color w:val="auto"/>
          <w:sz w:val="24"/>
        </w:rPr>
        <w:t>投标邀请</w:t>
      </w:r>
    </w:p>
    <w:p>
      <w:pPr>
        <w:numPr>
          <w:ilvl w:val="0"/>
          <w:numId w:val="10"/>
        </w:numPr>
        <w:tabs>
          <w:tab w:val="left" w:pos="1980"/>
          <w:tab w:val="left" w:pos="2520"/>
        </w:tabs>
        <w:snapToGrid w:val="0"/>
        <w:spacing w:line="360" w:lineRule="auto"/>
        <w:ind w:left="1440" w:firstLine="5"/>
        <w:rPr>
          <w:color w:val="auto"/>
          <w:sz w:val="24"/>
        </w:rPr>
      </w:pPr>
      <w:r>
        <w:rPr>
          <w:color w:val="auto"/>
          <w:sz w:val="24"/>
        </w:rPr>
        <w:t>投标人须知</w:t>
      </w:r>
    </w:p>
    <w:p>
      <w:pPr>
        <w:numPr>
          <w:ilvl w:val="0"/>
          <w:numId w:val="10"/>
        </w:numPr>
        <w:tabs>
          <w:tab w:val="left" w:pos="1980"/>
          <w:tab w:val="left" w:pos="2520"/>
        </w:tabs>
        <w:snapToGrid w:val="0"/>
        <w:spacing w:line="360" w:lineRule="auto"/>
        <w:ind w:left="1440" w:firstLine="5"/>
        <w:rPr>
          <w:color w:val="auto"/>
          <w:sz w:val="24"/>
        </w:rPr>
      </w:pPr>
      <w:r>
        <w:rPr>
          <w:color w:val="auto"/>
          <w:sz w:val="24"/>
        </w:rPr>
        <w:t>资格审查</w:t>
      </w:r>
    </w:p>
    <w:p>
      <w:pPr>
        <w:numPr>
          <w:ilvl w:val="0"/>
          <w:numId w:val="10"/>
        </w:numPr>
        <w:tabs>
          <w:tab w:val="left" w:pos="1980"/>
          <w:tab w:val="left" w:pos="2520"/>
        </w:tabs>
        <w:snapToGrid w:val="0"/>
        <w:spacing w:line="360" w:lineRule="auto"/>
        <w:ind w:left="1440" w:firstLine="5"/>
        <w:rPr>
          <w:color w:val="auto"/>
          <w:sz w:val="24"/>
        </w:rPr>
      </w:pPr>
      <w:r>
        <w:rPr>
          <w:color w:val="auto"/>
          <w:sz w:val="24"/>
        </w:rPr>
        <w:t>评标程序、评标方法和评标标准</w:t>
      </w:r>
    </w:p>
    <w:p>
      <w:pPr>
        <w:numPr>
          <w:ilvl w:val="0"/>
          <w:numId w:val="10"/>
        </w:numPr>
        <w:tabs>
          <w:tab w:val="left" w:pos="1980"/>
          <w:tab w:val="left" w:pos="2520"/>
        </w:tabs>
        <w:snapToGrid w:val="0"/>
        <w:spacing w:line="360" w:lineRule="auto"/>
        <w:ind w:left="1440" w:firstLine="5"/>
        <w:rPr>
          <w:color w:val="auto"/>
          <w:sz w:val="24"/>
        </w:rPr>
      </w:pPr>
      <w:r>
        <w:rPr>
          <w:color w:val="auto"/>
          <w:sz w:val="24"/>
        </w:rPr>
        <w:t>采购需求</w:t>
      </w:r>
    </w:p>
    <w:p>
      <w:pPr>
        <w:numPr>
          <w:ilvl w:val="0"/>
          <w:numId w:val="10"/>
        </w:numPr>
        <w:tabs>
          <w:tab w:val="left" w:pos="1980"/>
          <w:tab w:val="left" w:pos="2520"/>
        </w:tabs>
        <w:snapToGrid w:val="0"/>
        <w:spacing w:line="360" w:lineRule="auto"/>
        <w:ind w:left="1440" w:firstLine="5"/>
        <w:rPr>
          <w:color w:val="auto"/>
          <w:sz w:val="24"/>
        </w:rPr>
      </w:pPr>
      <w:r>
        <w:rPr>
          <w:color w:val="auto"/>
          <w:sz w:val="24"/>
        </w:rPr>
        <w:t>拟签订的合同文本</w:t>
      </w:r>
    </w:p>
    <w:p>
      <w:pPr>
        <w:numPr>
          <w:ilvl w:val="0"/>
          <w:numId w:val="10"/>
        </w:numPr>
        <w:tabs>
          <w:tab w:val="left" w:pos="1980"/>
          <w:tab w:val="left" w:pos="2520"/>
        </w:tabs>
        <w:snapToGrid w:val="0"/>
        <w:spacing w:line="360" w:lineRule="auto"/>
        <w:ind w:left="1440" w:firstLine="5"/>
        <w:rPr>
          <w:color w:val="auto"/>
          <w:sz w:val="24"/>
        </w:rPr>
      </w:pPr>
      <w:r>
        <w:rPr>
          <w:color w:val="auto"/>
          <w:sz w:val="24"/>
        </w:rPr>
        <w:t>投标文件格式</w:t>
      </w:r>
    </w:p>
    <w:p>
      <w:pPr>
        <w:numPr>
          <w:ilvl w:val="1"/>
          <w:numId w:val="8"/>
        </w:numPr>
        <w:tabs>
          <w:tab w:val="left" w:pos="1080"/>
          <w:tab w:val="left" w:pos="2014"/>
        </w:tabs>
        <w:snapToGrid w:val="0"/>
        <w:spacing w:line="360" w:lineRule="auto"/>
        <w:ind w:left="1080" w:hanging="720"/>
        <w:rPr>
          <w:color w:val="auto"/>
          <w:sz w:val="24"/>
        </w:rPr>
      </w:pPr>
      <w:r>
        <w:rPr>
          <w:color w:val="auto"/>
          <w:sz w:val="24"/>
        </w:rPr>
        <w:t>投标人应认真阅读招标文件的全部内容。投标人应按照招标文件要求提交投标文件并保证所提供的全部资料的真实性，并对招标文件做出实质性响应，否则</w:t>
      </w:r>
      <w:r>
        <w:rPr>
          <w:b/>
          <w:color w:val="auto"/>
          <w:sz w:val="24"/>
        </w:rPr>
        <w:t>投标无效</w:t>
      </w:r>
      <w:r>
        <w:rPr>
          <w:color w:val="auto"/>
          <w:sz w:val="24"/>
        </w:rPr>
        <w:t>。</w:t>
      </w:r>
    </w:p>
    <w:p>
      <w:pPr>
        <w:numPr>
          <w:ilvl w:val="0"/>
          <w:numId w:val="8"/>
        </w:numPr>
        <w:tabs>
          <w:tab w:val="left" w:pos="1080"/>
          <w:tab w:val="left" w:pos="2014"/>
        </w:tabs>
        <w:snapToGrid w:val="0"/>
        <w:spacing w:line="360" w:lineRule="auto"/>
        <w:ind w:left="357" w:hanging="357"/>
        <w:outlineLvl w:val="1"/>
        <w:rPr>
          <w:color w:val="auto"/>
          <w:sz w:val="24"/>
        </w:rPr>
      </w:pPr>
      <w:r>
        <w:rPr>
          <w:color w:val="auto"/>
          <w:sz w:val="24"/>
        </w:rPr>
        <w:t>对招标文件的澄清或修改</w:t>
      </w:r>
    </w:p>
    <w:p>
      <w:pPr>
        <w:numPr>
          <w:ilvl w:val="1"/>
          <w:numId w:val="8"/>
        </w:numPr>
        <w:tabs>
          <w:tab w:val="left" w:pos="1080"/>
          <w:tab w:val="left" w:pos="1561"/>
          <w:tab w:val="left" w:pos="2014"/>
        </w:tabs>
        <w:snapToGrid w:val="0"/>
        <w:spacing w:line="360" w:lineRule="auto"/>
        <w:ind w:left="1080" w:hanging="720"/>
        <w:rPr>
          <w:color w:val="auto"/>
          <w:sz w:val="24"/>
        </w:rPr>
      </w:pPr>
      <w:r>
        <w:rPr>
          <w:color w:val="auto"/>
          <w:sz w:val="24"/>
        </w:rPr>
        <w:t>采购人或采购代理机构对已发出的招标文件进行必要澄清或者修改的，将在原公告发布媒体上发布更正公告，并以书面形式通知所有获取招标文件的潜在投标人。</w:t>
      </w:r>
    </w:p>
    <w:p>
      <w:pPr>
        <w:numPr>
          <w:ilvl w:val="1"/>
          <w:numId w:val="8"/>
        </w:numPr>
        <w:tabs>
          <w:tab w:val="left" w:pos="1080"/>
          <w:tab w:val="left" w:pos="1561"/>
          <w:tab w:val="left" w:pos="2014"/>
        </w:tabs>
        <w:snapToGrid w:val="0"/>
        <w:spacing w:line="360" w:lineRule="auto"/>
        <w:ind w:left="1080" w:hanging="720"/>
        <w:rPr>
          <w:color w:val="auto"/>
          <w:sz w:val="24"/>
        </w:rPr>
      </w:pPr>
      <w:r>
        <w:rPr>
          <w:color w:val="auto"/>
          <w:sz w:val="24"/>
        </w:rPr>
        <w:t>上述书面通知，按照获取招标文件的潜在投标人提供的联系方式发出，因提供的信息有误导致通知延迟或无法通知的，采购人或采购代理机构不承担责任。</w:t>
      </w:r>
    </w:p>
    <w:p>
      <w:pPr>
        <w:numPr>
          <w:ilvl w:val="1"/>
          <w:numId w:val="8"/>
        </w:numPr>
        <w:tabs>
          <w:tab w:val="left" w:pos="1080"/>
          <w:tab w:val="left" w:pos="1561"/>
          <w:tab w:val="left" w:pos="2014"/>
        </w:tabs>
        <w:snapToGrid w:val="0"/>
        <w:spacing w:line="360" w:lineRule="auto"/>
        <w:ind w:left="1080" w:hanging="720"/>
        <w:rPr>
          <w:color w:val="auto"/>
          <w:sz w:val="24"/>
        </w:rPr>
      </w:pPr>
      <w:r>
        <w:rPr>
          <w:color w:val="auto"/>
          <w:sz w:val="24"/>
        </w:rPr>
        <w:t>澄清或者修改的内容为招标文件的组成部分，并对所有获取招标文件的潜在投标人具有约束力。澄清或者修改的内容可能影响投标文件编制的，将在投标截止时间至少15日前，以书面形式通知所有获取招标文件的潜在投标人；不足15日的，将顺延提交投标文件的截止时间和开标时间。</w:t>
      </w:r>
    </w:p>
    <w:p>
      <w:pPr>
        <w:tabs>
          <w:tab w:val="left" w:pos="1080"/>
          <w:tab w:val="left" w:pos="1561"/>
        </w:tabs>
        <w:snapToGrid w:val="0"/>
        <w:spacing w:line="360" w:lineRule="auto"/>
        <w:ind w:left="1080"/>
        <w:rPr>
          <w:color w:val="auto"/>
          <w:sz w:val="28"/>
        </w:rPr>
      </w:pPr>
      <w:bookmarkStart w:id="198" w:name="_Toc516367020"/>
      <w:bookmarkStart w:id="199" w:name="_Toc150509277"/>
      <w:bookmarkStart w:id="200" w:name="_Toc195842891"/>
      <w:bookmarkStart w:id="201" w:name="_Toc127151526"/>
      <w:bookmarkStart w:id="202" w:name="_Toc151193914"/>
      <w:bookmarkStart w:id="203" w:name="_Toc305158794"/>
      <w:bookmarkStart w:id="204" w:name="_Toc150774731"/>
      <w:bookmarkStart w:id="205" w:name="_Toc226309770"/>
      <w:bookmarkStart w:id="206" w:name="_Toc151193696"/>
      <w:bookmarkStart w:id="207" w:name="_Toc226337222"/>
      <w:bookmarkStart w:id="208" w:name="_Toc226965799"/>
      <w:bookmarkStart w:id="209" w:name="_Toc151193840"/>
      <w:bookmarkStart w:id="210" w:name="_Toc264969216"/>
      <w:bookmarkStart w:id="211" w:name="_Toc151190153"/>
      <w:bookmarkStart w:id="212" w:name="_Toc151193768"/>
      <w:bookmarkStart w:id="213" w:name="_Toc150774626"/>
      <w:bookmarkStart w:id="214" w:name="_Toc305158868"/>
      <w:bookmarkStart w:id="215" w:name="_Toc265228364"/>
      <w:bookmarkStart w:id="216" w:name="_Toc226965716"/>
      <w:bookmarkStart w:id="217" w:name="_Toc520356150"/>
      <w:bookmarkStart w:id="218" w:name="_Toc151193624"/>
      <w:bookmarkStart w:id="219" w:name="_Toc142311028"/>
      <w:bookmarkStart w:id="220" w:name="_Toc150480764"/>
    </w:p>
    <w:p>
      <w:pPr>
        <w:pStyle w:val="3"/>
        <w:spacing w:before="0" w:line="360" w:lineRule="auto"/>
        <w:rPr>
          <w:rFonts w:ascii="Times New Roman" w:hAnsi="Times New Roman" w:eastAsia="宋体"/>
          <w:color w:val="auto"/>
          <w:sz w:val="28"/>
        </w:rPr>
      </w:pPr>
      <w:r>
        <w:rPr>
          <w:rFonts w:ascii="Times New Roman" w:hAnsi="Times New Roman" w:eastAsia="宋体"/>
          <w:color w:val="auto"/>
          <w:sz w:val="28"/>
        </w:rPr>
        <w:t>三   投标文件</w:t>
      </w:r>
      <w:bookmarkEnd w:id="198"/>
      <w:r>
        <w:rPr>
          <w:rFonts w:ascii="Times New Roman" w:hAnsi="Times New Roman" w:eastAsia="宋体"/>
          <w:color w:val="auto"/>
          <w:sz w:val="28"/>
        </w:rPr>
        <w:t>的编制</w:t>
      </w:r>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p>
    <w:p>
      <w:pPr>
        <w:numPr>
          <w:ilvl w:val="0"/>
          <w:numId w:val="8"/>
        </w:numPr>
        <w:tabs>
          <w:tab w:val="left" w:pos="360"/>
        </w:tabs>
        <w:snapToGrid w:val="0"/>
        <w:spacing w:line="360" w:lineRule="auto"/>
        <w:ind w:left="357" w:hanging="357"/>
        <w:outlineLvl w:val="1"/>
        <w:rPr>
          <w:color w:val="auto"/>
          <w:sz w:val="24"/>
        </w:rPr>
      </w:pPr>
      <w:bookmarkStart w:id="221" w:name="_Toc150480765"/>
      <w:bookmarkStart w:id="222" w:name="_Toc164351621"/>
      <w:bookmarkStart w:id="223" w:name="_Toc226309771"/>
      <w:bookmarkStart w:id="224" w:name="_Toc164608641"/>
      <w:bookmarkStart w:id="225" w:name="_Toc226965800"/>
      <w:bookmarkStart w:id="226" w:name="_Toc151190154"/>
      <w:bookmarkStart w:id="227" w:name="_Toc305158869"/>
      <w:bookmarkStart w:id="228" w:name="_Toc305158795"/>
      <w:bookmarkStart w:id="229" w:name="_Toc265228365"/>
      <w:bookmarkStart w:id="230" w:name="_Toc150509278"/>
      <w:bookmarkStart w:id="231" w:name="_Toc164229368"/>
      <w:bookmarkStart w:id="232" w:name="_Toc150774732"/>
      <w:bookmarkStart w:id="233" w:name="_Toc151193697"/>
      <w:bookmarkStart w:id="234" w:name="_Toc195842892"/>
      <w:bookmarkStart w:id="235" w:name="_Toc127151728"/>
      <w:bookmarkStart w:id="236" w:name="_Toc149720820"/>
      <w:bookmarkStart w:id="237" w:name="_Toc142311029"/>
      <w:bookmarkStart w:id="238" w:name="_Toc127151527"/>
      <w:bookmarkStart w:id="239" w:name="_Toc151193625"/>
      <w:bookmarkStart w:id="240" w:name="_Toc150774627"/>
      <w:bookmarkStart w:id="241" w:name="_Toc151193841"/>
      <w:bookmarkStart w:id="242" w:name="_Toc151193915"/>
      <w:bookmarkStart w:id="243" w:name="_Toc164229222"/>
      <w:bookmarkStart w:id="244" w:name="_Toc264969217"/>
      <w:bookmarkStart w:id="245" w:name="_Toc127161441"/>
      <w:bookmarkStart w:id="246" w:name="_Toc226337223"/>
      <w:bookmarkStart w:id="247" w:name="_Toc516367021"/>
      <w:bookmarkStart w:id="248" w:name="_Toc520356151"/>
      <w:bookmarkStart w:id="249" w:name="_Toc226965717"/>
      <w:bookmarkStart w:id="250" w:name="_Toc164608796"/>
      <w:bookmarkStart w:id="251" w:name="_Toc151193769"/>
      <w:r>
        <w:rPr>
          <w:color w:val="auto"/>
          <w:sz w:val="24"/>
        </w:rPr>
        <w:t>投标范围、投标文件中计量单位的使用</w:t>
      </w:r>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r>
        <w:rPr>
          <w:color w:val="auto"/>
          <w:sz w:val="24"/>
        </w:rPr>
        <w:t>及投标语言</w:t>
      </w:r>
    </w:p>
    <w:p>
      <w:pPr>
        <w:numPr>
          <w:ilvl w:val="1"/>
          <w:numId w:val="8"/>
        </w:numPr>
        <w:tabs>
          <w:tab w:val="left" w:pos="1080"/>
          <w:tab w:val="left" w:pos="2014"/>
        </w:tabs>
        <w:snapToGrid w:val="0"/>
        <w:spacing w:line="360" w:lineRule="auto"/>
        <w:ind w:left="1080" w:hanging="720"/>
        <w:rPr>
          <w:color w:val="auto"/>
          <w:sz w:val="24"/>
        </w:rPr>
      </w:pPr>
      <w:r>
        <w:rPr>
          <w:color w:val="auto"/>
          <w:sz w:val="24"/>
        </w:rPr>
        <w:t>本项目如划分采购包，投标人可以对本项目的其中一个采购包进行投标，也可同时对多个采购包进行投标。投标人应当对所投采购包对应第五章《采购需求》所列的全部内容进行投标，不得将一个采购包中的内容拆分投标，否则其对该采购包的投标将被认定为</w:t>
      </w:r>
      <w:r>
        <w:rPr>
          <w:b/>
          <w:color w:val="auto"/>
          <w:sz w:val="24"/>
        </w:rPr>
        <w:t>无效投标</w:t>
      </w:r>
      <w:r>
        <w:rPr>
          <w:color w:val="auto"/>
          <w:sz w:val="24"/>
        </w:rPr>
        <w:t>。</w:t>
      </w:r>
    </w:p>
    <w:p>
      <w:pPr>
        <w:numPr>
          <w:ilvl w:val="1"/>
          <w:numId w:val="8"/>
        </w:numPr>
        <w:tabs>
          <w:tab w:val="left" w:pos="1080"/>
          <w:tab w:val="left" w:pos="2014"/>
        </w:tabs>
        <w:snapToGrid w:val="0"/>
        <w:spacing w:line="360" w:lineRule="auto"/>
        <w:ind w:left="1080" w:hanging="720"/>
        <w:rPr>
          <w:color w:val="auto"/>
          <w:sz w:val="24"/>
        </w:rPr>
      </w:pPr>
      <w:r>
        <w:rPr>
          <w:color w:val="auto"/>
          <w:sz w:val="24"/>
        </w:rPr>
        <w:t>除招标文件有特殊要求外，本项目投标所使用的计量单位，应采用中华人民共和国法定计量单位。</w:t>
      </w:r>
    </w:p>
    <w:p>
      <w:pPr>
        <w:numPr>
          <w:ilvl w:val="1"/>
          <w:numId w:val="8"/>
        </w:numPr>
        <w:tabs>
          <w:tab w:val="left" w:pos="1080"/>
          <w:tab w:val="left" w:pos="2014"/>
        </w:tabs>
        <w:snapToGrid w:val="0"/>
        <w:spacing w:line="360" w:lineRule="auto"/>
        <w:ind w:left="1080" w:hanging="720"/>
        <w:rPr>
          <w:color w:val="auto"/>
          <w:sz w:val="24"/>
        </w:rPr>
      </w:pPr>
      <w:r>
        <w:rPr>
          <w:color w:val="auto"/>
          <w:sz w:val="24"/>
        </w:rP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pPr>
        <w:numPr>
          <w:ilvl w:val="0"/>
          <w:numId w:val="8"/>
        </w:numPr>
        <w:tabs>
          <w:tab w:val="left" w:pos="360"/>
        </w:tabs>
        <w:snapToGrid w:val="0"/>
        <w:spacing w:line="360" w:lineRule="auto"/>
        <w:ind w:left="357" w:hanging="357"/>
        <w:outlineLvl w:val="1"/>
        <w:rPr>
          <w:color w:val="auto"/>
          <w:sz w:val="24"/>
        </w:rPr>
      </w:pPr>
      <w:bookmarkStart w:id="252" w:name="_Toc516367022"/>
      <w:bookmarkStart w:id="253" w:name="_Ref467306676"/>
      <w:bookmarkStart w:id="254" w:name="_Ref467306195"/>
      <w:bookmarkStart w:id="255" w:name="_Toc265228366"/>
      <w:bookmarkStart w:id="256" w:name="_Toc151190155"/>
      <w:bookmarkStart w:id="257" w:name="_Toc151193626"/>
      <w:bookmarkStart w:id="258" w:name="_Toc150774628"/>
      <w:bookmarkStart w:id="259" w:name="_Toc305158870"/>
      <w:bookmarkStart w:id="260" w:name="_Toc226309772"/>
      <w:bookmarkStart w:id="261" w:name="_Toc305158796"/>
      <w:bookmarkStart w:id="262" w:name="_Toc151193770"/>
      <w:bookmarkStart w:id="263" w:name="_Toc226965801"/>
      <w:bookmarkStart w:id="264" w:name="_Toc150509279"/>
      <w:bookmarkStart w:id="265" w:name="_Toc149720821"/>
      <w:bookmarkStart w:id="266" w:name="_Toc150774733"/>
      <w:bookmarkStart w:id="267" w:name="_Toc226337224"/>
      <w:bookmarkStart w:id="268" w:name="_Toc520356152"/>
      <w:bookmarkStart w:id="269" w:name="_Toc164351622"/>
      <w:bookmarkStart w:id="270" w:name="_Toc127161442"/>
      <w:bookmarkStart w:id="271" w:name="_Toc226965718"/>
      <w:bookmarkStart w:id="272" w:name="_Toc164229223"/>
      <w:bookmarkStart w:id="273" w:name="_Toc151193698"/>
      <w:bookmarkStart w:id="274" w:name="_Toc195842893"/>
      <w:bookmarkStart w:id="275" w:name="_Toc264969218"/>
      <w:bookmarkStart w:id="276" w:name="_Toc151193842"/>
      <w:bookmarkStart w:id="277" w:name="_Toc164608797"/>
      <w:bookmarkStart w:id="278" w:name="_Toc127151528"/>
      <w:bookmarkStart w:id="279" w:name="_Toc151193916"/>
      <w:bookmarkStart w:id="280" w:name="_Toc127151729"/>
      <w:bookmarkStart w:id="281" w:name="_Toc142311030"/>
      <w:bookmarkStart w:id="282" w:name="_Toc164608642"/>
      <w:bookmarkStart w:id="283" w:name="_Toc150480766"/>
      <w:bookmarkStart w:id="284" w:name="_Toc164229369"/>
      <w:r>
        <w:rPr>
          <w:color w:val="auto"/>
          <w:sz w:val="24"/>
        </w:rPr>
        <w:t>投标文件</w:t>
      </w:r>
      <w:bookmarkEnd w:id="252"/>
      <w:bookmarkEnd w:id="253"/>
      <w:bookmarkEnd w:id="254"/>
      <w:r>
        <w:rPr>
          <w:color w:val="auto"/>
          <w:sz w:val="24"/>
        </w:rPr>
        <w:t>构成</w:t>
      </w:r>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p>
    <w:p>
      <w:pPr>
        <w:numPr>
          <w:ilvl w:val="1"/>
          <w:numId w:val="8"/>
        </w:numPr>
        <w:tabs>
          <w:tab w:val="left" w:pos="1080"/>
          <w:tab w:val="left" w:pos="2014"/>
        </w:tabs>
        <w:snapToGrid w:val="0"/>
        <w:spacing w:line="360" w:lineRule="auto"/>
        <w:ind w:left="1077" w:hanging="720"/>
        <w:rPr>
          <w:color w:val="auto"/>
          <w:sz w:val="24"/>
        </w:rPr>
      </w:pPr>
      <w:bookmarkStart w:id="285" w:name="_Ref467052588"/>
      <w:r>
        <w:rPr>
          <w:color w:val="auto"/>
          <w:sz w:val="24"/>
        </w:rPr>
        <w:t>投标人应当按照招标文件的要求编制投标文件。投标文件应由《资格证明文件》、《商务技术文件》两部分构成。投标文件的部分格式要求，见第七章《投标文件格式》。</w:t>
      </w:r>
    </w:p>
    <w:p>
      <w:pPr>
        <w:numPr>
          <w:ilvl w:val="1"/>
          <w:numId w:val="8"/>
        </w:numPr>
        <w:tabs>
          <w:tab w:val="left" w:pos="1080"/>
          <w:tab w:val="left" w:pos="2014"/>
        </w:tabs>
        <w:snapToGrid w:val="0"/>
        <w:spacing w:line="360" w:lineRule="auto"/>
        <w:ind w:left="1077" w:hanging="720"/>
        <w:rPr>
          <w:color w:val="auto"/>
          <w:sz w:val="24"/>
        </w:rPr>
      </w:pPr>
      <w:r>
        <w:rPr>
          <w:color w:val="auto"/>
          <w:kern w:val="0"/>
          <w:sz w:val="24"/>
        </w:rPr>
        <w:t>对于招标文件中标记了“实质性格式”文件的，</w:t>
      </w:r>
      <w:r>
        <w:rPr>
          <w:color w:val="auto"/>
          <w:sz w:val="24"/>
        </w:rPr>
        <w:t>投标人不得改变格式中给定的文字所表达的含义，不得删减格式中的实质性内容，不得自行添加与格式中给定的文字内容相矛盾的内容，不得对应当填写的空格不填写或不实质性响应，</w:t>
      </w:r>
      <w:r>
        <w:rPr>
          <w:color w:val="auto"/>
          <w:kern w:val="0"/>
          <w:sz w:val="24"/>
        </w:rPr>
        <w:t>否则</w:t>
      </w:r>
      <w:r>
        <w:rPr>
          <w:b/>
          <w:color w:val="auto"/>
          <w:kern w:val="0"/>
          <w:sz w:val="24"/>
        </w:rPr>
        <w:t>投标无效</w:t>
      </w:r>
      <w:r>
        <w:rPr>
          <w:color w:val="auto"/>
          <w:kern w:val="0"/>
          <w:sz w:val="24"/>
        </w:rPr>
        <w:t>。未标记“实质性格式”的文件和招标文件未提供格式的内容，可由投标人自行编写。</w:t>
      </w:r>
    </w:p>
    <w:p>
      <w:pPr>
        <w:numPr>
          <w:ilvl w:val="1"/>
          <w:numId w:val="8"/>
        </w:numPr>
        <w:tabs>
          <w:tab w:val="left" w:pos="1080"/>
          <w:tab w:val="left" w:pos="2014"/>
        </w:tabs>
        <w:snapToGrid w:val="0"/>
        <w:spacing w:line="360" w:lineRule="auto"/>
        <w:ind w:left="1077" w:hanging="720"/>
        <w:rPr>
          <w:color w:val="auto"/>
          <w:sz w:val="24"/>
        </w:rPr>
      </w:pPr>
      <w:r>
        <w:rPr>
          <w:color w:val="auto"/>
          <w:sz w:val="24"/>
        </w:rPr>
        <w:t>第四章《评标程序、评标方法和评标标准》中涉及的证明文件。</w:t>
      </w:r>
    </w:p>
    <w:p>
      <w:pPr>
        <w:numPr>
          <w:ilvl w:val="1"/>
          <w:numId w:val="8"/>
        </w:numPr>
        <w:tabs>
          <w:tab w:val="left" w:pos="1080"/>
          <w:tab w:val="left" w:pos="2014"/>
        </w:tabs>
        <w:snapToGrid w:val="0"/>
        <w:spacing w:line="360" w:lineRule="auto"/>
        <w:ind w:left="1077" w:hanging="720"/>
        <w:rPr>
          <w:color w:val="auto"/>
          <w:sz w:val="24"/>
        </w:rPr>
      </w:pPr>
      <w:r>
        <w:rPr>
          <w:color w:val="auto"/>
          <w:sz w:val="24"/>
        </w:rPr>
        <w:t>对照第五章《采购需求》，说明所提供货物和服务已对第五章《采购需求》做出了响应，或申明与第五章《采购需求》的偏差和例外。如第五章《采购需求》中要求提供证明文件的，投标人应当按具体要求提供证明文件。</w:t>
      </w:r>
    </w:p>
    <w:p>
      <w:pPr>
        <w:numPr>
          <w:ilvl w:val="1"/>
          <w:numId w:val="8"/>
        </w:numPr>
        <w:tabs>
          <w:tab w:val="left" w:pos="1080"/>
          <w:tab w:val="left" w:pos="2014"/>
        </w:tabs>
        <w:snapToGrid w:val="0"/>
        <w:spacing w:line="360" w:lineRule="auto"/>
        <w:ind w:left="1077" w:hanging="720"/>
        <w:rPr>
          <w:color w:val="auto"/>
          <w:sz w:val="24"/>
        </w:rPr>
      </w:pPr>
      <w:r>
        <w:rPr>
          <w:color w:val="auto"/>
          <w:sz w:val="24"/>
        </w:rPr>
        <w:t>投标人认为应附的其他材料。</w:t>
      </w:r>
      <w:bookmarkEnd w:id="285"/>
    </w:p>
    <w:p>
      <w:pPr>
        <w:numPr>
          <w:ilvl w:val="0"/>
          <w:numId w:val="8"/>
        </w:numPr>
        <w:tabs>
          <w:tab w:val="left" w:pos="360"/>
        </w:tabs>
        <w:snapToGrid w:val="0"/>
        <w:spacing w:line="360" w:lineRule="auto"/>
        <w:ind w:left="357" w:hanging="357"/>
        <w:outlineLvl w:val="1"/>
        <w:rPr>
          <w:color w:val="auto"/>
          <w:sz w:val="24"/>
        </w:rPr>
      </w:pPr>
      <w:bookmarkStart w:id="286" w:name="_Toc151193628"/>
      <w:bookmarkStart w:id="287" w:name="_Toc142311032"/>
      <w:bookmarkStart w:id="288" w:name="_Toc164608644"/>
      <w:bookmarkStart w:id="289" w:name="_Toc164608799"/>
      <w:bookmarkStart w:id="290" w:name="_Toc195842895"/>
      <w:bookmarkStart w:id="291" w:name="_Toc164351624"/>
      <w:bookmarkStart w:id="292" w:name="_Toc150509281"/>
      <w:bookmarkStart w:id="293" w:name="_Toc520356155"/>
      <w:bookmarkStart w:id="294" w:name="_Toc151190157"/>
      <w:bookmarkStart w:id="295" w:name="_Toc151193844"/>
      <w:bookmarkStart w:id="296" w:name="_Toc164229371"/>
      <w:bookmarkStart w:id="297" w:name="_Toc127151731"/>
      <w:bookmarkStart w:id="298" w:name="_Toc149720823"/>
      <w:bookmarkStart w:id="299" w:name="_Toc151193700"/>
      <w:bookmarkStart w:id="300" w:name="_Toc150480768"/>
      <w:bookmarkStart w:id="301" w:name="_Toc164229225"/>
      <w:bookmarkStart w:id="302" w:name="_Toc127151530"/>
      <w:bookmarkStart w:id="303" w:name="_Toc151193772"/>
      <w:bookmarkStart w:id="304" w:name="_Toc151193918"/>
      <w:bookmarkStart w:id="305" w:name="_Toc127161444"/>
      <w:bookmarkStart w:id="306" w:name="_Toc150774630"/>
      <w:bookmarkStart w:id="307" w:name="_Toc150774735"/>
      <w:r>
        <w:rPr>
          <w:color w:val="auto"/>
          <w:sz w:val="24"/>
        </w:rPr>
        <w:t>投标报价</w:t>
      </w:r>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p>
    <w:p>
      <w:pPr>
        <w:numPr>
          <w:ilvl w:val="1"/>
          <w:numId w:val="8"/>
        </w:numPr>
        <w:tabs>
          <w:tab w:val="left" w:pos="1080"/>
          <w:tab w:val="left" w:pos="2014"/>
        </w:tabs>
        <w:snapToGrid w:val="0"/>
        <w:spacing w:line="360" w:lineRule="auto"/>
        <w:ind w:left="1077" w:hanging="720"/>
        <w:rPr>
          <w:color w:val="auto"/>
          <w:sz w:val="24"/>
        </w:rPr>
      </w:pPr>
      <w:r>
        <w:rPr>
          <w:color w:val="auto"/>
          <w:sz w:val="24"/>
        </w:rPr>
        <w:t>所有投标均以人民币报价。</w:t>
      </w:r>
    </w:p>
    <w:p>
      <w:pPr>
        <w:numPr>
          <w:ilvl w:val="1"/>
          <w:numId w:val="8"/>
        </w:numPr>
        <w:tabs>
          <w:tab w:val="left" w:pos="1080"/>
          <w:tab w:val="left" w:pos="2014"/>
        </w:tabs>
        <w:snapToGrid w:val="0"/>
        <w:spacing w:line="360" w:lineRule="auto"/>
        <w:ind w:left="1077" w:hanging="720"/>
        <w:rPr>
          <w:color w:val="auto"/>
          <w:sz w:val="24"/>
        </w:rPr>
      </w:pPr>
      <w:r>
        <w:rPr>
          <w:color w:val="auto"/>
          <w:sz w:val="24"/>
        </w:rPr>
        <w:t>投标人的报价应包括为完成本项目所发生的一切费用和税费，采购人将不再支付报价以外的任何费用。投标人的报价应包括但不限于下列内容，《投标人须知资料表》中有特殊规定的，从其规定。</w:t>
      </w:r>
    </w:p>
    <w:p>
      <w:pPr>
        <w:numPr>
          <w:ilvl w:val="2"/>
          <w:numId w:val="8"/>
        </w:numPr>
        <w:snapToGrid w:val="0"/>
        <w:spacing w:line="360" w:lineRule="auto"/>
        <w:rPr>
          <w:color w:val="auto"/>
          <w:sz w:val="24"/>
        </w:rPr>
      </w:pPr>
      <w:r>
        <w:rPr>
          <w:color w:val="auto"/>
          <w:sz w:val="24"/>
        </w:rPr>
        <w:t>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p>
    <w:p>
      <w:pPr>
        <w:numPr>
          <w:ilvl w:val="2"/>
          <w:numId w:val="8"/>
        </w:numPr>
        <w:snapToGrid w:val="0"/>
        <w:spacing w:line="360" w:lineRule="auto"/>
        <w:rPr>
          <w:color w:val="auto"/>
          <w:sz w:val="24"/>
        </w:rPr>
      </w:pPr>
      <w:r>
        <w:rPr>
          <w:color w:val="auto"/>
          <w:sz w:val="24"/>
        </w:rPr>
        <w:t xml:space="preserve">按照招标文件要求完成本项目的全部相关费用。 </w:t>
      </w:r>
    </w:p>
    <w:p>
      <w:pPr>
        <w:numPr>
          <w:ilvl w:val="1"/>
          <w:numId w:val="8"/>
        </w:numPr>
        <w:tabs>
          <w:tab w:val="left" w:pos="1080"/>
          <w:tab w:val="left" w:pos="2014"/>
        </w:tabs>
        <w:snapToGrid w:val="0"/>
        <w:spacing w:line="360" w:lineRule="auto"/>
        <w:ind w:left="1077" w:hanging="720"/>
        <w:rPr>
          <w:color w:val="auto"/>
          <w:sz w:val="24"/>
        </w:rPr>
      </w:pPr>
      <w:r>
        <w:rPr>
          <w:color w:val="auto"/>
          <w:sz w:val="24"/>
        </w:rPr>
        <w:t>采购人不得向供应商索要或者接受其给予的赠品、回扣或者与采购无关的其他商品、服务。</w:t>
      </w:r>
    </w:p>
    <w:p>
      <w:pPr>
        <w:numPr>
          <w:ilvl w:val="1"/>
          <w:numId w:val="8"/>
        </w:numPr>
        <w:tabs>
          <w:tab w:val="left" w:pos="1080"/>
          <w:tab w:val="left" w:pos="2014"/>
        </w:tabs>
        <w:snapToGrid w:val="0"/>
        <w:spacing w:line="360" w:lineRule="auto"/>
        <w:ind w:left="1080" w:hanging="720"/>
        <w:rPr>
          <w:color w:val="auto"/>
          <w:sz w:val="24"/>
        </w:rPr>
      </w:pPr>
      <w:r>
        <w:rPr>
          <w:color w:val="auto"/>
          <w:sz w:val="24"/>
        </w:rPr>
        <w:t>投标人不能提供任何有选择性或可调整的报价</w:t>
      </w:r>
      <w:r>
        <w:rPr>
          <w:rFonts w:hint="eastAsia"/>
          <w:color w:val="auto"/>
          <w:sz w:val="24"/>
        </w:rPr>
        <w:t>（招标文件另有规定的除外）</w:t>
      </w:r>
      <w:r>
        <w:rPr>
          <w:color w:val="auto"/>
          <w:sz w:val="24"/>
        </w:rPr>
        <w:t>，否则其</w:t>
      </w:r>
      <w:r>
        <w:rPr>
          <w:b/>
          <w:color w:val="auto"/>
          <w:sz w:val="24"/>
        </w:rPr>
        <w:t>投标无效</w:t>
      </w:r>
      <w:r>
        <w:rPr>
          <w:color w:val="auto"/>
          <w:sz w:val="24"/>
        </w:rPr>
        <w:t>。</w:t>
      </w:r>
    </w:p>
    <w:p>
      <w:pPr>
        <w:numPr>
          <w:ilvl w:val="0"/>
          <w:numId w:val="8"/>
        </w:numPr>
        <w:tabs>
          <w:tab w:val="left" w:pos="360"/>
        </w:tabs>
        <w:snapToGrid w:val="0"/>
        <w:spacing w:line="360" w:lineRule="auto"/>
        <w:ind w:left="357" w:hanging="357"/>
        <w:outlineLvl w:val="1"/>
        <w:rPr>
          <w:color w:val="auto"/>
          <w:sz w:val="24"/>
        </w:rPr>
      </w:pPr>
      <w:bookmarkStart w:id="308" w:name="_Toc264969221"/>
      <w:bookmarkStart w:id="309" w:name="_Toc150774736"/>
      <w:bookmarkStart w:id="310" w:name="_Toc150774631"/>
      <w:bookmarkStart w:id="311" w:name="_Toc151193845"/>
      <w:bookmarkStart w:id="312" w:name="_Toc164351625"/>
      <w:bookmarkStart w:id="313" w:name="_Toc151190158"/>
      <w:bookmarkStart w:id="314" w:name="_Toc164608800"/>
      <w:bookmarkStart w:id="315" w:name="_Toc164608645"/>
      <w:bookmarkStart w:id="316" w:name="_Toc226337227"/>
      <w:bookmarkStart w:id="317" w:name="_Toc151193919"/>
      <w:bookmarkStart w:id="318" w:name="_Toc520356156"/>
      <w:bookmarkStart w:id="319" w:name="_Toc127151732"/>
      <w:bookmarkStart w:id="320" w:name="_Toc226965804"/>
      <w:bookmarkStart w:id="321" w:name="_Toc164229226"/>
      <w:bookmarkStart w:id="322" w:name="_Toc195842896"/>
      <w:bookmarkStart w:id="323" w:name="_Toc151193773"/>
      <w:bookmarkStart w:id="324" w:name="_Toc127151531"/>
      <w:bookmarkStart w:id="325" w:name="_Toc149720824"/>
      <w:bookmarkStart w:id="326" w:name="_Toc226309775"/>
      <w:bookmarkStart w:id="327" w:name="_Toc127161445"/>
      <w:bookmarkStart w:id="328" w:name="_Toc151193629"/>
      <w:bookmarkStart w:id="329" w:name="_Toc142311033"/>
      <w:bookmarkStart w:id="330" w:name="_Toc305158873"/>
      <w:bookmarkStart w:id="331" w:name="_Toc150509282"/>
      <w:bookmarkStart w:id="332" w:name="_Toc226965721"/>
      <w:bookmarkStart w:id="333" w:name="_Toc305158799"/>
      <w:bookmarkStart w:id="334" w:name="_Toc164229372"/>
      <w:bookmarkStart w:id="335" w:name="_Toc265228369"/>
      <w:bookmarkStart w:id="336" w:name="_Ref467306513"/>
      <w:bookmarkStart w:id="337" w:name="_Toc151193701"/>
      <w:bookmarkStart w:id="338" w:name="_Toc150480769"/>
      <w:r>
        <w:rPr>
          <w:color w:val="auto"/>
          <w:sz w:val="24"/>
        </w:rPr>
        <w:t>投标保证金</w:t>
      </w:r>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p>
    <w:p>
      <w:pPr>
        <w:numPr>
          <w:ilvl w:val="1"/>
          <w:numId w:val="8"/>
        </w:numPr>
        <w:tabs>
          <w:tab w:val="left" w:pos="1080"/>
          <w:tab w:val="left" w:pos="2014"/>
        </w:tabs>
        <w:snapToGrid w:val="0"/>
        <w:spacing w:line="360" w:lineRule="auto"/>
        <w:ind w:left="1077" w:hanging="720"/>
        <w:rPr>
          <w:color w:val="auto"/>
          <w:sz w:val="24"/>
        </w:rPr>
      </w:pPr>
      <w:bookmarkStart w:id="339" w:name="_Ref467306302"/>
      <w:r>
        <w:rPr>
          <w:color w:val="auto"/>
          <w:sz w:val="24"/>
        </w:rPr>
        <w:t>投标人应按《投标人须知资料表》中规定的金额及要求交纳投标保证金</w:t>
      </w:r>
      <w:bookmarkEnd w:id="339"/>
      <w:r>
        <w:rPr>
          <w:color w:val="auto"/>
          <w:sz w:val="24"/>
        </w:rPr>
        <w:t>。</w:t>
      </w:r>
    </w:p>
    <w:p>
      <w:pPr>
        <w:numPr>
          <w:ilvl w:val="1"/>
          <w:numId w:val="8"/>
        </w:numPr>
        <w:tabs>
          <w:tab w:val="left" w:pos="1080"/>
          <w:tab w:val="left" w:pos="2014"/>
        </w:tabs>
        <w:snapToGrid w:val="0"/>
        <w:spacing w:line="360" w:lineRule="auto"/>
        <w:ind w:left="1077" w:hanging="720"/>
        <w:rPr>
          <w:color w:val="auto"/>
          <w:sz w:val="24"/>
        </w:rPr>
      </w:pPr>
      <w:r>
        <w:rPr>
          <w:color w:val="auto"/>
          <w:sz w:val="24"/>
        </w:rPr>
        <w:t>交纳投标保证金可采用的形式：政府采购法律法规接受的支票、汇票、本票、网上银行支付或者金融机构、担保机构出具的保函等非现金形式。</w:t>
      </w:r>
    </w:p>
    <w:p>
      <w:pPr>
        <w:numPr>
          <w:ilvl w:val="1"/>
          <w:numId w:val="8"/>
        </w:numPr>
        <w:tabs>
          <w:tab w:val="left" w:pos="1080"/>
          <w:tab w:val="left" w:pos="2014"/>
        </w:tabs>
        <w:snapToGrid w:val="0"/>
        <w:spacing w:line="360" w:lineRule="auto"/>
        <w:ind w:left="1077" w:hanging="720"/>
        <w:rPr>
          <w:color w:val="auto"/>
          <w:sz w:val="24"/>
        </w:rPr>
      </w:pPr>
      <w:r>
        <w:rPr>
          <w:color w:val="auto"/>
          <w:sz w:val="24"/>
        </w:rPr>
        <w:t>投标保证金到账（保函提交）截止时间同投标截止时间。以支票、汇票、本票、网上银行支付等形式提交投标保证金的，应在投标截止时间前到账；以金融机构、担保机构出具的保函等形式提交投标保证金的，应在投标截止时间前将原件提交至采购代理机构。由于到账时间晚于投标截止时间的，或者票据错误、印鉴不清等原因导致不能到账的，其</w:t>
      </w:r>
      <w:r>
        <w:rPr>
          <w:b/>
          <w:color w:val="auto"/>
          <w:sz w:val="24"/>
        </w:rPr>
        <w:t>投标无效</w:t>
      </w:r>
      <w:r>
        <w:rPr>
          <w:color w:val="auto"/>
          <w:sz w:val="24"/>
        </w:rPr>
        <w:t>。</w:t>
      </w:r>
    </w:p>
    <w:p>
      <w:pPr>
        <w:numPr>
          <w:ilvl w:val="1"/>
          <w:numId w:val="8"/>
        </w:numPr>
        <w:tabs>
          <w:tab w:val="left" w:pos="1080"/>
          <w:tab w:val="left" w:pos="2014"/>
        </w:tabs>
        <w:snapToGrid w:val="0"/>
        <w:spacing w:line="360" w:lineRule="auto"/>
        <w:ind w:left="1077" w:hanging="720"/>
        <w:rPr>
          <w:color w:val="auto"/>
          <w:sz w:val="24"/>
        </w:rPr>
      </w:pPr>
      <w:r>
        <w:rPr>
          <w:color w:val="auto"/>
          <w:sz w:val="24"/>
        </w:rPr>
        <w:t>投标保证金有效期同投标有效期。</w:t>
      </w:r>
    </w:p>
    <w:p>
      <w:pPr>
        <w:numPr>
          <w:ilvl w:val="1"/>
          <w:numId w:val="8"/>
        </w:numPr>
        <w:tabs>
          <w:tab w:val="left" w:pos="1080"/>
          <w:tab w:val="left" w:pos="2014"/>
        </w:tabs>
        <w:snapToGrid w:val="0"/>
        <w:spacing w:line="360" w:lineRule="auto"/>
        <w:ind w:left="1077" w:hanging="720"/>
        <w:rPr>
          <w:color w:val="auto"/>
          <w:sz w:val="24"/>
        </w:rPr>
      </w:pPr>
      <w:r>
        <w:rPr>
          <w:color w:val="auto"/>
          <w:sz w:val="24"/>
        </w:rPr>
        <w:t>投标人为联合体的，可以由联合体中的一方或者多方共同交纳投标保证金，其交纳的投标保证金对联合体各方均具有约束力。</w:t>
      </w:r>
    </w:p>
    <w:p>
      <w:pPr>
        <w:numPr>
          <w:ilvl w:val="1"/>
          <w:numId w:val="8"/>
        </w:numPr>
        <w:tabs>
          <w:tab w:val="left" w:pos="1080"/>
          <w:tab w:val="left" w:pos="2014"/>
        </w:tabs>
        <w:snapToGrid w:val="0"/>
        <w:spacing w:line="360" w:lineRule="auto"/>
        <w:ind w:left="1077" w:hanging="720"/>
        <w:rPr>
          <w:color w:val="auto"/>
          <w:sz w:val="24"/>
        </w:rPr>
      </w:pPr>
      <w:r>
        <w:rPr>
          <w:color w:val="auto"/>
          <w:sz w:val="24"/>
        </w:rPr>
        <w:t>采购人、采购代理机构将及时退还投标人的投标保证金，</w:t>
      </w:r>
      <w:r>
        <w:rPr>
          <w:rFonts w:eastAsiaTheme="minorEastAsia"/>
          <w:color w:val="auto"/>
          <w:sz w:val="24"/>
        </w:rPr>
        <w:t>采用银行保函、担保机构担保函等形式递交的投标保证金，经投标人同意后采购人、采购代理机构可以不再退还，</w:t>
      </w:r>
      <w:r>
        <w:rPr>
          <w:color w:val="auto"/>
          <w:sz w:val="24"/>
        </w:rPr>
        <w:t>但因投标人自身原因导致无法及时退还的除外：</w:t>
      </w:r>
    </w:p>
    <w:p>
      <w:pPr>
        <w:numPr>
          <w:ilvl w:val="2"/>
          <w:numId w:val="8"/>
        </w:numPr>
        <w:snapToGrid w:val="0"/>
        <w:spacing w:line="360" w:lineRule="auto"/>
        <w:rPr>
          <w:color w:val="auto"/>
          <w:sz w:val="24"/>
        </w:rPr>
      </w:pPr>
      <w:r>
        <w:rPr>
          <w:color w:val="auto"/>
          <w:sz w:val="24"/>
        </w:rPr>
        <w:t>投标人在投标截止时间前撤回已提交的投标文件的，自收到投标人书面撤回通知之日起5个工作日内退还已收取的投标保证金；</w:t>
      </w:r>
    </w:p>
    <w:p>
      <w:pPr>
        <w:numPr>
          <w:ilvl w:val="2"/>
          <w:numId w:val="8"/>
        </w:numPr>
        <w:snapToGrid w:val="0"/>
        <w:spacing w:line="360" w:lineRule="auto"/>
        <w:rPr>
          <w:color w:val="auto"/>
          <w:sz w:val="24"/>
        </w:rPr>
      </w:pPr>
      <w:r>
        <w:rPr>
          <w:color w:val="auto"/>
          <w:sz w:val="24"/>
        </w:rPr>
        <w:t>中标人的投标保证金，自采购合同签订之日起5个工作日内退还中标人；</w:t>
      </w:r>
    </w:p>
    <w:p>
      <w:pPr>
        <w:numPr>
          <w:ilvl w:val="2"/>
          <w:numId w:val="8"/>
        </w:numPr>
        <w:snapToGrid w:val="0"/>
        <w:spacing w:line="360" w:lineRule="auto"/>
        <w:rPr>
          <w:color w:val="auto"/>
          <w:sz w:val="24"/>
        </w:rPr>
      </w:pPr>
      <w:r>
        <w:rPr>
          <w:color w:val="auto"/>
          <w:sz w:val="24"/>
        </w:rPr>
        <w:t>未中标投标人的投标保证金，自中标通知书发出之日起5个工作日内退还未中标人；</w:t>
      </w:r>
    </w:p>
    <w:p>
      <w:pPr>
        <w:numPr>
          <w:ilvl w:val="2"/>
          <w:numId w:val="8"/>
        </w:numPr>
        <w:snapToGrid w:val="0"/>
        <w:spacing w:line="360" w:lineRule="auto"/>
        <w:rPr>
          <w:color w:val="auto"/>
          <w:sz w:val="24"/>
        </w:rPr>
      </w:pPr>
      <w:r>
        <w:rPr>
          <w:color w:val="auto"/>
          <w:sz w:val="24"/>
        </w:rPr>
        <w:t>终止招标项目已经收取投标保证金的，自终止采购活动后5个工作日内退还已收取的投标保证金。</w:t>
      </w:r>
    </w:p>
    <w:p>
      <w:pPr>
        <w:numPr>
          <w:ilvl w:val="1"/>
          <w:numId w:val="8"/>
        </w:numPr>
        <w:tabs>
          <w:tab w:val="left" w:pos="1080"/>
          <w:tab w:val="left" w:pos="2014"/>
        </w:tabs>
        <w:snapToGrid w:val="0"/>
        <w:spacing w:line="360" w:lineRule="auto"/>
        <w:ind w:left="1077" w:hanging="720"/>
        <w:rPr>
          <w:color w:val="auto"/>
          <w:sz w:val="24"/>
        </w:rPr>
      </w:pPr>
      <w:r>
        <w:rPr>
          <w:color w:val="auto"/>
          <w:sz w:val="24"/>
        </w:rPr>
        <w:t>有下列情形之一的，采购人或采购代理机构可以不予退还投标保证金：</w:t>
      </w:r>
    </w:p>
    <w:p>
      <w:pPr>
        <w:numPr>
          <w:ilvl w:val="2"/>
          <w:numId w:val="8"/>
        </w:numPr>
        <w:snapToGrid w:val="0"/>
        <w:spacing w:line="360" w:lineRule="auto"/>
        <w:rPr>
          <w:color w:val="auto"/>
          <w:sz w:val="24"/>
        </w:rPr>
      </w:pPr>
      <w:r>
        <w:rPr>
          <w:color w:val="auto"/>
          <w:sz w:val="24"/>
        </w:rPr>
        <w:t>投标有效期内投标人撤销投标文件的；</w:t>
      </w:r>
    </w:p>
    <w:p>
      <w:pPr>
        <w:numPr>
          <w:ilvl w:val="2"/>
          <w:numId w:val="8"/>
        </w:numPr>
        <w:tabs>
          <w:tab w:val="left" w:pos="900"/>
          <w:tab w:val="left" w:pos="1080"/>
          <w:tab w:val="left" w:pos="2014"/>
        </w:tabs>
        <w:snapToGrid w:val="0"/>
        <w:spacing w:line="360" w:lineRule="auto"/>
        <w:rPr>
          <w:color w:val="auto"/>
          <w:sz w:val="24"/>
        </w:rPr>
      </w:pPr>
      <w:r>
        <w:rPr>
          <w:color w:val="auto"/>
          <w:sz w:val="24"/>
        </w:rPr>
        <w:t>《投标人须知资料表》中规定的其他情形。</w:t>
      </w:r>
    </w:p>
    <w:p>
      <w:pPr>
        <w:numPr>
          <w:ilvl w:val="0"/>
          <w:numId w:val="8"/>
        </w:numPr>
        <w:tabs>
          <w:tab w:val="left" w:pos="360"/>
        </w:tabs>
        <w:snapToGrid w:val="0"/>
        <w:spacing w:line="360" w:lineRule="auto"/>
        <w:ind w:left="357" w:hanging="357"/>
        <w:outlineLvl w:val="1"/>
        <w:rPr>
          <w:color w:val="auto"/>
          <w:sz w:val="24"/>
        </w:rPr>
      </w:pPr>
      <w:bookmarkStart w:id="340" w:name="_Toc150509283"/>
      <w:bookmarkStart w:id="341" w:name="_Toc265228370"/>
      <w:bookmarkStart w:id="342" w:name="_Toc264969222"/>
      <w:bookmarkStart w:id="343" w:name="_Toc151193702"/>
      <w:bookmarkStart w:id="344" w:name="_Toc149720825"/>
      <w:bookmarkStart w:id="345" w:name="_Toc226965805"/>
      <w:bookmarkStart w:id="346" w:name="_Toc305158800"/>
      <w:bookmarkStart w:id="347" w:name="_Toc150774632"/>
      <w:bookmarkStart w:id="348" w:name="_Toc151193920"/>
      <w:bookmarkStart w:id="349" w:name="_Toc151193846"/>
      <w:bookmarkStart w:id="350" w:name="_Toc164229227"/>
      <w:bookmarkStart w:id="351" w:name="_Toc195842897"/>
      <w:bookmarkStart w:id="352" w:name="_Toc150480770"/>
      <w:bookmarkStart w:id="353" w:name="_Toc151193630"/>
      <w:bookmarkStart w:id="354" w:name="_Toc226337228"/>
      <w:bookmarkStart w:id="355" w:name="_Toc164608801"/>
      <w:bookmarkStart w:id="356" w:name="_Toc150774737"/>
      <w:bookmarkStart w:id="357" w:name="_Toc164608646"/>
      <w:bookmarkStart w:id="358" w:name="_Toc151193774"/>
      <w:bookmarkStart w:id="359" w:name="_Toc164351626"/>
      <w:bookmarkStart w:id="360" w:name="_Toc127161446"/>
      <w:bookmarkStart w:id="361" w:name="_Toc127151733"/>
      <w:bookmarkStart w:id="362" w:name="_Toc127151532"/>
      <w:bookmarkStart w:id="363" w:name="_Toc164229373"/>
      <w:bookmarkStart w:id="364" w:name="_Toc520356157"/>
      <w:bookmarkStart w:id="365" w:name="_Toc305158874"/>
      <w:bookmarkStart w:id="366" w:name="_Toc226965722"/>
      <w:bookmarkStart w:id="367" w:name="_Toc226309776"/>
      <w:bookmarkStart w:id="368" w:name="_Toc151190159"/>
      <w:bookmarkStart w:id="369" w:name="_Toc142311034"/>
      <w:r>
        <w:rPr>
          <w:color w:val="auto"/>
          <w:sz w:val="24"/>
        </w:rPr>
        <w:t>投标有效期</w:t>
      </w:r>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p>
    <w:p>
      <w:pPr>
        <w:numPr>
          <w:ilvl w:val="1"/>
          <w:numId w:val="8"/>
        </w:numPr>
        <w:tabs>
          <w:tab w:val="left" w:pos="1080"/>
          <w:tab w:val="left" w:pos="2014"/>
        </w:tabs>
        <w:snapToGrid w:val="0"/>
        <w:spacing w:line="360" w:lineRule="auto"/>
        <w:ind w:left="1077" w:hanging="720"/>
        <w:rPr>
          <w:color w:val="auto"/>
          <w:sz w:val="24"/>
        </w:rPr>
      </w:pPr>
      <w:r>
        <w:rPr>
          <w:color w:val="auto"/>
          <w:sz w:val="24"/>
        </w:rPr>
        <w:t>投标文件应在本招标文件《投标人须知资料表》中规定的投标有效期内保持有效，投标有效期少于招标文件规定期限的，其</w:t>
      </w:r>
      <w:r>
        <w:rPr>
          <w:b/>
          <w:color w:val="auto"/>
          <w:sz w:val="24"/>
        </w:rPr>
        <w:t>投标无效</w:t>
      </w:r>
      <w:r>
        <w:rPr>
          <w:color w:val="auto"/>
          <w:sz w:val="24"/>
        </w:rPr>
        <w:t>。</w:t>
      </w:r>
    </w:p>
    <w:p>
      <w:pPr>
        <w:numPr>
          <w:ilvl w:val="0"/>
          <w:numId w:val="8"/>
        </w:numPr>
        <w:tabs>
          <w:tab w:val="left" w:pos="360"/>
        </w:tabs>
        <w:snapToGrid w:val="0"/>
        <w:spacing w:line="360" w:lineRule="auto"/>
        <w:ind w:left="357" w:hanging="357"/>
        <w:outlineLvl w:val="1"/>
        <w:rPr>
          <w:color w:val="auto"/>
          <w:sz w:val="24"/>
        </w:rPr>
      </w:pPr>
      <w:bookmarkStart w:id="370" w:name="_Toc226965806"/>
      <w:bookmarkStart w:id="371" w:name="_Toc142311035"/>
      <w:bookmarkStart w:id="372" w:name="_Toc164229374"/>
      <w:bookmarkStart w:id="373" w:name="_Toc226337229"/>
      <w:bookmarkStart w:id="374" w:name="_Toc164608802"/>
      <w:bookmarkStart w:id="375" w:name="_Toc195842898"/>
      <w:bookmarkStart w:id="376" w:name="_Toc150774633"/>
      <w:bookmarkStart w:id="377" w:name="_Toc150774738"/>
      <w:bookmarkStart w:id="378" w:name="_Toc151193847"/>
      <w:bookmarkStart w:id="379" w:name="_Toc127161447"/>
      <w:bookmarkStart w:id="380" w:name="_Toc150509284"/>
      <w:bookmarkStart w:id="381" w:name="_Toc150480771"/>
      <w:bookmarkStart w:id="382" w:name="_Toc164608647"/>
      <w:bookmarkStart w:id="383" w:name="_Toc151193921"/>
      <w:bookmarkStart w:id="384" w:name="_Toc151190160"/>
      <w:bookmarkStart w:id="385" w:name="_Toc151193703"/>
      <w:bookmarkStart w:id="386" w:name="_Toc127151734"/>
      <w:bookmarkStart w:id="387" w:name="_Toc149720826"/>
      <w:bookmarkStart w:id="388" w:name="_Toc127151533"/>
      <w:bookmarkStart w:id="389" w:name="_Toc151193775"/>
      <w:bookmarkStart w:id="390" w:name="_Toc305158875"/>
      <w:bookmarkStart w:id="391" w:name="_Toc226965723"/>
      <w:bookmarkStart w:id="392" w:name="_Toc265228371"/>
      <w:bookmarkStart w:id="393" w:name="_Toc226309777"/>
      <w:bookmarkStart w:id="394" w:name="_Toc164351627"/>
      <w:bookmarkStart w:id="395" w:name="_Toc305158801"/>
      <w:bookmarkStart w:id="396" w:name="_Toc151193631"/>
      <w:bookmarkStart w:id="397" w:name="_Toc164229228"/>
      <w:bookmarkStart w:id="398" w:name="_Toc520356158"/>
      <w:bookmarkStart w:id="399" w:name="_Toc264969223"/>
      <w:r>
        <w:rPr>
          <w:color w:val="auto"/>
          <w:sz w:val="24"/>
        </w:rPr>
        <w:t>投标文件的签署</w:t>
      </w:r>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r>
        <w:rPr>
          <w:color w:val="auto"/>
          <w:sz w:val="24"/>
        </w:rPr>
        <w:t>、盖章</w:t>
      </w:r>
    </w:p>
    <w:p>
      <w:pPr>
        <w:numPr>
          <w:ilvl w:val="1"/>
          <w:numId w:val="8"/>
        </w:numPr>
        <w:tabs>
          <w:tab w:val="left" w:pos="1080"/>
          <w:tab w:val="left" w:pos="2014"/>
        </w:tabs>
        <w:snapToGrid w:val="0"/>
        <w:spacing w:line="360" w:lineRule="auto"/>
        <w:ind w:left="1077" w:hanging="720"/>
        <w:rPr>
          <w:color w:val="auto"/>
          <w:sz w:val="24"/>
        </w:rPr>
      </w:pPr>
      <w:bookmarkStart w:id="400" w:name="_Toc151193704"/>
      <w:bookmarkStart w:id="401" w:name="_Toc264969224"/>
      <w:bookmarkStart w:id="402" w:name="_Toc151193776"/>
      <w:bookmarkStart w:id="403" w:name="_Toc151193922"/>
      <w:bookmarkStart w:id="404" w:name="_Toc195842899"/>
      <w:bookmarkStart w:id="405" w:name="_Toc226965724"/>
      <w:bookmarkStart w:id="406" w:name="_Toc150480772"/>
      <w:bookmarkStart w:id="407" w:name="_Toc226965807"/>
      <w:bookmarkStart w:id="408" w:name="_Toc142311036"/>
      <w:bookmarkStart w:id="409" w:name="_Toc150774634"/>
      <w:bookmarkStart w:id="410" w:name="_Toc151190161"/>
      <w:bookmarkStart w:id="411" w:name="_Toc150509285"/>
      <w:bookmarkStart w:id="412" w:name="_Toc305158802"/>
      <w:bookmarkStart w:id="413" w:name="_Toc226337230"/>
      <w:bookmarkStart w:id="414" w:name="_Toc305158876"/>
      <w:bookmarkStart w:id="415" w:name="_Toc150774739"/>
      <w:bookmarkStart w:id="416" w:name="_Toc151193848"/>
      <w:bookmarkStart w:id="417" w:name="_Toc127151534"/>
      <w:bookmarkStart w:id="418" w:name="_Toc265228372"/>
      <w:bookmarkStart w:id="419" w:name="_Toc151193632"/>
      <w:bookmarkStart w:id="420" w:name="_Toc226309778"/>
      <w:bookmarkStart w:id="421" w:name="_Toc520356159"/>
      <w:r>
        <w:rPr>
          <w:rFonts w:hint="eastAsia"/>
          <w:color w:val="auto"/>
          <w:sz w:val="24"/>
        </w:rPr>
        <w:t>投标文件的正本需打印或用不</w:t>
      </w:r>
      <w:r>
        <w:rPr>
          <w:rFonts w:hint="eastAsia"/>
          <w:color w:val="auto"/>
          <w:sz w:val="24"/>
          <w:lang w:val="en-US" w:eastAsia="zh-CN"/>
        </w:rPr>
        <w:t>褪</w:t>
      </w:r>
      <w:r>
        <w:rPr>
          <w:rFonts w:hint="eastAsia"/>
          <w:color w:val="auto"/>
          <w:sz w:val="24"/>
        </w:rPr>
        <w:t>色墨水书写，并由投标人的法定代表人或经其正式授权的代表在投标文件上签字并加盖单位印章。授权代表须持有书面的“法定代表人授权书”（标准格式附后），并将其附在投标文件中。如对投标文件进行了修改，则应由投标人的法定代表人或经其正式授权的代表在修改的每一页上签字。投标文件的副本可采用正本的复印件。</w:t>
      </w:r>
    </w:p>
    <w:p>
      <w:pPr>
        <w:numPr>
          <w:ilvl w:val="1"/>
          <w:numId w:val="8"/>
        </w:numPr>
        <w:tabs>
          <w:tab w:val="left" w:pos="1080"/>
          <w:tab w:val="left" w:pos="2014"/>
        </w:tabs>
        <w:snapToGrid w:val="0"/>
        <w:spacing w:line="360" w:lineRule="auto"/>
        <w:ind w:left="1077" w:hanging="720"/>
        <w:rPr>
          <w:color w:val="auto"/>
          <w:sz w:val="24"/>
        </w:rPr>
      </w:pPr>
      <w:r>
        <w:rPr>
          <w:rFonts w:hint="eastAsia"/>
          <w:color w:val="auto"/>
          <w:sz w:val="24"/>
        </w:rPr>
        <w:t>任何行间插字、涂改和增删，必须由投标文件签字人签字或盖章后才有效</w:t>
      </w:r>
      <w:r>
        <w:rPr>
          <w:color w:val="auto"/>
          <w:sz w:val="24"/>
        </w:rPr>
        <w:t>。</w:t>
      </w:r>
    </w:p>
    <w:p>
      <w:pPr>
        <w:numPr>
          <w:ilvl w:val="1"/>
          <w:numId w:val="8"/>
        </w:numPr>
        <w:tabs>
          <w:tab w:val="left" w:pos="1080"/>
          <w:tab w:val="left" w:pos="2014"/>
        </w:tabs>
        <w:snapToGrid w:val="0"/>
        <w:spacing w:line="360" w:lineRule="auto"/>
        <w:ind w:left="1077" w:hanging="720"/>
        <w:rPr>
          <w:color w:val="auto"/>
          <w:sz w:val="24"/>
        </w:rPr>
      </w:pPr>
      <w:r>
        <w:rPr>
          <w:rFonts w:hint="eastAsia"/>
          <w:color w:val="auto"/>
          <w:sz w:val="24"/>
        </w:rPr>
        <w:t>投标文件因字迹潦草或表达不清所引起的后果由投标人负责。</w:t>
      </w:r>
    </w:p>
    <w:p>
      <w:pPr>
        <w:tabs>
          <w:tab w:val="left" w:pos="900"/>
          <w:tab w:val="left" w:pos="1080"/>
        </w:tabs>
        <w:snapToGrid w:val="0"/>
        <w:spacing w:line="360" w:lineRule="auto"/>
        <w:ind w:left="357"/>
        <w:rPr>
          <w:color w:val="auto"/>
        </w:rPr>
      </w:pPr>
    </w:p>
    <w:p>
      <w:pPr>
        <w:pStyle w:val="3"/>
        <w:spacing w:before="0" w:line="360" w:lineRule="auto"/>
        <w:rPr>
          <w:rFonts w:ascii="Times New Roman" w:hAnsi="Times New Roman" w:eastAsia="宋体"/>
          <w:color w:val="auto"/>
          <w:sz w:val="28"/>
        </w:rPr>
      </w:pPr>
      <w:r>
        <w:rPr>
          <w:rFonts w:ascii="Times New Roman" w:hAnsi="Times New Roman" w:eastAsia="宋体"/>
          <w:color w:val="auto"/>
          <w:sz w:val="28"/>
        </w:rPr>
        <w:t>四   投标文件的提交</w:t>
      </w:r>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p>
    <w:p>
      <w:pPr>
        <w:numPr>
          <w:ilvl w:val="0"/>
          <w:numId w:val="8"/>
        </w:numPr>
        <w:tabs>
          <w:tab w:val="left" w:pos="360"/>
        </w:tabs>
        <w:snapToGrid w:val="0"/>
        <w:spacing w:line="360" w:lineRule="auto"/>
        <w:ind w:left="357" w:hanging="357"/>
        <w:outlineLvl w:val="1"/>
        <w:rPr>
          <w:color w:val="auto"/>
          <w:sz w:val="24"/>
        </w:rPr>
      </w:pPr>
      <w:bookmarkStart w:id="422" w:name="_Toc151193923"/>
      <w:bookmarkStart w:id="423" w:name="_Toc151190162"/>
      <w:bookmarkStart w:id="424" w:name="_Toc150480773"/>
      <w:bookmarkStart w:id="425" w:name="_Toc164351629"/>
      <w:bookmarkStart w:id="426" w:name="_Toc127151535"/>
      <w:bookmarkStart w:id="427" w:name="_Toc164608649"/>
      <w:bookmarkStart w:id="428" w:name="_Toc151193705"/>
      <w:bookmarkStart w:id="429" w:name="_Toc305158877"/>
      <w:bookmarkStart w:id="430" w:name="_Toc150774635"/>
      <w:bookmarkStart w:id="431" w:name="_Toc226309779"/>
      <w:bookmarkStart w:id="432" w:name="_Toc127151736"/>
      <w:bookmarkStart w:id="433" w:name="_Toc305158803"/>
      <w:bookmarkStart w:id="434" w:name="_Toc520356160"/>
      <w:bookmarkStart w:id="435" w:name="_Toc226965725"/>
      <w:bookmarkStart w:id="436" w:name="_Toc150774740"/>
      <w:bookmarkStart w:id="437" w:name="_Toc164229376"/>
      <w:bookmarkStart w:id="438" w:name="_Toc164608804"/>
      <w:bookmarkStart w:id="439" w:name="_Toc151193777"/>
      <w:bookmarkStart w:id="440" w:name="_Toc226965808"/>
      <w:bookmarkStart w:id="441" w:name="_Toc142311037"/>
      <w:bookmarkStart w:id="442" w:name="_Toc226337231"/>
      <w:bookmarkStart w:id="443" w:name="_Toc127161449"/>
      <w:bookmarkStart w:id="444" w:name="_Toc150509286"/>
      <w:bookmarkStart w:id="445" w:name="_Toc151193633"/>
      <w:bookmarkStart w:id="446" w:name="_Toc151193849"/>
      <w:bookmarkStart w:id="447" w:name="_Toc149720828"/>
      <w:bookmarkStart w:id="448" w:name="_Toc264969225"/>
      <w:bookmarkStart w:id="449" w:name="_Toc265228373"/>
      <w:bookmarkStart w:id="450" w:name="_Toc195842900"/>
      <w:bookmarkStart w:id="451" w:name="_Toc164229230"/>
      <w:r>
        <w:rPr>
          <w:color w:val="auto"/>
          <w:sz w:val="24"/>
        </w:rPr>
        <w:t>投标文件的</w:t>
      </w:r>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r>
        <w:rPr>
          <w:color w:val="auto"/>
          <w:sz w:val="24"/>
        </w:rPr>
        <w:t>提交</w:t>
      </w:r>
    </w:p>
    <w:p>
      <w:pPr>
        <w:numPr>
          <w:ilvl w:val="1"/>
          <w:numId w:val="8"/>
        </w:numPr>
        <w:tabs>
          <w:tab w:val="left" w:pos="1080"/>
          <w:tab w:val="left" w:pos="2014"/>
        </w:tabs>
        <w:snapToGrid w:val="0"/>
        <w:spacing w:line="360" w:lineRule="auto"/>
        <w:ind w:left="1077" w:hanging="720"/>
        <w:rPr>
          <w:color w:val="auto"/>
          <w:sz w:val="24"/>
        </w:rPr>
      </w:pPr>
      <w:r>
        <w:rPr>
          <w:rFonts w:hint="eastAsia"/>
          <w:color w:val="auto"/>
          <w:sz w:val="24"/>
        </w:rPr>
        <w:t>投标人应准备投标文件正本1份、副本4份、电子版1份，每份投标文件须清楚地标明“正本”、“副本”或“电子版”。若正本和副本不符，以正本为准；电子版为正本扫描件，为PDF格式</w:t>
      </w:r>
      <w:r>
        <w:rPr>
          <w:color w:val="auto"/>
          <w:sz w:val="24"/>
        </w:rPr>
        <w:t>。</w:t>
      </w:r>
    </w:p>
    <w:p>
      <w:pPr>
        <w:numPr>
          <w:ilvl w:val="1"/>
          <w:numId w:val="8"/>
        </w:numPr>
        <w:tabs>
          <w:tab w:val="left" w:pos="1080"/>
          <w:tab w:val="left" w:pos="2014"/>
        </w:tabs>
        <w:snapToGrid w:val="0"/>
        <w:spacing w:line="360" w:lineRule="auto"/>
        <w:ind w:left="1077" w:hanging="720"/>
        <w:rPr>
          <w:color w:val="auto"/>
          <w:sz w:val="24"/>
        </w:rPr>
      </w:pPr>
      <w:r>
        <w:rPr>
          <w:rFonts w:hint="eastAsia"/>
          <w:color w:val="auto"/>
          <w:sz w:val="24"/>
        </w:rPr>
        <w:t>投标时，投标人应将投标文件正本和所有的副本分开密封装在单独的信封中，且在信封正面标明“正本”“副本”字样。将电子版本投标文件单独密封后在信封正面</w:t>
      </w:r>
      <w:r>
        <w:rPr>
          <w:rFonts w:hint="eastAsia"/>
          <w:color w:val="auto"/>
          <w:sz w:val="24"/>
          <w:lang w:val="en-US" w:eastAsia="zh-CN"/>
        </w:rPr>
        <w:t>标</w:t>
      </w:r>
      <w:r>
        <w:rPr>
          <w:rFonts w:hint="eastAsia"/>
          <w:color w:val="auto"/>
          <w:sz w:val="24"/>
        </w:rPr>
        <w:t>明“电子版”字样</w:t>
      </w:r>
      <w:r>
        <w:rPr>
          <w:color w:val="auto"/>
          <w:sz w:val="24"/>
        </w:rPr>
        <w:t>。</w:t>
      </w:r>
    </w:p>
    <w:p>
      <w:pPr>
        <w:numPr>
          <w:ilvl w:val="1"/>
          <w:numId w:val="8"/>
        </w:numPr>
        <w:tabs>
          <w:tab w:val="left" w:pos="1080"/>
          <w:tab w:val="left" w:pos="2014"/>
        </w:tabs>
        <w:snapToGrid w:val="0"/>
        <w:spacing w:line="360" w:lineRule="auto"/>
        <w:ind w:left="1077" w:hanging="720"/>
        <w:rPr>
          <w:color w:val="auto"/>
          <w:sz w:val="24"/>
        </w:rPr>
      </w:pPr>
      <w:r>
        <w:rPr>
          <w:rFonts w:hint="eastAsia"/>
          <w:color w:val="auto"/>
          <w:sz w:val="24"/>
        </w:rPr>
        <w:t>为方便开标唱标，投标人应将 “开标一览表</w:t>
      </w:r>
      <w:r>
        <w:rPr>
          <w:color w:val="auto"/>
          <w:sz w:val="24"/>
        </w:rPr>
        <w:t>”</w:t>
      </w:r>
      <w:r>
        <w:rPr>
          <w:rFonts w:hint="eastAsia"/>
          <w:color w:val="auto"/>
          <w:sz w:val="24"/>
        </w:rPr>
        <w:t>原件单独密封，并在信封上标明“开标一览表”字样，在投标时单独递交。投标文件中也应附此表原件。</w:t>
      </w:r>
    </w:p>
    <w:p>
      <w:pPr>
        <w:numPr>
          <w:ilvl w:val="1"/>
          <w:numId w:val="8"/>
        </w:numPr>
        <w:tabs>
          <w:tab w:val="left" w:pos="1080"/>
          <w:tab w:val="left" w:pos="2014"/>
        </w:tabs>
        <w:snapToGrid w:val="0"/>
        <w:spacing w:line="360" w:lineRule="auto"/>
        <w:ind w:left="1077" w:hanging="720"/>
        <w:rPr>
          <w:color w:val="auto"/>
          <w:sz w:val="24"/>
        </w:rPr>
      </w:pPr>
      <w:r>
        <w:rPr>
          <w:rFonts w:hint="eastAsia"/>
          <w:color w:val="auto"/>
          <w:sz w:val="24"/>
        </w:rPr>
        <w:t>为方便核查投标保证金，投标人应将“投标保证金（投标担保函/银行保函）</w:t>
      </w:r>
      <w:r>
        <w:rPr>
          <w:color w:val="auto"/>
          <w:sz w:val="24"/>
        </w:rPr>
        <w:t>”</w:t>
      </w:r>
      <w:r>
        <w:rPr>
          <w:rFonts w:hint="eastAsia"/>
          <w:color w:val="auto"/>
          <w:sz w:val="24"/>
        </w:rPr>
        <w:t>单独密封（若投标保证金以汇款方式递交，须将汇款底单复印件加盖单位公章单独密封），并在信封上标明 “投标保证金（投标担保函/银行保函）”字样，在投标时单独递交。</w:t>
      </w:r>
    </w:p>
    <w:p>
      <w:pPr>
        <w:numPr>
          <w:ilvl w:val="1"/>
          <w:numId w:val="8"/>
        </w:numPr>
        <w:tabs>
          <w:tab w:val="left" w:pos="1080"/>
          <w:tab w:val="left" w:pos="2014"/>
        </w:tabs>
        <w:snapToGrid w:val="0"/>
        <w:spacing w:line="360" w:lineRule="auto"/>
        <w:ind w:left="1077" w:hanging="720"/>
        <w:rPr>
          <w:color w:val="auto"/>
          <w:sz w:val="24"/>
        </w:rPr>
      </w:pPr>
      <w:r>
        <w:rPr>
          <w:rFonts w:hint="eastAsia"/>
          <w:color w:val="auto"/>
          <w:sz w:val="24"/>
        </w:rPr>
        <w:t>所有信封上均应：</w:t>
      </w:r>
    </w:p>
    <w:p>
      <w:pPr>
        <w:tabs>
          <w:tab w:val="left" w:pos="1080"/>
          <w:tab w:val="left" w:pos="2014"/>
        </w:tabs>
        <w:snapToGrid w:val="0"/>
        <w:spacing w:line="360" w:lineRule="auto"/>
        <w:ind w:left="1050" w:leftChars="500"/>
        <w:rPr>
          <w:color w:val="auto"/>
          <w:sz w:val="24"/>
        </w:rPr>
      </w:pPr>
      <w:r>
        <w:rPr>
          <w:rFonts w:hint="eastAsia"/>
          <w:color w:val="auto"/>
          <w:sz w:val="24"/>
        </w:rPr>
        <w:t>1）清楚标明递交至招标公告或投标邀请书中指明的地址。</w:t>
      </w:r>
    </w:p>
    <w:p>
      <w:pPr>
        <w:tabs>
          <w:tab w:val="left" w:pos="1080"/>
          <w:tab w:val="left" w:pos="2014"/>
        </w:tabs>
        <w:snapToGrid w:val="0"/>
        <w:spacing w:line="360" w:lineRule="auto"/>
        <w:ind w:left="1050" w:leftChars="500"/>
        <w:rPr>
          <w:color w:val="auto"/>
          <w:sz w:val="24"/>
        </w:rPr>
      </w:pPr>
      <w:r>
        <w:rPr>
          <w:rFonts w:hint="eastAsia"/>
          <w:color w:val="auto"/>
          <w:sz w:val="24"/>
        </w:rPr>
        <w:t>2）注明招标公告或投标邀请书中指明的货物名称、招标编号和“在 （开标日期、时间）之前不得启封”的字样。</w:t>
      </w:r>
    </w:p>
    <w:p>
      <w:pPr>
        <w:tabs>
          <w:tab w:val="left" w:pos="1080"/>
          <w:tab w:val="left" w:pos="2014"/>
        </w:tabs>
        <w:snapToGrid w:val="0"/>
        <w:spacing w:line="360" w:lineRule="auto"/>
        <w:ind w:left="1050" w:leftChars="500"/>
        <w:rPr>
          <w:color w:val="auto"/>
          <w:sz w:val="24"/>
        </w:rPr>
      </w:pPr>
      <w:r>
        <w:rPr>
          <w:rFonts w:hint="eastAsia"/>
          <w:color w:val="auto"/>
          <w:sz w:val="24"/>
        </w:rPr>
        <w:t>3）在信封的封装处加盖投标人公章。</w:t>
      </w:r>
    </w:p>
    <w:p>
      <w:pPr>
        <w:numPr>
          <w:ilvl w:val="1"/>
          <w:numId w:val="8"/>
        </w:numPr>
        <w:tabs>
          <w:tab w:val="left" w:pos="1080"/>
          <w:tab w:val="left" w:pos="2014"/>
        </w:tabs>
        <w:snapToGrid w:val="0"/>
        <w:spacing w:line="360" w:lineRule="auto"/>
        <w:ind w:left="1077" w:hanging="720"/>
        <w:rPr>
          <w:color w:val="auto"/>
          <w:sz w:val="24"/>
        </w:rPr>
      </w:pPr>
      <w:r>
        <w:rPr>
          <w:rFonts w:hint="eastAsia"/>
          <w:color w:val="auto"/>
          <w:sz w:val="24"/>
        </w:rPr>
        <w:t>如果投标人未按上述要求密封及加写标记，包括未单独提交投标保证金、开标一览表及投标文件电子版的，其投标将被拒绝，且招标采购单位对投标文件的误投或过早启封概不负责</w:t>
      </w:r>
      <w:r>
        <w:rPr>
          <w:color w:val="auto"/>
          <w:sz w:val="24"/>
        </w:rPr>
        <w:t>。</w:t>
      </w:r>
    </w:p>
    <w:p>
      <w:pPr>
        <w:numPr>
          <w:ilvl w:val="0"/>
          <w:numId w:val="8"/>
        </w:numPr>
        <w:tabs>
          <w:tab w:val="left" w:pos="360"/>
        </w:tabs>
        <w:snapToGrid w:val="0"/>
        <w:spacing w:line="360" w:lineRule="auto"/>
        <w:ind w:left="357" w:hanging="357"/>
        <w:outlineLvl w:val="1"/>
        <w:rPr>
          <w:color w:val="auto"/>
          <w:sz w:val="24"/>
        </w:rPr>
      </w:pPr>
      <w:bookmarkStart w:id="452" w:name="_Toc151190163"/>
      <w:bookmarkStart w:id="453" w:name="_Toc164608805"/>
      <w:bookmarkStart w:id="454" w:name="_Toc151193850"/>
      <w:bookmarkStart w:id="455" w:name="_Toc305158804"/>
      <w:bookmarkStart w:id="456" w:name="_Toc127151737"/>
      <w:bookmarkStart w:id="457" w:name="_Toc142311038"/>
      <w:bookmarkStart w:id="458" w:name="_Toc150774741"/>
      <w:bookmarkStart w:id="459" w:name="_Toc164351630"/>
      <w:bookmarkStart w:id="460" w:name="_Toc151193924"/>
      <w:bookmarkStart w:id="461" w:name="_Toc305158878"/>
      <w:bookmarkStart w:id="462" w:name="_Toc127161450"/>
      <w:bookmarkStart w:id="463" w:name="_Toc164229231"/>
      <w:bookmarkStart w:id="464" w:name="_Toc150509287"/>
      <w:bookmarkStart w:id="465" w:name="_Toc226309780"/>
      <w:bookmarkStart w:id="466" w:name="_Toc151193778"/>
      <w:bookmarkStart w:id="467" w:name="_Toc226965726"/>
      <w:bookmarkStart w:id="468" w:name="_Toc149720829"/>
      <w:bookmarkStart w:id="469" w:name="_Toc226337232"/>
      <w:bookmarkStart w:id="470" w:name="_Toc150480774"/>
      <w:bookmarkStart w:id="471" w:name="_Toc150774636"/>
      <w:bookmarkStart w:id="472" w:name="_Toc195842901"/>
      <w:bookmarkStart w:id="473" w:name="_Toc264969226"/>
      <w:bookmarkStart w:id="474" w:name="_Toc151193634"/>
      <w:bookmarkStart w:id="475" w:name="_Toc226965809"/>
      <w:bookmarkStart w:id="476" w:name="_Toc164229377"/>
      <w:bookmarkStart w:id="477" w:name="_Toc520356161"/>
      <w:bookmarkStart w:id="478" w:name="_Toc164608650"/>
      <w:bookmarkStart w:id="479" w:name="_Toc265228374"/>
      <w:bookmarkStart w:id="480" w:name="_Toc151193706"/>
      <w:bookmarkStart w:id="481" w:name="_Toc127151536"/>
      <w:r>
        <w:rPr>
          <w:color w:val="auto"/>
          <w:sz w:val="24"/>
        </w:rPr>
        <w:t>投标截止</w:t>
      </w:r>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r>
        <w:rPr>
          <w:color w:val="auto"/>
          <w:sz w:val="24"/>
        </w:rPr>
        <w:t>时间</w:t>
      </w:r>
    </w:p>
    <w:p>
      <w:pPr>
        <w:numPr>
          <w:ilvl w:val="1"/>
          <w:numId w:val="8"/>
        </w:numPr>
        <w:tabs>
          <w:tab w:val="left" w:pos="1080"/>
          <w:tab w:val="left" w:pos="2014"/>
        </w:tabs>
        <w:snapToGrid w:val="0"/>
        <w:spacing w:line="360" w:lineRule="auto"/>
        <w:ind w:left="1077" w:hanging="720"/>
        <w:rPr>
          <w:color w:val="auto"/>
          <w:sz w:val="24"/>
        </w:rPr>
      </w:pPr>
      <w:r>
        <w:rPr>
          <w:color w:val="auto"/>
          <w:sz w:val="24"/>
        </w:rPr>
        <w:t>投标人应在招标文件要求提交投标文件截止时间前，</w:t>
      </w:r>
      <w:r>
        <w:rPr>
          <w:rFonts w:hint="eastAsia"/>
          <w:color w:val="auto"/>
          <w:sz w:val="24"/>
        </w:rPr>
        <w:t>将投标文件递交招标采购单位</w:t>
      </w:r>
      <w:r>
        <w:rPr>
          <w:color w:val="auto"/>
          <w:sz w:val="24"/>
        </w:rPr>
        <w:t>。</w:t>
      </w:r>
    </w:p>
    <w:p>
      <w:pPr>
        <w:numPr>
          <w:ilvl w:val="0"/>
          <w:numId w:val="8"/>
        </w:numPr>
        <w:tabs>
          <w:tab w:val="left" w:pos="360"/>
        </w:tabs>
        <w:snapToGrid w:val="0"/>
        <w:spacing w:line="360" w:lineRule="auto"/>
        <w:ind w:left="357" w:hanging="357"/>
        <w:outlineLvl w:val="1"/>
        <w:rPr>
          <w:color w:val="auto"/>
          <w:sz w:val="24"/>
        </w:rPr>
      </w:pPr>
      <w:bookmarkStart w:id="482" w:name="_Toc150480775"/>
      <w:bookmarkStart w:id="483" w:name="_Toc149720830"/>
      <w:bookmarkStart w:id="484" w:name="_Toc142311039"/>
      <w:bookmarkStart w:id="485" w:name="_Toc264969227"/>
      <w:bookmarkStart w:id="486" w:name="_Toc150774637"/>
      <w:bookmarkStart w:id="487" w:name="_Toc305158805"/>
      <w:bookmarkStart w:id="488" w:name="_Toc226337233"/>
      <w:bookmarkStart w:id="489" w:name="_Toc520356162"/>
      <w:bookmarkStart w:id="490" w:name="_Toc127161451"/>
      <w:bookmarkStart w:id="491" w:name="_Toc151193851"/>
      <w:bookmarkStart w:id="492" w:name="_Toc151193925"/>
      <w:bookmarkStart w:id="493" w:name="_Toc164351631"/>
      <w:bookmarkStart w:id="494" w:name="_Toc226965810"/>
      <w:bookmarkStart w:id="495" w:name="_Toc151190164"/>
      <w:bookmarkStart w:id="496" w:name="_Toc150509288"/>
      <w:bookmarkStart w:id="497" w:name="_Toc226965727"/>
      <w:bookmarkStart w:id="498" w:name="_Toc305158879"/>
      <w:bookmarkStart w:id="499" w:name="_Toc164608651"/>
      <w:bookmarkStart w:id="500" w:name="_Toc150774742"/>
      <w:bookmarkStart w:id="501" w:name="_Toc127151738"/>
      <w:bookmarkStart w:id="502" w:name="_Toc226309781"/>
      <w:bookmarkStart w:id="503" w:name="_Toc151193779"/>
      <w:bookmarkStart w:id="504" w:name="_Toc195842902"/>
      <w:bookmarkStart w:id="505" w:name="_Toc151193635"/>
      <w:bookmarkStart w:id="506" w:name="_Toc164229378"/>
      <w:bookmarkStart w:id="507" w:name="_Toc127151537"/>
      <w:bookmarkStart w:id="508" w:name="_Toc164229232"/>
      <w:bookmarkStart w:id="509" w:name="_Toc164608806"/>
      <w:bookmarkStart w:id="510" w:name="_Toc151193707"/>
      <w:bookmarkStart w:id="511" w:name="_Toc265228375"/>
      <w:r>
        <w:rPr>
          <w:color w:val="auto"/>
          <w:sz w:val="24"/>
        </w:rPr>
        <w:t>投标文件的修改与撤回</w:t>
      </w:r>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p>
    <w:p>
      <w:pPr>
        <w:numPr>
          <w:ilvl w:val="1"/>
          <w:numId w:val="8"/>
        </w:numPr>
        <w:tabs>
          <w:tab w:val="left" w:pos="1080"/>
          <w:tab w:val="left" w:pos="2014"/>
        </w:tabs>
        <w:snapToGrid w:val="0"/>
        <w:spacing w:line="360" w:lineRule="auto"/>
        <w:ind w:left="1077" w:hanging="720"/>
        <w:rPr>
          <w:color w:val="auto"/>
          <w:sz w:val="24"/>
        </w:rPr>
      </w:pPr>
      <w:r>
        <w:rPr>
          <w:color w:val="auto"/>
          <w:sz w:val="24"/>
        </w:rPr>
        <w:t>投标截止时间前，投标人可对所提交的投标文件进行</w:t>
      </w:r>
      <w:r>
        <w:rPr>
          <w:rFonts w:hint="eastAsia"/>
          <w:color w:val="auto"/>
          <w:sz w:val="24"/>
        </w:rPr>
        <w:t>书面</w:t>
      </w:r>
      <w:r>
        <w:rPr>
          <w:color w:val="auto"/>
          <w:sz w:val="24"/>
        </w:rPr>
        <w:t>补充、修改或者撤回。投标保证金</w:t>
      </w:r>
      <w:r>
        <w:rPr>
          <w:rFonts w:hint="eastAsia"/>
          <w:color w:val="auto"/>
          <w:sz w:val="24"/>
        </w:rPr>
        <w:t>的</w:t>
      </w:r>
      <w:r>
        <w:rPr>
          <w:color w:val="auto"/>
          <w:sz w:val="24"/>
        </w:rPr>
        <w:t>补充、修改或者撤回</w:t>
      </w:r>
      <w:r>
        <w:rPr>
          <w:rFonts w:hint="eastAsia"/>
          <w:color w:val="auto"/>
          <w:sz w:val="24"/>
        </w:rPr>
        <w:t>应通知</w:t>
      </w:r>
      <w:r>
        <w:rPr>
          <w:color w:val="auto"/>
          <w:sz w:val="24"/>
        </w:rPr>
        <w:t>采购人或采购代理机构。</w:t>
      </w:r>
    </w:p>
    <w:p>
      <w:pPr>
        <w:numPr>
          <w:ilvl w:val="1"/>
          <w:numId w:val="8"/>
        </w:numPr>
        <w:tabs>
          <w:tab w:val="left" w:pos="1080"/>
          <w:tab w:val="left" w:pos="2014"/>
        </w:tabs>
        <w:snapToGrid w:val="0"/>
        <w:spacing w:line="360" w:lineRule="auto"/>
        <w:ind w:left="1077" w:hanging="720"/>
        <w:rPr>
          <w:color w:val="auto"/>
          <w:sz w:val="24"/>
        </w:rPr>
      </w:pPr>
      <w:r>
        <w:rPr>
          <w:color w:val="auto"/>
          <w:sz w:val="24"/>
        </w:rPr>
        <w:t>投标人对投标文件的补充、修改的内容应当按照招标文件要求签署、盖章，作为投标文件的组成部分。</w:t>
      </w:r>
    </w:p>
    <w:p>
      <w:pPr>
        <w:numPr>
          <w:ilvl w:val="1"/>
          <w:numId w:val="8"/>
        </w:numPr>
        <w:tabs>
          <w:tab w:val="left" w:pos="1080"/>
          <w:tab w:val="left" w:pos="2014"/>
        </w:tabs>
        <w:snapToGrid w:val="0"/>
        <w:spacing w:line="360" w:lineRule="auto"/>
        <w:ind w:left="1077" w:hanging="720"/>
        <w:rPr>
          <w:color w:val="auto"/>
          <w:sz w:val="24"/>
        </w:rPr>
      </w:pPr>
      <w:r>
        <w:rPr>
          <w:rFonts w:hint="eastAsia"/>
          <w:color w:val="auto"/>
          <w:sz w:val="24"/>
        </w:rPr>
        <w:t>在投标截止期之后，投标人不得对其投标文件做任何修改。</w:t>
      </w:r>
    </w:p>
    <w:p>
      <w:pPr>
        <w:numPr>
          <w:ilvl w:val="1"/>
          <w:numId w:val="8"/>
        </w:numPr>
        <w:tabs>
          <w:tab w:val="left" w:pos="1080"/>
          <w:tab w:val="left" w:pos="2014"/>
        </w:tabs>
        <w:snapToGrid w:val="0"/>
        <w:spacing w:line="360" w:lineRule="auto"/>
        <w:ind w:left="1077" w:hanging="720"/>
        <w:rPr>
          <w:color w:val="auto"/>
          <w:sz w:val="24"/>
        </w:rPr>
      </w:pPr>
      <w:r>
        <w:rPr>
          <w:rFonts w:hint="eastAsia"/>
          <w:color w:val="auto"/>
          <w:sz w:val="24"/>
        </w:rPr>
        <w:t>从投标截止期至投标人在投标书格式中确定的投标有效期之间，投标人不得撤回其投标，否则其投标保证金将按照本须知的规定不予退回</w:t>
      </w:r>
      <w:r>
        <w:rPr>
          <w:color w:val="auto"/>
          <w:sz w:val="24"/>
        </w:rPr>
        <w:t>。</w:t>
      </w:r>
    </w:p>
    <w:p>
      <w:pPr>
        <w:spacing w:line="360" w:lineRule="auto"/>
        <w:rPr>
          <w:color w:val="auto"/>
          <w:sz w:val="24"/>
        </w:rPr>
      </w:pPr>
    </w:p>
    <w:p>
      <w:pPr>
        <w:pStyle w:val="3"/>
        <w:spacing w:before="0" w:line="360" w:lineRule="auto"/>
        <w:rPr>
          <w:rFonts w:ascii="Times New Roman" w:hAnsi="Times New Roman" w:eastAsia="宋体"/>
          <w:color w:val="auto"/>
          <w:sz w:val="28"/>
        </w:rPr>
      </w:pPr>
      <w:bookmarkStart w:id="512" w:name="_Toc226337234"/>
      <w:bookmarkStart w:id="513" w:name="_Toc151193708"/>
      <w:bookmarkStart w:id="514" w:name="_Toc265228376"/>
      <w:bookmarkStart w:id="515" w:name="_Toc150774638"/>
      <w:bookmarkStart w:id="516" w:name="_Toc150480776"/>
      <w:bookmarkStart w:id="517" w:name="_Toc195842903"/>
      <w:bookmarkStart w:id="518" w:name="_Toc151193852"/>
      <w:bookmarkStart w:id="519" w:name="_Toc520356163"/>
      <w:bookmarkStart w:id="520" w:name="_Toc305158880"/>
      <w:bookmarkStart w:id="521" w:name="_Toc151190165"/>
      <w:bookmarkStart w:id="522" w:name="_Toc226965811"/>
      <w:bookmarkStart w:id="523" w:name="_Toc305158806"/>
      <w:bookmarkStart w:id="524" w:name="_Toc150774743"/>
      <w:bookmarkStart w:id="525" w:name="_Toc151193636"/>
      <w:bookmarkStart w:id="526" w:name="_Toc151193780"/>
      <w:bookmarkStart w:id="527" w:name="_Toc226965728"/>
      <w:bookmarkStart w:id="528" w:name="_Toc151193926"/>
      <w:bookmarkStart w:id="529" w:name="_Toc142311040"/>
      <w:bookmarkStart w:id="530" w:name="_Toc150509289"/>
      <w:bookmarkStart w:id="531" w:name="_Toc264969228"/>
      <w:bookmarkStart w:id="532" w:name="_Toc226309782"/>
      <w:bookmarkStart w:id="533" w:name="_Toc127151538"/>
      <w:r>
        <w:rPr>
          <w:rFonts w:ascii="Times New Roman" w:hAnsi="Times New Roman" w:eastAsia="宋体"/>
          <w:color w:val="auto"/>
          <w:sz w:val="28"/>
        </w:rPr>
        <w:t>五   开标、资格审查及评标</w:t>
      </w:r>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p>
    <w:p>
      <w:pPr>
        <w:numPr>
          <w:ilvl w:val="0"/>
          <w:numId w:val="8"/>
        </w:numPr>
        <w:tabs>
          <w:tab w:val="left" w:pos="360"/>
        </w:tabs>
        <w:snapToGrid w:val="0"/>
        <w:spacing w:line="360" w:lineRule="auto"/>
        <w:ind w:left="357" w:hanging="357"/>
        <w:outlineLvl w:val="1"/>
        <w:rPr>
          <w:color w:val="auto"/>
          <w:sz w:val="24"/>
        </w:rPr>
      </w:pPr>
      <w:bookmarkStart w:id="534" w:name="_Toc164229234"/>
      <w:bookmarkStart w:id="535" w:name="_Toc150774744"/>
      <w:bookmarkStart w:id="536" w:name="_Toc151193927"/>
      <w:bookmarkStart w:id="537" w:name="_Toc127151539"/>
      <w:bookmarkStart w:id="538" w:name="_Toc164229380"/>
      <w:bookmarkStart w:id="539" w:name="_Toc150509290"/>
      <w:bookmarkStart w:id="540" w:name="_Toc226965812"/>
      <w:bookmarkStart w:id="541" w:name="_Toc226337235"/>
      <w:bookmarkStart w:id="542" w:name="_Toc305158807"/>
      <w:bookmarkStart w:id="543" w:name="_Toc142311041"/>
      <w:bookmarkStart w:id="544" w:name="_Toc520356164"/>
      <w:bookmarkStart w:id="545" w:name="_Toc151190166"/>
      <w:bookmarkStart w:id="546" w:name="_Toc151193781"/>
      <w:bookmarkStart w:id="547" w:name="_Toc164608808"/>
      <w:bookmarkStart w:id="548" w:name="_Toc195842904"/>
      <w:bookmarkStart w:id="549" w:name="_Toc164351633"/>
      <w:bookmarkStart w:id="550" w:name="_Toc151193853"/>
      <w:bookmarkStart w:id="551" w:name="_Toc226309783"/>
      <w:bookmarkStart w:id="552" w:name="_Toc226965729"/>
      <w:bookmarkStart w:id="553" w:name="_Toc151193709"/>
      <w:bookmarkStart w:id="554" w:name="_Toc127161453"/>
      <w:bookmarkStart w:id="555" w:name="_Toc164608653"/>
      <w:bookmarkStart w:id="556" w:name="_Toc149720832"/>
      <w:bookmarkStart w:id="557" w:name="_Toc150774639"/>
      <w:bookmarkStart w:id="558" w:name="_Toc150480777"/>
      <w:bookmarkStart w:id="559" w:name="_Toc264969229"/>
      <w:bookmarkStart w:id="560" w:name="_Toc151193637"/>
      <w:bookmarkStart w:id="561" w:name="_Toc305158881"/>
      <w:bookmarkStart w:id="562" w:name="_Toc127151740"/>
      <w:bookmarkStart w:id="563" w:name="_Toc265228377"/>
      <w:r>
        <w:rPr>
          <w:color w:val="auto"/>
          <w:sz w:val="24"/>
        </w:rPr>
        <w:t>开标</w:t>
      </w:r>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p>
    <w:p>
      <w:pPr>
        <w:numPr>
          <w:ilvl w:val="1"/>
          <w:numId w:val="8"/>
        </w:numPr>
        <w:tabs>
          <w:tab w:val="left" w:pos="1080"/>
          <w:tab w:val="left" w:pos="2014"/>
        </w:tabs>
        <w:snapToGrid w:val="0"/>
        <w:spacing w:line="360" w:lineRule="auto"/>
        <w:ind w:left="1077" w:hanging="720"/>
        <w:rPr>
          <w:color w:val="auto"/>
          <w:sz w:val="24"/>
        </w:rPr>
      </w:pPr>
      <w:r>
        <w:rPr>
          <w:color w:val="auto"/>
          <w:sz w:val="24"/>
        </w:rPr>
        <w:t>采购人或采购代理机构将按招标文件的规定，在投标截止时间的同一时间和招标文件预先确定的地点组织开标。</w:t>
      </w:r>
    </w:p>
    <w:p>
      <w:pPr>
        <w:numPr>
          <w:ilvl w:val="1"/>
          <w:numId w:val="8"/>
        </w:numPr>
        <w:tabs>
          <w:tab w:val="left" w:pos="1080"/>
          <w:tab w:val="left" w:pos="2014"/>
        </w:tabs>
        <w:snapToGrid w:val="0"/>
        <w:spacing w:line="360" w:lineRule="auto"/>
        <w:ind w:left="1077" w:hanging="720"/>
        <w:rPr>
          <w:color w:val="auto"/>
          <w:sz w:val="24"/>
        </w:rPr>
      </w:pPr>
      <w:r>
        <w:rPr>
          <w:rFonts w:hint="eastAsia"/>
          <w:color w:val="auto"/>
          <w:sz w:val="24"/>
        </w:rPr>
        <w:t>参加开标的代表应签名报到以证明其出席。投标人法定代表人和授权代表均未出席开标大会的投标将被</w:t>
      </w:r>
      <w:r>
        <w:rPr>
          <w:color w:val="auto"/>
          <w:sz w:val="24"/>
        </w:rPr>
        <w:t>视为</w:t>
      </w:r>
      <w:r>
        <w:rPr>
          <w:b/>
          <w:color w:val="auto"/>
          <w:sz w:val="24"/>
        </w:rPr>
        <w:t>投标无效</w:t>
      </w:r>
      <w:r>
        <w:rPr>
          <w:color w:val="auto"/>
          <w:sz w:val="24"/>
        </w:rPr>
        <w:t>。</w:t>
      </w:r>
    </w:p>
    <w:p>
      <w:pPr>
        <w:numPr>
          <w:ilvl w:val="1"/>
          <w:numId w:val="8"/>
        </w:numPr>
        <w:tabs>
          <w:tab w:val="left" w:pos="1080"/>
          <w:tab w:val="left" w:pos="2014"/>
        </w:tabs>
        <w:snapToGrid w:val="0"/>
        <w:spacing w:line="360" w:lineRule="auto"/>
        <w:ind w:left="1077" w:hanging="720"/>
        <w:rPr>
          <w:color w:val="auto"/>
          <w:sz w:val="24"/>
        </w:rPr>
      </w:pPr>
      <w:bookmarkStart w:id="564" w:name="_Toc520356165"/>
      <w:r>
        <w:rPr>
          <w:color w:val="auto"/>
          <w:sz w:val="24"/>
        </w:rPr>
        <w:t>开标过程将宣布投标人名称、投标价格和招标文件规定的需要宣布的其他内容并进行记录，并由参加开标的各投标人代表确认。</w:t>
      </w:r>
    </w:p>
    <w:p>
      <w:pPr>
        <w:numPr>
          <w:ilvl w:val="1"/>
          <w:numId w:val="8"/>
        </w:numPr>
        <w:tabs>
          <w:tab w:val="left" w:pos="1080"/>
          <w:tab w:val="left" w:pos="2014"/>
        </w:tabs>
        <w:snapToGrid w:val="0"/>
        <w:spacing w:line="360" w:lineRule="auto"/>
        <w:ind w:left="1077" w:hanging="720"/>
        <w:rPr>
          <w:color w:val="auto"/>
          <w:sz w:val="24"/>
        </w:rPr>
      </w:pPr>
      <w:r>
        <w:rPr>
          <w:color w:val="auto"/>
          <w:sz w:val="24"/>
        </w:rPr>
        <w:t>投标人代表对开标过程和开标记录有疑义，以及认为采购人、采购代理机构相关工作人员有需要回避的情形的，应当场提出询问或者回避申请。采购人、采购代理机构对投标人代表提出的询问或者回避申请将及时处理。</w:t>
      </w:r>
    </w:p>
    <w:p>
      <w:pPr>
        <w:numPr>
          <w:ilvl w:val="1"/>
          <w:numId w:val="8"/>
        </w:numPr>
        <w:tabs>
          <w:tab w:val="left" w:pos="1080"/>
          <w:tab w:val="left" w:pos="2014"/>
        </w:tabs>
        <w:snapToGrid w:val="0"/>
        <w:spacing w:line="360" w:lineRule="auto"/>
        <w:ind w:left="1077" w:hanging="720"/>
        <w:rPr>
          <w:color w:val="auto"/>
          <w:sz w:val="24"/>
        </w:rPr>
      </w:pPr>
      <w:r>
        <w:rPr>
          <w:color w:val="auto"/>
          <w:sz w:val="24"/>
        </w:rPr>
        <w:t>投标人不足3家的，不予开标。</w:t>
      </w:r>
    </w:p>
    <w:p>
      <w:pPr>
        <w:numPr>
          <w:ilvl w:val="0"/>
          <w:numId w:val="8"/>
        </w:numPr>
        <w:tabs>
          <w:tab w:val="left" w:pos="360"/>
        </w:tabs>
        <w:snapToGrid w:val="0"/>
        <w:spacing w:line="360" w:lineRule="auto"/>
        <w:ind w:left="357" w:hanging="357"/>
        <w:outlineLvl w:val="1"/>
        <w:rPr>
          <w:color w:val="auto"/>
          <w:sz w:val="24"/>
        </w:rPr>
      </w:pPr>
      <w:r>
        <w:rPr>
          <w:color w:val="auto"/>
          <w:sz w:val="24"/>
        </w:rPr>
        <w:t>资格审查</w:t>
      </w:r>
    </w:p>
    <w:p>
      <w:pPr>
        <w:numPr>
          <w:ilvl w:val="1"/>
          <w:numId w:val="8"/>
        </w:numPr>
        <w:tabs>
          <w:tab w:val="left" w:pos="1080"/>
          <w:tab w:val="left" w:pos="2014"/>
        </w:tabs>
        <w:snapToGrid w:val="0"/>
        <w:spacing w:line="360" w:lineRule="auto"/>
        <w:ind w:left="1077" w:hanging="720"/>
        <w:rPr>
          <w:color w:val="auto"/>
          <w:sz w:val="24"/>
        </w:rPr>
      </w:pPr>
      <w:r>
        <w:rPr>
          <w:color w:val="auto"/>
          <w:sz w:val="24"/>
        </w:rPr>
        <w:t>见第三章《资格审查》。</w:t>
      </w:r>
    </w:p>
    <w:bookmarkEnd w:id="564"/>
    <w:p>
      <w:pPr>
        <w:numPr>
          <w:ilvl w:val="0"/>
          <w:numId w:val="8"/>
        </w:numPr>
        <w:tabs>
          <w:tab w:val="left" w:pos="360"/>
        </w:tabs>
        <w:snapToGrid w:val="0"/>
        <w:spacing w:line="360" w:lineRule="auto"/>
        <w:ind w:left="357" w:hanging="357"/>
        <w:outlineLvl w:val="1"/>
        <w:rPr>
          <w:color w:val="auto"/>
          <w:sz w:val="24"/>
        </w:rPr>
      </w:pPr>
      <w:bookmarkStart w:id="565" w:name="_Toc164608809"/>
      <w:bookmarkStart w:id="566" w:name="_Toc305158808"/>
      <w:bookmarkStart w:id="567" w:name="_Toc151193928"/>
      <w:bookmarkStart w:id="568" w:name="_Toc151193638"/>
      <w:bookmarkStart w:id="569" w:name="_Toc151190167"/>
      <w:bookmarkStart w:id="570" w:name="_Toc226965813"/>
      <w:bookmarkStart w:id="571" w:name="_Toc149720833"/>
      <w:bookmarkStart w:id="572" w:name="_Toc151193710"/>
      <w:bookmarkStart w:id="573" w:name="_Toc264969230"/>
      <w:bookmarkStart w:id="574" w:name="_Toc226309784"/>
      <w:bookmarkStart w:id="575" w:name="_Toc226337236"/>
      <w:bookmarkStart w:id="576" w:name="_Toc151193854"/>
      <w:bookmarkStart w:id="577" w:name="_Toc127151540"/>
      <w:bookmarkStart w:id="578" w:name="_Toc142311042"/>
      <w:bookmarkStart w:id="579" w:name="_Toc164608654"/>
      <w:bookmarkStart w:id="580" w:name="_Toc265228378"/>
      <w:bookmarkStart w:id="581" w:name="_Toc305158882"/>
      <w:bookmarkStart w:id="582" w:name="_Toc164229381"/>
      <w:bookmarkStart w:id="583" w:name="_Toc150480778"/>
      <w:bookmarkStart w:id="584" w:name="_Toc226965730"/>
      <w:bookmarkStart w:id="585" w:name="_Toc164229235"/>
      <w:bookmarkStart w:id="586" w:name="_Toc127151741"/>
      <w:bookmarkStart w:id="587" w:name="_Toc127161454"/>
      <w:bookmarkStart w:id="588" w:name="_Toc195842905"/>
      <w:bookmarkStart w:id="589" w:name="_Toc150774640"/>
      <w:bookmarkStart w:id="590" w:name="_Toc151193782"/>
      <w:bookmarkStart w:id="591" w:name="_Toc164351634"/>
      <w:bookmarkStart w:id="592" w:name="_Toc150509291"/>
      <w:bookmarkStart w:id="593" w:name="_Toc150774745"/>
      <w:r>
        <w:rPr>
          <w:color w:val="auto"/>
          <w:sz w:val="24"/>
        </w:rPr>
        <w:t>评标委员会</w:t>
      </w:r>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p>
    <w:p>
      <w:pPr>
        <w:numPr>
          <w:ilvl w:val="1"/>
          <w:numId w:val="8"/>
        </w:numPr>
        <w:tabs>
          <w:tab w:val="left" w:pos="1080"/>
          <w:tab w:val="left" w:pos="2014"/>
        </w:tabs>
        <w:snapToGrid w:val="0"/>
        <w:spacing w:line="360" w:lineRule="auto"/>
        <w:ind w:left="1077" w:hanging="720"/>
        <w:rPr>
          <w:color w:val="auto"/>
          <w:sz w:val="24"/>
        </w:rPr>
      </w:pPr>
      <w:r>
        <w:rPr>
          <w:color w:val="auto"/>
          <w:sz w:val="24"/>
        </w:rPr>
        <w:t>评标委员会根据政府采购有关规定和本次采购项目的特点进行组建，并负责具体评标事务，独立履行职责。</w:t>
      </w:r>
      <w:bookmarkStart w:id="594" w:name="_Toc520356166"/>
    </w:p>
    <w:p>
      <w:pPr>
        <w:numPr>
          <w:ilvl w:val="1"/>
          <w:numId w:val="8"/>
        </w:numPr>
        <w:tabs>
          <w:tab w:val="left" w:pos="1080"/>
          <w:tab w:val="left" w:pos="2014"/>
        </w:tabs>
        <w:snapToGrid w:val="0"/>
        <w:spacing w:line="360" w:lineRule="auto"/>
        <w:ind w:left="1077" w:hanging="720"/>
        <w:rPr>
          <w:color w:val="auto"/>
          <w:sz w:val="24"/>
        </w:rPr>
      </w:pPr>
      <w:r>
        <w:rPr>
          <w:color w:val="auto"/>
          <w:sz w:val="24"/>
        </w:rPr>
        <w:t>评审专家须符合《财政部关于在政府采购活动中查询及使用信用记录有关问题的通知》（财库〔2016〕125号）的规定。依法自行选定评审专家的，采购人和采购代理机构将查询有关信用记录，对具有行贿、受贿、欺诈等不良信用记录的人员，拒绝其参与政府采购活动。</w:t>
      </w:r>
      <w:bookmarkEnd w:id="594"/>
      <w:bookmarkStart w:id="595" w:name="_Toc520356169"/>
    </w:p>
    <w:p>
      <w:pPr>
        <w:numPr>
          <w:ilvl w:val="0"/>
          <w:numId w:val="8"/>
        </w:numPr>
        <w:tabs>
          <w:tab w:val="left" w:pos="360"/>
        </w:tabs>
        <w:snapToGrid w:val="0"/>
        <w:spacing w:line="360" w:lineRule="auto"/>
        <w:ind w:left="357" w:hanging="357"/>
        <w:outlineLvl w:val="1"/>
        <w:rPr>
          <w:color w:val="auto"/>
          <w:sz w:val="24"/>
        </w:rPr>
      </w:pPr>
      <w:r>
        <w:rPr>
          <w:color w:val="auto"/>
          <w:sz w:val="24"/>
        </w:rPr>
        <w:t>评标程序、评标方法和评标标准</w:t>
      </w:r>
    </w:p>
    <w:p>
      <w:pPr>
        <w:numPr>
          <w:ilvl w:val="1"/>
          <w:numId w:val="8"/>
        </w:numPr>
        <w:tabs>
          <w:tab w:val="left" w:pos="1080"/>
          <w:tab w:val="left" w:pos="2014"/>
        </w:tabs>
        <w:snapToGrid w:val="0"/>
        <w:spacing w:line="360" w:lineRule="auto"/>
        <w:ind w:left="1077" w:hanging="720"/>
        <w:rPr>
          <w:color w:val="auto"/>
          <w:sz w:val="24"/>
        </w:rPr>
      </w:pPr>
      <w:r>
        <w:rPr>
          <w:color w:val="auto"/>
          <w:sz w:val="24"/>
        </w:rPr>
        <w:t>见第四章《评标程序、评标方法和评标标准》。</w:t>
      </w:r>
    </w:p>
    <w:p>
      <w:pPr>
        <w:tabs>
          <w:tab w:val="left" w:pos="360"/>
          <w:tab w:val="left" w:pos="1080"/>
        </w:tabs>
        <w:snapToGrid w:val="0"/>
        <w:spacing w:line="360" w:lineRule="auto"/>
        <w:ind w:left="1080"/>
        <w:rPr>
          <w:color w:val="auto"/>
          <w:sz w:val="24"/>
        </w:rPr>
      </w:pPr>
    </w:p>
    <w:p>
      <w:pPr>
        <w:pStyle w:val="3"/>
        <w:spacing w:before="0" w:line="360" w:lineRule="auto"/>
        <w:rPr>
          <w:rFonts w:ascii="Times New Roman" w:hAnsi="Times New Roman" w:eastAsia="宋体"/>
          <w:color w:val="auto"/>
          <w:sz w:val="28"/>
        </w:rPr>
      </w:pPr>
      <w:bookmarkStart w:id="596" w:name="_Toc151193715"/>
      <w:bookmarkStart w:id="597" w:name="_Toc151193859"/>
      <w:bookmarkStart w:id="598" w:name="_Toc226337241"/>
      <w:bookmarkStart w:id="599" w:name="_Toc150480783"/>
      <w:bookmarkStart w:id="600" w:name="_Toc226965818"/>
      <w:bookmarkStart w:id="601" w:name="_Toc226965735"/>
      <w:bookmarkStart w:id="602" w:name="_Toc226309789"/>
      <w:bookmarkStart w:id="603" w:name="_Toc305158887"/>
      <w:bookmarkStart w:id="604" w:name="_Toc151193933"/>
      <w:bookmarkStart w:id="605" w:name="_Toc151193787"/>
      <w:bookmarkStart w:id="606" w:name="_Toc151190172"/>
      <w:bookmarkStart w:id="607" w:name="_Toc150774750"/>
      <w:bookmarkStart w:id="608" w:name="_Toc305158813"/>
      <w:bookmarkStart w:id="609" w:name="_Toc127151545"/>
      <w:bookmarkStart w:id="610" w:name="_Toc142311047"/>
      <w:bookmarkStart w:id="611" w:name="_Toc264969235"/>
      <w:bookmarkStart w:id="612" w:name="_Toc195842910"/>
      <w:bookmarkStart w:id="613" w:name="_Toc150509296"/>
      <w:bookmarkStart w:id="614" w:name="_Toc150774645"/>
      <w:bookmarkStart w:id="615" w:name="_Toc151193643"/>
      <w:bookmarkStart w:id="616" w:name="_Toc265228383"/>
      <w:r>
        <w:rPr>
          <w:rFonts w:ascii="Times New Roman" w:hAnsi="Times New Roman" w:eastAsia="宋体"/>
          <w:color w:val="auto"/>
          <w:sz w:val="28"/>
        </w:rPr>
        <w:t xml:space="preserve">六   </w:t>
      </w:r>
      <w:bookmarkEnd w:id="595"/>
      <w:r>
        <w:rPr>
          <w:rFonts w:ascii="Times New Roman" w:hAnsi="Times New Roman" w:eastAsia="宋体"/>
          <w:color w:val="auto"/>
          <w:sz w:val="28"/>
        </w:rPr>
        <w:t>确定中标</w:t>
      </w:r>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Start w:id="617" w:name="_Toc150774752"/>
      <w:bookmarkStart w:id="618" w:name="_Toc164229388"/>
      <w:bookmarkStart w:id="619" w:name="_Toc226965737"/>
      <w:bookmarkStart w:id="620" w:name="_Toc151193861"/>
      <w:bookmarkStart w:id="621" w:name="_Toc150480785"/>
      <w:bookmarkStart w:id="622" w:name="_Toc195842912"/>
      <w:bookmarkStart w:id="623" w:name="_Toc151193789"/>
      <w:bookmarkStart w:id="624" w:name="_Toc151193935"/>
      <w:bookmarkStart w:id="625" w:name="_Toc150774647"/>
      <w:bookmarkStart w:id="626" w:name="_Toc151190174"/>
      <w:bookmarkStart w:id="627" w:name="_Toc226337243"/>
      <w:bookmarkStart w:id="628" w:name="_Toc164608661"/>
      <w:bookmarkStart w:id="629" w:name="_Toc151193645"/>
      <w:bookmarkStart w:id="630" w:name="_Toc226309791"/>
      <w:bookmarkStart w:id="631" w:name="_Toc142311049"/>
      <w:bookmarkStart w:id="632" w:name="_Toc127151547"/>
      <w:bookmarkStart w:id="633" w:name="_Toc164229242"/>
      <w:bookmarkStart w:id="634" w:name="_Toc226965820"/>
      <w:bookmarkStart w:id="635" w:name="_Toc150509298"/>
      <w:bookmarkStart w:id="636" w:name="_Toc265228385"/>
      <w:bookmarkStart w:id="637" w:name="_Toc149720840"/>
      <w:bookmarkStart w:id="638" w:name="_Toc264969237"/>
      <w:bookmarkStart w:id="639" w:name="_Toc127151748"/>
      <w:bookmarkStart w:id="640" w:name="_Toc305158815"/>
      <w:bookmarkStart w:id="641" w:name="_Toc151193717"/>
      <w:bookmarkStart w:id="642" w:name="_Toc305158889"/>
      <w:bookmarkStart w:id="643" w:name="_Toc164351641"/>
      <w:bookmarkStart w:id="644" w:name="_Toc127161461"/>
      <w:bookmarkStart w:id="645" w:name="_Toc164608816"/>
    </w:p>
    <w:p>
      <w:pPr>
        <w:numPr>
          <w:ilvl w:val="0"/>
          <w:numId w:val="8"/>
        </w:numPr>
        <w:tabs>
          <w:tab w:val="left" w:pos="360"/>
        </w:tabs>
        <w:snapToGrid w:val="0"/>
        <w:spacing w:line="360" w:lineRule="auto"/>
        <w:ind w:left="357" w:hanging="357"/>
        <w:outlineLvl w:val="1"/>
        <w:rPr>
          <w:color w:val="auto"/>
          <w:sz w:val="24"/>
        </w:rPr>
      </w:pPr>
      <w:r>
        <w:rPr>
          <w:color w:val="auto"/>
          <w:sz w:val="24"/>
        </w:rPr>
        <w:t>确定中标人</w:t>
      </w:r>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p>
    <w:p>
      <w:pPr>
        <w:numPr>
          <w:ilvl w:val="1"/>
          <w:numId w:val="8"/>
        </w:numPr>
        <w:tabs>
          <w:tab w:val="left" w:pos="1080"/>
          <w:tab w:val="left" w:pos="2014"/>
        </w:tabs>
        <w:snapToGrid w:val="0"/>
        <w:spacing w:line="360" w:lineRule="auto"/>
        <w:ind w:left="1077" w:hanging="720"/>
        <w:rPr>
          <w:color w:val="auto"/>
          <w:sz w:val="24"/>
        </w:rPr>
      </w:pPr>
      <w:r>
        <w:rPr>
          <w:color w:val="auto"/>
          <w:sz w:val="24"/>
        </w:rPr>
        <w:t>采购人将在评标报告确定的中标候选人名单中按顺序确定中标人，中标候选人并列的，由采购人或者采购人委托评标委员会按照招标文件规定的方式确定中标人；招标文件未规定的，采取随机抽取的方式确定。</w:t>
      </w:r>
      <w:r>
        <w:rPr>
          <w:rFonts w:eastAsiaTheme="minorEastAsia"/>
          <w:color w:val="auto"/>
          <w:sz w:val="24"/>
        </w:rPr>
        <w:t>采购人是否</w:t>
      </w:r>
      <w:r>
        <w:rPr>
          <w:color w:val="auto"/>
          <w:sz w:val="24"/>
        </w:rPr>
        <w:t>委托评标委员会</w:t>
      </w:r>
      <w:r>
        <w:rPr>
          <w:rFonts w:eastAsiaTheme="minorEastAsia"/>
          <w:color w:val="auto"/>
          <w:sz w:val="24"/>
        </w:rPr>
        <w:t>直接确定中标人，见《投标人须知资料表》。中标候选人并列的，按照《投标人须知资料表》要求确定</w:t>
      </w:r>
      <w:r>
        <w:rPr>
          <w:rFonts w:hint="eastAsia" w:eastAsiaTheme="minorEastAsia"/>
          <w:color w:val="auto"/>
          <w:sz w:val="24"/>
        </w:rPr>
        <w:t>中标人</w:t>
      </w:r>
      <w:r>
        <w:rPr>
          <w:rFonts w:eastAsiaTheme="minorEastAsia"/>
          <w:color w:val="auto"/>
          <w:sz w:val="24"/>
        </w:rPr>
        <w:t>。</w:t>
      </w:r>
    </w:p>
    <w:p>
      <w:pPr>
        <w:numPr>
          <w:ilvl w:val="0"/>
          <w:numId w:val="8"/>
        </w:numPr>
        <w:tabs>
          <w:tab w:val="left" w:pos="360"/>
        </w:tabs>
        <w:snapToGrid w:val="0"/>
        <w:spacing w:line="360" w:lineRule="auto"/>
        <w:ind w:left="357" w:hanging="357"/>
        <w:outlineLvl w:val="1"/>
        <w:rPr>
          <w:color w:val="auto"/>
          <w:sz w:val="24"/>
        </w:rPr>
      </w:pPr>
      <w:bookmarkStart w:id="646" w:name="_Toc305158817"/>
      <w:bookmarkStart w:id="647" w:name="_Toc305158891"/>
      <w:bookmarkStart w:id="648" w:name="_Toc195842914"/>
      <w:bookmarkStart w:id="649" w:name="_Toc142311051"/>
      <w:bookmarkStart w:id="650" w:name="_Toc164229390"/>
      <w:bookmarkStart w:id="651" w:name="_Toc151193937"/>
      <w:bookmarkStart w:id="652" w:name="_Toc151193863"/>
      <w:bookmarkStart w:id="653" w:name="_Toc150774754"/>
      <w:bookmarkStart w:id="654" w:name="_Toc265228387"/>
      <w:bookmarkStart w:id="655" w:name="_Toc164608818"/>
      <w:bookmarkStart w:id="656" w:name="_Toc164229244"/>
      <w:bookmarkStart w:id="657" w:name="_Toc151193791"/>
      <w:bookmarkStart w:id="658" w:name="_Toc226965739"/>
      <w:bookmarkStart w:id="659" w:name="_Toc150509300"/>
      <w:bookmarkStart w:id="660" w:name="_Toc164608663"/>
      <w:bookmarkStart w:id="661" w:name="_Toc151193719"/>
      <w:bookmarkStart w:id="662" w:name="_Toc127161463"/>
      <w:bookmarkStart w:id="663" w:name="_Toc264969239"/>
      <w:bookmarkStart w:id="664" w:name="_Toc150774649"/>
      <w:bookmarkStart w:id="665" w:name="_Toc226309793"/>
      <w:bookmarkStart w:id="666" w:name="_Toc127151549"/>
      <w:bookmarkStart w:id="667" w:name="_Toc151193647"/>
      <w:bookmarkStart w:id="668" w:name="_Toc149720842"/>
      <w:bookmarkStart w:id="669" w:name="_Toc127151750"/>
      <w:bookmarkStart w:id="670" w:name="_Toc226965822"/>
      <w:bookmarkStart w:id="671" w:name="_Toc226337245"/>
      <w:bookmarkStart w:id="672" w:name="_Toc150480787"/>
      <w:bookmarkStart w:id="673" w:name="_Toc151190176"/>
      <w:bookmarkStart w:id="674" w:name="_Toc164351643"/>
      <w:bookmarkStart w:id="675" w:name="_Toc520356176"/>
      <w:bookmarkStart w:id="676" w:name="_Ref467306425"/>
      <w:bookmarkStart w:id="677" w:name="_Ref467307090"/>
      <w:r>
        <w:rPr>
          <w:color w:val="auto"/>
          <w:sz w:val="24"/>
        </w:rPr>
        <w:t>中标公告与中标通知书</w:t>
      </w:r>
      <w:bookmarkEnd w:id="646"/>
      <w:bookmarkEnd w:id="647"/>
    </w:p>
    <w:p>
      <w:pPr>
        <w:numPr>
          <w:ilvl w:val="1"/>
          <w:numId w:val="8"/>
        </w:numPr>
        <w:tabs>
          <w:tab w:val="left" w:pos="1080"/>
          <w:tab w:val="left" w:pos="2014"/>
        </w:tabs>
        <w:snapToGrid w:val="0"/>
        <w:spacing w:line="360" w:lineRule="auto"/>
        <w:ind w:left="1077" w:hanging="720"/>
        <w:rPr>
          <w:color w:val="auto"/>
          <w:sz w:val="24"/>
        </w:rPr>
      </w:pPr>
      <w:r>
        <w:rPr>
          <w:color w:val="auto"/>
          <w:sz w:val="24"/>
        </w:rPr>
        <w:t>采购人或采购代理机构自中标人确定之日起2个工作日内，</w:t>
      </w:r>
      <w:r>
        <w:rPr>
          <w:color w:val="auto"/>
          <w:kern w:val="0"/>
          <w:sz w:val="24"/>
        </w:rPr>
        <w:t>在北京市政府采购网公告中标结果</w:t>
      </w:r>
      <w:r>
        <w:rPr>
          <w:color w:val="auto"/>
          <w:sz w:val="24"/>
        </w:rPr>
        <w:t>，同时向中标人发出中标通知书，中标公告期限为1个工作日。</w:t>
      </w:r>
    </w:p>
    <w:p>
      <w:pPr>
        <w:numPr>
          <w:ilvl w:val="1"/>
          <w:numId w:val="8"/>
        </w:numPr>
        <w:tabs>
          <w:tab w:val="left" w:pos="1080"/>
          <w:tab w:val="left" w:pos="2014"/>
        </w:tabs>
        <w:snapToGrid w:val="0"/>
        <w:spacing w:line="360" w:lineRule="auto"/>
        <w:ind w:left="1077" w:hanging="720"/>
        <w:rPr>
          <w:color w:val="auto"/>
          <w:sz w:val="24"/>
        </w:rPr>
      </w:pPr>
      <w:r>
        <w:rPr>
          <w:color w:val="auto"/>
          <w:sz w:val="24"/>
        </w:rPr>
        <w:t>中标通知书对采购人和中标供应商均具有法律效力。中标通知书发出后，采购人改变中标结果的，或者中标供应商放弃中标项目的，应当依法承担法律责任。</w:t>
      </w:r>
    </w:p>
    <w:p>
      <w:pPr>
        <w:numPr>
          <w:ilvl w:val="0"/>
          <w:numId w:val="8"/>
        </w:numPr>
        <w:tabs>
          <w:tab w:val="left" w:pos="360"/>
        </w:tabs>
        <w:snapToGrid w:val="0"/>
        <w:spacing w:line="360" w:lineRule="auto"/>
        <w:ind w:left="357" w:hanging="357"/>
        <w:outlineLvl w:val="1"/>
        <w:rPr>
          <w:color w:val="auto"/>
          <w:sz w:val="24"/>
        </w:rPr>
      </w:pPr>
      <w:r>
        <w:rPr>
          <w:color w:val="auto"/>
          <w:sz w:val="24"/>
        </w:rPr>
        <w:t>废标</w:t>
      </w:r>
    </w:p>
    <w:p>
      <w:pPr>
        <w:numPr>
          <w:ilvl w:val="1"/>
          <w:numId w:val="8"/>
        </w:numPr>
        <w:tabs>
          <w:tab w:val="left" w:pos="1080"/>
          <w:tab w:val="left" w:pos="2014"/>
        </w:tabs>
        <w:snapToGrid w:val="0"/>
        <w:spacing w:line="360" w:lineRule="auto"/>
        <w:ind w:left="1077" w:hanging="720"/>
        <w:rPr>
          <w:color w:val="auto"/>
          <w:sz w:val="24"/>
        </w:rPr>
      </w:pPr>
      <w:r>
        <w:rPr>
          <w:color w:val="auto"/>
          <w:sz w:val="24"/>
        </w:rPr>
        <w:t>在招标采购中，出现下列情形之一的，应予废标：</w:t>
      </w:r>
    </w:p>
    <w:p>
      <w:pPr>
        <w:numPr>
          <w:ilvl w:val="2"/>
          <w:numId w:val="8"/>
        </w:numPr>
        <w:snapToGrid w:val="0"/>
        <w:spacing w:line="360" w:lineRule="auto"/>
        <w:rPr>
          <w:color w:val="auto"/>
          <w:sz w:val="24"/>
        </w:rPr>
      </w:pPr>
      <w:r>
        <w:rPr>
          <w:color w:val="auto"/>
          <w:sz w:val="24"/>
        </w:rPr>
        <w:t>符合专业条件的供应商或者对招标文件作实质响应的供应商不足三家的；</w:t>
      </w:r>
    </w:p>
    <w:p>
      <w:pPr>
        <w:numPr>
          <w:ilvl w:val="2"/>
          <w:numId w:val="8"/>
        </w:numPr>
        <w:snapToGrid w:val="0"/>
        <w:spacing w:line="360" w:lineRule="auto"/>
        <w:rPr>
          <w:color w:val="auto"/>
          <w:sz w:val="24"/>
        </w:rPr>
      </w:pPr>
      <w:r>
        <w:rPr>
          <w:color w:val="auto"/>
          <w:sz w:val="24"/>
        </w:rPr>
        <w:t>出现影响采购公正的违法、违规行为的；</w:t>
      </w:r>
    </w:p>
    <w:p>
      <w:pPr>
        <w:numPr>
          <w:ilvl w:val="2"/>
          <w:numId w:val="8"/>
        </w:numPr>
        <w:snapToGrid w:val="0"/>
        <w:spacing w:line="360" w:lineRule="auto"/>
        <w:rPr>
          <w:color w:val="auto"/>
          <w:sz w:val="24"/>
        </w:rPr>
      </w:pPr>
      <w:r>
        <w:rPr>
          <w:color w:val="auto"/>
          <w:sz w:val="24"/>
        </w:rPr>
        <w:t>投标人的报价均超过了采购预算，采购人不能支付的；</w:t>
      </w:r>
    </w:p>
    <w:p>
      <w:pPr>
        <w:numPr>
          <w:ilvl w:val="2"/>
          <w:numId w:val="8"/>
        </w:numPr>
        <w:snapToGrid w:val="0"/>
        <w:spacing w:line="360" w:lineRule="auto"/>
        <w:rPr>
          <w:color w:val="auto"/>
          <w:sz w:val="24"/>
        </w:rPr>
      </w:pPr>
      <w:r>
        <w:rPr>
          <w:color w:val="auto"/>
          <w:sz w:val="24"/>
        </w:rPr>
        <w:t>因重大变故，采购任务取消的。</w:t>
      </w:r>
    </w:p>
    <w:p>
      <w:pPr>
        <w:numPr>
          <w:ilvl w:val="1"/>
          <w:numId w:val="8"/>
        </w:numPr>
        <w:tabs>
          <w:tab w:val="left" w:pos="1080"/>
          <w:tab w:val="left" w:pos="2014"/>
        </w:tabs>
        <w:snapToGrid w:val="0"/>
        <w:spacing w:line="360" w:lineRule="auto"/>
        <w:ind w:left="1077" w:hanging="720"/>
        <w:rPr>
          <w:color w:val="auto"/>
          <w:sz w:val="24"/>
        </w:rPr>
      </w:pPr>
      <w:r>
        <w:rPr>
          <w:color w:val="auto"/>
          <w:sz w:val="24"/>
        </w:rPr>
        <w:t>废标后，采购人将废标理由书面通知所有投标人。</w:t>
      </w:r>
    </w:p>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p>
      <w:pPr>
        <w:numPr>
          <w:ilvl w:val="0"/>
          <w:numId w:val="8"/>
        </w:numPr>
        <w:tabs>
          <w:tab w:val="left" w:pos="360"/>
        </w:tabs>
        <w:snapToGrid w:val="0"/>
        <w:spacing w:line="360" w:lineRule="auto"/>
        <w:ind w:left="357" w:hanging="357"/>
        <w:outlineLvl w:val="1"/>
        <w:rPr>
          <w:color w:val="auto"/>
          <w:sz w:val="24"/>
        </w:rPr>
      </w:pPr>
      <w:bookmarkStart w:id="678" w:name="_Toc265228388"/>
      <w:bookmarkStart w:id="679" w:name="_Toc164229245"/>
      <w:bookmarkStart w:id="680" w:name="_Toc150480788"/>
      <w:bookmarkStart w:id="681" w:name="_Toc151193648"/>
      <w:bookmarkStart w:id="682" w:name="_Toc226965823"/>
      <w:bookmarkStart w:id="683" w:name="_Ref467306978"/>
      <w:bookmarkStart w:id="684" w:name="_Toc151190177"/>
      <w:bookmarkStart w:id="685" w:name="_Toc127151751"/>
      <w:bookmarkStart w:id="686" w:name="_Toc195842915"/>
      <w:bookmarkStart w:id="687" w:name="_Toc149720843"/>
      <w:bookmarkStart w:id="688" w:name="_Toc226965740"/>
      <w:bookmarkStart w:id="689" w:name="_Toc150774650"/>
      <w:bookmarkStart w:id="690" w:name="_Toc264969240"/>
      <w:bookmarkStart w:id="691" w:name="_Toc127151550"/>
      <w:bookmarkStart w:id="692" w:name="_Toc151193720"/>
      <w:bookmarkStart w:id="693" w:name="_Toc150509301"/>
      <w:bookmarkStart w:id="694" w:name="_Toc164608664"/>
      <w:bookmarkStart w:id="695" w:name="_Toc164351644"/>
      <w:bookmarkStart w:id="696" w:name="_Toc151193792"/>
      <w:bookmarkStart w:id="697" w:name="_Ref467307062"/>
      <w:bookmarkStart w:id="698" w:name="_Ref467306377"/>
      <w:bookmarkStart w:id="699" w:name="_Toc150774755"/>
      <w:bookmarkStart w:id="700" w:name="_Toc164229391"/>
      <w:bookmarkStart w:id="701" w:name="_Toc142311052"/>
      <w:bookmarkStart w:id="702" w:name="_Toc305158818"/>
      <w:bookmarkStart w:id="703" w:name="_Toc226309794"/>
      <w:bookmarkStart w:id="704" w:name="_Toc226337246"/>
      <w:bookmarkStart w:id="705" w:name="_Toc127161464"/>
      <w:bookmarkStart w:id="706" w:name="_Toc520356175"/>
      <w:bookmarkStart w:id="707" w:name="_Toc151193864"/>
      <w:bookmarkStart w:id="708" w:name="_Toc151193938"/>
      <w:bookmarkStart w:id="709" w:name="_Ref467307204"/>
      <w:bookmarkStart w:id="710" w:name="_Toc164608819"/>
      <w:bookmarkStart w:id="711" w:name="_Toc305158892"/>
      <w:r>
        <w:rPr>
          <w:color w:val="auto"/>
          <w:sz w:val="24"/>
        </w:rPr>
        <w:t>签订合同</w:t>
      </w:r>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p>
    <w:p>
      <w:pPr>
        <w:numPr>
          <w:ilvl w:val="1"/>
          <w:numId w:val="8"/>
        </w:numPr>
        <w:tabs>
          <w:tab w:val="left" w:pos="1080"/>
          <w:tab w:val="left" w:pos="2014"/>
        </w:tabs>
        <w:snapToGrid w:val="0"/>
        <w:spacing w:line="360" w:lineRule="auto"/>
        <w:ind w:left="1077" w:hanging="720"/>
        <w:rPr>
          <w:color w:val="auto"/>
          <w:sz w:val="24"/>
        </w:rPr>
      </w:pPr>
      <w:r>
        <w:rPr>
          <w:color w:val="auto"/>
          <w:sz w:val="24"/>
        </w:rPr>
        <w:t>中标人、采购人应当自中标通知书发出之日起30日内，按照招标文件和中标人投标文件的规定签订书面合同。所签订的合同不得对招标文件确定的事项和中标人投标文件作实质性修改。</w:t>
      </w:r>
    </w:p>
    <w:p>
      <w:pPr>
        <w:numPr>
          <w:ilvl w:val="1"/>
          <w:numId w:val="8"/>
        </w:numPr>
        <w:tabs>
          <w:tab w:val="left" w:pos="1080"/>
          <w:tab w:val="left" w:pos="2014"/>
        </w:tabs>
        <w:snapToGrid w:val="0"/>
        <w:spacing w:line="360" w:lineRule="auto"/>
        <w:ind w:left="1077" w:hanging="720"/>
        <w:rPr>
          <w:color w:val="auto"/>
          <w:sz w:val="24"/>
        </w:rPr>
      </w:pPr>
      <w:r>
        <w:rPr>
          <w:color w:val="auto"/>
          <w:sz w:val="24"/>
        </w:rPr>
        <w:t>中标人拒绝与采购人签订合同的，采购人可以按照评标报告推荐的中标候选人名单排序，确定下一候选人为中标人，也可以重新开展政府采购活动。</w:t>
      </w:r>
    </w:p>
    <w:p>
      <w:pPr>
        <w:numPr>
          <w:ilvl w:val="1"/>
          <w:numId w:val="8"/>
        </w:numPr>
        <w:tabs>
          <w:tab w:val="left" w:pos="1080"/>
          <w:tab w:val="left" w:pos="2014"/>
        </w:tabs>
        <w:snapToGrid w:val="0"/>
        <w:spacing w:line="360" w:lineRule="auto"/>
        <w:ind w:left="1077" w:hanging="720"/>
        <w:rPr>
          <w:color w:val="auto"/>
          <w:sz w:val="24"/>
        </w:rPr>
      </w:pPr>
      <w:r>
        <w:rPr>
          <w:color w:val="auto"/>
          <w:sz w:val="24"/>
        </w:rPr>
        <w:t>联合体中标的，联合体各方应当共同与采购人签订合同，就采购合同约定的事项向采购人承担连带责任。</w:t>
      </w:r>
    </w:p>
    <w:p>
      <w:pPr>
        <w:numPr>
          <w:ilvl w:val="1"/>
          <w:numId w:val="8"/>
        </w:numPr>
        <w:tabs>
          <w:tab w:val="left" w:pos="1080"/>
          <w:tab w:val="left" w:pos="2014"/>
        </w:tabs>
        <w:snapToGrid w:val="0"/>
        <w:spacing w:line="360" w:lineRule="auto"/>
        <w:ind w:left="1077" w:hanging="720"/>
        <w:rPr>
          <w:color w:val="auto"/>
          <w:sz w:val="24"/>
        </w:rPr>
      </w:pPr>
      <w:r>
        <w:rPr>
          <w:color w:val="auto"/>
          <w:sz w:val="24"/>
        </w:rPr>
        <w:t>政府采购合同不能转包。</w:t>
      </w:r>
    </w:p>
    <w:p>
      <w:pPr>
        <w:numPr>
          <w:ilvl w:val="1"/>
          <w:numId w:val="8"/>
        </w:numPr>
        <w:tabs>
          <w:tab w:val="left" w:pos="1080"/>
          <w:tab w:val="left" w:pos="2014"/>
        </w:tabs>
        <w:snapToGrid w:val="0"/>
        <w:spacing w:line="360" w:lineRule="auto"/>
        <w:ind w:left="1077" w:hanging="720"/>
        <w:rPr>
          <w:color w:val="auto"/>
          <w:sz w:val="24"/>
        </w:rPr>
      </w:pPr>
      <w:r>
        <w:rPr>
          <w:color w:val="auto"/>
          <w:sz w:val="24"/>
        </w:rPr>
        <w:t>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b/>
          <w:color w:val="auto"/>
          <w:sz w:val="24"/>
        </w:rPr>
        <w:t>，</w:t>
      </w:r>
      <w:r>
        <w:rPr>
          <w:color w:val="auto"/>
          <w:sz w:val="24"/>
        </w:rPr>
        <w:t>否则</w:t>
      </w:r>
      <w:r>
        <w:rPr>
          <w:b/>
          <w:color w:val="auto"/>
          <w:sz w:val="24"/>
        </w:rPr>
        <w:t>投标无效</w:t>
      </w:r>
      <w:r>
        <w:rPr>
          <w:color w:val="auto"/>
          <w:sz w:val="24"/>
        </w:rPr>
        <w:t>。中标人就采购项目和分包项目向采购人负责，分包供应商就分包项目承担责任。</w:t>
      </w:r>
    </w:p>
    <w:bookmarkEnd w:id="675"/>
    <w:bookmarkEnd w:id="676"/>
    <w:bookmarkEnd w:id="677"/>
    <w:p>
      <w:pPr>
        <w:numPr>
          <w:ilvl w:val="0"/>
          <w:numId w:val="8"/>
        </w:numPr>
        <w:tabs>
          <w:tab w:val="left" w:pos="360"/>
        </w:tabs>
        <w:snapToGrid w:val="0"/>
        <w:spacing w:line="360" w:lineRule="auto"/>
        <w:ind w:left="357" w:hanging="357"/>
        <w:outlineLvl w:val="1"/>
        <w:rPr>
          <w:color w:val="auto"/>
          <w:sz w:val="24"/>
        </w:rPr>
      </w:pPr>
      <w:r>
        <w:rPr>
          <w:color w:val="auto"/>
          <w:sz w:val="24"/>
        </w:rPr>
        <w:t>询问与质疑</w:t>
      </w:r>
    </w:p>
    <w:p>
      <w:pPr>
        <w:numPr>
          <w:ilvl w:val="1"/>
          <w:numId w:val="8"/>
        </w:numPr>
        <w:tabs>
          <w:tab w:val="left" w:pos="1080"/>
          <w:tab w:val="left" w:pos="2014"/>
        </w:tabs>
        <w:snapToGrid w:val="0"/>
        <w:spacing w:line="360" w:lineRule="auto"/>
        <w:ind w:left="1077" w:hanging="720"/>
        <w:rPr>
          <w:color w:val="auto"/>
          <w:sz w:val="24"/>
        </w:rPr>
      </w:pPr>
      <w:r>
        <w:rPr>
          <w:color w:val="auto"/>
          <w:sz w:val="24"/>
        </w:rPr>
        <w:t>询问</w:t>
      </w:r>
    </w:p>
    <w:p>
      <w:pPr>
        <w:numPr>
          <w:ilvl w:val="2"/>
          <w:numId w:val="8"/>
        </w:numPr>
        <w:snapToGrid w:val="0"/>
        <w:spacing w:line="360" w:lineRule="auto"/>
        <w:rPr>
          <w:color w:val="auto"/>
          <w:sz w:val="24"/>
        </w:rPr>
      </w:pPr>
      <w:r>
        <w:rPr>
          <w:color w:val="auto"/>
          <w:sz w:val="24"/>
        </w:rPr>
        <w:t>投标人对政府采购活动事项有疑问的，可依法提出询问，并按《投标人须知资料表》载明的形式送达采购人或采购代理机构。</w:t>
      </w:r>
    </w:p>
    <w:p>
      <w:pPr>
        <w:numPr>
          <w:ilvl w:val="2"/>
          <w:numId w:val="8"/>
        </w:numPr>
        <w:snapToGrid w:val="0"/>
        <w:spacing w:line="360" w:lineRule="auto"/>
        <w:rPr>
          <w:color w:val="auto"/>
          <w:sz w:val="24"/>
        </w:rPr>
      </w:pPr>
      <w:r>
        <w:rPr>
          <w:color w:val="auto"/>
          <w:sz w:val="24"/>
        </w:rPr>
        <w:t>采购人或采购代理机构对供应商依法提出的询问，在3个工作日内作出答复，但答复的内容不得涉及商业秘密。</w:t>
      </w:r>
    </w:p>
    <w:p>
      <w:pPr>
        <w:numPr>
          <w:ilvl w:val="1"/>
          <w:numId w:val="8"/>
        </w:numPr>
        <w:tabs>
          <w:tab w:val="left" w:pos="1080"/>
          <w:tab w:val="left" w:pos="2014"/>
        </w:tabs>
        <w:snapToGrid w:val="0"/>
        <w:spacing w:line="360" w:lineRule="auto"/>
        <w:ind w:left="1077" w:hanging="720"/>
        <w:rPr>
          <w:color w:val="auto"/>
          <w:sz w:val="24"/>
        </w:rPr>
      </w:pPr>
      <w:r>
        <w:rPr>
          <w:color w:val="auto"/>
          <w:sz w:val="24"/>
        </w:rPr>
        <w:t>质疑</w:t>
      </w:r>
    </w:p>
    <w:p>
      <w:pPr>
        <w:numPr>
          <w:ilvl w:val="2"/>
          <w:numId w:val="8"/>
        </w:numPr>
        <w:snapToGrid w:val="0"/>
        <w:spacing w:line="360" w:lineRule="auto"/>
        <w:rPr>
          <w:color w:val="auto"/>
          <w:sz w:val="24"/>
        </w:rPr>
      </w:pPr>
      <w:r>
        <w:rPr>
          <w:color w:val="auto"/>
          <w:sz w:val="24"/>
        </w:rPr>
        <w:t>投标人认为采购文件、采购过程、中标结果使自己的权益受到损害的，可以在知道或者应知其权益受到损害之日起7个工作日内，以书面形式向采购人、采购代理机构提出质疑。采购人、采购代理机构在收到质疑函后7个工作日内作出答复。</w:t>
      </w:r>
    </w:p>
    <w:p>
      <w:pPr>
        <w:numPr>
          <w:ilvl w:val="2"/>
          <w:numId w:val="8"/>
        </w:numPr>
        <w:snapToGrid w:val="0"/>
        <w:spacing w:line="360" w:lineRule="auto"/>
        <w:rPr>
          <w:color w:val="auto"/>
          <w:sz w:val="24"/>
        </w:rPr>
      </w:pPr>
      <w:r>
        <w:rPr>
          <w:color w:val="auto"/>
          <w:sz w:val="24"/>
        </w:rPr>
        <w:t>质疑函须使用财政部制定的范本文件。投标人为自然人的，质疑函应当由本人签字；投标人为法人或者其他组织的，质疑函应当由法定代表人、主要负责人，或者其授权代表签字或者盖章，并加盖公章。</w:t>
      </w:r>
    </w:p>
    <w:p>
      <w:pPr>
        <w:numPr>
          <w:ilvl w:val="2"/>
          <w:numId w:val="8"/>
        </w:numPr>
        <w:snapToGrid w:val="0"/>
        <w:spacing w:line="360" w:lineRule="auto"/>
        <w:rPr>
          <w:color w:val="auto"/>
          <w:sz w:val="24"/>
        </w:rPr>
      </w:pPr>
      <w:r>
        <w:rPr>
          <w:color w:val="auto"/>
          <w:sz w:val="24"/>
        </w:rPr>
        <w:t>投标人委托代理人进行质疑的，应当随质疑函同时提交投标人签署的授权委托书。授权委托书应当载明代理人的姓名或者名称、代理事项、具体权限、期限和相关事项。投标人为自然人的，应当由本人签字；投标人为法人或者其他组织的，应当由法定代表人、主要负责人签字或者盖章，并加盖公章。</w:t>
      </w:r>
    </w:p>
    <w:p>
      <w:pPr>
        <w:numPr>
          <w:ilvl w:val="2"/>
          <w:numId w:val="8"/>
        </w:numPr>
        <w:snapToGrid w:val="0"/>
        <w:spacing w:line="360" w:lineRule="auto"/>
        <w:rPr>
          <w:color w:val="auto"/>
          <w:sz w:val="24"/>
        </w:rPr>
      </w:pPr>
      <w:r>
        <w:rPr>
          <w:color w:val="auto"/>
          <w:sz w:val="24"/>
        </w:rPr>
        <w:t>投标人应在法定质疑期内一次性提出针对同一采购程序环节的质疑，法定质疑期内针对同一采购程序环节再次提出的质疑，采购人、采购代理机构有权不予答复。</w:t>
      </w:r>
    </w:p>
    <w:p>
      <w:pPr>
        <w:numPr>
          <w:ilvl w:val="1"/>
          <w:numId w:val="8"/>
        </w:numPr>
        <w:tabs>
          <w:tab w:val="left" w:pos="1080"/>
          <w:tab w:val="left" w:pos="2014"/>
        </w:tabs>
        <w:snapToGrid w:val="0"/>
        <w:spacing w:line="360" w:lineRule="auto"/>
        <w:ind w:left="1077" w:hanging="720"/>
        <w:rPr>
          <w:color w:val="auto"/>
          <w:sz w:val="24"/>
        </w:rPr>
      </w:pPr>
      <w:r>
        <w:rPr>
          <w:color w:val="auto"/>
          <w:sz w:val="24"/>
        </w:rPr>
        <w:t>接收询问和质疑的联系部门、联系电话和通讯地址见《投标人须知资料表》。</w:t>
      </w:r>
    </w:p>
    <w:p>
      <w:pPr>
        <w:numPr>
          <w:ilvl w:val="0"/>
          <w:numId w:val="8"/>
        </w:numPr>
        <w:tabs>
          <w:tab w:val="left" w:pos="360"/>
        </w:tabs>
        <w:snapToGrid w:val="0"/>
        <w:spacing w:line="360" w:lineRule="auto"/>
        <w:ind w:left="357" w:hanging="357"/>
        <w:outlineLvl w:val="1"/>
        <w:rPr>
          <w:color w:val="auto"/>
          <w:sz w:val="24"/>
        </w:rPr>
      </w:pPr>
      <w:r>
        <w:rPr>
          <w:color w:val="auto"/>
          <w:sz w:val="24"/>
        </w:rPr>
        <w:t>代理费</w:t>
      </w:r>
    </w:p>
    <w:p>
      <w:pPr>
        <w:numPr>
          <w:ilvl w:val="1"/>
          <w:numId w:val="8"/>
        </w:numPr>
        <w:tabs>
          <w:tab w:val="left" w:pos="1080"/>
          <w:tab w:val="left" w:pos="2014"/>
        </w:tabs>
        <w:snapToGrid w:val="0"/>
        <w:spacing w:line="360" w:lineRule="auto"/>
        <w:ind w:left="1077" w:hanging="720"/>
        <w:rPr>
          <w:color w:val="auto"/>
          <w:sz w:val="24"/>
        </w:rPr>
      </w:pPr>
      <w:r>
        <w:rPr>
          <w:color w:val="auto"/>
          <w:sz w:val="24"/>
        </w:rPr>
        <w:t>收费对象、收费标准及缴纳时间见《投标人须知资料表》。由中标人支付的，中标人须一次性向采购代理机构缴纳代理费，投标报价应包含代理费用。</w:t>
      </w:r>
    </w:p>
    <w:p>
      <w:pPr>
        <w:tabs>
          <w:tab w:val="left" w:pos="360"/>
          <w:tab w:val="left" w:pos="1080"/>
        </w:tabs>
        <w:snapToGrid w:val="0"/>
        <w:spacing w:line="360" w:lineRule="auto"/>
        <w:ind w:left="360"/>
        <w:rPr>
          <w:color w:val="auto"/>
          <w:sz w:val="24"/>
        </w:rPr>
      </w:pPr>
    </w:p>
    <w:p>
      <w:pPr>
        <w:spacing w:line="360" w:lineRule="auto"/>
        <w:jc w:val="center"/>
        <w:outlineLvl w:val="0"/>
        <w:rPr>
          <w:b/>
          <w:color w:val="auto"/>
          <w:sz w:val="36"/>
          <w:szCs w:val="36"/>
        </w:rPr>
      </w:pPr>
      <w:bookmarkStart w:id="712" w:name="_Toc305158822"/>
      <w:bookmarkStart w:id="713" w:name="_Toc265228392"/>
      <w:bookmarkStart w:id="714" w:name="_Toc127151554"/>
      <w:bookmarkStart w:id="715" w:name="_Toc150774759"/>
      <w:bookmarkStart w:id="716" w:name="_Toc264969244"/>
      <w:bookmarkStart w:id="717" w:name="_Toc353825544"/>
      <w:bookmarkStart w:id="718" w:name="_Toc353873934"/>
      <w:bookmarkStart w:id="719" w:name="_Toc142311056"/>
      <w:bookmarkStart w:id="720" w:name="_Toc353873664"/>
      <w:bookmarkStart w:id="721" w:name="_Toc226965827"/>
      <w:bookmarkStart w:id="722" w:name="_Toc150480792"/>
      <w:bookmarkStart w:id="723" w:name="_Toc226337250"/>
      <w:bookmarkStart w:id="724" w:name="_Toc305158896"/>
      <w:r>
        <w:rPr>
          <w:color w:val="auto"/>
          <w:sz w:val="24"/>
        </w:rPr>
        <w:br w:type="page"/>
      </w:r>
      <w:bookmarkStart w:id="725" w:name="_Toc99301421"/>
      <w:r>
        <w:rPr>
          <w:b/>
          <w:color w:val="auto"/>
          <w:sz w:val="36"/>
          <w:szCs w:val="36"/>
        </w:rPr>
        <w:t xml:space="preserve">第三章   </w:t>
      </w:r>
      <w:bookmarkEnd w:id="712"/>
      <w:bookmarkEnd w:id="713"/>
      <w:bookmarkEnd w:id="714"/>
      <w:bookmarkEnd w:id="715"/>
      <w:bookmarkEnd w:id="716"/>
      <w:bookmarkEnd w:id="717"/>
      <w:bookmarkEnd w:id="718"/>
      <w:bookmarkEnd w:id="719"/>
      <w:bookmarkEnd w:id="720"/>
      <w:bookmarkEnd w:id="721"/>
      <w:bookmarkEnd w:id="722"/>
      <w:bookmarkEnd w:id="723"/>
      <w:bookmarkEnd w:id="724"/>
      <w:r>
        <w:rPr>
          <w:b/>
          <w:color w:val="auto"/>
          <w:sz w:val="36"/>
          <w:szCs w:val="36"/>
        </w:rPr>
        <w:t>资格审查</w:t>
      </w:r>
      <w:bookmarkEnd w:id="725"/>
      <w:bookmarkStart w:id="726" w:name="_Toc487900382"/>
    </w:p>
    <w:p>
      <w:pPr>
        <w:tabs>
          <w:tab w:val="left" w:pos="360"/>
          <w:tab w:val="left" w:pos="900"/>
        </w:tabs>
        <w:snapToGrid w:val="0"/>
        <w:spacing w:line="360" w:lineRule="auto"/>
        <w:jc w:val="center"/>
        <w:outlineLvl w:val="1"/>
        <w:rPr>
          <w:b/>
          <w:color w:val="auto"/>
          <w:sz w:val="24"/>
        </w:rPr>
      </w:pPr>
      <w:bookmarkStart w:id="727" w:name="_Toc99301422"/>
      <w:r>
        <w:rPr>
          <w:b/>
          <w:color w:val="auto"/>
          <w:sz w:val="24"/>
        </w:rPr>
        <w:t>一、资格审查程序</w:t>
      </w:r>
      <w:bookmarkEnd w:id="727"/>
    </w:p>
    <w:p>
      <w:pPr>
        <w:numPr>
          <w:ilvl w:val="0"/>
          <w:numId w:val="11"/>
        </w:numPr>
        <w:tabs>
          <w:tab w:val="left" w:pos="426"/>
          <w:tab w:val="left" w:pos="851"/>
          <w:tab w:val="clear" w:pos="900"/>
        </w:tabs>
        <w:snapToGrid w:val="0"/>
        <w:spacing w:line="360" w:lineRule="auto"/>
        <w:ind w:left="426" w:hanging="426"/>
        <w:outlineLvl w:val="1"/>
        <w:rPr>
          <w:color w:val="auto"/>
          <w:sz w:val="24"/>
        </w:rPr>
      </w:pPr>
      <w:r>
        <w:rPr>
          <w:color w:val="auto"/>
          <w:sz w:val="24"/>
        </w:rPr>
        <w:t>开标结束后，采购人或采购代理机构将根据《资格审查要求》中的规定，对投标人进行资格审查，并形成资格审查结果。</w:t>
      </w:r>
    </w:p>
    <w:p>
      <w:pPr>
        <w:numPr>
          <w:ilvl w:val="0"/>
          <w:numId w:val="11"/>
        </w:numPr>
        <w:tabs>
          <w:tab w:val="left" w:pos="426"/>
          <w:tab w:val="left" w:pos="851"/>
          <w:tab w:val="clear" w:pos="900"/>
        </w:tabs>
        <w:snapToGrid w:val="0"/>
        <w:spacing w:line="360" w:lineRule="auto"/>
        <w:ind w:left="426" w:hanging="426"/>
        <w:outlineLvl w:val="1"/>
        <w:rPr>
          <w:color w:val="auto"/>
          <w:sz w:val="24"/>
        </w:rPr>
      </w:pPr>
      <w:r>
        <w:rPr>
          <w:color w:val="auto"/>
          <w:sz w:val="24"/>
        </w:rPr>
        <w:t>《资格审查要求》中对格式有要求的，除招标文件另有规定外，均为“实质性格式”文件。</w:t>
      </w:r>
    </w:p>
    <w:p>
      <w:pPr>
        <w:numPr>
          <w:ilvl w:val="0"/>
          <w:numId w:val="11"/>
        </w:numPr>
        <w:tabs>
          <w:tab w:val="left" w:pos="426"/>
          <w:tab w:val="left" w:pos="851"/>
          <w:tab w:val="clear" w:pos="900"/>
        </w:tabs>
        <w:snapToGrid w:val="0"/>
        <w:spacing w:line="360" w:lineRule="auto"/>
        <w:ind w:left="426" w:hanging="426"/>
        <w:outlineLvl w:val="1"/>
        <w:rPr>
          <w:color w:val="auto"/>
          <w:sz w:val="24"/>
        </w:rPr>
      </w:pPr>
      <w:r>
        <w:rPr>
          <w:color w:val="auto"/>
          <w:sz w:val="24"/>
        </w:rPr>
        <w:t>投标人《资格证明文件》有任何一项不符合《资格审查要求》的，资格审查不合格，其</w:t>
      </w:r>
      <w:r>
        <w:rPr>
          <w:b/>
          <w:color w:val="auto"/>
          <w:sz w:val="24"/>
        </w:rPr>
        <w:t>投标无效</w:t>
      </w:r>
      <w:r>
        <w:rPr>
          <w:color w:val="auto"/>
          <w:sz w:val="24"/>
        </w:rPr>
        <w:t>。</w:t>
      </w:r>
    </w:p>
    <w:p>
      <w:pPr>
        <w:numPr>
          <w:ilvl w:val="0"/>
          <w:numId w:val="11"/>
        </w:numPr>
        <w:tabs>
          <w:tab w:val="left" w:pos="426"/>
          <w:tab w:val="left" w:pos="851"/>
          <w:tab w:val="clear" w:pos="900"/>
        </w:tabs>
        <w:snapToGrid w:val="0"/>
        <w:spacing w:line="360" w:lineRule="auto"/>
        <w:ind w:left="426" w:hanging="426"/>
        <w:outlineLvl w:val="1"/>
        <w:rPr>
          <w:color w:val="auto"/>
          <w:sz w:val="24"/>
        </w:rPr>
      </w:pPr>
      <w:r>
        <w:rPr>
          <w:color w:val="auto"/>
          <w:sz w:val="24"/>
        </w:rPr>
        <w:t>资格审查合格的投标人不足3家的，不进行评标。</w:t>
      </w:r>
    </w:p>
    <w:p>
      <w:pPr>
        <w:widowControl/>
        <w:jc w:val="left"/>
        <w:rPr>
          <w:color w:val="auto"/>
          <w:sz w:val="24"/>
        </w:rPr>
      </w:pPr>
    </w:p>
    <w:p>
      <w:pPr>
        <w:tabs>
          <w:tab w:val="left" w:pos="360"/>
          <w:tab w:val="left" w:pos="900"/>
        </w:tabs>
        <w:snapToGrid w:val="0"/>
        <w:spacing w:line="360" w:lineRule="auto"/>
        <w:jc w:val="center"/>
        <w:outlineLvl w:val="1"/>
        <w:rPr>
          <w:b/>
          <w:color w:val="auto"/>
          <w:sz w:val="24"/>
        </w:rPr>
      </w:pPr>
      <w:bookmarkStart w:id="728" w:name="_Hlk143693557"/>
      <w:r>
        <w:rPr>
          <w:b/>
          <w:color w:val="auto"/>
          <w:sz w:val="24"/>
        </w:rPr>
        <w:t>二、资格审查要求</w:t>
      </w:r>
      <w:bookmarkEnd w:id="728"/>
    </w:p>
    <w:tbl>
      <w:tblPr>
        <w:tblStyle w:val="44"/>
        <w:tblW w:w="928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46"/>
        <w:gridCol w:w="1982"/>
        <w:gridCol w:w="4822"/>
        <w:gridCol w:w="1638"/>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blHeader/>
        </w:trPr>
        <w:tc>
          <w:tcPr>
            <w:tcW w:w="846" w:type="dxa"/>
            <w:vAlign w:val="center"/>
          </w:tcPr>
          <w:p>
            <w:pPr>
              <w:tabs>
                <w:tab w:val="left" w:pos="1080"/>
              </w:tabs>
              <w:snapToGrid w:val="0"/>
              <w:jc w:val="center"/>
              <w:rPr>
                <w:b/>
                <w:color w:val="auto"/>
                <w:sz w:val="24"/>
              </w:rPr>
            </w:pPr>
            <w:bookmarkStart w:id="729" w:name="_Hlt487972895"/>
            <w:bookmarkEnd w:id="729"/>
            <w:bookmarkStart w:id="730" w:name="_Hlk143693460"/>
            <w:r>
              <w:rPr>
                <w:b/>
                <w:color w:val="auto"/>
                <w:sz w:val="24"/>
              </w:rPr>
              <w:t>序号</w:t>
            </w:r>
          </w:p>
        </w:tc>
        <w:tc>
          <w:tcPr>
            <w:tcW w:w="1982" w:type="dxa"/>
            <w:vAlign w:val="center"/>
          </w:tcPr>
          <w:p>
            <w:pPr>
              <w:tabs>
                <w:tab w:val="left" w:pos="1080"/>
              </w:tabs>
              <w:snapToGrid w:val="0"/>
              <w:jc w:val="center"/>
              <w:rPr>
                <w:b/>
                <w:color w:val="auto"/>
                <w:sz w:val="24"/>
              </w:rPr>
            </w:pPr>
            <w:r>
              <w:rPr>
                <w:b/>
                <w:color w:val="auto"/>
                <w:sz w:val="24"/>
              </w:rPr>
              <w:t>审查因素</w:t>
            </w:r>
          </w:p>
        </w:tc>
        <w:tc>
          <w:tcPr>
            <w:tcW w:w="4822" w:type="dxa"/>
            <w:vAlign w:val="center"/>
          </w:tcPr>
          <w:p>
            <w:pPr>
              <w:tabs>
                <w:tab w:val="left" w:pos="1080"/>
              </w:tabs>
              <w:snapToGrid w:val="0"/>
              <w:jc w:val="center"/>
              <w:rPr>
                <w:b/>
                <w:color w:val="auto"/>
                <w:sz w:val="24"/>
              </w:rPr>
            </w:pPr>
            <w:r>
              <w:rPr>
                <w:b/>
                <w:color w:val="auto"/>
                <w:sz w:val="24"/>
              </w:rPr>
              <w:t>审查内容</w:t>
            </w:r>
          </w:p>
        </w:tc>
        <w:tc>
          <w:tcPr>
            <w:tcW w:w="1638" w:type="dxa"/>
            <w:vAlign w:val="center"/>
          </w:tcPr>
          <w:p>
            <w:pPr>
              <w:tabs>
                <w:tab w:val="left" w:pos="1080"/>
              </w:tabs>
              <w:snapToGrid w:val="0"/>
              <w:jc w:val="center"/>
              <w:rPr>
                <w:b/>
                <w:color w:val="auto"/>
                <w:sz w:val="24"/>
              </w:rPr>
            </w:pPr>
            <w:r>
              <w:rPr>
                <w:b/>
                <w:color w:val="auto"/>
                <w:sz w:val="24"/>
              </w:rPr>
              <w:t>格式要求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46" w:type="dxa"/>
            <w:vAlign w:val="center"/>
          </w:tcPr>
          <w:p>
            <w:pPr>
              <w:tabs>
                <w:tab w:val="left" w:pos="1080"/>
              </w:tabs>
              <w:snapToGrid w:val="0"/>
              <w:jc w:val="center"/>
              <w:rPr>
                <w:color w:val="auto"/>
                <w:sz w:val="24"/>
              </w:rPr>
            </w:pPr>
            <w:r>
              <w:rPr>
                <w:color w:val="auto"/>
                <w:sz w:val="24"/>
              </w:rPr>
              <w:t>1</w:t>
            </w:r>
          </w:p>
        </w:tc>
        <w:tc>
          <w:tcPr>
            <w:tcW w:w="1982" w:type="dxa"/>
            <w:vAlign w:val="center"/>
          </w:tcPr>
          <w:p>
            <w:pPr>
              <w:tabs>
                <w:tab w:val="left" w:pos="1080"/>
              </w:tabs>
              <w:snapToGrid w:val="0"/>
              <w:rPr>
                <w:color w:val="auto"/>
                <w:sz w:val="24"/>
              </w:rPr>
            </w:pPr>
            <w:r>
              <w:rPr>
                <w:color w:val="auto"/>
                <w:sz w:val="24"/>
              </w:rPr>
              <w:t>满足《中华人民共和国政府采购法》第二十二条规定</w:t>
            </w:r>
          </w:p>
        </w:tc>
        <w:tc>
          <w:tcPr>
            <w:tcW w:w="4822" w:type="dxa"/>
            <w:vAlign w:val="center"/>
          </w:tcPr>
          <w:p>
            <w:pPr>
              <w:tabs>
                <w:tab w:val="left" w:pos="1080"/>
              </w:tabs>
              <w:snapToGrid w:val="0"/>
              <w:rPr>
                <w:color w:val="auto"/>
                <w:sz w:val="24"/>
              </w:rPr>
            </w:pPr>
            <w:r>
              <w:rPr>
                <w:color w:val="auto"/>
                <w:sz w:val="24"/>
              </w:rPr>
              <w:t>具体规定见第一章《投标邀请》</w:t>
            </w:r>
          </w:p>
        </w:tc>
        <w:tc>
          <w:tcPr>
            <w:tcW w:w="1638" w:type="dxa"/>
            <w:vAlign w:val="center"/>
          </w:tcPr>
          <w:p>
            <w:pPr>
              <w:tabs>
                <w:tab w:val="left" w:pos="1080"/>
              </w:tabs>
              <w:snapToGrid w:val="0"/>
              <w:rPr>
                <w:color w:val="auto"/>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46" w:type="dxa"/>
            <w:vAlign w:val="center"/>
          </w:tcPr>
          <w:p>
            <w:pPr>
              <w:tabs>
                <w:tab w:val="left" w:pos="1080"/>
              </w:tabs>
              <w:snapToGrid w:val="0"/>
              <w:jc w:val="center"/>
              <w:rPr>
                <w:color w:val="auto"/>
                <w:sz w:val="24"/>
              </w:rPr>
            </w:pPr>
            <w:r>
              <w:rPr>
                <w:color w:val="auto"/>
                <w:sz w:val="24"/>
              </w:rPr>
              <w:t>1-1</w:t>
            </w:r>
          </w:p>
        </w:tc>
        <w:tc>
          <w:tcPr>
            <w:tcW w:w="1982" w:type="dxa"/>
            <w:vAlign w:val="center"/>
          </w:tcPr>
          <w:p>
            <w:pPr>
              <w:tabs>
                <w:tab w:val="left" w:pos="1080"/>
              </w:tabs>
              <w:snapToGrid w:val="0"/>
              <w:rPr>
                <w:color w:val="auto"/>
                <w:sz w:val="24"/>
              </w:rPr>
            </w:pPr>
            <w:r>
              <w:rPr>
                <w:color w:val="auto"/>
                <w:sz w:val="24"/>
              </w:rPr>
              <w:t>营业执照等证明文件</w:t>
            </w:r>
          </w:p>
        </w:tc>
        <w:tc>
          <w:tcPr>
            <w:tcW w:w="4822" w:type="dxa"/>
            <w:vAlign w:val="center"/>
          </w:tcPr>
          <w:p>
            <w:pPr>
              <w:tabs>
                <w:tab w:val="left" w:pos="1080"/>
              </w:tabs>
              <w:snapToGrid w:val="0"/>
              <w:rPr>
                <w:color w:val="auto"/>
                <w:sz w:val="24"/>
              </w:rPr>
            </w:pPr>
            <w:r>
              <w:rPr>
                <w:color w:val="auto"/>
                <w:sz w:val="24"/>
              </w:rPr>
              <w:t>投标人为企业（包括合伙企业）的，应提供有效的“营业执照”；</w:t>
            </w:r>
          </w:p>
          <w:p>
            <w:pPr>
              <w:tabs>
                <w:tab w:val="left" w:pos="1080"/>
              </w:tabs>
              <w:snapToGrid w:val="0"/>
              <w:rPr>
                <w:color w:val="auto"/>
                <w:sz w:val="24"/>
              </w:rPr>
            </w:pPr>
            <w:r>
              <w:rPr>
                <w:color w:val="auto"/>
                <w:sz w:val="24"/>
              </w:rPr>
              <w:t>投标人为事业单位的，应提供有效的“事业单位法人证书”；</w:t>
            </w:r>
          </w:p>
          <w:p>
            <w:pPr>
              <w:tabs>
                <w:tab w:val="left" w:pos="1080"/>
              </w:tabs>
              <w:snapToGrid w:val="0"/>
              <w:rPr>
                <w:color w:val="auto"/>
                <w:sz w:val="24"/>
              </w:rPr>
            </w:pPr>
            <w:r>
              <w:rPr>
                <w:color w:val="auto"/>
                <w:sz w:val="24"/>
              </w:rPr>
              <w:t>投标人是非企业机构的，应提供有效的“执业许可证”、“登记证书”等证明文件；</w:t>
            </w:r>
          </w:p>
          <w:p>
            <w:pPr>
              <w:tabs>
                <w:tab w:val="left" w:pos="1080"/>
              </w:tabs>
              <w:snapToGrid w:val="0"/>
              <w:rPr>
                <w:color w:val="auto"/>
                <w:sz w:val="24"/>
              </w:rPr>
            </w:pPr>
            <w:r>
              <w:rPr>
                <w:color w:val="auto"/>
                <w:sz w:val="24"/>
              </w:rPr>
              <w:t>投标人是个体工商户的，应提供有效的“个体工商户营业执照”；</w:t>
            </w:r>
          </w:p>
          <w:p>
            <w:pPr>
              <w:tabs>
                <w:tab w:val="left" w:pos="1080"/>
              </w:tabs>
              <w:snapToGrid w:val="0"/>
              <w:rPr>
                <w:color w:val="auto"/>
                <w:sz w:val="24"/>
              </w:rPr>
            </w:pPr>
            <w:r>
              <w:rPr>
                <w:color w:val="auto"/>
                <w:sz w:val="24"/>
              </w:rPr>
              <w:t>投标人是自然人的，应提供有效的自然人身份证明。</w:t>
            </w:r>
          </w:p>
          <w:p>
            <w:pPr>
              <w:tabs>
                <w:tab w:val="left" w:pos="1080"/>
              </w:tabs>
              <w:snapToGrid w:val="0"/>
              <w:rPr>
                <w:color w:val="auto"/>
                <w:sz w:val="24"/>
              </w:rPr>
            </w:pPr>
            <w:r>
              <w:rPr>
                <w:color w:val="auto"/>
                <w:sz w:val="24"/>
              </w:rPr>
              <w:t>分支机构参加投标的，应提供该分支机构或其所属法人</w:t>
            </w:r>
            <w:r>
              <w:rPr>
                <w:rFonts w:hint="eastAsia"/>
                <w:color w:val="auto"/>
                <w:sz w:val="24"/>
              </w:rPr>
              <w:t>/</w:t>
            </w:r>
            <w:r>
              <w:rPr>
                <w:color w:val="auto"/>
                <w:sz w:val="24"/>
              </w:rPr>
              <w:t>其他组织的相应证明文件；同时还应提供其所属法人/其他组织出具的授权其参与本项目的授权书（格式自拟，须加盖其所属法人/其他组织的公章）；对于</w:t>
            </w:r>
            <w:r>
              <w:rPr>
                <w:iCs/>
                <w:color w:val="auto"/>
                <w:sz w:val="24"/>
              </w:rPr>
              <w:t>银行、保险、石油石化、电力、电信等行业的分支机构，可以提供上述</w:t>
            </w:r>
            <w:r>
              <w:rPr>
                <w:color w:val="auto"/>
                <w:sz w:val="24"/>
              </w:rPr>
              <w:t>授权，也可以提供其所属法人/其他组织的有关文件或制度等能够证明授权其独立开展业务的证明材料。</w:t>
            </w:r>
          </w:p>
        </w:tc>
        <w:tc>
          <w:tcPr>
            <w:tcW w:w="1638" w:type="dxa"/>
            <w:vAlign w:val="center"/>
          </w:tcPr>
          <w:p>
            <w:pPr>
              <w:tabs>
                <w:tab w:val="left" w:pos="1080"/>
              </w:tabs>
              <w:snapToGrid w:val="0"/>
              <w:rPr>
                <w:color w:val="auto"/>
                <w:sz w:val="24"/>
              </w:rPr>
            </w:pPr>
            <w:r>
              <w:rPr>
                <w:color w:val="auto"/>
                <w:sz w:val="24"/>
              </w:rPr>
              <w:t>提供证明文件的电子件或电子证照</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46" w:type="dxa"/>
            <w:vAlign w:val="center"/>
          </w:tcPr>
          <w:p>
            <w:pPr>
              <w:tabs>
                <w:tab w:val="left" w:pos="1080"/>
              </w:tabs>
              <w:snapToGrid w:val="0"/>
              <w:jc w:val="center"/>
              <w:rPr>
                <w:color w:val="auto"/>
                <w:sz w:val="24"/>
              </w:rPr>
            </w:pPr>
            <w:r>
              <w:rPr>
                <w:color w:val="auto"/>
                <w:sz w:val="24"/>
              </w:rPr>
              <w:t>1-2</w:t>
            </w:r>
          </w:p>
        </w:tc>
        <w:tc>
          <w:tcPr>
            <w:tcW w:w="1982" w:type="dxa"/>
            <w:vAlign w:val="center"/>
          </w:tcPr>
          <w:p>
            <w:pPr>
              <w:tabs>
                <w:tab w:val="left" w:pos="1080"/>
              </w:tabs>
              <w:snapToGrid w:val="0"/>
              <w:rPr>
                <w:color w:val="auto"/>
                <w:sz w:val="24"/>
              </w:rPr>
            </w:pPr>
            <w:r>
              <w:rPr>
                <w:color w:val="auto"/>
                <w:sz w:val="24"/>
              </w:rPr>
              <w:t>投标人资格声明书</w:t>
            </w:r>
          </w:p>
        </w:tc>
        <w:tc>
          <w:tcPr>
            <w:tcW w:w="4822" w:type="dxa"/>
            <w:vAlign w:val="center"/>
          </w:tcPr>
          <w:p>
            <w:pPr>
              <w:tabs>
                <w:tab w:val="left" w:pos="1080"/>
              </w:tabs>
              <w:snapToGrid w:val="0"/>
              <w:rPr>
                <w:color w:val="auto"/>
                <w:sz w:val="24"/>
              </w:rPr>
            </w:pPr>
            <w:r>
              <w:rPr>
                <w:color w:val="auto"/>
                <w:sz w:val="24"/>
              </w:rPr>
              <w:t>提供了符合招标文件要求的《投标人资格声明书》。</w:t>
            </w:r>
          </w:p>
        </w:tc>
        <w:tc>
          <w:tcPr>
            <w:tcW w:w="1638" w:type="dxa"/>
            <w:vAlign w:val="center"/>
          </w:tcPr>
          <w:p>
            <w:pPr>
              <w:tabs>
                <w:tab w:val="left" w:pos="1080"/>
              </w:tabs>
              <w:snapToGrid w:val="0"/>
              <w:rPr>
                <w:color w:val="auto"/>
                <w:sz w:val="24"/>
              </w:rPr>
            </w:pPr>
            <w:r>
              <w:rPr>
                <w:color w:val="auto"/>
                <w:sz w:val="24"/>
              </w:rPr>
              <w:t>格式见《投标文件格式》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46" w:type="dxa"/>
            <w:vAlign w:val="center"/>
          </w:tcPr>
          <w:p>
            <w:pPr>
              <w:tabs>
                <w:tab w:val="left" w:pos="1080"/>
              </w:tabs>
              <w:snapToGrid w:val="0"/>
              <w:jc w:val="center"/>
              <w:rPr>
                <w:color w:val="auto"/>
                <w:sz w:val="24"/>
              </w:rPr>
            </w:pPr>
            <w:r>
              <w:rPr>
                <w:color w:val="auto"/>
                <w:sz w:val="24"/>
              </w:rPr>
              <w:t>1-3</w:t>
            </w:r>
          </w:p>
        </w:tc>
        <w:tc>
          <w:tcPr>
            <w:tcW w:w="1982" w:type="dxa"/>
            <w:vAlign w:val="center"/>
          </w:tcPr>
          <w:p>
            <w:pPr>
              <w:tabs>
                <w:tab w:val="left" w:pos="1080"/>
              </w:tabs>
              <w:snapToGrid w:val="0"/>
              <w:rPr>
                <w:color w:val="auto"/>
                <w:sz w:val="24"/>
              </w:rPr>
            </w:pPr>
            <w:r>
              <w:rPr>
                <w:color w:val="auto"/>
                <w:sz w:val="24"/>
              </w:rPr>
              <w:t>投标人信用记录</w:t>
            </w:r>
          </w:p>
        </w:tc>
        <w:tc>
          <w:tcPr>
            <w:tcW w:w="4822" w:type="dxa"/>
            <w:vAlign w:val="center"/>
          </w:tcPr>
          <w:p>
            <w:pPr>
              <w:tabs>
                <w:tab w:val="left" w:pos="1080"/>
              </w:tabs>
              <w:snapToGrid w:val="0"/>
              <w:rPr>
                <w:color w:val="auto"/>
                <w:sz w:val="24"/>
              </w:rPr>
            </w:pPr>
            <w:r>
              <w:rPr>
                <w:color w:val="auto"/>
                <w:sz w:val="24"/>
              </w:rPr>
              <w:t>查询渠道：信用中国网站和中国政府采购网（</w:t>
            </w:r>
            <w:r>
              <w:rPr>
                <w:color w:val="auto"/>
              </w:rPr>
              <w:t>www.creditchina.gov.cn</w:t>
            </w:r>
            <w:r>
              <w:rPr>
                <w:color w:val="auto"/>
                <w:sz w:val="24"/>
              </w:rPr>
              <w:t>、</w:t>
            </w:r>
            <w:r>
              <w:rPr>
                <w:color w:val="auto"/>
              </w:rPr>
              <w:t>www.ccgp.gov.cn</w:t>
            </w:r>
            <w:r>
              <w:rPr>
                <w:color w:val="auto"/>
                <w:sz w:val="24"/>
              </w:rPr>
              <w:t>）；</w:t>
            </w:r>
          </w:p>
          <w:p>
            <w:pPr>
              <w:tabs>
                <w:tab w:val="left" w:pos="900"/>
                <w:tab w:val="left" w:pos="1980"/>
              </w:tabs>
              <w:snapToGrid w:val="0"/>
              <w:rPr>
                <w:color w:val="auto"/>
                <w:sz w:val="24"/>
              </w:rPr>
            </w:pPr>
            <w:r>
              <w:rPr>
                <w:color w:val="auto"/>
                <w:sz w:val="24"/>
              </w:rPr>
              <w:t>截止时点：投标截止时间以后、资格审查阶段采购人或采购代理机构的实际查询时间；</w:t>
            </w:r>
          </w:p>
          <w:p>
            <w:pPr>
              <w:tabs>
                <w:tab w:val="left" w:pos="900"/>
                <w:tab w:val="left" w:pos="1980"/>
              </w:tabs>
              <w:snapToGrid w:val="0"/>
              <w:rPr>
                <w:color w:val="auto"/>
                <w:sz w:val="24"/>
              </w:rPr>
            </w:pPr>
            <w:r>
              <w:rPr>
                <w:color w:val="auto"/>
                <w:sz w:val="24"/>
              </w:rPr>
              <w:t>信用信息查询记录和证据留存具体方式：查询结果网页打印页作为查询记录和证据，与其他采购文件一并保存；</w:t>
            </w:r>
          </w:p>
          <w:p>
            <w:pPr>
              <w:tabs>
                <w:tab w:val="left" w:pos="1080"/>
              </w:tabs>
              <w:snapToGrid w:val="0"/>
              <w:rPr>
                <w:color w:val="auto"/>
                <w:sz w:val="24"/>
              </w:rPr>
            </w:pPr>
            <w:r>
              <w:rPr>
                <w:color w:val="auto"/>
                <w:sz w:val="24"/>
              </w:rPr>
              <w:t>信用信息的使用原则：经认定的被列入失信被执行人、重大税收违法案件当事人名单、政府采购严重违法失信行为记录名单的投标人，其</w:t>
            </w:r>
            <w:r>
              <w:rPr>
                <w:b/>
                <w:color w:val="auto"/>
                <w:sz w:val="24"/>
              </w:rPr>
              <w:t>投标无效</w:t>
            </w:r>
            <w:r>
              <w:rPr>
                <w:color w:val="auto"/>
                <w:sz w:val="24"/>
              </w:rPr>
              <w:t>。联合体形式投标的，联合体成员存在不良信用记录，视同联合体存在不良信用记录。</w:t>
            </w:r>
          </w:p>
        </w:tc>
        <w:tc>
          <w:tcPr>
            <w:tcW w:w="1638" w:type="dxa"/>
            <w:vAlign w:val="center"/>
          </w:tcPr>
          <w:p>
            <w:pPr>
              <w:tabs>
                <w:tab w:val="left" w:pos="1080"/>
              </w:tabs>
              <w:snapToGrid w:val="0"/>
              <w:rPr>
                <w:color w:val="auto"/>
                <w:sz w:val="24"/>
              </w:rPr>
            </w:pPr>
            <w:r>
              <w:rPr>
                <w:color w:val="auto"/>
                <w:sz w:val="24"/>
              </w:rPr>
              <w:t>无须投标人提供，由采购人或采购代理机构查询。</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46" w:type="dxa"/>
            <w:vAlign w:val="center"/>
          </w:tcPr>
          <w:p>
            <w:pPr>
              <w:tabs>
                <w:tab w:val="left" w:pos="1080"/>
              </w:tabs>
              <w:snapToGrid w:val="0"/>
              <w:jc w:val="center"/>
              <w:rPr>
                <w:color w:val="auto"/>
                <w:sz w:val="24"/>
              </w:rPr>
            </w:pPr>
            <w:r>
              <w:rPr>
                <w:color w:val="auto"/>
                <w:sz w:val="24"/>
              </w:rPr>
              <w:t>1-4</w:t>
            </w:r>
          </w:p>
        </w:tc>
        <w:tc>
          <w:tcPr>
            <w:tcW w:w="1982" w:type="dxa"/>
            <w:vAlign w:val="center"/>
          </w:tcPr>
          <w:p>
            <w:pPr>
              <w:tabs>
                <w:tab w:val="left" w:pos="1080"/>
              </w:tabs>
              <w:snapToGrid w:val="0"/>
              <w:rPr>
                <w:color w:val="auto"/>
                <w:sz w:val="24"/>
              </w:rPr>
            </w:pPr>
            <w:r>
              <w:rPr>
                <w:color w:val="auto"/>
                <w:sz w:val="24"/>
              </w:rPr>
              <w:t>法律、行政法规规定的其他条件</w:t>
            </w:r>
          </w:p>
        </w:tc>
        <w:tc>
          <w:tcPr>
            <w:tcW w:w="4822" w:type="dxa"/>
            <w:vAlign w:val="center"/>
          </w:tcPr>
          <w:p>
            <w:pPr>
              <w:tabs>
                <w:tab w:val="left" w:pos="1080"/>
              </w:tabs>
              <w:snapToGrid w:val="0"/>
              <w:rPr>
                <w:color w:val="auto"/>
                <w:sz w:val="24"/>
              </w:rPr>
            </w:pPr>
            <w:r>
              <w:rPr>
                <w:color w:val="auto"/>
                <w:sz w:val="24"/>
              </w:rPr>
              <w:t>法律、行政法规规定的其他条件</w:t>
            </w:r>
          </w:p>
        </w:tc>
        <w:tc>
          <w:tcPr>
            <w:tcW w:w="1638" w:type="dxa"/>
            <w:vAlign w:val="center"/>
          </w:tcPr>
          <w:p>
            <w:pPr>
              <w:tabs>
                <w:tab w:val="left" w:pos="1080"/>
              </w:tabs>
              <w:snapToGrid w:val="0"/>
              <w:jc w:val="center"/>
              <w:rPr>
                <w:color w:val="auto"/>
                <w:sz w:val="24"/>
              </w:rPr>
            </w:pPr>
            <w:r>
              <w:rPr>
                <w:color w:val="auto"/>
                <w:sz w:val="24"/>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46" w:type="dxa"/>
            <w:vAlign w:val="center"/>
          </w:tcPr>
          <w:p>
            <w:pPr>
              <w:tabs>
                <w:tab w:val="left" w:pos="1080"/>
              </w:tabs>
              <w:snapToGrid w:val="0"/>
              <w:jc w:val="center"/>
              <w:rPr>
                <w:color w:val="auto"/>
                <w:sz w:val="24"/>
              </w:rPr>
            </w:pPr>
            <w:r>
              <w:rPr>
                <w:color w:val="auto"/>
                <w:sz w:val="24"/>
              </w:rPr>
              <w:t>2</w:t>
            </w:r>
          </w:p>
        </w:tc>
        <w:tc>
          <w:tcPr>
            <w:tcW w:w="1982" w:type="dxa"/>
            <w:vAlign w:val="center"/>
          </w:tcPr>
          <w:p>
            <w:pPr>
              <w:tabs>
                <w:tab w:val="left" w:pos="1080"/>
              </w:tabs>
              <w:snapToGrid w:val="0"/>
              <w:rPr>
                <w:color w:val="auto"/>
                <w:sz w:val="24"/>
              </w:rPr>
            </w:pPr>
            <w:r>
              <w:rPr>
                <w:color w:val="auto"/>
                <w:sz w:val="24"/>
              </w:rPr>
              <w:t>落实政府采购政策需满足的资格要求</w:t>
            </w:r>
          </w:p>
        </w:tc>
        <w:tc>
          <w:tcPr>
            <w:tcW w:w="4822" w:type="dxa"/>
            <w:vAlign w:val="center"/>
          </w:tcPr>
          <w:p>
            <w:pPr>
              <w:tabs>
                <w:tab w:val="left" w:pos="1080"/>
              </w:tabs>
              <w:snapToGrid w:val="0"/>
              <w:rPr>
                <w:color w:val="auto"/>
                <w:sz w:val="24"/>
              </w:rPr>
            </w:pPr>
            <w:r>
              <w:rPr>
                <w:color w:val="auto"/>
                <w:sz w:val="24"/>
              </w:rPr>
              <w:t>具体要求见第一章《投标邀请》</w:t>
            </w:r>
          </w:p>
        </w:tc>
        <w:tc>
          <w:tcPr>
            <w:tcW w:w="1638" w:type="dxa"/>
            <w:vAlign w:val="center"/>
          </w:tcPr>
          <w:p>
            <w:pPr>
              <w:tabs>
                <w:tab w:val="left" w:pos="1080"/>
              </w:tabs>
              <w:snapToGrid w:val="0"/>
              <w:rPr>
                <w:color w:val="auto"/>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46" w:type="dxa"/>
            <w:vAlign w:val="center"/>
          </w:tcPr>
          <w:p>
            <w:pPr>
              <w:tabs>
                <w:tab w:val="left" w:pos="1080"/>
              </w:tabs>
              <w:snapToGrid w:val="0"/>
              <w:jc w:val="center"/>
              <w:rPr>
                <w:color w:val="auto"/>
                <w:sz w:val="24"/>
              </w:rPr>
            </w:pPr>
            <w:r>
              <w:rPr>
                <w:color w:val="auto"/>
                <w:sz w:val="24"/>
              </w:rPr>
              <w:t>2-1</w:t>
            </w:r>
          </w:p>
        </w:tc>
        <w:tc>
          <w:tcPr>
            <w:tcW w:w="1982" w:type="dxa"/>
            <w:vAlign w:val="center"/>
          </w:tcPr>
          <w:p>
            <w:pPr>
              <w:tabs>
                <w:tab w:val="left" w:pos="1080"/>
              </w:tabs>
              <w:snapToGrid w:val="0"/>
              <w:rPr>
                <w:color w:val="auto"/>
                <w:sz w:val="24"/>
              </w:rPr>
            </w:pPr>
            <w:r>
              <w:rPr>
                <w:color w:val="auto"/>
                <w:sz w:val="24"/>
              </w:rPr>
              <w:t>中小企业政策</w:t>
            </w:r>
          </w:p>
        </w:tc>
        <w:tc>
          <w:tcPr>
            <w:tcW w:w="4822" w:type="dxa"/>
            <w:vAlign w:val="center"/>
          </w:tcPr>
          <w:p>
            <w:pPr>
              <w:tabs>
                <w:tab w:val="left" w:pos="1080"/>
              </w:tabs>
              <w:snapToGrid w:val="0"/>
              <w:rPr>
                <w:color w:val="auto"/>
                <w:sz w:val="24"/>
              </w:rPr>
            </w:pPr>
            <w:r>
              <w:rPr>
                <w:color w:val="auto"/>
                <w:sz w:val="24"/>
              </w:rPr>
              <w:t>具体要求见第一章《投标邀请》</w:t>
            </w:r>
          </w:p>
        </w:tc>
        <w:tc>
          <w:tcPr>
            <w:tcW w:w="1638" w:type="dxa"/>
            <w:vAlign w:val="center"/>
          </w:tcPr>
          <w:p>
            <w:pPr>
              <w:tabs>
                <w:tab w:val="left" w:pos="1080"/>
              </w:tabs>
              <w:snapToGrid w:val="0"/>
              <w:rPr>
                <w:color w:val="auto"/>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46" w:type="dxa"/>
            <w:vAlign w:val="center"/>
          </w:tcPr>
          <w:p>
            <w:pPr>
              <w:tabs>
                <w:tab w:val="left" w:pos="1080"/>
              </w:tabs>
              <w:snapToGrid w:val="0"/>
              <w:jc w:val="center"/>
              <w:rPr>
                <w:color w:val="auto"/>
                <w:sz w:val="24"/>
              </w:rPr>
            </w:pPr>
            <w:r>
              <w:rPr>
                <w:color w:val="auto"/>
                <w:sz w:val="24"/>
              </w:rPr>
              <w:t>2-1-1</w:t>
            </w:r>
          </w:p>
        </w:tc>
        <w:tc>
          <w:tcPr>
            <w:tcW w:w="1982" w:type="dxa"/>
            <w:vAlign w:val="center"/>
          </w:tcPr>
          <w:p>
            <w:pPr>
              <w:tabs>
                <w:tab w:val="left" w:pos="1080"/>
              </w:tabs>
              <w:snapToGrid w:val="0"/>
              <w:rPr>
                <w:color w:val="auto"/>
                <w:sz w:val="24"/>
              </w:rPr>
            </w:pPr>
            <w:r>
              <w:rPr>
                <w:color w:val="auto"/>
                <w:sz w:val="24"/>
              </w:rPr>
              <w:t>中小企业证明文件</w:t>
            </w:r>
          </w:p>
        </w:tc>
        <w:tc>
          <w:tcPr>
            <w:tcW w:w="4822" w:type="dxa"/>
            <w:vAlign w:val="center"/>
          </w:tcPr>
          <w:p>
            <w:pPr>
              <w:tabs>
                <w:tab w:val="left" w:pos="1080"/>
              </w:tabs>
              <w:snapToGrid w:val="0"/>
              <w:rPr>
                <w:color w:val="auto"/>
                <w:sz w:val="24"/>
              </w:rPr>
            </w:pPr>
            <w:r>
              <w:rPr>
                <w:color w:val="auto"/>
                <w:sz w:val="24"/>
              </w:rPr>
              <w:t>当本项目（包）涉及预留份额专门面向中小企业采购，此时建议在《资格证明文件》中提供。</w:t>
            </w:r>
          </w:p>
          <w:p>
            <w:pPr>
              <w:tabs>
                <w:tab w:val="left" w:pos="1080"/>
              </w:tabs>
              <w:snapToGrid w:val="0"/>
              <w:rPr>
                <w:color w:val="auto"/>
                <w:sz w:val="24"/>
              </w:rPr>
            </w:pPr>
            <w:r>
              <w:rPr>
                <w:color w:val="auto"/>
                <w:sz w:val="24"/>
              </w:rPr>
              <w:t>1、投标人单独投标的，应提供《中小企业声明函》或《残疾人福利性单位声明函》或由省级以上监狱管理局、戒毒管理局（含新疆生产建设兵团）出具的属于监狱企业的证明文件。</w:t>
            </w:r>
          </w:p>
          <w:p>
            <w:pPr>
              <w:tabs>
                <w:tab w:val="left" w:pos="1080"/>
              </w:tabs>
              <w:snapToGrid w:val="0"/>
              <w:rPr>
                <w:color w:val="auto"/>
                <w:sz w:val="24"/>
              </w:rPr>
            </w:pPr>
            <w:r>
              <w:rPr>
                <w:color w:val="auto"/>
                <w:sz w:val="24"/>
              </w:rPr>
              <w:t>2、如招标文件要求以联合体形式参加或者要求合同分包的，且投标人为联合体或拟进行合同分包的，则联合体中的中小企业、签订分包意向协议的中小企业具体情况须在《中小企业声明函》或《残疾人福利性单位声明函》或由省级以上监狱管理局、戒毒管理局（含新疆生产建设兵团）出具的属于监狱企业的证明文件中如实填报，且满足招标文件关于预留份额的要求。</w:t>
            </w:r>
          </w:p>
        </w:tc>
        <w:tc>
          <w:tcPr>
            <w:tcW w:w="1638" w:type="dxa"/>
            <w:vAlign w:val="center"/>
          </w:tcPr>
          <w:p>
            <w:pPr>
              <w:tabs>
                <w:tab w:val="left" w:pos="1080"/>
              </w:tabs>
              <w:snapToGrid w:val="0"/>
              <w:rPr>
                <w:color w:val="auto"/>
                <w:sz w:val="24"/>
              </w:rPr>
            </w:pPr>
            <w:r>
              <w:rPr>
                <w:color w:val="auto"/>
                <w:sz w:val="24"/>
              </w:rPr>
              <w:t>格式见《投标文件格式》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46" w:type="dxa"/>
            <w:vAlign w:val="center"/>
          </w:tcPr>
          <w:p>
            <w:pPr>
              <w:tabs>
                <w:tab w:val="left" w:pos="1080"/>
              </w:tabs>
              <w:snapToGrid w:val="0"/>
              <w:jc w:val="center"/>
              <w:rPr>
                <w:color w:val="auto"/>
                <w:sz w:val="24"/>
              </w:rPr>
            </w:pPr>
            <w:r>
              <w:rPr>
                <w:color w:val="auto"/>
                <w:sz w:val="24"/>
              </w:rPr>
              <w:t>2-1-2</w:t>
            </w:r>
          </w:p>
        </w:tc>
        <w:tc>
          <w:tcPr>
            <w:tcW w:w="1982" w:type="dxa"/>
            <w:vAlign w:val="center"/>
          </w:tcPr>
          <w:p>
            <w:pPr>
              <w:tabs>
                <w:tab w:val="left" w:pos="1080"/>
              </w:tabs>
              <w:snapToGrid w:val="0"/>
              <w:rPr>
                <w:color w:val="auto"/>
                <w:sz w:val="24"/>
              </w:rPr>
            </w:pPr>
            <w:r>
              <w:rPr>
                <w:color w:val="auto"/>
                <w:sz w:val="24"/>
              </w:rPr>
              <w:t>拟分包情况说明及分包意向协议</w:t>
            </w:r>
          </w:p>
        </w:tc>
        <w:tc>
          <w:tcPr>
            <w:tcW w:w="4822" w:type="dxa"/>
            <w:vAlign w:val="center"/>
          </w:tcPr>
          <w:p>
            <w:pPr>
              <w:tabs>
                <w:tab w:val="left" w:pos="1080"/>
              </w:tabs>
              <w:snapToGrid w:val="0"/>
              <w:rPr>
                <w:color w:val="auto"/>
                <w:sz w:val="24"/>
              </w:rPr>
            </w:pPr>
            <w:r>
              <w:rPr>
                <w:color w:val="auto"/>
                <w:sz w:val="24"/>
              </w:rPr>
              <w:t>如本项目（包）要求通过分包措施预留部分采购份额面向中小企业采购、且投标人因落实政府采购政策拟进行分包的，必须提供；否则无须提供。</w:t>
            </w:r>
          </w:p>
          <w:p>
            <w:pPr>
              <w:tabs>
                <w:tab w:val="left" w:pos="1080"/>
              </w:tabs>
              <w:snapToGrid w:val="0"/>
              <w:rPr>
                <w:b/>
                <w:color w:val="auto"/>
                <w:sz w:val="24"/>
              </w:rPr>
            </w:pPr>
            <w:r>
              <w:rPr>
                <w:color w:val="auto"/>
                <w:sz w:val="24"/>
              </w:rPr>
              <w:t>对于预留份额专门面向中小企业采购的项目（包），组成联合体或者接受分包合同的中小企业与联合体内其他企业、分包企业之间不得存在直接控股、管理关系。</w:t>
            </w:r>
          </w:p>
        </w:tc>
        <w:tc>
          <w:tcPr>
            <w:tcW w:w="1638" w:type="dxa"/>
            <w:vAlign w:val="center"/>
          </w:tcPr>
          <w:p>
            <w:pPr>
              <w:tabs>
                <w:tab w:val="left" w:pos="1080"/>
              </w:tabs>
              <w:snapToGrid w:val="0"/>
              <w:rPr>
                <w:color w:val="auto"/>
                <w:sz w:val="24"/>
              </w:rPr>
            </w:pPr>
            <w:r>
              <w:rPr>
                <w:color w:val="auto"/>
                <w:sz w:val="24"/>
              </w:rPr>
              <w:t>格式见《投标文件格式》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46" w:type="dxa"/>
            <w:vAlign w:val="center"/>
          </w:tcPr>
          <w:p>
            <w:pPr>
              <w:tabs>
                <w:tab w:val="left" w:pos="1080"/>
              </w:tabs>
              <w:snapToGrid w:val="0"/>
              <w:jc w:val="center"/>
              <w:rPr>
                <w:color w:val="auto"/>
                <w:sz w:val="24"/>
              </w:rPr>
            </w:pPr>
            <w:r>
              <w:rPr>
                <w:color w:val="auto"/>
                <w:sz w:val="24"/>
              </w:rPr>
              <w:t>2-2</w:t>
            </w:r>
          </w:p>
        </w:tc>
        <w:tc>
          <w:tcPr>
            <w:tcW w:w="1982" w:type="dxa"/>
            <w:vAlign w:val="center"/>
          </w:tcPr>
          <w:p>
            <w:pPr>
              <w:tabs>
                <w:tab w:val="left" w:pos="1080"/>
              </w:tabs>
              <w:snapToGrid w:val="0"/>
              <w:rPr>
                <w:color w:val="auto"/>
                <w:sz w:val="24"/>
              </w:rPr>
            </w:pPr>
            <w:r>
              <w:rPr>
                <w:color w:val="auto"/>
                <w:sz w:val="24"/>
              </w:rPr>
              <w:t>其它落实政府采购政策的资格要求</w:t>
            </w:r>
          </w:p>
        </w:tc>
        <w:tc>
          <w:tcPr>
            <w:tcW w:w="4822" w:type="dxa"/>
            <w:vAlign w:val="center"/>
          </w:tcPr>
          <w:p>
            <w:pPr>
              <w:tabs>
                <w:tab w:val="left" w:pos="1080"/>
              </w:tabs>
              <w:snapToGrid w:val="0"/>
              <w:rPr>
                <w:color w:val="auto"/>
                <w:sz w:val="24"/>
              </w:rPr>
            </w:pPr>
            <w:r>
              <w:rPr>
                <w:color w:val="auto"/>
                <w:sz w:val="24"/>
              </w:rPr>
              <w:t>如有，见第一章《投标邀请》</w:t>
            </w:r>
          </w:p>
        </w:tc>
        <w:tc>
          <w:tcPr>
            <w:tcW w:w="1638" w:type="dxa"/>
            <w:vAlign w:val="center"/>
          </w:tcPr>
          <w:p>
            <w:pPr>
              <w:tabs>
                <w:tab w:val="left" w:pos="1080"/>
              </w:tabs>
              <w:snapToGrid w:val="0"/>
              <w:rPr>
                <w:color w:val="auto"/>
                <w:sz w:val="24"/>
              </w:rPr>
            </w:pPr>
            <w:r>
              <w:rPr>
                <w:color w:val="auto"/>
                <w:sz w:val="24"/>
              </w:rPr>
              <w:t>提供证明文件的电子件或电子证照</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46" w:type="dxa"/>
            <w:vAlign w:val="center"/>
          </w:tcPr>
          <w:p>
            <w:pPr>
              <w:tabs>
                <w:tab w:val="left" w:pos="1080"/>
              </w:tabs>
              <w:snapToGrid w:val="0"/>
              <w:jc w:val="center"/>
              <w:rPr>
                <w:color w:val="auto"/>
                <w:sz w:val="24"/>
              </w:rPr>
            </w:pPr>
            <w:r>
              <w:rPr>
                <w:color w:val="auto"/>
                <w:sz w:val="24"/>
              </w:rPr>
              <w:t>3</w:t>
            </w:r>
          </w:p>
        </w:tc>
        <w:tc>
          <w:tcPr>
            <w:tcW w:w="1982" w:type="dxa"/>
            <w:vAlign w:val="center"/>
          </w:tcPr>
          <w:p>
            <w:pPr>
              <w:tabs>
                <w:tab w:val="left" w:pos="1080"/>
              </w:tabs>
              <w:snapToGrid w:val="0"/>
              <w:rPr>
                <w:color w:val="auto"/>
                <w:sz w:val="24"/>
              </w:rPr>
            </w:pPr>
            <w:r>
              <w:rPr>
                <w:color w:val="auto"/>
                <w:sz w:val="24"/>
              </w:rPr>
              <w:t>本项目的特定资格要求</w:t>
            </w:r>
          </w:p>
        </w:tc>
        <w:tc>
          <w:tcPr>
            <w:tcW w:w="4822" w:type="dxa"/>
            <w:vAlign w:val="center"/>
          </w:tcPr>
          <w:p>
            <w:pPr>
              <w:tabs>
                <w:tab w:val="left" w:pos="1080"/>
              </w:tabs>
              <w:snapToGrid w:val="0"/>
              <w:rPr>
                <w:color w:val="auto"/>
                <w:sz w:val="24"/>
              </w:rPr>
            </w:pPr>
            <w:r>
              <w:rPr>
                <w:color w:val="auto"/>
                <w:sz w:val="24"/>
              </w:rPr>
              <w:t>如有，见第一章《投标邀请》</w:t>
            </w:r>
          </w:p>
        </w:tc>
        <w:tc>
          <w:tcPr>
            <w:tcW w:w="1638" w:type="dxa"/>
            <w:vAlign w:val="center"/>
          </w:tcPr>
          <w:p>
            <w:pPr>
              <w:tabs>
                <w:tab w:val="left" w:pos="1080"/>
              </w:tabs>
              <w:snapToGrid w:val="0"/>
              <w:rPr>
                <w:color w:val="auto"/>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46" w:type="dxa"/>
            <w:vAlign w:val="center"/>
          </w:tcPr>
          <w:p>
            <w:pPr>
              <w:tabs>
                <w:tab w:val="left" w:pos="1080"/>
              </w:tabs>
              <w:snapToGrid w:val="0"/>
              <w:jc w:val="center"/>
              <w:rPr>
                <w:color w:val="auto"/>
                <w:sz w:val="24"/>
              </w:rPr>
            </w:pPr>
            <w:r>
              <w:rPr>
                <w:color w:val="auto"/>
                <w:sz w:val="24"/>
              </w:rPr>
              <w:t>3-1</w:t>
            </w:r>
          </w:p>
        </w:tc>
        <w:tc>
          <w:tcPr>
            <w:tcW w:w="1982" w:type="dxa"/>
            <w:vAlign w:val="center"/>
          </w:tcPr>
          <w:p>
            <w:pPr>
              <w:tabs>
                <w:tab w:val="left" w:pos="1080"/>
              </w:tabs>
              <w:snapToGrid w:val="0"/>
              <w:rPr>
                <w:color w:val="auto"/>
                <w:sz w:val="24"/>
              </w:rPr>
            </w:pPr>
            <w:r>
              <w:rPr>
                <w:color w:val="auto"/>
                <w:sz w:val="24"/>
              </w:rPr>
              <w:t>本项目对于联合体的要求</w:t>
            </w:r>
          </w:p>
        </w:tc>
        <w:tc>
          <w:tcPr>
            <w:tcW w:w="4822" w:type="dxa"/>
            <w:vAlign w:val="center"/>
          </w:tcPr>
          <w:p>
            <w:pPr>
              <w:tabs>
                <w:tab w:val="left" w:pos="1080"/>
              </w:tabs>
              <w:snapToGrid w:val="0"/>
              <w:rPr>
                <w:color w:val="auto"/>
                <w:sz w:val="24"/>
              </w:rPr>
            </w:pPr>
            <w:r>
              <w:rPr>
                <w:color w:val="auto"/>
                <w:sz w:val="24"/>
              </w:rPr>
              <w:t>1、如本项目接受联合体投标，且投标人为联合体时必须提供《联合协议》，明确各方拟承担的工作和责任，并指定联合体牵头人，授权其代表所有联合体成员负责本项目投标和合同实施阶段的牵头、协调工作。该联合协议应当作为投标文件的组成部分，与投标文件其他内容同时递交。</w:t>
            </w:r>
          </w:p>
          <w:p>
            <w:pPr>
              <w:tabs>
                <w:tab w:val="left" w:pos="1080"/>
              </w:tabs>
              <w:snapToGrid w:val="0"/>
              <w:rPr>
                <w:color w:val="auto"/>
                <w:sz w:val="24"/>
              </w:rPr>
            </w:pPr>
            <w:r>
              <w:rPr>
                <w:color w:val="auto"/>
                <w:sz w:val="24"/>
              </w:rPr>
              <w:t>2、联合体各成员单位均须提供本表中序号1-1、1-2的证明文件。联合体各成员单位均应满足本表3-2及3-3项规定。</w:t>
            </w:r>
          </w:p>
          <w:p>
            <w:pPr>
              <w:tabs>
                <w:tab w:val="left" w:pos="1080"/>
              </w:tabs>
              <w:snapToGrid w:val="0"/>
              <w:rPr>
                <w:color w:val="auto"/>
                <w:sz w:val="24"/>
              </w:rPr>
            </w:pPr>
            <w:r>
              <w:rPr>
                <w:color w:val="auto"/>
                <w:sz w:val="24"/>
              </w:rPr>
              <w:t>3、本表序号3-</w:t>
            </w:r>
            <w:r>
              <w:rPr>
                <w:rFonts w:hint="eastAsia"/>
                <w:color w:val="auto"/>
                <w:sz w:val="24"/>
              </w:rPr>
              <w:t>3</w:t>
            </w:r>
            <w:r>
              <w:rPr>
                <w:color w:val="auto"/>
                <w:sz w:val="24"/>
              </w:rPr>
              <w:t>项规定的其他特定资格要求中的每一小项要求，联合体各方中至少应当有一方符合本表中其他资格要求并提供证明文件。</w:t>
            </w:r>
          </w:p>
          <w:p>
            <w:pPr>
              <w:tabs>
                <w:tab w:val="left" w:pos="1080"/>
              </w:tabs>
              <w:snapToGrid w:val="0"/>
              <w:rPr>
                <w:color w:val="auto"/>
                <w:sz w:val="24"/>
              </w:rPr>
            </w:pPr>
            <w:r>
              <w:rPr>
                <w:color w:val="auto"/>
                <w:sz w:val="24"/>
              </w:rPr>
              <w:t>4、联合体中有同类资质的供应商按照联合体分工承担相同工作的，应当按照资质等级较低的供应商确定资质等级。</w:t>
            </w:r>
          </w:p>
          <w:p>
            <w:pPr>
              <w:tabs>
                <w:tab w:val="left" w:pos="1080"/>
              </w:tabs>
              <w:snapToGrid w:val="0"/>
              <w:rPr>
                <w:color w:val="auto"/>
                <w:sz w:val="24"/>
              </w:rPr>
            </w:pPr>
            <w:r>
              <w:rPr>
                <w:color w:val="auto"/>
                <w:sz w:val="24"/>
              </w:rPr>
              <w:t>5、以联合体形式参加政府采购活动的，联合体各方不得再单独参加或者与其他供应商另外组成联合体参加同一合同项下的政府采购活动。</w:t>
            </w:r>
          </w:p>
          <w:p>
            <w:pPr>
              <w:tabs>
                <w:tab w:val="left" w:pos="1080"/>
              </w:tabs>
              <w:snapToGrid w:val="0"/>
              <w:rPr>
                <w:color w:val="auto"/>
                <w:sz w:val="24"/>
              </w:rPr>
            </w:pPr>
            <w:r>
              <w:rPr>
                <w:color w:val="auto"/>
                <w:sz w:val="24"/>
              </w:rPr>
              <w:t>6、若联合体中任一成员单位中途退出，则该联合体的</w:t>
            </w:r>
            <w:r>
              <w:rPr>
                <w:b/>
                <w:color w:val="auto"/>
                <w:sz w:val="24"/>
              </w:rPr>
              <w:t>投标无效</w:t>
            </w:r>
            <w:r>
              <w:rPr>
                <w:color w:val="auto"/>
                <w:sz w:val="24"/>
              </w:rPr>
              <w:t>。</w:t>
            </w:r>
          </w:p>
          <w:p>
            <w:pPr>
              <w:tabs>
                <w:tab w:val="left" w:pos="1080"/>
              </w:tabs>
              <w:snapToGrid w:val="0"/>
              <w:rPr>
                <w:color w:val="auto"/>
                <w:sz w:val="24"/>
              </w:rPr>
            </w:pPr>
            <w:r>
              <w:rPr>
                <w:color w:val="auto"/>
                <w:sz w:val="24"/>
              </w:rPr>
              <w:t>7、本项目不接受联合体投标时，投标人不得为联合体。</w:t>
            </w:r>
          </w:p>
        </w:tc>
        <w:tc>
          <w:tcPr>
            <w:tcW w:w="1638" w:type="dxa"/>
            <w:vAlign w:val="center"/>
          </w:tcPr>
          <w:p>
            <w:pPr>
              <w:tabs>
                <w:tab w:val="left" w:pos="1080"/>
              </w:tabs>
              <w:snapToGrid w:val="0"/>
              <w:rPr>
                <w:color w:val="auto"/>
                <w:sz w:val="24"/>
              </w:rPr>
            </w:pPr>
            <w:r>
              <w:rPr>
                <w:color w:val="auto"/>
                <w:sz w:val="24"/>
              </w:rPr>
              <w:t>提供《联合协议》原件的电子件</w:t>
            </w:r>
          </w:p>
          <w:p>
            <w:pPr>
              <w:tabs>
                <w:tab w:val="left" w:pos="1080"/>
              </w:tabs>
              <w:snapToGrid w:val="0"/>
              <w:rPr>
                <w:color w:val="auto"/>
                <w:sz w:val="24"/>
              </w:rPr>
            </w:pPr>
            <w:r>
              <w:rPr>
                <w:color w:val="auto"/>
                <w:sz w:val="24"/>
              </w:rPr>
              <w:t>格式见《投标文件格式》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46" w:type="dxa"/>
            <w:vAlign w:val="center"/>
          </w:tcPr>
          <w:p>
            <w:pPr>
              <w:tabs>
                <w:tab w:val="left" w:pos="1080"/>
              </w:tabs>
              <w:snapToGrid w:val="0"/>
              <w:jc w:val="center"/>
              <w:rPr>
                <w:color w:val="auto"/>
                <w:sz w:val="24"/>
              </w:rPr>
            </w:pPr>
            <w:r>
              <w:rPr>
                <w:color w:val="auto"/>
                <w:sz w:val="24"/>
              </w:rPr>
              <w:t>3-2</w:t>
            </w:r>
          </w:p>
        </w:tc>
        <w:tc>
          <w:tcPr>
            <w:tcW w:w="1982" w:type="dxa"/>
            <w:vAlign w:val="center"/>
          </w:tcPr>
          <w:p>
            <w:pPr>
              <w:tabs>
                <w:tab w:val="left" w:pos="1080"/>
              </w:tabs>
              <w:snapToGrid w:val="0"/>
              <w:rPr>
                <w:color w:val="auto"/>
                <w:sz w:val="24"/>
              </w:rPr>
            </w:pPr>
            <w:r>
              <w:rPr>
                <w:color w:val="auto"/>
                <w:sz w:val="24"/>
              </w:rPr>
              <w:t>政府购买服务承接主体的要求</w:t>
            </w:r>
          </w:p>
        </w:tc>
        <w:tc>
          <w:tcPr>
            <w:tcW w:w="4822" w:type="dxa"/>
            <w:vAlign w:val="center"/>
          </w:tcPr>
          <w:p>
            <w:pPr>
              <w:tabs>
                <w:tab w:val="left" w:pos="1080"/>
              </w:tabs>
              <w:snapToGrid w:val="0"/>
              <w:rPr>
                <w:color w:val="auto"/>
                <w:sz w:val="24"/>
              </w:rPr>
            </w:pPr>
            <w:r>
              <w:rPr>
                <w:color w:val="auto"/>
                <w:sz w:val="24"/>
              </w:rPr>
              <w:t>如本项目属于政府购买服务，投标人不属于公益一类事业单位、使用事业编制且由财政拨款保障的群团组织。</w:t>
            </w:r>
          </w:p>
        </w:tc>
        <w:tc>
          <w:tcPr>
            <w:tcW w:w="1638" w:type="dxa"/>
            <w:vAlign w:val="center"/>
          </w:tcPr>
          <w:p>
            <w:pPr>
              <w:tabs>
                <w:tab w:val="left" w:pos="1080"/>
              </w:tabs>
              <w:snapToGrid w:val="0"/>
              <w:jc w:val="center"/>
              <w:rPr>
                <w:color w:val="auto"/>
                <w:sz w:val="24"/>
              </w:rPr>
            </w:pPr>
            <w:r>
              <w:rPr>
                <w:color w:val="auto"/>
                <w:sz w:val="24"/>
              </w:rPr>
              <w:t>格式见《投标文件格式》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0" w:hRule="atLeast"/>
        </w:trPr>
        <w:tc>
          <w:tcPr>
            <w:tcW w:w="846" w:type="dxa"/>
            <w:vAlign w:val="center"/>
          </w:tcPr>
          <w:p>
            <w:pPr>
              <w:tabs>
                <w:tab w:val="left" w:pos="1080"/>
              </w:tabs>
              <w:snapToGrid w:val="0"/>
              <w:jc w:val="center"/>
              <w:rPr>
                <w:color w:val="auto"/>
                <w:sz w:val="24"/>
              </w:rPr>
            </w:pPr>
          </w:p>
          <w:p>
            <w:pPr>
              <w:tabs>
                <w:tab w:val="left" w:pos="1080"/>
              </w:tabs>
              <w:snapToGrid w:val="0"/>
              <w:jc w:val="center"/>
              <w:rPr>
                <w:color w:val="auto"/>
                <w:sz w:val="24"/>
              </w:rPr>
            </w:pPr>
            <w:r>
              <w:rPr>
                <w:color w:val="auto"/>
                <w:sz w:val="24"/>
              </w:rPr>
              <w:t>3-3</w:t>
            </w:r>
          </w:p>
        </w:tc>
        <w:tc>
          <w:tcPr>
            <w:tcW w:w="1982" w:type="dxa"/>
            <w:vAlign w:val="center"/>
          </w:tcPr>
          <w:p>
            <w:pPr>
              <w:tabs>
                <w:tab w:val="left" w:pos="1080"/>
              </w:tabs>
              <w:snapToGrid w:val="0"/>
              <w:rPr>
                <w:color w:val="auto"/>
                <w:sz w:val="24"/>
              </w:rPr>
            </w:pPr>
            <w:r>
              <w:rPr>
                <w:color w:val="auto"/>
                <w:sz w:val="24"/>
              </w:rPr>
              <w:t>其他特定资格要求</w:t>
            </w:r>
          </w:p>
        </w:tc>
        <w:tc>
          <w:tcPr>
            <w:tcW w:w="4822" w:type="dxa"/>
            <w:vAlign w:val="center"/>
          </w:tcPr>
          <w:p>
            <w:pPr>
              <w:tabs>
                <w:tab w:val="left" w:pos="1080"/>
              </w:tabs>
              <w:snapToGrid w:val="0"/>
              <w:rPr>
                <w:color w:val="auto"/>
                <w:sz w:val="24"/>
              </w:rPr>
            </w:pPr>
            <w:r>
              <w:rPr>
                <w:color w:val="auto"/>
                <w:sz w:val="24"/>
              </w:rPr>
              <w:t>如有，见第一章《投标邀请》</w:t>
            </w:r>
          </w:p>
        </w:tc>
        <w:tc>
          <w:tcPr>
            <w:tcW w:w="1638" w:type="dxa"/>
            <w:vAlign w:val="center"/>
          </w:tcPr>
          <w:p>
            <w:pPr>
              <w:tabs>
                <w:tab w:val="left" w:pos="1080"/>
              </w:tabs>
              <w:snapToGrid w:val="0"/>
              <w:rPr>
                <w:color w:val="auto"/>
                <w:sz w:val="24"/>
              </w:rPr>
            </w:pPr>
            <w:r>
              <w:rPr>
                <w:color w:val="auto"/>
                <w:sz w:val="24"/>
              </w:rPr>
              <w:t>提供证明文件的电子件或电子证照</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46" w:type="dxa"/>
            <w:vAlign w:val="center"/>
          </w:tcPr>
          <w:p>
            <w:pPr>
              <w:tabs>
                <w:tab w:val="left" w:pos="1080"/>
              </w:tabs>
              <w:snapToGrid w:val="0"/>
              <w:jc w:val="center"/>
              <w:rPr>
                <w:color w:val="auto"/>
                <w:sz w:val="24"/>
              </w:rPr>
            </w:pPr>
            <w:r>
              <w:rPr>
                <w:color w:val="auto"/>
                <w:sz w:val="24"/>
              </w:rPr>
              <w:t>4</w:t>
            </w:r>
          </w:p>
        </w:tc>
        <w:tc>
          <w:tcPr>
            <w:tcW w:w="1982" w:type="dxa"/>
            <w:vAlign w:val="center"/>
          </w:tcPr>
          <w:p>
            <w:pPr>
              <w:tabs>
                <w:tab w:val="left" w:pos="1080"/>
              </w:tabs>
              <w:snapToGrid w:val="0"/>
              <w:rPr>
                <w:color w:val="auto"/>
                <w:sz w:val="24"/>
              </w:rPr>
            </w:pPr>
            <w:r>
              <w:rPr>
                <w:color w:val="auto"/>
                <w:sz w:val="24"/>
              </w:rPr>
              <w:t>投标保证金</w:t>
            </w:r>
          </w:p>
        </w:tc>
        <w:tc>
          <w:tcPr>
            <w:tcW w:w="4822" w:type="dxa"/>
            <w:vAlign w:val="center"/>
          </w:tcPr>
          <w:p>
            <w:pPr>
              <w:tabs>
                <w:tab w:val="left" w:pos="1080"/>
              </w:tabs>
              <w:snapToGrid w:val="0"/>
              <w:rPr>
                <w:color w:val="auto"/>
                <w:sz w:val="24"/>
              </w:rPr>
            </w:pPr>
            <w:r>
              <w:rPr>
                <w:color w:val="auto"/>
                <w:kern w:val="0"/>
                <w:sz w:val="24"/>
              </w:rPr>
              <w:t>按照招标文件的规定提交投标保证金。</w:t>
            </w:r>
          </w:p>
        </w:tc>
        <w:tc>
          <w:tcPr>
            <w:tcW w:w="1638" w:type="dxa"/>
            <w:vAlign w:val="center"/>
          </w:tcPr>
          <w:p>
            <w:pPr>
              <w:tabs>
                <w:tab w:val="left" w:pos="1080"/>
              </w:tabs>
              <w:snapToGrid w:val="0"/>
              <w:rPr>
                <w:color w:val="auto"/>
                <w:sz w:val="24"/>
              </w:rPr>
            </w:pPr>
          </w:p>
        </w:tc>
      </w:tr>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26"/>
      <w:bookmarkEnd w:id="730"/>
    </w:tbl>
    <w:p>
      <w:pPr>
        <w:widowControl/>
        <w:jc w:val="left"/>
        <w:rPr>
          <w:color w:val="auto"/>
          <w:sz w:val="24"/>
        </w:rPr>
      </w:pPr>
      <w:bookmarkStart w:id="731" w:name="_Hlt522424701"/>
      <w:bookmarkEnd w:id="731"/>
      <w:bookmarkStart w:id="732" w:name="_Hlt487900425"/>
      <w:bookmarkEnd w:id="732"/>
      <w:bookmarkStart w:id="733" w:name="_Toc353873940"/>
      <w:bookmarkStart w:id="734" w:name="_Toc127151779"/>
      <w:bookmarkStart w:id="735" w:name="_Toc226965858"/>
      <w:bookmarkStart w:id="736" w:name="_Toc353825550"/>
      <w:bookmarkStart w:id="737" w:name="_Toc127161490"/>
      <w:r>
        <w:rPr>
          <w:color w:val="auto"/>
          <w:sz w:val="24"/>
        </w:rPr>
        <w:br w:type="page"/>
      </w:r>
    </w:p>
    <w:p>
      <w:pPr>
        <w:spacing w:line="360" w:lineRule="auto"/>
        <w:jc w:val="center"/>
        <w:outlineLvl w:val="0"/>
        <w:rPr>
          <w:b/>
          <w:color w:val="auto"/>
          <w:sz w:val="36"/>
          <w:szCs w:val="36"/>
        </w:rPr>
      </w:pPr>
      <w:bookmarkStart w:id="738" w:name="_Toc99301423"/>
      <w:r>
        <w:rPr>
          <w:b/>
          <w:color w:val="auto"/>
          <w:sz w:val="36"/>
          <w:szCs w:val="36"/>
        </w:rPr>
        <w:t xml:space="preserve">第四章   </w:t>
      </w:r>
      <w:bookmarkEnd w:id="733"/>
      <w:bookmarkEnd w:id="734"/>
      <w:bookmarkEnd w:id="735"/>
      <w:bookmarkEnd w:id="736"/>
      <w:bookmarkEnd w:id="737"/>
      <w:bookmarkStart w:id="739" w:name="_Hlt164229061"/>
      <w:bookmarkEnd w:id="739"/>
      <w:r>
        <w:rPr>
          <w:b/>
          <w:color w:val="auto"/>
          <w:sz w:val="36"/>
          <w:szCs w:val="36"/>
        </w:rPr>
        <w:t>评标程序、评标方法和评标标准</w:t>
      </w:r>
      <w:bookmarkEnd w:id="738"/>
    </w:p>
    <w:p>
      <w:pPr>
        <w:tabs>
          <w:tab w:val="left" w:pos="360"/>
          <w:tab w:val="left" w:pos="900"/>
        </w:tabs>
        <w:snapToGrid w:val="0"/>
        <w:spacing w:line="360" w:lineRule="auto"/>
        <w:jc w:val="center"/>
        <w:outlineLvl w:val="1"/>
        <w:rPr>
          <w:b/>
          <w:color w:val="auto"/>
        </w:rPr>
      </w:pPr>
      <w:r>
        <w:rPr>
          <w:b/>
          <w:color w:val="auto"/>
          <w:sz w:val="24"/>
        </w:rPr>
        <w:t>一、评标方法</w:t>
      </w:r>
    </w:p>
    <w:p>
      <w:pPr>
        <w:numPr>
          <w:ilvl w:val="0"/>
          <w:numId w:val="12"/>
        </w:numPr>
        <w:tabs>
          <w:tab w:val="left" w:pos="360"/>
        </w:tabs>
        <w:snapToGrid w:val="0"/>
        <w:spacing w:line="360" w:lineRule="auto"/>
        <w:outlineLvl w:val="1"/>
        <w:rPr>
          <w:color w:val="auto"/>
          <w:sz w:val="24"/>
        </w:rPr>
      </w:pPr>
      <w:bookmarkStart w:id="740" w:name="_Toc142311043"/>
      <w:bookmarkStart w:id="741" w:name="_Toc305158809"/>
      <w:bookmarkStart w:id="742" w:name="_Toc164608655"/>
      <w:bookmarkStart w:id="743" w:name="_Toc195842906"/>
      <w:bookmarkStart w:id="744" w:name="_Toc226309785"/>
      <w:bookmarkStart w:id="745" w:name="_Toc151193855"/>
      <w:bookmarkStart w:id="746" w:name="_Toc127151541"/>
      <w:bookmarkStart w:id="747" w:name="_Toc264969231"/>
      <w:bookmarkStart w:id="748" w:name="_Toc164351635"/>
      <w:bookmarkStart w:id="749" w:name="_Toc226965814"/>
      <w:bookmarkStart w:id="750" w:name="_Toc150774641"/>
      <w:bookmarkStart w:id="751" w:name="_Toc164229236"/>
      <w:bookmarkStart w:id="752" w:name="_Toc127161455"/>
      <w:bookmarkStart w:id="753" w:name="_Toc226337237"/>
      <w:bookmarkStart w:id="754" w:name="_Toc164229382"/>
      <w:bookmarkStart w:id="755" w:name="_Toc305158883"/>
      <w:bookmarkStart w:id="756" w:name="_Toc127151742"/>
      <w:bookmarkStart w:id="757" w:name="_Toc151193711"/>
      <w:bookmarkStart w:id="758" w:name="_Toc151193783"/>
      <w:bookmarkStart w:id="759" w:name="_Toc226965731"/>
      <w:bookmarkStart w:id="760" w:name="_Toc265228379"/>
      <w:bookmarkStart w:id="761" w:name="_Toc151190168"/>
      <w:bookmarkStart w:id="762" w:name="_Toc150774746"/>
      <w:bookmarkStart w:id="763" w:name="_Toc149720834"/>
      <w:bookmarkStart w:id="764" w:name="_Toc150509292"/>
      <w:bookmarkStart w:id="765" w:name="_Toc151193639"/>
      <w:bookmarkStart w:id="766" w:name="_Toc150480779"/>
      <w:bookmarkStart w:id="767" w:name="_Toc164608810"/>
      <w:bookmarkStart w:id="768" w:name="_Toc151193929"/>
      <w:bookmarkStart w:id="769" w:name="_Toc353825551"/>
      <w:bookmarkStart w:id="770" w:name="_Toc353873941"/>
      <w:bookmarkStart w:id="771" w:name="_Toc195842920"/>
      <w:bookmarkStart w:id="772" w:name="_Toc265228393"/>
      <w:bookmarkStart w:id="773" w:name="_Toc150480793"/>
      <w:bookmarkStart w:id="774" w:name="_Toc353825545"/>
      <w:bookmarkStart w:id="775" w:name="_Toc226337251"/>
      <w:bookmarkStart w:id="776" w:name="_Toc353873935"/>
      <w:bookmarkStart w:id="777" w:name="_Toc150774760"/>
      <w:bookmarkStart w:id="778" w:name="_Toc264969245"/>
      <w:bookmarkStart w:id="779" w:name="_Toc305158897"/>
      <w:bookmarkStart w:id="780" w:name="_Toc226965828"/>
      <w:bookmarkStart w:id="781" w:name="_Toc305158823"/>
      <w:bookmarkStart w:id="782" w:name="_Toc127151555"/>
      <w:bookmarkStart w:id="783" w:name="_Toc353873665"/>
      <w:bookmarkStart w:id="784" w:name="_Toc142311057"/>
      <w:r>
        <w:rPr>
          <w:color w:val="auto"/>
          <w:sz w:val="24"/>
        </w:rPr>
        <w:t>投标文件的符合性审查</w:t>
      </w:r>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p>
    <w:p>
      <w:pPr>
        <w:numPr>
          <w:ilvl w:val="1"/>
          <w:numId w:val="12"/>
        </w:numPr>
        <w:tabs>
          <w:tab w:val="left" w:pos="1080"/>
        </w:tabs>
        <w:snapToGrid w:val="0"/>
        <w:spacing w:line="360" w:lineRule="auto"/>
        <w:ind w:left="1077" w:hanging="720"/>
        <w:rPr>
          <w:color w:val="auto"/>
          <w:sz w:val="24"/>
        </w:rPr>
      </w:pPr>
      <w:r>
        <w:rPr>
          <w:color w:val="auto"/>
          <w:sz w:val="24"/>
        </w:rPr>
        <w:t>评标委员会对资格审查合格的投标人的投标文件进行符合性审查，以确定其是否满足招标文件的实质性要求。</w:t>
      </w:r>
      <w:bookmarkStart w:id="785" w:name="_Toc520356167"/>
    </w:p>
    <w:p>
      <w:pPr>
        <w:numPr>
          <w:ilvl w:val="1"/>
          <w:numId w:val="12"/>
        </w:numPr>
        <w:tabs>
          <w:tab w:val="left" w:pos="1080"/>
        </w:tabs>
        <w:snapToGrid w:val="0"/>
        <w:spacing w:line="360" w:lineRule="auto"/>
        <w:ind w:left="1077" w:hanging="720"/>
        <w:rPr>
          <w:color w:val="auto"/>
          <w:sz w:val="24"/>
        </w:rPr>
      </w:pPr>
      <w:r>
        <w:rPr>
          <w:color w:val="auto"/>
          <w:sz w:val="24"/>
        </w:rPr>
        <w:t>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785"/>
      <w:r>
        <w:rPr>
          <w:color w:val="auto"/>
          <w:sz w:val="24"/>
        </w:rPr>
        <w:t>要求的，</w:t>
      </w:r>
      <w:r>
        <w:rPr>
          <w:b/>
          <w:color w:val="auto"/>
          <w:sz w:val="24"/>
        </w:rPr>
        <w:t>投标无效</w:t>
      </w:r>
      <w:r>
        <w:rPr>
          <w:color w:val="auto"/>
          <w:sz w:val="24"/>
        </w:rPr>
        <w:t>。</w:t>
      </w:r>
    </w:p>
    <w:p>
      <w:pPr>
        <w:tabs>
          <w:tab w:val="left" w:pos="900"/>
          <w:tab w:val="left" w:pos="1080"/>
          <w:tab w:val="left" w:pos="1589"/>
        </w:tabs>
        <w:snapToGrid w:val="0"/>
        <w:spacing w:line="360" w:lineRule="auto"/>
        <w:ind w:leftChars="-170" w:hanging="357" w:hangingChars="148"/>
        <w:jc w:val="center"/>
        <w:rPr>
          <w:b/>
          <w:color w:val="auto"/>
          <w:sz w:val="24"/>
        </w:rPr>
      </w:pPr>
      <w:r>
        <w:rPr>
          <w:b/>
          <w:color w:val="auto"/>
          <w:sz w:val="24"/>
        </w:rPr>
        <w:t>符合性审查要求</w:t>
      </w:r>
    </w:p>
    <w:tbl>
      <w:tblPr>
        <w:tblStyle w:val="44"/>
        <w:tblW w:w="92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0"/>
        <w:gridCol w:w="1813"/>
        <w:gridCol w:w="672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750" w:type="dxa"/>
            <w:shd w:val="clear" w:color="auto" w:fill="auto"/>
            <w:vAlign w:val="center"/>
          </w:tcPr>
          <w:p>
            <w:pPr>
              <w:widowControl/>
              <w:jc w:val="center"/>
              <w:rPr>
                <w:b/>
                <w:color w:val="auto"/>
                <w:kern w:val="0"/>
                <w:sz w:val="24"/>
              </w:rPr>
            </w:pPr>
            <w:r>
              <w:rPr>
                <w:b/>
                <w:color w:val="auto"/>
                <w:kern w:val="0"/>
                <w:sz w:val="24"/>
              </w:rPr>
              <w:t>序号</w:t>
            </w:r>
          </w:p>
        </w:tc>
        <w:tc>
          <w:tcPr>
            <w:tcW w:w="1813" w:type="dxa"/>
            <w:shd w:val="clear" w:color="auto" w:fill="auto"/>
            <w:vAlign w:val="center"/>
          </w:tcPr>
          <w:p>
            <w:pPr>
              <w:widowControl/>
              <w:jc w:val="center"/>
              <w:rPr>
                <w:b/>
                <w:color w:val="auto"/>
                <w:kern w:val="0"/>
                <w:sz w:val="24"/>
              </w:rPr>
            </w:pPr>
            <w:r>
              <w:rPr>
                <w:b/>
                <w:color w:val="auto"/>
                <w:kern w:val="0"/>
                <w:sz w:val="24"/>
              </w:rPr>
              <w:t>审查因素</w:t>
            </w:r>
          </w:p>
        </w:tc>
        <w:tc>
          <w:tcPr>
            <w:tcW w:w="6725" w:type="dxa"/>
            <w:shd w:val="clear" w:color="auto" w:fill="auto"/>
            <w:vAlign w:val="center"/>
          </w:tcPr>
          <w:p>
            <w:pPr>
              <w:widowControl/>
              <w:jc w:val="center"/>
              <w:rPr>
                <w:b/>
                <w:color w:val="auto"/>
                <w:kern w:val="0"/>
                <w:sz w:val="24"/>
              </w:rPr>
            </w:pPr>
            <w:r>
              <w:rPr>
                <w:b/>
                <w:color w:val="auto"/>
                <w:kern w:val="0"/>
                <w:sz w:val="24"/>
              </w:rPr>
              <w:t>审查内容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shd w:val="clear" w:color="auto" w:fill="auto"/>
            <w:vAlign w:val="center"/>
          </w:tcPr>
          <w:p>
            <w:pPr>
              <w:widowControl/>
              <w:jc w:val="center"/>
              <w:rPr>
                <w:color w:val="auto"/>
                <w:kern w:val="0"/>
                <w:sz w:val="24"/>
              </w:rPr>
            </w:pPr>
            <w:r>
              <w:rPr>
                <w:color w:val="auto"/>
                <w:kern w:val="0"/>
                <w:sz w:val="24"/>
              </w:rPr>
              <w:t>1</w:t>
            </w:r>
          </w:p>
        </w:tc>
        <w:tc>
          <w:tcPr>
            <w:tcW w:w="1813" w:type="dxa"/>
            <w:shd w:val="clear" w:color="auto" w:fill="auto"/>
            <w:vAlign w:val="center"/>
          </w:tcPr>
          <w:p>
            <w:pPr>
              <w:widowControl/>
              <w:jc w:val="left"/>
              <w:rPr>
                <w:color w:val="auto"/>
                <w:kern w:val="0"/>
                <w:sz w:val="24"/>
              </w:rPr>
            </w:pPr>
            <w:r>
              <w:rPr>
                <w:color w:val="auto"/>
                <w:kern w:val="0"/>
                <w:sz w:val="24"/>
              </w:rPr>
              <w:t>授权委托书</w:t>
            </w:r>
          </w:p>
        </w:tc>
        <w:tc>
          <w:tcPr>
            <w:tcW w:w="6725" w:type="dxa"/>
            <w:shd w:val="clear" w:color="auto" w:fill="auto"/>
            <w:vAlign w:val="center"/>
          </w:tcPr>
          <w:p>
            <w:pPr>
              <w:widowControl/>
              <w:jc w:val="left"/>
              <w:rPr>
                <w:color w:val="auto"/>
                <w:kern w:val="0"/>
                <w:sz w:val="24"/>
              </w:rPr>
            </w:pPr>
            <w:r>
              <w:rPr>
                <w:color w:val="auto"/>
                <w:kern w:val="0"/>
                <w:sz w:val="24"/>
              </w:rPr>
              <w:t>按招标文件要求提供授权委托书；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shd w:val="clear" w:color="auto" w:fill="auto"/>
            <w:vAlign w:val="center"/>
          </w:tcPr>
          <w:p>
            <w:pPr>
              <w:widowControl/>
              <w:jc w:val="center"/>
              <w:rPr>
                <w:color w:val="auto"/>
                <w:kern w:val="0"/>
                <w:sz w:val="24"/>
              </w:rPr>
            </w:pPr>
            <w:r>
              <w:rPr>
                <w:color w:val="auto"/>
                <w:kern w:val="0"/>
                <w:sz w:val="24"/>
              </w:rPr>
              <w:t>2</w:t>
            </w:r>
          </w:p>
        </w:tc>
        <w:tc>
          <w:tcPr>
            <w:tcW w:w="1813" w:type="dxa"/>
            <w:shd w:val="clear" w:color="auto" w:fill="auto"/>
            <w:vAlign w:val="center"/>
          </w:tcPr>
          <w:p>
            <w:pPr>
              <w:widowControl/>
              <w:jc w:val="left"/>
              <w:rPr>
                <w:color w:val="auto"/>
                <w:kern w:val="0"/>
                <w:sz w:val="24"/>
              </w:rPr>
            </w:pPr>
            <w:r>
              <w:rPr>
                <w:color w:val="auto"/>
                <w:kern w:val="0"/>
                <w:sz w:val="24"/>
              </w:rPr>
              <w:t>投标完整性</w:t>
            </w:r>
          </w:p>
        </w:tc>
        <w:tc>
          <w:tcPr>
            <w:tcW w:w="6725" w:type="dxa"/>
            <w:shd w:val="clear" w:color="auto" w:fill="auto"/>
            <w:vAlign w:val="center"/>
          </w:tcPr>
          <w:p>
            <w:pPr>
              <w:widowControl/>
              <w:jc w:val="left"/>
              <w:rPr>
                <w:color w:val="auto"/>
                <w:kern w:val="0"/>
                <w:sz w:val="24"/>
              </w:rPr>
            </w:pPr>
            <w:r>
              <w:rPr>
                <w:color w:val="auto"/>
                <w:sz w:val="24"/>
              </w:rPr>
              <w:t>未将一个采购包中的内容拆分投标；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shd w:val="clear" w:color="auto" w:fill="auto"/>
            <w:vAlign w:val="center"/>
          </w:tcPr>
          <w:p>
            <w:pPr>
              <w:widowControl/>
              <w:jc w:val="center"/>
              <w:rPr>
                <w:color w:val="auto"/>
                <w:kern w:val="0"/>
                <w:sz w:val="24"/>
              </w:rPr>
            </w:pPr>
            <w:r>
              <w:rPr>
                <w:color w:val="auto"/>
                <w:kern w:val="0"/>
                <w:sz w:val="24"/>
              </w:rPr>
              <w:t>3</w:t>
            </w:r>
          </w:p>
        </w:tc>
        <w:tc>
          <w:tcPr>
            <w:tcW w:w="1813" w:type="dxa"/>
            <w:shd w:val="clear" w:color="auto" w:fill="auto"/>
            <w:vAlign w:val="center"/>
          </w:tcPr>
          <w:p>
            <w:pPr>
              <w:widowControl/>
              <w:jc w:val="left"/>
              <w:rPr>
                <w:color w:val="auto"/>
                <w:kern w:val="0"/>
                <w:sz w:val="24"/>
              </w:rPr>
            </w:pPr>
            <w:r>
              <w:rPr>
                <w:color w:val="auto"/>
                <w:kern w:val="0"/>
                <w:sz w:val="24"/>
              </w:rPr>
              <w:t>投标报价</w:t>
            </w:r>
          </w:p>
        </w:tc>
        <w:tc>
          <w:tcPr>
            <w:tcW w:w="6725" w:type="dxa"/>
            <w:shd w:val="clear" w:color="auto" w:fill="auto"/>
            <w:vAlign w:val="center"/>
          </w:tcPr>
          <w:p>
            <w:pPr>
              <w:widowControl/>
              <w:jc w:val="left"/>
              <w:rPr>
                <w:color w:val="auto"/>
                <w:kern w:val="0"/>
                <w:sz w:val="24"/>
              </w:rPr>
            </w:pPr>
            <w:r>
              <w:rPr>
                <w:color w:val="auto"/>
                <w:kern w:val="0"/>
                <w:sz w:val="24"/>
              </w:rPr>
              <w:t>投标报价未</w:t>
            </w:r>
            <w:r>
              <w:rPr>
                <w:color w:val="auto"/>
                <w:sz w:val="24"/>
              </w:rPr>
              <w:t>超过招标文件中规定的项目/采购包预算金额或者项目/采购包最高限价</w:t>
            </w:r>
            <w:r>
              <w:rPr>
                <w:color w:val="auto"/>
                <w:kern w:val="0"/>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shd w:val="clear" w:color="auto" w:fill="auto"/>
            <w:vAlign w:val="center"/>
          </w:tcPr>
          <w:p>
            <w:pPr>
              <w:widowControl/>
              <w:jc w:val="center"/>
              <w:rPr>
                <w:color w:val="auto"/>
                <w:kern w:val="0"/>
                <w:sz w:val="24"/>
              </w:rPr>
            </w:pPr>
            <w:r>
              <w:rPr>
                <w:color w:val="auto"/>
                <w:kern w:val="0"/>
                <w:sz w:val="24"/>
              </w:rPr>
              <w:t>4</w:t>
            </w:r>
          </w:p>
        </w:tc>
        <w:tc>
          <w:tcPr>
            <w:tcW w:w="1813" w:type="dxa"/>
            <w:shd w:val="clear" w:color="auto" w:fill="auto"/>
            <w:vAlign w:val="center"/>
          </w:tcPr>
          <w:p>
            <w:pPr>
              <w:widowControl/>
              <w:jc w:val="left"/>
              <w:rPr>
                <w:color w:val="auto"/>
                <w:kern w:val="0"/>
                <w:sz w:val="24"/>
              </w:rPr>
            </w:pPr>
            <w:r>
              <w:rPr>
                <w:color w:val="auto"/>
                <w:kern w:val="0"/>
                <w:sz w:val="24"/>
              </w:rPr>
              <w:t>报价唯一性</w:t>
            </w:r>
          </w:p>
        </w:tc>
        <w:tc>
          <w:tcPr>
            <w:tcW w:w="6725" w:type="dxa"/>
            <w:shd w:val="clear" w:color="auto" w:fill="auto"/>
            <w:vAlign w:val="center"/>
          </w:tcPr>
          <w:p>
            <w:pPr>
              <w:widowControl/>
              <w:jc w:val="left"/>
              <w:rPr>
                <w:color w:val="auto"/>
                <w:kern w:val="0"/>
                <w:sz w:val="24"/>
              </w:rPr>
            </w:pPr>
            <w:r>
              <w:rPr>
                <w:color w:val="auto"/>
                <w:kern w:val="0"/>
                <w:sz w:val="24"/>
              </w:rPr>
              <w:t>投标文件未</w:t>
            </w:r>
            <w:r>
              <w:rPr>
                <w:color w:val="auto"/>
                <w:sz w:val="24"/>
              </w:rPr>
              <w:t>出现可选择性或可调整的报价（招标文件另有规定的除外）</w:t>
            </w:r>
            <w:r>
              <w:rPr>
                <w:color w:val="auto"/>
                <w:kern w:val="0"/>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shd w:val="clear" w:color="auto" w:fill="auto"/>
            <w:vAlign w:val="center"/>
          </w:tcPr>
          <w:p>
            <w:pPr>
              <w:widowControl/>
              <w:jc w:val="center"/>
              <w:rPr>
                <w:color w:val="auto"/>
                <w:kern w:val="0"/>
                <w:sz w:val="24"/>
              </w:rPr>
            </w:pPr>
            <w:r>
              <w:rPr>
                <w:color w:val="auto"/>
                <w:kern w:val="0"/>
                <w:sz w:val="24"/>
              </w:rPr>
              <w:t>5</w:t>
            </w:r>
          </w:p>
        </w:tc>
        <w:tc>
          <w:tcPr>
            <w:tcW w:w="1813" w:type="dxa"/>
            <w:shd w:val="clear" w:color="auto" w:fill="auto"/>
            <w:vAlign w:val="center"/>
          </w:tcPr>
          <w:p>
            <w:pPr>
              <w:widowControl/>
              <w:jc w:val="left"/>
              <w:rPr>
                <w:color w:val="auto"/>
                <w:kern w:val="0"/>
                <w:sz w:val="24"/>
              </w:rPr>
            </w:pPr>
            <w:r>
              <w:rPr>
                <w:color w:val="auto"/>
                <w:kern w:val="0"/>
                <w:sz w:val="24"/>
              </w:rPr>
              <w:t>投标有效期</w:t>
            </w:r>
          </w:p>
        </w:tc>
        <w:tc>
          <w:tcPr>
            <w:tcW w:w="6725" w:type="dxa"/>
            <w:shd w:val="clear" w:color="auto" w:fill="auto"/>
            <w:vAlign w:val="center"/>
          </w:tcPr>
          <w:p>
            <w:pPr>
              <w:widowControl/>
              <w:jc w:val="left"/>
              <w:rPr>
                <w:color w:val="auto"/>
                <w:kern w:val="0"/>
                <w:sz w:val="24"/>
              </w:rPr>
            </w:pPr>
            <w:r>
              <w:rPr>
                <w:color w:val="auto"/>
                <w:kern w:val="0"/>
                <w:sz w:val="24"/>
              </w:rPr>
              <w:t>投标文件中承诺的投标有效期满足招标文件中载明的投标有效期的；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shd w:val="clear" w:color="auto" w:fill="auto"/>
            <w:vAlign w:val="center"/>
          </w:tcPr>
          <w:p>
            <w:pPr>
              <w:widowControl/>
              <w:jc w:val="center"/>
              <w:rPr>
                <w:color w:val="auto"/>
                <w:kern w:val="0"/>
                <w:sz w:val="24"/>
              </w:rPr>
            </w:pPr>
            <w:r>
              <w:rPr>
                <w:color w:val="auto"/>
                <w:kern w:val="0"/>
                <w:sz w:val="24"/>
              </w:rPr>
              <w:t>6</w:t>
            </w:r>
          </w:p>
        </w:tc>
        <w:tc>
          <w:tcPr>
            <w:tcW w:w="1813" w:type="dxa"/>
            <w:shd w:val="clear" w:color="auto" w:fill="auto"/>
            <w:vAlign w:val="center"/>
          </w:tcPr>
          <w:p>
            <w:pPr>
              <w:widowControl/>
              <w:jc w:val="left"/>
              <w:rPr>
                <w:color w:val="auto"/>
                <w:kern w:val="0"/>
                <w:sz w:val="24"/>
              </w:rPr>
            </w:pPr>
            <w:r>
              <w:rPr>
                <w:color w:val="auto"/>
                <w:kern w:val="0"/>
                <w:sz w:val="24"/>
              </w:rPr>
              <w:t>实质性格式</w:t>
            </w:r>
          </w:p>
        </w:tc>
        <w:tc>
          <w:tcPr>
            <w:tcW w:w="6725" w:type="dxa"/>
            <w:shd w:val="clear" w:color="auto" w:fill="auto"/>
            <w:vAlign w:val="center"/>
          </w:tcPr>
          <w:p>
            <w:pPr>
              <w:widowControl/>
              <w:jc w:val="left"/>
              <w:rPr>
                <w:color w:val="auto"/>
                <w:kern w:val="0"/>
                <w:sz w:val="24"/>
              </w:rPr>
            </w:pPr>
            <w:r>
              <w:rPr>
                <w:color w:val="auto"/>
                <w:kern w:val="0"/>
                <w:sz w:val="24"/>
              </w:rPr>
              <w:t>标记为“实质性格式”的文件均按招标文件要求提供且签署、盖章的；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shd w:val="clear" w:color="auto" w:fill="auto"/>
            <w:vAlign w:val="center"/>
          </w:tcPr>
          <w:p>
            <w:pPr>
              <w:widowControl/>
              <w:jc w:val="center"/>
              <w:rPr>
                <w:color w:val="auto"/>
                <w:kern w:val="0"/>
                <w:sz w:val="24"/>
              </w:rPr>
            </w:pPr>
            <w:r>
              <w:rPr>
                <w:color w:val="auto"/>
                <w:kern w:val="0"/>
                <w:sz w:val="24"/>
              </w:rPr>
              <w:t>7</w:t>
            </w:r>
          </w:p>
        </w:tc>
        <w:tc>
          <w:tcPr>
            <w:tcW w:w="1813" w:type="dxa"/>
            <w:shd w:val="clear" w:color="auto" w:fill="auto"/>
            <w:vAlign w:val="center"/>
          </w:tcPr>
          <w:p>
            <w:pPr>
              <w:widowControl/>
              <w:jc w:val="left"/>
              <w:rPr>
                <w:color w:val="auto"/>
                <w:kern w:val="0"/>
                <w:sz w:val="24"/>
              </w:rPr>
            </w:pPr>
            <w:r>
              <w:rPr>
                <w:rFonts w:ascii="Segoe UI Symbol" w:hAnsi="Segoe UI Symbol" w:cs="Segoe UI Symbol"/>
                <w:color w:val="auto"/>
                <w:kern w:val="0"/>
                <w:sz w:val="24"/>
              </w:rPr>
              <w:t>★</w:t>
            </w:r>
            <w:r>
              <w:rPr>
                <w:color w:val="auto"/>
                <w:kern w:val="0"/>
                <w:sz w:val="24"/>
              </w:rPr>
              <w:t>号条款响应</w:t>
            </w:r>
          </w:p>
        </w:tc>
        <w:tc>
          <w:tcPr>
            <w:tcW w:w="6725" w:type="dxa"/>
            <w:shd w:val="clear" w:color="auto" w:fill="auto"/>
            <w:vAlign w:val="center"/>
          </w:tcPr>
          <w:p>
            <w:pPr>
              <w:widowControl/>
              <w:jc w:val="left"/>
              <w:rPr>
                <w:color w:val="auto"/>
                <w:kern w:val="0"/>
                <w:sz w:val="24"/>
              </w:rPr>
            </w:pPr>
            <w:r>
              <w:rPr>
                <w:color w:val="auto"/>
                <w:kern w:val="0"/>
                <w:sz w:val="24"/>
              </w:rPr>
              <w:t>投标文件满足招标文件</w:t>
            </w:r>
            <w:r>
              <w:rPr>
                <w:color w:val="auto"/>
                <w:sz w:val="24"/>
              </w:rPr>
              <w:t>第五章《采购需求》</w:t>
            </w:r>
            <w:r>
              <w:rPr>
                <w:color w:val="auto"/>
                <w:kern w:val="0"/>
                <w:sz w:val="24"/>
              </w:rPr>
              <w:t>中</w:t>
            </w:r>
            <w:r>
              <w:rPr>
                <w:rFonts w:ascii="Segoe UI Symbol" w:hAnsi="Segoe UI Symbol" w:cs="Segoe UI Symbol"/>
                <w:color w:val="auto"/>
                <w:kern w:val="0"/>
                <w:sz w:val="24"/>
              </w:rPr>
              <w:t>★</w:t>
            </w:r>
            <w:r>
              <w:rPr>
                <w:color w:val="auto"/>
                <w:kern w:val="0"/>
                <w:sz w:val="24"/>
              </w:rPr>
              <w:t>号条款要求的；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shd w:val="clear" w:color="auto" w:fill="auto"/>
            <w:vAlign w:val="center"/>
          </w:tcPr>
          <w:p>
            <w:pPr>
              <w:widowControl/>
              <w:jc w:val="center"/>
              <w:rPr>
                <w:color w:val="auto"/>
                <w:kern w:val="0"/>
                <w:sz w:val="24"/>
              </w:rPr>
            </w:pPr>
            <w:r>
              <w:rPr>
                <w:color w:val="auto"/>
                <w:kern w:val="0"/>
                <w:sz w:val="24"/>
              </w:rPr>
              <w:t>8</w:t>
            </w:r>
          </w:p>
        </w:tc>
        <w:tc>
          <w:tcPr>
            <w:tcW w:w="1813" w:type="dxa"/>
            <w:shd w:val="clear" w:color="auto" w:fill="auto"/>
            <w:vAlign w:val="center"/>
          </w:tcPr>
          <w:p>
            <w:pPr>
              <w:widowControl/>
              <w:jc w:val="left"/>
              <w:rPr>
                <w:color w:val="auto"/>
                <w:kern w:val="0"/>
                <w:sz w:val="24"/>
              </w:rPr>
            </w:pPr>
            <w:r>
              <w:rPr>
                <w:color w:val="auto"/>
                <w:sz w:val="24"/>
              </w:rPr>
              <w:t>拟分包情况说明（如有）</w:t>
            </w:r>
          </w:p>
        </w:tc>
        <w:tc>
          <w:tcPr>
            <w:tcW w:w="6725" w:type="dxa"/>
            <w:shd w:val="clear" w:color="auto" w:fill="auto"/>
            <w:vAlign w:val="center"/>
          </w:tcPr>
          <w:p>
            <w:pPr>
              <w:widowControl/>
              <w:jc w:val="left"/>
              <w:rPr>
                <w:color w:val="auto"/>
                <w:kern w:val="0"/>
                <w:sz w:val="24"/>
              </w:rPr>
            </w:pPr>
            <w:r>
              <w:rPr>
                <w:color w:val="auto"/>
                <w:sz w:val="24"/>
              </w:rPr>
              <w:t>如本项目（包）非因“落实政府采购政策”亦允许分包，且供应商拟进行分包时，必须提供；否则无须提供；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shd w:val="clear" w:color="auto" w:fill="auto"/>
            <w:vAlign w:val="center"/>
          </w:tcPr>
          <w:p>
            <w:pPr>
              <w:widowControl/>
              <w:jc w:val="center"/>
              <w:rPr>
                <w:color w:val="auto"/>
                <w:kern w:val="0"/>
                <w:sz w:val="24"/>
              </w:rPr>
            </w:pPr>
            <w:r>
              <w:rPr>
                <w:color w:val="auto"/>
                <w:kern w:val="0"/>
                <w:sz w:val="24"/>
              </w:rPr>
              <w:t>9</w:t>
            </w:r>
          </w:p>
        </w:tc>
        <w:tc>
          <w:tcPr>
            <w:tcW w:w="1813" w:type="dxa"/>
            <w:shd w:val="clear" w:color="auto" w:fill="auto"/>
            <w:vAlign w:val="center"/>
          </w:tcPr>
          <w:p>
            <w:pPr>
              <w:widowControl/>
              <w:jc w:val="left"/>
              <w:rPr>
                <w:color w:val="auto"/>
                <w:kern w:val="0"/>
                <w:sz w:val="24"/>
              </w:rPr>
            </w:pPr>
            <w:r>
              <w:rPr>
                <w:color w:val="auto"/>
                <w:kern w:val="0"/>
                <w:sz w:val="24"/>
              </w:rPr>
              <w:t>分包其他要求（如有）</w:t>
            </w:r>
          </w:p>
        </w:tc>
        <w:tc>
          <w:tcPr>
            <w:tcW w:w="6725" w:type="dxa"/>
            <w:shd w:val="clear" w:color="auto" w:fill="auto"/>
            <w:vAlign w:val="center"/>
          </w:tcPr>
          <w:p>
            <w:pPr>
              <w:widowControl/>
              <w:jc w:val="left"/>
              <w:rPr>
                <w:color w:val="auto"/>
                <w:sz w:val="24"/>
              </w:rPr>
            </w:pPr>
            <w:r>
              <w:rPr>
                <w:color w:val="auto"/>
                <w:sz w:val="24"/>
              </w:rPr>
              <w:t>分包履行的内容、金额或者比例未超出《投标人须知资料表》中的规定；</w:t>
            </w:r>
          </w:p>
          <w:p>
            <w:pPr>
              <w:widowControl/>
              <w:jc w:val="left"/>
              <w:rPr>
                <w:color w:val="auto"/>
                <w:kern w:val="0"/>
                <w:sz w:val="24"/>
              </w:rPr>
            </w:pPr>
            <w:r>
              <w:rPr>
                <w:color w:val="auto"/>
                <w:sz w:val="24"/>
              </w:rPr>
              <w:t>分包承担主体具备《投标人须知资料表》载明的资质条件且提供了资质证书电子件（如有）；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shd w:val="clear" w:color="auto" w:fill="auto"/>
            <w:vAlign w:val="center"/>
          </w:tcPr>
          <w:p>
            <w:pPr>
              <w:widowControl/>
              <w:jc w:val="center"/>
              <w:rPr>
                <w:color w:val="auto"/>
                <w:kern w:val="0"/>
                <w:sz w:val="24"/>
              </w:rPr>
            </w:pPr>
            <w:r>
              <w:rPr>
                <w:color w:val="auto"/>
                <w:kern w:val="0"/>
                <w:sz w:val="24"/>
              </w:rPr>
              <w:t>10</w:t>
            </w:r>
          </w:p>
        </w:tc>
        <w:tc>
          <w:tcPr>
            <w:tcW w:w="1813" w:type="dxa"/>
            <w:shd w:val="clear" w:color="auto" w:fill="auto"/>
            <w:vAlign w:val="center"/>
          </w:tcPr>
          <w:p>
            <w:pPr>
              <w:widowControl/>
              <w:jc w:val="left"/>
              <w:rPr>
                <w:color w:val="auto"/>
                <w:kern w:val="0"/>
                <w:sz w:val="24"/>
              </w:rPr>
            </w:pPr>
            <w:r>
              <w:rPr>
                <w:color w:val="auto"/>
                <w:kern w:val="0"/>
                <w:sz w:val="24"/>
              </w:rPr>
              <w:t>报价的修正（如有）</w:t>
            </w:r>
          </w:p>
        </w:tc>
        <w:tc>
          <w:tcPr>
            <w:tcW w:w="6725" w:type="dxa"/>
            <w:shd w:val="clear" w:color="auto" w:fill="auto"/>
            <w:vAlign w:val="center"/>
          </w:tcPr>
          <w:p>
            <w:pPr>
              <w:widowControl/>
              <w:jc w:val="left"/>
              <w:rPr>
                <w:color w:val="auto"/>
                <w:kern w:val="0"/>
                <w:sz w:val="24"/>
              </w:rPr>
            </w:pPr>
            <w:r>
              <w:rPr>
                <w:color w:val="auto"/>
                <w:kern w:val="0"/>
                <w:sz w:val="24"/>
              </w:rPr>
              <w:t>不涉及报价修正，或投标文件报价出现前后不一致时，投标人对修正后的报价予以确认；（如有）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shd w:val="clear" w:color="auto" w:fill="auto"/>
            <w:vAlign w:val="center"/>
          </w:tcPr>
          <w:p>
            <w:pPr>
              <w:widowControl/>
              <w:jc w:val="center"/>
              <w:rPr>
                <w:color w:val="auto"/>
                <w:kern w:val="0"/>
                <w:sz w:val="24"/>
              </w:rPr>
            </w:pPr>
            <w:r>
              <w:rPr>
                <w:color w:val="auto"/>
                <w:kern w:val="0"/>
                <w:sz w:val="24"/>
              </w:rPr>
              <w:t>11</w:t>
            </w:r>
          </w:p>
        </w:tc>
        <w:tc>
          <w:tcPr>
            <w:tcW w:w="1813" w:type="dxa"/>
            <w:shd w:val="clear" w:color="auto" w:fill="auto"/>
            <w:vAlign w:val="center"/>
          </w:tcPr>
          <w:p>
            <w:pPr>
              <w:widowControl/>
              <w:jc w:val="left"/>
              <w:rPr>
                <w:color w:val="auto"/>
                <w:kern w:val="0"/>
                <w:sz w:val="24"/>
              </w:rPr>
            </w:pPr>
            <w:r>
              <w:rPr>
                <w:color w:val="auto"/>
                <w:kern w:val="0"/>
                <w:sz w:val="24"/>
              </w:rPr>
              <w:t>报价合理性</w:t>
            </w:r>
          </w:p>
        </w:tc>
        <w:tc>
          <w:tcPr>
            <w:tcW w:w="6725" w:type="dxa"/>
            <w:shd w:val="clear" w:color="auto" w:fill="auto"/>
            <w:vAlign w:val="center"/>
          </w:tcPr>
          <w:p>
            <w:pPr>
              <w:widowControl/>
              <w:jc w:val="left"/>
              <w:rPr>
                <w:color w:val="auto"/>
                <w:kern w:val="0"/>
                <w:sz w:val="24"/>
              </w:rPr>
            </w:pPr>
            <w:r>
              <w:rPr>
                <w:color w:val="auto"/>
                <w:kern w:val="0"/>
                <w:sz w:val="24"/>
              </w:rPr>
              <w:t>报价合理，或</w:t>
            </w:r>
            <w:r>
              <w:rPr>
                <w:color w:val="auto"/>
                <w:sz w:val="24"/>
              </w:rPr>
              <w:t>投标人的报价明显低于其他通过符合性审查投标人的报价，有可能影响产品质量或者不能诚信履约的，能够应评标委员会要求在规定时间内证明其报价合理性的</w:t>
            </w:r>
            <w:r>
              <w:rPr>
                <w:color w:val="auto"/>
                <w:kern w:val="0"/>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shd w:val="clear" w:color="auto" w:fill="auto"/>
            <w:vAlign w:val="center"/>
          </w:tcPr>
          <w:p>
            <w:pPr>
              <w:widowControl/>
              <w:jc w:val="center"/>
              <w:rPr>
                <w:color w:val="auto"/>
                <w:kern w:val="0"/>
                <w:sz w:val="24"/>
              </w:rPr>
            </w:pPr>
            <w:r>
              <w:rPr>
                <w:color w:val="auto"/>
                <w:kern w:val="0"/>
                <w:sz w:val="24"/>
              </w:rPr>
              <w:t>12</w:t>
            </w:r>
          </w:p>
        </w:tc>
        <w:tc>
          <w:tcPr>
            <w:tcW w:w="1813" w:type="dxa"/>
            <w:shd w:val="clear" w:color="auto" w:fill="auto"/>
            <w:vAlign w:val="center"/>
          </w:tcPr>
          <w:p>
            <w:pPr>
              <w:widowControl/>
              <w:jc w:val="left"/>
              <w:rPr>
                <w:color w:val="auto"/>
                <w:kern w:val="0"/>
                <w:sz w:val="24"/>
              </w:rPr>
            </w:pPr>
            <w:r>
              <w:rPr>
                <w:color w:val="auto"/>
                <w:kern w:val="0"/>
                <w:sz w:val="24"/>
              </w:rPr>
              <w:t>进口产品</w:t>
            </w:r>
          </w:p>
          <w:p>
            <w:pPr>
              <w:widowControl/>
              <w:jc w:val="left"/>
              <w:rPr>
                <w:color w:val="auto"/>
                <w:kern w:val="0"/>
                <w:sz w:val="24"/>
              </w:rPr>
            </w:pPr>
            <w:r>
              <w:rPr>
                <w:color w:val="auto"/>
                <w:kern w:val="0"/>
                <w:sz w:val="24"/>
              </w:rPr>
              <w:t>（如有）</w:t>
            </w:r>
          </w:p>
        </w:tc>
        <w:tc>
          <w:tcPr>
            <w:tcW w:w="6725" w:type="dxa"/>
            <w:shd w:val="clear" w:color="auto" w:fill="auto"/>
            <w:vAlign w:val="center"/>
          </w:tcPr>
          <w:p>
            <w:pPr>
              <w:widowControl/>
              <w:jc w:val="left"/>
              <w:rPr>
                <w:color w:val="auto"/>
                <w:kern w:val="0"/>
                <w:sz w:val="24"/>
              </w:rPr>
            </w:pPr>
            <w:r>
              <w:rPr>
                <w:color w:val="auto"/>
                <w:sz w:val="24"/>
              </w:rPr>
              <w:t>招标文件不接受进口产品投标的内容时，投标人所投产品不含进口产品；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shd w:val="clear" w:color="auto" w:fill="auto"/>
            <w:vAlign w:val="center"/>
          </w:tcPr>
          <w:p>
            <w:pPr>
              <w:widowControl/>
              <w:jc w:val="center"/>
              <w:rPr>
                <w:color w:val="auto"/>
                <w:kern w:val="0"/>
                <w:sz w:val="24"/>
              </w:rPr>
            </w:pPr>
            <w:r>
              <w:rPr>
                <w:color w:val="auto"/>
                <w:kern w:val="0"/>
                <w:sz w:val="24"/>
              </w:rPr>
              <w:t>13</w:t>
            </w:r>
          </w:p>
        </w:tc>
        <w:tc>
          <w:tcPr>
            <w:tcW w:w="1813" w:type="dxa"/>
            <w:shd w:val="clear" w:color="auto" w:fill="auto"/>
            <w:vAlign w:val="center"/>
          </w:tcPr>
          <w:p>
            <w:pPr>
              <w:widowControl/>
              <w:jc w:val="left"/>
              <w:rPr>
                <w:color w:val="auto"/>
                <w:kern w:val="0"/>
                <w:sz w:val="24"/>
              </w:rPr>
            </w:pPr>
            <w:r>
              <w:rPr>
                <w:color w:val="auto"/>
                <w:kern w:val="0"/>
                <w:sz w:val="24"/>
              </w:rPr>
              <w:t>国家有关部门对投标人的投标产品有强制性规定或要求的</w:t>
            </w:r>
          </w:p>
        </w:tc>
        <w:tc>
          <w:tcPr>
            <w:tcW w:w="6725" w:type="dxa"/>
            <w:shd w:val="clear" w:color="auto" w:fill="auto"/>
            <w:vAlign w:val="center"/>
          </w:tcPr>
          <w:p>
            <w:pPr>
              <w:widowControl/>
              <w:jc w:val="left"/>
              <w:rPr>
                <w:color w:val="auto"/>
                <w:kern w:val="0"/>
                <w:sz w:val="24"/>
              </w:rPr>
            </w:pPr>
            <w:r>
              <w:rPr>
                <w:color w:val="auto"/>
                <w:kern w:val="0"/>
                <w:sz w:val="24"/>
              </w:rPr>
              <w:t>国家有关部门对投标人的投标产品有强制性规定或要求的（如相应技术、安全、节能和环保等），投标人的投标产品应符合相应规定或要求，并提供证明文件电子件：</w:t>
            </w:r>
          </w:p>
          <w:p>
            <w:pPr>
              <w:widowControl/>
              <w:jc w:val="left"/>
              <w:rPr>
                <w:color w:val="auto"/>
                <w:kern w:val="0"/>
                <w:sz w:val="24"/>
              </w:rPr>
            </w:pPr>
            <w:r>
              <w:rPr>
                <w:color w:val="auto"/>
                <w:kern w:val="0"/>
                <w:sz w:val="24"/>
              </w:rPr>
              <w:t>1）采购的产品若属于《节能产品政府采购品目清单》范围中政府强制采购产品，则投标人所报产品必须获得国家确定的认证机构出具的、处于有效期之内的节能产品认证证书；</w:t>
            </w:r>
          </w:p>
          <w:p>
            <w:pPr>
              <w:widowControl/>
              <w:jc w:val="left"/>
              <w:rPr>
                <w:color w:val="auto"/>
                <w:sz w:val="24"/>
              </w:rPr>
            </w:pPr>
            <w:r>
              <w:rPr>
                <w:color w:val="auto"/>
                <w:kern w:val="0"/>
                <w:sz w:val="24"/>
              </w:rPr>
              <w:t>2）</w:t>
            </w:r>
            <w:r>
              <w:rPr>
                <w:color w:val="auto"/>
                <w:sz w:val="24"/>
              </w:rPr>
              <w:t>所投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如该产品已经获得</w:t>
            </w:r>
            <w:r>
              <w:rPr>
                <w:color w:val="auto"/>
                <w:kern w:val="0"/>
                <w:sz w:val="24"/>
              </w:rPr>
              <w:t>公安部颁发的计算机信息系统安全专用产品销售许可证</w:t>
            </w:r>
            <w:r>
              <w:rPr>
                <w:color w:val="auto"/>
                <w:sz w:val="24"/>
              </w:rPr>
              <w:t>，且在有效期内，亦视为符合要求）</w:t>
            </w:r>
          </w:p>
          <w:p>
            <w:pPr>
              <w:widowControl/>
              <w:jc w:val="left"/>
              <w:rPr>
                <w:color w:val="auto"/>
                <w:sz w:val="24"/>
              </w:rPr>
            </w:pPr>
            <w:r>
              <w:rPr>
                <w:color w:val="auto"/>
                <w:sz w:val="24"/>
              </w:rPr>
              <w:t>3）国家有特殊信息安全要求的项目，采购产品涉及无线局域网产品和含有无线局域网功能的计算机、通信设备、打印机、复印机、投影仪等产品的，投标产品须为符合国家无线局域网安全标准（GB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p>
          <w:p>
            <w:pPr>
              <w:widowControl/>
              <w:jc w:val="left"/>
              <w:rPr>
                <w:color w:val="auto"/>
                <w:kern w:val="0"/>
                <w:sz w:val="24"/>
              </w:rPr>
            </w:pPr>
            <w:r>
              <w:rPr>
                <w:color w:val="auto"/>
                <w:sz w:val="24"/>
              </w:rPr>
              <w:t>4）项目中涉及涂料、胶黏剂、油墨、清洗剂等挥发性有机物产品，且属于强制性标准的，供应商应执行符合本市和国家的VOCs 含量限制标准。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shd w:val="clear" w:color="auto" w:fill="auto"/>
            <w:vAlign w:val="center"/>
          </w:tcPr>
          <w:p>
            <w:pPr>
              <w:widowControl/>
              <w:jc w:val="center"/>
              <w:rPr>
                <w:color w:val="auto"/>
                <w:kern w:val="0"/>
                <w:sz w:val="24"/>
              </w:rPr>
            </w:pPr>
            <w:r>
              <w:rPr>
                <w:color w:val="auto"/>
                <w:kern w:val="0"/>
                <w:sz w:val="24"/>
              </w:rPr>
              <w:t>14</w:t>
            </w:r>
          </w:p>
        </w:tc>
        <w:tc>
          <w:tcPr>
            <w:tcW w:w="1813" w:type="dxa"/>
            <w:shd w:val="clear" w:color="auto" w:fill="auto"/>
            <w:vAlign w:val="center"/>
          </w:tcPr>
          <w:p>
            <w:pPr>
              <w:widowControl/>
              <w:jc w:val="left"/>
              <w:rPr>
                <w:color w:val="auto"/>
                <w:kern w:val="0"/>
                <w:sz w:val="24"/>
              </w:rPr>
            </w:pPr>
            <w:r>
              <w:rPr>
                <w:color w:val="auto"/>
                <w:kern w:val="0"/>
                <w:sz w:val="24"/>
              </w:rPr>
              <w:t>公平竞争</w:t>
            </w:r>
          </w:p>
        </w:tc>
        <w:tc>
          <w:tcPr>
            <w:tcW w:w="6725" w:type="dxa"/>
            <w:shd w:val="clear" w:color="auto" w:fill="auto"/>
            <w:vAlign w:val="center"/>
          </w:tcPr>
          <w:p>
            <w:pPr>
              <w:widowControl/>
              <w:jc w:val="left"/>
              <w:rPr>
                <w:color w:val="auto"/>
                <w:kern w:val="0"/>
                <w:sz w:val="24"/>
              </w:rPr>
            </w:pPr>
            <w:r>
              <w:rPr>
                <w:color w:val="auto"/>
                <w:sz w:val="24"/>
              </w:rPr>
              <w:t>投标人遵循公平竞争的原则，不存在恶意串通，妨碍其他投标人的竞争行为，不存在损害采购人或者其他投标人的合法权益情形的；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shd w:val="clear" w:color="auto" w:fill="auto"/>
            <w:vAlign w:val="center"/>
          </w:tcPr>
          <w:p>
            <w:pPr>
              <w:widowControl/>
              <w:jc w:val="center"/>
              <w:rPr>
                <w:color w:val="auto"/>
                <w:kern w:val="0"/>
                <w:sz w:val="24"/>
              </w:rPr>
            </w:pPr>
            <w:r>
              <w:rPr>
                <w:color w:val="auto"/>
                <w:kern w:val="0"/>
                <w:sz w:val="24"/>
              </w:rPr>
              <w:t>15</w:t>
            </w:r>
          </w:p>
        </w:tc>
        <w:tc>
          <w:tcPr>
            <w:tcW w:w="1813" w:type="dxa"/>
            <w:shd w:val="clear" w:color="auto" w:fill="auto"/>
            <w:vAlign w:val="center"/>
          </w:tcPr>
          <w:p>
            <w:pPr>
              <w:widowControl/>
              <w:jc w:val="left"/>
              <w:rPr>
                <w:color w:val="auto"/>
                <w:kern w:val="0"/>
                <w:sz w:val="24"/>
              </w:rPr>
            </w:pPr>
            <w:r>
              <w:rPr>
                <w:color w:val="auto"/>
                <w:kern w:val="0"/>
                <w:sz w:val="24"/>
              </w:rPr>
              <w:t>串通投标</w:t>
            </w:r>
          </w:p>
        </w:tc>
        <w:tc>
          <w:tcPr>
            <w:tcW w:w="6725" w:type="dxa"/>
            <w:shd w:val="clear" w:color="auto" w:fill="auto"/>
            <w:vAlign w:val="center"/>
          </w:tcPr>
          <w:p>
            <w:pPr>
              <w:widowControl/>
              <w:jc w:val="left"/>
              <w:rPr>
                <w:color w:val="auto"/>
                <w:kern w:val="0"/>
                <w:sz w:val="24"/>
              </w:rPr>
            </w:pPr>
            <w:r>
              <w:rPr>
                <w:color w:val="auto"/>
                <w:sz w:val="24"/>
              </w:rPr>
              <w:t>不存在《政府采购货物和服务招标投标管理办法》视为投标人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shd w:val="clear" w:color="auto" w:fill="auto"/>
            <w:vAlign w:val="center"/>
          </w:tcPr>
          <w:p>
            <w:pPr>
              <w:widowControl/>
              <w:jc w:val="center"/>
              <w:rPr>
                <w:color w:val="auto"/>
                <w:kern w:val="0"/>
                <w:sz w:val="24"/>
              </w:rPr>
            </w:pPr>
            <w:r>
              <w:rPr>
                <w:color w:val="auto"/>
                <w:kern w:val="0"/>
                <w:sz w:val="24"/>
              </w:rPr>
              <w:t>16</w:t>
            </w:r>
          </w:p>
        </w:tc>
        <w:tc>
          <w:tcPr>
            <w:tcW w:w="1813" w:type="dxa"/>
            <w:shd w:val="clear" w:color="auto" w:fill="auto"/>
            <w:vAlign w:val="center"/>
          </w:tcPr>
          <w:p>
            <w:pPr>
              <w:widowControl/>
              <w:jc w:val="left"/>
              <w:rPr>
                <w:color w:val="auto"/>
                <w:kern w:val="0"/>
                <w:sz w:val="24"/>
              </w:rPr>
            </w:pPr>
            <w:r>
              <w:rPr>
                <w:color w:val="auto"/>
                <w:kern w:val="0"/>
                <w:sz w:val="24"/>
              </w:rPr>
              <w:t>附加条件</w:t>
            </w:r>
          </w:p>
        </w:tc>
        <w:tc>
          <w:tcPr>
            <w:tcW w:w="6725" w:type="dxa"/>
            <w:shd w:val="clear" w:color="auto" w:fill="auto"/>
            <w:vAlign w:val="center"/>
          </w:tcPr>
          <w:p>
            <w:pPr>
              <w:widowControl/>
              <w:jc w:val="left"/>
              <w:rPr>
                <w:color w:val="auto"/>
                <w:kern w:val="0"/>
                <w:sz w:val="24"/>
              </w:rPr>
            </w:pPr>
            <w:r>
              <w:rPr>
                <w:color w:val="auto"/>
                <w:kern w:val="0"/>
                <w:sz w:val="24"/>
              </w:rPr>
              <w:t>投标文件未含有采购人不能接受的附加条件的；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shd w:val="clear" w:color="auto" w:fill="auto"/>
            <w:vAlign w:val="center"/>
          </w:tcPr>
          <w:p>
            <w:pPr>
              <w:widowControl/>
              <w:jc w:val="center"/>
              <w:rPr>
                <w:color w:val="auto"/>
                <w:kern w:val="0"/>
                <w:sz w:val="24"/>
              </w:rPr>
            </w:pPr>
            <w:r>
              <w:rPr>
                <w:color w:val="auto"/>
                <w:kern w:val="0"/>
                <w:sz w:val="24"/>
              </w:rPr>
              <w:t>17</w:t>
            </w:r>
          </w:p>
        </w:tc>
        <w:tc>
          <w:tcPr>
            <w:tcW w:w="1813" w:type="dxa"/>
            <w:shd w:val="clear" w:color="auto" w:fill="auto"/>
            <w:vAlign w:val="center"/>
          </w:tcPr>
          <w:p>
            <w:pPr>
              <w:widowControl/>
              <w:jc w:val="left"/>
              <w:rPr>
                <w:color w:val="auto"/>
                <w:kern w:val="0"/>
                <w:sz w:val="24"/>
              </w:rPr>
            </w:pPr>
            <w:r>
              <w:rPr>
                <w:color w:val="auto"/>
                <w:kern w:val="0"/>
                <w:sz w:val="24"/>
              </w:rPr>
              <w:t>其他无效情形</w:t>
            </w:r>
          </w:p>
        </w:tc>
        <w:tc>
          <w:tcPr>
            <w:tcW w:w="6725" w:type="dxa"/>
            <w:shd w:val="clear" w:color="auto" w:fill="auto"/>
            <w:vAlign w:val="center"/>
          </w:tcPr>
          <w:p>
            <w:pPr>
              <w:widowControl/>
              <w:jc w:val="left"/>
              <w:rPr>
                <w:color w:val="auto"/>
                <w:kern w:val="0"/>
                <w:sz w:val="24"/>
              </w:rPr>
            </w:pPr>
            <w:r>
              <w:rPr>
                <w:color w:val="auto"/>
                <w:sz w:val="24"/>
              </w:rPr>
              <w:t>投标人、投标文件不存在不符合法律、法规和招标文件规定的其他无效情形。</w:t>
            </w:r>
          </w:p>
        </w:tc>
      </w:tr>
    </w:tbl>
    <w:p>
      <w:pPr>
        <w:numPr>
          <w:ilvl w:val="0"/>
          <w:numId w:val="13"/>
        </w:numPr>
        <w:tabs>
          <w:tab w:val="left" w:pos="1080"/>
          <w:tab w:val="left" w:pos="1589"/>
        </w:tabs>
        <w:snapToGrid w:val="0"/>
        <w:spacing w:line="360" w:lineRule="auto"/>
        <w:rPr>
          <w:color w:val="auto"/>
          <w:sz w:val="24"/>
        </w:rPr>
        <w:sectPr>
          <w:headerReference r:id="rId8" w:type="first"/>
          <w:footerReference r:id="rId10" w:type="first"/>
          <w:headerReference r:id="rId7" w:type="even"/>
          <w:footerReference r:id="rId9" w:type="even"/>
          <w:pgSz w:w="11907" w:h="16840"/>
          <w:pgMar w:top="1418" w:right="1134" w:bottom="1418" w:left="1701" w:header="851" w:footer="851" w:gutter="0"/>
          <w:cols w:space="720" w:num="1"/>
          <w:docGrid w:linePitch="462" w:charSpace="0"/>
        </w:sectPr>
      </w:pPr>
    </w:p>
    <w:p>
      <w:pPr>
        <w:numPr>
          <w:ilvl w:val="0"/>
          <w:numId w:val="12"/>
        </w:numPr>
        <w:tabs>
          <w:tab w:val="left" w:pos="360"/>
        </w:tabs>
        <w:snapToGrid w:val="0"/>
        <w:spacing w:line="360" w:lineRule="auto"/>
        <w:outlineLvl w:val="1"/>
        <w:rPr>
          <w:color w:val="auto"/>
          <w:sz w:val="24"/>
        </w:rPr>
      </w:pPr>
      <w:r>
        <w:rPr>
          <w:color w:val="auto"/>
          <w:sz w:val="24"/>
        </w:rPr>
        <w:t>投标文件有关事项的澄清或者说明</w:t>
      </w:r>
    </w:p>
    <w:p>
      <w:pPr>
        <w:numPr>
          <w:ilvl w:val="1"/>
          <w:numId w:val="12"/>
        </w:numPr>
        <w:tabs>
          <w:tab w:val="left" w:pos="1080"/>
        </w:tabs>
        <w:snapToGrid w:val="0"/>
        <w:spacing w:line="360" w:lineRule="auto"/>
        <w:ind w:left="1077" w:hanging="720"/>
        <w:rPr>
          <w:color w:val="auto"/>
          <w:sz w:val="24"/>
        </w:rPr>
      </w:pPr>
      <w:r>
        <w:rPr>
          <w:color w:val="auto"/>
          <w:sz w:val="24"/>
        </w:rPr>
        <w:t>评标过程中，评标委员会将以书面形式要求投标人对其投标文件中含义不明确、同类问题表述不一致或者有明显文字和计算错误的内容，作出必要的澄清、说明或者补正。投标人的澄清、说明或者补正应当采用书面形式，并加盖公章，或者由法定代表人</w:t>
      </w:r>
      <w:r>
        <w:rPr>
          <w:rFonts w:hint="eastAsia"/>
          <w:color w:val="auto"/>
          <w:sz w:val="24"/>
        </w:rPr>
        <w:t>（</w:t>
      </w:r>
      <w:bookmarkStart w:id="786" w:name="_Hlk144225607"/>
      <w:r>
        <w:rPr>
          <w:color w:val="auto"/>
          <w:sz w:val="24"/>
          <w:szCs w:val="20"/>
        </w:rPr>
        <w:t>若</w:t>
      </w:r>
      <w:r>
        <w:rPr>
          <w:rFonts w:hint="eastAsia"/>
          <w:color w:val="auto"/>
          <w:sz w:val="24"/>
          <w:szCs w:val="20"/>
        </w:rPr>
        <w:t>投标人</w:t>
      </w:r>
      <w:r>
        <w:rPr>
          <w:color w:val="auto"/>
          <w:sz w:val="24"/>
          <w:szCs w:val="20"/>
        </w:rPr>
        <w:t>为事业单位或其他组织或分支机构，可为单位负责人</w:t>
      </w:r>
      <w:bookmarkEnd w:id="786"/>
      <w:r>
        <w:rPr>
          <w:rFonts w:hint="eastAsia"/>
          <w:color w:val="auto"/>
          <w:sz w:val="24"/>
        </w:rPr>
        <w:t>）</w:t>
      </w:r>
      <w:r>
        <w:rPr>
          <w:color w:val="auto"/>
          <w:sz w:val="24"/>
        </w:rPr>
        <w:t>或其授权的代表签字。投标人的澄清、说明或者补正不得超出投标文件的范围或者改变投标文件的实质性内容。澄清文件将作为投标文件内容的一部分。</w:t>
      </w:r>
    </w:p>
    <w:p>
      <w:pPr>
        <w:numPr>
          <w:ilvl w:val="1"/>
          <w:numId w:val="12"/>
        </w:numPr>
        <w:tabs>
          <w:tab w:val="left" w:pos="1080"/>
        </w:tabs>
        <w:snapToGrid w:val="0"/>
        <w:spacing w:line="360" w:lineRule="auto"/>
        <w:ind w:left="1077" w:hanging="720"/>
        <w:rPr>
          <w:color w:val="auto"/>
          <w:sz w:val="24"/>
        </w:rPr>
      </w:pPr>
      <w:r>
        <w:rPr>
          <w:color w:val="auto"/>
          <w:sz w:val="24"/>
        </w:rPr>
        <w:t>评标委员会认为投标人的报价明显低于其他通过符合性审查投标人的报价，有可能影响产品质量或者不能诚信履约的，有权要求该投标人在评标现场合理的时间内提供书面说明，必要时提交相关证明材料；若投标人不能证明其报价合理性，评标委员会将其作为</w:t>
      </w:r>
      <w:r>
        <w:rPr>
          <w:b/>
          <w:color w:val="auto"/>
          <w:sz w:val="24"/>
        </w:rPr>
        <w:t>无效投标处理</w:t>
      </w:r>
      <w:r>
        <w:rPr>
          <w:color w:val="auto"/>
          <w:sz w:val="24"/>
        </w:rPr>
        <w:t>。</w:t>
      </w:r>
    </w:p>
    <w:p>
      <w:pPr>
        <w:numPr>
          <w:ilvl w:val="1"/>
          <w:numId w:val="12"/>
        </w:numPr>
        <w:tabs>
          <w:tab w:val="left" w:pos="1080"/>
        </w:tabs>
        <w:snapToGrid w:val="0"/>
        <w:spacing w:line="360" w:lineRule="auto"/>
        <w:ind w:left="1077" w:hanging="720"/>
        <w:rPr>
          <w:color w:val="auto"/>
          <w:sz w:val="24"/>
        </w:rPr>
      </w:pPr>
      <w:r>
        <w:rPr>
          <w:color w:val="auto"/>
          <w:sz w:val="24"/>
        </w:rPr>
        <w:t>投标报价须包含招标文件全部内容，如分项报价表有缺漏视为已含在其他各项报价中，将不对投标总价进行调整。评标委员会有权要求投标人在评标现场合理的时间内对此进行书面确认，投标人不确认的，视为将一个采购包中的内容拆分投标，其</w:t>
      </w:r>
      <w:r>
        <w:rPr>
          <w:b/>
          <w:color w:val="auto"/>
          <w:sz w:val="24"/>
        </w:rPr>
        <w:t>投标无效</w:t>
      </w:r>
      <w:r>
        <w:rPr>
          <w:color w:val="auto"/>
          <w:sz w:val="24"/>
        </w:rPr>
        <w:t>。</w:t>
      </w:r>
    </w:p>
    <w:p>
      <w:pPr>
        <w:numPr>
          <w:ilvl w:val="1"/>
          <w:numId w:val="12"/>
        </w:numPr>
        <w:tabs>
          <w:tab w:val="left" w:pos="1080"/>
        </w:tabs>
        <w:snapToGrid w:val="0"/>
        <w:spacing w:line="360" w:lineRule="auto"/>
        <w:ind w:left="1077" w:hanging="720"/>
        <w:rPr>
          <w:color w:val="auto"/>
          <w:sz w:val="24"/>
        </w:rPr>
      </w:pPr>
      <w:r>
        <w:rPr>
          <w:color w:val="auto"/>
          <w:sz w:val="24"/>
        </w:rPr>
        <w:t>投标文件报价出现前后不一致的，按照下列规定修正：</w:t>
      </w:r>
    </w:p>
    <w:p>
      <w:pPr>
        <w:numPr>
          <w:ilvl w:val="2"/>
          <w:numId w:val="12"/>
        </w:numPr>
        <w:tabs>
          <w:tab w:val="left" w:pos="1080"/>
          <w:tab w:val="left" w:pos="1589"/>
          <w:tab w:val="left" w:pos="2035"/>
          <w:tab w:val="left" w:pos="2114"/>
        </w:tabs>
        <w:snapToGrid w:val="0"/>
        <w:spacing w:line="360" w:lineRule="auto"/>
        <w:ind w:left="2035"/>
        <w:rPr>
          <w:color w:val="auto"/>
          <w:sz w:val="24"/>
        </w:rPr>
      </w:pPr>
      <w:r>
        <w:rPr>
          <w:color w:val="auto"/>
          <w:sz w:val="24"/>
        </w:rPr>
        <w:t>招标文件对于报价修正是否另有规定：</w:t>
      </w:r>
    </w:p>
    <w:p>
      <w:pPr>
        <w:tabs>
          <w:tab w:val="left" w:pos="1080"/>
          <w:tab w:val="left" w:pos="1589"/>
          <w:tab w:val="left" w:pos="2035"/>
          <w:tab w:val="left" w:pos="2114"/>
        </w:tabs>
        <w:snapToGrid w:val="0"/>
        <w:spacing w:line="360" w:lineRule="auto"/>
        <w:ind w:left="2035"/>
        <w:rPr>
          <w:color w:val="auto"/>
          <w:sz w:val="24"/>
          <w:u w:val="single"/>
        </w:rPr>
      </w:pPr>
      <w:r>
        <w:rPr>
          <w:color w:val="auto"/>
          <w:sz w:val="24"/>
        </w:rPr>
        <w:t>□有，具体规定为：______________</w:t>
      </w:r>
    </w:p>
    <w:p>
      <w:pPr>
        <w:tabs>
          <w:tab w:val="left" w:pos="1080"/>
          <w:tab w:val="left" w:pos="1589"/>
          <w:tab w:val="left" w:pos="2035"/>
          <w:tab w:val="left" w:pos="2114"/>
        </w:tabs>
        <w:snapToGrid w:val="0"/>
        <w:spacing w:line="360" w:lineRule="auto"/>
        <w:ind w:left="2035"/>
        <w:rPr>
          <w:color w:val="auto"/>
          <w:sz w:val="24"/>
        </w:rPr>
      </w:pPr>
      <w:r>
        <w:rPr>
          <w:color w:val="auto"/>
          <w:sz w:val="24"/>
        </w:rPr>
        <w:t>■无，按下述2.4.2-2.4.7项规定修正。</w:t>
      </w:r>
    </w:p>
    <w:p>
      <w:pPr>
        <w:numPr>
          <w:ilvl w:val="2"/>
          <w:numId w:val="12"/>
        </w:numPr>
        <w:tabs>
          <w:tab w:val="left" w:pos="2035"/>
          <w:tab w:val="left" w:pos="2114"/>
          <w:tab w:val="left" w:pos="2977"/>
        </w:tabs>
        <w:snapToGrid w:val="0"/>
        <w:spacing w:line="360" w:lineRule="auto"/>
        <w:ind w:left="2035"/>
        <w:rPr>
          <w:color w:val="auto"/>
          <w:sz w:val="24"/>
        </w:rPr>
      </w:pPr>
      <w:r>
        <w:rPr>
          <w:color w:val="auto"/>
          <w:sz w:val="24"/>
        </w:rPr>
        <w:t>单独递交的开标一览表（报价表）与投标文件中开标一览表（报价表）内容不一致的，以单独递交的开标一览表（报价表）为准；</w:t>
      </w:r>
    </w:p>
    <w:p>
      <w:pPr>
        <w:numPr>
          <w:ilvl w:val="2"/>
          <w:numId w:val="12"/>
        </w:numPr>
        <w:tabs>
          <w:tab w:val="left" w:pos="2035"/>
          <w:tab w:val="left" w:pos="2114"/>
          <w:tab w:val="left" w:pos="2977"/>
        </w:tabs>
        <w:snapToGrid w:val="0"/>
        <w:spacing w:line="360" w:lineRule="auto"/>
        <w:ind w:left="2035"/>
        <w:rPr>
          <w:color w:val="auto"/>
          <w:sz w:val="24"/>
        </w:rPr>
      </w:pPr>
      <w:r>
        <w:rPr>
          <w:color w:val="auto"/>
          <w:sz w:val="24"/>
        </w:rPr>
        <w:t>投标文件中开标一览表（报价表）内容与投标文件中相应内容不一致的，以开标一览表（报价表）为准；</w:t>
      </w:r>
    </w:p>
    <w:p>
      <w:pPr>
        <w:numPr>
          <w:ilvl w:val="2"/>
          <w:numId w:val="12"/>
        </w:numPr>
        <w:tabs>
          <w:tab w:val="left" w:pos="2035"/>
          <w:tab w:val="left" w:pos="2114"/>
          <w:tab w:val="left" w:pos="2977"/>
        </w:tabs>
        <w:snapToGrid w:val="0"/>
        <w:spacing w:line="360" w:lineRule="auto"/>
        <w:ind w:left="2035"/>
        <w:rPr>
          <w:color w:val="auto"/>
          <w:sz w:val="24"/>
        </w:rPr>
      </w:pPr>
      <w:r>
        <w:rPr>
          <w:color w:val="auto"/>
          <w:sz w:val="24"/>
        </w:rPr>
        <w:t>大写金额和小写金额不一致的，以大写金额为准；</w:t>
      </w:r>
    </w:p>
    <w:p>
      <w:pPr>
        <w:numPr>
          <w:ilvl w:val="2"/>
          <w:numId w:val="12"/>
        </w:numPr>
        <w:tabs>
          <w:tab w:val="left" w:pos="2035"/>
          <w:tab w:val="left" w:pos="2114"/>
          <w:tab w:val="left" w:pos="2977"/>
        </w:tabs>
        <w:snapToGrid w:val="0"/>
        <w:spacing w:line="360" w:lineRule="auto"/>
        <w:ind w:left="2035"/>
        <w:rPr>
          <w:color w:val="auto"/>
          <w:sz w:val="24"/>
        </w:rPr>
      </w:pPr>
      <w:r>
        <w:rPr>
          <w:color w:val="auto"/>
          <w:sz w:val="24"/>
        </w:rPr>
        <w:t>单价金额小数点或者百分比有明显错位的，以开标一览表的总价为准，并修改单价；</w:t>
      </w:r>
    </w:p>
    <w:p>
      <w:pPr>
        <w:numPr>
          <w:ilvl w:val="2"/>
          <w:numId w:val="12"/>
        </w:numPr>
        <w:tabs>
          <w:tab w:val="left" w:pos="2035"/>
          <w:tab w:val="left" w:pos="2114"/>
          <w:tab w:val="left" w:pos="2977"/>
        </w:tabs>
        <w:snapToGrid w:val="0"/>
        <w:spacing w:line="360" w:lineRule="auto"/>
        <w:ind w:left="2035"/>
        <w:rPr>
          <w:color w:val="auto"/>
          <w:sz w:val="24"/>
        </w:rPr>
      </w:pPr>
      <w:r>
        <w:rPr>
          <w:color w:val="auto"/>
          <w:sz w:val="24"/>
        </w:rPr>
        <w:t>总价金额与按单价汇总金额不一致的，以单价金额计算结果为准。</w:t>
      </w:r>
    </w:p>
    <w:p>
      <w:pPr>
        <w:numPr>
          <w:ilvl w:val="2"/>
          <w:numId w:val="12"/>
        </w:numPr>
        <w:tabs>
          <w:tab w:val="left" w:pos="1080"/>
          <w:tab w:val="left" w:pos="1589"/>
          <w:tab w:val="left" w:pos="2035"/>
          <w:tab w:val="left" w:pos="2114"/>
        </w:tabs>
        <w:snapToGrid w:val="0"/>
        <w:spacing w:line="360" w:lineRule="auto"/>
        <w:ind w:left="2035"/>
        <w:rPr>
          <w:color w:val="auto"/>
          <w:sz w:val="24"/>
        </w:rPr>
      </w:pPr>
      <w:r>
        <w:rPr>
          <w:color w:val="auto"/>
          <w:sz w:val="24"/>
        </w:rPr>
        <w:t>同时出现两种以上不一致的，按照前款规定的顺序修正。修正后的报价经投标人书面确认后产生约束力，投标人不确认的，其</w:t>
      </w:r>
      <w:r>
        <w:rPr>
          <w:b/>
          <w:color w:val="auto"/>
          <w:sz w:val="24"/>
        </w:rPr>
        <w:t>投标无效</w:t>
      </w:r>
      <w:r>
        <w:rPr>
          <w:color w:val="auto"/>
          <w:sz w:val="24"/>
        </w:rPr>
        <w:t>。</w:t>
      </w:r>
    </w:p>
    <w:p>
      <w:pPr>
        <w:numPr>
          <w:ilvl w:val="1"/>
          <w:numId w:val="12"/>
        </w:numPr>
        <w:tabs>
          <w:tab w:val="left" w:pos="1080"/>
        </w:tabs>
        <w:snapToGrid w:val="0"/>
        <w:spacing w:line="360" w:lineRule="auto"/>
        <w:ind w:left="1077" w:hanging="720"/>
        <w:rPr>
          <w:color w:val="auto"/>
          <w:sz w:val="24"/>
        </w:rPr>
      </w:pPr>
      <w:r>
        <w:rPr>
          <w:color w:val="auto"/>
          <w:sz w:val="24"/>
        </w:rPr>
        <w:t>落实政府采购政策的价格调整：只有符合第二章《投标人须知》5.2条规定情形的，可以享受中小企业扶持政策，用扣除后的价格参加评审；否则，评标时价格不予扣除。</w:t>
      </w:r>
    </w:p>
    <w:p>
      <w:pPr>
        <w:numPr>
          <w:ilvl w:val="2"/>
          <w:numId w:val="12"/>
        </w:numPr>
        <w:tabs>
          <w:tab w:val="left" w:pos="1080"/>
          <w:tab w:val="left" w:pos="1589"/>
          <w:tab w:val="left" w:pos="2035"/>
        </w:tabs>
        <w:snapToGrid w:val="0"/>
        <w:spacing w:line="360" w:lineRule="auto"/>
        <w:ind w:left="2035"/>
        <w:rPr>
          <w:color w:val="auto"/>
          <w:sz w:val="24"/>
        </w:rPr>
      </w:pPr>
      <w:r>
        <w:rPr>
          <w:color w:val="auto"/>
          <w:sz w:val="24"/>
        </w:rPr>
        <w:t>对于未预留份额专门面向中小企业采购的采购项目，以及预留份额项目中的非预留部分采购包，对小微企业报价给予_</w:t>
      </w:r>
      <w:r>
        <w:rPr>
          <w:rFonts w:hint="eastAsia"/>
          <w:color w:val="auto"/>
          <w:sz w:val="24"/>
          <w:u w:val="single"/>
        </w:rPr>
        <w:t xml:space="preserve">10 </w:t>
      </w:r>
      <w:r>
        <w:rPr>
          <w:color w:val="auto"/>
          <w:sz w:val="24"/>
        </w:rPr>
        <w:t>%的扣除，用扣除后的价格参加评审。</w:t>
      </w:r>
    </w:p>
    <w:p>
      <w:pPr>
        <w:numPr>
          <w:ilvl w:val="2"/>
          <w:numId w:val="12"/>
        </w:numPr>
        <w:tabs>
          <w:tab w:val="left" w:pos="1080"/>
          <w:tab w:val="left" w:pos="1589"/>
          <w:tab w:val="left" w:pos="2035"/>
        </w:tabs>
        <w:snapToGrid w:val="0"/>
        <w:spacing w:line="360" w:lineRule="auto"/>
        <w:ind w:left="2035"/>
        <w:rPr>
          <w:color w:val="auto"/>
          <w:sz w:val="24"/>
        </w:rPr>
      </w:pPr>
      <w:r>
        <w:rPr>
          <w:color w:val="auto"/>
          <w:sz w:val="24"/>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w:t>
      </w:r>
      <w:r>
        <w:rPr>
          <w:rFonts w:hint="eastAsia"/>
          <w:color w:val="auto"/>
          <w:sz w:val="24"/>
          <w:u w:val="single"/>
          <w:lang w:val="en-US" w:eastAsia="zh-CN"/>
        </w:rPr>
        <w:t>4</w:t>
      </w:r>
      <w:r>
        <w:rPr>
          <w:color w:val="auto"/>
          <w:sz w:val="24"/>
        </w:rPr>
        <w:t>_%的扣除，用扣除后的价格参加评审。</w:t>
      </w:r>
    </w:p>
    <w:p>
      <w:pPr>
        <w:numPr>
          <w:ilvl w:val="2"/>
          <w:numId w:val="12"/>
        </w:numPr>
        <w:tabs>
          <w:tab w:val="left" w:pos="1080"/>
          <w:tab w:val="left" w:pos="1589"/>
          <w:tab w:val="left" w:pos="2035"/>
        </w:tabs>
        <w:snapToGrid w:val="0"/>
        <w:spacing w:line="360" w:lineRule="auto"/>
        <w:ind w:left="2035"/>
        <w:rPr>
          <w:color w:val="auto"/>
          <w:sz w:val="24"/>
        </w:rPr>
      </w:pPr>
      <w:r>
        <w:rPr>
          <w:color w:val="auto"/>
          <w:sz w:val="24"/>
        </w:rPr>
        <w:t>组成联合体或者接受分包的小微企业与联合体内其他企业、分包企业之间存在直接控股、管理关系的，不享受价格扣除优惠政策。</w:t>
      </w:r>
    </w:p>
    <w:p>
      <w:pPr>
        <w:numPr>
          <w:ilvl w:val="2"/>
          <w:numId w:val="12"/>
        </w:numPr>
        <w:tabs>
          <w:tab w:val="left" w:pos="1080"/>
          <w:tab w:val="left" w:pos="1589"/>
          <w:tab w:val="left" w:pos="2035"/>
        </w:tabs>
        <w:snapToGrid w:val="0"/>
        <w:spacing w:line="360" w:lineRule="auto"/>
        <w:ind w:left="2035"/>
        <w:rPr>
          <w:color w:val="auto"/>
          <w:sz w:val="24"/>
        </w:rPr>
      </w:pPr>
      <w:r>
        <w:rPr>
          <w:color w:val="auto"/>
          <w:sz w:val="24"/>
        </w:rPr>
        <w:t>价格扣除比例对小型企业和微型企业同等对待，不作区分。</w:t>
      </w:r>
    </w:p>
    <w:p>
      <w:pPr>
        <w:numPr>
          <w:ilvl w:val="2"/>
          <w:numId w:val="12"/>
        </w:numPr>
        <w:tabs>
          <w:tab w:val="left" w:pos="1080"/>
          <w:tab w:val="left" w:pos="1589"/>
          <w:tab w:val="left" w:pos="2035"/>
        </w:tabs>
        <w:snapToGrid w:val="0"/>
        <w:spacing w:line="360" w:lineRule="auto"/>
        <w:ind w:left="2035"/>
        <w:rPr>
          <w:color w:val="auto"/>
          <w:sz w:val="24"/>
        </w:rPr>
      </w:pPr>
      <w:r>
        <w:rPr>
          <w:color w:val="auto"/>
          <w:sz w:val="24"/>
        </w:rPr>
        <w:t>中小企业参加政府采购活动，应当按照招标文件给定的格式出具《中小企业声明函》，否则不得享受相关中小企业扶持政策。</w:t>
      </w:r>
    </w:p>
    <w:p>
      <w:pPr>
        <w:numPr>
          <w:ilvl w:val="2"/>
          <w:numId w:val="12"/>
        </w:numPr>
        <w:tabs>
          <w:tab w:val="left" w:pos="1080"/>
          <w:tab w:val="left" w:pos="1589"/>
          <w:tab w:val="left" w:pos="2035"/>
        </w:tabs>
        <w:snapToGrid w:val="0"/>
        <w:spacing w:line="360" w:lineRule="auto"/>
        <w:ind w:left="2035"/>
        <w:rPr>
          <w:color w:val="auto"/>
          <w:sz w:val="24"/>
        </w:rPr>
      </w:pPr>
      <w:r>
        <w:rPr>
          <w:color w:val="auto"/>
          <w:sz w:val="24"/>
        </w:rPr>
        <w:t>监狱企业提供了由省级以上监狱管理局、戒毒管理局（含新疆生产建设兵团）出具的属于监狱企业的证明文件的，视同小微企业。</w:t>
      </w:r>
    </w:p>
    <w:p>
      <w:pPr>
        <w:numPr>
          <w:ilvl w:val="2"/>
          <w:numId w:val="12"/>
        </w:numPr>
        <w:tabs>
          <w:tab w:val="left" w:pos="1080"/>
          <w:tab w:val="left" w:pos="1589"/>
          <w:tab w:val="left" w:pos="2035"/>
        </w:tabs>
        <w:snapToGrid w:val="0"/>
        <w:spacing w:line="360" w:lineRule="auto"/>
        <w:ind w:left="2035"/>
        <w:rPr>
          <w:color w:val="auto"/>
          <w:sz w:val="24"/>
        </w:rPr>
      </w:pPr>
      <w:r>
        <w:rPr>
          <w:color w:val="auto"/>
          <w:sz w:val="24"/>
        </w:rPr>
        <w:t>残疾人福利性单位按招标文件要求提供了《残疾人福利性单位声明函》的，视同小微企业。</w:t>
      </w:r>
    </w:p>
    <w:p>
      <w:pPr>
        <w:numPr>
          <w:ilvl w:val="2"/>
          <w:numId w:val="12"/>
        </w:numPr>
        <w:tabs>
          <w:tab w:val="left" w:pos="1080"/>
          <w:tab w:val="left" w:pos="1589"/>
          <w:tab w:val="left" w:pos="2014"/>
          <w:tab w:val="clear" w:pos="1980"/>
        </w:tabs>
        <w:snapToGrid w:val="0"/>
        <w:spacing w:line="360" w:lineRule="auto"/>
        <w:ind w:left="2035"/>
        <w:rPr>
          <w:color w:val="auto"/>
          <w:sz w:val="24"/>
        </w:rPr>
      </w:pPr>
      <w:r>
        <w:rPr>
          <w:color w:val="auto"/>
          <w:sz w:val="24"/>
        </w:rPr>
        <w:t>若投标人同时属于小型或微型企业、监狱企业、残疾人福利性单位中的两种及以上，将不重复享受小微企业价格扣减的优惠政策。</w:t>
      </w:r>
    </w:p>
    <w:p>
      <w:pPr>
        <w:numPr>
          <w:ilvl w:val="0"/>
          <w:numId w:val="12"/>
        </w:numPr>
        <w:tabs>
          <w:tab w:val="left" w:pos="360"/>
        </w:tabs>
        <w:snapToGrid w:val="0"/>
        <w:spacing w:line="360" w:lineRule="auto"/>
        <w:outlineLvl w:val="1"/>
        <w:rPr>
          <w:color w:val="auto"/>
          <w:sz w:val="24"/>
        </w:rPr>
      </w:pPr>
      <w:r>
        <w:rPr>
          <w:color w:val="auto"/>
          <w:sz w:val="24"/>
        </w:rPr>
        <w:t>投标文件的比较和评价</w:t>
      </w:r>
      <w:bookmarkEnd w:id="769"/>
      <w:bookmarkEnd w:id="770"/>
    </w:p>
    <w:p>
      <w:pPr>
        <w:numPr>
          <w:ilvl w:val="1"/>
          <w:numId w:val="12"/>
        </w:numPr>
        <w:tabs>
          <w:tab w:val="left" w:pos="1080"/>
        </w:tabs>
        <w:snapToGrid w:val="0"/>
        <w:spacing w:line="360" w:lineRule="auto"/>
        <w:ind w:left="1077" w:hanging="720"/>
        <w:rPr>
          <w:color w:val="auto"/>
          <w:sz w:val="24"/>
        </w:rPr>
      </w:pPr>
      <w:r>
        <w:rPr>
          <w:color w:val="auto"/>
          <w:sz w:val="24"/>
        </w:rPr>
        <w:t>评标委员会将按照招标文件中规定的评标方法和标准，对符合性审查合格的投标文件进行商务和技术评估，综合比较与评价；未通过符合性审查的投标文件不得进入比较与评价。</w:t>
      </w:r>
    </w:p>
    <w:p>
      <w:pPr>
        <w:numPr>
          <w:ilvl w:val="1"/>
          <w:numId w:val="12"/>
        </w:numPr>
        <w:tabs>
          <w:tab w:val="left" w:pos="1080"/>
        </w:tabs>
        <w:snapToGrid w:val="0"/>
        <w:spacing w:line="360" w:lineRule="auto"/>
        <w:ind w:left="1077" w:hanging="720"/>
        <w:rPr>
          <w:color w:val="auto"/>
          <w:sz w:val="24"/>
        </w:rPr>
      </w:pPr>
      <w:r>
        <w:rPr>
          <w:color w:val="auto"/>
          <w:sz w:val="24"/>
        </w:rPr>
        <w:t>评标方法和评标标准</w:t>
      </w:r>
    </w:p>
    <w:p>
      <w:pPr>
        <w:numPr>
          <w:ilvl w:val="2"/>
          <w:numId w:val="12"/>
        </w:numPr>
        <w:tabs>
          <w:tab w:val="left" w:pos="1080"/>
          <w:tab w:val="left" w:pos="1589"/>
          <w:tab w:val="left" w:pos="2035"/>
        </w:tabs>
        <w:snapToGrid w:val="0"/>
        <w:spacing w:line="360" w:lineRule="auto"/>
        <w:ind w:left="2035"/>
        <w:rPr>
          <w:color w:val="auto"/>
          <w:sz w:val="24"/>
        </w:rPr>
      </w:pPr>
      <w:r>
        <w:rPr>
          <w:color w:val="auto"/>
          <w:sz w:val="24"/>
        </w:rPr>
        <w:t>本项目采用的评标方法为：</w:t>
      </w:r>
    </w:p>
    <w:p>
      <w:pPr>
        <w:tabs>
          <w:tab w:val="left" w:pos="900"/>
          <w:tab w:val="left" w:pos="1589"/>
          <w:tab w:val="left" w:pos="1701"/>
        </w:tabs>
        <w:snapToGrid w:val="0"/>
        <w:spacing w:line="360" w:lineRule="auto"/>
        <w:ind w:left="1985"/>
        <w:rPr>
          <w:color w:val="auto"/>
          <w:sz w:val="24"/>
        </w:rPr>
      </w:pPr>
      <w:r>
        <w:rPr>
          <w:color w:val="auto"/>
          <w:sz w:val="24"/>
        </w:rPr>
        <w:t>■综合评分法，指投标文件满足招标文件全部实质性要求，且按照评审因素的量化指标评审得分最高的投标人为中标候选人的评标方法，见《评标标准》，招标文件中没有规定的评标标准不得作为评审的依据。</w:t>
      </w:r>
    </w:p>
    <w:p>
      <w:pPr>
        <w:tabs>
          <w:tab w:val="left" w:pos="900"/>
          <w:tab w:val="left" w:pos="1589"/>
          <w:tab w:val="left" w:pos="1701"/>
        </w:tabs>
        <w:snapToGrid w:val="0"/>
        <w:spacing w:line="360" w:lineRule="auto"/>
        <w:ind w:left="1985"/>
        <w:rPr>
          <w:color w:val="auto"/>
          <w:sz w:val="24"/>
        </w:rPr>
      </w:pPr>
      <w:r>
        <w:rPr>
          <w:color w:val="auto"/>
          <w:sz w:val="24"/>
        </w:rPr>
        <w:t>□最低评标价法，指投标文件满足招标文件全部实质性要求，且投标报价最低的投标人为中标候选人的评标方法。</w:t>
      </w:r>
    </w:p>
    <w:p>
      <w:pPr>
        <w:numPr>
          <w:ilvl w:val="2"/>
          <w:numId w:val="12"/>
        </w:numPr>
        <w:tabs>
          <w:tab w:val="left" w:pos="1080"/>
          <w:tab w:val="left" w:pos="1589"/>
          <w:tab w:val="left" w:pos="2035"/>
        </w:tabs>
        <w:snapToGrid w:val="0"/>
        <w:spacing w:line="360" w:lineRule="auto"/>
        <w:ind w:left="2035"/>
        <w:rPr>
          <w:color w:val="auto"/>
          <w:sz w:val="24"/>
        </w:rPr>
      </w:pPr>
      <w:r>
        <w:rPr>
          <w:color w:val="auto"/>
          <w:sz w:val="24"/>
        </w:rPr>
        <w:t>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b/>
          <w:color w:val="auto"/>
          <w:sz w:val="24"/>
        </w:rPr>
        <w:t>投标无效</w:t>
      </w:r>
      <w:r>
        <w:rPr>
          <w:color w:val="auto"/>
          <w:sz w:val="24"/>
        </w:rPr>
        <w:t>。</w:t>
      </w:r>
    </w:p>
    <w:p>
      <w:pPr>
        <w:tabs>
          <w:tab w:val="left" w:pos="1080"/>
          <w:tab w:val="left" w:pos="1589"/>
          <w:tab w:val="left" w:pos="2035"/>
        </w:tabs>
        <w:snapToGrid w:val="0"/>
        <w:spacing w:line="360" w:lineRule="auto"/>
        <w:ind w:left="2035"/>
        <w:rPr>
          <w:color w:val="auto"/>
          <w:sz w:val="24"/>
        </w:rPr>
      </w:pPr>
      <w:r>
        <w:rPr>
          <w:color w:val="auto"/>
          <w:sz w:val="24"/>
        </w:rPr>
        <w:t>□随机抽取</w:t>
      </w:r>
    </w:p>
    <w:p>
      <w:pPr>
        <w:tabs>
          <w:tab w:val="left" w:pos="1080"/>
          <w:tab w:val="left" w:pos="1589"/>
          <w:tab w:val="left" w:pos="2035"/>
        </w:tabs>
        <w:snapToGrid w:val="0"/>
        <w:spacing w:line="360" w:lineRule="auto"/>
        <w:ind w:left="2035"/>
        <w:rPr>
          <w:color w:val="auto"/>
          <w:sz w:val="24"/>
          <w:u w:val="single"/>
        </w:rPr>
      </w:pPr>
      <w:r>
        <w:rPr>
          <w:color w:val="auto"/>
          <w:sz w:val="24"/>
        </w:rPr>
        <w:t>□其他方式，具体要求：_____</w:t>
      </w:r>
    </w:p>
    <w:p>
      <w:pPr>
        <w:numPr>
          <w:ilvl w:val="2"/>
          <w:numId w:val="12"/>
        </w:numPr>
        <w:tabs>
          <w:tab w:val="left" w:pos="1080"/>
          <w:tab w:val="left" w:pos="1589"/>
          <w:tab w:val="left" w:pos="2035"/>
        </w:tabs>
        <w:snapToGrid w:val="0"/>
        <w:spacing w:line="360" w:lineRule="auto"/>
        <w:ind w:left="2035"/>
        <w:rPr>
          <w:color w:val="auto"/>
          <w:sz w:val="24"/>
        </w:rPr>
      </w:pPr>
      <w:r>
        <w:rPr>
          <w:color w:val="auto"/>
          <w:sz w:val="24"/>
        </w:rPr>
        <w:t>非政府强制采购的节能产品或环境标志产品，依据品目清单和认证证书实施政府优先采购。优先采购的具体规定（如涉及）_____。</w:t>
      </w:r>
    </w:p>
    <w:p>
      <w:pPr>
        <w:numPr>
          <w:ilvl w:val="2"/>
          <w:numId w:val="12"/>
        </w:numPr>
        <w:tabs>
          <w:tab w:val="left" w:pos="1080"/>
          <w:tab w:val="left" w:pos="1589"/>
          <w:tab w:val="left" w:pos="2035"/>
        </w:tabs>
        <w:snapToGrid w:val="0"/>
        <w:spacing w:line="360" w:lineRule="auto"/>
        <w:ind w:left="2035"/>
        <w:rPr>
          <w:color w:val="auto"/>
          <w:sz w:val="24"/>
        </w:rPr>
      </w:pPr>
      <w:r>
        <w:rPr>
          <w:color w:val="auto"/>
          <w:sz w:val="24"/>
        </w:rPr>
        <w:t>关于无线局域网认证产品政府采购清单中的产品，优先采购的具体规定（如涉及）_____。</w:t>
      </w:r>
    </w:p>
    <w:p>
      <w:pPr>
        <w:numPr>
          <w:ilvl w:val="0"/>
          <w:numId w:val="12"/>
        </w:numPr>
        <w:tabs>
          <w:tab w:val="left" w:pos="360"/>
        </w:tabs>
        <w:snapToGrid w:val="0"/>
        <w:spacing w:line="360" w:lineRule="auto"/>
        <w:outlineLvl w:val="1"/>
        <w:rPr>
          <w:color w:val="auto"/>
          <w:sz w:val="24"/>
        </w:rPr>
      </w:pPr>
      <w:r>
        <w:rPr>
          <w:color w:val="auto"/>
          <w:sz w:val="24"/>
        </w:rPr>
        <w:t>确定</w:t>
      </w:r>
      <w:bookmarkStart w:id="787" w:name="_Toc195842911"/>
      <w:bookmarkStart w:id="788" w:name="_Toc265228384"/>
      <w:bookmarkStart w:id="789" w:name="_Toc151193644"/>
      <w:bookmarkStart w:id="790" w:name="_Toc149720839"/>
      <w:bookmarkStart w:id="791" w:name="_Toc150480784"/>
      <w:bookmarkStart w:id="792" w:name="_Toc151193788"/>
      <w:bookmarkStart w:id="793" w:name="_Ref467307010"/>
      <w:bookmarkStart w:id="794" w:name="_Toc305158814"/>
      <w:bookmarkStart w:id="795" w:name="_Toc127151546"/>
      <w:bookmarkStart w:id="796" w:name="_Toc164229387"/>
      <w:bookmarkStart w:id="797" w:name="_Toc520356170"/>
      <w:bookmarkStart w:id="798" w:name="_Toc164608660"/>
      <w:bookmarkStart w:id="799" w:name="_Toc151193716"/>
      <w:bookmarkStart w:id="800" w:name="_Toc164608815"/>
      <w:bookmarkStart w:id="801" w:name="_Toc150774751"/>
      <w:bookmarkStart w:id="802" w:name="_Toc226337242"/>
      <w:bookmarkStart w:id="803" w:name="_Toc226965736"/>
      <w:bookmarkStart w:id="804" w:name="_Toc264969236"/>
      <w:bookmarkStart w:id="805" w:name="_Toc150509297"/>
      <w:bookmarkStart w:id="806" w:name="_Toc305158888"/>
      <w:bookmarkStart w:id="807" w:name="_Toc127161460"/>
      <w:bookmarkStart w:id="808" w:name="_Toc151193934"/>
      <w:bookmarkStart w:id="809" w:name="_Toc150774646"/>
      <w:bookmarkStart w:id="810" w:name="_Toc164229241"/>
      <w:bookmarkStart w:id="811" w:name="_Toc151193860"/>
      <w:bookmarkStart w:id="812" w:name="_Toc226309790"/>
      <w:bookmarkStart w:id="813" w:name="_Toc151190173"/>
      <w:bookmarkStart w:id="814" w:name="_Toc142311048"/>
      <w:bookmarkStart w:id="815" w:name="_Toc127151747"/>
      <w:bookmarkStart w:id="816" w:name="_Toc226965819"/>
      <w:bookmarkStart w:id="817" w:name="_Toc164351640"/>
      <w:r>
        <w:rPr>
          <w:color w:val="auto"/>
          <w:sz w:val="24"/>
        </w:rPr>
        <w:t>中标候选人名单</w:t>
      </w:r>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p>
    <w:p>
      <w:pPr>
        <w:numPr>
          <w:ilvl w:val="1"/>
          <w:numId w:val="12"/>
        </w:numPr>
        <w:tabs>
          <w:tab w:val="left" w:pos="1080"/>
        </w:tabs>
        <w:snapToGrid w:val="0"/>
        <w:spacing w:line="360" w:lineRule="auto"/>
        <w:ind w:left="1077" w:hanging="720"/>
        <w:rPr>
          <w:color w:val="auto"/>
          <w:sz w:val="24"/>
        </w:rPr>
      </w:pPr>
      <w:r>
        <w:rPr>
          <w:color w:val="auto"/>
          <w:sz w:val="24"/>
        </w:rPr>
        <w:t>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pPr>
        <w:pStyle w:val="23"/>
        <w:tabs>
          <w:tab w:val="left" w:pos="900"/>
          <w:tab w:val="left" w:pos="2127"/>
        </w:tabs>
        <w:adjustRightInd w:val="0"/>
        <w:snapToGrid w:val="0"/>
        <w:spacing w:line="360" w:lineRule="auto"/>
        <w:ind w:left="993" w:firstLine="136" w:firstLineChars="57"/>
        <w:rPr>
          <w:rFonts w:hint="default" w:ascii="Times New Roman" w:hAnsi="Times New Roman"/>
          <w:color w:val="auto"/>
          <w:sz w:val="24"/>
          <w:szCs w:val="24"/>
        </w:rPr>
      </w:pPr>
      <w:r>
        <w:rPr>
          <w:rFonts w:hint="default" w:ascii="Times New Roman" w:hAnsi="Times New Roman"/>
          <w:color w:val="auto"/>
          <w:sz w:val="24"/>
          <w:szCs w:val="24"/>
        </w:rPr>
        <w:t>■随机抽取</w:t>
      </w:r>
    </w:p>
    <w:p>
      <w:pPr>
        <w:pStyle w:val="23"/>
        <w:tabs>
          <w:tab w:val="left" w:pos="900"/>
          <w:tab w:val="left" w:pos="2127"/>
        </w:tabs>
        <w:adjustRightInd w:val="0"/>
        <w:snapToGrid w:val="0"/>
        <w:spacing w:line="360" w:lineRule="auto"/>
        <w:ind w:left="993" w:firstLine="136" w:firstLineChars="57"/>
        <w:rPr>
          <w:rFonts w:hint="default" w:ascii="Times New Roman" w:hAnsi="Times New Roman"/>
          <w:color w:val="auto"/>
          <w:sz w:val="24"/>
          <w:szCs w:val="24"/>
        </w:rPr>
      </w:pPr>
      <w:r>
        <w:rPr>
          <w:rFonts w:hint="default" w:ascii="Times New Roman" w:hAnsi="Times New Roman"/>
          <w:color w:val="auto"/>
          <w:sz w:val="24"/>
          <w:szCs w:val="24"/>
        </w:rPr>
        <w:t>□其他方式，具体要求：_____</w:t>
      </w:r>
    </w:p>
    <w:p>
      <w:pPr>
        <w:numPr>
          <w:ilvl w:val="1"/>
          <w:numId w:val="12"/>
        </w:numPr>
        <w:tabs>
          <w:tab w:val="left" w:pos="1080"/>
        </w:tabs>
        <w:snapToGrid w:val="0"/>
        <w:spacing w:line="360" w:lineRule="auto"/>
        <w:ind w:left="1077" w:hanging="720"/>
        <w:rPr>
          <w:color w:val="auto"/>
          <w:sz w:val="24"/>
        </w:rPr>
      </w:pPr>
      <w:r>
        <w:rPr>
          <w:color w:val="auto"/>
          <w:sz w:val="24"/>
        </w:rPr>
        <w:t>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p>
    <w:p>
      <w:pPr>
        <w:numPr>
          <w:ilvl w:val="1"/>
          <w:numId w:val="12"/>
        </w:numPr>
        <w:tabs>
          <w:tab w:val="left" w:pos="1080"/>
        </w:tabs>
        <w:snapToGrid w:val="0"/>
        <w:spacing w:line="360" w:lineRule="auto"/>
        <w:ind w:left="1077" w:hanging="720"/>
        <w:rPr>
          <w:color w:val="auto"/>
          <w:sz w:val="24"/>
        </w:rPr>
      </w:pPr>
      <w:r>
        <w:rPr>
          <w:color w:val="auto"/>
          <w:sz w:val="24"/>
        </w:rPr>
        <w:t>采用最低评标价法时，评标结果按本章2.4、2.5调整后的投标报价由低到高顺序排列。投标报价相同的并列。投标文件满足招标文件全部实质性要求且投标报价最低的投标人为排名第一的中标候选人。</w:t>
      </w:r>
    </w:p>
    <w:p>
      <w:pPr>
        <w:numPr>
          <w:ilvl w:val="1"/>
          <w:numId w:val="12"/>
        </w:numPr>
        <w:tabs>
          <w:tab w:val="left" w:pos="1080"/>
        </w:tabs>
        <w:snapToGrid w:val="0"/>
        <w:spacing w:line="360" w:lineRule="auto"/>
        <w:ind w:left="1077" w:hanging="720"/>
        <w:rPr>
          <w:color w:val="auto"/>
          <w:sz w:val="24"/>
        </w:rPr>
      </w:pPr>
      <w:r>
        <w:rPr>
          <w:color w:val="auto"/>
          <w:sz w:val="24"/>
        </w:rPr>
        <w:t>评标委员会要对评分汇总情况进行复核，特别是对排名第一的、报价最低的、投标或响应文件被认定为无效的情形进行重点复核。</w:t>
      </w:r>
    </w:p>
    <w:p>
      <w:pPr>
        <w:numPr>
          <w:ilvl w:val="1"/>
          <w:numId w:val="12"/>
        </w:numPr>
        <w:tabs>
          <w:tab w:val="left" w:pos="1080"/>
        </w:tabs>
        <w:snapToGrid w:val="0"/>
        <w:spacing w:line="360" w:lineRule="auto"/>
        <w:ind w:left="1077" w:hanging="720"/>
        <w:rPr>
          <w:color w:val="auto"/>
          <w:sz w:val="24"/>
        </w:rPr>
      </w:pPr>
      <w:r>
        <w:rPr>
          <w:color w:val="auto"/>
          <w:sz w:val="24"/>
        </w:rPr>
        <w:t>评标委员会将根据各投标人的评标排序，依次推荐本项目（各采购包）的中标候选人，起草并签署评标报告。本项目（各采购包）评标委员会共（各）推荐_</w:t>
      </w:r>
      <w:r>
        <w:rPr>
          <w:rFonts w:hint="eastAsia"/>
          <w:color w:val="auto"/>
          <w:sz w:val="24"/>
          <w:u w:val="single"/>
        </w:rPr>
        <w:t>3</w:t>
      </w:r>
      <w:r>
        <w:rPr>
          <w:color w:val="auto"/>
          <w:sz w:val="24"/>
        </w:rPr>
        <w:t>_名中标候选人。</w:t>
      </w:r>
    </w:p>
    <w:p>
      <w:pPr>
        <w:numPr>
          <w:ilvl w:val="0"/>
          <w:numId w:val="12"/>
        </w:numPr>
        <w:tabs>
          <w:tab w:val="left" w:pos="360"/>
        </w:tabs>
        <w:snapToGrid w:val="0"/>
        <w:spacing w:line="360" w:lineRule="auto"/>
        <w:outlineLvl w:val="1"/>
        <w:rPr>
          <w:color w:val="auto"/>
          <w:sz w:val="24"/>
        </w:rPr>
      </w:pPr>
      <w:r>
        <w:rPr>
          <w:color w:val="auto"/>
          <w:sz w:val="24"/>
        </w:rPr>
        <w:t>报告违法行为</w:t>
      </w:r>
    </w:p>
    <w:p>
      <w:pPr>
        <w:numPr>
          <w:ilvl w:val="1"/>
          <w:numId w:val="12"/>
        </w:numPr>
        <w:tabs>
          <w:tab w:val="left" w:pos="1080"/>
        </w:tabs>
        <w:snapToGrid w:val="0"/>
        <w:spacing w:line="360" w:lineRule="auto"/>
        <w:ind w:left="1077" w:hanging="720"/>
        <w:rPr>
          <w:color w:val="auto"/>
          <w:sz w:val="24"/>
        </w:rPr>
      </w:pPr>
      <w:r>
        <w:rPr>
          <w:color w:val="auto"/>
          <w:sz w:val="24"/>
        </w:rPr>
        <w:t>评标委员会在评标过程中发现投标人有行贿、提供虚假材料或者串通等违法行为时，有向采购人、采购代理机构或者有关部门报告的职责。</w:t>
      </w:r>
    </w:p>
    <w:p>
      <w:pPr>
        <w:widowControl/>
        <w:jc w:val="left"/>
        <w:rPr>
          <w:b/>
          <w:color w:val="auto"/>
          <w:sz w:val="24"/>
        </w:rPr>
      </w:pPr>
      <w:r>
        <w:rPr>
          <w:b/>
          <w:color w:val="auto"/>
          <w:sz w:val="24"/>
        </w:rPr>
        <w:br w:type="page"/>
      </w:r>
    </w:p>
    <w:p>
      <w:pPr>
        <w:tabs>
          <w:tab w:val="left" w:pos="360"/>
          <w:tab w:val="left" w:pos="900"/>
        </w:tabs>
        <w:snapToGrid w:val="0"/>
        <w:spacing w:line="360" w:lineRule="auto"/>
        <w:jc w:val="center"/>
        <w:outlineLvl w:val="1"/>
        <w:rPr>
          <w:b/>
          <w:color w:val="auto"/>
        </w:rPr>
      </w:pPr>
      <w:r>
        <w:rPr>
          <w:b/>
          <w:color w:val="auto"/>
          <w:sz w:val="24"/>
        </w:rPr>
        <w:t>二、评标标准</w:t>
      </w:r>
    </w:p>
    <w:tbl>
      <w:tblPr>
        <w:tblStyle w:val="4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2"/>
        <w:gridCol w:w="747"/>
        <w:gridCol w:w="2387"/>
        <w:gridCol w:w="3249"/>
        <w:gridCol w:w="199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3" w:hRule="atLeast"/>
        </w:trPr>
        <w:tc>
          <w:tcPr>
            <w:tcW w:w="682" w:type="dxa"/>
            <w:noWrap w:val="0"/>
            <w:vAlign w:val="center"/>
          </w:tcPr>
          <w:p>
            <w:pPr>
              <w:ind w:firstLine="28"/>
              <w:jc w:val="center"/>
              <w:rPr>
                <w:b/>
                <w:color w:val="auto"/>
                <w:sz w:val="24"/>
              </w:rPr>
            </w:pPr>
            <w:r>
              <w:rPr>
                <w:b/>
                <w:color w:val="auto"/>
                <w:sz w:val="24"/>
              </w:rPr>
              <w:t>序号</w:t>
            </w:r>
          </w:p>
        </w:tc>
        <w:tc>
          <w:tcPr>
            <w:tcW w:w="747" w:type="dxa"/>
            <w:noWrap w:val="0"/>
            <w:vAlign w:val="center"/>
          </w:tcPr>
          <w:p>
            <w:pPr>
              <w:ind w:firstLine="28"/>
              <w:jc w:val="center"/>
              <w:rPr>
                <w:b/>
                <w:color w:val="auto"/>
                <w:sz w:val="24"/>
              </w:rPr>
            </w:pPr>
            <w:r>
              <w:rPr>
                <w:b/>
                <w:color w:val="auto"/>
                <w:sz w:val="24"/>
              </w:rPr>
              <w:t>评分因素</w:t>
            </w:r>
          </w:p>
        </w:tc>
        <w:tc>
          <w:tcPr>
            <w:tcW w:w="2387" w:type="dxa"/>
            <w:noWrap w:val="0"/>
            <w:vAlign w:val="center"/>
          </w:tcPr>
          <w:p>
            <w:pPr>
              <w:ind w:firstLine="28"/>
              <w:jc w:val="center"/>
              <w:rPr>
                <w:b/>
                <w:color w:val="auto"/>
                <w:sz w:val="24"/>
              </w:rPr>
            </w:pPr>
            <w:r>
              <w:rPr>
                <w:b/>
                <w:color w:val="auto"/>
                <w:sz w:val="24"/>
              </w:rPr>
              <w:t>分值</w:t>
            </w:r>
          </w:p>
        </w:tc>
        <w:tc>
          <w:tcPr>
            <w:tcW w:w="3249" w:type="dxa"/>
            <w:noWrap w:val="0"/>
            <w:vAlign w:val="center"/>
          </w:tcPr>
          <w:p>
            <w:pPr>
              <w:ind w:firstLine="28"/>
              <w:jc w:val="center"/>
              <w:rPr>
                <w:b/>
                <w:color w:val="auto"/>
                <w:sz w:val="24"/>
              </w:rPr>
            </w:pPr>
            <w:r>
              <w:rPr>
                <w:b/>
                <w:color w:val="auto"/>
                <w:sz w:val="24"/>
              </w:rPr>
              <w:t>评分标准</w:t>
            </w:r>
          </w:p>
        </w:tc>
        <w:tc>
          <w:tcPr>
            <w:tcW w:w="1993" w:type="dxa"/>
            <w:noWrap w:val="0"/>
            <w:vAlign w:val="center"/>
          </w:tcPr>
          <w:p>
            <w:pPr>
              <w:pStyle w:val="247"/>
              <w:spacing w:before="0" w:after="0" w:line="240" w:lineRule="auto"/>
              <w:rPr>
                <w:rFonts w:eastAsia="宋体"/>
                <w:color w:val="auto"/>
                <w:szCs w:val="24"/>
              </w:rPr>
            </w:pPr>
            <w:r>
              <w:rPr>
                <w:rFonts w:eastAsia="宋体"/>
                <w:color w:val="auto"/>
                <w:szCs w:val="24"/>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71" w:hRule="atLeast"/>
        </w:trPr>
        <w:tc>
          <w:tcPr>
            <w:tcW w:w="682" w:type="dxa"/>
            <w:vMerge w:val="restart"/>
            <w:noWrap w:val="0"/>
            <w:vAlign w:val="center"/>
          </w:tcPr>
          <w:p>
            <w:pPr>
              <w:ind w:firstLine="28" w:firstLineChars="0"/>
              <w:jc w:val="center"/>
              <w:rPr>
                <w:rFonts w:hint="eastAsia" w:ascii="宋体" w:hAnsi="宋体" w:cs="宋体"/>
                <w:color w:val="auto"/>
                <w:szCs w:val="21"/>
              </w:rPr>
            </w:pPr>
            <w:r>
              <w:rPr>
                <w:rFonts w:hint="eastAsia" w:ascii="宋体" w:hAnsi="宋体" w:cs="宋体"/>
                <w:bCs/>
                <w:color w:val="auto"/>
                <w:sz w:val="24"/>
              </w:rPr>
              <w:t>1</w:t>
            </w:r>
          </w:p>
        </w:tc>
        <w:tc>
          <w:tcPr>
            <w:tcW w:w="747" w:type="dxa"/>
            <w:vMerge w:val="restart"/>
            <w:noWrap w:val="0"/>
            <w:vAlign w:val="center"/>
          </w:tcPr>
          <w:p>
            <w:pPr>
              <w:ind w:firstLine="28" w:firstLineChars="0"/>
              <w:jc w:val="center"/>
              <w:rPr>
                <w:rFonts w:hint="eastAsia" w:ascii="宋体" w:hAnsi="宋体" w:eastAsia="宋体" w:cs="宋体"/>
                <w:color w:val="auto"/>
                <w:szCs w:val="21"/>
                <w:lang w:val="en-US" w:eastAsia="zh-CN"/>
              </w:rPr>
            </w:pPr>
            <w:r>
              <w:rPr>
                <w:rFonts w:hint="eastAsia" w:ascii="宋体" w:hAnsi="宋体" w:cs="宋体"/>
                <w:color w:val="auto"/>
                <w:szCs w:val="21"/>
                <w:lang w:val="en-US" w:eastAsia="zh-CN"/>
              </w:rPr>
              <w:t>商务部分</w:t>
            </w:r>
          </w:p>
        </w:tc>
        <w:tc>
          <w:tcPr>
            <w:tcW w:w="2387" w:type="dxa"/>
            <w:noWrap w:val="0"/>
            <w:vAlign w:val="center"/>
          </w:tcPr>
          <w:p>
            <w:pPr>
              <w:ind w:firstLine="28" w:firstLineChars="0"/>
              <w:jc w:val="center"/>
              <w:rPr>
                <w:rFonts w:hint="eastAsia" w:ascii="宋体" w:hAnsi="宋体" w:cs="宋体"/>
                <w:color w:val="auto"/>
                <w:szCs w:val="21"/>
              </w:rPr>
            </w:pPr>
            <w:r>
              <w:rPr>
                <w:rFonts w:hint="eastAsia" w:ascii="宋体" w:hAnsi="宋体" w:cs="宋体"/>
                <w:color w:val="auto"/>
                <w:szCs w:val="21"/>
              </w:rPr>
              <w:t>企业资质</w:t>
            </w:r>
            <w:r>
              <w:rPr>
                <w:rFonts w:hint="eastAsia" w:ascii="宋体" w:hAnsi="宋体" w:cs="宋体"/>
                <w:bCs/>
                <w:color w:val="auto"/>
                <w:szCs w:val="21"/>
                <w:lang w:val="en-US" w:eastAsia="zh-CN"/>
              </w:rPr>
              <w:t>3</w:t>
            </w:r>
            <w:r>
              <w:rPr>
                <w:rFonts w:hint="eastAsia" w:ascii="宋体" w:hAnsi="宋体" w:cs="宋体"/>
                <w:bCs/>
                <w:color w:val="auto"/>
                <w:szCs w:val="21"/>
              </w:rPr>
              <w:t>分</w:t>
            </w:r>
          </w:p>
        </w:tc>
        <w:tc>
          <w:tcPr>
            <w:tcW w:w="3249" w:type="dxa"/>
            <w:noWrap w:val="0"/>
            <w:vAlign w:val="center"/>
          </w:tcPr>
          <w:p>
            <w:pPr>
              <w:numPr>
                <w:ilvl w:val="0"/>
                <w:numId w:val="14"/>
              </w:numPr>
              <w:jc w:val="left"/>
              <w:rPr>
                <w:rFonts w:ascii="宋体" w:hAnsi="宋体" w:cs="宋体"/>
                <w:bCs/>
                <w:color w:val="auto"/>
                <w:szCs w:val="21"/>
              </w:rPr>
            </w:pPr>
            <w:r>
              <w:rPr>
                <w:rFonts w:hint="eastAsia" w:ascii="宋体" w:hAnsi="宋体" w:cs="宋体"/>
                <w:bCs/>
                <w:color w:val="auto"/>
                <w:szCs w:val="21"/>
              </w:rPr>
              <w:t>具有ISO9001质量管理体系认证证书，得1分；</w:t>
            </w:r>
          </w:p>
          <w:p>
            <w:pPr>
              <w:numPr>
                <w:ilvl w:val="0"/>
                <w:numId w:val="14"/>
              </w:numPr>
              <w:jc w:val="left"/>
              <w:rPr>
                <w:rFonts w:ascii="宋体" w:hAnsi="宋体" w:cs="宋体"/>
                <w:bCs/>
                <w:color w:val="auto"/>
                <w:szCs w:val="21"/>
              </w:rPr>
            </w:pPr>
            <w:r>
              <w:rPr>
                <w:rFonts w:hint="eastAsia" w:ascii="宋体" w:hAnsi="宋体" w:cs="宋体"/>
                <w:bCs/>
                <w:color w:val="auto"/>
                <w:szCs w:val="21"/>
              </w:rPr>
              <w:t>具有ISO20000服务管理体系认证证书，得1分；</w:t>
            </w:r>
          </w:p>
          <w:p>
            <w:pPr>
              <w:numPr>
                <w:ilvl w:val="0"/>
                <w:numId w:val="14"/>
              </w:numPr>
              <w:jc w:val="left"/>
              <w:rPr>
                <w:rFonts w:ascii="宋体" w:hAnsi="宋体" w:cs="宋体"/>
                <w:bCs/>
                <w:color w:val="auto"/>
                <w:szCs w:val="21"/>
              </w:rPr>
            </w:pPr>
            <w:r>
              <w:rPr>
                <w:rFonts w:hint="eastAsia" w:ascii="宋体" w:hAnsi="宋体" w:cs="宋体"/>
                <w:bCs/>
                <w:color w:val="auto"/>
                <w:szCs w:val="21"/>
              </w:rPr>
              <w:t>具有ISO27001信息安全管理体系认证证书，得1分；</w:t>
            </w:r>
          </w:p>
          <w:p>
            <w:pPr>
              <w:jc w:val="left"/>
              <w:rPr>
                <w:rFonts w:hint="eastAsia" w:ascii="宋体" w:hAnsi="宋体" w:cs="宋体"/>
                <w:color w:val="auto"/>
                <w:szCs w:val="21"/>
              </w:rPr>
            </w:pPr>
            <w:r>
              <w:rPr>
                <w:rFonts w:hint="eastAsia" w:ascii="宋体" w:hAnsi="宋体" w:cs="宋体"/>
                <w:b/>
                <w:color w:val="auto"/>
                <w:szCs w:val="21"/>
              </w:rPr>
              <w:t>注：须提供证书复印件加盖供应商公章。</w:t>
            </w:r>
          </w:p>
        </w:tc>
        <w:tc>
          <w:tcPr>
            <w:tcW w:w="1993" w:type="dxa"/>
            <w:noWrap w:val="0"/>
            <w:vAlign w:val="center"/>
          </w:tcPr>
          <w:p>
            <w:pPr>
              <w:pStyle w:val="247"/>
              <w:spacing w:before="0" w:after="0"/>
              <w:rPr>
                <w:rFonts w:hint="eastAsia" w:ascii="宋体" w:hAnsi="宋体" w:eastAsia="宋体" w:cs="宋体"/>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771" w:hRule="atLeast"/>
        </w:trPr>
        <w:tc>
          <w:tcPr>
            <w:tcW w:w="682" w:type="dxa"/>
            <w:vMerge w:val="continue"/>
            <w:noWrap w:val="0"/>
            <w:vAlign w:val="center"/>
          </w:tcPr>
          <w:p>
            <w:pPr>
              <w:ind w:firstLine="28" w:firstLineChars="0"/>
              <w:jc w:val="center"/>
              <w:rPr>
                <w:rFonts w:hint="eastAsia" w:ascii="宋体" w:hAnsi="宋体" w:cs="宋体"/>
                <w:color w:val="auto"/>
                <w:szCs w:val="21"/>
              </w:rPr>
            </w:pPr>
          </w:p>
        </w:tc>
        <w:tc>
          <w:tcPr>
            <w:tcW w:w="747" w:type="dxa"/>
            <w:vMerge w:val="continue"/>
            <w:noWrap w:val="0"/>
            <w:vAlign w:val="center"/>
          </w:tcPr>
          <w:p>
            <w:pPr>
              <w:ind w:firstLine="28" w:firstLineChars="0"/>
              <w:jc w:val="center"/>
              <w:rPr>
                <w:rFonts w:hint="eastAsia" w:ascii="宋体" w:hAnsi="宋体" w:cs="宋体"/>
                <w:color w:val="auto"/>
                <w:szCs w:val="21"/>
              </w:rPr>
            </w:pPr>
          </w:p>
        </w:tc>
        <w:tc>
          <w:tcPr>
            <w:tcW w:w="2387" w:type="dxa"/>
            <w:noWrap w:val="0"/>
            <w:vAlign w:val="center"/>
          </w:tcPr>
          <w:p>
            <w:pPr>
              <w:ind w:firstLine="28"/>
              <w:jc w:val="center"/>
              <w:rPr>
                <w:rFonts w:hint="eastAsia" w:ascii="宋体" w:hAnsi="宋体" w:eastAsia="宋体" w:cs="宋体"/>
                <w:color w:val="auto"/>
                <w:szCs w:val="21"/>
                <w:lang w:val="en-US" w:eastAsia="zh-CN"/>
              </w:rPr>
            </w:pPr>
            <w:r>
              <w:rPr>
                <w:rFonts w:hint="eastAsia" w:ascii="宋体" w:hAnsi="宋体" w:cs="宋体"/>
                <w:color w:val="auto"/>
                <w:szCs w:val="21"/>
                <w:lang w:val="en-US" w:eastAsia="zh-CN"/>
              </w:rPr>
              <w:t>招标文件</w:t>
            </w:r>
          </w:p>
          <w:p>
            <w:pPr>
              <w:ind w:firstLine="28" w:firstLineChars="0"/>
              <w:jc w:val="center"/>
              <w:rPr>
                <w:rFonts w:hint="eastAsia" w:ascii="宋体" w:hAnsi="宋体" w:cs="宋体"/>
                <w:color w:val="auto"/>
                <w:szCs w:val="21"/>
              </w:rPr>
            </w:pPr>
            <w:r>
              <w:rPr>
                <w:rFonts w:hint="eastAsia" w:ascii="宋体" w:hAnsi="宋体" w:cs="宋体"/>
                <w:color w:val="auto"/>
                <w:szCs w:val="21"/>
              </w:rPr>
              <w:t>响应度</w:t>
            </w:r>
            <w:r>
              <w:rPr>
                <w:rFonts w:hint="eastAsia" w:ascii="宋体" w:hAnsi="宋体" w:cs="宋体"/>
                <w:bCs/>
                <w:color w:val="auto"/>
                <w:szCs w:val="21"/>
              </w:rPr>
              <w:t>3分</w:t>
            </w:r>
          </w:p>
        </w:tc>
        <w:tc>
          <w:tcPr>
            <w:tcW w:w="3249" w:type="dxa"/>
            <w:noWrap w:val="0"/>
            <w:vAlign w:val="center"/>
          </w:tcPr>
          <w:p>
            <w:pPr>
              <w:ind w:firstLine="28" w:firstLineChars="0"/>
              <w:jc w:val="left"/>
              <w:rPr>
                <w:rFonts w:hint="eastAsia" w:ascii="宋体" w:hAnsi="宋体" w:cs="宋体"/>
                <w:color w:val="auto"/>
                <w:szCs w:val="21"/>
              </w:rPr>
            </w:pPr>
            <w:r>
              <w:rPr>
                <w:rFonts w:hint="eastAsia" w:ascii="宋体" w:hAnsi="宋体" w:cs="宋体"/>
                <w:bCs/>
                <w:color w:val="auto"/>
                <w:szCs w:val="21"/>
              </w:rPr>
              <w:t>对招标文件</w:t>
            </w:r>
            <w:r>
              <w:rPr>
                <w:rFonts w:hint="eastAsia" w:ascii="宋体" w:hAnsi="宋体" w:cs="宋体"/>
                <w:bCs/>
                <w:color w:val="auto"/>
                <w:szCs w:val="21"/>
                <w:lang w:val="en-US" w:eastAsia="zh-CN"/>
              </w:rPr>
              <w:t>采购需求中的商务及技术要求的响应，包含但不限于</w:t>
            </w:r>
            <w:r>
              <w:rPr>
                <w:rFonts w:hint="eastAsia" w:ascii="宋体" w:hAnsi="宋体" w:cs="宋体"/>
                <w:bCs/>
                <w:color w:val="auto"/>
                <w:szCs w:val="21"/>
              </w:rPr>
              <w:t>如付款方式、合同签订方式、验收方式</w:t>
            </w:r>
            <w:r>
              <w:rPr>
                <w:rFonts w:hint="eastAsia" w:ascii="宋体" w:hAnsi="宋体" w:cs="宋体"/>
                <w:bCs/>
                <w:color w:val="auto"/>
                <w:szCs w:val="21"/>
                <w:lang w:eastAsia="zh-CN"/>
              </w:rPr>
              <w:t>、</w:t>
            </w:r>
            <w:r>
              <w:rPr>
                <w:rFonts w:hint="eastAsia" w:ascii="宋体" w:hAnsi="宋体" w:cs="宋体"/>
                <w:bCs/>
                <w:color w:val="auto"/>
                <w:szCs w:val="21"/>
                <w:lang w:val="en-US" w:eastAsia="zh-CN"/>
              </w:rPr>
              <w:t>采购需求</w:t>
            </w:r>
            <w:r>
              <w:rPr>
                <w:rFonts w:hint="eastAsia" w:ascii="宋体" w:hAnsi="宋体" w:cs="宋体"/>
                <w:bCs/>
                <w:color w:val="auto"/>
                <w:szCs w:val="21"/>
              </w:rPr>
              <w:t>等的响应，完全响应招标文件要求得</w:t>
            </w:r>
            <w:r>
              <w:rPr>
                <w:rFonts w:hint="default" w:ascii="宋体" w:hAnsi="宋体" w:cs="宋体"/>
                <w:bCs/>
                <w:color w:val="auto"/>
                <w:szCs w:val="21"/>
                <w:lang w:val="en-US"/>
              </w:rPr>
              <w:t>3</w:t>
            </w:r>
            <w:r>
              <w:rPr>
                <w:rFonts w:hint="eastAsia" w:ascii="宋体" w:hAnsi="宋体" w:cs="宋体"/>
                <w:bCs/>
                <w:color w:val="auto"/>
                <w:szCs w:val="21"/>
              </w:rPr>
              <w:t>分，每有一项不满足扣1分，最多扣</w:t>
            </w:r>
            <w:r>
              <w:rPr>
                <w:rFonts w:hint="default" w:ascii="宋体" w:hAnsi="宋体" w:cs="宋体"/>
                <w:bCs/>
                <w:color w:val="auto"/>
                <w:szCs w:val="21"/>
                <w:lang w:val="en-US"/>
              </w:rPr>
              <w:t>3</w:t>
            </w:r>
            <w:r>
              <w:rPr>
                <w:rFonts w:hint="eastAsia" w:ascii="宋体" w:hAnsi="宋体" w:cs="宋体"/>
                <w:bCs/>
                <w:color w:val="auto"/>
                <w:szCs w:val="21"/>
              </w:rPr>
              <w:t>分。</w:t>
            </w:r>
          </w:p>
        </w:tc>
        <w:tc>
          <w:tcPr>
            <w:tcW w:w="1993" w:type="dxa"/>
            <w:noWrap w:val="0"/>
            <w:vAlign w:val="center"/>
          </w:tcPr>
          <w:p>
            <w:pPr>
              <w:pStyle w:val="247"/>
              <w:spacing w:before="0" w:after="0"/>
              <w:rPr>
                <w:rFonts w:hint="eastAsia" w:ascii="宋体" w:hAnsi="宋体" w:eastAsia="宋体" w:cs="宋体"/>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71" w:hRule="atLeast"/>
        </w:trPr>
        <w:tc>
          <w:tcPr>
            <w:tcW w:w="682" w:type="dxa"/>
            <w:vMerge w:val="continue"/>
            <w:noWrap w:val="0"/>
            <w:vAlign w:val="center"/>
          </w:tcPr>
          <w:p>
            <w:pPr>
              <w:ind w:firstLine="28" w:firstLineChars="0"/>
              <w:jc w:val="center"/>
              <w:rPr>
                <w:rFonts w:hint="eastAsia" w:ascii="宋体" w:hAnsi="宋体" w:cs="宋体"/>
                <w:color w:val="auto"/>
                <w:szCs w:val="21"/>
              </w:rPr>
            </w:pPr>
          </w:p>
        </w:tc>
        <w:tc>
          <w:tcPr>
            <w:tcW w:w="747" w:type="dxa"/>
            <w:vMerge w:val="continue"/>
            <w:noWrap w:val="0"/>
            <w:vAlign w:val="center"/>
          </w:tcPr>
          <w:p>
            <w:pPr>
              <w:ind w:firstLine="28" w:firstLineChars="0"/>
              <w:jc w:val="center"/>
              <w:rPr>
                <w:rFonts w:hint="eastAsia" w:ascii="宋体" w:hAnsi="宋体" w:cs="宋体"/>
                <w:color w:val="auto"/>
                <w:szCs w:val="21"/>
              </w:rPr>
            </w:pPr>
          </w:p>
        </w:tc>
        <w:tc>
          <w:tcPr>
            <w:tcW w:w="2387" w:type="dxa"/>
            <w:noWrap w:val="0"/>
            <w:vAlign w:val="center"/>
          </w:tcPr>
          <w:p>
            <w:pPr>
              <w:ind w:firstLine="28" w:firstLineChars="0"/>
              <w:jc w:val="center"/>
              <w:rPr>
                <w:rFonts w:hint="eastAsia" w:ascii="宋体" w:hAnsi="宋体" w:eastAsia="宋体" w:cs="宋体"/>
                <w:color w:val="auto"/>
                <w:szCs w:val="21"/>
                <w:lang w:val="en-US" w:eastAsia="zh-CN"/>
              </w:rPr>
            </w:pPr>
            <w:r>
              <w:rPr>
                <w:rFonts w:hint="eastAsia" w:ascii="宋体" w:hAnsi="宋体" w:eastAsia="宋体" w:cs="宋体"/>
                <w:color w:val="auto"/>
                <w:szCs w:val="21"/>
                <w:lang w:val="en-US" w:eastAsia="zh-CN"/>
              </w:rPr>
              <w:t>类似项目业绩</w:t>
            </w:r>
          </w:p>
          <w:p>
            <w:pPr>
              <w:ind w:firstLine="28" w:firstLineChars="0"/>
              <w:jc w:val="center"/>
              <w:rPr>
                <w:rFonts w:hint="eastAsia" w:ascii="宋体" w:hAnsi="宋体" w:cs="宋体"/>
                <w:color w:val="auto"/>
                <w:szCs w:val="21"/>
              </w:rPr>
            </w:pPr>
            <w:r>
              <w:rPr>
                <w:rFonts w:hint="eastAsia" w:ascii="宋体" w:hAnsi="宋体" w:cs="宋体"/>
                <w:bCs/>
                <w:color w:val="auto"/>
                <w:szCs w:val="21"/>
                <w:lang w:val="en-US" w:eastAsia="zh-CN"/>
              </w:rPr>
              <w:t>5分</w:t>
            </w:r>
          </w:p>
        </w:tc>
        <w:tc>
          <w:tcPr>
            <w:tcW w:w="3249" w:type="dxa"/>
            <w:noWrap w:val="0"/>
            <w:vAlign w:val="center"/>
          </w:tcPr>
          <w:p>
            <w:pPr>
              <w:ind w:firstLine="28"/>
              <w:jc w:val="left"/>
              <w:rPr>
                <w:rFonts w:hint="eastAsia" w:ascii="宋体" w:hAnsi="宋体" w:cs="宋体"/>
                <w:bCs/>
                <w:color w:val="auto"/>
                <w:szCs w:val="21"/>
              </w:rPr>
            </w:pPr>
            <w:r>
              <w:rPr>
                <w:rFonts w:hint="eastAsia" w:ascii="宋体" w:hAnsi="宋体" w:cs="宋体"/>
                <w:bCs/>
                <w:color w:val="auto"/>
                <w:szCs w:val="21"/>
              </w:rPr>
              <w:t>投标人提供近三年内（202</w:t>
            </w:r>
            <w:r>
              <w:rPr>
                <w:rFonts w:hint="eastAsia" w:ascii="宋体" w:hAnsi="宋体" w:cs="宋体"/>
                <w:bCs/>
                <w:color w:val="auto"/>
                <w:szCs w:val="21"/>
                <w:lang w:val="en-US" w:eastAsia="zh-CN"/>
              </w:rPr>
              <w:t>1</w:t>
            </w:r>
            <w:r>
              <w:rPr>
                <w:rFonts w:hint="eastAsia" w:ascii="宋体" w:hAnsi="宋体" w:cs="宋体"/>
                <w:bCs/>
                <w:color w:val="auto"/>
                <w:szCs w:val="21"/>
              </w:rPr>
              <w:t>年2月至今）同类项目业绩。每提供一个项目案例得</w:t>
            </w:r>
            <w:r>
              <w:rPr>
                <w:rFonts w:hint="eastAsia" w:ascii="宋体" w:hAnsi="宋体" w:cs="宋体"/>
                <w:bCs/>
                <w:color w:val="auto"/>
                <w:szCs w:val="21"/>
                <w:lang w:val="en-US" w:eastAsia="zh-CN"/>
              </w:rPr>
              <w:t>1</w:t>
            </w:r>
            <w:r>
              <w:rPr>
                <w:rFonts w:hint="eastAsia" w:ascii="宋体" w:hAnsi="宋体" w:cs="宋体"/>
                <w:bCs/>
                <w:color w:val="auto"/>
                <w:szCs w:val="21"/>
              </w:rPr>
              <w:t>分，合计最多得</w:t>
            </w:r>
            <w:r>
              <w:rPr>
                <w:rFonts w:hint="eastAsia" w:ascii="宋体" w:hAnsi="宋体" w:cs="宋体"/>
                <w:bCs/>
                <w:color w:val="auto"/>
                <w:szCs w:val="21"/>
                <w:lang w:val="en-US" w:eastAsia="zh-CN"/>
              </w:rPr>
              <w:t>5</w:t>
            </w:r>
            <w:r>
              <w:rPr>
                <w:rFonts w:hint="eastAsia" w:ascii="宋体" w:hAnsi="宋体" w:cs="宋体"/>
                <w:bCs/>
                <w:color w:val="auto"/>
                <w:szCs w:val="21"/>
              </w:rPr>
              <w:t>分。</w:t>
            </w:r>
          </w:p>
          <w:p>
            <w:pPr>
              <w:ind w:firstLine="28" w:firstLineChars="0"/>
              <w:jc w:val="left"/>
              <w:rPr>
                <w:rFonts w:hint="eastAsia" w:ascii="宋体" w:hAnsi="宋体" w:cs="宋体"/>
                <w:color w:val="auto"/>
                <w:szCs w:val="21"/>
              </w:rPr>
            </w:pPr>
            <w:r>
              <w:rPr>
                <w:rFonts w:hint="eastAsia" w:ascii="宋体" w:hAnsi="宋体" w:cs="宋体"/>
                <w:bCs/>
                <w:color w:val="auto"/>
                <w:szCs w:val="21"/>
              </w:rPr>
              <w:t>须提供合同主要内容复印件</w:t>
            </w:r>
            <w:r>
              <w:rPr>
                <w:rFonts w:hint="eastAsia" w:ascii="宋体" w:hAnsi="宋体" w:cs="宋体"/>
                <w:bCs/>
                <w:color w:val="auto"/>
                <w:szCs w:val="21"/>
                <w:lang w:eastAsia="zh-CN"/>
              </w:rPr>
              <w:t>（</w:t>
            </w:r>
            <w:r>
              <w:rPr>
                <w:rFonts w:hint="eastAsia" w:ascii="宋体" w:hAnsi="宋体" w:cs="宋体"/>
                <w:bCs/>
                <w:color w:val="auto"/>
                <w:szCs w:val="21"/>
                <w:lang w:val="en-US" w:eastAsia="zh-CN"/>
              </w:rPr>
              <w:t>包含但不限于首页、金额页、签字盖章页</w:t>
            </w:r>
            <w:r>
              <w:rPr>
                <w:rFonts w:hint="eastAsia" w:ascii="宋体" w:hAnsi="宋体" w:cs="宋体"/>
                <w:bCs/>
                <w:color w:val="auto"/>
                <w:szCs w:val="21"/>
                <w:lang w:eastAsia="zh-CN"/>
              </w:rPr>
              <w:t>）</w:t>
            </w:r>
            <w:r>
              <w:rPr>
                <w:rFonts w:hint="eastAsia" w:ascii="宋体" w:hAnsi="宋体" w:cs="宋体"/>
                <w:bCs/>
                <w:color w:val="auto"/>
                <w:szCs w:val="21"/>
              </w:rPr>
              <w:t>，加盖</w:t>
            </w:r>
            <w:r>
              <w:rPr>
                <w:rFonts w:hint="eastAsia" w:ascii="宋体" w:hAnsi="宋体" w:cs="宋体"/>
                <w:bCs/>
                <w:color w:val="auto"/>
                <w:szCs w:val="21"/>
                <w:lang w:val="en-US" w:eastAsia="zh-CN"/>
              </w:rPr>
              <w:t>单位</w:t>
            </w:r>
            <w:r>
              <w:rPr>
                <w:rFonts w:hint="eastAsia" w:ascii="宋体" w:hAnsi="宋体" w:cs="宋体"/>
                <w:bCs/>
                <w:color w:val="auto"/>
                <w:szCs w:val="21"/>
              </w:rPr>
              <w:t>公章。</w:t>
            </w:r>
          </w:p>
        </w:tc>
        <w:tc>
          <w:tcPr>
            <w:tcW w:w="1993" w:type="dxa"/>
            <w:noWrap w:val="0"/>
            <w:vAlign w:val="center"/>
          </w:tcPr>
          <w:p>
            <w:pPr>
              <w:pStyle w:val="247"/>
              <w:spacing w:before="0" w:after="0"/>
              <w:rPr>
                <w:rFonts w:hint="eastAsia" w:ascii="宋体" w:hAnsi="宋体" w:eastAsia="宋体" w:cs="宋体"/>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2" w:hRule="atLeast"/>
        </w:trPr>
        <w:tc>
          <w:tcPr>
            <w:tcW w:w="682" w:type="dxa"/>
            <w:vMerge w:val="restart"/>
            <w:noWrap w:val="0"/>
            <w:vAlign w:val="center"/>
          </w:tcPr>
          <w:p>
            <w:pPr>
              <w:spacing w:line="360" w:lineRule="auto"/>
              <w:ind w:firstLine="28"/>
              <w:jc w:val="center"/>
              <w:rPr>
                <w:rFonts w:hint="eastAsia" w:ascii="宋体" w:hAnsi="宋体" w:cs="宋体"/>
                <w:color w:val="auto"/>
                <w:szCs w:val="21"/>
              </w:rPr>
            </w:pPr>
            <w:r>
              <w:rPr>
                <w:rFonts w:hint="eastAsia" w:ascii="宋体" w:hAnsi="宋体" w:cs="宋体"/>
                <w:color w:val="auto"/>
                <w:szCs w:val="21"/>
              </w:rPr>
              <w:t>2</w:t>
            </w:r>
          </w:p>
        </w:tc>
        <w:tc>
          <w:tcPr>
            <w:tcW w:w="747" w:type="dxa"/>
            <w:vMerge w:val="restart"/>
            <w:noWrap w:val="0"/>
            <w:vAlign w:val="center"/>
          </w:tcPr>
          <w:p>
            <w:pPr>
              <w:spacing w:line="360" w:lineRule="auto"/>
              <w:ind w:firstLine="28"/>
              <w:jc w:val="center"/>
              <w:rPr>
                <w:rFonts w:hint="eastAsia" w:ascii="宋体" w:hAnsi="宋体" w:eastAsia="宋体" w:cs="宋体"/>
                <w:color w:val="auto"/>
                <w:szCs w:val="21"/>
                <w:lang w:val="en-US" w:eastAsia="zh-CN"/>
              </w:rPr>
            </w:pPr>
            <w:r>
              <w:rPr>
                <w:rFonts w:hint="eastAsia" w:ascii="宋体" w:hAnsi="宋体" w:cs="宋体"/>
                <w:color w:val="auto"/>
                <w:szCs w:val="21"/>
                <w:lang w:val="en-US" w:eastAsia="zh-CN"/>
              </w:rPr>
              <w:t>技术部分</w:t>
            </w:r>
          </w:p>
        </w:tc>
        <w:tc>
          <w:tcPr>
            <w:tcW w:w="2387" w:type="dxa"/>
            <w:noWrap w:val="0"/>
            <w:vAlign w:val="center"/>
          </w:tcPr>
          <w:p>
            <w:pPr>
              <w:ind w:firstLine="28" w:firstLineChars="0"/>
              <w:jc w:val="center"/>
              <w:rPr>
                <w:rFonts w:hint="eastAsia" w:ascii="宋体" w:hAnsi="宋体" w:cs="宋体"/>
                <w:color w:val="auto"/>
                <w:szCs w:val="21"/>
              </w:rPr>
            </w:pPr>
            <w:r>
              <w:rPr>
                <w:rFonts w:hint="eastAsia" w:ascii="宋体" w:hAnsi="宋体" w:cs="宋体"/>
                <w:color w:val="auto"/>
                <w:szCs w:val="21"/>
              </w:rPr>
              <w:t>项目的总体方案</w:t>
            </w:r>
          </w:p>
          <w:p>
            <w:pPr>
              <w:ind w:firstLine="28" w:firstLineChars="0"/>
              <w:jc w:val="center"/>
              <w:rPr>
                <w:rFonts w:hint="eastAsia" w:ascii="宋体" w:hAnsi="宋体" w:cs="宋体"/>
                <w:color w:val="auto"/>
                <w:szCs w:val="21"/>
              </w:rPr>
            </w:pPr>
            <w:r>
              <w:rPr>
                <w:rFonts w:hint="eastAsia" w:ascii="宋体" w:hAnsi="宋体" w:cs="宋体"/>
                <w:bCs/>
                <w:color w:val="auto"/>
                <w:szCs w:val="21"/>
              </w:rPr>
              <w:t>4分</w:t>
            </w:r>
          </w:p>
        </w:tc>
        <w:tc>
          <w:tcPr>
            <w:tcW w:w="3249" w:type="dxa"/>
            <w:noWrap w:val="0"/>
            <w:vAlign w:val="center"/>
          </w:tcPr>
          <w:p>
            <w:pPr>
              <w:ind w:firstLine="28"/>
              <w:jc w:val="left"/>
              <w:rPr>
                <w:rFonts w:ascii="宋体" w:hAnsi="宋体" w:cs="宋体"/>
                <w:b/>
                <w:color w:val="auto"/>
                <w:szCs w:val="21"/>
              </w:rPr>
            </w:pPr>
            <w:r>
              <w:rPr>
                <w:rFonts w:hint="eastAsia" w:ascii="宋体" w:hAnsi="宋体" w:cs="宋体"/>
                <w:b/>
                <w:color w:val="auto"/>
                <w:szCs w:val="21"/>
              </w:rPr>
              <w:t>根据招标文件中的内容完整性及清晰合理性评分：（包括但不限于项目的现状与需求分析、总体设计、数据服务、应用软件建设、项目组织实施和管理、售后服务以及培训等内容）</w:t>
            </w:r>
          </w:p>
          <w:p>
            <w:pPr>
              <w:ind w:firstLine="28"/>
              <w:jc w:val="left"/>
              <w:rPr>
                <w:rFonts w:ascii="宋体" w:hAnsi="宋体" w:cs="宋体"/>
                <w:bCs/>
                <w:color w:val="auto"/>
                <w:szCs w:val="21"/>
              </w:rPr>
            </w:pPr>
            <w:r>
              <w:rPr>
                <w:rFonts w:hint="eastAsia" w:ascii="宋体" w:hAnsi="宋体" w:cs="宋体"/>
                <w:bCs/>
                <w:color w:val="auto"/>
                <w:szCs w:val="21"/>
              </w:rPr>
              <w:t>（1）方案完整、合理、针对性强的，得4分；</w:t>
            </w:r>
          </w:p>
          <w:p>
            <w:pPr>
              <w:ind w:firstLine="28"/>
              <w:jc w:val="left"/>
              <w:rPr>
                <w:rFonts w:ascii="宋体" w:hAnsi="宋体" w:cs="宋体"/>
                <w:bCs/>
                <w:color w:val="auto"/>
                <w:szCs w:val="21"/>
              </w:rPr>
            </w:pPr>
            <w:r>
              <w:rPr>
                <w:rFonts w:hint="eastAsia" w:ascii="宋体" w:hAnsi="宋体" w:cs="宋体"/>
                <w:bCs/>
                <w:color w:val="auto"/>
                <w:szCs w:val="21"/>
              </w:rPr>
              <w:t>（2）方案完整、合理，针对性一般的，得2分；</w:t>
            </w:r>
          </w:p>
          <w:p>
            <w:pPr>
              <w:ind w:firstLine="28" w:firstLineChars="0"/>
              <w:jc w:val="left"/>
              <w:rPr>
                <w:rFonts w:hint="eastAsia"/>
                <w:color w:val="auto"/>
              </w:rPr>
            </w:pPr>
            <w:r>
              <w:rPr>
                <w:rFonts w:hint="eastAsia" w:ascii="宋体" w:hAnsi="宋体" w:cs="宋体"/>
                <w:bCs/>
                <w:color w:val="auto"/>
                <w:szCs w:val="21"/>
              </w:rPr>
              <w:t>（3）</w:t>
            </w:r>
            <w:r>
              <w:rPr>
                <w:rFonts w:hint="eastAsia" w:ascii="宋体" w:hAnsi="宋体" w:cs="宋体"/>
                <w:bCs/>
                <w:color w:val="auto"/>
                <w:szCs w:val="21"/>
                <w:lang w:eastAsia="zh-CN"/>
              </w:rPr>
              <w:t>方案不完整、不合理、</w:t>
            </w:r>
            <w:r>
              <w:rPr>
                <w:rFonts w:hint="eastAsia" w:ascii="宋体" w:hAnsi="宋体" w:cs="宋体"/>
                <w:bCs/>
                <w:color w:val="auto"/>
                <w:szCs w:val="21"/>
              </w:rPr>
              <w:t>不提供不得分。</w:t>
            </w:r>
          </w:p>
        </w:tc>
        <w:tc>
          <w:tcPr>
            <w:tcW w:w="1993" w:type="dxa"/>
            <w:noWrap w:val="0"/>
            <w:vAlign w:val="center"/>
          </w:tcPr>
          <w:p>
            <w:pPr>
              <w:pStyle w:val="247"/>
              <w:spacing w:before="0" w:after="0"/>
              <w:rPr>
                <w:rFonts w:hint="eastAsia" w:ascii="宋体" w:hAnsi="宋体" w:eastAsia="宋体" w:cs="宋体"/>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4" w:hRule="atLeast"/>
        </w:trPr>
        <w:tc>
          <w:tcPr>
            <w:tcW w:w="682" w:type="dxa"/>
            <w:vMerge w:val="continue"/>
            <w:noWrap w:val="0"/>
            <w:vAlign w:val="center"/>
          </w:tcPr>
          <w:p>
            <w:pPr>
              <w:spacing w:line="360" w:lineRule="auto"/>
              <w:ind w:firstLine="28"/>
              <w:jc w:val="center"/>
              <w:rPr>
                <w:rFonts w:hint="eastAsia" w:ascii="宋体" w:hAnsi="宋体" w:cs="宋体"/>
                <w:color w:val="auto"/>
                <w:szCs w:val="21"/>
              </w:rPr>
            </w:pPr>
          </w:p>
        </w:tc>
        <w:tc>
          <w:tcPr>
            <w:tcW w:w="747" w:type="dxa"/>
            <w:vMerge w:val="continue"/>
            <w:noWrap w:val="0"/>
            <w:vAlign w:val="center"/>
          </w:tcPr>
          <w:p>
            <w:pPr>
              <w:spacing w:line="360" w:lineRule="auto"/>
              <w:ind w:firstLine="28"/>
              <w:jc w:val="center"/>
              <w:rPr>
                <w:rFonts w:hint="eastAsia" w:ascii="宋体" w:hAnsi="宋体" w:cs="宋体"/>
                <w:color w:val="auto"/>
                <w:szCs w:val="21"/>
              </w:rPr>
            </w:pPr>
          </w:p>
        </w:tc>
        <w:tc>
          <w:tcPr>
            <w:tcW w:w="2387" w:type="dxa"/>
            <w:noWrap w:val="0"/>
            <w:vAlign w:val="center"/>
          </w:tcPr>
          <w:p>
            <w:pPr>
              <w:ind w:firstLine="28" w:firstLineChars="0"/>
              <w:jc w:val="center"/>
              <w:rPr>
                <w:rFonts w:hint="eastAsia" w:ascii="宋体" w:hAnsi="宋体" w:cs="宋体"/>
                <w:color w:val="auto"/>
                <w:szCs w:val="21"/>
              </w:rPr>
            </w:pPr>
            <w:r>
              <w:rPr>
                <w:rFonts w:hint="eastAsia" w:ascii="宋体" w:hAnsi="宋体" w:cs="宋体"/>
                <w:color w:val="auto"/>
                <w:szCs w:val="21"/>
              </w:rPr>
              <w:t>需求分析</w:t>
            </w:r>
            <w:r>
              <w:rPr>
                <w:rFonts w:hint="eastAsia" w:ascii="宋体" w:hAnsi="宋体" w:cs="宋体"/>
                <w:bCs/>
                <w:color w:val="auto"/>
                <w:szCs w:val="21"/>
                <w:lang w:val="en-US" w:eastAsia="zh-CN"/>
              </w:rPr>
              <w:t>10</w:t>
            </w:r>
            <w:r>
              <w:rPr>
                <w:rFonts w:hint="eastAsia" w:ascii="宋体" w:hAnsi="宋体" w:cs="宋体"/>
                <w:bCs/>
                <w:color w:val="auto"/>
                <w:szCs w:val="21"/>
              </w:rPr>
              <w:t>分</w:t>
            </w:r>
          </w:p>
        </w:tc>
        <w:tc>
          <w:tcPr>
            <w:tcW w:w="3249" w:type="dxa"/>
            <w:noWrap w:val="0"/>
            <w:vAlign w:val="center"/>
          </w:tcPr>
          <w:p>
            <w:pPr>
              <w:ind w:firstLine="28"/>
              <w:jc w:val="left"/>
              <w:rPr>
                <w:rFonts w:ascii="宋体" w:hAnsi="宋体" w:cs="宋体"/>
                <w:bCs/>
                <w:color w:val="auto"/>
                <w:szCs w:val="21"/>
              </w:rPr>
            </w:pPr>
            <w:r>
              <w:rPr>
                <w:rFonts w:hint="eastAsia" w:ascii="宋体" w:hAnsi="宋体" w:cs="宋体"/>
                <w:b/>
                <w:color w:val="auto"/>
                <w:szCs w:val="21"/>
              </w:rPr>
              <w:t>对本项目涉及到的数据、项目需求现状了解清晰，对本项目建设内容需求理解透彻，根据方案描述程度进行综合评分：</w:t>
            </w:r>
            <w:r>
              <w:rPr>
                <w:rFonts w:ascii="宋体" w:hAnsi="宋体" w:cs="宋体"/>
                <w:bCs/>
                <w:color w:val="auto"/>
                <w:szCs w:val="21"/>
              </w:rPr>
              <w:t xml:space="preserve"> </w:t>
            </w:r>
          </w:p>
          <w:p>
            <w:pPr>
              <w:ind w:firstLine="28"/>
              <w:jc w:val="left"/>
              <w:rPr>
                <w:rFonts w:ascii="宋体" w:hAnsi="宋体" w:cs="宋体"/>
                <w:bCs/>
                <w:color w:val="auto"/>
                <w:szCs w:val="21"/>
              </w:rPr>
            </w:pPr>
            <w:r>
              <w:rPr>
                <w:rFonts w:hint="eastAsia" w:ascii="宋体" w:hAnsi="宋体" w:cs="宋体"/>
                <w:bCs/>
                <w:color w:val="auto"/>
                <w:szCs w:val="21"/>
              </w:rPr>
              <w:t>（1）对需求了解清晰，有完整阐述得</w:t>
            </w:r>
            <w:r>
              <w:rPr>
                <w:rFonts w:hint="eastAsia" w:ascii="宋体" w:hAnsi="宋体" w:cs="宋体"/>
                <w:bCs/>
                <w:color w:val="auto"/>
                <w:szCs w:val="21"/>
                <w:lang w:val="en-US" w:eastAsia="zh-CN"/>
              </w:rPr>
              <w:t>10</w:t>
            </w:r>
            <w:r>
              <w:rPr>
                <w:rFonts w:hint="eastAsia" w:ascii="宋体" w:hAnsi="宋体" w:cs="宋体"/>
                <w:bCs/>
                <w:color w:val="auto"/>
                <w:szCs w:val="21"/>
              </w:rPr>
              <w:t>分；</w:t>
            </w:r>
          </w:p>
          <w:p>
            <w:pPr>
              <w:ind w:firstLine="28"/>
              <w:jc w:val="left"/>
              <w:rPr>
                <w:rFonts w:ascii="宋体" w:hAnsi="宋体" w:cs="宋体"/>
                <w:bCs/>
                <w:color w:val="auto"/>
                <w:szCs w:val="21"/>
              </w:rPr>
            </w:pPr>
            <w:r>
              <w:rPr>
                <w:rFonts w:hint="eastAsia" w:ascii="宋体" w:hAnsi="宋体" w:cs="宋体"/>
                <w:bCs/>
                <w:color w:val="auto"/>
                <w:szCs w:val="21"/>
              </w:rPr>
              <w:t>（2）对需求基本了解，有一定针对性的阐述得</w:t>
            </w:r>
            <w:r>
              <w:rPr>
                <w:rFonts w:hint="eastAsia" w:ascii="宋体" w:hAnsi="宋体" w:cs="宋体"/>
                <w:bCs/>
                <w:color w:val="auto"/>
                <w:szCs w:val="21"/>
                <w:lang w:val="en-US" w:eastAsia="zh-CN"/>
              </w:rPr>
              <w:t>6</w:t>
            </w:r>
            <w:r>
              <w:rPr>
                <w:rFonts w:hint="eastAsia" w:ascii="宋体" w:hAnsi="宋体" w:cs="宋体"/>
                <w:bCs/>
                <w:color w:val="auto"/>
                <w:szCs w:val="21"/>
              </w:rPr>
              <w:t>分；</w:t>
            </w:r>
          </w:p>
          <w:p>
            <w:pPr>
              <w:ind w:firstLine="28"/>
              <w:jc w:val="left"/>
              <w:rPr>
                <w:rFonts w:ascii="宋体" w:hAnsi="宋体" w:cs="宋体"/>
                <w:bCs/>
                <w:color w:val="auto"/>
                <w:szCs w:val="21"/>
              </w:rPr>
            </w:pPr>
            <w:r>
              <w:rPr>
                <w:rFonts w:hint="eastAsia" w:ascii="宋体" w:hAnsi="宋体" w:cs="宋体"/>
                <w:bCs/>
                <w:color w:val="auto"/>
                <w:szCs w:val="21"/>
              </w:rPr>
              <w:t>（3）对需求了解较少，所述针对性不强，得</w:t>
            </w:r>
            <w:r>
              <w:rPr>
                <w:rFonts w:hint="eastAsia" w:ascii="宋体" w:hAnsi="宋体" w:cs="宋体"/>
                <w:bCs/>
                <w:color w:val="auto"/>
                <w:szCs w:val="21"/>
                <w:lang w:val="en-US" w:eastAsia="zh-CN"/>
              </w:rPr>
              <w:t>2</w:t>
            </w:r>
            <w:r>
              <w:rPr>
                <w:rFonts w:hint="eastAsia" w:ascii="宋体" w:hAnsi="宋体" w:cs="宋体"/>
                <w:bCs/>
                <w:color w:val="auto"/>
                <w:szCs w:val="21"/>
              </w:rPr>
              <w:t>分；</w:t>
            </w:r>
          </w:p>
          <w:p>
            <w:pPr>
              <w:ind w:firstLine="28" w:firstLineChars="0"/>
              <w:jc w:val="left"/>
              <w:rPr>
                <w:rFonts w:ascii="宋体" w:hAnsi="宋体" w:cs="宋体"/>
                <w:color w:val="auto"/>
                <w:szCs w:val="21"/>
              </w:rPr>
            </w:pPr>
            <w:r>
              <w:rPr>
                <w:rFonts w:hint="eastAsia" w:ascii="宋体" w:hAnsi="宋体" w:cs="宋体"/>
                <w:bCs/>
                <w:color w:val="auto"/>
                <w:szCs w:val="21"/>
              </w:rPr>
              <w:t>（4）</w:t>
            </w:r>
            <w:r>
              <w:rPr>
                <w:rFonts w:hint="eastAsia" w:ascii="宋体" w:hAnsi="宋体" w:cs="宋体"/>
                <w:bCs/>
                <w:color w:val="auto"/>
                <w:szCs w:val="21"/>
                <w:lang w:eastAsia="zh-CN"/>
              </w:rPr>
              <w:t>方案不完整、不合理、</w:t>
            </w:r>
            <w:r>
              <w:rPr>
                <w:rFonts w:hint="eastAsia" w:ascii="宋体" w:hAnsi="宋体" w:cs="宋体"/>
                <w:bCs/>
                <w:color w:val="auto"/>
                <w:szCs w:val="21"/>
              </w:rPr>
              <w:t>不提供不得分。</w:t>
            </w:r>
          </w:p>
        </w:tc>
        <w:tc>
          <w:tcPr>
            <w:tcW w:w="1993" w:type="dxa"/>
            <w:noWrap w:val="0"/>
            <w:vAlign w:val="center"/>
          </w:tcPr>
          <w:p>
            <w:pPr>
              <w:pStyle w:val="247"/>
              <w:spacing w:before="0" w:after="0"/>
              <w:rPr>
                <w:rFonts w:hint="eastAsia" w:ascii="宋体" w:hAnsi="宋体" w:eastAsia="宋体" w:cs="宋体"/>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91" w:hRule="atLeast"/>
        </w:trPr>
        <w:tc>
          <w:tcPr>
            <w:tcW w:w="682" w:type="dxa"/>
            <w:vMerge w:val="continue"/>
            <w:noWrap w:val="0"/>
            <w:vAlign w:val="center"/>
          </w:tcPr>
          <w:p>
            <w:pPr>
              <w:spacing w:line="360" w:lineRule="auto"/>
              <w:ind w:firstLine="28"/>
              <w:jc w:val="center"/>
              <w:rPr>
                <w:rFonts w:hint="eastAsia" w:ascii="宋体" w:hAnsi="宋体" w:cs="宋体"/>
                <w:color w:val="auto"/>
                <w:szCs w:val="21"/>
              </w:rPr>
            </w:pPr>
          </w:p>
        </w:tc>
        <w:tc>
          <w:tcPr>
            <w:tcW w:w="747" w:type="dxa"/>
            <w:vMerge w:val="continue"/>
            <w:noWrap w:val="0"/>
            <w:vAlign w:val="center"/>
          </w:tcPr>
          <w:p>
            <w:pPr>
              <w:spacing w:line="360" w:lineRule="auto"/>
              <w:ind w:firstLine="28"/>
              <w:jc w:val="center"/>
              <w:rPr>
                <w:rFonts w:hint="eastAsia" w:ascii="宋体" w:hAnsi="宋体" w:cs="宋体"/>
                <w:color w:val="auto"/>
                <w:szCs w:val="21"/>
              </w:rPr>
            </w:pPr>
          </w:p>
        </w:tc>
        <w:tc>
          <w:tcPr>
            <w:tcW w:w="2387" w:type="dxa"/>
            <w:noWrap w:val="0"/>
            <w:vAlign w:val="center"/>
          </w:tcPr>
          <w:p>
            <w:pPr>
              <w:ind w:firstLine="28" w:firstLineChars="0"/>
              <w:jc w:val="center"/>
              <w:rPr>
                <w:rFonts w:ascii="宋体" w:hAnsi="宋体" w:cs="宋体"/>
                <w:color w:val="auto"/>
                <w:szCs w:val="21"/>
              </w:rPr>
            </w:pPr>
            <w:r>
              <w:rPr>
                <w:rFonts w:hint="eastAsia" w:ascii="宋体" w:hAnsi="宋体" w:cs="宋体"/>
                <w:color w:val="auto"/>
                <w:szCs w:val="21"/>
              </w:rPr>
              <w:t>技术路线</w:t>
            </w:r>
            <w:r>
              <w:rPr>
                <w:rFonts w:ascii="宋体" w:hAnsi="宋体" w:cs="宋体"/>
                <w:bCs/>
                <w:color w:val="auto"/>
                <w:szCs w:val="21"/>
              </w:rPr>
              <w:t>4</w:t>
            </w:r>
            <w:r>
              <w:rPr>
                <w:rFonts w:hint="eastAsia" w:ascii="宋体" w:hAnsi="宋体" w:cs="宋体"/>
                <w:bCs/>
                <w:color w:val="auto"/>
                <w:szCs w:val="21"/>
              </w:rPr>
              <w:t>分</w:t>
            </w:r>
          </w:p>
        </w:tc>
        <w:tc>
          <w:tcPr>
            <w:tcW w:w="3249" w:type="dxa"/>
            <w:noWrap w:val="0"/>
            <w:vAlign w:val="center"/>
          </w:tcPr>
          <w:p>
            <w:pPr>
              <w:ind w:firstLine="28"/>
              <w:jc w:val="left"/>
              <w:rPr>
                <w:rFonts w:ascii="宋体" w:hAnsi="宋体" w:cs="宋体"/>
                <w:b/>
                <w:color w:val="auto"/>
                <w:szCs w:val="21"/>
              </w:rPr>
            </w:pPr>
            <w:r>
              <w:rPr>
                <w:rFonts w:hint="eastAsia" w:ascii="宋体" w:hAnsi="宋体" w:cs="宋体"/>
                <w:b/>
                <w:color w:val="auto"/>
                <w:szCs w:val="21"/>
              </w:rPr>
              <w:t>对本项目数据处理路线、技术开发路线是否可行、全面合理、系统设计路线层次清晰等描述程度进行综合评分：</w:t>
            </w:r>
          </w:p>
          <w:p>
            <w:pPr>
              <w:ind w:firstLine="28"/>
              <w:jc w:val="left"/>
              <w:rPr>
                <w:rFonts w:ascii="宋体" w:hAnsi="宋体" w:cs="宋体"/>
                <w:bCs/>
                <w:color w:val="auto"/>
                <w:szCs w:val="21"/>
              </w:rPr>
            </w:pPr>
            <w:r>
              <w:rPr>
                <w:rFonts w:hint="eastAsia" w:ascii="宋体" w:hAnsi="宋体" w:cs="宋体"/>
                <w:bCs/>
                <w:color w:val="auto"/>
                <w:szCs w:val="21"/>
              </w:rPr>
              <w:t>（1）路线可行、全面合理、系统设计路线层次清晰、描述详细、实用；任务目标明确、充分满足用户需求的得</w:t>
            </w:r>
            <w:r>
              <w:rPr>
                <w:rFonts w:ascii="宋体" w:hAnsi="宋体" w:cs="宋体"/>
                <w:bCs/>
                <w:color w:val="auto"/>
                <w:szCs w:val="21"/>
              </w:rPr>
              <w:t>4</w:t>
            </w:r>
            <w:r>
              <w:rPr>
                <w:rFonts w:hint="eastAsia" w:ascii="宋体" w:hAnsi="宋体" w:cs="宋体"/>
                <w:bCs/>
                <w:color w:val="auto"/>
                <w:szCs w:val="21"/>
              </w:rPr>
              <w:t>分；</w:t>
            </w:r>
          </w:p>
          <w:p>
            <w:pPr>
              <w:ind w:firstLine="28"/>
              <w:jc w:val="left"/>
              <w:rPr>
                <w:rFonts w:ascii="宋体" w:hAnsi="宋体" w:cs="宋体"/>
                <w:bCs/>
                <w:color w:val="auto"/>
                <w:szCs w:val="21"/>
              </w:rPr>
            </w:pPr>
            <w:r>
              <w:rPr>
                <w:rFonts w:hint="eastAsia" w:ascii="宋体" w:hAnsi="宋体" w:cs="宋体"/>
                <w:bCs/>
                <w:color w:val="auto"/>
                <w:szCs w:val="21"/>
              </w:rPr>
              <w:t>（2）路线</w:t>
            </w:r>
            <w:r>
              <w:rPr>
                <w:rFonts w:hint="eastAsia" w:ascii="宋体" w:hAnsi="宋体" w:cs="宋体"/>
                <w:bCs/>
                <w:color w:val="auto"/>
                <w:szCs w:val="21"/>
                <w:lang w:val="en-US" w:eastAsia="zh-CN"/>
              </w:rPr>
              <w:t>基本</w:t>
            </w:r>
            <w:r>
              <w:rPr>
                <w:rFonts w:hint="eastAsia" w:ascii="宋体" w:hAnsi="宋体" w:cs="宋体"/>
                <w:bCs/>
                <w:color w:val="auto"/>
                <w:szCs w:val="21"/>
              </w:rPr>
              <w:t>可行、合理、系统设计路线层次</w:t>
            </w:r>
            <w:r>
              <w:rPr>
                <w:rFonts w:hint="eastAsia" w:ascii="宋体" w:hAnsi="宋体" w:cs="宋体"/>
                <w:bCs/>
                <w:color w:val="auto"/>
                <w:szCs w:val="21"/>
                <w:lang w:val="en-US" w:eastAsia="zh-CN"/>
              </w:rPr>
              <w:t>不够</w:t>
            </w:r>
            <w:r>
              <w:rPr>
                <w:rFonts w:hint="eastAsia" w:ascii="宋体" w:hAnsi="宋体" w:cs="宋体"/>
                <w:bCs/>
                <w:color w:val="auto"/>
                <w:szCs w:val="21"/>
              </w:rPr>
              <w:t>清晰、描述</w:t>
            </w:r>
            <w:r>
              <w:rPr>
                <w:rFonts w:hint="eastAsia" w:ascii="宋体" w:hAnsi="宋体" w:cs="宋体"/>
                <w:bCs/>
                <w:color w:val="auto"/>
                <w:szCs w:val="21"/>
                <w:lang w:val="en-US" w:eastAsia="zh-CN"/>
              </w:rPr>
              <w:t>不够详细</w:t>
            </w:r>
            <w:r>
              <w:rPr>
                <w:rFonts w:hint="eastAsia" w:ascii="宋体" w:hAnsi="宋体" w:cs="宋体"/>
                <w:bCs/>
                <w:color w:val="auto"/>
                <w:szCs w:val="21"/>
              </w:rPr>
              <w:t>、实用；任务目标</w:t>
            </w:r>
            <w:r>
              <w:rPr>
                <w:rFonts w:hint="eastAsia" w:ascii="宋体" w:hAnsi="宋体" w:cs="宋体"/>
                <w:bCs/>
                <w:color w:val="auto"/>
                <w:szCs w:val="21"/>
                <w:lang w:val="en-US" w:eastAsia="zh-CN"/>
              </w:rPr>
              <w:t>不够</w:t>
            </w:r>
            <w:r>
              <w:rPr>
                <w:rFonts w:hint="eastAsia" w:ascii="宋体" w:hAnsi="宋体" w:cs="宋体"/>
                <w:bCs/>
                <w:color w:val="auto"/>
                <w:szCs w:val="21"/>
              </w:rPr>
              <w:t>明确、部分满足用户需求的得2分；</w:t>
            </w:r>
          </w:p>
          <w:p>
            <w:pPr>
              <w:ind w:firstLine="28" w:firstLineChars="0"/>
              <w:jc w:val="left"/>
              <w:rPr>
                <w:color w:val="auto"/>
              </w:rPr>
            </w:pPr>
            <w:r>
              <w:rPr>
                <w:rFonts w:hint="eastAsia" w:ascii="宋体" w:hAnsi="宋体" w:cs="宋体"/>
                <w:bCs/>
                <w:color w:val="auto"/>
                <w:szCs w:val="21"/>
              </w:rPr>
              <w:t>（3）不提供不得分。</w:t>
            </w:r>
          </w:p>
        </w:tc>
        <w:tc>
          <w:tcPr>
            <w:tcW w:w="1993" w:type="dxa"/>
            <w:noWrap w:val="0"/>
            <w:vAlign w:val="center"/>
          </w:tcPr>
          <w:p>
            <w:pPr>
              <w:pStyle w:val="247"/>
              <w:spacing w:before="0" w:after="0"/>
              <w:rPr>
                <w:rFonts w:hint="eastAsia" w:ascii="宋体" w:hAnsi="宋体" w:eastAsia="宋体" w:cs="宋体"/>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9" w:hRule="atLeast"/>
        </w:trPr>
        <w:tc>
          <w:tcPr>
            <w:tcW w:w="682" w:type="dxa"/>
            <w:vMerge w:val="continue"/>
            <w:noWrap w:val="0"/>
            <w:vAlign w:val="center"/>
          </w:tcPr>
          <w:p>
            <w:pPr>
              <w:spacing w:line="360" w:lineRule="auto"/>
              <w:ind w:firstLine="28"/>
              <w:jc w:val="center"/>
              <w:rPr>
                <w:rFonts w:hint="eastAsia" w:ascii="宋体" w:hAnsi="宋体" w:cs="宋体"/>
                <w:color w:val="auto"/>
                <w:szCs w:val="21"/>
              </w:rPr>
            </w:pPr>
          </w:p>
        </w:tc>
        <w:tc>
          <w:tcPr>
            <w:tcW w:w="747" w:type="dxa"/>
            <w:vMerge w:val="continue"/>
            <w:noWrap w:val="0"/>
            <w:vAlign w:val="center"/>
          </w:tcPr>
          <w:p>
            <w:pPr>
              <w:spacing w:line="360" w:lineRule="auto"/>
              <w:ind w:firstLine="28"/>
              <w:jc w:val="center"/>
              <w:rPr>
                <w:rFonts w:hint="eastAsia" w:ascii="宋体" w:hAnsi="宋体" w:cs="宋体"/>
                <w:color w:val="auto"/>
                <w:szCs w:val="21"/>
              </w:rPr>
            </w:pPr>
          </w:p>
        </w:tc>
        <w:tc>
          <w:tcPr>
            <w:tcW w:w="2387" w:type="dxa"/>
            <w:noWrap w:val="0"/>
            <w:vAlign w:val="center"/>
          </w:tcPr>
          <w:p>
            <w:pPr>
              <w:jc w:val="center"/>
              <w:rPr>
                <w:rFonts w:hint="default" w:ascii="宋体" w:hAnsi="宋体" w:eastAsia="宋体" w:cs="宋体"/>
                <w:color w:val="auto"/>
                <w:szCs w:val="21"/>
                <w:lang w:val="en-US" w:eastAsia="zh-CN"/>
              </w:rPr>
            </w:pPr>
            <w:r>
              <w:rPr>
                <w:rFonts w:hint="eastAsia" w:ascii="宋体" w:hAnsi="宋体" w:cs="宋体"/>
                <w:color w:val="auto"/>
                <w:szCs w:val="21"/>
              </w:rPr>
              <w:t>数据汇聚处理能力建设方案</w:t>
            </w:r>
            <w:r>
              <w:rPr>
                <w:rFonts w:hint="eastAsia" w:ascii="宋体" w:hAnsi="宋体" w:cs="宋体"/>
                <w:bCs/>
                <w:color w:val="auto"/>
                <w:szCs w:val="21"/>
              </w:rPr>
              <w:t>8分</w:t>
            </w:r>
          </w:p>
        </w:tc>
        <w:tc>
          <w:tcPr>
            <w:tcW w:w="3249" w:type="dxa"/>
            <w:noWrap w:val="0"/>
            <w:vAlign w:val="center"/>
          </w:tcPr>
          <w:p>
            <w:pPr>
              <w:jc w:val="left"/>
              <w:rPr>
                <w:rFonts w:ascii="宋体" w:hAnsi="宋体" w:cs="宋体"/>
                <w:bCs/>
                <w:color w:val="auto"/>
                <w:szCs w:val="21"/>
              </w:rPr>
            </w:pPr>
            <w:r>
              <w:rPr>
                <w:rFonts w:hint="eastAsia" w:ascii="宋体" w:hAnsi="宋体" w:cs="宋体"/>
                <w:bCs/>
                <w:color w:val="auto"/>
                <w:szCs w:val="21"/>
              </w:rPr>
              <w:t>对汇聚数据检查算法、辅助项目审批检查工具、问题数据处理工具等方案描述程度进行综合评分：</w:t>
            </w:r>
          </w:p>
          <w:p>
            <w:pPr>
              <w:jc w:val="left"/>
              <w:rPr>
                <w:rFonts w:ascii="宋体" w:hAnsi="宋体" w:cs="宋体"/>
                <w:bCs/>
                <w:color w:val="auto"/>
                <w:szCs w:val="21"/>
              </w:rPr>
            </w:pPr>
            <w:r>
              <w:rPr>
                <w:rFonts w:hint="eastAsia" w:ascii="宋体" w:hAnsi="宋体" w:cs="宋体"/>
                <w:bCs/>
                <w:color w:val="auto"/>
                <w:szCs w:val="21"/>
              </w:rPr>
              <w:t>（1）方案</w:t>
            </w:r>
            <w:r>
              <w:rPr>
                <w:rFonts w:hint="eastAsia" w:ascii="宋体" w:hAnsi="宋体" w:cs="宋体"/>
                <w:bCs/>
                <w:color w:val="auto"/>
                <w:szCs w:val="21"/>
                <w:lang w:val="en-US" w:eastAsia="zh-CN"/>
              </w:rPr>
              <w:t>具有</w:t>
            </w:r>
            <w:r>
              <w:rPr>
                <w:rFonts w:hint="eastAsia" w:ascii="宋体" w:hAnsi="宋体" w:cs="宋体"/>
                <w:bCs/>
                <w:color w:val="auto"/>
                <w:szCs w:val="21"/>
              </w:rPr>
              <w:t>科学性、前瞻性、完整性</w:t>
            </w:r>
            <w:r>
              <w:rPr>
                <w:rFonts w:hint="eastAsia" w:ascii="宋体" w:hAnsi="宋体" w:cs="宋体"/>
                <w:bCs/>
                <w:color w:val="auto"/>
                <w:szCs w:val="21"/>
                <w:lang w:eastAsia="zh-CN"/>
              </w:rPr>
              <w:t>，</w:t>
            </w:r>
            <w:r>
              <w:rPr>
                <w:rFonts w:hint="eastAsia" w:ascii="宋体" w:hAnsi="宋体" w:cs="宋体"/>
                <w:bCs/>
                <w:color w:val="auto"/>
                <w:szCs w:val="21"/>
                <w:lang w:val="en-US" w:eastAsia="zh-CN"/>
              </w:rPr>
              <w:t>完全可行</w:t>
            </w:r>
            <w:r>
              <w:rPr>
                <w:rFonts w:hint="eastAsia" w:ascii="宋体" w:hAnsi="宋体" w:cs="宋体"/>
                <w:bCs/>
                <w:color w:val="auto"/>
                <w:szCs w:val="21"/>
              </w:rPr>
              <w:t>的得8分；</w:t>
            </w:r>
          </w:p>
          <w:p>
            <w:pPr>
              <w:jc w:val="left"/>
              <w:rPr>
                <w:rFonts w:ascii="宋体" w:hAnsi="宋体" w:cs="宋体"/>
                <w:bCs/>
                <w:color w:val="auto"/>
                <w:szCs w:val="21"/>
              </w:rPr>
            </w:pPr>
            <w:r>
              <w:rPr>
                <w:rFonts w:hint="eastAsia" w:ascii="宋体" w:hAnsi="宋体" w:cs="宋体"/>
                <w:bCs/>
                <w:color w:val="auto"/>
                <w:szCs w:val="21"/>
              </w:rPr>
              <w:t>（2）方案</w:t>
            </w:r>
            <w:r>
              <w:rPr>
                <w:rFonts w:hint="eastAsia" w:ascii="宋体" w:hAnsi="宋体" w:cs="宋体"/>
                <w:bCs/>
                <w:color w:val="auto"/>
                <w:szCs w:val="21"/>
                <w:lang w:val="en-US" w:eastAsia="zh-CN"/>
              </w:rPr>
              <w:t>基本科学</w:t>
            </w:r>
            <w:r>
              <w:rPr>
                <w:rFonts w:hint="eastAsia" w:ascii="宋体" w:hAnsi="宋体" w:cs="宋体"/>
                <w:bCs/>
                <w:color w:val="auto"/>
                <w:szCs w:val="21"/>
                <w:lang w:eastAsia="zh-CN"/>
              </w:rPr>
              <w:t>，</w:t>
            </w:r>
            <w:r>
              <w:rPr>
                <w:rFonts w:hint="eastAsia" w:ascii="宋体" w:hAnsi="宋体" w:cs="宋体"/>
                <w:bCs/>
                <w:color w:val="auto"/>
                <w:szCs w:val="21"/>
                <w:lang w:val="en-US" w:eastAsia="zh-CN"/>
              </w:rPr>
              <w:t>具有</w:t>
            </w:r>
            <w:r>
              <w:rPr>
                <w:rFonts w:hint="eastAsia" w:ascii="宋体" w:hAnsi="宋体" w:cs="宋体"/>
                <w:bCs/>
                <w:color w:val="auto"/>
                <w:szCs w:val="21"/>
              </w:rPr>
              <w:t>前瞻性、完整性、</w:t>
            </w:r>
            <w:r>
              <w:rPr>
                <w:rFonts w:hint="eastAsia" w:ascii="宋体" w:hAnsi="宋体" w:cs="宋体"/>
                <w:bCs/>
                <w:color w:val="auto"/>
                <w:szCs w:val="21"/>
                <w:lang w:val="en-US" w:eastAsia="zh-CN"/>
              </w:rPr>
              <w:t>基本可行</w:t>
            </w:r>
            <w:r>
              <w:rPr>
                <w:rFonts w:hint="eastAsia" w:ascii="宋体" w:hAnsi="宋体" w:cs="宋体"/>
                <w:bCs/>
                <w:color w:val="auto"/>
                <w:szCs w:val="21"/>
              </w:rPr>
              <w:t>的得6分；</w:t>
            </w:r>
          </w:p>
          <w:p>
            <w:pPr>
              <w:pStyle w:val="23"/>
              <w:jc w:val="left"/>
              <w:rPr>
                <w:rFonts w:ascii="宋体" w:hAnsi="宋体" w:eastAsia="宋体" w:cs="宋体"/>
                <w:bCs/>
                <w:color w:val="auto"/>
                <w:szCs w:val="21"/>
              </w:rPr>
            </w:pPr>
            <w:r>
              <w:rPr>
                <w:rFonts w:hint="eastAsia" w:ascii="宋体" w:hAnsi="宋体" w:eastAsia="宋体" w:cs="宋体"/>
                <w:bCs/>
                <w:color w:val="auto"/>
                <w:szCs w:val="21"/>
              </w:rPr>
              <w:t>（3）方案</w:t>
            </w:r>
            <w:r>
              <w:rPr>
                <w:rFonts w:hint="eastAsia" w:ascii="宋体" w:hAnsi="宋体" w:eastAsia="宋体" w:cs="宋体"/>
                <w:bCs/>
                <w:color w:val="auto"/>
                <w:szCs w:val="21"/>
                <w:lang w:val="en-US" w:eastAsia="zh-CN"/>
              </w:rPr>
              <w:t>不够</w:t>
            </w:r>
            <w:r>
              <w:rPr>
                <w:rFonts w:hint="eastAsia" w:ascii="宋体" w:hAnsi="宋体" w:eastAsia="宋体" w:cs="宋体"/>
                <w:bCs/>
                <w:color w:val="auto"/>
                <w:szCs w:val="21"/>
              </w:rPr>
              <w:t>科学</w:t>
            </w:r>
            <w:r>
              <w:rPr>
                <w:rFonts w:hint="eastAsia" w:ascii="宋体" w:hAnsi="宋体" w:eastAsia="宋体" w:cs="宋体"/>
                <w:bCs/>
                <w:color w:val="auto"/>
                <w:szCs w:val="21"/>
                <w:lang w:eastAsia="zh-CN"/>
              </w:rPr>
              <w:t>，</w:t>
            </w:r>
            <w:r>
              <w:rPr>
                <w:rFonts w:hint="eastAsia" w:ascii="宋体" w:hAnsi="宋体" w:eastAsia="宋体" w:cs="宋体"/>
                <w:bCs/>
                <w:color w:val="auto"/>
                <w:szCs w:val="21"/>
              </w:rPr>
              <w:t>前瞻性、完整性、可行性一般的得4分；</w:t>
            </w:r>
          </w:p>
          <w:p>
            <w:pPr>
              <w:jc w:val="left"/>
              <w:rPr>
                <w:rFonts w:ascii="宋体" w:hAnsi="宋体" w:cs="宋体"/>
                <w:bCs/>
                <w:color w:val="auto"/>
                <w:szCs w:val="21"/>
              </w:rPr>
            </w:pPr>
            <w:r>
              <w:rPr>
                <w:rFonts w:hint="eastAsia" w:ascii="宋体" w:hAnsi="宋体" w:cs="宋体"/>
                <w:bCs/>
                <w:color w:val="auto"/>
                <w:szCs w:val="21"/>
              </w:rPr>
              <w:t>（4）方案</w:t>
            </w:r>
            <w:r>
              <w:rPr>
                <w:rFonts w:hint="eastAsia" w:ascii="宋体" w:hAnsi="宋体" w:cs="宋体"/>
                <w:bCs/>
                <w:color w:val="auto"/>
                <w:szCs w:val="21"/>
                <w:lang w:val="en-US" w:eastAsia="zh-CN"/>
              </w:rPr>
              <w:t>严重欠缺，</w:t>
            </w:r>
            <w:r>
              <w:rPr>
                <w:rFonts w:hint="eastAsia" w:ascii="宋体" w:hAnsi="宋体" w:cs="宋体"/>
                <w:bCs/>
                <w:color w:val="auto"/>
                <w:szCs w:val="21"/>
              </w:rPr>
              <w:t>科学性、前瞻性、完整性、可行性部分满足招标文件要求的得2分；</w:t>
            </w:r>
          </w:p>
          <w:p>
            <w:pPr>
              <w:jc w:val="left"/>
              <w:rPr>
                <w:color w:val="auto"/>
              </w:rPr>
            </w:pPr>
            <w:r>
              <w:rPr>
                <w:rFonts w:hint="eastAsia" w:ascii="宋体" w:hAnsi="宋体" w:cs="宋体"/>
                <w:bCs/>
                <w:color w:val="auto"/>
                <w:szCs w:val="21"/>
              </w:rPr>
              <w:t>（5）不提供不得分。</w:t>
            </w:r>
          </w:p>
        </w:tc>
        <w:tc>
          <w:tcPr>
            <w:tcW w:w="1993" w:type="dxa"/>
            <w:noWrap w:val="0"/>
            <w:vAlign w:val="center"/>
          </w:tcPr>
          <w:p>
            <w:pPr>
              <w:pStyle w:val="247"/>
              <w:spacing w:before="0" w:after="0"/>
              <w:rPr>
                <w:rFonts w:hint="eastAsia" w:ascii="宋体" w:hAnsi="宋体" w:eastAsia="宋体" w:cs="宋体"/>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6" w:hRule="atLeast"/>
        </w:trPr>
        <w:tc>
          <w:tcPr>
            <w:tcW w:w="682" w:type="dxa"/>
            <w:vMerge w:val="continue"/>
            <w:noWrap w:val="0"/>
            <w:vAlign w:val="center"/>
          </w:tcPr>
          <w:p>
            <w:pPr>
              <w:spacing w:line="360" w:lineRule="auto"/>
              <w:ind w:firstLine="28"/>
              <w:jc w:val="center"/>
              <w:rPr>
                <w:rFonts w:hint="eastAsia" w:ascii="宋体" w:hAnsi="宋体" w:cs="宋体"/>
                <w:color w:val="auto"/>
                <w:szCs w:val="21"/>
              </w:rPr>
            </w:pPr>
          </w:p>
        </w:tc>
        <w:tc>
          <w:tcPr>
            <w:tcW w:w="747" w:type="dxa"/>
            <w:vMerge w:val="continue"/>
            <w:noWrap w:val="0"/>
            <w:vAlign w:val="center"/>
          </w:tcPr>
          <w:p>
            <w:pPr>
              <w:spacing w:line="360" w:lineRule="auto"/>
              <w:ind w:firstLine="28"/>
              <w:jc w:val="center"/>
              <w:rPr>
                <w:rFonts w:hint="eastAsia" w:ascii="宋体" w:hAnsi="宋体" w:cs="宋体"/>
                <w:color w:val="auto"/>
                <w:szCs w:val="21"/>
              </w:rPr>
            </w:pPr>
          </w:p>
        </w:tc>
        <w:tc>
          <w:tcPr>
            <w:tcW w:w="2387" w:type="dxa"/>
            <w:noWrap w:val="0"/>
            <w:vAlign w:val="center"/>
          </w:tcPr>
          <w:p>
            <w:pPr>
              <w:ind w:firstLine="28" w:firstLineChars="0"/>
              <w:jc w:val="center"/>
              <w:rPr>
                <w:rFonts w:hint="eastAsia" w:ascii="宋体" w:hAnsi="宋体" w:cs="宋体"/>
                <w:color w:val="auto"/>
                <w:szCs w:val="21"/>
              </w:rPr>
            </w:pPr>
            <w:r>
              <w:rPr>
                <w:rFonts w:hint="eastAsia" w:ascii="宋体" w:hAnsi="宋体" w:cs="宋体"/>
                <w:color w:val="auto"/>
                <w:szCs w:val="21"/>
              </w:rPr>
              <w:t>数据融合能力建设方案</w:t>
            </w:r>
          </w:p>
          <w:p>
            <w:pPr>
              <w:ind w:firstLine="28" w:firstLineChars="0"/>
              <w:jc w:val="center"/>
              <w:rPr>
                <w:rFonts w:ascii="宋体" w:hAnsi="宋体" w:cs="宋体"/>
                <w:color w:val="auto"/>
                <w:szCs w:val="21"/>
              </w:rPr>
            </w:pPr>
            <w:r>
              <w:rPr>
                <w:rFonts w:hint="eastAsia" w:ascii="宋体" w:hAnsi="宋体" w:cs="宋体"/>
                <w:bCs/>
                <w:color w:val="auto"/>
                <w:szCs w:val="21"/>
              </w:rPr>
              <w:t>8分</w:t>
            </w:r>
          </w:p>
        </w:tc>
        <w:tc>
          <w:tcPr>
            <w:tcW w:w="3249" w:type="dxa"/>
            <w:noWrap w:val="0"/>
            <w:vAlign w:val="center"/>
          </w:tcPr>
          <w:p>
            <w:pPr>
              <w:ind w:firstLine="28"/>
              <w:jc w:val="left"/>
              <w:rPr>
                <w:rFonts w:ascii="宋体" w:hAnsi="宋体" w:cs="宋体"/>
                <w:b/>
                <w:color w:val="auto"/>
                <w:szCs w:val="21"/>
              </w:rPr>
            </w:pPr>
            <w:r>
              <w:rPr>
                <w:rFonts w:hint="eastAsia" w:ascii="宋体" w:hAnsi="宋体" w:cs="宋体"/>
                <w:b/>
                <w:color w:val="auto"/>
                <w:szCs w:val="21"/>
              </w:rPr>
              <w:t>对数据协同管理能力、地名地址语义融合能力、领域实体数据融合治理能力、运营监管能力等方案描述程度进行综合评分：</w:t>
            </w:r>
          </w:p>
          <w:p>
            <w:pPr>
              <w:jc w:val="left"/>
              <w:rPr>
                <w:rFonts w:ascii="宋体" w:hAnsi="宋体" w:cs="宋体"/>
                <w:bCs/>
                <w:color w:val="auto"/>
                <w:szCs w:val="21"/>
              </w:rPr>
            </w:pPr>
            <w:r>
              <w:rPr>
                <w:rFonts w:hint="eastAsia" w:ascii="宋体" w:hAnsi="宋体" w:cs="宋体"/>
                <w:bCs/>
                <w:color w:val="auto"/>
                <w:szCs w:val="21"/>
              </w:rPr>
              <w:t>（1）方案</w:t>
            </w:r>
            <w:r>
              <w:rPr>
                <w:rFonts w:hint="eastAsia" w:ascii="宋体" w:hAnsi="宋体" w:cs="宋体"/>
                <w:bCs/>
                <w:color w:val="auto"/>
                <w:szCs w:val="21"/>
                <w:lang w:val="en-US" w:eastAsia="zh-CN"/>
              </w:rPr>
              <w:t>具有</w:t>
            </w:r>
            <w:r>
              <w:rPr>
                <w:rFonts w:hint="eastAsia" w:ascii="宋体" w:hAnsi="宋体" w:cs="宋体"/>
                <w:bCs/>
                <w:color w:val="auto"/>
                <w:szCs w:val="21"/>
              </w:rPr>
              <w:t>科学性、前瞻性、完整性</w:t>
            </w:r>
            <w:r>
              <w:rPr>
                <w:rFonts w:hint="eastAsia" w:ascii="宋体" w:hAnsi="宋体" w:cs="宋体"/>
                <w:bCs/>
                <w:color w:val="auto"/>
                <w:szCs w:val="21"/>
                <w:lang w:eastAsia="zh-CN"/>
              </w:rPr>
              <w:t>，</w:t>
            </w:r>
            <w:r>
              <w:rPr>
                <w:rFonts w:hint="eastAsia" w:ascii="宋体" w:hAnsi="宋体" w:cs="宋体"/>
                <w:bCs/>
                <w:color w:val="auto"/>
                <w:szCs w:val="21"/>
                <w:lang w:val="en-US" w:eastAsia="zh-CN"/>
              </w:rPr>
              <w:t>完全可行</w:t>
            </w:r>
            <w:r>
              <w:rPr>
                <w:rFonts w:hint="eastAsia" w:ascii="宋体" w:hAnsi="宋体" w:cs="宋体"/>
                <w:bCs/>
                <w:color w:val="auto"/>
                <w:szCs w:val="21"/>
              </w:rPr>
              <w:t>的得8分；</w:t>
            </w:r>
          </w:p>
          <w:p>
            <w:pPr>
              <w:jc w:val="left"/>
              <w:rPr>
                <w:rFonts w:ascii="宋体" w:hAnsi="宋体" w:cs="宋体"/>
                <w:bCs/>
                <w:color w:val="auto"/>
                <w:szCs w:val="21"/>
              </w:rPr>
            </w:pPr>
            <w:r>
              <w:rPr>
                <w:rFonts w:hint="eastAsia" w:ascii="宋体" w:hAnsi="宋体" w:cs="宋体"/>
                <w:bCs/>
                <w:color w:val="auto"/>
                <w:szCs w:val="21"/>
              </w:rPr>
              <w:t>（2）方案</w:t>
            </w:r>
            <w:r>
              <w:rPr>
                <w:rFonts w:hint="eastAsia" w:ascii="宋体" w:hAnsi="宋体" w:cs="宋体"/>
                <w:bCs/>
                <w:color w:val="auto"/>
                <w:szCs w:val="21"/>
                <w:lang w:val="en-US" w:eastAsia="zh-CN"/>
              </w:rPr>
              <w:t>基本科学</w:t>
            </w:r>
            <w:r>
              <w:rPr>
                <w:rFonts w:hint="eastAsia" w:ascii="宋体" w:hAnsi="宋体" w:cs="宋体"/>
                <w:bCs/>
                <w:color w:val="auto"/>
                <w:szCs w:val="21"/>
                <w:lang w:eastAsia="zh-CN"/>
              </w:rPr>
              <w:t>，</w:t>
            </w:r>
            <w:r>
              <w:rPr>
                <w:rFonts w:hint="eastAsia" w:ascii="宋体" w:hAnsi="宋体" w:cs="宋体"/>
                <w:bCs/>
                <w:color w:val="auto"/>
                <w:szCs w:val="21"/>
                <w:lang w:val="en-US" w:eastAsia="zh-CN"/>
              </w:rPr>
              <w:t>具有</w:t>
            </w:r>
            <w:r>
              <w:rPr>
                <w:rFonts w:hint="eastAsia" w:ascii="宋体" w:hAnsi="宋体" w:cs="宋体"/>
                <w:bCs/>
                <w:color w:val="auto"/>
                <w:szCs w:val="21"/>
              </w:rPr>
              <w:t>前瞻性、完整性、</w:t>
            </w:r>
            <w:r>
              <w:rPr>
                <w:rFonts w:hint="eastAsia" w:ascii="宋体" w:hAnsi="宋体" w:cs="宋体"/>
                <w:bCs/>
                <w:color w:val="auto"/>
                <w:szCs w:val="21"/>
                <w:lang w:val="en-US" w:eastAsia="zh-CN"/>
              </w:rPr>
              <w:t>基本可行</w:t>
            </w:r>
            <w:r>
              <w:rPr>
                <w:rFonts w:hint="eastAsia" w:ascii="宋体" w:hAnsi="宋体" w:cs="宋体"/>
                <w:bCs/>
                <w:color w:val="auto"/>
                <w:szCs w:val="21"/>
              </w:rPr>
              <w:t>的得6分；</w:t>
            </w:r>
          </w:p>
          <w:p>
            <w:pPr>
              <w:pStyle w:val="23"/>
              <w:jc w:val="left"/>
              <w:rPr>
                <w:rFonts w:ascii="宋体" w:hAnsi="宋体" w:eastAsia="宋体" w:cs="宋体"/>
                <w:bCs/>
                <w:color w:val="auto"/>
                <w:szCs w:val="21"/>
              </w:rPr>
            </w:pPr>
            <w:r>
              <w:rPr>
                <w:rFonts w:hint="eastAsia" w:ascii="宋体" w:hAnsi="宋体" w:eastAsia="宋体" w:cs="宋体"/>
                <w:bCs/>
                <w:color w:val="auto"/>
                <w:szCs w:val="21"/>
              </w:rPr>
              <w:t>（3）方案</w:t>
            </w:r>
            <w:r>
              <w:rPr>
                <w:rFonts w:hint="eastAsia" w:ascii="宋体" w:hAnsi="宋体" w:eastAsia="宋体" w:cs="宋体"/>
                <w:bCs/>
                <w:color w:val="auto"/>
                <w:szCs w:val="21"/>
                <w:lang w:val="en-US" w:eastAsia="zh-CN"/>
              </w:rPr>
              <w:t>不够</w:t>
            </w:r>
            <w:r>
              <w:rPr>
                <w:rFonts w:hint="eastAsia" w:ascii="宋体" w:hAnsi="宋体" w:eastAsia="宋体" w:cs="宋体"/>
                <w:bCs/>
                <w:color w:val="auto"/>
                <w:szCs w:val="21"/>
              </w:rPr>
              <w:t>科学</w:t>
            </w:r>
            <w:r>
              <w:rPr>
                <w:rFonts w:hint="eastAsia" w:ascii="宋体" w:hAnsi="宋体" w:eastAsia="宋体" w:cs="宋体"/>
                <w:bCs/>
                <w:color w:val="auto"/>
                <w:szCs w:val="21"/>
                <w:lang w:eastAsia="zh-CN"/>
              </w:rPr>
              <w:t>，</w:t>
            </w:r>
            <w:r>
              <w:rPr>
                <w:rFonts w:hint="eastAsia" w:ascii="宋体" w:hAnsi="宋体" w:eastAsia="宋体" w:cs="宋体"/>
                <w:bCs/>
                <w:color w:val="auto"/>
                <w:szCs w:val="21"/>
              </w:rPr>
              <w:t>前瞻性、完整性、可行性一般的得4分；</w:t>
            </w:r>
          </w:p>
          <w:p>
            <w:pPr>
              <w:jc w:val="left"/>
              <w:rPr>
                <w:rFonts w:ascii="宋体" w:hAnsi="宋体" w:cs="宋体"/>
                <w:bCs/>
                <w:color w:val="auto"/>
                <w:szCs w:val="21"/>
              </w:rPr>
            </w:pPr>
            <w:r>
              <w:rPr>
                <w:rFonts w:hint="eastAsia" w:ascii="宋体" w:hAnsi="宋体" w:cs="宋体"/>
                <w:bCs/>
                <w:color w:val="auto"/>
                <w:szCs w:val="21"/>
              </w:rPr>
              <w:t>（4）方案</w:t>
            </w:r>
            <w:r>
              <w:rPr>
                <w:rFonts w:hint="eastAsia" w:ascii="宋体" w:hAnsi="宋体" w:cs="宋体"/>
                <w:bCs/>
                <w:color w:val="auto"/>
                <w:szCs w:val="21"/>
                <w:lang w:val="en-US" w:eastAsia="zh-CN"/>
              </w:rPr>
              <w:t>严重欠缺，</w:t>
            </w:r>
            <w:r>
              <w:rPr>
                <w:rFonts w:hint="eastAsia" w:ascii="宋体" w:hAnsi="宋体" w:cs="宋体"/>
                <w:bCs/>
                <w:color w:val="auto"/>
                <w:szCs w:val="21"/>
              </w:rPr>
              <w:t>科学性、前瞻性、完整性、可行性部分满足招标文件要求的得2分；</w:t>
            </w:r>
          </w:p>
          <w:p>
            <w:pPr>
              <w:ind w:firstLine="28" w:firstLineChars="0"/>
              <w:jc w:val="left"/>
              <w:rPr>
                <w:color w:val="auto"/>
              </w:rPr>
            </w:pPr>
            <w:r>
              <w:rPr>
                <w:rFonts w:hint="eastAsia" w:ascii="宋体" w:hAnsi="宋体" w:cs="宋体"/>
                <w:bCs/>
                <w:color w:val="auto"/>
                <w:szCs w:val="21"/>
              </w:rPr>
              <w:t>（5）不提供不得分。</w:t>
            </w:r>
          </w:p>
        </w:tc>
        <w:tc>
          <w:tcPr>
            <w:tcW w:w="1993" w:type="dxa"/>
            <w:noWrap w:val="0"/>
            <w:vAlign w:val="center"/>
          </w:tcPr>
          <w:p>
            <w:pPr>
              <w:pStyle w:val="247"/>
              <w:spacing w:before="0" w:after="0"/>
              <w:rPr>
                <w:rFonts w:hint="eastAsia" w:ascii="宋体" w:hAnsi="宋体" w:eastAsia="宋体" w:cs="宋体"/>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97" w:hRule="atLeast"/>
        </w:trPr>
        <w:tc>
          <w:tcPr>
            <w:tcW w:w="682" w:type="dxa"/>
            <w:vMerge w:val="continue"/>
            <w:noWrap w:val="0"/>
            <w:vAlign w:val="center"/>
          </w:tcPr>
          <w:p>
            <w:pPr>
              <w:spacing w:line="360" w:lineRule="auto"/>
              <w:ind w:firstLine="28"/>
              <w:jc w:val="center"/>
              <w:rPr>
                <w:rFonts w:hint="eastAsia" w:ascii="宋体" w:hAnsi="宋体" w:cs="宋体"/>
                <w:color w:val="auto"/>
                <w:szCs w:val="21"/>
              </w:rPr>
            </w:pPr>
          </w:p>
        </w:tc>
        <w:tc>
          <w:tcPr>
            <w:tcW w:w="747" w:type="dxa"/>
            <w:vMerge w:val="continue"/>
            <w:noWrap w:val="0"/>
            <w:vAlign w:val="center"/>
          </w:tcPr>
          <w:p>
            <w:pPr>
              <w:spacing w:line="360" w:lineRule="auto"/>
              <w:ind w:firstLine="28"/>
              <w:jc w:val="center"/>
              <w:rPr>
                <w:rFonts w:hint="eastAsia" w:ascii="宋体" w:hAnsi="宋体" w:cs="宋体"/>
                <w:color w:val="auto"/>
                <w:szCs w:val="21"/>
              </w:rPr>
            </w:pPr>
          </w:p>
        </w:tc>
        <w:tc>
          <w:tcPr>
            <w:tcW w:w="2387" w:type="dxa"/>
            <w:noWrap w:val="0"/>
            <w:vAlign w:val="center"/>
          </w:tcPr>
          <w:p>
            <w:pPr>
              <w:ind w:firstLine="28" w:firstLineChars="0"/>
              <w:jc w:val="center"/>
              <w:rPr>
                <w:rFonts w:ascii="宋体" w:hAnsi="宋体" w:cs="宋体"/>
                <w:color w:val="auto"/>
                <w:szCs w:val="21"/>
              </w:rPr>
            </w:pPr>
            <w:r>
              <w:rPr>
                <w:rFonts w:hint="eastAsia" w:ascii="宋体" w:hAnsi="宋体" w:cs="宋体"/>
                <w:color w:val="auto"/>
                <w:szCs w:val="21"/>
              </w:rPr>
              <w:t>多源信息融合可视化能力建设方案</w:t>
            </w:r>
            <w:r>
              <w:rPr>
                <w:rFonts w:hint="eastAsia" w:ascii="宋体" w:hAnsi="宋体" w:cs="宋体"/>
                <w:bCs/>
                <w:color w:val="auto"/>
                <w:szCs w:val="21"/>
              </w:rPr>
              <w:t>8分</w:t>
            </w:r>
          </w:p>
        </w:tc>
        <w:tc>
          <w:tcPr>
            <w:tcW w:w="3249" w:type="dxa"/>
            <w:noWrap w:val="0"/>
            <w:vAlign w:val="center"/>
          </w:tcPr>
          <w:p>
            <w:pPr>
              <w:ind w:firstLine="28"/>
              <w:jc w:val="left"/>
              <w:rPr>
                <w:rFonts w:ascii="宋体" w:hAnsi="宋体" w:cs="宋体"/>
                <w:b/>
                <w:color w:val="auto"/>
                <w:szCs w:val="21"/>
              </w:rPr>
            </w:pPr>
            <w:r>
              <w:rPr>
                <w:rFonts w:hint="eastAsia" w:ascii="宋体" w:hAnsi="宋体" w:cs="宋体"/>
                <w:b/>
                <w:color w:val="auto"/>
                <w:szCs w:val="21"/>
              </w:rPr>
              <w:t>对</w:t>
            </w:r>
            <w:r>
              <w:rPr>
                <w:rFonts w:hint="eastAsia" w:ascii="宋体" w:hAnsi="宋体"/>
                <w:b/>
                <w:color w:val="auto"/>
              </w:rPr>
              <w:t>高渲染地图可视化、二三维数据融合可视化、多尺度数据融合可视化、三维场景SDK、人口接入融合SDK、语义检索融合分析SDK和城市三维模型数据融合服务</w:t>
            </w:r>
            <w:r>
              <w:rPr>
                <w:rFonts w:hint="eastAsia" w:ascii="宋体" w:hAnsi="宋体" w:cs="宋体"/>
                <w:b/>
                <w:color w:val="auto"/>
                <w:szCs w:val="21"/>
              </w:rPr>
              <w:t>等方案描述程度进行综合评分：</w:t>
            </w:r>
          </w:p>
          <w:p>
            <w:pPr>
              <w:jc w:val="left"/>
              <w:rPr>
                <w:rFonts w:ascii="宋体" w:hAnsi="宋体" w:cs="宋体"/>
                <w:bCs/>
                <w:color w:val="auto"/>
                <w:szCs w:val="21"/>
              </w:rPr>
            </w:pPr>
            <w:r>
              <w:rPr>
                <w:rFonts w:hint="eastAsia" w:ascii="宋体" w:hAnsi="宋体" w:cs="宋体"/>
                <w:bCs/>
                <w:color w:val="auto"/>
                <w:szCs w:val="21"/>
              </w:rPr>
              <w:t>（1）方案</w:t>
            </w:r>
            <w:r>
              <w:rPr>
                <w:rFonts w:hint="eastAsia" w:ascii="宋体" w:hAnsi="宋体" w:cs="宋体"/>
                <w:bCs/>
                <w:color w:val="auto"/>
                <w:szCs w:val="21"/>
                <w:lang w:val="en-US" w:eastAsia="zh-CN"/>
              </w:rPr>
              <w:t>具有</w:t>
            </w:r>
            <w:r>
              <w:rPr>
                <w:rFonts w:hint="eastAsia" w:ascii="宋体" w:hAnsi="宋体" w:cs="宋体"/>
                <w:bCs/>
                <w:color w:val="auto"/>
                <w:szCs w:val="21"/>
              </w:rPr>
              <w:t>科学性、前瞻性、完整性</w:t>
            </w:r>
            <w:r>
              <w:rPr>
                <w:rFonts w:hint="eastAsia" w:ascii="宋体" w:hAnsi="宋体" w:cs="宋体"/>
                <w:bCs/>
                <w:color w:val="auto"/>
                <w:szCs w:val="21"/>
                <w:lang w:eastAsia="zh-CN"/>
              </w:rPr>
              <w:t>，</w:t>
            </w:r>
            <w:r>
              <w:rPr>
                <w:rFonts w:hint="eastAsia" w:ascii="宋体" w:hAnsi="宋体" w:cs="宋体"/>
                <w:bCs/>
                <w:color w:val="auto"/>
                <w:szCs w:val="21"/>
                <w:lang w:val="en-US" w:eastAsia="zh-CN"/>
              </w:rPr>
              <w:t>完全可行</w:t>
            </w:r>
            <w:r>
              <w:rPr>
                <w:rFonts w:hint="eastAsia" w:ascii="宋体" w:hAnsi="宋体" w:cs="宋体"/>
                <w:bCs/>
                <w:color w:val="auto"/>
                <w:szCs w:val="21"/>
              </w:rPr>
              <w:t>的得8分；</w:t>
            </w:r>
          </w:p>
          <w:p>
            <w:pPr>
              <w:jc w:val="left"/>
              <w:rPr>
                <w:rFonts w:ascii="宋体" w:hAnsi="宋体" w:cs="宋体"/>
                <w:bCs/>
                <w:color w:val="auto"/>
                <w:szCs w:val="21"/>
              </w:rPr>
            </w:pPr>
            <w:r>
              <w:rPr>
                <w:rFonts w:hint="eastAsia" w:ascii="宋体" w:hAnsi="宋体" w:cs="宋体"/>
                <w:bCs/>
                <w:color w:val="auto"/>
                <w:szCs w:val="21"/>
              </w:rPr>
              <w:t>（2）方案</w:t>
            </w:r>
            <w:r>
              <w:rPr>
                <w:rFonts w:hint="eastAsia" w:ascii="宋体" w:hAnsi="宋体" w:cs="宋体"/>
                <w:bCs/>
                <w:color w:val="auto"/>
                <w:szCs w:val="21"/>
                <w:lang w:val="en-US" w:eastAsia="zh-CN"/>
              </w:rPr>
              <w:t>基本科学</w:t>
            </w:r>
            <w:r>
              <w:rPr>
                <w:rFonts w:hint="eastAsia" w:ascii="宋体" w:hAnsi="宋体" w:cs="宋体"/>
                <w:bCs/>
                <w:color w:val="auto"/>
                <w:szCs w:val="21"/>
                <w:lang w:eastAsia="zh-CN"/>
              </w:rPr>
              <w:t>，</w:t>
            </w:r>
            <w:r>
              <w:rPr>
                <w:rFonts w:hint="eastAsia" w:ascii="宋体" w:hAnsi="宋体" w:cs="宋体"/>
                <w:bCs/>
                <w:color w:val="auto"/>
                <w:szCs w:val="21"/>
                <w:lang w:val="en-US" w:eastAsia="zh-CN"/>
              </w:rPr>
              <w:t>具有</w:t>
            </w:r>
            <w:r>
              <w:rPr>
                <w:rFonts w:hint="eastAsia" w:ascii="宋体" w:hAnsi="宋体" w:cs="宋体"/>
                <w:bCs/>
                <w:color w:val="auto"/>
                <w:szCs w:val="21"/>
              </w:rPr>
              <w:t>前瞻性、完整性、</w:t>
            </w:r>
            <w:r>
              <w:rPr>
                <w:rFonts w:hint="eastAsia" w:ascii="宋体" w:hAnsi="宋体" w:cs="宋体"/>
                <w:bCs/>
                <w:color w:val="auto"/>
                <w:szCs w:val="21"/>
                <w:lang w:val="en-US" w:eastAsia="zh-CN"/>
              </w:rPr>
              <w:t>基本可行</w:t>
            </w:r>
            <w:r>
              <w:rPr>
                <w:rFonts w:hint="eastAsia" w:ascii="宋体" w:hAnsi="宋体" w:cs="宋体"/>
                <w:bCs/>
                <w:color w:val="auto"/>
                <w:szCs w:val="21"/>
              </w:rPr>
              <w:t>的得6分；</w:t>
            </w:r>
          </w:p>
          <w:p>
            <w:pPr>
              <w:pStyle w:val="23"/>
              <w:jc w:val="left"/>
              <w:rPr>
                <w:rFonts w:ascii="宋体" w:hAnsi="宋体" w:eastAsia="宋体" w:cs="宋体"/>
                <w:bCs/>
                <w:color w:val="auto"/>
                <w:szCs w:val="21"/>
              </w:rPr>
            </w:pPr>
            <w:r>
              <w:rPr>
                <w:rFonts w:hint="eastAsia" w:ascii="宋体" w:hAnsi="宋体" w:eastAsia="宋体" w:cs="宋体"/>
                <w:bCs/>
                <w:color w:val="auto"/>
                <w:szCs w:val="21"/>
              </w:rPr>
              <w:t>（3）方案</w:t>
            </w:r>
            <w:r>
              <w:rPr>
                <w:rFonts w:hint="eastAsia" w:ascii="宋体" w:hAnsi="宋体" w:eastAsia="宋体" w:cs="宋体"/>
                <w:bCs/>
                <w:color w:val="auto"/>
                <w:szCs w:val="21"/>
                <w:lang w:val="en-US" w:eastAsia="zh-CN"/>
              </w:rPr>
              <w:t>不够</w:t>
            </w:r>
            <w:r>
              <w:rPr>
                <w:rFonts w:hint="eastAsia" w:ascii="宋体" w:hAnsi="宋体" w:eastAsia="宋体" w:cs="宋体"/>
                <w:bCs/>
                <w:color w:val="auto"/>
                <w:szCs w:val="21"/>
              </w:rPr>
              <w:t>科学</w:t>
            </w:r>
            <w:r>
              <w:rPr>
                <w:rFonts w:hint="eastAsia" w:ascii="宋体" w:hAnsi="宋体" w:eastAsia="宋体" w:cs="宋体"/>
                <w:bCs/>
                <w:color w:val="auto"/>
                <w:szCs w:val="21"/>
                <w:lang w:eastAsia="zh-CN"/>
              </w:rPr>
              <w:t>，</w:t>
            </w:r>
            <w:r>
              <w:rPr>
                <w:rFonts w:hint="eastAsia" w:ascii="宋体" w:hAnsi="宋体" w:eastAsia="宋体" w:cs="宋体"/>
                <w:bCs/>
                <w:color w:val="auto"/>
                <w:szCs w:val="21"/>
              </w:rPr>
              <w:t>前瞻性、完整性、可行性一般的得4分；</w:t>
            </w:r>
          </w:p>
          <w:p>
            <w:pPr>
              <w:jc w:val="left"/>
              <w:rPr>
                <w:rFonts w:ascii="宋体" w:hAnsi="宋体" w:cs="宋体"/>
                <w:bCs/>
                <w:color w:val="auto"/>
                <w:szCs w:val="21"/>
              </w:rPr>
            </w:pPr>
            <w:r>
              <w:rPr>
                <w:rFonts w:hint="eastAsia" w:ascii="宋体" w:hAnsi="宋体" w:cs="宋体"/>
                <w:bCs/>
                <w:color w:val="auto"/>
                <w:szCs w:val="21"/>
              </w:rPr>
              <w:t>（4）方案</w:t>
            </w:r>
            <w:r>
              <w:rPr>
                <w:rFonts w:hint="eastAsia" w:ascii="宋体" w:hAnsi="宋体" w:cs="宋体"/>
                <w:bCs/>
                <w:color w:val="auto"/>
                <w:szCs w:val="21"/>
                <w:lang w:val="en-US" w:eastAsia="zh-CN"/>
              </w:rPr>
              <w:t>严重欠缺，</w:t>
            </w:r>
            <w:r>
              <w:rPr>
                <w:rFonts w:hint="eastAsia" w:ascii="宋体" w:hAnsi="宋体" w:cs="宋体"/>
                <w:bCs/>
                <w:color w:val="auto"/>
                <w:szCs w:val="21"/>
              </w:rPr>
              <w:t>科学性、前瞻性、完整性、可行性部分满足招标文件要求的得2分；</w:t>
            </w:r>
          </w:p>
          <w:p>
            <w:pPr>
              <w:pStyle w:val="23"/>
              <w:rPr>
                <w:color w:val="auto"/>
              </w:rPr>
            </w:pPr>
            <w:r>
              <w:rPr>
                <w:rFonts w:hint="eastAsia" w:ascii="宋体" w:hAnsi="宋体" w:cs="宋体"/>
                <w:bCs/>
                <w:color w:val="auto"/>
                <w:szCs w:val="21"/>
              </w:rPr>
              <w:t>（5）不提供不得分。</w:t>
            </w:r>
          </w:p>
        </w:tc>
        <w:tc>
          <w:tcPr>
            <w:tcW w:w="1993" w:type="dxa"/>
            <w:noWrap w:val="0"/>
            <w:vAlign w:val="center"/>
          </w:tcPr>
          <w:p>
            <w:pPr>
              <w:pStyle w:val="247"/>
              <w:spacing w:before="0" w:after="0"/>
              <w:rPr>
                <w:rFonts w:hint="eastAsia" w:ascii="宋体" w:hAnsi="宋体" w:eastAsia="宋体" w:cs="宋体"/>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682" w:type="dxa"/>
            <w:vMerge w:val="continue"/>
            <w:noWrap w:val="0"/>
            <w:vAlign w:val="center"/>
          </w:tcPr>
          <w:p>
            <w:pPr>
              <w:spacing w:line="360" w:lineRule="auto"/>
              <w:ind w:firstLine="28"/>
              <w:jc w:val="center"/>
              <w:rPr>
                <w:rFonts w:hint="eastAsia" w:ascii="宋体" w:hAnsi="宋体" w:cs="宋体"/>
                <w:color w:val="auto"/>
                <w:szCs w:val="21"/>
              </w:rPr>
            </w:pPr>
          </w:p>
        </w:tc>
        <w:tc>
          <w:tcPr>
            <w:tcW w:w="747" w:type="dxa"/>
            <w:vMerge w:val="continue"/>
            <w:noWrap w:val="0"/>
            <w:vAlign w:val="center"/>
          </w:tcPr>
          <w:p>
            <w:pPr>
              <w:spacing w:line="360" w:lineRule="auto"/>
              <w:ind w:firstLine="28"/>
              <w:jc w:val="center"/>
              <w:rPr>
                <w:rFonts w:hint="eastAsia" w:ascii="宋体" w:hAnsi="宋体" w:cs="宋体"/>
                <w:color w:val="auto"/>
                <w:szCs w:val="21"/>
              </w:rPr>
            </w:pPr>
          </w:p>
        </w:tc>
        <w:tc>
          <w:tcPr>
            <w:tcW w:w="2387" w:type="dxa"/>
            <w:noWrap w:val="0"/>
            <w:vAlign w:val="center"/>
          </w:tcPr>
          <w:p>
            <w:pPr>
              <w:ind w:firstLine="210" w:firstLineChars="100"/>
              <w:jc w:val="center"/>
              <w:rPr>
                <w:rFonts w:ascii="宋体" w:hAnsi="宋体" w:cs="宋体"/>
                <w:color w:val="auto"/>
                <w:szCs w:val="21"/>
              </w:rPr>
            </w:pPr>
            <w:r>
              <w:rPr>
                <w:rFonts w:hint="eastAsia"/>
                <w:color w:val="auto"/>
              </w:rPr>
              <w:t>地名地址语义关系库建设方案</w:t>
            </w:r>
            <w:r>
              <w:rPr>
                <w:rFonts w:hint="eastAsia" w:ascii="宋体" w:hAnsi="宋体" w:cs="宋体"/>
                <w:bCs/>
                <w:color w:val="auto"/>
                <w:szCs w:val="21"/>
              </w:rPr>
              <w:t>8分</w:t>
            </w:r>
          </w:p>
        </w:tc>
        <w:tc>
          <w:tcPr>
            <w:tcW w:w="3249" w:type="dxa"/>
            <w:noWrap w:val="0"/>
            <w:vAlign w:val="center"/>
          </w:tcPr>
          <w:p>
            <w:pPr>
              <w:jc w:val="left"/>
              <w:rPr>
                <w:rFonts w:hint="eastAsia" w:ascii="宋体" w:hAnsi="宋体" w:cs="宋体"/>
                <w:bCs/>
                <w:color w:val="auto"/>
                <w:szCs w:val="21"/>
              </w:rPr>
            </w:pPr>
            <w:r>
              <w:rPr>
                <w:rFonts w:hint="eastAsia" w:ascii="宋体" w:hAnsi="宋体" w:cs="宋体"/>
                <w:bCs/>
                <w:color w:val="auto"/>
                <w:szCs w:val="21"/>
              </w:rPr>
              <w:t>对语义地址数据预处理服务、建立户室地址语义库、建立一址多义语义库和建立实体与地址的语义库等方案描述程度进行综合评分：</w:t>
            </w:r>
          </w:p>
          <w:p>
            <w:pPr>
              <w:jc w:val="left"/>
              <w:rPr>
                <w:rFonts w:ascii="宋体" w:hAnsi="宋体" w:cs="宋体"/>
                <w:bCs/>
                <w:color w:val="auto"/>
                <w:szCs w:val="21"/>
              </w:rPr>
            </w:pPr>
            <w:r>
              <w:rPr>
                <w:rFonts w:hint="eastAsia" w:ascii="宋体" w:hAnsi="宋体" w:cs="宋体"/>
                <w:bCs/>
                <w:color w:val="auto"/>
                <w:szCs w:val="21"/>
              </w:rPr>
              <w:t>（1）方案</w:t>
            </w:r>
            <w:r>
              <w:rPr>
                <w:rFonts w:hint="eastAsia" w:ascii="宋体" w:hAnsi="宋体" w:cs="宋体"/>
                <w:bCs/>
                <w:color w:val="auto"/>
                <w:szCs w:val="21"/>
                <w:lang w:val="en-US" w:eastAsia="zh-CN"/>
              </w:rPr>
              <w:t>具有</w:t>
            </w:r>
            <w:r>
              <w:rPr>
                <w:rFonts w:hint="eastAsia" w:ascii="宋体" w:hAnsi="宋体" w:cs="宋体"/>
                <w:bCs/>
                <w:color w:val="auto"/>
                <w:szCs w:val="21"/>
              </w:rPr>
              <w:t>科学性、前瞻性、完整性</w:t>
            </w:r>
            <w:r>
              <w:rPr>
                <w:rFonts w:hint="eastAsia" w:ascii="宋体" w:hAnsi="宋体" w:cs="宋体"/>
                <w:bCs/>
                <w:color w:val="auto"/>
                <w:szCs w:val="21"/>
                <w:lang w:eastAsia="zh-CN"/>
              </w:rPr>
              <w:t>，</w:t>
            </w:r>
            <w:r>
              <w:rPr>
                <w:rFonts w:hint="eastAsia" w:ascii="宋体" w:hAnsi="宋体" w:cs="宋体"/>
                <w:bCs/>
                <w:color w:val="auto"/>
                <w:szCs w:val="21"/>
                <w:lang w:val="en-US" w:eastAsia="zh-CN"/>
              </w:rPr>
              <w:t>完全可行</w:t>
            </w:r>
            <w:r>
              <w:rPr>
                <w:rFonts w:hint="eastAsia" w:ascii="宋体" w:hAnsi="宋体" w:cs="宋体"/>
                <w:bCs/>
                <w:color w:val="auto"/>
                <w:szCs w:val="21"/>
              </w:rPr>
              <w:t>的得8分；</w:t>
            </w:r>
          </w:p>
          <w:p>
            <w:pPr>
              <w:jc w:val="left"/>
              <w:rPr>
                <w:rFonts w:ascii="宋体" w:hAnsi="宋体" w:cs="宋体"/>
                <w:bCs/>
                <w:color w:val="auto"/>
                <w:szCs w:val="21"/>
              </w:rPr>
            </w:pPr>
            <w:r>
              <w:rPr>
                <w:rFonts w:hint="eastAsia" w:ascii="宋体" w:hAnsi="宋体" w:cs="宋体"/>
                <w:bCs/>
                <w:color w:val="auto"/>
                <w:szCs w:val="21"/>
              </w:rPr>
              <w:t>（2）方案</w:t>
            </w:r>
            <w:r>
              <w:rPr>
                <w:rFonts w:hint="eastAsia" w:ascii="宋体" w:hAnsi="宋体" w:cs="宋体"/>
                <w:bCs/>
                <w:color w:val="auto"/>
                <w:szCs w:val="21"/>
                <w:lang w:val="en-US" w:eastAsia="zh-CN"/>
              </w:rPr>
              <w:t>基本科学</w:t>
            </w:r>
            <w:r>
              <w:rPr>
                <w:rFonts w:hint="eastAsia" w:ascii="宋体" w:hAnsi="宋体" w:cs="宋体"/>
                <w:bCs/>
                <w:color w:val="auto"/>
                <w:szCs w:val="21"/>
                <w:lang w:eastAsia="zh-CN"/>
              </w:rPr>
              <w:t>，</w:t>
            </w:r>
            <w:r>
              <w:rPr>
                <w:rFonts w:hint="eastAsia" w:ascii="宋体" w:hAnsi="宋体" w:cs="宋体"/>
                <w:bCs/>
                <w:color w:val="auto"/>
                <w:szCs w:val="21"/>
                <w:lang w:val="en-US" w:eastAsia="zh-CN"/>
              </w:rPr>
              <w:t>具有</w:t>
            </w:r>
            <w:r>
              <w:rPr>
                <w:rFonts w:hint="eastAsia" w:ascii="宋体" w:hAnsi="宋体" w:cs="宋体"/>
                <w:bCs/>
                <w:color w:val="auto"/>
                <w:szCs w:val="21"/>
              </w:rPr>
              <w:t>前瞻性、完整性、</w:t>
            </w:r>
            <w:r>
              <w:rPr>
                <w:rFonts w:hint="eastAsia" w:ascii="宋体" w:hAnsi="宋体" w:cs="宋体"/>
                <w:bCs/>
                <w:color w:val="auto"/>
                <w:szCs w:val="21"/>
                <w:lang w:val="en-US" w:eastAsia="zh-CN"/>
              </w:rPr>
              <w:t>基本可行</w:t>
            </w:r>
            <w:r>
              <w:rPr>
                <w:rFonts w:hint="eastAsia" w:ascii="宋体" w:hAnsi="宋体" w:cs="宋体"/>
                <w:bCs/>
                <w:color w:val="auto"/>
                <w:szCs w:val="21"/>
              </w:rPr>
              <w:t>的得6分；</w:t>
            </w:r>
          </w:p>
          <w:p>
            <w:pPr>
              <w:jc w:val="left"/>
              <w:rPr>
                <w:rFonts w:ascii="宋体" w:hAnsi="宋体" w:eastAsia="宋体" w:cs="宋体"/>
                <w:bCs/>
                <w:color w:val="auto"/>
                <w:szCs w:val="21"/>
              </w:rPr>
            </w:pPr>
            <w:r>
              <w:rPr>
                <w:rFonts w:hint="eastAsia" w:ascii="宋体" w:hAnsi="宋体" w:eastAsia="宋体" w:cs="宋体"/>
                <w:bCs/>
                <w:color w:val="auto"/>
                <w:szCs w:val="21"/>
              </w:rPr>
              <w:t>（3）方案</w:t>
            </w:r>
            <w:r>
              <w:rPr>
                <w:rFonts w:hint="eastAsia" w:ascii="宋体" w:hAnsi="宋体" w:eastAsia="宋体" w:cs="宋体"/>
                <w:bCs/>
                <w:color w:val="auto"/>
                <w:szCs w:val="21"/>
                <w:lang w:val="en-US" w:eastAsia="zh-CN"/>
              </w:rPr>
              <w:t>不够</w:t>
            </w:r>
            <w:r>
              <w:rPr>
                <w:rFonts w:hint="eastAsia" w:ascii="宋体" w:hAnsi="宋体" w:eastAsia="宋体" w:cs="宋体"/>
                <w:bCs/>
                <w:color w:val="auto"/>
                <w:szCs w:val="21"/>
              </w:rPr>
              <w:t>科学</w:t>
            </w:r>
            <w:r>
              <w:rPr>
                <w:rFonts w:hint="eastAsia" w:ascii="宋体" w:hAnsi="宋体" w:eastAsia="宋体" w:cs="宋体"/>
                <w:bCs/>
                <w:color w:val="auto"/>
                <w:szCs w:val="21"/>
                <w:lang w:eastAsia="zh-CN"/>
              </w:rPr>
              <w:t>，</w:t>
            </w:r>
            <w:r>
              <w:rPr>
                <w:rFonts w:hint="eastAsia" w:ascii="宋体" w:hAnsi="宋体" w:eastAsia="宋体" w:cs="宋体"/>
                <w:bCs/>
                <w:color w:val="auto"/>
                <w:szCs w:val="21"/>
              </w:rPr>
              <w:t>前瞻性、完整性、可行性一般的得4分；</w:t>
            </w:r>
          </w:p>
          <w:p>
            <w:pPr>
              <w:jc w:val="left"/>
              <w:rPr>
                <w:rFonts w:ascii="宋体" w:hAnsi="宋体" w:cs="宋体"/>
                <w:bCs/>
                <w:color w:val="auto"/>
                <w:szCs w:val="21"/>
              </w:rPr>
            </w:pPr>
            <w:r>
              <w:rPr>
                <w:rFonts w:hint="eastAsia" w:ascii="宋体" w:hAnsi="宋体" w:cs="宋体"/>
                <w:bCs/>
                <w:color w:val="auto"/>
                <w:szCs w:val="21"/>
              </w:rPr>
              <w:t>（4）方案</w:t>
            </w:r>
            <w:r>
              <w:rPr>
                <w:rFonts w:hint="eastAsia" w:ascii="宋体" w:hAnsi="宋体" w:cs="宋体"/>
                <w:bCs/>
                <w:color w:val="auto"/>
                <w:szCs w:val="21"/>
                <w:lang w:val="en-US" w:eastAsia="zh-CN"/>
              </w:rPr>
              <w:t>严重欠缺，</w:t>
            </w:r>
            <w:r>
              <w:rPr>
                <w:rFonts w:hint="eastAsia" w:ascii="宋体" w:hAnsi="宋体" w:cs="宋体"/>
                <w:bCs/>
                <w:color w:val="auto"/>
                <w:szCs w:val="21"/>
              </w:rPr>
              <w:t>科学性、前瞻性、完整性、可行性部分满足招标文件要求的得2分；</w:t>
            </w:r>
          </w:p>
          <w:p>
            <w:pPr>
              <w:jc w:val="left"/>
              <w:rPr>
                <w:rFonts w:hint="eastAsia"/>
                <w:color w:val="auto"/>
              </w:rPr>
            </w:pPr>
            <w:r>
              <w:rPr>
                <w:rFonts w:hint="eastAsia" w:ascii="宋体" w:hAnsi="宋体" w:cs="宋体"/>
                <w:bCs/>
                <w:color w:val="auto"/>
                <w:szCs w:val="21"/>
              </w:rPr>
              <w:t>（5）不提供不得分。</w:t>
            </w:r>
          </w:p>
        </w:tc>
        <w:tc>
          <w:tcPr>
            <w:tcW w:w="1993" w:type="dxa"/>
            <w:noWrap w:val="0"/>
            <w:vAlign w:val="center"/>
          </w:tcPr>
          <w:p>
            <w:pPr>
              <w:pStyle w:val="247"/>
              <w:spacing w:before="0" w:after="0"/>
              <w:rPr>
                <w:rFonts w:hint="eastAsia" w:ascii="宋体" w:hAnsi="宋体" w:eastAsia="宋体" w:cs="宋体"/>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49" w:hRule="atLeast"/>
        </w:trPr>
        <w:tc>
          <w:tcPr>
            <w:tcW w:w="682" w:type="dxa"/>
            <w:vMerge w:val="continue"/>
            <w:noWrap w:val="0"/>
            <w:vAlign w:val="center"/>
          </w:tcPr>
          <w:p>
            <w:pPr>
              <w:spacing w:line="360" w:lineRule="auto"/>
              <w:ind w:firstLine="28"/>
              <w:jc w:val="center"/>
              <w:rPr>
                <w:rFonts w:hint="eastAsia" w:ascii="宋体" w:hAnsi="宋体" w:cs="宋体"/>
                <w:color w:val="auto"/>
                <w:szCs w:val="21"/>
              </w:rPr>
            </w:pPr>
          </w:p>
        </w:tc>
        <w:tc>
          <w:tcPr>
            <w:tcW w:w="747" w:type="dxa"/>
            <w:vMerge w:val="continue"/>
            <w:noWrap w:val="0"/>
            <w:vAlign w:val="center"/>
          </w:tcPr>
          <w:p>
            <w:pPr>
              <w:spacing w:line="360" w:lineRule="auto"/>
              <w:ind w:firstLine="28"/>
              <w:jc w:val="center"/>
              <w:rPr>
                <w:rFonts w:hint="eastAsia" w:ascii="宋体" w:hAnsi="宋体" w:cs="宋体"/>
                <w:color w:val="auto"/>
                <w:szCs w:val="21"/>
              </w:rPr>
            </w:pPr>
          </w:p>
        </w:tc>
        <w:tc>
          <w:tcPr>
            <w:tcW w:w="2387" w:type="dxa"/>
            <w:noWrap w:val="0"/>
            <w:vAlign w:val="center"/>
          </w:tcPr>
          <w:p>
            <w:pPr>
              <w:ind w:firstLine="28" w:firstLineChars="0"/>
              <w:jc w:val="center"/>
              <w:rPr>
                <w:rFonts w:ascii="宋体" w:hAnsi="宋体" w:cs="宋体"/>
                <w:color w:val="auto"/>
                <w:szCs w:val="21"/>
              </w:rPr>
            </w:pPr>
            <w:r>
              <w:rPr>
                <w:rFonts w:hint="eastAsia" w:ascii="宋体" w:hAnsi="宋体" w:cs="宋体"/>
                <w:color w:val="auto"/>
                <w:szCs w:val="21"/>
              </w:rPr>
              <w:t>系统演示</w:t>
            </w:r>
            <w:r>
              <w:rPr>
                <w:rFonts w:hint="default" w:ascii="宋体" w:hAnsi="宋体" w:cs="宋体"/>
                <w:bCs/>
                <w:color w:val="auto"/>
                <w:szCs w:val="21"/>
                <w:lang w:val="en-US"/>
              </w:rPr>
              <w:t>10</w:t>
            </w:r>
            <w:r>
              <w:rPr>
                <w:rFonts w:ascii="宋体" w:hAnsi="宋体" w:cs="宋体"/>
                <w:bCs/>
                <w:color w:val="auto"/>
                <w:szCs w:val="21"/>
              </w:rPr>
              <w:t>分</w:t>
            </w:r>
          </w:p>
        </w:tc>
        <w:tc>
          <w:tcPr>
            <w:tcW w:w="3249" w:type="dxa"/>
            <w:noWrap w:val="0"/>
            <w:vAlign w:val="center"/>
          </w:tcPr>
          <w:p>
            <w:pPr>
              <w:jc w:val="left"/>
              <w:rPr>
                <w:rFonts w:ascii="宋体" w:hAnsi="宋体" w:cs="宋体"/>
                <w:b/>
                <w:color w:val="auto"/>
                <w:szCs w:val="21"/>
              </w:rPr>
            </w:pPr>
            <w:r>
              <w:rPr>
                <w:rFonts w:hint="eastAsia" w:ascii="宋体" w:hAnsi="宋体" w:cs="宋体"/>
                <w:b/>
                <w:color w:val="auto"/>
                <w:szCs w:val="21"/>
              </w:rPr>
              <w:t>演示要求：演示时间为10分钟，需投标人在真实的系统环境下，带数据演示。演示内容包括：</w:t>
            </w:r>
          </w:p>
          <w:p>
            <w:pPr>
              <w:jc w:val="left"/>
              <w:rPr>
                <w:rFonts w:ascii="宋体" w:hAnsi="宋体" w:cs="宋体"/>
                <w:bCs/>
                <w:color w:val="auto"/>
                <w:szCs w:val="21"/>
              </w:rPr>
            </w:pPr>
            <w:r>
              <w:rPr>
                <w:rFonts w:hint="eastAsia" w:ascii="宋体" w:hAnsi="宋体" w:cs="宋体"/>
                <w:bCs/>
                <w:color w:val="auto"/>
                <w:szCs w:val="21"/>
              </w:rPr>
              <w:t>（1）数据检查能力演示（</w:t>
            </w:r>
            <w:r>
              <w:rPr>
                <w:rFonts w:hint="default" w:ascii="宋体" w:hAnsi="宋体" w:cs="宋体"/>
                <w:bCs/>
                <w:color w:val="auto"/>
                <w:szCs w:val="21"/>
                <w:lang w:val="en-US"/>
              </w:rPr>
              <w:t>4</w:t>
            </w:r>
            <w:r>
              <w:rPr>
                <w:rFonts w:hint="eastAsia" w:ascii="宋体" w:hAnsi="宋体" w:cs="宋体"/>
                <w:bCs/>
                <w:color w:val="auto"/>
                <w:szCs w:val="21"/>
              </w:rPr>
              <w:t>分）。</w:t>
            </w:r>
          </w:p>
          <w:p>
            <w:pPr>
              <w:jc w:val="left"/>
              <w:rPr>
                <w:rFonts w:ascii="宋体" w:hAnsi="宋体" w:cs="宋体"/>
                <w:bCs/>
                <w:color w:val="auto"/>
                <w:szCs w:val="21"/>
              </w:rPr>
            </w:pPr>
            <w:r>
              <w:rPr>
                <w:rFonts w:hint="eastAsia" w:ascii="宋体" w:hAnsi="宋体" w:cs="宋体"/>
                <w:bCs/>
                <w:color w:val="auto"/>
                <w:szCs w:val="21"/>
              </w:rPr>
              <w:t>支持按照检查规则、出错类别、出错部门进行统计展示；</w:t>
            </w:r>
          </w:p>
          <w:p>
            <w:pPr>
              <w:jc w:val="left"/>
              <w:rPr>
                <w:rFonts w:ascii="宋体" w:hAnsi="宋体" w:cs="宋体"/>
                <w:bCs/>
                <w:color w:val="auto"/>
                <w:szCs w:val="21"/>
              </w:rPr>
            </w:pPr>
            <w:r>
              <w:rPr>
                <w:rFonts w:hint="eastAsia" w:ascii="宋体" w:hAnsi="宋体" w:cs="宋体"/>
                <w:bCs/>
                <w:color w:val="auto"/>
                <w:szCs w:val="21"/>
              </w:rPr>
              <w:t>支持以项目维度管理检查接口数据、以及接口配置定义和数据配置定义；</w:t>
            </w:r>
          </w:p>
          <w:p>
            <w:pPr>
              <w:jc w:val="left"/>
              <w:rPr>
                <w:rFonts w:ascii="宋体" w:hAnsi="宋体" w:cs="宋体"/>
                <w:bCs/>
                <w:color w:val="auto"/>
                <w:szCs w:val="21"/>
              </w:rPr>
            </w:pPr>
            <w:r>
              <w:rPr>
                <w:rFonts w:hint="eastAsia" w:ascii="宋体" w:hAnsi="宋体" w:cs="宋体"/>
                <w:bCs/>
                <w:color w:val="auto"/>
                <w:szCs w:val="21"/>
              </w:rPr>
              <w:t>支持检查方案管理、检查规则配置；</w:t>
            </w:r>
          </w:p>
          <w:p>
            <w:pPr>
              <w:jc w:val="left"/>
              <w:rPr>
                <w:rFonts w:ascii="宋体" w:hAnsi="宋体" w:cs="宋体"/>
                <w:bCs/>
                <w:color w:val="auto"/>
                <w:szCs w:val="21"/>
              </w:rPr>
            </w:pPr>
            <w:r>
              <w:rPr>
                <w:rFonts w:hint="eastAsia" w:ascii="宋体" w:hAnsi="宋体" w:cs="宋体"/>
                <w:bCs/>
                <w:color w:val="auto"/>
                <w:szCs w:val="21"/>
              </w:rPr>
              <w:t>支持检查结果在线查看，检查总结报告Word输出。</w:t>
            </w:r>
          </w:p>
          <w:p>
            <w:pPr>
              <w:jc w:val="left"/>
              <w:rPr>
                <w:rFonts w:ascii="宋体" w:hAnsi="宋体" w:cs="宋体"/>
                <w:bCs/>
                <w:color w:val="auto"/>
                <w:szCs w:val="21"/>
              </w:rPr>
            </w:pPr>
            <w:r>
              <w:rPr>
                <w:rFonts w:hint="eastAsia" w:ascii="宋体" w:hAnsi="宋体" w:cs="宋体"/>
                <w:bCs/>
                <w:color w:val="auto"/>
                <w:szCs w:val="21"/>
              </w:rPr>
              <w:t>每演示一项得1分，每一项演示不全或者不演示不得分。满分</w:t>
            </w:r>
            <w:r>
              <w:rPr>
                <w:rFonts w:hint="default" w:ascii="宋体" w:hAnsi="宋体" w:cs="宋体"/>
                <w:bCs/>
                <w:color w:val="auto"/>
                <w:szCs w:val="21"/>
                <w:lang w:val="en-US"/>
              </w:rPr>
              <w:t>4</w:t>
            </w:r>
            <w:r>
              <w:rPr>
                <w:rFonts w:hint="eastAsia" w:ascii="宋体" w:hAnsi="宋体" w:cs="宋体"/>
                <w:bCs/>
                <w:color w:val="auto"/>
                <w:szCs w:val="21"/>
              </w:rPr>
              <w:t>分。</w:t>
            </w:r>
          </w:p>
          <w:p>
            <w:pPr>
              <w:jc w:val="left"/>
              <w:rPr>
                <w:rFonts w:ascii="宋体" w:hAnsi="宋体" w:cs="宋体"/>
                <w:bCs/>
                <w:color w:val="auto"/>
                <w:szCs w:val="21"/>
              </w:rPr>
            </w:pPr>
            <w:r>
              <w:rPr>
                <w:rFonts w:hint="eastAsia" w:ascii="宋体" w:hAnsi="宋体" w:cs="宋体"/>
                <w:bCs/>
                <w:color w:val="auto"/>
                <w:szCs w:val="21"/>
              </w:rPr>
              <w:t>（2）地名地址语义融合能力演示（3分）。</w:t>
            </w:r>
          </w:p>
          <w:p>
            <w:pPr>
              <w:jc w:val="left"/>
              <w:rPr>
                <w:rFonts w:ascii="宋体" w:hAnsi="宋体" w:cs="宋体"/>
                <w:bCs/>
                <w:color w:val="auto"/>
                <w:szCs w:val="21"/>
              </w:rPr>
            </w:pPr>
            <w:r>
              <w:rPr>
                <w:rFonts w:hint="eastAsia" w:ascii="宋体" w:hAnsi="宋体" w:cs="宋体"/>
                <w:bCs/>
                <w:color w:val="auto"/>
                <w:szCs w:val="21"/>
              </w:rPr>
              <w:t>支持地址模型、处理算法以及算法处理结果查看；</w:t>
            </w:r>
          </w:p>
          <w:p>
            <w:pPr>
              <w:jc w:val="left"/>
              <w:rPr>
                <w:rFonts w:ascii="宋体" w:hAnsi="宋体" w:cs="宋体"/>
                <w:bCs/>
                <w:color w:val="auto"/>
                <w:szCs w:val="21"/>
              </w:rPr>
            </w:pPr>
            <w:r>
              <w:rPr>
                <w:rFonts w:hint="eastAsia" w:ascii="宋体" w:hAnsi="宋体" w:cs="宋体"/>
                <w:bCs/>
                <w:color w:val="auto"/>
                <w:szCs w:val="21"/>
              </w:rPr>
              <w:t>支持分词层级、同名检查及智能矫正；</w:t>
            </w:r>
          </w:p>
          <w:p>
            <w:pPr>
              <w:jc w:val="left"/>
              <w:rPr>
                <w:rFonts w:ascii="宋体" w:hAnsi="宋体" w:cs="宋体"/>
                <w:bCs/>
                <w:color w:val="auto"/>
                <w:szCs w:val="21"/>
              </w:rPr>
            </w:pPr>
            <w:r>
              <w:rPr>
                <w:rFonts w:hint="eastAsia" w:ascii="宋体" w:hAnsi="宋体" w:cs="宋体"/>
                <w:bCs/>
                <w:color w:val="auto"/>
                <w:szCs w:val="21"/>
              </w:rPr>
              <w:t>支持基于政务地图、互联网地图的语义检查；</w:t>
            </w:r>
          </w:p>
          <w:p>
            <w:pPr>
              <w:jc w:val="left"/>
              <w:rPr>
                <w:rFonts w:ascii="宋体" w:hAnsi="宋体" w:cs="宋体"/>
                <w:bCs/>
                <w:color w:val="auto"/>
                <w:szCs w:val="21"/>
              </w:rPr>
            </w:pPr>
            <w:r>
              <w:rPr>
                <w:rFonts w:hint="eastAsia" w:ascii="宋体" w:hAnsi="宋体" w:cs="宋体"/>
                <w:bCs/>
                <w:color w:val="auto"/>
                <w:szCs w:val="21"/>
              </w:rPr>
              <w:t>支持匹配接口、匹配质量、人工矫正、更新情况多维度的治理统计。</w:t>
            </w:r>
          </w:p>
          <w:p>
            <w:pPr>
              <w:jc w:val="left"/>
              <w:rPr>
                <w:rFonts w:ascii="宋体" w:hAnsi="宋体" w:cs="宋体"/>
                <w:bCs/>
                <w:color w:val="auto"/>
                <w:szCs w:val="21"/>
              </w:rPr>
            </w:pPr>
            <w:r>
              <w:rPr>
                <w:rFonts w:hint="eastAsia" w:ascii="宋体" w:hAnsi="宋体" w:cs="宋体"/>
                <w:bCs/>
                <w:color w:val="auto"/>
                <w:szCs w:val="21"/>
              </w:rPr>
              <w:t>每演示一项得1分，每一项演示不全或者不演示不得分。满分3分。</w:t>
            </w:r>
          </w:p>
          <w:p>
            <w:pPr>
              <w:jc w:val="left"/>
              <w:rPr>
                <w:rFonts w:ascii="宋体" w:hAnsi="宋体" w:cs="宋体"/>
                <w:bCs/>
                <w:color w:val="auto"/>
                <w:szCs w:val="21"/>
              </w:rPr>
            </w:pPr>
            <w:r>
              <w:rPr>
                <w:rFonts w:hint="eastAsia" w:ascii="宋体" w:hAnsi="宋体" w:cs="宋体"/>
                <w:bCs/>
                <w:color w:val="auto"/>
                <w:szCs w:val="21"/>
              </w:rPr>
              <w:t>（3）实体融合能力演示（3分）。</w:t>
            </w:r>
          </w:p>
          <w:p>
            <w:pPr>
              <w:jc w:val="left"/>
              <w:rPr>
                <w:rFonts w:ascii="宋体" w:hAnsi="宋体" w:cs="宋体"/>
                <w:bCs/>
                <w:color w:val="auto"/>
                <w:szCs w:val="21"/>
              </w:rPr>
            </w:pPr>
            <w:r>
              <w:rPr>
                <w:rFonts w:hint="eastAsia" w:ascii="宋体" w:hAnsi="宋体" w:cs="宋体"/>
                <w:bCs/>
                <w:color w:val="auto"/>
                <w:szCs w:val="21"/>
              </w:rPr>
              <w:t>实体组装定义配置、实体组装任务管理及实体编辑；</w:t>
            </w:r>
          </w:p>
          <w:p>
            <w:pPr>
              <w:jc w:val="left"/>
              <w:rPr>
                <w:rFonts w:ascii="宋体" w:hAnsi="宋体" w:cs="宋体"/>
                <w:bCs/>
                <w:color w:val="auto"/>
                <w:szCs w:val="21"/>
              </w:rPr>
            </w:pPr>
            <w:r>
              <w:rPr>
                <w:rFonts w:hint="eastAsia" w:ascii="宋体" w:hAnsi="宋体" w:cs="宋体"/>
                <w:bCs/>
                <w:color w:val="auto"/>
                <w:szCs w:val="21"/>
              </w:rPr>
              <w:t>支持基于图谱形式的语义数据编辑和领域图谱的可视化构建；</w:t>
            </w:r>
          </w:p>
          <w:p>
            <w:pPr>
              <w:jc w:val="left"/>
              <w:rPr>
                <w:rFonts w:ascii="宋体" w:hAnsi="宋体" w:cs="宋体"/>
                <w:bCs/>
                <w:color w:val="auto"/>
                <w:szCs w:val="21"/>
              </w:rPr>
            </w:pPr>
            <w:r>
              <w:rPr>
                <w:rFonts w:hint="eastAsia" w:ascii="宋体" w:hAnsi="宋体" w:cs="宋体"/>
                <w:bCs/>
                <w:color w:val="auto"/>
                <w:szCs w:val="21"/>
              </w:rPr>
              <w:t>支持实体融合治理的血缘分析。</w:t>
            </w:r>
          </w:p>
          <w:p>
            <w:pPr>
              <w:jc w:val="left"/>
              <w:rPr>
                <w:rFonts w:hint="eastAsia"/>
                <w:color w:val="auto"/>
              </w:rPr>
            </w:pPr>
            <w:r>
              <w:rPr>
                <w:rFonts w:hint="eastAsia" w:ascii="宋体" w:hAnsi="宋体" w:cs="宋体"/>
                <w:bCs/>
                <w:color w:val="auto"/>
                <w:szCs w:val="21"/>
              </w:rPr>
              <w:t>每演示一项得1分，每一项演示不全或者不演示不得分。满分3分</w:t>
            </w:r>
            <w:r>
              <w:rPr>
                <w:rFonts w:hint="eastAsia" w:ascii="宋体" w:hAnsi="宋体" w:cs="宋体"/>
                <w:b/>
                <w:color w:val="auto"/>
                <w:szCs w:val="21"/>
              </w:rPr>
              <w:t>。</w:t>
            </w:r>
          </w:p>
        </w:tc>
        <w:tc>
          <w:tcPr>
            <w:tcW w:w="1993" w:type="dxa"/>
            <w:noWrap w:val="0"/>
            <w:vAlign w:val="center"/>
          </w:tcPr>
          <w:p>
            <w:pPr>
              <w:pStyle w:val="247"/>
              <w:spacing w:before="0" w:after="0"/>
              <w:rPr>
                <w:rFonts w:hint="eastAsia" w:ascii="宋体" w:hAnsi="宋体" w:eastAsia="宋体" w:cs="宋体"/>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4" w:hRule="atLeast"/>
        </w:trPr>
        <w:tc>
          <w:tcPr>
            <w:tcW w:w="682" w:type="dxa"/>
            <w:vMerge w:val="continue"/>
            <w:noWrap w:val="0"/>
            <w:vAlign w:val="center"/>
          </w:tcPr>
          <w:p>
            <w:pPr>
              <w:spacing w:line="360" w:lineRule="auto"/>
              <w:ind w:firstLine="28"/>
              <w:jc w:val="center"/>
              <w:rPr>
                <w:rFonts w:hint="eastAsia" w:ascii="宋体" w:hAnsi="宋体" w:cs="宋体"/>
                <w:color w:val="auto"/>
                <w:szCs w:val="21"/>
              </w:rPr>
            </w:pPr>
          </w:p>
        </w:tc>
        <w:tc>
          <w:tcPr>
            <w:tcW w:w="747" w:type="dxa"/>
            <w:vMerge w:val="continue"/>
            <w:noWrap w:val="0"/>
            <w:vAlign w:val="center"/>
          </w:tcPr>
          <w:p>
            <w:pPr>
              <w:spacing w:line="360" w:lineRule="auto"/>
              <w:ind w:firstLine="28"/>
              <w:jc w:val="center"/>
              <w:rPr>
                <w:rFonts w:hint="eastAsia" w:ascii="宋体" w:hAnsi="宋体" w:cs="宋体"/>
                <w:color w:val="auto"/>
                <w:szCs w:val="21"/>
              </w:rPr>
            </w:pPr>
          </w:p>
        </w:tc>
        <w:tc>
          <w:tcPr>
            <w:tcW w:w="2387" w:type="dxa"/>
            <w:noWrap w:val="0"/>
            <w:vAlign w:val="center"/>
          </w:tcPr>
          <w:p>
            <w:pPr>
              <w:ind w:firstLine="28" w:firstLineChars="0"/>
              <w:jc w:val="center"/>
              <w:rPr>
                <w:rFonts w:hint="eastAsia" w:ascii="宋体" w:hAnsi="宋体" w:cs="宋体"/>
                <w:bCs/>
                <w:color w:val="auto"/>
                <w:szCs w:val="21"/>
              </w:rPr>
            </w:pPr>
            <w:r>
              <w:rPr>
                <w:rFonts w:hint="eastAsia" w:ascii="宋体" w:hAnsi="宋体" w:cs="宋体"/>
                <w:color w:val="auto"/>
                <w:szCs w:val="21"/>
              </w:rPr>
              <w:t>项目实施团队管理</w:t>
            </w:r>
          </w:p>
          <w:p>
            <w:pPr>
              <w:ind w:firstLine="28" w:firstLineChars="0"/>
              <w:jc w:val="center"/>
              <w:rPr>
                <w:rFonts w:ascii="宋体" w:hAnsi="宋体" w:cs="宋体"/>
                <w:color w:val="auto"/>
                <w:szCs w:val="21"/>
              </w:rPr>
            </w:pPr>
            <w:r>
              <w:rPr>
                <w:rFonts w:hint="eastAsia" w:ascii="宋体" w:hAnsi="宋体" w:cs="宋体"/>
                <w:bCs/>
                <w:color w:val="auto"/>
                <w:szCs w:val="21"/>
              </w:rPr>
              <w:t>9分</w:t>
            </w:r>
          </w:p>
        </w:tc>
        <w:tc>
          <w:tcPr>
            <w:tcW w:w="3249" w:type="dxa"/>
            <w:noWrap w:val="0"/>
            <w:vAlign w:val="center"/>
          </w:tcPr>
          <w:p>
            <w:pPr>
              <w:jc w:val="left"/>
              <w:rPr>
                <w:color w:val="auto"/>
              </w:rPr>
            </w:pPr>
            <w:r>
              <w:rPr>
                <w:rFonts w:hint="eastAsia"/>
                <w:b/>
                <w:bCs/>
                <w:color w:val="auto"/>
              </w:rPr>
              <w:t>为保证项目实施的质量，投标人应提供本项目所要求的人员负责项目实施，根据人员资质情况进行综合评分：</w:t>
            </w:r>
          </w:p>
          <w:p>
            <w:pPr>
              <w:numPr>
                <w:ilvl w:val="0"/>
                <w:numId w:val="15"/>
              </w:numPr>
              <w:jc w:val="left"/>
              <w:rPr>
                <w:color w:val="auto"/>
              </w:rPr>
            </w:pPr>
            <w:r>
              <w:rPr>
                <w:rFonts w:hint="eastAsia"/>
                <w:color w:val="auto"/>
              </w:rPr>
              <w:t>项目总负责人（3分）</w:t>
            </w:r>
          </w:p>
          <w:p>
            <w:pPr>
              <w:jc w:val="left"/>
              <w:rPr>
                <w:color w:val="auto"/>
              </w:rPr>
            </w:pPr>
            <w:r>
              <w:rPr>
                <w:rFonts w:hint="eastAsia"/>
                <w:color w:val="auto"/>
              </w:rPr>
              <w:t>具有测绘专业的高级职称，类似项目的工作经验10年（含）以上，全部满足得3分，不满足或部分满足得0分。</w:t>
            </w:r>
          </w:p>
          <w:p>
            <w:pPr>
              <w:jc w:val="left"/>
              <w:rPr>
                <w:color w:val="auto"/>
              </w:rPr>
            </w:pPr>
            <w:r>
              <w:rPr>
                <w:rFonts w:hint="eastAsia"/>
                <w:color w:val="auto"/>
              </w:rPr>
              <w:t>（提供证书复印件并加盖供应商公章）</w:t>
            </w:r>
          </w:p>
          <w:p>
            <w:pPr>
              <w:numPr>
                <w:ilvl w:val="0"/>
                <w:numId w:val="15"/>
              </w:numPr>
              <w:jc w:val="left"/>
              <w:rPr>
                <w:color w:val="auto"/>
              </w:rPr>
            </w:pPr>
            <w:r>
              <w:rPr>
                <w:rFonts w:hint="eastAsia"/>
                <w:color w:val="auto"/>
              </w:rPr>
              <w:t>技术负责人（3分）</w:t>
            </w:r>
          </w:p>
          <w:p>
            <w:pPr>
              <w:jc w:val="left"/>
              <w:rPr>
                <w:color w:val="auto"/>
              </w:rPr>
            </w:pPr>
            <w:r>
              <w:rPr>
                <w:rFonts w:hint="eastAsia"/>
                <w:color w:val="auto"/>
              </w:rPr>
              <w:t>具有人力资源和社会保障局颁发的高级系统架构设计师资格证书，类似项目的工作经验10年（含）以上，全部满足得3分，不满足或部分满足得0分。</w:t>
            </w:r>
          </w:p>
          <w:p>
            <w:pPr>
              <w:ind w:left="28"/>
              <w:jc w:val="left"/>
              <w:rPr>
                <w:color w:val="auto"/>
              </w:rPr>
            </w:pPr>
            <w:r>
              <w:rPr>
                <w:rFonts w:hint="eastAsia"/>
                <w:color w:val="auto"/>
              </w:rPr>
              <w:t>（提供证书复印件并加盖供应商公章）</w:t>
            </w:r>
          </w:p>
          <w:p>
            <w:pPr>
              <w:numPr>
                <w:ilvl w:val="0"/>
                <w:numId w:val="15"/>
              </w:numPr>
              <w:jc w:val="left"/>
              <w:rPr>
                <w:color w:val="auto"/>
              </w:rPr>
            </w:pPr>
            <w:r>
              <w:rPr>
                <w:rFonts w:hint="eastAsia"/>
                <w:color w:val="auto"/>
              </w:rPr>
              <w:t>项目经理（3分）</w:t>
            </w:r>
          </w:p>
          <w:p>
            <w:pPr>
              <w:jc w:val="left"/>
              <w:rPr>
                <w:color w:val="auto"/>
              </w:rPr>
            </w:pPr>
            <w:r>
              <w:rPr>
                <w:rFonts w:hint="eastAsia"/>
                <w:color w:val="auto"/>
              </w:rPr>
              <w:t>具有人力资源和社会保障局颁发的高级信息系统项目管理师资格证书，类似项目的工作经验10年（含）以上，全部满足得3分，不满足或部分满足得0分。</w:t>
            </w:r>
          </w:p>
          <w:p>
            <w:pPr>
              <w:ind w:left="28"/>
              <w:jc w:val="left"/>
              <w:rPr>
                <w:color w:val="auto"/>
              </w:rPr>
            </w:pPr>
            <w:r>
              <w:rPr>
                <w:rFonts w:hint="eastAsia"/>
                <w:color w:val="auto"/>
              </w:rPr>
              <w:t>（提供证书复印件并加盖供应商公章）</w:t>
            </w:r>
          </w:p>
          <w:p>
            <w:pPr>
              <w:pStyle w:val="23"/>
              <w:rPr>
                <w:rFonts w:hint="eastAsia"/>
                <w:color w:val="auto"/>
              </w:rPr>
            </w:pPr>
            <w:r>
              <w:rPr>
                <w:rStyle w:val="250"/>
                <w:rFonts w:hint="default"/>
                <w:color w:val="auto"/>
                <w:sz w:val="22"/>
                <w:szCs w:val="22"/>
                <w:lang w:bidi="ar"/>
              </w:rPr>
              <w:t>以上人员不得兼任，并且提供连续3个月社会保险证明或由上级主管部门开具的关于在编职工缴纳社会保险的证明材料复印件加盖公章</w:t>
            </w:r>
          </w:p>
        </w:tc>
        <w:tc>
          <w:tcPr>
            <w:tcW w:w="1993" w:type="dxa"/>
            <w:noWrap w:val="0"/>
            <w:vAlign w:val="center"/>
          </w:tcPr>
          <w:p>
            <w:pPr>
              <w:pStyle w:val="247"/>
              <w:spacing w:before="0" w:after="0"/>
              <w:rPr>
                <w:rFonts w:hint="eastAsia" w:ascii="宋体" w:hAnsi="宋体" w:eastAsia="宋体" w:cs="宋体"/>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trPr>
        <w:tc>
          <w:tcPr>
            <w:tcW w:w="682" w:type="dxa"/>
            <w:vMerge w:val="continue"/>
            <w:noWrap w:val="0"/>
            <w:vAlign w:val="center"/>
          </w:tcPr>
          <w:p>
            <w:pPr>
              <w:spacing w:line="360" w:lineRule="auto"/>
              <w:ind w:firstLine="28"/>
              <w:jc w:val="center"/>
              <w:rPr>
                <w:rFonts w:hint="eastAsia" w:ascii="宋体" w:hAnsi="宋体" w:cs="宋体"/>
                <w:color w:val="auto"/>
                <w:szCs w:val="21"/>
              </w:rPr>
            </w:pPr>
          </w:p>
        </w:tc>
        <w:tc>
          <w:tcPr>
            <w:tcW w:w="747" w:type="dxa"/>
            <w:vMerge w:val="continue"/>
            <w:noWrap w:val="0"/>
            <w:vAlign w:val="center"/>
          </w:tcPr>
          <w:p>
            <w:pPr>
              <w:spacing w:line="360" w:lineRule="auto"/>
              <w:ind w:firstLine="28"/>
              <w:jc w:val="center"/>
              <w:rPr>
                <w:rFonts w:hint="eastAsia" w:ascii="宋体" w:hAnsi="宋体" w:cs="宋体"/>
                <w:color w:val="auto"/>
                <w:szCs w:val="21"/>
              </w:rPr>
            </w:pPr>
          </w:p>
        </w:tc>
        <w:tc>
          <w:tcPr>
            <w:tcW w:w="2387" w:type="dxa"/>
            <w:noWrap w:val="0"/>
            <w:vAlign w:val="center"/>
          </w:tcPr>
          <w:p>
            <w:pPr>
              <w:ind w:firstLine="28" w:firstLineChars="0"/>
              <w:jc w:val="center"/>
              <w:rPr>
                <w:rFonts w:ascii="宋体" w:hAnsi="宋体" w:cs="宋体"/>
                <w:color w:val="auto"/>
                <w:szCs w:val="21"/>
              </w:rPr>
            </w:pPr>
            <w:r>
              <w:rPr>
                <w:rFonts w:hint="eastAsia" w:ascii="宋体" w:hAnsi="宋体" w:cs="宋体"/>
                <w:color w:val="auto"/>
                <w:szCs w:val="21"/>
              </w:rPr>
              <w:t>项目管理</w:t>
            </w:r>
            <w:r>
              <w:rPr>
                <w:rFonts w:hint="eastAsia" w:ascii="宋体" w:hAnsi="宋体" w:cs="宋体"/>
                <w:bCs/>
                <w:color w:val="auto"/>
                <w:szCs w:val="21"/>
                <w:lang w:val="en-US" w:eastAsia="zh-CN"/>
              </w:rPr>
              <w:t>5</w:t>
            </w:r>
            <w:r>
              <w:rPr>
                <w:rFonts w:hint="eastAsia" w:ascii="宋体" w:hAnsi="宋体" w:cs="宋体"/>
                <w:bCs/>
                <w:color w:val="auto"/>
                <w:szCs w:val="21"/>
              </w:rPr>
              <w:t>分</w:t>
            </w:r>
          </w:p>
        </w:tc>
        <w:tc>
          <w:tcPr>
            <w:tcW w:w="3249" w:type="dxa"/>
            <w:noWrap w:val="0"/>
            <w:vAlign w:val="center"/>
          </w:tcPr>
          <w:p>
            <w:pPr>
              <w:ind w:firstLine="28"/>
              <w:jc w:val="left"/>
              <w:rPr>
                <w:rFonts w:ascii="宋体" w:hAnsi="宋体" w:cs="宋体"/>
                <w:b/>
                <w:color w:val="auto"/>
                <w:szCs w:val="21"/>
              </w:rPr>
            </w:pPr>
            <w:r>
              <w:rPr>
                <w:rFonts w:hint="eastAsia" w:ascii="宋体" w:hAnsi="宋体" w:cs="宋体"/>
                <w:b/>
                <w:color w:val="auto"/>
                <w:szCs w:val="21"/>
              </w:rPr>
              <w:t>投标人应提供本项目进度计划安排及项目管理计划，根据所提供的进度计划安排合理性、项目组织可控性、整体性等原则进行综合评分：</w:t>
            </w:r>
          </w:p>
          <w:p>
            <w:pPr>
              <w:jc w:val="left"/>
              <w:rPr>
                <w:rFonts w:ascii="宋体" w:hAnsi="宋体" w:cs="宋体"/>
                <w:bCs/>
                <w:color w:val="auto"/>
                <w:szCs w:val="21"/>
              </w:rPr>
            </w:pPr>
            <w:r>
              <w:rPr>
                <w:rFonts w:hint="eastAsia" w:ascii="宋体" w:hAnsi="宋体" w:cs="宋体"/>
                <w:bCs/>
                <w:color w:val="auto"/>
                <w:szCs w:val="21"/>
              </w:rPr>
              <w:t>（1）进度计划安排及项目管理计划合理、项目组织</w:t>
            </w:r>
            <w:r>
              <w:rPr>
                <w:rFonts w:hint="eastAsia" w:ascii="宋体" w:hAnsi="宋体" w:cs="宋体"/>
                <w:bCs/>
                <w:color w:val="auto"/>
                <w:szCs w:val="21"/>
                <w:lang w:val="en-US" w:eastAsia="zh-CN"/>
              </w:rPr>
              <w:t>完整、</w:t>
            </w:r>
            <w:r>
              <w:rPr>
                <w:rFonts w:hint="eastAsia" w:ascii="宋体" w:hAnsi="宋体" w:cs="宋体"/>
                <w:bCs/>
                <w:color w:val="auto"/>
                <w:szCs w:val="21"/>
              </w:rPr>
              <w:t>可控，得</w:t>
            </w:r>
            <w:r>
              <w:rPr>
                <w:rFonts w:hint="eastAsia" w:ascii="宋体" w:hAnsi="宋体" w:cs="宋体"/>
                <w:bCs/>
                <w:color w:val="auto"/>
                <w:szCs w:val="21"/>
                <w:lang w:val="en-US" w:eastAsia="zh-CN"/>
              </w:rPr>
              <w:t>5</w:t>
            </w:r>
            <w:r>
              <w:rPr>
                <w:rFonts w:hint="eastAsia" w:ascii="宋体" w:hAnsi="宋体" w:cs="宋体"/>
                <w:bCs/>
                <w:color w:val="auto"/>
                <w:szCs w:val="21"/>
              </w:rPr>
              <w:t>分；</w:t>
            </w:r>
          </w:p>
          <w:p>
            <w:pPr>
              <w:jc w:val="left"/>
              <w:rPr>
                <w:rFonts w:ascii="宋体" w:hAnsi="宋体" w:cs="宋体"/>
                <w:bCs/>
                <w:color w:val="auto"/>
                <w:szCs w:val="21"/>
              </w:rPr>
            </w:pPr>
            <w:r>
              <w:rPr>
                <w:rFonts w:hint="eastAsia" w:ascii="宋体" w:hAnsi="宋体" w:cs="宋体"/>
                <w:bCs/>
                <w:color w:val="auto"/>
                <w:szCs w:val="21"/>
              </w:rPr>
              <w:t>（2）进度计划安排及项目管理计划一般、项目组织</w:t>
            </w:r>
            <w:r>
              <w:rPr>
                <w:rFonts w:hint="eastAsia" w:ascii="宋体" w:hAnsi="宋体" w:cs="宋体"/>
                <w:bCs/>
                <w:color w:val="auto"/>
                <w:szCs w:val="21"/>
                <w:lang w:val="en-US" w:eastAsia="zh-CN"/>
              </w:rPr>
              <w:t>不够完整，可控性一般</w:t>
            </w:r>
            <w:r>
              <w:rPr>
                <w:rFonts w:hint="eastAsia" w:ascii="宋体" w:hAnsi="宋体" w:cs="宋体"/>
                <w:bCs/>
                <w:color w:val="auto"/>
                <w:szCs w:val="21"/>
              </w:rPr>
              <w:t>得3分；</w:t>
            </w:r>
          </w:p>
          <w:p>
            <w:pPr>
              <w:jc w:val="left"/>
              <w:rPr>
                <w:rFonts w:hint="eastAsia"/>
                <w:color w:val="auto"/>
              </w:rPr>
            </w:pPr>
            <w:r>
              <w:rPr>
                <w:rFonts w:hint="eastAsia" w:ascii="宋体" w:hAnsi="宋体" w:cs="宋体"/>
                <w:bCs/>
                <w:color w:val="auto"/>
                <w:szCs w:val="21"/>
              </w:rPr>
              <w:t>（3）不提供不得分。</w:t>
            </w:r>
          </w:p>
        </w:tc>
        <w:tc>
          <w:tcPr>
            <w:tcW w:w="1993" w:type="dxa"/>
            <w:noWrap w:val="0"/>
            <w:vAlign w:val="center"/>
          </w:tcPr>
          <w:p>
            <w:pPr>
              <w:pStyle w:val="247"/>
              <w:spacing w:before="0" w:after="0"/>
              <w:rPr>
                <w:rFonts w:hint="eastAsia" w:ascii="宋体" w:hAnsi="宋体" w:eastAsia="宋体" w:cs="宋体"/>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4" w:hRule="atLeast"/>
        </w:trPr>
        <w:tc>
          <w:tcPr>
            <w:tcW w:w="682" w:type="dxa"/>
            <w:vMerge w:val="continue"/>
            <w:noWrap w:val="0"/>
            <w:vAlign w:val="center"/>
          </w:tcPr>
          <w:p>
            <w:pPr>
              <w:spacing w:line="360" w:lineRule="auto"/>
              <w:ind w:firstLine="28"/>
              <w:jc w:val="center"/>
              <w:rPr>
                <w:rFonts w:hint="eastAsia" w:ascii="宋体" w:hAnsi="宋体" w:cs="宋体"/>
                <w:color w:val="auto"/>
                <w:szCs w:val="21"/>
              </w:rPr>
            </w:pPr>
          </w:p>
        </w:tc>
        <w:tc>
          <w:tcPr>
            <w:tcW w:w="747" w:type="dxa"/>
            <w:vMerge w:val="continue"/>
            <w:noWrap w:val="0"/>
            <w:vAlign w:val="center"/>
          </w:tcPr>
          <w:p>
            <w:pPr>
              <w:spacing w:line="360" w:lineRule="auto"/>
              <w:ind w:firstLine="28"/>
              <w:jc w:val="center"/>
              <w:rPr>
                <w:rFonts w:hint="eastAsia" w:ascii="宋体" w:hAnsi="宋体" w:cs="宋体"/>
                <w:color w:val="auto"/>
                <w:szCs w:val="21"/>
              </w:rPr>
            </w:pPr>
          </w:p>
        </w:tc>
        <w:tc>
          <w:tcPr>
            <w:tcW w:w="2387" w:type="dxa"/>
            <w:noWrap w:val="0"/>
            <w:vAlign w:val="center"/>
          </w:tcPr>
          <w:p>
            <w:pPr>
              <w:ind w:firstLine="28" w:firstLineChars="0"/>
              <w:jc w:val="center"/>
              <w:rPr>
                <w:rFonts w:ascii="宋体" w:hAnsi="宋体" w:cs="宋体"/>
                <w:color w:val="auto"/>
                <w:szCs w:val="21"/>
              </w:rPr>
            </w:pPr>
            <w:r>
              <w:rPr>
                <w:rFonts w:hint="eastAsia" w:ascii="宋体" w:hAnsi="宋体" w:cs="宋体"/>
                <w:color w:val="auto"/>
                <w:szCs w:val="21"/>
              </w:rPr>
              <w:t>培训</w:t>
            </w:r>
            <w:r>
              <w:rPr>
                <w:rFonts w:hint="eastAsia" w:ascii="宋体" w:hAnsi="宋体" w:cs="宋体"/>
                <w:bCs/>
                <w:color w:val="auto"/>
                <w:szCs w:val="21"/>
              </w:rPr>
              <w:t>2分</w:t>
            </w:r>
          </w:p>
        </w:tc>
        <w:tc>
          <w:tcPr>
            <w:tcW w:w="3249" w:type="dxa"/>
            <w:noWrap w:val="0"/>
            <w:vAlign w:val="center"/>
          </w:tcPr>
          <w:p>
            <w:pPr>
              <w:ind w:firstLine="28"/>
              <w:jc w:val="left"/>
              <w:rPr>
                <w:rFonts w:ascii="宋体" w:hAnsi="宋体" w:cs="宋体"/>
                <w:b/>
                <w:color w:val="auto"/>
                <w:szCs w:val="21"/>
              </w:rPr>
            </w:pPr>
            <w:r>
              <w:rPr>
                <w:rFonts w:hint="eastAsia" w:ascii="宋体" w:hAnsi="宋体" w:cs="宋体"/>
                <w:b/>
                <w:color w:val="auto"/>
                <w:szCs w:val="21"/>
              </w:rPr>
              <w:t>投标人应提供本项目培训方案，根据方案计划合理性、人员详细程度等原则进行综合评分：</w:t>
            </w:r>
          </w:p>
          <w:p>
            <w:pPr>
              <w:ind w:firstLine="28"/>
              <w:jc w:val="left"/>
              <w:rPr>
                <w:rFonts w:ascii="宋体" w:hAnsi="宋体" w:cs="宋体"/>
                <w:bCs/>
                <w:color w:val="auto"/>
                <w:szCs w:val="21"/>
              </w:rPr>
            </w:pPr>
            <w:r>
              <w:rPr>
                <w:rFonts w:hint="eastAsia" w:ascii="宋体" w:hAnsi="宋体" w:cs="宋体"/>
                <w:bCs/>
                <w:color w:val="auto"/>
                <w:szCs w:val="21"/>
              </w:rPr>
              <w:t>（1）提供详细的培训方案，</w:t>
            </w:r>
            <w:r>
              <w:rPr>
                <w:rFonts w:hint="eastAsia" w:ascii="宋体" w:hAnsi="宋体" w:cs="宋体"/>
                <w:bCs/>
                <w:color w:val="auto"/>
                <w:szCs w:val="21"/>
                <w:lang w:val="en-US" w:eastAsia="zh-CN"/>
              </w:rPr>
              <w:t>并具有可操作性</w:t>
            </w:r>
            <w:r>
              <w:rPr>
                <w:rFonts w:hint="eastAsia" w:ascii="宋体" w:hAnsi="宋体" w:cs="宋体"/>
                <w:bCs/>
                <w:color w:val="auto"/>
                <w:szCs w:val="21"/>
              </w:rPr>
              <w:t>，具有详细的培训计划和培训人员安排得2分；</w:t>
            </w:r>
          </w:p>
          <w:p>
            <w:pPr>
              <w:ind w:firstLine="28"/>
              <w:jc w:val="left"/>
              <w:rPr>
                <w:rFonts w:ascii="宋体" w:hAnsi="宋体" w:cs="宋体"/>
                <w:bCs/>
                <w:color w:val="auto"/>
                <w:szCs w:val="21"/>
              </w:rPr>
            </w:pPr>
            <w:r>
              <w:rPr>
                <w:rFonts w:hint="eastAsia" w:ascii="宋体" w:hAnsi="宋体" w:cs="宋体"/>
                <w:bCs/>
                <w:color w:val="auto"/>
                <w:szCs w:val="21"/>
              </w:rPr>
              <w:t>（2）提供详细的培训方案，可操作性一般，有部分培训计划和培训人员安排得1分；</w:t>
            </w:r>
          </w:p>
          <w:p>
            <w:pPr>
              <w:ind w:firstLine="28" w:firstLineChars="0"/>
              <w:jc w:val="left"/>
              <w:rPr>
                <w:rFonts w:hint="eastAsia"/>
                <w:color w:val="auto"/>
              </w:rPr>
            </w:pPr>
            <w:r>
              <w:rPr>
                <w:rFonts w:hint="eastAsia" w:ascii="宋体" w:hAnsi="宋体" w:cs="宋体"/>
                <w:bCs/>
                <w:color w:val="auto"/>
                <w:szCs w:val="21"/>
              </w:rPr>
              <w:t>（3）不提供不得分。</w:t>
            </w:r>
          </w:p>
        </w:tc>
        <w:tc>
          <w:tcPr>
            <w:tcW w:w="1993" w:type="dxa"/>
            <w:noWrap w:val="0"/>
            <w:vAlign w:val="center"/>
          </w:tcPr>
          <w:p>
            <w:pPr>
              <w:pStyle w:val="247"/>
              <w:spacing w:before="0" w:after="0"/>
              <w:rPr>
                <w:rFonts w:hint="eastAsia" w:ascii="宋体" w:hAnsi="宋体" w:eastAsia="宋体" w:cs="宋体"/>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4" w:hRule="atLeast"/>
        </w:trPr>
        <w:tc>
          <w:tcPr>
            <w:tcW w:w="682" w:type="dxa"/>
            <w:vMerge w:val="continue"/>
            <w:noWrap w:val="0"/>
            <w:vAlign w:val="center"/>
          </w:tcPr>
          <w:p>
            <w:pPr>
              <w:spacing w:line="360" w:lineRule="auto"/>
              <w:ind w:firstLine="28"/>
              <w:jc w:val="center"/>
              <w:rPr>
                <w:rFonts w:hint="eastAsia" w:ascii="宋体" w:hAnsi="宋体" w:cs="宋体"/>
                <w:color w:val="auto"/>
                <w:szCs w:val="21"/>
              </w:rPr>
            </w:pPr>
          </w:p>
        </w:tc>
        <w:tc>
          <w:tcPr>
            <w:tcW w:w="747" w:type="dxa"/>
            <w:vMerge w:val="continue"/>
            <w:noWrap w:val="0"/>
            <w:vAlign w:val="center"/>
          </w:tcPr>
          <w:p>
            <w:pPr>
              <w:spacing w:line="360" w:lineRule="auto"/>
              <w:ind w:firstLine="28"/>
              <w:jc w:val="center"/>
              <w:rPr>
                <w:rFonts w:hint="eastAsia" w:ascii="宋体" w:hAnsi="宋体" w:cs="宋体"/>
                <w:color w:val="auto"/>
                <w:szCs w:val="21"/>
              </w:rPr>
            </w:pPr>
          </w:p>
        </w:tc>
        <w:tc>
          <w:tcPr>
            <w:tcW w:w="2387" w:type="dxa"/>
            <w:noWrap w:val="0"/>
            <w:vAlign w:val="center"/>
          </w:tcPr>
          <w:p>
            <w:pPr>
              <w:ind w:firstLine="28" w:firstLineChars="0"/>
              <w:jc w:val="center"/>
              <w:rPr>
                <w:rFonts w:ascii="宋体" w:hAnsi="宋体" w:cs="宋体"/>
                <w:color w:val="auto"/>
                <w:szCs w:val="21"/>
              </w:rPr>
            </w:pPr>
            <w:r>
              <w:rPr>
                <w:rFonts w:hint="eastAsia" w:ascii="宋体" w:hAnsi="宋体" w:cs="宋体"/>
                <w:color w:val="auto"/>
                <w:szCs w:val="21"/>
              </w:rPr>
              <w:t>售后服务</w:t>
            </w:r>
            <w:r>
              <w:rPr>
                <w:rFonts w:hint="eastAsia" w:ascii="宋体" w:hAnsi="宋体" w:cs="宋体"/>
                <w:bCs/>
                <w:color w:val="auto"/>
                <w:szCs w:val="21"/>
              </w:rPr>
              <w:t>3分</w:t>
            </w:r>
          </w:p>
        </w:tc>
        <w:tc>
          <w:tcPr>
            <w:tcW w:w="3249" w:type="dxa"/>
            <w:noWrap w:val="0"/>
            <w:vAlign w:val="center"/>
          </w:tcPr>
          <w:p>
            <w:pPr>
              <w:ind w:firstLine="28"/>
              <w:jc w:val="left"/>
              <w:rPr>
                <w:rFonts w:ascii="宋体" w:hAnsi="宋体" w:cs="宋体"/>
                <w:b/>
                <w:color w:val="auto"/>
                <w:szCs w:val="21"/>
              </w:rPr>
            </w:pPr>
            <w:r>
              <w:rPr>
                <w:rFonts w:hint="eastAsia" w:ascii="宋体" w:hAnsi="宋体" w:cs="宋体"/>
                <w:b/>
                <w:color w:val="auto"/>
                <w:szCs w:val="21"/>
              </w:rPr>
              <w:t>投标人应提供本项目售后服务承诺方案，根据方案的详细程度及</w:t>
            </w:r>
            <w:r>
              <w:rPr>
                <w:rFonts w:hint="eastAsia" w:ascii="宋体" w:hAnsi="宋体" w:cs="宋体"/>
                <w:b/>
                <w:color w:val="auto"/>
                <w:szCs w:val="21"/>
                <w:lang w:val="en-US" w:eastAsia="zh-CN"/>
              </w:rPr>
              <w:t>服务响应</w:t>
            </w:r>
            <w:r>
              <w:rPr>
                <w:rFonts w:hint="eastAsia" w:ascii="宋体" w:hAnsi="宋体" w:cs="宋体"/>
                <w:b/>
                <w:color w:val="auto"/>
                <w:szCs w:val="21"/>
              </w:rPr>
              <w:t>等原则进行综合评分：</w:t>
            </w:r>
          </w:p>
          <w:p>
            <w:pPr>
              <w:jc w:val="left"/>
              <w:rPr>
                <w:rFonts w:ascii="宋体" w:hAnsi="宋体" w:cs="宋体"/>
                <w:bCs/>
                <w:color w:val="auto"/>
                <w:szCs w:val="21"/>
              </w:rPr>
            </w:pPr>
            <w:r>
              <w:rPr>
                <w:rFonts w:hint="eastAsia" w:ascii="宋体" w:hAnsi="宋体" w:cs="宋体"/>
                <w:bCs/>
                <w:color w:val="auto"/>
                <w:szCs w:val="21"/>
              </w:rPr>
              <w:t>（1）投标人提供明确的售后服务承诺，内容包括保修期、售后服务响应时间、服务人员保证、完善的售后服务体系，每项得0.5分，共2分；</w:t>
            </w:r>
          </w:p>
          <w:p>
            <w:pPr>
              <w:jc w:val="left"/>
              <w:rPr>
                <w:rFonts w:ascii="宋体" w:hAnsi="宋体" w:cs="宋体"/>
                <w:bCs/>
                <w:color w:val="auto"/>
                <w:szCs w:val="21"/>
              </w:rPr>
            </w:pPr>
            <w:r>
              <w:rPr>
                <w:rFonts w:hint="eastAsia" w:ascii="宋体" w:hAnsi="宋体" w:cs="宋体"/>
                <w:bCs/>
                <w:color w:val="auto"/>
                <w:szCs w:val="21"/>
              </w:rPr>
              <w:t>（2）投标人提供</w:t>
            </w:r>
            <w:r>
              <w:rPr>
                <w:rFonts w:hint="eastAsia" w:ascii="宋体" w:hAnsi="宋体" w:cs="宋体"/>
                <w:bCs/>
                <w:color w:val="auto"/>
                <w:szCs w:val="21"/>
                <w:lang w:val="en-US" w:eastAsia="zh-CN"/>
              </w:rPr>
              <w:t>服务响应等情况</w:t>
            </w:r>
            <w:r>
              <w:rPr>
                <w:rFonts w:hint="eastAsia" w:ascii="宋体" w:hAnsi="宋体" w:cs="宋体"/>
                <w:bCs/>
                <w:color w:val="auto"/>
                <w:szCs w:val="21"/>
              </w:rPr>
              <w:t>证明的资料，得1分；</w:t>
            </w:r>
          </w:p>
          <w:p>
            <w:pPr>
              <w:jc w:val="left"/>
              <w:rPr>
                <w:rFonts w:ascii="宋体" w:hAnsi="宋体" w:cs="宋体"/>
                <w:bCs/>
                <w:color w:val="auto"/>
                <w:szCs w:val="21"/>
              </w:rPr>
            </w:pPr>
            <w:r>
              <w:rPr>
                <w:rFonts w:hint="eastAsia" w:ascii="宋体" w:hAnsi="宋体" w:cs="宋体"/>
                <w:bCs/>
                <w:color w:val="auto"/>
                <w:szCs w:val="21"/>
              </w:rPr>
              <w:t>（3）不提供不得分。</w:t>
            </w:r>
          </w:p>
          <w:p>
            <w:pPr>
              <w:jc w:val="left"/>
              <w:rPr>
                <w:rFonts w:hint="eastAsia"/>
                <w:color w:val="auto"/>
              </w:rPr>
            </w:pPr>
            <w:r>
              <w:rPr>
                <w:rFonts w:hint="eastAsia" w:ascii="宋体" w:hAnsi="宋体" w:cs="宋体"/>
                <w:bCs/>
                <w:color w:val="auto"/>
                <w:szCs w:val="21"/>
              </w:rPr>
              <w:t>（证明资料需加盖投标人公章。）</w:t>
            </w:r>
          </w:p>
        </w:tc>
        <w:tc>
          <w:tcPr>
            <w:tcW w:w="1993" w:type="dxa"/>
            <w:noWrap w:val="0"/>
            <w:vAlign w:val="center"/>
          </w:tcPr>
          <w:p>
            <w:pPr>
              <w:pStyle w:val="247"/>
              <w:spacing w:before="0" w:after="0"/>
              <w:rPr>
                <w:rFonts w:hint="eastAsia" w:ascii="宋体" w:hAnsi="宋体" w:eastAsia="宋体" w:cs="宋体"/>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17" w:hRule="atLeast"/>
        </w:trPr>
        <w:tc>
          <w:tcPr>
            <w:tcW w:w="682" w:type="dxa"/>
            <w:noWrap w:val="0"/>
            <w:vAlign w:val="center"/>
          </w:tcPr>
          <w:p>
            <w:pPr>
              <w:spacing w:line="360" w:lineRule="auto"/>
              <w:ind w:firstLine="28"/>
              <w:jc w:val="left"/>
              <w:rPr>
                <w:rFonts w:hint="eastAsia" w:ascii="宋体" w:hAnsi="宋体" w:cs="宋体"/>
                <w:color w:val="auto"/>
                <w:szCs w:val="21"/>
              </w:rPr>
            </w:pPr>
            <w:r>
              <w:rPr>
                <w:rFonts w:hint="eastAsia" w:ascii="宋体" w:hAnsi="宋体" w:cs="宋体"/>
                <w:color w:val="auto"/>
                <w:szCs w:val="21"/>
              </w:rPr>
              <w:t>3</w:t>
            </w:r>
          </w:p>
        </w:tc>
        <w:tc>
          <w:tcPr>
            <w:tcW w:w="747" w:type="dxa"/>
            <w:noWrap w:val="0"/>
            <w:vAlign w:val="center"/>
          </w:tcPr>
          <w:p>
            <w:pPr>
              <w:snapToGrid w:val="0"/>
              <w:spacing w:line="380" w:lineRule="exact"/>
              <w:jc w:val="center"/>
              <w:rPr>
                <w:rFonts w:hint="eastAsia" w:ascii="宋体" w:hAnsi="宋体" w:cs="宋体"/>
                <w:color w:val="auto"/>
                <w:szCs w:val="21"/>
              </w:rPr>
            </w:pPr>
            <w:r>
              <w:rPr>
                <w:rFonts w:hint="eastAsia" w:ascii="宋体" w:hAnsi="宋体"/>
                <w:color w:val="auto"/>
              </w:rPr>
              <w:t>投标报价</w:t>
            </w:r>
          </w:p>
        </w:tc>
        <w:tc>
          <w:tcPr>
            <w:tcW w:w="2387" w:type="dxa"/>
            <w:noWrap w:val="0"/>
            <w:vAlign w:val="center"/>
          </w:tcPr>
          <w:p>
            <w:pPr>
              <w:ind w:firstLine="28" w:firstLineChars="0"/>
              <w:jc w:val="center"/>
              <w:rPr>
                <w:rFonts w:hint="eastAsia" w:ascii="宋体" w:hAnsi="宋体" w:cs="宋体"/>
                <w:color w:val="auto"/>
                <w:szCs w:val="21"/>
              </w:rPr>
            </w:pPr>
            <w:r>
              <w:rPr>
                <w:rFonts w:ascii="宋体" w:hAnsi="宋体" w:cs="宋体"/>
                <w:color w:val="auto"/>
                <w:szCs w:val="21"/>
              </w:rPr>
              <w:t>10分</w:t>
            </w:r>
          </w:p>
        </w:tc>
        <w:tc>
          <w:tcPr>
            <w:tcW w:w="3249" w:type="dxa"/>
            <w:noWrap w:val="0"/>
            <w:vAlign w:val="center"/>
          </w:tcPr>
          <w:p>
            <w:pPr>
              <w:jc w:val="left"/>
              <w:rPr>
                <w:rFonts w:ascii="宋体" w:hAnsi="宋体" w:cs="宋体"/>
                <w:color w:val="auto"/>
                <w:szCs w:val="21"/>
              </w:rPr>
            </w:pPr>
            <w:r>
              <w:rPr>
                <w:rFonts w:hint="eastAsia" w:ascii="宋体" w:hAnsi="宋体" w:cs="宋体"/>
                <w:color w:val="auto"/>
                <w:szCs w:val="21"/>
                <w:lang w:bidi="ar"/>
              </w:rPr>
              <w:t>满足招标文件要求且投标价格最低的投标报价为评标基准价，其价格分为满分。其他投标人的价格分统一按照下列公式计算：</w:t>
            </w:r>
          </w:p>
          <w:p>
            <w:pPr>
              <w:ind w:firstLine="28" w:firstLineChars="0"/>
              <w:jc w:val="left"/>
              <w:rPr>
                <w:rFonts w:ascii="宋体" w:hAnsi="宋体" w:cs="宋体"/>
                <w:color w:val="auto"/>
                <w:szCs w:val="21"/>
              </w:rPr>
            </w:pPr>
            <w:r>
              <w:rPr>
                <w:rFonts w:hint="eastAsia" w:ascii="宋体" w:hAnsi="宋体" w:cs="宋体"/>
                <w:color w:val="auto"/>
                <w:szCs w:val="21"/>
                <w:lang w:bidi="ar"/>
              </w:rPr>
              <w:t>投标报价得分＝（评标基准价/投标报价）×分值。</w:t>
            </w:r>
          </w:p>
        </w:tc>
        <w:tc>
          <w:tcPr>
            <w:tcW w:w="1993" w:type="dxa"/>
            <w:noWrap w:val="0"/>
            <w:vAlign w:val="center"/>
          </w:tcPr>
          <w:p>
            <w:pPr>
              <w:pStyle w:val="247"/>
              <w:spacing w:before="0" w:after="0" w:line="240" w:lineRule="auto"/>
              <w:rPr>
                <w:rFonts w:hint="eastAsia" w:ascii="宋体" w:hAnsi="宋体" w:cs="宋体"/>
                <w:color w:val="auto"/>
                <w:szCs w:val="21"/>
              </w:rPr>
            </w:pPr>
            <w:r>
              <w:rPr>
                <w:rFonts w:hint="eastAsia" w:ascii="宋体" w:hAnsi="宋体" w:eastAsia="宋体" w:cs="宋体"/>
                <w:b w:val="0"/>
                <w:bCs/>
                <w:color w:val="auto"/>
                <w:sz w:val="21"/>
                <w:szCs w:val="21"/>
                <w:lang w:bidi="ar"/>
              </w:rPr>
              <w:t>此处投标报价指经过报价修正，及因落实政府采购政策进行价格调整后的报价，详见第四章《评标方法和评标标准》2.4及2.5。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3" w:hRule="atLeast"/>
        </w:trPr>
        <w:tc>
          <w:tcPr>
            <w:tcW w:w="9058" w:type="dxa"/>
            <w:gridSpan w:val="5"/>
            <w:noWrap w:val="0"/>
            <w:vAlign w:val="center"/>
          </w:tcPr>
          <w:p>
            <w:pPr>
              <w:spacing w:line="360" w:lineRule="auto"/>
              <w:ind w:firstLine="28"/>
              <w:jc w:val="center"/>
              <w:rPr>
                <w:rFonts w:hint="eastAsia" w:ascii="宋体" w:hAnsi="宋体" w:cs="宋体"/>
                <w:color w:val="auto"/>
                <w:szCs w:val="21"/>
              </w:rPr>
            </w:pPr>
            <w:r>
              <w:rPr>
                <w:rFonts w:hint="eastAsia" w:ascii="宋体" w:hAnsi="宋体" w:cs="宋体"/>
                <w:color w:val="auto"/>
                <w:szCs w:val="21"/>
              </w:rPr>
              <w:t>合计100分</w:t>
            </w:r>
          </w:p>
        </w:tc>
      </w:tr>
    </w:tbl>
    <w:p>
      <w:pPr>
        <w:tabs>
          <w:tab w:val="left" w:pos="360"/>
          <w:tab w:val="left" w:pos="1080"/>
        </w:tabs>
        <w:snapToGrid w:val="0"/>
        <w:spacing w:line="360" w:lineRule="auto"/>
        <w:ind w:left="1080"/>
        <w:rPr>
          <w:color w:val="auto"/>
          <w:sz w:val="24"/>
        </w:rPr>
      </w:pPr>
    </w:p>
    <w:p>
      <w:pPr>
        <w:widowControl/>
        <w:jc w:val="left"/>
        <w:rPr>
          <w:b/>
          <w:color w:val="auto"/>
          <w:sz w:val="36"/>
          <w:szCs w:val="36"/>
        </w:rPr>
      </w:pPr>
    </w:p>
    <w:p>
      <w:pPr>
        <w:spacing w:line="360" w:lineRule="auto"/>
        <w:jc w:val="center"/>
        <w:outlineLvl w:val="0"/>
        <w:rPr>
          <w:b/>
          <w:color w:val="auto"/>
          <w:sz w:val="36"/>
          <w:szCs w:val="36"/>
        </w:rPr>
      </w:pPr>
      <w:r>
        <w:rPr>
          <w:b/>
          <w:color w:val="auto"/>
          <w:sz w:val="36"/>
          <w:szCs w:val="36"/>
        </w:rPr>
        <w:br w:type="page"/>
      </w:r>
      <w:bookmarkStart w:id="818" w:name="_Toc99301424"/>
      <w:r>
        <w:rPr>
          <w:b/>
          <w:color w:val="auto"/>
          <w:sz w:val="36"/>
          <w:szCs w:val="36"/>
        </w:rPr>
        <w:t xml:space="preserve">第五章   </w:t>
      </w:r>
      <w:bookmarkEnd w:id="818"/>
      <w:r>
        <w:rPr>
          <w:b/>
          <w:color w:val="auto"/>
          <w:sz w:val="36"/>
          <w:szCs w:val="36"/>
        </w:rPr>
        <w:t>采购需求</w:t>
      </w:r>
    </w:p>
    <w:p>
      <w:pPr>
        <w:spacing w:line="360" w:lineRule="auto"/>
        <w:outlineLvl w:val="9"/>
        <w:rPr>
          <w:b/>
          <w:bCs/>
          <w:color w:val="auto"/>
          <w:sz w:val="24"/>
        </w:rPr>
      </w:pPr>
      <w:r>
        <w:rPr>
          <w:rFonts w:hint="eastAsia"/>
          <w:b/>
          <w:bCs/>
          <w:color w:val="auto"/>
          <w:sz w:val="24"/>
        </w:rPr>
        <w:t>一、基本信息</w:t>
      </w:r>
    </w:p>
    <w:p>
      <w:pPr>
        <w:spacing w:line="360" w:lineRule="auto"/>
        <w:outlineLvl w:val="9"/>
        <w:rPr>
          <w:rFonts w:hint="eastAsia" w:eastAsia="宋体"/>
          <w:b/>
          <w:bCs/>
          <w:color w:val="auto"/>
          <w:sz w:val="24"/>
          <w:lang w:eastAsia="zh-CN"/>
        </w:rPr>
      </w:pPr>
      <w:r>
        <w:rPr>
          <w:rFonts w:hint="eastAsia"/>
          <w:b/>
          <w:bCs/>
          <w:color w:val="auto"/>
          <w:sz w:val="24"/>
        </w:rPr>
        <w:t>项目名称：</w:t>
      </w:r>
      <w:r>
        <w:rPr>
          <w:rFonts w:hint="eastAsia"/>
          <w:b/>
          <w:bCs/>
          <w:color w:val="auto"/>
          <w:sz w:val="24"/>
          <w:lang w:eastAsia="zh-CN"/>
        </w:rPr>
        <w:t>2024年西城区空间数据治理与服务</w:t>
      </w:r>
    </w:p>
    <w:p>
      <w:pPr>
        <w:spacing w:line="360" w:lineRule="auto"/>
        <w:outlineLvl w:val="9"/>
        <w:rPr>
          <w:b/>
          <w:bCs/>
          <w:color w:val="auto"/>
          <w:sz w:val="24"/>
        </w:rPr>
      </w:pPr>
      <w:r>
        <w:rPr>
          <w:rFonts w:hint="eastAsia"/>
          <w:b/>
          <w:bCs/>
          <w:color w:val="auto"/>
          <w:sz w:val="24"/>
        </w:rPr>
        <w:t>预算金额：399万元</w:t>
      </w:r>
    </w:p>
    <w:p>
      <w:pPr>
        <w:spacing w:line="360" w:lineRule="auto"/>
        <w:outlineLvl w:val="9"/>
        <w:rPr>
          <w:b/>
          <w:bCs/>
          <w:color w:val="auto"/>
          <w:sz w:val="24"/>
        </w:rPr>
      </w:pPr>
      <w:r>
        <w:rPr>
          <w:rFonts w:hint="eastAsia"/>
          <w:b/>
          <w:bCs/>
          <w:color w:val="auto"/>
          <w:sz w:val="24"/>
        </w:rPr>
        <w:t>二</w:t>
      </w:r>
      <w:r>
        <w:rPr>
          <w:b/>
          <w:bCs/>
          <w:color w:val="auto"/>
          <w:sz w:val="24"/>
        </w:rPr>
        <w:t>、项目概述</w:t>
      </w:r>
    </w:p>
    <w:p>
      <w:pPr>
        <w:spacing w:line="360" w:lineRule="auto"/>
        <w:ind w:firstLine="420"/>
        <w:outlineLvl w:val="9"/>
        <w:rPr>
          <w:b/>
          <w:bCs/>
          <w:color w:val="auto"/>
          <w:sz w:val="24"/>
        </w:rPr>
      </w:pPr>
      <w:r>
        <w:rPr>
          <w:b/>
          <w:bCs/>
          <w:color w:val="auto"/>
          <w:sz w:val="24"/>
        </w:rPr>
        <w:t>1、项目背景</w:t>
      </w:r>
    </w:p>
    <w:p>
      <w:pPr>
        <w:widowControl w:val="0"/>
        <w:autoSpaceDE w:val="0"/>
        <w:autoSpaceDN w:val="0"/>
        <w:adjustRightInd w:val="0"/>
        <w:spacing w:line="360" w:lineRule="auto"/>
        <w:ind w:firstLine="480" w:firstLineChars="200"/>
        <w:jc w:val="both"/>
        <w:rPr>
          <w:rFonts w:ascii="宋体" w:hAnsi="宋体" w:eastAsia="宋体" w:cs="Symbol"/>
          <w:color w:val="auto"/>
          <w:sz w:val="24"/>
          <w:szCs w:val="24"/>
          <w:lang w:val="en-US" w:eastAsia="zh-CN" w:bidi="ar-SA"/>
        </w:rPr>
      </w:pPr>
      <w:r>
        <w:rPr>
          <w:rFonts w:hint="eastAsia" w:ascii="宋体" w:hAnsi="宋体" w:eastAsia="宋体" w:cs="Symbol"/>
          <w:color w:val="auto"/>
          <w:sz w:val="24"/>
          <w:szCs w:val="24"/>
          <w:lang w:val="en-US" w:eastAsia="zh-CN" w:bidi="ar-SA"/>
        </w:rPr>
        <w:t>《国民经济和社会发展第十四个五年规划纲要和2035年远景目标》明确提出“以数字化助推城乡发展和治理模式创新，全面提高运行效率和宜居度”，要“探索建设数字孪生城市”。自然资源部大力构建实景三维中国，发布《自然资源三维立体时空数据库建设总体方案》和《实景三维中国建设技术大纲（2021版）》，明确实景三维中国建设任务和技术路线，为经济社会发展和各行业信息化提供统一空间底座。</w:t>
      </w:r>
    </w:p>
    <w:p>
      <w:pPr>
        <w:widowControl w:val="0"/>
        <w:autoSpaceDE w:val="0"/>
        <w:autoSpaceDN w:val="0"/>
        <w:adjustRightInd w:val="0"/>
        <w:spacing w:line="360" w:lineRule="auto"/>
        <w:ind w:firstLine="480" w:firstLineChars="200"/>
        <w:jc w:val="both"/>
        <w:rPr>
          <w:rFonts w:ascii="宋体" w:hAnsi="宋体" w:eastAsia="宋体" w:cs="Symbol"/>
          <w:color w:val="auto"/>
          <w:sz w:val="24"/>
          <w:szCs w:val="24"/>
          <w:lang w:val="en-US" w:eastAsia="zh-CN" w:bidi="ar-SA"/>
        </w:rPr>
      </w:pPr>
      <w:r>
        <w:rPr>
          <w:rFonts w:hint="eastAsia" w:ascii="宋体" w:hAnsi="宋体" w:eastAsia="宋体" w:cs="宋体"/>
          <w:color w:val="auto"/>
          <w:sz w:val="24"/>
          <w:szCs w:val="30"/>
          <w:lang w:val="en-US" w:eastAsia="zh-CN" w:bidi="ar"/>
        </w:rPr>
        <w:t>《北京市关于加快建设全球数字经济标杆城市实施方案》要求打造全球领先的数字经济新体系，率先建设数据原生的城市基础设施，对城市各类空间实体和逻辑实体进行赋码，建设一人一码、一物一码、一事一码的城市时空编码体系。</w:t>
      </w:r>
      <w:r>
        <w:rPr>
          <w:rFonts w:hint="eastAsia" w:ascii="宋体" w:hAnsi="宋体" w:eastAsia="宋体" w:cs="Symbol"/>
          <w:color w:val="auto"/>
          <w:sz w:val="24"/>
          <w:szCs w:val="24"/>
          <w:lang w:val="en-US" w:eastAsia="zh-CN" w:bidi="ar-SA"/>
        </w:rPr>
        <w:t>《北京市数字经济全产业链开放发展行动方案》明确表示要 “建立数据采集主体、数据来源和采集方式合法性、正当性的管理机制，推动不同场景、不同领域数据的标准化采集和高质量兼容互通，提升大规模高质量的数据要素生产供给能力。”</w:t>
      </w:r>
    </w:p>
    <w:p>
      <w:pPr>
        <w:widowControl w:val="0"/>
        <w:autoSpaceDE w:val="0"/>
        <w:autoSpaceDN w:val="0"/>
        <w:adjustRightInd w:val="0"/>
        <w:spacing w:line="360" w:lineRule="auto"/>
        <w:ind w:firstLine="480" w:firstLineChars="200"/>
        <w:jc w:val="both"/>
        <w:rPr>
          <w:rFonts w:ascii="宋体" w:hAnsi="宋体" w:eastAsia="宋体" w:cs="Symbol"/>
          <w:color w:val="auto"/>
          <w:sz w:val="24"/>
          <w:szCs w:val="24"/>
          <w:lang w:val="en-US" w:eastAsia="zh-CN" w:bidi="ar-SA"/>
        </w:rPr>
      </w:pPr>
      <w:r>
        <w:rPr>
          <w:rFonts w:hint="eastAsia" w:ascii="宋体" w:hAnsi="宋体" w:eastAsia="宋体" w:cs="Symbol"/>
          <w:color w:val="auto"/>
          <w:sz w:val="24"/>
          <w:szCs w:val="24"/>
          <w:lang w:val="en-US" w:eastAsia="zh-CN" w:bidi="ar-SA"/>
        </w:rPr>
        <w:t>《西城区大数据发展顶层设计方案》明确指出，区科技和信息化局（区大数据局）对公共数据资源施行统一管理，要完善地理信息库，推进“一张底图”建设，支撑上层应用需求。做好相关数据统筹工作，建立数据更新机制，各部门根据工作职能推进数据维护工作。</w:t>
      </w:r>
    </w:p>
    <w:p>
      <w:pPr>
        <w:widowControl w:val="0"/>
        <w:autoSpaceDE w:val="0"/>
        <w:autoSpaceDN w:val="0"/>
        <w:adjustRightInd w:val="0"/>
        <w:spacing w:line="360" w:lineRule="auto"/>
        <w:ind w:firstLine="480" w:firstLineChars="200"/>
        <w:jc w:val="both"/>
        <w:rPr>
          <w:rFonts w:ascii="宋体" w:hAnsi="宋体" w:eastAsia="宋体" w:cs="Symbol"/>
          <w:color w:val="auto"/>
          <w:sz w:val="24"/>
          <w:szCs w:val="24"/>
          <w:highlight w:val="none"/>
          <w:lang w:val="en-US" w:eastAsia="zh-CN" w:bidi="ar-SA"/>
        </w:rPr>
      </w:pPr>
      <w:r>
        <w:rPr>
          <w:rFonts w:hint="eastAsia" w:ascii="宋体" w:hAnsi="宋体" w:eastAsia="宋体" w:cs="Symbol"/>
          <w:color w:val="auto"/>
          <w:sz w:val="24"/>
          <w:szCs w:val="24"/>
          <w:highlight w:val="none"/>
          <w:lang w:val="en-US" w:eastAsia="zh-CN" w:bidi="ar-SA"/>
        </w:rPr>
        <w:t>本项目前期针对城市运行领域，建设了公建配建停车场、道路附属设施等8个实体数据库，城市运行专题数据符号设计与制作，发布场景主题数据服务，为城市运行领域重点业务应用提供便捷、高效、灵活的空间数据支撑；建设了空间数据采集更新等模块，城市实体数据处理与管理工具，实现城市运行领域场景主题数据的可视化展示与分析，辅助城市运行管理和决策；基于平台构建的能力，以空间实体数据为基础，融合街道业务数据，建设人房管理和楼宇经济相关数据服务和场景应用。</w:t>
      </w:r>
    </w:p>
    <w:p>
      <w:pPr>
        <w:spacing w:line="360" w:lineRule="auto"/>
        <w:ind w:firstLine="482" w:firstLineChars="200"/>
        <w:jc w:val="both"/>
        <w:outlineLvl w:val="9"/>
        <w:rPr>
          <w:rFonts w:ascii="宋体" w:hAnsi="宋体"/>
          <w:b/>
          <w:bCs/>
          <w:color w:val="auto"/>
        </w:rPr>
      </w:pPr>
      <w:r>
        <w:rPr>
          <w:b/>
          <w:bCs/>
          <w:color w:val="auto"/>
          <w:sz w:val="24"/>
        </w:rPr>
        <w:t>2、</w:t>
      </w:r>
      <w:r>
        <w:rPr>
          <w:rFonts w:hint="eastAsia"/>
          <w:b/>
          <w:bCs/>
          <w:color w:val="auto"/>
          <w:sz w:val="24"/>
        </w:rPr>
        <w:t>项目定位</w:t>
      </w:r>
    </w:p>
    <w:p>
      <w:pPr>
        <w:widowControl w:val="0"/>
        <w:autoSpaceDE w:val="0"/>
        <w:autoSpaceDN w:val="0"/>
        <w:adjustRightInd w:val="0"/>
        <w:spacing w:line="360" w:lineRule="auto"/>
        <w:ind w:firstLine="480" w:firstLineChars="200"/>
        <w:jc w:val="both"/>
        <w:rPr>
          <w:rFonts w:ascii="宋体" w:hAnsi="宋体" w:eastAsia="宋体" w:cs="Symbol"/>
          <w:color w:val="auto"/>
          <w:sz w:val="24"/>
          <w:szCs w:val="24"/>
          <w:lang w:val="en-US" w:eastAsia="zh-CN" w:bidi="ar-SA"/>
        </w:rPr>
      </w:pPr>
      <w:r>
        <w:rPr>
          <w:rFonts w:hint="eastAsia" w:ascii="宋体" w:hAnsi="宋体" w:eastAsia="宋体" w:cs="Symbol"/>
          <w:color w:val="auto"/>
          <w:sz w:val="24"/>
          <w:szCs w:val="24"/>
          <w:lang w:val="en-US" w:eastAsia="zh-CN" w:bidi="ar-SA"/>
        </w:rPr>
        <w:t>“一张图”定位为区基础设施（区大数据中心）建设的一部分，旨在为全区各部门、各应用提供高质量的时空数据要素服务。为全区空间数据的采集生产、汇聚管理、融合治理、共享使用和监管评价全流程提供能力支撑，实现全区空间数据进得来、流得动、管理住、用得好，激活空间数据要素潜能，支撑数字政府、数字治理和数字经济建设。</w:t>
      </w:r>
    </w:p>
    <w:p>
      <w:pPr>
        <w:spacing w:line="360" w:lineRule="auto"/>
        <w:ind w:firstLine="420"/>
        <w:outlineLvl w:val="9"/>
        <w:rPr>
          <w:b/>
          <w:bCs/>
          <w:color w:val="auto"/>
          <w:sz w:val="24"/>
        </w:rPr>
      </w:pPr>
      <w:r>
        <w:rPr>
          <w:b/>
          <w:bCs/>
          <w:color w:val="auto"/>
          <w:sz w:val="24"/>
        </w:rPr>
        <w:t>3、项目建设目标</w:t>
      </w:r>
    </w:p>
    <w:p>
      <w:pPr>
        <w:spacing w:line="360" w:lineRule="auto"/>
        <w:ind w:firstLine="480" w:firstLineChars="200"/>
        <w:jc w:val="both"/>
        <w:rPr>
          <w:rFonts w:ascii="宋体" w:hAnsi="宋体" w:eastAsia="宋体" w:cs="Symbol"/>
          <w:color w:val="auto"/>
          <w:kern w:val="0"/>
          <w:sz w:val="24"/>
          <w:szCs w:val="24"/>
          <w:lang w:val="en-US" w:eastAsia="zh-CN" w:bidi="ar-SA"/>
        </w:rPr>
      </w:pPr>
      <w:r>
        <w:rPr>
          <w:rFonts w:hint="eastAsia" w:ascii="宋体" w:hAnsi="宋体" w:eastAsia="宋体" w:cs="Symbol"/>
          <w:color w:val="auto"/>
          <w:kern w:val="0"/>
          <w:sz w:val="24"/>
          <w:szCs w:val="24"/>
          <w:lang w:val="en-US" w:eastAsia="zh-CN" w:bidi="ar-SA"/>
        </w:rPr>
        <w:t>在现有基础上，坚持需求导向，夯实和提升全区“一张图”能力。提升数据汇聚处理能力，在项目立项和验收流程阶段前置检查过程，规范化空间数据的采集、检查和对发现问题数据的处理；优化数据融合能力，支撑空间数据分建共享模式落地，打造全区统一的、权威的、现势性强的地名地址语义能力，提高业务数据匹配成功率；新建城市多源信息融合可视化能力，助力各部门空间数据融合应用，探索全区一张图从二维到三维、从测绘地理信息到城市综合信息的跃升。</w:t>
      </w:r>
    </w:p>
    <w:p>
      <w:pPr>
        <w:spacing w:line="360" w:lineRule="auto"/>
        <w:outlineLvl w:val="9"/>
        <w:rPr>
          <w:b/>
          <w:bCs/>
          <w:color w:val="auto"/>
          <w:sz w:val="24"/>
        </w:rPr>
      </w:pPr>
      <w:r>
        <w:rPr>
          <w:rFonts w:hint="eastAsia"/>
          <w:b/>
          <w:bCs/>
          <w:color w:val="auto"/>
          <w:sz w:val="24"/>
        </w:rPr>
        <w:t>三</w:t>
      </w:r>
      <w:r>
        <w:rPr>
          <w:b/>
          <w:bCs/>
          <w:color w:val="auto"/>
          <w:sz w:val="24"/>
        </w:rPr>
        <w:t>、技术服务需求</w:t>
      </w:r>
    </w:p>
    <w:p>
      <w:pPr>
        <w:spacing w:line="360" w:lineRule="auto"/>
        <w:ind w:firstLine="420"/>
        <w:outlineLvl w:val="9"/>
        <w:rPr>
          <w:b/>
          <w:bCs/>
          <w:color w:val="auto"/>
        </w:rPr>
      </w:pPr>
      <w:r>
        <w:rPr>
          <w:rFonts w:hint="eastAsia"/>
          <w:b/>
          <w:bCs/>
          <w:color w:val="auto"/>
          <w:sz w:val="24"/>
        </w:rPr>
        <w:t>（一）功能需求</w:t>
      </w:r>
    </w:p>
    <w:p>
      <w:pPr>
        <w:widowControl w:val="0"/>
        <w:autoSpaceDE w:val="0"/>
        <w:autoSpaceDN w:val="0"/>
        <w:adjustRightInd w:val="0"/>
        <w:spacing w:line="360" w:lineRule="auto"/>
        <w:ind w:firstLine="480" w:firstLineChars="200"/>
        <w:rPr>
          <w:rFonts w:ascii="宋体" w:hAnsi="宋体" w:eastAsia="宋体" w:cs="Symbol"/>
          <w:color w:val="auto"/>
          <w:sz w:val="24"/>
          <w:szCs w:val="24"/>
          <w:lang w:val="en-US" w:eastAsia="zh-CN" w:bidi="ar-SA"/>
        </w:rPr>
      </w:pPr>
      <w:r>
        <w:rPr>
          <w:rFonts w:hint="eastAsia" w:ascii="宋体" w:hAnsi="宋体" w:eastAsia="宋体" w:cs="Symbol"/>
          <w:color w:val="auto"/>
          <w:sz w:val="24"/>
          <w:szCs w:val="24"/>
          <w:lang w:val="en-US" w:eastAsia="zh-CN" w:bidi="ar-SA"/>
        </w:rPr>
        <w:t>2024年在现有基础上，坚持需求导向，继续夯实和提升全区“一张图”能力。具体建设内容如下：</w:t>
      </w:r>
    </w:p>
    <w:p>
      <w:pPr>
        <w:widowControl w:val="0"/>
        <w:numPr>
          <w:ilvl w:val="0"/>
          <w:numId w:val="16"/>
        </w:numPr>
        <w:autoSpaceDE w:val="0"/>
        <w:autoSpaceDN w:val="0"/>
        <w:adjustRightInd w:val="0"/>
        <w:spacing w:line="360" w:lineRule="auto"/>
        <w:ind w:left="1200" w:hanging="720"/>
        <w:rPr>
          <w:rFonts w:ascii="宋体" w:hAnsi="宋体" w:eastAsia="宋体" w:cs="Symbol"/>
          <w:color w:val="auto"/>
          <w:sz w:val="24"/>
          <w:szCs w:val="24"/>
          <w:lang w:val="en-US" w:eastAsia="zh-CN" w:bidi="ar-SA"/>
        </w:rPr>
      </w:pPr>
      <w:r>
        <w:rPr>
          <w:rFonts w:hint="eastAsia" w:ascii="宋体" w:hAnsi="宋体" w:eastAsia="宋体" w:cs="Symbol"/>
          <w:color w:val="auto"/>
          <w:sz w:val="24"/>
          <w:szCs w:val="24"/>
          <w:lang w:val="en-US" w:eastAsia="zh-CN" w:bidi="ar-SA"/>
        </w:rPr>
        <w:t>提升数据汇聚处理能力建设</w:t>
      </w:r>
    </w:p>
    <w:p>
      <w:pPr>
        <w:widowControl w:val="0"/>
        <w:autoSpaceDE w:val="0"/>
        <w:autoSpaceDN w:val="0"/>
        <w:adjustRightInd w:val="0"/>
        <w:spacing w:line="360" w:lineRule="auto"/>
        <w:ind w:firstLine="480" w:firstLineChars="200"/>
        <w:rPr>
          <w:rFonts w:ascii="宋体" w:hAnsi="宋体" w:eastAsia="宋体" w:cs="Symbol"/>
          <w:color w:val="auto"/>
          <w:sz w:val="24"/>
          <w:szCs w:val="24"/>
          <w:lang w:val="en-US" w:eastAsia="zh-CN" w:bidi="ar-SA"/>
        </w:rPr>
      </w:pPr>
      <w:r>
        <w:rPr>
          <w:rFonts w:hint="eastAsia" w:ascii="宋体" w:hAnsi="宋体" w:eastAsia="宋体" w:cs="Symbol"/>
          <w:color w:val="auto"/>
          <w:sz w:val="24"/>
          <w:szCs w:val="24"/>
          <w:lang w:val="en-US" w:eastAsia="zh-CN" w:bidi="ar-SA"/>
        </w:rPr>
        <w:t>应包括汇聚数据检查算法、辅助信息化项目技术评审检查工具和问题数据处理工具，在项目立项和验收流程阶段前置检查过程，规范化空间数据的采集、检查和对发现问题数据的处理。</w:t>
      </w:r>
    </w:p>
    <w:p>
      <w:pPr>
        <w:widowControl w:val="0"/>
        <w:autoSpaceDE w:val="0"/>
        <w:autoSpaceDN w:val="0"/>
        <w:adjustRightInd w:val="0"/>
        <w:spacing w:line="360" w:lineRule="auto"/>
        <w:ind w:firstLine="480" w:firstLineChars="200"/>
        <w:rPr>
          <w:rFonts w:ascii="宋体" w:hAnsi="宋体" w:eastAsia="宋体" w:cs="Symbol"/>
          <w:color w:val="auto"/>
          <w:sz w:val="24"/>
          <w:szCs w:val="24"/>
          <w:lang w:val="en-US" w:eastAsia="zh-CN" w:bidi="ar-SA"/>
        </w:rPr>
      </w:pPr>
      <w:r>
        <w:rPr>
          <w:rFonts w:ascii="宋体" w:hAnsi="宋体" w:eastAsia="宋体" w:cs="Symbol"/>
          <w:color w:val="auto"/>
          <w:sz w:val="24"/>
          <w:szCs w:val="24"/>
          <w:lang w:val="en-US" w:eastAsia="zh-CN" w:bidi="ar-SA"/>
        </w:rPr>
        <w:t>1、汇聚数据检查算法：新增地址自描述一致性检查、门楼</w:t>
      </w:r>
      <w:r>
        <w:rPr>
          <w:rFonts w:hint="eastAsia" w:ascii="宋体" w:hAnsi="宋体" w:eastAsia="宋体" w:cs="Symbol"/>
          <w:color w:val="auto"/>
          <w:sz w:val="24"/>
          <w:szCs w:val="24"/>
          <w:lang w:val="en-US" w:eastAsia="zh-CN" w:bidi="ar-SA"/>
        </w:rPr>
        <w:t>地址检查、要素重复性检查、直线距离检查等</w:t>
      </w:r>
      <w:r>
        <w:rPr>
          <w:rFonts w:hint="eastAsia" w:ascii="Symbol" w:hAnsi="Symbol" w:eastAsia="宋体" w:cs="Symbol"/>
          <w:color w:val="auto"/>
          <w:sz w:val="24"/>
          <w:szCs w:val="24"/>
          <w:highlight w:val="none"/>
          <w:lang w:val="en-US" w:eastAsia="zh-CN" w:bidi="ar-SA"/>
        </w:rPr>
        <w:t>不少于15种算法</w:t>
      </w:r>
      <w:r>
        <w:rPr>
          <w:rFonts w:hint="eastAsia" w:ascii="宋体" w:hAnsi="宋体" w:eastAsia="宋体" w:cs="Symbol"/>
          <w:color w:val="auto"/>
          <w:sz w:val="24"/>
          <w:szCs w:val="24"/>
          <w:lang w:val="en-US" w:eastAsia="zh-CN" w:bidi="ar-SA"/>
        </w:rPr>
        <w:t>；</w:t>
      </w:r>
    </w:p>
    <w:p>
      <w:pPr>
        <w:widowControl w:val="0"/>
        <w:autoSpaceDE w:val="0"/>
        <w:autoSpaceDN w:val="0"/>
        <w:adjustRightInd w:val="0"/>
        <w:spacing w:line="360" w:lineRule="auto"/>
        <w:ind w:firstLine="480" w:firstLineChars="200"/>
        <w:rPr>
          <w:rFonts w:ascii="宋体" w:hAnsi="宋体" w:eastAsia="宋体" w:cs="Symbol"/>
          <w:color w:val="auto"/>
          <w:sz w:val="24"/>
          <w:szCs w:val="24"/>
          <w:lang w:val="en-US" w:eastAsia="zh-CN" w:bidi="ar-SA"/>
        </w:rPr>
      </w:pPr>
      <w:r>
        <w:rPr>
          <w:rFonts w:ascii="宋体" w:hAnsi="宋体" w:eastAsia="宋体" w:cs="Symbol"/>
          <w:color w:val="auto"/>
          <w:sz w:val="24"/>
          <w:szCs w:val="24"/>
          <w:lang w:val="en-US" w:eastAsia="zh-CN" w:bidi="ar-SA"/>
        </w:rPr>
        <w:t>2、辅助</w:t>
      </w:r>
      <w:r>
        <w:rPr>
          <w:rFonts w:hint="eastAsia" w:ascii="宋体" w:hAnsi="宋体" w:eastAsia="宋体" w:cs="Symbol"/>
          <w:color w:val="auto"/>
          <w:sz w:val="24"/>
          <w:szCs w:val="24"/>
          <w:lang w:val="en-US" w:eastAsia="zh-CN" w:bidi="ar-SA"/>
        </w:rPr>
        <w:t>信息化项目</w:t>
      </w:r>
      <w:r>
        <w:rPr>
          <w:rFonts w:hint="eastAsia" w:ascii="宋体" w:hAnsi="宋体" w:eastAsia="宋体" w:cs="Symbol"/>
          <w:color w:val="auto"/>
          <w:sz w:val="24"/>
          <w:szCs w:val="24"/>
          <w:highlight w:val="none"/>
          <w:lang w:val="en-US" w:eastAsia="zh-CN" w:bidi="ar-SA"/>
        </w:rPr>
        <w:t>评审</w:t>
      </w:r>
      <w:r>
        <w:rPr>
          <w:rFonts w:hint="eastAsia" w:ascii="宋体" w:hAnsi="宋体" w:eastAsia="宋体" w:cs="Symbol"/>
          <w:color w:val="auto"/>
          <w:sz w:val="24"/>
          <w:szCs w:val="24"/>
          <w:lang w:val="en-US" w:eastAsia="zh-CN" w:bidi="ar-SA"/>
        </w:rPr>
        <w:t>检查工具：支持针对</w:t>
      </w:r>
      <w:r>
        <w:rPr>
          <w:rFonts w:hint="eastAsia" w:ascii="宋体" w:hAnsi="宋体" w:eastAsia="宋体" w:cs="Symbol"/>
          <w:color w:val="auto"/>
          <w:sz w:val="24"/>
          <w:szCs w:val="24"/>
          <w:highlight w:val="none"/>
          <w:lang w:val="en-US" w:eastAsia="zh-CN" w:bidi="ar-SA"/>
        </w:rPr>
        <w:t>项目评审</w:t>
      </w:r>
      <w:r>
        <w:rPr>
          <w:rFonts w:hint="eastAsia" w:ascii="宋体" w:hAnsi="宋体" w:eastAsia="宋体" w:cs="Symbol"/>
          <w:color w:val="auto"/>
          <w:sz w:val="24"/>
          <w:szCs w:val="24"/>
          <w:lang w:val="en-US" w:eastAsia="zh-CN" w:bidi="ar-SA"/>
        </w:rPr>
        <w:t>过程进行检查，通过与目录链对接</w:t>
      </w:r>
      <w:r>
        <w:rPr>
          <w:rFonts w:hint="eastAsia" w:ascii="宋体" w:hAnsi="宋体" w:eastAsia="宋体" w:cs="Symbol"/>
          <w:color w:val="auto"/>
          <w:sz w:val="24"/>
          <w:szCs w:val="24"/>
          <w:highlight w:val="none"/>
          <w:lang w:val="en-US" w:eastAsia="zh-CN" w:bidi="ar-SA"/>
        </w:rPr>
        <w:t>项目评审</w:t>
      </w:r>
      <w:r>
        <w:rPr>
          <w:rFonts w:hint="eastAsia" w:ascii="宋体" w:hAnsi="宋体" w:eastAsia="宋体" w:cs="Symbol"/>
          <w:color w:val="auto"/>
          <w:sz w:val="24"/>
          <w:szCs w:val="24"/>
          <w:lang w:val="en-US" w:eastAsia="zh-CN" w:bidi="ar-SA"/>
        </w:rPr>
        <w:t>信息实现在项目立项、验收的全过程中对空间数据生产进行质量控制，并支持批量、增量等检查方式和检查结果的推送和邮件通知。建设内容包括项目对接、制定项目检查工程和项目检查</w:t>
      </w:r>
      <w:r>
        <w:rPr>
          <w:rFonts w:ascii="宋体" w:hAnsi="宋体" w:eastAsia="宋体" w:cs="Symbol"/>
          <w:color w:val="auto"/>
          <w:sz w:val="24"/>
          <w:szCs w:val="24"/>
          <w:lang w:val="en-US" w:eastAsia="zh-CN" w:bidi="ar-SA"/>
        </w:rPr>
        <w:t>3部分。</w:t>
      </w:r>
    </w:p>
    <w:p>
      <w:pPr>
        <w:widowControl w:val="0"/>
        <w:autoSpaceDE w:val="0"/>
        <w:autoSpaceDN w:val="0"/>
        <w:adjustRightInd w:val="0"/>
        <w:spacing w:line="360" w:lineRule="auto"/>
        <w:ind w:firstLine="480" w:firstLineChars="200"/>
        <w:rPr>
          <w:rFonts w:ascii="宋体" w:hAnsi="宋体" w:eastAsia="宋体" w:cs="Symbol"/>
          <w:color w:val="auto"/>
          <w:sz w:val="24"/>
          <w:szCs w:val="24"/>
          <w:lang w:val="en-US" w:eastAsia="zh-CN" w:bidi="ar-SA"/>
        </w:rPr>
      </w:pPr>
      <w:r>
        <w:rPr>
          <w:rFonts w:ascii="宋体" w:hAnsi="宋体" w:eastAsia="宋体" w:cs="Symbol"/>
          <w:color w:val="auto"/>
          <w:sz w:val="24"/>
          <w:szCs w:val="24"/>
          <w:lang w:val="en-US" w:eastAsia="zh-CN" w:bidi="ar-SA"/>
        </w:rPr>
        <w:t>3、问题数据处理工具：结合</w:t>
      </w:r>
      <w:r>
        <w:rPr>
          <w:rFonts w:hint="eastAsia" w:ascii="宋体" w:hAnsi="宋体" w:eastAsia="宋体" w:cs="Symbol"/>
          <w:color w:val="auto"/>
          <w:sz w:val="24"/>
          <w:szCs w:val="24"/>
          <w:highlight w:val="none"/>
          <w:lang w:val="en-US" w:eastAsia="zh-CN" w:bidi="ar-SA"/>
        </w:rPr>
        <w:t>项目评审</w:t>
      </w:r>
      <w:r>
        <w:rPr>
          <w:rFonts w:hint="eastAsia" w:ascii="宋体" w:hAnsi="宋体" w:eastAsia="宋体" w:cs="Symbol"/>
          <w:color w:val="auto"/>
          <w:sz w:val="24"/>
          <w:szCs w:val="24"/>
          <w:lang w:val="en-US" w:eastAsia="zh-CN" w:bidi="ar-SA"/>
        </w:rPr>
        <w:t>环节，部门需要对检查出的问题数据进行修改通过后才能提交项目验收，需要针对不同的检查错误，能自动修复的全自动，需要人工干预的给出参考建议，并支持辅助部门对上链数据检查结果进行修复。包括检查数据工作台、数据校正处理、数据输出更新和用户对接4部分。</w:t>
      </w:r>
    </w:p>
    <w:p>
      <w:pPr>
        <w:widowControl w:val="0"/>
        <w:autoSpaceDE w:val="0"/>
        <w:autoSpaceDN w:val="0"/>
        <w:adjustRightInd w:val="0"/>
        <w:spacing w:line="360" w:lineRule="auto"/>
        <w:ind w:firstLine="480" w:firstLineChars="200"/>
        <w:rPr>
          <w:rFonts w:ascii="宋体" w:hAnsi="宋体" w:eastAsia="宋体" w:cs="Symbol"/>
          <w:color w:val="auto"/>
          <w:sz w:val="24"/>
          <w:szCs w:val="24"/>
          <w:lang w:val="en-US" w:eastAsia="zh-CN" w:bidi="ar-SA"/>
        </w:rPr>
      </w:pPr>
      <w:r>
        <w:rPr>
          <w:rFonts w:hint="eastAsia" w:ascii="宋体" w:hAnsi="宋体" w:eastAsia="宋体" w:cs="Symbol"/>
          <w:color w:val="auto"/>
          <w:sz w:val="24"/>
          <w:szCs w:val="24"/>
          <w:lang w:val="en-US" w:eastAsia="zh-CN" w:bidi="ar-SA"/>
        </w:rPr>
        <w:t>（二）优化数据融合能力建设</w:t>
      </w:r>
    </w:p>
    <w:p>
      <w:pPr>
        <w:widowControl w:val="0"/>
        <w:autoSpaceDE w:val="0"/>
        <w:autoSpaceDN w:val="0"/>
        <w:adjustRightInd w:val="0"/>
        <w:spacing w:line="360" w:lineRule="auto"/>
        <w:ind w:firstLine="480" w:firstLineChars="200"/>
        <w:rPr>
          <w:rFonts w:ascii="宋体" w:hAnsi="宋体" w:eastAsia="宋体" w:cs="Symbol"/>
          <w:color w:val="auto"/>
          <w:sz w:val="24"/>
          <w:szCs w:val="24"/>
          <w:lang w:val="en-US" w:eastAsia="zh-CN" w:bidi="ar-SA"/>
        </w:rPr>
      </w:pPr>
      <w:r>
        <w:rPr>
          <w:rFonts w:hint="eastAsia" w:ascii="宋体" w:hAnsi="宋体" w:eastAsia="宋体" w:cs="Symbol"/>
          <w:color w:val="auto"/>
          <w:sz w:val="24"/>
          <w:szCs w:val="24"/>
          <w:lang w:val="en-US" w:eastAsia="zh-CN" w:bidi="ar-SA"/>
        </w:rPr>
        <w:t>应包括数据协同管理、地名地址语义融合、领域实体数据融合治理、运营监管四个能力建设，支撑空间数据分建共享模式落地，打造全区统一的、权威的、现势性强的地名地址语义能力，提高业务数据匹配成功率。</w:t>
      </w:r>
    </w:p>
    <w:p>
      <w:pPr>
        <w:widowControl w:val="0"/>
        <w:autoSpaceDE w:val="0"/>
        <w:autoSpaceDN w:val="0"/>
        <w:adjustRightInd w:val="0"/>
        <w:spacing w:line="360" w:lineRule="auto"/>
        <w:ind w:firstLine="480" w:firstLineChars="200"/>
        <w:rPr>
          <w:rFonts w:ascii="宋体" w:hAnsi="宋体" w:eastAsia="宋体" w:cs="Symbol"/>
          <w:color w:val="auto"/>
          <w:sz w:val="24"/>
          <w:szCs w:val="24"/>
          <w:lang w:val="en-US" w:eastAsia="zh-CN" w:bidi="ar-SA"/>
        </w:rPr>
      </w:pPr>
      <w:r>
        <w:rPr>
          <w:rFonts w:hint="eastAsia" w:ascii="宋体" w:hAnsi="宋体" w:eastAsia="宋体" w:cs="Symbol"/>
          <w:color w:val="auto"/>
          <w:sz w:val="24"/>
          <w:szCs w:val="24"/>
          <w:lang w:val="en-US" w:eastAsia="zh-CN" w:bidi="ar-SA"/>
        </w:rPr>
        <w:t>1、数据协同管理能力</w:t>
      </w:r>
    </w:p>
    <w:p>
      <w:pPr>
        <w:widowControl w:val="0"/>
        <w:autoSpaceDE w:val="0"/>
        <w:autoSpaceDN w:val="0"/>
        <w:adjustRightInd w:val="0"/>
        <w:spacing w:line="360" w:lineRule="auto"/>
        <w:ind w:firstLine="480" w:firstLineChars="200"/>
        <w:rPr>
          <w:rFonts w:ascii="宋体" w:hAnsi="宋体" w:eastAsia="宋体" w:cs="Symbol"/>
          <w:color w:val="auto"/>
          <w:sz w:val="24"/>
          <w:szCs w:val="24"/>
          <w:lang w:val="en-US" w:eastAsia="zh-CN" w:bidi="ar-SA"/>
        </w:rPr>
      </w:pPr>
      <w:r>
        <w:rPr>
          <w:rFonts w:hint="eastAsia" w:ascii="宋体" w:hAnsi="宋体" w:eastAsia="宋体" w:cs="Symbol"/>
          <w:color w:val="auto"/>
          <w:sz w:val="24"/>
          <w:szCs w:val="24"/>
          <w:highlight w:val="none"/>
          <w:lang w:val="en-US" w:eastAsia="zh-CN" w:bidi="ar-SA"/>
        </w:rPr>
        <w:t>为落实数据“谁生产、谁管理、逻辑集中”的原则，</w:t>
      </w:r>
      <w:r>
        <w:rPr>
          <w:rFonts w:hint="eastAsia" w:ascii="宋体" w:hAnsi="宋体" w:eastAsia="宋体" w:cs="Symbol"/>
          <w:color w:val="auto"/>
          <w:sz w:val="24"/>
          <w:szCs w:val="24"/>
          <w:lang w:val="en-US" w:eastAsia="zh-CN" w:bidi="ar-SA"/>
        </w:rPr>
        <w:t>推动空间数据从集中式管理向协同式管理转变，</w:t>
      </w:r>
      <w:r>
        <w:rPr>
          <w:rFonts w:hint="eastAsia" w:ascii="宋体" w:hAnsi="宋体" w:eastAsia="宋体" w:cs="Symbol"/>
          <w:color w:val="auto"/>
          <w:sz w:val="24"/>
          <w:szCs w:val="24"/>
          <w:highlight w:val="none"/>
          <w:lang w:val="en-US" w:eastAsia="zh-CN" w:bidi="ar-SA"/>
        </w:rPr>
        <w:t>支撑数据不落地</w:t>
      </w:r>
      <w:r>
        <w:rPr>
          <w:rFonts w:hint="eastAsia" w:ascii="宋体" w:hAnsi="宋体" w:eastAsia="宋体" w:cs="Symbol"/>
          <w:color w:val="auto"/>
          <w:sz w:val="24"/>
          <w:szCs w:val="24"/>
          <w:lang w:val="en-US" w:eastAsia="zh-CN" w:bidi="ar-SA"/>
        </w:rPr>
        <w:t>，</w:t>
      </w:r>
      <w:r>
        <w:rPr>
          <w:rFonts w:hint="eastAsia" w:ascii="宋体" w:hAnsi="宋体" w:eastAsia="宋体" w:cs="Symbol"/>
          <w:color w:val="auto"/>
          <w:sz w:val="24"/>
          <w:szCs w:val="24"/>
          <w:highlight w:val="none"/>
          <w:lang w:val="en-US" w:eastAsia="zh-CN" w:bidi="ar-SA"/>
        </w:rPr>
        <w:t>建设数据协调管理能力，实现</w:t>
      </w:r>
      <w:r>
        <w:rPr>
          <w:rFonts w:hint="eastAsia" w:ascii="宋体" w:hAnsi="宋体" w:eastAsia="宋体" w:cs="Symbol"/>
          <w:color w:val="auto"/>
          <w:sz w:val="24"/>
          <w:szCs w:val="24"/>
          <w:lang w:val="en-US" w:eastAsia="zh-CN" w:bidi="ar-SA"/>
        </w:rPr>
        <w:t>各部门用户</w:t>
      </w:r>
      <w:r>
        <w:rPr>
          <w:rFonts w:hint="eastAsia" w:ascii="宋体" w:hAnsi="宋体" w:eastAsia="宋体" w:cs="Symbol"/>
          <w:color w:val="auto"/>
          <w:sz w:val="24"/>
          <w:szCs w:val="24"/>
          <w:highlight w:val="none"/>
          <w:lang w:val="en-US" w:eastAsia="zh-CN" w:bidi="ar-SA"/>
        </w:rPr>
        <w:t>可</w:t>
      </w:r>
      <w:r>
        <w:rPr>
          <w:rFonts w:hint="eastAsia" w:ascii="宋体" w:hAnsi="宋体" w:eastAsia="宋体" w:cs="Symbol"/>
          <w:color w:val="auto"/>
          <w:sz w:val="24"/>
          <w:szCs w:val="24"/>
          <w:lang w:val="en-US" w:eastAsia="zh-CN" w:bidi="ar-SA"/>
        </w:rPr>
        <w:t>自主管理</w:t>
      </w:r>
      <w:r>
        <w:rPr>
          <w:rFonts w:hint="eastAsia" w:ascii="宋体" w:hAnsi="宋体" w:eastAsia="宋体" w:cs="Symbol"/>
          <w:color w:val="auto"/>
          <w:sz w:val="24"/>
          <w:szCs w:val="24"/>
          <w:highlight w:val="none"/>
          <w:lang w:val="en-US" w:eastAsia="zh-CN" w:bidi="ar-SA"/>
        </w:rPr>
        <w:t>、发布</w:t>
      </w:r>
      <w:r>
        <w:rPr>
          <w:rFonts w:hint="eastAsia" w:ascii="宋体" w:hAnsi="宋体" w:eastAsia="宋体" w:cs="Symbol"/>
          <w:color w:val="auto"/>
          <w:sz w:val="24"/>
          <w:szCs w:val="24"/>
          <w:lang w:val="en-US" w:eastAsia="zh-CN" w:bidi="ar-SA"/>
        </w:rPr>
        <w:t>时空数据。建设内容应包括租户空间管理、空间数据管理和空间数据服务发布管理等</w:t>
      </w:r>
      <w:r>
        <w:rPr>
          <w:rFonts w:ascii="宋体" w:hAnsi="宋体" w:eastAsia="宋体" w:cs="Symbol"/>
          <w:color w:val="auto"/>
          <w:sz w:val="24"/>
          <w:szCs w:val="24"/>
          <w:lang w:val="en-US" w:eastAsia="zh-CN" w:bidi="ar-SA"/>
        </w:rPr>
        <w:t>3部分。</w:t>
      </w:r>
    </w:p>
    <w:p>
      <w:pPr>
        <w:widowControl w:val="0"/>
        <w:autoSpaceDE w:val="0"/>
        <w:autoSpaceDN w:val="0"/>
        <w:adjustRightInd w:val="0"/>
        <w:spacing w:line="360" w:lineRule="auto"/>
        <w:ind w:firstLine="480" w:firstLineChars="200"/>
        <w:rPr>
          <w:rFonts w:ascii="宋体" w:hAnsi="宋体" w:eastAsia="宋体" w:cs="Symbol"/>
          <w:color w:val="auto"/>
          <w:sz w:val="24"/>
          <w:szCs w:val="24"/>
          <w:lang w:val="en-US" w:eastAsia="zh-CN" w:bidi="ar-SA"/>
        </w:rPr>
      </w:pPr>
      <w:r>
        <w:rPr>
          <w:rFonts w:ascii="宋体" w:hAnsi="宋体" w:eastAsia="宋体" w:cs="Symbol"/>
          <w:color w:val="auto"/>
          <w:sz w:val="24"/>
          <w:szCs w:val="24"/>
          <w:lang w:val="en-US" w:eastAsia="zh-CN" w:bidi="ar-SA"/>
        </w:rPr>
        <w:t>2、地名地址语义融合能力</w:t>
      </w:r>
    </w:p>
    <w:p>
      <w:pPr>
        <w:widowControl w:val="0"/>
        <w:autoSpaceDE w:val="0"/>
        <w:autoSpaceDN w:val="0"/>
        <w:adjustRightInd w:val="0"/>
        <w:spacing w:line="360" w:lineRule="auto"/>
        <w:ind w:firstLine="480" w:firstLineChars="200"/>
        <w:rPr>
          <w:rFonts w:ascii="宋体" w:hAnsi="宋体" w:eastAsia="宋体" w:cs="Symbol"/>
          <w:color w:val="auto"/>
          <w:sz w:val="24"/>
          <w:szCs w:val="24"/>
          <w:lang w:val="en-US" w:eastAsia="zh-CN" w:bidi="ar-SA"/>
        </w:rPr>
      </w:pPr>
      <w:r>
        <w:rPr>
          <w:rFonts w:hint="eastAsia" w:ascii="宋体" w:hAnsi="宋体" w:eastAsia="宋体" w:cs="Symbol"/>
          <w:color w:val="auto"/>
          <w:sz w:val="24"/>
          <w:szCs w:val="24"/>
          <w:lang w:val="en-US" w:eastAsia="zh-CN" w:bidi="ar-SA"/>
        </w:rPr>
        <w:t>构建语义地址模型，提供对地址语义数据进行治理的后台模型算法，应通过模型算法完成批量自动化的处理，为每一步处理打上处理标签，辅助后续人工进行确认，提高地址语义治理人工工作效率；面向治理和管理人员应构建人工对地址语义数据进行检查处理的语义地址治理工具；面向平台使用用户应构建地址语义服务，提供批量转换的工具和二次开发的服务API，满足部门自有的业务系统中集成地址语义查询服务能力。</w:t>
      </w:r>
    </w:p>
    <w:p>
      <w:pPr>
        <w:widowControl w:val="0"/>
        <w:autoSpaceDE w:val="0"/>
        <w:autoSpaceDN w:val="0"/>
        <w:adjustRightInd w:val="0"/>
        <w:spacing w:line="360" w:lineRule="auto"/>
        <w:ind w:firstLine="480" w:firstLineChars="200"/>
        <w:rPr>
          <w:rFonts w:ascii="宋体" w:hAnsi="宋体" w:eastAsia="宋体" w:cs="Symbol"/>
          <w:color w:val="auto"/>
          <w:sz w:val="24"/>
          <w:szCs w:val="24"/>
          <w:lang w:val="en-US" w:eastAsia="zh-CN" w:bidi="ar-SA"/>
        </w:rPr>
      </w:pPr>
      <w:r>
        <w:rPr>
          <w:rFonts w:hint="eastAsia" w:ascii="宋体" w:hAnsi="宋体" w:eastAsia="宋体" w:cs="Symbol"/>
          <w:color w:val="auto"/>
          <w:sz w:val="24"/>
          <w:szCs w:val="24"/>
          <w:lang w:val="en-US" w:eastAsia="zh-CN" w:bidi="ar-SA"/>
        </w:rPr>
        <w:t>3、领域实体数据融合治理能力</w:t>
      </w:r>
    </w:p>
    <w:p>
      <w:pPr>
        <w:widowControl w:val="0"/>
        <w:autoSpaceDE w:val="0"/>
        <w:autoSpaceDN w:val="0"/>
        <w:adjustRightInd w:val="0"/>
        <w:spacing w:line="360" w:lineRule="auto"/>
        <w:ind w:firstLine="480" w:firstLineChars="200"/>
        <w:rPr>
          <w:rFonts w:ascii="宋体" w:hAnsi="宋体" w:eastAsia="宋体" w:cs="Symbol"/>
          <w:color w:val="auto"/>
          <w:sz w:val="24"/>
          <w:szCs w:val="24"/>
          <w:lang w:val="en-US" w:eastAsia="zh-CN" w:bidi="ar-SA"/>
        </w:rPr>
      </w:pPr>
      <w:r>
        <w:rPr>
          <w:rFonts w:hint="eastAsia" w:ascii="宋体" w:hAnsi="宋体" w:eastAsia="宋体" w:cs="Symbol"/>
          <w:color w:val="auto"/>
          <w:sz w:val="24"/>
          <w:szCs w:val="24"/>
          <w:lang w:val="en-US" w:eastAsia="zh-CN" w:bidi="ar-SA"/>
        </w:rPr>
        <w:t>面向部门治理人员，提供本部门实体成果浏览，实体元数据管理，实体数据汇聚处理，比对生成新的实体，自定义组装处理规则，批量提取成果数据，实体语义融合和多坐标系数据融合等能力。</w:t>
      </w:r>
    </w:p>
    <w:p>
      <w:pPr>
        <w:widowControl w:val="0"/>
        <w:autoSpaceDE w:val="0"/>
        <w:autoSpaceDN w:val="0"/>
        <w:adjustRightInd w:val="0"/>
        <w:spacing w:line="360" w:lineRule="auto"/>
        <w:ind w:firstLine="480" w:firstLineChars="200"/>
        <w:rPr>
          <w:rFonts w:ascii="宋体" w:hAnsi="宋体" w:eastAsia="宋体" w:cs="Symbol"/>
          <w:color w:val="auto"/>
          <w:sz w:val="24"/>
          <w:szCs w:val="24"/>
          <w:lang w:val="en-US" w:eastAsia="zh-CN" w:bidi="ar-SA"/>
        </w:rPr>
      </w:pPr>
      <w:r>
        <w:rPr>
          <w:rFonts w:hint="eastAsia" w:ascii="宋体" w:hAnsi="宋体" w:eastAsia="宋体" w:cs="Symbol"/>
          <w:color w:val="auto"/>
          <w:sz w:val="24"/>
          <w:szCs w:val="24"/>
          <w:lang w:val="en-US" w:eastAsia="zh-CN" w:bidi="ar-SA"/>
        </w:rPr>
        <w:t>部门基于政务坐标进行领域数据融合加工，平台需自动化转换一套互联网坐标系数据，实现对部门互联网域的地图应用，以解决互联网域地图应用需求。</w:t>
      </w:r>
    </w:p>
    <w:p>
      <w:pPr>
        <w:widowControl w:val="0"/>
        <w:autoSpaceDE w:val="0"/>
        <w:autoSpaceDN w:val="0"/>
        <w:adjustRightInd w:val="0"/>
        <w:spacing w:line="360" w:lineRule="auto"/>
        <w:ind w:firstLine="480" w:firstLineChars="200"/>
        <w:rPr>
          <w:rFonts w:ascii="宋体" w:hAnsi="宋体" w:eastAsia="宋体" w:cs="Symbol"/>
          <w:color w:val="auto"/>
          <w:sz w:val="24"/>
          <w:szCs w:val="24"/>
          <w:lang w:val="en-US" w:eastAsia="zh-CN" w:bidi="ar-SA"/>
        </w:rPr>
      </w:pPr>
      <w:r>
        <w:rPr>
          <w:rFonts w:ascii="宋体" w:hAnsi="宋体" w:eastAsia="宋体" w:cs="Symbol"/>
          <w:color w:val="auto"/>
          <w:sz w:val="24"/>
          <w:szCs w:val="24"/>
          <w:lang w:val="en-US" w:eastAsia="zh-CN" w:bidi="ar-SA"/>
        </w:rPr>
        <w:t>4、运营监管能力：提升对平台日常运行</w:t>
      </w:r>
      <w:r>
        <w:rPr>
          <w:rFonts w:hint="eastAsia" w:ascii="宋体" w:hAnsi="宋体" w:eastAsia="宋体" w:cs="Symbol"/>
          <w:color w:val="auto"/>
          <w:sz w:val="24"/>
          <w:szCs w:val="24"/>
          <w:lang w:val="en-US" w:eastAsia="zh-CN" w:bidi="ar-SA"/>
        </w:rPr>
        <w:t>情况的日志记录与统计，体现平台的使用绩效，为数据监管使用提供支撑。建设内容应包括工具日志管理和运行统计管理。</w:t>
      </w:r>
    </w:p>
    <w:p>
      <w:pPr>
        <w:widowControl w:val="0"/>
        <w:autoSpaceDE w:val="0"/>
        <w:autoSpaceDN w:val="0"/>
        <w:adjustRightInd w:val="0"/>
        <w:spacing w:line="360" w:lineRule="auto"/>
        <w:ind w:firstLine="480" w:firstLineChars="200"/>
        <w:rPr>
          <w:rFonts w:ascii="宋体" w:hAnsi="宋体" w:eastAsia="宋体" w:cs="Symbol"/>
          <w:color w:val="auto"/>
          <w:sz w:val="24"/>
          <w:szCs w:val="24"/>
          <w:lang w:val="en-US" w:eastAsia="zh-CN" w:bidi="ar-SA"/>
        </w:rPr>
      </w:pPr>
      <w:r>
        <w:rPr>
          <w:rFonts w:hint="eastAsia" w:ascii="宋体" w:hAnsi="宋体" w:eastAsia="宋体" w:cs="Symbol"/>
          <w:color w:val="auto"/>
          <w:sz w:val="24"/>
          <w:szCs w:val="24"/>
          <w:lang w:val="en-US" w:eastAsia="zh-CN" w:bidi="ar-SA"/>
        </w:rPr>
        <w:t>（三）新建城市多源信息融合可视化能力建设</w:t>
      </w:r>
    </w:p>
    <w:p>
      <w:pPr>
        <w:widowControl w:val="0"/>
        <w:autoSpaceDE w:val="0"/>
        <w:autoSpaceDN w:val="0"/>
        <w:adjustRightInd w:val="0"/>
        <w:spacing w:line="360" w:lineRule="auto"/>
        <w:ind w:firstLine="480" w:firstLineChars="200"/>
        <w:rPr>
          <w:rFonts w:ascii="宋体" w:hAnsi="宋体" w:eastAsia="宋体" w:cs="Symbol"/>
          <w:color w:val="auto"/>
          <w:sz w:val="24"/>
          <w:szCs w:val="24"/>
          <w:lang w:val="en-US" w:eastAsia="zh-CN" w:bidi="ar-SA"/>
        </w:rPr>
      </w:pPr>
      <w:r>
        <w:rPr>
          <w:rFonts w:hint="eastAsia" w:ascii="宋体" w:hAnsi="宋体" w:eastAsia="宋体" w:cs="Symbol"/>
          <w:color w:val="auto"/>
          <w:sz w:val="24"/>
          <w:szCs w:val="24"/>
          <w:lang w:val="en-US" w:eastAsia="zh-CN" w:bidi="ar-SA"/>
        </w:rPr>
        <w:t>助力各部门空间数据融合应用，探索全区一张图从二维到三维、从测绘地理信息到城市综合信息的跃升。建设内容应包括高渲染地图可视化、二三维数据融合可视化、多尺度数据融合可视化、三维场景SDK、人口接入融合SDK、语义检索融合分析SDK和城市三维模型数据融合服务。</w:t>
      </w:r>
    </w:p>
    <w:p>
      <w:pPr>
        <w:widowControl w:val="0"/>
        <w:autoSpaceDE w:val="0"/>
        <w:autoSpaceDN w:val="0"/>
        <w:adjustRightInd w:val="0"/>
        <w:spacing w:line="360" w:lineRule="auto"/>
        <w:ind w:firstLine="480" w:firstLineChars="200"/>
        <w:rPr>
          <w:rFonts w:ascii="宋体" w:hAnsi="宋体" w:eastAsia="宋体" w:cs="Symbol"/>
          <w:color w:val="auto"/>
          <w:sz w:val="24"/>
          <w:szCs w:val="24"/>
          <w:lang w:val="en-US" w:eastAsia="zh-CN" w:bidi="ar-SA"/>
        </w:rPr>
      </w:pPr>
      <w:r>
        <w:rPr>
          <w:rFonts w:hint="eastAsia" w:ascii="宋体" w:hAnsi="宋体" w:eastAsia="宋体" w:cs="Symbol"/>
          <w:color w:val="auto"/>
          <w:sz w:val="24"/>
          <w:szCs w:val="24"/>
          <w:lang w:val="en-US" w:eastAsia="zh-CN" w:bidi="ar-SA"/>
        </w:rPr>
        <w:t>1、高渲染地图可视化能力：通过高逼真云渲染创新技术，应实现加载快、延迟低、跨终端以及更炫酷的场景效果，满足城市多维数据的展示分析使用；</w:t>
      </w:r>
    </w:p>
    <w:p>
      <w:pPr>
        <w:widowControl w:val="0"/>
        <w:autoSpaceDE w:val="0"/>
        <w:autoSpaceDN w:val="0"/>
        <w:adjustRightInd w:val="0"/>
        <w:spacing w:line="360" w:lineRule="auto"/>
        <w:ind w:firstLine="480" w:firstLineChars="200"/>
        <w:rPr>
          <w:rFonts w:ascii="宋体" w:hAnsi="宋体" w:eastAsia="宋体" w:cs="Symbol"/>
          <w:color w:val="auto"/>
          <w:sz w:val="24"/>
          <w:szCs w:val="24"/>
          <w:lang w:val="en-US" w:eastAsia="zh-CN" w:bidi="ar-SA"/>
        </w:rPr>
      </w:pPr>
      <w:r>
        <w:rPr>
          <w:rFonts w:hint="eastAsia" w:ascii="宋体" w:hAnsi="宋体" w:eastAsia="宋体" w:cs="Symbol"/>
          <w:color w:val="auto"/>
          <w:sz w:val="24"/>
          <w:szCs w:val="24"/>
          <w:lang w:val="en-US" w:eastAsia="zh-CN" w:bidi="ar-SA"/>
        </w:rPr>
        <w:t>2、二三维数据融合可视化能力：应实现常规二维GIS数据与三维高渲染能力的融合可视化；</w:t>
      </w:r>
    </w:p>
    <w:p>
      <w:pPr>
        <w:widowControl w:val="0"/>
        <w:autoSpaceDE w:val="0"/>
        <w:autoSpaceDN w:val="0"/>
        <w:adjustRightInd w:val="0"/>
        <w:spacing w:line="360" w:lineRule="auto"/>
        <w:ind w:firstLine="480" w:firstLineChars="200"/>
        <w:rPr>
          <w:rFonts w:ascii="宋体" w:hAnsi="宋体" w:eastAsia="宋体" w:cs="Symbol"/>
          <w:color w:val="auto"/>
          <w:sz w:val="24"/>
          <w:szCs w:val="24"/>
          <w:lang w:val="en-US" w:eastAsia="zh-CN" w:bidi="ar-SA"/>
        </w:rPr>
      </w:pPr>
      <w:r>
        <w:rPr>
          <w:rFonts w:hint="eastAsia" w:ascii="宋体" w:hAnsi="宋体" w:eastAsia="宋体" w:cs="Symbol"/>
          <w:color w:val="auto"/>
          <w:sz w:val="24"/>
          <w:szCs w:val="24"/>
          <w:lang w:val="en-US" w:eastAsia="zh-CN" w:bidi="ar-SA"/>
        </w:rPr>
        <w:t>3、多尺度数据融合可视化能力：应提供从地表模型、标准模型、精细模型以及室内模型多尺度数据基于高渲染能力的场景融合；</w:t>
      </w:r>
    </w:p>
    <w:p>
      <w:pPr>
        <w:widowControl w:val="0"/>
        <w:autoSpaceDE w:val="0"/>
        <w:autoSpaceDN w:val="0"/>
        <w:adjustRightInd w:val="0"/>
        <w:spacing w:line="360" w:lineRule="auto"/>
        <w:ind w:firstLine="480" w:firstLineChars="200"/>
        <w:rPr>
          <w:rFonts w:hint="eastAsia" w:ascii="宋体" w:hAnsi="宋体" w:eastAsia="宋体" w:cs="Symbol"/>
          <w:color w:val="auto"/>
          <w:sz w:val="24"/>
          <w:szCs w:val="24"/>
          <w:lang w:val="en-US" w:eastAsia="zh-CN" w:bidi="ar-SA"/>
        </w:rPr>
      </w:pPr>
      <w:r>
        <w:rPr>
          <w:rFonts w:hint="eastAsia" w:ascii="宋体" w:hAnsi="宋体" w:eastAsia="宋体" w:cs="Symbol"/>
          <w:color w:val="auto"/>
          <w:sz w:val="24"/>
          <w:szCs w:val="24"/>
          <w:lang w:val="en-US" w:eastAsia="zh-CN" w:bidi="ar-SA"/>
        </w:rPr>
        <w:t>4、三维场景SDK：面向部门开发人员，应提供高渲染地图场景的服务接口，方便集成到高渲染地图的使用；</w:t>
      </w:r>
    </w:p>
    <w:p>
      <w:pPr>
        <w:widowControl w:val="0"/>
        <w:autoSpaceDE w:val="0"/>
        <w:autoSpaceDN w:val="0"/>
        <w:adjustRightInd w:val="0"/>
        <w:spacing w:line="360" w:lineRule="auto"/>
        <w:ind w:firstLine="480" w:firstLineChars="200"/>
        <w:rPr>
          <w:rFonts w:hint="eastAsia" w:ascii="宋体" w:hAnsi="宋体" w:eastAsia="宋体" w:cs="Symbol"/>
          <w:color w:val="auto"/>
          <w:sz w:val="24"/>
          <w:szCs w:val="24"/>
          <w:lang w:val="en-US" w:eastAsia="zh-CN" w:bidi="ar-SA"/>
        </w:rPr>
      </w:pPr>
      <w:r>
        <w:rPr>
          <w:rFonts w:hint="eastAsia" w:ascii="宋体" w:hAnsi="宋体" w:eastAsia="宋体" w:cs="Symbol"/>
          <w:color w:val="auto"/>
          <w:sz w:val="24"/>
          <w:szCs w:val="24"/>
          <w:lang w:val="en-US" w:eastAsia="zh-CN" w:bidi="ar-SA"/>
        </w:rPr>
        <w:t>5、人口接入融合SDK：面向部门开发人员，应提供人口数据基于高渲染地图的服务接口，方便集成到高渲染地图的使用；</w:t>
      </w:r>
    </w:p>
    <w:p>
      <w:pPr>
        <w:widowControl w:val="0"/>
        <w:autoSpaceDE w:val="0"/>
        <w:autoSpaceDN w:val="0"/>
        <w:adjustRightInd w:val="0"/>
        <w:spacing w:line="360" w:lineRule="auto"/>
        <w:ind w:firstLine="480" w:firstLineChars="200"/>
        <w:rPr>
          <w:rFonts w:hint="eastAsia" w:ascii="宋体" w:hAnsi="宋体" w:eastAsia="宋体" w:cs="Symbol"/>
          <w:color w:val="auto"/>
          <w:sz w:val="24"/>
          <w:szCs w:val="24"/>
          <w:lang w:val="en-US" w:eastAsia="zh-CN" w:bidi="ar-SA"/>
        </w:rPr>
      </w:pPr>
      <w:r>
        <w:rPr>
          <w:rFonts w:hint="eastAsia" w:ascii="宋体" w:hAnsi="宋体" w:eastAsia="宋体" w:cs="Symbol"/>
          <w:color w:val="auto"/>
          <w:sz w:val="24"/>
          <w:szCs w:val="24"/>
          <w:lang w:val="en-US" w:eastAsia="zh-CN" w:bidi="ar-SA"/>
        </w:rPr>
        <w:t>6、语义检索融合分析SDK：面向部门开发人员，应提供地址及实体语义数据基于高渲染地图的服务接口，方便集成到高渲染地图的使用；</w:t>
      </w:r>
    </w:p>
    <w:p>
      <w:pPr>
        <w:widowControl w:val="0"/>
        <w:autoSpaceDE w:val="0"/>
        <w:autoSpaceDN w:val="0"/>
        <w:adjustRightInd w:val="0"/>
        <w:spacing w:line="360" w:lineRule="auto"/>
        <w:ind w:firstLine="480" w:firstLineChars="200"/>
        <w:rPr>
          <w:rFonts w:ascii="宋体" w:hAnsi="宋体" w:eastAsia="宋体" w:cs="Symbol"/>
          <w:color w:val="auto"/>
          <w:sz w:val="24"/>
          <w:szCs w:val="24"/>
          <w:lang w:val="en-US" w:eastAsia="zh-CN" w:bidi="ar-SA"/>
        </w:rPr>
      </w:pPr>
      <w:r>
        <w:rPr>
          <w:rFonts w:hint="eastAsia" w:ascii="宋体" w:hAnsi="宋体" w:eastAsia="宋体" w:cs="Symbol"/>
          <w:color w:val="auto"/>
          <w:sz w:val="24"/>
          <w:szCs w:val="24"/>
          <w:lang w:val="en-US" w:eastAsia="zh-CN" w:bidi="ar-SA"/>
        </w:rPr>
        <w:t>7、城市三维模型数据融合服务以试点模式，按照高渲染地图场景要求融合其他多类数据，探索新引擎下的大屏端可视化能力，构建西城区一张图对外展示、宣传的窗口。</w:t>
      </w:r>
    </w:p>
    <w:p>
      <w:pPr>
        <w:widowControl w:val="0"/>
        <w:autoSpaceDE w:val="0"/>
        <w:autoSpaceDN w:val="0"/>
        <w:adjustRightInd w:val="0"/>
        <w:spacing w:line="360" w:lineRule="auto"/>
        <w:ind w:firstLine="480" w:firstLineChars="200"/>
        <w:rPr>
          <w:rFonts w:ascii="宋体" w:hAnsi="宋体" w:eastAsia="宋体" w:cs="Symbol"/>
          <w:color w:val="auto"/>
          <w:sz w:val="24"/>
          <w:szCs w:val="24"/>
          <w:lang w:val="en-US" w:eastAsia="zh-CN" w:bidi="ar-SA"/>
        </w:rPr>
      </w:pPr>
      <w:r>
        <w:rPr>
          <w:rFonts w:hint="eastAsia" w:ascii="宋体" w:hAnsi="宋体" w:eastAsia="宋体" w:cs="Symbol"/>
          <w:color w:val="auto"/>
          <w:sz w:val="24"/>
          <w:szCs w:val="24"/>
          <w:lang w:val="en-US" w:eastAsia="zh-CN" w:bidi="ar-SA"/>
        </w:rPr>
        <w:t>（四）地名地址语义关系数据建设</w:t>
      </w:r>
    </w:p>
    <w:p>
      <w:pPr>
        <w:widowControl w:val="0"/>
        <w:autoSpaceDE w:val="0"/>
        <w:autoSpaceDN w:val="0"/>
        <w:adjustRightInd w:val="0"/>
        <w:spacing w:line="360" w:lineRule="auto"/>
        <w:ind w:firstLine="480" w:firstLineChars="200"/>
        <w:rPr>
          <w:rFonts w:ascii="宋体" w:hAnsi="宋体" w:eastAsia="宋体" w:cs="Symbol"/>
          <w:color w:val="auto"/>
          <w:sz w:val="24"/>
          <w:szCs w:val="24"/>
          <w:lang w:val="en-US" w:eastAsia="zh-CN" w:bidi="ar-SA"/>
        </w:rPr>
      </w:pPr>
      <w:r>
        <w:rPr>
          <w:rFonts w:hint="eastAsia" w:ascii="宋体" w:hAnsi="宋体" w:eastAsia="宋体" w:cs="Symbol"/>
          <w:color w:val="auto"/>
          <w:sz w:val="24"/>
          <w:szCs w:val="24"/>
          <w:lang w:val="en-US" w:eastAsia="zh-CN" w:bidi="ar-SA"/>
        </w:rPr>
        <w:t>构建地名地址语义关系数据库，对多源地址数据对比检查，根据使用习惯建立一址多义的语义数据，解决不同行业地址数据的关联。建设内容应包括语义地址数据预处理服务、建立户室地址语义库、建立一址多义语义库和建立实体与地址的语义库4部分内容。</w:t>
      </w:r>
    </w:p>
    <w:p>
      <w:pPr>
        <w:widowControl w:val="0"/>
        <w:autoSpaceDE w:val="0"/>
        <w:autoSpaceDN w:val="0"/>
        <w:adjustRightInd w:val="0"/>
        <w:spacing w:line="360" w:lineRule="auto"/>
        <w:ind w:firstLine="480" w:firstLineChars="200"/>
        <w:rPr>
          <w:rFonts w:ascii="宋体" w:hAnsi="宋体" w:eastAsia="宋体" w:cs="Symbol"/>
          <w:color w:val="auto"/>
          <w:sz w:val="24"/>
          <w:szCs w:val="24"/>
          <w:lang w:val="en-US" w:eastAsia="zh-CN" w:bidi="ar-SA"/>
        </w:rPr>
      </w:pPr>
      <w:r>
        <w:rPr>
          <w:rFonts w:hint="eastAsia" w:ascii="宋体" w:hAnsi="宋体" w:eastAsia="宋体" w:cs="Symbol"/>
          <w:color w:val="auto"/>
          <w:sz w:val="24"/>
          <w:szCs w:val="24"/>
          <w:lang w:val="en-US" w:eastAsia="zh-CN" w:bidi="ar-SA"/>
        </w:rPr>
        <w:t>1、语义地址数据预处理服务：对西城区已经建设的标准地址、统计局工商税务企业地址数据、人口相关住址数据、城市安全风险等地址数据及互联网地址数据按照地址结构描述进行规范化拆分处理，按照地名、地址、空间位置进行去重校正融合，最终形成街道/社区/道路/门牌/小区等标准地址结构的数据。</w:t>
      </w:r>
    </w:p>
    <w:p>
      <w:pPr>
        <w:widowControl w:val="0"/>
        <w:autoSpaceDE w:val="0"/>
        <w:autoSpaceDN w:val="0"/>
        <w:adjustRightInd w:val="0"/>
        <w:spacing w:line="360" w:lineRule="auto"/>
        <w:ind w:firstLine="480" w:firstLineChars="200"/>
        <w:rPr>
          <w:rFonts w:ascii="宋体" w:hAnsi="宋体" w:eastAsia="宋体" w:cs="Symbol"/>
          <w:color w:val="auto"/>
          <w:sz w:val="24"/>
          <w:szCs w:val="24"/>
          <w:lang w:val="en-US" w:eastAsia="zh-CN" w:bidi="ar-SA"/>
        </w:rPr>
      </w:pPr>
      <w:r>
        <w:rPr>
          <w:rFonts w:hint="eastAsia" w:ascii="宋体" w:hAnsi="宋体" w:eastAsia="宋体" w:cs="Symbol"/>
          <w:color w:val="auto"/>
          <w:sz w:val="24"/>
          <w:szCs w:val="24"/>
          <w:lang w:val="en-US" w:eastAsia="zh-CN" w:bidi="ar-SA"/>
        </w:rPr>
        <w:t>2、建立户室地址语义库：基于区人口数据，人工进行数据碰撞对比提取单元、楼层、户等地址数据。</w:t>
      </w:r>
    </w:p>
    <w:p>
      <w:pPr>
        <w:widowControl w:val="0"/>
        <w:autoSpaceDE w:val="0"/>
        <w:autoSpaceDN w:val="0"/>
        <w:adjustRightInd w:val="0"/>
        <w:spacing w:line="360" w:lineRule="auto"/>
        <w:ind w:firstLine="480" w:firstLineChars="200"/>
        <w:rPr>
          <w:rFonts w:ascii="宋体" w:hAnsi="宋体" w:eastAsia="宋体" w:cs="Symbol"/>
          <w:color w:val="auto"/>
          <w:sz w:val="24"/>
          <w:szCs w:val="24"/>
          <w:lang w:val="en-US" w:eastAsia="zh-CN" w:bidi="ar-SA"/>
        </w:rPr>
      </w:pPr>
      <w:r>
        <w:rPr>
          <w:rFonts w:hint="eastAsia" w:ascii="宋体" w:hAnsi="宋体" w:eastAsia="宋体" w:cs="Symbol"/>
          <w:color w:val="auto"/>
          <w:sz w:val="24"/>
          <w:szCs w:val="24"/>
          <w:lang w:val="en-US" w:eastAsia="zh-CN" w:bidi="ar-SA"/>
        </w:rPr>
        <w:t>3、建立一址多义语义库：基于处理后的语义地址数据进行碰撞对比（叫法不同、别名、历史名等），人工确认提取一地多名的语义数据，对于疑惑数据还需结合高德等互联网地图数据进行查询确认。</w:t>
      </w:r>
    </w:p>
    <w:p>
      <w:pPr>
        <w:widowControl w:val="0"/>
        <w:autoSpaceDE w:val="0"/>
        <w:autoSpaceDN w:val="0"/>
        <w:adjustRightInd w:val="0"/>
        <w:spacing w:line="360" w:lineRule="auto"/>
        <w:ind w:firstLine="480" w:firstLineChars="200"/>
        <w:rPr>
          <w:rFonts w:ascii="宋体" w:hAnsi="宋体" w:eastAsia="宋体" w:cs="Symbol"/>
          <w:color w:val="auto"/>
          <w:sz w:val="24"/>
          <w:szCs w:val="24"/>
          <w:lang w:val="en-US" w:eastAsia="zh-CN" w:bidi="ar-SA"/>
        </w:rPr>
      </w:pPr>
      <w:r>
        <w:rPr>
          <w:rFonts w:hint="eastAsia" w:ascii="宋体" w:hAnsi="宋体" w:eastAsia="宋体" w:cs="Symbol"/>
          <w:color w:val="auto"/>
          <w:sz w:val="24"/>
          <w:szCs w:val="24"/>
          <w:lang w:val="en-US" w:eastAsia="zh-CN" w:bidi="ar-SA"/>
        </w:rPr>
        <w:t>4、建立实体与地址的语义库：提供建立地址与区划、道路、小区、楼栋房屋、河湖各类实体数据的关联关系，支撑基于地址的万物互联。</w:t>
      </w:r>
    </w:p>
    <w:p>
      <w:pPr>
        <w:widowControl w:val="0"/>
        <w:autoSpaceDE w:val="0"/>
        <w:autoSpaceDN w:val="0"/>
        <w:adjustRightInd w:val="0"/>
        <w:spacing w:line="360" w:lineRule="auto"/>
        <w:ind w:firstLine="480" w:firstLineChars="200"/>
        <w:rPr>
          <w:rFonts w:ascii="宋体" w:hAnsi="宋体" w:eastAsia="宋体" w:cs="Symbol"/>
          <w:color w:val="auto"/>
          <w:sz w:val="24"/>
          <w:szCs w:val="24"/>
          <w:lang w:val="en-US" w:eastAsia="zh-CN" w:bidi="ar-SA"/>
        </w:rPr>
      </w:pPr>
      <w:r>
        <w:rPr>
          <w:rFonts w:hint="eastAsia" w:ascii="宋体" w:hAnsi="宋体" w:eastAsia="宋体" w:cs="Symbol"/>
          <w:color w:val="auto"/>
          <w:sz w:val="24"/>
          <w:szCs w:val="24"/>
          <w:lang w:val="en-US" w:eastAsia="zh-CN" w:bidi="ar-SA"/>
        </w:rPr>
        <w:t>（五）信创环境适配</w:t>
      </w:r>
    </w:p>
    <w:p>
      <w:pPr>
        <w:widowControl w:val="0"/>
        <w:autoSpaceDE w:val="0"/>
        <w:autoSpaceDN w:val="0"/>
        <w:adjustRightInd w:val="0"/>
        <w:spacing w:line="360" w:lineRule="auto"/>
        <w:ind w:firstLine="480" w:firstLineChars="200"/>
        <w:rPr>
          <w:rFonts w:hint="eastAsia" w:ascii="宋体" w:hAnsi="宋体" w:eastAsia="宋体" w:cs="Symbol"/>
          <w:color w:val="auto"/>
          <w:sz w:val="24"/>
          <w:szCs w:val="24"/>
          <w:lang w:val="en-US" w:eastAsia="zh-CN" w:bidi="ar-SA"/>
        </w:rPr>
      </w:pPr>
      <w:r>
        <w:rPr>
          <w:rFonts w:hint="eastAsia" w:ascii="宋体" w:hAnsi="宋体" w:eastAsia="宋体" w:cs="Symbol"/>
          <w:color w:val="auto"/>
          <w:sz w:val="24"/>
          <w:szCs w:val="24"/>
          <w:lang w:val="en-US" w:eastAsia="zh-CN" w:bidi="ar-SA"/>
        </w:rPr>
        <w:t>为推动信息技术的独立自主发展，实现信息技术的自主可控，本期将完成信创适配测试，建设内容需满足信创适配环境。</w:t>
      </w:r>
    </w:p>
    <w:p>
      <w:pPr>
        <w:spacing w:line="360" w:lineRule="auto"/>
        <w:ind w:firstLine="420"/>
        <w:outlineLvl w:val="9"/>
        <w:rPr>
          <w:b/>
          <w:bCs/>
          <w:color w:val="auto"/>
        </w:rPr>
      </w:pPr>
      <w:r>
        <w:rPr>
          <w:rFonts w:hint="eastAsia"/>
          <w:b/>
          <w:bCs/>
          <w:color w:val="auto"/>
          <w:sz w:val="24"/>
        </w:rPr>
        <w:t>（二）性能需求</w:t>
      </w:r>
    </w:p>
    <w:p>
      <w:pPr>
        <w:widowControl w:val="0"/>
        <w:spacing w:line="360" w:lineRule="auto"/>
        <w:ind w:firstLine="480" w:firstLineChars="200"/>
        <w:jc w:val="both"/>
        <w:rPr>
          <w:rFonts w:ascii="Times New Roman" w:hAnsi="Times New Roman" w:eastAsia="宋体" w:cs="Times New Roman"/>
          <w:color w:val="auto"/>
          <w:kern w:val="2"/>
          <w:sz w:val="24"/>
          <w:szCs w:val="24"/>
          <w:lang w:val="en-US" w:eastAsia="zh-CN" w:bidi="ar-SA"/>
        </w:rPr>
      </w:pPr>
      <w:r>
        <w:rPr>
          <w:rFonts w:ascii="Times New Roman" w:hAnsi="Times New Roman" w:eastAsia="宋体" w:cs="Times New Roman"/>
          <w:color w:val="auto"/>
          <w:kern w:val="2"/>
          <w:sz w:val="24"/>
          <w:szCs w:val="24"/>
          <w:lang w:val="en-US" w:eastAsia="zh-CN" w:bidi="ar-SA"/>
        </w:rPr>
        <w:t>系统整体性能需求如下：</w:t>
      </w:r>
    </w:p>
    <w:p>
      <w:pPr>
        <w:widowControl w:val="0"/>
        <w:spacing w:line="360" w:lineRule="auto"/>
        <w:ind w:firstLine="480" w:firstLineChars="200"/>
        <w:jc w:val="both"/>
        <w:rPr>
          <w:rFonts w:hint="default" w:ascii="Times New Roman" w:hAnsi="Times New Roman" w:eastAsia="宋体" w:cs="Times New Roman"/>
          <w:color w:val="auto"/>
          <w:kern w:val="2"/>
          <w:sz w:val="24"/>
          <w:szCs w:val="24"/>
          <w:lang w:val="en-US" w:eastAsia="zh-CN" w:bidi="ar-SA"/>
        </w:rPr>
      </w:pPr>
      <w:r>
        <w:rPr>
          <w:rFonts w:ascii="Times New Roman" w:hAnsi="Times New Roman" w:eastAsia="宋体" w:cs="Times New Roman"/>
          <w:color w:val="auto"/>
          <w:kern w:val="2"/>
          <w:sz w:val="24"/>
          <w:szCs w:val="24"/>
          <w:lang w:val="en-US" w:eastAsia="zh-CN" w:bidi="ar-SA"/>
        </w:rPr>
        <w:t>1</w:t>
      </w:r>
      <w:r>
        <w:rPr>
          <w:rFonts w:hint="eastAsia" w:ascii="Times New Roman" w:hAnsi="Times New Roman" w:eastAsia="宋体" w:cs="Times New Roman"/>
          <w:color w:val="auto"/>
          <w:kern w:val="2"/>
          <w:sz w:val="24"/>
          <w:szCs w:val="24"/>
          <w:lang w:val="en-US" w:eastAsia="zh-CN" w:bidi="ar-SA"/>
        </w:rPr>
        <w:t>、</w:t>
      </w:r>
      <w:r>
        <w:rPr>
          <w:rFonts w:ascii="Times New Roman" w:hAnsi="Times New Roman" w:eastAsia="宋体" w:cs="Times New Roman"/>
          <w:color w:val="auto"/>
          <w:kern w:val="2"/>
          <w:sz w:val="24"/>
          <w:szCs w:val="24"/>
          <w:lang w:val="en-US" w:eastAsia="zh-CN" w:bidi="ar-SA"/>
        </w:rPr>
        <w:t>可靠性</w:t>
      </w:r>
    </w:p>
    <w:p>
      <w:pPr>
        <w:widowControl w:val="0"/>
        <w:spacing w:line="360" w:lineRule="auto"/>
        <w:ind w:firstLine="480" w:firstLineChars="200"/>
        <w:jc w:val="both"/>
        <w:rPr>
          <w:rFonts w:ascii="Times New Roman" w:hAnsi="Times New Roman" w:eastAsia="宋体" w:cs="Times New Roman"/>
          <w:color w:val="auto"/>
          <w:kern w:val="2"/>
          <w:sz w:val="24"/>
          <w:szCs w:val="24"/>
          <w:lang w:val="en-US" w:eastAsia="zh-CN" w:bidi="ar-SA"/>
        </w:rPr>
      </w:pPr>
      <w:r>
        <w:rPr>
          <w:rFonts w:ascii="Times New Roman" w:hAnsi="Times New Roman" w:eastAsia="宋体" w:cs="Times New Roman"/>
          <w:color w:val="auto"/>
          <w:kern w:val="2"/>
          <w:sz w:val="24"/>
          <w:szCs w:val="24"/>
          <w:lang w:val="en-US" w:eastAsia="zh-CN" w:bidi="ar-SA"/>
        </w:rPr>
        <w:t>平台应支持7*24服务，一年365天不间断运行。</w:t>
      </w:r>
    </w:p>
    <w:p>
      <w:pPr>
        <w:widowControl w:val="0"/>
        <w:spacing w:line="360" w:lineRule="auto"/>
        <w:ind w:firstLine="480" w:firstLineChars="200"/>
        <w:jc w:val="both"/>
        <w:rPr>
          <w:rFonts w:ascii="Times New Roman" w:hAnsi="Times New Roman" w:eastAsia="宋体" w:cs="Times New Roman"/>
          <w:color w:val="auto"/>
          <w:kern w:val="2"/>
          <w:sz w:val="24"/>
          <w:szCs w:val="24"/>
          <w:lang w:val="en-US" w:eastAsia="zh-CN" w:bidi="ar-SA"/>
        </w:rPr>
      </w:pPr>
      <w:r>
        <w:rPr>
          <w:rFonts w:ascii="Times New Roman" w:hAnsi="Times New Roman" w:eastAsia="宋体" w:cs="Times New Roman"/>
          <w:color w:val="auto"/>
          <w:kern w:val="2"/>
          <w:sz w:val="24"/>
          <w:szCs w:val="24"/>
          <w:lang w:val="en-US" w:eastAsia="zh-CN" w:bidi="ar-SA"/>
        </w:rPr>
        <w:t>平台在连续一年的运行中因软件故障导致停机的次数不得超过5次，单次修复时间不得超过5小时。</w:t>
      </w:r>
    </w:p>
    <w:p>
      <w:pPr>
        <w:widowControl w:val="0"/>
        <w:spacing w:line="360" w:lineRule="auto"/>
        <w:ind w:firstLine="480" w:firstLineChars="200"/>
        <w:jc w:val="both"/>
        <w:rPr>
          <w:rFonts w:ascii="Times New Roman" w:hAnsi="Times New Roman" w:eastAsia="宋体" w:cs="Times New Roman"/>
          <w:color w:val="auto"/>
          <w:kern w:val="2"/>
          <w:sz w:val="24"/>
          <w:szCs w:val="24"/>
          <w:lang w:val="en-US" w:eastAsia="zh-CN" w:bidi="ar-SA"/>
        </w:rPr>
      </w:pPr>
      <w:r>
        <w:rPr>
          <w:rFonts w:ascii="Times New Roman" w:hAnsi="Times New Roman" w:eastAsia="宋体" w:cs="Times New Roman"/>
          <w:color w:val="auto"/>
          <w:kern w:val="2"/>
          <w:sz w:val="24"/>
          <w:szCs w:val="24"/>
          <w:lang w:val="en-US" w:eastAsia="zh-CN" w:bidi="ar-SA"/>
        </w:rPr>
        <w:t>整体系统的年可用率≥99%。</w:t>
      </w:r>
    </w:p>
    <w:p>
      <w:pPr>
        <w:widowControl w:val="0"/>
        <w:spacing w:line="360" w:lineRule="auto"/>
        <w:ind w:firstLine="480" w:firstLineChars="200"/>
        <w:jc w:val="both"/>
        <w:rPr>
          <w:rFonts w:ascii="Times New Roman" w:hAnsi="Times New Roman" w:eastAsia="宋体" w:cs="Times New Roman"/>
          <w:color w:val="auto"/>
          <w:kern w:val="2"/>
          <w:sz w:val="24"/>
          <w:szCs w:val="24"/>
          <w:lang w:val="en-US" w:eastAsia="zh-CN" w:bidi="ar-SA"/>
        </w:rPr>
      </w:pPr>
      <w:r>
        <w:rPr>
          <w:rFonts w:ascii="Times New Roman" w:hAnsi="Times New Roman" w:eastAsia="宋体" w:cs="Times New Roman"/>
          <w:color w:val="auto"/>
          <w:kern w:val="2"/>
          <w:sz w:val="24"/>
          <w:szCs w:val="24"/>
          <w:lang w:val="en-US" w:eastAsia="zh-CN" w:bidi="ar-SA"/>
        </w:rPr>
        <w:t>2</w:t>
      </w:r>
      <w:r>
        <w:rPr>
          <w:rFonts w:hint="eastAsia" w:ascii="Times New Roman" w:hAnsi="Times New Roman" w:eastAsia="宋体" w:cs="Times New Roman"/>
          <w:color w:val="auto"/>
          <w:kern w:val="2"/>
          <w:sz w:val="24"/>
          <w:szCs w:val="24"/>
          <w:lang w:val="en-US" w:eastAsia="zh-CN" w:bidi="ar-SA"/>
        </w:rPr>
        <w:t>、</w:t>
      </w:r>
      <w:r>
        <w:rPr>
          <w:rFonts w:ascii="Times New Roman" w:hAnsi="Times New Roman" w:eastAsia="宋体" w:cs="Times New Roman"/>
          <w:color w:val="auto"/>
          <w:kern w:val="2"/>
          <w:sz w:val="24"/>
          <w:szCs w:val="24"/>
          <w:lang w:val="en-US" w:eastAsia="zh-CN" w:bidi="ar-SA"/>
        </w:rPr>
        <w:t>可扩展性</w:t>
      </w:r>
    </w:p>
    <w:p>
      <w:pPr>
        <w:widowControl w:val="0"/>
        <w:spacing w:line="360" w:lineRule="auto"/>
        <w:ind w:firstLine="480" w:firstLineChars="200"/>
        <w:jc w:val="both"/>
        <w:rPr>
          <w:rFonts w:ascii="Times New Roman" w:hAnsi="Times New Roman" w:eastAsia="宋体" w:cs="Times New Roman"/>
          <w:color w:val="auto"/>
          <w:kern w:val="2"/>
          <w:sz w:val="24"/>
          <w:szCs w:val="24"/>
          <w:lang w:val="en-US" w:eastAsia="zh-CN" w:bidi="ar-SA"/>
        </w:rPr>
      </w:pPr>
      <w:r>
        <w:rPr>
          <w:rFonts w:ascii="Times New Roman" w:hAnsi="Times New Roman" w:eastAsia="宋体" w:cs="Times New Roman"/>
          <w:color w:val="auto"/>
          <w:kern w:val="2"/>
          <w:sz w:val="24"/>
          <w:szCs w:val="24"/>
          <w:lang w:val="en-US" w:eastAsia="zh-CN" w:bidi="ar-SA"/>
        </w:rPr>
        <w:t>系统应适应部门的变更及扩展而不需要对程序做相应的修改。</w:t>
      </w:r>
    </w:p>
    <w:p>
      <w:pPr>
        <w:widowControl w:val="0"/>
        <w:spacing w:line="360" w:lineRule="auto"/>
        <w:ind w:firstLine="480" w:firstLineChars="200"/>
        <w:jc w:val="both"/>
        <w:rPr>
          <w:rFonts w:ascii="Times New Roman" w:hAnsi="Times New Roman" w:eastAsia="宋体" w:cs="Times New Roman"/>
          <w:color w:val="auto"/>
          <w:kern w:val="2"/>
          <w:sz w:val="24"/>
          <w:szCs w:val="24"/>
          <w:lang w:val="en-US" w:eastAsia="zh-CN" w:bidi="ar-SA"/>
        </w:rPr>
      </w:pPr>
      <w:r>
        <w:rPr>
          <w:rFonts w:ascii="Times New Roman" w:hAnsi="Times New Roman" w:eastAsia="宋体" w:cs="Times New Roman"/>
          <w:color w:val="auto"/>
          <w:kern w:val="2"/>
          <w:sz w:val="24"/>
          <w:szCs w:val="24"/>
          <w:lang w:val="en-US" w:eastAsia="zh-CN" w:bidi="ar-SA"/>
        </w:rPr>
        <w:t>系统应能适应后续应用的添加，而不至于程序大量的修改或推翻重来。</w:t>
      </w:r>
    </w:p>
    <w:p>
      <w:pPr>
        <w:widowControl w:val="0"/>
        <w:spacing w:line="360" w:lineRule="auto"/>
        <w:ind w:firstLine="480" w:firstLineChars="200"/>
        <w:jc w:val="both"/>
        <w:rPr>
          <w:rFonts w:ascii="Times New Roman" w:hAnsi="Times New Roman" w:eastAsia="宋体" w:cs="Times New Roman"/>
          <w:color w:val="auto"/>
          <w:kern w:val="2"/>
          <w:sz w:val="24"/>
          <w:szCs w:val="24"/>
          <w:lang w:val="en-US" w:eastAsia="zh-CN" w:bidi="ar-SA"/>
        </w:rPr>
      </w:pPr>
      <w:r>
        <w:rPr>
          <w:rFonts w:ascii="Times New Roman" w:hAnsi="Times New Roman" w:eastAsia="宋体" w:cs="Times New Roman"/>
          <w:color w:val="auto"/>
          <w:kern w:val="2"/>
          <w:sz w:val="24"/>
          <w:szCs w:val="24"/>
          <w:lang w:val="en-US" w:eastAsia="zh-CN" w:bidi="ar-SA"/>
        </w:rPr>
        <w:t>随着用户数的增长及功能应用的增长，软件系统通过硬件性能的调整而保持相对的稳定性，维持正常的运行。</w:t>
      </w:r>
    </w:p>
    <w:p>
      <w:pPr>
        <w:widowControl w:val="0"/>
        <w:spacing w:line="360" w:lineRule="auto"/>
        <w:ind w:firstLine="480" w:firstLineChars="200"/>
        <w:jc w:val="both"/>
        <w:rPr>
          <w:rFonts w:ascii="Times New Roman" w:hAnsi="Times New Roman" w:eastAsia="宋体" w:cs="Times New Roman"/>
          <w:color w:val="auto"/>
          <w:kern w:val="2"/>
          <w:sz w:val="24"/>
          <w:szCs w:val="24"/>
          <w:lang w:val="en-US" w:eastAsia="zh-CN" w:bidi="ar-SA"/>
        </w:rPr>
      </w:pPr>
      <w:r>
        <w:rPr>
          <w:rFonts w:ascii="Times New Roman" w:hAnsi="Times New Roman" w:eastAsia="宋体" w:cs="Times New Roman"/>
          <w:color w:val="auto"/>
          <w:kern w:val="2"/>
          <w:sz w:val="24"/>
          <w:szCs w:val="24"/>
          <w:lang w:val="en-US" w:eastAsia="zh-CN" w:bidi="ar-SA"/>
        </w:rPr>
        <w:t>系统能够支持与相关信息系统互连互通。</w:t>
      </w:r>
    </w:p>
    <w:p>
      <w:pPr>
        <w:widowControl w:val="0"/>
        <w:spacing w:line="360" w:lineRule="auto"/>
        <w:ind w:firstLine="480" w:firstLineChars="200"/>
        <w:jc w:val="both"/>
        <w:rPr>
          <w:rFonts w:ascii="Times New Roman" w:hAnsi="Times New Roman" w:eastAsia="宋体" w:cs="Times New Roman"/>
          <w:color w:val="auto"/>
          <w:kern w:val="2"/>
          <w:sz w:val="24"/>
          <w:szCs w:val="24"/>
          <w:lang w:val="en-US" w:eastAsia="zh-CN" w:bidi="ar-SA"/>
        </w:rPr>
      </w:pPr>
      <w:r>
        <w:rPr>
          <w:rFonts w:ascii="Times New Roman" w:hAnsi="Times New Roman" w:eastAsia="宋体" w:cs="Times New Roman"/>
          <w:color w:val="auto"/>
          <w:kern w:val="2"/>
          <w:sz w:val="24"/>
          <w:szCs w:val="24"/>
          <w:lang w:val="en-US" w:eastAsia="zh-CN" w:bidi="ar-SA"/>
        </w:rPr>
        <w:t>3</w:t>
      </w:r>
      <w:r>
        <w:rPr>
          <w:rFonts w:hint="eastAsia" w:ascii="Times New Roman" w:hAnsi="Times New Roman" w:eastAsia="宋体" w:cs="Times New Roman"/>
          <w:color w:val="auto"/>
          <w:kern w:val="2"/>
          <w:sz w:val="24"/>
          <w:szCs w:val="24"/>
          <w:lang w:val="en-US" w:eastAsia="zh-CN" w:bidi="ar-SA"/>
        </w:rPr>
        <w:t>、</w:t>
      </w:r>
      <w:r>
        <w:rPr>
          <w:rFonts w:ascii="Times New Roman" w:hAnsi="Times New Roman" w:eastAsia="宋体" w:cs="Times New Roman"/>
          <w:color w:val="auto"/>
          <w:kern w:val="2"/>
          <w:sz w:val="24"/>
          <w:szCs w:val="24"/>
          <w:lang w:val="en-US" w:eastAsia="zh-CN" w:bidi="ar-SA"/>
        </w:rPr>
        <w:t>维护性</w:t>
      </w:r>
    </w:p>
    <w:p>
      <w:pPr>
        <w:widowControl w:val="0"/>
        <w:spacing w:line="360" w:lineRule="auto"/>
        <w:ind w:firstLine="480" w:firstLineChars="200"/>
        <w:jc w:val="both"/>
        <w:rPr>
          <w:rFonts w:ascii="Times New Roman" w:hAnsi="Times New Roman" w:eastAsia="宋体" w:cs="Times New Roman"/>
          <w:color w:val="auto"/>
          <w:kern w:val="2"/>
          <w:sz w:val="24"/>
          <w:szCs w:val="24"/>
          <w:lang w:val="en-US" w:eastAsia="zh-CN" w:bidi="ar-SA"/>
        </w:rPr>
      </w:pPr>
      <w:r>
        <w:rPr>
          <w:rFonts w:ascii="Times New Roman" w:hAnsi="Times New Roman" w:eastAsia="宋体" w:cs="Times New Roman"/>
          <w:color w:val="auto"/>
          <w:kern w:val="2"/>
          <w:sz w:val="24"/>
          <w:szCs w:val="24"/>
          <w:lang w:val="en-US" w:eastAsia="zh-CN" w:bidi="ar-SA"/>
        </w:rPr>
        <w:t>要求提供整套的工具用于系统升级，作为众多标准操作的一部分。</w:t>
      </w:r>
    </w:p>
    <w:p>
      <w:pPr>
        <w:widowControl w:val="0"/>
        <w:spacing w:line="360" w:lineRule="auto"/>
        <w:ind w:firstLine="480" w:firstLineChars="200"/>
        <w:jc w:val="both"/>
        <w:rPr>
          <w:rFonts w:ascii="Times New Roman" w:hAnsi="Times New Roman" w:eastAsia="宋体" w:cs="Times New Roman"/>
          <w:color w:val="auto"/>
          <w:kern w:val="2"/>
          <w:sz w:val="24"/>
          <w:szCs w:val="24"/>
          <w:lang w:val="en-US" w:eastAsia="zh-CN" w:bidi="ar-SA"/>
        </w:rPr>
      </w:pPr>
      <w:r>
        <w:rPr>
          <w:rFonts w:ascii="Times New Roman" w:hAnsi="Times New Roman" w:eastAsia="宋体" w:cs="Times New Roman"/>
          <w:color w:val="auto"/>
          <w:kern w:val="2"/>
          <w:sz w:val="24"/>
          <w:szCs w:val="24"/>
          <w:lang w:val="en-US" w:eastAsia="zh-CN" w:bidi="ar-SA"/>
        </w:rPr>
        <w:t>4</w:t>
      </w:r>
      <w:r>
        <w:rPr>
          <w:rFonts w:hint="eastAsia" w:ascii="Times New Roman" w:hAnsi="Times New Roman" w:eastAsia="宋体" w:cs="Times New Roman"/>
          <w:color w:val="auto"/>
          <w:kern w:val="2"/>
          <w:sz w:val="24"/>
          <w:szCs w:val="24"/>
          <w:lang w:val="en-US" w:eastAsia="zh-CN" w:bidi="ar-SA"/>
        </w:rPr>
        <w:t>、</w:t>
      </w:r>
      <w:r>
        <w:rPr>
          <w:rFonts w:ascii="Times New Roman" w:hAnsi="Times New Roman" w:eastAsia="宋体" w:cs="Times New Roman"/>
          <w:color w:val="auto"/>
          <w:kern w:val="2"/>
          <w:sz w:val="24"/>
          <w:szCs w:val="24"/>
          <w:lang w:val="en-US" w:eastAsia="zh-CN" w:bidi="ar-SA"/>
        </w:rPr>
        <w:t>易用性</w:t>
      </w:r>
    </w:p>
    <w:p>
      <w:pPr>
        <w:widowControl w:val="0"/>
        <w:spacing w:line="360" w:lineRule="auto"/>
        <w:ind w:firstLine="480" w:firstLineChars="200"/>
        <w:jc w:val="both"/>
        <w:rPr>
          <w:rFonts w:ascii="Times New Roman" w:hAnsi="Times New Roman" w:eastAsia="宋体" w:cs="Times New Roman"/>
          <w:color w:val="auto"/>
          <w:kern w:val="2"/>
          <w:sz w:val="24"/>
          <w:szCs w:val="24"/>
          <w:lang w:val="en-US" w:eastAsia="zh-CN" w:bidi="ar-SA"/>
        </w:rPr>
      </w:pPr>
      <w:r>
        <w:rPr>
          <w:rFonts w:ascii="Times New Roman" w:hAnsi="Times New Roman" w:eastAsia="宋体" w:cs="Times New Roman"/>
          <w:color w:val="auto"/>
          <w:kern w:val="2"/>
          <w:sz w:val="24"/>
          <w:szCs w:val="24"/>
          <w:lang w:val="en-US" w:eastAsia="zh-CN" w:bidi="ar-SA"/>
        </w:rPr>
        <w:t>系统软件设计应充分考虑各种用户类型和特征，提供适合各级操作人员的简便操作界面，操作界面友好性强，界面风格和操作标准统一，能够做到通过简单的培训甚至自学就能掌握。</w:t>
      </w:r>
    </w:p>
    <w:p>
      <w:pPr>
        <w:widowControl w:val="0"/>
        <w:spacing w:line="360" w:lineRule="auto"/>
        <w:ind w:firstLine="480" w:firstLineChars="200"/>
        <w:jc w:val="both"/>
        <w:rPr>
          <w:rFonts w:ascii="Times New Roman" w:hAnsi="Times New Roman" w:eastAsia="宋体" w:cs="Times New Roman"/>
          <w:color w:val="auto"/>
          <w:kern w:val="2"/>
          <w:sz w:val="24"/>
          <w:szCs w:val="24"/>
          <w:lang w:val="en-US" w:eastAsia="zh-CN" w:bidi="ar-SA"/>
        </w:rPr>
      </w:pPr>
      <w:r>
        <w:rPr>
          <w:rFonts w:ascii="Times New Roman" w:hAnsi="Times New Roman" w:eastAsia="宋体" w:cs="Times New Roman"/>
          <w:color w:val="auto"/>
          <w:kern w:val="2"/>
          <w:sz w:val="24"/>
          <w:szCs w:val="24"/>
          <w:lang w:val="en-US" w:eastAsia="zh-CN" w:bidi="ar-SA"/>
        </w:rPr>
        <w:t>5</w:t>
      </w:r>
      <w:r>
        <w:rPr>
          <w:rFonts w:hint="eastAsia" w:ascii="Times New Roman" w:hAnsi="Times New Roman" w:eastAsia="宋体" w:cs="Times New Roman"/>
          <w:color w:val="auto"/>
          <w:kern w:val="2"/>
          <w:sz w:val="24"/>
          <w:szCs w:val="24"/>
          <w:lang w:val="en-US" w:eastAsia="zh-CN" w:bidi="ar-SA"/>
        </w:rPr>
        <w:t>、</w:t>
      </w:r>
      <w:r>
        <w:rPr>
          <w:rFonts w:ascii="Times New Roman" w:hAnsi="Times New Roman" w:eastAsia="宋体" w:cs="Times New Roman"/>
          <w:color w:val="auto"/>
          <w:kern w:val="2"/>
          <w:sz w:val="24"/>
          <w:szCs w:val="24"/>
          <w:lang w:val="en-US" w:eastAsia="zh-CN" w:bidi="ar-SA"/>
        </w:rPr>
        <w:t>性能指标</w:t>
      </w:r>
    </w:p>
    <w:p>
      <w:pPr>
        <w:widowControl/>
        <w:spacing w:line="360" w:lineRule="auto"/>
        <w:ind w:firstLine="480" w:firstLineChars="200"/>
        <w:jc w:val="left"/>
        <w:rPr>
          <w:rFonts w:ascii="宋体" w:hAnsi="宋体"/>
          <w:color w:val="auto"/>
          <w:kern w:val="0"/>
          <w:sz w:val="24"/>
        </w:rPr>
      </w:pPr>
      <w:r>
        <w:rPr>
          <w:rFonts w:hint="eastAsia" w:ascii="宋体" w:hAnsi="宋体"/>
          <w:color w:val="auto"/>
          <w:kern w:val="0"/>
          <w:sz w:val="24"/>
        </w:rPr>
        <w:t>在现有硬件条件下，使系统满足多用户高并发的需求，支持</w:t>
      </w:r>
      <w:r>
        <w:rPr>
          <w:rFonts w:ascii="宋体" w:hAnsi="宋体"/>
          <w:color w:val="auto"/>
          <w:kern w:val="0"/>
          <w:sz w:val="24"/>
        </w:rPr>
        <w:t>1</w:t>
      </w:r>
      <w:r>
        <w:rPr>
          <w:rFonts w:hint="eastAsia" w:ascii="宋体" w:hAnsi="宋体"/>
          <w:color w:val="auto"/>
          <w:kern w:val="0"/>
          <w:sz w:val="24"/>
        </w:rPr>
        <w:t>00个用户同时在线；系统整体运行高效，满足用户对数据调用、浏览、比对等操作；</w:t>
      </w:r>
    </w:p>
    <w:p>
      <w:pPr>
        <w:widowControl w:val="0"/>
        <w:spacing w:line="360" w:lineRule="auto"/>
        <w:ind w:firstLine="480" w:firstLineChars="200"/>
        <w:jc w:val="both"/>
        <w:rPr>
          <w:rFonts w:ascii="宋体" w:hAnsi="宋体" w:eastAsia="宋体" w:cs="宋体"/>
          <w:color w:val="auto"/>
          <w:kern w:val="0"/>
          <w:sz w:val="24"/>
          <w:szCs w:val="24"/>
          <w:lang w:val="en-US" w:eastAsia="zh-CN" w:bidi="ar-SA"/>
        </w:rPr>
      </w:pPr>
      <w:r>
        <w:rPr>
          <w:rFonts w:hint="eastAsia" w:ascii="宋体" w:hAnsi="宋体" w:eastAsia="宋体" w:cs="宋体"/>
          <w:color w:val="auto"/>
          <w:kern w:val="0"/>
          <w:sz w:val="24"/>
          <w:szCs w:val="24"/>
          <w:lang w:val="en-US" w:eastAsia="zh-CN" w:bidi="ar-SA"/>
        </w:rPr>
        <w:t>性能指标如下：</w:t>
      </w:r>
    </w:p>
    <w:tbl>
      <w:tblPr>
        <w:tblStyle w:val="4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942"/>
        <w:gridCol w:w="3739"/>
        <w:gridCol w:w="284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43" w:type="dxa"/>
          </w:tcPr>
          <w:p>
            <w:pPr>
              <w:widowControl w:val="0"/>
              <w:spacing w:line="360" w:lineRule="auto"/>
              <w:ind w:firstLine="480" w:firstLineChars="200"/>
              <w:jc w:val="both"/>
              <w:rPr>
                <w:rFonts w:ascii="宋体" w:hAnsi="宋体" w:eastAsia="宋体" w:cs="Times New Roman"/>
                <w:color w:val="auto"/>
                <w:kern w:val="0"/>
                <w:sz w:val="24"/>
                <w:szCs w:val="24"/>
                <w:lang w:val="en-US" w:eastAsia="zh-CN" w:bidi="ar-SA"/>
              </w:rPr>
            </w:pPr>
            <w:r>
              <w:rPr>
                <w:rFonts w:hint="eastAsia" w:ascii="宋体" w:hAnsi="宋体" w:eastAsia="宋体" w:cs="Times New Roman"/>
                <w:color w:val="auto"/>
                <w:kern w:val="0"/>
                <w:sz w:val="24"/>
                <w:szCs w:val="24"/>
                <w:lang w:val="en-US" w:eastAsia="zh-CN" w:bidi="ar-SA"/>
              </w:rPr>
              <w:t>序号</w:t>
            </w:r>
          </w:p>
        </w:tc>
        <w:tc>
          <w:tcPr>
            <w:tcW w:w="3742" w:type="dxa"/>
          </w:tcPr>
          <w:p>
            <w:pPr>
              <w:widowControl w:val="0"/>
              <w:spacing w:line="360" w:lineRule="auto"/>
              <w:ind w:firstLine="480" w:firstLineChars="200"/>
              <w:jc w:val="both"/>
              <w:rPr>
                <w:rFonts w:ascii="宋体" w:hAnsi="宋体" w:eastAsia="宋体" w:cs="Times New Roman"/>
                <w:color w:val="auto"/>
                <w:kern w:val="0"/>
                <w:sz w:val="24"/>
                <w:szCs w:val="24"/>
                <w:lang w:val="en-US" w:eastAsia="zh-CN" w:bidi="ar-SA"/>
              </w:rPr>
            </w:pPr>
            <w:r>
              <w:rPr>
                <w:rFonts w:hint="eastAsia" w:ascii="宋体" w:hAnsi="宋体" w:eastAsia="宋体" w:cs="Times New Roman"/>
                <w:color w:val="auto"/>
                <w:kern w:val="0"/>
                <w:sz w:val="24"/>
                <w:szCs w:val="24"/>
                <w:lang w:val="en-US" w:eastAsia="zh-CN" w:bidi="ar-SA"/>
              </w:rPr>
              <w:t>项目</w:t>
            </w:r>
          </w:p>
        </w:tc>
        <w:tc>
          <w:tcPr>
            <w:tcW w:w="2843" w:type="dxa"/>
          </w:tcPr>
          <w:p>
            <w:pPr>
              <w:widowControl w:val="0"/>
              <w:spacing w:line="360" w:lineRule="auto"/>
              <w:ind w:firstLine="480" w:firstLineChars="200"/>
              <w:jc w:val="both"/>
              <w:rPr>
                <w:rFonts w:ascii="宋体" w:hAnsi="宋体" w:eastAsia="宋体" w:cs="Times New Roman"/>
                <w:color w:val="auto"/>
                <w:kern w:val="0"/>
                <w:sz w:val="24"/>
                <w:szCs w:val="24"/>
                <w:lang w:val="en-US" w:eastAsia="zh-CN" w:bidi="ar-SA"/>
              </w:rPr>
            </w:pPr>
            <w:r>
              <w:rPr>
                <w:rFonts w:hint="eastAsia" w:ascii="宋体" w:hAnsi="宋体" w:eastAsia="宋体" w:cs="Times New Roman"/>
                <w:color w:val="auto"/>
                <w:kern w:val="0"/>
                <w:sz w:val="24"/>
                <w:szCs w:val="24"/>
                <w:lang w:val="en-US" w:eastAsia="zh-CN" w:bidi="ar-SA"/>
              </w:rPr>
              <w:t>响应时间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43" w:type="dxa"/>
          </w:tcPr>
          <w:p>
            <w:pPr>
              <w:widowControl w:val="0"/>
              <w:spacing w:line="360" w:lineRule="auto"/>
              <w:ind w:firstLine="480" w:firstLineChars="200"/>
              <w:jc w:val="left"/>
              <w:rPr>
                <w:rFonts w:ascii="宋体" w:hAnsi="宋体" w:eastAsia="宋体" w:cs="Times New Roman"/>
                <w:color w:val="auto"/>
                <w:kern w:val="0"/>
                <w:sz w:val="24"/>
                <w:szCs w:val="24"/>
                <w:lang w:val="en-US" w:eastAsia="zh-CN" w:bidi="ar-SA"/>
              </w:rPr>
            </w:pPr>
            <w:r>
              <w:rPr>
                <w:rFonts w:hint="eastAsia" w:ascii="宋体" w:hAnsi="宋体" w:eastAsia="宋体" w:cs="Times New Roman"/>
                <w:color w:val="auto"/>
                <w:kern w:val="0"/>
                <w:sz w:val="24"/>
                <w:szCs w:val="24"/>
                <w:lang w:val="en-US" w:eastAsia="zh-CN" w:bidi="ar-SA"/>
              </w:rPr>
              <w:t>1.</w:t>
            </w:r>
          </w:p>
        </w:tc>
        <w:tc>
          <w:tcPr>
            <w:tcW w:w="3742" w:type="dxa"/>
          </w:tcPr>
          <w:p>
            <w:pPr>
              <w:widowControl w:val="0"/>
              <w:spacing w:line="360" w:lineRule="auto"/>
              <w:ind w:firstLine="480" w:firstLineChars="200"/>
              <w:jc w:val="both"/>
              <w:rPr>
                <w:rFonts w:ascii="宋体" w:hAnsi="宋体" w:eastAsia="宋体" w:cs="Times New Roman"/>
                <w:color w:val="auto"/>
                <w:kern w:val="0"/>
                <w:sz w:val="24"/>
                <w:szCs w:val="24"/>
                <w:lang w:val="en-US" w:eastAsia="zh-CN" w:bidi="ar-SA"/>
              </w:rPr>
            </w:pPr>
            <w:r>
              <w:rPr>
                <w:rFonts w:hint="eastAsia" w:ascii="宋体" w:hAnsi="宋体" w:eastAsia="宋体" w:cs="Times New Roman"/>
                <w:color w:val="auto"/>
                <w:kern w:val="0"/>
                <w:sz w:val="24"/>
                <w:szCs w:val="24"/>
                <w:lang w:val="en-US" w:eastAsia="zh-CN" w:bidi="ar-SA"/>
              </w:rPr>
              <w:t>专题图地图加载时间</w:t>
            </w:r>
          </w:p>
        </w:tc>
        <w:tc>
          <w:tcPr>
            <w:tcW w:w="2843" w:type="dxa"/>
          </w:tcPr>
          <w:p>
            <w:pPr>
              <w:widowControl w:val="0"/>
              <w:spacing w:line="360" w:lineRule="auto"/>
              <w:ind w:firstLine="480" w:firstLineChars="200"/>
              <w:jc w:val="both"/>
              <w:rPr>
                <w:rFonts w:ascii="宋体" w:hAnsi="宋体" w:eastAsia="宋体" w:cs="Times New Roman"/>
                <w:color w:val="auto"/>
                <w:kern w:val="0"/>
                <w:sz w:val="24"/>
                <w:szCs w:val="24"/>
                <w:lang w:val="en-US" w:eastAsia="zh-CN" w:bidi="ar-SA"/>
              </w:rPr>
            </w:pPr>
            <w:r>
              <w:rPr>
                <w:rFonts w:hint="eastAsia" w:ascii="宋体" w:hAnsi="宋体" w:eastAsia="宋体" w:cs="Times New Roman"/>
                <w:color w:val="auto"/>
                <w:kern w:val="0"/>
                <w:sz w:val="24"/>
                <w:szCs w:val="24"/>
                <w:lang w:val="en-US" w:eastAsia="zh-CN" w:bidi="ar-SA"/>
              </w:rPr>
              <w:t>≤2秒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43" w:type="dxa"/>
          </w:tcPr>
          <w:p>
            <w:pPr>
              <w:widowControl w:val="0"/>
              <w:spacing w:line="360" w:lineRule="auto"/>
              <w:ind w:firstLine="480" w:firstLineChars="200"/>
              <w:jc w:val="left"/>
              <w:rPr>
                <w:rFonts w:ascii="宋体" w:hAnsi="宋体" w:eastAsia="宋体" w:cs="Times New Roman"/>
                <w:color w:val="auto"/>
                <w:kern w:val="0"/>
                <w:sz w:val="24"/>
                <w:szCs w:val="24"/>
                <w:lang w:val="en-US" w:eastAsia="zh-CN" w:bidi="ar-SA"/>
              </w:rPr>
            </w:pPr>
            <w:r>
              <w:rPr>
                <w:rFonts w:hint="eastAsia" w:ascii="宋体" w:hAnsi="宋体" w:eastAsia="宋体" w:cs="Times New Roman"/>
                <w:color w:val="auto"/>
                <w:kern w:val="0"/>
                <w:sz w:val="24"/>
                <w:szCs w:val="24"/>
                <w:lang w:val="en-US" w:eastAsia="zh-CN" w:bidi="ar-SA"/>
              </w:rPr>
              <w:t>2.</w:t>
            </w:r>
          </w:p>
        </w:tc>
        <w:tc>
          <w:tcPr>
            <w:tcW w:w="3742" w:type="dxa"/>
          </w:tcPr>
          <w:p>
            <w:pPr>
              <w:widowControl w:val="0"/>
              <w:spacing w:line="360" w:lineRule="auto"/>
              <w:ind w:firstLine="480" w:firstLineChars="200"/>
              <w:jc w:val="both"/>
              <w:rPr>
                <w:rFonts w:ascii="宋体" w:hAnsi="宋体" w:eastAsia="宋体" w:cs="Times New Roman"/>
                <w:color w:val="auto"/>
                <w:kern w:val="0"/>
                <w:sz w:val="24"/>
                <w:szCs w:val="24"/>
                <w:lang w:val="en-US" w:eastAsia="zh-CN" w:bidi="ar-SA"/>
              </w:rPr>
            </w:pPr>
            <w:r>
              <w:rPr>
                <w:rFonts w:hint="eastAsia" w:ascii="宋体" w:hAnsi="宋体" w:eastAsia="宋体" w:cs="Times New Roman"/>
                <w:color w:val="auto"/>
                <w:kern w:val="0"/>
                <w:sz w:val="24"/>
                <w:szCs w:val="24"/>
                <w:lang w:val="en-US" w:eastAsia="zh-CN" w:bidi="ar-SA"/>
              </w:rPr>
              <w:t>数据统计汇总时间</w:t>
            </w:r>
          </w:p>
        </w:tc>
        <w:tc>
          <w:tcPr>
            <w:tcW w:w="2843" w:type="dxa"/>
          </w:tcPr>
          <w:p>
            <w:pPr>
              <w:widowControl w:val="0"/>
              <w:spacing w:line="360" w:lineRule="auto"/>
              <w:ind w:firstLine="480" w:firstLineChars="200"/>
              <w:jc w:val="both"/>
              <w:rPr>
                <w:rFonts w:ascii="宋体" w:hAnsi="宋体" w:eastAsia="宋体" w:cs="Times New Roman"/>
                <w:color w:val="auto"/>
                <w:kern w:val="0"/>
                <w:sz w:val="24"/>
                <w:szCs w:val="24"/>
                <w:lang w:val="en-US" w:eastAsia="zh-CN" w:bidi="ar-SA"/>
              </w:rPr>
            </w:pPr>
            <w:r>
              <w:rPr>
                <w:rFonts w:hint="eastAsia" w:ascii="宋体" w:hAnsi="宋体" w:eastAsia="宋体" w:cs="Times New Roman"/>
                <w:color w:val="auto"/>
                <w:kern w:val="0"/>
                <w:sz w:val="24"/>
                <w:szCs w:val="24"/>
                <w:lang w:val="en-US" w:eastAsia="zh-CN" w:bidi="ar-SA"/>
              </w:rPr>
              <w:t>≤3秒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43" w:type="dxa"/>
          </w:tcPr>
          <w:p>
            <w:pPr>
              <w:widowControl w:val="0"/>
              <w:spacing w:line="360" w:lineRule="auto"/>
              <w:ind w:firstLine="480" w:firstLineChars="200"/>
              <w:jc w:val="left"/>
              <w:rPr>
                <w:rFonts w:ascii="宋体" w:hAnsi="宋体" w:eastAsia="宋体" w:cs="Times New Roman"/>
                <w:color w:val="auto"/>
                <w:kern w:val="0"/>
                <w:sz w:val="24"/>
                <w:szCs w:val="24"/>
                <w:lang w:val="en-US" w:eastAsia="zh-CN" w:bidi="ar-SA"/>
              </w:rPr>
            </w:pPr>
            <w:r>
              <w:rPr>
                <w:rFonts w:hint="eastAsia" w:ascii="宋体" w:hAnsi="宋体" w:eastAsia="宋体" w:cs="Times New Roman"/>
                <w:color w:val="auto"/>
                <w:kern w:val="0"/>
                <w:sz w:val="24"/>
                <w:szCs w:val="24"/>
                <w:lang w:val="en-US" w:eastAsia="zh-CN" w:bidi="ar-SA"/>
              </w:rPr>
              <w:t>3.</w:t>
            </w:r>
          </w:p>
        </w:tc>
        <w:tc>
          <w:tcPr>
            <w:tcW w:w="3742" w:type="dxa"/>
          </w:tcPr>
          <w:p>
            <w:pPr>
              <w:widowControl w:val="0"/>
              <w:spacing w:line="360" w:lineRule="auto"/>
              <w:ind w:firstLine="480" w:firstLineChars="200"/>
              <w:jc w:val="both"/>
              <w:rPr>
                <w:rFonts w:ascii="宋体" w:hAnsi="宋体" w:eastAsia="宋体" w:cs="Times New Roman"/>
                <w:color w:val="auto"/>
                <w:kern w:val="0"/>
                <w:sz w:val="24"/>
                <w:szCs w:val="24"/>
                <w:lang w:val="en-US" w:eastAsia="zh-CN" w:bidi="ar-SA"/>
              </w:rPr>
            </w:pPr>
            <w:r>
              <w:rPr>
                <w:rFonts w:hint="eastAsia" w:ascii="宋体" w:hAnsi="宋体" w:eastAsia="宋体" w:cs="Times New Roman"/>
                <w:color w:val="auto"/>
                <w:kern w:val="0"/>
                <w:sz w:val="24"/>
                <w:szCs w:val="24"/>
                <w:lang w:val="en-US" w:eastAsia="zh-CN" w:bidi="ar-SA"/>
              </w:rPr>
              <w:t>数据查询响应时间</w:t>
            </w:r>
          </w:p>
        </w:tc>
        <w:tc>
          <w:tcPr>
            <w:tcW w:w="2843" w:type="dxa"/>
          </w:tcPr>
          <w:p>
            <w:pPr>
              <w:widowControl w:val="0"/>
              <w:spacing w:line="360" w:lineRule="auto"/>
              <w:ind w:firstLine="480" w:firstLineChars="200"/>
              <w:jc w:val="both"/>
              <w:rPr>
                <w:rFonts w:ascii="宋体" w:hAnsi="宋体" w:eastAsia="宋体" w:cs="Times New Roman"/>
                <w:color w:val="auto"/>
                <w:kern w:val="0"/>
                <w:sz w:val="24"/>
                <w:szCs w:val="24"/>
                <w:lang w:val="en-US" w:eastAsia="zh-CN" w:bidi="ar-SA"/>
              </w:rPr>
            </w:pPr>
            <w:r>
              <w:rPr>
                <w:rFonts w:hint="eastAsia" w:ascii="宋体" w:hAnsi="宋体" w:eastAsia="宋体" w:cs="Times New Roman"/>
                <w:color w:val="auto"/>
                <w:kern w:val="0"/>
                <w:sz w:val="24"/>
                <w:szCs w:val="24"/>
                <w:lang w:val="en-US" w:eastAsia="zh-CN" w:bidi="ar-SA"/>
              </w:rPr>
              <w:t>≤3秒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43" w:type="dxa"/>
          </w:tcPr>
          <w:p>
            <w:pPr>
              <w:widowControl w:val="0"/>
              <w:spacing w:line="360" w:lineRule="auto"/>
              <w:ind w:firstLine="480" w:firstLineChars="200"/>
              <w:jc w:val="left"/>
              <w:rPr>
                <w:rFonts w:ascii="宋体" w:hAnsi="宋体" w:eastAsia="宋体" w:cs="Times New Roman"/>
                <w:color w:val="auto"/>
                <w:kern w:val="0"/>
                <w:sz w:val="24"/>
                <w:szCs w:val="24"/>
                <w:lang w:val="en-US" w:eastAsia="zh-CN" w:bidi="ar-SA"/>
              </w:rPr>
            </w:pPr>
            <w:r>
              <w:rPr>
                <w:rFonts w:hint="eastAsia" w:ascii="宋体" w:hAnsi="宋体" w:eastAsia="宋体" w:cs="Times New Roman"/>
                <w:color w:val="auto"/>
                <w:kern w:val="0"/>
                <w:sz w:val="24"/>
                <w:szCs w:val="24"/>
                <w:lang w:val="en-US" w:eastAsia="zh-CN" w:bidi="ar-SA"/>
              </w:rPr>
              <w:t>4.</w:t>
            </w:r>
          </w:p>
        </w:tc>
        <w:tc>
          <w:tcPr>
            <w:tcW w:w="3742" w:type="dxa"/>
          </w:tcPr>
          <w:p>
            <w:pPr>
              <w:widowControl w:val="0"/>
              <w:spacing w:line="360" w:lineRule="auto"/>
              <w:ind w:firstLine="480" w:firstLineChars="200"/>
              <w:jc w:val="both"/>
              <w:rPr>
                <w:rFonts w:ascii="宋体" w:hAnsi="宋体" w:eastAsia="宋体" w:cs="Times New Roman"/>
                <w:color w:val="auto"/>
                <w:kern w:val="0"/>
                <w:sz w:val="24"/>
                <w:szCs w:val="24"/>
                <w:lang w:val="en-US" w:eastAsia="zh-CN" w:bidi="ar-SA"/>
              </w:rPr>
            </w:pPr>
            <w:r>
              <w:rPr>
                <w:rFonts w:hint="eastAsia" w:ascii="宋体" w:hAnsi="宋体" w:eastAsia="宋体" w:cs="Times New Roman"/>
                <w:color w:val="auto"/>
                <w:kern w:val="0"/>
                <w:sz w:val="24"/>
                <w:szCs w:val="24"/>
                <w:lang w:val="en-US" w:eastAsia="zh-CN" w:bidi="ar-SA"/>
              </w:rPr>
              <w:t>数据分析响应时间</w:t>
            </w:r>
          </w:p>
        </w:tc>
        <w:tc>
          <w:tcPr>
            <w:tcW w:w="2843" w:type="dxa"/>
          </w:tcPr>
          <w:p>
            <w:pPr>
              <w:widowControl w:val="0"/>
              <w:spacing w:line="360" w:lineRule="auto"/>
              <w:ind w:firstLine="480" w:firstLineChars="200"/>
              <w:jc w:val="both"/>
              <w:rPr>
                <w:rFonts w:ascii="宋体" w:hAnsi="宋体" w:eastAsia="宋体" w:cs="Times New Roman"/>
                <w:color w:val="auto"/>
                <w:kern w:val="0"/>
                <w:sz w:val="24"/>
                <w:szCs w:val="24"/>
                <w:lang w:val="en-US" w:eastAsia="zh-CN" w:bidi="ar-SA"/>
              </w:rPr>
            </w:pPr>
            <w:r>
              <w:rPr>
                <w:rFonts w:hint="eastAsia" w:ascii="宋体" w:hAnsi="宋体" w:eastAsia="宋体" w:cs="Times New Roman"/>
                <w:color w:val="auto"/>
                <w:kern w:val="0"/>
                <w:sz w:val="24"/>
                <w:szCs w:val="24"/>
                <w:lang w:val="en-US" w:eastAsia="zh-CN" w:bidi="ar-SA"/>
              </w:rPr>
              <w:t>≤5秒</w:t>
            </w:r>
          </w:p>
        </w:tc>
      </w:tr>
    </w:tbl>
    <w:p>
      <w:pPr>
        <w:widowControl w:val="0"/>
        <w:spacing w:line="360" w:lineRule="auto"/>
        <w:ind w:firstLine="480" w:firstLineChars="200"/>
        <w:jc w:val="both"/>
        <w:rPr>
          <w:rFonts w:ascii="宋体" w:hAnsi="宋体" w:eastAsia="宋体" w:cs="宋体"/>
          <w:color w:val="auto"/>
          <w:kern w:val="0"/>
          <w:sz w:val="24"/>
          <w:szCs w:val="24"/>
          <w:lang w:val="en-US" w:eastAsia="zh-CN" w:bidi="ar-SA"/>
        </w:rPr>
      </w:pPr>
      <w:r>
        <w:rPr>
          <w:rFonts w:hint="eastAsia" w:ascii="宋体" w:hAnsi="宋体" w:eastAsia="宋体" w:cs="宋体"/>
          <w:color w:val="auto"/>
          <w:kern w:val="0"/>
          <w:sz w:val="24"/>
          <w:szCs w:val="24"/>
          <w:lang w:val="en-US" w:eastAsia="zh-CN" w:bidi="ar-SA"/>
        </w:rPr>
        <w:t>注：数据分析是对于在线实时运算的，如果对于需要进行数据处理以及离线计算的分析，则响应时间不受此约束</w:t>
      </w:r>
    </w:p>
    <w:p>
      <w:pPr>
        <w:spacing w:line="360" w:lineRule="auto"/>
        <w:outlineLvl w:val="9"/>
        <w:rPr>
          <w:rFonts w:ascii="Times New Roman" w:hAnsi="Times New Roman" w:cs="Times New Roman"/>
          <w:b/>
          <w:bCs/>
          <w:color w:val="auto"/>
          <w:sz w:val="24"/>
          <w:szCs w:val="24"/>
        </w:rPr>
      </w:pPr>
      <w:r>
        <w:rPr>
          <w:rFonts w:hint="eastAsia" w:ascii="Times New Roman" w:hAnsi="Times New Roman" w:cs="Times New Roman"/>
          <w:b/>
          <w:bCs/>
          <w:color w:val="auto"/>
          <w:sz w:val="24"/>
          <w:szCs w:val="24"/>
        </w:rPr>
        <w:t>四</w:t>
      </w:r>
      <w:r>
        <w:rPr>
          <w:rFonts w:ascii="Times New Roman" w:hAnsi="Times New Roman" w:cs="Times New Roman"/>
          <w:b/>
          <w:bCs/>
          <w:color w:val="auto"/>
          <w:sz w:val="24"/>
          <w:szCs w:val="24"/>
        </w:rPr>
        <w:t>、实施服务要求</w:t>
      </w:r>
    </w:p>
    <w:p>
      <w:pPr>
        <w:spacing w:line="360" w:lineRule="auto"/>
        <w:ind w:firstLine="420"/>
        <w:outlineLvl w:val="9"/>
        <w:rPr>
          <w:rFonts w:ascii="Times New Roman" w:hAnsi="Times New Roman" w:cs="Times New Roman"/>
          <w:b/>
          <w:bCs/>
          <w:color w:val="auto"/>
          <w:sz w:val="24"/>
          <w:szCs w:val="24"/>
        </w:rPr>
      </w:pPr>
      <w:r>
        <w:rPr>
          <w:rFonts w:ascii="Times New Roman" w:hAnsi="Times New Roman" w:cs="Times New Roman"/>
          <w:b/>
          <w:bCs/>
          <w:color w:val="auto"/>
          <w:sz w:val="24"/>
          <w:szCs w:val="24"/>
        </w:rPr>
        <w:t>1</w:t>
      </w:r>
      <w:r>
        <w:rPr>
          <w:rFonts w:hint="eastAsia" w:ascii="Times New Roman" w:hAnsi="Times New Roman" w:cs="Times New Roman"/>
          <w:b/>
          <w:bCs/>
          <w:color w:val="auto"/>
          <w:sz w:val="24"/>
          <w:szCs w:val="24"/>
        </w:rPr>
        <w:t>、</w:t>
      </w:r>
      <w:r>
        <w:rPr>
          <w:rFonts w:ascii="Times New Roman" w:hAnsi="Times New Roman" w:cs="Times New Roman"/>
          <w:b/>
          <w:bCs/>
          <w:color w:val="auto"/>
          <w:sz w:val="24"/>
          <w:szCs w:val="24"/>
        </w:rPr>
        <w:t>交付</w:t>
      </w:r>
    </w:p>
    <w:p>
      <w:pPr>
        <w:spacing w:line="360" w:lineRule="auto"/>
        <w:ind w:firstLine="566" w:firstLineChars="236"/>
        <w:jc w:val="left"/>
        <w:rPr>
          <w:rFonts w:ascii="Times New Roman" w:hAnsi="Times New Roman" w:cs="Times New Roman"/>
          <w:color w:val="auto"/>
          <w:sz w:val="24"/>
          <w:szCs w:val="24"/>
        </w:rPr>
      </w:pPr>
      <w:r>
        <w:rPr>
          <w:rFonts w:ascii="Times New Roman" w:hAnsi="Times New Roman" w:cs="Times New Roman"/>
          <w:color w:val="auto"/>
          <w:sz w:val="24"/>
          <w:szCs w:val="24"/>
        </w:rPr>
        <w:t>1.1</w:t>
      </w:r>
      <w:r>
        <w:rPr>
          <w:rFonts w:hint="eastAsia" w:ascii="Times New Roman" w:hAnsi="Times New Roman" w:cs="Times New Roman"/>
          <w:color w:val="auto"/>
          <w:sz w:val="24"/>
          <w:szCs w:val="24"/>
          <w:lang w:val="en-US" w:eastAsia="zh-CN"/>
        </w:rPr>
        <w:t>中标人</w:t>
      </w:r>
      <w:r>
        <w:rPr>
          <w:rFonts w:ascii="Times New Roman" w:hAnsi="Times New Roman" w:cs="Times New Roman"/>
          <w:color w:val="auto"/>
          <w:sz w:val="24"/>
          <w:szCs w:val="24"/>
        </w:rPr>
        <w:t>应当按照项目约定的</w:t>
      </w:r>
      <w:r>
        <w:rPr>
          <w:rFonts w:hint="default"/>
          <w:color w:val="auto"/>
          <w:sz w:val="24"/>
          <w:lang w:eastAsia="zh-CN"/>
        </w:rPr>
        <w:t>时间及</w:t>
      </w:r>
      <w:r>
        <w:rPr>
          <w:rFonts w:ascii="Times New Roman" w:hAnsi="Times New Roman" w:cs="Times New Roman"/>
          <w:color w:val="auto"/>
          <w:sz w:val="24"/>
          <w:szCs w:val="24"/>
        </w:rPr>
        <w:t>服务内容进行交付，所交付的文档与文件应当包括纸质及电子版式并可供阅读。</w:t>
      </w:r>
    </w:p>
    <w:p>
      <w:pPr>
        <w:spacing w:line="360" w:lineRule="auto"/>
        <w:ind w:firstLine="566" w:firstLineChars="236"/>
        <w:jc w:val="left"/>
        <w:rPr>
          <w:rFonts w:ascii="Times New Roman" w:hAnsi="Times New Roman" w:cs="Times New Roman"/>
          <w:color w:val="auto"/>
          <w:sz w:val="24"/>
          <w:szCs w:val="24"/>
        </w:rPr>
      </w:pPr>
      <w:r>
        <w:rPr>
          <w:rFonts w:ascii="Times New Roman" w:hAnsi="Times New Roman" w:cs="Times New Roman"/>
          <w:color w:val="auto"/>
          <w:sz w:val="24"/>
          <w:szCs w:val="24"/>
        </w:rPr>
        <w:t>1.2</w:t>
      </w:r>
      <w:r>
        <w:rPr>
          <w:rFonts w:hint="eastAsia" w:ascii="Times New Roman" w:hAnsi="Times New Roman" w:cs="Times New Roman"/>
          <w:color w:val="auto"/>
          <w:sz w:val="24"/>
          <w:szCs w:val="24"/>
          <w:lang w:val="en-US" w:eastAsia="zh-CN"/>
        </w:rPr>
        <w:t>中标人</w:t>
      </w:r>
      <w:r>
        <w:rPr>
          <w:rFonts w:ascii="Times New Roman" w:hAnsi="Times New Roman" w:cs="Times New Roman"/>
          <w:color w:val="auto"/>
          <w:sz w:val="24"/>
          <w:szCs w:val="24"/>
        </w:rPr>
        <w:t>应当在每项交付10个工作日前以书面方式通知</w:t>
      </w:r>
      <w:r>
        <w:rPr>
          <w:rFonts w:hint="eastAsia" w:ascii="Times New Roman" w:hAnsi="Times New Roman" w:cs="Times New Roman"/>
          <w:color w:val="auto"/>
          <w:sz w:val="24"/>
          <w:szCs w:val="24"/>
          <w:lang w:val="en-US" w:eastAsia="zh-CN"/>
        </w:rPr>
        <w:t>招标</w:t>
      </w:r>
      <w:r>
        <w:rPr>
          <w:rFonts w:ascii="Times New Roman" w:hAnsi="Times New Roman" w:cs="Times New Roman"/>
          <w:color w:val="auto"/>
          <w:sz w:val="24"/>
          <w:szCs w:val="24"/>
        </w:rPr>
        <w:t>方，</w:t>
      </w:r>
      <w:r>
        <w:rPr>
          <w:rFonts w:hint="eastAsia" w:ascii="Times New Roman" w:hAnsi="Times New Roman" w:cs="Times New Roman"/>
          <w:color w:val="auto"/>
          <w:sz w:val="24"/>
          <w:szCs w:val="24"/>
          <w:lang w:val="en-US" w:eastAsia="zh-CN"/>
        </w:rPr>
        <w:t>招标</w:t>
      </w:r>
      <w:r>
        <w:rPr>
          <w:rFonts w:ascii="Times New Roman" w:hAnsi="Times New Roman" w:cs="Times New Roman"/>
          <w:color w:val="auto"/>
          <w:sz w:val="24"/>
          <w:szCs w:val="24"/>
        </w:rPr>
        <w:t>方应当在接到通知后及时安排交付事宜。</w:t>
      </w:r>
    </w:p>
    <w:p>
      <w:pPr>
        <w:spacing w:line="360" w:lineRule="auto"/>
        <w:ind w:firstLine="420"/>
        <w:outlineLvl w:val="9"/>
        <w:rPr>
          <w:rFonts w:ascii="Times New Roman" w:hAnsi="Times New Roman" w:cs="Times New Roman"/>
          <w:b/>
          <w:bCs/>
          <w:color w:val="auto"/>
          <w:sz w:val="24"/>
          <w:szCs w:val="24"/>
        </w:rPr>
      </w:pPr>
      <w:r>
        <w:rPr>
          <w:rFonts w:hint="eastAsia" w:ascii="Times New Roman" w:hAnsi="Times New Roman" w:cs="Times New Roman"/>
          <w:b/>
          <w:bCs/>
          <w:color w:val="auto"/>
          <w:sz w:val="24"/>
          <w:szCs w:val="24"/>
        </w:rPr>
        <w:t>2、</w:t>
      </w:r>
      <w:r>
        <w:rPr>
          <w:rFonts w:ascii="Times New Roman" w:hAnsi="Times New Roman" w:cs="Times New Roman"/>
          <w:b/>
          <w:bCs/>
          <w:color w:val="auto"/>
          <w:sz w:val="24"/>
          <w:szCs w:val="24"/>
        </w:rPr>
        <w:t>项目服务人员要求</w:t>
      </w:r>
    </w:p>
    <w:p>
      <w:pPr>
        <w:spacing w:line="360" w:lineRule="auto"/>
        <w:ind w:firstLine="566" w:firstLineChars="236"/>
        <w:jc w:val="left"/>
        <w:rPr>
          <w:rFonts w:ascii="Times New Roman" w:hAnsi="Times New Roman" w:cs="Times New Roman"/>
          <w:color w:val="auto"/>
          <w:sz w:val="24"/>
          <w:szCs w:val="24"/>
        </w:rPr>
      </w:pPr>
      <w:r>
        <w:rPr>
          <w:rFonts w:ascii="Times New Roman" w:hAnsi="Times New Roman" w:cs="Times New Roman"/>
          <w:color w:val="auto"/>
          <w:sz w:val="24"/>
          <w:szCs w:val="24"/>
        </w:rPr>
        <w:t>至少应配备项目经理、项目技术负责人及其他人员。</w:t>
      </w:r>
    </w:p>
    <w:p>
      <w:pPr>
        <w:spacing w:line="360" w:lineRule="auto"/>
        <w:ind w:firstLine="420"/>
        <w:outlineLvl w:val="9"/>
        <w:rPr>
          <w:rFonts w:ascii="Times New Roman" w:hAnsi="Times New Roman" w:cs="Times New Roman"/>
          <w:b/>
          <w:bCs/>
          <w:color w:val="auto"/>
          <w:sz w:val="24"/>
          <w:szCs w:val="24"/>
        </w:rPr>
      </w:pPr>
      <w:r>
        <w:rPr>
          <w:rFonts w:hint="eastAsia" w:ascii="Times New Roman" w:hAnsi="Times New Roman" w:cs="Times New Roman"/>
          <w:b/>
          <w:bCs/>
          <w:color w:val="auto"/>
          <w:sz w:val="24"/>
          <w:szCs w:val="24"/>
        </w:rPr>
        <w:t>3、</w:t>
      </w:r>
      <w:r>
        <w:rPr>
          <w:rFonts w:ascii="Times New Roman" w:hAnsi="Times New Roman" w:cs="Times New Roman"/>
          <w:b/>
          <w:bCs/>
          <w:color w:val="auto"/>
          <w:sz w:val="24"/>
          <w:szCs w:val="24"/>
        </w:rPr>
        <w:t>总体要求</w:t>
      </w:r>
    </w:p>
    <w:p>
      <w:pPr>
        <w:spacing w:line="360" w:lineRule="auto"/>
        <w:ind w:firstLine="566" w:firstLineChars="236"/>
        <w:jc w:val="left"/>
        <w:rPr>
          <w:rFonts w:ascii="Times New Roman" w:hAnsi="Times New Roman" w:cs="Times New Roman"/>
          <w:color w:val="auto"/>
          <w:sz w:val="24"/>
          <w:szCs w:val="24"/>
        </w:rPr>
      </w:pPr>
      <w:r>
        <w:rPr>
          <w:rFonts w:ascii="Times New Roman" w:hAnsi="Times New Roman" w:cs="Times New Roman"/>
          <w:color w:val="auto"/>
          <w:sz w:val="24"/>
          <w:szCs w:val="24"/>
        </w:rPr>
        <w:t>4.1</w:t>
      </w:r>
      <w:r>
        <w:rPr>
          <w:rFonts w:hint="eastAsia" w:ascii="Times New Roman" w:hAnsi="Times New Roman" w:cs="Times New Roman"/>
          <w:color w:val="auto"/>
          <w:sz w:val="24"/>
          <w:szCs w:val="24"/>
          <w:lang w:val="en-US" w:eastAsia="zh-CN"/>
        </w:rPr>
        <w:t>中标人</w:t>
      </w:r>
      <w:r>
        <w:rPr>
          <w:rFonts w:ascii="Times New Roman" w:hAnsi="Times New Roman" w:cs="Times New Roman"/>
          <w:color w:val="auto"/>
          <w:sz w:val="24"/>
          <w:szCs w:val="24"/>
        </w:rPr>
        <w:t>应具备相关产品开发、安装、调试的能力。</w:t>
      </w:r>
    </w:p>
    <w:p>
      <w:pPr>
        <w:spacing w:line="360" w:lineRule="auto"/>
        <w:ind w:firstLine="566" w:firstLineChars="236"/>
        <w:jc w:val="left"/>
        <w:rPr>
          <w:rFonts w:ascii="Times New Roman" w:hAnsi="Times New Roman" w:cs="Times New Roman"/>
          <w:color w:val="auto"/>
          <w:sz w:val="24"/>
          <w:szCs w:val="24"/>
        </w:rPr>
      </w:pPr>
      <w:r>
        <w:rPr>
          <w:rFonts w:ascii="Times New Roman" w:hAnsi="Times New Roman" w:cs="Times New Roman"/>
          <w:color w:val="auto"/>
          <w:sz w:val="24"/>
          <w:szCs w:val="24"/>
        </w:rPr>
        <w:t>4.2参与此项目的技术人员应具有强烈的服务意识和高度的责任感。</w:t>
      </w:r>
    </w:p>
    <w:p>
      <w:pPr>
        <w:spacing w:line="360" w:lineRule="auto"/>
        <w:ind w:firstLine="566" w:firstLineChars="236"/>
        <w:jc w:val="left"/>
        <w:rPr>
          <w:rFonts w:ascii="Times New Roman" w:hAnsi="Times New Roman" w:cs="Times New Roman"/>
          <w:color w:val="auto"/>
          <w:sz w:val="24"/>
          <w:szCs w:val="24"/>
        </w:rPr>
      </w:pPr>
      <w:r>
        <w:rPr>
          <w:rFonts w:ascii="Times New Roman" w:hAnsi="Times New Roman" w:cs="Times New Roman"/>
          <w:color w:val="auto"/>
          <w:sz w:val="24"/>
          <w:szCs w:val="24"/>
        </w:rPr>
        <w:t>4.3</w:t>
      </w:r>
      <w:r>
        <w:rPr>
          <w:rFonts w:hint="eastAsia" w:ascii="Times New Roman" w:hAnsi="Times New Roman" w:cs="Times New Roman"/>
          <w:color w:val="auto"/>
          <w:sz w:val="24"/>
          <w:szCs w:val="24"/>
          <w:lang w:val="en-US" w:eastAsia="zh-CN"/>
        </w:rPr>
        <w:t>中标人</w:t>
      </w:r>
      <w:r>
        <w:rPr>
          <w:rFonts w:ascii="Times New Roman" w:hAnsi="Times New Roman" w:cs="Times New Roman"/>
          <w:color w:val="auto"/>
          <w:sz w:val="24"/>
          <w:szCs w:val="24"/>
        </w:rPr>
        <w:t>，应允许</w:t>
      </w:r>
      <w:r>
        <w:rPr>
          <w:rFonts w:hint="eastAsia" w:ascii="Times New Roman" w:hAnsi="Times New Roman" w:cs="Times New Roman"/>
          <w:color w:val="auto"/>
          <w:sz w:val="24"/>
          <w:szCs w:val="24"/>
          <w:lang w:val="en-US" w:eastAsia="zh-CN"/>
        </w:rPr>
        <w:t>招标</w:t>
      </w:r>
      <w:r>
        <w:rPr>
          <w:rFonts w:ascii="Times New Roman" w:hAnsi="Times New Roman" w:cs="Times New Roman"/>
          <w:color w:val="auto"/>
          <w:sz w:val="24"/>
          <w:szCs w:val="24"/>
        </w:rPr>
        <w:t>方的工作人员及运维人员自实施工作开始即参与本项目的安装部署等工作，并在实施方案中提出协同工作计划。</w:t>
      </w:r>
    </w:p>
    <w:p>
      <w:pPr>
        <w:spacing w:line="360" w:lineRule="auto"/>
        <w:ind w:firstLine="566" w:firstLineChars="236"/>
        <w:jc w:val="left"/>
        <w:rPr>
          <w:rFonts w:ascii="Times New Roman" w:hAnsi="Times New Roman" w:cs="Times New Roman"/>
          <w:color w:val="auto"/>
          <w:sz w:val="24"/>
          <w:szCs w:val="24"/>
        </w:rPr>
      </w:pPr>
      <w:r>
        <w:rPr>
          <w:rFonts w:ascii="Times New Roman" w:hAnsi="Times New Roman" w:cs="Times New Roman"/>
          <w:color w:val="auto"/>
          <w:sz w:val="24"/>
          <w:szCs w:val="24"/>
        </w:rPr>
        <w:t>4.4在项目实施的各阶段供应商要保证项目人员的稳定。不得因为人员的问题出现停工、怠工现象。</w:t>
      </w:r>
    </w:p>
    <w:p>
      <w:pPr>
        <w:spacing w:line="360" w:lineRule="auto"/>
        <w:ind w:firstLine="420"/>
        <w:outlineLvl w:val="9"/>
        <w:rPr>
          <w:rFonts w:ascii="Times New Roman" w:hAnsi="Times New Roman" w:cs="Times New Roman"/>
          <w:b/>
          <w:bCs/>
          <w:color w:val="auto"/>
          <w:sz w:val="24"/>
          <w:szCs w:val="24"/>
        </w:rPr>
      </w:pPr>
      <w:r>
        <w:rPr>
          <w:rFonts w:hint="eastAsia" w:ascii="Times New Roman" w:hAnsi="Times New Roman" w:cs="Times New Roman"/>
          <w:b/>
          <w:bCs/>
          <w:color w:val="auto"/>
          <w:sz w:val="24"/>
          <w:szCs w:val="24"/>
        </w:rPr>
        <w:t>4、</w:t>
      </w:r>
      <w:r>
        <w:rPr>
          <w:rFonts w:ascii="Times New Roman" w:hAnsi="Times New Roman" w:cs="Times New Roman"/>
          <w:b/>
          <w:bCs/>
          <w:color w:val="auto"/>
          <w:sz w:val="24"/>
          <w:szCs w:val="24"/>
        </w:rPr>
        <w:t>工期</w:t>
      </w:r>
    </w:p>
    <w:p>
      <w:pPr>
        <w:spacing w:line="360" w:lineRule="auto"/>
        <w:ind w:firstLine="566" w:firstLineChars="236"/>
        <w:jc w:val="left"/>
        <w:rPr>
          <w:rFonts w:ascii="Times New Roman" w:hAnsi="Times New Roman" w:cs="Times New Roman"/>
          <w:color w:val="auto"/>
          <w:sz w:val="24"/>
          <w:szCs w:val="24"/>
        </w:rPr>
      </w:pPr>
      <w:r>
        <w:rPr>
          <w:rFonts w:hint="eastAsia" w:ascii="Times New Roman" w:hAnsi="Times New Roman" w:cs="Times New Roman"/>
          <w:color w:val="auto"/>
          <w:sz w:val="24"/>
          <w:szCs w:val="24"/>
        </w:rPr>
        <w:t>项目建设期：2</w:t>
      </w:r>
      <w:r>
        <w:rPr>
          <w:rFonts w:ascii="Times New Roman" w:hAnsi="Times New Roman" w:cs="Times New Roman"/>
          <w:color w:val="auto"/>
          <w:sz w:val="24"/>
          <w:szCs w:val="24"/>
        </w:rPr>
        <w:t>02</w:t>
      </w:r>
      <w:r>
        <w:rPr>
          <w:rFonts w:hint="eastAsia" w:cs="Times New Roman"/>
          <w:color w:val="auto"/>
          <w:sz w:val="24"/>
          <w:szCs w:val="24"/>
          <w:lang w:val="en-US" w:eastAsia="zh-CN"/>
        </w:rPr>
        <w:t>5</w:t>
      </w:r>
      <w:r>
        <w:rPr>
          <w:rFonts w:hint="eastAsia" w:ascii="Times New Roman" w:hAnsi="Times New Roman" w:cs="Times New Roman"/>
          <w:color w:val="auto"/>
          <w:sz w:val="24"/>
          <w:szCs w:val="24"/>
        </w:rPr>
        <w:t>年</w:t>
      </w:r>
      <w:r>
        <w:rPr>
          <w:rFonts w:hint="eastAsia" w:ascii="Times New Roman" w:hAnsi="Times New Roman" w:cs="Times New Roman"/>
          <w:color w:val="auto"/>
          <w:sz w:val="24"/>
          <w:szCs w:val="24"/>
          <w:lang w:val="en-US" w:eastAsia="zh-CN"/>
        </w:rPr>
        <w:t>2</w:t>
      </w:r>
      <w:r>
        <w:rPr>
          <w:rFonts w:hint="eastAsia" w:ascii="Times New Roman" w:hAnsi="Times New Roman" w:cs="Times New Roman"/>
          <w:color w:val="auto"/>
          <w:sz w:val="24"/>
          <w:szCs w:val="24"/>
        </w:rPr>
        <w:t>月底前完成项目</w:t>
      </w:r>
      <w:r>
        <w:rPr>
          <w:rFonts w:hint="eastAsia" w:cs="Times New Roman"/>
          <w:color w:val="auto"/>
          <w:sz w:val="24"/>
          <w:szCs w:val="24"/>
          <w:lang w:eastAsia="zh-CN"/>
        </w:rPr>
        <w:t>，并通过最终</w:t>
      </w:r>
      <w:r>
        <w:rPr>
          <w:rFonts w:hint="eastAsia" w:ascii="Times New Roman" w:hAnsi="Times New Roman" w:cs="Times New Roman"/>
          <w:color w:val="auto"/>
          <w:sz w:val="24"/>
          <w:szCs w:val="24"/>
        </w:rPr>
        <w:t>竣工验收。</w:t>
      </w:r>
    </w:p>
    <w:p>
      <w:pPr>
        <w:spacing w:line="360" w:lineRule="auto"/>
        <w:ind w:firstLine="420"/>
        <w:outlineLvl w:val="9"/>
        <w:rPr>
          <w:rFonts w:ascii="Times New Roman" w:hAnsi="Times New Roman" w:cs="Times New Roman"/>
          <w:b/>
          <w:bCs/>
          <w:color w:val="auto"/>
          <w:sz w:val="24"/>
          <w:szCs w:val="24"/>
        </w:rPr>
      </w:pPr>
      <w:r>
        <w:rPr>
          <w:rFonts w:ascii="Times New Roman" w:hAnsi="Times New Roman" w:cs="Times New Roman"/>
          <w:b/>
          <w:bCs/>
          <w:color w:val="auto"/>
          <w:sz w:val="24"/>
          <w:szCs w:val="24"/>
        </w:rPr>
        <w:t>5</w:t>
      </w:r>
      <w:r>
        <w:rPr>
          <w:rFonts w:hint="eastAsia" w:ascii="Times New Roman" w:hAnsi="Times New Roman" w:cs="Times New Roman"/>
          <w:b/>
          <w:bCs/>
          <w:color w:val="auto"/>
          <w:sz w:val="24"/>
          <w:szCs w:val="24"/>
        </w:rPr>
        <w:t>、</w:t>
      </w:r>
      <w:r>
        <w:rPr>
          <w:rFonts w:ascii="Times New Roman" w:hAnsi="Times New Roman" w:cs="Times New Roman"/>
          <w:b/>
          <w:bCs/>
          <w:color w:val="auto"/>
          <w:sz w:val="24"/>
          <w:szCs w:val="24"/>
        </w:rPr>
        <w:t>项目管理要求</w:t>
      </w:r>
    </w:p>
    <w:p>
      <w:pPr>
        <w:spacing w:line="360" w:lineRule="auto"/>
        <w:ind w:firstLine="566" w:firstLineChars="236"/>
        <w:jc w:val="left"/>
        <w:rPr>
          <w:rFonts w:ascii="Times New Roman" w:hAnsi="Times New Roman" w:cs="Times New Roman"/>
          <w:color w:val="auto"/>
          <w:sz w:val="24"/>
          <w:szCs w:val="24"/>
        </w:rPr>
      </w:pPr>
      <w:r>
        <w:rPr>
          <w:rFonts w:ascii="Times New Roman" w:hAnsi="Times New Roman" w:cs="Times New Roman"/>
          <w:color w:val="auto"/>
          <w:sz w:val="24"/>
          <w:szCs w:val="24"/>
        </w:rPr>
        <w:t>5.1项目组管理</w:t>
      </w:r>
    </w:p>
    <w:p>
      <w:pPr>
        <w:spacing w:line="360" w:lineRule="auto"/>
        <w:ind w:firstLine="566" w:firstLineChars="236"/>
        <w:jc w:val="left"/>
        <w:rPr>
          <w:rFonts w:ascii="Times New Roman" w:hAnsi="Times New Roman" w:cs="Times New Roman"/>
          <w:color w:val="auto"/>
          <w:sz w:val="24"/>
          <w:szCs w:val="24"/>
        </w:rPr>
      </w:pPr>
      <w:r>
        <w:rPr>
          <w:rFonts w:hint="eastAsia" w:ascii="Times New Roman" w:hAnsi="Times New Roman" w:cs="Times New Roman"/>
          <w:color w:val="auto"/>
          <w:sz w:val="24"/>
          <w:szCs w:val="24"/>
          <w:lang w:val="en-US" w:eastAsia="zh-CN"/>
        </w:rPr>
        <w:t>中标人</w:t>
      </w:r>
      <w:r>
        <w:rPr>
          <w:rFonts w:ascii="Times New Roman" w:hAnsi="Times New Roman" w:cs="Times New Roman"/>
          <w:color w:val="auto"/>
          <w:sz w:val="24"/>
          <w:szCs w:val="24"/>
        </w:rPr>
        <w:t>需要对此项目建立专门的项目组。项目组人员的变更必须经</w:t>
      </w:r>
      <w:r>
        <w:rPr>
          <w:rFonts w:hint="eastAsia" w:ascii="Times New Roman" w:hAnsi="Times New Roman" w:cs="Times New Roman"/>
          <w:color w:val="auto"/>
          <w:sz w:val="24"/>
          <w:szCs w:val="24"/>
          <w:lang w:val="en-US" w:eastAsia="zh-CN"/>
        </w:rPr>
        <w:t>招标</w:t>
      </w:r>
      <w:r>
        <w:rPr>
          <w:rFonts w:ascii="Times New Roman" w:hAnsi="Times New Roman" w:cs="Times New Roman"/>
          <w:color w:val="auto"/>
          <w:sz w:val="24"/>
          <w:szCs w:val="24"/>
        </w:rPr>
        <w:t>方的同意，必须提前1个月向</w:t>
      </w:r>
      <w:r>
        <w:rPr>
          <w:rFonts w:hint="eastAsia" w:ascii="Times New Roman" w:hAnsi="Times New Roman" w:cs="Times New Roman"/>
          <w:color w:val="auto"/>
          <w:sz w:val="24"/>
          <w:szCs w:val="24"/>
          <w:lang w:val="en-US" w:eastAsia="zh-CN"/>
        </w:rPr>
        <w:t>招标</w:t>
      </w:r>
      <w:r>
        <w:rPr>
          <w:rFonts w:ascii="Times New Roman" w:hAnsi="Times New Roman" w:cs="Times New Roman"/>
          <w:color w:val="auto"/>
          <w:sz w:val="24"/>
          <w:szCs w:val="24"/>
        </w:rPr>
        <w:t>方提交书面申请。</w:t>
      </w:r>
    </w:p>
    <w:p>
      <w:pPr>
        <w:spacing w:line="360" w:lineRule="auto"/>
        <w:ind w:firstLine="566" w:firstLineChars="236"/>
        <w:jc w:val="left"/>
        <w:rPr>
          <w:rFonts w:ascii="Times New Roman" w:hAnsi="Times New Roman" w:cs="Times New Roman"/>
          <w:color w:val="auto"/>
          <w:sz w:val="24"/>
          <w:szCs w:val="24"/>
        </w:rPr>
      </w:pPr>
      <w:r>
        <w:rPr>
          <w:rFonts w:ascii="Times New Roman" w:hAnsi="Times New Roman" w:cs="Times New Roman"/>
          <w:color w:val="auto"/>
          <w:sz w:val="24"/>
          <w:szCs w:val="24"/>
        </w:rPr>
        <w:t>在本项目实施过程中，</w:t>
      </w:r>
      <w:r>
        <w:rPr>
          <w:rFonts w:hint="eastAsia" w:ascii="Times New Roman" w:hAnsi="Times New Roman" w:cs="Times New Roman"/>
          <w:color w:val="auto"/>
          <w:sz w:val="24"/>
          <w:szCs w:val="24"/>
          <w:lang w:val="en-US" w:eastAsia="zh-CN"/>
        </w:rPr>
        <w:t>招标</w:t>
      </w:r>
      <w:r>
        <w:rPr>
          <w:rFonts w:ascii="Times New Roman" w:hAnsi="Times New Roman" w:cs="Times New Roman"/>
          <w:color w:val="auto"/>
          <w:sz w:val="24"/>
          <w:szCs w:val="24"/>
        </w:rPr>
        <w:t>方认为</w:t>
      </w:r>
      <w:r>
        <w:rPr>
          <w:rFonts w:hint="eastAsia" w:ascii="Times New Roman" w:hAnsi="Times New Roman" w:cs="Times New Roman"/>
          <w:color w:val="auto"/>
          <w:sz w:val="24"/>
          <w:szCs w:val="24"/>
          <w:lang w:val="en-US" w:eastAsia="zh-CN"/>
        </w:rPr>
        <w:t>中标人</w:t>
      </w:r>
      <w:r>
        <w:rPr>
          <w:rFonts w:ascii="Times New Roman" w:hAnsi="Times New Roman" w:cs="Times New Roman"/>
          <w:color w:val="auto"/>
          <w:sz w:val="24"/>
          <w:szCs w:val="24"/>
        </w:rPr>
        <w:t>项目经理无法有效组织项目成员完成该项目所要求的工作内容时，有权要求</w:t>
      </w:r>
      <w:r>
        <w:rPr>
          <w:rFonts w:hint="eastAsia" w:ascii="Times New Roman" w:hAnsi="Times New Roman" w:cs="Times New Roman"/>
          <w:color w:val="auto"/>
          <w:sz w:val="24"/>
          <w:szCs w:val="24"/>
          <w:lang w:val="en-US" w:eastAsia="zh-CN"/>
        </w:rPr>
        <w:t>中标人</w:t>
      </w:r>
      <w:r>
        <w:rPr>
          <w:rFonts w:ascii="Times New Roman" w:hAnsi="Times New Roman" w:cs="Times New Roman"/>
          <w:color w:val="auto"/>
          <w:sz w:val="24"/>
          <w:szCs w:val="24"/>
        </w:rPr>
        <w:t>更换项目经理，</w:t>
      </w:r>
      <w:r>
        <w:rPr>
          <w:rFonts w:hint="eastAsia" w:ascii="Times New Roman" w:hAnsi="Times New Roman" w:cs="Times New Roman"/>
          <w:color w:val="auto"/>
          <w:sz w:val="24"/>
          <w:szCs w:val="24"/>
          <w:lang w:val="en-US" w:eastAsia="zh-CN"/>
        </w:rPr>
        <w:t>中标人</w:t>
      </w:r>
      <w:r>
        <w:rPr>
          <w:rFonts w:ascii="Times New Roman" w:hAnsi="Times New Roman" w:cs="Times New Roman"/>
          <w:color w:val="auto"/>
          <w:sz w:val="24"/>
          <w:szCs w:val="24"/>
        </w:rPr>
        <w:t>有义务接受。</w:t>
      </w:r>
    </w:p>
    <w:p>
      <w:pPr>
        <w:spacing w:line="360" w:lineRule="auto"/>
        <w:ind w:firstLine="566" w:firstLineChars="236"/>
        <w:jc w:val="left"/>
        <w:rPr>
          <w:rFonts w:ascii="Times New Roman" w:hAnsi="Times New Roman" w:cs="Times New Roman"/>
          <w:color w:val="auto"/>
          <w:sz w:val="24"/>
          <w:szCs w:val="24"/>
        </w:rPr>
      </w:pPr>
      <w:r>
        <w:rPr>
          <w:rFonts w:ascii="Times New Roman" w:hAnsi="Times New Roman" w:cs="Times New Roman"/>
          <w:color w:val="auto"/>
          <w:sz w:val="24"/>
          <w:szCs w:val="24"/>
        </w:rPr>
        <w:t>5.2项目管理机制</w:t>
      </w:r>
    </w:p>
    <w:p>
      <w:pPr>
        <w:spacing w:line="360" w:lineRule="auto"/>
        <w:ind w:firstLine="566" w:firstLineChars="236"/>
        <w:jc w:val="left"/>
        <w:rPr>
          <w:rFonts w:ascii="Times New Roman" w:hAnsi="Times New Roman" w:cs="Times New Roman"/>
          <w:color w:val="auto"/>
          <w:sz w:val="24"/>
          <w:szCs w:val="24"/>
        </w:rPr>
      </w:pPr>
      <w:r>
        <w:rPr>
          <w:rFonts w:hint="eastAsia" w:ascii="Times New Roman" w:hAnsi="Times New Roman" w:cs="Times New Roman"/>
          <w:color w:val="auto"/>
          <w:sz w:val="24"/>
          <w:szCs w:val="24"/>
          <w:lang w:val="en-US" w:eastAsia="zh-CN"/>
        </w:rPr>
        <w:t>中标人</w:t>
      </w:r>
      <w:r>
        <w:rPr>
          <w:rFonts w:ascii="Times New Roman" w:hAnsi="Times New Roman" w:cs="Times New Roman"/>
          <w:color w:val="auto"/>
          <w:sz w:val="24"/>
          <w:szCs w:val="24"/>
        </w:rPr>
        <w:t>应明确说明项目管理方法，项目实施方法，对本项目的实施风险分析和相应的控制方法，以及质量管理方法。</w:t>
      </w:r>
    </w:p>
    <w:p>
      <w:pPr>
        <w:spacing w:line="360" w:lineRule="auto"/>
        <w:ind w:firstLine="566" w:firstLineChars="236"/>
        <w:jc w:val="left"/>
        <w:rPr>
          <w:rFonts w:ascii="Times New Roman" w:hAnsi="Times New Roman" w:cs="Times New Roman"/>
          <w:color w:val="auto"/>
          <w:sz w:val="24"/>
          <w:szCs w:val="24"/>
        </w:rPr>
      </w:pPr>
      <w:r>
        <w:rPr>
          <w:rFonts w:ascii="Times New Roman" w:hAnsi="Times New Roman" w:cs="Times New Roman"/>
          <w:color w:val="auto"/>
          <w:sz w:val="24"/>
          <w:szCs w:val="24"/>
        </w:rPr>
        <w:t>5.3进展汇报</w:t>
      </w:r>
    </w:p>
    <w:p>
      <w:pPr>
        <w:spacing w:line="360" w:lineRule="auto"/>
        <w:ind w:firstLine="566" w:firstLineChars="236"/>
        <w:jc w:val="left"/>
        <w:rPr>
          <w:rFonts w:ascii="Times New Roman" w:hAnsi="Times New Roman" w:cs="Times New Roman"/>
          <w:color w:val="auto"/>
          <w:sz w:val="24"/>
          <w:szCs w:val="24"/>
        </w:rPr>
      </w:pPr>
      <w:r>
        <w:rPr>
          <w:rFonts w:hint="eastAsia" w:ascii="Times New Roman" w:hAnsi="Times New Roman" w:cs="Times New Roman"/>
          <w:color w:val="auto"/>
          <w:sz w:val="24"/>
          <w:szCs w:val="24"/>
          <w:lang w:val="en-US" w:eastAsia="zh-CN"/>
        </w:rPr>
        <w:t>中标人</w:t>
      </w:r>
      <w:r>
        <w:rPr>
          <w:rFonts w:ascii="Times New Roman" w:hAnsi="Times New Roman" w:cs="Times New Roman"/>
          <w:color w:val="auto"/>
          <w:sz w:val="24"/>
          <w:szCs w:val="24"/>
        </w:rPr>
        <w:t>应每月定期呈交项目的服务报告，并在服务报告中列明开发/生产的进展、任何可预见预定交付日的延期和所有其它采购单位可能要求的有关信息，及上述每一项情况的相应活动或行动。同时，应定期安排汇报会，并在汇报会中与供应商讨论项目的进展报告及其它与项目有关的事宜。</w:t>
      </w:r>
    </w:p>
    <w:p>
      <w:pPr>
        <w:spacing w:line="360" w:lineRule="auto"/>
        <w:ind w:firstLine="566" w:firstLineChars="236"/>
        <w:jc w:val="left"/>
        <w:rPr>
          <w:rFonts w:ascii="Times New Roman" w:hAnsi="Times New Roman" w:cs="Times New Roman"/>
          <w:color w:val="auto"/>
          <w:sz w:val="24"/>
          <w:szCs w:val="24"/>
        </w:rPr>
      </w:pPr>
      <w:r>
        <w:rPr>
          <w:rFonts w:ascii="Times New Roman" w:hAnsi="Times New Roman" w:cs="Times New Roman"/>
          <w:color w:val="auto"/>
          <w:sz w:val="24"/>
          <w:szCs w:val="24"/>
        </w:rPr>
        <w:t>5.4项目控制</w:t>
      </w:r>
    </w:p>
    <w:p>
      <w:pPr>
        <w:spacing w:line="360" w:lineRule="auto"/>
        <w:ind w:firstLine="566" w:firstLineChars="236"/>
        <w:jc w:val="left"/>
        <w:rPr>
          <w:rFonts w:ascii="Times New Roman" w:hAnsi="Times New Roman" w:cs="Times New Roman"/>
          <w:color w:val="auto"/>
          <w:sz w:val="24"/>
          <w:szCs w:val="24"/>
        </w:rPr>
      </w:pPr>
      <w:r>
        <w:rPr>
          <w:rFonts w:hint="eastAsia" w:ascii="Times New Roman" w:hAnsi="Times New Roman" w:cs="Times New Roman"/>
          <w:color w:val="auto"/>
          <w:sz w:val="24"/>
          <w:szCs w:val="24"/>
          <w:lang w:val="en-US" w:eastAsia="zh-CN"/>
        </w:rPr>
        <w:t>中标人</w:t>
      </w:r>
      <w:r>
        <w:rPr>
          <w:rFonts w:ascii="Times New Roman" w:hAnsi="Times New Roman" w:cs="Times New Roman"/>
          <w:color w:val="auto"/>
          <w:sz w:val="24"/>
          <w:szCs w:val="24"/>
        </w:rPr>
        <w:t>应任命一名项目经理,此人将：</w:t>
      </w:r>
    </w:p>
    <w:p>
      <w:pPr>
        <w:spacing w:line="360" w:lineRule="auto"/>
        <w:ind w:firstLine="566" w:firstLineChars="236"/>
        <w:jc w:val="left"/>
        <w:rPr>
          <w:rFonts w:ascii="Times New Roman" w:hAnsi="Times New Roman" w:cs="Times New Roman"/>
          <w:color w:val="auto"/>
          <w:sz w:val="24"/>
          <w:szCs w:val="24"/>
        </w:rPr>
      </w:pPr>
      <w:r>
        <w:rPr>
          <w:rFonts w:ascii="Times New Roman" w:hAnsi="Times New Roman" w:cs="Times New Roman"/>
          <w:color w:val="auto"/>
          <w:sz w:val="24"/>
          <w:szCs w:val="24"/>
        </w:rPr>
        <w:t>5.4.1对拟本次技术服务要有充分的理解；</w:t>
      </w:r>
    </w:p>
    <w:p>
      <w:pPr>
        <w:spacing w:line="360" w:lineRule="auto"/>
        <w:ind w:firstLine="566" w:firstLineChars="236"/>
        <w:jc w:val="left"/>
        <w:rPr>
          <w:rFonts w:ascii="Times New Roman" w:hAnsi="Times New Roman" w:cs="Times New Roman"/>
          <w:color w:val="auto"/>
          <w:sz w:val="24"/>
          <w:szCs w:val="24"/>
        </w:rPr>
      </w:pPr>
      <w:r>
        <w:rPr>
          <w:rFonts w:ascii="Times New Roman" w:hAnsi="Times New Roman" w:cs="Times New Roman"/>
          <w:color w:val="auto"/>
          <w:sz w:val="24"/>
          <w:szCs w:val="24"/>
        </w:rPr>
        <w:t>5.4.2除对</w:t>
      </w:r>
      <w:r>
        <w:rPr>
          <w:rFonts w:hint="eastAsia" w:ascii="Times New Roman" w:hAnsi="Times New Roman" w:cs="Times New Roman"/>
          <w:color w:val="auto"/>
          <w:sz w:val="24"/>
          <w:szCs w:val="24"/>
          <w:lang w:val="en-US" w:eastAsia="zh-CN"/>
        </w:rPr>
        <w:t>中标人</w:t>
      </w:r>
      <w:r>
        <w:rPr>
          <w:rFonts w:ascii="Times New Roman" w:hAnsi="Times New Roman" w:cs="Times New Roman"/>
          <w:color w:val="auto"/>
          <w:sz w:val="24"/>
          <w:szCs w:val="24"/>
        </w:rPr>
        <w:t>的人员有完全控制和管理权力外，并且得到</w:t>
      </w:r>
      <w:r>
        <w:rPr>
          <w:rFonts w:hint="eastAsia" w:ascii="Times New Roman" w:hAnsi="Times New Roman" w:cs="Times New Roman"/>
          <w:color w:val="auto"/>
          <w:sz w:val="24"/>
          <w:szCs w:val="24"/>
          <w:lang w:val="en-US" w:eastAsia="zh-CN"/>
        </w:rPr>
        <w:t>中标人</w:t>
      </w:r>
      <w:r>
        <w:rPr>
          <w:rFonts w:ascii="Times New Roman" w:hAnsi="Times New Roman" w:cs="Times New Roman"/>
          <w:color w:val="auto"/>
          <w:sz w:val="24"/>
          <w:szCs w:val="24"/>
        </w:rPr>
        <w:t>在工作进展期间具有做出日常决定的充分授权；</w:t>
      </w:r>
    </w:p>
    <w:p>
      <w:pPr>
        <w:spacing w:line="360" w:lineRule="auto"/>
        <w:ind w:firstLine="566" w:firstLineChars="236"/>
        <w:jc w:val="left"/>
        <w:rPr>
          <w:rFonts w:ascii="Times New Roman" w:hAnsi="Times New Roman" w:cs="Times New Roman"/>
          <w:color w:val="auto"/>
          <w:sz w:val="24"/>
          <w:szCs w:val="24"/>
        </w:rPr>
      </w:pPr>
      <w:r>
        <w:rPr>
          <w:rFonts w:ascii="Times New Roman" w:hAnsi="Times New Roman" w:cs="Times New Roman"/>
          <w:color w:val="auto"/>
          <w:sz w:val="24"/>
          <w:szCs w:val="24"/>
        </w:rPr>
        <w:t>5.4.3在正常工作时间或任何其它认为需要为能够根据执行计划表完成工作所需要的时间内，可以被联系到。</w:t>
      </w:r>
    </w:p>
    <w:p>
      <w:pPr>
        <w:numPr>
          <w:ilvl w:val="1"/>
          <w:numId w:val="0"/>
        </w:numPr>
        <w:spacing w:line="360" w:lineRule="auto"/>
        <w:jc w:val="left"/>
        <w:outlineLvl w:val="9"/>
        <w:rPr>
          <w:rFonts w:ascii="宋体" w:hAnsi="宋体"/>
          <w:bCs/>
          <w:color w:val="auto"/>
          <w:sz w:val="24"/>
        </w:rPr>
      </w:pPr>
      <w:r>
        <w:rPr>
          <w:rFonts w:hint="eastAsia" w:ascii="宋体" w:hAnsi="宋体"/>
          <w:b/>
          <w:bCs/>
          <w:color w:val="auto"/>
          <w:sz w:val="24"/>
        </w:rPr>
        <w:t>五、安全等保要求</w:t>
      </w:r>
    </w:p>
    <w:p>
      <w:pPr>
        <w:widowControl w:val="0"/>
        <w:spacing w:line="360" w:lineRule="auto"/>
        <w:ind w:firstLine="480" w:firstLineChars="200"/>
        <w:jc w:val="both"/>
        <w:rPr>
          <w:rFonts w:ascii="Times New Roman" w:hAnsi="宋体" w:eastAsia="宋体" w:cs="Times New Roman"/>
          <w:color w:val="auto"/>
          <w:kern w:val="2"/>
          <w:sz w:val="24"/>
          <w:szCs w:val="24"/>
          <w:lang w:val="en-US" w:eastAsia="zh-CN" w:bidi="ar-SA"/>
        </w:rPr>
      </w:pPr>
      <w:r>
        <w:rPr>
          <w:rFonts w:hint="eastAsia" w:ascii="宋体" w:hAnsi="宋体" w:eastAsia="宋体" w:cs="Times New Roman"/>
          <w:color w:val="auto"/>
          <w:kern w:val="2"/>
          <w:sz w:val="24"/>
          <w:szCs w:val="24"/>
          <w:lang w:val="en-US" w:eastAsia="zh-CN" w:bidi="ar-SA"/>
        </w:rPr>
        <w:t>（一）信息系统安全风险分析</w:t>
      </w:r>
    </w:p>
    <w:p>
      <w:pPr>
        <w:widowControl w:val="0"/>
        <w:spacing w:line="360" w:lineRule="auto"/>
        <w:ind w:firstLine="480" w:firstLineChars="200"/>
        <w:jc w:val="both"/>
        <w:rPr>
          <w:rFonts w:ascii="Times New Roman" w:hAnsi="宋体" w:eastAsia="宋体" w:cs="Times New Roman"/>
          <w:color w:val="auto"/>
          <w:kern w:val="2"/>
          <w:sz w:val="24"/>
          <w:szCs w:val="24"/>
          <w:lang w:val="en-US" w:eastAsia="zh-CN" w:bidi="ar-SA"/>
        </w:rPr>
      </w:pPr>
      <w:r>
        <w:rPr>
          <w:rFonts w:hint="eastAsia" w:ascii="宋体" w:hAnsi="宋体" w:eastAsia="宋体" w:cs="Times New Roman"/>
          <w:color w:val="auto"/>
          <w:kern w:val="2"/>
          <w:sz w:val="24"/>
          <w:szCs w:val="24"/>
          <w:lang w:val="en-US" w:eastAsia="zh-CN" w:bidi="ar-SA"/>
        </w:rPr>
        <w:t>对该系统的现状进行安全风险漏洞扫描。根据其特点设计分析方案和方法，按照相关国家标准，分析其与等级保护基本要求之间的差距。</w:t>
      </w:r>
    </w:p>
    <w:p>
      <w:pPr>
        <w:widowControl w:val="0"/>
        <w:spacing w:line="360" w:lineRule="auto"/>
        <w:ind w:firstLine="480" w:firstLineChars="200"/>
        <w:jc w:val="both"/>
        <w:rPr>
          <w:rFonts w:ascii="Times New Roman" w:hAnsi="宋体" w:eastAsia="宋体" w:cs="Times New Roman"/>
          <w:color w:val="auto"/>
          <w:kern w:val="2"/>
          <w:sz w:val="24"/>
          <w:szCs w:val="24"/>
          <w:lang w:val="en-US" w:eastAsia="zh-CN" w:bidi="ar-SA"/>
        </w:rPr>
      </w:pPr>
      <w:r>
        <w:rPr>
          <w:rFonts w:hint="eastAsia" w:ascii="宋体" w:hAnsi="宋体" w:eastAsia="宋体" w:cs="Times New Roman"/>
          <w:color w:val="auto"/>
          <w:kern w:val="2"/>
          <w:sz w:val="24"/>
          <w:szCs w:val="24"/>
          <w:lang w:val="en-US" w:eastAsia="zh-CN" w:bidi="ar-SA"/>
        </w:rPr>
        <w:t>（二）信息安全体系建设与整改、加固</w:t>
      </w:r>
    </w:p>
    <w:p>
      <w:pPr>
        <w:widowControl w:val="0"/>
        <w:spacing w:line="360" w:lineRule="auto"/>
        <w:ind w:firstLine="480" w:firstLineChars="200"/>
        <w:jc w:val="both"/>
        <w:rPr>
          <w:rFonts w:ascii="Times New Roman" w:hAnsi="宋体" w:eastAsia="宋体" w:cs="Times New Roman"/>
          <w:color w:val="auto"/>
          <w:kern w:val="2"/>
          <w:sz w:val="24"/>
          <w:szCs w:val="24"/>
          <w:lang w:val="en-US" w:eastAsia="zh-CN" w:bidi="ar-SA"/>
        </w:rPr>
      </w:pPr>
      <w:r>
        <w:rPr>
          <w:rFonts w:hint="eastAsia" w:ascii="宋体" w:hAnsi="宋体" w:eastAsia="宋体" w:cs="Times New Roman"/>
          <w:color w:val="auto"/>
          <w:kern w:val="2"/>
          <w:sz w:val="24"/>
          <w:szCs w:val="24"/>
          <w:lang w:val="en-US" w:eastAsia="zh-CN" w:bidi="ar-SA"/>
        </w:rPr>
        <w:t>按照信息安全等级保护制度建设要求和安全风险分析的结果，针对系统的潜在威胁、薄弱环节、已采取的防护措施等提出风险管控措施，协助制定安全策略、完善安全技术架构，落实到产品功能、物理形态及管理措施上，提出能够实现的产品或组件及其具体规范，得出安全产品需求清单，提供系统建设整改和安全加固的方案并协助实施。</w:t>
      </w:r>
    </w:p>
    <w:p>
      <w:pPr>
        <w:widowControl w:val="0"/>
        <w:spacing w:line="360" w:lineRule="auto"/>
        <w:ind w:firstLine="480" w:firstLineChars="200"/>
        <w:jc w:val="both"/>
        <w:rPr>
          <w:rFonts w:ascii="Times New Roman" w:hAnsi="宋体" w:eastAsia="宋体" w:cs="Times New Roman"/>
          <w:color w:val="auto"/>
          <w:kern w:val="2"/>
          <w:sz w:val="24"/>
          <w:szCs w:val="24"/>
          <w:lang w:val="en-US" w:eastAsia="zh-CN" w:bidi="ar-SA"/>
        </w:rPr>
      </w:pPr>
      <w:r>
        <w:rPr>
          <w:rFonts w:hint="eastAsia" w:ascii="宋体" w:hAnsi="宋体" w:eastAsia="宋体" w:cs="Times New Roman"/>
          <w:color w:val="auto"/>
          <w:kern w:val="2"/>
          <w:sz w:val="24"/>
          <w:szCs w:val="24"/>
          <w:lang w:val="en-US" w:eastAsia="zh-CN" w:bidi="ar-SA"/>
        </w:rPr>
        <w:t>（三）信息系统安全要求</w:t>
      </w:r>
    </w:p>
    <w:p>
      <w:pPr>
        <w:widowControl w:val="0"/>
        <w:spacing w:line="360" w:lineRule="auto"/>
        <w:ind w:firstLine="480" w:firstLineChars="200"/>
        <w:jc w:val="both"/>
        <w:rPr>
          <w:rFonts w:ascii="Times New Roman" w:hAnsi="宋体" w:eastAsia="宋体" w:cs="Times New Roman"/>
          <w:color w:val="auto"/>
          <w:kern w:val="2"/>
          <w:sz w:val="24"/>
          <w:szCs w:val="24"/>
          <w:lang w:val="en-US" w:eastAsia="zh-CN" w:bidi="ar-SA"/>
        </w:rPr>
      </w:pPr>
      <w:r>
        <w:rPr>
          <w:rFonts w:hint="eastAsia" w:ascii="宋体" w:hAnsi="宋体" w:eastAsia="宋体" w:cs="Times New Roman"/>
          <w:color w:val="auto"/>
          <w:kern w:val="2"/>
          <w:sz w:val="24"/>
          <w:szCs w:val="24"/>
          <w:lang w:val="en-US" w:eastAsia="zh-CN" w:bidi="ar-SA"/>
        </w:rPr>
        <w:t>依据有关信息安全管理的政策法规，2024年空间数据治理与服务项目需要满足安全等级</w:t>
      </w:r>
      <w:r>
        <w:rPr>
          <w:rFonts w:hint="eastAsia" w:ascii="Times New Roman" w:hAnsi="宋体" w:eastAsia="宋体" w:cs="Times New Roman"/>
          <w:color w:val="auto"/>
          <w:kern w:val="2"/>
          <w:sz w:val="24"/>
          <w:szCs w:val="24"/>
          <w:lang w:val="en-US" w:eastAsia="zh-CN" w:bidi="ar-SA"/>
        </w:rPr>
        <w:t>保护二</w:t>
      </w:r>
      <w:r>
        <w:rPr>
          <w:rFonts w:hint="eastAsia" w:ascii="宋体" w:hAnsi="宋体" w:eastAsia="宋体" w:cs="Times New Roman"/>
          <w:color w:val="auto"/>
          <w:kern w:val="2"/>
          <w:sz w:val="24"/>
          <w:szCs w:val="24"/>
          <w:lang w:val="en-US" w:eastAsia="zh-CN" w:bidi="ar-SA"/>
        </w:rPr>
        <w:t>级要求。</w:t>
      </w:r>
    </w:p>
    <w:p>
      <w:pPr>
        <w:widowControl w:val="0"/>
        <w:spacing w:line="360" w:lineRule="auto"/>
        <w:ind w:firstLine="480" w:firstLineChars="200"/>
        <w:jc w:val="both"/>
        <w:rPr>
          <w:rFonts w:ascii="Times New Roman" w:hAnsi="宋体" w:eastAsia="宋体" w:cs="Times New Roman"/>
          <w:color w:val="auto"/>
          <w:kern w:val="2"/>
          <w:sz w:val="24"/>
          <w:szCs w:val="24"/>
          <w:lang w:val="en-US" w:eastAsia="zh-CN" w:bidi="ar-SA"/>
        </w:rPr>
      </w:pPr>
      <w:r>
        <w:rPr>
          <w:rFonts w:hint="eastAsia" w:ascii="宋体" w:hAnsi="宋体" w:eastAsia="宋体" w:cs="Times New Roman"/>
          <w:color w:val="auto"/>
          <w:kern w:val="2"/>
          <w:sz w:val="24"/>
          <w:szCs w:val="24"/>
          <w:lang w:val="en-US" w:eastAsia="zh-CN" w:bidi="ar-SA"/>
        </w:rPr>
        <w:t>依据有关软件质量要求，2024年空间数据治理与服务项目需要配合甲方进行符合国家标准的软件测评。</w:t>
      </w:r>
    </w:p>
    <w:p>
      <w:pPr>
        <w:widowControl w:val="0"/>
        <w:spacing w:line="360" w:lineRule="auto"/>
        <w:ind w:firstLine="480" w:firstLineChars="200"/>
        <w:jc w:val="both"/>
        <w:rPr>
          <w:rFonts w:ascii="Times New Roman" w:hAnsi="宋体" w:eastAsia="宋体" w:cs="Times New Roman"/>
          <w:color w:val="auto"/>
          <w:kern w:val="2"/>
          <w:sz w:val="24"/>
          <w:szCs w:val="24"/>
          <w:lang w:val="en-US" w:eastAsia="zh-CN" w:bidi="ar-SA"/>
        </w:rPr>
      </w:pPr>
      <w:r>
        <w:rPr>
          <w:rFonts w:hint="eastAsia" w:ascii="宋体" w:hAnsi="宋体" w:eastAsia="宋体" w:cs="Times New Roman"/>
          <w:color w:val="auto"/>
          <w:kern w:val="2"/>
          <w:sz w:val="24"/>
          <w:szCs w:val="24"/>
          <w:lang w:val="en-US" w:eastAsia="zh-CN" w:bidi="ar-SA"/>
        </w:rPr>
        <w:t>（四）其他服务</w:t>
      </w:r>
    </w:p>
    <w:p>
      <w:pPr>
        <w:widowControl w:val="0"/>
        <w:spacing w:line="360" w:lineRule="auto"/>
        <w:ind w:firstLine="480" w:firstLineChars="200"/>
        <w:jc w:val="both"/>
        <w:rPr>
          <w:rFonts w:ascii="Times New Roman" w:hAnsi="Times New Roman" w:eastAsia="宋体" w:cs="Times New Roman"/>
          <w:color w:val="auto"/>
          <w:kern w:val="2"/>
          <w:sz w:val="24"/>
          <w:szCs w:val="24"/>
          <w:lang w:val="en-US" w:eastAsia="zh-CN" w:bidi="ar-SA"/>
        </w:rPr>
      </w:pPr>
      <w:r>
        <w:rPr>
          <w:rFonts w:hint="eastAsia" w:ascii="宋体" w:hAnsi="宋体" w:eastAsia="宋体" w:cs="Times New Roman"/>
          <w:color w:val="auto"/>
          <w:kern w:val="2"/>
          <w:sz w:val="24"/>
          <w:szCs w:val="24"/>
          <w:lang w:val="en-US" w:eastAsia="zh-CN" w:bidi="ar-SA"/>
        </w:rPr>
        <w:t>配合开展系统安全检查服务，提供信息安全预警信息通报，提供系统安全等级保护相关的技术培训。</w:t>
      </w:r>
    </w:p>
    <w:p>
      <w:pPr>
        <w:spacing w:line="360" w:lineRule="auto"/>
        <w:outlineLvl w:val="9"/>
        <w:rPr>
          <w:rFonts w:hAnsi="宋体"/>
          <w:b/>
          <w:bCs/>
          <w:color w:val="auto"/>
        </w:rPr>
      </w:pPr>
      <w:r>
        <w:rPr>
          <w:rFonts w:hint="eastAsia" w:hAnsi="宋体"/>
          <w:b/>
          <w:bCs/>
          <w:color w:val="auto"/>
          <w:sz w:val="24"/>
        </w:rPr>
        <w:t>六</w:t>
      </w:r>
      <w:r>
        <w:rPr>
          <w:rFonts w:hint="eastAsia" w:ascii="宋体" w:hAnsi="宋体"/>
          <w:b/>
          <w:bCs/>
          <w:color w:val="auto"/>
          <w:sz w:val="24"/>
        </w:rPr>
        <w:t>、售后服务要求</w:t>
      </w:r>
    </w:p>
    <w:p>
      <w:pPr>
        <w:widowControl w:val="0"/>
        <w:spacing w:line="360" w:lineRule="auto"/>
        <w:ind w:firstLine="480" w:firstLineChars="200"/>
        <w:jc w:val="both"/>
        <w:rPr>
          <w:rFonts w:ascii="Times New Roman"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lang w:val="en-US" w:eastAsia="zh-CN" w:bidi="ar-SA"/>
        </w:rPr>
        <w:t>（一）本地</w:t>
      </w:r>
      <w:r>
        <w:rPr>
          <w:rFonts w:hint="eastAsia" w:ascii="宋体" w:hAnsi="宋体" w:eastAsia="宋体" w:cs="Times New Roman"/>
          <w:color w:val="auto"/>
          <w:kern w:val="2"/>
          <w:sz w:val="24"/>
          <w:szCs w:val="24"/>
          <w:highlight w:val="none"/>
          <w:lang w:val="en-US" w:eastAsia="zh-CN" w:bidi="ar-SA"/>
        </w:rPr>
        <w:t>化服务</w:t>
      </w:r>
    </w:p>
    <w:p>
      <w:pPr>
        <w:widowControl w:val="0"/>
        <w:spacing w:line="360" w:lineRule="auto"/>
        <w:ind w:firstLine="480" w:firstLineChars="200"/>
        <w:jc w:val="both"/>
        <w:rPr>
          <w:rFonts w:ascii="Times New Roman" w:hAnsi="宋体" w:eastAsia="宋体" w:cs="Times New Roman"/>
          <w:color w:val="auto"/>
          <w:kern w:val="2"/>
          <w:sz w:val="24"/>
          <w:szCs w:val="24"/>
          <w:highlight w:val="none"/>
          <w:lang w:val="en-US" w:eastAsia="zh-CN" w:bidi="ar-SA"/>
        </w:rPr>
      </w:pPr>
      <w:r>
        <w:rPr>
          <w:rFonts w:hint="eastAsia" w:ascii="Times New Roman" w:hAnsi="宋体" w:eastAsia="宋体" w:cs="Times New Roman"/>
          <w:color w:val="auto"/>
          <w:kern w:val="2"/>
          <w:sz w:val="24"/>
          <w:szCs w:val="24"/>
          <w:highlight w:val="none"/>
          <w:lang w:val="en-US" w:eastAsia="zh-CN" w:bidi="ar-SA"/>
        </w:rPr>
        <w:t>投标人须为本项目配备10名或以上专业技术人员负责本项目的实施和服务工作，并根据采购人要求和系统现状，于</w:t>
      </w:r>
      <w:r>
        <w:rPr>
          <w:rFonts w:hint="eastAsia" w:hAnsi="宋体" w:cs="Times New Roman"/>
          <w:color w:val="auto"/>
          <w:kern w:val="2"/>
          <w:sz w:val="24"/>
          <w:szCs w:val="24"/>
          <w:highlight w:val="none"/>
          <w:lang w:val="en-US" w:eastAsia="zh-CN" w:bidi="ar-SA"/>
        </w:rPr>
        <w:t>10</w:t>
      </w:r>
      <w:r>
        <w:rPr>
          <w:rFonts w:hint="eastAsia" w:ascii="Times New Roman" w:hAnsi="宋体" w:eastAsia="宋体" w:cs="Times New Roman"/>
          <w:color w:val="auto"/>
          <w:kern w:val="2"/>
          <w:sz w:val="24"/>
          <w:szCs w:val="24"/>
          <w:highlight w:val="none"/>
          <w:lang w:val="en-US" w:eastAsia="zh-CN" w:bidi="ar-SA"/>
        </w:rPr>
        <w:t>分钟内响应，</w:t>
      </w:r>
      <w:r>
        <w:rPr>
          <w:rFonts w:hint="eastAsia" w:hAnsi="宋体" w:cs="Times New Roman"/>
          <w:color w:val="auto"/>
          <w:kern w:val="2"/>
          <w:sz w:val="24"/>
          <w:szCs w:val="24"/>
          <w:highlight w:val="none"/>
          <w:lang w:val="en-US" w:eastAsia="zh-CN" w:bidi="ar-SA"/>
        </w:rPr>
        <w:t>60分钟</w:t>
      </w:r>
      <w:r>
        <w:rPr>
          <w:rFonts w:hint="eastAsia" w:ascii="Times New Roman" w:hAnsi="宋体" w:eastAsia="宋体" w:cs="Times New Roman"/>
          <w:color w:val="auto"/>
          <w:kern w:val="2"/>
          <w:sz w:val="24"/>
          <w:szCs w:val="24"/>
          <w:highlight w:val="none"/>
          <w:lang w:val="en-US" w:eastAsia="zh-CN" w:bidi="ar-SA"/>
        </w:rPr>
        <w:t>内到达现场。</w:t>
      </w:r>
    </w:p>
    <w:p>
      <w:pPr>
        <w:widowControl w:val="0"/>
        <w:spacing w:line="360" w:lineRule="auto"/>
        <w:ind w:firstLine="480" w:firstLineChars="200"/>
        <w:jc w:val="both"/>
        <w:rPr>
          <w:rFonts w:ascii="Times New Roman" w:hAnsi="宋体" w:eastAsia="宋体" w:cs="Times New Roman"/>
          <w:color w:val="auto"/>
          <w:kern w:val="2"/>
          <w:sz w:val="24"/>
          <w:szCs w:val="24"/>
          <w:lang w:val="en-US" w:eastAsia="zh-CN" w:bidi="ar-SA"/>
        </w:rPr>
      </w:pPr>
      <w:r>
        <w:rPr>
          <w:rFonts w:hint="eastAsia" w:ascii="宋体" w:hAnsi="宋体" w:eastAsia="宋体" w:cs="Times New Roman"/>
          <w:color w:val="auto"/>
          <w:kern w:val="2"/>
          <w:sz w:val="24"/>
          <w:szCs w:val="24"/>
          <w:lang w:val="en-US" w:eastAsia="zh-CN" w:bidi="ar-SA"/>
        </w:rPr>
        <w:t>（二）售后服务要求</w:t>
      </w:r>
    </w:p>
    <w:p>
      <w:pPr>
        <w:widowControl w:val="0"/>
        <w:spacing w:line="360" w:lineRule="auto"/>
        <w:ind w:firstLine="480" w:firstLineChars="200"/>
        <w:jc w:val="both"/>
        <w:rPr>
          <w:rFonts w:ascii="Times New Roman" w:hAnsi="宋体" w:eastAsia="宋体" w:cs="Times New Roman"/>
          <w:color w:val="auto"/>
          <w:kern w:val="2"/>
          <w:sz w:val="24"/>
          <w:szCs w:val="24"/>
          <w:lang w:val="en-US" w:eastAsia="zh-CN" w:bidi="ar-SA"/>
        </w:rPr>
      </w:pPr>
      <w:r>
        <w:rPr>
          <w:rFonts w:hint="eastAsia" w:ascii="宋体" w:hAnsi="宋体" w:eastAsia="宋体" w:cs="Times New Roman"/>
          <w:color w:val="auto"/>
          <w:kern w:val="2"/>
          <w:sz w:val="24"/>
          <w:szCs w:val="24"/>
          <w:lang w:val="en-US" w:eastAsia="zh-CN" w:bidi="ar-SA"/>
        </w:rPr>
        <w:t>1. 中标方在合同履行过程中需根据招标方要求提供项目团队进行现场技术支持服务。服务内容主要包括但不限于修正性服务，即系统运维过程中，当用户需求和分析内容发生变化时，修改软件模型以适应变化。并能根据业务发展和要求的改变对数据分析系统及报告进行修改。</w:t>
      </w:r>
    </w:p>
    <w:p>
      <w:pPr>
        <w:widowControl w:val="0"/>
        <w:spacing w:line="360" w:lineRule="auto"/>
        <w:ind w:firstLine="480" w:firstLineChars="200"/>
        <w:jc w:val="both"/>
        <w:rPr>
          <w:rFonts w:ascii="Times New Roman" w:hAnsi="宋体" w:eastAsia="宋体" w:cs="Times New Roman"/>
          <w:color w:val="auto"/>
          <w:kern w:val="2"/>
          <w:sz w:val="24"/>
          <w:szCs w:val="24"/>
          <w:lang w:val="en-US" w:eastAsia="zh-CN" w:bidi="ar-SA"/>
        </w:rPr>
      </w:pPr>
      <w:r>
        <w:rPr>
          <w:rFonts w:hint="eastAsia" w:ascii="宋体" w:hAnsi="宋体" w:eastAsia="宋体" w:cs="Times New Roman"/>
          <w:color w:val="auto"/>
          <w:kern w:val="2"/>
          <w:sz w:val="24"/>
          <w:szCs w:val="24"/>
          <w:lang w:val="en-US" w:eastAsia="zh-CN" w:bidi="ar-SA"/>
        </w:rPr>
        <w:t>2. 中标方必须按招标方指定的方式提供7x</w:t>
      </w:r>
      <w:r>
        <w:rPr>
          <w:rFonts w:ascii="宋体" w:hAnsi="宋体" w:eastAsia="宋体" w:cs="Times New Roman"/>
          <w:color w:val="auto"/>
          <w:kern w:val="2"/>
          <w:sz w:val="24"/>
          <w:szCs w:val="24"/>
          <w:lang w:val="en-US" w:eastAsia="zh-CN" w:bidi="ar-SA"/>
        </w:rPr>
        <w:t>24</w:t>
      </w:r>
      <w:r>
        <w:rPr>
          <w:rFonts w:hint="eastAsia" w:ascii="宋体" w:hAnsi="宋体" w:eastAsia="宋体" w:cs="Times New Roman"/>
          <w:color w:val="auto"/>
          <w:kern w:val="2"/>
          <w:sz w:val="24"/>
          <w:szCs w:val="24"/>
          <w:lang w:val="en-US" w:eastAsia="zh-CN" w:bidi="ar-SA"/>
        </w:rPr>
        <w:t>小时免费电话技术支持，包括邮件、电话、远程维护、现场服务等方式。</w:t>
      </w:r>
    </w:p>
    <w:p>
      <w:pPr>
        <w:widowControl w:val="0"/>
        <w:spacing w:line="360" w:lineRule="auto"/>
        <w:ind w:firstLine="480" w:firstLineChars="200"/>
        <w:jc w:val="both"/>
        <w:rPr>
          <w:rFonts w:ascii="Times New Roman" w:hAnsi="宋体" w:eastAsia="宋体" w:cs="Times New Roman"/>
          <w:color w:val="auto"/>
          <w:kern w:val="2"/>
          <w:sz w:val="24"/>
          <w:szCs w:val="24"/>
          <w:lang w:val="en-US" w:eastAsia="zh-CN" w:bidi="ar-SA"/>
        </w:rPr>
      </w:pPr>
      <w:r>
        <w:rPr>
          <w:rFonts w:hint="eastAsia" w:ascii="宋体" w:hAnsi="宋体" w:eastAsia="宋体" w:cs="Times New Roman"/>
          <w:color w:val="auto"/>
          <w:kern w:val="2"/>
          <w:sz w:val="24"/>
          <w:szCs w:val="24"/>
          <w:lang w:val="en-US" w:eastAsia="zh-CN" w:bidi="ar-SA"/>
        </w:rPr>
        <w:t>3. 中标方在合同履行过程中需对招标方提出的关于项目的任何问题，按照招标方要求进行当面解答或作出书面解答等。</w:t>
      </w:r>
    </w:p>
    <w:p>
      <w:pPr>
        <w:widowControl w:val="0"/>
        <w:spacing w:line="360" w:lineRule="auto"/>
        <w:ind w:firstLine="480" w:firstLineChars="200"/>
        <w:jc w:val="both"/>
        <w:rPr>
          <w:rFonts w:ascii="Times New Roman" w:hAnsi="宋体" w:eastAsia="宋体" w:cs="Times New Roman"/>
          <w:color w:val="auto"/>
          <w:kern w:val="2"/>
          <w:sz w:val="24"/>
          <w:szCs w:val="24"/>
          <w:lang w:val="en-US" w:eastAsia="zh-CN" w:bidi="ar-SA"/>
        </w:rPr>
      </w:pPr>
      <w:r>
        <w:rPr>
          <w:rFonts w:hint="eastAsia" w:ascii="宋体" w:hAnsi="宋体" w:eastAsia="宋体" w:cs="Times New Roman"/>
          <w:color w:val="auto"/>
          <w:kern w:val="2"/>
          <w:sz w:val="24"/>
          <w:szCs w:val="24"/>
          <w:lang w:val="en-US" w:eastAsia="zh-CN" w:bidi="ar-SA"/>
        </w:rPr>
        <w:t>4. 中标方需成立独立的项目组，项目组成员须有项目总负责人、技术负责人和项目经理，并具有相应的高级职称，中标方需保证足够的人员投入。</w:t>
      </w:r>
    </w:p>
    <w:p>
      <w:pPr>
        <w:spacing w:line="360" w:lineRule="auto"/>
        <w:outlineLvl w:val="9"/>
        <w:rPr>
          <w:rFonts w:hAnsi="宋体"/>
          <w:b/>
          <w:color w:val="auto"/>
        </w:rPr>
      </w:pPr>
      <w:r>
        <w:rPr>
          <w:rFonts w:hint="eastAsia" w:hAnsi="宋体"/>
          <w:b/>
          <w:bCs/>
          <w:color w:val="auto"/>
          <w:sz w:val="24"/>
        </w:rPr>
        <w:t>七</w:t>
      </w:r>
      <w:r>
        <w:rPr>
          <w:rFonts w:hint="eastAsia" w:ascii="宋体" w:hAnsi="宋体"/>
          <w:b/>
          <w:bCs/>
          <w:color w:val="auto"/>
          <w:sz w:val="24"/>
        </w:rPr>
        <w:t>、对项目开发单位的要求</w:t>
      </w:r>
    </w:p>
    <w:p>
      <w:pPr>
        <w:widowControl w:val="0"/>
        <w:spacing w:line="360" w:lineRule="auto"/>
        <w:ind w:firstLine="480" w:firstLineChars="200"/>
        <w:jc w:val="both"/>
        <w:rPr>
          <w:rFonts w:ascii="Times New Roman" w:hAnsi="宋体" w:eastAsia="宋体" w:cs="Times New Roman"/>
          <w:bCs/>
          <w:color w:val="auto"/>
          <w:kern w:val="2"/>
          <w:sz w:val="24"/>
          <w:szCs w:val="24"/>
          <w:lang w:val="en-US" w:eastAsia="zh-CN" w:bidi="ar-SA"/>
        </w:rPr>
      </w:pPr>
      <w:r>
        <w:rPr>
          <w:rFonts w:hint="eastAsia" w:ascii="宋体" w:hAnsi="宋体" w:eastAsia="宋体" w:cs="Times New Roman"/>
          <w:bCs/>
          <w:color w:val="auto"/>
          <w:kern w:val="2"/>
          <w:sz w:val="24"/>
          <w:szCs w:val="24"/>
          <w:lang w:val="en-US" w:eastAsia="zh-CN" w:bidi="ar-SA"/>
        </w:rPr>
        <w:t>（一）在中华人民共和国境内注册的，能够独立承担民事责任的企业；遵守国家有关法律、法规、规章，具有良好的商业信誉和健全的财务会计制度；有依法缴纳税款和社会保障资金的良好记录。</w:t>
      </w:r>
    </w:p>
    <w:p>
      <w:pPr>
        <w:widowControl w:val="0"/>
        <w:spacing w:line="360" w:lineRule="auto"/>
        <w:ind w:firstLine="480" w:firstLineChars="200"/>
        <w:jc w:val="both"/>
        <w:rPr>
          <w:rFonts w:ascii="Times New Roman" w:hAnsi="宋体" w:eastAsia="宋体" w:cs="Times New Roman"/>
          <w:bCs/>
          <w:color w:val="auto"/>
          <w:kern w:val="2"/>
          <w:sz w:val="24"/>
          <w:szCs w:val="24"/>
          <w:lang w:val="en-US" w:eastAsia="zh-CN" w:bidi="ar-SA"/>
        </w:rPr>
      </w:pPr>
      <w:r>
        <w:rPr>
          <w:rFonts w:hint="eastAsia" w:ascii="宋体" w:hAnsi="宋体" w:eastAsia="宋体" w:cs="Times New Roman"/>
          <w:bCs/>
          <w:color w:val="auto"/>
          <w:kern w:val="2"/>
          <w:sz w:val="24"/>
          <w:szCs w:val="24"/>
          <w:lang w:val="en-US" w:eastAsia="zh-CN" w:bidi="ar-SA"/>
        </w:rPr>
        <w:t>（二）本项目内产生的所有相关知识产权归双方共同所有，产物以及数据均归招标人所有。中标方应保证本项目实施过程中不得侵犯第三方知识产权。</w:t>
      </w:r>
    </w:p>
    <w:p>
      <w:pPr>
        <w:widowControl w:val="0"/>
        <w:spacing w:line="360" w:lineRule="auto"/>
        <w:ind w:firstLine="480" w:firstLineChars="200"/>
        <w:jc w:val="both"/>
        <w:rPr>
          <w:rFonts w:ascii="Times New Roman" w:hAnsi="宋体" w:eastAsia="宋体" w:cs="Times New Roman"/>
          <w:bCs/>
          <w:color w:val="auto"/>
          <w:kern w:val="2"/>
          <w:sz w:val="24"/>
          <w:szCs w:val="24"/>
          <w:lang w:val="en-US" w:eastAsia="zh-CN" w:bidi="ar-SA"/>
        </w:rPr>
      </w:pPr>
      <w:r>
        <w:rPr>
          <w:rFonts w:hint="eastAsia" w:ascii="宋体" w:hAnsi="宋体" w:eastAsia="宋体" w:cs="Times New Roman"/>
          <w:bCs/>
          <w:color w:val="auto"/>
          <w:kern w:val="2"/>
          <w:sz w:val="24"/>
          <w:szCs w:val="24"/>
          <w:lang w:val="en-US" w:eastAsia="zh-CN" w:bidi="ar-SA"/>
        </w:rPr>
        <w:t>（三）投标方须有履行合同所必需的设备、资质和专业技术能力，有政务大数据方面的实施经验。</w:t>
      </w:r>
    </w:p>
    <w:p>
      <w:pPr>
        <w:widowControl w:val="0"/>
        <w:spacing w:line="360" w:lineRule="auto"/>
        <w:ind w:firstLine="480" w:firstLineChars="200"/>
        <w:jc w:val="both"/>
        <w:rPr>
          <w:rFonts w:ascii="Times New Roman" w:hAnsi="宋体" w:eastAsia="宋体" w:cs="Times New Roman"/>
          <w:bCs/>
          <w:color w:val="auto"/>
          <w:kern w:val="2"/>
          <w:sz w:val="24"/>
          <w:szCs w:val="24"/>
          <w:lang w:val="en-US" w:eastAsia="zh-CN" w:bidi="ar-SA"/>
        </w:rPr>
      </w:pPr>
      <w:r>
        <w:rPr>
          <w:rFonts w:hint="eastAsia" w:ascii="宋体" w:hAnsi="宋体" w:eastAsia="宋体" w:cs="Times New Roman"/>
          <w:bCs/>
          <w:color w:val="auto"/>
          <w:kern w:val="2"/>
          <w:sz w:val="24"/>
          <w:szCs w:val="24"/>
          <w:lang w:val="en-US" w:eastAsia="zh-CN" w:bidi="ar-SA"/>
        </w:rPr>
        <w:t>（四）根据招标方要求，中标方需提供平台培训，包含但不限于系统使用培训和系统管理培训等内容。</w:t>
      </w:r>
    </w:p>
    <w:p>
      <w:pPr>
        <w:widowControl w:val="0"/>
        <w:spacing w:line="360" w:lineRule="auto"/>
        <w:ind w:firstLine="480" w:firstLineChars="200"/>
        <w:jc w:val="both"/>
        <w:rPr>
          <w:rFonts w:ascii="Times New Roman" w:hAnsi="宋体" w:eastAsia="宋体" w:cs="Times New Roman"/>
          <w:bCs/>
          <w:color w:val="auto"/>
          <w:kern w:val="2"/>
          <w:sz w:val="24"/>
          <w:szCs w:val="24"/>
          <w:lang w:val="en-US" w:eastAsia="zh-CN" w:bidi="ar-SA"/>
        </w:rPr>
      </w:pPr>
      <w:r>
        <w:rPr>
          <w:rFonts w:hint="eastAsia" w:ascii="宋体" w:hAnsi="宋体" w:eastAsia="宋体" w:cs="Times New Roman"/>
          <w:bCs/>
          <w:color w:val="auto"/>
          <w:kern w:val="2"/>
          <w:sz w:val="24"/>
          <w:szCs w:val="24"/>
          <w:lang w:val="en-US" w:eastAsia="zh-CN" w:bidi="ar-SA"/>
        </w:rPr>
        <w:t>（五）参加政府采购活动前三年内，在经营活动中没有重大违法记录。</w:t>
      </w:r>
    </w:p>
    <w:p>
      <w:pPr>
        <w:widowControl w:val="0"/>
        <w:spacing w:line="360" w:lineRule="auto"/>
        <w:ind w:firstLine="480" w:firstLineChars="200"/>
        <w:jc w:val="both"/>
        <w:rPr>
          <w:rFonts w:ascii="Times New Roman" w:hAnsi="宋体" w:eastAsia="宋体" w:cs="Times New Roman"/>
          <w:bCs/>
          <w:color w:val="auto"/>
          <w:kern w:val="2"/>
          <w:sz w:val="24"/>
          <w:szCs w:val="24"/>
          <w:lang w:val="en-US" w:eastAsia="zh-CN" w:bidi="ar-SA"/>
        </w:rPr>
      </w:pPr>
      <w:r>
        <w:rPr>
          <w:rFonts w:hint="eastAsia" w:ascii="宋体" w:hAnsi="宋体" w:eastAsia="宋体" w:cs="Times New Roman"/>
          <w:bCs/>
          <w:color w:val="auto"/>
          <w:kern w:val="2"/>
          <w:sz w:val="24"/>
          <w:szCs w:val="24"/>
          <w:lang w:val="en-US" w:eastAsia="zh-CN" w:bidi="ar-SA"/>
        </w:rPr>
        <w:t>（六）本项目不接受联合体投标。</w:t>
      </w:r>
    </w:p>
    <w:p>
      <w:pPr>
        <w:spacing w:line="360" w:lineRule="auto"/>
        <w:outlineLvl w:val="9"/>
        <w:rPr>
          <w:rFonts w:hAnsi="宋体"/>
          <w:b/>
          <w:bCs/>
          <w:color w:val="auto"/>
        </w:rPr>
      </w:pPr>
      <w:r>
        <w:rPr>
          <w:rFonts w:hint="eastAsia" w:hAnsi="宋体"/>
          <w:b/>
          <w:bCs/>
          <w:color w:val="auto"/>
          <w:sz w:val="24"/>
        </w:rPr>
        <w:t>八</w:t>
      </w:r>
      <w:r>
        <w:rPr>
          <w:rFonts w:hint="eastAsia" w:ascii="宋体" w:hAnsi="宋体"/>
          <w:b/>
          <w:bCs/>
          <w:color w:val="auto"/>
          <w:sz w:val="24"/>
        </w:rPr>
        <w:t>、其他说明</w:t>
      </w:r>
    </w:p>
    <w:p>
      <w:pPr>
        <w:widowControl w:val="0"/>
        <w:spacing w:line="360" w:lineRule="auto"/>
        <w:ind w:firstLine="480" w:firstLineChars="200"/>
        <w:jc w:val="both"/>
        <w:rPr>
          <w:rFonts w:hint="eastAsia" w:ascii="宋体" w:hAnsi="宋体" w:eastAsia="宋体" w:cs="Times New Roman"/>
          <w:bCs/>
          <w:color w:val="auto"/>
          <w:kern w:val="2"/>
          <w:sz w:val="24"/>
          <w:szCs w:val="24"/>
          <w:lang w:val="en-US" w:eastAsia="zh-CN" w:bidi="ar-SA"/>
        </w:rPr>
      </w:pPr>
      <w:r>
        <w:rPr>
          <w:rFonts w:hint="eastAsia" w:ascii="宋体" w:hAnsi="宋体" w:eastAsia="宋体" w:cs="Times New Roman"/>
          <w:bCs/>
          <w:color w:val="auto"/>
          <w:kern w:val="2"/>
          <w:sz w:val="24"/>
          <w:szCs w:val="24"/>
          <w:lang w:val="en-US" w:eastAsia="zh-CN" w:bidi="ar-SA"/>
        </w:rPr>
        <w:t>（一）本项目质保期</w:t>
      </w:r>
      <w:r>
        <w:rPr>
          <w:rFonts w:hint="eastAsia" w:ascii="宋体" w:hAnsi="宋体" w:cs="Times New Roman"/>
          <w:bCs/>
          <w:color w:val="auto"/>
          <w:sz w:val="24"/>
          <w:szCs w:val="22"/>
          <w:lang w:val="en-US" w:eastAsia="zh-CN"/>
        </w:rPr>
        <w:t>自通过</w:t>
      </w:r>
      <w:r>
        <w:rPr>
          <w:rFonts w:hint="eastAsia"/>
          <w:color w:val="auto"/>
          <w:sz w:val="24"/>
        </w:rPr>
        <w:t>最终</w:t>
      </w:r>
      <w:r>
        <w:rPr>
          <w:rFonts w:hint="eastAsia" w:ascii="Times New Roman" w:hAnsi="Times New Roman" w:cs="Times New Roman"/>
          <w:color w:val="auto"/>
          <w:sz w:val="24"/>
          <w:szCs w:val="24"/>
        </w:rPr>
        <w:t>竣工验收</w:t>
      </w:r>
      <w:r>
        <w:rPr>
          <w:rFonts w:hint="eastAsia" w:cs="Times New Roman"/>
          <w:color w:val="auto"/>
          <w:sz w:val="24"/>
          <w:szCs w:val="24"/>
          <w:lang w:val="en-US" w:eastAsia="zh-CN"/>
        </w:rPr>
        <w:t>日起</w:t>
      </w:r>
      <w:r>
        <w:rPr>
          <w:rFonts w:hint="eastAsia" w:ascii="宋体" w:hAnsi="宋体" w:eastAsia="宋体" w:cs="Times New Roman"/>
          <w:bCs/>
          <w:color w:val="auto"/>
          <w:kern w:val="2"/>
          <w:sz w:val="24"/>
          <w:szCs w:val="24"/>
          <w:lang w:val="en-US" w:eastAsia="zh-CN" w:bidi="ar-SA"/>
        </w:rPr>
        <w:t>两年，其中包含系统运维期两年。在质保期内，供应商须免费提供7*24小时技术支持服务，包括但不限于系统维护、故障检测、故障修复、性能优化等。</w:t>
      </w:r>
    </w:p>
    <w:p>
      <w:pPr>
        <w:widowControl w:val="0"/>
        <w:spacing w:line="360" w:lineRule="auto"/>
        <w:ind w:firstLine="480" w:firstLineChars="200"/>
        <w:jc w:val="both"/>
        <w:rPr>
          <w:rFonts w:ascii="Times New Roman" w:hAnsi="宋体" w:eastAsia="宋体" w:cs="Times New Roman"/>
          <w:bCs/>
          <w:color w:val="auto"/>
          <w:kern w:val="2"/>
          <w:sz w:val="24"/>
          <w:szCs w:val="24"/>
          <w:lang w:val="en-US" w:eastAsia="zh-CN" w:bidi="ar-SA"/>
        </w:rPr>
      </w:pPr>
      <w:r>
        <w:rPr>
          <w:rFonts w:hint="eastAsia" w:ascii="宋体" w:hAnsi="宋体" w:eastAsia="宋体" w:cs="Times New Roman"/>
          <w:bCs/>
          <w:color w:val="auto"/>
          <w:kern w:val="2"/>
          <w:sz w:val="24"/>
          <w:szCs w:val="24"/>
          <w:lang w:val="en-US" w:eastAsia="zh-CN" w:bidi="ar-SA"/>
        </w:rPr>
        <w:t>（二）对在系统开发、运行中知悉的政务数据，严格保密，并签订保密协议，中标方未经招标方授权，不得使用有关数据。</w:t>
      </w:r>
    </w:p>
    <w:p>
      <w:pPr>
        <w:widowControl w:val="0"/>
        <w:spacing w:line="360" w:lineRule="auto"/>
        <w:ind w:firstLine="480" w:firstLineChars="200"/>
        <w:jc w:val="both"/>
        <w:rPr>
          <w:rFonts w:ascii="Times New Roman" w:hAnsi="宋体" w:eastAsia="宋体" w:cs="Times New Roman"/>
          <w:bCs/>
          <w:color w:val="auto"/>
          <w:kern w:val="2"/>
          <w:sz w:val="24"/>
          <w:szCs w:val="24"/>
          <w:lang w:val="en-US" w:eastAsia="zh-CN" w:bidi="ar-SA"/>
        </w:rPr>
      </w:pPr>
      <w:r>
        <w:rPr>
          <w:rFonts w:hint="eastAsia" w:ascii="宋体" w:hAnsi="宋体" w:eastAsia="宋体" w:cs="Times New Roman"/>
          <w:bCs/>
          <w:color w:val="auto"/>
          <w:kern w:val="2"/>
          <w:sz w:val="24"/>
          <w:szCs w:val="24"/>
          <w:lang w:val="en-US" w:eastAsia="zh-CN" w:bidi="ar-SA"/>
        </w:rPr>
        <w:t>（三）系统需兼容IE浏览器、火狐浏览器、360浏览器等当前用户常用浏览器，系统能满足IPV6通信标准。</w:t>
      </w:r>
    </w:p>
    <w:p>
      <w:pPr>
        <w:widowControl/>
        <w:spacing w:line="360" w:lineRule="auto"/>
        <w:ind w:firstLine="480" w:firstLineChars="200"/>
        <w:contextualSpacing/>
        <w:jc w:val="left"/>
        <w:rPr>
          <w:rFonts w:hint="eastAsia" w:ascii="宋体" w:hAnsi="宋体" w:cs="宋体"/>
          <w:color w:val="auto"/>
          <w:kern w:val="0"/>
          <w:sz w:val="24"/>
        </w:rPr>
      </w:pPr>
      <w:r>
        <w:rPr>
          <w:rFonts w:hint="eastAsia" w:ascii="宋体" w:hAnsi="宋体" w:eastAsia="宋体" w:cs="Times New Roman"/>
          <w:bCs/>
          <w:color w:val="auto"/>
          <w:kern w:val="2"/>
          <w:sz w:val="24"/>
          <w:szCs w:val="24"/>
          <w:lang w:val="en-US" w:eastAsia="zh-CN" w:bidi="ar-SA"/>
        </w:rPr>
        <w:t>（四）被纳入“信用中国”中“失信被执行人”、“重大税收违法案件”、“政府采购严重违法失信”名单的投标人不具有投标资格</w:t>
      </w:r>
      <w:r>
        <w:rPr>
          <w:rFonts w:hint="eastAsia" w:ascii="宋体" w:hAnsi="宋体" w:cs="宋体"/>
          <w:color w:val="auto"/>
          <w:kern w:val="0"/>
          <w:sz w:val="24"/>
        </w:rPr>
        <w:t>。</w:t>
      </w:r>
    </w:p>
    <w:p>
      <w:pPr>
        <w:rPr>
          <w:color w:val="auto"/>
        </w:rPr>
      </w:pPr>
    </w:p>
    <w:p>
      <w:pPr>
        <w:spacing w:line="360" w:lineRule="auto"/>
        <w:jc w:val="center"/>
        <w:outlineLvl w:val="0"/>
        <w:rPr>
          <w:b/>
          <w:color w:val="auto"/>
          <w:sz w:val="36"/>
          <w:szCs w:val="36"/>
        </w:rPr>
      </w:pPr>
      <w:r>
        <w:rPr>
          <w:b/>
          <w:color w:val="auto"/>
          <w:sz w:val="36"/>
          <w:szCs w:val="36"/>
        </w:rPr>
        <w:br w:type="page"/>
      </w:r>
      <w:bookmarkStart w:id="819" w:name="_Toc99301425"/>
      <w:r>
        <w:rPr>
          <w:b/>
          <w:color w:val="auto"/>
          <w:sz w:val="36"/>
          <w:szCs w:val="36"/>
        </w:rPr>
        <w:t xml:space="preserve"> </w:t>
      </w:r>
      <w:bookmarkEnd w:id="819"/>
      <w:bookmarkStart w:id="820" w:name="_Toc30373"/>
      <w:r>
        <w:rPr>
          <w:b/>
          <w:color w:val="auto"/>
          <w:sz w:val="36"/>
          <w:szCs w:val="36"/>
        </w:rPr>
        <w:t>第六章   合同文本</w:t>
      </w:r>
      <w:bookmarkEnd w:id="820"/>
    </w:p>
    <w:p>
      <w:pPr>
        <w:spacing w:line="560" w:lineRule="exact"/>
        <w:jc w:val="center"/>
        <w:rPr>
          <w:rFonts w:ascii="黑体" w:hAnsi="黑体" w:eastAsia="黑体"/>
          <w:bCs/>
          <w:color w:val="auto"/>
          <w:sz w:val="28"/>
        </w:rPr>
      </w:pPr>
    </w:p>
    <w:p>
      <w:pPr>
        <w:spacing w:line="560" w:lineRule="exact"/>
        <w:jc w:val="center"/>
        <w:rPr>
          <w:rFonts w:ascii="黑体" w:hAnsi="黑体" w:eastAsia="黑体"/>
          <w:bCs/>
          <w:color w:val="auto"/>
          <w:sz w:val="28"/>
        </w:rPr>
      </w:pPr>
    </w:p>
    <w:p>
      <w:pPr>
        <w:pStyle w:val="38"/>
        <w:widowControl w:val="0"/>
        <w:spacing w:before="0" w:beforeAutospacing="0" w:after="0" w:afterAutospacing="0" w:line="360" w:lineRule="auto"/>
        <w:ind w:left="643" w:hanging="643"/>
        <w:rPr>
          <w:rFonts w:hint="eastAsia" w:asciiTheme="minorEastAsia" w:hAnsiTheme="minorEastAsia" w:eastAsiaTheme="minorEastAsia" w:cstheme="minorEastAsia"/>
          <w:b/>
          <w:bCs/>
          <w:color w:val="auto"/>
          <w:kern w:val="2"/>
          <w:sz w:val="32"/>
          <w:szCs w:val="20"/>
          <w:highlight w:val="none"/>
          <w:lang w:bidi="ar"/>
        </w:rPr>
      </w:pPr>
    </w:p>
    <w:p>
      <w:pPr>
        <w:pStyle w:val="38"/>
        <w:widowControl w:val="0"/>
        <w:spacing w:before="0" w:beforeAutospacing="0" w:after="0" w:afterAutospacing="0" w:line="360" w:lineRule="auto"/>
        <w:ind w:left="643" w:hanging="643"/>
        <w:rPr>
          <w:rFonts w:hint="eastAsia" w:asciiTheme="minorEastAsia" w:hAnsiTheme="minorEastAsia" w:eastAsiaTheme="minorEastAsia" w:cstheme="minorEastAsia"/>
          <w:b/>
          <w:bCs/>
          <w:color w:val="auto"/>
          <w:kern w:val="2"/>
          <w:sz w:val="32"/>
          <w:szCs w:val="20"/>
          <w:highlight w:val="none"/>
          <w:lang w:bidi="ar"/>
        </w:rPr>
      </w:pPr>
    </w:p>
    <w:p>
      <w:pPr>
        <w:pStyle w:val="38"/>
        <w:widowControl w:val="0"/>
        <w:spacing w:before="0" w:beforeAutospacing="0" w:after="0" w:afterAutospacing="0" w:line="360" w:lineRule="auto"/>
        <w:ind w:left="643" w:hanging="643"/>
        <w:rPr>
          <w:rFonts w:asciiTheme="minorEastAsia" w:hAnsiTheme="minorEastAsia" w:eastAsiaTheme="minorEastAsia" w:cstheme="minorEastAsia"/>
          <w:b/>
          <w:bCs/>
          <w:color w:val="auto"/>
          <w:sz w:val="32"/>
          <w:szCs w:val="20"/>
          <w:highlight w:val="none"/>
        </w:rPr>
      </w:pPr>
      <w:r>
        <w:rPr>
          <w:rFonts w:hint="eastAsia" w:asciiTheme="minorEastAsia" w:hAnsiTheme="minorEastAsia" w:eastAsiaTheme="minorEastAsia" w:cstheme="minorEastAsia"/>
          <w:b/>
          <w:bCs/>
          <w:color w:val="auto"/>
          <w:kern w:val="2"/>
          <w:sz w:val="32"/>
          <w:szCs w:val="20"/>
          <w:highlight w:val="none"/>
          <w:lang w:bidi="ar"/>
        </w:rPr>
        <w:t>合同编号：</w:t>
      </w:r>
      <w:r>
        <w:rPr>
          <w:rFonts w:hint="eastAsia" w:asciiTheme="minorEastAsia" w:hAnsiTheme="minorEastAsia" w:eastAsiaTheme="minorEastAsia" w:cstheme="minorEastAsia"/>
          <w:b/>
          <w:bCs/>
          <w:color w:val="auto"/>
          <w:kern w:val="2"/>
          <w:sz w:val="32"/>
          <w:szCs w:val="20"/>
          <w:highlight w:val="none"/>
          <w:u w:val="single"/>
          <w:lang w:bidi="ar"/>
        </w:rPr>
        <w:t xml:space="preserve">                  </w:t>
      </w:r>
    </w:p>
    <w:p>
      <w:pPr>
        <w:pStyle w:val="38"/>
        <w:widowControl w:val="0"/>
        <w:spacing w:before="0" w:beforeAutospacing="0" w:after="0" w:afterAutospacing="0" w:line="360" w:lineRule="auto"/>
        <w:ind w:left="643" w:hanging="643"/>
        <w:rPr>
          <w:rFonts w:asciiTheme="minorEastAsia" w:hAnsiTheme="minorEastAsia" w:eastAsiaTheme="minorEastAsia" w:cstheme="minorEastAsia"/>
          <w:b/>
          <w:bCs/>
          <w:color w:val="auto"/>
          <w:sz w:val="32"/>
          <w:szCs w:val="20"/>
          <w:highlight w:val="none"/>
          <w:u w:val="single"/>
        </w:rPr>
      </w:pPr>
      <w:r>
        <w:rPr>
          <w:rFonts w:hint="eastAsia" w:asciiTheme="minorEastAsia" w:hAnsiTheme="minorEastAsia" w:eastAsiaTheme="minorEastAsia" w:cstheme="minorEastAsia"/>
          <w:b/>
          <w:bCs/>
          <w:color w:val="auto"/>
          <w:kern w:val="2"/>
          <w:sz w:val="32"/>
          <w:szCs w:val="20"/>
          <w:highlight w:val="none"/>
          <w:lang w:bidi="ar"/>
        </w:rPr>
        <w:t>合同名称：</w:t>
      </w:r>
      <w:r>
        <w:rPr>
          <w:rFonts w:hint="eastAsia" w:asciiTheme="minorEastAsia" w:hAnsiTheme="minorEastAsia" w:eastAsiaTheme="minorEastAsia" w:cstheme="minorEastAsia"/>
          <w:b/>
          <w:bCs/>
          <w:color w:val="auto"/>
          <w:kern w:val="2"/>
          <w:sz w:val="32"/>
          <w:szCs w:val="20"/>
          <w:highlight w:val="none"/>
          <w:u w:val="single"/>
          <w:lang w:bidi="ar"/>
        </w:rPr>
        <w:t xml:space="preserve">                  </w:t>
      </w:r>
    </w:p>
    <w:p>
      <w:pPr>
        <w:pStyle w:val="38"/>
        <w:widowControl w:val="0"/>
        <w:spacing w:before="0" w:beforeAutospacing="0" w:after="0" w:afterAutospacing="0" w:line="360" w:lineRule="auto"/>
        <w:ind w:left="643" w:hanging="643"/>
        <w:jc w:val="both"/>
        <w:rPr>
          <w:rFonts w:asciiTheme="minorEastAsia" w:hAnsiTheme="minorEastAsia" w:eastAsiaTheme="minorEastAsia" w:cstheme="minorEastAsia"/>
          <w:b/>
          <w:bCs/>
          <w:color w:val="auto"/>
          <w:sz w:val="32"/>
          <w:szCs w:val="20"/>
          <w:highlight w:val="none"/>
        </w:rPr>
      </w:pPr>
    </w:p>
    <w:p>
      <w:pPr>
        <w:pStyle w:val="38"/>
        <w:widowControl w:val="0"/>
        <w:spacing w:before="0" w:beforeAutospacing="0" w:after="0" w:afterAutospacing="0" w:line="360" w:lineRule="auto"/>
        <w:ind w:left="643" w:hanging="643"/>
        <w:jc w:val="both"/>
        <w:rPr>
          <w:rFonts w:asciiTheme="minorEastAsia" w:hAnsiTheme="minorEastAsia" w:eastAsiaTheme="minorEastAsia" w:cstheme="minorEastAsia"/>
          <w:b/>
          <w:bCs/>
          <w:color w:val="auto"/>
          <w:sz w:val="32"/>
          <w:szCs w:val="20"/>
          <w:highlight w:val="none"/>
        </w:rPr>
      </w:pPr>
    </w:p>
    <w:p>
      <w:pPr>
        <w:pStyle w:val="38"/>
        <w:widowControl w:val="0"/>
        <w:spacing w:before="0" w:beforeAutospacing="0" w:after="0" w:afterAutospacing="0" w:line="360" w:lineRule="auto"/>
        <w:ind w:left="643" w:hanging="643"/>
        <w:jc w:val="both"/>
        <w:rPr>
          <w:rFonts w:asciiTheme="minorEastAsia" w:hAnsiTheme="minorEastAsia" w:eastAsiaTheme="minorEastAsia" w:cstheme="minorEastAsia"/>
          <w:b/>
          <w:bCs/>
          <w:color w:val="auto"/>
          <w:sz w:val="32"/>
          <w:szCs w:val="20"/>
          <w:highlight w:val="none"/>
        </w:rPr>
      </w:pPr>
    </w:p>
    <w:p>
      <w:pPr>
        <w:pStyle w:val="38"/>
        <w:widowControl w:val="0"/>
        <w:spacing w:before="0" w:beforeAutospacing="0" w:after="0" w:afterAutospacing="0" w:line="360" w:lineRule="auto"/>
        <w:ind w:left="643" w:hanging="643"/>
        <w:jc w:val="both"/>
        <w:rPr>
          <w:rFonts w:asciiTheme="minorEastAsia" w:hAnsiTheme="minorEastAsia" w:eastAsiaTheme="minorEastAsia" w:cstheme="minorEastAsia"/>
          <w:b/>
          <w:bCs/>
          <w:color w:val="auto"/>
          <w:sz w:val="32"/>
          <w:szCs w:val="20"/>
          <w:highlight w:val="none"/>
        </w:rPr>
      </w:pPr>
      <w:r>
        <w:rPr>
          <w:rFonts w:hint="eastAsia" w:asciiTheme="minorEastAsia" w:hAnsiTheme="minorEastAsia" w:eastAsiaTheme="minorEastAsia" w:cstheme="minorEastAsia"/>
          <w:b/>
          <w:bCs/>
          <w:color w:val="auto"/>
          <w:kern w:val="2"/>
          <w:sz w:val="32"/>
          <w:szCs w:val="20"/>
          <w:highlight w:val="none"/>
          <w:lang w:bidi="ar"/>
        </w:rPr>
        <w:t xml:space="preserve">甲    方: </w:t>
      </w:r>
      <w:r>
        <w:rPr>
          <w:rFonts w:hint="eastAsia" w:asciiTheme="minorEastAsia" w:hAnsiTheme="minorEastAsia" w:eastAsiaTheme="minorEastAsia" w:cstheme="minorEastAsia"/>
          <w:b/>
          <w:bCs/>
          <w:color w:val="auto"/>
          <w:kern w:val="2"/>
          <w:sz w:val="32"/>
          <w:szCs w:val="20"/>
          <w:highlight w:val="none"/>
          <w:u w:val="single"/>
          <w:lang w:bidi="ar"/>
        </w:rPr>
        <w:t>北京市西城区科学技术和信息化局</w:t>
      </w:r>
    </w:p>
    <w:p>
      <w:pPr>
        <w:pStyle w:val="38"/>
        <w:widowControl w:val="0"/>
        <w:spacing w:before="0" w:beforeAutospacing="0" w:after="0" w:afterAutospacing="0" w:line="360" w:lineRule="auto"/>
        <w:ind w:firstLine="1285" w:firstLineChars="400"/>
        <w:jc w:val="both"/>
        <w:rPr>
          <w:rFonts w:asciiTheme="minorEastAsia" w:hAnsiTheme="minorEastAsia" w:eastAsiaTheme="minorEastAsia" w:cstheme="minorEastAsia"/>
          <w:b/>
          <w:bCs/>
          <w:color w:val="auto"/>
          <w:sz w:val="32"/>
          <w:szCs w:val="20"/>
          <w:highlight w:val="none"/>
          <w:u w:val="single"/>
        </w:rPr>
      </w:pPr>
    </w:p>
    <w:p>
      <w:pPr>
        <w:pStyle w:val="38"/>
        <w:widowControl w:val="0"/>
        <w:spacing w:before="0" w:beforeAutospacing="0" w:after="0" w:afterAutospacing="0" w:line="360" w:lineRule="auto"/>
        <w:jc w:val="both"/>
        <w:rPr>
          <w:rFonts w:asciiTheme="minorEastAsia" w:hAnsiTheme="minorEastAsia" w:eastAsiaTheme="minorEastAsia" w:cstheme="minorEastAsia"/>
          <w:b/>
          <w:bCs/>
          <w:color w:val="auto"/>
          <w:sz w:val="32"/>
          <w:szCs w:val="20"/>
          <w:highlight w:val="none"/>
          <w:u w:val="single"/>
        </w:rPr>
      </w:pPr>
      <w:r>
        <w:rPr>
          <w:rFonts w:hint="eastAsia" w:asciiTheme="minorEastAsia" w:hAnsiTheme="minorEastAsia" w:eastAsiaTheme="minorEastAsia" w:cstheme="minorEastAsia"/>
          <w:b/>
          <w:bCs/>
          <w:color w:val="auto"/>
          <w:kern w:val="2"/>
          <w:sz w:val="32"/>
          <w:szCs w:val="20"/>
          <w:highlight w:val="none"/>
          <w:lang w:bidi="ar"/>
        </w:rPr>
        <w:t xml:space="preserve">乙    方: </w:t>
      </w:r>
      <w:r>
        <w:rPr>
          <w:rFonts w:hint="eastAsia" w:asciiTheme="minorEastAsia" w:hAnsiTheme="minorEastAsia" w:eastAsiaTheme="minorEastAsia" w:cstheme="minorEastAsia"/>
          <w:b/>
          <w:bCs/>
          <w:color w:val="auto"/>
          <w:kern w:val="2"/>
          <w:sz w:val="32"/>
          <w:szCs w:val="20"/>
          <w:highlight w:val="none"/>
          <w:u w:val="single"/>
          <w:lang w:bidi="ar"/>
        </w:rPr>
        <w:t xml:space="preserve">                     </w:t>
      </w:r>
    </w:p>
    <w:p>
      <w:pPr>
        <w:pStyle w:val="38"/>
        <w:widowControl w:val="0"/>
        <w:spacing w:before="0" w:beforeAutospacing="0" w:after="0" w:afterAutospacing="0" w:line="360" w:lineRule="auto"/>
        <w:ind w:firstLine="1381" w:firstLineChars="430"/>
        <w:jc w:val="both"/>
        <w:rPr>
          <w:rFonts w:asciiTheme="minorEastAsia" w:hAnsiTheme="minorEastAsia" w:eastAsiaTheme="minorEastAsia" w:cstheme="minorEastAsia"/>
          <w:b/>
          <w:bCs/>
          <w:color w:val="auto"/>
          <w:sz w:val="32"/>
          <w:szCs w:val="20"/>
          <w:highlight w:val="none"/>
        </w:rPr>
      </w:pPr>
    </w:p>
    <w:p>
      <w:pPr>
        <w:pStyle w:val="38"/>
        <w:widowControl w:val="0"/>
        <w:spacing w:before="0" w:beforeAutospacing="0" w:after="0" w:afterAutospacing="0" w:line="360" w:lineRule="auto"/>
        <w:ind w:firstLine="1381" w:firstLineChars="430"/>
        <w:jc w:val="both"/>
        <w:rPr>
          <w:rFonts w:asciiTheme="minorEastAsia" w:hAnsiTheme="minorEastAsia" w:eastAsiaTheme="minorEastAsia" w:cstheme="minorEastAsia"/>
          <w:b/>
          <w:bCs/>
          <w:color w:val="auto"/>
          <w:sz w:val="32"/>
          <w:szCs w:val="20"/>
          <w:highlight w:val="none"/>
        </w:rPr>
      </w:pPr>
    </w:p>
    <w:p>
      <w:pPr>
        <w:pStyle w:val="38"/>
        <w:widowControl w:val="0"/>
        <w:spacing w:before="0" w:beforeAutospacing="0" w:after="0" w:afterAutospacing="0" w:line="360" w:lineRule="auto"/>
        <w:ind w:left="643" w:hanging="643"/>
        <w:jc w:val="both"/>
        <w:rPr>
          <w:rFonts w:asciiTheme="minorEastAsia" w:hAnsiTheme="minorEastAsia" w:eastAsiaTheme="minorEastAsia" w:cstheme="minorEastAsia"/>
          <w:b/>
          <w:bCs/>
          <w:color w:val="auto"/>
          <w:sz w:val="32"/>
          <w:szCs w:val="20"/>
          <w:highlight w:val="none"/>
        </w:rPr>
      </w:pPr>
      <w:r>
        <w:rPr>
          <w:rFonts w:hint="eastAsia" w:asciiTheme="minorEastAsia" w:hAnsiTheme="minorEastAsia" w:eastAsiaTheme="minorEastAsia" w:cstheme="minorEastAsia"/>
          <w:b/>
          <w:bCs/>
          <w:color w:val="auto"/>
          <w:kern w:val="2"/>
          <w:sz w:val="32"/>
          <w:szCs w:val="20"/>
          <w:highlight w:val="none"/>
          <w:lang w:bidi="ar"/>
        </w:rPr>
        <w:t>签订地点:</w:t>
      </w:r>
      <w:r>
        <w:rPr>
          <w:rFonts w:hint="eastAsia" w:asciiTheme="minorEastAsia" w:hAnsiTheme="minorEastAsia" w:eastAsiaTheme="minorEastAsia" w:cstheme="minorEastAsia"/>
          <w:b/>
          <w:bCs/>
          <w:color w:val="auto"/>
          <w:kern w:val="2"/>
          <w:sz w:val="32"/>
          <w:szCs w:val="20"/>
          <w:highlight w:val="none"/>
          <w:u w:val="single"/>
          <w:lang w:bidi="ar"/>
        </w:rPr>
        <w:t>北京市西城区</w:t>
      </w:r>
    </w:p>
    <w:p>
      <w:pPr>
        <w:pStyle w:val="38"/>
        <w:widowControl w:val="0"/>
        <w:spacing w:before="0" w:beforeAutospacing="0" w:after="0" w:afterAutospacing="0" w:line="360" w:lineRule="auto"/>
        <w:ind w:left="643" w:hanging="643"/>
        <w:rPr>
          <w:rFonts w:asciiTheme="minorEastAsia" w:hAnsiTheme="minorEastAsia" w:eastAsiaTheme="minorEastAsia" w:cstheme="minorEastAsia"/>
          <w:b/>
          <w:bCs/>
          <w:color w:val="auto"/>
          <w:sz w:val="32"/>
          <w:szCs w:val="20"/>
          <w:highlight w:val="none"/>
          <w:u w:val="single"/>
        </w:rPr>
      </w:pPr>
      <w:r>
        <w:rPr>
          <w:rFonts w:hint="eastAsia" w:asciiTheme="minorEastAsia" w:hAnsiTheme="minorEastAsia" w:eastAsiaTheme="minorEastAsia" w:cstheme="minorEastAsia"/>
          <w:b/>
          <w:bCs/>
          <w:color w:val="auto"/>
          <w:kern w:val="2"/>
          <w:sz w:val="32"/>
          <w:szCs w:val="20"/>
          <w:highlight w:val="none"/>
          <w:lang w:bidi="ar"/>
        </w:rPr>
        <w:t>签订日期:</w:t>
      </w:r>
      <w:r>
        <w:rPr>
          <w:rFonts w:hint="eastAsia" w:asciiTheme="minorEastAsia" w:hAnsiTheme="minorEastAsia" w:eastAsiaTheme="minorEastAsia" w:cstheme="minorEastAsia"/>
          <w:b/>
          <w:bCs/>
          <w:color w:val="auto"/>
          <w:kern w:val="2"/>
          <w:sz w:val="32"/>
          <w:szCs w:val="20"/>
          <w:highlight w:val="none"/>
          <w:u w:val="single"/>
          <w:lang w:bidi="ar"/>
        </w:rPr>
        <w:t xml:space="preserve">       年      月</w:t>
      </w:r>
    </w:p>
    <w:p>
      <w:pPr>
        <w:pStyle w:val="38"/>
        <w:widowControl w:val="0"/>
        <w:spacing w:before="0" w:beforeAutospacing="0" w:after="0" w:afterAutospacing="0" w:line="360" w:lineRule="auto"/>
        <w:ind w:left="643" w:hanging="643"/>
        <w:jc w:val="both"/>
        <w:rPr>
          <w:rFonts w:asciiTheme="minorEastAsia" w:hAnsiTheme="minorEastAsia" w:eastAsiaTheme="minorEastAsia" w:cstheme="minorEastAsia"/>
          <w:b/>
          <w:bCs/>
          <w:color w:val="auto"/>
          <w:sz w:val="32"/>
          <w:szCs w:val="20"/>
          <w:highlight w:val="none"/>
        </w:rPr>
      </w:pPr>
    </w:p>
    <w:p>
      <w:pPr>
        <w:pStyle w:val="38"/>
        <w:widowControl w:val="0"/>
        <w:spacing w:before="0" w:beforeAutospacing="0" w:after="0" w:afterAutospacing="0" w:line="360" w:lineRule="auto"/>
        <w:ind w:left="643" w:hanging="643"/>
        <w:jc w:val="both"/>
        <w:rPr>
          <w:rFonts w:asciiTheme="minorEastAsia" w:hAnsiTheme="minorEastAsia" w:eastAsiaTheme="minorEastAsia" w:cstheme="minorEastAsia"/>
          <w:b/>
          <w:bCs/>
          <w:color w:val="auto"/>
          <w:sz w:val="32"/>
          <w:szCs w:val="20"/>
          <w:highlight w:val="none"/>
        </w:rPr>
      </w:pPr>
    </w:p>
    <w:p>
      <w:pPr>
        <w:pStyle w:val="38"/>
        <w:widowControl w:val="0"/>
        <w:spacing w:before="0" w:beforeAutospacing="0" w:after="0" w:afterAutospacing="0" w:line="360" w:lineRule="auto"/>
        <w:ind w:left="643" w:hanging="643"/>
        <w:jc w:val="center"/>
        <w:rPr>
          <w:rFonts w:asciiTheme="minorEastAsia" w:hAnsiTheme="minorEastAsia" w:eastAsiaTheme="minorEastAsia" w:cstheme="minorEastAsia"/>
          <w:b/>
          <w:bCs/>
          <w:color w:val="auto"/>
          <w:sz w:val="32"/>
          <w:szCs w:val="20"/>
          <w:highlight w:val="none"/>
        </w:rPr>
      </w:pPr>
    </w:p>
    <w:p>
      <w:pPr>
        <w:pStyle w:val="38"/>
        <w:widowControl w:val="0"/>
        <w:spacing w:before="0" w:beforeAutospacing="0" w:after="0" w:afterAutospacing="0" w:line="360" w:lineRule="auto"/>
        <w:ind w:left="643" w:hanging="643"/>
        <w:jc w:val="center"/>
        <w:rPr>
          <w:rFonts w:asciiTheme="minorEastAsia" w:hAnsiTheme="minorEastAsia" w:eastAsiaTheme="minorEastAsia" w:cstheme="minorEastAsia"/>
          <w:b/>
          <w:bCs/>
          <w:color w:val="auto"/>
          <w:sz w:val="32"/>
          <w:szCs w:val="20"/>
          <w:highlight w:val="none"/>
        </w:rPr>
      </w:pPr>
    </w:p>
    <w:p>
      <w:pPr>
        <w:widowControl/>
        <w:spacing w:line="360" w:lineRule="auto"/>
        <w:ind w:firstLine="484" w:firstLineChars="202"/>
        <w:rPr>
          <w:rFonts w:hint="eastAsia" w:asciiTheme="minorEastAsia" w:hAnsiTheme="minorEastAsia" w:eastAsiaTheme="minorEastAsia" w:cstheme="minorEastAsia"/>
          <w:color w:val="auto"/>
          <w:kern w:val="0"/>
          <w:sz w:val="24"/>
          <w:szCs w:val="24"/>
          <w:highlight w:val="none"/>
          <w:lang w:bidi="ar"/>
        </w:rPr>
        <w:sectPr>
          <w:pgSz w:w="11906" w:h="16838"/>
          <w:pgMar w:top="1440" w:right="1800" w:bottom="1440" w:left="1800" w:header="851" w:footer="992" w:gutter="0"/>
          <w:cols w:space="425" w:num="1"/>
          <w:docGrid w:type="lines" w:linePitch="312" w:charSpace="0"/>
        </w:sectPr>
      </w:pPr>
    </w:p>
    <w:p>
      <w:pPr>
        <w:widowControl/>
        <w:spacing w:line="360" w:lineRule="auto"/>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kern w:val="0"/>
          <w:sz w:val="24"/>
          <w:szCs w:val="24"/>
          <w:highlight w:val="none"/>
          <w:lang w:bidi="ar"/>
        </w:rPr>
        <w:t>本合同中甲方为</w:t>
      </w:r>
      <w:r>
        <w:rPr>
          <w:rFonts w:hint="eastAsia" w:asciiTheme="minorEastAsia" w:hAnsiTheme="minorEastAsia" w:eastAsiaTheme="minorEastAsia" w:cstheme="minorEastAsia"/>
          <w:color w:val="auto"/>
          <w:kern w:val="0"/>
          <w:sz w:val="24"/>
          <w:szCs w:val="24"/>
          <w:highlight w:val="none"/>
          <w:u w:val="single"/>
          <w:lang w:bidi="ar"/>
        </w:rPr>
        <w:t>北京市西城区科学技术和信息化局</w:t>
      </w:r>
      <w:r>
        <w:rPr>
          <w:rFonts w:hint="eastAsia" w:asciiTheme="minorEastAsia" w:hAnsiTheme="minorEastAsia" w:eastAsiaTheme="minorEastAsia" w:cstheme="minorEastAsia"/>
          <w:color w:val="auto"/>
          <w:kern w:val="0"/>
          <w:sz w:val="24"/>
          <w:szCs w:val="24"/>
          <w:highlight w:val="none"/>
          <w:lang w:bidi="ar"/>
        </w:rPr>
        <w:t>（以下简称甲方），乙方为</w:t>
      </w:r>
      <w:r>
        <w:rPr>
          <w:rFonts w:hint="eastAsia" w:asciiTheme="minorEastAsia" w:hAnsiTheme="minorEastAsia" w:eastAsiaTheme="minorEastAsia" w:cstheme="minorEastAsia"/>
          <w:color w:val="auto"/>
          <w:kern w:val="0"/>
          <w:sz w:val="24"/>
          <w:szCs w:val="24"/>
          <w:highlight w:val="none"/>
          <w:u w:val="single"/>
          <w:lang w:bidi="ar"/>
        </w:rPr>
        <w:t xml:space="preserve">                         </w:t>
      </w:r>
      <w:r>
        <w:rPr>
          <w:rFonts w:hint="eastAsia" w:asciiTheme="minorEastAsia" w:hAnsiTheme="minorEastAsia" w:eastAsiaTheme="minorEastAsia" w:cstheme="minorEastAsia"/>
          <w:color w:val="auto"/>
          <w:kern w:val="0"/>
          <w:sz w:val="24"/>
          <w:szCs w:val="24"/>
          <w:highlight w:val="none"/>
          <w:lang w:bidi="ar"/>
        </w:rPr>
        <w:t>（以下简称乙方），根据《中华人民共和国民法典》和有关法律法规的规定，甲、乙双方本着“平等互利”的原则，就甲方委托乙方设计开发完成</w:t>
      </w:r>
      <w:r>
        <w:rPr>
          <w:rFonts w:hint="eastAsia" w:asciiTheme="minorEastAsia" w:hAnsiTheme="minorEastAsia" w:eastAsiaTheme="minorEastAsia" w:cstheme="minorEastAsia"/>
          <w:color w:val="auto"/>
          <w:kern w:val="0"/>
          <w:sz w:val="24"/>
          <w:szCs w:val="24"/>
          <w:highlight w:val="none"/>
          <w:u w:val="single"/>
          <w:lang w:bidi="ar"/>
        </w:rPr>
        <w:t xml:space="preserve">             </w:t>
      </w:r>
      <w:r>
        <w:rPr>
          <w:rFonts w:hint="eastAsia" w:asciiTheme="minorEastAsia" w:hAnsiTheme="minorEastAsia" w:eastAsiaTheme="minorEastAsia" w:cstheme="minorEastAsia"/>
          <w:color w:val="auto"/>
          <w:kern w:val="0"/>
          <w:sz w:val="24"/>
          <w:szCs w:val="24"/>
          <w:highlight w:val="none"/>
          <w:lang w:bidi="ar"/>
        </w:rPr>
        <w:t>一事，经双方友好</w:t>
      </w:r>
      <w:r>
        <w:rPr>
          <w:rFonts w:hint="eastAsia" w:asciiTheme="minorEastAsia" w:hAnsiTheme="minorEastAsia" w:eastAsiaTheme="minorEastAsia" w:cstheme="minorEastAsia"/>
          <w:color w:val="auto"/>
          <w:kern w:val="0"/>
          <w:sz w:val="24"/>
          <w:szCs w:val="24"/>
          <w:highlight w:val="none"/>
          <w:lang w:val="en-US" w:eastAsia="zh-CN" w:bidi="ar"/>
        </w:rPr>
        <w:t>协</w:t>
      </w:r>
      <w:r>
        <w:rPr>
          <w:rFonts w:hint="eastAsia" w:asciiTheme="minorEastAsia" w:hAnsiTheme="minorEastAsia" w:eastAsiaTheme="minorEastAsia" w:cstheme="minorEastAsia"/>
          <w:color w:val="auto"/>
          <w:kern w:val="0"/>
          <w:sz w:val="24"/>
          <w:szCs w:val="24"/>
          <w:highlight w:val="none"/>
          <w:lang w:bidi="ar"/>
        </w:rPr>
        <w:t>商，同意按以下条款和条件，签署本合同。</w:t>
      </w:r>
    </w:p>
    <w:p>
      <w:pPr>
        <w:widowControl/>
        <w:spacing w:line="360" w:lineRule="auto"/>
        <w:jc w:val="left"/>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kern w:val="0"/>
          <w:sz w:val="24"/>
          <w:szCs w:val="24"/>
          <w:highlight w:val="none"/>
          <w:lang w:bidi="ar"/>
        </w:rPr>
        <w:t>第一条：本合同有关名词解释见本合同第十四条。</w:t>
      </w:r>
    </w:p>
    <w:p>
      <w:pPr>
        <w:widowControl/>
        <w:spacing w:line="360" w:lineRule="auto"/>
        <w:jc w:val="left"/>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kern w:val="0"/>
          <w:sz w:val="24"/>
          <w:szCs w:val="24"/>
          <w:highlight w:val="none"/>
          <w:lang w:bidi="ar"/>
        </w:rPr>
        <w:t>第二条：开发费用明细、开发计划、开发标准和售后服务</w:t>
      </w:r>
    </w:p>
    <w:p>
      <w:pPr>
        <w:widowControl/>
        <w:spacing w:line="360" w:lineRule="auto"/>
        <w:ind w:firstLine="240" w:firstLineChars="100"/>
        <w:jc w:val="left"/>
        <w:rPr>
          <w:rFonts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kern w:val="0"/>
          <w:sz w:val="24"/>
          <w:szCs w:val="24"/>
          <w:highlight w:val="none"/>
          <w:lang w:bidi="ar"/>
        </w:rPr>
        <w:t>1、开发费用明细</w:t>
      </w:r>
    </w:p>
    <w:tbl>
      <w:tblPr>
        <w:tblStyle w:val="4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53"/>
        <w:gridCol w:w="2757"/>
        <w:gridCol w:w="1135"/>
        <w:gridCol w:w="1714"/>
        <w:gridCol w:w="184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053"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360" w:lineRule="auto"/>
              <w:jc w:val="center"/>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kern w:val="0"/>
                <w:sz w:val="24"/>
                <w:szCs w:val="24"/>
                <w:highlight w:val="none"/>
                <w:lang w:bidi="ar"/>
              </w:rPr>
              <w:t>序号</w:t>
            </w:r>
          </w:p>
        </w:tc>
        <w:tc>
          <w:tcPr>
            <w:tcW w:w="2757"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360" w:lineRule="auto"/>
              <w:jc w:val="center"/>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kern w:val="0"/>
                <w:sz w:val="24"/>
                <w:szCs w:val="24"/>
                <w:highlight w:val="none"/>
                <w:lang w:bidi="ar"/>
              </w:rPr>
              <w:t>名称</w:t>
            </w:r>
          </w:p>
        </w:tc>
        <w:tc>
          <w:tcPr>
            <w:tcW w:w="1135"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360" w:lineRule="auto"/>
              <w:jc w:val="center"/>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kern w:val="0"/>
                <w:sz w:val="24"/>
                <w:szCs w:val="24"/>
                <w:highlight w:val="none"/>
                <w:lang w:bidi="ar"/>
              </w:rPr>
              <w:t>数量</w:t>
            </w:r>
          </w:p>
        </w:tc>
        <w:tc>
          <w:tcPr>
            <w:tcW w:w="171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360" w:lineRule="auto"/>
              <w:jc w:val="center"/>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kern w:val="0"/>
                <w:sz w:val="24"/>
                <w:szCs w:val="24"/>
                <w:highlight w:val="none"/>
                <w:lang w:bidi="ar"/>
              </w:rPr>
              <w:t>单价（元）</w:t>
            </w:r>
          </w:p>
        </w:tc>
        <w:tc>
          <w:tcPr>
            <w:tcW w:w="1842"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360" w:lineRule="auto"/>
              <w:jc w:val="center"/>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kern w:val="0"/>
                <w:sz w:val="24"/>
                <w:szCs w:val="24"/>
                <w:highlight w:val="none"/>
                <w:lang w:bidi="ar"/>
              </w:rPr>
              <w:t>总价（元）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053"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360" w:lineRule="auto"/>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kern w:val="0"/>
                <w:sz w:val="24"/>
                <w:szCs w:val="24"/>
                <w:highlight w:val="none"/>
                <w:lang w:bidi="ar"/>
              </w:rPr>
              <w:t>1</w:t>
            </w:r>
          </w:p>
        </w:tc>
        <w:tc>
          <w:tcPr>
            <w:tcW w:w="2757"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360" w:lineRule="auto"/>
              <w:ind w:firstLine="240" w:firstLineChars="100"/>
              <w:jc w:val="left"/>
              <w:rPr>
                <w:rFonts w:asciiTheme="minorEastAsia" w:hAnsiTheme="minorEastAsia" w:eastAsiaTheme="minorEastAsia" w:cstheme="minorEastAsia"/>
                <w:color w:val="auto"/>
                <w:sz w:val="24"/>
                <w:highlight w:val="none"/>
              </w:rPr>
            </w:pPr>
          </w:p>
        </w:tc>
        <w:tc>
          <w:tcPr>
            <w:tcW w:w="1135"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360" w:lineRule="auto"/>
              <w:jc w:val="center"/>
              <w:rPr>
                <w:rFonts w:asciiTheme="minorEastAsia" w:hAnsiTheme="minorEastAsia" w:eastAsiaTheme="minorEastAsia" w:cstheme="minorEastAsia"/>
                <w:color w:val="auto"/>
                <w:sz w:val="24"/>
                <w:highlight w:val="none"/>
              </w:rPr>
            </w:pPr>
          </w:p>
        </w:tc>
        <w:tc>
          <w:tcPr>
            <w:tcW w:w="171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360" w:lineRule="auto"/>
              <w:jc w:val="center"/>
              <w:rPr>
                <w:rFonts w:asciiTheme="minorEastAsia" w:hAnsiTheme="minorEastAsia" w:eastAsiaTheme="minorEastAsia" w:cstheme="minorEastAsia"/>
                <w:color w:val="auto"/>
                <w:sz w:val="24"/>
                <w:highlight w:val="none"/>
              </w:rPr>
            </w:pPr>
          </w:p>
        </w:tc>
        <w:tc>
          <w:tcPr>
            <w:tcW w:w="1842"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360" w:lineRule="auto"/>
              <w:jc w:val="center"/>
              <w:rPr>
                <w:rFonts w:asciiTheme="minorEastAsia" w:hAnsiTheme="minorEastAsia" w:eastAsiaTheme="minorEastAsia" w:cstheme="minorEastAsia"/>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053"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360" w:lineRule="auto"/>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kern w:val="0"/>
                <w:sz w:val="24"/>
                <w:szCs w:val="24"/>
                <w:highlight w:val="none"/>
                <w:lang w:bidi="ar"/>
              </w:rPr>
              <w:t>2</w:t>
            </w:r>
          </w:p>
        </w:tc>
        <w:tc>
          <w:tcPr>
            <w:tcW w:w="2757"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tabs>
                <w:tab w:val="left" w:pos="1800"/>
                <w:tab w:val="left" w:pos="5580"/>
              </w:tabs>
              <w:spacing w:line="360" w:lineRule="auto"/>
              <w:jc w:val="left"/>
              <w:rPr>
                <w:rFonts w:asciiTheme="minorEastAsia" w:hAnsiTheme="minorEastAsia" w:eastAsiaTheme="minorEastAsia" w:cstheme="minorEastAsia"/>
                <w:color w:val="auto"/>
                <w:sz w:val="24"/>
                <w:highlight w:val="none"/>
              </w:rPr>
            </w:pPr>
          </w:p>
        </w:tc>
        <w:tc>
          <w:tcPr>
            <w:tcW w:w="1135"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360" w:lineRule="auto"/>
              <w:jc w:val="center"/>
              <w:rPr>
                <w:rFonts w:asciiTheme="minorEastAsia" w:hAnsiTheme="minorEastAsia" w:eastAsiaTheme="minorEastAsia" w:cstheme="minorEastAsia"/>
                <w:color w:val="auto"/>
                <w:sz w:val="24"/>
                <w:highlight w:val="none"/>
              </w:rPr>
            </w:pPr>
          </w:p>
        </w:tc>
        <w:tc>
          <w:tcPr>
            <w:tcW w:w="171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360" w:lineRule="auto"/>
              <w:jc w:val="center"/>
              <w:rPr>
                <w:rFonts w:asciiTheme="minorEastAsia" w:hAnsiTheme="minorEastAsia" w:eastAsiaTheme="minorEastAsia" w:cstheme="minorEastAsia"/>
                <w:color w:val="auto"/>
                <w:sz w:val="24"/>
                <w:highlight w:val="none"/>
              </w:rPr>
            </w:pPr>
          </w:p>
        </w:tc>
        <w:tc>
          <w:tcPr>
            <w:tcW w:w="1842"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360" w:lineRule="auto"/>
              <w:jc w:val="center"/>
              <w:rPr>
                <w:rFonts w:asciiTheme="minorEastAsia" w:hAnsiTheme="minorEastAsia" w:eastAsiaTheme="minorEastAsia" w:cstheme="minorEastAsia"/>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053"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360" w:lineRule="auto"/>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kern w:val="0"/>
                <w:sz w:val="24"/>
                <w:szCs w:val="24"/>
                <w:highlight w:val="none"/>
                <w:lang w:bidi="ar"/>
              </w:rPr>
              <w:t>3</w:t>
            </w:r>
          </w:p>
        </w:tc>
        <w:tc>
          <w:tcPr>
            <w:tcW w:w="2757"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tabs>
                <w:tab w:val="left" w:pos="1800"/>
                <w:tab w:val="left" w:pos="5580"/>
              </w:tabs>
              <w:spacing w:line="360" w:lineRule="auto"/>
              <w:jc w:val="left"/>
              <w:rPr>
                <w:rFonts w:asciiTheme="minorEastAsia" w:hAnsiTheme="minorEastAsia" w:eastAsiaTheme="minorEastAsia" w:cstheme="minorEastAsia"/>
                <w:color w:val="auto"/>
                <w:sz w:val="24"/>
                <w:highlight w:val="none"/>
              </w:rPr>
            </w:pPr>
          </w:p>
        </w:tc>
        <w:tc>
          <w:tcPr>
            <w:tcW w:w="1135"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360" w:lineRule="auto"/>
              <w:jc w:val="center"/>
              <w:rPr>
                <w:rFonts w:asciiTheme="minorEastAsia" w:hAnsiTheme="minorEastAsia" w:eastAsiaTheme="minorEastAsia" w:cstheme="minorEastAsia"/>
                <w:color w:val="auto"/>
                <w:sz w:val="24"/>
                <w:highlight w:val="none"/>
              </w:rPr>
            </w:pPr>
          </w:p>
        </w:tc>
        <w:tc>
          <w:tcPr>
            <w:tcW w:w="171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360" w:lineRule="auto"/>
              <w:jc w:val="center"/>
              <w:rPr>
                <w:rFonts w:asciiTheme="minorEastAsia" w:hAnsiTheme="minorEastAsia" w:eastAsiaTheme="minorEastAsia" w:cstheme="minorEastAsia"/>
                <w:color w:val="auto"/>
                <w:sz w:val="24"/>
                <w:highlight w:val="none"/>
              </w:rPr>
            </w:pPr>
          </w:p>
        </w:tc>
        <w:tc>
          <w:tcPr>
            <w:tcW w:w="1842"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360" w:lineRule="auto"/>
              <w:jc w:val="center"/>
              <w:rPr>
                <w:rFonts w:asciiTheme="minorEastAsia" w:hAnsiTheme="minorEastAsia" w:eastAsiaTheme="minorEastAsia" w:cstheme="minorEastAsia"/>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053"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360" w:lineRule="auto"/>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kern w:val="0"/>
                <w:sz w:val="24"/>
                <w:szCs w:val="24"/>
                <w:highlight w:val="none"/>
                <w:lang w:bidi="ar"/>
              </w:rPr>
              <w:t>4</w:t>
            </w:r>
          </w:p>
        </w:tc>
        <w:tc>
          <w:tcPr>
            <w:tcW w:w="2757"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tabs>
                <w:tab w:val="left" w:pos="1800"/>
                <w:tab w:val="left" w:pos="5580"/>
              </w:tabs>
              <w:spacing w:line="360" w:lineRule="auto"/>
              <w:jc w:val="left"/>
              <w:rPr>
                <w:rFonts w:asciiTheme="minorEastAsia" w:hAnsiTheme="minorEastAsia" w:eastAsiaTheme="minorEastAsia" w:cstheme="minorEastAsia"/>
                <w:color w:val="auto"/>
                <w:sz w:val="24"/>
                <w:highlight w:val="none"/>
              </w:rPr>
            </w:pPr>
          </w:p>
        </w:tc>
        <w:tc>
          <w:tcPr>
            <w:tcW w:w="1135"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360" w:lineRule="auto"/>
              <w:jc w:val="center"/>
              <w:rPr>
                <w:rFonts w:asciiTheme="minorEastAsia" w:hAnsiTheme="minorEastAsia" w:eastAsiaTheme="minorEastAsia" w:cstheme="minorEastAsia"/>
                <w:color w:val="auto"/>
                <w:sz w:val="24"/>
                <w:highlight w:val="none"/>
              </w:rPr>
            </w:pPr>
          </w:p>
        </w:tc>
        <w:tc>
          <w:tcPr>
            <w:tcW w:w="171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360" w:lineRule="auto"/>
              <w:jc w:val="center"/>
              <w:rPr>
                <w:rFonts w:asciiTheme="minorEastAsia" w:hAnsiTheme="minorEastAsia" w:eastAsiaTheme="minorEastAsia" w:cstheme="minorEastAsia"/>
                <w:color w:val="auto"/>
                <w:sz w:val="24"/>
                <w:highlight w:val="none"/>
              </w:rPr>
            </w:pPr>
          </w:p>
        </w:tc>
        <w:tc>
          <w:tcPr>
            <w:tcW w:w="1842"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360" w:lineRule="auto"/>
              <w:jc w:val="center"/>
              <w:rPr>
                <w:rFonts w:asciiTheme="minorEastAsia" w:hAnsiTheme="minorEastAsia" w:eastAsiaTheme="minorEastAsia" w:cstheme="minorEastAsia"/>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053"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360" w:lineRule="auto"/>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kern w:val="0"/>
                <w:sz w:val="24"/>
                <w:szCs w:val="24"/>
                <w:highlight w:val="none"/>
                <w:lang w:bidi="ar"/>
              </w:rPr>
              <w:t>5</w:t>
            </w:r>
          </w:p>
        </w:tc>
        <w:tc>
          <w:tcPr>
            <w:tcW w:w="2757"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tabs>
                <w:tab w:val="left" w:pos="1800"/>
                <w:tab w:val="left" w:pos="5580"/>
              </w:tabs>
              <w:spacing w:line="360" w:lineRule="auto"/>
              <w:jc w:val="left"/>
              <w:rPr>
                <w:rFonts w:asciiTheme="minorEastAsia" w:hAnsiTheme="minorEastAsia" w:eastAsiaTheme="minorEastAsia" w:cstheme="minorEastAsia"/>
                <w:color w:val="auto"/>
                <w:sz w:val="24"/>
                <w:highlight w:val="none"/>
              </w:rPr>
            </w:pPr>
          </w:p>
        </w:tc>
        <w:tc>
          <w:tcPr>
            <w:tcW w:w="1135"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360" w:lineRule="auto"/>
              <w:jc w:val="center"/>
              <w:rPr>
                <w:rFonts w:asciiTheme="minorEastAsia" w:hAnsiTheme="minorEastAsia" w:eastAsiaTheme="minorEastAsia" w:cstheme="minorEastAsia"/>
                <w:color w:val="auto"/>
                <w:sz w:val="24"/>
                <w:highlight w:val="none"/>
              </w:rPr>
            </w:pPr>
          </w:p>
        </w:tc>
        <w:tc>
          <w:tcPr>
            <w:tcW w:w="171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360" w:lineRule="auto"/>
              <w:jc w:val="center"/>
              <w:rPr>
                <w:rFonts w:asciiTheme="minorEastAsia" w:hAnsiTheme="minorEastAsia" w:eastAsiaTheme="minorEastAsia" w:cstheme="minorEastAsia"/>
                <w:color w:val="auto"/>
                <w:sz w:val="24"/>
                <w:highlight w:val="none"/>
              </w:rPr>
            </w:pPr>
          </w:p>
        </w:tc>
        <w:tc>
          <w:tcPr>
            <w:tcW w:w="1842"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360" w:lineRule="auto"/>
              <w:jc w:val="center"/>
              <w:rPr>
                <w:rFonts w:asciiTheme="minorEastAsia" w:hAnsiTheme="minorEastAsia" w:eastAsiaTheme="minorEastAsia" w:cstheme="minorEastAsia"/>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053"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360" w:lineRule="auto"/>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kern w:val="0"/>
                <w:sz w:val="24"/>
                <w:szCs w:val="24"/>
                <w:highlight w:val="none"/>
                <w:lang w:bidi="ar"/>
              </w:rPr>
              <w:t>6</w:t>
            </w:r>
          </w:p>
        </w:tc>
        <w:tc>
          <w:tcPr>
            <w:tcW w:w="2757"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tabs>
                <w:tab w:val="left" w:pos="1800"/>
                <w:tab w:val="left" w:pos="5580"/>
              </w:tabs>
              <w:spacing w:line="360" w:lineRule="auto"/>
              <w:jc w:val="left"/>
              <w:rPr>
                <w:rFonts w:asciiTheme="minorEastAsia" w:hAnsiTheme="minorEastAsia" w:eastAsiaTheme="minorEastAsia" w:cstheme="minorEastAsia"/>
                <w:color w:val="auto"/>
                <w:sz w:val="24"/>
                <w:highlight w:val="none"/>
              </w:rPr>
            </w:pPr>
          </w:p>
        </w:tc>
        <w:tc>
          <w:tcPr>
            <w:tcW w:w="1135"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360" w:lineRule="auto"/>
              <w:jc w:val="center"/>
              <w:rPr>
                <w:rFonts w:asciiTheme="minorEastAsia" w:hAnsiTheme="minorEastAsia" w:eastAsiaTheme="minorEastAsia" w:cstheme="minorEastAsia"/>
                <w:color w:val="auto"/>
                <w:sz w:val="24"/>
                <w:highlight w:val="none"/>
              </w:rPr>
            </w:pPr>
          </w:p>
        </w:tc>
        <w:tc>
          <w:tcPr>
            <w:tcW w:w="171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360" w:lineRule="auto"/>
              <w:jc w:val="center"/>
              <w:rPr>
                <w:rFonts w:asciiTheme="minorEastAsia" w:hAnsiTheme="minorEastAsia" w:eastAsiaTheme="minorEastAsia" w:cstheme="minorEastAsia"/>
                <w:color w:val="auto"/>
                <w:sz w:val="24"/>
                <w:highlight w:val="none"/>
              </w:rPr>
            </w:pPr>
          </w:p>
        </w:tc>
        <w:tc>
          <w:tcPr>
            <w:tcW w:w="1842"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360" w:lineRule="auto"/>
              <w:jc w:val="center"/>
              <w:rPr>
                <w:rFonts w:asciiTheme="minorEastAsia" w:hAnsiTheme="minorEastAsia" w:eastAsiaTheme="minorEastAsia" w:cstheme="minorEastAsia"/>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053"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360" w:lineRule="auto"/>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kern w:val="0"/>
                <w:sz w:val="24"/>
                <w:szCs w:val="24"/>
                <w:highlight w:val="none"/>
                <w:lang w:bidi="ar"/>
              </w:rPr>
              <w:t>7</w:t>
            </w:r>
          </w:p>
        </w:tc>
        <w:tc>
          <w:tcPr>
            <w:tcW w:w="2757"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tabs>
                <w:tab w:val="left" w:pos="1800"/>
                <w:tab w:val="left" w:pos="5580"/>
              </w:tabs>
              <w:spacing w:line="360" w:lineRule="auto"/>
              <w:jc w:val="left"/>
              <w:rPr>
                <w:rFonts w:asciiTheme="minorEastAsia" w:hAnsiTheme="minorEastAsia" w:eastAsiaTheme="minorEastAsia" w:cstheme="minorEastAsia"/>
                <w:color w:val="auto"/>
                <w:sz w:val="24"/>
                <w:highlight w:val="none"/>
              </w:rPr>
            </w:pPr>
          </w:p>
        </w:tc>
        <w:tc>
          <w:tcPr>
            <w:tcW w:w="1135"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360" w:lineRule="auto"/>
              <w:jc w:val="center"/>
              <w:rPr>
                <w:rFonts w:asciiTheme="minorEastAsia" w:hAnsiTheme="minorEastAsia" w:eastAsiaTheme="minorEastAsia" w:cstheme="minorEastAsia"/>
                <w:color w:val="auto"/>
                <w:sz w:val="24"/>
                <w:highlight w:val="none"/>
              </w:rPr>
            </w:pPr>
          </w:p>
        </w:tc>
        <w:tc>
          <w:tcPr>
            <w:tcW w:w="171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360" w:lineRule="auto"/>
              <w:jc w:val="center"/>
              <w:rPr>
                <w:rFonts w:asciiTheme="minorEastAsia" w:hAnsiTheme="minorEastAsia" w:eastAsiaTheme="minorEastAsia" w:cstheme="minorEastAsia"/>
                <w:color w:val="auto"/>
                <w:sz w:val="24"/>
                <w:highlight w:val="none"/>
              </w:rPr>
            </w:pPr>
          </w:p>
        </w:tc>
        <w:tc>
          <w:tcPr>
            <w:tcW w:w="1842"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360" w:lineRule="auto"/>
              <w:jc w:val="center"/>
              <w:rPr>
                <w:rFonts w:asciiTheme="minorEastAsia" w:hAnsiTheme="minorEastAsia" w:eastAsiaTheme="minorEastAsia" w:cstheme="minorEastAsia"/>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053"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360" w:lineRule="auto"/>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kern w:val="0"/>
                <w:sz w:val="24"/>
                <w:szCs w:val="24"/>
                <w:highlight w:val="none"/>
                <w:lang w:bidi="ar"/>
              </w:rPr>
              <w:t>8</w:t>
            </w:r>
          </w:p>
        </w:tc>
        <w:tc>
          <w:tcPr>
            <w:tcW w:w="2757"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tabs>
                <w:tab w:val="left" w:pos="1800"/>
                <w:tab w:val="left" w:pos="5580"/>
              </w:tabs>
              <w:spacing w:line="360" w:lineRule="auto"/>
              <w:jc w:val="left"/>
              <w:rPr>
                <w:rFonts w:asciiTheme="minorEastAsia" w:hAnsiTheme="minorEastAsia" w:eastAsiaTheme="minorEastAsia" w:cstheme="minorEastAsia"/>
                <w:color w:val="auto"/>
                <w:sz w:val="24"/>
                <w:highlight w:val="none"/>
              </w:rPr>
            </w:pPr>
          </w:p>
        </w:tc>
        <w:tc>
          <w:tcPr>
            <w:tcW w:w="1135"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360" w:lineRule="auto"/>
              <w:jc w:val="center"/>
              <w:rPr>
                <w:rFonts w:asciiTheme="minorEastAsia" w:hAnsiTheme="minorEastAsia" w:eastAsiaTheme="minorEastAsia" w:cstheme="minorEastAsia"/>
                <w:color w:val="auto"/>
                <w:sz w:val="24"/>
                <w:highlight w:val="none"/>
              </w:rPr>
            </w:pPr>
          </w:p>
        </w:tc>
        <w:tc>
          <w:tcPr>
            <w:tcW w:w="171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360" w:lineRule="auto"/>
              <w:jc w:val="center"/>
              <w:rPr>
                <w:rFonts w:asciiTheme="minorEastAsia" w:hAnsiTheme="minorEastAsia" w:eastAsiaTheme="minorEastAsia" w:cstheme="minorEastAsia"/>
                <w:color w:val="auto"/>
                <w:sz w:val="24"/>
                <w:highlight w:val="none"/>
              </w:rPr>
            </w:pPr>
          </w:p>
        </w:tc>
        <w:tc>
          <w:tcPr>
            <w:tcW w:w="1842"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360" w:lineRule="auto"/>
              <w:jc w:val="center"/>
              <w:rPr>
                <w:rFonts w:asciiTheme="minorEastAsia" w:hAnsiTheme="minorEastAsia" w:eastAsiaTheme="minorEastAsia" w:cstheme="minorEastAsia"/>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053"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360" w:lineRule="auto"/>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kern w:val="0"/>
                <w:sz w:val="24"/>
                <w:szCs w:val="24"/>
                <w:highlight w:val="none"/>
                <w:lang w:bidi="ar"/>
              </w:rPr>
              <w:t>9</w:t>
            </w:r>
          </w:p>
        </w:tc>
        <w:tc>
          <w:tcPr>
            <w:tcW w:w="2757"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tabs>
                <w:tab w:val="left" w:pos="1800"/>
                <w:tab w:val="left" w:pos="5580"/>
              </w:tabs>
              <w:spacing w:line="360" w:lineRule="auto"/>
              <w:jc w:val="left"/>
              <w:rPr>
                <w:rFonts w:asciiTheme="minorEastAsia" w:hAnsiTheme="minorEastAsia" w:eastAsiaTheme="minorEastAsia" w:cstheme="minorEastAsia"/>
                <w:color w:val="auto"/>
                <w:sz w:val="24"/>
                <w:highlight w:val="none"/>
              </w:rPr>
            </w:pPr>
          </w:p>
        </w:tc>
        <w:tc>
          <w:tcPr>
            <w:tcW w:w="1135"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360" w:lineRule="auto"/>
              <w:jc w:val="center"/>
              <w:rPr>
                <w:rFonts w:asciiTheme="minorEastAsia" w:hAnsiTheme="minorEastAsia" w:eastAsiaTheme="minorEastAsia" w:cstheme="minorEastAsia"/>
                <w:color w:val="auto"/>
                <w:sz w:val="24"/>
                <w:highlight w:val="none"/>
              </w:rPr>
            </w:pPr>
          </w:p>
        </w:tc>
        <w:tc>
          <w:tcPr>
            <w:tcW w:w="171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360" w:lineRule="auto"/>
              <w:jc w:val="center"/>
              <w:rPr>
                <w:rFonts w:asciiTheme="minorEastAsia" w:hAnsiTheme="minorEastAsia" w:eastAsiaTheme="minorEastAsia" w:cstheme="minorEastAsia"/>
                <w:color w:val="auto"/>
                <w:sz w:val="24"/>
                <w:highlight w:val="none"/>
              </w:rPr>
            </w:pPr>
          </w:p>
        </w:tc>
        <w:tc>
          <w:tcPr>
            <w:tcW w:w="1842"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360" w:lineRule="auto"/>
              <w:jc w:val="center"/>
              <w:rPr>
                <w:rFonts w:asciiTheme="minorEastAsia" w:hAnsiTheme="minorEastAsia" w:eastAsiaTheme="minorEastAsia" w:cstheme="minorEastAsia"/>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053"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360" w:lineRule="auto"/>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kern w:val="0"/>
                <w:sz w:val="24"/>
                <w:szCs w:val="24"/>
                <w:highlight w:val="none"/>
                <w:lang w:bidi="ar"/>
              </w:rPr>
              <w:t>10</w:t>
            </w:r>
          </w:p>
        </w:tc>
        <w:tc>
          <w:tcPr>
            <w:tcW w:w="7447" w:type="dxa"/>
            <w:gridSpan w:val="4"/>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360" w:lineRule="auto"/>
              <w:jc w:val="left"/>
              <w:rPr>
                <w:rFonts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color w:val="auto"/>
                <w:kern w:val="0"/>
                <w:sz w:val="24"/>
                <w:szCs w:val="24"/>
                <w:highlight w:val="none"/>
                <w:lang w:bidi="ar"/>
              </w:rPr>
              <w:t>合计：人民币（大写）：</w:t>
            </w:r>
            <w:r>
              <w:rPr>
                <w:rFonts w:hint="eastAsia" w:asciiTheme="minorEastAsia" w:hAnsiTheme="minorEastAsia" w:eastAsiaTheme="minorEastAsia" w:cstheme="minorEastAsia"/>
                <w:b/>
                <w:color w:val="auto"/>
                <w:kern w:val="0"/>
                <w:sz w:val="24"/>
                <w:szCs w:val="24"/>
                <w:highlight w:val="none"/>
                <w:u w:val="single"/>
                <w:lang w:bidi="ar"/>
              </w:rPr>
              <w:t xml:space="preserve">                        </w:t>
            </w:r>
            <w:r>
              <w:rPr>
                <w:rFonts w:hint="eastAsia" w:asciiTheme="minorEastAsia" w:hAnsiTheme="minorEastAsia" w:eastAsiaTheme="minorEastAsia" w:cstheme="minorEastAsia"/>
                <w:b/>
                <w:color w:val="auto"/>
                <w:kern w:val="0"/>
                <w:sz w:val="24"/>
                <w:szCs w:val="24"/>
                <w:highlight w:val="none"/>
                <w:lang w:bidi="ar"/>
              </w:rPr>
              <w:t>元</w:t>
            </w:r>
          </w:p>
        </w:tc>
      </w:tr>
    </w:tbl>
    <w:p>
      <w:pPr>
        <w:widowControl/>
        <w:tabs>
          <w:tab w:val="left" w:pos="1800"/>
          <w:tab w:val="left" w:pos="5580"/>
        </w:tabs>
        <w:spacing w:line="360" w:lineRule="auto"/>
        <w:jc w:val="left"/>
        <w:rPr>
          <w:rFonts w:asciiTheme="minorEastAsia" w:hAnsiTheme="minorEastAsia" w:eastAsiaTheme="minorEastAsia" w:cstheme="minorEastAsia"/>
          <w:color w:val="auto"/>
          <w:sz w:val="24"/>
          <w:highlight w:val="none"/>
        </w:rPr>
      </w:pPr>
    </w:p>
    <w:p>
      <w:pPr>
        <w:widowControl/>
        <w:spacing w:line="360" w:lineRule="auto"/>
        <w:ind w:firstLine="240" w:firstLineChars="100"/>
        <w:jc w:val="left"/>
        <w:rPr>
          <w:rFonts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kern w:val="0"/>
          <w:sz w:val="24"/>
          <w:szCs w:val="24"/>
          <w:highlight w:val="none"/>
          <w:lang w:bidi="ar"/>
        </w:rPr>
        <w:t>2、开发计划</w:t>
      </w:r>
    </w:p>
    <w:tbl>
      <w:tblPr>
        <w:tblStyle w:val="44"/>
        <w:tblW w:w="0" w:type="auto"/>
        <w:tblInd w:w="25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39"/>
        <w:gridCol w:w="4848"/>
        <w:gridCol w:w="167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39"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360" w:lineRule="auto"/>
              <w:jc w:val="center"/>
              <w:rPr>
                <w:rFonts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kern w:val="0"/>
                <w:sz w:val="24"/>
                <w:szCs w:val="24"/>
                <w:highlight w:val="none"/>
                <w:lang w:bidi="ar"/>
              </w:rPr>
              <w:t>阶段</w:t>
            </w:r>
          </w:p>
        </w:tc>
        <w:tc>
          <w:tcPr>
            <w:tcW w:w="4848"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360" w:lineRule="auto"/>
              <w:jc w:val="center"/>
              <w:rPr>
                <w:rFonts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kern w:val="0"/>
                <w:sz w:val="24"/>
                <w:szCs w:val="24"/>
                <w:highlight w:val="none"/>
                <w:lang w:bidi="ar"/>
              </w:rPr>
              <w:t>工作内容</w:t>
            </w:r>
          </w:p>
        </w:tc>
        <w:tc>
          <w:tcPr>
            <w:tcW w:w="1672"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360" w:lineRule="auto"/>
              <w:jc w:val="center"/>
              <w:rPr>
                <w:rFonts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kern w:val="0"/>
                <w:sz w:val="24"/>
                <w:szCs w:val="24"/>
                <w:highlight w:val="none"/>
                <w:lang w:bidi="ar"/>
              </w:rPr>
              <w:t>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 w:hRule="atLeast"/>
        </w:trPr>
        <w:tc>
          <w:tcPr>
            <w:tcW w:w="1839"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360" w:lineRule="auto"/>
              <w:jc w:val="center"/>
              <w:rPr>
                <w:rFonts w:asciiTheme="minorEastAsia" w:hAnsiTheme="minorEastAsia" w:eastAsiaTheme="minorEastAsia" w:cstheme="minorEastAsia"/>
                <w:color w:val="auto"/>
                <w:sz w:val="24"/>
                <w:szCs w:val="24"/>
                <w:highlight w:val="none"/>
              </w:rPr>
            </w:pPr>
          </w:p>
        </w:tc>
        <w:tc>
          <w:tcPr>
            <w:tcW w:w="4848"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360" w:lineRule="auto"/>
              <w:jc w:val="left"/>
              <w:rPr>
                <w:rFonts w:asciiTheme="minorEastAsia" w:hAnsiTheme="minorEastAsia" w:eastAsiaTheme="minorEastAsia" w:cstheme="minorEastAsia"/>
                <w:color w:val="auto"/>
                <w:sz w:val="24"/>
                <w:szCs w:val="24"/>
                <w:highlight w:val="none"/>
              </w:rPr>
            </w:pPr>
          </w:p>
        </w:tc>
        <w:tc>
          <w:tcPr>
            <w:tcW w:w="1672"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360" w:lineRule="auto"/>
              <w:jc w:val="left"/>
              <w:rPr>
                <w:rFonts w:asciiTheme="minorEastAsia" w:hAnsiTheme="minorEastAsia" w:eastAsiaTheme="minorEastAsia" w:cstheme="minorEastAsia"/>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39"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360" w:lineRule="auto"/>
              <w:jc w:val="center"/>
              <w:rPr>
                <w:rFonts w:asciiTheme="minorEastAsia" w:hAnsiTheme="minorEastAsia" w:eastAsiaTheme="minorEastAsia" w:cstheme="minorEastAsia"/>
                <w:color w:val="auto"/>
                <w:sz w:val="24"/>
                <w:szCs w:val="24"/>
                <w:highlight w:val="none"/>
              </w:rPr>
            </w:pPr>
          </w:p>
        </w:tc>
        <w:tc>
          <w:tcPr>
            <w:tcW w:w="4848"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360" w:lineRule="auto"/>
              <w:jc w:val="left"/>
              <w:rPr>
                <w:rFonts w:asciiTheme="minorEastAsia" w:hAnsiTheme="minorEastAsia" w:eastAsiaTheme="minorEastAsia" w:cstheme="minorEastAsia"/>
                <w:color w:val="auto"/>
                <w:sz w:val="24"/>
                <w:szCs w:val="24"/>
                <w:highlight w:val="none"/>
              </w:rPr>
            </w:pPr>
          </w:p>
        </w:tc>
        <w:tc>
          <w:tcPr>
            <w:tcW w:w="1672"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360" w:lineRule="auto"/>
              <w:jc w:val="left"/>
              <w:rPr>
                <w:rFonts w:asciiTheme="minorEastAsia" w:hAnsiTheme="minorEastAsia" w:eastAsiaTheme="minorEastAsia" w:cstheme="minorEastAsia"/>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39"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360" w:lineRule="auto"/>
              <w:jc w:val="center"/>
              <w:rPr>
                <w:rFonts w:asciiTheme="minorEastAsia" w:hAnsiTheme="minorEastAsia" w:eastAsiaTheme="minorEastAsia" w:cstheme="minorEastAsia"/>
                <w:color w:val="auto"/>
                <w:sz w:val="24"/>
                <w:szCs w:val="24"/>
                <w:highlight w:val="none"/>
              </w:rPr>
            </w:pPr>
          </w:p>
        </w:tc>
        <w:tc>
          <w:tcPr>
            <w:tcW w:w="4848"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360" w:lineRule="auto"/>
              <w:jc w:val="left"/>
              <w:rPr>
                <w:rFonts w:asciiTheme="minorEastAsia" w:hAnsiTheme="minorEastAsia" w:eastAsiaTheme="minorEastAsia" w:cstheme="minorEastAsia"/>
                <w:color w:val="auto"/>
                <w:sz w:val="24"/>
                <w:szCs w:val="24"/>
                <w:highlight w:val="none"/>
              </w:rPr>
            </w:pPr>
          </w:p>
        </w:tc>
        <w:tc>
          <w:tcPr>
            <w:tcW w:w="1672"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360" w:lineRule="auto"/>
              <w:jc w:val="left"/>
              <w:rPr>
                <w:rFonts w:asciiTheme="minorEastAsia" w:hAnsiTheme="minorEastAsia" w:eastAsiaTheme="minorEastAsia" w:cstheme="minorEastAsia"/>
                <w:color w:val="auto"/>
                <w:sz w:val="24"/>
                <w:szCs w:val="24"/>
                <w:highlight w:val="none"/>
              </w:rPr>
            </w:pPr>
          </w:p>
        </w:tc>
      </w:tr>
    </w:tbl>
    <w:p>
      <w:pPr>
        <w:widowControl/>
        <w:spacing w:line="360" w:lineRule="auto"/>
        <w:ind w:firstLine="240" w:firstLineChars="100"/>
        <w:jc w:val="left"/>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color w:val="auto"/>
          <w:kern w:val="0"/>
          <w:sz w:val="24"/>
          <w:szCs w:val="24"/>
          <w:highlight w:val="none"/>
          <w:lang w:bidi="ar"/>
        </w:rPr>
        <w:t>3</w:t>
      </w:r>
      <w:r>
        <w:rPr>
          <w:rFonts w:hint="eastAsia" w:asciiTheme="minorEastAsia" w:hAnsiTheme="minorEastAsia" w:eastAsiaTheme="minorEastAsia" w:cstheme="minorEastAsia"/>
          <w:b/>
          <w:color w:val="auto"/>
          <w:kern w:val="0"/>
          <w:sz w:val="24"/>
          <w:szCs w:val="24"/>
          <w:highlight w:val="none"/>
          <w:lang w:bidi="ar"/>
        </w:rPr>
        <w:t>、</w:t>
      </w:r>
      <w:r>
        <w:rPr>
          <w:rFonts w:hint="eastAsia" w:asciiTheme="minorEastAsia" w:hAnsiTheme="minorEastAsia" w:eastAsiaTheme="minorEastAsia" w:cstheme="minorEastAsia"/>
          <w:color w:val="auto"/>
          <w:kern w:val="0"/>
          <w:sz w:val="24"/>
          <w:szCs w:val="24"/>
          <w:highlight w:val="none"/>
          <w:lang w:bidi="ar"/>
        </w:rPr>
        <w:t>开发</w:t>
      </w:r>
      <w:r>
        <w:rPr>
          <w:rFonts w:hint="eastAsia" w:asciiTheme="minorEastAsia" w:hAnsiTheme="minorEastAsia" w:eastAsiaTheme="minorEastAsia" w:cstheme="minorEastAsia"/>
          <w:color w:val="auto"/>
          <w:kern w:val="0"/>
          <w:sz w:val="24"/>
          <w:szCs w:val="24"/>
          <w:highlight w:val="none"/>
          <w:lang w:val="en-US" w:eastAsia="zh-CN" w:bidi="ar"/>
        </w:rPr>
        <w:t>及验收</w:t>
      </w:r>
      <w:r>
        <w:rPr>
          <w:rFonts w:hint="eastAsia" w:asciiTheme="minorEastAsia" w:hAnsiTheme="minorEastAsia" w:eastAsiaTheme="minorEastAsia" w:cstheme="minorEastAsia"/>
          <w:color w:val="auto"/>
          <w:kern w:val="0"/>
          <w:sz w:val="24"/>
          <w:szCs w:val="24"/>
          <w:highlight w:val="none"/>
          <w:lang w:bidi="ar"/>
        </w:rPr>
        <w:t>标准：所有项目的</w:t>
      </w:r>
      <w:r>
        <w:rPr>
          <w:rFonts w:hint="eastAsia" w:asciiTheme="minorEastAsia" w:hAnsiTheme="minorEastAsia" w:eastAsiaTheme="minorEastAsia" w:cstheme="minorEastAsia"/>
          <w:color w:val="auto"/>
          <w:kern w:val="0"/>
          <w:sz w:val="24"/>
          <w:szCs w:val="24"/>
          <w:highlight w:val="none"/>
          <w:lang w:val="en-US" w:eastAsia="zh-CN" w:bidi="ar"/>
        </w:rPr>
        <w:t>开发</w:t>
      </w:r>
      <w:r>
        <w:rPr>
          <w:rFonts w:hint="eastAsia" w:asciiTheme="minorEastAsia" w:hAnsiTheme="minorEastAsia" w:eastAsiaTheme="minorEastAsia" w:cstheme="minorEastAsia"/>
          <w:color w:val="auto"/>
          <w:kern w:val="0"/>
          <w:sz w:val="24"/>
          <w:szCs w:val="24"/>
          <w:highlight w:val="none"/>
          <w:lang w:bidi="ar"/>
        </w:rPr>
        <w:t>验收标准依本合同以及双方协商确认的本合同附件，即附件2《</w:t>
      </w:r>
      <w:r>
        <w:rPr>
          <w:rFonts w:hint="eastAsia" w:asciiTheme="minorEastAsia" w:hAnsiTheme="minorEastAsia" w:eastAsiaTheme="minorEastAsia" w:cstheme="minorEastAsia"/>
          <w:color w:val="auto"/>
          <w:kern w:val="0"/>
          <w:sz w:val="24"/>
          <w:szCs w:val="24"/>
          <w:highlight w:val="none"/>
          <w:u w:val="single"/>
          <w:lang w:bidi="ar"/>
        </w:rPr>
        <w:t xml:space="preserve">                     </w:t>
      </w:r>
      <w:r>
        <w:rPr>
          <w:rFonts w:hint="eastAsia" w:asciiTheme="minorEastAsia" w:hAnsiTheme="minorEastAsia" w:eastAsiaTheme="minorEastAsia" w:cstheme="minorEastAsia"/>
          <w:color w:val="auto"/>
          <w:kern w:val="0"/>
          <w:sz w:val="24"/>
          <w:szCs w:val="24"/>
          <w:highlight w:val="none"/>
          <w:lang w:bidi="ar"/>
        </w:rPr>
        <w:t>项目</w:t>
      </w:r>
      <w:r>
        <w:rPr>
          <w:rFonts w:hint="eastAsia" w:asciiTheme="minorEastAsia" w:hAnsiTheme="minorEastAsia" w:eastAsiaTheme="minorEastAsia" w:cstheme="minorEastAsia"/>
          <w:color w:val="auto"/>
          <w:kern w:val="0"/>
          <w:sz w:val="24"/>
          <w:szCs w:val="24"/>
          <w:highlight w:val="none"/>
          <w:lang w:eastAsia="zh-CN" w:bidi="ar"/>
        </w:rPr>
        <w:t>建设方案</w:t>
      </w:r>
      <w:r>
        <w:rPr>
          <w:rFonts w:hint="eastAsia" w:asciiTheme="minorEastAsia" w:hAnsiTheme="minorEastAsia" w:eastAsiaTheme="minorEastAsia" w:cstheme="minorEastAsia"/>
          <w:color w:val="auto"/>
          <w:kern w:val="0"/>
          <w:sz w:val="24"/>
          <w:szCs w:val="24"/>
          <w:highlight w:val="none"/>
          <w:lang w:bidi="ar"/>
        </w:rPr>
        <w:t>》（以下简称《</w:t>
      </w:r>
      <w:r>
        <w:rPr>
          <w:rFonts w:hint="eastAsia" w:asciiTheme="minorEastAsia" w:hAnsiTheme="minorEastAsia" w:eastAsiaTheme="minorEastAsia" w:cstheme="minorEastAsia"/>
          <w:color w:val="auto"/>
          <w:kern w:val="0"/>
          <w:sz w:val="24"/>
          <w:szCs w:val="24"/>
          <w:highlight w:val="none"/>
          <w:lang w:eastAsia="zh-CN" w:bidi="ar"/>
        </w:rPr>
        <w:t>建设方案</w:t>
      </w:r>
      <w:r>
        <w:rPr>
          <w:rFonts w:hint="eastAsia" w:asciiTheme="minorEastAsia" w:hAnsiTheme="minorEastAsia" w:eastAsiaTheme="minorEastAsia" w:cstheme="minorEastAsia"/>
          <w:color w:val="auto"/>
          <w:kern w:val="0"/>
          <w:sz w:val="24"/>
          <w:szCs w:val="24"/>
          <w:highlight w:val="none"/>
          <w:lang w:bidi="ar"/>
        </w:rPr>
        <w:t>》）。如在开发过程中，经双方协商一致，对《</w:t>
      </w:r>
      <w:r>
        <w:rPr>
          <w:rFonts w:hint="eastAsia" w:asciiTheme="minorEastAsia" w:hAnsiTheme="minorEastAsia" w:eastAsiaTheme="minorEastAsia" w:cstheme="minorEastAsia"/>
          <w:color w:val="auto"/>
          <w:kern w:val="0"/>
          <w:sz w:val="24"/>
          <w:szCs w:val="24"/>
          <w:highlight w:val="none"/>
          <w:lang w:eastAsia="zh-CN" w:bidi="ar"/>
        </w:rPr>
        <w:t>建设方案</w:t>
      </w:r>
      <w:r>
        <w:rPr>
          <w:rFonts w:hint="eastAsia" w:asciiTheme="minorEastAsia" w:hAnsiTheme="minorEastAsia" w:eastAsiaTheme="minorEastAsia" w:cstheme="minorEastAsia"/>
          <w:color w:val="auto"/>
          <w:kern w:val="0"/>
          <w:sz w:val="24"/>
          <w:szCs w:val="24"/>
          <w:highlight w:val="none"/>
          <w:lang w:bidi="ar"/>
        </w:rPr>
        <w:t>》进行修改，则验收标准以改动后的《</w:t>
      </w:r>
      <w:r>
        <w:rPr>
          <w:rFonts w:hint="eastAsia" w:asciiTheme="minorEastAsia" w:hAnsiTheme="minorEastAsia" w:eastAsiaTheme="minorEastAsia" w:cstheme="minorEastAsia"/>
          <w:color w:val="auto"/>
          <w:kern w:val="0"/>
          <w:sz w:val="24"/>
          <w:szCs w:val="24"/>
          <w:highlight w:val="none"/>
          <w:lang w:eastAsia="zh-CN" w:bidi="ar"/>
        </w:rPr>
        <w:t>建设方案</w:t>
      </w:r>
      <w:r>
        <w:rPr>
          <w:rFonts w:hint="eastAsia" w:asciiTheme="minorEastAsia" w:hAnsiTheme="minorEastAsia" w:eastAsiaTheme="minorEastAsia" w:cstheme="minorEastAsia"/>
          <w:color w:val="auto"/>
          <w:kern w:val="0"/>
          <w:sz w:val="24"/>
          <w:szCs w:val="24"/>
          <w:highlight w:val="none"/>
          <w:lang w:bidi="ar"/>
        </w:rPr>
        <w:t>》为依据。</w:t>
      </w:r>
    </w:p>
    <w:p>
      <w:pPr>
        <w:widowControl/>
        <w:spacing w:line="360" w:lineRule="auto"/>
        <w:ind w:firstLine="240" w:firstLineChars="100"/>
        <w:jc w:val="left"/>
        <w:rPr>
          <w:rFonts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kern w:val="0"/>
          <w:sz w:val="24"/>
          <w:szCs w:val="24"/>
          <w:highlight w:val="none"/>
          <w:lang w:bidi="ar"/>
        </w:rPr>
        <w:t>4、售后服务：乙方在本合同约定的开发项目验收合格后在</w:t>
      </w:r>
      <w:r>
        <w:rPr>
          <w:rFonts w:hint="eastAsia" w:asciiTheme="minorEastAsia" w:hAnsiTheme="minorEastAsia" w:eastAsiaTheme="minorEastAsia" w:cstheme="minorEastAsia"/>
          <w:color w:val="auto"/>
          <w:kern w:val="0"/>
          <w:sz w:val="24"/>
          <w:szCs w:val="24"/>
          <w:highlight w:val="none"/>
          <w:u w:val="single"/>
          <w:lang w:bidi="ar"/>
        </w:rPr>
        <w:t>2</w:t>
      </w:r>
      <w:r>
        <w:rPr>
          <w:rFonts w:hint="eastAsia" w:asciiTheme="minorEastAsia" w:hAnsiTheme="minorEastAsia" w:eastAsiaTheme="minorEastAsia" w:cstheme="minorEastAsia"/>
          <w:color w:val="auto"/>
          <w:kern w:val="0"/>
          <w:sz w:val="24"/>
          <w:szCs w:val="24"/>
          <w:highlight w:val="none"/>
          <w:lang w:bidi="ar"/>
        </w:rPr>
        <w:t>年内免费提供软件升级、缺陷修补和基于系统操作及故障排除在内的技术支持服务，即在合同第十四条定义的电话支持、远程支持和现场支持服务，</w:t>
      </w:r>
      <w:r>
        <w:rPr>
          <w:rFonts w:hint="eastAsia" w:asciiTheme="minorEastAsia" w:hAnsiTheme="minorEastAsia" w:eastAsiaTheme="minorEastAsia" w:cstheme="minorEastAsia"/>
          <w:color w:val="auto"/>
          <w:kern w:val="0"/>
          <w:sz w:val="24"/>
          <w:szCs w:val="24"/>
          <w:highlight w:val="none"/>
          <w:u w:val="single"/>
          <w:lang w:bidi="ar"/>
        </w:rPr>
        <w:t>2</w:t>
      </w:r>
      <w:r>
        <w:rPr>
          <w:rFonts w:hint="eastAsia" w:asciiTheme="minorEastAsia" w:hAnsiTheme="minorEastAsia" w:eastAsiaTheme="minorEastAsia" w:cstheme="minorEastAsia"/>
          <w:color w:val="auto"/>
          <w:kern w:val="0"/>
          <w:sz w:val="24"/>
          <w:szCs w:val="24"/>
          <w:highlight w:val="none"/>
          <w:lang w:bidi="ar"/>
        </w:rPr>
        <w:t>年后根据双方协商提供有偿的技术支持服务。常设技术支持电话：</w:t>
      </w:r>
      <w:r>
        <w:rPr>
          <w:rFonts w:hint="eastAsia" w:asciiTheme="minorEastAsia" w:hAnsiTheme="minorEastAsia" w:eastAsiaTheme="minorEastAsia" w:cstheme="minorEastAsia"/>
          <w:color w:val="auto"/>
          <w:kern w:val="0"/>
          <w:sz w:val="24"/>
          <w:szCs w:val="24"/>
          <w:highlight w:val="none"/>
          <w:u w:val="single"/>
          <w:lang w:bidi="ar"/>
        </w:rPr>
        <w:t xml:space="preserve">              ；</w:t>
      </w:r>
      <w:r>
        <w:rPr>
          <w:rFonts w:hint="eastAsia" w:asciiTheme="minorEastAsia" w:hAnsiTheme="minorEastAsia" w:eastAsiaTheme="minorEastAsia" w:cstheme="minorEastAsia"/>
          <w:color w:val="auto"/>
          <w:kern w:val="0"/>
          <w:sz w:val="24"/>
          <w:szCs w:val="24"/>
          <w:highlight w:val="none"/>
          <w:lang w:bidi="ar"/>
        </w:rPr>
        <w:t>联系人：</w:t>
      </w:r>
      <w:r>
        <w:rPr>
          <w:rFonts w:hint="eastAsia" w:asciiTheme="minorEastAsia" w:hAnsiTheme="minorEastAsia" w:eastAsiaTheme="minorEastAsia" w:cstheme="minorEastAsia"/>
          <w:color w:val="auto"/>
          <w:kern w:val="0"/>
          <w:sz w:val="24"/>
          <w:szCs w:val="24"/>
          <w:highlight w:val="none"/>
          <w:u w:val="single"/>
          <w:lang w:bidi="ar"/>
        </w:rPr>
        <w:t xml:space="preserve">     </w:t>
      </w:r>
      <w:r>
        <w:rPr>
          <w:rFonts w:hint="eastAsia" w:asciiTheme="minorEastAsia" w:hAnsiTheme="minorEastAsia" w:eastAsiaTheme="minorEastAsia" w:cstheme="minorEastAsia"/>
          <w:color w:val="auto"/>
          <w:kern w:val="0"/>
          <w:sz w:val="24"/>
          <w:szCs w:val="24"/>
          <w:highlight w:val="none"/>
          <w:lang w:bidi="ar"/>
        </w:rPr>
        <w:t xml:space="preserve"> ；手机：</w:t>
      </w:r>
      <w:r>
        <w:rPr>
          <w:rFonts w:hint="eastAsia" w:asciiTheme="minorEastAsia" w:hAnsiTheme="minorEastAsia" w:eastAsiaTheme="minorEastAsia" w:cstheme="minorEastAsia"/>
          <w:color w:val="auto"/>
          <w:kern w:val="0"/>
          <w:sz w:val="24"/>
          <w:szCs w:val="24"/>
          <w:highlight w:val="none"/>
          <w:u w:val="single"/>
          <w:lang w:bidi="ar"/>
        </w:rPr>
        <w:t xml:space="preserve">             。</w:t>
      </w:r>
    </w:p>
    <w:p>
      <w:pPr>
        <w:widowControl/>
        <w:spacing w:line="360" w:lineRule="auto"/>
        <w:jc w:val="left"/>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kern w:val="0"/>
          <w:sz w:val="24"/>
          <w:szCs w:val="24"/>
          <w:highlight w:val="none"/>
          <w:lang w:bidi="ar"/>
        </w:rPr>
        <w:t>第三条：货款的结算方式</w:t>
      </w:r>
    </w:p>
    <w:p>
      <w:pPr>
        <w:widowControl/>
        <w:spacing w:line="360" w:lineRule="auto"/>
        <w:ind w:firstLine="480" w:firstLineChars="200"/>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kern w:val="0"/>
          <w:sz w:val="24"/>
          <w:szCs w:val="24"/>
          <w:highlight w:val="none"/>
          <w:lang w:bidi="ar"/>
        </w:rPr>
        <w:t>本合同总成交价为：</w:t>
      </w:r>
      <w:r>
        <w:rPr>
          <w:rFonts w:hint="eastAsia" w:asciiTheme="minorEastAsia" w:hAnsiTheme="minorEastAsia" w:eastAsiaTheme="minorEastAsia" w:cstheme="minorEastAsia"/>
          <w:color w:val="auto"/>
          <w:kern w:val="0"/>
          <w:sz w:val="24"/>
          <w:szCs w:val="24"/>
          <w:highlight w:val="none"/>
          <w:u w:val="single"/>
          <w:lang w:bidi="ar"/>
        </w:rPr>
        <w:t>人民币        万元整</w:t>
      </w:r>
      <w:r>
        <w:rPr>
          <w:rFonts w:hint="eastAsia" w:asciiTheme="minorEastAsia" w:hAnsiTheme="minorEastAsia" w:eastAsiaTheme="minorEastAsia" w:cstheme="minorEastAsia"/>
          <w:color w:val="auto"/>
          <w:kern w:val="0"/>
          <w:sz w:val="24"/>
          <w:szCs w:val="24"/>
          <w:highlight w:val="none"/>
          <w:lang w:bidi="ar"/>
        </w:rPr>
        <w:t>。此价格为本合同约定软件开发完成，并经部署测试、用户使用培训、系统试运行、系统验收等各环节合格后的含税价格。甲方分</w:t>
      </w:r>
      <w:r>
        <w:rPr>
          <w:rFonts w:hint="eastAsia" w:asciiTheme="minorEastAsia" w:hAnsiTheme="minorEastAsia" w:eastAsiaTheme="minorEastAsia" w:cstheme="minorEastAsia"/>
          <w:color w:val="auto"/>
          <w:kern w:val="0"/>
          <w:sz w:val="24"/>
          <w:szCs w:val="24"/>
          <w:highlight w:val="none"/>
          <w:u w:val="single"/>
          <w:lang w:bidi="ar"/>
        </w:rPr>
        <w:t>3</w:t>
      </w:r>
      <w:r>
        <w:rPr>
          <w:rFonts w:hint="eastAsia" w:asciiTheme="minorEastAsia" w:hAnsiTheme="minorEastAsia" w:eastAsiaTheme="minorEastAsia" w:cstheme="minorEastAsia"/>
          <w:color w:val="auto"/>
          <w:kern w:val="0"/>
          <w:sz w:val="24"/>
          <w:szCs w:val="24"/>
          <w:highlight w:val="none"/>
          <w:lang w:bidi="ar"/>
        </w:rPr>
        <w:t>次向乙方支付此合同的全部款项：</w:t>
      </w:r>
    </w:p>
    <w:p>
      <w:pPr>
        <w:widowControl/>
        <w:spacing w:line="360" w:lineRule="auto"/>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kern w:val="0"/>
          <w:sz w:val="24"/>
          <w:szCs w:val="24"/>
          <w:highlight w:val="none"/>
          <w:lang w:bidi="ar"/>
        </w:rPr>
        <w:t>1、第一次付款：甲方向乙方支付第一笔款，即合同总额的</w:t>
      </w:r>
      <w:r>
        <w:rPr>
          <w:rFonts w:hint="eastAsia" w:asciiTheme="minorEastAsia" w:hAnsiTheme="minorEastAsia" w:eastAsiaTheme="minorEastAsia" w:cstheme="minorEastAsia"/>
          <w:color w:val="auto"/>
          <w:kern w:val="0"/>
          <w:sz w:val="24"/>
          <w:szCs w:val="24"/>
          <w:highlight w:val="none"/>
          <w:u w:val="single"/>
          <w:lang w:val="en-US" w:eastAsia="zh-CN" w:bidi="ar"/>
        </w:rPr>
        <w:t>60</w:t>
      </w:r>
      <w:r>
        <w:rPr>
          <w:rFonts w:hint="eastAsia" w:asciiTheme="minorEastAsia" w:hAnsiTheme="minorEastAsia" w:eastAsiaTheme="minorEastAsia" w:cstheme="minorEastAsia"/>
          <w:color w:val="auto"/>
          <w:kern w:val="0"/>
          <w:sz w:val="24"/>
          <w:szCs w:val="24"/>
          <w:highlight w:val="none"/>
          <w:lang w:bidi="ar"/>
        </w:rPr>
        <w:t>%，计</w:t>
      </w:r>
      <w:r>
        <w:rPr>
          <w:rFonts w:hint="eastAsia" w:asciiTheme="minorEastAsia" w:hAnsiTheme="minorEastAsia" w:eastAsiaTheme="minorEastAsia" w:cstheme="minorEastAsia"/>
          <w:color w:val="auto"/>
          <w:kern w:val="0"/>
          <w:sz w:val="24"/>
          <w:szCs w:val="24"/>
          <w:highlight w:val="none"/>
          <w:u w:val="single"/>
          <w:lang w:bidi="ar"/>
        </w:rPr>
        <w:t xml:space="preserve">          </w:t>
      </w:r>
      <w:r>
        <w:rPr>
          <w:rFonts w:hint="eastAsia" w:asciiTheme="minorEastAsia" w:hAnsiTheme="minorEastAsia" w:eastAsiaTheme="minorEastAsia" w:cstheme="minorEastAsia"/>
          <w:color w:val="auto"/>
          <w:kern w:val="0"/>
          <w:sz w:val="24"/>
          <w:szCs w:val="24"/>
          <w:highlight w:val="none"/>
          <w:lang w:bidi="ar"/>
        </w:rPr>
        <w:t>元（人民币大写：</w:t>
      </w:r>
      <w:r>
        <w:rPr>
          <w:rFonts w:hint="eastAsia" w:asciiTheme="minorEastAsia" w:hAnsiTheme="minorEastAsia" w:eastAsiaTheme="minorEastAsia" w:cstheme="minorEastAsia"/>
          <w:color w:val="auto"/>
          <w:kern w:val="0"/>
          <w:sz w:val="24"/>
          <w:szCs w:val="24"/>
          <w:highlight w:val="none"/>
          <w:u w:val="single"/>
          <w:lang w:bidi="ar"/>
        </w:rPr>
        <w:t xml:space="preserve">            元整</w:t>
      </w:r>
      <w:r>
        <w:rPr>
          <w:rFonts w:hint="eastAsia" w:asciiTheme="minorEastAsia" w:hAnsiTheme="minorEastAsia" w:eastAsiaTheme="minorEastAsia" w:cstheme="minorEastAsia"/>
          <w:color w:val="auto"/>
          <w:kern w:val="0"/>
          <w:sz w:val="24"/>
          <w:szCs w:val="24"/>
          <w:highlight w:val="none"/>
          <w:lang w:bidi="ar"/>
        </w:rPr>
        <w:t>）。在满足先决条件：合同签订后的</w:t>
      </w:r>
      <w:r>
        <w:rPr>
          <w:rFonts w:hint="eastAsia" w:asciiTheme="minorEastAsia" w:hAnsiTheme="minorEastAsia" w:eastAsiaTheme="minorEastAsia" w:cstheme="minorEastAsia"/>
          <w:color w:val="auto"/>
          <w:kern w:val="0"/>
          <w:sz w:val="24"/>
          <w:szCs w:val="24"/>
          <w:highlight w:val="none"/>
          <w:u w:val="single"/>
          <w:lang w:bidi="ar"/>
        </w:rPr>
        <w:t xml:space="preserve">     </w:t>
      </w:r>
      <w:r>
        <w:rPr>
          <w:rFonts w:hint="eastAsia" w:asciiTheme="minorEastAsia" w:hAnsiTheme="minorEastAsia" w:eastAsiaTheme="minorEastAsia" w:cstheme="minorEastAsia"/>
          <w:color w:val="auto"/>
          <w:kern w:val="0"/>
          <w:sz w:val="24"/>
          <w:szCs w:val="24"/>
          <w:highlight w:val="none"/>
          <w:lang w:bidi="ar"/>
        </w:rPr>
        <w:t>个工作日内完成此次付款；</w:t>
      </w:r>
    </w:p>
    <w:p>
      <w:pPr>
        <w:widowControl/>
        <w:spacing w:line="360" w:lineRule="auto"/>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kern w:val="0"/>
          <w:sz w:val="24"/>
          <w:szCs w:val="24"/>
          <w:highlight w:val="none"/>
          <w:lang w:bidi="ar"/>
        </w:rPr>
        <w:t>2、第二次付款：甲方向乙方支付第二笔款，即合同总额的</w:t>
      </w:r>
      <w:r>
        <w:rPr>
          <w:rFonts w:hint="eastAsia" w:asciiTheme="minorEastAsia" w:hAnsiTheme="minorEastAsia" w:eastAsiaTheme="minorEastAsia" w:cstheme="minorEastAsia"/>
          <w:color w:val="auto"/>
          <w:kern w:val="0"/>
          <w:sz w:val="24"/>
          <w:szCs w:val="24"/>
          <w:highlight w:val="none"/>
          <w:u w:val="single"/>
          <w:lang w:val="en-US" w:eastAsia="zh-CN" w:bidi="ar"/>
        </w:rPr>
        <w:t>35</w:t>
      </w:r>
      <w:r>
        <w:rPr>
          <w:rFonts w:hint="eastAsia" w:asciiTheme="minorEastAsia" w:hAnsiTheme="minorEastAsia" w:eastAsiaTheme="minorEastAsia" w:cstheme="minorEastAsia"/>
          <w:color w:val="auto"/>
          <w:kern w:val="0"/>
          <w:sz w:val="24"/>
          <w:szCs w:val="24"/>
          <w:highlight w:val="none"/>
          <w:lang w:bidi="ar"/>
        </w:rPr>
        <w:t>%，计</w:t>
      </w:r>
      <w:r>
        <w:rPr>
          <w:rFonts w:hint="eastAsia" w:asciiTheme="minorEastAsia" w:hAnsiTheme="minorEastAsia" w:eastAsiaTheme="minorEastAsia" w:cstheme="minorEastAsia"/>
          <w:color w:val="auto"/>
          <w:kern w:val="0"/>
          <w:sz w:val="24"/>
          <w:szCs w:val="24"/>
          <w:highlight w:val="none"/>
          <w:u w:val="single"/>
          <w:lang w:bidi="ar"/>
        </w:rPr>
        <w:t xml:space="preserve">          </w:t>
      </w:r>
      <w:r>
        <w:rPr>
          <w:rFonts w:hint="eastAsia" w:asciiTheme="minorEastAsia" w:hAnsiTheme="minorEastAsia" w:eastAsiaTheme="minorEastAsia" w:cstheme="minorEastAsia"/>
          <w:color w:val="auto"/>
          <w:kern w:val="0"/>
          <w:sz w:val="24"/>
          <w:szCs w:val="24"/>
          <w:highlight w:val="none"/>
          <w:lang w:bidi="ar"/>
        </w:rPr>
        <w:t>元（人民币大写：</w:t>
      </w:r>
      <w:r>
        <w:rPr>
          <w:rFonts w:hint="eastAsia" w:asciiTheme="minorEastAsia" w:hAnsiTheme="minorEastAsia" w:eastAsiaTheme="minorEastAsia" w:cstheme="minorEastAsia"/>
          <w:color w:val="auto"/>
          <w:kern w:val="0"/>
          <w:sz w:val="24"/>
          <w:szCs w:val="24"/>
          <w:highlight w:val="none"/>
          <w:u w:val="single"/>
          <w:lang w:bidi="ar"/>
        </w:rPr>
        <w:t xml:space="preserve">          元整</w:t>
      </w:r>
      <w:r>
        <w:rPr>
          <w:rFonts w:hint="eastAsia" w:asciiTheme="minorEastAsia" w:hAnsiTheme="minorEastAsia" w:eastAsiaTheme="minorEastAsia" w:cstheme="minorEastAsia"/>
          <w:color w:val="auto"/>
          <w:kern w:val="0"/>
          <w:sz w:val="24"/>
          <w:szCs w:val="24"/>
          <w:highlight w:val="none"/>
          <w:lang w:bidi="ar"/>
        </w:rPr>
        <w:t>）。在满足先决条件：验收合格通过后的</w:t>
      </w:r>
      <w:r>
        <w:rPr>
          <w:rFonts w:hint="eastAsia" w:asciiTheme="minorEastAsia" w:hAnsiTheme="minorEastAsia" w:eastAsiaTheme="minorEastAsia" w:cstheme="minorEastAsia"/>
          <w:color w:val="auto"/>
          <w:kern w:val="0"/>
          <w:sz w:val="24"/>
          <w:szCs w:val="24"/>
          <w:highlight w:val="none"/>
          <w:u w:val="single"/>
          <w:lang w:bidi="ar"/>
        </w:rPr>
        <w:t xml:space="preserve">   </w:t>
      </w:r>
      <w:r>
        <w:rPr>
          <w:rFonts w:hint="eastAsia" w:asciiTheme="minorEastAsia" w:hAnsiTheme="minorEastAsia" w:eastAsiaTheme="minorEastAsia" w:cstheme="minorEastAsia"/>
          <w:color w:val="auto"/>
          <w:kern w:val="0"/>
          <w:sz w:val="24"/>
          <w:szCs w:val="24"/>
          <w:highlight w:val="none"/>
          <w:lang w:bidi="ar"/>
        </w:rPr>
        <w:t>个工作日内完成此次付款；</w:t>
      </w:r>
    </w:p>
    <w:p>
      <w:pPr>
        <w:widowControl/>
        <w:spacing w:line="360" w:lineRule="auto"/>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kern w:val="0"/>
          <w:sz w:val="24"/>
          <w:szCs w:val="24"/>
          <w:highlight w:val="none"/>
          <w:lang w:bidi="ar"/>
        </w:rPr>
        <w:t>3、第三次付款：甲方向乙方支付第三笔款，即合同总额的</w:t>
      </w:r>
      <w:r>
        <w:rPr>
          <w:rFonts w:hint="eastAsia" w:asciiTheme="minorEastAsia" w:hAnsiTheme="minorEastAsia" w:eastAsiaTheme="minorEastAsia" w:cstheme="minorEastAsia"/>
          <w:color w:val="auto"/>
          <w:kern w:val="0"/>
          <w:sz w:val="24"/>
          <w:szCs w:val="24"/>
          <w:highlight w:val="none"/>
          <w:u w:val="single"/>
          <w:lang w:bidi="ar"/>
        </w:rPr>
        <w:t>5%</w:t>
      </w:r>
      <w:r>
        <w:rPr>
          <w:rFonts w:hint="eastAsia" w:asciiTheme="minorEastAsia" w:hAnsiTheme="minorEastAsia" w:eastAsiaTheme="minorEastAsia" w:cstheme="minorEastAsia"/>
          <w:color w:val="auto"/>
          <w:kern w:val="0"/>
          <w:sz w:val="24"/>
          <w:szCs w:val="24"/>
          <w:highlight w:val="none"/>
          <w:lang w:bidi="ar"/>
        </w:rPr>
        <w:t>，计</w:t>
      </w:r>
      <w:r>
        <w:rPr>
          <w:rFonts w:hint="eastAsia" w:asciiTheme="minorEastAsia" w:hAnsiTheme="minorEastAsia" w:eastAsiaTheme="minorEastAsia" w:cstheme="minorEastAsia"/>
          <w:color w:val="auto"/>
          <w:kern w:val="0"/>
          <w:sz w:val="24"/>
          <w:szCs w:val="24"/>
          <w:highlight w:val="none"/>
          <w:u w:val="single"/>
          <w:lang w:bidi="ar"/>
        </w:rPr>
        <w:t xml:space="preserve">         </w:t>
      </w:r>
      <w:r>
        <w:rPr>
          <w:rFonts w:hint="eastAsia" w:asciiTheme="minorEastAsia" w:hAnsiTheme="minorEastAsia" w:eastAsiaTheme="minorEastAsia" w:cstheme="minorEastAsia"/>
          <w:color w:val="auto"/>
          <w:kern w:val="0"/>
          <w:sz w:val="24"/>
          <w:szCs w:val="24"/>
          <w:highlight w:val="none"/>
          <w:lang w:bidi="ar"/>
        </w:rPr>
        <w:t>元（人民币大写：</w:t>
      </w:r>
      <w:r>
        <w:rPr>
          <w:rFonts w:hint="eastAsia" w:asciiTheme="minorEastAsia" w:hAnsiTheme="minorEastAsia" w:eastAsiaTheme="minorEastAsia" w:cstheme="minorEastAsia"/>
          <w:color w:val="auto"/>
          <w:kern w:val="0"/>
          <w:sz w:val="24"/>
          <w:szCs w:val="24"/>
          <w:highlight w:val="none"/>
          <w:u w:val="single"/>
          <w:lang w:bidi="ar"/>
        </w:rPr>
        <w:t xml:space="preserve">            元整</w:t>
      </w:r>
      <w:r>
        <w:rPr>
          <w:rFonts w:hint="eastAsia" w:asciiTheme="minorEastAsia" w:hAnsiTheme="minorEastAsia" w:eastAsiaTheme="minorEastAsia" w:cstheme="minorEastAsia"/>
          <w:color w:val="auto"/>
          <w:kern w:val="0"/>
          <w:sz w:val="24"/>
          <w:szCs w:val="24"/>
          <w:highlight w:val="none"/>
          <w:lang w:bidi="ar"/>
        </w:rPr>
        <w:t>）。在满足先决条件：终验通过后的</w:t>
      </w:r>
      <w:r>
        <w:rPr>
          <w:rFonts w:hint="eastAsia" w:asciiTheme="minorEastAsia" w:hAnsiTheme="minorEastAsia" w:eastAsiaTheme="minorEastAsia" w:cstheme="minorEastAsia"/>
          <w:color w:val="auto"/>
          <w:kern w:val="0"/>
          <w:sz w:val="24"/>
          <w:szCs w:val="24"/>
          <w:highlight w:val="none"/>
          <w:u w:val="single"/>
          <w:lang w:bidi="ar"/>
        </w:rPr>
        <w:t>1</w:t>
      </w:r>
      <w:r>
        <w:rPr>
          <w:rFonts w:hint="eastAsia" w:asciiTheme="minorEastAsia" w:hAnsiTheme="minorEastAsia" w:eastAsiaTheme="minorEastAsia" w:cstheme="minorEastAsia"/>
          <w:color w:val="auto"/>
          <w:kern w:val="0"/>
          <w:sz w:val="24"/>
          <w:szCs w:val="24"/>
          <w:highlight w:val="none"/>
          <w:lang w:bidi="ar"/>
        </w:rPr>
        <w:t>年内完成此次付款；</w:t>
      </w:r>
    </w:p>
    <w:p>
      <w:pPr>
        <w:widowControl/>
        <w:spacing w:line="360" w:lineRule="auto"/>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kern w:val="0"/>
          <w:sz w:val="24"/>
          <w:szCs w:val="24"/>
          <w:highlight w:val="none"/>
          <w:lang w:bidi="ar"/>
        </w:rPr>
        <w:t>4、在履行本合同过程中，未明确指明由甲方承担的费用，均由乙方承担。</w:t>
      </w:r>
    </w:p>
    <w:p>
      <w:pPr>
        <w:widowControl/>
        <w:tabs>
          <w:tab w:val="left" w:pos="1485"/>
        </w:tabs>
        <w:spacing w:line="360" w:lineRule="auto"/>
        <w:jc w:val="left"/>
        <w:rPr>
          <w:rFonts w:asciiTheme="minorEastAsia" w:hAnsiTheme="minorEastAsia" w:eastAsiaTheme="minorEastAsia" w:cstheme="minorEastAsia"/>
          <w:color w:val="auto"/>
          <w:spacing w:val="6"/>
          <w:kern w:val="28"/>
          <w:sz w:val="24"/>
          <w:szCs w:val="24"/>
          <w:highlight w:val="none"/>
          <w:u w:val="single"/>
        </w:rPr>
      </w:pPr>
      <w:r>
        <w:rPr>
          <w:rFonts w:hint="eastAsia" w:asciiTheme="minorEastAsia" w:hAnsiTheme="minorEastAsia" w:eastAsiaTheme="minorEastAsia" w:cstheme="minorEastAsia"/>
          <w:color w:val="auto"/>
          <w:kern w:val="0"/>
          <w:sz w:val="24"/>
          <w:szCs w:val="24"/>
          <w:highlight w:val="none"/>
          <w:lang w:bidi="ar"/>
        </w:rPr>
        <w:t>5、每次付款前乙方应向甲方出具等额的合法有效发票，否则，甲方有权顺延或拒绝付款，且不承担违约责任。甲方取得发票不代表甲方价款已付清，价款已付清是以甲方款项全部到乙方开户行账户为标准。</w:t>
      </w:r>
    </w:p>
    <w:p>
      <w:pPr>
        <w:widowControl/>
        <w:spacing w:line="360" w:lineRule="auto"/>
        <w:jc w:val="left"/>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kern w:val="0"/>
          <w:sz w:val="24"/>
          <w:szCs w:val="24"/>
          <w:highlight w:val="none"/>
          <w:lang w:bidi="ar"/>
        </w:rPr>
        <w:t>第四条：甲方义务</w:t>
      </w:r>
    </w:p>
    <w:p>
      <w:pPr>
        <w:widowControl/>
        <w:spacing w:line="360" w:lineRule="auto"/>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kern w:val="0"/>
          <w:sz w:val="24"/>
          <w:szCs w:val="24"/>
          <w:highlight w:val="none"/>
          <w:lang w:bidi="ar"/>
        </w:rPr>
        <w:t>1、积极配合乙方，为乙方提供便利的项目调研、开发、测试及实施条件。</w:t>
      </w:r>
    </w:p>
    <w:p>
      <w:pPr>
        <w:widowControl/>
        <w:spacing w:line="360" w:lineRule="auto"/>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kern w:val="0"/>
          <w:sz w:val="24"/>
          <w:szCs w:val="24"/>
          <w:highlight w:val="none"/>
          <w:lang w:bidi="ar"/>
        </w:rPr>
        <w:t>2、提供乙方设计、开发方案所必需的数据资料，配合乙方对应用软件进行模拟测试、联网测试及试运行测试，使系统进入投产阶段至验收完成。</w:t>
      </w:r>
    </w:p>
    <w:p>
      <w:pPr>
        <w:widowControl/>
        <w:spacing w:line="360" w:lineRule="auto"/>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kern w:val="0"/>
          <w:sz w:val="24"/>
          <w:szCs w:val="24"/>
          <w:highlight w:val="none"/>
          <w:lang w:bidi="ar"/>
        </w:rPr>
        <w:t>3、按计划及时确认既定的开发方案和阶段报告。</w:t>
      </w:r>
    </w:p>
    <w:p>
      <w:pPr>
        <w:widowControl/>
        <w:spacing w:line="360" w:lineRule="auto"/>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kern w:val="0"/>
          <w:sz w:val="24"/>
          <w:szCs w:val="24"/>
          <w:highlight w:val="none"/>
          <w:lang w:bidi="ar"/>
        </w:rPr>
        <w:t>4、负责乙方承建的系统试运行期满，如系统符合需求，在收到乙方安装调试完毕书面通知后</w:t>
      </w:r>
      <w:r>
        <w:rPr>
          <w:rFonts w:hint="eastAsia" w:asciiTheme="minorEastAsia" w:hAnsiTheme="minorEastAsia" w:eastAsiaTheme="minorEastAsia" w:cstheme="minorEastAsia"/>
          <w:color w:val="auto"/>
          <w:kern w:val="0"/>
          <w:sz w:val="24"/>
          <w:szCs w:val="24"/>
          <w:highlight w:val="none"/>
          <w:u w:val="single"/>
          <w:lang w:bidi="ar"/>
        </w:rPr>
        <w:t xml:space="preserve">    </w:t>
      </w:r>
      <w:r>
        <w:rPr>
          <w:rFonts w:hint="eastAsia" w:asciiTheme="minorEastAsia" w:hAnsiTheme="minorEastAsia" w:eastAsiaTheme="minorEastAsia" w:cstheme="minorEastAsia"/>
          <w:color w:val="auto"/>
          <w:kern w:val="0"/>
          <w:sz w:val="24"/>
          <w:szCs w:val="24"/>
          <w:highlight w:val="none"/>
          <w:lang w:bidi="ar"/>
        </w:rPr>
        <w:t xml:space="preserve">个工作日内完成系统验收。 </w:t>
      </w:r>
    </w:p>
    <w:p>
      <w:pPr>
        <w:widowControl/>
        <w:spacing w:line="360" w:lineRule="auto"/>
        <w:jc w:val="left"/>
        <w:rPr>
          <w:rFonts w:asciiTheme="minorEastAsia" w:hAnsiTheme="minorEastAsia" w:eastAsiaTheme="minorEastAsia" w:cstheme="minorEastAsia"/>
          <w:color w:val="auto"/>
          <w:kern w:val="0"/>
          <w:sz w:val="24"/>
          <w:szCs w:val="24"/>
          <w:highlight w:val="none"/>
          <w:lang w:bidi="ar"/>
        </w:rPr>
      </w:pPr>
      <w:r>
        <w:rPr>
          <w:rFonts w:hint="eastAsia" w:asciiTheme="minorEastAsia" w:hAnsiTheme="minorEastAsia" w:eastAsiaTheme="minorEastAsia" w:cstheme="minorEastAsia"/>
          <w:color w:val="auto"/>
          <w:kern w:val="0"/>
          <w:sz w:val="24"/>
          <w:szCs w:val="24"/>
          <w:highlight w:val="none"/>
          <w:lang w:bidi="ar"/>
        </w:rPr>
        <w:t>5、甲方负责根据合同条款按时付款。</w:t>
      </w:r>
    </w:p>
    <w:p>
      <w:pPr>
        <w:pStyle w:val="23"/>
        <w:spacing w:line="360" w:lineRule="auto"/>
        <w:rPr>
          <w:rFonts w:hint="default" w:asciiTheme="minorEastAsia" w:hAnsiTheme="minorEastAsia" w:eastAsiaTheme="minorEastAsia" w:cstheme="minorEastAsia"/>
          <w:color w:val="auto"/>
          <w:sz w:val="15"/>
          <w:szCs w:val="15"/>
          <w:highlight w:val="none"/>
        </w:rPr>
      </w:pPr>
    </w:p>
    <w:p>
      <w:pPr>
        <w:widowControl/>
        <w:spacing w:line="360" w:lineRule="auto"/>
        <w:jc w:val="left"/>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kern w:val="0"/>
          <w:sz w:val="24"/>
          <w:szCs w:val="24"/>
          <w:highlight w:val="none"/>
          <w:lang w:bidi="ar"/>
        </w:rPr>
        <w:t>第五条：乙方义务</w:t>
      </w:r>
    </w:p>
    <w:p>
      <w:pPr>
        <w:widowControl/>
        <w:spacing w:line="360" w:lineRule="auto"/>
        <w:jc w:val="left"/>
        <w:rPr>
          <w:rFonts w:asciiTheme="minorEastAsia" w:hAnsiTheme="minorEastAsia" w:eastAsiaTheme="minorEastAsia" w:cstheme="minorEastAsia"/>
          <w:color w:val="auto"/>
          <w:sz w:val="24"/>
          <w:szCs w:val="24"/>
          <w:highlight w:val="yellow"/>
        </w:rPr>
      </w:pPr>
      <w:r>
        <w:rPr>
          <w:rFonts w:hint="eastAsia" w:asciiTheme="minorEastAsia" w:hAnsiTheme="minorEastAsia" w:eastAsiaTheme="minorEastAsia" w:cstheme="minorEastAsia"/>
          <w:color w:val="auto"/>
          <w:kern w:val="0"/>
          <w:sz w:val="24"/>
          <w:szCs w:val="24"/>
          <w:highlight w:val="none"/>
          <w:lang w:bidi="ar"/>
        </w:rPr>
        <w:t>1、根据合同第二条的标准为甲方开发软件，提供合格产品。乙方所提供的产品需通过</w:t>
      </w:r>
      <w:r>
        <w:rPr>
          <w:rFonts w:hint="eastAsia" w:asciiTheme="minorEastAsia" w:hAnsiTheme="minorEastAsia" w:eastAsiaTheme="minorEastAsia" w:cstheme="minorEastAsia"/>
          <w:color w:val="auto"/>
          <w:kern w:val="0"/>
          <w:sz w:val="24"/>
          <w:szCs w:val="24"/>
          <w:highlight w:val="none"/>
          <w:lang w:val="en-US" w:eastAsia="zh-CN" w:bidi="ar"/>
        </w:rPr>
        <w:t>经甲方认可的</w:t>
      </w:r>
      <w:r>
        <w:rPr>
          <w:rFonts w:hint="eastAsia" w:asciiTheme="minorEastAsia" w:hAnsiTheme="minorEastAsia" w:eastAsiaTheme="minorEastAsia" w:cstheme="minorEastAsia"/>
          <w:color w:val="auto"/>
          <w:kern w:val="0"/>
          <w:sz w:val="24"/>
          <w:szCs w:val="24"/>
          <w:highlight w:val="none"/>
          <w:lang w:bidi="ar"/>
        </w:rPr>
        <w:t>第三方专业机构的软件测评。</w:t>
      </w:r>
    </w:p>
    <w:p>
      <w:pPr>
        <w:widowControl/>
        <w:spacing w:line="360" w:lineRule="auto"/>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kern w:val="0"/>
          <w:sz w:val="24"/>
          <w:szCs w:val="24"/>
          <w:highlight w:val="none"/>
          <w:lang w:bidi="ar"/>
        </w:rPr>
        <w:t>2、产品须通过信息安全等级保护二级评测，涉及费用由</w:t>
      </w:r>
      <w:r>
        <w:rPr>
          <w:rFonts w:hint="eastAsia" w:asciiTheme="minorEastAsia" w:hAnsiTheme="minorEastAsia" w:eastAsiaTheme="minorEastAsia" w:cstheme="minorEastAsia"/>
          <w:color w:val="auto"/>
          <w:kern w:val="0"/>
          <w:sz w:val="24"/>
          <w:szCs w:val="24"/>
          <w:highlight w:val="none"/>
          <w:lang w:eastAsia="zh-CN" w:bidi="ar"/>
        </w:rPr>
        <w:t>甲</w:t>
      </w:r>
      <w:r>
        <w:rPr>
          <w:rFonts w:hint="eastAsia" w:asciiTheme="minorEastAsia" w:hAnsiTheme="minorEastAsia" w:eastAsiaTheme="minorEastAsia" w:cstheme="minorEastAsia"/>
          <w:color w:val="auto"/>
          <w:kern w:val="0"/>
          <w:sz w:val="24"/>
          <w:szCs w:val="24"/>
          <w:highlight w:val="none"/>
          <w:lang w:bidi="ar"/>
        </w:rPr>
        <w:t>方承担。</w:t>
      </w:r>
    </w:p>
    <w:p>
      <w:pPr>
        <w:widowControl/>
        <w:spacing w:line="360" w:lineRule="auto"/>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kern w:val="0"/>
          <w:sz w:val="24"/>
          <w:szCs w:val="24"/>
          <w:highlight w:val="none"/>
          <w:lang w:bidi="ar"/>
        </w:rPr>
        <w:t>3、按计划及时完成合同约定软件的开发。</w:t>
      </w:r>
    </w:p>
    <w:p>
      <w:pPr>
        <w:widowControl/>
        <w:snapToGrid w:val="0"/>
        <w:spacing w:before="120" w:beforeLines="50" w:after="120" w:afterLines="50" w:line="360" w:lineRule="auto"/>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kern w:val="0"/>
          <w:sz w:val="24"/>
          <w:szCs w:val="24"/>
          <w:highlight w:val="none"/>
          <w:lang w:bidi="ar"/>
        </w:rPr>
        <w:t>4、乙方应按照软件工程的要求，提交源程序和下列文档：《系统需求说明》、《系统设计文档》、《系统测试报告》、《用户操作手册》（电子版、签章后书面版各一份）。</w:t>
      </w:r>
    </w:p>
    <w:p>
      <w:pPr>
        <w:widowControl/>
        <w:snapToGrid w:val="0"/>
        <w:spacing w:before="120" w:beforeLines="50" w:after="120" w:afterLines="50" w:line="360" w:lineRule="auto"/>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kern w:val="0"/>
          <w:sz w:val="24"/>
          <w:szCs w:val="24"/>
          <w:highlight w:val="none"/>
          <w:lang w:bidi="ar"/>
        </w:rPr>
        <w:t>5、乙方为甲方提供相关的文档、培训、技术支持及服务保障。</w:t>
      </w:r>
    </w:p>
    <w:p>
      <w:pPr>
        <w:widowControl/>
        <w:snapToGrid w:val="0"/>
        <w:spacing w:before="120" w:beforeLines="50" w:after="120" w:afterLines="50" w:line="360" w:lineRule="auto"/>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kern w:val="0"/>
          <w:sz w:val="24"/>
          <w:szCs w:val="24"/>
          <w:highlight w:val="none"/>
          <w:lang w:bidi="ar"/>
        </w:rPr>
        <w:t>6、乙方不得随意撤换主要技术人员，如要更换，必须经甲方书面同意并提前一周书面通知甲方，并做好相关的移交工作。如甲方要求乙方更换技术人员的，乙方应按照甲方要求 7日内进行更换。</w:t>
      </w:r>
    </w:p>
    <w:p>
      <w:pPr>
        <w:widowControl/>
        <w:snapToGrid w:val="0"/>
        <w:spacing w:before="120" w:beforeLines="50" w:after="120" w:afterLines="50" w:line="360" w:lineRule="auto"/>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kern w:val="0"/>
          <w:sz w:val="24"/>
          <w:szCs w:val="24"/>
          <w:highlight w:val="none"/>
          <w:lang w:bidi="ar"/>
        </w:rPr>
        <w:t>7、在验收阶段，乙方按甲方需求提供必要的验收材料。</w:t>
      </w:r>
    </w:p>
    <w:p>
      <w:pPr>
        <w:widowControl/>
        <w:snapToGrid w:val="0"/>
        <w:spacing w:before="120" w:beforeLines="50" w:after="120" w:afterLines="50" w:line="360" w:lineRule="auto"/>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kern w:val="0"/>
          <w:sz w:val="24"/>
          <w:szCs w:val="24"/>
          <w:highlight w:val="none"/>
          <w:lang w:bidi="ar"/>
        </w:rPr>
        <w:t>8、乙方未经甲方书面同意，不得转让在本合同项下的全部或部分权利义务。</w:t>
      </w:r>
    </w:p>
    <w:p>
      <w:pPr>
        <w:widowControl/>
        <w:spacing w:line="360" w:lineRule="auto"/>
        <w:jc w:val="left"/>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kern w:val="0"/>
          <w:sz w:val="24"/>
          <w:szCs w:val="24"/>
          <w:highlight w:val="none"/>
          <w:lang w:bidi="ar"/>
        </w:rPr>
        <w:t>第六条：需求变更、试运行与验收</w:t>
      </w:r>
    </w:p>
    <w:p>
      <w:pPr>
        <w:widowControl/>
        <w:spacing w:line="360" w:lineRule="auto"/>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kern w:val="0"/>
          <w:sz w:val="24"/>
          <w:szCs w:val="24"/>
          <w:highlight w:val="none"/>
          <w:lang w:bidi="ar"/>
        </w:rPr>
        <w:t>1、在实际开发过程中，如甲方对系统功能及性能提出调整意见，如属新增功能，在新增工作量低于</w:t>
      </w:r>
      <w:r>
        <w:rPr>
          <w:rFonts w:hint="eastAsia" w:asciiTheme="minorEastAsia" w:hAnsiTheme="minorEastAsia" w:eastAsiaTheme="minorEastAsia" w:cstheme="minorEastAsia"/>
          <w:color w:val="auto"/>
          <w:kern w:val="0"/>
          <w:sz w:val="24"/>
          <w:szCs w:val="24"/>
          <w:highlight w:val="none"/>
          <w:u w:val="single"/>
          <w:lang w:bidi="ar"/>
        </w:rPr>
        <w:t xml:space="preserve">      </w:t>
      </w:r>
      <w:r>
        <w:rPr>
          <w:rFonts w:hint="eastAsia" w:asciiTheme="minorEastAsia" w:hAnsiTheme="minorEastAsia" w:eastAsiaTheme="minorEastAsia" w:cstheme="minorEastAsia"/>
          <w:color w:val="auto"/>
          <w:kern w:val="0"/>
          <w:sz w:val="24"/>
          <w:szCs w:val="24"/>
          <w:highlight w:val="none"/>
          <w:lang w:bidi="ar"/>
        </w:rPr>
        <w:t>人/日的情况下，乙方应免费调整，如新增工作量高于</w:t>
      </w:r>
      <w:r>
        <w:rPr>
          <w:rFonts w:hint="eastAsia" w:asciiTheme="minorEastAsia" w:hAnsiTheme="minorEastAsia" w:eastAsiaTheme="minorEastAsia" w:cstheme="minorEastAsia"/>
          <w:color w:val="auto"/>
          <w:kern w:val="0"/>
          <w:sz w:val="24"/>
          <w:szCs w:val="24"/>
          <w:highlight w:val="none"/>
          <w:u w:val="single"/>
          <w:lang w:bidi="ar"/>
        </w:rPr>
        <w:t xml:space="preserve">      </w:t>
      </w:r>
      <w:r>
        <w:rPr>
          <w:rFonts w:hint="eastAsia" w:asciiTheme="minorEastAsia" w:hAnsiTheme="minorEastAsia" w:eastAsiaTheme="minorEastAsia" w:cstheme="minorEastAsia"/>
          <w:color w:val="auto"/>
          <w:kern w:val="0"/>
          <w:sz w:val="24"/>
          <w:szCs w:val="24"/>
          <w:highlight w:val="none"/>
          <w:lang w:bidi="ar"/>
        </w:rPr>
        <w:t xml:space="preserve"> 人/日，由双方协商费用，由乙方进行调整；如在软件需求和技术方案未变更的情况下，甲方具体对系统界面、图片、字体、表格以及操作步骤等提出调整意见，乙方应免费及时进行调整。双方在《</w:t>
      </w:r>
      <w:r>
        <w:rPr>
          <w:rFonts w:hint="eastAsia" w:asciiTheme="minorEastAsia" w:hAnsiTheme="minorEastAsia" w:eastAsiaTheme="minorEastAsia" w:cstheme="minorEastAsia"/>
          <w:color w:val="auto"/>
          <w:kern w:val="0"/>
          <w:sz w:val="24"/>
          <w:szCs w:val="24"/>
          <w:highlight w:val="none"/>
          <w:lang w:eastAsia="zh-CN" w:bidi="ar"/>
        </w:rPr>
        <w:t>建设方案</w:t>
      </w:r>
      <w:r>
        <w:rPr>
          <w:rFonts w:hint="eastAsia" w:asciiTheme="minorEastAsia" w:hAnsiTheme="minorEastAsia" w:eastAsiaTheme="minorEastAsia" w:cstheme="minorEastAsia"/>
          <w:color w:val="auto"/>
          <w:kern w:val="0"/>
          <w:sz w:val="24"/>
          <w:szCs w:val="24"/>
          <w:highlight w:val="none"/>
          <w:lang w:bidi="ar"/>
        </w:rPr>
        <w:t>》进行变更时，需由提出变更的一方出具《变更说明》双方协商签字后生效。</w:t>
      </w:r>
    </w:p>
    <w:p>
      <w:pPr>
        <w:widowControl/>
        <w:spacing w:line="360" w:lineRule="auto"/>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kern w:val="0"/>
          <w:sz w:val="24"/>
          <w:szCs w:val="24"/>
          <w:highlight w:val="none"/>
          <w:lang w:bidi="ar"/>
        </w:rPr>
        <w:t>2、按合同的开发计划，乙方完成阶段开发后，系统进入试运行期，试运行期双方约定为</w:t>
      </w:r>
      <w:r>
        <w:rPr>
          <w:rFonts w:hint="eastAsia" w:asciiTheme="minorEastAsia" w:hAnsiTheme="minorEastAsia" w:eastAsiaTheme="minorEastAsia" w:cstheme="minorEastAsia"/>
          <w:color w:val="auto"/>
          <w:kern w:val="0"/>
          <w:sz w:val="24"/>
          <w:szCs w:val="24"/>
          <w:highlight w:val="none"/>
          <w:u w:val="single"/>
          <w:lang w:bidi="ar"/>
        </w:rPr>
        <w:t xml:space="preserve">      </w:t>
      </w:r>
      <w:r>
        <w:rPr>
          <w:rFonts w:hint="eastAsia" w:asciiTheme="minorEastAsia" w:hAnsiTheme="minorEastAsia" w:eastAsiaTheme="minorEastAsia" w:cstheme="minorEastAsia"/>
          <w:color w:val="auto"/>
          <w:kern w:val="0"/>
          <w:sz w:val="24"/>
          <w:szCs w:val="24"/>
          <w:highlight w:val="none"/>
          <w:lang w:bidi="ar"/>
        </w:rPr>
        <w:t>天。系统试运行期满，如系统符合需求，甲方未提出书面异议，则乙方向甲方提交验收申请后的7个工作日内，由甲、乙双方共同完成合同软件总体验收。</w:t>
      </w:r>
    </w:p>
    <w:p>
      <w:pPr>
        <w:widowControl/>
        <w:spacing w:line="360" w:lineRule="auto"/>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kern w:val="0"/>
          <w:sz w:val="24"/>
          <w:szCs w:val="24"/>
          <w:highlight w:val="none"/>
          <w:lang w:bidi="ar"/>
        </w:rPr>
        <w:t>3、当甲方发现因乙方原因没有或不能按合同条款履行合同，甲方有权要求乙方按合同条款履行合同。但如果乙方仍不按合同条款履行合同，甲方有权终止合同，乙方退回甲方所有已付的合同款并且赔偿甲方总合同款的3%作为违约金。违约金不足以弥补甲方损失的，乙方应对实际损失承担全部赔偿责任。</w:t>
      </w:r>
    </w:p>
    <w:p>
      <w:pPr>
        <w:widowControl/>
        <w:spacing w:line="360" w:lineRule="auto"/>
        <w:jc w:val="left"/>
        <w:rPr>
          <w:rFonts w:asciiTheme="minorEastAsia" w:hAnsiTheme="minorEastAsia" w:eastAsiaTheme="minorEastAsia" w:cstheme="minorEastAsia"/>
          <w:color w:val="auto"/>
          <w:kern w:val="0"/>
          <w:sz w:val="24"/>
          <w:szCs w:val="24"/>
          <w:highlight w:val="none"/>
          <w:lang w:bidi="ar"/>
        </w:rPr>
      </w:pPr>
      <w:r>
        <w:rPr>
          <w:rFonts w:hint="eastAsia" w:asciiTheme="minorEastAsia" w:hAnsiTheme="minorEastAsia" w:eastAsiaTheme="minorEastAsia" w:cstheme="minorEastAsia"/>
          <w:color w:val="auto"/>
          <w:kern w:val="0"/>
          <w:sz w:val="24"/>
          <w:szCs w:val="24"/>
          <w:highlight w:val="none"/>
          <w:lang w:bidi="ar"/>
        </w:rPr>
        <w:t>4、甲方按照本合同第二条约定的标准对合同软件验收，合同软件与标准一致的，即验收合格，甲方签订验收确认书。合同软件与附件中规定的功能不符的，甲方应以书面形式通知乙方，乙方应修改合同软件使其符合附件的规定并再次进行验收，如果乙方原因导致三次验收不通过，甲方有权终止合同，乙方退回甲方所有已付的合同款并且赔偿甲方总合同款的3%作为违约金。违约金不足以弥补甲方损失的，乙方应对实际损失承担全部赔偿责任。</w:t>
      </w:r>
    </w:p>
    <w:p>
      <w:pPr>
        <w:widowControl/>
        <w:spacing w:line="360" w:lineRule="auto"/>
        <w:jc w:val="left"/>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kern w:val="0"/>
          <w:sz w:val="24"/>
          <w:szCs w:val="24"/>
          <w:highlight w:val="none"/>
          <w:lang w:bidi="ar"/>
        </w:rPr>
        <w:t>第七条：项目成员情况</w:t>
      </w:r>
    </w:p>
    <w:tbl>
      <w:tblPr>
        <w:tblStyle w:val="4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42"/>
        <w:gridCol w:w="1135"/>
        <w:gridCol w:w="851"/>
        <w:gridCol w:w="2938"/>
        <w:gridCol w:w="287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8" w:hRule="atLeast"/>
        </w:trPr>
        <w:tc>
          <w:tcPr>
            <w:tcW w:w="1242"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360" w:lineRule="auto"/>
              <w:jc w:val="center"/>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kern w:val="0"/>
                <w:sz w:val="24"/>
                <w:szCs w:val="24"/>
                <w:highlight w:val="none"/>
                <w:lang w:bidi="ar"/>
              </w:rPr>
              <w:t>类别</w:t>
            </w:r>
          </w:p>
        </w:tc>
        <w:tc>
          <w:tcPr>
            <w:tcW w:w="1135"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360" w:lineRule="auto"/>
              <w:jc w:val="center"/>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kern w:val="0"/>
                <w:sz w:val="24"/>
                <w:szCs w:val="24"/>
                <w:highlight w:val="none"/>
                <w:lang w:bidi="ar"/>
              </w:rPr>
              <w:t>姓名</w:t>
            </w:r>
          </w:p>
        </w:tc>
        <w:tc>
          <w:tcPr>
            <w:tcW w:w="851"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360" w:lineRule="auto"/>
              <w:jc w:val="center"/>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kern w:val="0"/>
                <w:sz w:val="24"/>
                <w:szCs w:val="24"/>
                <w:highlight w:val="none"/>
                <w:lang w:bidi="ar"/>
              </w:rPr>
              <w:t>性别</w:t>
            </w:r>
          </w:p>
        </w:tc>
        <w:tc>
          <w:tcPr>
            <w:tcW w:w="2938"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360" w:lineRule="auto"/>
              <w:jc w:val="center"/>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kern w:val="0"/>
                <w:sz w:val="24"/>
                <w:szCs w:val="24"/>
                <w:highlight w:val="none"/>
                <w:lang w:bidi="ar"/>
              </w:rPr>
              <w:t>专  业</w:t>
            </w:r>
          </w:p>
        </w:tc>
        <w:tc>
          <w:tcPr>
            <w:tcW w:w="287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360" w:lineRule="auto"/>
              <w:jc w:val="center"/>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kern w:val="0"/>
                <w:sz w:val="24"/>
                <w:szCs w:val="24"/>
                <w:highlight w:val="none"/>
                <w:lang w:bidi="ar"/>
              </w:rPr>
              <w:t>职  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242"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360" w:lineRule="auto"/>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kern w:val="0"/>
                <w:sz w:val="24"/>
                <w:szCs w:val="24"/>
                <w:highlight w:val="none"/>
                <w:lang w:bidi="ar"/>
              </w:rPr>
              <w:t>项目负责人</w:t>
            </w:r>
          </w:p>
        </w:tc>
        <w:tc>
          <w:tcPr>
            <w:tcW w:w="1135"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360" w:lineRule="auto"/>
              <w:jc w:val="center"/>
              <w:rPr>
                <w:rFonts w:asciiTheme="minorEastAsia" w:hAnsiTheme="minorEastAsia" w:eastAsiaTheme="minorEastAsia" w:cstheme="minorEastAsia"/>
                <w:color w:val="auto"/>
                <w:sz w:val="24"/>
                <w:szCs w:val="24"/>
                <w:highlight w:val="none"/>
              </w:rPr>
            </w:pPr>
          </w:p>
        </w:tc>
        <w:tc>
          <w:tcPr>
            <w:tcW w:w="851"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360" w:lineRule="auto"/>
              <w:jc w:val="center"/>
              <w:rPr>
                <w:rFonts w:asciiTheme="minorEastAsia" w:hAnsiTheme="minorEastAsia" w:eastAsiaTheme="minorEastAsia" w:cstheme="minorEastAsia"/>
                <w:color w:val="auto"/>
                <w:sz w:val="24"/>
                <w:szCs w:val="24"/>
                <w:highlight w:val="none"/>
              </w:rPr>
            </w:pPr>
          </w:p>
        </w:tc>
        <w:tc>
          <w:tcPr>
            <w:tcW w:w="2938"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360" w:lineRule="auto"/>
              <w:jc w:val="center"/>
              <w:rPr>
                <w:rFonts w:asciiTheme="minorEastAsia" w:hAnsiTheme="minorEastAsia" w:eastAsiaTheme="minorEastAsia" w:cstheme="minorEastAsia"/>
                <w:color w:val="auto"/>
                <w:sz w:val="24"/>
                <w:szCs w:val="24"/>
                <w:highlight w:val="none"/>
              </w:rPr>
            </w:pPr>
          </w:p>
        </w:tc>
        <w:tc>
          <w:tcPr>
            <w:tcW w:w="287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360" w:lineRule="auto"/>
              <w:jc w:val="center"/>
              <w:rPr>
                <w:rFonts w:asciiTheme="minorEastAsia" w:hAnsiTheme="minorEastAsia" w:eastAsiaTheme="minorEastAsia" w:cstheme="minorEastAsia"/>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242"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line="360" w:lineRule="auto"/>
              <w:jc w:val="center"/>
              <w:rPr>
                <w:rFonts w:asciiTheme="minorEastAsia" w:hAnsiTheme="minorEastAsia" w:eastAsiaTheme="minorEastAsia" w:cstheme="minorEastAsia"/>
                <w:color w:val="auto"/>
                <w:sz w:val="24"/>
                <w:szCs w:val="24"/>
                <w:highlight w:val="none"/>
              </w:rPr>
            </w:pPr>
          </w:p>
        </w:tc>
        <w:tc>
          <w:tcPr>
            <w:tcW w:w="1135"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360" w:lineRule="auto"/>
              <w:jc w:val="center"/>
              <w:rPr>
                <w:rFonts w:asciiTheme="minorEastAsia" w:hAnsiTheme="minorEastAsia" w:eastAsiaTheme="minorEastAsia" w:cstheme="minorEastAsia"/>
                <w:color w:val="auto"/>
                <w:sz w:val="24"/>
                <w:szCs w:val="24"/>
                <w:highlight w:val="none"/>
              </w:rPr>
            </w:pPr>
          </w:p>
        </w:tc>
        <w:tc>
          <w:tcPr>
            <w:tcW w:w="851"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360" w:lineRule="auto"/>
              <w:jc w:val="center"/>
              <w:rPr>
                <w:rFonts w:asciiTheme="minorEastAsia" w:hAnsiTheme="minorEastAsia" w:eastAsiaTheme="minorEastAsia" w:cstheme="minorEastAsia"/>
                <w:color w:val="auto"/>
                <w:sz w:val="24"/>
                <w:szCs w:val="24"/>
                <w:highlight w:val="none"/>
              </w:rPr>
            </w:pPr>
          </w:p>
        </w:tc>
        <w:tc>
          <w:tcPr>
            <w:tcW w:w="2938"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360" w:lineRule="auto"/>
              <w:jc w:val="center"/>
              <w:rPr>
                <w:rFonts w:asciiTheme="minorEastAsia" w:hAnsiTheme="minorEastAsia" w:eastAsiaTheme="minorEastAsia" w:cstheme="minorEastAsia"/>
                <w:color w:val="auto"/>
                <w:sz w:val="24"/>
                <w:szCs w:val="24"/>
                <w:highlight w:val="none"/>
              </w:rPr>
            </w:pPr>
          </w:p>
        </w:tc>
        <w:tc>
          <w:tcPr>
            <w:tcW w:w="287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360" w:lineRule="auto"/>
              <w:jc w:val="center"/>
              <w:rPr>
                <w:rFonts w:asciiTheme="minorEastAsia" w:hAnsiTheme="minorEastAsia" w:eastAsiaTheme="minorEastAsia" w:cstheme="minorEastAsia"/>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242"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360" w:lineRule="auto"/>
              <w:jc w:val="center"/>
              <w:rPr>
                <w:rFonts w:asciiTheme="minorEastAsia" w:hAnsiTheme="minorEastAsia" w:eastAsiaTheme="minorEastAsia" w:cstheme="minorEastAsia"/>
                <w:color w:val="auto"/>
                <w:kern w:val="0"/>
                <w:sz w:val="24"/>
                <w:szCs w:val="24"/>
                <w:highlight w:val="none"/>
                <w:lang w:bidi="ar"/>
              </w:rPr>
            </w:pPr>
          </w:p>
          <w:p>
            <w:pPr>
              <w:widowControl/>
              <w:spacing w:line="360" w:lineRule="auto"/>
              <w:jc w:val="center"/>
              <w:rPr>
                <w:rFonts w:asciiTheme="minorEastAsia" w:hAnsiTheme="minorEastAsia" w:eastAsiaTheme="minorEastAsia" w:cstheme="minorEastAsia"/>
                <w:color w:val="auto"/>
                <w:kern w:val="0"/>
                <w:sz w:val="24"/>
                <w:szCs w:val="24"/>
                <w:highlight w:val="none"/>
                <w:lang w:bidi="ar"/>
              </w:rPr>
            </w:pPr>
          </w:p>
          <w:p>
            <w:pPr>
              <w:widowControl/>
              <w:spacing w:line="360" w:lineRule="auto"/>
              <w:jc w:val="center"/>
              <w:rPr>
                <w:rFonts w:asciiTheme="minorEastAsia" w:hAnsiTheme="minorEastAsia" w:eastAsiaTheme="minorEastAsia" w:cstheme="minorEastAsia"/>
                <w:color w:val="auto"/>
                <w:kern w:val="0"/>
                <w:sz w:val="24"/>
                <w:szCs w:val="24"/>
                <w:highlight w:val="none"/>
                <w:lang w:bidi="ar"/>
              </w:rPr>
            </w:pPr>
          </w:p>
          <w:p>
            <w:pPr>
              <w:widowControl/>
              <w:spacing w:line="360" w:lineRule="auto"/>
              <w:jc w:val="center"/>
              <w:rPr>
                <w:rFonts w:asciiTheme="minorEastAsia" w:hAnsiTheme="minorEastAsia" w:eastAsiaTheme="minorEastAsia" w:cstheme="minorEastAsia"/>
                <w:color w:val="auto"/>
                <w:kern w:val="0"/>
                <w:sz w:val="24"/>
                <w:szCs w:val="24"/>
                <w:highlight w:val="none"/>
                <w:lang w:bidi="ar"/>
              </w:rPr>
            </w:pPr>
          </w:p>
          <w:p>
            <w:pPr>
              <w:widowControl/>
              <w:spacing w:line="360" w:lineRule="auto"/>
              <w:jc w:val="center"/>
              <w:rPr>
                <w:rFonts w:hint="eastAsia" w:asciiTheme="minorEastAsia" w:hAnsiTheme="minorEastAsia" w:eastAsiaTheme="minorEastAsia" w:cstheme="minorEastAsia"/>
                <w:color w:val="auto"/>
                <w:kern w:val="0"/>
                <w:sz w:val="24"/>
                <w:szCs w:val="24"/>
                <w:highlight w:val="none"/>
                <w:lang w:bidi="ar"/>
              </w:rPr>
            </w:pPr>
            <w:r>
              <w:rPr>
                <w:rFonts w:hint="eastAsia" w:asciiTheme="minorEastAsia" w:hAnsiTheme="minorEastAsia" w:eastAsiaTheme="minorEastAsia" w:cstheme="minorEastAsia"/>
                <w:color w:val="auto"/>
                <w:kern w:val="0"/>
                <w:sz w:val="24"/>
                <w:szCs w:val="24"/>
                <w:highlight w:val="none"/>
                <w:lang w:bidi="ar"/>
              </w:rPr>
              <w:t>项目组</w:t>
            </w:r>
          </w:p>
          <w:p>
            <w:pPr>
              <w:widowControl/>
              <w:spacing w:line="360" w:lineRule="auto"/>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kern w:val="0"/>
                <w:sz w:val="24"/>
                <w:szCs w:val="24"/>
                <w:highlight w:val="none"/>
                <w:lang w:bidi="ar"/>
              </w:rPr>
              <w:t>成员</w:t>
            </w:r>
          </w:p>
        </w:tc>
        <w:tc>
          <w:tcPr>
            <w:tcW w:w="1135"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360" w:lineRule="auto"/>
              <w:jc w:val="center"/>
              <w:rPr>
                <w:rFonts w:asciiTheme="minorEastAsia" w:hAnsiTheme="minorEastAsia" w:eastAsiaTheme="minorEastAsia" w:cstheme="minorEastAsia"/>
                <w:color w:val="auto"/>
                <w:sz w:val="24"/>
                <w:szCs w:val="24"/>
                <w:highlight w:val="none"/>
              </w:rPr>
            </w:pPr>
          </w:p>
        </w:tc>
        <w:tc>
          <w:tcPr>
            <w:tcW w:w="851"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360" w:lineRule="auto"/>
              <w:jc w:val="center"/>
              <w:rPr>
                <w:rFonts w:asciiTheme="minorEastAsia" w:hAnsiTheme="minorEastAsia" w:eastAsiaTheme="minorEastAsia" w:cstheme="minorEastAsia"/>
                <w:color w:val="auto"/>
                <w:sz w:val="24"/>
                <w:szCs w:val="24"/>
                <w:highlight w:val="none"/>
              </w:rPr>
            </w:pPr>
          </w:p>
        </w:tc>
        <w:tc>
          <w:tcPr>
            <w:tcW w:w="2938"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360" w:lineRule="auto"/>
              <w:jc w:val="center"/>
              <w:rPr>
                <w:rFonts w:asciiTheme="minorEastAsia" w:hAnsiTheme="minorEastAsia" w:eastAsiaTheme="minorEastAsia" w:cstheme="minorEastAsia"/>
                <w:color w:val="auto"/>
                <w:sz w:val="24"/>
                <w:szCs w:val="24"/>
                <w:highlight w:val="none"/>
              </w:rPr>
            </w:pPr>
          </w:p>
        </w:tc>
        <w:tc>
          <w:tcPr>
            <w:tcW w:w="287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360" w:lineRule="auto"/>
              <w:jc w:val="center"/>
              <w:rPr>
                <w:rFonts w:asciiTheme="minorEastAsia" w:hAnsiTheme="minorEastAsia" w:eastAsiaTheme="minorEastAsia" w:cstheme="minorEastAsia"/>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242"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line="360" w:lineRule="auto"/>
              <w:jc w:val="center"/>
              <w:rPr>
                <w:rFonts w:asciiTheme="minorEastAsia" w:hAnsiTheme="minorEastAsia" w:eastAsiaTheme="minorEastAsia" w:cstheme="minorEastAsia"/>
                <w:color w:val="auto"/>
                <w:sz w:val="24"/>
                <w:szCs w:val="24"/>
                <w:highlight w:val="none"/>
              </w:rPr>
            </w:pPr>
          </w:p>
        </w:tc>
        <w:tc>
          <w:tcPr>
            <w:tcW w:w="1135"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360" w:lineRule="auto"/>
              <w:jc w:val="center"/>
              <w:rPr>
                <w:rFonts w:asciiTheme="minorEastAsia" w:hAnsiTheme="minorEastAsia" w:eastAsiaTheme="minorEastAsia" w:cstheme="minorEastAsia"/>
                <w:color w:val="auto"/>
                <w:sz w:val="24"/>
                <w:szCs w:val="24"/>
                <w:highlight w:val="none"/>
              </w:rPr>
            </w:pPr>
          </w:p>
        </w:tc>
        <w:tc>
          <w:tcPr>
            <w:tcW w:w="851"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360" w:lineRule="auto"/>
              <w:jc w:val="center"/>
              <w:rPr>
                <w:rFonts w:asciiTheme="minorEastAsia" w:hAnsiTheme="minorEastAsia" w:eastAsiaTheme="minorEastAsia" w:cstheme="minorEastAsia"/>
                <w:color w:val="auto"/>
                <w:sz w:val="24"/>
                <w:szCs w:val="24"/>
                <w:highlight w:val="none"/>
              </w:rPr>
            </w:pPr>
          </w:p>
        </w:tc>
        <w:tc>
          <w:tcPr>
            <w:tcW w:w="2938"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360" w:lineRule="auto"/>
              <w:jc w:val="center"/>
              <w:rPr>
                <w:rFonts w:asciiTheme="minorEastAsia" w:hAnsiTheme="minorEastAsia" w:eastAsiaTheme="minorEastAsia" w:cstheme="minorEastAsia"/>
                <w:color w:val="auto"/>
                <w:sz w:val="24"/>
                <w:szCs w:val="24"/>
                <w:highlight w:val="none"/>
              </w:rPr>
            </w:pPr>
          </w:p>
        </w:tc>
        <w:tc>
          <w:tcPr>
            <w:tcW w:w="287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360" w:lineRule="auto"/>
              <w:jc w:val="center"/>
              <w:rPr>
                <w:rFonts w:asciiTheme="minorEastAsia" w:hAnsiTheme="minorEastAsia" w:eastAsiaTheme="minorEastAsia" w:cstheme="minorEastAsia"/>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242"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line="360" w:lineRule="auto"/>
              <w:jc w:val="center"/>
              <w:rPr>
                <w:rFonts w:asciiTheme="minorEastAsia" w:hAnsiTheme="minorEastAsia" w:eastAsiaTheme="minorEastAsia" w:cstheme="minorEastAsia"/>
                <w:color w:val="auto"/>
                <w:sz w:val="24"/>
                <w:szCs w:val="24"/>
                <w:highlight w:val="none"/>
              </w:rPr>
            </w:pPr>
          </w:p>
        </w:tc>
        <w:tc>
          <w:tcPr>
            <w:tcW w:w="1135"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360" w:lineRule="auto"/>
              <w:jc w:val="center"/>
              <w:rPr>
                <w:rFonts w:asciiTheme="minorEastAsia" w:hAnsiTheme="minorEastAsia" w:eastAsiaTheme="minorEastAsia" w:cstheme="minorEastAsia"/>
                <w:color w:val="auto"/>
                <w:sz w:val="24"/>
                <w:szCs w:val="24"/>
                <w:highlight w:val="none"/>
              </w:rPr>
            </w:pPr>
          </w:p>
        </w:tc>
        <w:tc>
          <w:tcPr>
            <w:tcW w:w="851"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360" w:lineRule="auto"/>
              <w:jc w:val="center"/>
              <w:rPr>
                <w:rFonts w:asciiTheme="minorEastAsia" w:hAnsiTheme="minorEastAsia" w:eastAsiaTheme="minorEastAsia" w:cstheme="minorEastAsia"/>
                <w:color w:val="auto"/>
                <w:sz w:val="24"/>
                <w:szCs w:val="24"/>
                <w:highlight w:val="none"/>
              </w:rPr>
            </w:pPr>
          </w:p>
        </w:tc>
        <w:tc>
          <w:tcPr>
            <w:tcW w:w="2938"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360" w:lineRule="auto"/>
              <w:jc w:val="center"/>
              <w:rPr>
                <w:rFonts w:asciiTheme="minorEastAsia" w:hAnsiTheme="minorEastAsia" w:eastAsiaTheme="minorEastAsia" w:cstheme="minorEastAsia"/>
                <w:color w:val="auto"/>
                <w:sz w:val="24"/>
                <w:szCs w:val="24"/>
                <w:highlight w:val="none"/>
              </w:rPr>
            </w:pPr>
          </w:p>
        </w:tc>
        <w:tc>
          <w:tcPr>
            <w:tcW w:w="287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360" w:lineRule="auto"/>
              <w:jc w:val="center"/>
              <w:rPr>
                <w:rFonts w:asciiTheme="minorEastAsia" w:hAnsiTheme="minorEastAsia" w:eastAsiaTheme="minorEastAsia" w:cstheme="minorEastAsia"/>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242"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line="360" w:lineRule="auto"/>
              <w:jc w:val="center"/>
              <w:rPr>
                <w:rFonts w:asciiTheme="minorEastAsia" w:hAnsiTheme="minorEastAsia" w:eastAsiaTheme="minorEastAsia" w:cstheme="minorEastAsia"/>
                <w:color w:val="auto"/>
                <w:sz w:val="24"/>
                <w:szCs w:val="24"/>
                <w:highlight w:val="none"/>
              </w:rPr>
            </w:pPr>
          </w:p>
        </w:tc>
        <w:tc>
          <w:tcPr>
            <w:tcW w:w="1135"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360" w:lineRule="auto"/>
              <w:jc w:val="center"/>
              <w:rPr>
                <w:rFonts w:asciiTheme="minorEastAsia" w:hAnsiTheme="minorEastAsia" w:eastAsiaTheme="minorEastAsia" w:cstheme="minorEastAsia"/>
                <w:color w:val="auto"/>
                <w:sz w:val="24"/>
                <w:szCs w:val="24"/>
                <w:highlight w:val="none"/>
              </w:rPr>
            </w:pPr>
          </w:p>
        </w:tc>
        <w:tc>
          <w:tcPr>
            <w:tcW w:w="851"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360" w:lineRule="auto"/>
              <w:jc w:val="center"/>
              <w:rPr>
                <w:rFonts w:asciiTheme="minorEastAsia" w:hAnsiTheme="minorEastAsia" w:eastAsiaTheme="minorEastAsia" w:cstheme="minorEastAsia"/>
                <w:color w:val="auto"/>
                <w:sz w:val="24"/>
                <w:szCs w:val="24"/>
                <w:highlight w:val="none"/>
              </w:rPr>
            </w:pPr>
          </w:p>
        </w:tc>
        <w:tc>
          <w:tcPr>
            <w:tcW w:w="2938"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360" w:lineRule="auto"/>
              <w:jc w:val="center"/>
              <w:rPr>
                <w:rFonts w:asciiTheme="minorEastAsia" w:hAnsiTheme="minorEastAsia" w:eastAsiaTheme="minorEastAsia" w:cstheme="minorEastAsia"/>
                <w:color w:val="auto"/>
                <w:sz w:val="24"/>
                <w:szCs w:val="24"/>
                <w:highlight w:val="none"/>
              </w:rPr>
            </w:pPr>
          </w:p>
        </w:tc>
        <w:tc>
          <w:tcPr>
            <w:tcW w:w="287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360" w:lineRule="auto"/>
              <w:jc w:val="center"/>
              <w:rPr>
                <w:rFonts w:asciiTheme="minorEastAsia" w:hAnsiTheme="minorEastAsia" w:eastAsiaTheme="minorEastAsia" w:cstheme="minorEastAsia"/>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242"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line="360" w:lineRule="auto"/>
              <w:jc w:val="center"/>
              <w:rPr>
                <w:rFonts w:asciiTheme="minorEastAsia" w:hAnsiTheme="minorEastAsia" w:eastAsiaTheme="minorEastAsia" w:cstheme="minorEastAsia"/>
                <w:color w:val="auto"/>
                <w:sz w:val="24"/>
                <w:szCs w:val="24"/>
                <w:highlight w:val="none"/>
              </w:rPr>
            </w:pPr>
          </w:p>
        </w:tc>
        <w:tc>
          <w:tcPr>
            <w:tcW w:w="1135"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360" w:lineRule="auto"/>
              <w:jc w:val="center"/>
              <w:rPr>
                <w:rFonts w:asciiTheme="minorEastAsia" w:hAnsiTheme="minorEastAsia" w:eastAsiaTheme="minorEastAsia" w:cstheme="minorEastAsia"/>
                <w:color w:val="auto"/>
                <w:sz w:val="24"/>
                <w:szCs w:val="24"/>
                <w:highlight w:val="none"/>
              </w:rPr>
            </w:pPr>
          </w:p>
        </w:tc>
        <w:tc>
          <w:tcPr>
            <w:tcW w:w="851"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360" w:lineRule="auto"/>
              <w:jc w:val="center"/>
              <w:rPr>
                <w:rFonts w:asciiTheme="minorEastAsia" w:hAnsiTheme="minorEastAsia" w:eastAsiaTheme="minorEastAsia" w:cstheme="minorEastAsia"/>
                <w:color w:val="auto"/>
                <w:sz w:val="24"/>
                <w:szCs w:val="24"/>
                <w:highlight w:val="none"/>
              </w:rPr>
            </w:pPr>
          </w:p>
        </w:tc>
        <w:tc>
          <w:tcPr>
            <w:tcW w:w="2938"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360" w:lineRule="auto"/>
              <w:jc w:val="center"/>
              <w:rPr>
                <w:rFonts w:asciiTheme="minorEastAsia" w:hAnsiTheme="minorEastAsia" w:eastAsiaTheme="minorEastAsia" w:cstheme="minorEastAsia"/>
                <w:color w:val="auto"/>
                <w:sz w:val="24"/>
                <w:szCs w:val="24"/>
                <w:highlight w:val="none"/>
              </w:rPr>
            </w:pPr>
          </w:p>
        </w:tc>
        <w:tc>
          <w:tcPr>
            <w:tcW w:w="287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360" w:lineRule="auto"/>
              <w:jc w:val="center"/>
              <w:rPr>
                <w:rFonts w:asciiTheme="minorEastAsia" w:hAnsiTheme="minorEastAsia" w:eastAsiaTheme="minorEastAsia" w:cstheme="minorEastAsia"/>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242"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line="360" w:lineRule="auto"/>
              <w:jc w:val="center"/>
              <w:rPr>
                <w:rFonts w:asciiTheme="minorEastAsia" w:hAnsiTheme="minorEastAsia" w:eastAsiaTheme="minorEastAsia" w:cstheme="minorEastAsia"/>
                <w:color w:val="auto"/>
                <w:sz w:val="24"/>
                <w:szCs w:val="24"/>
                <w:highlight w:val="none"/>
              </w:rPr>
            </w:pPr>
          </w:p>
        </w:tc>
        <w:tc>
          <w:tcPr>
            <w:tcW w:w="1135"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360" w:lineRule="auto"/>
              <w:jc w:val="center"/>
              <w:rPr>
                <w:rFonts w:asciiTheme="minorEastAsia" w:hAnsiTheme="minorEastAsia" w:eastAsiaTheme="minorEastAsia" w:cstheme="minorEastAsia"/>
                <w:color w:val="auto"/>
                <w:sz w:val="24"/>
                <w:szCs w:val="24"/>
                <w:highlight w:val="none"/>
              </w:rPr>
            </w:pPr>
          </w:p>
        </w:tc>
        <w:tc>
          <w:tcPr>
            <w:tcW w:w="851"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360" w:lineRule="auto"/>
              <w:jc w:val="center"/>
              <w:rPr>
                <w:rFonts w:asciiTheme="minorEastAsia" w:hAnsiTheme="minorEastAsia" w:eastAsiaTheme="minorEastAsia" w:cstheme="minorEastAsia"/>
                <w:color w:val="auto"/>
                <w:sz w:val="24"/>
                <w:szCs w:val="24"/>
                <w:highlight w:val="none"/>
              </w:rPr>
            </w:pPr>
          </w:p>
        </w:tc>
        <w:tc>
          <w:tcPr>
            <w:tcW w:w="2938"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360" w:lineRule="auto"/>
              <w:jc w:val="center"/>
              <w:rPr>
                <w:rFonts w:asciiTheme="minorEastAsia" w:hAnsiTheme="minorEastAsia" w:eastAsiaTheme="minorEastAsia" w:cstheme="minorEastAsia"/>
                <w:color w:val="auto"/>
                <w:sz w:val="24"/>
                <w:szCs w:val="24"/>
                <w:highlight w:val="none"/>
              </w:rPr>
            </w:pPr>
          </w:p>
        </w:tc>
        <w:tc>
          <w:tcPr>
            <w:tcW w:w="287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360" w:lineRule="auto"/>
              <w:jc w:val="center"/>
              <w:rPr>
                <w:rFonts w:asciiTheme="minorEastAsia" w:hAnsiTheme="minorEastAsia" w:eastAsiaTheme="minorEastAsia" w:cstheme="minorEastAsia"/>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242"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line="360" w:lineRule="auto"/>
              <w:jc w:val="center"/>
              <w:rPr>
                <w:rFonts w:asciiTheme="minorEastAsia" w:hAnsiTheme="minorEastAsia" w:eastAsiaTheme="minorEastAsia" w:cstheme="minorEastAsia"/>
                <w:color w:val="auto"/>
                <w:sz w:val="24"/>
                <w:szCs w:val="24"/>
                <w:highlight w:val="none"/>
              </w:rPr>
            </w:pPr>
          </w:p>
        </w:tc>
        <w:tc>
          <w:tcPr>
            <w:tcW w:w="1135"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360" w:lineRule="auto"/>
              <w:jc w:val="center"/>
              <w:textAlignment w:val="top"/>
              <w:rPr>
                <w:rFonts w:asciiTheme="minorEastAsia" w:hAnsiTheme="minorEastAsia" w:eastAsiaTheme="minorEastAsia" w:cstheme="minorEastAsia"/>
                <w:color w:val="auto"/>
                <w:sz w:val="24"/>
                <w:szCs w:val="24"/>
                <w:highlight w:val="none"/>
              </w:rPr>
            </w:pPr>
          </w:p>
        </w:tc>
        <w:tc>
          <w:tcPr>
            <w:tcW w:w="851"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360" w:lineRule="auto"/>
              <w:jc w:val="center"/>
              <w:textAlignment w:val="top"/>
              <w:rPr>
                <w:rFonts w:asciiTheme="minorEastAsia" w:hAnsiTheme="minorEastAsia" w:eastAsiaTheme="minorEastAsia" w:cstheme="minorEastAsia"/>
                <w:color w:val="auto"/>
                <w:sz w:val="24"/>
                <w:szCs w:val="24"/>
                <w:highlight w:val="none"/>
              </w:rPr>
            </w:pPr>
          </w:p>
        </w:tc>
        <w:tc>
          <w:tcPr>
            <w:tcW w:w="2938"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360" w:lineRule="auto"/>
              <w:jc w:val="center"/>
              <w:textAlignment w:val="top"/>
              <w:rPr>
                <w:rFonts w:asciiTheme="minorEastAsia" w:hAnsiTheme="minorEastAsia" w:eastAsiaTheme="minorEastAsia" w:cstheme="minorEastAsia"/>
                <w:color w:val="auto"/>
                <w:sz w:val="24"/>
                <w:szCs w:val="24"/>
                <w:highlight w:val="none"/>
              </w:rPr>
            </w:pPr>
          </w:p>
        </w:tc>
        <w:tc>
          <w:tcPr>
            <w:tcW w:w="287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360" w:lineRule="auto"/>
              <w:jc w:val="center"/>
              <w:rPr>
                <w:rFonts w:asciiTheme="minorEastAsia" w:hAnsiTheme="minorEastAsia" w:eastAsiaTheme="minorEastAsia" w:cstheme="minorEastAsia"/>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242"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line="360" w:lineRule="auto"/>
              <w:jc w:val="center"/>
              <w:rPr>
                <w:rFonts w:asciiTheme="minorEastAsia" w:hAnsiTheme="minorEastAsia" w:eastAsiaTheme="minorEastAsia" w:cstheme="minorEastAsia"/>
                <w:color w:val="auto"/>
                <w:sz w:val="24"/>
                <w:szCs w:val="24"/>
                <w:highlight w:val="none"/>
              </w:rPr>
            </w:pPr>
          </w:p>
        </w:tc>
        <w:tc>
          <w:tcPr>
            <w:tcW w:w="1135"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360" w:lineRule="auto"/>
              <w:jc w:val="center"/>
              <w:textAlignment w:val="top"/>
              <w:rPr>
                <w:rFonts w:asciiTheme="minorEastAsia" w:hAnsiTheme="minorEastAsia" w:eastAsiaTheme="minorEastAsia" w:cstheme="minorEastAsia"/>
                <w:color w:val="auto"/>
                <w:sz w:val="24"/>
                <w:szCs w:val="24"/>
                <w:highlight w:val="none"/>
              </w:rPr>
            </w:pPr>
          </w:p>
        </w:tc>
        <w:tc>
          <w:tcPr>
            <w:tcW w:w="851"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360" w:lineRule="auto"/>
              <w:jc w:val="center"/>
              <w:textAlignment w:val="top"/>
              <w:rPr>
                <w:rFonts w:asciiTheme="minorEastAsia" w:hAnsiTheme="minorEastAsia" w:eastAsiaTheme="minorEastAsia" w:cstheme="minorEastAsia"/>
                <w:color w:val="auto"/>
                <w:sz w:val="24"/>
                <w:szCs w:val="24"/>
                <w:highlight w:val="none"/>
              </w:rPr>
            </w:pPr>
          </w:p>
        </w:tc>
        <w:tc>
          <w:tcPr>
            <w:tcW w:w="2938"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360" w:lineRule="auto"/>
              <w:jc w:val="center"/>
              <w:textAlignment w:val="top"/>
              <w:rPr>
                <w:rFonts w:asciiTheme="minorEastAsia" w:hAnsiTheme="minorEastAsia" w:eastAsiaTheme="minorEastAsia" w:cstheme="minorEastAsia"/>
                <w:color w:val="auto"/>
                <w:sz w:val="24"/>
                <w:szCs w:val="24"/>
                <w:highlight w:val="none"/>
              </w:rPr>
            </w:pPr>
          </w:p>
        </w:tc>
        <w:tc>
          <w:tcPr>
            <w:tcW w:w="287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360" w:lineRule="auto"/>
              <w:jc w:val="center"/>
              <w:rPr>
                <w:rFonts w:asciiTheme="minorEastAsia" w:hAnsiTheme="minorEastAsia" w:eastAsiaTheme="minorEastAsia" w:cstheme="minorEastAsia"/>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242"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line="360" w:lineRule="auto"/>
              <w:jc w:val="center"/>
              <w:rPr>
                <w:rFonts w:asciiTheme="minorEastAsia" w:hAnsiTheme="minorEastAsia" w:eastAsiaTheme="minorEastAsia" w:cstheme="minorEastAsia"/>
                <w:color w:val="auto"/>
                <w:sz w:val="24"/>
                <w:szCs w:val="24"/>
                <w:highlight w:val="none"/>
              </w:rPr>
            </w:pPr>
          </w:p>
        </w:tc>
        <w:tc>
          <w:tcPr>
            <w:tcW w:w="1135"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360" w:lineRule="auto"/>
              <w:jc w:val="center"/>
              <w:rPr>
                <w:rFonts w:asciiTheme="minorEastAsia" w:hAnsiTheme="minorEastAsia" w:eastAsiaTheme="minorEastAsia" w:cstheme="minorEastAsia"/>
                <w:color w:val="auto"/>
                <w:sz w:val="24"/>
                <w:szCs w:val="24"/>
                <w:highlight w:val="none"/>
              </w:rPr>
            </w:pPr>
          </w:p>
        </w:tc>
        <w:tc>
          <w:tcPr>
            <w:tcW w:w="851"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360" w:lineRule="auto"/>
              <w:jc w:val="center"/>
              <w:rPr>
                <w:rFonts w:asciiTheme="minorEastAsia" w:hAnsiTheme="minorEastAsia" w:eastAsiaTheme="minorEastAsia" w:cstheme="minorEastAsia"/>
                <w:color w:val="auto"/>
                <w:sz w:val="24"/>
                <w:szCs w:val="24"/>
                <w:highlight w:val="none"/>
              </w:rPr>
            </w:pPr>
          </w:p>
        </w:tc>
        <w:tc>
          <w:tcPr>
            <w:tcW w:w="2938"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360" w:lineRule="auto"/>
              <w:jc w:val="center"/>
              <w:rPr>
                <w:rFonts w:asciiTheme="minorEastAsia" w:hAnsiTheme="minorEastAsia" w:eastAsiaTheme="minorEastAsia" w:cstheme="minorEastAsia"/>
                <w:color w:val="auto"/>
                <w:sz w:val="24"/>
                <w:szCs w:val="24"/>
                <w:highlight w:val="none"/>
              </w:rPr>
            </w:pPr>
          </w:p>
        </w:tc>
        <w:tc>
          <w:tcPr>
            <w:tcW w:w="287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360" w:lineRule="auto"/>
              <w:jc w:val="center"/>
              <w:rPr>
                <w:rFonts w:asciiTheme="minorEastAsia" w:hAnsiTheme="minorEastAsia" w:eastAsiaTheme="minorEastAsia" w:cstheme="minorEastAsia"/>
                <w:color w:val="auto"/>
                <w:sz w:val="24"/>
                <w:szCs w:val="24"/>
                <w:highlight w:val="none"/>
              </w:rPr>
            </w:pPr>
          </w:p>
        </w:tc>
      </w:tr>
    </w:tbl>
    <w:p>
      <w:pPr>
        <w:widowControl/>
        <w:spacing w:line="360" w:lineRule="auto"/>
        <w:ind w:firstLine="241" w:firstLineChars="100"/>
        <w:jc w:val="left"/>
        <w:rPr>
          <w:rFonts w:hint="eastAsia" w:asciiTheme="minorEastAsia" w:hAnsiTheme="minorEastAsia" w:eastAsiaTheme="minorEastAsia" w:cstheme="minorEastAsia"/>
          <w:b/>
          <w:color w:val="auto"/>
          <w:kern w:val="0"/>
          <w:sz w:val="24"/>
          <w:szCs w:val="24"/>
          <w:highlight w:val="none"/>
          <w:lang w:bidi="ar"/>
        </w:rPr>
      </w:pPr>
      <w:r>
        <w:rPr>
          <w:rFonts w:hint="eastAsia" w:asciiTheme="minorEastAsia" w:hAnsiTheme="minorEastAsia" w:eastAsiaTheme="minorEastAsia" w:cstheme="minorEastAsia"/>
          <w:b/>
          <w:color w:val="auto"/>
          <w:kern w:val="0"/>
          <w:sz w:val="24"/>
          <w:szCs w:val="24"/>
          <w:highlight w:val="none"/>
          <w:lang w:bidi="ar"/>
        </w:rPr>
        <w:t>以上成员均在乙方任职，履行合同期间产生的费用、自身或给第三方造成的损失等全部责任均由乙方负责。</w:t>
      </w:r>
    </w:p>
    <w:p>
      <w:pPr>
        <w:widowControl/>
        <w:spacing w:line="360" w:lineRule="auto"/>
        <w:jc w:val="left"/>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kern w:val="0"/>
          <w:sz w:val="24"/>
          <w:szCs w:val="24"/>
          <w:highlight w:val="none"/>
          <w:lang w:bidi="ar"/>
        </w:rPr>
        <w:t>第八条：应用培训</w:t>
      </w:r>
    </w:p>
    <w:p>
      <w:pPr>
        <w:widowControl/>
        <w:spacing w:line="360" w:lineRule="auto"/>
        <w:ind w:firstLine="280"/>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kern w:val="0"/>
          <w:sz w:val="24"/>
          <w:szCs w:val="24"/>
          <w:highlight w:val="none"/>
          <w:lang w:bidi="ar"/>
        </w:rPr>
        <w:t>乙方负责对甲方人员进行合同软件的使用培训，培训费用乙方承担。培训计划如下表：</w:t>
      </w:r>
    </w:p>
    <w:tbl>
      <w:tblPr>
        <w:tblStyle w:val="44"/>
        <w:tblpPr w:leftFromText="181" w:rightFromText="181" w:vertAnchor="text" w:horzAnchor="margin" w:tblpY="114"/>
        <w:tblW w:w="888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88"/>
        <w:gridCol w:w="2500"/>
        <w:gridCol w:w="1544"/>
        <w:gridCol w:w="335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88"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360" w:lineRule="auto"/>
              <w:ind w:firstLine="280"/>
              <w:jc w:val="center"/>
              <w:rPr>
                <w:rFonts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kern w:val="0"/>
                <w:sz w:val="24"/>
                <w:szCs w:val="24"/>
                <w:highlight w:val="none"/>
                <w:lang w:bidi="ar"/>
              </w:rPr>
              <w:t>人数</w:t>
            </w:r>
          </w:p>
        </w:tc>
        <w:tc>
          <w:tcPr>
            <w:tcW w:w="250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360" w:lineRule="auto"/>
              <w:ind w:firstLine="280"/>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kern w:val="0"/>
                <w:sz w:val="24"/>
                <w:szCs w:val="24"/>
                <w:highlight w:val="none"/>
                <w:lang w:bidi="ar"/>
              </w:rPr>
              <w:t>按甲方要求安排</w:t>
            </w:r>
          </w:p>
        </w:tc>
        <w:tc>
          <w:tcPr>
            <w:tcW w:w="154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360" w:lineRule="auto"/>
              <w:ind w:firstLine="280"/>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kern w:val="0"/>
                <w:sz w:val="24"/>
                <w:szCs w:val="24"/>
                <w:highlight w:val="none"/>
                <w:lang w:bidi="ar"/>
              </w:rPr>
              <w:t>时间</w:t>
            </w:r>
          </w:p>
        </w:tc>
        <w:tc>
          <w:tcPr>
            <w:tcW w:w="335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360" w:lineRule="auto"/>
              <w:ind w:firstLine="280"/>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kern w:val="0"/>
                <w:sz w:val="24"/>
                <w:szCs w:val="24"/>
                <w:highlight w:val="none"/>
                <w:lang w:bidi="ar"/>
              </w:rPr>
              <w:t>不限，按甲方要求安排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88"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360" w:lineRule="auto"/>
              <w:ind w:firstLine="280"/>
              <w:jc w:val="center"/>
              <w:rPr>
                <w:rFonts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kern w:val="0"/>
                <w:sz w:val="24"/>
                <w:szCs w:val="24"/>
                <w:highlight w:val="none"/>
                <w:lang w:bidi="ar"/>
              </w:rPr>
              <w:t>学时</w:t>
            </w:r>
          </w:p>
        </w:tc>
        <w:tc>
          <w:tcPr>
            <w:tcW w:w="250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360" w:lineRule="auto"/>
              <w:ind w:firstLine="280"/>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kern w:val="0"/>
                <w:sz w:val="24"/>
                <w:szCs w:val="24"/>
                <w:highlight w:val="none"/>
                <w:lang w:bidi="ar"/>
              </w:rPr>
              <w:t>按甲方要求安排</w:t>
            </w:r>
          </w:p>
        </w:tc>
        <w:tc>
          <w:tcPr>
            <w:tcW w:w="154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360" w:lineRule="auto"/>
              <w:ind w:firstLine="280"/>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kern w:val="0"/>
                <w:sz w:val="24"/>
                <w:szCs w:val="24"/>
                <w:highlight w:val="none"/>
                <w:lang w:bidi="ar"/>
              </w:rPr>
              <w:t>地点</w:t>
            </w:r>
          </w:p>
        </w:tc>
        <w:tc>
          <w:tcPr>
            <w:tcW w:w="335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360" w:lineRule="auto"/>
              <w:ind w:firstLine="280"/>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kern w:val="0"/>
                <w:sz w:val="24"/>
                <w:szCs w:val="24"/>
                <w:highlight w:val="none"/>
                <w:lang w:bidi="ar"/>
              </w:rPr>
              <w:t>甲方指定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88"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360" w:lineRule="auto"/>
              <w:ind w:firstLine="280"/>
              <w:jc w:val="center"/>
              <w:rPr>
                <w:rFonts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kern w:val="0"/>
                <w:sz w:val="24"/>
                <w:szCs w:val="24"/>
                <w:highlight w:val="none"/>
                <w:lang w:bidi="ar"/>
              </w:rPr>
              <w:t>讲师</w:t>
            </w:r>
          </w:p>
        </w:tc>
        <w:tc>
          <w:tcPr>
            <w:tcW w:w="7400" w:type="dxa"/>
            <w:gridSpan w:val="3"/>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360" w:lineRule="auto"/>
              <w:ind w:firstLine="280"/>
              <w:jc w:val="center"/>
              <w:rPr>
                <w:rFonts w:asciiTheme="minorEastAsia" w:hAnsiTheme="minorEastAsia" w:eastAsiaTheme="minorEastAsia" w:cstheme="minorEastAsia"/>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3" w:hRule="atLeast"/>
        </w:trPr>
        <w:tc>
          <w:tcPr>
            <w:tcW w:w="1488"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360" w:lineRule="auto"/>
              <w:ind w:firstLine="280"/>
              <w:jc w:val="center"/>
              <w:rPr>
                <w:rFonts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kern w:val="0"/>
                <w:sz w:val="24"/>
                <w:szCs w:val="24"/>
                <w:highlight w:val="none"/>
                <w:lang w:bidi="ar"/>
              </w:rPr>
              <w:t>内容</w:t>
            </w:r>
          </w:p>
        </w:tc>
        <w:tc>
          <w:tcPr>
            <w:tcW w:w="7400" w:type="dxa"/>
            <w:gridSpan w:val="3"/>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360" w:lineRule="auto"/>
              <w:ind w:firstLine="480" w:firstLineChars="200"/>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kern w:val="0"/>
                <w:sz w:val="24"/>
                <w:szCs w:val="24"/>
                <w:highlight w:val="none"/>
                <w:lang w:bidi="ar"/>
              </w:rPr>
              <w:t>系统设计说明、系统功能交流、系统部署、操作等，实现用户能够独自完成全部事项的目标。</w:t>
            </w:r>
          </w:p>
        </w:tc>
      </w:tr>
    </w:tbl>
    <w:p>
      <w:pPr>
        <w:keepNext w:val="0"/>
        <w:keepLines w:val="0"/>
        <w:pageBreakBefore w:val="0"/>
        <w:widowControl/>
        <w:kinsoku/>
        <w:wordWrap/>
        <w:overflowPunct/>
        <w:topLinePunct w:val="0"/>
        <w:autoSpaceDE/>
        <w:autoSpaceDN/>
        <w:bidi w:val="0"/>
        <w:adjustRightInd/>
        <w:snapToGrid/>
        <w:spacing w:before="233" w:beforeLines="50" w:line="360" w:lineRule="auto"/>
        <w:jc w:val="left"/>
        <w:textAlignment w:val="auto"/>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kern w:val="0"/>
          <w:sz w:val="24"/>
          <w:szCs w:val="24"/>
          <w:highlight w:val="none"/>
          <w:lang w:bidi="ar"/>
        </w:rPr>
        <w:t>第九条：知识产权和保密条款</w:t>
      </w:r>
    </w:p>
    <w:p>
      <w:pPr>
        <w:widowControl/>
        <w:spacing w:line="360" w:lineRule="auto"/>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kern w:val="0"/>
          <w:sz w:val="24"/>
          <w:szCs w:val="24"/>
          <w:highlight w:val="none"/>
          <w:lang w:bidi="ar"/>
        </w:rPr>
        <w:t>1、本合同生效前已经存在的知识产权仍归原拥有方所有。本合同新产生的软件版权、著作权归属双方所有，乙方在测试验收后需向甲方提交全部源代码及开发过程中的所有相关文档资料。甲、乙双方应互尽资料保密之责任，</w:t>
      </w:r>
      <w:r>
        <w:rPr>
          <w:rFonts w:hint="eastAsia" w:asciiTheme="minorEastAsia" w:hAnsiTheme="minorEastAsia" w:eastAsiaTheme="minorEastAsia" w:cstheme="minorEastAsia"/>
          <w:color w:val="auto"/>
          <w:sz w:val="24"/>
        </w:rPr>
        <w:t>对于甲方在本协议生效前、生效后以及与乙方洽谈过程中，向乙方披露的任何信息，或者乙方从其他渠道获取的，以及虽属于第三方但甲方承担保密义务的信息，乙方不得向第三方透露或允许第三方使用保密信息</w:t>
      </w:r>
      <w:r>
        <w:rPr>
          <w:rFonts w:hint="eastAsia" w:asciiTheme="minorEastAsia" w:hAnsiTheme="minorEastAsia" w:eastAsiaTheme="minorEastAsia" w:cstheme="minorEastAsia"/>
          <w:color w:val="auto"/>
          <w:sz w:val="24"/>
          <w:lang w:eastAsia="zh-CN"/>
        </w:rPr>
        <w:t>，</w:t>
      </w:r>
      <w:r>
        <w:rPr>
          <w:rFonts w:hint="eastAsia" w:asciiTheme="minorEastAsia" w:hAnsiTheme="minorEastAsia" w:eastAsiaTheme="minorEastAsia" w:cstheme="minorEastAsia"/>
          <w:color w:val="auto"/>
          <w:kern w:val="0"/>
          <w:sz w:val="24"/>
          <w:szCs w:val="24"/>
          <w:highlight w:val="none"/>
          <w:lang w:bidi="ar"/>
        </w:rPr>
        <w:t>在未经另一方的书面认可情况下，如果任何一方泄露对方机密，由此造成的损失由泄密方承担。</w:t>
      </w:r>
    </w:p>
    <w:p>
      <w:pPr>
        <w:widowControl/>
        <w:spacing w:line="360" w:lineRule="auto"/>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kern w:val="0"/>
          <w:sz w:val="24"/>
          <w:szCs w:val="24"/>
          <w:highlight w:val="none"/>
          <w:lang w:bidi="ar"/>
        </w:rPr>
        <w:t>2、乙方保证为甲方提供的软件不侵犯第三方知识产权。</w:t>
      </w:r>
    </w:p>
    <w:p>
      <w:pPr>
        <w:widowControl/>
        <w:spacing w:line="360" w:lineRule="auto"/>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kern w:val="0"/>
          <w:sz w:val="24"/>
          <w:szCs w:val="24"/>
          <w:highlight w:val="none"/>
          <w:lang w:bidi="ar"/>
        </w:rPr>
        <w:t>3、甲方有权利用乙方按照本合同约定提供的研究开发成果，进行后续改进。由此产生的具有实质性或创造性技术进步特征的新的技术成果及其权利归属，全部由甲方享有。</w:t>
      </w:r>
    </w:p>
    <w:p>
      <w:pPr>
        <w:widowControl/>
        <w:spacing w:line="360" w:lineRule="auto"/>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kern w:val="0"/>
          <w:sz w:val="24"/>
          <w:szCs w:val="24"/>
          <w:highlight w:val="none"/>
          <w:lang w:bidi="ar"/>
        </w:rPr>
        <w:t>4、乙方按照本合同约定在履行系统维护和技术服务的过程中，利用甲方提供的相关资料和工作条件完成新的技术成果及其知识产权全部归属于双方所有（包括但不限于专利申请权、技术秘密的转让权、使用权及相关收益）。</w:t>
      </w:r>
    </w:p>
    <w:p>
      <w:pPr>
        <w:widowControl/>
        <w:spacing w:line="360" w:lineRule="auto"/>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kern w:val="0"/>
          <w:sz w:val="24"/>
          <w:szCs w:val="24"/>
          <w:highlight w:val="none"/>
          <w:lang w:bidi="ar"/>
        </w:rPr>
        <w:t>5、乙方在完成本合同约定的研究开发工作后，经甲方书面同意，可以利用该项研究开发成果进行后续改进。由此产生的具有实质性或创造性技术进步特征的新的技术成果，归甲方所有。具体相关利益的分配办法由双方协定分配。</w:t>
      </w:r>
    </w:p>
    <w:p>
      <w:pPr>
        <w:widowControl/>
        <w:spacing w:line="360" w:lineRule="auto"/>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kern w:val="0"/>
          <w:sz w:val="24"/>
          <w:szCs w:val="24"/>
          <w:highlight w:val="none"/>
          <w:lang w:bidi="ar"/>
        </w:rPr>
        <w:t xml:space="preserve">6、甲、乙双方签订的本合同内容以及履行合同过程中知悉的双方有关密码、配置情况为双方的秘密，甲、乙双方当事人不得泄露该秘密。泄露或者不正当地使用该秘密给对方造成损失的，应当承担损害赔偿责任。 </w:t>
      </w:r>
    </w:p>
    <w:p>
      <w:pPr>
        <w:widowControl/>
        <w:spacing w:line="360" w:lineRule="auto"/>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kern w:val="0"/>
          <w:sz w:val="24"/>
          <w:szCs w:val="24"/>
          <w:highlight w:val="none"/>
          <w:lang w:bidi="ar"/>
        </w:rPr>
        <w:t>7、乙方未经甲方书面同意，不得擅自使用或许可第三方使用。</w:t>
      </w:r>
    </w:p>
    <w:p>
      <w:pPr>
        <w:widowControl/>
        <w:spacing w:line="360" w:lineRule="auto"/>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kern w:val="0"/>
          <w:sz w:val="24"/>
          <w:szCs w:val="24"/>
          <w:highlight w:val="none"/>
          <w:lang w:bidi="ar"/>
        </w:rPr>
        <w:t>8、本条款应在本合同期满、解除或终止后仍然有效。</w:t>
      </w:r>
    </w:p>
    <w:p>
      <w:pPr>
        <w:widowControl/>
        <w:spacing w:line="360" w:lineRule="auto"/>
        <w:jc w:val="left"/>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kern w:val="0"/>
          <w:sz w:val="24"/>
          <w:szCs w:val="24"/>
          <w:highlight w:val="none"/>
          <w:lang w:bidi="ar"/>
        </w:rPr>
        <w:t>第十条：违约条款</w:t>
      </w:r>
    </w:p>
    <w:p>
      <w:pPr>
        <w:widowControl/>
        <w:spacing w:line="360" w:lineRule="auto"/>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kern w:val="0"/>
          <w:sz w:val="24"/>
          <w:szCs w:val="24"/>
          <w:highlight w:val="none"/>
          <w:lang w:bidi="ar"/>
        </w:rPr>
        <w:t>1、除本合同第十条不可抗拒力另有规定之外，如果由于乙方原因未能按合同规定的时间交付合同软件，乙方应当按合同金额的每日千分之五比例向甲方支付违约金，但总和不超过延迟交付软件金额的3%。乙方逾期三十日未能交付全部软件，甲方有权解除合同，乙方退回甲方所有已付的合同款并按合同总金额的3%赔偿甲方损失。</w:t>
      </w:r>
    </w:p>
    <w:p>
      <w:pPr>
        <w:widowControl/>
        <w:spacing w:line="360" w:lineRule="auto"/>
        <w:jc w:val="left"/>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kern w:val="0"/>
          <w:sz w:val="24"/>
          <w:szCs w:val="24"/>
          <w:highlight w:val="none"/>
          <w:lang w:bidi="ar"/>
        </w:rPr>
        <w:t>2、试运行合格后，甲方应及时验收，如因甲方原因，未能及时验收，则甲方仍应按合同规定时间向乙方按时支付合同款。如甲方延迟向乙方支付合同货款，甲方应当就延迟付款的金额按每日千分之五比例向乙方支付违约金，总和不超过延迟付款部分的3%。</w:t>
      </w:r>
      <w:r>
        <w:rPr>
          <w:rFonts w:hint="eastAsia" w:asciiTheme="minorEastAsia" w:hAnsiTheme="minorEastAsia" w:eastAsiaTheme="minorEastAsia" w:cstheme="minorEastAsia"/>
          <w:color w:val="auto"/>
          <w:kern w:val="0"/>
          <w:sz w:val="24"/>
          <w:szCs w:val="24"/>
          <w:highlight w:val="none"/>
          <w:lang w:val="en-US" w:eastAsia="zh-CN" w:bidi="ar"/>
        </w:rPr>
        <w:t>但因财政拨款延迟等因素导致甲方付款延迟的情况除外。</w:t>
      </w:r>
    </w:p>
    <w:p>
      <w:pPr>
        <w:widowControl/>
        <w:spacing w:line="360" w:lineRule="auto"/>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kern w:val="0"/>
          <w:sz w:val="24"/>
          <w:szCs w:val="24"/>
          <w:highlight w:val="none"/>
          <w:lang w:bidi="ar"/>
        </w:rPr>
        <w:t>3、如果乙方为甲方提供的软硬件设备侵犯了第三方知识产权，乙方作为责任人除承担应当承担对第三方的赔偿责任外，还应确保甲方能继续正常使用产品，所需费用由乙方承担，给甲方造成损失的应当予以赔偿。</w:t>
      </w:r>
    </w:p>
    <w:p>
      <w:pPr>
        <w:widowControl/>
        <w:spacing w:line="360" w:lineRule="auto"/>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kern w:val="0"/>
          <w:sz w:val="24"/>
          <w:szCs w:val="24"/>
          <w:highlight w:val="none"/>
          <w:lang w:bidi="ar"/>
        </w:rPr>
        <w:t>4、乙方确保为甲方所提供的技术支持服务及时、有效。如因乙方原因不能按本合同约定的技术支持提供服务，乙方应当按合同金额每日千分之五比例向甲方支付违约金，但总和不超过合同金额的3%。如因乙方原因，逾期十日未能提供恢复软件系统正常，甲方有权解除合同，并追回所付款项，乙方按合同总金额的3%赔偿甲方损失。</w:t>
      </w:r>
    </w:p>
    <w:p>
      <w:pPr>
        <w:widowControl/>
        <w:spacing w:line="360" w:lineRule="auto"/>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kern w:val="0"/>
          <w:sz w:val="24"/>
          <w:szCs w:val="24"/>
          <w:highlight w:val="none"/>
          <w:lang w:bidi="ar"/>
        </w:rPr>
        <w:t>5、甲乙双方各自支付的违约金和赔偿金总和不超过合同金额的3%，违约金、赔偿金不足以弥补损失的，守约方有权继续追偿。</w:t>
      </w:r>
    </w:p>
    <w:p>
      <w:pPr>
        <w:widowControl/>
        <w:spacing w:line="360" w:lineRule="auto"/>
        <w:jc w:val="left"/>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kern w:val="0"/>
          <w:sz w:val="24"/>
          <w:szCs w:val="24"/>
          <w:highlight w:val="none"/>
          <w:lang w:bidi="ar"/>
        </w:rPr>
        <w:t>第十一条：不可抗拒力</w:t>
      </w:r>
    </w:p>
    <w:p>
      <w:pPr>
        <w:widowControl/>
        <w:spacing w:line="360" w:lineRule="auto"/>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kern w:val="0"/>
          <w:sz w:val="24"/>
          <w:szCs w:val="24"/>
          <w:highlight w:val="none"/>
          <w:lang w:bidi="ar"/>
        </w:rPr>
        <w:t>1、合同生效后，签约双方任何一方，由于火灾、水灾、地震、战争或其他双方共同认为属于不可抗力的原因而被迫停止或推迟合同的执行，则合同执行相应顺延，顺延的时间相当于不可抗力发生作用的时间，并可根据情况部分或全部免予承担违约责任。</w:t>
      </w:r>
    </w:p>
    <w:p>
      <w:pPr>
        <w:widowControl/>
        <w:spacing w:line="360" w:lineRule="auto"/>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kern w:val="0"/>
          <w:sz w:val="24"/>
          <w:szCs w:val="24"/>
          <w:highlight w:val="none"/>
          <w:lang w:bidi="ar"/>
        </w:rPr>
        <w:t>2、受影响的一方应将不可抗力的出现尽快以电报或传真的形式通知另一方，在不可抗力出现14天内，受影响的一方应提供一份有关权威机构出具的证书并通过快件或挂号信寄到另一方以便其核实和确认。</w:t>
      </w:r>
    </w:p>
    <w:p>
      <w:pPr>
        <w:widowControl/>
        <w:spacing w:line="360" w:lineRule="auto"/>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kern w:val="0"/>
          <w:sz w:val="24"/>
          <w:szCs w:val="24"/>
          <w:highlight w:val="none"/>
          <w:lang w:bidi="ar"/>
        </w:rPr>
        <w:t>3、受影响的一方在不可抗力终止或被排除后应尽快通过电报或传真通知另一方，并通过挂号信通知另一方不可抗力已终结或排除。</w:t>
      </w:r>
    </w:p>
    <w:p>
      <w:pPr>
        <w:widowControl/>
        <w:spacing w:line="360" w:lineRule="auto"/>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kern w:val="0"/>
          <w:sz w:val="24"/>
          <w:szCs w:val="24"/>
          <w:highlight w:val="none"/>
          <w:lang w:bidi="ar"/>
        </w:rPr>
        <w:t>4、如果不可抗力持续作用超过60天，双方将通过友好协商解决本合同执行的问题，并尽快达成协议。</w:t>
      </w:r>
    </w:p>
    <w:p>
      <w:pPr>
        <w:widowControl/>
        <w:spacing w:line="360" w:lineRule="auto"/>
        <w:jc w:val="left"/>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kern w:val="0"/>
          <w:sz w:val="24"/>
          <w:szCs w:val="24"/>
          <w:highlight w:val="none"/>
          <w:lang w:bidi="ar"/>
        </w:rPr>
        <w:t>第十二条：争议解决的方式</w:t>
      </w:r>
    </w:p>
    <w:p>
      <w:pPr>
        <w:widowControl/>
        <w:spacing w:line="360" w:lineRule="auto"/>
        <w:ind w:firstLine="480" w:firstLineChars="200"/>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kern w:val="0"/>
          <w:sz w:val="24"/>
          <w:szCs w:val="24"/>
          <w:highlight w:val="none"/>
          <w:lang w:bidi="ar"/>
        </w:rPr>
        <w:t>因执行本合同所发生的或与本合同有关的一切争执，由签约双方友好协商解决。如双方经协商后仍不能解决时，可诉至北京市西城区人民法院。</w:t>
      </w:r>
    </w:p>
    <w:p>
      <w:pPr>
        <w:widowControl/>
        <w:spacing w:line="360" w:lineRule="auto"/>
        <w:jc w:val="left"/>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kern w:val="0"/>
          <w:sz w:val="24"/>
          <w:szCs w:val="24"/>
          <w:highlight w:val="none"/>
          <w:lang w:bidi="ar"/>
        </w:rPr>
        <w:t>第十三条：合同的生效、终止及其它</w:t>
      </w:r>
    </w:p>
    <w:p>
      <w:pPr>
        <w:widowControl/>
        <w:spacing w:line="360" w:lineRule="auto"/>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kern w:val="0"/>
          <w:sz w:val="24"/>
          <w:szCs w:val="24"/>
          <w:highlight w:val="none"/>
          <w:lang w:bidi="ar"/>
        </w:rPr>
        <w:t>1、合同于双方授权代理签字、盖章之日起生效。</w:t>
      </w:r>
    </w:p>
    <w:p>
      <w:pPr>
        <w:widowControl/>
        <w:spacing w:line="360" w:lineRule="auto"/>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kern w:val="0"/>
          <w:sz w:val="24"/>
          <w:szCs w:val="24"/>
          <w:highlight w:val="none"/>
          <w:lang w:bidi="ar"/>
        </w:rPr>
        <w:t>2、合同在有效期内终止须经双方协商同意，并立协议。</w:t>
      </w:r>
    </w:p>
    <w:p>
      <w:pPr>
        <w:widowControl/>
        <w:spacing w:line="360" w:lineRule="auto"/>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kern w:val="0"/>
          <w:sz w:val="24"/>
          <w:szCs w:val="24"/>
          <w:highlight w:val="none"/>
          <w:lang w:bidi="ar"/>
        </w:rPr>
        <w:t>3、乙方在本次项目中的投标文件为本合同不可分割的一部分，与本合同具有同等法律效力。</w:t>
      </w:r>
    </w:p>
    <w:p>
      <w:pPr>
        <w:widowControl/>
        <w:spacing w:line="360" w:lineRule="auto"/>
        <w:jc w:val="left"/>
        <w:rPr>
          <w:rFonts w:hint="eastAsia" w:asciiTheme="minorEastAsia" w:hAnsiTheme="minorEastAsia" w:eastAsiaTheme="minorEastAsia" w:cstheme="minorEastAsia"/>
          <w:color w:val="auto"/>
          <w:kern w:val="0"/>
          <w:sz w:val="24"/>
          <w:szCs w:val="24"/>
          <w:highlight w:val="none"/>
          <w:lang w:bidi="ar"/>
        </w:rPr>
      </w:pPr>
      <w:r>
        <w:rPr>
          <w:rFonts w:hint="eastAsia" w:asciiTheme="minorEastAsia" w:hAnsiTheme="minorEastAsia" w:eastAsiaTheme="minorEastAsia" w:cstheme="minorEastAsia"/>
          <w:color w:val="auto"/>
          <w:kern w:val="0"/>
          <w:sz w:val="24"/>
          <w:szCs w:val="24"/>
          <w:highlight w:val="none"/>
          <w:lang w:bidi="ar"/>
        </w:rPr>
        <w:t>4、本合同的附件与本合同具有同等法律效力，是本合同不可分割的一部分。本合同的附件包括：附件一：中标通知书；附件二《                     项目》</w:t>
      </w:r>
      <w:r>
        <w:rPr>
          <w:rFonts w:hint="eastAsia" w:asciiTheme="minorEastAsia" w:hAnsiTheme="minorEastAsia" w:eastAsiaTheme="minorEastAsia" w:cstheme="minorEastAsia"/>
          <w:color w:val="auto"/>
          <w:kern w:val="0"/>
          <w:sz w:val="24"/>
          <w:szCs w:val="24"/>
          <w:highlight w:val="none"/>
          <w:lang w:eastAsia="zh-CN" w:bidi="ar"/>
        </w:rPr>
        <w:t>建设方案；附件</w:t>
      </w:r>
      <w:r>
        <w:rPr>
          <w:rFonts w:hint="eastAsia" w:asciiTheme="minorEastAsia" w:hAnsiTheme="minorEastAsia" w:eastAsiaTheme="minorEastAsia" w:cstheme="minorEastAsia"/>
          <w:color w:val="auto"/>
          <w:kern w:val="0"/>
          <w:sz w:val="24"/>
          <w:szCs w:val="24"/>
          <w:highlight w:val="none"/>
          <w:lang w:val="en-US" w:eastAsia="zh-CN" w:bidi="ar"/>
        </w:rPr>
        <w:t>三：保密协议。</w:t>
      </w:r>
    </w:p>
    <w:p>
      <w:pPr>
        <w:widowControl/>
        <w:spacing w:line="360" w:lineRule="auto"/>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kern w:val="0"/>
          <w:sz w:val="24"/>
          <w:szCs w:val="24"/>
          <w:highlight w:val="none"/>
          <w:lang w:bidi="ar"/>
        </w:rPr>
        <w:t>5、本合同壹式</w:t>
      </w:r>
      <w:r>
        <w:rPr>
          <w:rFonts w:hint="eastAsia" w:asciiTheme="minorEastAsia" w:hAnsiTheme="minorEastAsia" w:eastAsiaTheme="minorEastAsia" w:cstheme="minorEastAsia"/>
          <w:color w:val="auto"/>
          <w:kern w:val="0"/>
          <w:sz w:val="24"/>
          <w:szCs w:val="24"/>
          <w:highlight w:val="none"/>
          <w:lang w:eastAsia="zh-CN" w:bidi="ar"/>
        </w:rPr>
        <w:t>肆</w:t>
      </w:r>
      <w:r>
        <w:rPr>
          <w:rFonts w:hint="eastAsia" w:asciiTheme="minorEastAsia" w:hAnsiTheme="minorEastAsia" w:eastAsiaTheme="minorEastAsia" w:cstheme="minorEastAsia"/>
          <w:color w:val="auto"/>
          <w:kern w:val="0"/>
          <w:sz w:val="24"/>
          <w:szCs w:val="24"/>
          <w:highlight w:val="none"/>
          <w:lang w:bidi="ar"/>
        </w:rPr>
        <w:t>份，甲方执</w:t>
      </w:r>
      <w:r>
        <w:rPr>
          <w:rFonts w:hint="eastAsia" w:asciiTheme="minorEastAsia" w:hAnsiTheme="minorEastAsia" w:eastAsiaTheme="minorEastAsia" w:cstheme="minorEastAsia"/>
          <w:color w:val="auto"/>
          <w:kern w:val="0"/>
          <w:sz w:val="24"/>
          <w:szCs w:val="24"/>
          <w:highlight w:val="none"/>
          <w:lang w:eastAsia="zh-CN" w:bidi="ar"/>
        </w:rPr>
        <w:t>贰</w:t>
      </w:r>
      <w:r>
        <w:rPr>
          <w:rFonts w:hint="eastAsia" w:asciiTheme="minorEastAsia" w:hAnsiTheme="minorEastAsia" w:eastAsiaTheme="minorEastAsia" w:cstheme="minorEastAsia"/>
          <w:color w:val="auto"/>
          <w:kern w:val="0"/>
          <w:sz w:val="24"/>
          <w:szCs w:val="24"/>
          <w:highlight w:val="none"/>
          <w:lang w:bidi="ar"/>
        </w:rPr>
        <w:t>份，乙方执</w:t>
      </w:r>
      <w:r>
        <w:rPr>
          <w:rFonts w:hint="eastAsia" w:asciiTheme="minorEastAsia" w:hAnsiTheme="minorEastAsia" w:eastAsiaTheme="minorEastAsia" w:cstheme="minorEastAsia"/>
          <w:color w:val="auto"/>
          <w:kern w:val="0"/>
          <w:sz w:val="24"/>
          <w:szCs w:val="24"/>
          <w:highlight w:val="none"/>
          <w:lang w:eastAsia="zh-CN" w:bidi="ar"/>
        </w:rPr>
        <w:t>贰</w:t>
      </w:r>
      <w:r>
        <w:rPr>
          <w:rFonts w:hint="eastAsia" w:asciiTheme="minorEastAsia" w:hAnsiTheme="minorEastAsia" w:eastAsiaTheme="minorEastAsia" w:cstheme="minorEastAsia"/>
          <w:color w:val="auto"/>
          <w:kern w:val="0"/>
          <w:sz w:val="24"/>
          <w:szCs w:val="24"/>
          <w:highlight w:val="none"/>
          <w:lang w:bidi="ar"/>
        </w:rPr>
        <w:t>份。对合同内容做出的任何修改和补充应为书面形式，由双方授权代理签字后成为合同不可分割的部分。</w:t>
      </w:r>
    </w:p>
    <w:p>
      <w:pPr>
        <w:widowControl/>
        <w:spacing w:line="360" w:lineRule="auto"/>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kern w:val="0"/>
          <w:sz w:val="24"/>
          <w:szCs w:val="24"/>
          <w:highlight w:val="none"/>
          <w:lang w:bidi="ar"/>
        </w:rPr>
        <w:t>6、合同中未尽事宜将由双方友好协商予以解决。</w:t>
      </w:r>
    </w:p>
    <w:p>
      <w:pPr>
        <w:widowControl/>
        <w:spacing w:line="360" w:lineRule="auto"/>
        <w:jc w:val="left"/>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kern w:val="0"/>
          <w:sz w:val="24"/>
          <w:szCs w:val="24"/>
          <w:highlight w:val="none"/>
          <w:lang w:bidi="ar"/>
        </w:rPr>
        <w:t>第十四条：定义</w:t>
      </w:r>
    </w:p>
    <w:p>
      <w:pPr>
        <w:widowControl/>
        <w:spacing w:line="360" w:lineRule="auto"/>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kern w:val="0"/>
          <w:sz w:val="24"/>
          <w:szCs w:val="24"/>
          <w:highlight w:val="none"/>
          <w:lang w:bidi="ar"/>
        </w:rPr>
        <w:t>1、电话支持：指乙方通过电话、传真或E-mail等方式向甲方提供的技术服务。</w:t>
      </w:r>
    </w:p>
    <w:p>
      <w:pPr>
        <w:widowControl/>
        <w:spacing w:line="360" w:lineRule="auto"/>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kern w:val="0"/>
          <w:sz w:val="24"/>
          <w:szCs w:val="24"/>
          <w:highlight w:val="none"/>
          <w:lang w:bidi="ar"/>
        </w:rPr>
        <w:t>2、远程支持：指乙方在“电话支持”不能解决问题的情况下，通过远程技术向甲方提供的“在远端进行问题诊断，并提出解决问题方案”的技术服务。</w:t>
      </w:r>
    </w:p>
    <w:p>
      <w:pPr>
        <w:widowControl/>
        <w:spacing w:line="360" w:lineRule="auto"/>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kern w:val="0"/>
          <w:sz w:val="24"/>
          <w:szCs w:val="24"/>
          <w:highlight w:val="none"/>
          <w:lang w:bidi="ar"/>
        </w:rPr>
        <w:t>3、现场支持：指在通过电话或远程服务方式都无法解决问题的情况下，乙方技术人员在合同规定的响应时间内（7×24小时）响应甲方需求，并在1小时内到达甲方现场提供的技术服务。如在1小时内无法恢复服务正常，乙方应免费提供可替换的设备或人员，确保服务正常进行。</w:t>
      </w:r>
    </w:p>
    <w:p>
      <w:pPr>
        <w:widowControl/>
        <w:spacing w:line="360" w:lineRule="auto"/>
        <w:jc w:val="left"/>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kern w:val="0"/>
          <w:sz w:val="24"/>
          <w:szCs w:val="24"/>
          <w:highlight w:val="none"/>
          <w:lang w:bidi="ar"/>
        </w:rPr>
        <w:t>第十五条：补充条款</w:t>
      </w:r>
    </w:p>
    <w:p>
      <w:pPr>
        <w:widowControl/>
        <w:spacing w:line="360" w:lineRule="auto"/>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kern w:val="0"/>
          <w:sz w:val="24"/>
          <w:szCs w:val="24"/>
          <w:highlight w:val="none"/>
          <w:lang w:bidi="ar"/>
        </w:rPr>
        <w:t>附件1：中标通知书。</w:t>
      </w:r>
    </w:p>
    <w:p>
      <w:pPr>
        <w:widowControl/>
        <w:spacing w:line="360" w:lineRule="auto"/>
        <w:jc w:val="left"/>
        <w:rPr>
          <w:rFonts w:hint="eastAsia" w:asciiTheme="minorEastAsia" w:hAnsiTheme="minorEastAsia" w:eastAsiaTheme="minorEastAsia" w:cstheme="minorEastAsia"/>
          <w:color w:val="auto"/>
          <w:kern w:val="0"/>
          <w:sz w:val="24"/>
          <w:szCs w:val="24"/>
          <w:highlight w:val="none"/>
          <w:lang w:bidi="ar"/>
        </w:rPr>
      </w:pPr>
      <w:r>
        <w:rPr>
          <w:rFonts w:hint="eastAsia" w:asciiTheme="minorEastAsia" w:hAnsiTheme="minorEastAsia" w:eastAsiaTheme="minorEastAsia" w:cstheme="minorEastAsia"/>
          <w:color w:val="auto"/>
          <w:kern w:val="0"/>
          <w:sz w:val="24"/>
          <w:szCs w:val="24"/>
          <w:highlight w:val="none"/>
          <w:lang w:bidi="ar"/>
        </w:rPr>
        <w:t>附件2：《                   项目》</w:t>
      </w:r>
      <w:r>
        <w:rPr>
          <w:rFonts w:hint="eastAsia" w:asciiTheme="minorEastAsia" w:hAnsiTheme="minorEastAsia" w:eastAsiaTheme="minorEastAsia" w:cstheme="minorEastAsia"/>
          <w:color w:val="auto"/>
          <w:kern w:val="0"/>
          <w:sz w:val="24"/>
          <w:szCs w:val="24"/>
          <w:highlight w:val="none"/>
          <w:lang w:val="en-US" w:eastAsia="zh-CN" w:bidi="ar"/>
        </w:rPr>
        <w:t>建设方案</w:t>
      </w:r>
      <w:r>
        <w:rPr>
          <w:rFonts w:hint="eastAsia" w:asciiTheme="minorEastAsia" w:hAnsiTheme="minorEastAsia" w:eastAsiaTheme="minorEastAsia" w:cstheme="minorEastAsia"/>
          <w:color w:val="auto"/>
          <w:kern w:val="0"/>
          <w:sz w:val="24"/>
          <w:szCs w:val="24"/>
          <w:highlight w:val="none"/>
          <w:lang w:bidi="ar"/>
        </w:rPr>
        <w:t>。</w:t>
      </w:r>
    </w:p>
    <w:p>
      <w:pPr>
        <w:widowControl/>
        <w:spacing w:line="360" w:lineRule="auto"/>
        <w:jc w:val="left"/>
        <w:rPr>
          <w:rFonts w:hint="eastAsia" w:asciiTheme="minorEastAsia" w:hAnsiTheme="minorEastAsia" w:eastAsiaTheme="minorEastAsia" w:cstheme="minorEastAsia"/>
          <w:color w:val="auto"/>
          <w:kern w:val="0"/>
          <w:sz w:val="24"/>
          <w:szCs w:val="24"/>
          <w:highlight w:val="none"/>
          <w:lang w:val="en-US" w:eastAsia="zh-CN" w:bidi="ar"/>
        </w:rPr>
      </w:pPr>
      <w:r>
        <w:rPr>
          <w:rFonts w:hint="eastAsia" w:asciiTheme="minorEastAsia" w:hAnsiTheme="minorEastAsia" w:eastAsiaTheme="minorEastAsia" w:cstheme="minorEastAsia"/>
          <w:color w:val="auto"/>
          <w:kern w:val="0"/>
          <w:sz w:val="24"/>
          <w:szCs w:val="24"/>
          <w:highlight w:val="none"/>
          <w:lang w:eastAsia="zh-CN" w:bidi="ar"/>
        </w:rPr>
        <w:t>附件</w:t>
      </w:r>
      <w:r>
        <w:rPr>
          <w:rFonts w:hint="eastAsia" w:asciiTheme="minorEastAsia" w:hAnsiTheme="minorEastAsia" w:eastAsiaTheme="minorEastAsia" w:cstheme="minorEastAsia"/>
          <w:color w:val="auto"/>
          <w:kern w:val="0"/>
          <w:sz w:val="24"/>
          <w:szCs w:val="24"/>
          <w:highlight w:val="none"/>
          <w:lang w:val="en-US" w:eastAsia="zh-CN" w:bidi="ar"/>
        </w:rPr>
        <w:t>3：保密协议。</w:t>
      </w:r>
    </w:p>
    <w:p>
      <w:pPr>
        <w:widowControl/>
        <w:spacing w:line="276" w:lineRule="auto"/>
        <w:jc w:val="center"/>
        <w:rPr>
          <w:rFonts w:hint="eastAsia" w:ascii="宋体" w:hAnsi="宋体" w:eastAsia="宋体"/>
          <w:b/>
          <w:color w:val="auto"/>
          <w:kern w:val="0"/>
          <w:sz w:val="21"/>
          <w:szCs w:val="28"/>
        </w:rPr>
      </w:pPr>
    </w:p>
    <w:p>
      <w:pPr>
        <w:widowControl/>
        <w:spacing w:line="276" w:lineRule="auto"/>
        <w:jc w:val="center"/>
        <w:rPr>
          <w:rFonts w:hint="eastAsia" w:ascii="宋体" w:hAnsi="宋体" w:eastAsia="宋体"/>
          <w:b/>
          <w:color w:val="auto"/>
          <w:kern w:val="0"/>
          <w:sz w:val="21"/>
          <w:szCs w:val="28"/>
        </w:rPr>
      </w:pPr>
    </w:p>
    <w:p>
      <w:pPr>
        <w:widowControl/>
        <w:spacing w:line="276" w:lineRule="auto"/>
        <w:jc w:val="center"/>
        <w:rPr>
          <w:rFonts w:hint="eastAsia" w:ascii="宋体" w:hAnsi="宋体" w:eastAsia="宋体"/>
          <w:b/>
          <w:color w:val="auto"/>
          <w:kern w:val="0"/>
          <w:sz w:val="21"/>
          <w:szCs w:val="28"/>
        </w:rPr>
      </w:pPr>
    </w:p>
    <w:p>
      <w:pPr>
        <w:widowControl/>
        <w:spacing w:line="276" w:lineRule="auto"/>
        <w:jc w:val="center"/>
        <w:rPr>
          <w:rFonts w:hint="eastAsia" w:ascii="宋体" w:hAnsi="宋体" w:eastAsia="宋体"/>
          <w:b/>
          <w:color w:val="auto"/>
          <w:kern w:val="0"/>
          <w:sz w:val="21"/>
          <w:szCs w:val="28"/>
        </w:rPr>
      </w:pPr>
    </w:p>
    <w:p>
      <w:pPr>
        <w:widowControl/>
        <w:spacing w:line="276" w:lineRule="auto"/>
        <w:jc w:val="center"/>
        <w:rPr>
          <w:rFonts w:hint="eastAsia" w:ascii="宋体" w:hAnsi="宋体" w:eastAsia="宋体"/>
          <w:b/>
          <w:color w:val="auto"/>
          <w:kern w:val="0"/>
          <w:sz w:val="21"/>
          <w:szCs w:val="28"/>
        </w:rPr>
      </w:pPr>
    </w:p>
    <w:p>
      <w:pPr>
        <w:widowControl/>
        <w:spacing w:line="276" w:lineRule="auto"/>
        <w:jc w:val="center"/>
        <w:rPr>
          <w:rFonts w:hint="eastAsia" w:ascii="宋体" w:hAnsi="宋体" w:eastAsia="宋体"/>
          <w:b/>
          <w:color w:val="auto"/>
          <w:kern w:val="0"/>
          <w:sz w:val="21"/>
          <w:szCs w:val="28"/>
        </w:rPr>
      </w:pPr>
    </w:p>
    <w:p>
      <w:pPr>
        <w:widowControl/>
        <w:spacing w:line="276" w:lineRule="auto"/>
        <w:jc w:val="center"/>
        <w:rPr>
          <w:rFonts w:hint="eastAsia" w:ascii="宋体" w:hAnsi="宋体" w:eastAsia="宋体"/>
          <w:b/>
          <w:color w:val="auto"/>
          <w:kern w:val="0"/>
          <w:sz w:val="21"/>
          <w:szCs w:val="28"/>
        </w:rPr>
      </w:pPr>
    </w:p>
    <w:p>
      <w:pPr>
        <w:widowControl/>
        <w:spacing w:line="276" w:lineRule="auto"/>
        <w:jc w:val="center"/>
        <w:rPr>
          <w:rFonts w:hint="eastAsia" w:ascii="宋体" w:hAnsi="宋体" w:eastAsia="宋体"/>
          <w:b/>
          <w:color w:val="auto"/>
          <w:kern w:val="0"/>
          <w:sz w:val="21"/>
          <w:szCs w:val="28"/>
        </w:rPr>
      </w:pPr>
    </w:p>
    <w:p>
      <w:pPr>
        <w:widowControl/>
        <w:spacing w:line="276" w:lineRule="auto"/>
        <w:jc w:val="center"/>
        <w:rPr>
          <w:rFonts w:hint="eastAsia" w:ascii="宋体" w:hAnsi="宋体" w:eastAsia="宋体"/>
          <w:b/>
          <w:color w:val="auto"/>
          <w:kern w:val="0"/>
          <w:sz w:val="21"/>
          <w:szCs w:val="28"/>
        </w:rPr>
      </w:pPr>
    </w:p>
    <w:p>
      <w:pPr>
        <w:widowControl/>
        <w:spacing w:line="276" w:lineRule="auto"/>
        <w:jc w:val="center"/>
        <w:rPr>
          <w:rFonts w:hint="eastAsia" w:ascii="宋体" w:hAnsi="宋体" w:eastAsia="宋体"/>
          <w:b/>
          <w:color w:val="auto"/>
          <w:kern w:val="0"/>
          <w:sz w:val="21"/>
          <w:szCs w:val="28"/>
        </w:rPr>
      </w:pPr>
    </w:p>
    <w:p>
      <w:pPr>
        <w:widowControl/>
        <w:spacing w:line="276" w:lineRule="auto"/>
        <w:jc w:val="center"/>
        <w:rPr>
          <w:rFonts w:hint="eastAsia" w:ascii="宋体" w:hAnsi="宋体" w:eastAsia="宋体"/>
          <w:b/>
          <w:color w:val="auto"/>
          <w:kern w:val="0"/>
          <w:sz w:val="21"/>
          <w:szCs w:val="28"/>
        </w:rPr>
      </w:pPr>
    </w:p>
    <w:p>
      <w:pPr>
        <w:widowControl/>
        <w:spacing w:line="276" w:lineRule="auto"/>
        <w:jc w:val="center"/>
        <w:rPr>
          <w:rFonts w:hint="eastAsia" w:ascii="宋体" w:hAnsi="宋体" w:eastAsia="宋体"/>
          <w:b/>
          <w:color w:val="auto"/>
          <w:kern w:val="0"/>
          <w:sz w:val="21"/>
          <w:szCs w:val="28"/>
        </w:rPr>
      </w:pPr>
    </w:p>
    <w:p>
      <w:pPr>
        <w:widowControl/>
        <w:spacing w:line="276" w:lineRule="auto"/>
        <w:jc w:val="center"/>
        <w:rPr>
          <w:rFonts w:hint="eastAsia" w:ascii="宋体" w:hAnsi="宋体" w:eastAsia="宋体"/>
          <w:b/>
          <w:color w:val="auto"/>
          <w:kern w:val="0"/>
          <w:sz w:val="21"/>
          <w:szCs w:val="28"/>
        </w:rPr>
      </w:pPr>
    </w:p>
    <w:p>
      <w:pPr>
        <w:widowControl/>
        <w:spacing w:line="276" w:lineRule="auto"/>
        <w:jc w:val="center"/>
        <w:rPr>
          <w:rFonts w:hint="eastAsia" w:ascii="宋体" w:hAnsi="宋体" w:eastAsia="宋体"/>
          <w:b/>
          <w:color w:val="auto"/>
          <w:kern w:val="0"/>
          <w:sz w:val="21"/>
          <w:szCs w:val="28"/>
        </w:rPr>
      </w:pPr>
    </w:p>
    <w:p>
      <w:pPr>
        <w:widowControl/>
        <w:spacing w:line="276" w:lineRule="auto"/>
        <w:jc w:val="center"/>
        <w:rPr>
          <w:rFonts w:hint="eastAsia" w:ascii="宋体" w:hAnsi="宋体" w:eastAsia="宋体"/>
          <w:b/>
          <w:color w:val="auto"/>
          <w:kern w:val="0"/>
          <w:sz w:val="21"/>
          <w:szCs w:val="28"/>
        </w:rPr>
      </w:pPr>
    </w:p>
    <w:p>
      <w:pPr>
        <w:widowControl/>
        <w:spacing w:line="276" w:lineRule="auto"/>
        <w:jc w:val="center"/>
        <w:rPr>
          <w:rFonts w:hint="eastAsia" w:ascii="宋体" w:hAnsi="宋体" w:eastAsia="宋体"/>
          <w:b/>
          <w:color w:val="auto"/>
          <w:kern w:val="0"/>
          <w:sz w:val="21"/>
          <w:szCs w:val="28"/>
        </w:rPr>
      </w:pPr>
    </w:p>
    <w:p>
      <w:pPr>
        <w:widowControl/>
        <w:spacing w:line="276" w:lineRule="auto"/>
        <w:jc w:val="center"/>
        <w:rPr>
          <w:rFonts w:hint="eastAsia" w:ascii="宋体" w:hAnsi="宋体" w:eastAsia="宋体"/>
          <w:b/>
          <w:color w:val="auto"/>
          <w:kern w:val="0"/>
          <w:sz w:val="21"/>
          <w:szCs w:val="28"/>
        </w:rPr>
      </w:pPr>
    </w:p>
    <w:p>
      <w:pPr>
        <w:widowControl/>
        <w:spacing w:line="276" w:lineRule="auto"/>
        <w:jc w:val="both"/>
        <w:rPr>
          <w:rFonts w:hint="eastAsia" w:ascii="宋体" w:hAnsi="宋体" w:eastAsia="宋体"/>
          <w:b/>
          <w:color w:val="auto"/>
          <w:kern w:val="0"/>
          <w:sz w:val="21"/>
          <w:szCs w:val="28"/>
          <w:lang w:eastAsia="zh-CN"/>
        </w:rPr>
      </w:pPr>
    </w:p>
    <w:p>
      <w:pPr>
        <w:widowControl/>
        <w:spacing w:line="276" w:lineRule="auto"/>
        <w:jc w:val="both"/>
        <w:rPr>
          <w:rFonts w:hint="eastAsia" w:ascii="宋体" w:hAnsi="宋体" w:eastAsia="宋体"/>
          <w:b/>
          <w:color w:val="auto"/>
          <w:kern w:val="0"/>
          <w:sz w:val="21"/>
          <w:szCs w:val="28"/>
          <w:lang w:eastAsia="zh-CN"/>
        </w:rPr>
      </w:pPr>
    </w:p>
    <w:p>
      <w:pPr>
        <w:widowControl/>
        <w:spacing w:line="276" w:lineRule="auto"/>
        <w:jc w:val="both"/>
        <w:rPr>
          <w:rFonts w:hint="eastAsia" w:ascii="宋体" w:hAnsi="宋体" w:eastAsia="宋体"/>
          <w:b/>
          <w:color w:val="auto"/>
          <w:kern w:val="0"/>
          <w:sz w:val="21"/>
          <w:szCs w:val="28"/>
          <w:lang w:eastAsia="zh-CN"/>
        </w:rPr>
      </w:pPr>
    </w:p>
    <w:p>
      <w:pPr>
        <w:widowControl/>
        <w:spacing w:line="276" w:lineRule="auto"/>
        <w:jc w:val="both"/>
        <w:rPr>
          <w:rFonts w:hint="eastAsia" w:ascii="宋体" w:hAnsi="宋体" w:eastAsia="宋体"/>
          <w:b/>
          <w:color w:val="auto"/>
          <w:kern w:val="0"/>
          <w:sz w:val="21"/>
          <w:szCs w:val="28"/>
          <w:lang w:eastAsia="zh-CN"/>
        </w:rPr>
      </w:pPr>
    </w:p>
    <w:p>
      <w:pPr>
        <w:widowControl/>
        <w:spacing w:line="276" w:lineRule="auto"/>
        <w:jc w:val="both"/>
        <w:rPr>
          <w:rFonts w:hint="eastAsia" w:ascii="宋体" w:hAnsi="宋体" w:eastAsia="宋体"/>
          <w:b/>
          <w:color w:val="auto"/>
          <w:kern w:val="0"/>
          <w:sz w:val="21"/>
          <w:szCs w:val="28"/>
          <w:lang w:eastAsia="zh-CN"/>
        </w:rPr>
      </w:pPr>
    </w:p>
    <w:p>
      <w:pPr>
        <w:widowControl/>
        <w:spacing w:line="276" w:lineRule="auto"/>
        <w:jc w:val="both"/>
        <w:rPr>
          <w:rFonts w:hint="eastAsia" w:ascii="宋体" w:hAnsi="宋体" w:eastAsia="宋体"/>
          <w:b/>
          <w:color w:val="auto"/>
          <w:kern w:val="0"/>
          <w:sz w:val="21"/>
          <w:szCs w:val="28"/>
          <w:lang w:eastAsia="zh-CN"/>
        </w:rPr>
      </w:pPr>
    </w:p>
    <w:p>
      <w:pPr>
        <w:widowControl/>
        <w:spacing w:line="276" w:lineRule="auto"/>
        <w:jc w:val="both"/>
        <w:rPr>
          <w:rFonts w:hint="eastAsia" w:ascii="宋体" w:hAnsi="宋体" w:eastAsia="宋体"/>
          <w:b/>
          <w:color w:val="auto"/>
          <w:kern w:val="0"/>
          <w:sz w:val="21"/>
          <w:szCs w:val="28"/>
          <w:lang w:eastAsia="zh-CN"/>
        </w:rPr>
      </w:pPr>
    </w:p>
    <w:p>
      <w:pPr>
        <w:widowControl/>
        <w:spacing w:line="276" w:lineRule="auto"/>
        <w:jc w:val="both"/>
        <w:rPr>
          <w:rFonts w:hint="eastAsia" w:ascii="宋体" w:hAnsi="宋体" w:eastAsia="宋体"/>
          <w:b/>
          <w:color w:val="auto"/>
          <w:kern w:val="0"/>
          <w:sz w:val="21"/>
          <w:szCs w:val="28"/>
          <w:lang w:eastAsia="zh-CN"/>
        </w:rPr>
      </w:pPr>
    </w:p>
    <w:p>
      <w:pPr>
        <w:widowControl/>
        <w:spacing w:line="276" w:lineRule="auto"/>
        <w:jc w:val="both"/>
        <w:rPr>
          <w:rFonts w:hint="default" w:ascii="宋体" w:hAnsi="宋体" w:eastAsia="宋体"/>
          <w:b/>
          <w:color w:val="auto"/>
          <w:kern w:val="0"/>
          <w:sz w:val="21"/>
          <w:szCs w:val="28"/>
          <w:lang w:val="en-US" w:eastAsia="zh-CN"/>
        </w:rPr>
      </w:pPr>
      <w:r>
        <w:rPr>
          <w:rFonts w:hint="eastAsia" w:ascii="宋体" w:hAnsi="宋体" w:eastAsia="宋体"/>
          <w:b/>
          <w:color w:val="auto"/>
          <w:kern w:val="0"/>
          <w:sz w:val="21"/>
          <w:szCs w:val="28"/>
          <w:lang w:eastAsia="zh-CN"/>
        </w:rPr>
        <w:t>附件</w:t>
      </w:r>
      <w:r>
        <w:rPr>
          <w:rFonts w:hint="eastAsia" w:ascii="宋体" w:hAnsi="宋体" w:eastAsia="宋体"/>
          <w:b/>
          <w:color w:val="auto"/>
          <w:kern w:val="0"/>
          <w:sz w:val="21"/>
          <w:szCs w:val="28"/>
          <w:lang w:val="en-US" w:eastAsia="zh-CN"/>
        </w:rPr>
        <w:t>3：</w:t>
      </w:r>
    </w:p>
    <w:p>
      <w:pPr>
        <w:widowControl/>
        <w:spacing w:line="276" w:lineRule="auto"/>
        <w:jc w:val="center"/>
        <w:rPr>
          <w:rFonts w:ascii="宋体" w:hAnsi="宋体" w:eastAsia="宋体"/>
          <w:b/>
          <w:color w:val="auto"/>
          <w:kern w:val="0"/>
          <w:sz w:val="21"/>
          <w:szCs w:val="28"/>
        </w:rPr>
      </w:pPr>
      <w:r>
        <w:rPr>
          <w:rFonts w:hint="eastAsia" w:ascii="宋体" w:hAnsi="宋体" w:eastAsia="宋体"/>
          <w:b/>
          <w:color w:val="auto"/>
          <w:kern w:val="0"/>
          <w:sz w:val="21"/>
          <w:szCs w:val="28"/>
        </w:rPr>
        <w:t>保密协议</w:t>
      </w:r>
    </w:p>
    <w:p>
      <w:pPr>
        <w:widowControl/>
        <w:spacing w:line="276" w:lineRule="auto"/>
        <w:ind w:right="1680"/>
        <w:jc w:val="right"/>
        <w:rPr>
          <w:rFonts w:ascii="宋体" w:hAnsi="宋体" w:eastAsia="宋体"/>
          <w:color w:val="auto"/>
          <w:kern w:val="0"/>
          <w:sz w:val="21"/>
          <w:szCs w:val="28"/>
          <w:u w:val="single"/>
        </w:rPr>
      </w:pPr>
      <w:r>
        <w:rPr>
          <w:rFonts w:hint="eastAsia" w:ascii="宋体" w:hAnsi="宋体" w:eastAsia="宋体"/>
          <w:color w:val="auto"/>
          <w:kern w:val="0"/>
          <w:sz w:val="21"/>
          <w:szCs w:val="28"/>
          <w:u w:val="single"/>
        </w:rPr>
        <w:t xml:space="preserve">       </w:t>
      </w:r>
    </w:p>
    <w:p>
      <w:pPr>
        <w:widowControl/>
        <w:spacing w:line="276" w:lineRule="auto"/>
        <w:jc w:val="left"/>
        <w:rPr>
          <w:rFonts w:ascii="宋体" w:hAnsi="宋体" w:eastAsia="宋体"/>
          <w:color w:val="auto"/>
          <w:kern w:val="0"/>
          <w:sz w:val="21"/>
          <w:szCs w:val="28"/>
        </w:rPr>
      </w:pPr>
      <w:r>
        <w:rPr>
          <w:rFonts w:hint="eastAsia" w:ascii="宋体" w:hAnsi="宋体" w:eastAsia="宋体"/>
          <w:color w:val="auto"/>
          <w:kern w:val="0"/>
          <w:sz w:val="21"/>
          <w:szCs w:val="28"/>
        </w:rPr>
        <w:t>鉴于：</w:t>
      </w:r>
    </w:p>
    <w:p>
      <w:pPr>
        <w:widowControl/>
        <w:spacing w:line="276" w:lineRule="auto"/>
        <w:ind w:firstLine="420"/>
        <w:jc w:val="left"/>
        <w:rPr>
          <w:rFonts w:ascii="宋体" w:hAnsi="宋体" w:eastAsia="宋体"/>
          <w:color w:val="auto"/>
          <w:kern w:val="0"/>
          <w:sz w:val="21"/>
          <w:szCs w:val="28"/>
        </w:rPr>
      </w:pPr>
      <w:r>
        <w:rPr>
          <w:rFonts w:hint="eastAsia" w:ascii="宋体" w:hAnsi="宋体" w:eastAsia="宋体"/>
          <w:color w:val="auto"/>
          <w:kern w:val="0"/>
          <w:sz w:val="21"/>
          <w:szCs w:val="28"/>
        </w:rPr>
        <w:t>1、甲方与乙方在</w:t>
      </w:r>
      <w:r>
        <w:rPr>
          <w:rFonts w:hint="eastAsia" w:ascii="宋体" w:hAnsi="宋体" w:eastAsia="宋体"/>
          <w:color w:val="auto"/>
          <w:kern w:val="0"/>
          <w:sz w:val="21"/>
          <w:szCs w:val="28"/>
          <w:u w:val="single"/>
          <w:lang w:val="en-US" w:eastAsia="zh-CN"/>
        </w:rPr>
        <w:t>XXXXXXXXXXXXXX</w:t>
      </w:r>
      <w:r>
        <w:rPr>
          <w:rFonts w:hint="eastAsia" w:ascii="宋体" w:hAnsi="宋体" w:eastAsia="宋体"/>
          <w:color w:val="auto"/>
          <w:kern w:val="0"/>
          <w:sz w:val="21"/>
          <w:szCs w:val="28"/>
          <w:u w:val="single"/>
        </w:rPr>
        <w:t xml:space="preserve"> </w:t>
      </w:r>
      <w:r>
        <w:rPr>
          <w:rFonts w:hint="eastAsia" w:ascii="宋体" w:hAnsi="宋体" w:eastAsia="宋体"/>
          <w:color w:val="auto"/>
          <w:kern w:val="0"/>
          <w:sz w:val="21"/>
          <w:szCs w:val="28"/>
        </w:rPr>
        <w:t>项目（以下简称“项目”）合作期间（包括筹划、协商及具体合作的全过程），双方均有可能以口头或书面的形式从对方获取有关不公开的、商业机密的或专业的信息及资料。</w:t>
      </w:r>
    </w:p>
    <w:p>
      <w:pPr>
        <w:widowControl/>
        <w:spacing w:line="276" w:lineRule="auto"/>
        <w:ind w:firstLine="420"/>
        <w:jc w:val="left"/>
        <w:rPr>
          <w:rFonts w:ascii="宋体" w:hAnsi="宋体" w:eastAsia="宋体"/>
          <w:color w:val="auto"/>
          <w:kern w:val="0"/>
          <w:sz w:val="21"/>
          <w:szCs w:val="28"/>
        </w:rPr>
      </w:pPr>
      <w:r>
        <w:rPr>
          <w:rFonts w:hint="eastAsia" w:ascii="宋体" w:hAnsi="宋体" w:eastAsia="宋体"/>
          <w:color w:val="auto"/>
          <w:kern w:val="0"/>
          <w:sz w:val="21"/>
          <w:szCs w:val="28"/>
        </w:rPr>
        <w:t>2、甲方与乙方均承诺这些信息和资料受本协议的保护。</w:t>
      </w:r>
    </w:p>
    <w:p>
      <w:pPr>
        <w:widowControl/>
        <w:spacing w:line="276" w:lineRule="auto"/>
        <w:ind w:firstLine="420"/>
        <w:jc w:val="left"/>
        <w:rPr>
          <w:rFonts w:ascii="宋体" w:hAnsi="宋体" w:eastAsia="宋体"/>
          <w:color w:val="auto"/>
          <w:kern w:val="0"/>
          <w:sz w:val="21"/>
          <w:szCs w:val="28"/>
        </w:rPr>
      </w:pPr>
      <w:r>
        <w:rPr>
          <w:rFonts w:hint="eastAsia" w:ascii="宋体" w:hAnsi="宋体" w:eastAsia="宋体"/>
          <w:color w:val="auto"/>
          <w:kern w:val="0"/>
          <w:sz w:val="21"/>
          <w:szCs w:val="28"/>
        </w:rPr>
        <w:t>获取信息及资料的一方，下文中统称为接受方。</w:t>
      </w:r>
    </w:p>
    <w:p>
      <w:pPr>
        <w:widowControl/>
        <w:spacing w:line="276" w:lineRule="auto"/>
        <w:ind w:firstLine="420"/>
        <w:jc w:val="left"/>
        <w:rPr>
          <w:rFonts w:ascii="宋体" w:hAnsi="宋体" w:eastAsia="宋体"/>
          <w:color w:val="auto"/>
          <w:kern w:val="0"/>
          <w:sz w:val="21"/>
          <w:szCs w:val="28"/>
        </w:rPr>
      </w:pPr>
      <w:r>
        <w:rPr>
          <w:rFonts w:hint="eastAsia" w:ascii="宋体" w:hAnsi="宋体" w:eastAsia="宋体"/>
          <w:color w:val="auto"/>
          <w:kern w:val="0"/>
          <w:sz w:val="21"/>
          <w:szCs w:val="28"/>
        </w:rPr>
        <w:t>提供信息及资料的一方，下文中统称为提供方。</w:t>
      </w:r>
    </w:p>
    <w:p>
      <w:pPr>
        <w:widowControl/>
        <w:spacing w:line="276" w:lineRule="auto"/>
        <w:ind w:firstLine="420" w:firstLineChars="200"/>
        <w:jc w:val="left"/>
        <w:rPr>
          <w:rFonts w:ascii="宋体" w:hAnsi="宋体" w:eastAsia="宋体"/>
          <w:color w:val="auto"/>
          <w:kern w:val="0"/>
          <w:sz w:val="21"/>
          <w:szCs w:val="28"/>
        </w:rPr>
      </w:pPr>
      <w:r>
        <w:rPr>
          <w:rFonts w:hint="eastAsia" w:ascii="宋体" w:hAnsi="宋体" w:eastAsia="宋体"/>
          <w:color w:val="auto"/>
          <w:kern w:val="0"/>
          <w:sz w:val="21"/>
          <w:szCs w:val="28"/>
        </w:rPr>
        <w:t>甲、乙双方自愿达成以下协议条款：</w:t>
      </w:r>
    </w:p>
    <w:p>
      <w:pPr>
        <w:widowControl/>
        <w:spacing w:line="276" w:lineRule="auto"/>
        <w:jc w:val="left"/>
        <w:rPr>
          <w:rFonts w:ascii="宋体" w:hAnsi="宋体" w:eastAsia="宋体"/>
          <w:color w:val="auto"/>
          <w:kern w:val="0"/>
          <w:sz w:val="21"/>
          <w:szCs w:val="28"/>
        </w:rPr>
      </w:pPr>
      <w:r>
        <w:rPr>
          <w:rFonts w:hint="eastAsia" w:ascii="宋体" w:hAnsi="宋体" w:eastAsia="宋体"/>
          <w:b/>
          <w:color w:val="auto"/>
          <w:kern w:val="0"/>
          <w:sz w:val="21"/>
          <w:szCs w:val="28"/>
        </w:rPr>
        <w:t>第一条</w:t>
      </w:r>
      <w:r>
        <w:rPr>
          <w:rFonts w:hint="eastAsia" w:ascii="宋体" w:hAnsi="宋体" w:eastAsia="宋体"/>
          <w:color w:val="auto"/>
          <w:kern w:val="0"/>
          <w:sz w:val="21"/>
          <w:szCs w:val="28"/>
        </w:rPr>
        <w:t xml:space="preserve">  定义：</w:t>
      </w:r>
    </w:p>
    <w:p>
      <w:pPr>
        <w:widowControl/>
        <w:spacing w:line="276" w:lineRule="auto"/>
        <w:ind w:firstLine="435"/>
        <w:jc w:val="left"/>
        <w:rPr>
          <w:rFonts w:ascii="宋体" w:hAnsi="宋体" w:eastAsia="宋体"/>
          <w:color w:val="auto"/>
          <w:kern w:val="0"/>
          <w:sz w:val="21"/>
          <w:szCs w:val="28"/>
        </w:rPr>
      </w:pPr>
      <w:r>
        <w:rPr>
          <w:rFonts w:hint="eastAsia" w:ascii="宋体" w:hAnsi="宋体" w:eastAsia="宋体"/>
          <w:color w:val="auto"/>
          <w:kern w:val="0"/>
          <w:sz w:val="21"/>
          <w:szCs w:val="28"/>
        </w:rPr>
        <w:t>商业机密信息指的是所有提供给接受方的技术、商业或其他与提供方业务有关的信息，或者与提供方的合作者、分支机构（包括附属公司、股东、公司管理层等等）业务有关的信息，或者与提供方的客户及潜在客户业务有关的信息。该信息包括企业构架、商业记录及计划、财政状况、客户名单及相关记录、商业机密、产品的技术及设计信息、产品定价、成本、收益预测及现金流动情况等，无论是书面的、口头的、图形的、电磁的或其它任何形式的信息，包括（但不限于）数据、模型、样品、草案、技术、方法、设备和其它信息。</w:t>
      </w:r>
    </w:p>
    <w:p>
      <w:pPr>
        <w:widowControl/>
        <w:spacing w:line="276" w:lineRule="auto"/>
        <w:ind w:firstLine="420"/>
        <w:jc w:val="left"/>
        <w:rPr>
          <w:rFonts w:ascii="宋体" w:hAnsi="宋体" w:eastAsia="宋体"/>
          <w:color w:val="auto"/>
          <w:kern w:val="0"/>
          <w:sz w:val="21"/>
          <w:szCs w:val="28"/>
        </w:rPr>
      </w:pPr>
      <w:r>
        <w:rPr>
          <w:rFonts w:hint="eastAsia" w:ascii="宋体" w:hAnsi="宋体" w:eastAsia="宋体"/>
          <w:color w:val="auto"/>
          <w:kern w:val="0"/>
          <w:sz w:val="21"/>
          <w:szCs w:val="28"/>
        </w:rPr>
        <w:t>商业机密信息既包括提供方注明作为商业机密交予接受方的信息，也包括提供方未注明商业机密提供给接受方的信息。甲、乙双方一致同意：除非提供方在提供信息时明确标注该信息为非商业机密信息，否则该提供方未注明是商业机密的信息并不意味着它不属于商业机密信息，也不会影响本协议的效力。</w:t>
      </w:r>
    </w:p>
    <w:p>
      <w:pPr>
        <w:widowControl/>
        <w:spacing w:line="276" w:lineRule="auto"/>
        <w:jc w:val="left"/>
        <w:rPr>
          <w:rFonts w:ascii="宋体" w:hAnsi="宋体" w:eastAsia="宋体"/>
          <w:color w:val="auto"/>
          <w:kern w:val="0"/>
          <w:sz w:val="21"/>
          <w:szCs w:val="28"/>
        </w:rPr>
      </w:pPr>
      <w:r>
        <w:rPr>
          <w:rFonts w:hint="eastAsia" w:ascii="宋体" w:hAnsi="宋体" w:eastAsia="宋体"/>
          <w:b/>
          <w:color w:val="auto"/>
          <w:kern w:val="0"/>
          <w:sz w:val="21"/>
          <w:szCs w:val="28"/>
        </w:rPr>
        <w:t>第二条</w:t>
      </w:r>
      <w:r>
        <w:rPr>
          <w:rFonts w:hint="eastAsia" w:ascii="宋体" w:hAnsi="宋体" w:eastAsia="宋体"/>
          <w:color w:val="auto"/>
          <w:kern w:val="0"/>
          <w:sz w:val="21"/>
          <w:szCs w:val="28"/>
        </w:rPr>
        <w:t xml:space="preserve">  商业机密信息不包括下列信息：</w:t>
      </w:r>
    </w:p>
    <w:p>
      <w:pPr>
        <w:widowControl/>
        <w:spacing w:line="276" w:lineRule="auto"/>
        <w:ind w:firstLine="420"/>
        <w:jc w:val="left"/>
        <w:rPr>
          <w:rFonts w:ascii="宋体" w:hAnsi="宋体" w:eastAsia="宋体"/>
          <w:color w:val="auto"/>
          <w:kern w:val="0"/>
          <w:sz w:val="21"/>
          <w:szCs w:val="28"/>
        </w:rPr>
      </w:pPr>
      <w:r>
        <w:rPr>
          <w:rFonts w:hint="eastAsia" w:ascii="宋体" w:hAnsi="宋体" w:eastAsia="宋体"/>
          <w:color w:val="auto"/>
          <w:kern w:val="0"/>
          <w:sz w:val="21"/>
          <w:szCs w:val="28"/>
        </w:rPr>
        <w:t>1、披露之时已经进入公有领域；</w:t>
      </w:r>
    </w:p>
    <w:p>
      <w:pPr>
        <w:widowControl/>
        <w:spacing w:line="276" w:lineRule="auto"/>
        <w:ind w:firstLine="420"/>
        <w:jc w:val="left"/>
        <w:rPr>
          <w:rFonts w:ascii="宋体" w:hAnsi="宋体" w:eastAsia="宋体"/>
          <w:color w:val="auto"/>
          <w:kern w:val="0"/>
          <w:sz w:val="21"/>
          <w:szCs w:val="28"/>
        </w:rPr>
      </w:pPr>
      <w:r>
        <w:rPr>
          <w:rFonts w:hint="eastAsia" w:ascii="宋体" w:hAnsi="宋体" w:eastAsia="宋体"/>
          <w:color w:val="auto"/>
          <w:kern w:val="0"/>
          <w:sz w:val="21"/>
          <w:szCs w:val="28"/>
        </w:rPr>
        <w:t>2、非因接受方违反本协议进入公有领域；</w:t>
      </w:r>
    </w:p>
    <w:p>
      <w:pPr>
        <w:widowControl/>
        <w:spacing w:line="276" w:lineRule="auto"/>
        <w:ind w:firstLine="420"/>
        <w:jc w:val="left"/>
        <w:rPr>
          <w:rFonts w:ascii="宋体" w:hAnsi="宋体" w:eastAsia="宋体"/>
          <w:color w:val="auto"/>
          <w:kern w:val="0"/>
          <w:sz w:val="21"/>
          <w:szCs w:val="28"/>
        </w:rPr>
      </w:pPr>
      <w:r>
        <w:rPr>
          <w:rFonts w:hint="eastAsia" w:ascii="宋体" w:hAnsi="宋体" w:eastAsia="宋体"/>
          <w:color w:val="auto"/>
          <w:kern w:val="0"/>
          <w:sz w:val="21"/>
          <w:szCs w:val="28"/>
        </w:rPr>
        <w:t>3、从另一并无任何保密义务的第三方合法地获得；</w:t>
      </w:r>
    </w:p>
    <w:p>
      <w:pPr>
        <w:widowControl/>
        <w:spacing w:line="276" w:lineRule="auto"/>
        <w:ind w:firstLine="420"/>
        <w:jc w:val="left"/>
        <w:rPr>
          <w:rFonts w:ascii="宋体" w:hAnsi="宋体" w:eastAsia="宋体"/>
          <w:color w:val="auto"/>
          <w:kern w:val="0"/>
          <w:sz w:val="21"/>
          <w:szCs w:val="28"/>
        </w:rPr>
      </w:pPr>
      <w:r>
        <w:rPr>
          <w:rFonts w:hint="eastAsia" w:ascii="宋体" w:hAnsi="宋体" w:eastAsia="宋体"/>
          <w:color w:val="auto"/>
          <w:kern w:val="0"/>
          <w:sz w:val="21"/>
          <w:szCs w:val="28"/>
        </w:rPr>
        <w:t>4、在从提供方获得之前，接受方已合法地知道并对使用或披露该等资料并无限制；</w:t>
      </w:r>
    </w:p>
    <w:p>
      <w:pPr>
        <w:widowControl/>
        <w:spacing w:line="276" w:lineRule="auto"/>
        <w:ind w:firstLine="420"/>
        <w:jc w:val="left"/>
        <w:rPr>
          <w:rFonts w:ascii="宋体" w:hAnsi="宋体" w:eastAsia="宋体"/>
          <w:color w:val="auto"/>
          <w:kern w:val="0"/>
          <w:sz w:val="21"/>
          <w:szCs w:val="28"/>
        </w:rPr>
      </w:pPr>
      <w:r>
        <w:rPr>
          <w:rFonts w:hint="eastAsia" w:ascii="宋体" w:hAnsi="宋体" w:eastAsia="宋体"/>
          <w:color w:val="auto"/>
          <w:kern w:val="0"/>
          <w:sz w:val="21"/>
          <w:szCs w:val="28"/>
        </w:rPr>
        <w:t>5、由接受方在不违反本协议情况下独立地开发或制作；</w:t>
      </w:r>
    </w:p>
    <w:p>
      <w:pPr>
        <w:widowControl/>
        <w:spacing w:line="276" w:lineRule="auto"/>
        <w:ind w:firstLine="420"/>
        <w:jc w:val="left"/>
        <w:rPr>
          <w:rFonts w:ascii="宋体" w:hAnsi="宋体" w:eastAsia="宋体"/>
          <w:color w:val="auto"/>
          <w:kern w:val="0"/>
          <w:sz w:val="21"/>
          <w:szCs w:val="28"/>
        </w:rPr>
      </w:pPr>
      <w:r>
        <w:rPr>
          <w:rFonts w:hint="eastAsia" w:ascii="宋体" w:hAnsi="宋体" w:eastAsia="宋体"/>
          <w:color w:val="auto"/>
          <w:kern w:val="0"/>
          <w:sz w:val="21"/>
          <w:szCs w:val="28"/>
        </w:rPr>
        <w:t>6、第三方可以一般地取得而无任何披露之限制；或根据法院命令或为遵守法律的规定而披露，但披露的一方应迅速通知另一方并遵守合理的保护措施。</w:t>
      </w:r>
    </w:p>
    <w:p>
      <w:pPr>
        <w:widowControl/>
        <w:spacing w:line="276" w:lineRule="auto"/>
        <w:jc w:val="left"/>
        <w:rPr>
          <w:rFonts w:ascii="宋体" w:hAnsi="宋体" w:eastAsia="宋体"/>
          <w:color w:val="auto"/>
          <w:kern w:val="0"/>
          <w:sz w:val="21"/>
          <w:szCs w:val="28"/>
        </w:rPr>
      </w:pPr>
      <w:r>
        <w:rPr>
          <w:rFonts w:hint="eastAsia" w:ascii="宋体" w:hAnsi="宋体" w:eastAsia="宋体"/>
          <w:b/>
          <w:color w:val="auto"/>
          <w:kern w:val="0"/>
          <w:sz w:val="21"/>
          <w:szCs w:val="28"/>
        </w:rPr>
        <w:t>第三条</w:t>
      </w:r>
      <w:r>
        <w:rPr>
          <w:rFonts w:hint="eastAsia" w:ascii="宋体" w:hAnsi="宋体" w:eastAsia="宋体"/>
          <w:color w:val="auto"/>
          <w:kern w:val="0"/>
          <w:sz w:val="21"/>
          <w:szCs w:val="28"/>
        </w:rPr>
        <w:t xml:space="preserve">  在接受方必须遵照法院或政府的要求、需求或命令公开任何商业机密信息时，接受方须：</w:t>
      </w:r>
    </w:p>
    <w:p>
      <w:pPr>
        <w:widowControl/>
        <w:spacing w:line="276" w:lineRule="auto"/>
        <w:ind w:firstLine="420"/>
        <w:jc w:val="left"/>
        <w:rPr>
          <w:rFonts w:ascii="宋体" w:hAnsi="宋体" w:eastAsia="宋体"/>
          <w:color w:val="auto"/>
          <w:kern w:val="0"/>
          <w:sz w:val="21"/>
          <w:szCs w:val="28"/>
        </w:rPr>
      </w:pPr>
      <w:r>
        <w:rPr>
          <w:rFonts w:hint="eastAsia" w:ascii="宋体" w:hAnsi="宋体" w:eastAsia="宋体"/>
          <w:color w:val="auto"/>
          <w:kern w:val="0"/>
          <w:sz w:val="21"/>
          <w:szCs w:val="28"/>
        </w:rPr>
        <w:t>1、及时告知提供方这些法院或政府的要求、需求或命令。</w:t>
      </w:r>
    </w:p>
    <w:p>
      <w:pPr>
        <w:widowControl/>
        <w:spacing w:line="276" w:lineRule="auto"/>
        <w:ind w:firstLine="420"/>
        <w:jc w:val="left"/>
        <w:rPr>
          <w:rFonts w:ascii="宋体" w:hAnsi="宋体" w:eastAsia="宋体"/>
          <w:color w:val="auto"/>
          <w:kern w:val="0"/>
          <w:sz w:val="21"/>
          <w:szCs w:val="28"/>
        </w:rPr>
      </w:pPr>
      <w:r>
        <w:rPr>
          <w:rFonts w:hint="eastAsia" w:ascii="宋体" w:hAnsi="宋体" w:eastAsia="宋体"/>
          <w:color w:val="auto"/>
          <w:kern w:val="0"/>
          <w:sz w:val="21"/>
          <w:szCs w:val="28"/>
        </w:rPr>
        <w:t>2、如果提供方对该要求、需求或命令提出异议，应当尽可能的为提供方提供所有合法的以及其它合理的援助来协助提供方抗辩。</w:t>
      </w:r>
    </w:p>
    <w:p>
      <w:pPr>
        <w:widowControl/>
        <w:spacing w:line="276" w:lineRule="auto"/>
        <w:ind w:firstLine="420"/>
        <w:jc w:val="left"/>
        <w:rPr>
          <w:rFonts w:ascii="宋体" w:hAnsi="宋体" w:eastAsia="宋体"/>
          <w:color w:val="auto"/>
          <w:kern w:val="0"/>
          <w:sz w:val="21"/>
          <w:szCs w:val="28"/>
        </w:rPr>
      </w:pPr>
      <w:r>
        <w:rPr>
          <w:rFonts w:hint="eastAsia" w:ascii="宋体" w:hAnsi="宋体" w:eastAsia="宋体"/>
          <w:color w:val="auto"/>
          <w:kern w:val="0"/>
          <w:sz w:val="21"/>
          <w:szCs w:val="28"/>
        </w:rPr>
        <w:t>3、在上述商业机密必须遵照要求而被公开的情况下，在满足公开要求的同时确保公开限度的最小化。</w:t>
      </w:r>
    </w:p>
    <w:p>
      <w:pPr>
        <w:widowControl/>
        <w:spacing w:line="276" w:lineRule="auto"/>
        <w:jc w:val="left"/>
        <w:rPr>
          <w:rFonts w:ascii="宋体" w:hAnsi="宋体" w:eastAsia="宋体"/>
          <w:color w:val="auto"/>
          <w:kern w:val="0"/>
          <w:sz w:val="21"/>
          <w:szCs w:val="28"/>
        </w:rPr>
      </w:pPr>
      <w:r>
        <w:rPr>
          <w:rFonts w:hint="eastAsia" w:ascii="宋体" w:hAnsi="宋体" w:eastAsia="宋体"/>
          <w:b/>
          <w:color w:val="auto"/>
          <w:kern w:val="0"/>
          <w:sz w:val="21"/>
          <w:szCs w:val="28"/>
        </w:rPr>
        <w:t>第四条</w:t>
      </w:r>
      <w:r>
        <w:rPr>
          <w:rFonts w:hint="eastAsia" w:ascii="宋体" w:hAnsi="宋体" w:eastAsia="宋体"/>
          <w:color w:val="auto"/>
          <w:kern w:val="0"/>
          <w:sz w:val="21"/>
          <w:szCs w:val="28"/>
        </w:rPr>
        <w:t xml:space="preserve">  接受方在获取相关商业机密信息时应承担下列保密义务：</w:t>
      </w:r>
    </w:p>
    <w:p>
      <w:pPr>
        <w:widowControl/>
        <w:spacing w:line="276" w:lineRule="auto"/>
        <w:ind w:firstLine="420" w:firstLineChars="200"/>
        <w:jc w:val="left"/>
        <w:rPr>
          <w:rFonts w:ascii="宋体" w:hAnsi="宋体" w:eastAsia="宋体"/>
          <w:color w:val="auto"/>
          <w:kern w:val="0"/>
          <w:sz w:val="21"/>
          <w:szCs w:val="28"/>
        </w:rPr>
      </w:pPr>
      <w:r>
        <w:rPr>
          <w:rFonts w:hint="eastAsia" w:ascii="宋体" w:hAnsi="宋体" w:eastAsia="宋体"/>
          <w:color w:val="auto"/>
          <w:kern w:val="0"/>
          <w:sz w:val="21"/>
          <w:szCs w:val="28"/>
        </w:rPr>
        <w:t>1、谨慎、适当地维护相关记录并严格确保信息的商业机密性，其保密义务的标准不低于保护自己的专有的商业机密信息的标准，未经提供方的书面许可不得将信息以任何方式提供给任何第三方。</w:t>
      </w:r>
    </w:p>
    <w:p>
      <w:pPr>
        <w:widowControl/>
        <w:spacing w:line="276" w:lineRule="auto"/>
        <w:ind w:firstLine="420" w:firstLineChars="200"/>
        <w:jc w:val="left"/>
        <w:rPr>
          <w:rFonts w:ascii="宋体" w:hAnsi="宋体" w:eastAsia="宋体"/>
          <w:color w:val="auto"/>
          <w:kern w:val="0"/>
          <w:sz w:val="21"/>
          <w:szCs w:val="28"/>
        </w:rPr>
      </w:pPr>
      <w:r>
        <w:rPr>
          <w:rFonts w:hint="eastAsia" w:ascii="宋体" w:hAnsi="宋体" w:eastAsia="宋体"/>
          <w:color w:val="auto"/>
          <w:kern w:val="0"/>
          <w:sz w:val="21"/>
          <w:szCs w:val="28"/>
        </w:rPr>
        <w:t>2、在双方合作期间为了与提供方合作而且必要时，经提供方允许，才将商业机密信息向关联企业、财务顾问及其他专业指导或第三方披露；这些企业、组织和第三方应当充分了解且承诺受本协议条款的约束。</w:t>
      </w:r>
    </w:p>
    <w:p>
      <w:pPr>
        <w:widowControl/>
        <w:spacing w:line="276" w:lineRule="auto"/>
        <w:ind w:firstLine="420" w:firstLineChars="200"/>
        <w:jc w:val="left"/>
        <w:rPr>
          <w:rFonts w:ascii="宋体" w:hAnsi="宋体" w:eastAsia="宋体"/>
          <w:color w:val="auto"/>
          <w:kern w:val="0"/>
          <w:sz w:val="21"/>
          <w:szCs w:val="28"/>
        </w:rPr>
      </w:pPr>
      <w:r>
        <w:rPr>
          <w:rFonts w:hint="eastAsia" w:ascii="宋体" w:hAnsi="宋体" w:eastAsia="宋体"/>
          <w:color w:val="auto"/>
          <w:kern w:val="0"/>
          <w:sz w:val="21"/>
          <w:szCs w:val="28"/>
        </w:rPr>
        <w:t>3、仅将商业机密信息向公司董事、经理、职员、顾问、商业代表、指导或其他直接或间接参与甲乙双方合作相关事务的人员（下文中这些人统称为“相关人员”）做必要的披露。同时承诺采取所有合法及专业的行为确保上述相关人员确实做到保持商业机密信息的商业机密性。</w:t>
      </w:r>
    </w:p>
    <w:p>
      <w:pPr>
        <w:widowControl/>
        <w:spacing w:line="276" w:lineRule="auto"/>
        <w:ind w:firstLine="420" w:firstLineChars="200"/>
        <w:jc w:val="left"/>
        <w:rPr>
          <w:rFonts w:ascii="宋体" w:hAnsi="宋体" w:eastAsia="宋体"/>
          <w:color w:val="auto"/>
          <w:kern w:val="0"/>
          <w:sz w:val="21"/>
          <w:szCs w:val="28"/>
        </w:rPr>
      </w:pPr>
      <w:r>
        <w:rPr>
          <w:rFonts w:hint="eastAsia" w:ascii="宋体" w:hAnsi="宋体" w:eastAsia="宋体"/>
          <w:color w:val="auto"/>
          <w:kern w:val="0"/>
          <w:sz w:val="21"/>
          <w:szCs w:val="28"/>
        </w:rPr>
        <w:t>4、如果相关人员违背这些承诺，接受方将对此承担责任并负责偿还提供方所有因此蒙受的损失。</w:t>
      </w:r>
    </w:p>
    <w:p>
      <w:pPr>
        <w:widowControl/>
        <w:spacing w:line="276" w:lineRule="auto"/>
        <w:ind w:firstLine="420" w:firstLineChars="200"/>
        <w:jc w:val="left"/>
        <w:rPr>
          <w:rFonts w:ascii="宋体" w:hAnsi="宋体" w:eastAsia="宋体"/>
          <w:color w:val="auto"/>
          <w:kern w:val="0"/>
          <w:sz w:val="21"/>
          <w:szCs w:val="28"/>
        </w:rPr>
      </w:pPr>
      <w:r>
        <w:rPr>
          <w:rFonts w:hint="eastAsia" w:ascii="宋体" w:hAnsi="宋体" w:eastAsia="宋体"/>
          <w:color w:val="auto"/>
          <w:kern w:val="0"/>
          <w:sz w:val="21"/>
          <w:szCs w:val="28"/>
        </w:rPr>
        <w:t>5、除因项目需要外，禁止接受方任何人持有、复制（拷贝）提供方的商业机密信息，禁止外借或对外复制提供方的商业机密信息。</w:t>
      </w:r>
    </w:p>
    <w:p>
      <w:pPr>
        <w:widowControl/>
        <w:spacing w:line="276" w:lineRule="auto"/>
        <w:ind w:firstLine="420" w:firstLineChars="200"/>
        <w:jc w:val="left"/>
        <w:rPr>
          <w:rFonts w:ascii="宋体" w:hAnsi="宋体" w:eastAsia="宋体"/>
          <w:color w:val="auto"/>
          <w:kern w:val="0"/>
          <w:sz w:val="21"/>
          <w:szCs w:val="28"/>
        </w:rPr>
      </w:pPr>
      <w:r>
        <w:rPr>
          <w:rFonts w:hint="eastAsia" w:ascii="宋体" w:hAnsi="宋体" w:eastAsia="宋体"/>
          <w:color w:val="auto"/>
          <w:kern w:val="0"/>
          <w:sz w:val="21"/>
          <w:szCs w:val="28"/>
        </w:rPr>
        <w:t>6、乙方保证参与人员不访问本次检测/检查服务范围以外的生产网络，对于必须访问的，必须经过甲方同意，按照有关要求办理申请和登记手续，并在甲方人员的监督下进行操作。</w:t>
      </w:r>
    </w:p>
    <w:p>
      <w:pPr>
        <w:widowControl/>
        <w:spacing w:line="276" w:lineRule="auto"/>
        <w:ind w:firstLine="420" w:firstLineChars="200"/>
        <w:jc w:val="left"/>
        <w:rPr>
          <w:rFonts w:ascii="宋体" w:hAnsi="宋体" w:eastAsia="宋体"/>
          <w:color w:val="auto"/>
          <w:kern w:val="0"/>
          <w:sz w:val="21"/>
          <w:szCs w:val="28"/>
        </w:rPr>
      </w:pPr>
      <w:r>
        <w:rPr>
          <w:rFonts w:hint="eastAsia" w:ascii="宋体" w:hAnsi="宋体" w:eastAsia="宋体"/>
          <w:color w:val="auto"/>
          <w:kern w:val="0"/>
          <w:sz w:val="21"/>
          <w:szCs w:val="28"/>
        </w:rPr>
        <w:t>7、当提供方以书面形式要求接受方交回商业机密信息时，接受方应当立即交回所有书面的或其他介质的商业机密信息以及所有描述和概括该商业机密信息的文件，不得留有备份。接受方未经提供方书面许可，不得丢弃和处理任何书面的或其他介质的商业机密信息。</w:t>
      </w:r>
    </w:p>
    <w:p>
      <w:pPr>
        <w:widowControl/>
        <w:spacing w:line="276" w:lineRule="auto"/>
        <w:jc w:val="left"/>
        <w:rPr>
          <w:rFonts w:ascii="宋体" w:hAnsi="宋体" w:eastAsia="宋体" w:cs="宋体"/>
          <w:color w:val="auto"/>
          <w:kern w:val="0"/>
          <w:sz w:val="21"/>
          <w:szCs w:val="28"/>
        </w:rPr>
      </w:pPr>
      <w:r>
        <w:rPr>
          <w:rFonts w:hint="eastAsia" w:ascii="宋体" w:hAnsi="宋体" w:eastAsia="宋体"/>
          <w:b/>
          <w:color w:val="auto"/>
          <w:kern w:val="0"/>
          <w:sz w:val="21"/>
          <w:szCs w:val="28"/>
        </w:rPr>
        <w:t>第五条</w:t>
      </w:r>
      <w:r>
        <w:rPr>
          <w:rFonts w:hint="eastAsia" w:ascii="宋体" w:hAnsi="宋体" w:eastAsia="宋体"/>
          <w:color w:val="auto"/>
          <w:kern w:val="0"/>
          <w:sz w:val="21"/>
          <w:szCs w:val="28"/>
        </w:rPr>
        <w:t xml:space="preserve">  </w:t>
      </w:r>
      <w:r>
        <w:rPr>
          <w:rFonts w:hint="eastAsia" w:ascii="宋体" w:hAnsi="宋体" w:eastAsia="宋体" w:cs="宋体"/>
          <w:color w:val="auto"/>
          <w:kern w:val="0"/>
          <w:sz w:val="21"/>
          <w:szCs w:val="28"/>
        </w:rPr>
        <w:t>知识产权归属</w:t>
      </w:r>
      <w:r>
        <w:rPr>
          <w:rFonts w:hint="eastAsia" w:ascii="宋体" w:hAnsi="宋体" w:eastAsia="宋体"/>
          <w:color w:val="auto"/>
          <w:kern w:val="0"/>
          <w:sz w:val="21"/>
          <w:szCs w:val="28"/>
        </w:rPr>
        <w:t>：</w:t>
      </w:r>
    </w:p>
    <w:p>
      <w:pPr>
        <w:widowControl/>
        <w:spacing w:line="276" w:lineRule="auto"/>
        <w:ind w:firstLine="420" w:firstLineChars="200"/>
        <w:jc w:val="left"/>
        <w:rPr>
          <w:rFonts w:ascii="宋体" w:hAnsi="宋体" w:eastAsia="宋体" w:cs="宋体"/>
          <w:color w:val="auto"/>
          <w:kern w:val="0"/>
          <w:sz w:val="21"/>
          <w:szCs w:val="28"/>
        </w:rPr>
      </w:pPr>
      <w:r>
        <w:rPr>
          <w:rFonts w:hint="eastAsia" w:ascii="宋体" w:hAnsi="宋体" w:eastAsia="宋体" w:cs="宋体"/>
          <w:color w:val="auto"/>
          <w:kern w:val="0"/>
          <w:sz w:val="21"/>
          <w:szCs w:val="28"/>
        </w:rPr>
        <w:t>就双方而言，提供方商业机密信息的所有权利、权属和利益归提供方所有。任何一方现在或将来可能拥有或控制的包括专利、专利申请、技术诀窍、商标、服务标记、商品、商业秘密或其他知识产权项下的任何权利和许可，均不得被视为因信息的披露而授予另一方。</w:t>
      </w:r>
    </w:p>
    <w:p>
      <w:pPr>
        <w:widowControl/>
        <w:spacing w:line="276" w:lineRule="auto"/>
        <w:jc w:val="left"/>
        <w:rPr>
          <w:rFonts w:ascii="宋体" w:hAnsi="宋体" w:eastAsia="宋体"/>
          <w:color w:val="auto"/>
          <w:kern w:val="0"/>
          <w:sz w:val="21"/>
          <w:szCs w:val="28"/>
        </w:rPr>
      </w:pPr>
      <w:r>
        <w:rPr>
          <w:rFonts w:hint="eastAsia" w:ascii="宋体" w:hAnsi="宋体" w:eastAsia="宋体"/>
          <w:b/>
          <w:color w:val="auto"/>
          <w:kern w:val="0"/>
          <w:sz w:val="21"/>
          <w:szCs w:val="28"/>
        </w:rPr>
        <w:t>第六条</w:t>
      </w:r>
      <w:r>
        <w:rPr>
          <w:rFonts w:hint="eastAsia" w:ascii="宋体" w:hAnsi="宋体" w:eastAsia="宋体"/>
          <w:color w:val="auto"/>
          <w:kern w:val="0"/>
          <w:sz w:val="21"/>
          <w:szCs w:val="28"/>
        </w:rPr>
        <w:t xml:space="preserve">  保密期限：</w:t>
      </w:r>
    </w:p>
    <w:p>
      <w:pPr>
        <w:widowControl/>
        <w:spacing w:line="276" w:lineRule="auto"/>
        <w:ind w:firstLine="420"/>
        <w:jc w:val="left"/>
        <w:rPr>
          <w:rFonts w:ascii="宋体" w:hAnsi="宋体" w:eastAsia="宋体"/>
          <w:color w:val="auto"/>
          <w:kern w:val="0"/>
          <w:sz w:val="21"/>
          <w:szCs w:val="28"/>
        </w:rPr>
      </w:pPr>
      <w:r>
        <w:rPr>
          <w:rFonts w:hint="eastAsia" w:ascii="宋体" w:hAnsi="宋体" w:eastAsia="宋体"/>
          <w:color w:val="auto"/>
          <w:kern w:val="0"/>
          <w:sz w:val="21"/>
          <w:szCs w:val="28"/>
        </w:rPr>
        <w:t>自本协议生效之日起【五年】。</w:t>
      </w:r>
    </w:p>
    <w:p>
      <w:pPr>
        <w:widowControl/>
        <w:spacing w:line="276" w:lineRule="auto"/>
        <w:jc w:val="left"/>
        <w:rPr>
          <w:rFonts w:ascii="宋体" w:hAnsi="宋体" w:eastAsia="宋体"/>
          <w:color w:val="auto"/>
          <w:kern w:val="0"/>
          <w:sz w:val="21"/>
          <w:szCs w:val="28"/>
        </w:rPr>
      </w:pPr>
      <w:r>
        <w:rPr>
          <w:rFonts w:hint="eastAsia" w:ascii="宋体" w:hAnsi="宋体" w:eastAsia="宋体"/>
          <w:b/>
          <w:color w:val="auto"/>
          <w:kern w:val="0"/>
          <w:sz w:val="21"/>
          <w:szCs w:val="28"/>
        </w:rPr>
        <w:t>第七条</w:t>
      </w:r>
      <w:r>
        <w:rPr>
          <w:rFonts w:hint="eastAsia" w:ascii="宋体" w:hAnsi="宋体" w:eastAsia="宋体"/>
          <w:color w:val="auto"/>
          <w:kern w:val="0"/>
          <w:sz w:val="21"/>
          <w:szCs w:val="28"/>
        </w:rPr>
        <w:t xml:space="preserve">  违约责任：</w:t>
      </w:r>
    </w:p>
    <w:p>
      <w:pPr>
        <w:widowControl/>
        <w:spacing w:line="276" w:lineRule="auto"/>
        <w:ind w:firstLine="420"/>
        <w:jc w:val="left"/>
        <w:rPr>
          <w:rFonts w:ascii="宋体" w:hAnsi="宋体" w:eastAsia="宋体"/>
          <w:color w:val="auto"/>
          <w:kern w:val="0"/>
          <w:sz w:val="21"/>
          <w:szCs w:val="28"/>
        </w:rPr>
      </w:pPr>
      <w:r>
        <w:rPr>
          <w:rFonts w:hint="eastAsia" w:ascii="宋体" w:hAnsi="宋体" w:eastAsia="宋体"/>
          <w:color w:val="auto"/>
          <w:kern w:val="0"/>
          <w:sz w:val="21"/>
          <w:szCs w:val="28"/>
        </w:rPr>
        <w:t>1、双方应全面履行本协议约定之保密义务，如一方不履行或不完全履行本协议约定的条款，即构成违约。如一方违反本协议约定，对方有权追究违约方的法律责任。</w:t>
      </w:r>
    </w:p>
    <w:p>
      <w:pPr>
        <w:widowControl/>
        <w:spacing w:line="276" w:lineRule="auto"/>
        <w:ind w:firstLine="420"/>
        <w:jc w:val="left"/>
        <w:rPr>
          <w:rFonts w:ascii="宋体" w:hAnsi="宋体" w:eastAsia="宋体"/>
          <w:color w:val="auto"/>
          <w:kern w:val="0"/>
          <w:sz w:val="21"/>
          <w:szCs w:val="28"/>
        </w:rPr>
      </w:pPr>
      <w:r>
        <w:rPr>
          <w:rFonts w:hint="eastAsia" w:ascii="宋体" w:hAnsi="宋体" w:eastAsia="宋体"/>
          <w:color w:val="auto"/>
          <w:kern w:val="0"/>
          <w:sz w:val="21"/>
          <w:szCs w:val="28"/>
        </w:rPr>
        <w:t>2、如果任何一方违反本协议之约定，且在守约方指定期限内仍不及时采取修正、补救措施的，违约方应当按照守约方的实际损失而予以赔偿。</w:t>
      </w:r>
    </w:p>
    <w:p>
      <w:pPr>
        <w:widowControl/>
        <w:spacing w:line="276" w:lineRule="auto"/>
        <w:jc w:val="left"/>
        <w:rPr>
          <w:rFonts w:ascii="宋体" w:hAnsi="宋体" w:eastAsia="宋体"/>
          <w:color w:val="auto"/>
          <w:kern w:val="0"/>
          <w:sz w:val="21"/>
          <w:szCs w:val="28"/>
        </w:rPr>
      </w:pPr>
      <w:r>
        <w:rPr>
          <w:rFonts w:hint="eastAsia" w:ascii="宋体" w:hAnsi="宋体" w:eastAsia="宋体"/>
          <w:b/>
          <w:color w:val="auto"/>
          <w:kern w:val="0"/>
          <w:sz w:val="21"/>
          <w:szCs w:val="28"/>
        </w:rPr>
        <w:t>第八条</w:t>
      </w:r>
      <w:r>
        <w:rPr>
          <w:rFonts w:hint="eastAsia" w:ascii="宋体" w:hAnsi="宋体" w:eastAsia="宋体"/>
          <w:color w:val="auto"/>
          <w:kern w:val="0"/>
          <w:sz w:val="21"/>
          <w:szCs w:val="28"/>
        </w:rPr>
        <w:t xml:space="preserve">  适用法律：</w:t>
      </w:r>
    </w:p>
    <w:p>
      <w:pPr>
        <w:widowControl/>
        <w:spacing w:line="276" w:lineRule="auto"/>
        <w:ind w:firstLine="420" w:firstLineChars="200"/>
        <w:jc w:val="left"/>
        <w:rPr>
          <w:rFonts w:ascii="宋体" w:hAnsi="宋体" w:eastAsia="宋体"/>
          <w:color w:val="auto"/>
          <w:kern w:val="0"/>
          <w:sz w:val="21"/>
          <w:szCs w:val="28"/>
        </w:rPr>
      </w:pPr>
      <w:r>
        <w:rPr>
          <w:rFonts w:hint="eastAsia" w:ascii="宋体" w:hAnsi="宋体" w:eastAsia="宋体"/>
          <w:color w:val="auto"/>
          <w:kern w:val="0"/>
          <w:sz w:val="21"/>
          <w:szCs w:val="28"/>
        </w:rPr>
        <w:t>本协议受中华人民共和国法律管辖，并在所有方面依其进行解释。</w:t>
      </w:r>
    </w:p>
    <w:p>
      <w:pPr>
        <w:widowControl/>
        <w:spacing w:line="276" w:lineRule="auto"/>
        <w:jc w:val="left"/>
        <w:rPr>
          <w:rFonts w:ascii="宋体" w:hAnsi="宋体" w:eastAsia="宋体"/>
          <w:color w:val="auto"/>
          <w:kern w:val="0"/>
          <w:sz w:val="21"/>
          <w:szCs w:val="28"/>
        </w:rPr>
      </w:pPr>
      <w:r>
        <w:rPr>
          <w:rFonts w:hint="eastAsia" w:ascii="宋体" w:hAnsi="宋体" w:eastAsia="宋体"/>
          <w:b/>
          <w:color w:val="auto"/>
          <w:kern w:val="0"/>
          <w:sz w:val="21"/>
          <w:szCs w:val="28"/>
        </w:rPr>
        <w:t>第九条</w:t>
      </w:r>
      <w:r>
        <w:rPr>
          <w:rFonts w:hint="eastAsia" w:ascii="宋体" w:hAnsi="宋体" w:eastAsia="宋体"/>
          <w:color w:val="auto"/>
          <w:kern w:val="0"/>
          <w:sz w:val="21"/>
          <w:szCs w:val="28"/>
        </w:rPr>
        <w:t xml:space="preserve">  争议的解决：</w:t>
      </w:r>
    </w:p>
    <w:p>
      <w:pPr>
        <w:widowControl/>
        <w:spacing w:line="276" w:lineRule="auto"/>
        <w:ind w:firstLine="420" w:firstLineChars="200"/>
        <w:jc w:val="left"/>
        <w:rPr>
          <w:rFonts w:ascii="宋体" w:hAnsi="宋体" w:eastAsia="宋体"/>
          <w:color w:val="auto"/>
          <w:kern w:val="0"/>
          <w:sz w:val="21"/>
          <w:szCs w:val="28"/>
        </w:rPr>
      </w:pPr>
      <w:r>
        <w:rPr>
          <w:rFonts w:hint="eastAsia" w:ascii="宋体" w:hAnsi="宋体" w:eastAsia="宋体"/>
          <w:color w:val="auto"/>
          <w:kern w:val="0"/>
          <w:sz w:val="21"/>
          <w:szCs w:val="28"/>
        </w:rPr>
        <w:t>由本协议产生的一切争议由双方友好协商解决。协商不成，双方约定向乙方所在地人民法院提起诉讼。</w:t>
      </w:r>
    </w:p>
    <w:p>
      <w:pPr>
        <w:widowControl/>
        <w:spacing w:line="276" w:lineRule="auto"/>
        <w:jc w:val="left"/>
        <w:rPr>
          <w:rFonts w:ascii="宋体" w:hAnsi="宋体" w:eastAsia="宋体"/>
          <w:color w:val="auto"/>
          <w:kern w:val="0"/>
          <w:sz w:val="21"/>
          <w:szCs w:val="28"/>
        </w:rPr>
      </w:pPr>
      <w:r>
        <w:rPr>
          <w:rFonts w:hint="eastAsia" w:ascii="宋体" w:hAnsi="宋体" w:eastAsia="宋体"/>
          <w:b/>
          <w:color w:val="auto"/>
          <w:kern w:val="0"/>
          <w:sz w:val="21"/>
          <w:szCs w:val="28"/>
        </w:rPr>
        <w:t xml:space="preserve">第十条 </w:t>
      </w:r>
      <w:r>
        <w:rPr>
          <w:rFonts w:hint="eastAsia" w:ascii="宋体" w:hAnsi="宋体" w:eastAsia="宋体"/>
          <w:color w:val="auto"/>
          <w:kern w:val="0"/>
          <w:sz w:val="21"/>
          <w:szCs w:val="28"/>
        </w:rPr>
        <w:t xml:space="preserve"> 生效及其它事项：</w:t>
      </w:r>
    </w:p>
    <w:p>
      <w:pPr>
        <w:widowControl/>
        <w:spacing w:line="276" w:lineRule="auto"/>
        <w:ind w:firstLine="420" w:firstLineChars="200"/>
        <w:jc w:val="left"/>
        <w:rPr>
          <w:rFonts w:ascii="宋体" w:hAnsi="宋体" w:eastAsia="宋体"/>
          <w:color w:val="auto"/>
          <w:kern w:val="0"/>
          <w:sz w:val="21"/>
          <w:szCs w:val="28"/>
        </w:rPr>
      </w:pPr>
      <w:r>
        <w:rPr>
          <w:rFonts w:hint="eastAsia" w:ascii="宋体" w:hAnsi="宋体" w:eastAsia="宋体"/>
          <w:color w:val="auto"/>
          <w:kern w:val="0"/>
          <w:sz w:val="21"/>
          <w:szCs w:val="28"/>
        </w:rPr>
        <w:t>1、一方没有或延迟行使本协议下的任何权利，不得视为是对该权利的弃权。对本协议下任何权利或特权的弃权，必须采取书面形式并经弃权的一方签署。</w:t>
      </w:r>
    </w:p>
    <w:p>
      <w:pPr>
        <w:widowControl/>
        <w:spacing w:line="276" w:lineRule="auto"/>
        <w:ind w:firstLine="420" w:firstLineChars="200"/>
        <w:jc w:val="left"/>
        <w:rPr>
          <w:rFonts w:ascii="宋体" w:hAnsi="宋体" w:eastAsia="宋体"/>
          <w:color w:val="auto"/>
          <w:kern w:val="0"/>
          <w:sz w:val="21"/>
          <w:szCs w:val="28"/>
        </w:rPr>
      </w:pPr>
      <w:r>
        <w:rPr>
          <w:rFonts w:hint="eastAsia" w:ascii="宋体" w:hAnsi="宋体" w:eastAsia="宋体"/>
          <w:color w:val="auto"/>
          <w:kern w:val="0"/>
          <w:sz w:val="21"/>
          <w:szCs w:val="28"/>
        </w:rPr>
        <w:t>2、本协议自签订之日起生效，且对双方具有同等法律约束力。任何于协议签订前经双方协商但未记载于本协议之事项，对双方皆无约束力。</w:t>
      </w:r>
    </w:p>
    <w:p>
      <w:pPr>
        <w:widowControl/>
        <w:spacing w:line="276" w:lineRule="auto"/>
        <w:ind w:firstLine="420" w:firstLineChars="200"/>
        <w:jc w:val="left"/>
        <w:rPr>
          <w:rFonts w:ascii="宋体" w:hAnsi="宋体" w:eastAsia="宋体"/>
          <w:color w:val="auto"/>
          <w:kern w:val="0"/>
          <w:sz w:val="21"/>
          <w:szCs w:val="28"/>
        </w:rPr>
      </w:pPr>
      <w:r>
        <w:rPr>
          <w:rFonts w:hint="eastAsia" w:ascii="宋体" w:hAnsi="宋体" w:eastAsia="宋体"/>
          <w:color w:val="auto"/>
          <w:kern w:val="0"/>
          <w:sz w:val="21"/>
          <w:szCs w:val="28"/>
        </w:rPr>
        <w:t>3、双方确认，本协议条款具有独立性，不因主合同（如有）或项目谈判（如有）的终止、解除而终止、解除。协议任何条款的无效不影响本协议其他条款的有效性。</w:t>
      </w:r>
    </w:p>
    <w:p>
      <w:pPr>
        <w:widowControl/>
        <w:spacing w:line="276" w:lineRule="auto"/>
        <w:ind w:firstLine="420" w:firstLineChars="200"/>
        <w:jc w:val="left"/>
        <w:rPr>
          <w:rFonts w:ascii="宋体" w:hAnsi="宋体" w:eastAsia="宋体"/>
          <w:color w:val="auto"/>
          <w:kern w:val="0"/>
          <w:sz w:val="21"/>
          <w:szCs w:val="28"/>
        </w:rPr>
      </w:pPr>
      <w:r>
        <w:rPr>
          <w:rFonts w:hint="eastAsia" w:ascii="宋体" w:hAnsi="宋体" w:eastAsia="宋体"/>
          <w:color w:val="auto"/>
          <w:kern w:val="0"/>
          <w:sz w:val="21"/>
          <w:szCs w:val="28"/>
        </w:rPr>
        <w:t>4、本协议及其附件对双方具有同等法律约束力。</w:t>
      </w:r>
    </w:p>
    <w:p>
      <w:pPr>
        <w:widowControl/>
        <w:spacing w:line="276" w:lineRule="auto"/>
        <w:ind w:firstLine="420" w:firstLineChars="200"/>
        <w:jc w:val="left"/>
        <w:rPr>
          <w:rFonts w:ascii="宋体" w:hAnsi="宋体" w:eastAsia="宋体"/>
          <w:color w:val="auto"/>
          <w:kern w:val="0"/>
          <w:sz w:val="21"/>
          <w:szCs w:val="28"/>
        </w:rPr>
      </w:pPr>
      <w:r>
        <w:rPr>
          <w:rFonts w:hint="eastAsia" w:ascii="宋体" w:hAnsi="宋体" w:eastAsia="宋体"/>
          <w:color w:val="auto"/>
          <w:kern w:val="0"/>
          <w:sz w:val="21"/>
          <w:szCs w:val="28"/>
        </w:rPr>
        <w:t>5、未尽事宜由双方友好协商解决。</w:t>
      </w:r>
    </w:p>
    <w:p>
      <w:pPr>
        <w:widowControl/>
        <w:tabs>
          <w:tab w:val="left" w:pos="425"/>
          <w:tab w:val="left" w:pos="540"/>
        </w:tabs>
        <w:spacing w:after="120" w:line="276" w:lineRule="auto"/>
        <w:ind w:firstLine="420" w:firstLineChars="200"/>
        <w:jc w:val="left"/>
        <w:rPr>
          <w:rFonts w:hint="eastAsia" w:ascii="宋体" w:hAnsi="宋体" w:eastAsia="宋体"/>
          <w:color w:val="auto"/>
          <w:kern w:val="0"/>
          <w:sz w:val="21"/>
          <w:szCs w:val="28"/>
        </w:rPr>
      </w:pPr>
      <w:r>
        <w:rPr>
          <w:rFonts w:hint="eastAsia" w:ascii="宋体" w:hAnsi="宋体" w:eastAsia="宋体"/>
          <w:color w:val="auto"/>
          <w:kern w:val="0"/>
          <w:sz w:val="21"/>
          <w:szCs w:val="28"/>
          <w:lang w:val="zh-CN"/>
        </w:rPr>
        <w:t>6、任何一方对本协议的修改必须经双方书面同意后生效。</w:t>
      </w:r>
    </w:p>
    <w:p>
      <w:pPr>
        <w:widowControl/>
        <w:jc w:val="left"/>
        <w:rPr>
          <w:rFonts w:asciiTheme="minorEastAsia" w:hAnsiTheme="minorEastAsia" w:eastAsiaTheme="minorEastAsia" w:cstheme="minorEastAsia"/>
          <w:b/>
          <w:color w:val="auto"/>
          <w:kern w:val="0"/>
          <w:sz w:val="24"/>
          <w:highlight w:val="none"/>
          <w:lang w:bidi="ar"/>
        </w:rPr>
      </w:pPr>
      <w:r>
        <w:rPr>
          <w:rFonts w:hint="eastAsia" w:asciiTheme="minorEastAsia" w:hAnsiTheme="minorEastAsia" w:eastAsiaTheme="minorEastAsia" w:cstheme="minorEastAsia"/>
          <w:b/>
          <w:color w:val="auto"/>
          <w:kern w:val="0"/>
          <w:sz w:val="24"/>
          <w:szCs w:val="24"/>
          <w:highlight w:val="none"/>
          <w:lang w:bidi="ar"/>
        </w:rPr>
        <w:br w:type="page"/>
      </w:r>
    </w:p>
    <w:tbl>
      <w:tblPr>
        <w:tblStyle w:val="44"/>
        <w:tblW w:w="8638"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892"/>
        <w:gridCol w:w="2085"/>
        <w:gridCol w:w="1161"/>
        <w:gridCol w:w="15"/>
        <w:gridCol w:w="697"/>
        <w:gridCol w:w="883"/>
        <w:gridCol w:w="1319"/>
        <w:gridCol w:w="1586"/>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540" w:hRule="atLeast"/>
          <w:jc w:val="center"/>
        </w:trPr>
        <w:tc>
          <w:tcPr>
            <w:tcW w:w="892" w:type="dxa"/>
            <w:vMerge w:val="restart"/>
            <w:tcBorders>
              <w:top w:val="single" w:color="auto" w:sz="12" w:space="0"/>
              <w:left w:val="single" w:color="auto" w:sz="12" w:space="0"/>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kern w:val="0"/>
                <w:sz w:val="24"/>
                <w:highlight w:val="none"/>
                <w:lang w:bidi="ar"/>
              </w:rPr>
              <mc:AlternateContent>
                <mc:Choice Requires="wps">
                  <w:drawing>
                    <wp:anchor distT="0" distB="0" distL="114300" distR="114300" simplePos="0" relativeHeight="251659264" behindDoc="0" locked="0" layoutInCell="1" allowOverlap="1">
                      <wp:simplePos x="0" y="0"/>
                      <wp:positionH relativeFrom="column">
                        <wp:posOffset>-73025</wp:posOffset>
                      </wp:positionH>
                      <wp:positionV relativeFrom="paragraph">
                        <wp:posOffset>1116330</wp:posOffset>
                      </wp:positionV>
                      <wp:extent cx="508635" cy="1859280"/>
                      <wp:effectExtent l="0" t="0" r="0" b="0"/>
                      <wp:wrapNone/>
                      <wp:docPr id="6" name="文本框 2"/>
                      <wp:cNvGraphicFramePr/>
                      <a:graphic xmlns:a="http://schemas.openxmlformats.org/drawingml/2006/main">
                        <a:graphicData uri="http://schemas.microsoft.com/office/word/2010/wordprocessingShape">
                          <wps:wsp>
                            <wps:cNvSpPr txBox="1"/>
                            <wps:spPr>
                              <a:xfrm>
                                <a:off x="0" y="0"/>
                                <a:ext cx="508635" cy="1859280"/>
                              </a:xfrm>
                              <a:prstGeom prst="rect">
                                <a:avLst/>
                              </a:prstGeom>
                              <a:noFill/>
                              <a:ln>
                                <a:noFill/>
                              </a:ln>
                            </wps:spPr>
                            <wps:txbx>
                              <w:txbxContent>
                                <w:p>
                                  <w:pPr>
                                    <w:widowControl/>
                                    <w:spacing w:line="360" w:lineRule="auto"/>
                                    <w:jc w:val="center"/>
                                    <w:rPr>
                                      <w:rFonts w:hint="eastAsia" w:ascii="宋体" w:hAnsi="宋体" w:eastAsia="宋体" w:cs="宋体"/>
                                    </w:rPr>
                                  </w:pPr>
                                  <w:r>
                                    <w:rPr>
                                      <w:rFonts w:hint="eastAsia" w:ascii="宋体" w:hAnsi="宋体" w:eastAsia="宋体" w:cs="宋体"/>
                                      <w:color w:val="000000"/>
                                      <w:kern w:val="0"/>
                                      <w:sz w:val="28"/>
                                      <w:szCs w:val="28"/>
                                      <w:lang w:bidi="ar"/>
                                    </w:rPr>
                                    <w:t>委托人（甲  方</w:t>
                                  </w:r>
                                  <w:r>
                                    <w:rPr>
                                      <w:rFonts w:hint="eastAsia" w:ascii="宋体" w:hAnsi="宋体" w:eastAsia="宋体" w:cs="宋体"/>
                                      <w:kern w:val="0"/>
                                      <w:sz w:val="24"/>
                                      <w:lang w:bidi="ar"/>
                                    </w:rPr>
                                    <w:t>）</w:t>
                                  </w:r>
                                </w:p>
                              </w:txbxContent>
                            </wps:txbx>
                            <wps:bodyPr vert="eaVert"/>
                          </wps:wsp>
                        </a:graphicData>
                      </a:graphic>
                    </wp:anchor>
                  </w:drawing>
                </mc:Choice>
                <mc:Fallback>
                  <w:pict>
                    <v:shape id="文本框 2" o:spid="_x0000_s1026" o:spt="202" type="#_x0000_t202" style="position:absolute;left:0pt;margin-left:-5.75pt;margin-top:87.9pt;height:146.4pt;width:40.05pt;z-index:251659264;mso-width-relative:page;mso-height-relative:page;" filled="f" stroked="f" coordsize="21600,21600" o:gfxdata="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">
                      <v:fill on="f" focussize="0,0"/>
                      <v:stroke on="f"/>
                      <v:imagedata o:title=""/>
                      <o:lock v:ext="edit" aspectratio="f"/>
                      <v:textbox style="layout-flow:vertical-ideographic;">
                        <w:txbxContent>
                          <w:p>
                            <w:pPr>
                              <w:widowControl/>
                              <w:spacing w:line="360" w:lineRule="auto"/>
                              <w:jc w:val="center"/>
                              <w:rPr>
                                <w:rFonts w:hint="eastAsia" w:ascii="宋体" w:hAnsi="宋体" w:eastAsia="宋体" w:cs="宋体"/>
                              </w:rPr>
                            </w:pPr>
                            <w:r>
                              <w:rPr>
                                <w:rFonts w:hint="eastAsia" w:ascii="宋体" w:hAnsi="宋体" w:eastAsia="宋体" w:cs="宋体"/>
                                <w:color w:val="000000"/>
                                <w:kern w:val="0"/>
                                <w:sz w:val="28"/>
                                <w:szCs w:val="28"/>
                                <w:lang w:bidi="ar"/>
                              </w:rPr>
                              <w:t>委托人（甲  方</w:t>
                            </w:r>
                            <w:r>
                              <w:rPr>
                                <w:rFonts w:hint="eastAsia" w:ascii="宋体" w:hAnsi="宋体" w:eastAsia="宋体" w:cs="宋体"/>
                                <w:kern w:val="0"/>
                                <w:sz w:val="24"/>
                                <w:lang w:bidi="ar"/>
                              </w:rPr>
                              <w:t>）</w:t>
                            </w:r>
                          </w:p>
                        </w:txbxContent>
                      </v:textbox>
                    </v:shape>
                  </w:pict>
                </mc:Fallback>
              </mc:AlternateContent>
            </w:r>
          </w:p>
        </w:tc>
        <w:tc>
          <w:tcPr>
            <w:tcW w:w="2085" w:type="dxa"/>
            <w:tcBorders>
              <w:top w:val="single" w:color="auto" w:sz="12" w:space="0"/>
              <w:left w:val="single" w:color="auto" w:sz="4" w:space="0"/>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kern w:val="0"/>
                <w:sz w:val="24"/>
                <w:szCs w:val="24"/>
                <w:highlight w:val="none"/>
                <w:lang w:bidi="ar"/>
              </w:rPr>
              <w:t>名称（或姓名）</w:t>
            </w:r>
          </w:p>
        </w:tc>
        <w:tc>
          <w:tcPr>
            <w:tcW w:w="4075" w:type="dxa"/>
            <w:gridSpan w:val="5"/>
            <w:tcBorders>
              <w:top w:val="single" w:color="auto" w:sz="12" w:space="0"/>
              <w:left w:val="single" w:color="auto" w:sz="4" w:space="0"/>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kern w:val="0"/>
                <w:sz w:val="24"/>
                <w:szCs w:val="24"/>
                <w:highlight w:val="none"/>
                <w:lang w:bidi="ar"/>
              </w:rPr>
              <w:t>北京市西城区科学技术和信息化局</w:t>
            </w:r>
          </w:p>
        </w:tc>
        <w:tc>
          <w:tcPr>
            <w:tcW w:w="1586" w:type="dxa"/>
            <w:vMerge w:val="restart"/>
            <w:tcBorders>
              <w:top w:val="single" w:color="auto" w:sz="12" w:space="0"/>
              <w:left w:val="single" w:color="auto" w:sz="4" w:space="0"/>
              <w:bottom w:val="single" w:color="auto" w:sz="4" w:space="0"/>
              <w:right w:val="single" w:color="auto" w:sz="12" w:space="0"/>
            </w:tcBorders>
            <w:shd w:val="clear" w:color="auto" w:fill="auto"/>
            <w:vAlign w:val="center"/>
          </w:tcPr>
          <w:p>
            <w:pPr>
              <w:widowControl/>
              <w:jc w:val="center"/>
              <w:rPr>
                <w:rFonts w:asciiTheme="minorEastAsia" w:hAnsiTheme="minorEastAsia" w:eastAsiaTheme="minorEastAsia" w:cstheme="minorEastAsia"/>
                <w:color w:val="auto"/>
                <w:sz w:val="24"/>
                <w:szCs w:val="24"/>
                <w:highlight w:val="none"/>
              </w:rPr>
            </w:pPr>
          </w:p>
          <w:p>
            <w:pPr>
              <w:widowControl/>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kern w:val="0"/>
                <w:sz w:val="24"/>
                <w:szCs w:val="24"/>
                <w:highlight w:val="none"/>
                <w:lang w:bidi="ar"/>
              </w:rPr>
              <w:t>合同专用章或单位公章</w:t>
            </w:r>
          </w:p>
          <w:p>
            <w:pPr>
              <w:widowControl/>
              <w:jc w:val="center"/>
              <w:rPr>
                <w:rFonts w:asciiTheme="minorEastAsia" w:hAnsiTheme="minorEastAsia" w:eastAsiaTheme="minorEastAsia" w:cstheme="minorEastAsia"/>
                <w:color w:val="auto"/>
                <w:sz w:val="24"/>
                <w:szCs w:val="24"/>
                <w:highlight w:val="none"/>
              </w:rPr>
            </w:pPr>
          </w:p>
          <w:p>
            <w:pPr>
              <w:pStyle w:val="23"/>
              <w:rPr>
                <w:color w:val="auto"/>
              </w:rPr>
            </w:pPr>
          </w:p>
          <w:p>
            <w:pPr>
              <w:widowControl/>
              <w:jc w:val="center"/>
              <w:rPr>
                <w:rFonts w:asciiTheme="minorEastAsia" w:hAnsiTheme="minorEastAsia" w:eastAsiaTheme="minorEastAsia" w:cstheme="minorEastAsia"/>
                <w:color w:val="auto"/>
                <w:sz w:val="24"/>
                <w:szCs w:val="24"/>
                <w:highlight w:val="none"/>
              </w:rPr>
            </w:pPr>
          </w:p>
          <w:p>
            <w:pPr>
              <w:widowControl/>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kern w:val="0"/>
                <w:sz w:val="24"/>
                <w:szCs w:val="24"/>
                <w:highlight w:val="none"/>
                <w:lang w:bidi="ar"/>
              </w:rPr>
              <w:t>年  月  日</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1353" w:hRule="atLeast"/>
          <w:jc w:val="center"/>
        </w:trPr>
        <w:tc>
          <w:tcPr>
            <w:tcW w:w="892" w:type="dxa"/>
            <w:vMerge w:val="continue"/>
            <w:tcBorders>
              <w:top w:val="single" w:color="auto" w:sz="12" w:space="0"/>
              <w:left w:val="single" w:color="auto" w:sz="12" w:space="0"/>
              <w:bottom w:val="single" w:color="auto" w:sz="4" w:space="0"/>
              <w:right w:val="single" w:color="auto" w:sz="4" w:space="0"/>
            </w:tcBorders>
            <w:shd w:val="clear" w:color="auto" w:fill="auto"/>
            <w:vAlign w:val="center"/>
          </w:tcPr>
          <w:p>
            <w:pPr>
              <w:jc w:val="center"/>
              <w:rPr>
                <w:rFonts w:asciiTheme="minorEastAsia" w:hAnsiTheme="minorEastAsia" w:eastAsiaTheme="minorEastAsia" w:cstheme="minorEastAsia"/>
                <w:color w:val="auto"/>
                <w:sz w:val="24"/>
                <w:szCs w:val="24"/>
                <w:highlight w:val="none"/>
              </w:rPr>
            </w:pPr>
          </w:p>
        </w:tc>
        <w:tc>
          <w:tcPr>
            <w:tcW w:w="2085"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kern w:val="0"/>
                <w:sz w:val="24"/>
                <w:szCs w:val="24"/>
                <w:highlight w:val="none"/>
                <w:lang w:bidi="ar"/>
              </w:rPr>
              <w:t>法定代表人</w:t>
            </w:r>
          </w:p>
        </w:tc>
        <w:tc>
          <w:tcPr>
            <w:tcW w:w="4075" w:type="dxa"/>
            <w:gridSpan w:val="5"/>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kern w:val="0"/>
                <w:sz w:val="24"/>
                <w:szCs w:val="24"/>
                <w:highlight w:val="none"/>
                <w:lang w:bidi="ar"/>
              </w:rPr>
              <w:t>（签章）</w:t>
            </w:r>
          </w:p>
        </w:tc>
        <w:tc>
          <w:tcPr>
            <w:tcW w:w="1586" w:type="dxa"/>
            <w:vMerge w:val="continue"/>
            <w:tcBorders>
              <w:top w:val="single" w:color="auto" w:sz="12" w:space="0"/>
              <w:left w:val="single" w:color="auto" w:sz="4" w:space="0"/>
              <w:bottom w:val="single" w:color="auto" w:sz="4" w:space="0"/>
              <w:right w:val="single" w:color="auto" w:sz="12" w:space="0"/>
            </w:tcBorders>
            <w:shd w:val="clear" w:color="auto" w:fill="auto"/>
            <w:vAlign w:val="center"/>
          </w:tcPr>
          <w:p>
            <w:pPr>
              <w:jc w:val="center"/>
              <w:rPr>
                <w:rFonts w:asciiTheme="minorEastAsia" w:hAnsiTheme="minorEastAsia" w:eastAsiaTheme="minorEastAsia" w:cstheme="minorEastAsia"/>
                <w:color w:val="auto"/>
                <w:sz w:val="24"/>
                <w:szCs w:val="24"/>
                <w:highlight w:val="none"/>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594" w:hRule="atLeast"/>
          <w:jc w:val="center"/>
        </w:trPr>
        <w:tc>
          <w:tcPr>
            <w:tcW w:w="892" w:type="dxa"/>
            <w:vMerge w:val="continue"/>
            <w:tcBorders>
              <w:top w:val="single" w:color="auto" w:sz="12" w:space="0"/>
              <w:left w:val="single" w:color="auto" w:sz="12" w:space="0"/>
              <w:bottom w:val="single" w:color="auto" w:sz="4" w:space="0"/>
              <w:right w:val="single" w:color="auto" w:sz="4" w:space="0"/>
            </w:tcBorders>
            <w:shd w:val="clear" w:color="auto" w:fill="auto"/>
            <w:vAlign w:val="center"/>
          </w:tcPr>
          <w:p>
            <w:pPr>
              <w:jc w:val="center"/>
              <w:rPr>
                <w:rFonts w:asciiTheme="minorEastAsia" w:hAnsiTheme="minorEastAsia" w:eastAsiaTheme="minorEastAsia" w:cstheme="minorEastAsia"/>
                <w:color w:val="auto"/>
                <w:sz w:val="24"/>
                <w:szCs w:val="24"/>
                <w:highlight w:val="none"/>
              </w:rPr>
            </w:pPr>
          </w:p>
        </w:tc>
        <w:tc>
          <w:tcPr>
            <w:tcW w:w="2085"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kern w:val="0"/>
                <w:sz w:val="24"/>
                <w:szCs w:val="24"/>
                <w:highlight w:val="none"/>
                <w:lang w:bidi="ar"/>
              </w:rPr>
              <w:t>委托代理人</w:t>
            </w:r>
          </w:p>
        </w:tc>
        <w:tc>
          <w:tcPr>
            <w:tcW w:w="4075" w:type="dxa"/>
            <w:gridSpan w:val="5"/>
            <w:tcBorders>
              <w:top w:val="single" w:color="auto" w:sz="4" w:space="0"/>
              <w:left w:val="single" w:color="auto" w:sz="4" w:space="0"/>
              <w:bottom w:val="single" w:color="auto" w:sz="4" w:space="0"/>
              <w:right w:val="single" w:color="auto" w:sz="4" w:space="0"/>
            </w:tcBorders>
            <w:shd w:val="clear" w:color="auto" w:fill="auto"/>
            <w:vAlign w:val="center"/>
          </w:tcPr>
          <w:p>
            <w:pPr>
              <w:widowControl/>
              <w:ind w:right="50"/>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kern w:val="0"/>
                <w:sz w:val="24"/>
                <w:szCs w:val="24"/>
                <w:highlight w:val="none"/>
                <w:lang w:val="en-US" w:eastAsia="zh-CN" w:bidi="ar"/>
              </w:rPr>
              <w:t xml:space="preserve">      </w:t>
            </w:r>
            <w:r>
              <w:rPr>
                <w:rFonts w:hint="eastAsia" w:asciiTheme="minorEastAsia" w:hAnsiTheme="minorEastAsia" w:eastAsiaTheme="minorEastAsia" w:cstheme="minorEastAsia"/>
                <w:color w:val="auto"/>
                <w:kern w:val="0"/>
                <w:sz w:val="24"/>
                <w:szCs w:val="24"/>
                <w:highlight w:val="none"/>
                <w:lang w:bidi="ar"/>
              </w:rPr>
              <w:t>（签章）</w:t>
            </w:r>
          </w:p>
        </w:tc>
        <w:tc>
          <w:tcPr>
            <w:tcW w:w="1586" w:type="dxa"/>
            <w:vMerge w:val="continue"/>
            <w:tcBorders>
              <w:top w:val="single" w:color="auto" w:sz="12" w:space="0"/>
              <w:left w:val="single" w:color="auto" w:sz="4" w:space="0"/>
              <w:bottom w:val="single" w:color="auto" w:sz="4" w:space="0"/>
              <w:right w:val="single" w:color="auto" w:sz="12" w:space="0"/>
            </w:tcBorders>
            <w:shd w:val="clear" w:color="auto" w:fill="auto"/>
            <w:vAlign w:val="center"/>
          </w:tcPr>
          <w:p>
            <w:pPr>
              <w:jc w:val="center"/>
              <w:rPr>
                <w:rFonts w:asciiTheme="minorEastAsia" w:hAnsiTheme="minorEastAsia" w:eastAsiaTheme="minorEastAsia" w:cstheme="minorEastAsia"/>
                <w:color w:val="auto"/>
                <w:sz w:val="24"/>
                <w:szCs w:val="24"/>
                <w:highlight w:val="none"/>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577" w:hRule="atLeast"/>
          <w:jc w:val="center"/>
        </w:trPr>
        <w:tc>
          <w:tcPr>
            <w:tcW w:w="892" w:type="dxa"/>
            <w:vMerge w:val="continue"/>
            <w:tcBorders>
              <w:top w:val="single" w:color="auto" w:sz="12" w:space="0"/>
              <w:left w:val="single" w:color="auto" w:sz="12" w:space="0"/>
              <w:bottom w:val="single" w:color="auto" w:sz="4" w:space="0"/>
              <w:right w:val="single" w:color="auto" w:sz="4" w:space="0"/>
            </w:tcBorders>
            <w:shd w:val="clear" w:color="auto" w:fill="auto"/>
            <w:vAlign w:val="center"/>
          </w:tcPr>
          <w:p>
            <w:pPr>
              <w:jc w:val="center"/>
              <w:rPr>
                <w:rFonts w:asciiTheme="minorEastAsia" w:hAnsiTheme="minorEastAsia" w:eastAsiaTheme="minorEastAsia" w:cstheme="minorEastAsia"/>
                <w:color w:val="auto"/>
                <w:sz w:val="24"/>
                <w:szCs w:val="24"/>
                <w:highlight w:val="none"/>
              </w:rPr>
            </w:pPr>
          </w:p>
        </w:tc>
        <w:tc>
          <w:tcPr>
            <w:tcW w:w="2085"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kern w:val="0"/>
                <w:sz w:val="24"/>
                <w:szCs w:val="24"/>
                <w:highlight w:val="none"/>
                <w:lang w:bidi="ar"/>
              </w:rPr>
              <w:t>联系(经办)人</w:t>
            </w:r>
          </w:p>
        </w:tc>
        <w:tc>
          <w:tcPr>
            <w:tcW w:w="4075" w:type="dxa"/>
            <w:gridSpan w:val="5"/>
            <w:tcBorders>
              <w:top w:val="single" w:color="auto" w:sz="4" w:space="0"/>
              <w:left w:val="single" w:color="auto" w:sz="4" w:space="0"/>
              <w:bottom w:val="single" w:color="auto" w:sz="4" w:space="0"/>
              <w:right w:val="single" w:color="auto" w:sz="4" w:space="0"/>
            </w:tcBorders>
            <w:shd w:val="clear" w:color="auto" w:fill="auto"/>
            <w:vAlign w:val="center"/>
          </w:tcPr>
          <w:p>
            <w:pPr>
              <w:widowControl/>
              <w:ind w:firstLine="720" w:firstLineChars="300"/>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kern w:val="0"/>
                <w:sz w:val="24"/>
                <w:szCs w:val="24"/>
                <w:highlight w:val="none"/>
                <w:lang w:bidi="ar"/>
              </w:rPr>
              <w:t>（签章）</w:t>
            </w:r>
          </w:p>
        </w:tc>
        <w:tc>
          <w:tcPr>
            <w:tcW w:w="1586" w:type="dxa"/>
            <w:vMerge w:val="continue"/>
            <w:tcBorders>
              <w:top w:val="single" w:color="auto" w:sz="12" w:space="0"/>
              <w:left w:val="single" w:color="auto" w:sz="4" w:space="0"/>
              <w:bottom w:val="single" w:color="auto" w:sz="4" w:space="0"/>
              <w:right w:val="single" w:color="auto" w:sz="12" w:space="0"/>
            </w:tcBorders>
            <w:shd w:val="clear" w:color="auto" w:fill="auto"/>
            <w:vAlign w:val="center"/>
          </w:tcPr>
          <w:p>
            <w:pPr>
              <w:jc w:val="center"/>
              <w:rPr>
                <w:rFonts w:asciiTheme="minorEastAsia" w:hAnsiTheme="minorEastAsia" w:eastAsiaTheme="minorEastAsia" w:cstheme="minorEastAsia"/>
                <w:color w:val="auto"/>
                <w:sz w:val="24"/>
                <w:szCs w:val="24"/>
                <w:highlight w:val="none"/>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937" w:hRule="atLeast"/>
          <w:jc w:val="center"/>
        </w:trPr>
        <w:tc>
          <w:tcPr>
            <w:tcW w:w="892" w:type="dxa"/>
            <w:vMerge w:val="continue"/>
            <w:tcBorders>
              <w:top w:val="single" w:color="auto" w:sz="12" w:space="0"/>
              <w:left w:val="single" w:color="auto" w:sz="12" w:space="0"/>
              <w:bottom w:val="single" w:color="auto" w:sz="4" w:space="0"/>
              <w:right w:val="single" w:color="auto" w:sz="4" w:space="0"/>
            </w:tcBorders>
            <w:shd w:val="clear" w:color="auto" w:fill="auto"/>
            <w:vAlign w:val="center"/>
          </w:tcPr>
          <w:p>
            <w:pPr>
              <w:jc w:val="center"/>
              <w:rPr>
                <w:rFonts w:asciiTheme="minorEastAsia" w:hAnsiTheme="minorEastAsia" w:eastAsiaTheme="minorEastAsia" w:cstheme="minorEastAsia"/>
                <w:color w:val="auto"/>
                <w:sz w:val="24"/>
                <w:szCs w:val="24"/>
                <w:highlight w:val="none"/>
              </w:rPr>
            </w:pPr>
          </w:p>
        </w:tc>
        <w:tc>
          <w:tcPr>
            <w:tcW w:w="2085"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kern w:val="0"/>
                <w:sz w:val="24"/>
                <w:szCs w:val="24"/>
                <w:highlight w:val="none"/>
                <w:lang w:bidi="ar"/>
              </w:rPr>
              <w:t>住    所</w:t>
            </w:r>
          </w:p>
          <w:p>
            <w:pPr>
              <w:widowControl/>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kern w:val="0"/>
                <w:sz w:val="24"/>
                <w:szCs w:val="24"/>
                <w:highlight w:val="none"/>
                <w:lang w:bidi="ar"/>
              </w:rPr>
              <w:t>(通讯地址)</w:t>
            </w:r>
          </w:p>
        </w:tc>
        <w:tc>
          <w:tcPr>
            <w:tcW w:w="1873" w:type="dxa"/>
            <w:gridSpan w:val="3"/>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kern w:val="0"/>
                <w:sz w:val="24"/>
                <w:szCs w:val="24"/>
                <w:highlight w:val="none"/>
                <w:lang w:bidi="ar"/>
              </w:rPr>
              <w:t>北京市西城区广安门南街68号</w:t>
            </w:r>
          </w:p>
        </w:tc>
        <w:tc>
          <w:tcPr>
            <w:tcW w:w="883"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kern w:val="0"/>
                <w:sz w:val="24"/>
                <w:szCs w:val="24"/>
                <w:highlight w:val="none"/>
                <w:lang w:bidi="ar"/>
              </w:rPr>
              <w:t>邮 政</w:t>
            </w:r>
          </w:p>
          <w:p>
            <w:pPr>
              <w:widowControl/>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kern w:val="0"/>
                <w:sz w:val="24"/>
                <w:szCs w:val="24"/>
                <w:highlight w:val="none"/>
                <w:lang w:bidi="ar"/>
              </w:rPr>
              <w:t>编 码</w:t>
            </w:r>
          </w:p>
        </w:tc>
        <w:tc>
          <w:tcPr>
            <w:tcW w:w="1319"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kern w:val="0"/>
                <w:sz w:val="24"/>
                <w:szCs w:val="24"/>
                <w:highlight w:val="none"/>
                <w:lang w:bidi="ar"/>
              </w:rPr>
              <w:t>100050</w:t>
            </w:r>
          </w:p>
        </w:tc>
        <w:tc>
          <w:tcPr>
            <w:tcW w:w="1586" w:type="dxa"/>
            <w:vMerge w:val="continue"/>
            <w:tcBorders>
              <w:top w:val="single" w:color="auto" w:sz="12" w:space="0"/>
              <w:left w:val="single" w:color="auto" w:sz="4" w:space="0"/>
              <w:bottom w:val="single" w:color="auto" w:sz="4" w:space="0"/>
              <w:right w:val="single" w:color="auto" w:sz="12" w:space="0"/>
            </w:tcBorders>
            <w:shd w:val="clear" w:color="auto" w:fill="auto"/>
            <w:vAlign w:val="center"/>
          </w:tcPr>
          <w:p>
            <w:pPr>
              <w:jc w:val="center"/>
              <w:rPr>
                <w:rFonts w:asciiTheme="minorEastAsia" w:hAnsiTheme="minorEastAsia" w:eastAsiaTheme="minorEastAsia" w:cstheme="minorEastAsia"/>
                <w:color w:val="auto"/>
                <w:sz w:val="24"/>
                <w:szCs w:val="24"/>
                <w:highlight w:val="none"/>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635" w:hRule="atLeast"/>
          <w:jc w:val="center"/>
        </w:trPr>
        <w:tc>
          <w:tcPr>
            <w:tcW w:w="892" w:type="dxa"/>
            <w:vMerge w:val="continue"/>
            <w:tcBorders>
              <w:top w:val="single" w:color="auto" w:sz="12" w:space="0"/>
              <w:left w:val="single" w:color="auto" w:sz="12" w:space="0"/>
              <w:bottom w:val="single" w:color="auto" w:sz="4" w:space="0"/>
              <w:right w:val="single" w:color="auto" w:sz="4" w:space="0"/>
            </w:tcBorders>
            <w:shd w:val="clear" w:color="auto" w:fill="auto"/>
            <w:vAlign w:val="center"/>
          </w:tcPr>
          <w:p>
            <w:pPr>
              <w:jc w:val="center"/>
              <w:rPr>
                <w:rFonts w:asciiTheme="minorEastAsia" w:hAnsiTheme="minorEastAsia" w:eastAsiaTheme="minorEastAsia" w:cstheme="minorEastAsia"/>
                <w:color w:val="auto"/>
                <w:sz w:val="24"/>
                <w:szCs w:val="24"/>
                <w:highlight w:val="none"/>
              </w:rPr>
            </w:pPr>
          </w:p>
        </w:tc>
        <w:tc>
          <w:tcPr>
            <w:tcW w:w="2085"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kern w:val="0"/>
                <w:sz w:val="24"/>
                <w:szCs w:val="24"/>
                <w:highlight w:val="none"/>
                <w:lang w:bidi="ar"/>
              </w:rPr>
              <w:t>电    话</w:t>
            </w:r>
          </w:p>
        </w:tc>
        <w:tc>
          <w:tcPr>
            <w:tcW w:w="1176"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kern w:val="0"/>
                <w:sz w:val="24"/>
                <w:szCs w:val="24"/>
                <w:highlight w:val="none"/>
                <w:lang w:bidi="ar"/>
              </w:rPr>
              <w:t>010-83976426</w:t>
            </w:r>
          </w:p>
        </w:tc>
        <w:tc>
          <w:tcPr>
            <w:tcW w:w="697"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kern w:val="0"/>
                <w:sz w:val="24"/>
                <w:szCs w:val="24"/>
                <w:highlight w:val="none"/>
                <w:lang w:bidi="ar"/>
              </w:rPr>
              <w:t>传真</w:t>
            </w:r>
          </w:p>
        </w:tc>
        <w:tc>
          <w:tcPr>
            <w:tcW w:w="220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kern w:val="0"/>
                <w:sz w:val="24"/>
                <w:szCs w:val="24"/>
                <w:highlight w:val="none"/>
                <w:lang w:bidi="ar"/>
              </w:rPr>
              <w:t>010-83976426</w:t>
            </w:r>
          </w:p>
        </w:tc>
        <w:tc>
          <w:tcPr>
            <w:tcW w:w="1586" w:type="dxa"/>
            <w:vMerge w:val="continue"/>
            <w:tcBorders>
              <w:top w:val="single" w:color="auto" w:sz="12" w:space="0"/>
              <w:left w:val="single" w:color="auto" w:sz="4" w:space="0"/>
              <w:bottom w:val="single" w:color="auto" w:sz="4" w:space="0"/>
              <w:right w:val="single" w:color="auto" w:sz="12" w:space="0"/>
            </w:tcBorders>
            <w:shd w:val="clear" w:color="auto" w:fill="auto"/>
            <w:vAlign w:val="center"/>
          </w:tcPr>
          <w:p>
            <w:pPr>
              <w:jc w:val="center"/>
              <w:rPr>
                <w:rFonts w:asciiTheme="minorEastAsia" w:hAnsiTheme="minorEastAsia" w:eastAsiaTheme="minorEastAsia" w:cstheme="minorEastAsia"/>
                <w:color w:val="auto"/>
                <w:sz w:val="24"/>
                <w:szCs w:val="24"/>
                <w:highlight w:val="none"/>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585" w:hRule="atLeast"/>
          <w:jc w:val="center"/>
        </w:trPr>
        <w:tc>
          <w:tcPr>
            <w:tcW w:w="892" w:type="dxa"/>
            <w:vMerge w:val="continue"/>
            <w:tcBorders>
              <w:top w:val="single" w:color="auto" w:sz="12" w:space="0"/>
              <w:left w:val="single" w:color="auto" w:sz="12" w:space="0"/>
              <w:bottom w:val="single" w:color="auto" w:sz="4" w:space="0"/>
              <w:right w:val="single" w:color="auto" w:sz="4" w:space="0"/>
            </w:tcBorders>
            <w:shd w:val="clear" w:color="auto" w:fill="auto"/>
            <w:vAlign w:val="center"/>
          </w:tcPr>
          <w:p>
            <w:pPr>
              <w:jc w:val="center"/>
              <w:rPr>
                <w:rFonts w:asciiTheme="minorEastAsia" w:hAnsiTheme="minorEastAsia" w:eastAsiaTheme="minorEastAsia" w:cstheme="minorEastAsia"/>
                <w:color w:val="auto"/>
                <w:sz w:val="24"/>
                <w:szCs w:val="24"/>
                <w:highlight w:val="none"/>
              </w:rPr>
            </w:pPr>
          </w:p>
        </w:tc>
        <w:tc>
          <w:tcPr>
            <w:tcW w:w="2085"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kern w:val="0"/>
                <w:sz w:val="24"/>
                <w:szCs w:val="24"/>
                <w:highlight w:val="none"/>
                <w:lang w:bidi="ar"/>
              </w:rPr>
              <w:t>开户银行</w:t>
            </w:r>
          </w:p>
        </w:tc>
        <w:tc>
          <w:tcPr>
            <w:tcW w:w="4075" w:type="dxa"/>
            <w:gridSpan w:val="5"/>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stheme="minorEastAsia"/>
                <w:color w:val="auto"/>
                <w:sz w:val="24"/>
                <w:szCs w:val="24"/>
                <w:highlight w:val="none"/>
              </w:rPr>
            </w:pPr>
          </w:p>
        </w:tc>
        <w:tc>
          <w:tcPr>
            <w:tcW w:w="1586" w:type="dxa"/>
            <w:vMerge w:val="continue"/>
            <w:tcBorders>
              <w:top w:val="single" w:color="auto" w:sz="12" w:space="0"/>
              <w:left w:val="single" w:color="auto" w:sz="4" w:space="0"/>
              <w:bottom w:val="single" w:color="auto" w:sz="4" w:space="0"/>
              <w:right w:val="single" w:color="auto" w:sz="12" w:space="0"/>
            </w:tcBorders>
            <w:shd w:val="clear" w:color="auto" w:fill="auto"/>
            <w:vAlign w:val="center"/>
          </w:tcPr>
          <w:p>
            <w:pPr>
              <w:jc w:val="center"/>
              <w:rPr>
                <w:rFonts w:asciiTheme="minorEastAsia" w:hAnsiTheme="minorEastAsia" w:eastAsiaTheme="minorEastAsia" w:cstheme="minorEastAsia"/>
                <w:color w:val="auto"/>
                <w:sz w:val="24"/>
                <w:szCs w:val="24"/>
                <w:highlight w:val="none"/>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598" w:hRule="atLeast"/>
          <w:jc w:val="center"/>
        </w:trPr>
        <w:tc>
          <w:tcPr>
            <w:tcW w:w="892" w:type="dxa"/>
            <w:vMerge w:val="continue"/>
            <w:tcBorders>
              <w:top w:val="single" w:color="auto" w:sz="12" w:space="0"/>
              <w:left w:val="single" w:color="auto" w:sz="12" w:space="0"/>
              <w:bottom w:val="single" w:color="auto" w:sz="4" w:space="0"/>
              <w:right w:val="single" w:color="auto" w:sz="4" w:space="0"/>
            </w:tcBorders>
            <w:shd w:val="clear" w:color="auto" w:fill="auto"/>
            <w:vAlign w:val="center"/>
          </w:tcPr>
          <w:p>
            <w:pPr>
              <w:jc w:val="center"/>
              <w:rPr>
                <w:rFonts w:asciiTheme="minorEastAsia" w:hAnsiTheme="minorEastAsia" w:eastAsiaTheme="minorEastAsia" w:cstheme="minorEastAsia"/>
                <w:color w:val="auto"/>
                <w:sz w:val="24"/>
                <w:szCs w:val="24"/>
                <w:highlight w:val="none"/>
              </w:rPr>
            </w:pPr>
          </w:p>
        </w:tc>
        <w:tc>
          <w:tcPr>
            <w:tcW w:w="2085"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kern w:val="0"/>
                <w:sz w:val="24"/>
                <w:szCs w:val="24"/>
                <w:highlight w:val="none"/>
                <w:lang w:bidi="ar"/>
              </w:rPr>
              <w:t>账    号</w:t>
            </w:r>
          </w:p>
        </w:tc>
        <w:tc>
          <w:tcPr>
            <w:tcW w:w="4075" w:type="dxa"/>
            <w:gridSpan w:val="5"/>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stheme="minorEastAsia"/>
                <w:color w:val="auto"/>
                <w:sz w:val="24"/>
                <w:szCs w:val="24"/>
                <w:highlight w:val="none"/>
              </w:rPr>
            </w:pPr>
          </w:p>
        </w:tc>
        <w:tc>
          <w:tcPr>
            <w:tcW w:w="1586" w:type="dxa"/>
            <w:vMerge w:val="continue"/>
            <w:tcBorders>
              <w:top w:val="single" w:color="auto" w:sz="12" w:space="0"/>
              <w:left w:val="single" w:color="auto" w:sz="4" w:space="0"/>
              <w:bottom w:val="single" w:color="auto" w:sz="4" w:space="0"/>
              <w:right w:val="single" w:color="auto" w:sz="12" w:space="0"/>
            </w:tcBorders>
            <w:shd w:val="clear" w:color="auto" w:fill="auto"/>
            <w:vAlign w:val="center"/>
          </w:tcPr>
          <w:p>
            <w:pPr>
              <w:jc w:val="center"/>
              <w:rPr>
                <w:rFonts w:asciiTheme="minorEastAsia" w:hAnsiTheme="minorEastAsia" w:eastAsiaTheme="minorEastAsia" w:cstheme="minorEastAsia"/>
                <w:color w:val="auto"/>
                <w:sz w:val="24"/>
                <w:szCs w:val="24"/>
                <w:highlight w:val="none"/>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633" w:hRule="atLeast"/>
          <w:jc w:val="center"/>
        </w:trPr>
        <w:tc>
          <w:tcPr>
            <w:tcW w:w="892" w:type="dxa"/>
            <w:vMerge w:val="restart"/>
            <w:tcBorders>
              <w:top w:val="single" w:color="auto" w:sz="4" w:space="0"/>
              <w:left w:val="single" w:color="auto" w:sz="12" w:space="0"/>
              <w:bottom w:val="single" w:color="auto" w:sz="12" w:space="0"/>
              <w:right w:val="single" w:color="auto" w:sz="4" w:space="0"/>
            </w:tcBorders>
            <w:shd w:val="clear" w:color="auto" w:fill="auto"/>
            <w:textDirection w:val="tbLrV"/>
            <w:vAlign w:val="center"/>
          </w:tcPr>
          <w:p>
            <w:pPr>
              <w:widowControl/>
              <w:spacing w:line="360" w:lineRule="auto"/>
              <w:ind w:left="113" w:right="113"/>
              <w:jc w:val="center"/>
              <w:rPr>
                <w:rFonts w:hint="default" w:asciiTheme="minorEastAsia" w:hAnsiTheme="minorEastAsia" w:eastAsiaTheme="minorEastAsia" w:cstheme="minorEastAsia"/>
                <w:color w:val="auto"/>
                <w:sz w:val="24"/>
                <w:szCs w:val="24"/>
                <w:highlight w:val="none"/>
                <w:lang w:val="en-US"/>
              </w:rPr>
            </w:pPr>
            <w:r>
              <w:rPr>
                <w:rFonts w:hint="default" w:ascii="宋体" w:hAnsi="宋体" w:eastAsia="宋体" w:cs="宋体"/>
                <w:color w:val="auto"/>
                <w:kern w:val="0"/>
                <w:sz w:val="28"/>
                <w:szCs w:val="28"/>
                <w:lang w:val="en-US" w:eastAsia="zh-CN" w:bidi="ar"/>
              </w:rPr>
              <mc:AlternateContent>
                <mc:Choice Requires="wps">
                  <w:drawing>
                    <wp:anchor distT="0" distB="0" distL="114300" distR="114300" simplePos="0" relativeHeight="251660288" behindDoc="0" locked="0" layoutInCell="1" allowOverlap="1">
                      <wp:simplePos x="0" y="0"/>
                      <wp:positionH relativeFrom="column">
                        <wp:posOffset>775335</wp:posOffset>
                      </wp:positionH>
                      <wp:positionV relativeFrom="paragraph">
                        <wp:posOffset>-215900</wp:posOffset>
                      </wp:positionV>
                      <wp:extent cx="611505" cy="1859280"/>
                      <wp:effectExtent l="0" t="0" r="0" b="0"/>
                      <wp:wrapNone/>
                      <wp:docPr id="7" name="文本框 1"/>
                      <wp:cNvGraphicFramePr/>
                      <a:graphic xmlns:a="http://schemas.openxmlformats.org/drawingml/2006/main">
                        <a:graphicData uri="http://schemas.microsoft.com/office/word/2010/wordprocessingShape">
                          <wps:wsp>
                            <wps:cNvSpPr txBox="1"/>
                            <wps:spPr>
                              <a:xfrm>
                                <a:off x="0" y="0"/>
                                <a:ext cx="611505" cy="1859280"/>
                              </a:xfrm>
                              <a:prstGeom prst="rect">
                                <a:avLst/>
                              </a:prstGeom>
                              <a:noFill/>
                              <a:ln>
                                <a:noFill/>
                              </a:ln>
                            </wps:spPr>
                            <wps:txbx>
                              <w:txbxContent>
                                <w:p>
                                  <w:pPr>
                                    <w:widowControl/>
                                    <w:jc w:val="left"/>
                                  </w:pPr>
                                </w:p>
                              </w:txbxContent>
                            </wps:txbx>
                            <wps:bodyPr vert="eaVert"/>
                          </wps:wsp>
                        </a:graphicData>
                      </a:graphic>
                    </wp:anchor>
                  </w:drawing>
                </mc:Choice>
                <mc:Fallback>
                  <w:pict>
                    <v:shape id="文本框 1" o:spid="_x0000_s1026" o:spt="202" type="#_x0000_t202" style="position:absolute;left:0pt;margin-left:61.05pt;margin-top:-17pt;height:146.4pt;width:48.15pt;z-index:251660288;mso-width-relative:page;mso-height-relative:page;" filled="f" stroked="f" coordsize="21600,21600" o:gfxdata="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">
                      <v:fill on="f" focussize="0,0"/>
                      <v:stroke on="f"/>
                      <v:imagedata o:title=""/>
                      <o:lock v:ext="edit" aspectratio="f"/>
                      <v:textbox style="layout-flow:vertical-ideographic;">
                        <w:txbxContent>
                          <w:p>
                            <w:pPr>
                              <w:widowControl/>
                              <w:jc w:val="left"/>
                            </w:pPr>
                          </w:p>
                        </w:txbxContent>
                      </v:textbox>
                    </v:shape>
                  </w:pict>
                </mc:Fallback>
              </mc:AlternateContent>
            </w:r>
            <w:r>
              <w:rPr>
                <w:rFonts w:hint="eastAsia" w:ascii="宋体" w:hAnsi="宋体" w:eastAsia="宋体" w:cs="宋体"/>
                <w:color w:val="auto"/>
                <w:kern w:val="0"/>
                <w:sz w:val="28"/>
                <w:szCs w:val="28"/>
                <w:lang w:val="en-US" w:eastAsia="zh-CN" w:bidi="ar"/>
              </w:rPr>
              <w:t>研究开发人（乙  方）</w:t>
            </w:r>
          </w:p>
        </w:tc>
        <w:tc>
          <w:tcPr>
            <w:tcW w:w="2085"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kern w:val="0"/>
                <w:sz w:val="24"/>
                <w:szCs w:val="24"/>
                <w:highlight w:val="none"/>
                <w:lang w:bidi="ar"/>
              </w:rPr>
              <w:t>名称（或姓名）</w:t>
            </w:r>
          </w:p>
        </w:tc>
        <w:tc>
          <w:tcPr>
            <w:tcW w:w="4075" w:type="dxa"/>
            <w:gridSpan w:val="5"/>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stheme="minorEastAsia"/>
                <w:color w:val="auto"/>
                <w:sz w:val="24"/>
                <w:szCs w:val="24"/>
                <w:highlight w:val="none"/>
              </w:rPr>
            </w:pPr>
          </w:p>
        </w:tc>
        <w:tc>
          <w:tcPr>
            <w:tcW w:w="1586" w:type="dxa"/>
            <w:vMerge w:val="restart"/>
            <w:tcBorders>
              <w:top w:val="single" w:color="auto" w:sz="4" w:space="0"/>
              <w:left w:val="single" w:color="auto" w:sz="4" w:space="0"/>
              <w:right w:val="single" w:color="auto" w:sz="12" w:space="0"/>
            </w:tcBorders>
            <w:shd w:val="clear" w:color="auto" w:fill="auto"/>
            <w:vAlign w:val="center"/>
          </w:tcPr>
          <w:p>
            <w:pPr>
              <w:widowControl/>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kern w:val="0"/>
                <w:sz w:val="24"/>
                <w:szCs w:val="24"/>
                <w:highlight w:val="none"/>
                <w:lang w:bidi="ar"/>
              </w:rPr>
              <w:t>合同专用章或单位公章</w:t>
            </w:r>
          </w:p>
          <w:p>
            <w:pPr>
              <w:widowControl/>
              <w:jc w:val="center"/>
              <w:rPr>
                <w:rFonts w:asciiTheme="minorEastAsia" w:hAnsiTheme="minorEastAsia" w:eastAsiaTheme="minorEastAsia" w:cstheme="minorEastAsia"/>
                <w:color w:val="auto"/>
                <w:sz w:val="24"/>
                <w:szCs w:val="24"/>
                <w:highlight w:val="none"/>
              </w:rPr>
            </w:pPr>
          </w:p>
          <w:p>
            <w:pPr>
              <w:widowControl/>
              <w:jc w:val="center"/>
              <w:rPr>
                <w:rFonts w:asciiTheme="minorEastAsia" w:hAnsiTheme="minorEastAsia" w:eastAsiaTheme="minorEastAsia" w:cstheme="minorEastAsia"/>
                <w:color w:val="auto"/>
                <w:sz w:val="24"/>
                <w:szCs w:val="24"/>
                <w:highlight w:val="none"/>
              </w:rPr>
            </w:pPr>
          </w:p>
          <w:p>
            <w:pPr>
              <w:widowControl/>
              <w:jc w:val="center"/>
              <w:rPr>
                <w:rFonts w:asciiTheme="minorEastAsia" w:hAnsiTheme="minorEastAsia" w:eastAsiaTheme="minorEastAsia" w:cstheme="minorEastAsia"/>
                <w:color w:val="auto"/>
                <w:sz w:val="24"/>
                <w:szCs w:val="24"/>
                <w:highlight w:val="none"/>
              </w:rPr>
            </w:pPr>
          </w:p>
          <w:p>
            <w:pPr>
              <w:widowControl/>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kern w:val="0"/>
                <w:sz w:val="24"/>
                <w:szCs w:val="24"/>
                <w:highlight w:val="none"/>
                <w:lang w:bidi="ar"/>
              </w:rPr>
              <w:t>年  月  日</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555" w:hRule="atLeast"/>
          <w:jc w:val="center"/>
        </w:trPr>
        <w:tc>
          <w:tcPr>
            <w:tcW w:w="892" w:type="dxa"/>
            <w:vMerge w:val="continue"/>
            <w:tcBorders>
              <w:top w:val="single" w:color="auto" w:sz="4" w:space="0"/>
              <w:left w:val="single" w:color="auto" w:sz="12" w:space="0"/>
              <w:bottom w:val="single" w:color="auto" w:sz="12" w:space="0"/>
              <w:right w:val="single" w:color="auto" w:sz="4" w:space="0"/>
            </w:tcBorders>
            <w:shd w:val="clear" w:color="auto" w:fill="auto"/>
            <w:vAlign w:val="center"/>
          </w:tcPr>
          <w:p>
            <w:pPr>
              <w:jc w:val="center"/>
              <w:rPr>
                <w:rFonts w:asciiTheme="minorEastAsia" w:hAnsiTheme="minorEastAsia" w:eastAsiaTheme="minorEastAsia" w:cstheme="minorEastAsia"/>
                <w:color w:val="auto"/>
                <w:sz w:val="24"/>
                <w:szCs w:val="24"/>
                <w:highlight w:val="none"/>
              </w:rPr>
            </w:pPr>
          </w:p>
        </w:tc>
        <w:tc>
          <w:tcPr>
            <w:tcW w:w="2085"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kern w:val="0"/>
                <w:sz w:val="24"/>
                <w:szCs w:val="24"/>
                <w:highlight w:val="none"/>
                <w:lang w:bidi="ar"/>
              </w:rPr>
              <w:t>法定代表人</w:t>
            </w:r>
          </w:p>
        </w:tc>
        <w:tc>
          <w:tcPr>
            <w:tcW w:w="4075" w:type="dxa"/>
            <w:gridSpan w:val="5"/>
            <w:tcBorders>
              <w:top w:val="single" w:color="auto" w:sz="4" w:space="0"/>
              <w:left w:val="single" w:color="auto" w:sz="4" w:space="0"/>
              <w:bottom w:val="nil"/>
              <w:right w:val="single" w:color="auto" w:sz="4" w:space="0"/>
            </w:tcBorders>
            <w:shd w:val="clear" w:color="auto" w:fill="auto"/>
            <w:vAlign w:val="center"/>
          </w:tcPr>
          <w:p>
            <w:pPr>
              <w:widowControl/>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kern w:val="0"/>
                <w:sz w:val="24"/>
                <w:szCs w:val="24"/>
                <w:highlight w:val="none"/>
                <w:lang w:bidi="ar"/>
              </w:rPr>
              <w:t>（签章）</w:t>
            </w:r>
          </w:p>
        </w:tc>
        <w:tc>
          <w:tcPr>
            <w:tcW w:w="1586" w:type="dxa"/>
            <w:vMerge w:val="continue"/>
            <w:tcBorders>
              <w:left w:val="single" w:color="auto" w:sz="4" w:space="0"/>
              <w:right w:val="single" w:color="auto" w:sz="12" w:space="0"/>
            </w:tcBorders>
            <w:shd w:val="clear" w:color="auto" w:fill="auto"/>
            <w:vAlign w:val="center"/>
          </w:tcPr>
          <w:p>
            <w:pPr>
              <w:jc w:val="center"/>
              <w:rPr>
                <w:rFonts w:asciiTheme="minorEastAsia" w:hAnsiTheme="minorEastAsia" w:eastAsiaTheme="minorEastAsia" w:cstheme="minorEastAsia"/>
                <w:color w:val="auto"/>
                <w:sz w:val="24"/>
                <w:szCs w:val="24"/>
                <w:highlight w:val="none"/>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573" w:hRule="atLeast"/>
          <w:jc w:val="center"/>
        </w:trPr>
        <w:tc>
          <w:tcPr>
            <w:tcW w:w="892" w:type="dxa"/>
            <w:vMerge w:val="continue"/>
            <w:tcBorders>
              <w:top w:val="single" w:color="auto" w:sz="4" w:space="0"/>
              <w:left w:val="single" w:color="auto" w:sz="12" w:space="0"/>
              <w:bottom w:val="single" w:color="auto" w:sz="12" w:space="0"/>
              <w:right w:val="single" w:color="auto" w:sz="4" w:space="0"/>
            </w:tcBorders>
            <w:shd w:val="clear" w:color="auto" w:fill="auto"/>
            <w:vAlign w:val="center"/>
          </w:tcPr>
          <w:p>
            <w:pPr>
              <w:jc w:val="center"/>
              <w:rPr>
                <w:rFonts w:asciiTheme="minorEastAsia" w:hAnsiTheme="minorEastAsia" w:eastAsiaTheme="minorEastAsia" w:cstheme="minorEastAsia"/>
                <w:color w:val="auto"/>
                <w:sz w:val="24"/>
                <w:szCs w:val="24"/>
                <w:highlight w:val="none"/>
              </w:rPr>
            </w:pPr>
          </w:p>
        </w:tc>
        <w:tc>
          <w:tcPr>
            <w:tcW w:w="2085"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kern w:val="0"/>
                <w:sz w:val="24"/>
                <w:szCs w:val="24"/>
                <w:highlight w:val="none"/>
                <w:lang w:bidi="ar"/>
              </w:rPr>
              <w:t>委托代理人</w:t>
            </w:r>
          </w:p>
        </w:tc>
        <w:tc>
          <w:tcPr>
            <w:tcW w:w="4075" w:type="dxa"/>
            <w:gridSpan w:val="5"/>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kern w:val="0"/>
                <w:sz w:val="24"/>
                <w:szCs w:val="24"/>
                <w:highlight w:val="none"/>
                <w:lang w:bidi="ar"/>
              </w:rPr>
              <w:t>（签章）</w:t>
            </w:r>
          </w:p>
        </w:tc>
        <w:tc>
          <w:tcPr>
            <w:tcW w:w="1586" w:type="dxa"/>
            <w:vMerge w:val="continue"/>
            <w:tcBorders>
              <w:left w:val="single" w:color="auto" w:sz="4" w:space="0"/>
              <w:right w:val="single" w:color="auto" w:sz="12" w:space="0"/>
            </w:tcBorders>
            <w:shd w:val="clear" w:color="auto" w:fill="auto"/>
            <w:vAlign w:val="center"/>
          </w:tcPr>
          <w:p>
            <w:pPr>
              <w:jc w:val="center"/>
              <w:rPr>
                <w:rFonts w:asciiTheme="minorEastAsia" w:hAnsiTheme="minorEastAsia" w:eastAsiaTheme="minorEastAsia" w:cstheme="minorEastAsia"/>
                <w:color w:val="auto"/>
                <w:sz w:val="24"/>
                <w:szCs w:val="24"/>
                <w:highlight w:val="none"/>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611" w:hRule="atLeast"/>
          <w:jc w:val="center"/>
        </w:trPr>
        <w:tc>
          <w:tcPr>
            <w:tcW w:w="892" w:type="dxa"/>
            <w:vMerge w:val="continue"/>
            <w:tcBorders>
              <w:top w:val="single" w:color="auto" w:sz="4" w:space="0"/>
              <w:left w:val="single" w:color="auto" w:sz="12" w:space="0"/>
              <w:bottom w:val="single" w:color="auto" w:sz="12" w:space="0"/>
              <w:right w:val="single" w:color="auto" w:sz="4" w:space="0"/>
            </w:tcBorders>
            <w:shd w:val="clear" w:color="auto" w:fill="auto"/>
            <w:vAlign w:val="center"/>
          </w:tcPr>
          <w:p>
            <w:pPr>
              <w:jc w:val="center"/>
              <w:rPr>
                <w:rFonts w:asciiTheme="minorEastAsia" w:hAnsiTheme="minorEastAsia" w:eastAsiaTheme="minorEastAsia" w:cstheme="minorEastAsia"/>
                <w:color w:val="auto"/>
                <w:sz w:val="24"/>
                <w:szCs w:val="24"/>
                <w:highlight w:val="none"/>
              </w:rPr>
            </w:pPr>
          </w:p>
        </w:tc>
        <w:tc>
          <w:tcPr>
            <w:tcW w:w="2085"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kern w:val="0"/>
                <w:sz w:val="24"/>
                <w:szCs w:val="24"/>
                <w:highlight w:val="none"/>
                <w:lang w:bidi="ar"/>
              </w:rPr>
              <w:t>联系(经办)人</w:t>
            </w:r>
          </w:p>
        </w:tc>
        <w:tc>
          <w:tcPr>
            <w:tcW w:w="4075" w:type="dxa"/>
            <w:gridSpan w:val="5"/>
            <w:tcBorders>
              <w:top w:val="nil"/>
              <w:left w:val="single" w:color="auto" w:sz="4" w:space="0"/>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kern w:val="0"/>
                <w:sz w:val="24"/>
                <w:szCs w:val="24"/>
                <w:highlight w:val="none"/>
                <w:lang w:bidi="ar"/>
              </w:rPr>
              <w:t>（签章）</w:t>
            </w:r>
          </w:p>
        </w:tc>
        <w:tc>
          <w:tcPr>
            <w:tcW w:w="1586" w:type="dxa"/>
            <w:vMerge w:val="continue"/>
            <w:tcBorders>
              <w:left w:val="single" w:color="auto" w:sz="4" w:space="0"/>
              <w:right w:val="single" w:color="auto" w:sz="12" w:space="0"/>
            </w:tcBorders>
            <w:shd w:val="clear" w:color="auto" w:fill="auto"/>
            <w:vAlign w:val="center"/>
          </w:tcPr>
          <w:p>
            <w:pPr>
              <w:jc w:val="center"/>
              <w:rPr>
                <w:rFonts w:asciiTheme="minorEastAsia" w:hAnsiTheme="minorEastAsia" w:eastAsiaTheme="minorEastAsia" w:cstheme="minorEastAsia"/>
                <w:color w:val="auto"/>
                <w:sz w:val="24"/>
                <w:szCs w:val="24"/>
                <w:highlight w:val="none"/>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1018" w:hRule="atLeast"/>
          <w:jc w:val="center"/>
        </w:trPr>
        <w:tc>
          <w:tcPr>
            <w:tcW w:w="892" w:type="dxa"/>
            <w:vMerge w:val="continue"/>
            <w:tcBorders>
              <w:top w:val="single" w:color="auto" w:sz="4" w:space="0"/>
              <w:left w:val="single" w:color="auto" w:sz="12" w:space="0"/>
              <w:bottom w:val="single" w:color="auto" w:sz="12" w:space="0"/>
              <w:right w:val="single" w:color="auto" w:sz="4" w:space="0"/>
            </w:tcBorders>
            <w:shd w:val="clear" w:color="auto" w:fill="auto"/>
            <w:vAlign w:val="center"/>
          </w:tcPr>
          <w:p>
            <w:pPr>
              <w:jc w:val="center"/>
              <w:rPr>
                <w:rFonts w:asciiTheme="minorEastAsia" w:hAnsiTheme="minorEastAsia" w:eastAsiaTheme="minorEastAsia" w:cstheme="minorEastAsia"/>
                <w:color w:val="auto"/>
                <w:sz w:val="24"/>
                <w:szCs w:val="24"/>
                <w:highlight w:val="none"/>
              </w:rPr>
            </w:pPr>
          </w:p>
        </w:tc>
        <w:tc>
          <w:tcPr>
            <w:tcW w:w="2085"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kern w:val="0"/>
                <w:sz w:val="24"/>
                <w:szCs w:val="24"/>
                <w:highlight w:val="none"/>
                <w:lang w:bidi="ar"/>
              </w:rPr>
              <w:t>住    所</w:t>
            </w:r>
          </w:p>
          <w:p>
            <w:pPr>
              <w:widowControl/>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kern w:val="0"/>
                <w:sz w:val="24"/>
                <w:szCs w:val="24"/>
                <w:highlight w:val="none"/>
                <w:lang w:bidi="ar"/>
              </w:rPr>
              <w:t>(通讯地址)</w:t>
            </w:r>
          </w:p>
        </w:tc>
        <w:tc>
          <w:tcPr>
            <w:tcW w:w="1873" w:type="dxa"/>
            <w:gridSpan w:val="3"/>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stheme="minorEastAsia"/>
                <w:color w:val="auto"/>
                <w:sz w:val="24"/>
                <w:szCs w:val="24"/>
                <w:highlight w:val="none"/>
              </w:rPr>
            </w:pPr>
          </w:p>
        </w:tc>
        <w:tc>
          <w:tcPr>
            <w:tcW w:w="883"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kern w:val="0"/>
                <w:sz w:val="24"/>
                <w:szCs w:val="24"/>
                <w:highlight w:val="none"/>
                <w:lang w:bidi="ar"/>
              </w:rPr>
              <w:t>邮政</w:t>
            </w:r>
          </w:p>
          <w:p>
            <w:pPr>
              <w:widowControl/>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kern w:val="0"/>
                <w:sz w:val="24"/>
                <w:szCs w:val="24"/>
                <w:highlight w:val="none"/>
                <w:lang w:bidi="ar"/>
              </w:rPr>
              <w:t>编码</w:t>
            </w:r>
          </w:p>
        </w:tc>
        <w:tc>
          <w:tcPr>
            <w:tcW w:w="1319"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stheme="minorEastAsia"/>
                <w:color w:val="auto"/>
                <w:sz w:val="24"/>
                <w:szCs w:val="24"/>
                <w:highlight w:val="none"/>
              </w:rPr>
            </w:pPr>
          </w:p>
        </w:tc>
        <w:tc>
          <w:tcPr>
            <w:tcW w:w="1586" w:type="dxa"/>
            <w:vMerge w:val="continue"/>
            <w:tcBorders>
              <w:left w:val="single" w:color="auto" w:sz="4" w:space="0"/>
              <w:right w:val="single" w:color="auto" w:sz="12" w:space="0"/>
            </w:tcBorders>
            <w:shd w:val="clear" w:color="auto" w:fill="auto"/>
            <w:vAlign w:val="center"/>
          </w:tcPr>
          <w:p>
            <w:pPr>
              <w:jc w:val="center"/>
              <w:rPr>
                <w:rFonts w:asciiTheme="minorEastAsia" w:hAnsiTheme="minorEastAsia" w:eastAsiaTheme="minorEastAsia" w:cstheme="minorEastAsia"/>
                <w:color w:val="auto"/>
                <w:sz w:val="24"/>
                <w:szCs w:val="24"/>
                <w:highlight w:val="none"/>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688" w:hRule="atLeast"/>
          <w:jc w:val="center"/>
        </w:trPr>
        <w:tc>
          <w:tcPr>
            <w:tcW w:w="892" w:type="dxa"/>
            <w:vMerge w:val="continue"/>
            <w:tcBorders>
              <w:top w:val="single" w:color="auto" w:sz="4" w:space="0"/>
              <w:left w:val="single" w:color="auto" w:sz="12" w:space="0"/>
              <w:bottom w:val="single" w:color="auto" w:sz="12" w:space="0"/>
              <w:right w:val="single" w:color="auto" w:sz="4" w:space="0"/>
            </w:tcBorders>
            <w:shd w:val="clear" w:color="auto" w:fill="auto"/>
          </w:tcPr>
          <w:p>
            <w:pPr>
              <w:rPr>
                <w:rFonts w:asciiTheme="minorEastAsia" w:hAnsiTheme="minorEastAsia" w:eastAsiaTheme="minorEastAsia" w:cstheme="minorEastAsia"/>
                <w:color w:val="auto"/>
                <w:sz w:val="24"/>
                <w:szCs w:val="24"/>
                <w:highlight w:val="none"/>
              </w:rPr>
            </w:pPr>
          </w:p>
        </w:tc>
        <w:tc>
          <w:tcPr>
            <w:tcW w:w="2085"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kern w:val="0"/>
                <w:sz w:val="24"/>
                <w:szCs w:val="24"/>
                <w:highlight w:val="none"/>
                <w:lang w:bidi="ar"/>
              </w:rPr>
              <w:t>电    话</w:t>
            </w:r>
          </w:p>
        </w:tc>
        <w:tc>
          <w:tcPr>
            <w:tcW w:w="1161"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kern w:val="0"/>
                <w:sz w:val="24"/>
                <w:szCs w:val="24"/>
                <w:highlight w:val="none"/>
                <w:lang w:bidi="ar"/>
              </w:rPr>
              <w:t xml:space="preserve"> </w:t>
            </w:r>
          </w:p>
        </w:tc>
        <w:tc>
          <w:tcPr>
            <w:tcW w:w="71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kern w:val="0"/>
                <w:sz w:val="24"/>
                <w:szCs w:val="24"/>
                <w:highlight w:val="none"/>
                <w:lang w:bidi="ar"/>
              </w:rPr>
              <w:t>传真</w:t>
            </w:r>
          </w:p>
        </w:tc>
        <w:tc>
          <w:tcPr>
            <w:tcW w:w="220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widowControl/>
              <w:ind w:right="-108"/>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kern w:val="0"/>
                <w:sz w:val="24"/>
                <w:szCs w:val="24"/>
                <w:highlight w:val="none"/>
                <w:lang w:bidi="ar"/>
              </w:rPr>
              <w:t xml:space="preserve"> </w:t>
            </w:r>
          </w:p>
        </w:tc>
        <w:tc>
          <w:tcPr>
            <w:tcW w:w="1586" w:type="dxa"/>
            <w:vMerge w:val="continue"/>
            <w:tcBorders>
              <w:left w:val="single" w:color="auto" w:sz="4" w:space="0"/>
              <w:right w:val="single" w:color="auto" w:sz="12" w:space="0"/>
            </w:tcBorders>
            <w:shd w:val="clear" w:color="auto" w:fill="auto"/>
          </w:tcPr>
          <w:p>
            <w:pPr>
              <w:rPr>
                <w:rFonts w:asciiTheme="minorEastAsia" w:hAnsiTheme="minorEastAsia" w:eastAsiaTheme="minorEastAsia" w:cstheme="minorEastAsia"/>
                <w:color w:val="auto"/>
                <w:sz w:val="24"/>
                <w:szCs w:val="24"/>
                <w:highlight w:val="none"/>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505" w:hRule="atLeast"/>
          <w:jc w:val="center"/>
        </w:trPr>
        <w:tc>
          <w:tcPr>
            <w:tcW w:w="892" w:type="dxa"/>
            <w:vMerge w:val="continue"/>
            <w:tcBorders>
              <w:top w:val="single" w:color="auto" w:sz="4" w:space="0"/>
              <w:left w:val="single" w:color="auto" w:sz="12" w:space="0"/>
              <w:bottom w:val="single" w:color="auto" w:sz="12" w:space="0"/>
              <w:right w:val="single" w:color="auto" w:sz="4" w:space="0"/>
            </w:tcBorders>
            <w:shd w:val="clear" w:color="auto" w:fill="auto"/>
          </w:tcPr>
          <w:p>
            <w:pPr>
              <w:rPr>
                <w:rFonts w:asciiTheme="minorEastAsia" w:hAnsiTheme="minorEastAsia" w:eastAsiaTheme="minorEastAsia" w:cstheme="minorEastAsia"/>
                <w:color w:val="auto"/>
                <w:sz w:val="24"/>
                <w:szCs w:val="24"/>
                <w:highlight w:val="none"/>
              </w:rPr>
            </w:pPr>
          </w:p>
        </w:tc>
        <w:tc>
          <w:tcPr>
            <w:tcW w:w="2085"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kern w:val="0"/>
                <w:sz w:val="24"/>
                <w:szCs w:val="24"/>
                <w:highlight w:val="none"/>
                <w:lang w:bidi="ar"/>
              </w:rPr>
              <w:t>开户银行</w:t>
            </w:r>
          </w:p>
        </w:tc>
        <w:tc>
          <w:tcPr>
            <w:tcW w:w="4075" w:type="dxa"/>
            <w:gridSpan w:val="5"/>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kern w:val="0"/>
                <w:sz w:val="24"/>
                <w:szCs w:val="24"/>
                <w:highlight w:val="none"/>
                <w:lang w:bidi="ar"/>
              </w:rPr>
              <w:t xml:space="preserve"> </w:t>
            </w:r>
          </w:p>
        </w:tc>
        <w:tc>
          <w:tcPr>
            <w:tcW w:w="1586" w:type="dxa"/>
            <w:vMerge w:val="continue"/>
            <w:tcBorders>
              <w:left w:val="single" w:color="auto" w:sz="4" w:space="0"/>
              <w:right w:val="single" w:color="auto" w:sz="12" w:space="0"/>
            </w:tcBorders>
            <w:shd w:val="clear" w:color="auto" w:fill="auto"/>
          </w:tcPr>
          <w:p>
            <w:pPr>
              <w:rPr>
                <w:rFonts w:asciiTheme="minorEastAsia" w:hAnsiTheme="minorEastAsia" w:eastAsiaTheme="minorEastAsia" w:cstheme="minorEastAsia"/>
                <w:color w:val="auto"/>
                <w:sz w:val="24"/>
                <w:szCs w:val="24"/>
                <w:highlight w:val="none"/>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643" w:hRule="atLeast"/>
          <w:jc w:val="center"/>
        </w:trPr>
        <w:tc>
          <w:tcPr>
            <w:tcW w:w="892" w:type="dxa"/>
            <w:vMerge w:val="continue"/>
            <w:tcBorders>
              <w:top w:val="single" w:color="auto" w:sz="4" w:space="0"/>
              <w:left w:val="single" w:color="auto" w:sz="12" w:space="0"/>
              <w:bottom w:val="single" w:color="auto" w:sz="12" w:space="0"/>
              <w:right w:val="single" w:color="auto" w:sz="4" w:space="0"/>
            </w:tcBorders>
            <w:shd w:val="clear" w:color="auto" w:fill="auto"/>
          </w:tcPr>
          <w:p>
            <w:pPr>
              <w:rPr>
                <w:rFonts w:asciiTheme="minorEastAsia" w:hAnsiTheme="minorEastAsia" w:eastAsiaTheme="minorEastAsia" w:cstheme="minorEastAsia"/>
                <w:color w:val="auto"/>
                <w:sz w:val="24"/>
                <w:szCs w:val="24"/>
                <w:highlight w:val="none"/>
              </w:rPr>
            </w:pPr>
          </w:p>
        </w:tc>
        <w:tc>
          <w:tcPr>
            <w:tcW w:w="2085" w:type="dxa"/>
            <w:tcBorders>
              <w:top w:val="single" w:color="auto" w:sz="4" w:space="0"/>
              <w:left w:val="single" w:color="auto" w:sz="4" w:space="0"/>
              <w:bottom w:val="single" w:color="auto" w:sz="12" w:space="0"/>
              <w:right w:val="single" w:color="auto" w:sz="4" w:space="0"/>
            </w:tcBorders>
            <w:shd w:val="clear" w:color="auto" w:fill="auto"/>
            <w:vAlign w:val="center"/>
          </w:tcPr>
          <w:p>
            <w:pPr>
              <w:widowControl/>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kern w:val="0"/>
                <w:sz w:val="24"/>
                <w:szCs w:val="24"/>
                <w:highlight w:val="none"/>
                <w:lang w:bidi="ar"/>
              </w:rPr>
              <w:t>账    号</w:t>
            </w:r>
          </w:p>
        </w:tc>
        <w:tc>
          <w:tcPr>
            <w:tcW w:w="1873" w:type="dxa"/>
            <w:gridSpan w:val="3"/>
            <w:tcBorders>
              <w:top w:val="single" w:color="auto" w:sz="4" w:space="0"/>
              <w:left w:val="single" w:color="auto" w:sz="4" w:space="0"/>
              <w:bottom w:val="single" w:color="auto" w:sz="12" w:space="0"/>
              <w:right w:val="single" w:color="auto" w:sz="4" w:space="0"/>
            </w:tcBorders>
            <w:shd w:val="clear" w:color="auto" w:fill="auto"/>
            <w:vAlign w:val="center"/>
          </w:tcPr>
          <w:p>
            <w:pPr>
              <w:widowControl/>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kern w:val="0"/>
                <w:sz w:val="24"/>
                <w:szCs w:val="24"/>
                <w:highlight w:val="none"/>
                <w:lang w:bidi="ar"/>
              </w:rPr>
              <w:t xml:space="preserve"> </w:t>
            </w:r>
          </w:p>
        </w:tc>
        <w:tc>
          <w:tcPr>
            <w:tcW w:w="883" w:type="dxa"/>
            <w:tcBorders>
              <w:top w:val="single" w:color="auto" w:sz="4" w:space="0"/>
              <w:left w:val="single" w:color="auto" w:sz="4" w:space="0"/>
              <w:bottom w:val="single" w:color="auto" w:sz="12" w:space="0"/>
              <w:right w:val="single" w:color="auto" w:sz="4" w:space="0"/>
            </w:tcBorders>
            <w:shd w:val="clear" w:color="auto" w:fill="auto"/>
            <w:vAlign w:val="center"/>
          </w:tcPr>
          <w:p>
            <w:pPr>
              <w:widowControl/>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kern w:val="0"/>
                <w:sz w:val="24"/>
                <w:szCs w:val="24"/>
                <w:highlight w:val="none"/>
                <w:lang w:bidi="ar"/>
              </w:rPr>
              <w:t>行号</w:t>
            </w:r>
          </w:p>
        </w:tc>
        <w:tc>
          <w:tcPr>
            <w:tcW w:w="1319" w:type="dxa"/>
            <w:tcBorders>
              <w:top w:val="single" w:color="auto" w:sz="4" w:space="0"/>
              <w:left w:val="single" w:color="auto" w:sz="4" w:space="0"/>
              <w:bottom w:val="single" w:color="auto" w:sz="12" w:space="0"/>
              <w:right w:val="single" w:color="auto" w:sz="4" w:space="0"/>
            </w:tcBorders>
            <w:shd w:val="clear" w:color="auto" w:fill="auto"/>
            <w:vAlign w:val="center"/>
          </w:tcPr>
          <w:p>
            <w:pPr>
              <w:widowControl/>
              <w:jc w:val="center"/>
              <w:rPr>
                <w:rFonts w:asciiTheme="minorEastAsia" w:hAnsiTheme="minorEastAsia" w:eastAsiaTheme="minorEastAsia" w:cstheme="minorEastAsia"/>
                <w:color w:val="auto"/>
                <w:sz w:val="24"/>
                <w:szCs w:val="24"/>
                <w:highlight w:val="none"/>
              </w:rPr>
            </w:pPr>
          </w:p>
        </w:tc>
        <w:tc>
          <w:tcPr>
            <w:tcW w:w="1586" w:type="dxa"/>
            <w:vMerge w:val="continue"/>
            <w:tcBorders>
              <w:left w:val="single" w:color="auto" w:sz="4" w:space="0"/>
              <w:bottom w:val="single" w:color="auto" w:sz="12" w:space="0"/>
              <w:right w:val="single" w:color="auto" w:sz="12" w:space="0"/>
            </w:tcBorders>
            <w:shd w:val="clear" w:color="auto" w:fill="auto"/>
          </w:tcPr>
          <w:p>
            <w:pPr>
              <w:rPr>
                <w:rFonts w:asciiTheme="minorEastAsia" w:hAnsiTheme="minorEastAsia" w:eastAsiaTheme="minorEastAsia" w:cstheme="minorEastAsia"/>
                <w:color w:val="auto"/>
                <w:sz w:val="24"/>
                <w:szCs w:val="24"/>
                <w:highlight w:val="none"/>
              </w:rPr>
            </w:pPr>
          </w:p>
        </w:tc>
      </w:tr>
    </w:tbl>
    <w:p>
      <w:pPr>
        <w:pStyle w:val="43"/>
        <w:ind w:left="0" w:leftChars="0" w:firstLine="0" w:firstLineChars="0"/>
        <w:rPr>
          <w:color w:val="auto"/>
        </w:rPr>
      </w:pPr>
    </w:p>
    <w:p>
      <w:pPr>
        <w:pStyle w:val="43"/>
        <w:ind w:firstLine="480"/>
        <w:rPr>
          <w:color w:val="auto"/>
        </w:rPr>
      </w:pPr>
    </w:p>
    <w:p>
      <w:pPr>
        <w:spacing w:line="360" w:lineRule="auto"/>
        <w:jc w:val="center"/>
        <w:outlineLvl w:val="0"/>
        <w:rPr>
          <w:b/>
          <w:color w:val="auto"/>
          <w:sz w:val="36"/>
          <w:szCs w:val="36"/>
        </w:rPr>
      </w:pPr>
      <w:r>
        <w:rPr>
          <w:b/>
          <w:color w:val="auto"/>
          <w:sz w:val="36"/>
          <w:szCs w:val="36"/>
        </w:rPr>
        <w:br w:type="page"/>
      </w:r>
      <w:bookmarkStart w:id="821" w:name="_Toc99301426"/>
      <w:r>
        <w:rPr>
          <w:b/>
          <w:color w:val="auto"/>
          <w:sz w:val="36"/>
          <w:szCs w:val="36"/>
        </w:rPr>
        <w:t>第七章   投标文件格式</w:t>
      </w:r>
      <w:bookmarkEnd w:id="821"/>
    </w:p>
    <w:p>
      <w:pPr>
        <w:tabs>
          <w:tab w:val="left" w:pos="900"/>
          <w:tab w:val="left" w:pos="1980"/>
        </w:tabs>
        <w:snapToGrid w:val="0"/>
        <w:spacing w:line="360" w:lineRule="auto"/>
        <w:ind w:left="142"/>
        <w:rPr>
          <w:b/>
          <w:color w:val="auto"/>
          <w:sz w:val="24"/>
        </w:rPr>
      </w:pPr>
    </w:p>
    <w:p>
      <w:pPr>
        <w:tabs>
          <w:tab w:val="left" w:pos="900"/>
          <w:tab w:val="left" w:pos="1980"/>
        </w:tabs>
        <w:snapToGrid w:val="0"/>
        <w:spacing w:line="360" w:lineRule="auto"/>
        <w:ind w:left="142"/>
        <w:rPr>
          <w:b/>
          <w:color w:val="auto"/>
          <w:sz w:val="24"/>
        </w:rPr>
      </w:pPr>
    </w:p>
    <w:p>
      <w:pPr>
        <w:tabs>
          <w:tab w:val="left" w:pos="900"/>
          <w:tab w:val="left" w:pos="1980"/>
        </w:tabs>
        <w:snapToGrid w:val="0"/>
        <w:spacing w:line="360" w:lineRule="auto"/>
        <w:ind w:left="142"/>
        <w:rPr>
          <w:color w:val="auto"/>
          <w:sz w:val="24"/>
        </w:rPr>
      </w:pPr>
      <w:r>
        <w:rPr>
          <w:b/>
          <w:color w:val="auto"/>
          <w:sz w:val="24"/>
        </w:rPr>
        <w:t>投标人编制文件须知</w:t>
      </w:r>
    </w:p>
    <w:p>
      <w:pPr>
        <w:tabs>
          <w:tab w:val="left" w:pos="900"/>
          <w:tab w:val="left" w:pos="1980"/>
        </w:tabs>
        <w:snapToGrid w:val="0"/>
        <w:spacing w:line="360" w:lineRule="auto"/>
        <w:ind w:left="142"/>
        <w:rPr>
          <w:color w:val="auto"/>
          <w:sz w:val="24"/>
        </w:rPr>
      </w:pPr>
      <w:r>
        <w:rPr>
          <w:color w:val="auto"/>
          <w:sz w:val="24"/>
        </w:rPr>
        <w:t>1、投标人按照本部分的顺序编制投标文件（资格证明文件）、投标文件（商务技术文件），编制中涉及格式资料的，应按照本部分提供的内容和格式（所有表格的格式可扩展）填写提交。</w:t>
      </w:r>
    </w:p>
    <w:p>
      <w:pPr>
        <w:tabs>
          <w:tab w:val="left" w:pos="900"/>
          <w:tab w:val="left" w:pos="1980"/>
        </w:tabs>
        <w:snapToGrid w:val="0"/>
        <w:spacing w:line="360" w:lineRule="auto"/>
        <w:ind w:left="142"/>
        <w:rPr>
          <w:color w:val="auto"/>
          <w:kern w:val="0"/>
          <w:sz w:val="24"/>
        </w:rPr>
      </w:pPr>
      <w:r>
        <w:rPr>
          <w:color w:val="auto"/>
          <w:sz w:val="24"/>
        </w:rPr>
        <w:t>2、</w:t>
      </w:r>
      <w:r>
        <w:rPr>
          <w:color w:val="auto"/>
          <w:kern w:val="0"/>
          <w:sz w:val="24"/>
        </w:rPr>
        <w:t>对于招标文件中标记了“实质性格式”文件的，</w:t>
      </w:r>
      <w:r>
        <w:rPr>
          <w:color w:val="auto"/>
          <w:sz w:val="24"/>
        </w:rPr>
        <w:t>投标人不得改变格式中给定的文字所表达的含义，不得删减格式中的实质性内容，不得自行添加与格式中给定的文字内容相矛盾的内容，不得对应当填写的空格不填写或不实质性响应，</w:t>
      </w:r>
      <w:r>
        <w:rPr>
          <w:color w:val="auto"/>
          <w:kern w:val="0"/>
          <w:sz w:val="24"/>
        </w:rPr>
        <w:t>否则</w:t>
      </w:r>
      <w:r>
        <w:rPr>
          <w:b/>
          <w:color w:val="auto"/>
          <w:kern w:val="0"/>
          <w:sz w:val="24"/>
        </w:rPr>
        <w:t>投标无效</w:t>
      </w:r>
      <w:r>
        <w:rPr>
          <w:color w:val="auto"/>
          <w:kern w:val="0"/>
          <w:sz w:val="24"/>
        </w:rPr>
        <w:t>。未标记“实质性格式”的文件和招标文件未提供格式的内容，可由投标人自行编写。</w:t>
      </w:r>
    </w:p>
    <w:p>
      <w:pPr>
        <w:tabs>
          <w:tab w:val="left" w:pos="900"/>
          <w:tab w:val="left" w:pos="1980"/>
        </w:tabs>
        <w:snapToGrid w:val="0"/>
        <w:spacing w:line="360" w:lineRule="auto"/>
        <w:ind w:left="142"/>
        <w:rPr>
          <w:color w:val="auto"/>
          <w:sz w:val="24"/>
        </w:rPr>
      </w:pPr>
      <w:r>
        <w:rPr>
          <w:color w:val="auto"/>
          <w:sz w:val="24"/>
        </w:rPr>
        <w:t>3、全部声明和问题的回答及所附材料必须是真实的、准确的和完整的。</w:t>
      </w:r>
    </w:p>
    <w:p>
      <w:pPr>
        <w:widowControl/>
        <w:jc w:val="left"/>
        <w:rPr>
          <w:color w:val="auto"/>
          <w:sz w:val="24"/>
        </w:rPr>
      </w:pPr>
      <w:r>
        <w:rPr>
          <w:color w:val="auto"/>
          <w:sz w:val="24"/>
        </w:rPr>
        <w:br w:type="page"/>
      </w:r>
    </w:p>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p>
      <w:pPr>
        <w:keepNext/>
        <w:keepLines/>
        <w:autoSpaceDE w:val="0"/>
        <w:autoSpaceDN w:val="0"/>
        <w:adjustRightInd w:val="0"/>
        <w:spacing w:before="120" w:line="300" w:lineRule="auto"/>
        <w:jc w:val="left"/>
        <w:outlineLvl w:val="1"/>
        <w:rPr>
          <w:b/>
          <w:color w:val="auto"/>
          <w:kern w:val="0"/>
          <w:sz w:val="30"/>
          <w:szCs w:val="20"/>
        </w:rPr>
      </w:pPr>
      <w:r>
        <w:rPr>
          <w:b/>
          <w:color w:val="auto"/>
          <w:spacing w:val="20"/>
          <w:sz w:val="24"/>
        </w:rPr>
        <w:t>一、资格证明文件格式</w:t>
      </w:r>
    </w:p>
    <w:p>
      <w:pPr>
        <w:rPr>
          <w:b/>
          <w:color w:val="auto"/>
          <w:spacing w:val="20"/>
          <w:szCs w:val="21"/>
        </w:rPr>
      </w:pPr>
    </w:p>
    <w:p>
      <w:pPr>
        <w:rPr>
          <w:b/>
          <w:color w:val="auto"/>
          <w:sz w:val="24"/>
        </w:rPr>
      </w:pPr>
      <w:r>
        <w:rPr>
          <w:b/>
          <w:color w:val="auto"/>
          <w:spacing w:val="20"/>
          <w:sz w:val="24"/>
        </w:rPr>
        <w:t>投标文件（资格证明文件）</w:t>
      </w:r>
      <w:r>
        <w:rPr>
          <w:b/>
          <w:color w:val="auto"/>
          <w:sz w:val="24"/>
        </w:rPr>
        <w:t>封面（非实质性格式）</w:t>
      </w:r>
    </w:p>
    <w:p>
      <w:pPr>
        <w:jc w:val="center"/>
        <w:rPr>
          <w:color w:val="auto"/>
          <w:szCs w:val="21"/>
        </w:rPr>
      </w:pPr>
    </w:p>
    <w:p>
      <w:pPr>
        <w:jc w:val="center"/>
        <w:rPr>
          <w:b/>
          <w:color w:val="auto"/>
          <w:spacing w:val="60"/>
          <w:sz w:val="84"/>
          <w:szCs w:val="84"/>
        </w:rPr>
      </w:pPr>
      <w:r>
        <w:rPr>
          <w:b/>
          <w:color w:val="auto"/>
          <w:spacing w:val="60"/>
          <w:sz w:val="84"/>
          <w:szCs w:val="84"/>
        </w:rPr>
        <w:t>投 标 文 件</w:t>
      </w:r>
    </w:p>
    <w:p>
      <w:pPr>
        <w:jc w:val="center"/>
        <w:rPr>
          <w:b/>
          <w:color w:val="auto"/>
          <w:spacing w:val="60"/>
          <w:sz w:val="52"/>
          <w:szCs w:val="52"/>
        </w:rPr>
      </w:pPr>
      <w:r>
        <w:rPr>
          <w:b/>
          <w:color w:val="auto"/>
          <w:spacing w:val="60"/>
          <w:sz w:val="52"/>
          <w:szCs w:val="52"/>
        </w:rPr>
        <w:t>（资格证明文件）</w:t>
      </w:r>
    </w:p>
    <w:p>
      <w:pPr>
        <w:ind w:firstLine="542" w:firstLineChars="150"/>
        <w:rPr>
          <w:b/>
          <w:color w:val="auto"/>
          <w:spacing w:val="20"/>
          <w:sz w:val="32"/>
          <w:szCs w:val="32"/>
        </w:rPr>
      </w:pPr>
    </w:p>
    <w:p>
      <w:pPr>
        <w:ind w:firstLine="542" w:firstLineChars="150"/>
        <w:rPr>
          <w:b/>
          <w:color w:val="auto"/>
          <w:spacing w:val="20"/>
          <w:sz w:val="32"/>
          <w:szCs w:val="32"/>
        </w:rPr>
      </w:pPr>
    </w:p>
    <w:p>
      <w:pPr>
        <w:ind w:firstLine="542" w:firstLineChars="150"/>
        <w:rPr>
          <w:b/>
          <w:color w:val="auto"/>
          <w:spacing w:val="20"/>
          <w:sz w:val="32"/>
          <w:szCs w:val="32"/>
        </w:rPr>
      </w:pPr>
      <w:r>
        <w:rPr>
          <w:b/>
          <w:color w:val="auto"/>
          <w:spacing w:val="20"/>
          <w:sz w:val="32"/>
          <w:szCs w:val="32"/>
        </w:rPr>
        <w:t>项目名称:</w:t>
      </w:r>
    </w:p>
    <w:p>
      <w:pPr>
        <w:ind w:firstLine="542" w:firstLineChars="150"/>
        <w:rPr>
          <w:b/>
          <w:color w:val="auto"/>
          <w:spacing w:val="20"/>
          <w:sz w:val="32"/>
          <w:szCs w:val="32"/>
        </w:rPr>
      </w:pPr>
      <w:r>
        <w:rPr>
          <w:b/>
          <w:color w:val="auto"/>
          <w:spacing w:val="20"/>
          <w:sz w:val="32"/>
          <w:szCs w:val="32"/>
        </w:rPr>
        <w:t>项目编号：</w:t>
      </w:r>
    </w:p>
    <w:p>
      <w:pPr>
        <w:ind w:firstLine="542" w:firstLineChars="150"/>
        <w:rPr>
          <w:b/>
          <w:color w:val="auto"/>
          <w:spacing w:val="20"/>
          <w:sz w:val="32"/>
          <w:szCs w:val="32"/>
        </w:rPr>
      </w:pPr>
    </w:p>
    <w:p>
      <w:pPr>
        <w:ind w:firstLine="542" w:firstLineChars="150"/>
        <w:rPr>
          <w:b/>
          <w:color w:val="auto"/>
          <w:spacing w:val="20"/>
          <w:sz w:val="32"/>
          <w:szCs w:val="32"/>
        </w:rPr>
      </w:pPr>
    </w:p>
    <w:p>
      <w:pPr>
        <w:jc w:val="center"/>
        <w:rPr>
          <w:b/>
          <w:color w:val="auto"/>
          <w:sz w:val="32"/>
          <w:szCs w:val="32"/>
        </w:rPr>
      </w:pPr>
    </w:p>
    <w:p>
      <w:pPr>
        <w:jc w:val="center"/>
        <w:rPr>
          <w:b/>
          <w:color w:val="auto"/>
          <w:sz w:val="32"/>
          <w:szCs w:val="32"/>
        </w:rPr>
      </w:pPr>
    </w:p>
    <w:p>
      <w:pPr>
        <w:jc w:val="center"/>
        <w:rPr>
          <w:b/>
          <w:color w:val="auto"/>
          <w:sz w:val="32"/>
          <w:szCs w:val="32"/>
        </w:rPr>
      </w:pPr>
    </w:p>
    <w:p>
      <w:pPr>
        <w:jc w:val="center"/>
        <w:rPr>
          <w:b/>
          <w:color w:val="auto"/>
          <w:spacing w:val="20"/>
          <w:sz w:val="32"/>
          <w:szCs w:val="32"/>
        </w:rPr>
      </w:pPr>
    </w:p>
    <w:p>
      <w:pPr>
        <w:jc w:val="center"/>
        <w:rPr>
          <w:b/>
          <w:color w:val="auto"/>
          <w:spacing w:val="20"/>
          <w:sz w:val="32"/>
          <w:szCs w:val="32"/>
        </w:rPr>
      </w:pPr>
    </w:p>
    <w:p>
      <w:pPr>
        <w:jc w:val="center"/>
        <w:rPr>
          <w:b/>
          <w:color w:val="auto"/>
          <w:spacing w:val="20"/>
          <w:sz w:val="32"/>
          <w:szCs w:val="32"/>
        </w:rPr>
      </w:pPr>
    </w:p>
    <w:p>
      <w:pPr>
        <w:spacing w:line="360" w:lineRule="auto"/>
        <w:ind w:firstLine="1445" w:firstLineChars="400"/>
        <w:jc w:val="left"/>
        <w:rPr>
          <w:b/>
          <w:color w:val="auto"/>
          <w:spacing w:val="20"/>
          <w:sz w:val="32"/>
          <w:szCs w:val="32"/>
        </w:rPr>
      </w:pPr>
      <w:r>
        <w:rPr>
          <w:b/>
          <w:color w:val="auto"/>
          <w:spacing w:val="20"/>
          <w:sz w:val="32"/>
          <w:szCs w:val="32"/>
        </w:rPr>
        <w:t>投标人名称：</w:t>
      </w:r>
    </w:p>
    <w:p>
      <w:pPr>
        <w:jc w:val="center"/>
        <w:rPr>
          <w:b/>
          <w:color w:val="auto"/>
          <w:sz w:val="32"/>
          <w:szCs w:val="32"/>
        </w:rPr>
      </w:pPr>
    </w:p>
    <w:p>
      <w:pPr>
        <w:rPr>
          <w:b/>
          <w:color w:val="auto"/>
        </w:rPr>
      </w:pPr>
      <w:r>
        <w:rPr>
          <w:b/>
          <w:color w:val="auto"/>
          <w:spacing w:val="20"/>
          <w:sz w:val="32"/>
          <w:szCs w:val="32"/>
        </w:rPr>
        <w:br w:type="page"/>
      </w:r>
    </w:p>
    <w:p>
      <w:pPr>
        <w:numPr>
          <w:ilvl w:val="0"/>
          <w:numId w:val="17"/>
        </w:numPr>
        <w:tabs>
          <w:tab w:val="left" w:pos="360"/>
        </w:tabs>
        <w:snapToGrid w:val="0"/>
        <w:spacing w:line="360" w:lineRule="auto"/>
        <w:outlineLvl w:val="1"/>
        <w:rPr>
          <w:color w:val="auto"/>
          <w:sz w:val="24"/>
          <w:szCs w:val="20"/>
        </w:rPr>
      </w:pPr>
      <w:r>
        <w:rPr>
          <w:color w:val="auto"/>
          <w:sz w:val="24"/>
        </w:rPr>
        <w:t>满足《中华人民共和国政府采购法》第二十二条规定</w:t>
      </w:r>
    </w:p>
    <w:p>
      <w:pPr>
        <w:spacing w:line="360" w:lineRule="auto"/>
        <w:outlineLvl w:val="2"/>
        <w:rPr>
          <w:color w:val="auto"/>
          <w:sz w:val="24"/>
          <w:szCs w:val="20"/>
        </w:rPr>
      </w:pPr>
      <w:r>
        <w:rPr>
          <w:color w:val="auto"/>
          <w:sz w:val="24"/>
          <w:szCs w:val="20"/>
        </w:rPr>
        <w:t>1-1 营业执照等证明文件</w:t>
      </w:r>
    </w:p>
    <w:p>
      <w:pPr>
        <w:tabs>
          <w:tab w:val="left" w:pos="1080"/>
        </w:tabs>
        <w:snapToGrid w:val="0"/>
        <w:rPr>
          <w:color w:val="auto"/>
          <w:sz w:val="24"/>
        </w:rPr>
      </w:pPr>
    </w:p>
    <w:p>
      <w:pPr>
        <w:widowControl/>
        <w:jc w:val="left"/>
        <w:rPr>
          <w:color w:val="auto"/>
          <w:sz w:val="24"/>
          <w:szCs w:val="20"/>
        </w:rPr>
      </w:pPr>
      <w:r>
        <w:rPr>
          <w:color w:val="auto"/>
          <w:sz w:val="24"/>
        </w:rPr>
        <w:br w:type="page"/>
      </w:r>
    </w:p>
    <w:p>
      <w:pPr>
        <w:pStyle w:val="4"/>
        <w:rPr>
          <w:rFonts w:ascii="Times New Roman"/>
          <w:b w:val="0"/>
          <w:bCs/>
          <w:color w:val="auto"/>
          <w:u w:val="none"/>
        </w:rPr>
      </w:pPr>
      <w:r>
        <w:rPr>
          <w:rFonts w:ascii="Times New Roman"/>
          <w:b w:val="0"/>
          <w:color w:val="auto"/>
          <w:u w:val="none"/>
        </w:rPr>
        <w:t>1-2 投标人资格声明书</w:t>
      </w:r>
    </w:p>
    <w:p>
      <w:pPr>
        <w:jc w:val="center"/>
        <w:rPr>
          <w:b/>
          <w:color w:val="auto"/>
          <w:sz w:val="36"/>
          <w:szCs w:val="36"/>
        </w:rPr>
      </w:pPr>
      <w:r>
        <w:rPr>
          <w:b/>
          <w:color w:val="auto"/>
          <w:sz w:val="36"/>
          <w:szCs w:val="36"/>
        </w:rPr>
        <w:t>投标人资格声明书</w:t>
      </w:r>
    </w:p>
    <w:p>
      <w:pPr>
        <w:tabs>
          <w:tab w:val="left" w:pos="5580"/>
        </w:tabs>
        <w:spacing w:line="360" w:lineRule="auto"/>
        <w:rPr>
          <w:color w:val="auto"/>
          <w:sz w:val="24"/>
        </w:rPr>
      </w:pPr>
    </w:p>
    <w:p>
      <w:pPr>
        <w:tabs>
          <w:tab w:val="left" w:pos="5580"/>
        </w:tabs>
        <w:spacing w:line="360" w:lineRule="auto"/>
        <w:rPr>
          <w:color w:val="auto"/>
          <w:sz w:val="24"/>
        </w:rPr>
      </w:pPr>
      <w:r>
        <w:rPr>
          <w:color w:val="auto"/>
          <w:sz w:val="24"/>
        </w:rPr>
        <w:t>致：</w:t>
      </w:r>
      <w:r>
        <w:rPr>
          <w:color w:val="auto"/>
          <w:sz w:val="24"/>
          <w:u w:val="single"/>
        </w:rPr>
        <w:t>采购人或采购代理机构</w:t>
      </w:r>
    </w:p>
    <w:p>
      <w:pPr>
        <w:spacing w:line="360" w:lineRule="auto"/>
        <w:ind w:firstLine="480" w:firstLineChars="200"/>
        <w:rPr>
          <w:color w:val="auto"/>
          <w:sz w:val="24"/>
        </w:rPr>
      </w:pPr>
      <w:r>
        <w:rPr>
          <w:color w:val="auto"/>
          <w:sz w:val="24"/>
        </w:rPr>
        <w:t>在参与本次项目投标中，我单位承诺：</w:t>
      </w:r>
    </w:p>
    <w:p>
      <w:pPr>
        <w:numPr>
          <w:ilvl w:val="0"/>
          <w:numId w:val="18"/>
        </w:numPr>
        <w:spacing w:line="360" w:lineRule="auto"/>
        <w:ind w:left="1134"/>
        <w:rPr>
          <w:color w:val="auto"/>
          <w:sz w:val="24"/>
          <w:szCs w:val="22"/>
        </w:rPr>
      </w:pPr>
      <w:r>
        <w:rPr>
          <w:color w:val="auto"/>
          <w:sz w:val="24"/>
          <w:szCs w:val="22"/>
        </w:rPr>
        <w:t>具有良好的商业信誉和健全的财务会计制度；</w:t>
      </w:r>
    </w:p>
    <w:p>
      <w:pPr>
        <w:numPr>
          <w:ilvl w:val="0"/>
          <w:numId w:val="18"/>
        </w:numPr>
        <w:spacing w:line="360" w:lineRule="auto"/>
        <w:ind w:left="1134"/>
        <w:rPr>
          <w:color w:val="auto"/>
          <w:sz w:val="24"/>
          <w:szCs w:val="22"/>
        </w:rPr>
      </w:pPr>
      <w:r>
        <w:rPr>
          <w:color w:val="auto"/>
          <w:sz w:val="24"/>
          <w:szCs w:val="22"/>
        </w:rPr>
        <w:t>具有履行合同所必需的设备和专业技术能力；</w:t>
      </w:r>
    </w:p>
    <w:p>
      <w:pPr>
        <w:numPr>
          <w:ilvl w:val="0"/>
          <w:numId w:val="18"/>
        </w:numPr>
        <w:spacing w:line="360" w:lineRule="auto"/>
        <w:ind w:left="1134"/>
        <w:rPr>
          <w:color w:val="auto"/>
          <w:sz w:val="24"/>
          <w:szCs w:val="22"/>
        </w:rPr>
      </w:pPr>
      <w:r>
        <w:rPr>
          <w:color w:val="auto"/>
          <w:sz w:val="24"/>
          <w:szCs w:val="22"/>
        </w:rPr>
        <w:t>有依法缴纳税收和社会保障资金的良好记录；</w:t>
      </w:r>
    </w:p>
    <w:p>
      <w:pPr>
        <w:numPr>
          <w:ilvl w:val="0"/>
          <w:numId w:val="18"/>
        </w:numPr>
        <w:spacing w:line="360" w:lineRule="auto"/>
        <w:ind w:left="1134"/>
        <w:rPr>
          <w:color w:val="auto"/>
          <w:sz w:val="24"/>
          <w:szCs w:val="22"/>
        </w:rPr>
      </w:pPr>
      <w:r>
        <w:rPr>
          <w:color w:val="auto"/>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pPr>
        <w:numPr>
          <w:ilvl w:val="0"/>
          <w:numId w:val="18"/>
        </w:numPr>
        <w:spacing w:line="360" w:lineRule="auto"/>
        <w:ind w:left="1134"/>
        <w:rPr>
          <w:color w:val="auto"/>
          <w:sz w:val="24"/>
          <w:szCs w:val="22"/>
        </w:rPr>
      </w:pPr>
      <w:r>
        <w:rPr>
          <w:color w:val="auto"/>
          <w:sz w:val="24"/>
          <w:szCs w:val="22"/>
        </w:rPr>
        <w:t>我单位不属于政府采购法律、行政法规规定的公益一类事业单位、或使用事业编制且由财政拨款保障的群团组织（仅适用于政府购买服务项目）；</w:t>
      </w:r>
    </w:p>
    <w:p>
      <w:pPr>
        <w:numPr>
          <w:ilvl w:val="0"/>
          <w:numId w:val="18"/>
        </w:numPr>
        <w:spacing w:line="360" w:lineRule="auto"/>
        <w:ind w:left="1134"/>
        <w:rPr>
          <w:color w:val="auto"/>
          <w:sz w:val="24"/>
          <w:szCs w:val="22"/>
        </w:rPr>
      </w:pPr>
      <w:r>
        <w:rPr>
          <w:color w:val="auto"/>
          <w:sz w:val="24"/>
          <w:szCs w:val="22"/>
        </w:rPr>
        <w:t>我单位不存在为采购项目提供整体设计、规范编制或者项目管理、监理、检测等服务后，再参加该采购项目的其他采购活动的情形（单一来源采购项目除外）；</w:t>
      </w:r>
    </w:p>
    <w:p>
      <w:pPr>
        <w:numPr>
          <w:ilvl w:val="0"/>
          <w:numId w:val="18"/>
        </w:numPr>
        <w:spacing w:line="360" w:lineRule="auto"/>
        <w:ind w:left="1134"/>
        <w:rPr>
          <w:color w:val="auto"/>
          <w:sz w:val="24"/>
          <w:szCs w:val="22"/>
        </w:rPr>
      </w:pPr>
      <w:r>
        <w:rPr>
          <w:color w:val="auto"/>
          <w:sz w:val="24"/>
          <w:szCs w:val="22"/>
        </w:rPr>
        <w:t>与我单位存在“单位负责人为同一人或者存在直接控股、管理关系”的其他法人单位信息如下（如有，不论其是否参加同一合同项下的政府采购活动均须填写）：</w:t>
      </w:r>
    </w:p>
    <w:tbl>
      <w:tblPr>
        <w:tblStyle w:val="44"/>
        <w:tblW w:w="850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50"/>
        <w:gridCol w:w="4574"/>
        <w:gridCol w:w="297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pPr>
              <w:jc w:val="center"/>
              <w:rPr>
                <w:color w:val="auto"/>
                <w:sz w:val="24"/>
              </w:rPr>
            </w:pPr>
            <w:r>
              <w:rPr>
                <w:color w:val="auto"/>
                <w:sz w:val="24"/>
              </w:rPr>
              <w:t>序号</w:t>
            </w:r>
          </w:p>
        </w:tc>
        <w:tc>
          <w:tcPr>
            <w:tcW w:w="4574" w:type="dxa"/>
            <w:vAlign w:val="center"/>
          </w:tcPr>
          <w:p>
            <w:pPr>
              <w:jc w:val="center"/>
              <w:rPr>
                <w:color w:val="auto"/>
                <w:sz w:val="24"/>
              </w:rPr>
            </w:pPr>
            <w:r>
              <w:rPr>
                <w:color w:val="auto"/>
                <w:sz w:val="24"/>
              </w:rPr>
              <w:t>单位名称</w:t>
            </w:r>
          </w:p>
        </w:tc>
        <w:tc>
          <w:tcPr>
            <w:tcW w:w="2976" w:type="dxa"/>
            <w:vAlign w:val="center"/>
          </w:tcPr>
          <w:p>
            <w:pPr>
              <w:jc w:val="center"/>
              <w:rPr>
                <w:color w:val="auto"/>
                <w:sz w:val="24"/>
              </w:rPr>
            </w:pPr>
            <w:r>
              <w:rPr>
                <w:color w:val="auto"/>
                <w:sz w:val="24"/>
              </w:rPr>
              <w:t>相互关系</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pPr>
              <w:jc w:val="center"/>
              <w:rPr>
                <w:color w:val="auto"/>
                <w:sz w:val="24"/>
              </w:rPr>
            </w:pPr>
            <w:r>
              <w:rPr>
                <w:color w:val="auto"/>
                <w:sz w:val="24"/>
              </w:rPr>
              <w:t>1</w:t>
            </w:r>
          </w:p>
        </w:tc>
        <w:tc>
          <w:tcPr>
            <w:tcW w:w="4574" w:type="dxa"/>
            <w:vAlign w:val="center"/>
          </w:tcPr>
          <w:p>
            <w:pPr>
              <w:jc w:val="center"/>
              <w:rPr>
                <w:color w:val="auto"/>
                <w:sz w:val="24"/>
              </w:rPr>
            </w:pPr>
          </w:p>
        </w:tc>
        <w:tc>
          <w:tcPr>
            <w:tcW w:w="2976" w:type="dxa"/>
            <w:vAlign w:val="center"/>
          </w:tcPr>
          <w:p>
            <w:pPr>
              <w:jc w:val="center"/>
              <w:rPr>
                <w:color w:val="auto"/>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pPr>
              <w:jc w:val="center"/>
              <w:rPr>
                <w:color w:val="auto"/>
                <w:sz w:val="24"/>
              </w:rPr>
            </w:pPr>
            <w:r>
              <w:rPr>
                <w:color w:val="auto"/>
                <w:sz w:val="24"/>
              </w:rPr>
              <w:t>2</w:t>
            </w:r>
          </w:p>
        </w:tc>
        <w:tc>
          <w:tcPr>
            <w:tcW w:w="4574" w:type="dxa"/>
            <w:vAlign w:val="center"/>
          </w:tcPr>
          <w:p>
            <w:pPr>
              <w:jc w:val="center"/>
              <w:rPr>
                <w:color w:val="auto"/>
                <w:sz w:val="24"/>
              </w:rPr>
            </w:pPr>
          </w:p>
        </w:tc>
        <w:tc>
          <w:tcPr>
            <w:tcW w:w="2976" w:type="dxa"/>
            <w:vAlign w:val="center"/>
          </w:tcPr>
          <w:p>
            <w:pPr>
              <w:jc w:val="center"/>
              <w:rPr>
                <w:color w:val="auto"/>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pPr>
              <w:jc w:val="center"/>
              <w:rPr>
                <w:color w:val="auto"/>
                <w:sz w:val="24"/>
              </w:rPr>
            </w:pPr>
            <w:r>
              <w:rPr>
                <w:color w:val="auto"/>
                <w:sz w:val="24"/>
              </w:rPr>
              <w:t>…</w:t>
            </w:r>
          </w:p>
        </w:tc>
        <w:tc>
          <w:tcPr>
            <w:tcW w:w="4574" w:type="dxa"/>
            <w:vAlign w:val="center"/>
          </w:tcPr>
          <w:p>
            <w:pPr>
              <w:jc w:val="center"/>
              <w:rPr>
                <w:color w:val="auto"/>
                <w:sz w:val="24"/>
              </w:rPr>
            </w:pPr>
          </w:p>
        </w:tc>
        <w:tc>
          <w:tcPr>
            <w:tcW w:w="2976" w:type="dxa"/>
            <w:vAlign w:val="center"/>
          </w:tcPr>
          <w:p>
            <w:pPr>
              <w:jc w:val="center"/>
              <w:rPr>
                <w:color w:val="auto"/>
                <w:sz w:val="24"/>
              </w:rPr>
            </w:pPr>
          </w:p>
        </w:tc>
      </w:tr>
    </w:tbl>
    <w:p>
      <w:pPr>
        <w:rPr>
          <w:color w:val="auto"/>
        </w:rPr>
      </w:pPr>
    </w:p>
    <w:p>
      <w:pPr>
        <w:ind w:firstLine="480" w:firstLineChars="200"/>
        <w:rPr>
          <w:color w:val="auto"/>
          <w:sz w:val="24"/>
          <w:szCs w:val="22"/>
        </w:rPr>
      </w:pPr>
      <w:r>
        <w:rPr>
          <w:color w:val="auto"/>
          <w:sz w:val="24"/>
        </w:rPr>
        <w:t>上述声明真实有效，否则我方负全部责任。</w:t>
      </w:r>
    </w:p>
    <w:p>
      <w:pPr>
        <w:spacing w:line="360" w:lineRule="auto"/>
        <w:rPr>
          <w:color w:val="auto"/>
          <w:sz w:val="24"/>
        </w:rPr>
      </w:pPr>
    </w:p>
    <w:p>
      <w:pPr>
        <w:autoSpaceDE w:val="0"/>
        <w:autoSpaceDN w:val="0"/>
        <w:adjustRightInd w:val="0"/>
        <w:snapToGrid w:val="0"/>
        <w:spacing w:before="25" w:after="25" w:line="360" w:lineRule="auto"/>
        <w:jc w:val="right"/>
        <w:rPr>
          <w:color w:val="auto"/>
          <w:sz w:val="24"/>
          <w:lang w:val="zh-CN"/>
        </w:rPr>
      </w:pPr>
      <w:r>
        <w:rPr>
          <w:color w:val="auto"/>
          <w:sz w:val="24"/>
        </w:rPr>
        <w:t>投标人名称（加盖公章）</w:t>
      </w:r>
      <w:r>
        <w:rPr>
          <w:color w:val="auto"/>
          <w:sz w:val="24"/>
          <w:lang w:val="zh-CN"/>
        </w:rPr>
        <w:t>：    ____________</w:t>
      </w:r>
    </w:p>
    <w:p>
      <w:pPr>
        <w:spacing w:line="360" w:lineRule="auto"/>
        <w:ind w:right="360" w:firstLine="480"/>
        <w:jc w:val="right"/>
        <w:rPr>
          <w:color w:val="auto"/>
          <w:sz w:val="24"/>
        </w:rPr>
      </w:pPr>
      <w:r>
        <w:rPr>
          <w:color w:val="auto"/>
          <w:sz w:val="24"/>
          <w:szCs w:val="20"/>
        </w:rPr>
        <w:t xml:space="preserve">日期：_____年______月______日   </w:t>
      </w:r>
    </w:p>
    <w:p>
      <w:pPr>
        <w:spacing w:line="360" w:lineRule="auto"/>
        <w:rPr>
          <w:color w:val="auto"/>
          <w:sz w:val="24"/>
        </w:rPr>
      </w:pPr>
      <w:r>
        <w:rPr>
          <w:color w:val="auto"/>
          <w:sz w:val="24"/>
        </w:rPr>
        <w:t>说明：供应商承诺不实的，依据《政府采购法》第七十七条“提供虚假材料谋取中标、成交的”有关规定予以处理。</w:t>
      </w:r>
    </w:p>
    <w:p>
      <w:pPr>
        <w:tabs>
          <w:tab w:val="left" w:pos="5580"/>
        </w:tabs>
        <w:spacing w:line="360" w:lineRule="auto"/>
        <w:rPr>
          <w:color w:val="auto"/>
          <w:sz w:val="24"/>
        </w:rPr>
        <w:sectPr>
          <w:footerReference r:id="rId11" w:type="default"/>
          <w:pgSz w:w="11907" w:h="16840"/>
          <w:pgMar w:top="1418" w:right="1134" w:bottom="1418" w:left="1701" w:header="851" w:footer="851" w:gutter="0"/>
          <w:cols w:space="720" w:num="1"/>
          <w:docGrid w:linePitch="462" w:charSpace="0"/>
        </w:sectPr>
      </w:pPr>
    </w:p>
    <w:p>
      <w:pPr>
        <w:numPr>
          <w:ilvl w:val="0"/>
          <w:numId w:val="17"/>
        </w:numPr>
        <w:tabs>
          <w:tab w:val="left" w:pos="360"/>
        </w:tabs>
        <w:snapToGrid w:val="0"/>
        <w:spacing w:line="360" w:lineRule="auto"/>
        <w:outlineLvl w:val="1"/>
        <w:rPr>
          <w:color w:val="auto"/>
          <w:sz w:val="24"/>
          <w:szCs w:val="20"/>
        </w:rPr>
      </w:pPr>
      <w:r>
        <w:rPr>
          <w:color w:val="auto"/>
          <w:sz w:val="24"/>
          <w:szCs w:val="20"/>
        </w:rPr>
        <w:t>落实政府采购政策需满足的资格要求（如有）</w:t>
      </w:r>
    </w:p>
    <w:p>
      <w:pPr>
        <w:spacing w:line="360" w:lineRule="auto"/>
        <w:outlineLvl w:val="2"/>
        <w:rPr>
          <w:color w:val="auto"/>
          <w:sz w:val="24"/>
          <w:szCs w:val="20"/>
        </w:rPr>
      </w:pPr>
      <w:r>
        <w:rPr>
          <w:color w:val="auto"/>
          <w:sz w:val="24"/>
          <w:szCs w:val="20"/>
        </w:rPr>
        <w:t>2-1 中小企业证明文件</w:t>
      </w:r>
    </w:p>
    <w:p>
      <w:pPr>
        <w:tabs>
          <w:tab w:val="left" w:pos="5580"/>
        </w:tabs>
        <w:spacing w:line="360" w:lineRule="auto"/>
        <w:rPr>
          <w:color w:val="auto"/>
          <w:sz w:val="24"/>
        </w:rPr>
      </w:pPr>
      <w:r>
        <w:rPr>
          <w:color w:val="auto"/>
          <w:sz w:val="24"/>
        </w:rPr>
        <w:t>说明：</w:t>
      </w:r>
    </w:p>
    <w:p>
      <w:pPr>
        <w:tabs>
          <w:tab w:val="left" w:pos="5580"/>
        </w:tabs>
        <w:spacing w:line="360" w:lineRule="auto"/>
        <w:rPr>
          <w:color w:val="auto"/>
          <w:sz w:val="24"/>
        </w:rPr>
      </w:pPr>
      <w:r>
        <w:rPr>
          <w:color w:val="auto"/>
          <w:sz w:val="24"/>
        </w:rPr>
        <w:t>（1）如本项目（包）不专门面向中小企业预留采购份额，资格证明文件部分无需提供《中小企业声明函》或《残疾人福利性单位声明函》或由省级以上监狱管理局、戒毒管理局（含新疆生产建设兵团）出具的属于监狱企业的证明文件；供应商如具有上述证明文件，建议在商务技术文件中提供。</w:t>
      </w:r>
    </w:p>
    <w:p>
      <w:pPr>
        <w:tabs>
          <w:tab w:val="left" w:pos="5580"/>
        </w:tabs>
        <w:spacing w:line="360" w:lineRule="auto"/>
        <w:rPr>
          <w:color w:val="auto"/>
          <w:sz w:val="24"/>
        </w:rPr>
      </w:pPr>
      <w:r>
        <w:rPr>
          <w:color w:val="auto"/>
          <w:sz w:val="24"/>
        </w:rPr>
        <w:t>（2）如本项目（包）专门面向中小企业采购，投标文件中须提供《中小企业声明函》或《残疾人福利性单位声明函》或由省级以上监狱管理局、戒毒管理局（含新疆生产建设兵团）出具的属于监狱企业的证明文件，且建议在资格证明文件部分提供。</w:t>
      </w:r>
    </w:p>
    <w:p>
      <w:pPr>
        <w:tabs>
          <w:tab w:val="left" w:pos="5580"/>
        </w:tabs>
        <w:spacing w:line="360" w:lineRule="auto"/>
        <w:rPr>
          <w:color w:val="auto"/>
          <w:sz w:val="24"/>
        </w:rPr>
      </w:pPr>
      <w:r>
        <w:rPr>
          <w:color w:val="auto"/>
          <w:sz w:val="24"/>
        </w:rPr>
        <w:t>（3）如本项目（包）预留部分采购项目预算专门面向中小企业采购，且要求获得采购合同的供应商将采购项目中的一定比例分包给一家或者多家中小企业的，投标文件中除须提供《中小企业声明函》或《残疾人福利性单位声明函》或由省级以上监狱管理局、戒毒管理局（含新疆生产建设兵团）出具的属于监狱企业的证明文件，还须同时提供《拟分包情况说明》及《分包意向协议》，且建议在资格证明文件部分提供。</w:t>
      </w:r>
    </w:p>
    <w:p>
      <w:pPr>
        <w:tabs>
          <w:tab w:val="left" w:pos="5580"/>
        </w:tabs>
        <w:spacing w:line="360" w:lineRule="auto"/>
        <w:rPr>
          <w:color w:val="auto"/>
          <w:sz w:val="24"/>
        </w:rPr>
      </w:pPr>
      <w:r>
        <w:rPr>
          <w:color w:val="auto"/>
          <w:sz w:val="24"/>
        </w:rPr>
        <w:t>（4）如本项目（包）预留部分采购项目预算专门面向中小企业采购，且要求供应商以联合体形式参加采购活动</w:t>
      </w:r>
      <w:r>
        <w:rPr>
          <w:color w:val="auto"/>
        </w:rPr>
        <w:t>，</w:t>
      </w:r>
      <w:r>
        <w:rPr>
          <w:color w:val="auto"/>
          <w:sz w:val="24"/>
        </w:rPr>
        <w:t>投标文件中除须提供《中小企业声明函》或《残疾人福利性单位声明函》或由省级以上监狱管理局、戒毒管理局（含新疆生产建设兵团）出具的属于监狱企业的证明文件，还须同时提供《联合协议》；上述文件建议在资格证明文件部分提供。</w:t>
      </w:r>
    </w:p>
    <w:p>
      <w:pPr>
        <w:tabs>
          <w:tab w:val="left" w:pos="5580"/>
        </w:tabs>
        <w:spacing w:line="360" w:lineRule="auto"/>
        <w:rPr>
          <w:color w:val="auto"/>
          <w:sz w:val="24"/>
        </w:rPr>
      </w:pPr>
      <w:r>
        <w:rPr>
          <w:color w:val="auto"/>
          <w:sz w:val="24"/>
        </w:rPr>
        <w:t>（5）中小企业声明函填写注意事项</w:t>
      </w:r>
    </w:p>
    <w:p>
      <w:pPr>
        <w:tabs>
          <w:tab w:val="left" w:pos="5580"/>
        </w:tabs>
        <w:spacing w:line="360" w:lineRule="auto"/>
        <w:rPr>
          <w:color w:val="auto"/>
          <w:sz w:val="24"/>
        </w:rPr>
      </w:pPr>
      <w:r>
        <w:rPr>
          <w:color w:val="auto"/>
          <w:sz w:val="24"/>
        </w:rPr>
        <w:t>1）《中小企业声明函》由参加政府采购活动的投标人出具。联合体投标的，《中小企业声明函》可由牵头人出具。</w:t>
      </w:r>
    </w:p>
    <w:p>
      <w:pPr>
        <w:tabs>
          <w:tab w:val="left" w:pos="5580"/>
        </w:tabs>
        <w:spacing w:line="360" w:lineRule="auto"/>
        <w:rPr>
          <w:color w:val="auto"/>
          <w:sz w:val="24"/>
        </w:rPr>
      </w:pPr>
      <w:r>
        <w:rPr>
          <w:color w:val="auto"/>
          <w:sz w:val="24"/>
        </w:rPr>
        <w:t>2）对于联合体中由中小企业承担的部分，或者分包给中小企业的部分，必须全部由中小企业制造、承建或者承接。供应商应当在声明函“标的名称”部分标明联合体中中小企业承担的具体内容或者中小企业的具体分包内容。</w:t>
      </w:r>
    </w:p>
    <w:p>
      <w:pPr>
        <w:tabs>
          <w:tab w:val="left" w:pos="5580"/>
        </w:tabs>
        <w:spacing w:line="360" w:lineRule="auto"/>
        <w:rPr>
          <w:color w:val="auto"/>
          <w:sz w:val="24"/>
        </w:rPr>
      </w:pPr>
      <w:r>
        <w:rPr>
          <w:color w:val="auto"/>
          <w:sz w:val="24"/>
        </w:rPr>
        <w:t>3）对于多标的采购项目，投标人应充分、准确地了解所提供货物的制造企业、提供服务的承接企业信息。对相关情况了解不清楚的，不建议填报本声明函。</w:t>
      </w:r>
    </w:p>
    <w:p>
      <w:pPr>
        <w:tabs>
          <w:tab w:val="left" w:pos="5580"/>
        </w:tabs>
        <w:spacing w:line="360" w:lineRule="auto"/>
        <w:rPr>
          <w:color w:val="auto"/>
          <w:sz w:val="24"/>
        </w:rPr>
      </w:pPr>
      <w:r>
        <w:rPr>
          <w:color w:val="auto"/>
          <w:sz w:val="24"/>
        </w:rPr>
        <w:t>（6）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2011﹞300号）》及本项目文件规定的中小企业划分标准所属行业执行。</w:t>
      </w:r>
    </w:p>
    <w:p>
      <w:pPr>
        <w:tabs>
          <w:tab w:val="left" w:pos="5580"/>
        </w:tabs>
        <w:spacing w:line="360" w:lineRule="auto"/>
        <w:rPr>
          <w:color w:val="auto"/>
          <w:sz w:val="24"/>
        </w:rPr>
      </w:pPr>
    </w:p>
    <w:p>
      <w:pPr>
        <w:tabs>
          <w:tab w:val="left" w:pos="5580"/>
        </w:tabs>
        <w:spacing w:line="360" w:lineRule="auto"/>
        <w:rPr>
          <w:color w:val="auto"/>
          <w:sz w:val="24"/>
        </w:rPr>
      </w:pPr>
      <w:r>
        <w:rPr>
          <w:color w:val="auto"/>
          <w:sz w:val="24"/>
        </w:rPr>
        <w:br w:type="page"/>
      </w:r>
    </w:p>
    <w:p>
      <w:pPr>
        <w:pStyle w:val="5"/>
        <w:rPr>
          <w:color w:val="auto"/>
        </w:rPr>
      </w:pPr>
      <w:r>
        <w:rPr>
          <w:color w:val="auto"/>
        </w:rPr>
        <w:t>2-1-1 中小企业声明函及残疾人福利性单位声明函格式</w:t>
      </w:r>
    </w:p>
    <w:p>
      <w:pPr>
        <w:spacing w:before="240" w:beforeLines="100" w:after="240" w:afterLines="100" w:line="360" w:lineRule="auto"/>
        <w:jc w:val="center"/>
        <w:rPr>
          <w:b/>
          <w:bCs/>
          <w:color w:val="auto"/>
          <w:sz w:val="36"/>
          <w:szCs w:val="36"/>
        </w:rPr>
      </w:pPr>
      <w:r>
        <w:rPr>
          <w:b/>
          <w:bCs/>
          <w:color w:val="auto"/>
          <w:sz w:val="36"/>
          <w:szCs w:val="36"/>
        </w:rPr>
        <w:t>中小企业声明函（服务）格式</w:t>
      </w:r>
    </w:p>
    <w:p>
      <w:pPr>
        <w:spacing w:line="360" w:lineRule="auto"/>
        <w:ind w:firstLine="504"/>
        <w:rPr>
          <w:color w:val="auto"/>
          <w:spacing w:val="6"/>
          <w:sz w:val="24"/>
        </w:rPr>
      </w:pPr>
      <w:r>
        <w:rPr>
          <w:color w:val="auto"/>
          <w:spacing w:val="6"/>
          <w:sz w:val="24"/>
        </w:rPr>
        <w:t>本公司（联合体）郑重声明，根据《政府采购促进中小企业发展管理办法》（财库﹝2020﹞46 号）的规定，本公司参加（单位名称）的（项目名称）采购活动，服务全部由符合政策要求的中小企业承接。相关企业（含联合体中的中小企业、签订分包意向协议的中小企业）的具体情况如下：</w:t>
      </w:r>
    </w:p>
    <w:p>
      <w:pPr>
        <w:spacing w:line="360" w:lineRule="auto"/>
        <w:ind w:firstLine="504"/>
        <w:rPr>
          <w:color w:val="auto"/>
          <w:spacing w:val="6"/>
          <w:sz w:val="24"/>
        </w:rPr>
      </w:pPr>
      <w:r>
        <w:rPr>
          <w:color w:val="auto"/>
          <w:spacing w:val="6"/>
          <w:sz w:val="24"/>
          <w:u w:val="single"/>
        </w:rPr>
        <w:t>（标的名称）</w:t>
      </w:r>
      <w:r>
        <w:rPr>
          <w:color w:val="auto"/>
          <w:spacing w:val="6"/>
          <w:sz w:val="24"/>
        </w:rPr>
        <w:t>，属于</w:t>
      </w:r>
      <w:r>
        <w:rPr>
          <w:color w:val="auto"/>
          <w:spacing w:val="6"/>
          <w:sz w:val="24"/>
          <w:u w:val="single"/>
        </w:rPr>
        <w:t>（采购文件中明确的所属行业）</w:t>
      </w:r>
      <w:r>
        <w:rPr>
          <w:color w:val="auto"/>
          <w:spacing w:val="6"/>
          <w:sz w:val="24"/>
        </w:rPr>
        <w:t>行业；承接企业为</w:t>
      </w:r>
      <w:r>
        <w:rPr>
          <w:color w:val="auto"/>
          <w:spacing w:val="6"/>
          <w:sz w:val="24"/>
          <w:u w:val="single"/>
        </w:rPr>
        <w:t>（企业名称）</w:t>
      </w:r>
      <w:r>
        <w:rPr>
          <w:color w:val="auto"/>
          <w:spacing w:val="6"/>
          <w:sz w:val="24"/>
        </w:rPr>
        <w:t>，从业人员______人，营业收入为______万元，资产总额为______万元</w:t>
      </w:r>
      <w:r>
        <w:rPr>
          <w:color w:val="auto"/>
          <w:spacing w:val="6"/>
          <w:sz w:val="24"/>
          <w:vertAlign w:val="superscript"/>
        </w:rPr>
        <w:t>1</w:t>
      </w:r>
      <w:r>
        <w:rPr>
          <w:color w:val="auto"/>
          <w:spacing w:val="6"/>
          <w:sz w:val="24"/>
        </w:rPr>
        <w:t>，属于</w:t>
      </w:r>
      <w:r>
        <w:rPr>
          <w:color w:val="auto"/>
          <w:spacing w:val="6"/>
          <w:sz w:val="24"/>
          <w:u w:val="single"/>
        </w:rPr>
        <w:t>（中型企业、小型企业、微型企业）</w:t>
      </w:r>
      <w:r>
        <w:rPr>
          <w:color w:val="auto"/>
          <w:spacing w:val="6"/>
          <w:sz w:val="24"/>
        </w:rPr>
        <w:t>；</w:t>
      </w:r>
    </w:p>
    <w:p>
      <w:pPr>
        <w:spacing w:line="360" w:lineRule="auto"/>
        <w:ind w:firstLine="504"/>
        <w:rPr>
          <w:color w:val="auto"/>
          <w:spacing w:val="6"/>
          <w:sz w:val="24"/>
        </w:rPr>
      </w:pPr>
    </w:p>
    <w:p>
      <w:pPr>
        <w:spacing w:line="360" w:lineRule="auto"/>
        <w:ind w:firstLine="504"/>
        <w:rPr>
          <w:color w:val="auto"/>
          <w:spacing w:val="6"/>
          <w:sz w:val="24"/>
        </w:rPr>
      </w:pPr>
      <w:r>
        <w:rPr>
          <w:color w:val="auto"/>
          <w:spacing w:val="6"/>
          <w:sz w:val="24"/>
        </w:rPr>
        <w:t>……</w:t>
      </w:r>
    </w:p>
    <w:p>
      <w:pPr>
        <w:spacing w:line="360" w:lineRule="auto"/>
        <w:ind w:firstLine="504"/>
        <w:rPr>
          <w:color w:val="auto"/>
          <w:spacing w:val="6"/>
          <w:sz w:val="24"/>
        </w:rPr>
      </w:pPr>
      <w:r>
        <w:rPr>
          <w:color w:val="auto"/>
          <w:spacing w:val="6"/>
          <w:sz w:val="24"/>
        </w:rPr>
        <w:t>以上企业，不属于大企业的分支机构，不存在控股股东为大企业的情形，也不存在与大企业的负责人为同一人的情形。</w:t>
      </w:r>
    </w:p>
    <w:p>
      <w:pPr>
        <w:spacing w:line="360" w:lineRule="auto"/>
        <w:ind w:firstLine="504"/>
        <w:rPr>
          <w:color w:val="auto"/>
          <w:spacing w:val="6"/>
          <w:sz w:val="24"/>
        </w:rPr>
      </w:pPr>
      <w:r>
        <w:rPr>
          <w:color w:val="auto"/>
          <w:spacing w:val="6"/>
          <w:sz w:val="24"/>
        </w:rPr>
        <w:t>本企业对上述声明内容的真实性负责。如有虚假，将依法承担相应责任。</w:t>
      </w:r>
    </w:p>
    <w:p>
      <w:pPr>
        <w:spacing w:line="360" w:lineRule="auto"/>
        <w:ind w:right="360" w:firstLine="480"/>
        <w:jc w:val="right"/>
        <w:rPr>
          <w:color w:val="auto"/>
          <w:sz w:val="24"/>
        </w:rPr>
      </w:pPr>
    </w:p>
    <w:p>
      <w:pPr>
        <w:spacing w:line="360" w:lineRule="auto"/>
        <w:ind w:right="360" w:firstLine="480"/>
        <w:jc w:val="right"/>
        <w:rPr>
          <w:color w:val="auto"/>
          <w:sz w:val="24"/>
        </w:rPr>
      </w:pPr>
      <w:r>
        <w:rPr>
          <w:color w:val="auto"/>
          <w:sz w:val="24"/>
        </w:rPr>
        <w:t>企业名称（盖章）：________</w:t>
      </w:r>
    </w:p>
    <w:p>
      <w:pPr>
        <w:spacing w:line="360" w:lineRule="auto"/>
        <w:ind w:right="360" w:firstLine="480"/>
        <w:jc w:val="right"/>
        <w:rPr>
          <w:color w:val="auto"/>
          <w:sz w:val="24"/>
        </w:rPr>
      </w:pPr>
      <w:r>
        <w:rPr>
          <w:color w:val="auto"/>
          <w:sz w:val="24"/>
        </w:rPr>
        <w:t>日 期：________</w:t>
      </w:r>
    </w:p>
    <w:p>
      <w:pPr>
        <w:adjustRightInd w:val="0"/>
        <w:snapToGrid w:val="0"/>
        <w:jc w:val="left"/>
        <w:rPr>
          <w:color w:val="auto"/>
          <w:sz w:val="24"/>
          <w:szCs w:val="21"/>
        </w:rPr>
      </w:pPr>
    </w:p>
    <w:p>
      <w:pPr>
        <w:adjustRightInd w:val="0"/>
        <w:snapToGrid w:val="0"/>
        <w:jc w:val="left"/>
        <w:rPr>
          <w:color w:val="auto"/>
          <w:sz w:val="24"/>
          <w:szCs w:val="21"/>
        </w:rPr>
      </w:pPr>
    </w:p>
    <w:tbl>
      <w:tblPr>
        <w:tblStyle w:val="44"/>
        <w:tblW w:w="8946" w:type="dxa"/>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8946"/>
      </w:tblGrid>
      <w:tr>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shd w:val="clear" w:color="auto" w:fill="auto"/>
          </w:tcPr>
          <w:p>
            <w:pPr>
              <w:adjustRightInd w:val="0"/>
              <w:snapToGrid w:val="0"/>
              <w:jc w:val="left"/>
              <w:rPr>
                <w:color w:val="auto"/>
                <w:szCs w:val="21"/>
              </w:rPr>
            </w:pPr>
            <w:r>
              <w:rPr>
                <w:color w:val="auto"/>
                <w:szCs w:val="21"/>
                <w:vertAlign w:val="superscript"/>
              </w:rPr>
              <w:t>1</w:t>
            </w:r>
            <w:r>
              <w:rPr>
                <w:color w:val="auto"/>
                <w:szCs w:val="21"/>
              </w:rPr>
              <w:t>从业人员、营业收入、资产总额填报上一年度数据，无上一年度数据的新成立企业可不填报。</w:t>
            </w:r>
          </w:p>
        </w:tc>
      </w:tr>
    </w:tbl>
    <w:p>
      <w:pPr>
        <w:adjustRightInd w:val="0"/>
        <w:snapToGrid w:val="0"/>
        <w:jc w:val="left"/>
        <w:rPr>
          <w:color w:val="auto"/>
          <w:szCs w:val="21"/>
          <w:vertAlign w:val="superscript"/>
        </w:rPr>
      </w:pPr>
    </w:p>
    <w:p>
      <w:pPr>
        <w:spacing w:line="360" w:lineRule="auto"/>
        <w:ind w:right="360" w:firstLine="480"/>
        <w:jc w:val="right"/>
        <w:rPr>
          <w:color w:val="auto"/>
          <w:sz w:val="24"/>
        </w:rPr>
      </w:pPr>
    </w:p>
    <w:p>
      <w:pPr>
        <w:spacing w:before="240" w:beforeLines="100" w:after="240" w:afterLines="100" w:line="360" w:lineRule="auto"/>
        <w:jc w:val="center"/>
        <w:rPr>
          <w:b/>
          <w:bCs/>
          <w:color w:val="auto"/>
          <w:sz w:val="36"/>
          <w:szCs w:val="36"/>
        </w:rPr>
        <w:sectPr>
          <w:headerReference r:id="rId13" w:type="first"/>
          <w:footerReference r:id="rId15" w:type="first"/>
          <w:headerReference r:id="rId12" w:type="even"/>
          <w:footerReference r:id="rId14" w:type="even"/>
          <w:pgSz w:w="11907" w:h="16840"/>
          <w:pgMar w:top="1418" w:right="1134" w:bottom="1418" w:left="1701" w:header="851" w:footer="851" w:gutter="0"/>
          <w:cols w:space="720" w:num="1"/>
          <w:docGrid w:linePitch="462" w:charSpace="0"/>
        </w:sectPr>
      </w:pPr>
    </w:p>
    <w:p>
      <w:pPr>
        <w:spacing w:before="240" w:beforeLines="100" w:after="240" w:afterLines="100" w:line="360" w:lineRule="auto"/>
        <w:jc w:val="center"/>
        <w:rPr>
          <w:b/>
          <w:color w:val="auto"/>
          <w:sz w:val="36"/>
          <w:szCs w:val="36"/>
        </w:rPr>
      </w:pPr>
      <w:r>
        <w:rPr>
          <w:b/>
          <w:bCs/>
          <w:color w:val="auto"/>
          <w:sz w:val="36"/>
          <w:szCs w:val="36"/>
        </w:rPr>
        <w:t>残疾人福利性单位声明函格式</w:t>
      </w:r>
      <w:r>
        <w:rPr>
          <w:b/>
          <w:color w:val="auto"/>
          <w:sz w:val="36"/>
          <w:szCs w:val="36"/>
        </w:rPr>
        <w:t xml:space="preserve">       </w:t>
      </w:r>
    </w:p>
    <w:p>
      <w:pPr>
        <w:spacing w:line="588" w:lineRule="exact"/>
        <w:ind w:firstLine="504"/>
        <w:rPr>
          <w:color w:val="auto"/>
          <w:spacing w:val="6"/>
          <w:sz w:val="24"/>
        </w:rPr>
      </w:pPr>
      <w:r>
        <w:rPr>
          <w:color w:val="auto"/>
          <w:spacing w:val="6"/>
          <w:sz w:val="24"/>
        </w:rPr>
        <w:t>本单位郑重声明，根据《财政部 民政部 中国残疾人联合会关于促进残疾人就业政府采购政策的通知》（财库</w:t>
      </w:r>
      <w:r>
        <w:rPr>
          <w:color w:val="auto"/>
          <w:sz w:val="24"/>
        </w:rPr>
        <w:t>〔2017〕 141</w:t>
      </w:r>
      <w:r>
        <w:rPr>
          <w:color w:val="auto"/>
          <w:spacing w:val="6"/>
          <w:sz w:val="24"/>
        </w:rPr>
        <w:t>号）的规定，本单位</w:t>
      </w:r>
      <w:r>
        <w:rPr>
          <w:b/>
          <w:color w:val="auto"/>
          <w:sz w:val="24"/>
        </w:rPr>
        <w:t>（请进行选择）</w:t>
      </w:r>
      <w:r>
        <w:rPr>
          <w:color w:val="auto"/>
          <w:spacing w:val="6"/>
          <w:sz w:val="24"/>
        </w:rPr>
        <w:t>：</w:t>
      </w:r>
    </w:p>
    <w:p>
      <w:pPr>
        <w:spacing w:line="588" w:lineRule="exact"/>
        <w:ind w:firstLine="482"/>
        <w:rPr>
          <w:b/>
          <w:color w:val="auto"/>
          <w:spacing w:val="6"/>
          <w:sz w:val="24"/>
        </w:rPr>
      </w:pPr>
      <w:r>
        <w:rPr>
          <w:b/>
          <w:color w:val="auto"/>
          <w:sz w:val="24"/>
        </w:rPr>
        <w:t>□</w:t>
      </w:r>
      <w:r>
        <w:rPr>
          <w:b/>
          <w:color w:val="auto"/>
          <w:spacing w:val="6"/>
          <w:sz w:val="24"/>
        </w:rPr>
        <w:t>不属于符合条件的残疾人福利性单位。</w:t>
      </w:r>
    </w:p>
    <w:p>
      <w:pPr>
        <w:spacing w:line="588" w:lineRule="exact"/>
        <w:ind w:firstLine="482"/>
        <w:rPr>
          <w:color w:val="auto"/>
          <w:spacing w:val="6"/>
          <w:sz w:val="24"/>
        </w:rPr>
      </w:pPr>
      <w:r>
        <w:rPr>
          <w:b/>
          <w:color w:val="auto"/>
          <w:sz w:val="24"/>
        </w:rPr>
        <w:t>□</w:t>
      </w:r>
      <w:r>
        <w:rPr>
          <w:b/>
          <w:color w:val="auto"/>
          <w:spacing w:val="6"/>
          <w:sz w:val="24"/>
        </w:rPr>
        <w:t>属于符合条件的残疾人福利性单位，</w:t>
      </w:r>
      <w:r>
        <w:rPr>
          <w:color w:val="auto"/>
          <w:spacing w:val="6"/>
          <w:sz w:val="24"/>
        </w:rPr>
        <w:t>且本单位参加______单位的______项目采购活动提供本单位制造的货物（由本单位承担工程/提供服务），或者提供其他残疾人福利性单位制造的货物（不包括使用非残疾人福利性单位注册商标的货物）。</w:t>
      </w:r>
    </w:p>
    <w:p>
      <w:pPr>
        <w:spacing w:line="588" w:lineRule="exact"/>
        <w:ind w:firstLine="506" w:firstLineChars="200"/>
        <w:rPr>
          <w:color w:val="auto"/>
          <w:spacing w:val="6"/>
          <w:sz w:val="24"/>
        </w:rPr>
      </w:pPr>
      <w:r>
        <w:rPr>
          <w:b/>
          <w:color w:val="auto"/>
          <w:spacing w:val="6"/>
          <w:sz w:val="24"/>
        </w:rPr>
        <w:t>本单位对上述声明的真实性负责。如有虚假，将依法承担相应责任。</w:t>
      </w:r>
    </w:p>
    <w:p>
      <w:pPr>
        <w:spacing w:line="588" w:lineRule="exact"/>
        <w:ind w:firstLine="504" w:firstLineChars="200"/>
        <w:rPr>
          <w:color w:val="auto"/>
          <w:spacing w:val="6"/>
          <w:sz w:val="24"/>
        </w:rPr>
      </w:pPr>
    </w:p>
    <w:p>
      <w:pPr>
        <w:spacing w:line="588" w:lineRule="exact"/>
        <w:ind w:firstLine="504" w:firstLineChars="200"/>
        <w:rPr>
          <w:color w:val="auto"/>
          <w:spacing w:val="6"/>
          <w:sz w:val="24"/>
        </w:rPr>
      </w:pPr>
    </w:p>
    <w:p>
      <w:pPr>
        <w:tabs>
          <w:tab w:val="left" w:pos="4860"/>
        </w:tabs>
        <w:spacing w:line="588" w:lineRule="exact"/>
        <w:ind w:right="1560" w:firstLine="504" w:firstLineChars="200"/>
        <w:jc w:val="center"/>
        <w:rPr>
          <w:color w:val="auto"/>
          <w:spacing w:val="6"/>
          <w:sz w:val="24"/>
        </w:rPr>
      </w:pPr>
      <w:r>
        <w:rPr>
          <w:color w:val="auto"/>
          <w:spacing w:val="6"/>
          <w:sz w:val="24"/>
        </w:rPr>
        <w:t xml:space="preserve">               单位名称（盖章）：</w:t>
      </w:r>
    </w:p>
    <w:p>
      <w:pPr>
        <w:tabs>
          <w:tab w:val="left" w:pos="4860"/>
        </w:tabs>
        <w:spacing w:line="588" w:lineRule="exact"/>
        <w:ind w:right="1560" w:firstLine="504" w:firstLineChars="200"/>
        <w:jc w:val="center"/>
        <w:rPr>
          <w:color w:val="auto"/>
          <w:spacing w:val="6"/>
          <w:sz w:val="24"/>
        </w:rPr>
      </w:pPr>
      <w:r>
        <w:rPr>
          <w:color w:val="auto"/>
          <w:spacing w:val="6"/>
          <w:sz w:val="24"/>
        </w:rPr>
        <w:t xml:space="preserve">       日  期：</w:t>
      </w:r>
    </w:p>
    <w:p>
      <w:pPr>
        <w:widowControl/>
        <w:jc w:val="left"/>
        <w:rPr>
          <w:color w:val="auto"/>
          <w:sz w:val="24"/>
          <w:szCs w:val="20"/>
        </w:rPr>
      </w:pPr>
      <w:r>
        <w:rPr>
          <w:color w:val="auto"/>
          <w:sz w:val="24"/>
          <w:szCs w:val="20"/>
        </w:rPr>
        <w:br w:type="page"/>
      </w:r>
    </w:p>
    <w:p>
      <w:pPr>
        <w:spacing w:line="360" w:lineRule="auto"/>
        <w:outlineLvl w:val="2"/>
        <w:rPr>
          <w:color w:val="auto"/>
          <w:sz w:val="24"/>
          <w:szCs w:val="20"/>
        </w:rPr>
      </w:pPr>
      <w:r>
        <w:rPr>
          <w:color w:val="auto"/>
          <w:sz w:val="24"/>
          <w:szCs w:val="20"/>
        </w:rPr>
        <w:t xml:space="preserve">2-2 </w:t>
      </w:r>
      <w:r>
        <w:rPr>
          <w:color w:val="auto"/>
          <w:sz w:val="24"/>
        </w:rPr>
        <w:t>其它落实政府采购政策的资格要求</w:t>
      </w:r>
      <w:r>
        <w:rPr>
          <w:color w:val="auto"/>
          <w:sz w:val="24"/>
          <w:szCs w:val="20"/>
        </w:rPr>
        <w:t>（如有）</w:t>
      </w:r>
    </w:p>
    <w:p>
      <w:pPr>
        <w:widowControl/>
        <w:jc w:val="left"/>
        <w:rPr>
          <w:color w:val="auto"/>
          <w:sz w:val="24"/>
        </w:rPr>
      </w:pPr>
    </w:p>
    <w:p>
      <w:pPr>
        <w:widowControl/>
        <w:jc w:val="left"/>
        <w:rPr>
          <w:color w:val="auto"/>
          <w:sz w:val="24"/>
        </w:rPr>
      </w:pPr>
      <w:r>
        <w:rPr>
          <w:color w:val="auto"/>
          <w:sz w:val="24"/>
        </w:rPr>
        <w:br w:type="page"/>
      </w:r>
    </w:p>
    <w:p>
      <w:pPr>
        <w:numPr>
          <w:ilvl w:val="0"/>
          <w:numId w:val="17"/>
        </w:numPr>
        <w:tabs>
          <w:tab w:val="left" w:pos="360"/>
        </w:tabs>
        <w:snapToGrid w:val="0"/>
        <w:spacing w:line="360" w:lineRule="auto"/>
        <w:outlineLvl w:val="1"/>
        <w:rPr>
          <w:color w:val="auto"/>
          <w:sz w:val="24"/>
        </w:rPr>
      </w:pPr>
      <w:r>
        <w:rPr>
          <w:color w:val="auto"/>
          <w:sz w:val="24"/>
        </w:rPr>
        <w:t>本项目的特定资格要求</w:t>
      </w:r>
      <w:r>
        <w:rPr>
          <w:color w:val="auto"/>
          <w:sz w:val="24"/>
          <w:szCs w:val="20"/>
        </w:rPr>
        <w:t>（如有）</w:t>
      </w:r>
    </w:p>
    <w:p>
      <w:pPr>
        <w:spacing w:line="360" w:lineRule="auto"/>
        <w:outlineLvl w:val="2"/>
        <w:rPr>
          <w:color w:val="auto"/>
          <w:sz w:val="24"/>
          <w:szCs w:val="20"/>
        </w:rPr>
      </w:pPr>
      <w:r>
        <w:rPr>
          <w:color w:val="auto"/>
          <w:sz w:val="24"/>
          <w:szCs w:val="20"/>
        </w:rPr>
        <w:t>3-1 其他特定资格要求</w:t>
      </w:r>
    </w:p>
    <w:p>
      <w:pPr>
        <w:widowControl/>
        <w:jc w:val="left"/>
        <w:rPr>
          <w:color w:val="auto"/>
          <w:sz w:val="24"/>
          <w:szCs w:val="20"/>
        </w:rPr>
      </w:pPr>
      <w:r>
        <w:rPr>
          <w:color w:val="auto"/>
          <w:sz w:val="24"/>
          <w:szCs w:val="20"/>
        </w:rPr>
        <w:br w:type="page"/>
      </w:r>
    </w:p>
    <w:p>
      <w:pPr>
        <w:numPr>
          <w:ilvl w:val="0"/>
          <w:numId w:val="17"/>
        </w:numPr>
        <w:tabs>
          <w:tab w:val="left" w:pos="360"/>
        </w:tabs>
        <w:snapToGrid w:val="0"/>
        <w:spacing w:line="360" w:lineRule="auto"/>
        <w:outlineLvl w:val="1"/>
        <w:rPr>
          <w:color w:val="auto"/>
          <w:sz w:val="24"/>
          <w:szCs w:val="20"/>
        </w:rPr>
      </w:pPr>
      <w:r>
        <w:rPr>
          <w:color w:val="auto"/>
          <w:sz w:val="24"/>
          <w:szCs w:val="20"/>
        </w:rPr>
        <w:t>投标保证金凭证/交款单据电子件</w:t>
      </w:r>
    </w:p>
    <w:p>
      <w:pPr>
        <w:spacing w:line="360" w:lineRule="auto"/>
        <w:rPr>
          <w:color w:val="auto"/>
          <w:sz w:val="24"/>
          <w:szCs w:val="20"/>
        </w:rPr>
      </w:pPr>
    </w:p>
    <w:p>
      <w:pPr>
        <w:spacing w:line="360" w:lineRule="auto"/>
        <w:rPr>
          <w:color w:val="auto"/>
          <w:sz w:val="24"/>
          <w:szCs w:val="20"/>
        </w:rPr>
      </w:pPr>
    </w:p>
    <w:p>
      <w:pPr>
        <w:widowControl/>
        <w:jc w:val="left"/>
        <w:rPr>
          <w:color w:val="auto"/>
          <w:kern w:val="0"/>
          <w:sz w:val="24"/>
          <w:szCs w:val="20"/>
        </w:rPr>
      </w:pPr>
      <w:r>
        <w:rPr>
          <w:color w:val="auto"/>
          <w:sz w:val="24"/>
          <w:szCs w:val="20"/>
        </w:rPr>
        <w:br w:type="page"/>
      </w:r>
    </w:p>
    <w:p>
      <w:pPr>
        <w:keepNext/>
        <w:keepLines/>
        <w:autoSpaceDE w:val="0"/>
        <w:autoSpaceDN w:val="0"/>
        <w:adjustRightInd w:val="0"/>
        <w:spacing w:before="120" w:line="300" w:lineRule="auto"/>
        <w:jc w:val="left"/>
        <w:outlineLvl w:val="1"/>
        <w:rPr>
          <w:b/>
          <w:color w:val="auto"/>
          <w:spacing w:val="20"/>
          <w:sz w:val="24"/>
        </w:rPr>
      </w:pPr>
      <w:r>
        <w:rPr>
          <w:b/>
          <w:color w:val="auto"/>
          <w:spacing w:val="20"/>
          <w:sz w:val="24"/>
        </w:rPr>
        <w:t>二、商务技术文件格式</w:t>
      </w:r>
    </w:p>
    <w:p>
      <w:pPr>
        <w:rPr>
          <w:b/>
          <w:color w:val="auto"/>
          <w:spacing w:val="20"/>
          <w:szCs w:val="21"/>
        </w:rPr>
      </w:pPr>
    </w:p>
    <w:p>
      <w:pPr>
        <w:rPr>
          <w:b/>
          <w:color w:val="auto"/>
          <w:sz w:val="24"/>
        </w:rPr>
      </w:pPr>
      <w:r>
        <w:rPr>
          <w:b/>
          <w:color w:val="auto"/>
          <w:spacing w:val="20"/>
          <w:sz w:val="24"/>
        </w:rPr>
        <w:t>投标文件（商务技术文件）</w:t>
      </w:r>
      <w:r>
        <w:rPr>
          <w:b/>
          <w:color w:val="auto"/>
          <w:sz w:val="24"/>
        </w:rPr>
        <w:t>封面（非实质性格式）</w:t>
      </w:r>
    </w:p>
    <w:p>
      <w:pPr>
        <w:jc w:val="center"/>
        <w:rPr>
          <w:color w:val="auto"/>
          <w:szCs w:val="21"/>
        </w:rPr>
      </w:pPr>
    </w:p>
    <w:p>
      <w:pPr>
        <w:jc w:val="center"/>
        <w:rPr>
          <w:b/>
          <w:color w:val="auto"/>
          <w:spacing w:val="60"/>
          <w:sz w:val="84"/>
          <w:szCs w:val="84"/>
        </w:rPr>
      </w:pPr>
      <w:r>
        <w:rPr>
          <w:b/>
          <w:color w:val="auto"/>
          <w:spacing w:val="60"/>
          <w:sz w:val="84"/>
          <w:szCs w:val="84"/>
        </w:rPr>
        <w:t>投 标 文 件</w:t>
      </w:r>
    </w:p>
    <w:p>
      <w:pPr>
        <w:jc w:val="center"/>
        <w:rPr>
          <w:b/>
          <w:color w:val="auto"/>
          <w:spacing w:val="60"/>
          <w:sz w:val="52"/>
          <w:szCs w:val="52"/>
        </w:rPr>
      </w:pPr>
      <w:r>
        <w:rPr>
          <w:b/>
          <w:color w:val="auto"/>
          <w:spacing w:val="60"/>
          <w:sz w:val="52"/>
          <w:szCs w:val="52"/>
        </w:rPr>
        <w:t>（商务技术文件）</w:t>
      </w:r>
    </w:p>
    <w:p>
      <w:pPr>
        <w:ind w:firstLine="542" w:firstLineChars="150"/>
        <w:rPr>
          <w:b/>
          <w:color w:val="auto"/>
          <w:spacing w:val="20"/>
          <w:sz w:val="32"/>
          <w:szCs w:val="32"/>
        </w:rPr>
      </w:pPr>
    </w:p>
    <w:p>
      <w:pPr>
        <w:ind w:firstLine="542" w:firstLineChars="150"/>
        <w:rPr>
          <w:b/>
          <w:color w:val="auto"/>
          <w:spacing w:val="20"/>
          <w:sz w:val="32"/>
          <w:szCs w:val="32"/>
        </w:rPr>
      </w:pPr>
    </w:p>
    <w:p>
      <w:pPr>
        <w:ind w:firstLine="542" w:firstLineChars="150"/>
        <w:rPr>
          <w:b/>
          <w:color w:val="auto"/>
          <w:spacing w:val="20"/>
          <w:sz w:val="32"/>
          <w:szCs w:val="32"/>
        </w:rPr>
      </w:pPr>
      <w:r>
        <w:rPr>
          <w:b/>
          <w:color w:val="auto"/>
          <w:spacing w:val="20"/>
          <w:sz w:val="32"/>
          <w:szCs w:val="32"/>
        </w:rPr>
        <w:t>项目名称:</w:t>
      </w:r>
    </w:p>
    <w:p>
      <w:pPr>
        <w:ind w:firstLine="542" w:firstLineChars="150"/>
        <w:rPr>
          <w:b/>
          <w:color w:val="auto"/>
          <w:spacing w:val="20"/>
          <w:sz w:val="32"/>
          <w:szCs w:val="32"/>
        </w:rPr>
      </w:pPr>
      <w:r>
        <w:rPr>
          <w:b/>
          <w:color w:val="auto"/>
          <w:spacing w:val="20"/>
          <w:sz w:val="32"/>
          <w:szCs w:val="32"/>
        </w:rPr>
        <w:t>项目编号：</w:t>
      </w:r>
    </w:p>
    <w:p>
      <w:pPr>
        <w:ind w:firstLine="542" w:firstLineChars="150"/>
        <w:rPr>
          <w:b/>
          <w:color w:val="auto"/>
          <w:spacing w:val="20"/>
          <w:sz w:val="32"/>
          <w:szCs w:val="32"/>
        </w:rPr>
      </w:pPr>
    </w:p>
    <w:p>
      <w:pPr>
        <w:ind w:firstLine="542" w:firstLineChars="150"/>
        <w:rPr>
          <w:b/>
          <w:color w:val="auto"/>
          <w:spacing w:val="20"/>
          <w:sz w:val="32"/>
          <w:szCs w:val="32"/>
        </w:rPr>
      </w:pPr>
    </w:p>
    <w:p>
      <w:pPr>
        <w:jc w:val="center"/>
        <w:rPr>
          <w:b/>
          <w:color w:val="auto"/>
          <w:sz w:val="32"/>
          <w:szCs w:val="32"/>
        </w:rPr>
      </w:pPr>
    </w:p>
    <w:p>
      <w:pPr>
        <w:jc w:val="center"/>
        <w:rPr>
          <w:b/>
          <w:color w:val="auto"/>
          <w:sz w:val="32"/>
          <w:szCs w:val="32"/>
        </w:rPr>
      </w:pPr>
    </w:p>
    <w:p>
      <w:pPr>
        <w:jc w:val="center"/>
        <w:rPr>
          <w:b/>
          <w:color w:val="auto"/>
          <w:sz w:val="32"/>
          <w:szCs w:val="32"/>
        </w:rPr>
      </w:pPr>
    </w:p>
    <w:p>
      <w:pPr>
        <w:jc w:val="center"/>
        <w:rPr>
          <w:b/>
          <w:color w:val="auto"/>
          <w:spacing w:val="20"/>
          <w:sz w:val="32"/>
          <w:szCs w:val="32"/>
        </w:rPr>
      </w:pPr>
    </w:p>
    <w:p>
      <w:pPr>
        <w:jc w:val="center"/>
        <w:rPr>
          <w:b/>
          <w:color w:val="auto"/>
          <w:spacing w:val="20"/>
          <w:sz w:val="32"/>
          <w:szCs w:val="32"/>
        </w:rPr>
      </w:pPr>
    </w:p>
    <w:p>
      <w:pPr>
        <w:jc w:val="center"/>
        <w:rPr>
          <w:b/>
          <w:color w:val="auto"/>
          <w:spacing w:val="20"/>
          <w:sz w:val="32"/>
          <w:szCs w:val="32"/>
        </w:rPr>
      </w:pPr>
    </w:p>
    <w:p>
      <w:pPr>
        <w:spacing w:line="360" w:lineRule="auto"/>
        <w:ind w:firstLine="1445" w:firstLineChars="400"/>
        <w:jc w:val="left"/>
        <w:rPr>
          <w:b/>
          <w:color w:val="auto"/>
          <w:spacing w:val="20"/>
          <w:sz w:val="32"/>
          <w:szCs w:val="32"/>
        </w:rPr>
      </w:pPr>
      <w:r>
        <w:rPr>
          <w:b/>
          <w:color w:val="auto"/>
          <w:spacing w:val="20"/>
          <w:sz w:val="32"/>
          <w:szCs w:val="32"/>
        </w:rPr>
        <w:t>投标人名称：</w:t>
      </w:r>
    </w:p>
    <w:p>
      <w:pPr>
        <w:jc w:val="center"/>
        <w:rPr>
          <w:b/>
          <w:color w:val="auto"/>
          <w:sz w:val="32"/>
          <w:szCs w:val="32"/>
        </w:rPr>
      </w:pPr>
    </w:p>
    <w:p>
      <w:pPr>
        <w:widowControl/>
        <w:jc w:val="left"/>
        <w:rPr>
          <w:b/>
          <w:color w:val="auto"/>
          <w:sz w:val="24"/>
        </w:rPr>
      </w:pPr>
      <w:r>
        <w:rPr>
          <w:b/>
          <w:color w:val="auto"/>
          <w:sz w:val="24"/>
        </w:rPr>
        <w:br w:type="page"/>
      </w:r>
    </w:p>
    <w:p>
      <w:pPr>
        <w:numPr>
          <w:ilvl w:val="0"/>
          <w:numId w:val="19"/>
        </w:numPr>
        <w:tabs>
          <w:tab w:val="left" w:pos="360"/>
        </w:tabs>
        <w:snapToGrid w:val="0"/>
        <w:spacing w:line="360" w:lineRule="auto"/>
        <w:outlineLvl w:val="1"/>
        <w:rPr>
          <w:color w:val="auto"/>
          <w:sz w:val="24"/>
          <w:szCs w:val="20"/>
        </w:rPr>
      </w:pPr>
      <w:bookmarkStart w:id="822" w:name="_Hlt520273711"/>
      <w:bookmarkEnd w:id="822"/>
      <w:bookmarkStart w:id="823" w:name="_Hlt520271212"/>
      <w:bookmarkEnd w:id="823"/>
      <w:bookmarkStart w:id="824" w:name="_Hlt520343392"/>
      <w:bookmarkEnd w:id="824"/>
      <w:bookmarkStart w:id="825" w:name="_Hlt520274407"/>
      <w:bookmarkEnd w:id="825"/>
      <w:bookmarkStart w:id="826" w:name="_Hlt520274121"/>
      <w:bookmarkEnd w:id="826"/>
      <w:bookmarkStart w:id="827" w:name="_Hlt520350918"/>
      <w:bookmarkEnd w:id="827"/>
      <w:bookmarkStart w:id="828" w:name="_Hlt520355504"/>
      <w:bookmarkEnd w:id="828"/>
      <w:bookmarkStart w:id="829" w:name="_Hlt520343000"/>
      <w:bookmarkEnd w:id="829"/>
      <w:bookmarkStart w:id="830" w:name="_Hlt520274393"/>
      <w:bookmarkEnd w:id="830"/>
      <w:bookmarkStart w:id="831" w:name="_Hlt520274065"/>
      <w:bookmarkEnd w:id="831"/>
      <w:bookmarkStart w:id="832" w:name="_Ref467988698"/>
      <w:bookmarkStart w:id="833" w:name="_Toc480942349"/>
      <w:bookmarkStart w:id="834" w:name="_Toc520356217"/>
      <w:bookmarkStart w:id="835" w:name="_Toc226965746"/>
      <w:bookmarkStart w:id="836" w:name="_Toc226337252"/>
      <w:bookmarkStart w:id="837" w:name="_Toc150774761"/>
      <w:bookmarkStart w:id="838" w:name="_Toc226965829"/>
      <w:bookmarkStart w:id="839" w:name="_Toc150480794"/>
      <w:bookmarkStart w:id="840" w:name="_Toc142311058"/>
      <w:bookmarkStart w:id="841" w:name="_Toc226309800"/>
      <w:bookmarkStart w:id="842" w:name="_Toc127151556"/>
      <w:bookmarkStart w:id="843" w:name="_Toc195842921"/>
      <w:r>
        <w:rPr>
          <w:color w:val="auto"/>
          <w:sz w:val="24"/>
        </w:rPr>
        <w:t>投标</w:t>
      </w:r>
      <w:bookmarkEnd w:id="832"/>
      <w:bookmarkEnd w:id="833"/>
      <w:r>
        <w:rPr>
          <w:color w:val="auto"/>
          <w:sz w:val="24"/>
        </w:rPr>
        <w:t>书</w:t>
      </w:r>
      <w:bookmarkEnd w:id="834"/>
      <w:bookmarkEnd w:id="835"/>
      <w:bookmarkEnd w:id="836"/>
      <w:bookmarkEnd w:id="837"/>
      <w:bookmarkEnd w:id="838"/>
      <w:bookmarkEnd w:id="839"/>
      <w:bookmarkEnd w:id="840"/>
      <w:bookmarkEnd w:id="841"/>
      <w:bookmarkEnd w:id="842"/>
      <w:bookmarkEnd w:id="843"/>
      <w:r>
        <w:rPr>
          <w:color w:val="auto"/>
          <w:sz w:val="24"/>
          <w:szCs w:val="20"/>
        </w:rPr>
        <w:t>（实质性格式）</w:t>
      </w:r>
    </w:p>
    <w:p>
      <w:pPr>
        <w:tabs>
          <w:tab w:val="left" w:pos="5580"/>
        </w:tabs>
        <w:spacing w:line="360" w:lineRule="auto"/>
        <w:rPr>
          <w:color w:val="auto"/>
          <w:sz w:val="24"/>
        </w:rPr>
      </w:pPr>
    </w:p>
    <w:p>
      <w:pPr>
        <w:spacing w:line="360" w:lineRule="auto"/>
        <w:jc w:val="center"/>
        <w:rPr>
          <w:b/>
          <w:color w:val="auto"/>
          <w:sz w:val="36"/>
          <w:szCs w:val="36"/>
        </w:rPr>
      </w:pPr>
      <w:r>
        <w:rPr>
          <w:b/>
          <w:color w:val="auto"/>
          <w:sz w:val="36"/>
          <w:szCs w:val="36"/>
        </w:rPr>
        <w:t>投标书</w:t>
      </w:r>
    </w:p>
    <w:p>
      <w:pPr>
        <w:tabs>
          <w:tab w:val="left" w:pos="5580"/>
        </w:tabs>
        <w:spacing w:line="360" w:lineRule="auto"/>
        <w:rPr>
          <w:color w:val="auto"/>
          <w:sz w:val="24"/>
        </w:rPr>
      </w:pPr>
      <w:r>
        <w:rPr>
          <w:color w:val="auto"/>
          <w:sz w:val="24"/>
        </w:rPr>
        <w:t>致：</w:t>
      </w:r>
      <w:r>
        <w:rPr>
          <w:color w:val="auto"/>
          <w:sz w:val="24"/>
          <w:u w:val="single"/>
        </w:rPr>
        <w:t>（采购人或采购代理机构）</w:t>
      </w:r>
    </w:p>
    <w:p>
      <w:pPr>
        <w:tabs>
          <w:tab w:val="left" w:pos="5580"/>
        </w:tabs>
        <w:spacing w:line="360" w:lineRule="auto"/>
        <w:rPr>
          <w:color w:val="auto"/>
          <w:sz w:val="24"/>
          <w:szCs w:val="20"/>
        </w:rPr>
      </w:pPr>
    </w:p>
    <w:p>
      <w:pPr>
        <w:tabs>
          <w:tab w:val="left" w:pos="5580"/>
        </w:tabs>
        <w:spacing w:line="360" w:lineRule="auto"/>
        <w:ind w:firstLine="408"/>
        <w:rPr>
          <w:color w:val="auto"/>
          <w:sz w:val="24"/>
          <w:szCs w:val="20"/>
        </w:rPr>
      </w:pPr>
      <w:r>
        <w:rPr>
          <w:color w:val="auto"/>
          <w:sz w:val="24"/>
          <w:szCs w:val="20"/>
        </w:rPr>
        <w:t>我方参加你方就___________（项目名称，</w:t>
      </w:r>
      <w:r>
        <w:rPr>
          <w:rFonts w:hint="eastAsia"/>
          <w:color w:val="auto"/>
          <w:sz w:val="24"/>
          <w:szCs w:val="20"/>
        </w:rPr>
        <w:t>项目编号</w:t>
      </w:r>
      <w:r>
        <w:rPr>
          <w:color w:val="auto"/>
          <w:sz w:val="24"/>
          <w:szCs w:val="20"/>
        </w:rPr>
        <w:t>）组织的招标活动，并对此项目进行投标。</w:t>
      </w:r>
    </w:p>
    <w:p>
      <w:pPr>
        <w:tabs>
          <w:tab w:val="left" w:pos="5580"/>
        </w:tabs>
        <w:spacing w:line="360" w:lineRule="auto"/>
        <w:ind w:firstLine="408"/>
        <w:rPr>
          <w:color w:val="auto"/>
          <w:sz w:val="24"/>
          <w:szCs w:val="20"/>
        </w:rPr>
      </w:pPr>
      <w:r>
        <w:rPr>
          <w:color w:val="auto"/>
          <w:sz w:val="24"/>
          <w:szCs w:val="20"/>
        </w:rPr>
        <w:t>1. 我方</w:t>
      </w:r>
      <w:r>
        <w:rPr>
          <w:color w:val="auto"/>
          <w:sz w:val="24"/>
        </w:rPr>
        <w:t>已详细审查全部招标文件</w:t>
      </w:r>
      <w:r>
        <w:rPr>
          <w:color w:val="auto"/>
          <w:sz w:val="24"/>
          <w:szCs w:val="20"/>
        </w:rPr>
        <w:t>，自愿参与投标并承诺如下：</w:t>
      </w:r>
    </w:p>
    <w:p>
      <w:pPr>
        <w:tabs>
          <w:tab w:val="left" w:pos="720"/>
          <w:tab w:val="left" w:pos="900"/>
        </w:tabs>
        <w:spacing w:line="360" w:lineRule="auto"/>
        <w:ind w:left="360" w:firstLine="72" w:firstLineChars="30"/>
        <w:rPr>
          <w:color w:val="auto"/>
          <w:sz w:val="24"/>
          <w:szCs w:val="20"/>
        </w:rPr>
      </w:pPr>
      <w:r>
        <w:rPr>
          <w:color w:val="auto"/>
          <w:sz w:val="24"/>
          <w:szCs w:val="20"/>
        </w:rPr>
        <w:t>（1）本投标有效期为自提交投标文件的截止之日起</w:t>
      </w:r>
      <w:r>
        <w:rPr>
          <w:color w:val="auto"/>
          <w:sz w:val="24"/>
        </w:rPr>
        <w:t>_____</w:t>
      </w:r>
      <w:r>
        <w:rPr>
          <w:color w:val="auto"/>
          <w:sz w:val="24"/>
          <w:szCs w:val="20"/>
        </w:rPr>
        <w:t>个日历日。</w:t>
      </w:r>
    </w:p>
    <w:p>
      <w:pPr>
        <w:tabs>
          <w:tab w:val="left" w:pos="720"/>
          <w:tab w:val="left" w:pos="900"/>
        </w:tabs>
        <w:spacing w:line="360" w:lineRule="auto"/>
        <w:ind w:left="360" w:firstLine="72" w:firstLineChars="30"/>
        <w:rPr>
          <w:color w:val="auto"/>
          <w:sz w:val="24"/>
          <w:szCs w:val="20"/>
        </w:rPr>
      </w:pPr>
      <w:r>
        <w:rPr>
          <w:color w:val="auto"/>
          <w:sz w:val="24"/>
          <w:szCs w:val="20"/>
        </w:rPr>
        <w:t>（2）除合同条款及采购需求偏离表列出的偏离外，我方响应招标文件的全部要求。</w:t>
      </w:r>
    </w:p>
    <w:p>
      <w:pPr>
        <w:tabs>
          <w:tab w:val="left" w:pos="5580"/>
        </w:tabs>
        <w:spacing w:line="360" w:lineRule="auto"/>
        <w:ind w:firstLine="420" w:firstLineChars="175"/>
        <w:rPr>
          <w:color w:val="auto"/>
          <w:sz w:val="24"/>
          <w:szCs w:val="20"/>
        </w:rPr>
      </w:pPr>
      <w:r>
        <w:rPr>
          <w:color w:val="auto"/>
          <w:sz w:val="24"/>
          <w:szCs w:val="20"/>
        </w:rPr>
        <w:t>（3）我方已提供的全部文件资料是真实、准确的，并对此承担一切法律后果。</w:t>
      </w:r>
    </w:p>
    <w:p>
      <w:pPr>
        <w:tabs>
          <w:tab w:val="left" w:pos="5580"/>
        </w:tabs>
        <w:spacing w:line="360" w:lineRule="auto"/>
        <w:ind w:firstLine="420" w:firstLineChars="175"/>
        <w:rPr>
          <w:color w:val="auto"/>
          <w:sz w:val="24"/>
        </w:rPr>
      </w:pPr>
      <w:r>
        <w:rPr>
          <w:color w:val="auto"/>
          <w:sz w:val="24"/>
          <w:szCs w:val="20"/>
        </w:rPr>
        <w:t>（4）如我方中标，我方将在法律规定的期限内与你方签订合同，按照招标文件要求提交履约保证金，并在合同约定的期限内完成合同规定的全部义务。</w:t>
      </w:r>
    </w:p>
    <w:p>
      <w:pPr>
        <w:spacing w:line="360" w:lineRule="auto"/>
        <w:ind w:left="420"/>
        <w:rPr>
          <w:color w:val="auto"/>
          <w:sz w:val="24"/>
        </w:rPr>
      </w:pPr>
      <w:r>
        <w:rPr>
          <w:color w:val="auto"/>
          <w:sz w:val="24"/>
        </w:rPr>
        <w:t>2. 其他补充条款（如有）：</w:t>
      </w:r>
      <w:r>
        <w:rPr>
          <w:color w:val="auto"/>
          <w:sz w:val="24"/>
          <w:szCs w:val="20"/>
        </w:rPr>
        <w:t>___________</w:t>
      </w:r>
      <w:r>
        <w:rPr>
          <w:color w:val="auto"/>
          <w:sz w:val="24"/>
        </w:rPr>
        <w:t>。</w:t>
      </w:r>
    </w:p>
    <w:p>
      <w:pPr>
        <w:spacing w:line="360" w:lineRule="auto"/>
        <w:ind w:firstLine="480" w:firstLineChars="200"/>
        <w:rPr>
          <w:color w:val="auto"/>
          <w:sz w:val="24"/>
        </w:rPr>
      </w:pPr>
      <w:r>
        <w:rPr>
          <w:color w:val="auto"/>
          <w:sz w:val="24"/>
        </w:rPr>
        <w:t>与本投标有关的一切正式往来信函请寄：</w:t>
      </w:r>
    </w:p>
    <w:p>
      <w:pPr>
        <w:tabs>
          <w:tab w:val="left" w:pos="5580"/>
        </w:tabs>
        <w:spacing w:line="360" w:lineRule="auto"/>
        <w:ind w:left="420"/>
        <w:rPr>
          <w:color w:val="auto"/>
          <w:sz w:val="24"/>
          <w:szCs w:val="20"/>
        </w:rPr>
      </w:pPr>
    </w:p>
    <w:p>
      <w:pPr>
        <w:tabs>
          <w:tab w:val="left" w:pos="5580"/>
        </w:tabs>
        <w:spacing w:line="360" w:lineRule="auto"/>
        <w:ind w:left="420"/>
        <w:rPr>
          <w:color w:val="auto"/>
          <w:sz w:val="24"/>
          <w:szCs w:val="20"/>
        </w:rPr>
      </w:pPr>
      <w:r>
        <w:rPr>
          <w:color w:val="auto"/>
          <w:sz w:val="24"/>
          <w:szCs w:val="20"/>
        </w:rPr>
        <w:t>地址_________________________     传真____________________________</w:t>
      </w:r>
    </w:p>
    <w:p>
      <w:pPr>
        <w:tabs>
          <w:tab w:val="left" w:pos="5580"/>
        </w:tabs>
        <w:spacing w:line="360" w:lineRule="auto"/>
        <w:ind w:left="420"/>
        <w:rPr>
          <w:color w:val="auto"/>
          <w:sz w:val="24"/>
          <w:szCs w:val="20"/>
        </w:rPr>
      </w:pPr>
      <w:r>
        <w:rPr>
          <w:color w:val="auto"/>
          <w:sz w:val="24"/>
          <w:szCs w:val="20"/>
        </w:rPr>
        <w:t>电话_________________________     电子函件________________________</w:t>
      </w:r>
    </w:p>
    <w:p>
      <w:pPr>
        <w:tabs>
          <w:tab w:val="left" w:pos="5580"/>
        </w:tabs>
        <w:spacing w:line="360" w:lineRule="auto"/>
        <w:ind w:left="420"/>
        <w:rPr>
          <w:color w:val="auto"/>
          <w:sz w:val="24"/>
          <w:szCs w:val="20"/>
        </w:rPr>
      </w:pPr>
    </w:p>
    <w:p>
      <w:pPr>
        <w:tabs>
          <w:tab w:val="left" w:pos="5580"/>
        </w:tabs>
        <w:spacing w:line="360" w:lineRule="auto"/>
        <w:ind w:left="420"/>
        <w:rPr>
          <w:color w:val="auto"/>
          <w:sz w:val="24"/>
          <w:szCs w:val="20"/>
        </w:rPr>
      </w:pPr>
      <w:r>
        <w:rPr>
          <w:color w:val="auto"/>
          <w:sz w:val="24"/>
          <w:szCs w:val="20"/>
        </w:rPr>
        <w:t>投标人名称（加盖公章） ___________</w:t>
      </w:r>
    </w:p>
    <w:p>
      <w:pPr>
        <w:tabs>
          <w:tab w:val="left" w:pos="5580"/>
        </w:tabs>
        <w:spacing w:line="360" w:lineRule="auto"/>
        <w:ind w:left="420"/>
        <w:rPr>
          <w:color w:val="auto"/>
          <w:sz w:val="24"/>
          <w:szCs w:val="20"/>
        </w:rPr>
      </w:pPr>
      <w:r>
        <w:rPr>
          <w:color w:val="auto"/>
          <w:sz w:val="24"/>
          <w:szCs w:val="20"/>
        </w:rPr>
        <w:t xml:space="preserve">日期：_____年______月______日    </w:t>
      </w:r>
    </w:p>
    <w:p>
      <w:pPr>
        <w:tabs>
          <w:tab w:val="left" w:pos="5580"/>
        </w:tabs>
        <w:spacing w:line="360" w:lineRule="auto"/>
        <w:ind w:left="420"/>
        <w:rPr>
          <w:color w:val="auto"/>
          <w:sz w:val="24"/>
          <w:szCs w:val="20"/>
          <w:u w:val="single"/>
        </w:rPr>
      </w:pPr>
    </w:p>
    <w:p>
      <w:pPr>
        <w:widowControl/>
        <w:jc w:val="left"/>
        <w:rPr>
          <w:color w:val="auto"/>
          <w:sz w:val="24"/>
        </w:rPr>
      </w:pPr>
      <w:bookmarkStart w:id="844" w:name="_Hlt520356243"/>
      <w:bookmarkEnd w:id="844"/>
      <w:bookmarkStart w:id="845" w:name="_Hlt520355938"/>
      <w:bookmarkEnd w:id="845"/>
      <w:bookmarkStart w:id="846" w:name="_Toc226965747"/>
      <w:bookmarkStart w:id="847" w:name="_Toc142311059"/>
      <w:bookmarkStart w:id="848" w:name="_Toc150480795"/>
      <w:bookmarkStart w:id="849" w:name="_Toc226965830"/>
      <w:bookmarkStart w:id="850" w:name="_Toc264969247"/>
      <w:bookmarkStart w:id="851" w:name="_Toc480942350"/>
      <w:bookmarkStart w:id="852" w:name="_Toc127151557"/>
      <w:bookmarkStart w:id="853" w:name="_Toc305158899"/>
      <w:bookmarkStart w:id="854" w:name="_Toc226337253"/>
      <w:bookmarkStart w:id="855" w:name="_Toc195842922"/>
      <w:bookmarkStart w:id="856" w:name="_Ref467988705"/>
      <w:bookmarkStart w:id="857" w:name="_Toc520356218"/>
      <w:bookmarkStart w:id="858" w:name="_Toc150774762"/>
      <w:bookmarkStart w:id="859" w:name="_Toc226309801"/>
      <w:bookmarkStart w:id="860" w:name="_Toc265228395"/>
      <w:bookmarkStart w:id="861" w:name="_Toc305158825"/>
      <w:r>
        <w:rPr>
          <w:color w:val="auto"/>
          <w:sz w:val="24"/>
        </w:rPr>
        <w:br w:type="page"/>
      </w:r>
    </w:p>
    <w:p>
      <w:pPr>
        <w:numPr>
          <w:ilvl w:val="0"/>
          <w:numId w:val="19"/>
        </w:numPr>
        <w:tabs>
          <w:tab w:val="left" w:pos="360"/>
        </w:tabs>
        <w:snapToGrid w:val="0"/>
        <w:spacing w:line="360" w:lineRule="auto"/>
        <w:outlineLvl w:val="1"/>
        <w:rPr>
          <w:color w:val="auto"/>
          <w:sz w:val="24"/>
        </w:rPr>
      </w:pPr>
      <w:r>
        <w:rPr>
          <w:color w:val="auto"/>
          <w:sz w:val="24"/>
        </w:rPr>
        <w:t>授权委托书（实质性格式）</w:t>
      </w:r>
    </w:p>
    <w:p>
      <w:pPr>
        <w:spacing w:line="360" w:lineRule="exact"/>
        <w:jc w:val="center"/>
        <w:rPr>
          <w:b/>
          <w:color w:val="auto"/>
          <w:sz w:val="36"/>
          <w:szCs w:val="36"/>
        </w:rPr>
      </w:pPr>
      <w:r>
        <w:rPr>
          <w:b/>
          <w:color w:val="auto"/>
          <w:sz w:val="36"/>
          <w:szCs w:val="36"/>
        </w:rPr>
        <w:t>授权委托书</w:t>
      </w:r>
    </w:p>
    <w:p>
      <w:pPr>
        <w:spacing w:line="360" w:lineRule="auto"/>
        <w:ind w:firstLine="420"/>
        <w:rPr>
          <w:color w:val="auto"/>
          <w:sz w:val="24"/>
          <w:szCs w:val="20"/>
        </w:rPr>
      </w:pPr>
    </w:p>
    <w:p>
      <w:pPr>
        <w:spacing w:line="360" w:lineRule="auto"/>
        <w:ind w:firstLine="420"/>
        <w:rPr>
          <w:color w:val="auto"/>
          <w:sz w:val="24"/>
          <w:szCs w:val="20"/>
        </w:rPr>
      </w:pPr>
      <w:r>
        <w:rPr>
          <w:color w:val="auto"/>
          <w:sz w:val="24"/>
          <w:szCs w:val="20"/>
        </w:rPr>
        <w:t>本人</w:t>
      </w:r>
      <w:r>
        <w:rPr>
          <w:color w:val="auto"/>
          <w:sz w:val="24"/>
          <w:lang w:val="zh-CN"/>
        </w:rPr>
        <w:t>_______</w:t>
      </w:r>
      <w:r>
        <w:rPr>
          <w:color w:val="auto"/>
          <w:sz w:val="24"/>
          <w:szCs w:val="20"/>
        </w:rPr>
        <w:t>（姓名）系</w:t>
      </w:r>
      <w:r>
        <w:rPr>
          <w:color w:val="auto"/>
          <w:sz w:val="24"/>
          <w:lang w:val="zh-CN"/>
        </w:rPr>
        <w:t>________________</w:t>
      </w:r>
      <w:r>
        <w:rPr>
          <w:color w:val="auto"/>
          <w:sz w:val="24"/>
          <w:szCs w:val="20"/>
        </w:rPr>
        <w:t>（投标人名称）的法定代表人（单位负责人），现委托</w:t>
      </w:r>
      <w:r>
        <w:rPr>
          <w:color w:val="auto"/>
          <w:sz w:val="24"/>
          <w:lang w:val="zh-CN"/>
        </w:rPr>
        <w:t>_______</w:t>
      </w:r>
      <w:r>
        <w:rPr>
          <w:color w:val="auto"/>
          <w:sz w:val="24"/>
          <w:szCs w:val="20"/>
        </w:rPr>
        <w:t>（姓名）为我方代理人。代理人根据授权，以我方名义签署、澄清确认、提交、撤回、修改</w:t>
      </w:r>
      <w:r>
        <w:rPr>
          <w:color w:val="auto"/>
          <w:sz w:val="24"/>
          <w:lang w:val="zh-CN"/>
        </w:rPr>
        <w:t>________________</w:t>
      </w:r>
      <w:r>
        <w:rPr>
          <w:color w:val="auto"/>
          <w:sz w:val="24"/>
          <w:szCs w:val="20"/>
        </w:rPr>
        <w:t>（项目名称）投标文件和处理有关事宜，其法律后果由我方承担。</w:t>
      </w:r>
    </w:p>
    <w:p>
      <w:pPr>
        <w:spacing w:line="360" w:lineRule="auto"/>
        <w:ind w:firstLine="420"/>
        <w:rPr>
          <w:color w:val="auto"/>
          <w:sz w:val="24"/>
          <w:szCs w:val="20"/>
        </w:rPr>
      </w:pPr>
      <w:r>
        <w:rPr>
          <w:color w:val="auto"/>
          <w:sz w:val="24"/>
          <w:szCs w:val="20"/>
        </w:rPr>
        <w:t>委托期限：自本授权委托书签署之日起至投标有效期届满之日止。</w:t>
      </w:r>
    </w:p>
    <w:p>
      <w:pPr>
        <w:spacing w:line="360" w:lineRule="auto"/>
        <w:ind w:firstLine="420"/>
        <w:rPr>
          <w:color w:val="auto"/>
          <w:sz w:val="24"/>
          <w:szCs w:val="20"/>
        </w:rPr>
      </w:pPr>
      <w:r>
        <w:rPr>
          <w:color w:val="auto"/>
          <w:sz w:val="24"/>
          <w:szCs w:val="20"/>
        </w:rPr>
        <w:t>代理人无转委托权。</w:t>
      </w:r>
      <w:r>
        <w:rPr>
          <w:color w:val="auto"/>
          <w:sz w:val="24"/>
          <w:szCs w:val="20"/>
        </w:rPr>
        <w:cr/>
      </w:r>
    </w:p>
    <w:p>
      <w:pPr>
        <w:spacing w:line="360" w:lineRule="auto"/>
        <w:rPr>
          <w:color w:val="auto"/>
          <w:sz w:val="24"/>
          <w:lang w:val="zh-CN"/>
        </w:rPr>
      </w:pPr>
      <w:r>
        <w:rPr>
          <w:color w:val="auto"/>
          <w:sz w:val="24"/>
        </w:rPr>
        <w:t>投标人名称（加盖公章）</w:t>
      </w:r>
      <w:r>
        <w:rPr>
          <w:color w:val="auto"/>
          <w:sz w:val="24"/>
          <w:lang w:val="zh-CN"/>
        </w:rPr>
        <w:t>：________________</w:t>
      </w:r>
    </w:p>
    <w:p>
      <w:pPr>
        <w:spacing w:line="360" w:lineRule="auto"/>
        <w:rPr>
          <w:color w:val="auto"/>
          <w:sz w:val="24"/>
          <w:szCs w:val="20"/>
        </w:rPr>
      </w:pPr>
      <w:r>
        <w:rPr>
          <w:color w:val="auto"/>
          <w:sz w:val="24"/>
          <w:szCs w:val="20"/>
        </w:rPr>
        <w:t>法定代表人（单位负责人）（签字或签章）：</w:t>
      </w:r>
      <w:r>
        <w:rPr>
          <w:color w:val="auto"/>
          <w:sz w:val="24"/>
          <w:lang w:val="zh-CN"/>
        </w:rPr>
        <w:t>________________</w:t>
      </w:r>
    </w:p>
    <w:p>
      <w:pPr>
        <w:autoSpaceDE w:val="0"/>
        <w:autoSpaceDN w:val="0"/>
        <w:adjustRightInd w:val="0"/>
        <w:snapToGrid w:val="0"/>
        <w:spacing w:line="360" w:lineRule="auto"/>
        <w:rPr>
          <w:color w:val="auto"/>
          <w:sz w:val="24"/>
          <w:lang w:val="zh-CN"/>
        </w:rPr>
      </w:pPr>
      <w:r>
        <w:rPr>
          <w:color w:val="auto"/>
          <w:sz w:val="24"/>
        </w:rPr>
        <w:t>委托代理人（签字或签章）：</w:t>
      </w:r>
      <w:r>
        <w:rPr>
          <w:color w:val="auto"/>
          <w:sz w:val="24"/>
          <w:lang w:val="zh-CN"/>
        </w:rPr>
        <w:t>________________</w:t>
      </w:r>
      <w:r>
        <w:rPr>
          <w:color w:val="auto"/>
          <w:sz w:val="24"/>
        </w:rPr>
        <w:t xml:space="preserve">    </w:t>
      </w:r>
      <w:r>
        <w:rPr>
          <w:color w:val="auto"/>
          <w:sz w:val="24"/>
          <w:lang w:val="zh-CN"/>
        </w:rPr>
        <w:t xml:space="preserve">                      </w:t>
      </w:r>
    </w:p>
    <w:p>
      <w:pPr>
        <w:autoSpaceDE w:val="0"/>
        <w:autoSpaceDN w:val="0"/>
        <w:adjustRightInd w:val="0"/>
        <w:snapToGrid w:val="0"/>
        <w:spacing w:line="360" w:lineRule="auto"/>
        <w:rPr>
          <w:color w:val="auto"/>
          <w:sz w:val="24"/>
          <w:lang w:val="zh-CN"/>
        </w:rPr>
      </w:pPr>
      <w:r>
        <w:rPr>
          <w:color w:val="auto"/>
          <w:sz w:val="24"/>
        </w:rPr>
        <w:t>日期：_____年______月______日</w:t>
      </w:r>
    </w:p>
    <w:p>
      <w:pPr>
        <w:tabs>
          <w:tab w:val="left" w:pos="5580"/>
        </w:tabs>
        <w:spacing w:line="360" w:lineRule="auto"/>
        <w:ind w:firstLine="480" w:firstLineChars="200"/>
        <w:rPr>
          <w:color w:val="auto"/>
          <w:sz w:val="24"/>
          <w:szCs w:val="20"/>
        </w:rPr>
      </w:pPr>
    </w:p>
    <w:p>
      <w:pPr>
        <w:tabs>
          <w:tab w:val="left" w:pos="5580"/>
        </w:tabs>
        <w:spacing w:line="360" w:lineRule="auto"/>
        <w:rPr>
          <w:color w:val="auto"/>
          <w:sz w:val="24"/>
          <w:szCs w:val="20"/>
        </w:rPr>
      </w:pPr>
      <w:r>
        <w:rPr>
          <w:rFonts w:hint="eastAsia"/>
          <w:color w:val="auto"/>
          <w:sz w:val="24"/>
          <w:szCs w:val="20"/>
        </w:rPr>
        <w:t>附：</w:t>
      </w:r>
      <w:r>
        <w:rPr>
          <w:color w:val="auto"/>
          <w:sz w:val="24"/>
          <w:szCs w:val="20"/>
        </w:rPr>
        <w:t>法定代表人及委托代理人身份证明文件电子件：</w:t>
      </w:r>
    </w:p>
    <w:tbl>
      <w:tblPr>
        <w:tblStyle w:val="45"/>
        <w:tblW w:w="829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29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142" w:hRule="atLeast"/>
        </w:trPr>
        <w:tc>
          <w:tcPr>
            <w:tcW w:w="8296" w:type="dxa"/>
          </w:tcPr>
          <w:p>
            <w:pPr>
              <w:tabs>
                <w:tab w:val="left" w:pos="5580"/>
              </w:tabs>
              <w:spacing w:line="360" w:lineRule="auto"/>
              <w:rPr>
                <w:color w:val="auto"/>
                <w:sz w:val="24"/>
                <w:szCs w:val="20"/>
              </w:rPr>
            </w:pPr>
          </w:p>
        </w:tc>
      </w:tr>
    </w:tbl>
    <w:p>
      <w:pPr>
        <w:tabs>
          <w:tab w:val="left" w:pos="5580"/>
        </w:tabs>
        <w:spacing w:line="360" w:lineRule="auto"/>
        <w:jc w:val="left"/>
        <w:rPr>
          <w:color w:val="auto"/>
          <w:sz w:val="24"/>
          <w:szCs w:val="20"/>
        </w:rPr>
      </w:pPr>
      <w:r>
        <w:rPr>
          <w:color w:val="auto"/>
          <w:sz w:val="24"/>
          <w:szCs w:val="20"/>
        </w:rPr>
        <w:t>说明：</w:t>
      </w:r>
    </w:p>
    <w:p>
      <w:pPr>
        <w:tabs>
          <w:tab w:val="left" w:pos="5580"/>
        </w:tabs>
        <w:spacing w:line="360" w:lineRule="auto"/>
        <w:jc w:val="left"/>
        <w:rPr>
          <w:color w:val="auto"/>
          <w:sz w:val="24"/>
          <w:szCs w:val="20"/>
        </w:rPr>
      </w:pPr>
      <w:r>
        <w:rPr>
          <w:color w:val="auto"/>
          <w:sz w:val="24"/>
          <w:szCs w:val="20"/>
        </w:rPr>
        <w:t>1.若供应商为事业单位或其他组织或分支机构，则法定代表人（单位负责人）处的签署人可为单位负责人。</w:t>
      </w:r>
    </w:p>
    <w:p>
      <w:pPr>
        <w:tabs>
          <w:tab w:val="left" w:pos="5580"/>
        </w:tabs>
        <w:spacing w:line="360" w:lineRule="auto"/>
        <w:jc w:val="left"/>
        <w:rPr>
          <w:color w:val="auto"/>
          <w:sz w:val="24"/>
          <w:szCs w:val="20"/>
        </w:rPr>
      </w:pPr>
      <w:r>
        <w:rPr>
          <w:color w:val="auto"/>
          <w:sz w:val="24"/>
          <w:szCs w:val="20"/>
        </w:rPr>
        <w:t>2.若投标文件中签字之处均为法定代表人（单位负责人）本人签署，则可不提供本《授权委托书》，但须提供《法定代表人（单位负责人）身份证明》；否则，不需要提供《法定代表人（单位负责人）身份证明》。</w:t>
      </w:r>
    </w:p>
    <w:p>
      <w:pPr>
        <w:tabs>
          <w:tab w:val="left" w:pos="5580"/>
        </w:tabs>
        <w:spacing w:line="360" w:lineRule="auto"/>
        <w:jc w:val="left"/>
        <w:rPr>
          <w:color w:val="auto"/>
          <w:sz w:val="24"/>
          <w:szCs w:val="20"/>
        </w:rPr>
      </w:pPr>
      <w:r>
        <w:rPr>
          <w:color w:val="auto"/>
          <w:sz w:val="24"/>
          <w:szCs w:val="20"/>
        </w:rPr>
        <w:t>3.供应商为自然人的情形，可不提供本《授权委托书》。</w:t>
      </w:r>
    </w:p>
    <w:p>
      <w:pPr>
        <w:tabs>
          <w:tab w:val="left" w:pos="5580"/>
        </w:tabs>
        <w:spacing w:line="360" w:lineRule="auto"/>
        <w:jc w:val="left"/>
        <w:rPr>
          <w:color w:val="auto"/>
          <w:sz w:val="30"/>
          <w:szCs w:val="30"/>
        </w:rPr>
      </w:pPr>
      <w:r>
        <w:rPr>
          <w:color w:val="auto"/>
          <w:sz w:val="24"/>
          <w:szCs w:val="20"/>
        </w:rPr>
        <w:t>4.供应商应随本《授权委托书》同时提供法定代表人（单位负责人）及委托代理人的有效的身份证、护照等身份证明文件电子件。提供身份证的，应同时提供身份证</w:t>
      </w:r>
      <w:r>
        <w:rPr>
          <w:b/>
          <w:color w:val="auto"/>
          <w:sz w:val="24"/>
          <w:szCs w:val="20"/>
        </w:rPr>
        <w:t>双面</w:t>
      </w:r>
      <w:r>
        <w:rPr>
          <w:color w:val="auto"/>
          <w:sz w:val="24"/>
          <w:szCs w:val="20"/>
        </w:rPr>
        <w:t>电子件。</w:t>
      </w:r>
      <w:r>
        <w:rPr>
          <w:color w:val="auto"/>
          <w:sz w:val="30"/>
          <w:szCs w:val="30"/>
        </w:rPr>
        <w:br w:type="page"/>
      </w:r>
    </w:p>
    <w:p>
      <w:pPr>
        <w:spacing w:line="360" w:lineRule="exact"/>
        <w:jc w:val="center"/>
        <w:rPr>
          <w:b/>
          <w:color w:val="auto"/>
          <w:sz w:val="36"/>
          <w:szCs w:val="36"/>
        </w:rPr>
      </w:pPr>
      <w:r>
        <w:rPr>
          <w:b/>
          <w:color w:val="auto"/>
          <w:sz w:val="36"/>
          <w:szCs w:val="36"/>
        </w:rPr>
        <w:t>法定代表人（单位负责人）身份证明</w:t>
      </w:r>
    </w:p>
    <w:p>
      <w:pPr>
        <w:kinsoku w:val="0"/>
        <w:overflowPunct w:val="0"/>
        <w:spacing w:line="200" w:lineRule="exact"/>
        <w:rPr>
          <w:color w:val="auto"/>
          <w:sz w:val="20"/>
          <w:szCs w:val="20"/>
        </w:rPr>
      </w:pPr>
    </w:p>
    <w:p>
      <w:pPr>
        <w:tabs>
          <w:tab w:val="left" w:pos="5580"/>
        </w:tabs>
        <w:spacing w:line="360" w:lineRule="auto"/>
        <w:rPr>
          <w:color w:val="auto"/>
          <w:sz w:val="24"/>
        </w:rPr>
      </w:pPr>
      <w:r>
        <w:rPr>
          <w:color w:val="auto"/>
          <w:sz w:val="24"/>
        </w:rPr>
        <w:t>致：</w:t>
      </w:r>
      <w:r>
        <w:rPr>
          <w:color w:val="auto"/>
          <w:sz w:val="24"/>
          <w:u w:val="single"/>
        </w:rPr>
        <w:t>（采购人或采购代理机构）</w:t>
      </w:r>
    </w:p>
    <w:p>
      <w:pPr>
        <w:pStyle w:val="17"/>
        <w:tabs>
          <w:tab w:val="left" w:pos="2412"/>
          <w:tab w:val="left" w:pos="3883"/>
          <w:tab w:val="left" w:pos="5352"/>
          <w:tab w:val="left" w:pos="6821"/>
        </w:tabs>
        <w:kinsoku w:val="0"/>
        <w:overflowPunct w:val="0"/>
        <w:spacing w:line="335" w:lineRule="exact"/>
        <w:ind w:firstLine="480" w:firstLineChars="200"/>
        <w:rPr>
          <w:rFonts w:ascii="Times New Roman" w:hAnsi="Times New Roman"/>
          <w:color w:val="auto"/>
        </w:rPr>
      </w:pPr>
      <w:r>
        <w:rPr>
          <w:rFonts w:ascii="Times New Roman" w:hAnsi="Times New Roman"/>
          <w:color w:val="auto"/>
        </w:rPr>
        <w:t>兹证明，</w:t>
      </w:r>
    </w:p>
    <w:p>
      <w:pPr>
        <w:pStyle w:val="17"/>
        <w:tabs>
          <w:tab w:val="left" w:pos="1690"/>
          <w:tab w:val="left" w:pos="3400"/>
          <w:tab w:val="left" w:pos="5110"/>
          <w:tab w:val="left" w:pos="6821"/>
        </w:tabs>
        <w:kinsoku w:val="0"/>
        <w:overflowPunct w:val="0"/>
        <w:spacing w:line="335" w:lineRule="exact"/>
        <w:rPr>
          <w:rFonts w:ascii="Times New Roman" w:hAnsi="Times New Roman"/>
          <w:color w:val="auto"/>
        </w:rPr>
      </w:pPr>
      <w:r>
        <w:rPr>
          <w:rFonts w:ascii="Times New Roman" w:hAnsi="Times New Roman"/>
          <w:color w:val="auto"/>
        </w:rPr>
        <w:t>姓名：____性别：____年龄：____职务：____</w:t>
      </w:r>
    </w:p>
    <w:p>
      <w:pPr>
        <w:pStyle w:val="17"/>
        <w:tabs>
          <w:tab w:val="left" w:pos="2412"/>
          <w:tab w:val="left" w:pos="3883"/>
          <w:tab w:val="left" w:pos="5352"/>
          <w:tab w:val="left" w:pos="6821"/>
        </w:tabs>
        <w:kinsoku w:val="0"/>
        <w:overflowPunct w:val="0"/>
        <w:spacing w:line="335" w:lineRule="exact"/>
        <w:rPr>
          <w:rFonts w:ascii="Times New Roman" w:hAnsi="Times New Roman"/>
          <w:color w:val="auto"/>
        </w:rPr>
      </w:pPr>
    </w:p>
    <w:p>
      <w:pPr>
        <w:pStyle w:val="17"/>
        <w:tabs>
          <w:tab w:val="left" w:pos="2250"/>
          <w:tab w:val="left" w:pos="2412"/>
          <w:tab w:val="left" w:pos="3883"/>
          <w:tab w:val="left" w:pos="5352"/>
          <w:tab w:val="left" w:pos="6821"/>
          <w:tab w:val="clear" w:pos="567"/>
        </w:tabs>
        <w:kinsoku w:val="0"/>
        <w:overflowPunct w:val="0"/>
        <w:spacing w:line="335" w:lineRule="exact"/>
        <w:rPr>
          <w:rFonts w:ascii="Times New Roman" w:hAnsi="Times New Roman"/>
          <w:color w:val="auto"/>
        </w:rPr>
      </w:pPr>
      <w:r>
        <w:rPr>
          <w:rFonts w:ascii="Times New Roman" w:hAnsi="Times New Roman"/>
          <w:color w:val="auto"/>
        </w:rPr>
        <w:t>系</w:t>
      </w:r>
      <w:r>
        <w:rPr>
          <w:rFonts w:ascii="Times New Roman" w:hAnsi="Times New Roman"/>
          <w:color w:val="auto"/>
          <w:u w:val="single"/>
        </w:rPr>
        <w:tab/>
      </w:r>
      <w:r>
        <w:rPr>
          <w:rFonts w:ascii="Times New Roman" w:hAnsi="Times New Roman"/>
          <w:color w:val="auto"/>
        </w:rPr>
        <w:t>（投标人名称）的法定代表人（单位负责人）。</w:t>
      </w:r>
    </w:p>
    <w:p>
      <w:pPr>
        <w:pStyle w:val="17"/>
        <w:tabs>
          <w:tab w:val="left" w:pos="2412"/>
          <w:tab w:val="left" w:pos="3883"/>
          <w:tab w:val="left" w:pos="5352"/>
          <w:tab w:val="left" w:pos="6821"/>
        </w:tabs>
        <w:kinsoku w:val="0"/>
        <w:overflowPunct w:val="0"/>
        <w:spacing w:line="335" w:lineRule="exact"/>
        <w:rPr>
          <w:rFonts w:ascii="Times New Roman" w:hAnsi="Times New Roman"/>
          <w:color w:val="auto"/>
        </w:rPr>
      </w:pPr>
    </w:p>
    <w:p>
      <w:pPr>
        <w:pStyle w:val="17"/>
        <w:kinsoku w:val="0"/>
        <w:overflowPunct w:val="0"/>
        <w:spacing w:line="583" w:lineRule="auto"/>
        <w:ind w:right="-46"/>
        <w:rPr>
          <w:color w:val="auto"/>
          <w:szCs w:val="20"/>
        </w:rPr>
      </w:pPr>
      <w:r>
        <w:rPr>
          <w:rFonts w:hint="eastAsia"/>
          <w:color w:val="auto"/>
          <w:szCs w:val="20"/>
        </w:rPr>
        <w:t>附：</w:t>
      </w:r>
      <w:r>
        <w:rPr>
          <w:color w:val="auto"/>
          <w:szCs w:val="20"/>
        </w:rPr>
        <w:t>法定代表人</w:t>
      </w:r>
      <w:r>
        <w:rPr>
          <w:rFonts w:hint="eastAsia"/>
          <w:color w:val="auto"/>
          <w:szCs w:val="20"/>
        </w:rPr>
        <w:t>（单位负责人）</w:t>
      </w:r>
      <w:r>
        <w:rPr>
          <w:color w:val="auto"/>
          <w:szCs w:val="20"/>
        </w:rPr>
        <w:t>身份证、护照等身份证明文件电子件：</w:t>
      </w:r>
    </w:p>
    <w:tbl>
      <w:tblPr>
        <w:tblStyle w:val="45"/>
        <w:tblW w:w="906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062"/>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267" w:hRule="atLeast"/>
        </w:trPr>
        <w:tc>
          <w:tcPr>
            <w:tcW w:w="9062" w:type="dxa"/>
          </w:tcPr>
          <w:p>
            <w:pPr>
              <w:pStyle w:val="17"/>
              <w:kinsoku w:val="0"/>
              <w:overflowPunct w:val="0"/>
              <w:spacing w:line="583" w:lineRule="auto"/>
              <w:ind w:right="-46"/>
              <w:rPr>
                <w:color w:val="auto"/>
                <w:szCs w:val="20"/>
              </w:rPr>
            </w:pPr>
          </w:p>
        </w:tc>
      </w:tr>
    </w:tbl>
    <w:p>
      <w:pPr>
        <w:pStyle w:val="17"/>
        <w:kinsoku w:val="0"/>
        <w:overflowPunct w:val="0"/>
        <w:spacing w:line="583" w:lineRule="auto"/>
        <w:ind w:right="4305"/>
        <w:rPr>
          <w:rFonts w:ascii="Times New Roman" w:hAnsi="Times New Roman"/>
          <w:color w:val="auto"/>
          <w:spacing w:val="-3"/>
        </w:rPr>
      </w:pPr>
    </w:p>
    <w:p>
      <w:pPr>
        <w:autoSpaceDE w:val="0"/>
        <w:autoSpaceDN w:val="0"/>
        <w:adjustRightInd w:val="0"/>
        <w:snapToGrid w:val="0"/>
        <w:spacing w:line="360" w:lineRule="auto"/>
        <w:rPr>
          <w:color w:val="auto"/>
          <w:sz w:val="24"/>
          <w:lang w:val="zh-CN"/>
        </w:rPr>
      </w:pPr>
      <w:r>
        <w:rPr>
          <w:color w:val="auto"/>
          <w:sz w:val="24"/>
        </w:rPr>
        <w:t>投标人名称（加盖公章）</w:t>
      </w:r>
      <w:r>
        <w:rPr>
          <w:color w:val="auto"/>
          <w:sz w:val="24"/>
          <w:lang w:val="zh-CN"/>
        </w:rPr>
        <w:t>：________________</w:t>
      </w:r>
    </w:p>
    <w:p>
      <w:pPr>
        <w:pStyle w:val="17"/>
        <w:kinsoku w:val="0"/>
        <w:overflowPunct w:val="0"/>
        <w:spacing w:line="583" w:lineRule="auto"/>
        <w:ind w:right="95"/>
        <w:rPr>
          <w:rFonts w:ascii="Times New Roman" w:hAnsi="Times New Roman"/>
          <w:color w:val="auto"/>
          <w:spacing w:val="-3"/>
        </w:rPr>
      </w:pPr>
      <w:r>
        <w:rPr>
          <w:rFonts w:ascii="Times New Roman" w:hAnsi="Times New Roman"/>
          <w:color w:val="auto"/>
          <w:spacing w:val="-3"/>
        </w:rPr>
        <w:t>法定代表人（</w:t>
      </w:r>
      <w:r>
        <w:rPr>
          <w:rFonts w:ascii="Times New Roman" w:hAnsi="Times New Roman"/>
          <w:color w:val="auto"/>
        </w:rPr>
        <w:t>单位负责人</w:t>
      </w:r>
      <w:r>
        <w:rPr>
          <w:rFonts w:ascii="Times New Roman" w:hAnsi="Times New Roman"/>
          <w:color w:val="auto"/>
          <w:spacing w:val="-3"/>
        </w:rPr>
        <w:t>）（签字或签章）：_______</w:t>
      </w:r>
    </w:p>
    <w:p>
      <w:pPr>
        <w:autoSpaceDE w:val="0"/>
        <w:autoSpaceDN w:val="0"/>
        <w:adjustRightInd w:val="0"/>
        <w:snapToGrid w:val="0"/>
        <w:spacing w:line="360" w:lineRule="auto"/>
        <w:rPr>
          <w:color w:val="auto"/>
          <w:sz w:val="24"/>
        </w:rPr>
      </w:pPr>
    </w:p>
    <w:p>
      <w:pPr>
        <w:autoSpaceDE w:val="0"/>
        <w:autoSpaceDN w:val="0"/>
        <w:adjustRightInd w:val="0"/>
        <w:snapToGrid w:val="0"/>
        <w:spacing w:line="360" w:lineRule="auto"/>
        <w:rPr>
          <w:color w:val="auto"/>
          <w:sz w:val="24"/>
          <w:lang w:val="zh-CN"/>
        </w:rPr>
      </w:pPr>
      <w:r>
        <w:rPr>
          <w:color w:val="auto"/>
          <w:sz w:val="24"/>
        </w:rPr>
        <w:t>日期：_____年______月______日</w:t>
      </w:r>
    </w:p>
    <w:p>
      <w:pPr>
        <w:widowControl/>
        <w:jc w:val="left"/>
        <w:rPr>
          <w:i/>
          <w:color w:val="auto"/>
          <w:sz w:val="24"/>
          <w:szCs w:val="20"/>
          <w:u w:val="single"/>
        </w:rPr>
      </w:pPr>
    </w:p>
    <w:p>
      <w:pPr>
        <w:widowControl/>
        <w:jc w:val="left"/>
        <w:rPr>
          <w:color w:val="auto"/>
          <w:sz w:val="24"/>
          <w:szCs w:val="20"/>
        </w:rPr>
      </w:pPr>
      <w:r>
        <w:rPr>
          <w:color w:val="auto"/>
          <w:sz w:val="24"/>
          <w:szCs w:val="20"/>
        </w:rPr>
        <w:br w:type="page"/>
      </w:r>
    </w:p>
    <w:p>
      <w:pPr>
        <w:numPr>
          <w:ilvl w:val="0"/>
          <w:numId w:val="19"/>
        </w:numPr>
        <w:tabs>
          <w:tab w:val="left" w:pos="360"/>
        </w:tabs>
        <w:snapToGrid w:val="0"/>
        <w:spacing w:line="360" w:lineRule="auto"/>
        <w:outlineLvl w:val="1"/>
        <w:rPr>
          <w:color w:val="auto"/>
          <w:sz w:val="24"/>
          <w:szCs w:val="20"/>
        </w:rPr>
      </w:pPr>
      <w:r>
        <w:rPr>
          <w:color w:val="auto"/>
          <w:sz w:val="24"/>
          <w:szCs w:val="20"/>
        </w:rPr>
        <w:t>开标一览表</w:t>
      </w:r>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r>
        <w:rPr>
          <w:color w:val="auto"/>
          <w:sz w:val="24"/>
          <w:szCs w:val="20"/>
        </w:rPr>
        <w:t>（实质性格式）</w:t>
      </w:r>
    </w:p>
    <w:p>
      <w:pPr>
        <w:spacing w:line="360" w:lineRule="exact"/>
        <w:jc w:val="center"/>
        <w:rPr>
          <w:b/>
          <w:color w:val="auto"/>
          <w:sz w:val="36"/>
          <w:szCs w:val="36"/>
        </w:rPr>
      </w:pPr>
      <w:bookmarkStart w:id="862" w:name="_Toc226309802"/>
      <w:bookmarkStart w:id="863" w:name="_Toc305158826"/>
      <w:bookmarkStart w:id="864" w:name="_Toc195842923"/>
      <w:bookmarkStart w:id="865" w:name="_Toc226965748"/>
      <w:bookmarkStart w:id="866" w:name="_Toc164608672"/>
      <w:bookmarkStart w:id="867" w:name="_Toc226337254"/>
      <w:bookmarkStart w:id="868" w:name="_Toc164608827"/>
      <w:bookmarkStart w:id="869" w:name="_Toc264969248"/>
      <w:bookmarkStart w:id="870" w:name="_Toc265228396"/>
      <w:bookmarkStart w:id="871" w:name="_Toc226965831"/>
      <w:bookmarkStart w:id="872" w:name="_Toc305158900"/>
      <w:r>
        <w:rPr>
          <w:b/>
          <w:color w:val="auto"/>
          <w:sz w:val="36"/>
          <w:szCs w:val="36"/>
        </w:rPr>
        <w:t>开标一览表</w:t>
      </w:r>
      <w:bookmarkEnd w:id="862"/>
      <w:bookmarkEnd w:id="863"/>
      <w:bookmarkEnd w:id="864"/>
      <w:bookmarkEnd w:id="865"/>
      <w:bookmarkEnd w:id="866"/>
      <w:bookmarkEnd w:id="867"/>
      <w:bookmarkEnd w:id="868"/>
      <w:bookmarkEnd w:id="869"/>
      <w:bookmarkEnd w:id="870"/>
      <w:bookmarkEnd w:id="871"/>
      <w:bookmarkEnd w:id="872"/>
    </w:p>
    <w:p>
      <w:pPr>
        <w:tabs>
          <w:tab w:val="left" w:pos="1800"/>
          <w:tab w:val="left" w:pos="5580"/>
        </w:tabs>
        <w:spacing w:line="360" w:lineRule="auto"/>
        <w:jc w:val="left"/>
        <w:rPr>
          <w:i/>
          <w:color w:val="auto"/>
          <w:sz w:val="24"/>
        </w:rPr>
      </w:pPr>
    </w:p>
    <w:p>
      <w:pPr>
        <w:tabs>
          <w:tab w:val="left" w:pos="1800"/>
          <w:tab w:val="left" w:pos="5580"/>
        </w:tabs>
        <w:spacing w:line="360" w:lineRule="auto"/>
        <w:jc w:val="left"/>
        <w:rPr>
          <w:i/>
          <w:color w:val="auto"/>
          <w:sz w:val="24"/>
        </w:rPr>
      </w:pPr>
    </w:p>
    <w:p>
      <w:pPr>
        <w:tabs>
          <w:tab w:val="left" w:pos="1800"/>
          <w:tab w:val="left" w:pos="5580"/>
        </w:tabs>
        <w:spacing w:line="360" w:lineRule="auto"/>
        <w:ind w:firstLine="240" w:firstLineChars="100"/>
        <w:jc w:val="left"/>
        <w:rPr>
          <w:color w:val="auto"/>
          <w:sz w:val="24"/>
          <w:u w:val="single"/>
        </w:rPr>
      </w:pPr>
      <w:r>
        <w:rPr>
          <w:color w:val="auto"/>
          <w:sz w:val="24"/>
        </w:rPr>
        <w:t>项目编号：_____________________     项目名称：____________</w:t>
      </w:r>
    </w:p>
    <w:tbl>
      <w:tblPr>
        <w:tblStyle w:val="44"/>
        <w:tblW w:w="87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721"/>
        <w:gridCol w:w="3880"/>
        <w:gridCol w:w="2081"/>
        <w:gridCol w:w="20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84" w:hRule="atLeast"/>
          <w:jc w:val="center"/>
        </w:trPr>
        <w:tc>
          <w:tcPr>
            <w:tcW w:w="721" w:type="dxa"/>
            <w:vMerge w:val="restart"/>
            <w:vAlign w:val="center"/>
          </w:tcPr>
          <w:p>
            <w:pPr>
              <w:tabs>
                <w:tab w:val="left" w:pos="5580"/>
              </w:tabs>
              <w:jc w:val="center"/>
              <w:rPr>
                <w:b/>
                <w:color w:val="auto"/>
                <w:sz w:val="24"/>
              </w:rPr>
            </w:pPr>
            <w:r>
              <w:rPr>
                <w:b/>
                <w:color w:val="auto"/>
                <w:sz w:val="24"/>
              </w:rPr>
              <w:t>序号</w:t>
            </w:r>
          </w:p>
        </w:tc>
        <w:tc>
          <w:tcPr>
            <w:tcW w:w="3880" w:type="dxa"/>
            <w:vMerge w:val="restart"/>
            <w:vAlign w:val="center"/>
          </w:tcPr>
          <w:p>
            <w:pPr>
              <w:tabs>
                <w:tab w:val="left" w:pos="5580"/>
              </w:tabs>
              <w:jc w:val="center"/>
              <w:rPr>
                <w:b/>
                <w:color w:val="auto"/>
                <w:sz w:val="24"/>
              </w:rPr>
            </w:pPr>
            <w:r>
              <w:rPr>
                <w:b/>
                <w:color w:val="auto"/>
                <w:sz w:val="24"/>
              </w:rPr>
              <w:t>投标人名称</w:t>
            </w:r>
          </w:p>
        </w:tc>
        <w:tc>
          <w:tcPr>
            <w:tcW w:w="4157" w:type="dxa"/>
            <w:gridSpan w:val="2"/>
            <w:vAlign w:val="center"/>
          </w:tcPr>
          <w:p>
            <w:pPr>
              <w:tabs>
                <w:tab w:val="left" w:pos="5580"/>
              </w:tabs>
              <w:jc w:val="center"/>
              <w:rPr>
                <w:b/>
                <w:color w:val="auto"/>
                <w:sz w:val="24"/>
              </w:rPr>
            </w:pPr>
            <w:r>
              <w:rPr>
                <w:b/>
                <w:color w:val="auto"/>
                <w:sz w:val="24"/>
              </w:rPr>
              <w:t>投标报价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39" w:hRule="atLeast"/>
          <w:jc w:val="center"/>
        </w:trPr>
        <w:tc>
          <w:tcPr>
            <w:tcW w:w="721" w:type="dxa"/>
            <w:vMerge w:val="continue"/>
            <w:vAlign w:val="center"/>
          </w:tcPr>
          <w:p>
            <w:pPr>
              <w:tabs>
                <w:tab w:val="left" w:pos="5580"/>
              </w:tabs>
              <w:jc w:val="center"/>
              <w:rPr>
                <w:color w:val="auto"/>
                <w:sz w:val="24"/>
              </w:rPr>
            </w:pPr>
          </w:p>
        </w:tc>
        <w:tc>
          <w:tcPr>
            <w:tcW w:w="3880" w:type="dxa"/>
            <w:vMerge w:val="continue"/>
            <w:vAlign w:val="center"/>
          </w:tcPr>
          <w:p>
            <w:pPr>
              <w:tabs>
                <w:tab w:val="left" w:pos="5580"/>
              </w:tabs>
              <w:jc w:val="center"/>
              <w:rPr>
                <w:color w:val="auto"/>
                <w:sz w:val="24"/>
              </w:rPr>
            </w:pPr>
          </w:p>
        </w:tc>
        <w:tc>
          <w:tcPr>
            <w:tcW w:w="2081" w:type="dxa"/>
            <w:vAlign w:val="center"/>
          </w:tcPr>
          <w:p>
            <w:pPr>
              <w:tabs>
                <w:tab w:val="left" w:pos="5580"/>
              </w:tabs>
              <w:jc w:val="center"/>
              <w:rPr>
                <w:b/>
                <w:color w:val="auto"/>
                <w:sz w:val="24"/>
              </w:rPr>
            </w:pPr>
            <w:r>
              <w:rPr>
                <w:b/>
                <w:color w:val="auto"/>
                <w:sz w:val="24"/>
              </w:rPr>
              <w:t>大写</w:t>
            </w:r>
          </w:p>
        </w:tc>
        <w:tc>
          <w:tcPr>
            <w:tcW w:w="2076" w:type="dxa"/>
            <w:vAlign w:val="center"/>
          </w:tcPr>
          <w:p>
            <w:pPr>
              <w:tabs>
                <w:tab w:val="left" w:pos="5580"/>
              </w:tabs>
              <w:jc w:val="center"/>
              <w:rPr>
                <w:b/>
                <w:color w:val="auto"/>
                <w:sz w:val="24"/>
              </w:rPr>
            </w:pPr>
            <w:r>
              <w:rPr>
                <w:b/>
                <w:color w:val="auto"/>
                <w:sz w:val="24"/>
              </w:rPr>
              <w:t>小写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076" w:hRule="atLeast"/>
          <w:jc w:val="center"/>
        </w:trPr>
        <w:tc>
          <w:tcPr>
            <w:tcW w:w="721" w:type="dxa"/>
            <w:vAlign w:val="center"/>
          </w:tcPr>
          <w:p>
            <w:pPr>
              <w:tabs>
                <w:tab w:val="left" w:pos="5580"/>
              </w:tabs>
              <w:jc w:val="center"/>
              <w:rPr>
                <w:color w:val="auto"/>
                <w:sz w:val="24"/>
              </w:rPr>
            </w:pPr>
          </w:p>
        </w:tc>
        <w:tc>
          <w:tcPr>
            <w:tcW w:w="3880" w:type="dxa"/>
            <w:vAlign w:val="center"/>
          </w:tcPr>
          <w:p>
            <w:pPr>
              <w:tabs>
                <w:tab w:val="left" w:pos="5580"/>
              </w:tabs>
              <w:jc w:val="center"/>
              <w:rPr>
                <w:color w:val="auto"/>
                <w:sz w:val="24"/>
              </w:rPr>
            </w:pPr>
          </w:p>
        </w:tc>
        <w:tc>
          <w:tcPr>
            <w:tcW w:w="2081" w:type="dxa"/>
            <w:vAlign w:val="center"/>
          </w:tcPr>
          <w:p>
            <w:pPr>
              <w:tabs>
                <w:tab w:val="left" w:pos="5580"/>
              </w:tabs>
              <w:jc w:val="center"/>
              <w:rPr>
                <w:color w:val="auto"/>
                <w:sz w:val="24"/>
              </w:rPr>
            </w:pPr>
          </w:p>
        </w:tc>
        <w:tc>
          <w:tcPr>
            <w:tcW w:w="2076" w:type="dxa"/>
            <w:vAlign w:val="center"/>
          </w:tcPr>
          <w:p>
            <w:pPr>
              <w:tabs>
                <w:tab w:val="left" w:pos="5580"/>
              </w:tabs>
              <w:jc w:val="center"/>
              <w:rPr>
                <w:color w:val="auto"/>
                <w:sz w:val="24"/>
              </w:rPr>
            </w:pPr>
          </w:p>
        </w:tc>
      </w:tr>
    </w:tbl>
    <w:p>
      <w:pPr>
        <w:autoSpaceDE w:val="0"/>
        <w:autoSpaceDN w:val="0"/>
        <w:adjustRightInd w:val="0"/>
        <w:jc w:val="left"/>
        <w:rPr>
          <w:color w:val="auto"/>
          <w:kern w:val="0"/>
          <w:sz w:val="24"/>
        </w:rPr>
      </w:pPr>
    </w:p>
    <w:p>
      <w:pPr>
        <w:autoSpaceDE w:val="0"/>
        <w:autoSpaceDN w:val="0"/>
        <w:adjustRightInd w:val="0"/>
        <w:jc w:val="left"/>
        <w:rPr>
          <w:color w:val="auto"/>
          <w:sz w:val="24"/>
          <w:szCs w:val="20"/>
        </w:rPr>
      </w:pPr>
      <w:r>
        <w:rPr>
          <w:color w:val="auto"/>
          <w:kern w:val="0"/>
          <w:sz w:val="24"/>
        </w:rPr>
        <w:t>注：1</w:t>
      </w:r>
      <w:r>
        <w:rPr>
          <w:color w:val="auto"/>
          <w:sz w:val="24"/>
          <w:szCs w:val="20"/>
        </w:rPr>
        <w:t>.此表中，每包的投标报价应和《投标分项报价表》中的总价相一致。</w:t>
      </w:r>
    </w:p>
    <w:p>
      <w:pPr>
        <w:tabs>
          <w:tab w:val="left" w:pos="5580"/>
        </w:tabs>
        <w:ind w:firstLine="480" w:firstLineChars="200"/>
        <w:rPr>
          <w:color w:val="auto"/>
          <w:sz w:val="24"/>
          <w:szCs w:val="20"/>
        </w:rPr>
      </w:pPr>
      <w:r>
        <w:rPr>
          <w:color w:val="auto"/>
          <w:sz w:val="24"/>
          <w:szCs w:val="20"/>
        </w:rPr>
        <w:t>2.</w:t>
      </w:r>
      <w:r>
        <w:rPr>
          <w:rFonts w:hint="eastAsia"/>
          <w:color w:val="auto"/>
          <w:sz w:val="24"/>
          <w:szCs w:val="20"/>
        </w:rPr>
        <w:t>如本项目涉及分包组，</w:t>
      </w:r>
      <w:r>
        <w:rPr>
          <w:color w:val="auto"/>
          <w:sz w:val="24"/>
          <w:szCs w:val="20"/>
        </w:rPr>
        <w:t>本表必须按包分别填写。</w:t>
      </w:r>
    </w:p>
    <w:p>
      <w:pPr>
        <w:autoSpaceDE w:val="0"/>
        <w:autoSpaceDN w:val="0"/>
        <w:adjustRightInd w:val="0"/>
        <w:snapToGrid w:val="0"/>
        <w:spacing w:before="25" w:after="25" w:line="360" w:lineRule="auto"/>
        <w:rPr>
          <w:color w:val="auto"/>
          <w:sz w:val="24"/>
          <w:lang w:val="zh-CN"/>
        </w:rPr>
      </w:pPr>
    </w:p>
    <w:p>
      <w:pPr>
        <w:autoSpaceDE w:val="0"/>
        <w:autoSpaceDN w:val="0"/>
        <w:adjustRightInd w:val="0"/>
        <w:snapToGrid w:val="0"/>
        <w:spacing w:before="25" w:after="25" w:line="360" w:lineRule="auto"/>
        <w:rPr>
          <w:color w:val="auto"/>
          <w:sz w:val="24"/>
          <w:lang w:val="zh-CN"/>
        </w:rPr>
      </w:pPr>
      <w:r>
        <w:rPr>
          <w:color w:val="auto"/>
          <w:sz w:val="24"/>
          <w:lang w:val="zh-CN"/>
        </w:rPr>
        <w:t xml:space="preserve">                         </w:t>
      </w:r>
    </w:p>
    <w:p>
      <w:pPr>
        <w:autoSpaceDE w:val="0"/>
        <w:autoSpaceDN w:val="0"/>
        <w:adjustRightInd w:val="0"/>
        <w:snapToGrid w:val="0"/>
        <w:spacing w:before="25" w:after="25" w:line="360" w:lineRule="auto"/>
        <w:rPr>
          <w:color w:val="auto"/>
          <w:sz w:val="24"/>
          <w:lang w:val="zh-CN"/>
        </w:rPr>
      </w:pPr>
      <w:r>
        <w:rPr>
          <w:color w:val="auto"/>
          <w:sz w:val="24"/>
        </w:rPr>
        <w:t>投标人名称（加盖公章）</w:t>
      </w:r>
      <w:r>
        <w:rPr>
          <w:color w:val="auto"/>
          <w:sz w:val="24"/>
          <w:lang w:val="zh-CN"/>
        </w:rPr>
        <w:t>：____________</w:t>
      </w:r>
    </w:p>
    <w:p>
      <w:pPr>
        <w:autoSpaceDE w:val="0"/>
        <w:autoSpaceDN w:val="0"/>
        <w:adjustRightInd w:val="0"/>
        <w:snapToGrid w:val="0"/>
        <w:spacing w:before="25" w:after="25" w:line="360" w:lineRule="auto"/>
        <w:rPr>
          <w:color w:val="auto"/>
          <w:sz w:val="24"/>
          <w:lang w:val="zh-CN"/>
        </w:rPr>
      </w:pPr>
      <w:r>
        <w:rPr>
          <w:color w:val="auto"/>
          <w:sz w:val="24"/>
          <w:szCs w:val="20"/>
        </w:rPr>
        <w:t xml:space="preserve">日期：_____年______月______日   </w:t>
      </w:r>
    </w:p>
    <w:p>
      <w:pPr>
        <w:widowControl/>
        <w:jc w:val="left"/>
        <w:rPr>
          <w:color w:val="auto"/>
          <w:sz w:val="24"/>
          <w:szCs w:val="20"/>
        </w:rPr>
      </w:pPr>
      <w:bookmarkStart w:id="873" w:name="_Toc226965832"/>
      <w:bookmarkStart w:id="874" w:name="_Toc265228397"/>
      <w:bookmarkStart w:id="875" w:name="_Toc142311060"/>
      <w:bookmarkStart w:id="876" w:name="_Toc305158901"/>
      <w:bookmarkStart w:id="877" w:name="_Toc127151558"/>
      <w:bookmarkStart w:id="878" w:name="_Toc195842924"/>
      <w:bookmarkStart w:id="879" w:name="_Toc226309803"/>
      <w:bookmarkStart w:id="880" w:name="_Toc226337255"/>
      <w:bookmarkStart w:id="881" w:name="_Toc226965749"/>
      <w:bookmarkStart w:id="882" w:name="_Toc150480796"/>
      <w:bookmarkStart w:id="883" w:name="_Toc150774763"/>
      <w:bookmarkStart w:id="884" w:name="_Toc264969249"/>
      <w:bookmarkStart w:id="885" w:name="_Toc305158827"/>
    </w:p>
    <w:p>
      <w:pPr>
        <w:widowControl/>
        <w:jc w:val="left"/>
        <w:rPr>
          <w:color w:val="auto"/>
          <w:sz w:val="24"/>
          <w:szCs w:val="20"/>
        </w:rPr>
      </w:pPr>
    </w:p>
    <w:p>
      <w:pPr>
        <w:numPr>
          <w:ilvl w:val="0"/>
          <w:numId w:val="19"/>
        </w:numPr>
        <w:tabs>
          <w:tab w:val="left" w:pos="360"/>
        </w:tabs>
        <w:snapToGrid w:val="0"/>
        <w:spacing w:line="360" w:lineRule="auto"/>
        <w:outlineLvl w:val="1"/>
        <w:rPr>
          <w:color w:val="auto"/>
          <w:sz w:val="24"/>
          <w:szCs w:val="20"/>
        </w:rPr>
        <w:sectPr>
          <w:pgSz w:w="11907" w:h="16840"/>
          <w:pgMar w:top="1418" w:right="1134" w:bottom="1418" w:left="1701" w:header="851" w:footer="851" w:gutter="0"/>
          <w:cols w:space="720" w:num="1"/>
          <w:docGrid w:linePitch="462" w:charSpace="0"/>
        </w:sectPr>
      </w:pPr>
    </w:p>
    <w:bookmarkEnd w:id="873"/>
    <w:bookmarkEnd w:id="874"/>
    <w:bookmarkEnd w:id="875"/>
    <w:bookmarkEnd w:id="876"/>
    <w:bookmarkEnd w:id="877"/>
    <w:bookmarkEnd w:id="878"/>
    <w:bookmarkEnd w:id="879"/>
    <w:bookmarkEnd w:id="880"/>
    <w:bookmarkEnd w:id="881"/>
    <w:bookmarkEnd w:id="882"/>
    <w:bookmarkEnd w:id="883"/>
    <w:bookmarkEnd w:id="884"/>
    <w:bookmarkEnd w:id="885"/>
    <w:p>
      <w:pPr>
        <w:numPr>
          <w:ilvl w:val="0"/>
          <w:numId w:val="19"/>
        </w:numPr>
        <w:tabs>
          <w:tab w:val="left" w:pos="360"/>
        </w:tabs>
        <w:snapToGrid w:val="0"/>
        <w:spacing w:line="360" w:lineRule="auto"/>
        <w:outlineLvl w:val="1"/>
        <w:rPr>
          <w:color w:val="auto"/>
          <w:sz w:val="24"/>
          <w:szCs w:val="20"/>
        </w:rPr>
      </w:pPr>
      <w:bookmarkStart w:id="886" w:name="_Toc127151562"/>
      <w:bookmarkStart w:id="887" w:name="_Toc150774765"/>
      <w:bookmarkStart w:id="888" w:name="_Toc226965835"/>
      <w:bookmarkStart w:id="889" w:name="_Toc195842927"/>
      <w:bookmarkStart w:id="890" w:name="_Toc226309806"/>
      <w:bookmarkStart w:id="891" w:name="_Toc265228400"/>
      <w:bookmarkStart w:id="892" w:name="_Toc264969252"/>
      <w:bookmarkStart w:id="893" w:name="_Toc305158830"/>
      <w:bookmarkStart w:id="894" w:name="_Toc226337258"/>
      <w:bookmarkStart w:id="895" w:name="_Toc150480798"/>
      <w:bookmarkStart w:id="896" w:name="_Toc305158904"/>
      <w:bookmarkStart w:id="897" w:name="_Toc226965752"/>
      <w:bookmarkStart w:id="898" w:name="_Toc142311062"/>
      <w:bookmarkStart w:id="899" w:name="_Toc226337257"/>
      <w:bookmarkStart w:id="900" w:name="_Toc305158829"/>
      <w:bookmarkStart w:id="901" w:name="_Toc195842926"/>
      <w:bookmarkStart w:id="902" w:name="_Toc150774764"/>
      <w:bookmarkStart w:id="903" w:name="_Toc150480797"/>
      <w:bookmarkStart w:id="904" w:name="_Toc265228399"/>
      <w:bookmarkStart w:id="905" w:name="_Toc127151561"/>
      <w:bookmarkStart w:id="906" w:name="_Toc264969251"/>
      <w:bookmarkStart w:id="907" w:name="_Toc305158903"/>
      <w:bookmarkStart w:id="908" w:name="_Toc226965751"/>
      <w:bookmarkStart w:id="909" w:name="_Toc226965834"/>
      <w:bookmarkStart w:id="910" w:name="_Toc142311061"/>
      <w:bookmarkStart w:id="911" w:name="_Toc226309805"/>
      <w:r>
        <w:rPr>
          <w:color w:val="auto"/>
          <w:sz w:val="24"/>
          <w:szCs w:val="20"/>
        </w:rPr>
        <w:t>投标分项报价表（实质性格式）</w:t>
      </w:r>
    </w:p>
    <w:p>
      <w:pPr>
        <w:spacing w:line="360" w:lineRule="exact"/>
        <w:jc w:val="center"/>
        <w:rPr>
          <w:color w:val="auto"/>
          <w:sz w:val="36"/>
          <w:szCs w:val="36"/>
        </w:rPr>
      </w:pPr>
    </w:p>
    <w:p>
      <w:pPr>
        <w:spacing w:line="360" w:lineRule="auto"/>
        <w:jc w:val="center"/>
        <w:rPr>
          <w:b/>
          <w:color w:val="auto"/>
          <w:sz w:val="36"/>
          <w:szCs w:val="36"/>
        </w:rPr>
      </w:pPr>
      <w:r>
        <w:rPr>
          <w:rFonts w:hint="eastAsia"/>
          <w:b/>
          <w:color w:val="auto"/>
          <w:sz w:val="36"/>
          <w:szCs w:val="36"/>
        </w:rPr>
        <w:t>投标分项报价表</w:t>
      </w:r>
    </w:p>
    <w:p>
      <w:pPr>
        <w:spacing w:line="260" w:lineRule="exact"/>
        <w:jc w:val="center"/>
        <w:rPr>
          <w:color w:val="auto"/>
          <w:sz w:val="36"/>
          <w:szCs w:val="36"/>
        </w:rPr>
      </w:pPr>
    </w:p>
    <w:p>
      <w:pPr>
        <w:tabs>
          <w:tab w:val="left" w:pos="1800"/>
          <w:tab w:val="left" w:pos="5580"/>
        </w:tabs>
        <w:spacing w:after="240" w:afterLines="100"/>
        <w:rPr>
          <w:color w:val="auto"/>
          <w:sz w:val="24"/>
        </w:rPr>
      </w:pPr>
      <w:r>
        <w:rPr>
          <w:color w:val="auto"/>
          <w:sz w:val="24"/>
        </w:rPr>
        <w:t>项目编号/包号：___________ 项目名称：__________报价单位：人民币元</w:t>
      </w:r>
    </w:p>
    <w:tbl>
      <w:tblPr>
        <w:tblStyle w:val="44"/>
        <w:tblW w:w="923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8"/>
        <w:gridCol w:w="3411"/>
        <w:gridCol w:w="1574"/>
        <w:gridCol w:w="1565"/>
        <w:gridCol w:w="198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98" w:type="dxa"/>
            <w:vAlign w:val="center"/>
          </w:tcPr>
          <w:p>
            <w:pPr>
              <w:adjustRightInd w:val="0"/>
              <w:snapToGrid w:val="0"/>
              <w:jc w:val="left"/>
              <w:rPr>
                <w:b/>
                <w:color w:val="auto"/>
                <w:sz w:val="24"/>
              </w:rPr>
            </w:pPr>
            <w:r>
              <w:rPr>
                <w:b/>
                <w:color w:val="auto"/>
                <w:sz w:val="24"/>
              </w:rPr>
              <w:t>序号</w:t>
            </w:r>
          </w:p>
        </w:tc>
        <w:tc>
          <w:tcPr>
            <w:tcW w:w="3411" w:type="dxa"/>
            <w:vAlign w:val="center"/>
          </w:tcPr>
          <w:p>
            <w:pPr>
              <w:adjustRightInd w:val="0"/>
              <w:snapToGrid w:val="0"/>
              <w:jc w:val="left"/>
              <w:rPr>
                <w:b/>
                <w:color w:val="auto"/>
                <w:sz w:val="24"/>
              </w:rPr>
            </w:pPr>
            <w:r>
              <w:rPr>
                <w:b/>
                <w:color w:val="auto"/>
                <w:sz w:val="24"/>
              </w:rPr>
              <w:t>分项名称</w:t>
            </w:r>
          </w:p>
        </w:tc>
        <w:tc>
          <w:tcPr>
            <w:tcW w:w="1574" w:type="dxa"/>
            <w:vAlign w:val="center"/>
          </w:tcPr>
          <w:p>
            <w:pPr>
              <w:adjustRightInd w:val="0"/>
              <w:snapToGrid w:val="0"/>
              <w:jc w:val="left"/>
              <w:rPr>
                <w:b/>
                <w:color w:val="auto"/>
                <w:sz w:val="24"/>
              </w:rPr>
            </w:pPr>
            <w:r>
              <w:rPr>
                <w:b/>
                <w:color w:val="auto"/>
                <w:sz w:val="24"/>
              </w:rPr>
              <w:t>单价（元）</w:t>
            </w:r>
          </w:p>
        </w:tc>
        <w:tc>
          <w:tcPr>
            <w:tcW w:w="1565" w:type="dxa"/>
            <w:vAlign w:val="center"/>
          </w:tcPr>
          <w:p>
            <w:pPr>
              <w:adjustRightInd w:val="0"/>
              <w:snapToGrid w:val="0"/>
              <w:jc w:val="left"/>
              <w:rPr>
                <w:b/>
                <w:color w:val="auto"/>
                <w:sz w:val="24"/>
              </w:rPr>
            </w:pPr>
            <w:r>
              <w:rPr>
                <w:b/>
                <w:color w:val="auto"/>
                <w:sz w:val="24"/>
              </w:rPr>
              <w:t>合价（元）</w:t>
            </w:r>
          </w:p>
        </w:tc>
        <w:tc>
          <w:tcPr>
            <w:tcW w:w="1988" w:type="dxa"/>
            <w:vAlign w:val="center"/>
          </w:tcPr>
          <w:p>
            <w:pPr>
              <w:adjustRightInd w:val="0"/>
              <w:snapToGrid w:val="0"/>
              <w:jc w:val="left"/>
              <w:rPr>
                <w:b/>
                <w:color w:val="auto"/>
                <w:sz w:val="24"/>
              </w:rPr>
            </w:pPr>
            <w:r>
              <w:rPr>
                <w:b/>
                <w:color w:val="auto"/>
                <w:sz w:val="24"/>
              </w:rPr>
              <w:t>备注/说明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7" w:hRule="atLeast"/>
        </w:trPr>
        <w:tc>
          <w:tcPr>
            <w:tcW w:w="698" w:type="dxa"/>
            <w:vAlign w:val="center"/>
          </w:tcPr>
          <w:p>
            <w:pPr>
              <w:adjustRightInd w:val="0"/>
              <w:snapToGrid w:val="0"/>
              <w:jc w:val="center"/>
              <w:rPr>
                <w:color w:val="auto"/>
                <w:sz w:val="24"/>
              </w:rPr>
            </w:pPr>
            <w:r>
              <w:rPr>
                <w:color w:val="auto"/>
                <w:sz w:val="24"/>
              </w:rPr>
              <w:t>1</w:t>
            </w:r>
          </w:p>
        </w:tc>
        <w:tc>
          <w:tcPr>
            <w:tcW w:w="3411" w:type="dxa"/>
            <w:vAlign w:val="center"/>
          </w:tcPr>
          <w:p>
            <w:pPr>
              <w:adjustRightInd w:val="0"/>
              <w:snapToGrid w:val="0"/>
              <w:jc w:val="left"/>
              <w:rPr>
                <w:color w:val="auto"/>
                <w:sz w:val="24"/>
              </w:rPr>
            </w:pPr>
          </w:p>
        </w:tc>
        <w:tc>
          <w:tcPr>
            <w:tcW w:w="1574" w:type="dxa"/>
            <w:vAlign w:val="center"/>
          </w:tcPr>
          <w:p>
            <w:pPr>
              <w:adjustRightInd w:val="0"/>
              <w:snapToGrid w:val="0"/>
              <w:jc w:val="left"/>
              <w:rPr>
                <w:color w:val="auto"/>
                <w:sz w:val="24"/>
              </w:rPr>
            </w:pPr>
          </w:p>
        </w:tc>
        <w:tc>
          <w:tcPr>
            <w:tcW w:w="1565" w:type="dxa"/>
            <w:vAlign w:val="center"/>
          </w:tcPr>
          <w:p>
            <w:pPr>
              <w:adjustRightInd w:val="0"/>
              <w:snapToGrid w:val="0"/>
              <w:jc w:val="left"/>
              <w:rPr>
                <w:color w:val="auto"/>
                <w:sz w:val="24"/>
              </w:rPr>
            </w:pPr>
          </w:p>
        </w:tc>
        <w:tc>
          <w:tcPr>
            <w:tcW w:w="1988" w:type="dxa"/>
            <w:vAlign w:val="center"/>
          </w:tcPr>
          <w:p>
            <w:pPr>
              <w:adjustRightInd w:val="0"/>
              <w:snapToGrid w:val="0"/>
              <w:jc w:val="left"/>
              <w:rPr>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7" w:hRule="atLeast"/>
        </w:trPr>
        <w:tc>
          <w:tcPr>
            <w:tcW w:w="698" w:type="dxa"/>
            <w:vAlign w:val="center"/>
          </w:tcPr>
          <w:p>
            <w:pPr>
              <w:adjustRightInd w:val="0"/>
              <w:snapToGrid w:val="0"/>
              <w:jc w:val="center"/>
              <w:rPr>
                <w:color w:val="auto"/>
                <w:sz w:val="24"/>
              </w:rPr>
            </w:pPr>
            <w:r>
              <w:rPr>
                <w:color w:val="auto"/>
                <w:sz w:val="24"/>
              </w:rPr>
              <w:t>2</w:t>
            </w:r>
          </w:p>
        </w:tc>
        <w:tc>
          <w:tcPr>
            <w:tcW w:w="3411" w:type="dxa"/>
            <w:vAlign w:val="center"/>
          </w:tcPr>
          <w:p>
            <w:pPr>
              <w:adjustRightInd w:val="0"/>
              <w:snapToGrid w:val="0"/>
              <w:jc w:val="left"/>
              <w:rPr>
                <w:color w:val="auto"/>
                <w:sz w:val="24"/>
              </w:rPr>
            </w:pPr>
          </w:p>
        </w:tc>
        <w:tc>
          <w:tcPr>
            <w:tcW w:w="1574" w:type="dxa"/>
            <w:vAlign w:val="center"/>
          </w:tcPr>
          <w:p>
            <w:pPr>
              <w:adjustRightInd w:val="0"/>
              <w:snapToGrid w:val="0"/>
              <w:jc w:val="left"/>
              <w:rPr>
                <w:color w:val="auto"/>
                <w:sz w:val="24"/>
              </w:rPr>
            </w:pPr>
          </w:p>
        </w:tc>
        <w:tc>
          <w:tcPr>
            <w:tcW w:w="1565" w:type="dxa"/>
            <w:vAlign w:val="center"/>
          </w:tcPr>
          <w:p>
            <w:pPr>
              <w:adjustRightInd w:val="0"/>
              <w:snapToGrid w:val="0"/>
              <w:jc w:val="left"/>
              <w:rPr>
                <w:color w:val="auto"/>
                <w:sz w:val="24"/>
              </w:rPr>
            </w:pPr>
          </w:p>
        </w:tc>
        <w:tc>
          <w:tcPr>
            <w:tcW w:w="1988" w:type="dxa"/>
            <w:vAlign w:val="center"/>
          </w:tcPr>
          <w:p>
            <w:pPr>
              <w:adjustRightInd w:val="0"/>
              <w:snapToGrid w:val="0"/>
              <w:jc w:val="left"/>
              <w:rPr>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7" w:hRule="atLeast"/>
        </w:trPr>
        <w:tc>
          <w:tcPr>
            <w:tcW w:w="698" w:type="dxa"/>
            <w:vAlign w:val="center"/>
          </w:tcPr>
          <w:p>
            <w:pPr>
              <w:adjustRightInd w:val="0"/>
              <w:snapToGrid w:val="0"/>
              <w:jc w:val="center"/>
              <w:rPr>
                <w:color w:val="auto"/>
                <w:sz w:val="24"/>
              </w:rPr>
            </w:pPr>
            <w:r>
              <w:rPr>
                <w:color w:val="auto"/>
                <w:sz w:val="24"/>
              </w:rPr>
              <w:t>3</w:t>
            </w:r>
          </w:p>
        </w:tc>
        <w:tc>
          <w:tcPr>
            <w:tcW w:w="3411" w:type="dxa"/>
            <w:vAlign w:val="center"/>
          </w:tcPr>
          <w:p>
            <w:pPr>
              <w:adjustRightInd w:val="0"/>
              <w:snapToGrid w:val="0"/>
              <w:jc w:val="left"/>
              <w:rPr>
                <w:color w:val="auto"/>
                <w:sz w:val="24"/>
              </w:rPr>
            </w:pPr>
          </w:p>
        </w:tc>
        <w:tc>
          <w:tcPr>
            <w:tcW w:w="1574" w:type="dxa"/>
            <w:vAlign w:val="center"/>
          </w:tcPr>
          <w:p>
            <w:pPr>
              <w:adjustRightInd w:val="0"/>
              <w:snapToGrid w:val="0"/>
              <w:jc w:val="left"/>
              <w:rPr>
                <w:color w:val="auto"/>
                <w:sz w:val="24"/>
              </w:rPr>
            </w:pPr>
          </w:p>
        </w:tc>
        <w:tc>
          <w:tcPr>
            <w:tcW w:w="1565" w:type="dxa"/>
            <w:vAlign w:val="center"/>
          </w:tcPr>
          <w:p>
            <w:pPr>
              <w:adjustRightInd w:val="0"/>
              <w:snapToGrid w:val="0"/>
              <w:jc w:val="left"/>
              <w:rPr>
                <w:color w:val="auto"/>
                <w:sz w:val="24"/>
              </w:rPr>
            </w:pPr>
          </w:p>
        </w:tc>
        <w:tc>
          <w:tcPr>
            <w:tcW w:w="1988" w:type="dxa"/>
            <w:vAlign w:val="center"/>
          </w:tcPr>
          <w:p>
            <w:pPr>
              <w:adjustRightInd w:val="0"/>
              <w:snapToGrid w:val="0"/>
              <w:jc w:val="left"/>
              <w:rPr>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7" w:hRule="atLeast"/>
        </w:trPr>
        <w:tc>
          <w:tcPr>
            <w:tcW w:w="698" w:type="dxa"/>
            <w:vAlign w:val="center"/>
          </w:tcPr>
          <w:p>
            <w:pPr>
              <w:adjustRightInd w:val="0"/>
              <w:snapToGrid w:val="0"/>
              <w:jc w:val="center"/>
              <w:rPr>
                <w:color w:val="auto"/>
                <w:sz w:val="24"/>
              </w:rPr>
            </w:pPr>
            <w:r>
              <w:rPr>
                <w:rFonts w:hint="eastAsia"/>
                <w:color w:val="auto"/>
                <w:sz w:val="24"/>
              </w:rPr>
              <w:t>...</w:t>
            </w:r>
          </w:p>
        </w:tc>
        <w:tc>
          <w:tcPr>
            <w:tcW w:w="3411" w:type="dxa"/>
            <w:vAlign w:val="center"/>
          </w:tcPr>
          <w:p>
            <w:pPr>
              <w:adjustRightInd w:val="0"/>
              <w:snapToGrid w:val="0"/>
              <w:jc w:val="left"/>
              <w:rPr>
                <w:color w:val="auto"/>
                <w:sz w:val="24"/>
              </w:rPr>
            </w:pPr>
          </w:p>
        </w:tc>
        <w:tc>
          <w:tcPr>
            <w:tcW w:w="1574" w:type="dxa"/>
            <w:vAlign w:val="center"/>
          </w:tcPr>
          <w:p>
            <w:pPr>
              <w:adjustRightInd w:val="0"/>
              <w:snapToGrid w:val="0"/>
              <w:jc w:val="left"/>
              <w:rPr>
                <w:color w:val="auto"/>
                <w:sz w:val="24"/>
              </w:rPr>
            </w:pPr>
          </w:p>
        </w:tc>
        <w:tc>
          <w:tcPr>
            <w:tcW w:w="1565" w:type="dxa"/>
            <w:vAlign w:val="center"/>
          </w:tcPr>
          <w:p>
            <w:pPr>
              <w:adjustRightInd w:val="0"/>
              <w:snapToGrid w:val="0"/>
              <w:jc w:val="left"/>
              <w:rPr>
                <w:color w:val="auto"/>
                <w:sz w:val="24"/>
              </w:rPr>
            </w:pPr>
          </w:p>
        </w:tc>
        <w:tc>
          <w:tcPr>
            <w:tcW w:w="1988" w:type="dxa"/>
            <w:vAlign w:val="center"/>
          </w:tcPr>
          <w:p>
            <w:pPr>
              <w:adjustRightInd w:val="0"/>
              <w:snapToGrid w:val="0"/>
              <w:jc w:val="left"/>
              <w:rPr>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trPr>
        <w:tc>
          <w:tcPr>
            <w:tcW w:w="5683" w:type="dxa"/>
            <w:gridSpan w:val="3"/>
            <w:vAlign w:val="center"/>
          </w:tcPr>
          <w:p>
            <w:pPr>
              <w:adjustRightInd w:val="0"/>
              <w:snapToGrid w:val="0"/>
              <w:jc w:val="right"/>
              <w:rPr>
                <w:b/>
                <w:color w:val="auto"/>
                <w:sz w:val="24"/>
              </w:rPr>
            </w:pPr>
            <w:r>
              <w:rPr>
                <w:b/>
                <w:color w:val="auto"/>
                <w:sz w:val="24"/>
              </w:rPr>
              <w:t>总价（元）</w:t>
            </w:r>
          </w:p>
        </w:tc>
        <w:tc>
          <w:tcPr>
            <w:tcW w:w="1565" w:type="dxa"/>
            <w:vAlign w:val="center"/>
          </w:tcPr>
          <w:p>
            <w:pPr>
              <w:adjustRightInd w:val="0"/>
              <w:snapToGrid w:val="0"/>
              <w:jc w:val="left"/>
              <w:rPr>
                <w:color w:val="auto"/>
                <w:sz w:val="24"/>
              </w:rPr>
            </w:pPr>
          </w:p>
        </w:tc>
        <w:tc>
          <w:tcPr>
            <w:tcW w:w="1988" w:type="dxa"/>
            <w:vAlign w:val="center"/>
          </w:tcPr>
          <w:p>
            <w:pPr>
              <w:adjustRightInd w:val="0"/>
              <w:snapToGrid w:val="0"/>
              <w:jc w:val="left"/>
              <w:rPr>
                <w:color w:val="auto"/>
                <w:sz w:val="24"/>
              </w:rPr>
            </w:pPr>
          </w:p>
        </w:tc>
      </w:tr>
    </w:tbl>
    <w:p>
      <w:pPr>
        <w:tabs>
          <w:tab w:val="left" w:pos="1800"/>
          <w:tab w:val="left" w:pos="5580"/>
        </w:tabs>
        <w:jc w:val="left"/>
        <w:rPr>
          <w:color w:val="auto"/>
          <w:sz w:val="24"/>
        </w:rPr>
      </w:pPr>
    </w:p>
    <w:p>
      <w:pPr>
        <w:tabs>
          <w:tab w:val="left" w:pos="1800"/>
          <w:tab w:val="left" w:pos="5580"/>
        </w:tabs>
        <w:jc w:val="left"/>
        <w:rPr>
          <w:color w:val="auto"/>
          <w:sz w:val="24"/>
        </w:rPr>
      </w:pPr>
    </w:p>
    <w:p>
      <w:pPr>
        <w:tabs>
          <w:tab w:val="left" w:pos="1800"/>
          <w:tab w:val="left" w:pos="5580"/>
        </w:tabs>
        <w:jc w:val="left"/>
        <w:rPr>
          <w:color w:val="auto"/>
          <w:sz w:val="24"/>
        </w:rPr>
      </w:pPr>
    </w:p>
    <w:p>
      <w:pPr>
        <w:tabs>
          <w:tab w:val="left" w:pos="1800"/>
          <w:tab w:val="left" w:pos="5580"/>
        </w:tabs>
        <w:jc w:val="left"/>
        <w:rPr>
          <w:color w:val="auto"/>
          <w:sz w:val="24"/>
        </w:rPr>
      </w:pPr>
    </w:p>
    <w:p>
      <w:pPr>
        <w:tabs>
          <w:tab w:val="left" w:pos="1800"/>
          <w:tab w:val="left" w:pos="5580"/>
        </w:tabs>
        <w:jc w:val="left"/>
        <w:rPr>
          <w:color w:val="auto"/>
          <w:sz w:val="24"/>
        </w:rPr>
      </w:pPr>
      <w:r>
        <w:rPr>
          <w:color w:val="auto"/>
          <w:sz w:val="24"/>
        </w:rPr>
        <w:t>注：1.</w:t>
      </w:r>
      <w:r>
        <w:rPr>
          <w:rFonts w:hint="eastAsia"/>
          <w:color w:val="auto"/>
          <w:sz w:val="24"/>
        </w:rPr>
        <w:t>本表单价应为每人每月的综合费用，包含但不限于基本工资、管理费、加班费、社保费等为完成本项目所产生的一切费用</w:t>
      </w:r>
      <w:r>
        <w:rPr>
          <w:color w:val="auto"/>
          <w:sz w:val="24"/>
        </w:rPr>
        <w:t>。</w:t>
      </w:r>
    </w:p>
    <w:p>
      <w:pPr>
        <w:tabs>
          <w:tab w:val="left" w:pos="1800"/>
          <w:tab w:val="left" w:pos="5580"/>
        </w:tabs>
        <w:ind w:firstLine="480" w:firstLineChars="200"/>
        <w:jc w:val="left"/>
        <w:rPr>
          <w:color w:val="auto"/>
          <w:sz w:val="24"/>
        </w:rPr>
      </w:pPr>
      <w:r>
        <w:rPr>
          <w:color w:val="auto"/>
          <w:sz w:val="24"/>
        </w:rPr>
        <w:t>2.如果不提供分项报价将视为没有实质性响应招标文件。</w:t>
      </w:r>
    </w:p>
    <w:p>
      <w:pPr>
        <w:tabs>
          <w:tab w:val="left" w:pos="1800"/>
          <w:tab w:val="left" w:pos="5580"/>
        </w:tabs>
        <w:ind w:firstLine="480" w:firstLineChars="200"/>
        <w:jc w:val="left"/>
        <w:rPr>
          <w:color w:val="auto"/>
          <w:sz w:val="24"/>
        </w:rPr>
      </w:pPr>
      <w:r>
        <w:rPr>
          <w:color w:val="auto"/>
          <w:sz w:val="24"/>
        </w:rPr>
        <w:t>3.上述各项的详细规格（如有），可另页描述。</w:t>
      </w:r>
    </w:p>
    <w:p>
      <w:pPr>
        <w:autoSpaceDE w:val="0"/>
        <w:autoSpaceDN w:val="0"/>
        <w:adjustRightInd w:val="0"/>
        <w:snapToGrid w:val="0"/>
        <w:spacing w:before="25" w:after="25" w:line="360" w:lineRule="auto"/>
        <w:rPr>
          <w:color w:val="auto"/>
          <w:sz w:val="24"/>
          <w:lang w:val="zh-CN"/>
        </w:rPr>
      </w:pPr>
      <w:r>
        <w:rPr>
          <w:color w:val="auto"/>
          <w:sz w:val="24"/>
          <w:lang w:val="zh-CN"/>
        </w:rPr>
        <w:t xml:space="preserve">                  </w:t>
      </w:r>
    </w:p>
    <w:p>
      <w:pPr>
        <w:autoSpaceDE w:val="0"/>
        <w:autoSpaceDN w:val="0"/>
        <w:adjustRightInd w:val="0"/>
        <w:snapToGrid w:val="0"/>
        <w:spacing w:before="25" w:after="25" w:line="360" w:lineRule="auto"/>
        <w:rPr>
          <w:color w:val="auto"/>
          <w:sz w:val="24"/>
          <w:lang w:val="zh-CN"/>
        </w:rPr>
      </w:pPr>
      <w:r>
        <w:rPr>
          <w:color w:val="auto"/>
          <w:sz w:val="24"/>
        </w:rPr>
        <w:t>投标人名称（加盖公章）</w:t>
      </w:r>
      <w:r>
        <w:rPr>
          <w:color w:val="auto"/>
          <w:sz w:val="24"/>
          <w:lang w:val="zh-CN"/>
        </w:rPr>
        <w:t>：____________</w:t>
      </w:r>
    </w:p>
    <w:p>
      <w:pPr>
        <w:tabs>
          <w:tab w:val="left" w:pos="360"/>
        </w:tabs>
        <w:snapToGrid w:val="0"/>
        <w:spacing w:line="360" w:lineRule="auto"/>
        <w:rPr>
          <w:color w:val="auto"/>
          <w:sz w:val="24"/>
          <w:szCs w:val="20"/>
        </w:rPr>
        <w:sectPr>
          <w:headerReference r:id="rId17" w:type="first"/>
          <w:footerReference r:id="rId19" w:type="first"/>
          <w:headerReference r:id="rId16" w:type="even"/>
          <w:footerReference r:id="rId18" w:type="even"/>
          <w:pgSz w:w="11907" w:h="16840"/>
          <w:pgMar w:top="1418" w:right="1134" w:bottom="1418" w:left="1701" w:header="851" w:footer="851" w:gutter="0"/>
          <w:cols w:space="720" w:num="1"/>
          <w:docGrid w:linePitch="462" w:charSpace="0"/>
        </w:sectPr>
      </w:pPr>
      <w:r>
        <w:rPr>
          <w:color w:val="auto"/>
          <w:sz w:val="24"/>
          <w:szCs w:val="20"/>
        </w:rPr>
        <w:t>日期：_____年______月______日</w:t>
      </w:r>
    </w:p>
    <w:p>
      <w:pPr>
        <w:numPr>
          <w:ilvl w:val="0"/>
          <w:numId w:val="19"/>
        </w:numPr>
        <w:tabs>
          <w:tab w:val="left" w:pos="360"/>
        </w:tabs>
        <w:snapToGrid w:val="0"/>
        <w:spacing w:line="360" w:lineRule="auto"/>
        <w:outlineLvl w:val="1"/>
        <w:rPr>
          <w:color w:val="auto"/>
          <w:sz w:val="24"/>
          <w:szCs w:val="20"/>
        </w:rPr>
      </w:pPr>
      <w:r>
        <w:rPr>
          <w:color w:val="auto"/>
          <w:sz w:val="24"/>
          <w:szCs w:val="20"/>
        </w:rPr>
        <w:t>合同条款偏离表</w:t>
      </w:r>
      <w:bookmarkEnd w:id="886"/>
      <w:bookmarkEnd w:id="887"/>
      <w:bookmarkEnd w:id="888"/>
      <w:bookmarkEnd w:id="889"/>
      <w:bookmarkEnd w:id="890"/>
      <w:bookmarkEnd w:id="891"/>
      <w:bookmarkEnd w:id="892"/>
      <w:bookmarkEnd w:id="893"/>
      <w:bookmarkEnd w:id="894"/>
      <w:bookmarkEnd w:id="895"/>
      <w:bookmarkEnd w:id="896"/>
      <w:bookmarkEnd w:id="897"/>
      <w:bookmarkEnd w:id="898"/>
      <w:r>
        <w:rPr>
          <w:color w:val="auto"/>
          <w:sz w:val="24"/>
          <w:szCs w:val="20"/>
        </w:rPr>
        <w:t>（实质性格式）</w:t>
      </w:r>
    </w:p>
    <w:p>
      <w:pPr>
        <w:spacing w:line="360" w:lineRule="auto"/>
        <w:rPr>
          <w:color w:val="auto"/>
          <w:sz w:val="24"/>
          <w:szCs w:val="20"/>
        </w:rPr>
      </w:pPr>
    </w:p>
    <w:p>
      <w:pPr>
        <w:tabs>
          <w:tab w:val="left" w:pos="2775"/>
          <w:tab w:val="center" w:pos="4153"/>
        </w:tabs>
        <w:autoSpaceDE w:val="0"/>
        <w:autoSpaceDN w:val="0"/>
        <w:adjustRightInd w:val="0"/>
        <w:spacing w:line="360" w:lineRule="auto"/>
        <w:jc w:val="center"/>
        <w:rPr>
          <w:b/>
          <w:color w:val="auto"/>
          <w:sz w:val="36"/>
          <w:szCs w:val="36"/>
        </w:rPr>
      </w:pPr>
      <w:r>
        <w:rPr>
          <w:b/>
          <w:color w:val="auto"/>
          <w:sz w:val="36"/>
          <w:szCs w:val="36"/>
        </w:rPr>
        <w:t>合同条款偏离表</w:t>
      </w:r>
    </w:p>
    <w:p>
      <w:pPr>
        <w:spacing w:line="360" w:lineRule="auto"/>
        <w:rPr>
          <w:color w:val="auto"/>
          <w:sz w:val="24"/>
          <w:szCs w:val="20"/>
        </w:rPr>
      </w:pPr>
    </w:p>
    <w:p>
      <w:pPr>
        <w:tabs>
          <w:tab w:val="left" w:pos="1800"/>
          <w:tab w:val="left" w:pos="5580"/>
        </w:tabs>
        <w:spacing w:line="360" w:lineRule="auto"/>
        <w:ind w:firstLine="360" w:firstLineChars="150"/>
        <w:jc w:val="left"/>
        <w:rPr>
          <w:color w:val="auto"/>
          <w:sz w:val="24"/>
        </w:rPr>
      </w:pPr>
      <w:r>
        <w:rPr>
          <w:rFonts w:hint="eastAsia"/>
          <w:color w:val="auto"/>
          <w:sz w:val="24"/>
        </w:rPr>
        <w:t>项目编号</w:t>
      </w:r>
      <w:r>
        <w:rPr>
          <w:color w:val="auto"/>
          <w:sz w:val="24"/>
        </w:rPr>
        <w:t>：_____________________     项目名称：_____________</w:t>
      </w:r>
    </w:p>
    <w:tbl>
      <w:tblPr>
        <w:tblStyle w:val="44"/>
        <w:tblW w:w="92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54"/>
        <w:gridCol w:w="1772"/>
        <w:gridCol w:w="1676"/>
        <w:gridCol w:w="1677"/>
        <w:gridCol w:w="1877"/>
        <w:gridCol w:w="113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1154" w:type="dxa"/>
            <w:vAlign w:val="center"/>
          </w:tcPr>
          <w:p>
            <w:pPr>
              <w:adjustRightInd w:val="0"/>
              <w:snapToGrid w:val="0"/>
              <w:jc w:val="center"/>
              <w:rPr>
                <w:color w:val="auto"/>
                <w:sz w:val="24"/>
              </w:rPr>
            </w:pPr>
            <w:bookmarkStart w:id="912" w:name="_Hlk144279231"/>
            <w:r>
              <w:rPr>
                <w:color w:val="auto"/>
                <w:sz w:val="24"/>
              </w:rPr>
              <w:t>序号</w:t>
            </w:r>
          </w:p>
        </w:tc>
        <w:tc>
          <w:tcPr>
            <w:tcW w:w="1772" w:type="dxa"/>
            <w:vAlign w:val="center"/>
          </w:tcPr>
          <w:p>
            <w:pPr>
              <w:adjustRightInd w:val="0"/>
              <w:snapToGrid w:val="0"/>
              <w:jc w:val="center"/>
              <w:rPr>
                <w:color w:val="auto"/>
                <w:sz w:val="24"/>
              </w:rPr>
            </w:pPr>
            <w:r>
              <w:rPr>
                <w:color w:val="auto"/>
                <w:sz w:val="24"/>
                <w:szCs w:val="21"/>
              </w:rPr>
              <w:t>招标文件</w:t>
            </w:r>
            <w:r>
              <w:rPr>
                <w:color w:val="auto"/>
                <w:sz w:val="24"/>
              </w:rPr>
              <w:t>条目号（页码）</w:t>
            </w:r>
          </w:p>
        </w:tc>
        <w:tc>
          <w:tcPr>
            <w:tcW w:w="1676" w:type="dxa"/>
            <w:vAlign w:val="center"/>
          </w:tcPr>
          <w:p>
            <w:pPr>
              <w:adjustRightInd w:val="0"/>
              <w:snapToGrid w:val="0"/>
              <w:jc w:val="center"/>
              <w:rPr>
                <w:color w:val="auto"/>
                <w:sz w:val="24"/>
              </w:rPr>
            </w:pPr>
            <w:r>
              <w:rPr>
                <w:color w:val="auto"/>
                <w:sz w:val="24"/>
                <w:szCs w:val="21"/>
              </w:rPr>
              <w:t>招标文件</w:t>
            </w:r>
            <w:r>
              <w:rPr>
                <w:color w:val="auto"/>
                <w:sz w:val="24"/>
              </w:rPr>
              <w:t>要求</w:t>
            </w:r>
          </w:p>
        </w:tc>
        <w:tc>
          <w:tcPr>
            <w:tcW w:w="1677" w:type="dxa"/>
            <w:vAlign w:val="center"/>
          </w:tcPr>
          <w:p>
            <w:pPr>
              <w:adjustRightInd w:val="0"/>
              <w:snapToGrid w:val="0"/>
              <w:jc w:val="center"/>
              <w:rPr>
                <w:color w:val="auto"/>
                <w:sz w:val="24"/>
              </w:rPr>
            </w:pPr>
            <w:r>
              <w:rPr>
                <w:color w:val="auto"/>
                <w:sz w:val="24"/>
              </w:rPr>
              <w:t>投标文件内容</w:t>
            </w:r>
          </w:p>
        </w:tc>
        <w:tc>
          <w:tcPr>
            <w:tcW w:w="1877" w:type="dxa"/>
            <w:vAlign w:val="center"/>
          </w:tcPr>
          <w:p>
            <w:pPr>
              <w:adjustRightInd w:val="0"/>
              <w:snapToGrid w:val="0"/>
              <w:jc w:val="center"/>
              <w:rPr>
                <w:color w:val="auto"/>
                <w:sz w:val="24"/>
              </w:rPr>
            </w:pPr>
            <w:r>
              <w:rPr>
                <w:color w:val="auto"/>
                <w:sz w:val="24"/>
              </w:rPr>
              <w:t>偏离情况</w:t>
            </w:r>
          </w:p>
        </w:tc>
        <w:tc>
          <w:tcPr>
            <w:tcW w:w="1132" w:type="dxa"/>
            <w:vAlign w:val="center"/>
          </w:tcPr>
          <w:p>
            <w:pPr>
              <w:adjustRightInd w:val="0"/>
              <w:snapToGrid w:val="0"/>
              <w:jc w:val="center"/>
              <w:rPr>
                <w:color w:val="auto"/>
                <w:sz w:val="24"/>
              </w:rPr>
            </w:pPr>
            <w:r>
              <w:rPr>
                <w:color w:val="auto"/>
                <w:sz w:val="24"/>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9288" w:type="dxa"/>
            <w:gridSpan w:val="6"/>
            <w:vAlign w:val="center"/>
          </w:tcPr>
          <w:p>
            <w:pPr>
              <w:adjustRightInd w:val="0"/>
              <w:snapToGrid w:val="0"/>
              <w:jc w:val="left"/>
              <w:rPr>
                <w:bCs/>
                <w:color w:val="auto"/>
                <w:sz w:val="24"/>
              </w:rPr>
            </w:pPr>
            <w:r>
              <w:rPr>
                <w:b/>
                <w:color w:val="auto"/>
                <w:sz w:val="24"/>
              </w:rPr>
              <w:t>对本项目合同条款的偏离情况</w:t>
            </w:r>
            <w:r>
              <w:rPr>
                <w:bCs/>
                <w:color w:val="auto"/>
                <w:sz w:val="24"/>
              </w:rPr>
              <w:t>（</w:t>
            </w:r>
            <w:r>
              <w:rPr>
                <w:rFonts w:hint="eastAsia"/>
                <w:bCs/>
                <w:color w:val="auto"/>
                <w:sz w:val="24"/>
              </w:rPr>
              <w:t>应</w:t>
            </w:r>
            <w:r>
              <w:rPr>
                <w:bCs/>
                <w:color w:val="auto"/>
                <w:sz w:val="24"/>
              </w:rPr>
              <w:t>进行选择</w:t>
            </w:r>
            <w:r>
              <w:rPr>
                <w:rFonts w:hint="eastAsia"/>
                <w:bCs/>
                <w:color w:val="auto"/>
                <w:sz w:val="24"/>
              </w:rPr>
              <w:t>，未选择</w:t>
            </w:r>
            <w:r>
              <w:rPr>
                <w:rFonts w:hint="eastAsia"/>
                <w:b/>
                <w:color w:val="auto"/>
                <w:sz w:val="24"/>
              </w:rPr>
              <w:t>投标无效</w:t>
            </w:r>
            <w:r>
              <w:rPr>
                <w:bCs/>
                <w:color w:val="auto"/>
                <w:sz w:val="24"/>
              </w:rPr>
              <w:t>）：</w:t>
            </w:r>
          </w:p>
          <w:p>
            <w:pPr>
              <w:adjustRightInd w:val="0"/>
              <w:snapToGrid w:val="0"/>
              <w:jc w:val="left"/>
              <w:rPr>
                <w:color w:val="auto"/>
                <w:sz w:val="24"/>
              </w:rPr>
            </w:pPr>
            <w:r>
              <w:rPr>
                <w:b/>
                <w:color w:val="auto"/>
                <w:sz w:val="24"/>
              </w:rPr>
              <w:t>□无偏离</w:t>
            </w:r>
            <w:r>
              <w:rPr>
                <w:color w:val="auto"/>
                <w:sz w:val="24"/>
              </w:rPr>
              <w:t>（</w:t>
            </w:r>
            <w:r>
              <w:rPr>
                <w:color w:val="auto"/>
                <w:sz w:val="24"/>
                <w:szCs w:val="21"/>
              </w:rPr>
              <w:t>如无偏离，仅选择无偏离即可</w:t>
            </w:r>
            <w:r>
              <w:rPr>
                <w:rFonts w:hint="eastAsia"/>
                <w:color w:val="auto"/>
                <w:sz w:val="24"/>
                <w:szCs w:val="21"/>
              </w:rPr>
              <w:t>；</w:t>
            </w:r>
            <w:r>
              <w:rPr>
                <w:rFonts w:hint="eastAsia"/>
                <w:bCs/>
                <w:color w:val="auto"/>
                <w:sz w:val="24"/>
              </w:rPr>
              <w:t>无偏离即为</w:t>
            </w:r>
            <w:r>
              <w:rPr>
                <w:color w:val="auto"/>
                <w:sz w:val="24"/>
              </w:rPr>
              <w:t>对合同条款中的所有要求</w:t>
            </w:r>
            <w:r>
              <w:rPr>
                <w:rFonts w:hint="eastAsia"/>
                <w:color w:val="auto"/>
                <w:sz w:val="24"/>
              </w:rPr>
              <w:t>，</w:t>
            </w:r>
            <w:r>
              <w:rPr>
                <w:color w:val="auto"/>
                <w:sz w:val="24"/>
              </w:rPr>
              <w:t>均视作供应商已对之理解和响应。）</w:t>
            </w:r>
          </w:p>
          <w:p>
            <w:pPr>
              <w:adjustRightInd w:val="0"/>
              <w:snapToGrid w:val="0"/>
              <w:jc w:val="left"/>
              <w:rPr>
                <w:color w:val="auto"/>
                <w:sz w:val="24"/>
              </w:rPr>
            </w:pPr>
            <w:r>
              <w:rPr>
                <w:b/>
                <w:color w:val="auto"/>
                <w:sz w:val="24"/>
              </w:rPr>
              <w:t>□有偏离</w:t>
            </w:r>
            <w:r>
              <w:rPr>
                <w:color w:val="auto"/>
                <w:sz w:val="24"/>
              </w:rPr>
              <w:t>（</w:t>
            </w:r>
            <w:r>
              <w:rPr>
                <w:color w:val="auto"/>
                <w:sz w:val="24"/>
                <w:szCs w:val="21"/>
              </w:rPr>
              <w:t>如有偏离，</w:t>
            </w:r>
            <w:r>
              <w:rPr>
                <w:color w:val="auto"/>
                <w:sz w:val="24"/>
              </w:rPr>
              <w:t>则</w:t>
            </w:r>
            <w:r>
              <w:rPr>
                <w:rFonts w:hint="eastAsia"/>
                <w:color w:val="auto"/>
                <w:sz w:val="24"/>
              </w:rPr>
              <w:t>应</w:t>
            </w:r>
            <w:r>
              <w:rPr>
                <w:color w:val="auto"/>
                <w:sz w:val="24"/>
              </w:rPr>
              <w:t>在本表中对偏离项逐一列明</w:t>
            </w:r>
            <w:r>
              <w:rPr>
                <w:rFonts w:hint="eastAsia"/>
                <w:color w:val="auto"/>
                <w:sz w:val="24"/>
              </w:rPr>
              <w:t>，否则</w:t>
            </w:r>
            <w:r>
              <w:rPr>
                <w:rFonts w:hint="eastAsia"/>
                <w:b/>
                <w:bCs/>
                <w:color w:val="auto"/>
                <w:sz w:val="24"/>
              </w:rPr>
              <w:t>投标无效</w:t>
            </w:r>
            <w:r>
              <w:rPr>
                <w:color w:val="auto"/>
                <w:sz w:val="24"/>
              </w:rPr>
              <w:t>；对合同条款中的所有要求，除本表列明的偏离外，均视作供应商已对之理解和响应。）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1154" w:type="dxa"/>
            <w:vAlign w:val="center"/>
          </w:tcPr>
          <w:p>
            <w:pPr>
              <w:adjustRightInd w:val="0"/>
              <w:snapToGrid w:val="0"/>
              <w:jc w:val="center"/>
              <w:rPr>
                <w:color w:val="auto"/>
                <w:sz w:val="24"/>
              </w:rPr>
            </w:pPr>
          </w:p>
        </w:tc>
        <w:tc>
          <w:tcPr>
            <w:tcW w:w="1772" w:type="dxa"/>
            <w:vAlign w:val="center"/>
          </w:tcPr>
          <w:p>
            <w:pPr>
              <w:adjustRightInd w:val="0"/>
              <w:snapToGrid w:val="0"/>
              <w:jc w:val="center"/>
              <w:rPr>
                <w:color w:val="auto"/>
                <w:sz w:val="24"/>
              </w:rPr>
            </w:pPr>
          </w:p>
        </w:tc>
        <w:tc>
          <w:tcPr>
            <w:tcW w:w="1676" w:type="dxa"/>
            <w:vAlign w:val="center"/>
          </w:tcPr>
          <w:p>
            <w:pPr>
              <w:adjustRightInd w:val="0"/>
              <w:snapToGrid w:val="0"/>
              <w:jc w:val="center"/>
              <w:rPr>
                <w:color w:val="auto"/>
                <w:sz w:val="24"/>
              </w:rPr>
            </w:pPr>
          </w:p>
        </w:tc>
        <w:tc>
          <w:tcPr>
            <w:tcW w:w="1677" w:type="dxa"/>
            <w:vAlign w:val="center"/>
          </w:tcPr>
          <w:p>
            <w:pPr>
              <w:adjustRightInd w:val="0"/>
              <w:snapToGrid w:val="0"/>
              <w:jc w:val="center"/>
              <w:rPr>
                <w:color w:val="auto"/>
                <w:sz w:val="24"/>
              </w:rPr>
            </w:pPr>
          </w:p>
        </w:tc>
        <w:tc>
          <w:tcPr>
            <w:tcW w:w="1877" w:type="dxa"/>
            <w:vAlign w:val="center"/>
          </w:tcPr>
          <w:p>
            <w:pPr>
              <w:adjustRightInd w:val="0"/>
              <w:snapToGrid w:val="0"/>
              <w:jc w:val="center"/>
              <w:rPr>
                <w:color w:val="auto"/>
                <w:sz w:val="24"/>
              </w:rPr>
            </w:pPr>
          </w:p>
        </w:tc>
        <w:tc>
          <w:tcPr>
            <w:tcW w:w="1132" w:type="dxa"/>
            <w:vAlign w:val="center"/>
          </w:tcPr>
          <w:p>
            <w:pPr>
              <w:adjustRightInd w:val="0"/>
              <w:snapToGrid w:val="0"/>
              <w:jc w:val="center"/>
              <w:rPr>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1154" w:type="dxa"/>
            <w:vAlign w:val="center"/>
          </w:tcPr>
          <w:p>
            <w:pPr>
              <w:adjustRightInd w:val="0"/>
              <w:snapToGrid w:val="0"/>
              <w:jc w:val="center"/>
              <w:rPr>
                <w:color w:val="auto"/>
                <w:sz w:val="24"/>
              </w:rPr>
            </w:pPr>
          </w:p>
        </w:tc>
        <w:tc>
          <w:tcPr>
            <w:tcW w:w="1772" w:type="dxa"/>
            <w:vAlign w:val="center"/>
          </w:tcPr>
          <w:p>
            <w:pPr>
              <w:adjustRightInd w:val="0"/>
              <w:snapToGrid w:val="0"/>
              <w:jc w:val="center"/>
              <w:rPr>
                <w:color w:val="auto"/>
                <w:sz w:val="24"/>
              </w:rPr>
            </w:pPr>
          </w:p>
        </w:tc>
        <w:tc>
          <w:tcPr>
            <w:tcW w:w="1676" w:type="dxa"/>
            <w:vAlign w:val="center"/>
          </w:tcPr>
          <w:p>
            <w:pPr>
              <w:adjustRightInd w:val="0"/>
              <w:snapToGrid w:val="0"/>
              <w:jc w:val="center"/>
              <w:rPr>
                <w:color w:val="auto"/>
                <w:sz w:val="24"/>
              </w:rPr>
            </w:pPr>
          </w:p>
        </w:tc>
        <w:tc>
          <w:tcPr>
            <w:tcW w:w="1677" w:type="dxa"/>
            <w:vAlign w:val="center"/>
          </w:tcPr>
          <w:p>
            <w:pPr>
              <w:adjustRightInd w:val="0"/>
              <w:snapToGrid w:val="0"/>
              <w:jc w:val="center"/>
              <w:rPr>
                <w:color w:val="auto"/>
                <w:sz w:val="24"/>
              </w:rPr>
            </w:pPr>
          </w:p>
        </w:tc>
        <w:tc>
          <w:tcPr>
            <w:tcW w:w="1877" w:type="dxa"/>
            <w:vAlign w:val="center"/>
          </w:tcPr>
          <w:p>
            <w:pPr>
              <w:adjustRightInd w:val="0"/>
              <w:snapToGrid w:val="0"/>
              <w:jc w:val="center"/>
              <w:rPr>
                <w:color w:val="auto"/>
                <w:sz w:val="24"/>
              </w:rPr>
            </w:pPr>
          </w:p>
        </w:tc>
        <w:tc>
          <w:tcPr>
            <w:tcW w:w="1132" w:type="dxa"/>
            <w:vAlign w:val="center"/>
          </w:tcPr>
          <w:p>
            <w:pPr>
              <w:adjustRightInd w:val="0"/>
              <w:snapToGrid w:val="0"/>
              <w:jc w:val="center"/>
              <w:rPr>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1154" w:type="dxa"/>
            <w:vAlign w:val="center"/>
          </w:tcPr>
          <w:p>
            <w:pPr>
              <w:adjustRightInd w:val="0"/>
              <w:snapToGrid w:val="0"/>
              <w:jc w:val="center"/>
              <w:rPr>
                <w:color w:val="auto"/>
                <w:sz w:val="24"/>
              </w:rPr>
            </w:pPr>
          </w:p>
        </w:tc>
        <w:tc>
          <w:tcPr>
            <w:tcW w:w="1772" w:type="dxa"/>
            <w:vAlign w:val="center"/>
          </w:tcPr>
          <w:p>
            <w:pPr>
              <w:adjustRightInd w:val="0"/>
              <w:snapToGrid w:val="0"/>
              <w:jc w:val="center"/>
              <w:rPr>
                <w:color w:val="auto"/>
                <w:sz w:val="24"/>
              </w:rPr>
            </w:pPr>
          </w:p>
        </w:tc>
        <w:tc>
          <w:tcPr>
            <w:tcW w:w="1676" w:type="dxa"/>
            <w:vAlign w:val="center"/>
          </w:tcPr>
          <w:p>
            <w:pPr>
              <w:adjustRightInd w:val="0"/>
              <w:snapToGrid w:val="0"/>
              <w:jc w:val="center"/>
              <w:rPr>
                <w:color w:val="auto"/>
                <w:sz w:val="24"/>
              </w:rPr>
            </w:pPr>
          </w:p>
        </w:tc>
        <w:tc>
          <w:tcPr>
            <w:tcW w:w="1677" w:type="dxa"/>
            <w:vAlign w:val="center"/>
          </w:tcPr>
          <w:p>
            <w:pPr>
              <w:adjustRightInd w:val="0"/>
              <w:snapToGrid w:val="0"/>
              <w:jc w:val="center"/>
              <w:rPr>
                <w:color w:val="auto"/>
                <w:sz w:val="24"/>
              </w:rPr>
            </w:pPr>
          </w:p>
        </w:tc>
        <w:tc>
          <w:tcPr>
            <w:tcW w:w="1877" w:type="dxa"/>
            <w:vAlign w:val="center"/>
          </w:tcPr>
          <w:p>
            <w:pPr>
              <w:adjustRightInd w:val="0"/>
              <w:snapToGrid w:val="0"/>
              <w:jc w:val="center"/>
              <w:rPr>
                <w:color w:val="auto"/>
                <w:sz w:val="24"/>
              </w:rPr>
            </w:pPr>
          </w:p>
        </w:tc>
        <w:tc>
          <w:tcPr>
            <w:tcW w:w="1132" w:type="dxa"/>
            <w:vAlign w:val="center"/>
          </w:tcPr>
          <w:p>
            <w:pPr>
              <w:adjustRightInd w:val="0"/>
              <w:snapToGrid w:val="0"/>
              <w:jc w:val="center"/>
              <w:rPr>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1154" w:type="dxa"/>
            <w:vAlign w:val="center"/>
          </w:tcPr>
          <w:p>
            <w:pPr>
              <w:adjustRightInd w:val="0"/>
              <w:snapToGrid w:val="0"/>
              <w:jc w:val="center"/>
              <w:rPr>
                <w:color w:val="auto"/>
                <w:sz w:val="24"/>
              </w:rPr>
            </w:pPr>
          </w:p>
        </w:tc>
        <w:tc>
          <w:tcPr>
            <w:tcW w:w="1772" w:type="dxa"/>
            <w:vAlign w:val="center"/>
          </w:tcPr>
          <w:p>
            <w:pPr>
              <w:adjustRightInd w:val="0"/>
              <w:snapToGrid w:val="0"/>
              <w:jc w:val="center"/>
              <w:rPr>
                <w:color w:val="auto"/>
                <w:sz w:val="24"/>
              </w:rPr>
            </w:pPr>
          </w:p>
        </w:tc>
        <w:tc>
          <w:tcPr>
            <w:tcW w:w="1676" w:type="dxa"/>
            <w:vAlign w:val="center"/>
          </w:tcPr>
          <w:p>
            <w:pPr>
              <w:adjustRightInd w:val="0"/>
              <w:snapToGrid w:val="0"/>
              <w:jc w:val="center"/>
              <w:rPr>
                <w:color w:val="auto"/>
                <w:sz w:val="24"/>
              </w:rPr>
            </w:pPr>
          </w:p>
        </w:tc>
        <w:tc>
          <w:tcPr>
            <w:tcW w:w="1677" w:type="dxa"/>
            <w:vAlign w:val="center"/>
          </w:tcPr>
          <w:p>
            <w:pPr>
              <w:adjustRightInd w:val="0"/>
              <w:snapToGrid w:val="0"/>
              <w:jc w:val="center"/>
              <w:rPr>
                <w:color w:val="auto"/>
                <w:sz w:val="24"/>
              </w:rPr>
            </w:pPr>
          </w:p>
        </w:tc>
        <w:tc>
          <w:tcPr>
            <w:tcW w:w="1877" w:type="dxa"/>
            <w:vAlign w:val="center"/>
          </w:tcPr>
          <w:p>
            <w:pPr>
              <w:adjustRightInd w:val="0"/>
              <w:snapToGrid w:val="0"/>
              <w:jc w:val="center"/>
              <w:rPr>
                <w:color w:val="auto"/>
                <w:sz w:val="24"/>
              </w:rPr>
            </w:pPr>
          </w:p>
        </w:tc>
        <w:tc>
          <w:tcPr>
            <w:tcW w:w="1132" w:type="dxa"/>
            <w:vAlign w:val="center"/>
          </w:tcPr>
          <w:p>
            <w:pPr>
              <w:adjustRightInd w:val="0"/>
              <w:snapToGrid w:val="0"/>
              <w:jc w:val="center"/>
              <w:rPr>
                <w:color w:val="auto"/>
                <w:sz w:val="24"/>
              </w:rPr>
            </w:pPr>
          </w:p>
        </w:tc>
      </w:tr>
      <w:bookmarkEnd w:id="912"/>
    </w:tbl>
    <w:p>
      <w:pPr>
        <w:tabs>
          <w:tab w:val="left" w:pos="1800"/>
          <w:tab w:val="left" w:pos="5580"/>
        </w:tabs>
        <w:jc w:val="left"/>
        <w:rPr>
          <w:color w:val="auto"/>
          <w:sz w:val="24"/>
        </w:rPr>
      </w:pPr>
    </w:p>
    <w:p>
      <w:pPr>
        <w:tabs>
          <w:tab w:val="left" w:pos="1800"/>
          <w:tab w:val="left" w:pos="5580"/>
        </w:tabs>
        <w:jc w:val="left"/>
        <w:rPr>
          <w:color w:val="auto"/>
          <w:sz w:val="24"/>
        </w:rPr>
      </w:pPr>
      <w:r>
        <w:rPr>
          <w:color w:val="auto"/>
          <w:sz w:val="24"/>
        </w:rPr>
        <w:t>注：“偏离情况”列应据实填写“正偏离”或“负偏离”。</w:t>
      </w:r>
    </w:p>
    <w:p>
      <w:pPr>
        <w:spacing w:line="360" w:lineRule="auto"/>
        <w:rPr>
          <w:color w:val="auto"/>
          <w:sz w:val="24"/>
          <w:szCs w:val="20"/>
        </w:rPr>
      </w:pPr>
    </w:p>
    <w:p>
      <w:pPr>
        <w:autoSpaceDE w:val="0"/>
        <w:autoSpaceDN w:val="0"/>
        <w:adjustRightInd w:val="0"/>
        <w:snapToGrid w:val="0"/>
        <w:spacing w:before="25" w:after="25" w:line="360" w:lineRule="auto"/>
        <w:rPr>
          <w:color w:val="auto"/>
          <w:sz w:val="24"/>
          <w:lang w:val="zh-CN"/>
        </w:rPr>
      </w:pPr>
      <w:r>
        <w:rPr>
          <w:color w:val="auto"/>
          <w:sz w:val="24"/>
          <w:lang w:val="zh-CN"/>
        </w:rPr>
        <w:t xml:space="preserve">                      </w:t>
      </w:r>
    </w:p>
    <w:p>
      <w:pPr>
        <w:autoSpaceDE w:val="0"/>
        <w:autoSpaceDN w:val="0"/>
        <w:adjustRightInd w:val="0"/>
        <w:snapToGrid w:val="0"/>
        <w:spacing w:before="25" w:after="25" w:line="360" w:lineRule="auto"/>
        <w:rPr>
          <w:color w:val="auto"/>
          <w:sz w:val="24"/>
          <w:lang w:val="zh-CN"/>
        </w:rPr>
      </w:pPr>
      <w:r>
        <w:rPr>
          <w:color w:val="auto"/>
          <w:sz w:val="24"/>
        </w:rPr>
        <w:t>投标人名称（加盖公章）</w:t>
      </w:r>
      <w:r>
        <w:rPr>
          <w:color w:val="auto"/>
          <w:sz w:val="24"/>
          <w:lang w:val="zh-CN"/>
        </w:rPr>
        <w:t>：    ____________</w:t>
      </w:r>
    </w:p>
    <w:p>
      <w:pPr>
        <w:autoSpaceDE w:val="0"/>
        <w:autoSpaceDN w:val="0"/>
        <w:adjustRightInd w:val="0"/>
        <w:snapToGrid w:val="0"/>
        <w:spacing w:before="25" w:after="25" w:line="360" w:lineRule="auto"/>
        <w:rPr>
          <w:color w:val="auto"/>
          <w:sz w:val="24"/>
          <w:lang w:val="zh-CN"/>
        </w:rPr>
      </w:pPr>
      <w:r>
        <w:rPr>
          <w:color w:val="auto"/>
          <w:sz w:val="24"/>
          <w:szCs w:val="20"/>
        </w:rPr>
        <w:t xml:space="preserve">日期：_____年______月______日   </w:t>
      </w:r>
    </w:p>
    <w:p>
      <w:pPr>
        <w:numPr>
          <w:ilvl w:val="0"/>
          <w:numId w:val="19"/>
        </w:numPr>
        <w:tabs>
          <w:tab w:val="left" w:pos="360"/>
        </w:tabs>
        <w:snapToGrid w:val="0"/>
        <w:spacing w:line="360" w:lineRule="auto"/>
        <w:outlineLvl w:val="1"/>
        <w:rPr>
          <w:color w:val="auto"/>
          <w:sz w:val="24"/>
          <w:szCs w:val="20"/>
        </w:rPr>
      </w:pPr>
      <w:r>
        <w:rPr>
          <w:color w:val="auto"/>
          <w:sz w:val="24"/>
          <w:szCs w:val="20"/>
        </w:rPr>
        <w:br w:type="page"/>
      </w:r>
      <w:bookmarkEnd w:id="899"/>
      <w:bookmarkEnd w:id="900"/>
      <w:bookmarkEnd w:id="901"/>
      <w:bookmarkEnd w:id="902"/>
      <w:bookmarkEnd w:id="903"/>
      <w:bookmarkEnd w:id="904"/>
      <w:bookmarkEnd w:id="905"/>
      <w:bookmarkEnd w:id="906"/>
      <w:bookmarkEnd w:id="907"/>
      <w:bookmarkEnd w:id="908"/>
      <w:bookmarkEnd w:id="909"/>
      <w:bookmarkEnd w:id="910"/>
      <w:bookmarkEnd w:id="911"/>
      <w:r>
        <w:rPr>
          <w:color w:val="auto"/>
          <w:sz w:val="24"/>
          <w:szCs w:val="20"/>
        </w:rPr>
        <w:t>采购需求偏离表（实质性格式）</w:t>
      </w:r>
    </w:p>
    <w:p>
      <w:pPr>
        <w:autoSpaceDE w:val="0"/>
        <w:autoSpaceDN w:val="0"/>
        <w:adjustRightInd w:val="0"/>
        <w:spacing w:line="360" w:lineRule="auto"/>
        <w:jc w:val="center"/>
        <w:rPr>
          <w:b/>
          <w:color w:val="auto"/>
          <w:sz w:val="36"/>
          <w:szCs w:val="36"/>
        </w:rPr>
      </w:pPr>
      <w:r>
        <w:rPr>
          <w:b/>
          <w:color w:val="auto"/>
          <w:sz w:val="36"/>
          <w:szCs w:val="36"/>
        </w:rPr>
        <w:t>采购需求偏离表</w:t>
      </w:r>
    </w:p>
    <w:p>
      <w:pPr>
        <w:tabs>
          <w:tab w:val="left" w:pos="1800"/>
          <w:tab w:val="left" w:pos="5580"/>
        </w:tabs>
        <w:spacing w:line="360" w:lineRule="auto"/>
        <w:ind w:firstLine="360" w:firstLineChars="150"/>
        <w:jc w:val="left"/>
        <w:rPr>
          <w:color w:val="auto"/>
          <w:sz w:val="24"/>
          <w:u w:val="single"/>
        </w:rPr>
      </w:pPr>
      <w:r>
        <w:rPr>
          <w:rFonts w:hint="eastAsia"/>
          <w:color w:val="auto"/>
          <w:sz w:val="24"/>
        </w:rPr>
        <w:t>项目编号</w:t>
      </w:r>
      <w:r>
        <w:rPr>
          <w:color w:val="auto"/>
          <w:sz w:val="24"/>
        </w:rPr>
        <w:t>：_____________________     项目名称：____________</w:t>
      </w:r>
    </w:p>
    <w:tbl>
      <w:tblPr>
        <w:tblStyle w:val="44"/>
        <w:tblW w:w="96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5"/>
        <w:gridCol w:w="1482"/>
        <w:gridCol w:w="2384"/>
        <w:gridCol w:w="2126"/>
        <w:gridCol w:w="1875"/>
        <w:gridCol w:w="100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3" w:hRule="atLeast"/>
          <w:jc w:val="center"/>
        </w:trPr>
        <w:tc>
          <w:tcPr>
            <w:tcW w:w="775" w:type="dxa"/>
            <w:vAlign w:val="center"/>
          </w:tcPr>
          <w:p>
            <w:pPr>
              <w:adjustRightInd w:val="0"/>
              <w:snapToGrid w:val="0"/>
              <w:jc w:val="center"/>
              <w:rPr>
                <w:color w:val="auto"/>
                <w:sz w:val="24"/>
              </w:rPr>
            </w:pPr>
            <w:r>
              <w:rPr>
                <w:color w:val="auto"/>
                <w:sz w:val="24"/>
              </w:rPr>
              <w:t>序号</w:t>
            </w:r>
          </w:p>
        </w:tc>
        <w:tc>
          <w:tcPr>
            <w:tcW w:w="1482" w:type="dxa"/>
            <w:vAlign w:val="center"/>
          </w:tcPr>
          <w:p>
            <w:pPr>
              <w:adjustRightInd w:val="0"/>
              <w:snapToGrid w:val="0"/>
              <w:jc w:val="center"/>
              <w:rPr>
                <w:color w:val="auto"/>
                <w:sz w:val="24"/>
              </w:rPr>
            </w:pPr>
            <w:r>
              <w:rPr>
                <w:color w:val="auto"/>
                <w:sz w:val="24"/>
              </w:rPr>
              <w:t>招标文件条目号(页码)</w:t>
            </w:r>
          </w:p>
        </w:tc>
        <w:tc>
          <w:tcPr>
            <w:tcW w:w="2384" w:type="dxa"/>
            <w:vAlign w:val="center"/>
          </w:tcPr>
          <w:p>
            <w:pPr>
              <w:adjustRightInd w:val="0"/>
              <w:snapToGrid w:val="0"/>
              <w:jc w:val="center"/>
              <w:rPr>
                <w:color w:val="auto"/>
                <w:sz w:val="24"/>
              </w:rPr>
            </w:pPr>
            <w:r>
              <w:rPr>
                <w:color w:val="auto"/>
                <w:sz w:val="24"/>
              </w:rPr>
              <w:t>招标文件要求</w:t>
            </w:r>
          </w:p>
        </w:tc>
        <w:tc>
          <w:tcPr>
            <w:tcW w:w="2126" w:type="dxa"/>
            <w:vAlign w:val="center"/>
          </w:tcPr>
          <w:p>
            <w:pPr>
              <w:adjustRightInd w:val="0"/>
              <w:snapToGrid w:val="0"/>
              <w:jc w:val="center"/>
              <w:rPr>
                <w:color w:val="auto"/>
                <w:sz w:val="24"/>
              </w:rPr>
            </w:pPr>
            <w:r>
              <w:rPr>
                <w:color w:val="auto"/>
                <w:sz w:val="24"/>
              </w:rPr>
              <w:t>投标响应内容</w:t>
            </w:r>
          </w:p>
        </w:tc>
        <w:tc>
          <w:tcPr>
            <w:tcW w:w="1875" w:type="dxa"/>
            <w:vAlign w:val="center"/>
          </w:tcPr>
          <w:p>
            <w:pPr>
              <w:adjustRightInd w:val="0"/>
              <w:snapToGrid w:val="0"/>
              <w:jc w:val="center"/>
              <w:rPr>
                <w:color w:val="auto"/>
                <w:sz w:val="24"/>
              </w:rPr>
            </w:pPr>
            <w:r>
              <w:rPr>
                <w:color w:val="auto"/>
                <w:sz w:val="24"/>
              </w:rPr>
              <w:t>偏离情况</w:t>
            </w:r>
          </w:p>
        </w:tc>
        <w:tc>
          <w:tcPr>
            <w:tcW w:w="1009" w:type="dxa"/>
            <w:vAlign w:val="center"/>
          </w:tcPr>
          <w:p>
            <w:pPr>
              <w:adjustRightInd w:val="0"/>
              <w:snapToGrid w:val="0"/>
              <w:jc w:val="center"/>
              <w:rPr>
                <w:color w:val="auto"/>
                <w:sz w:val="24"/>
              </w:rPr>
            </w:pPr>
            <w:r>
              <w:rPr>
                <w:color w:val="auto"/>
                <w:sz w:val="24"/>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pPr>
              <w:adjustRightInd w:val="0"/>
              <w:snapToGrid w:val="0"/>
              <w:jc w:val="center"/>
              <w:rPr>
                <w:color w:val="auto"/>
                <w:sz w:val="24"/>
              </w:rPr>
            </w:pPr>
          </w:p>
        </w:tc>
        <w:tc>
          <w:tcPr>
            <w:tcW w:w="1482" w:type="dxa"/>
            <w:vAlign w:val="center"/>
          </w:tcPr>
          <w:p>
            <w:pPr>
              <w:adjustRightInd w:val="0"/>
              <w:snapToGrid w:val="0"/>
              <w:jc w:val="center"/>
              <w:rPr>
                <w:color w:val="auto"/>
                <w:sz w:val="24"/>
              </w:rPr>
            </w:pPr>
          </w:p>
        </w:tc>
        <w:tc>
          <w:tcPr>
            <w:tcW w:w="2384" w:type="dxa"/>
            <w:vAlign w:val="center"/>
          </w:tcPr>
          <w:p>
            <w:pPr>
              <w:adjustRightInd w:val="0"/>
              <w:snapToGrid w:val="0"/>
              <w:jc w:val="center"/>
              <w:rPr>
                <w:color w:val="auto"/>
                <w:sz w:val="24"/>
              </w:rPr>
            </w:pPr>
          </w:p>
        </w:tc>
        <w:tc>
          <w:tcPr>
            <w:tcW w:w="2126" w:type="dxa"/>
            <w:vAlign w:val="center"/>
          </w:tcPr>
          <w:p>
            <w:pPr>
              <w:adjustRightInd w:val="0"/>
              <w:snapToGrid w:val="0"/>
              <w:jc w:val="center"/>
              <w:rPr>
                <w:color w:val="auto"/>
                <w:sz w:val="24"/>
              </w:rPr>
            </w:pPr>
          </w:p>
        </w:tc>
        <w:tc>
          <w:tcPr>
            <w:tcW w:w="1875" w:type="dxa"/>
            <w:vAlign w:val="center"/>
          </w:tcPr>
          <w:p>
            <w:pPr>
              <w:adjustRightInd w:val="0"/>
              <w:snapToGrid w:val="0"/>
              <w:jc w:val="center"/>
              <w:rPr>
                <w:color w:val="auto"/>
                <w:sz w:val="24"/>
              </w:rPr>
            </w:pPr>
          </w:p>
        </w:tc>
        <w:tc>
          <w:tcPr>
            <w:tcW w:w="1009" w:type="dxa"/>
            <w:vAlign w:val="center"/>
          </w:tcPr>
          <w:p>
            <w:pPr>
              <w:adjustRightInd w:val="0"/>
              <w:snapToGrid w:val="0"/>
              <w:jc w:val="center"/>
              <w:rPr>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pPr>
              <w:adjustRightInd w:val="0"/>
              <w:snapToGrid w:val="0"/>
              <w:jc w:val="center"/>
              <w:rPr>
                <w:color w:val="auto"/>
                <w:sz w:val="24"/>
              </w:rPr>
            </w:pPr>
          </w:p>
        </w:tc>
        <w:tc>
          <w:tcPr>
            <w:tcW w:w="1482" w:type="dxa"/>
            <w:vAlign w:val="center"/>
          </w:tcPr>
          <w:p>
            <w:pPr>
              <w:adjustRightInd w:val="0"/>
              <w:snapToGrid w:val="0"/>
              <w:jc w:val="center"/>
              <w:rPr>
                <w:color w:val="auto"/>
                <w:sz w:val="24"/>
              </w:rPr>
            </w:pPr>
          </w:p>
        </w:tc>
        <w:tc>
          <w:tcPr>
            <w:tcW w:w="2384" w:type="dxa"/>
            <w:vAlign w:val="center"/>
          </w:tcPr>
          <w:p>
            <w:pPr>
              <w:adjustRightInd w:val="0"/>
              <w:snapToGrid w:val="0"/>
              <w:jc w:val="center"/>
              <w:rPr>
                <w:color w:val="auto"/>
                <w:sz w:val="24"/>
              </w:rPr>
            </w:pPr>
          </w:p>
        </w:tc>
        <w:tc>
          <w:tcPr>
            <w:tcW w:w="2126" w:type="dxa"/>
            <w:vAlign w:val="center"/>
          </w:tcPr>
          <w:p>
            <w:pPr>
              <w:adjustRightInd w:val="0"/>
              <w:snapToGrid w:val="0"/>
              <w:jc w:val="center"/>
              <w:rPr>
                <w:color w:val="auto"/>
                <w:sz w:val="24"/>
              </w:rPr>
            </w:pPr>
          </w:p>
        </w:tc>
        <w:tc>
          <w:tcPr>
            <w:tcW w:w="1875" w:type="dxa"/>
            <w:vAlign w:val="center"/>
          </w:tcPr>
          <w:p>
            <w:pPr>
              <w:adjustRightInd w:val="0"/>
              <w:snapToGrid w:val="0"/>
              <w:jc w:val="center"/>
              <w:rPr>
                <w:color w:val="auto"/>
                <w:sz w:val="24"/>
              </w:rPr>
            </w:pPr>
          </w:p>
        </w:tc>
        <w:tc>
          <w:tcPr>
            <w:tcW w:w="1009" w:type="dxa"/>
            <w:vAlign w:val="center"/>
          </w:tcPr>
          <w:p>
            <w:pPr>
              <w:adjustRightInd w:val="0"/>
              <w:snapToGrid w:val="0"/>
              <w:jc w:val="center"/>
              <w:rPr>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pPr>
              <w:adjustRightInd w:val="0"/>
              <w:snapToGrid w:val="0"/>
              <w:jc w:val="center"/>
              <w:rPr>
                <w:color w:val="auto"/>
                <w:sz w:val="24"/>
              </w:rPr>
            </w:pPr>
          </w:p>
        </w:tc>
        <w:tc>
          <w:tcPr>
            <w:tcW w:w="1482" w:type="dxa"/>
            <w:vAlign w:val="center"/>
          </w:tcPr>
          <w:p>
            <w:pPr>
              <w:adjustRightInd w:val="0"/>
              <w:snapToGrid w:val="0"/>
              <w:jc w:val="center"/>
              <w:rPr>
                <w:color w:val="auto"/>
                <w:sz w:val="24"/>
              </w:rPr>
            </w:pPr>
          </w:p>
        </w:tc>
        <w:tc>
          <w:tcPr>
            <w:tcW w:w="2384" w:type="dxa"/>
            <w:vAlign w:val="center"/>
          </w:tcPr>
          <w:p>
            <w:pPr>
              <w:adjustRightInd w:val="0"/>
              <w:snapToGrid w:val="0"/>
              <w:jc w:val="center"/>
              <w:rPr>
                <w:color w:val="auto"/>
                <w:sz w:val="24"/>
              </w:rPr>
            </w:pPr>
          </w:p>
        </w:tc>
        <w:tc>
          <w:tcPr>
            <w:tcW w:w="2126" w:type="dxa"/>
            <w:vAlign w:val="center"/>
          </w:tcPr>
          <w:p>
            <w:pPr>
              <w:adjustRightInd w:val="0"/>
              <w:snapToGrid w:val="0"/>
              <w:jc w:val="center"/>
              <w:rPr>
                <w:color w:val="auto"/>
                <w:sz w:val="24"/>
              </w:rPr>
            </w:pPr>
          </w:p>
        </w:tc>
        <w:tc>
          <w:tcPr>
            <w:tcW w:w="1875" w:type="dxa"/>
            <w:vAlign w:val="center"/>
          </w:tcPr>
          <w:p>
            <w:pPr>
              <w:adjustRightInd w:val="0"/>
              <w:snapToGrid w:val="0"/>
              <w:jc w:val="center"/>
              <w:rPr>
                <w:color w:val="auto"/>
                <w:sz w:val="24"/>
              </w:rPr>
            </w:pPr>
          </w:p>
        </w:tc>
        <w:tc>
          <w:tcPr>
            <w:tcW w:w="1009" w:type="dxa"/>
            <w:vAlign w:val="center"/>
          </w:tcPr>
          <w:p>
            <w:pPr>
              <w:adjustRightInd w:val="0"/>
              <w:snapToGrid w:val="0"/>
              <w:jc w:val="center"/>
              <w:rPr>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pPr>
              <w:adjustRightInd w:val="0"/>
              <w:snapToGrid w:val="0"/>
              <w:jc w:val="center"/>
              <w:rPr>
                <w:color w:val="auto"/>
                <w:sz w:val="24"/>
              </w:rPr>
            </w:pPr>
          </w:p>
        </w:tc>
        <w:tc>
          <w:tcPr>
            <w:tcW w:w="1482" w:type="dxa"/>
            <w:vAlign w:val="center"/>
          </w:tcPr>
          <w:p>
            <w:pPr>
              <w:adjustRightInd w:val="0"/>
              <w:snapToGrid w:val="0"/>
              <w:jc w:val="center"/>
              <w:rPr>
                <w:color w:val="auto"/>
                <w:sz w:val="24"/>
              </w:rPr>
            </w:pPr>
          </w:p>
        </w:tc>
        <w:tc>
          <w:tcPr>
            <w:tcW w:w="2384" w:type="dxa"/>
            <w:vAlign w:val="center"/>
          </w:tcPr>
          <w:p>
            <w:pPr>
              <w:adjustRightInd w:val="0"/>
              <w:snapToGrid w:val="0"/>
              <w:jc w:val="center"/>
              <w:rPr>
                <w:color w:val="auto"/>
                <w:sz w:val="24"/>
              </w:rPr>
            </w:pPr>
          </w:p>
        </w:tc>
        <w:tc>
          <w:tcPr>
            <w:tcW w:w="2126" w:type="dxa"/>
            <w:vAlign w:val="center"/>
          </w:tcPr>
          <w:p>
            <w:pPr>
              <w:adjustRightInd w:val="0"/>
              <w:snapToGrid w:val="0"/>
              <w:jc w:val="center"/>
              <w:rPr>
                <w:color w:val="auto"/>
                <w:sz w:val="24"/>
              </w:rPr>
            </w:pPr>
          </w:p>
        </w:tc>
        <w:tc>
          <w:tcPr>
            <w:tcW w:w="1875" w:type="dxa"/>
            <w:vAlign w:val="center"/>
          </w:tcPr>
          <w:p>
            <w:pPr>
              <w:adjustRightInd w:val="0"/>
              <w:snapToGrid w:val="0"/>
              <w:jc w:val="center"/>
              <w:rPr>
                <w:color w:val="auto"/>
                <w:sz w:val="24"/>
              </w:rPr>
            </w:pPr>
          </w:p>
        </w:tc>
        <w:tc>
          <w:tcPr>
            <w:tcW w:w="1009" w:type="dxa"/>
            <w:vAlign w:val="center"/>
          </w:tcPr>
          <w:p>
            <w:pPr>
              <w:adjustRightInd w:val="0"/>
              <w:snapToGrid w:val="0"/>
              <w:jc w:val="center"/>
              <w:rPr>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pPr>
              <w:adjustRightInd w:val="0"/>
              <w:snapToGrid w:val="0"/>
              <w:jc w:val="center"/>
              <w:rPr>
                <w:color w:val="auto"/>
                <w:sz w:val="24"/>
              </w:rPr>
            </w:pPr>
          </w:p>
        </w:tc>
        <w:tc>
          <w:tcPr>
            <w:tcW w:w="1482" w:type="dxa"/>
            <w:vAlign w:val="center"/>
          </w:tcPr>
          <w:p>
            <w:pPr>
              <w:adjustRightInd w:val="0"/>
              <w:snapToGrid w:val="0"/>
              <w:jc w:val="center"/>
              <w:rPr>
                <w:color w:val="auto"/>
                <w:sz w:val="24"/>
              </w:rPr>
            </w:pPr>
          </w:p>
        </w:tc>
        <w:tc>
          <w:tcPr>
            <w:tcW w:w="2384" w:type="dxa"/>
            <w:vAlign w:val="center"/>
          </w:tcPr>
          <w:p>
            <w:pPr>
              <w:adjustRightInd w:val="0"/>
              <w:snapToGrid w:val="0"/>
              <w:jc w:val="center"/>
              <w:rPr>
                <w:color w:val="auto"/>
                <w:sz w:val="24"/>
              </w:rPr>
            </w:pPr>
          </w:p>
        </w:tc>
        <w:tc>
          <w:tcPr>
            <w:tcW w:w="2126" w:type="dxa"/>
            <w:vAlign w:val="center"/>
          </w:tcPr>
          <w:p>
            <w:pPr>
              <w:adjustRightInd w:val="0"/>
              <w:snapToGrid w:val="0"/>
              <w:jc w:val="center"/>
              <w:rPr>
                <w:color w:val="auto"/>
                <w:sz w:val="24"/>
              </w:rPr>
            </w:pPr>
          </w:p>
        </w:tc>
        <w:tc>
          <w:tcPr>
            <w:tcW w:w="1875" w:type="dxa"/>
            <w:vAlign w:val="center"/>
          </w:tcPr>
          <w:p>
            <w:pPr>
              <w:adjustRightInd w:val="0"/>
              <w:snapToGrid w:val="0"/>
              <w:jc w:val="center"/>
              <w:rPr>
                <w:color w:val="auto"/>
                <w:sz w:val="24"/>
              </w:rPr>
            </w:pPr>
          </w:p>
        </w:tc>
        <w:tc>
          <w:tcPr>
            <w:tcW w:w="1009" w:type="dxa"/>
            <w:vAlign w:val="center"/>
          </w:tcPr>
          <w:p>
            <w:pPr>
              <w:adjustRightInd w:val="0"/>
              <w:snapToGrid w:val="0"/>
              <w:jc w:val="center"/>
              <w:rPr>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pPr>
              <w:adjustRightInd w:val="0"/>
              <w:snapToGrid w:val="0"/>
              <w:jc w:val="center"/>
              <w:rPr>
                <w:color w:val="auto"/>
                <w:sz w:val="24"/>
              </w:rPr>
            </w:pPr>
          </w:p>
        </w:tc>
        <w:tc>
          <w:tcPr>
            <w:tcW w:w="1482" w:type="dxa"/>
            <w:vAlign w:val="center"/>
          </w:tcPr>
          <w:p>
            <w:pPr>
              <w:adjustRightInd w:val="0"/>
              <w:snapToGrid w:val="0"/>
              <w:jc w:val="center"/>
              <w:rPr>
                <w:color w:val="auto"/>
                <w:sz w:val="24"/>
              </w:rPr>
            </w:pPr>
          </w:p>
        </w:tc>
        <w:tc>
          <w:tcPr>
            <w:tcW w:w="2384" w:type="dxa"/>
            <w:vAlign w:val="center"/>
          </w:tcPr>
          <w:p>
            <w:pPr>
              <w:adjustRightInd w:val="0"/>
              <w:snapToGrid w:val="0"/>
              <w:jc w:val="center"/>
              <w:rPr>
                <w:color w:val="auto"/>
                <w:sz w:val="24"/>
              </w:rPr>
            </w:pPr>
          </w:p>
        </w:tc>
        <w:tc>
          <w:tcPr>
            <w:tcW w:w="2126" w:type="dxa"/>
            <w:vAlign w:val="center"/>
          </w:tcPr>
          <w:p>
            <w:pPr>
              <w:adjustRightInd w:val="0"/>
              <w:snapToGrid w:val="0"/>
              <w:jc w:val="center"/>
              <w:rPr>
                <w:color w:val="auto"/>
                <w:sz w:val="24"/>
              </w:rPr>
            </w:pPr>
          </w:p>
        </w:tc>
        <w:tc>
          <w:tcPr>
            <w:tcW w:w="1875" w:type="dxa"/>
            <w:vAlign w:val="center"/>
          </w:tcPr>
          <w:p>
            <w:pPr>
              <w:adjustRightInd w:val="0"/>
              <w:snapToGrid w:val="0"/>
              <w:jc w:val="center"/>
              <w:rPr>
                <w:color w:val="auto"/>
                <w:sz w:val="24"/>
              </w:rPr>
            </w:pPr>
          </w:p>
        </w:tc>
        <w:tc>
          <w:tcPr>
            <w:tcW w:w="1009" w:type="dxa"/>
            <w:vAlign w:val="center"/>
          </w:tcPr>
          <w:p>
            <w:pPr>
              <w:adjustRightInd w:val="0"/>
              <w:snapToGrid w:val="0"/>
              <w:jc w:val="center"/>
              <w:rPr>
                <w:color w:val="auto"/>
                <w:sz w:val="24"/>
              </w:rPr>
            </w:pPr>
          </w:p>
        </w:tc>
      </w:tr>
    </w:tbl>
    <w:p>
      <w:pPr>
        <w:tabs>
          <w:tab w:val="left" w:pos="1800"/>
          <w:tab w:val="left" w:pos="5580"/>
        </w:tabs>
        <w:spacing w:line="360" w:lineRule="auto"/>
        <w:ind w:firstLine="360" w:firstLineChars="150"/>
        <w:jc w:val="left"/>
        <w:rPr>
          <w:color w:val="auto"/>
          <w:sz w:val="24"/>
          <w:u w:val="single"/>
        </w:rPr>
      </w:pPr>
    </w:p>
    <w:p>
      <w:pPr>
        <w:tabs>
          <w:tab w:val="left" w:pos="1800"/>
          <w:tab w:val="left" w:pos="5580"/>
        </w:tabs>
        <w:spacing w:line="360" w:lineRule="auto"/>
        <w:ind w:firstLine="360" w:firstLineChars="150"/>
        <w:jc w:val="left"/>
        <w:rPr>
          <w:color w:val="auto"/>
          <w:sz w:val="24"/>
          <w:u w:val="single"/>
        </w:rPr>
      </w:pPr>
    </w:p>
    <w:p>
      <w:pPr>
        <w:tabs>
          <w:tab w:val="left" w:pos="1800"/>
          <w:tab w:val="left" w:pos="5580"/>
        </w:tabs>
        <w:jc w:val="left"/>
        <w:rPr>
          <w:color w:val="auto"/>
          <w:sz w:val="24"/>
        </w:rPr>
      </w:pPr>
      <w:r>
        <w:rPr>
          <w:color w:val="auto"/>
          <w:sz w:val="24"/>
        </w:rPr>
        <w:t>注：</w:t>
      </w:r>
    </w:p>
    <w:p>
      <w:pPr>
        <w:tabs>
          <w:tab w:val="left" w:pos="1800"/>
          <w:tab w:val="left" w:pos="5580"/>
        </w:tabs>
        <w:jc w:val="left"/>
        <w:rPr>
          <w:color w:val="auto"/>
          <w:sz w:val="24"/>
        </w:rPr>
      </w:pPr>
      <w:r>
        <w:rPr>
          <w:color w:val="auto"/>
          <w:sz w:val="24"/>
        </w:rPr>
        <w:t>1. 对招标文件中的所有商务、技术要求，除本表所列明的所有偏离外，均视作供应商已对之理解和响应。此表中若无任何文字说明，内容为空白的，</w:t>
      </w:r>
      <w:r>
        <w:rPr>
          <w:b/>
          <w:color w:val="auto"/>
          <w:sz w:val="24"/>
        </w:rPr>
        <w:t>投标无效。</w:t>
      </w:r>
    </w:p>
    <w:p>
      <w:pPr>
        <w:tabs>
          <w:tab w:val="left" w:pos="1800"/>
          <w:tab w:val="left" w:pos="5580"/>
        </w:tabs>
        <w:jc w:val="left"/>
        <w:rPr>
          <w:color w:val="auto"/>
          <w:sz w:val="24"/>
        </w:rPr>
      </w:pPr>
      <w:r>
        <w:rPr>
          <w:color w:val="auto"/>
          <w:sz w:val="24"/>
        </w:rPr>
        <w:t>2.“偏离情况”列应据实填写“无偏离”、“正偏离”或“负偏离”。</w:t>
      </w:r>
    </w:p>
    <w:p>
      <w:pPr>
        <w:tabs>
          <w:tab w:val="left" w:pos="1800"/>
          <w:tab w:val="left" w:pos="5580"/>
        </w:tabs>
        <w:jc w:val="left"/>
        <w:rPr>
          <w:color w:val="auto"/>
          <w:sz w:val="24"/>
        </w:rPr>
      </w:pPr>
    </w:p>
    <w:p>
      <w:pPr>
        <w:tabs>
          <w:tab w:val="left" w:pos="1800"/>
          <w:tab w:val="left" w:pos="5580"/>
        </w:tabs>
        <w:jc w:val="left"/>
        <w:rPr>
          <w:color w:val="auto"/>
          <w:sz w:val="24"/>
        </w:rPr>
      </w:pPr>
    </w:p>
    <w:p>
      <w:pPr>
        <w:rPr>
          <w:color w:val="auto"/>
          <w:sz w:val="24"/>
          <w:szCs w:val="20"/>
        </w:rPr>
      </w:pPr>
    </w:p>
    <w:p>
      <w:pPr>
        <w:autoSpaceDE w:val="0"/>
        <w:autoSpaceDN w:val="0"/>
        <w:adjustRightInd w:val="0"/>
        <w:snapToGrid w:val="0"/>
        <w:spacing w:before="25" w:after="25" w:line="360" w:lineRule="auto"/>
        <w:rPr>
          <w:color w:val="auto"/>
          <w:sz w:val="24"/>
          <w:lang w:val="zh-CN"/>
        </w:rPr>
      </w:pPr>
      <w:r>
        <w:rPr>
          <w:color w:val="auto"/>
          <w:sz w:val="24"/>
          <w:lang w:val="zh-CN"/>
        </w:rPr>
        <w:t xml:space="preserve">                  </w:t>
      </w:r>
    </w:p>
    <w:p>
      <w:pPr>
        <w:autoSpaceDE w:val="0"/>
        <w:autoSpaceDN w:val="0"/>
        <w:adjustRightInd w:val="0"/>
        <w:snapToGrid w:val="0"/>
        <w:spacing w:before="25" w:after="25" w:line="360" w:lineRule="auto"/>
        <w:rPr>
          <w:color w:val="auto"/>
          <w:sz w:val="24"/>
          <w:lang w:val="zh-CN"/>
        </w:rPr>
      </w:pPr>
      <w:r>
        <w:rPr>
          <w:color w:val="auto"/>
          <w:sz w:val="24"/>
        </w:rPr>
        <w:t>投标人名称（加盖公章）</w:t>
      </w:r>
      <w:r>
        <w:rPr>
          <w:color w:val="auto"/>
          <w:sz w:val="24"/>
          <w:lang w:val="zh-CN"/>
        </w:rPr>
        <w:t>：    ____________</w:t>
      </w:r>
    </w:p>
    <w:p>
      <w:pPr>
        <w:autoSpaceDE w:val="0"/>
        <w:autoSpaceDN w:val="0"/>
        <w:adjustRightInd w:val="0"/>
        <w:snapToGrid w:val="0"/>
        <w:spacing w:before="25" w:after="25" w:line="360" w:lineRule="auto"/>
        <w:rPr>
          <w:color w:val="auto"/>
          <w:sz w:val="24"/>
          <w:lang w:val="zh-CN"/>
        </w:rPr>
      </w:pPr>
      <w:r>
        <w:rPr>
          <w:color w:val="auto"/>
          <w:sz w:val="24"/>
          <w:szCs w:val="20"/>
        </w:rPr>
        <w:t xml:space="preserve">日期：_____年______月______日   </w:t>
      </w:r>
    </w:p>
    <w:p>
      <w:pPr>
        <w:tabs>
          <w:tab w:val="left" w:pos="360"/>
        </w:tabs>
        <w:snapToGrid w:val="0"/>
        <w:spacing w:line="360" w:lineRule="auto"/>
        <w:outlineLvl w:val="2"/>
        <w:rPr>
          <w:color w:val="auto"/>
          <w:sz w:val="24"/>
        </w:rPr>
      </w:pPr>
      <w:r>
        <w:rPr>
          <w:color w:val="auto"/>
          <w:sz w:val="24"/>
          <w:szCs w:val="20"/>
        </w:rPr>
        <w:br w:type="page"/>
      </w:r>
      <w:r>
        <w:rPr>
          <w:color w:val="auto"/>
          <w:sz w:val="24"/>
          <w:szCs w:val="20"/>
        </w:rPr>
        <w:t xml:space="preserve">7  </w:t>
      </w:r>
      <w:r>
        <w:rPr>
          <w:rFonts w:hint="eastAsia"/>
          <w:color w:val="auto"/>
          <w:sz w:val="24"/>
        </w:rPr>
        <w:t>中标服务费承诺书</w:t>
      </w:r>
      <w:r>
        <w:rPr>
          <w:color w:val="auto"/>
          <w:sz w:val="24"/>
        </w:rPr>
        <w:t>（实质性格式）</w:t>
      </w:r>
    </w:p>
    <w:p>
      <w:pPr>
        <w:spacing w:line="480" w:lineRule="auto"/>
        <w:jc w:val="center"/>
        <w:rPr>
          <w:rFonts w:ascii="宋体" w:hAnsi="宋体"/>
          <w:color w:val="auto"/>
          <w:szCs w:val="21"/>
        </w:rPr>
      </w:pPr>
      <w:r>
        <w:rPr>
          <w:rFonts w:hint="eastAsia"/>
          <w:b/>
          <w:color w:val="auto"/>
          <w:sz w:val="36"/>
          <w:szCs w:val="36"/>
        </w:rPr>
        <w:t>中标服务费承诺书</w:t>
      </w:r>
    </w:p>
    <w:p>
      <w:pPr>
        <w:spacing w:line="480" w:lineRule="auto"/>
        <w:rPr>
          <w:rFonts w:ascii="宋体" w:hAnsi="宋体"/>
          <w:color w:val="auto"/>
          <w:sz w:val="24"/>
        </w:rPr>
      </w:pPr>
      <w:r>
        <w:rPr>
          <w:rFonts w:hint="eastAsia" w:ascii="宋体" w:hAnsi="宋体"/>
          <w:color w:val="auto"/>
          <w:sz w:val="24"/>
        </w:rPr>
        <w:t>致：中工国际招标有限公司：</w:t>
      </w:r>
    </w:p>
    <w:p>
      <w:pPr>
        <w:spacing w:line="480" w:lineRule="auto"/>
        <w:ind w:firstLine="480" w:firstLineChars="200"/>
        <w:rPr>
          <w:rFonts w:ascii="宋体" w:hAnsi="宋体"/>
          <w:color w:val="auto"/>
          <w:sz w:val="24"/>
        </w:rPr>
      </w:pPr>
      <w:r>
        <w:rPr>
          <w:rFonts w:hint="eastAsia" w:ascii="宋体" w:hAnsi="宋体"/>
          <w:color w:val="auto"/>
          <w:sz w:val="24"/>
        </w:rPr>
        <w:t>我们在贵公司组织的</w:t>
      </w:r>
      <w:r>
        <w:rPr>
          <w:rFonts w:ascii="宋体" w:hAnsi="宋体"/>
          <w:color w:val="auto"/>
          <w:sz w:val="24"/>
          <w:u w:val="single"/>
        </w:rPr>
        <w:tab/>
      </w:r>
      <w:r>
        <w:rPr>
          <w:rFonts w:ascii="宋体" w:hAnsi="宋体"/>
          <w:color w:val="auto"/>
          <w:sz w:val="24"/>
          <w:u w:val="single"/>
        </w:rPr>
        <w:tab/>
      </w:r>
      <w:r>
        <w:rPr>
          <w:rFonts w:hint="eastAsia" w:ascii="宋体" w:hAnsi="宋体"/>
          <w:color w:val="auto"/>
          <w:sz w:val="24"/>
        </w:rPr>
        <w:t>项目招标中若获中标（采购文件编号：</w:t>
      </w:r>
      <w:r>
        <w:rPr>
          <w:rFonts w:ascii="宋体" w:hAnsi="宋体"/>
          <w:color w:val="auto"/>
          <w:sz w:val="24"/>
          <w:u w:val="single"/>
        </w:rPr>
        <w:tab/>
      </w:r>
      <w:r>
        <w:rPr>
          <w:rFonts w:ascii="宋体" w:hAnsi="宋体"/>
          <w:color w:val="auto"/>
          <w:sz w:val="24"/>
          <w:u w:val="single"/>
        </w:rPr>
        <w:tab/>
      </w:r>
      <w:r>
        <w:rPr>
          <w:rFonts w:hint="eastAsia" w:ascii="宋体" w:hAnsi="宋体"/>
          <w:color w:val="auto"/>
          <w:sz w:val="24"/>
        </w:rPr>
        <w:t>），我们保证在领取中标通知书的同时按招标文件及中标公告的规定，以支票、汇票或现金，向贵公司即中工国际招标有限公司（地址：</w:t>
      </w:r>
      <w:r>
        <w:rPr>
          <w:rFonts w:hint="eastAsia" w:ascii="宋体" w:hAnsi="宋体"/>
          <w:color w:val="auto"/>
          <w:sz w:val="24"/>
          <w:lang w:eastAsia="zh-CN"/>
        </w:rPr>
        <w:t>北京市朝阳亚运村朝阳区慧忠路5号远大中心二层</w:t>
      </w:r>
      <w:r>
        <w:rPr>
          <w:rFonts w:hint="eastAsia" w:ascii="宋体" w:hAnsi="宋体"/>
          <w:color w:val="auto"/>
          <w:sz w:val="24"/>
        </w:rPr>
        <w:t>，开户行：中国工商银行西三旗支行，账号：</w:t>
      </w:r>
      <w:r>
        <w:rPr>
          <w:rFonts w:ascii="宋体" w:hAnsi="宋体"/>
          <w:color w:val="auto"/>
          <w:sz w:val="24"/>
        </w:rPr>
        <w:t>0200240109200060854</w:t>
      </w:r>
      <w:r>
        <w:rPr>
          <w:rFonts w:hint="eastAsia" w:ascii="宋体" w:hAnsi="宋体"/>
          <w:color w:val="auto"/>
          <w:sz w:val="24"/>
        </w:rPr>
        <w:t>），一次性支付应该交纳的中标服务费。</w:t>
      </w:r>
    </w:p>
    <w:p>
      <w:pPr>
        <w:spacing w:line="480" w:lineRule="auto"/>
        <w:ind w:firstLine="480" w:firstLineChars="200"/>
        <w:rPr>
          <w:rFonts w:ascii="宋体" w:hAnsi="宋体"/>
          <w:color w:val="auto"/>
          <w:sz w:val="24"/>
        </w:rPr>
      </w:pPr>
      <w:r>
        <w:rPr>
          <w:rFonts w:hint="eastAsia" w:ascii="宋体" w:hAnsi="宋体"/>
          <w:color w:val="auto"/>
          <w:sz w:val="24"/>
        </w:rPr>
        <w:t>特此承诺！</w:t>
      </w:r>
    </w:p>
    <w:p>
      <w:pPr>
        <w:spacing w:line="480" w:lineRule="auto"/>
        <w:ind w:firstLine="480" w:firstLineChars="200"/>
        <w:rPr>
          <w:rFonts w:ascii="宋体" w:hAnsi="宋体"/>
          <w:color w:val="auto"/>
          <w:sz w:val="24"/>
        </w:rPr>
      </w:pPr>
    </w:p>
    <w:p>
      <w:pPr>
        <w:spacing w:line="480" w:lineRule="auto"/>
        <w:ind w:firstLine="480" w:firstLineChars="200"/>
        <w:rPr>
          <w:rFonts w:ascii="宋体" w:hAnsi="宋体"/>
          <w:color w:val="auto"/>
          <w:sz w:val="24"/>
        </w:rPr>
      </w:pPr>
      <w:r>
        <w:rPr>
          <w:rFonts w:ascii="宋体" w:hAnsi="宋体"/>
          <w:color w:val="auto"/>
          <w:sz w:val="24"/>
        </w:rPr>
        <w:tab/>
      </w:r>
      <w:r>
        <w:rPr>
          <w:rFonts w:hint="eastAsia" w:ascii="宋体" w:hAnsi="宋体"/>
          <w:color w:val="auto"/>
          <w:sz w:val="24"/>
        </w:rPr>
        <w:t>承诺方法定名称：</w:t>
      </w:r>
      <w:r>
        <w:rPr>
          <w:rFonts w:ascii="宋体" w:hAnsi="宋体"/>
          <w:color w:val="auto"/>
          <w:sz w:val="24"/>
        </w:rPr>
        <w:tab/>
      </w:r>
      <w:r>
        <w:rPr>
          <w:rFonts w:ascii="宋体" w:hAnsi="宋体"/>
          <w:color w:val="auto"/>
          <w:sz w:val="24"/>
        </w:rPr>
        <w:tab/>
      </w:r>
      <w:r>
        <w:rPr>
          <w:rFonts w:ascii="宋体" w:hAnsi="宋体"/>
          <w:color w:val="auto"/>
          <w:sz w:val="24"/>
        </w:rPr>
        <w:tab/>
      </w:r>
      <w:r>
        <w:rPr>
          <w:rFonts w:ascii="宋体" w:hAnsi="宋体"/>
          <w:color w:val="auto"/>
          <w:sz w:val="24"/>
        </w:rPr>
        <w:tab/>
      </w:r>
      <w:r>
        <w:rPr>
          <w:rFonts w:ascii="宋体" w:hAnsi="宋体"/>
          <w:color w:val="auto"/>
          <w:sz w:val="24"/>
        </w:rPr>
        <w:tab/>
      </w:r>
      <w:r>
        <w:rPr>
          <w:rFonts w:hint="eastAsia" w:ascii="宋体" w:hAnsi="宋体"/>
          <w:color w:val="auto"/>
          <w:sz w:val="24"/>
        </w:rPr>
        <w:t>（承诺方盖章）</w:t>
      </w:r>
      <w:r>
        <w:rPr>
          <w:rFonts w:ascii="宋体" w:hAnsi="宋体"/>
          <w:color w:val="auto"/>
          <w:sz w:val="24"/>
        </w:rPr>
        <w:tab/>
      </w:r>
      <w:r>
        <w:rPr>
          <w:rFonts w:ascii="宋体" w:hAnsi="宋体"/>
          <w:color w:val="auto"/>
          <w:sz w:val="24"/>
        </w:rPr>
        <w:tab/>
      </w:r>
      <w:r>
        <w:rPr>
          <w:rFonts w:ascii="宋体" w:hAnsi="宋体"/>
          <w:color w:val="auto"/>
          <w:sz w:val="24"/>
        </w:rPr>
        <w:tab/>
      </w:r>
      <w:r>
        <w:rPr>
          <w:rFonts w:ascii="宋体" w:hAnsi="宋体"/>
          <w:color w:val="auto"/>
          <w:sz w:val="24"/>
        </w:rPr>
        <w:tab/>
      </w:r>
      <w:r>
        <w:rPr>
          <w:rFonts w:ascii="宋体" w:hAnsi="宋体"/>
          <w:color w:val="auto"/>
          <w:sz w:val="24"/>
        </w:rPr>
        <w:tab/>
      </w:r>
      <w:r>
        <w:rPr>
          <w:rFonts w:ascii="宋体" w:hAnsi="宋体"/>
          <w:color w:val="auto"/>
          <w:sz w:val="24"/>
        </w:rPr>
        <w:tab/>
      </w:r>
      <w:r>
        <w:rPr>
          <w:rFonts w:ascii="宋体" w:hAnsi="宋体"/>
          <w:color w:val="auto"/>
          <w:sz w:val="24"/>
        </w:rPr>
        <w:tab/>
      </w:r>
      <w:r>
        <w:rPr>
          <w:rFonts w:ascii="宋体" w:hAnsi="宋体"/>
          <w:color w:val="auto"/>
          <w:sz w:val="24"/>
        </w:rPr>
        <w:tab/>
      </w:r>
    </w:p>
    <w:p>
      <w:pPr>
        <w:spacing w:line="480" w:lineRule="auto"/>
        <w:ind w:firstLine="960" w:firstLineChars="400"/>
        <w:rPr>
          <w:rFonts w:ascii="宋体" w:hAnsi="宋体"/>
          <w:color w:val="auto"/>
          <w:sz w:val="24"/>
        </w:rPr>
      </w:pPr>
      <w:r>
        <w:rPr>
          <w:rFonts w:hint="eastAsia" w:ascii="宋体" w:hAnsi="宋体"/>
          <w:color w:val="auto"/>
          <w:sz w:val="24"/>
        </w:rPr>
        <w:t>地址：</w:t>
      </w:r>
      <w:r>
        <w:rPr>
          <w:rFonts w:ascii="宋体" w:hAnsi="宋体"/>
          <w:color w:val="auto"/>
          <w:sz w:val="24"/>
        </w:rPr>
        <w:tab/>
      </w:r>
      <w:r>
        <w:rPr>
          <w:rFonts w:ascii="宋体" w:hAnsi="宋体"/>
          <w:color w:val="auto"/>
          <w:sz w:val="24"/>
        </w:rPr>
        <w:tab/>
      </w:r>
      <w:r>
        <w:rPr>
          <w:rFonts w:ascii="宋体" w:hAnsi="宋体"/>
          <w:color w:val="auto"/>
          <w:sz w:val="24"/>
        </w:rPr>
        <w:tab/>
      </w:r>
      <w:r>
        <w:rPr>
          <w:rFonts w:ascii="宋体" w:hAnsi="宋体"/>
          <w:color w:val="auto"/>
          <w:sz w:val="24"/>
        </w:rPr>
        <w:tab/>
      </w:r>
      <w:r>
        <w:rPr>
          <w:rFonts w:ascii="宋体" w:hAnsi="宋体"/>
          <w:color w:val="auto"/>
          <w:sz w:val="24"/>
        </w:rPr>
        <w:tab/>
      </w:r>
      <w:r>
        <w:rPr>
          <w:rFonts w:ascii="宋体" w:hAnsi="宋体"/>
          <w:color w:val="auto"/>
          <w:sz w:val="24"/>
        </w:rPr>
        <w:tab/>
      </w:r>
      <w:r>
        <w:rPr>
          <w:rFonts w:ascii="宋体" w:hAnsi="宋体"/>
          <w:color w:val="auto"/>
          <w:sz w:val="24"/>
        </w:rPr>
        <w:tab/>
      </w:r>
      <w:r>
        <w:rPr>
          <w:rFonts w:ascii="宋体" w:hAnsi="宋体"/>
          <w:color w:val="auto"/>
          <w:sz w:val="24"/>
        </w:rPr>
        <w:tab/>
      </w:r>
      <w:r>
        <w:rPr>
          <w:rFonts w:ascii="宋体" w:hAnsi="宋体"/>
          <w:color w:val="auto"/>
          <w:sz w:val="24"/>
        </w:rPr>
        <w:tab/>
      </w:r>
      <w:r>
        <w:rPr>
          <w:rFonts w:ascii="宋体" w:hAnsi="宋体"/>
          <w:color w:val="auto"/>
          <w:sz w:val="24"/>
        </w:rPr>
        <w:tab/>
      </w:r>
      <w:r>
        <w:rPr>
          <w:rFonts w:ascii="宋体" w:hAnsi="宋体"/>
          <w:color w:val="auto"/>
          <w:sz w:val="24"/>
        </w:rPr>
        <w:tab/>
      </w:r>
      <w:r>
        <w:rPr>
          <w:rFonts w:ascii="宋体" w:hAnsi="宋体"/>
          <w:color w:val="auto"/>
          <w:sz w:val="24"/>
        </w:rPr>
        <w:tab/>
      </w:r>
      <w:r>
        <w:rPr>
          <w:rFonts w:ascii="宋体" w:hAnsi="宋体"/>
          <w:color w:val="auto"/>
          <w:sz w:val="24"/>
        </w:rPr>
        <w:tab/>
      </w:r>
      <w:r>
        <w:rPr>
          <w:rFonts w:ascii="宋体" w:hAnsi="宋体"/>
          <w:color w:val="auto"/>
          <w:sz w:val="24"/>
        </w:rPr>
        <w:tab/>
      </w:r>
      <w:r>
        <w:rPr>
          <w:rFonts w:ascii="宋体" w:hAnsi="宋体"/>
          <w:color w:val="auto"/>
          <w:sz w:val="24"/>
        </w:rPr>
        <w:tab/>
      </w:r>
      <w:r>
        <w:rPr>
          <w:rFonts w:ascii="宋体" w:hAnsi="宋体"/>
          <w:color w:val="auto"/>
          <w:sz w:val="24"/>
        </w:rPr>
        <w:tab/>
      </w:r>
    </w:p>
    <w:p>
      <w:pPr>
        <w:spacing w:line="480" w:lineRule="auto"/>
        <w:ind w:left="420" w:leftChars="200" w:firstLine="480" w:firstLineChars="200"/>
        <w:rPr>
          <w:rFonts w:ascii="宋体" w:hAnsi="宋体"/>
          <w:color w:val="auto"/>
          <w:sz w:val="24"/>
        </w:rPr>
      </w:pPr>
      <w:r>
        <w:rPr>
          <w:rFonts w:hint="eastAsia" w:ascii="宋体" w:hAnsi="宋体"/>
          <w:color w:val="auto"/>
          <w:sz w:val="24"/>
        </w:rPr>
        <w:t>电话：</w:t>
      </w:r>
      <w:r>
        <w:rPr>
          <w:rFonts w:ascii="宋体" w:hAnsi="宋体"/>
          <w:color w:val="auto"/>
          <w:sz w:val="24"/>
        </w:rPr>
        <w:tab/>
      </w:r>
      <w:r>
        <w:rPr>
          <w:rFonts w:ascii="宋体" w:hAnsi="宋体"/>
          <w:color w:val="auto"/>
          <w:sz w:val="24"/>
        </w:rPr>
        <w:tab/>
      </w:r>
      <w:r>
        <w:rPr>
          <w:rFonts w:ascii="宋体" w:hAnsi="宋体"/>
          <w:color w:val="auto"/>
          <w:sz w:val="24"/>
        </w:rPr>
        <w:tab/>
      </w:r>
      <w:r>
        <w:rPr>
          <w:rFonts w:ascii="宋体" w:hAnsi="宋体"/>
          <w:color w:val="auto"/>
          <w:sz w:val="24"/>
        </w:rPr>
        <w:tab/>
      </w:r>
      <w:r>
        <w:rPr>
          <w:rFonts w:ascii="宋体" w:hAnsi="宋体"/>
          <w:color w:val="auto"/>
          <w:sz w:val="24"/>
        </w:rPr>
        <w:tab/>
      </w:r>
      <w:r>
        <w:rPr>
          <w:rFonts w:ascii="宋体" w:hAnsi="宋体"/>
          <w:color w:val="auto"/>
          <w:sz w:val="24"/>
        </w:rPr>
        <w:tab/>
      </w:r>
      <w:r>
        <w:rPr>
          <w:rFonts w:ascii="宋体" w:hAnsi="宋体"/>
          <w:color w:val="auto"/>
          <w:sz w:val="24"/>
        </w:rPr>
        <w:tab/>
      </w:r>
      <w:r>
        <w:rPr>
          <w:rFonts w:hint="eastAsia" w:ascii="宋体" w:hAnsi="宋体"/>
          <w:color w:val="auto"/>
          <w:sz w:val="24"/>
        </w:rPr>
        <w:t>传真：</w:t>
      </w:r>
      <w:r>
        <w:rPr>
          <w:rFonts w:ascii="宋体" w:hAnsi="宋体"/>
          <w:color w:val="auto"/>
          <w:sz w:val="24"/>
        </w:rPr>
        <w:tab/>
      </w:r>
      <w:r>
        <w:rPr>
          <w:rFonts w:ascii="宋体" w:hAnsi="宋体"/>
          <w:color w:val="auto"/>
          <w:sz w:val="24"/>
        </w:rPr>
        <w:tab/>
      </w:r>
      <w:r>
        <w:rPr>
          <w:rFonts w:ascii="宋体" w:hAnsi="宋体"/>
          <w:color w:val="auto"/>
          <w:sz w:val="24"/>
        </w:rPr>
        <w:tab/>
      </w:r>
      <w:r>
        <w:rPr>
          <w:rFonts w:ascii="宋体" w:hAnsi="宋体"/>
          <w:color w:val="auto"/>
          <w:sz w:val="24"/>
        </w:rPr>
        <w:tab/>
      </w:r>
      <w:r>
        <w:rPr>
          <w:rFonts w:ascii="宋体" w:hAnsi="宋体"/>
          <w:color w:val="auto"/>
          <w:sz w:val="24"/>
        </w:rPr>
        <w:tab/>
      </w:r>
    </w:p>
    <w:p>
      <w:pPr>
        <w:spacing w:line="480" w:lineRule="auto"/>
        <w:ind w:left="420" w:leftChars="200" w:firstLine="480" w:firstLineChars="200"/>
        <w:rPr>
          <w:rFonts w:ascii="宋体" w:hAnsi="宋体"/>
          <w:color w:val="auto"/>
          <w:sz w:val="24"/>
        </w:rPr>
      </w:pPr>
      <w:r>
        <w:rPr>
          <w:rFonts w:hint="eastAsia" w:ascii="宋体" w:hAnsi="宋体"/>
          <w:color w:val="auto"/>
          <w:sz w:val="24"/>
        </w:rPr>
        <w:t>电传：</w:t>
      </w:r>
      <w:r>
        <w:rPr>
          <w:rFonts w:ascii="宋体" w:hAnsi="宋体"/>
          <w:color w:val="auto"/>
          <w:sz w:val="24"/>
        </w:rPr>
        <w:tab/>
      </w:r>
      <w:r>
        <w:rPr>
          <w:rFonts w:ascii="宋体" w:hAnsi="宋体"/>
          <w:color w:val="auto"/>
          <w:sz w:val="24"/>
        </w:rPr>
        <w:tab/>
      </w:r>
      <w:r>
        <w:rPr>
          <w:rFonts w:ascii="宋体" w:hAnsi="宋体"/>
          <w:color w:val="auto"/>
          <w:sz w:val="24"/>
        </w:rPr>
        <w:tab/>
      </w:r>
      <w:r>
        <w:rPr>
          <w:rFonts w:ascii="宋体" w:hAnsi="宋体"/>
          <w:color w:val="auto"/>
          <w:sz w:val="24"/>
        </w:rPr>
        <w:tab/>
      </w:r>
      <w:r>
        <w:rPr>
          <w:rFonts w:ascii="宋体" w:hAnsi="宋体"/>
          <w:color w:val="auto"/>
          <w:sz w:val="24"/>
        </w:rPr>
        <w:tab/>
      </w:r>
      <w:r>
        <w:rPr>
          <w:rFonts w:ascii="宋体" w:hAnsi="宋体"/>
          <w:color w:val="auto"/>
          <w:sz w:val="24"/>
        </w:rPr>
        <w:tab/>
      </w:r>
      <w:r>
        <w:rPr>
          <w:rFonts w:ascii="宋体" w:hAnsi="宋体"/>
          <w:color w:val="auto"/>
          <w:sz w:val="24"/>
        </w:rPr>
        <w:tab/>
      </w:r>
      <w:r>
        <w:rPr>
          <w:rFonts w:hint="eastAsia" w:ascii="宋体" w:hAnsi="宋体"/>
          <w:color w:val="auto"/>
          <w:sz w:val="24"/>
        </w:rPr>
        <w:t>邮编：</w:t>
      </w:r>
      <w:r>
        <w:rPr>
          <w:rFonts w:ascii="宋体" w:hAnsi="宋体"/>
          <w:color w:val="auto"/>
          <w:sz w:val="24"/>
        </w:rPr>
        <w:tab/>
      </w:r>
      <w:r>
        <w:rPr>
          <w:rFonts w:ascii="宋体" w:hAnsi="宋体"/>
          <w:color w:val="auto"/>
          <w:sz w:val="24"/>
        </w:rPr>
        <w:tab/>
      </w:r>
      <w:r>
        <w:rPr>
          <w:rFonts w:ascii="宋体" w:hAnsi="宋体"/>
          <w:color w:val="auto"/>
          <w:sz w:val="24"/>
        </w:rPr>
        <w:tab/>
      </w:r>
      <w:r>
        <w:rPr>
          <w:rFonts w:ascii="宋体" w:hAnsi="宋体"/>
          <w:color w:val="auto"/>
          <w:sz w:val="24"/>
        </w:rPr>
        <w:tab/>
      </w:r>
      <w:r>
        <w:rPr>
          <w:rFonts w:ascii="宋体" w:hAnsi="宋体"/>
          <w:color w:val="auto"/>
          <w:sz w:val="24"/>
        </w:rPr>
        <w:tab/>
      </w:r>
    </w:p>
    <w:p>
      <w:pPr>
        <w:spacing w:line="480" w:lineRule="auto"/>
        <w:ind w:left="420" w:leftChars="200" w:firstLine="480" w:firstLineChars="200"/>
        <w:rPr>
          <w:rFonts w:ascii="宋体" w:hAnsi="宋体"/>
          <w:color w:val="auto"/>
          <w:sz w:val="24"/>
        </w:rPr>
      </w:pPr>
      <w:r>
        <w:rPr>
          <w:rFonts w:hint="eastAsia" w:ascii="宋体" w:hAnsi="宋体"/>
          <w:color w:val="auto"/>
          <w:sz w:val="24"/>
        </w:rPr>
        <w:t>承诺方法人或授权代表签字：</w:t>
      </w:r>
      <w:r>
        <w:rPr>
          <w:rFonts w:ascii="宋体" w:hAnsi="宋体"/>
          <w:color w:val="auto"/>
          <w:sz w:val="24"/>
        </w:rPr>
        <w:tab/>
      </w:r>
      <w:r>
        <w:rPr>
          <w:rFonts w:ascii="宋体" w:hAnsi="宋体"/>
          <w:color w:val="auto"/>
          <w:sz w:val="24"/>
        </w:rPr>
        <w:tab/>
      </w:r>
      <w:r>
        <w:rPr>
          <w:rFonts w:ascii="宋体" w:hAnsi="宋体"/>
          <w:color w:val="auto"/>
          <w:sz w:val="24"/>
        </w:rPr>
        <w:tab/>
      </w:r>
      <w:r>
        <w:rPr>
          <w:rFonts w:ascii="宋体" w:hAnsi="宋体"/>
          <w:color w:val="auto"/>
          <w:sz w:val="24"/>
        </w:rPr>
        <w:tab/>
      </w:r>
      <w:r>
        <w:rPr>
          <w:rFonts w:ascii="宋体" w:hAnsi="宋体"/>
          <w:color w:val="auto"/>
          <w:sz w:val="24"/>
        </w:rPr>
        <w:tab/>
      </w:r>
      <w:r>
        <w:rPr>
          <w:rFonts w:ascii="宋体" w:hAnsi="宋体"/>
          <w:color w:val="auto"/>
          <w:sz w:val="24"/>
        </w:rPr>
        <w:tab/>
      </w:r>
      <w:r>
        <w:rPr>
          <w:rFonts w:ascii="宋体" w:hAnsi="宋体"/>
          <w:color w:val="auto"/>
          <w:sz w:val="24"/>
        </w:rPr>
        <w:tab/>
      </w:r>
      <w:r>
        <w:rPr>
          <w:rFonts w:ascii="宋体" w:hAnsi="宋体"/>
          <w:color w:val="auto"/>
          <w:sz w:val="24"/>
        </w:rPr>
        <w:tab/>
      </w:r>
    </w:p>
    <w:p>
      <w:pPr>
        <w:spacing w:line="360" w:lineRule="auto"/>
        <w:ind w:firstLine="960" w:firstLineChars="400"/>
        <w:rPr>
          <w:color w:val="auto"/>
          <w:sz w:val="24"/>
          <w:szCs w:val="20"/>
        </w:rPr>
        <w:sectPr>
          <w:pgSz w:w="11907" w:h="16840"/>
          <w:pgMar w:top="1418" w:right="1134" w:bottom="1418" w:left="1701" w:header="851" w:footer="851" w:gutter="0"/>
          <w:cols w:space="720" w:num="1"/>
          <w:docGrid w:linePitch="462" w:charSpace="0"/>
        </w:sectPr>
      </w:pPr>
      <w:r>
        <w:rPr>
          <w:rFonts w:hint="eastAsia" w:ascii="宋体" w:hAnsi="宋体"/>
          <w:color w:val="auto"/>
          <w:sz w:val="24"/>
        </w:rPr>
        <w:t>承诺日期：</w:t>
      </w:r>
    </w:p>
    <w:p>
      <w:pPr>
        <w:spacing w:line="360" w:lineRule="auto"/>
        <w:outlineLvl w:val="2"/>
        <w:rPr>
          <w:color w:val="auto"/>
          <w:sz w:val="24"/>
          <w:szCs w:val="20"/>
        </w:rPr>
      </w:pPr>
      <w:r>
        <w:rPr>
          <w:rFonts w:hint="eastAsia"/>
          <w:color w:val="auto"/>
          <w:sz w:val="24"/>
          <w:szCs w:val="20"/>
        </w:rPr>
        <w:t xml:space="preserve">8  </w:t>
      </w:r>
      <w:r>
        <w:rPr>
          <w:color w:val="auto"/>
          <w:sz w:val="24"/>
          <w:szCs w:val="20"/>
        </w:rPr>
        <w:t>招标文件要求提供或投标人认为应附的其他材料</w:t>
      </w:r>
    </w:p>
    <w:p>
      <w:pPr>
        <w:widowControl/>
        <w:jc w:val="left"/>
        <w:rPr>
          <w:b/>
          <w:color w:val="auto"/>
          <w:sz w:val="36"/>
          <w:szCs w:val="36"/>
        </w:rPr>
        <w:sectPr>
          <w:pgSz w:w="11907" w:h="16840"/>
          <w:pgMar w:top="1418" w:right="1134" w:bottom="1418" w:left="1701" w:header="851" w:footer="851" w:gutter="0"/>
          <w:cols w:space="720" w:num="1"/>
          <w:docGrid w:linePitch="462" w:charSpace="0"/>
        </w:sectPr>
      </w:pPr>
    </w:p>
    <w:p>
      <w:pPr>
        <w:pStyle w:val="2"/>
        <w:numPr>
          <w:ilvl w:val="1"/>
          <w:numId w:val="0"/>
        </w:numPr>
        <w:rPr>
          <w:rFonts w:hAnsi="宋体" w:cs="宋体"/>
          <w:color w:val="auto"/>
          <w:sz w:val="28"/>
          <w:szCs w:val="28"/>
        </w:rPr>
      </w:pPr>
      <w:bookmarkStart w:id="913" w:name="_Toc1668"/>
      <w:bookmarkStart w:id="914" w:name="_Toc14737"/>
      <w:bookmarkStart w:id="915" w:name="_Toc15698"/>
      <w:bookmarkStart w:id="916" w:name="_Toc22102"/>
      <w:bookmarkStart w:id="917" w:name="_Toc693"/>
      <w:r>
        <w:rPr>
          <w:rFonts w:hint="eastAsia" w:hAnsi="宋体" w:cs="宋体"/>
          <w:color w:val="auto"/>
          <w:sz w:val="28"/>
          <w:szCs w:val="28"/>
        </w:rPr>
        <w:t>保证金退还说明</w:t>
      </w:r>
      <w:bookmarkEnd w:id="913"/>
      <w:bookmarkEnd w:id="914"/>
      <w:bookmarkEnd w:id="915"/>
      <w:bookmarkEnd w:id="916"/>
      <w:bookmarkEnd w:id="917"/>
    </w:p>
    <w:p>
      <w:pPr>
        <w:spacing w:line="480" w:lineRule="auto"/>
        <w:rPr>
          <w:color w:val="auto"/>
          <w:sz w:val="24"/>
          <w:szCs w:val="20"/>
        </w:rPr>
      </w:pPr>
      <w:r>
        <w:rPr>
          <w:rFonts w:hint="eastAsia"/>
          <w:color w:val="auto"/>
          <w:sz w:val="24"/>
          <w:szCs w:val="20"/>
        </w:rPr>
        <w:t>一、保证金退还流程：</w:t>
      </w:r>
    </w:p>
    <w:p>
      <w:pPr>
        <w:spacing w:line="480" w:lineRule="auto"/>
        <w:ind w:firstLine="480" w:firstLineChars="200"/>
        <w:rPr>
          <w:color w:val="auto"/>
          <w:sz w:val="24"/>
          <w:szCs w:val="20"/>
        </w:rPr>
      </w:pPr>
      <w:r>
        <w:rPr>
          <w:rFonts w:hint="eastAsia"/>
          <w:color w:val="auto"/>
          <w:sz w:val="24"/>
          <w:szCs w:val="20"/>
        </w:rPr>
        <w:t>1、供应商需在结果公告发布后按以下链接完成保证金退款信息登记；</w:t>
      </w:r>
    </w:p>
    <w:p>
      <w:pPr>
        <w:spacing w:line="480" w:lineRule="auto"/>
        <w:ind w:left="479" w:leftChars="228"/>
        <w:rPr>
          <w:color w:val="auto"/>
          <w:sz w:val="24"/>
          <w:szCs w:val="20"/>
        </w:rPr>
      </w:pPr>
      <w:r>
        <w:rPr>
          <w:rFonts w:hint="eastAsia"/>
          <w:color w:val="auto"/>
          <w:sz w:val="24"/>
          <w:szCs w:val="20"/>
        </w:rPr>
        <w:t>保证金退还登记地址：http://101.200.176.189/qpoaweb/prg/gys/tui.aspx?id=7185Drk2</w:t>
      </w:r>
    </w:p>
    <w:p>
      <w:pPr>
        <w:spacing w:line="480" w:lineRule="auto"/>
        <w:ind w:firstLine="480" w:firstLineChars="200"/>
        <w:rPr>
          <w:color w:val="auto"/>
          <w:sz w:val="24"/>
          <w:szCs w:val="20"/>
        </w:rPr>
      </w:pPr>
      <w:r>
        <w:rPr>
          <w:rFonts w:hint="eastAsia"/>
          <w:color w:val="auto"/>
          <w:sz w:val="24"/>
          <w:szCs w:val="20"/>
        </w:rPr>
        <w:t>2、完成保证金退款信息登记后招标代理机构安排保证金退还。</w:t>
      </w:r>
    </w:p>
    <w:p>
      <w:pPr>
        <w:spacing w:line="480" w:lineRule="auto"/>
        <w:rPr>
          <w:color w:val="auto"/>
          <w:sz w:val="24"/>
          <w:szCs w:val="20"/>
        </w:rPr>
      </w:pPr>
      <w:r>
        <w:rPr>
          <w:rFonts w:hint="eastAsia"/>
          <w:color w:val="auto"/>
          <w:sz w:val="24"/>
          <w:szCs w:val="20"/>
        </w:rPr>
        <w:t>二、办理时间：</w:t>
      </w:r>
    </w:p>
    <w:p>
      <w:pPr>
        <w:spacing w:line="480" w:lineRule="auto"/>
        <w:ind w:firstLine="480" w:firstLineChars="200"/>
        <w:rPr>
          <w:color w:val="auto"/>
          <w:sz w:val="24"/>
          <w:szCs w:val="20"/>
        </w:rPr>
      </w:pPr>
      <w:r>
        <w:rPr>
          <w:rFonts w:hint="eastAsia"/>
          <w:color w:val="auto"/>
          <w:sz w:val="24"/>
          <w:szCs w:val="20"/>
        </w:rPr>
        <w:t>1、成交单位：完成保证金退款信息登记且与采购人签订采购合同后5个工作日内；</w:t>
      </w:r>
    </w:p>
    <w:p>
      <w:pPr>
        <w:spacing w:line="480" w:lineRule="auto"/>
        <w:ind w:firstLine="480" w:firstLineChars="200"/>
        <w:rPr>
          <w:color w:val="auto"/>
          <w:sz w:val="24"/>
          <w:szCs w:val="20"/>
        </w:rPr>
      </w:pPr>
      <w:r>
        <w:rPr>
          <w:rFonts w:hint="eastAsia"/>
          <w:color w:val="auto"/>
          <w:sz w:val="24"/>
          <w:szCs w:val="20"/>
        </w:rPr>
        <w:t>2、未成交单位：成交公告发布后5个工作日内。</w:t>
      </w:r>
    </w:p>
    <w:p>
      <w:pPr>
        <w:spacing w:line="480" w:lineRule="auto"/>
        <w:rPr>
          <w:color w:val="auto"/>
          <w:sz w:val="24"/>
          <w:szCs w:val="20"/>
        </w:rPr>
      </w:pPr>
      <w:r>
        <w:rPr>
          <w:rFonts w:hint="eastAsia"/>
          <w:color w:val="auto"/>
          <w:sz w:val="24"/>
          <w:szCs w:val="20"/>
        </w:rPr>
        <w:t>三、联系方式：</w:t>
      </w:r>
    </w:p>
    <w:p>
      <w:pPr>
        <w:spacing w:line="480" w:lineRule="auto"/>
        <w:ind w:firstLine="480" w:firstLineChars="200"/>
        <w:rPr>
          <w:color w:val="auto"/>
          <w:sz w:val="24"/>
          <w:szCs w:val="20"/>
        </w:rPr>
      </w:pPr>
      <w:r>
        <w:rPr>
          <w:rFonts w:hint="eastAsia"/>
          <w:color w:val="auto"/>
          <w:sz w:val="24"/>
          <w:szCs w:val="20"/>
        </w:rPr>
        <w:t>联系人：王宇婷</w:t>
      </w:r>
    </w:p>
    <w:p>
      <w:pPr>
        <w:spacing w:line="480" w:lineRule="auto"/>
        <w:ind w:firstLine="480" w:firstLineChars="200"/>
        <w:rPr>
          <w:color w:val="auto"/>
          <w:sz w:val="24"/>
          <w:szCs w:val="20"/>
        </w:rPr>
      </w:pPr>
      <w:r>
        <w:rPr>
          <w:rFonts w:hint="eastAsia"/>
          <w:color w:val="auto"/>
          <w:sz w:val="24"/>
          <w:szCs w:val="20"/>
        </w:rPr>
        <w:t>联系方式：010-82952950-814</w:t>
      </w:r>
    </w:p>
    <w:p>
      <w:pPr>
        <w:spacing w:line="480" w:lineRule="auto"/>
        <w:ind w:firstLine="480" w:firstLineChars="200"/>
        <w:rPr>
          <w:rFonts w:hint="eastAsia" w:eastAsia="宋体"/>
          <w:color w:val="auto"/>
          <w:lang w:eastAsia="zh-CN"/>
        </w:rPr>
        <w:sectPr>
          <w:pgSz w:w="11906" w:h="16838"/>
          <w:pgMar w:top="1440" w:right="1800" w:bottom="1440" w:left="1800" w:header="851" w:footer="992" w:gutter="0"/>
          <w:cols w:space="720" w:num="1"/>
          <w:docGrid w:linePitch="312" w:charSpace="0"/>
        </w:sectPr>
      </w:pPr>
      <w:r>
        <w:rPr>
          <w:rFonts w:hint="eastAsia"/>
          <w:color w:val="auto"/>
          <w:sz w:val="24"/>
          <w:szCs w:val="20"/>
        </w:rPr>
        <w:t>地址：</w:t>
      </w:r>
      <w:r>
        <w:rPr>
          <w:rFonts w:hint="eastAsia"/>
          <w:color w:val="auto"/>
          <w:sz w:val="24"/>
          <w:szCs w:val="20"/>
          <w:highlight w:val="none"/>
          <w:lang w:eastAsia="zh-CN"/>
        </w:rPr>
        <w:t>北京市朝阳亚运村朝阳区慧忠路5号远大中心二层</w:t>
      </w:r>
    </w:p>
    <w:p>
      <w:pPr>
        <w:pStyle w:val="2"/>
        <w:numPr>
          <w:ilvl w:val="1"/>
          <w:numId w:val="0"/>
        </w:numPr>
        <w:rPr>
          <w:rFonts w:hAnsi="宋体" w:cs="宋体"/>
          <w:color w:val="auto"/>
          <w:sz w:val="28"/>
          <w:szCs w:val="28"/>
        </w:rPr>
      </w:pPr>
      <w:bookmarkStart w:id="918" w:name="_Toc32354"/>
      <w:bookmarkStart w:id="919" w:name="_Toc18882"/>
      <w:bookmarkStart w:id="920" w:name="_Toc24027"/>
      <w:bookmarkStart w:id="921" w:name="_Toc3677"/>
      <w:r>
        <w:rPr>
          <w:rFonts w:hint="eastAsia" w:hAnsi="宋体" w:cs="宋体"/>
          <w:color w:val="auto"/>
          <w:sz w:val="28"/>
          <w:szCs w:val="28"/>
        </w:rPr>
        <w:t>开票信息说明</w:t>
      </w:r>
      <w:bookmarkEnd w:id="918"/>
      <w:bookmarkEnd w:id="919"/>
      <w:bookmarkEnd w:id="920"/>
      <w:bookmarkEnd w:id="921"/>
    </w:p>
    <w:p>
      <w:pPr>
        <w:spacing w:line="480" w:lineRule="auto"/>
        <w:ind w:firstLine="480" w:firstLineChars="200"/>
        <w:rPr>
          <w:color w:val="auto"/>
          <w:sz w:val="24"/>
        </w:rPr>
      </w:pPr>
      <w:r>
        <w:rPr>
          <w:rFonts w:hint="eastAsia"/>
          <w:color w:val="auto"/>
          <w:sz w:val="24"/>
        </w:rPr>
        <w:t>1</w:t>
      </w:r>
      <w:r>
        <w:rPr>
          <w:color w:val="auto"/>
          <w:sz w:val="24"/>
        </w:rPr>
        <w:t>.</w:t>
      </w:r>
      <w:r>
        <w:rPr>
          <w:rFonts w:hint="eastAsia"/>
          <w:color w:val="auto"/>
          <w:sz w:val="24"/>
        </w:rPr>
        <w:t>供应商如需标书款发票，可在开标当天到采购代理机构前台统一领取纸质版或电子版发票。</w:t>
      </w:r>
    </w:p>
    <w:p>
      <w:pPr>
        <w:spacing w:line="480" w:lineRule="auto"/>
        <w:ind w:firstLine="480" w:firstLineChars="200"/>
        <w:rPr>
          <w:color w:val="auto"/>
          <w:sz w:val="24"/>
        </w:rPr>
      </w:pPr>
      <w:r>
        <w:rPr>
          <w:rFonts w:hint="eastAsia"/>
          <w:color w:val="auto"/>
          <w:sz w:val="24"/>
        </w:rPr>
        <w:t>2</w:t>
      </w:r>
      <w:r>
        <w:rPr>
          <w:color w:val="auto"/>
          <w:sz w:val="24"/>
        </w:rPr>
        <w:t>.</w:t>
      </w:r>
      <w:r>
        <w:rPr>
          <w:rFonts w:hint="eastAsia"/>
          <w:color w:val="auto"/>
          <w:sz w:val="24"/>
        </w:rPr>
        <w:t>如若供应商获取成交，可在领取成交通知书时将下面开票信息交至采购代理机构。</w:t>
      </w:r>
    </w:p>
    <w:tbl>
      <w:tblPr>
        <w:tblStyle w:val="44"/>
        <w:tblW w:w="88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709"/>
        <w:gridCol w:w="617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2709" w:type="dxa"/>
            <w:vAlign w:val="center"/>
          </w:tcPr>
          <w:p>
            <w:pPr>
              <w:spacing w:line="480" w:lineRule="auto"/>
              <w:rPr>
                <w:color w:val="auto"/>
                <w:sz w:val="24"/>
              </w:rPr>
            </w:pPr>
            <w:r>
              <w:rPr>
                <w:rFonts w:hint="eastAsia"/>
                <w:color w:val="auto"/>
                <w:sz w:val="24"/>
              </w:rPr>
              <w:t>单位名称</w:t>
            </w:r>
          </w:p>
        </w:tc>
        <w:tc>
          <w:tcPr>
            <w:tcW w:w="6170" w:type="dxa"/>
            <w:vAlign w:val="center"/>
          </w:tcPr>
          <w:p>
            <w:pPr>
              <w:pStyle w:val="12"/>
              <w:spacing w:line="480" w:lineRule="auto"/>
              <w:ind w:firstLine="960" w:firstLineChars="400"/>
              <w:jc w:val="center"/>
              <w:rPr>
                <w:rFonts w:hAnsi="宋体" w:cs="宋体"/>
                <w:color w:val="auto"/>
              </w:rPr>
            </w:pPr>
            <w:r>
              <w:rPr>
                <w:rFonts w:hint="eastAsia" w:hAnsi="宋体" w:cs="宋体"/>
                <w:color w:val="auto"/>
                <w:u w:val="single"/>
              </w:rPr>
              <w:t xml:space="preserve">                  （加盖单位公章）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2709" w:type="dxa"/>
            <w:vAlign w:val="center"/>
          </w:tcPr>
          <w:p>
            <w:pPr>
              <w:spacing w:line="480" w:lineRule="auto"/>
              <w:rPr>
                <w:color w:val="auto"/>
                <w:sz w:val="24"/>
              </w:rPr>
            </w:pPr>
            <w:r>
              <w:rPr>
                <w:rFonts w:hint="eastAsia"/>
                <w:color w:val="auto"/>
                <w:sz w:val="24"/>
              </w:rPr>
              <w:t>纳税人识别号</w:t>
            </w:r>
          </w:p>
        </w:tc>
        <w:tc>
          <w:tcPr>
            <w:tcW w:w="6170" w:type="dxa"/>
            <w:vAlign w:val="center"/>
          </w:tcPr>
          <w:p>
            <w:pPr>
              <w:pStyle w:val="12"/>
              <w:spacing w:line="480" w:lineRule="auto"/>
              <w:ind w:firstLine="480"/>
              <w:jc w:val="center"/>
              <w:rPr>
                <w:rFonts w:hAnsi="宋体" w:cs="宋体"/>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2709" w:type="dxa"/>
            <w:vAlign w:val="center"/>
          </w:tcPr>
          <w:p>
            <w:pPr>
              <w:spacing w:line="480" w:lineRule="auto"/>
              <w:rPr>
                <w:color w:val="auto"/>
                <w:sz w:val="24"/>
              </w:rPr>
            </w:pPr>
            <w:r>
              <w:rPr>
                <w:rFonts w:hint="eastAsia"/>
                <w:color w:val="auto"/>
                <w:sz w:val="24"/>
              </w:rPr>
              <w:t>营业地址</w:t>
            </w:r>
          </w:p>
        </w:tc>
        <w:tc>
          <w:tcPr>
            <w:tcW w:w="6170" w:type="dxa"/>
          </w:tcPr>
          <w:p>
            <w:pPr>
              <w:pStyle w:val="12"/>
              <w:spacing w:line="480" w:lineRule="auto"/>
              <w:ind w:firstLine="480"/>
              <w:jc w:val="both"/>
              <w:rPr>
                <w:rFonts w:hAnsi="宋体" w:cs="宋体"/>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2709" w:type="dxa"/>
            <w:vAlign w:val="center"/>
          </w:tcPr>
          <w:p>
            <w:pPr>
              <w:spacing w:line="480" w:lineRule="auto"/>
              <w:rPr>
                <w:color w:val="auto"/>
                <w:sz w:val="24"/>
              </w:rPr>
            </w:pPr>
            <w:r>
              <w:rPr>
                <w:rFonts w:hint="eastAsia"/>
                <w:color w:val="auto"/>
                <w:sz w:val="24"/>
              </w:rPr>
              <w:t>联系电话</w:t>
            </w:r>
          </w:p>
        </w:tc>
        <w:tc>
          <w:tcPr>
            <w:tcW w:w="6170" w:type="dxa"/>
          </w:tcPr>
          <w:p>
            <w:pPr>
              <w:pStyle w:val="12"/>
              <w:spacing w:line="480" w:lineRule="auto"/>
              <w:ind w:firstLine="480"/>
              <w:jc w:val="both"/>
              <w:rPr>
                <w:rFonts w:hAnsi="宋体" w:cs="宋体"/>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2709" w:type="dxa"/>
            <w:vAlign w:val="center"/>
          </w:tcPr>
          <w:p>
            <w:pPr>
              <w:spacing w:line="480" w:lineRule="auto"/>
              <w:rPr>
                <w:color w:val="auto"/>
                <w:sz w:val="24"/>
              </w:rPr>
            </w:pPr>
            <w:r>
              <w:rPr>
                <w:rFonts w:hint="eastAsia"/>
                <w:color w:val="auto"/>
                <w:sz w:val="24"/>
              </w:rPr>
              <w:t>开户银行</w:t>
            </w:r>
          </w:p>
        </w:tc>
        <w:tc>
          <w:tcPr>
            <w:tcW w:w="6170" w:type="dxa"/>
          </w:tcPr>
          <w:p>
            <w:pPr>
              <w:pStyle w:val="12"/>
              <w:spacing w:line="480" w:lineRule="auto"/>
              <w:ind w:firstLine="480"/>
              <w:jc w:val="both"/>
              <w:rPr>
                <w:rFonts w:hAnsi="宋体" w:cs="宋体"/>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2709" w:type="dxa"/>
            <w:vAlign w:val="center"/>
          </w:tcPr>
          <w:p>
            <w:pPr>
              <w:spacing w:line="480" w:lineRule="auto"/>
              <w:rPr>
                <w:color w:val="auto"/>
                <w:sz w:val="24"/>
              </w:rPr>
            </w:pPr>
            <w:r>
              <w:rPr>
                <w:rFonts w:hint="eastAsia"/>
                <w:color w:val="auto"/>
                <w:sz w:val="24"/>
              </w:rPr>
              <w:t>账号</w:t>
            </w:r>
          </w:p>
        </w:tc>
        <w:tc>
          <w:tcPr>
            <w:tcW w:w="6170" w:type="dxa"/>
          </w:tcPr>
          <w:p>
            <w:pPr>
              <w:pStyle w:val="12"/>
              <w:spacing w:line="480" w:lineRule="auto"/>
              <w:ind w:firstLine="480"/>
              <w:jc w:val="both"/>
              <w:rPr>
                <w:rFonts w:hAnsi="宋体" w:cs="宋体"/>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2709" w:type="dxa"/>
            <w:vAlign w:val="center"/>
          </w:tcPr>
          <w:p>
            <w:pPr>
              <w:spacing w:line="480" w:lineRule="auto"/>
              <w:rPr>
                <w:color w:val="auto"/>
                <w:sz w:val="24"/>
              </w:rPr>
            </w:pPr>
            <w:r>
              <w:rPr>
                <w:rFonts w:hint="eastAsia"/>
                <w:color w:val="auto"/>
                <w:sz w:val="24"/>
              </w:rPr>
              <w:t>财务联系人及联系方式</w:t>
            </w:r>
          </w:p>
        </w:tc>
        <w:tc>
          <w:tcPr>
            <w:tcW w:w="6170" w:type="dxa"/>
          </w:tcPr>
          <w:p>
            <w:pPr>
              <w:pStyle w:val="12"/>
              <w:spacing w:line="480" w:lineRule="auto"/>
              <w:ind w:firstLine="480"/>
              <w:jc w:val="both"/>
              <w:rPr>
                <w:rFonts w:hAnsi="宋体" w:cs="宋体"/>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63" w:hRule="atLeast"/>
          <w:jc w:val="center"/>
        </w:trPr>
        <w:tc>
          <w:tcPr>
            <w:tcW w:w="2709" w:type="dxa"/>
            <w:vAlign w:val="center"/>
          </w:tcPr>
          <w:p>
            <w:pPr>
              <w:spacing w:line="480" w:lineRule="auto"/>
              <w:rPr>
                <w:color w:val="auto"/>
                <w:sz w:val="24"/>
              </w:rPr>
            </w:pPr>
            <w:r>
              <w:rPr>
                <w:rFonts w:hint="eastAsia"/>
                <w:color w:val="auto"/>
                <w:sz w:val="24"/>
              </w:rPr>
              <w:t>代理服务费发票</w:t>
            </w:r>
          </w:p>
        </w:tc>
        <w:tc>
          <w:tcPr>
            <w:tcW w:w="6170" w:type="dxa"/>
            <w:vAlign w:val="center"/>
          </w:tcPr>
          <w:p>
            <w:pPr>
              <w:pStyle w:val="12"/>
              <w:spacing w:line="480" w:lineRule="auto"/>
              <w:ind w:firstLine="0"/>
              <w:jc w:val="both"/>
              <w:rPr>
                <w:rFonts w:hAnsi="宋体" w:cs="宋体"/>
                <w:color w:val="auto"/>
              </w:rPr>
            </w:pPr>
            <w:r>
              <w:rPr>
                <w:rFonts w:hint="eastAsia" w:hAnsi="宋体" w:cs="宋体"/>
                <w:color w:val="auto"/>
              </w:rPr>
              <w:t>开票类型（打“√”即可）：</w:t>
            </w:r>
          </w:p>
          <w:p>
            <w:pPr>
              <w:pStyle w:val="12"/>
              <w:spacing w:line="480" w:lineRule="auto"/>
              <w:ind w:firstLine="0"/>
              <w:jc w:val="both"/>
              <w:rPr>
                <w:rFonts w:hAnsi="宋体" w:cs="宋体"/>
                <w:color w:val="auto"/>
              </w:rPr>
            </w:pPr>
            <w:r>
              <w:rPr>
                <w:rFonts w:hint="eastAsia" w:hAnsi="宋体" w:cs="宋体"/>
                <w:color w:val="auto"/>
              </w:rPr>
              <w:sym w:font="Wingdings 2" w:char="00A3"/>
            </w:r>
            <w:r>
              <w:rPr>
                <w:rFonts w:hint="eastAsia" w:hAnsi="宋体" w:cs="宋体"/>
                <w:color w:val="auto"/>
              </w:rPr>
              <w:t xml:space="preserve">增值税专用发票        </w:t>
            </w:r>
            <w:r>
              <w:rPr>
                <w:rFonts w:hint="eastAsia" w:hAnsi="宋体" w:cs="宋体"/>
                <w:color w:val="auto"/>
              </w:rPr>
              <w:sym w:font="Wingdings 2" w:char="00A3"/>
            </w:r>
            <w:r>
              <w:rPr>
                <w:rFonts w:hint="eastAsia" w:hAnsi="宋体" w:cs="宋体"/>
                <w:color w:val="auto"/>
              </w:rPr>
              <w:t>增值税普通发票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9" w:hRule="atLeast"/>
          <w:jc w:val="center"/>
        </w:trPr>
        <w:tc>
          <w:tcPr>
            <w:tcW w:w="2709" w:type="dxa"/>
            <w:vAlign w:val="center"/>
          </w:tcPr>
          <w:p>
            <w:pPr>
              <w:pStyle w:val="12"/>
              <w:spacing w:line="480" w:lineRule="auto"/>
              <w:ind w:firstLine="0"/>
              <w:jc w:val="both"/>
              <w:rPr>
                <w:rFonts w:hAnsi="宋体" w:cs="宋体"/>
                <w:color w:val="auto"/>
              </w:rPr>
            </w:pPr>
            <w:r>
              <w:rPr>
                <w:rFonts w:hint="eastAsia" w:hAnsi="宋体" w:cs="宋体"/>
                <w:color w:val="auto"/>
              </w:rPr>
              <w:t>备注</w:t>
            </w:r>
          </w:p>
        </w:tc>
        <w:tc>
          <w:tcPr>
            <w:tcW w:w="6170" w:type="dxa"/>
            <w:vAlign w:val="center"/>
          </w:tcPr>
          <w:p>
            <w:pPr>
              <w:pStyle w:val="12"/>
              <w:spacing w:line="480" w:lineRule="auto"/>
              <w:ind w:firstLine="0"/>
              <w:jc w:val="both"/>
              <w:rPr>
                <w:rFonts w:hAnsi="宋体" w:cs="宋体"/>
                <w:color w:val="auto"/>
              </w:rPr>
            </w:pPr>
          </w:p>
        </w:tc>
      </w:tr>
    </w:tbl>
    <w:p>
      <w:pPr>
        <w:widowControl/>
        <w:jc w:val="left"/>
        <w:rPr>
          <w:b/>
          <w:color w:val="auto"/>
          <w:sz w:val="36"/>
          <w:szCs w:val="36"/>
        </w:rPr>
      </w:pPr>
    </w:p>
    <w:p>
      <w:pPr>
        <w:rPr>
          <w:color w:val="auto"/>
        </w:rPr>
      </w:pPr>
    </w:p>
    <w:p>
      <w:pPr>
        <w:widowControl/>
        <w:jc w:val="left"/>
        <w:rPr>
          <w:b/>
          <w:color w:val="auto"/>
          <w:sz w:val="36"/>
          <w:szCs w:val="36"/>
        </w:rPr>
      </w:pPr>
    </w:p>
    <w:sectPr>
      <w:pgSz w:w="11907" w:h="16840"/>
      <w:pgMar w:top="1418" w:right="1134" w:bottom="1418" w:left="1701" w:header="851" w:footer="851" w:gutter="0"/>
      <w:cols w:space="720" w:num="1"/>
      <w:docGrid w:linePitch="46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华文中宋">
    <w:panose1 w:val="02010600040101010101"/>
    <w:charset w:val="86"/>
    <w:family w:val="auto"/>
    <w:pitch w:val="default"/>
    <w:sig w:usb0="00000287" w:usb1="080F0000" w:usb2="00000000" w:usb3="00000000" w:csb0="0004009F" w:csb1="DFD70000"/>
  </w:font>
  <w:font w:name="仿宋_GB2312">
    <w:altName w:val="仿宋"/>
    <w:panose1 w:val="02010609030101010101"/>
    <w:charset w:val="86"/>
    <w:family w:val="modern"/>
    <w:pitch w:val="default"/>
    <w:sig w:usb0="00000000" w:usb1="00000000" w:usb2="00000000" w:usb3="00000000" w:csb0="00040000" w:csb1="00000000"/>
  </w:font>
  <w:font w:name="ˎ̥">
    <w:altName w:val="华文中宋"/>
    <w:panose1 w:val="00000000000000000000"/>
    <w:charset w:val="00"/>
    <w:family w:val="roman"/>
    <w:pitch w:val="default"/>
    <w:sig w:usb0="00000000" w:usb1="00000000" w:usb2="00000000" w:usb3="00000000" w:csb0="00040001" w:csb1="00000000"/>
  </w:font>
  <w:font w:name="Arial Unicode MS">
    <w:altName w:val="宋体"/>
    <w:panose1 w:val="020B0604020202020204"/>
    <w:charset w:val="86"/>
    <w:family w:val="swiss"/>
    <w:pitch w:val="default"/>
    <w:sig w:usb0="00000000" w:usb1="00000000" w:usb2="0000003F" w:usb3="00000000" w:csb0="603F01FF" w:csb1="FFFF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楷体_GB2312">
    <w:altName w:val="楷体"/>
    <w:panose1 w:val="02010609030101010101"/>
    <w:charset w:val="86"/>
    <w:family w:val="modern"/>
    <w:pitch w:val="default"/>
    <w:sig w:usb0="00000000" w:usb1="00000000" w:usb2="00000000" w:usb3="00000000" w:csb0="00040000" w:csb1="00000000"/>
  </w:font>
  <w:font w:name="Century Gothic">
    <w:panose1 w:val="020B0502020202020204"/>
    <w:charset w:val="00"/>
    <w:family w:val="swiss"/>
    <w:pitch w:val="default"/>
    <w:sig w:usb0="00000287" w:usb1="00000000" w:usb2="00000000" w:usb3="00000000" w:csb0="2000009F" w:csb1="DFD70000"/>
  </w:font>
  <w:font w:name="Segoe UI Symbol">
    <w:panose1 w:val="020B0502040204020203"/>
    <w:charset w:val="00"/>
    <w:family w:val="swiss"/>
    <w:pitch w:val="default"/>
    <w:sig w:usb0="800001E3" w:usb1="1200FFEF" w:usb2="00040000" w:usb3="04000000" w:csb0="00000001" w:csb1="40000000"/>
  </w:font>
  <w:font w:name="Wingdings 2">
    <w:panose1 w:val="05020102010507070707"/>
    <w:charset w:val="02"/>
    <w:family w:val="roman"/>
    <w:pitch w:val="default"/>
    <w:sig w:usb0="00000000" w:usb1="00000000" w:usb2="00000000" w:usb3="00000000" w:csb0="80000000" w:csb1="00000000"/>
  </w:font>
  <w:font w:name="微软雅黑">
    <w:panose1 w:val="020B0503020204020204"/>
    <w:charset w:val="86"/>
    <w:family w:val="auto"/>
    <w:pitch w:val="default"/>
    <w:sig w:usb0="80000287" w:usb1="2ACF3C50" w:usb2="00000016" w:usb3="00000000" w:csb0="0004001F" w:csb1="0000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
    </w:sdtPr>
    <w:sdtContent>
      <w:p>
        <w:pPr>
          <w:pStyle w:val="28"/>
          <w:jc w:val="cente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25</w:t>
        </w:r>
        <w:r>
          <w:rPr>
            <w:rFonts w:ascii="Times New Roman"/>
          </w:rP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framePr w:wrap="around" w:vAnchor="text" w:hAnchor="margin" w:xAlign="right" w:y="1"/>
      <w:rPr>
        <w:rStyle w:val="49"/>
      </w:rPr>
    </w:pPr>
  </w:p>
  <w:p>
    <w:pPr>
      <w:pStyle w:val="28"/>
      <w:ind w:right="360"/>
      <w:jc w:val="righ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framePr w:wrap="around" w:vAnchor="text" w:hAnchor="margin" w:xAlign="right" w:y="1"/>
      <w:rPr>
        <w:rStyle w:val="49"/>
      </w:rPr>
    </w:pPr>
    <w:r>
      <w:rPr>
        <w:rStyle w:val="49"/>
      </w:rPr>
      <w:fldChar w:fldCharType="begin"/>
    </w:r>
    <w:r>
      <w:rPr>
        <w:rStyle w:val="49"/>
      </w:rPr>
      <w:instrText xml:space="preserve">PAGE  </w:instrText>
    </w:r>
    <w:r>
      <w:rPr>
        <w:rStyle w:val="49"/>
      </w:rPr>
      <w:fldChar w:fldCharType="end"/>
    </w:r>
  </w:p>
  <w:p>
    <w:pPr>
      <w:pStyle w:val="28"/>
      <w:ind w:right="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autoSpaceDE w:val="0"/>
      <w:autoSpaceDN w:val="0"/>
      <w:adjustRightInd w:val="0"/>
      <w:snapToGrid w:val="0"/>
      <w:jc w:val="center"/>
      <w:rPr>
        <w:rFonts w:ascii="宋体"/>
        <w:kern w:val="0"/>
        <w:sz w:val="18"/>
        <w:szCs w:val="20"/>
      </w:rPr>
    </w:pPr>
    <w:r>
      <w:rPr>
        <w:rFonts w:ascii="宋体"/>
        <w:kern w:val="0"/>
        <w:sz w:val="18"/>
        <w:szCs w:val="20"/>
      </w:rPr>
      <w:fldChar w:fldCharType="begin"/>
    </w:r>
    <w:r>
      <w:rPr>
        <w:rFonts w:ascii="宋体"/>
        <w:kern w:val="0"/>
        <w:sz w:val="18"/>
        <w:szCs w:val="20"/>
      </w:rPr>
      <w:instrText xml:space="preserve">PAGE   \* MERGEFORMAT</w:instrText>
    </w:r>
    <w:r>
      <w:rPr>
        <w:rFonts w:ascii="宋体"/>
        <w:kern w:val="0"/>
        <w:sz w:val="18"/>
        <w:szCs w:val="20"/>
      </w:rPr>
      <w:fldChar w:fldCharType="separate"/>
    </w:r>
    <w:r>
      <w:rPr>
        <w:rFonts w:ascii="宋体"/>
        <w:kern w:val="0"/>
        <w:sz w:val="18"/>
        <w:szCs w:val="20"/>
        <w:lang w:val="zh-CN"/>
      </w:rPr>
      <w:t>39</w:t>
    </w:r>
    <w:r>
      <w:rPr>
        <w:rFonts w:ascii="宋体"/>
        <w:kern w:val="0"/>
        <w:sz w:val="18"/>
        <w:szCs w:val="20"/>
      </w:rPr>
      <w:fldChar w:fldCharType="end"/>
    </w:r>
  </w:p>
  <w:p>
    <w:pPr>
      <w:tabs>
        <w:tab w:val="left" w:pos="5302"/>
      </w:tabs>
      <w:spacing w:line="125" w:lineRule="exact"/>
      <w:rPr>
        <w:sz w:val="18"/>
        <w:szCs w:val="18"/>
      </w:rP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framePr w:wrap="around" w:vAnchor="text" w:hAnchor="margin" w:xAlign="right" w:y="1"/>
      <w:rPr>
        <w:rStyle w:val="49"/>
      </w:rPr>
    </w:pPr>
    <w:r>
      <w:rPr>
        <w:rStyle w:val="49"/>
      </w:rPr>
      <w:fldChar w:fldCharType="begin"/>
    </w:r>
    <w:r>
      <w:rPr>
        <w:rStyle w:val="49"/>
      </w:rPr>
      <w:instrText xml:space="preserve">PAGE  </w:instrText>
    </w:r>
    <w:r>
      <w:rPr>
        <w:rStyle w:val="49"/>
      </w:rPr>
      <w:fldChar w:fldCharType="end"/>
    </w:r>
  </w:p>
  <w:p>
    <w:pPr>
      <w:pStyle w:val="28"/>
      <w:ind w:right="360"/>
    </w:pPr>
  </w:p>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framePr w:wrap="around" w:vAnchor="text" w:hAnchor="margin" w:xAlign="right" w:y="1"/>
      <w:rPr>
        <w:rStyle w:val="49"/>
      </w:rPr>
    </w:pPr>
    <w:r>
      <w:rPr>
        <w:rStyle w:val="49"/>
      </w:rPr>
      <w:fldChar w:fldCharType="begin"/>
    </w:r>
    <w:r>
      <w:rPr>
        <w:rStyle w:val="49"/>
      </w:rPr>
      <w:instrText xml:space="preserve">PAGE  </w:instrText>
    </w:r>
    <w:r>
      <w:rPr>
        <w:rStyle w:val="49"/>
      </w:rPr>
      <w:fldChar w:fldCharType="end"/>
    </w:r>
  </w:p>
  <w:p>
    <w:pPr>
      <w:pStyle w:val="28"/>
      <w:ind w:right="360"/>
    </w:pPr>
  </w:p>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jc w:val="right"/>
    </w:pPr>
    <w:r>
      <w:rPr>
        <w:rFonts w:hint="eastAsia"/>
      </w:rPr>
      <w:t>北京市政府</w:t>
    </w:r>
    <w:r>
      <w:t>采购</w:t>
    </w:r>
    <w:r>
      <w:rPr>
        <w:rFonts w:hint="eastAsia"/>
      </w:rPr>
      <w:t>项目公开招标文件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jc w:val="right"/>
    </w:pPr>
    <w:r>
      <w:rPr>
        <w:rFonts w:hint="eastAsia"/>
      </w:rPr>
      <w:t>北京市政府</w:t>
    </w:r>
    <w:r>
      <w:t>采购</w:t>
    </w:r>
    <w:r>
      <w:rPr>
        <w:rFonts w:hint="eastAsia"/>
      </w:rPr>
      <w:t>项目公开招标文件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pPr>
  </w:p>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pPr>
  </w:p>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A4C64B1"/>
    <w:multiLevelType w:val="singleLevel"/>
    <w:tmpl w:val="BA4C64B1"/>
    <w:lvl w:ilvl="0" w:tentative="0">
      <w:start w:val="1"/>
      <w:numFmt w:val="decimal"/>
      <w:suff w:val="nothing"/>
      <w:lvlText w:val="（%1）"/>
      <w:lvlJc w:val="left"/>
    </w:lvl>
  </w:abstractNum>
  <w:abstractNum w:abstractNumId="1">
    <w:nsid w:val="00000004"/>
    <w:multiLevelType w:val="multilevel"/>
    <w:tmpl w:val="00000004"/>
    <w:lvl w:ilvl="0" w:tentative="0">
      <w:start w:val="1"/>
      <w:numFmt w:val="japaneseCounting"/>
      <w:lvlText w:val="第%1章"/>
      <w:lvlJc w:val="left"/>
      <w:pPr>
        <w:tabs>
          <w:tab w:val="left" w:pos="4941"/>
        </w:tabs>
        <w:ind w:left="4941" w:hanging="1140"/>
      </w:pPr>
      <w:rPr>
        <w:rFonts w:hint="eastAsia"/>
      </w:rPr>
    </w:lvl>
    <w:lvl w:ilvl="1" w:tentative="0">
      <w:start w:val="1"/>
      <w:numFmt w:val="lowerLetter"/>
      <w:lvlText w:val="%2)"/>
      <w:lvlJc w:val="left"/>
      <w:pPr>
        <w:tabs>
          <w:tab w:val="left" w:pos="4641"/>
        </w:tabs>
        <w:ind w:left="4641" w:hanging="420"/>
      </w:pPr>
    </w:lvl>
    <w:lvl w:ilvl="2" w:tentative="0">
      <w:start w:val="1"/>
      <w:numFmt w:val="lowerRoman"/>
      <w:lvlText w:val="%3."/>
      <w:lvlJc w:val="right"/>
      <w:pPr>
        <w:tabs>
          <w:tab w:val="left" w:pos="5061"/>
        </w:tabs>
        <w:ind w:left="5061" w:hanging="420"/>
      </w:pPr>
    </w:lvl>
    <w:lvl w:ilvl="3" w:tentative="0">
      <w:start w:val="1"/>
      <w:numFmt w:val="decimal"/>
      <w:lvlText w:val="%4."/>
      <w:lvlJc w:val="left"/>
      <w:pPr>
        <w:tabs>
          <w:tab w:val="left" w:pos="5481"/>
        </w:tabs>
        <w:ind w:left="5481" w:hanging="420"/>
      </w:pPr>
    </w:lvl>
    <w:lvl w:ilvl="4" w:tentative="0">
      <w:start w:val="1"/>
      <w:numFmt w:val="lowerLetter"/>
      <w:lvlText w:val="%5)"/>
      <w:lvlJc w:val="left"/>
      <w:pPr>
        <w:tabs>
          <w:tab w:val="left" w:pos="5901"/>
        </w:tabs>
        <w:ind w:left="5901" w:hanging="420"/>
      </w:pPr>
    </w:lvl>
    <w:lvl w:ilvl="5" w:tentative="0">
      <w:start w:val="1"/>
      <w:numFmt w:val="lowerRoman"/>
      <w:lvlText w:val="%6."/>
      <w:lvlJc w:val="right"/>
      <w:pPr>
        <w:tabs>
          <w:tab w:val="left" w:pos="6321"/>
        </w:tabs>
        <w:ind w:left="6321" w:hanging="420"/>
      </w:pPr>
    </w:lvl>
    <w:lvl w:ilvl="6" w:tentative="0">
      <w:start w:val="1"/>
      <w:numFmt w:val="decimal"/>
      <w:lvlText w:val="%7."/>
      <w:lvlJc w:val="left"/>
      <w:pPr>
        <w:tabs>
          <w:tab w:val="left" w:pos="6741"/>
        </w:tabs>
        <w:ind w:left="6741" w:hanging="420"/>
      </w:pPr>
    </w:lvl>
    <w:lvl w:ilvl="7" w:tentative="0">
      <w:start w:val="1"/>
      <w:numFmt w:val="lowerLetter"/>
      <w:lvlText w:val="%8)"/>
      <w:lvlJc w:val="left"/>
      <w:pPr>
        <w:tabs>
          <w:tab w:val="left" w:pos="7161"/>
        </w:tabs>
        <w:ind w:left="7161" w:hanging="420"/>
      </w:pPr>
    </w:lvl>
    <w:lvl w:ilvl="8" w:tentative="0">
      <w:start w:val="1"/>
      <w:numFmt w:val="lowerRoman"/>
      <w:lvlText w:val="%9."/>
      <w:lvlJc w:val="right"/>
      <w:pPr>
        <w:tabs>
          <w:tab w:val="left" w:pos="7581"/>
        </w:tabs>
        <w:ind w:left="7581" w:hanging="420"/>
      </w:pPr>
    </w:lvl>
  </w:abstractNum>
  <w:abstractNum w:abstractNumId="2">
    <w:nsid w:val="0000000A"/>
    <w:multiLevelType w:val="multilevel"/>
    <w:tmpl w:val="0000000A"/>
    <w:lvl w:ilvl="0" w:tentative="0">
      <w:start w:val="1"/>
      <w:numFmt w:val="decimal"/>
      <w:pStyle w:val="90"/>
      <w:lvlText w:val="%1."/>
      <w:lvlJc w:val="left"/>
      <w:pPr>
        <w:ind w:left="420" w:hanging="420"/>
      </w:pPr>
    </w:lvl>
    <w:lvl w:ilvl="1" w:tentative="0">
      <w:start w:val="1"/>
      <w:numFmt w:val="decimal"/>
      <w:lvlText w:val="（%2）"/>
      <w:lvlJc w:val="left"/>
      <w:pPr>
        <w:tabs>
          <w:tab w:val="left" w:pos="1140"/>
        </w:tabs>
        <w:ind w:left="1140" w:hanging="720"/>
      </w:pPr>
      <w:rPr>
        <w:rFonts w:hint="eastAsia"/>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
    <w:nsid w:val="0000000D"/>
    <w:multiLevelType w:val="multilevel"/>
    <w:tmpl w:val="0000000D"/>
    <w:lvl w:ilvl="0" w:tentative="0">
      <w:start w:val="1"/>
      <w:numFmt w:val="lowerLetter"/>
      <w:pStyle w:val="165"/>
      <w:lvlText w:val="%1)"/>
      <w:lvlJc w:val="left"/>
      <w:pPr>
        <w:ind w:left="902" w:hanging="420"/>
      </w:pPr>
      <w:rPr>
        <w:color w:val="auto"/>
      </w:rPr>
    </w:lvl>
    <w:lvl w:ilvl="1" w:tentative="0">
      <w:start w:val="1"/>
      <w:numFmt w:val="lowerLetter"/>
      <w:lvlText w:val="%2)"/>
      <w:lvlJc w:val="left"/>
      <w:pPr>
        <w:ind w:left="1322" w:hanging="420"/>
      </w:pPr>
    </w:lvl>
    <w:lvl w:ilvl="2" w:tentative="0">
      <w:start w:val="1"/>
      <w:numFmt w:val="lowerRoman"/>
      <w:lvlText w:val="%3."/>
      <w:lvlJc w:val="right"/>
      <w:pPr>
        <w:ind w:left="1742" w:hanging="420"/>
      </w:pPr>
    </w:lvl>
    <w:lvl w:ilvl="3" w:tentative="0">
      <w:start w:val="1"/>
      <w:numFmt w:val="decimal"/>
      <w:lvlText w:val="%4."/>
      <w:lvlJc w:val="left"/>
      <w:pPr>
        <w:ind w:left="2162" w:hanging="420"/>
      </w:pPr>
    </w:lvl>
    <w:lvl w:ilvl="4" w:tentative="0">
      <w:start w:val="1"/>
      <w:numFmt w:val="lowerLetter"/>
      <w:lvlText w:val="%5)"/>
      <w:lvlJc w:val="left"/>
      <w:pPr>
        <w:ind w:left="2582" w:hanging="420"/>
      </w:pPr>
    </w:lvl>
    <w:lvl w:ilvl="5" w:tentative="0">
      <w:start w:val="1"/>
      <w:numFmt w:val="lowerRoman"/>
      <w:lvlText w:val="%6."/>
      <w:lvlJc w:val="right"/>
      <w:pPr>
        <w:ind w:left="3002" w:hanging="420"/>
      </w:pPr>
    </w:lvl>
    <w:lvl w:ilvl="6" w:tentative="0">
      <w:start w:val="1"/>
      <w:numFmt w:val="decimal"/>
      <w:lvlText w:val="%7."/>
      <w:lvlJc w:val="left"/>
      <w:pPr>
        <w:ind w:left="3422" w:hanging="420"/>
      </w:pPr>
    </w:lvl>
    <w:lvl w:ilvl="7" w:tentative="0">
      <w:start w:val="1"/>
      <w:numFmt w:val="lowerLetter"/>
      <w:lvlText w:val="%8)"/>
      <w:lvlJc w:val="left"/>
      <w:pPr>
        <w:ind w:left="3842" w:hanging="420"/>
      </w:pPr>
    </w:lvl>
    <w:lvl w:ilvl="8" w:tentative="0">
      <w:start w:val="1"/>
      <w:numFmt w:val="lowerRoman"/>
      <w:lvlText w:val="%9."/>
      <w:lvlJc w:val="right"/>
      <w:pPr>
        <w:ind w:left="4262" w:hanging="420"/>
      </w:pPr>
    </w:lvl>
  </w:abstractNum>
  <w:abstractNum w:abstractNumId="4">
    <w:nsid w:val="00000013"/>
    <w:multiLevelType w:val="singleLevel"/>
    <w:tmpl w:val="00000013"/>
    <w:lvl w:ilvl="0" w:tentative="0">
      <w:start w:val="1"/>
      <w:numFmt w:val="decimal"/>
      <w:pStyle w:val="135"/>
      <w:lvlText w:val="%1."/>
      <w:lvlJc w:val="left"/>
      <w:pPr>
        <w:tabs>
          <w:tab w:val="left" w:pos="360"/>
        </w:tabs>
        <w:ind w:left="360" w:hanging="360"/>
      </w:pPr>
      <w:rPr>
        <w:rFonts w:hint="default"/>
      </w:rPr>
    </w:lvl>
  </w:abstractNum>
  <w:abstractNum w:abstractNumId="5">
    <w:nsid w:val="00000026"/>
    <w:multiLevelType w:val="multilevel"/>
    <w:tmpl w:val="00000026"/>
    <w:lvl w:ilvl="0" w:tentative="0">
      <w:start w:val="1"/>
      <w:numFmt w:val="decimal"/>
      <w:pStyle w:val="84"/>
      <w:isLgl/>
      <w:suff w:val="nothing"/>
      <w:lvlText w:val="%1　"/>
      <w:lvlJc w:val="left"/>
      <w:pPr>
        <w:ind w:left="-25" w:firstLine="0"/>
      </w:pPr>
      <w:rPr>
        <w:rFonts w:hint="default" w:ascii="Times New Roman" w:hAnsi="Times New Roman" w:eastAsia="宋体"/>
        <w:b/>
        <w:i w:val="0"/>
        <w:color w:val="auto"/>
        <w:sz w:val="28"/>
        <w:u w:val="none"/>
      </w:rPr>
    </w:lvl>
    <w:lvl w:ilvl="1" w:tentative="0">
      <w:start w:val="1"/>
      <w:numFmt w:val="decimal"/>
      <w:pStyle w:val="83"/>
      <w:isLgl/>
      <w:suff w:val="nothing"/>
      <w:lvlText w:val="%1.%2　"/>
      <w:lvlJc w:val="left"/>
      <w:pPr>
        <w:ind w:left="-25" w:firstLine="0"/>
      </w:pPr>
      <w:rPr>
        <w:rFonts w:hint="default" w:ascii="Times New Roman" w:hAnsi="Times New Roman" w:eastAsia="宋体"/>
        <w:b/>
        <w:i w:val="0"/>
        <w:snapToGrid/>
        <w:color w:val="auto"/>
        <w:spacing w:val="0"/>
        <w:w w:val="100"/>
        <w:kern w:val="21"/>
        <w:sz w:val="28"/>
        <w:u w:val="none"/>
      </w:rPr>
    </w:lvl>
    <w:lvl w:ilvl="2" w:tentative="0">
      <w:start w:val="1"/>
      <w:numFmt w:val="decimal"/>
      <w:isLgl/>
      <w:suff w:val="nothing"/>
      <w:lvlText w:val="%1.%2.%3　"/>
      <w:lvlJc w:val="left"/>
      <w:pPr>
        <w:ind w:left="-25" w:firstLine="0"/>
      </w:pPr>
      <w:rPr>
        <w:rFonts w:hint="default" w:ascii="Times New Roman" w:hAnsi="Times New Roman" w:eastAsia="黑体"/>
        <w:b/>
        <w:i w:val="0"/>
        <w:sz w:val="28"/>
      </w:rPr>
    </w:lvl>
    <w:lvl w:ilvl="3" w:tentative="0">
      <w:start w:val="1"/>
      <w:numFmt w:val="decimal"/>
      <w:pStyle w:val="120"/>
      <w:isLgl/>
      <w:suff w:val="nothing"/>
      <w:lvlText w:val="%1.%2.%3.%4　"/>
      <w:lvlJc w:val="left"/>
      <w:pPr>
        <w:ind w:left="-25" w:firstLine="0"/>
      </w:pPr>
      <w:rPr>
        <w:rFonts w:hint="default" w:ascii="Times New Roman" w:hAnsi="Times New Roman" w:eastAsia="宋体"/>
        <w:b/>
        <w:i w:val="0"/>
        <w:color w:val="auto"/>
        <w:sz w:val="28"/>
        <w:u w:val="none"/>
      </w:rPr>
    </w:lvl>
    <w:lvl w:ilvl="4" w:tentative="0">
      <w:start w:val="1"/>
      <w:numFmt w:val="decimal"/>
      <w:pStyle w:val="119"/>
      <w:isLgl/>
      <w:suff w:val="nothing"/>
      <w:lvlText w:val="%1.%2.%3.%4.%5　"/>
      <w:lvlJc w:val="left"/>
      <w:pPr>
        <w:ind w:left="-25" w:firstLine="0"/>
      </w:pPr>
      <w:rPr>
        <w:rFonts w:hint="default" w:ascii="Times New Roman" w:hAnsi="Times New Roman" w:eastAsia="宋体"/>
        <w:b/>
        <w:i w:val="0"/>
        <w:color w:val="auto"/>
        <w:sz w:val="28"/>
        <w:u w:val="none"/>
      </w:rPr>
    </w:lvl>
    <w:lvl w:ilvl="5" w:tentative="0">
      <w:start w:val="1"/>
      <w:numFmt w:val="decimal"/>
      <w:pStyle w:val="128"/>
      <w:isLgl/>
      <w:suff w:val="nothing"/>
      <w:lvlText w:val="%1.%2.%3.%4.%5.%6　"/>
      <w:lvlJc w:val="left"/>
      <w:pPr>
        <w:ind w:left="-25" w:firstLine="0"/>
      </w:pPr>
      <w:rPr>
        <w:rFonts w:hint="default" w:ascii="Times New Roman" w:hAnsi="Times New Roman" w:eastAsia="宋体"/>
        <w:b/>
        <w:i w:val="0"/>
        <w:sz w:val="28"/>
      </w:rPr>
    </w:lvl>
    <w:lvl w:ilvl="6" w:tentative="0">
      <w:start w:val="1"/>
      <w:numFmt w:val="lowerLetter"/>
      <w:pStyle w:val="141"/>
      <w:lvlText w:val="%7) "/>
      <w:lvlJc w:val="left"/>
      <w:pPr>
        <w:tabs>
          <w:tab w:val="left" w:pos="635"/>
        </w:tabs>
        <w:ind w:left="-125" w:firstLine="400"/>
      </w:pPr>
      <w:rPr>
        <w:rFonts w:hint="default" w:ascii="Times New Roman" w:hAnsi="Times New Roman" w:eastAsia="宋体"/>
        <w:b/>
        <w:i w:val="0"/>
        <w:color w:val="auto"/>
        <w:sz w:val="28"/>
        <w:u w:val="none"/>
      </w:rPr>
    </w:lvl>
    <w:lvl w:ilvl="7" w:tentative="0">
      <w:start w:val="1"/>
      <w:numFmt w:val="decimal"/>
      <w:pStyle w:val="104"/>
      <w:lvlText w:val="%8) "/>
      <w:lvlJc w:val="left"/>
      <w:pPr>
        <w:tabs>
          <w:tab w:val="left" w:pos="860"/>
        </w:tabs>
        <w:ind w:left="500" w:firstLine="0"/>
      </w:pPr>
      <w:rPr>
        <w:rFonts w:hint="default" w:ascii="Times New Roman" w:hAnsi="Times New Roman" w:eastAsia="宋体"/>
        <w:b/>
        <w:i w:val="0"/>
        <w:color w:val="auto"/>
        <w:sz w:val="28"/>
        <w:u w:val="none"/>
      </w:rPr>
    </w:lvl>
    <w:lvl w:ilvl="8" w:tentative="0">
      <w:start w:val="1"/>
      <w:numFmt w:val="none"/>
      <w:lvlText w:val="%9"/>
      <w:lvlJc w:val="left"/>
      <w:pPr>
        <w:tabs>
          <w:tab w:val="left" w:pos="860"/>
        </w:tabs>
        <w:ind w:left="500" w:firstLine="0"/>
      </w:pPr>
      <w:rPr>
        <w:rFonts w:hint="eastAsia" w:ascii="宋体" w:eastAsia="宋体"/>
        <w:b w:val="0"/>
        <w:i w:val="0"/>
        <w:color w:val="auto"/>
        <w:sz w:val="28"/>
        <w:u w:val="none"/>
      </w:rPr>
    </w:lvl>
  </w:abstractNum>
  <w:abstractNum w:abstractNumId="6">
    <w:nsid w:val="00000028"/>
    <w:multiLevelType w:val="multilevel"/>
    <w:tmpl w:val="00000028"/>
    <w:lvl w:ilvl="0" w:tentative="0">
      <w:start w:val="1"/>
      <w:numFmt w:val="decimal"/>
      <w:lvlText w:val="%1．"/>
      <w:lvlJc w:val="left"/>
      <w:pPr>
        <w:tabs>
          <w:tab w:val="left" w:pos="768"/>
        </w:tabs>
        <w:ind w:left="768" w:hanging="360"/>
      </w:pPr>
      <w:rPr>
        <w:rFonts w:hint="eastAsia"/>
      </w:rPr>
    </w:lvl>
    <w:lvl w:ilvl="1" w:tentative="0">
      <w:start w:val="1"/>
      <w:numFmt w:val="decimal"/>
      <w:pStyle w:val="122"/>
      <w:lvlText w:val="%2、"/>
      <w:lvlJc w:val="left"/>
      <w:pPr>
        <w:tabs>
          <w:tab w:val="left" w:pos="1188"/>
        </w:tabs>
        <w:ind w:left="1188" w:hanging="360"/>
      </w:pPr>
      <w:rPr>
        <w:rFonts w:hint="eastAsia"/>
      </w:rPr>
    </w:lvl>
    <w:lvl w:ilvl="2" w:tentative="0">
      <w:start w:val="1"/>
      <w:numFmt w:val="decimal"/>
      <w:lvlText w:val="（%3）"/>
      <w:lvlJc w:val="left"/>
      <w:pPr>
        <w:tabs>
          <w:tab w:val="left" w:pos="1968"/>
        </w:tabs>
        <w:ind w:left="1968" w:hanging="720"/>
      </w:pPr>
      <w:rPr>
        <w:rFonts w:hint="eastAsia"/>
        <w:u w:val="none"/>
      </w:rPr>
    </w:lvl>
    <w:lvl w:ilvl="3" w:tentative="0">
      <w:start w:val="1"/>
      <w:numFmt w:val="decimal"/>
      <w:lvlText w:val="%4."/>
      <w:lvlJc w:val="left"/>
      <w:pPr>
        <w:tabs>
          <w:tab w:val="left" w:pos="2088"/>
        </w:tabs>
        <w:ind w:left="2088" w:hanging="420"/>
      </w:pPr>
    </w:lvl>
    <w:lvl w:ilvl="4" w:tentative="0">
      <w:start w:val="1"/>
      <w:numFmt w:val="lowerLetter"/>
      <w:lvlText w:val="%5)"/>
      <w:lvlJc w:val="left"/>
      <w:pPr>
        <w:tabs>
          <w:tab w:val="left" w:pos="2508"/>
        </w:tabs>
        <w:ind w:left="2508" w:hanging="420"/>
      </w:pPr>
    </w:lvl>
    <w:lvl w:ilvl="5" w:tentative="0">
      <w:start w:val="1"/>
      <w:numFmt w:val="lowerRoman"/>
      <w:lvlText w:val="%6."/>
      <w:lvlJc w:val="right"/>
      <w:pPr>
        <w:tabs>
          <w:tab w:val="left" w:pos="2928"/>
        </w:tabs>
        <w:ind w:left="2928" w:hanging="420"/>
      </w:pPr>
    </w:lvl>
    <w:lvl w:ilvl="6" w:tentative="0">
      <w:start w:val="1"/>
      <w:numFmt w:val="decimal"/>
      <w:lvlText w:val="%7."/>
      <w:lvlJc w:val="left"/>
      <w:pPr>
        <w:tabs>
          <w:tab w:val="left" w:pos="3348"/>
        </w:tabs>
        <w:ind w:left="3348" w:hanging="420"/>
      </w:pPr>
    </w:lvl>
    <w:lvl w:ilvl="7" w:tentative="0">
      <w:start w:val="1"/>
      <w:numFmt w:val="lowerLetter"/>
      <w:lvlText w:val="%8)"/>
      <w:lvlJc w:val="left"/>
      <w:pPr>
        <w:tabs>
          <w:tab w:val="left" w:pos="3768"/>
        </w:tabs>
        <w:ind w:left="3768" w:hanging="420"/>
      </w:pPr>
    </w:lvl>
    <w:lvl w:ilvl="8" w:tentative="0">
      <w:start w:val="1"/>
      <w:numFmt w:val="lowerRoman"/>
      <w:lvlText w:val="%9."/>
      <w:lvlJc w:val="right"/>
      <w:pPr>
        <w:tabs>
          <w:tab w:val="left" w:pos="4188"/>
        </w:tabs>
        <w:ind w:left="4188" w:hanging="420"/>
      </w:pPr>
    </w:lvl>
  </w:abstractNum>
  <w:abstractNum w:abstractNumId="7">
    <w:nsid w:val="00000029"/>
    <w:multiLevelType w:val="multilevel"/>
    <w:tmpl w:val="00000029"/>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8">
    <w:nsid w:val="0000002F"/>
    <w:multiLevelType w:val="multilevel"/>
    <w:tmpl w:val="0000002F"/>
    <w:lvl w:ilvl="0" w:tentative="0">
      <w:start w:val="1"/>
      <w:numFmt w:val="decimal"/>
      <w:pStyle w:val="89"/>
      <w:lvlText w:val="%1)"/>
      <w:lvlJc w:val="left"/>
      <w:pPr>
        <w:ind w:left="420" w:hanging="4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9">
    <w:nsid w:val="0E230849"/>
    <w:multiLevelType w:val="multilevel"/>
    <w:tmpl w:val="0E230849"/>
    <w:lvl w:ilvl="0" w:tentative="0">
      <w:start w:val="1"/>
      <w:numFmt w:val="decimal"/>
      <w:pStyle w:val="192"/>
      <w:lvlText w:val="%1"/>
      <w:lvlJc w:val="left"/>
      <w:pPr>
        <w:ind w:left="680" w:hanging="680"/>
      </w:pPr>
      <w:rPr>
        <w:rFonts w:hint="eastAsia" w:ascii="宋体" w:hAnsi="宋体" w:eastAsia="宋体"/>
      </w:rPr>
    </w:lvl>
    <w:lvl w:ilvl="1" w:tentative="0">
      <w:start w:val="1"/>
      <w:numFmt w:val="decimal"/>
      <w:pStyle w:val="193"/>
      <w:lvlText w:val="%1.%2"/>
      <w:lvlJc w:val="left"/>
      <w:pPr>
        <w:ind w:left="851" w:hanging="851"/>
      </w:pPr>
      <w:rPr>
        <w:rFonts w:hint="eastAsia" w:ascii="宋体" w:hAnsi="宋体" w:eastAsia="宋体"/>
        <w:color w:val="auto"/>
      </w:rPr>
    </w:lvl>
    <w:lvl w:ilvl="2" w:tentative="0">
      <w:start w:val="1"/>
      <w:numFmt w:val="decimal"/>
      <w:pStyle w:val="194"/>
      <w:lvlText w:val="%1.%2.%3"/>
      <w:lvlJc w:val="left"/>
      <w:pPr>
        <w:ind w:left="851" w:hanging="851"/>
      </w:pPr>
      <w:rPr>
        <w:rFonts w:hint="eastAsia"/>
      </w:rPr>
    </w:lvl>
    <w:lvl w:ilvl="3" w:tentative="0">
      <w:start w:val="1"/>
      <w:numFmt w:val="decimal"/>
      <w:lvlText w:val="%1.%2.%3.%4"/>
      <w:lvlJc w:val="left"/>
      <w:pPr>
        <w:ind w:left="680" w:hanging="680"/>
      </w:pPr>
      <w:rPr>
        <w:rFonts w:hint="eastAsia"/>
      </w:rPr>
    </w:lvl>
    <w:lvl w:ilvl="4" w:tentative="0">
      <w:start w:val="1"/>
      <w:numFmt w:val="decimal"/>
      <w:lvlText w:val="%1.%2.%3.%4.%5"/>
      <w:lvlJc w:val="left"/>
      <w:pPr>
        <w:ind w:left="680" w:hanging="680"/>
      </w:pPr>
      <w:rPr>
        <w:rFonts w:hint="eastAsia"/>
      </w:rPr>
    </w:lvl>
    <w:lvl w:ilvl="5" w:tentative="0">
      <w:start w:val="1"/>
      <w:numFmt w:val="decimal"/>
      <w:lvlText w:val="%1.%2.%3.%4.%5.%6"/>
      <w:lvlJc w:val="left"/>
      <w:pPr>
        <w:ind w:left="680" w:hanging="680"/>
      </w:pPr>
      <w:rPr>
        <w:rFonts w:hint="eastAsia"/>
      </w:rPr>
    </w:lvl>
    <w:lvl w:ilvl="6" w:tentative="0">
      <w:start w:val="1"/>
      <w:numFmt w:val="decimal"/>
      <w:lvlText w:val="%1.%2.%3.%4.%5.%6.%7"/>
      <w:lvlJc w:val="left"/>
      <w:pPr>
        <w:ind w:left="680" w:hanging="680"/>
      </w:pPr>
      <w:rPr>
        <w:rFonts w:hint="eastAsia"/>
      </w:rPr>
    </w:lvl>
    <w:lvl w:ilvl="7" w:tentative="0">
      <w:start w:val="1"/>
      <w:numFmt w:val="decimal"/>
      <w:lvlText w:val="%1.%2.%3.%4.%5.%6.%7.%8"/>
      <w:lvlJc w:val="left"/>
      <w:pPr>
        <w:ind w:left="680" w:hanging="680"/>
      </w:pPr>
      <w:rPr>
        <w:rFonts w:hint="eastAsia"/>
      </w:rPr>
    </w:lvl>
    <w:lvl w:ilvl="8" w:tentative="0">
      <w:start w:val="1"/>
      <w:numFmt w:val="decimal"/>
      <w:lvlText w:val="%1.%2.%3.%4.%5.%6.%7.%8.%9"/>
      <w:lvlJc w:val="left"/>
      <w:pPr>
        <w:ind w:left="680" w:hanging="680"/>
      </w:pPr>
      <w:rPr>
        <w:rFonts w:hint="eastAsia"/>
      </w:rPr>
    </w:lvl>
  </w:abstractNum>
  <w:abstractNum w:abstractNumId="10">
    <w:nsid w:val="0FAA28FB"/>
    <w:multiLevelType w:val="multilevel"/>
    <w:tmpl w:val="0FAA28FB"/>
    <w:lvl w:ilvl="0" w:tentative="0">
      <w:start w:val="1"/>
      <w:numFmt w:val="japaneseCounting"/>
      <w:lvlText w:val="（%1）"/>
      <w:lvlJc w:val="left"/>
      <w:pPr>
        <w:ind w:left="1200" w:hanging="720"/>
      </w:pPr>
      <w:rPr>
        <w:rFonts w:hint="default"/>
      </w:rPr>
    </w:lvl>
    <w:lvl w:ilvl="1" w:tentative="0">
      <w:start w:val="1"/>
      <w:numFmt w:val="lowerLetter"/>
      <w:lvlText w:val="%2)"/>
      <w:lvlJc w:val="left"/>
      <w:pPr>
        <w:ind w:left="1360" w:hanging="440"/>
      </w:pPr>
    </w:lvl>
    <w:lvl w:ilvl="2" w:tentative="0">
      <w:start w:val="1"/>
      <w:numFmt w:val="lowerRoman"/>
      <w:lvlText w:val="%3."/>
      <w:lvlJc w:val="right"/>
      <w:pPr>
        <w:ind w:left="1800" w:hanging="440"/>
      </w:pPr>
    </w:lvl>
    <w:lvl w:ilvl="3" w:tentative="0">
      <w:start w:val="1"/>
      <w:numFmt w:val="decimal"/>
      <w:lvlText w:val="%4."/>
      <w:lvlJc w:val="left"/>
      <w:pPr>
        <w:ind w:left="2240" w:hanging="440"/>
      </w:pPr>
    </w:lvl>
    <w:lvl w:ilvl="4" w:tentative="0">
      <w:start w:val="1"/>
      <w:numFmt w:val="lowerLetter"/>
      <w:lvlText w:val="%5)"/>
      <w:lvlJc w:val="left"/>
      <w:pPr>
        <w:ind w:left="2680" w:hanging="440"/>
      </w:pPr>
    </w:lvl>
    <w:lvl w:ilvl="5" w:tentative="0">
      <w:start w:val="1"/>
      <w:numFmt w:val="lowerRoman"/>
      <w:lvlText w:val="%6."/>
      <w:lvlJc w:val="right"/>
      <w:pPr>
        <w:ind w:left="3120" w:hanging="440"/>
      </w:pPr>
    </w:lvl>
    <w:lvl w:ilvl="6" w:tentative="0">
      <w:start w:val="1"/>
      <w:numFmt w:val="decimal"/>
      <w:lvlText w:val="%7."/>
      <w:lvlJc w:val="left"/>
      <w:pPr>
        <w:ind w:left="3560" w:hanging="440"/>
      </w:pPr>
    </w:lvl>
    <w:lvl w:ilvl="7" w:tentative="0">
      <w:start w:val="1"/>
      <w:numFmt w:val="lowerLetter"/>
      <w:lvlText w:val="%8)"/>
      <w:lvlJc w:val="left"/>
      <w:pPr>
        <w:ind w:left="4000" w:hanging="440"/>
      </w:pPr>
    </w:lvl>
    <w:lvl w:ilvl="8" w:tentative="0">
      <w:start w:val="1"/>
      <w:numFmt w:val="lowerRoman"/>
      <w:lvlText w:val="%9."/>
      <w:lvlJc w:val="right"/>
      <w:pPr>
        <w:ind w:left="4440" w:hanging="440"/>
      </w:pPr>
    </w:lvl>
  </w:abstractNum>
  <w:abstractNum w:abstractNumId="11">
    <w:nsid w:val="10872DAA"/>
    <w:multiLevelType w:val="multilevel"/>
    <w:tmpl w:val="10872DAA"/>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2">
    <w:nsid w:val="1667154C"/>
    <w:multiLevelType w:val="multilevel"/>
    <w:tmpl w:val="1667154C"/>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3">
    <w:nsid w:val="2BCA9BF5"/>
    <w:multiLevelType w:val="singleLevel"/>
    <w:tmpl w:val="2BCA9BF5"/>
    <w:lvl w:ilvl="0" w:tentative="0">
      <w:start w:val="1"/>
      <w:numFmt w:val="decimal"/>
      <w:suff w:val="nothing"/>
      <w:lvlText w:val="%1、"/>
      <w:lvlJc w:val="left"/>
    </w:lvl>
  </w:abstractNum>
  <w:abstractNum w:abstractNumId="14">
    <w:nsid w:val="302065E1"/>
    <w:multiLevelType w:val="multilevel"/>
    <w:tmpl w:val="302065E1"/>
    <w:lvl w:ilvl="0" w:tentative="0">
      <w:start w:val="1"/>
      <w:numFmt w:val="japaneseCounting"/>
      <w:lvlText w:val="（%1）"/>
      <w:lvlJc w:val="left"/>
      <w:pPr>
        <w:ind w:left="1560" w:hanging="720"/>
      </w:pPr>
      <w:rPr>
        <w:rFonts w:hint="default"/>
      </w:rPr>
    </w:lvl>
    <w:lvl w:ilvl="1" w:tentative="0">
      <w:start w:val="1"/>
      <w:numFmt w:val="lowerLetter"/>
      <w:lvlText w:val="%2)"/>
      <w:lvlJc w:val="left"/>
      <w:pPr>
        <w:ind w:left="1680" w:hanging="420"/>
      </w:pPr>
    </w:lvl>
    <w:lvl w:ilvl="2" w:tentative="0">
      <w:start w:val="1"/>
      <w:numFmt w:val="lowerRoman"/>
      <w:lvlText w:val="%3."/>
      <w:lvlJc w:val="right"/>
      <w:pPr>
        <w:ind w:left="2100" w:hanging="420"/>
      </w:pPr>
    </w:lvl>
    <w:lvl w:ilvl="3" w:tentative="0">
      <w:start w:val="1"/>
      <w:numFmt w:val="decimal"/>
      <w:lvlText w:val="%4."/>
      <w:lvlJc w:val="left"/>
      <w:pPr>
        <w:ind w:left="2520" w:hanging="420"/>
      </w:pPr>
    </w:lvl>
    <w:lvl w:ilvl="4" w:tentative="0">
      <w:start w:val="1"/>
      <w:numFmt w:val="lowerLetter"/>
      <w:lvlText w:val="%5)"/>
      <w:lvlJc w:val="left"/>
      <w:pPr>
        <w:ind w:left="2940" w:hanging="420"/>
      </w:pPr>
    </w:lvl>
    <w:lvl w:ilvl="5" w:tentative="0">
      <w:start w:val="1"/>
      <w:numFmt w:val="lowerRoman"/>
      <w:lvlText w:val="%6."/>
      <w:lvlJc w:val="right"/>
      <w:pPr>
        <w:ind w:left="3360" w:hanging="420"/>
      </w:pPr>
    </w:lvl>
    <w:lvl w:ilvl="6" w:tentative="0">
      <w:start w:val="1"/>
      <w:numFmt w:val="decimal"/>
      <w:lvlText w:val="%7."/>
      <w:lvlJc w:val="left"/>
      <w:pPr>
        <w:ind w:left="3780" w:hanging="420"/>
      </w:pPr>
    </w:lvl>
    <w:lvl w:ilvl="7" w:tentative="0">
      <w:start w:val="1"/>
      <w:numFmt w:val="lowerLetter"/>
      <w:lvlText w:val="%8)"/>
      <w:lvlJc w:val="left"/>
      <w:pPr>
        <w:ind w:left="4200" w:hanging="420"/>
      </w:pPr>
    </w:lvl>
    <w:lvl w:ilvl="8" w:tentative="0">
      <w:start w:val="1"/>
      <w:numFmt w:val="lowerRoman"/>
      <w:lvlText w:val="%9."/>
      <w:lvlJc w:val="right"/>
      <w:pPr>
        <w:ind w:left="4620" w:hanging="420"/>
      </w:pPr>
    </w:lvl>
  </w:abstractNum>
  <w:abstractNum w:abstractNumId="15">
    <w:nsid w:val="36367779"/>
    <w:multiLevelType w:val="multilevel"/>
    <w:tmpl w:val="36367779"/>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6">
    <w:nsid w:val="3E487E37"/>
    <w:multiLevelType w:val="multilevel"/>
    <w:tmpl w:val="3E487E37"/>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7">
    <w:nsid w:val="5A232928"/>
    <w:multiLevelType w:val="multilevel"/>
    <w:tmpl w:val="5A232928"/>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8">
    <w:nsid w:val="6E0A4AF0"/>
    <w:multiLevelType w:val="multilevel"/>
    <w:tmpl w:val="6E0A4AF0"/>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num w:numId="1">
    <w:abstractNumId w:val="5"/>
  </w:num>
  <w:num w:numId="2">
    <w:abstractNumId w:val="8"/>
  </w:num>
  <w:num w:numId="3">
    <w:abstractNumId w:val="2"/>
  </w:num>
  <w:num w:numId="4">
    <w:abstractNumId w:val="6"/>
  </w:num>
  <w:num w:numId="5">
    <w:abstractNumId w:val="4"/>
  </w:num>
  <w:num w:numId="6">
    <w:abstractNumId w:val="3"/>
  </w:num>
  <w:num w:numId="7">
    <w:abstractNumId w:val="9"/>
  </w:num>
  <w:num w:numId="8">
    <w:abstractNumId w:val="7"/>
  </w:num>
  <w:num w:numId="9">
    <w:abstractNumId w:val="12"/>
  </w:num>
  <w:num w:numId="10">
    <w:abstractNumId w:val="1"/>
  </w:num>
  <w:num w:numId="11">
    <w:abstractNumId w:val="16"/>
  </w:num>
  <w:num w:numId="12">
    <w:abstractNumId w:val="11"/>
  </w:num>
  <w:num w:numId="13">
    <w:abstractNumId w:val="18"/>
  </w:num>
  <w:num w:numId="14">
    <w:abstractNumId w:val="0"/>
  </w:num>
  <w:num w:numId="15">
    <w:abstractNumId w:val="13"/>
  </w:num>
  <w:num w:numId="16">
    <w:abstractNumId w:val="10"/>
  </w:num>
  <w:num w:numId="17">
    <w:abstractNumId w:val="17"/>
  </w:num>
  <w:num w:numId="18">
    <w:abstractNumId w:val="14"/>
  </w:num>
  <w:num w:numId="1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CTIVE" w:val="03年范本稿123.doc"/>
    <w:docVar w:name="commondata" w:val="eyJoZGlkIjoiNTFhOWVhYTYxZWFhODJlY2RhODgxNDhlZDQyOTAyYmMifQ=="/>
    <w:docVar w:name="VTCASE" w:val="4"/>
    <w:docVar w:name="VTCommandPending" w:val="NONE"/>
  </w:docVars>
  <w:rsids>
    <w:rsidRoot w:val="00172A27"/>
    <w:rsid w:val="00000277"/>
    <w:rsid w:val="000002C4"/>
    <w:rsid w:val="00000368"/>
    <w:rsid w:val="00000432"/>
    <w:rsid w:val="00000448"/>
    <w:rsid w:val="00000905"/>
    <w:rsid w:val="00000CCE"/>
    <w:rsid w:val="00000DF5"/>
    <w:rsid w:val="00000F3F"/>
    <w:rsid w:val="00001711"/>
    <w:rsid w:val="00001895"/>
    <w:rsid w:val="00001948"/>
    <w:rsid w:val="00001E9A"/>
    <w:rsid w:val="00001F9C"/>
    <w:rsid w:val="000020BD"/>
    <w:rsid w:val="0000218D"/>
    <w:rsid w:val="000023ED"/>
    <w:rsid w:val="0000240B"/>
    <w:rsid w:val="000026F7"/>
    <w:rsid w:val="0000279B"/>
    <w:rsid w:val="000027EB"/>
    <w:rsid w:val="00002944"/>
    <w:rsid w:val="00002F3D"/>
    <w:rsid w:val="00002FE1"/>
    <w:rsid w:val="00003279"/>
    <w:rsid w:val="000032E5"/>
    <w:rsid w:val="00003626"/>
    <w:rsid w:val="00003711"/>
    <w:rsid w:val="00003804"/>
    <w:rsid w:val="000039FD"/>
    <w:rsid w:val="00003A41"/>
    <w:rsid w:val="00003E5F"/>
    <w:rsid w:val="00003E6A"/>
    <w:rsid w:val="00003EA2"/>
    <w:rsid w:val="00004254"/>
    <w:rsid w:val="0000429B"/>
    <w:rsid w:val="000044A2"/>
    <w:rsid w:val="000046C6"/>
    <w:rsid w:val="0000474F"/>
    <w:rsid w:val="00004A22"/>
    <w:rsid w:val="00004C44"/>
    <w:rsid w:val="00004D13"/>
    <w:rsid w:val="00004E70"/>
    <w:rsid w:val="0000508D"/>
    <w:rsid w:val="000051DC"/>
    <w:rsid w:val="00005232"/>
    <w:rsid w:val="000053B4"/>
    <w:rsid w:val="00005407"/>
    <w:rsid w:val="00005905"/>
    <w:rsid w:val="00005AF1"/>
    <w:rsid w:val="00005DF0"/>
    <w:rsid w:val="00005EC8"/>
    <w:rsid w:val="000060A7"/>
    <w:rsid w:val="000064B2"/>
    <w:rsid w:val="00006923"/>
    <w:rsid w:val="00006BD5"/>
    <w:rsid w:val="00006CD1"/>
    <w:rsid w:val="00006CD3"/>
    <w:rsid w:val="000073B1"/>
    <w:rsid w:val="000073E8"/>
    <w:rsid w:val="00007598"/>
    <w:rsid w:val="0000781A"/>
    <w:rsid w:val="00007A5A"/>
    <w:rsid w:val="00007DA4"/>
    <w:rsid w:val="00010010"/>
    <w:rsid w:val="000100A2"/>
    <w:rsid w:val="000100B6"/>
    <w:rsid w:val="000104BA"/>
    <w:rsid w:val="000106FC"/>
    <w:rsid w:val="00010763"/>
    <w:rsid w:val="000109FC"/>
    <w:rsid w:val="00010E8F"/>
    <w:rsid w:val="0001121F"/>
    <w:rsid w:val="0001127B"/>
    <w:rsid w:val="000112A5"/>
    <w:rsid w:val="00011793"/>
    <w:rsid w:val="000118AD"/>
    <w:rsid w:val="00011AFF"/>
    <w:rsid w:val="00011BD5"/>
    <w:rsid w:val="00011DA9"/>
    <w:rsid w:val="0001235C"/>
    <w:rsid w:val="00012486"/>
    <w:rsid w:val="000124BE"/>
    <w:rsid w:val="000125B2"/>
    <w:rsid w:val="000125FF"/>
    <w:rsid w:val="00012A66"/>
    <w:rsid w:val="00012BE6"/>
    <w:rsid w:val="00012C45"/>
    <w:rsid w:val="00012EBE"/>
    <w:rsid w:val="000131D3"/>
    <w:rsid w:val="000136DC"/>
    <w:rsid w:val="00013965"/>
    <w:rsid w:val="00013DAB"/>
    <w:rsid w:val="00013FB5"/>
    <w:rsid w:val="00014156"/>
    <w:rsid w:val="0001416B"/>
    <w:rsid w:val="000141D5"/>
    <w:rsid w:val="00014444"/>
    <w:rsid w:val="00014851"/>
    <w:rsid w:val="000149E0"/>
    <w:rsid w:val="00014D98"/>
    <w:rsid w:val="00015030"/>
    <w:rsid w:val="00015094"/>
    <w:rsid w:val="000151D7"/>
    <w:rsid w:val="00015316"/>
    <w:rsid w:val="000154B9"/>
    <w:rsid w:val="00015645"/>
    <w:rsid w:val="000157C2"/>
    <w:rsid w:val="00015D38"/>
    <w:rsid w:val="0001606B"/>
    <w:rsid w:val="000160FB"/>
    <w:rsid w:val="000163AA"/>
    <w:rsid w:val="00016644"/>
    <w:rsid w:val="000168D9"/>
    <w:rsid w:val="000169A7"/>
    <w:rsid w:val="00016E72"/>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32"/>
    <w:rsid w:val="00020880"/>
    <w:rsid w:val="00020900"/>
    <w:rsid w:val="00020C28"/>
    <w:rsid w:val="00020E48"/>
    <w:rsid w:val="00020FEB"/>
    <w:rsid w:val="000210FD"/>
    <w:rsid w:val="0002113E"/>
    <w:rsid w:val="00021379"/>
    <w:rsid w:val="000215D4"/>
    <w:rsid w:val="000216AA"/>
    <w:rsid w:val="000217FC"/>
    <w:rsid w:val="00021AEB"/>
    <w:rsid w:val="00021C9E"/>
    <w:rsid w:val="00021F66"/>
    <w:rsid w:val="0002210E"/>
    <w:rsid w:val="0002216A"/>
    <w:rsid w:val="0002217C"/>
    <w:rsid w:val="000222D0"/>
    <w:rsid w:val="00022354"/>
    <w:rsid w:val="000223C3"/>
    <w:rsid w:val="00022526"/>
    <w:rsid w:val="00022562"/>
    <w:rsid w:val="000227F5"/>
    <w:rsid w:val="00022BE1"/>
    <w:rsid w:val="00022D53"/>
    <w:rsid w:val="00022F7D"/>
    <w:rsid w:val="0002328F"/>
    <w:rsid w:val="00023458"/>
    <w:rsid w:val="000234AD"/>
    <w:rsid w:val="00023CAF"/>
    <w:rsid w:val="00023D59"/>
    <w:rsid w:val="000241D9"/>
    <w:rsid w:val="00024343"/>
    <w:rsid w:val="00024427"/>
    <w:rsid w:val="00024446"/>
    <w:rsid w:val="0002455F"/>
    <w:rsid w:val="000249B1"/>
    <w:rsid w:val="00024B4F"/>
    <w:rsid w:val="00024BB5"/>
    <w:rsid w:val="00024D50"/>
    <w:rsid w:val="00024D59"/>
    <w:rsid w:val="00024FD8"/>
    <w:rsid w:val="00025050"/>
    <w:rsid w:val="00025279"/>
    <w:rsid w:val="00025543"/>
    <w:rsid w:val="00025BF3"/>
    <w:rsid w:val="00025DA9"/>
    <w:rsid w:val="00026353"/>
    <w:rsid w:val="00026693"/>
    <w:rsid w:val="000267C8"/>
    <w:rsid w:val="00026845"/>
    <w:rsid w:val="00026AAC"/>
    <w:rsid w:val="00026D3D"/>
    <w:rsid w:val="00026F4A"/>
    <w:rsid w:val="000272EC"/>
    <w:rsid w:val="00027416"/>
    <w:rsid w:val="000274ED"/>
    <w:rsid w:val="0002751F"/>
    <w:rsid w:val="00027819"/>
    <w:rsid w:val="000279DE"/>
    <w:rsid w:val="00027DC9"/>
    <w:rsid w:val="00027EC6"/>
    <w:rsid w:val="0003010B"/>
    <w:rsid w:val="000301C2"/>
    <w:rsid w:val="000304E9"/>
    <w:rsid w:val="00030640"/>
    <w:rsid w:val="0003072E"/>
    <w:rsid w:val="000307A8"/>
    <w:rsid w:val="00030887"/>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FF"/>
    <w:rsid w:val="00032B14"/>
    <w:rsid w:val="00032C55"/>
    <w:rsid w:val="00032E71"/>
    <w:rsid w:val="00033034"/>
    <w:rsid w:val="00033192"/>
    <w:rsid w:val="00033263"/>
    <w:rsid w:val="00033665"/>
    <w:rsid w:val="000337D2"/>
    <w:rsid w:val="00033A69"/>
    <w:rsid w:val="0003416B"/>
    <w:rsid w:val="000342A7"/>
    <w:rsid w:val="000343B7"/>
    <w:rsid w:val="000343F4"/>
    <w:rsid w:val="0003447F"/>
    <w:rsid w:val="00034786"/>
    <w:rsid w:val="00034820"/>
    <w:rsid w:val="0003491D"/>
    <w:rsid w:val="00034F4A"/>
    <w:rsid w:val="000352D3"/>
    <w:rsid w:val="0003536A"/>
    <w:rsid w:val="000357FF"/>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D6E"/>
    <w:rsid w:val="00036E36"/>
    <w:rsid w:val="00036EE2"/>
    <w:rsid w:val="000370CE"/>
    <w:rsid w:val="000371CF"/>
    <w:rsid w:val="00037376"/>
    <w:rsid w:val="000375F9"/>
    <w:rsid w:val="00037AF2"/>
    <w:rsid w:val="00040091"/>
    <w:rsid w:val="000403CA"/>
    <w:rsid w:val="0004042F"/>
    <w:rsid w:val="0004060C"/>
    <w:rsid w:val="00040B56"/>
    <w:rsid w:val="00040D2C"/>
    <w:rsid w:val="00040D38"/>
    <w:rsid w:val="00040D45"/>
    <w:rsid w:val="00041026"/>
    <w:rsid w:val="00041129"/>
    <w:rsid w:val="00041243"/>
    <w:rsid w:val="0004148E"/>
    <w:rsid w:val="000415CF"/>
    <w:rsid w:val="00041993"/>
    <w:rsid w:val="00041A0A"/>
    <w:rsid w:val="00041BE6"/>
    <w:rsid w:val="00041C8A"/>
    <w:rsid w:val="00041D94"/>
    <w:rsid w:val="00041DA9"/>
    <w:rsid w:val="0004221A"/>
    <w:rsid w:val="000422C8"/>
    <w:rsid w:val="00042453"/>
    <w:rsid w:val="000424A2"/>
    <w:rsid w:val="00042558"/>
    <w:rsid w:val="000426DE"/>
    <w:rsid w:val="0004276D"/>
    <w:rsid w:val="0004277A"/>
    <w:rsid w:val="00042934"/>
    <w:rsid w:val="00042AC7"/>
    <w:rsid w:val="00042BAD"/>
    <w:rsid w:val="00042C3E"/>
    <w:rsid w:val="00042FD2"/>
    <w:rsid w:val="0004311D"/>
    <w:rsid w:val="000431B4"/>
    <w:rsid w:val="0004336D"/>
    <w:rsid w:val="00043A61"/>
    <w:rsid w:val="00043B1C"/>
    <w:rsid w:val="00043C68"/>
    <w:rsid w:val="00043D59"/>
    <w:rsid w:val="00043DD6"/>
    <w:rsid w:val="000441F6"/>
    <w:rsid w:val="000446D5"/>
    <w:rsid w:val="0004473A"/>
    <w:rsid w:val="0004483E"/>
    <w:rsid w:val="00044AA1"/>
    <w:rsid w:val="00044D33"/>
    <w:rsid w:val="00044D9C"/>
    <w:rsid w:val="00044EDD"/>
    <w:rsid w:val="00045112"/>
    <w:rsid w:val="00045147"/>
    <w:rsid w:val="00045514"/>
    <w:rsid w:val="00045678"/>
    <w:rsid w:val="0004567A"/>
    <w:rsid w:val="000456B3"/>
    <w:rsid w:val="00045730"/>
    <w:rsid w:val="00045840"/>
    <w:rsid w:val="0004597F"/>
    <w:rsid w:val="00045A76"/>
    <w:rsid w:val="00045BF7"/>
    <w:rsid w:val="000460A7"/>
    <w:rsid w:val="0004611A"/>
    <w:rsid w:val="000461DC"/>
    <w:rsid w:val="00046309"/>
    <w:rsid w:val="0004639F"/>
    <w:rsid w:val="00046737"/>
    <w:rsid w:val="0004680B"/>
    <w:rsid w:val="00046872"/>
    <w:rsid w:val="00046939"/>
    <w:rsid w:val="00046963"/>
    <w:rsid w:val="000470D5"/>
    <w:rsid w:val="00047207"/>
    <w:rsid w:val="00047479"/>
    <w:rsid w:val="000476F9"/>
    <w:rsid w:val="00047889"/>
    <w:rsid w:val="00047AB3"/>
    <w:rsid w:val="00047ADA"/>
    <w:rsid w:val="00047E61"/>
    <w:rsid w:val="000500A2"/>
    <w:rsid w:val="000502FD"/>
    <w:rsid w:val="00050351"/>
    <w:rsid w:val="0005038F"/>
    <w:rsid w:val="00050606"/>
    <w:rsid w:val="00050747"/>
    <w:rsid w:val="00050899"/>
    <w:rsid w:val="000508C4"/>
    <w:rsid w:val="00050A3F"/>
    <w:rsid w:val="00050C78"/>
    <w:rsid w:val="000514DF"/>
    <w:rsid w:val="0005161F"/>
    <w:rsid w:val="00051756"/>
    <w:rsid w:val="000517DD"/>
    <w:rsid w:val="0005182E"/>
    <w:rsid w:val="0005191F"/>
    <w:rsid w:val="0005192B"/>
    <w:rsid w:val="00051C52"/>
    <w:rsid w:val="000520CC"/>
    <w:rsid w:val="00052978"/>
    <w:rsid w:val="00052D2A"/>
    <w:rsid w:val="00052FD2"/>
    <w:rsid w:val="00053251"/>
    <w:rsid w:val="000535E6"/>
    <w:rsid w:val="00053890"/>
    <w:rsid w:val="00053AC5"/>
    <w:rsid w:val="00053B80"/>
    <w:rsid w:val="0005434F"/>
    <w:rsid w:val="00054540"/>
    <w:rsid w:val="000547C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DD7"/>
    <w:rsid w:val="00055F19"/>
    <w:rsid w:val="00056003"/>
    <w:rsid w:val="000560E2"/>
    <w:rsid w:val="0005626D"/>
    <w:rsid w:val="000562AB"/>
    <w:rsid w:val="00056406"/>
    <w:rsid w:val="00056476"/>
    <w:rsid w:val="00056502"/>
    <w:rsid w:val="0005682F"/>
    <w:rsid w:val="000568DE"/>
    <w:rsid w:val="00056B27"/>
    <w:rsid w:val="00056E70"/>
    <w:rsid w:val="0005707E"/>
    <w:rsid w:val="000570D7"/>
    <w:rsid w:val="0005717B"/>
    <w:rsid w:val="000571B5"/>
    <w:rsid w:val="00057274"/>
    <w:rsid w:val="0005763B"/>
    <w:rsid w:val="000600AF"/>
    <w:rsid w:val="000600DF"/>
    <w:rsid w:val="00060210"/>
    <w:rsid w:val="000602E6"/>
    <w:rsid w:val="00060333"/>
    <w:rsid w:val="00060350"/>
    <w:rsid w:val="000605F1"/>
    <w:rsid w:val="00060615"/>
    <w:rsid w:val="00060784"/>
    <w:rsid w:val="00060C6B"/>
    <w:rsid w:val="00060D82"/>
    <w:rsid w:val="00060E85"/>
    <w:rsid w:val="00060FB3"/>
    <w:rsid w:val="00061003"/>
    <w:rsid w:val="0006108C"/>
    <w:rsid w:val="0006142A"/>
    <w:rsid w:val="00061819"/>
    <w:rsid w:val="00061DD1"/>
    <w:rsid w:val="00061EF5"/>
    <w:rsid w:val="00061F68"/>
    <w:rsid w:val="000620CE"/>
    <w:rsid w:val="0006234D"/>
    <w:rsid w:val="00062474"/>
    <w:rsid w:val="0006280B"/>
    <w:rsid w:val="00062854"/>
    <w:rsid w:val="000630BA"/>
    <w:rsid w:val="0006314D"/>
    <w:rsid w:val="0006336F"/>
    <w:rsid w:val="000633D6"/>
    <w:rsid w:val="000634A5"/>
    <w:rsid w:val="00063AB9"/>
    <w:rsid w:val="000640A5"/>
    <w:rsid w:val="00064564"/>
    <w:rsid w:val="000645FE"/>
    <w:rsid w:val="000649EC"/>
    <w:rsid w:val="00064E78"/>
    <w:rsid w:val="00064E97"/>
    <w:rsid w:val="00065020"/>
    <w:rsid w:val="00065240"/>
    <w:rsid w:val="00065259"/>
    <w:rsid w:val="0006579F"/>
    <w:rsid w:val="000659A7"/>
    <w:rsid w:val="00065B6B"/>
    <w:rsid w:val="00065C44"/>
    <w:rsid w:val="00065C5F"/>
    <w:rsid w:val="00065FDC"/>
    <w:rsid w:val="00066242"/>
    <w:rsid w:val="000665A0"/>
    <w:rsid w:val="000666C4"/>
    <w:rsid w:val="000668C9"/>
    <w:rsid w:val="000668D7"/>
    <w:rsid w:val="00066C16"/>
    <w:rsid w:val="00066E01"/>
    <w:rsid w:val="0006751D"/>
    <w:rsid w:val="00067529"/>
    <w:rsid w:val="00067802"/>
    <w:rsid w:val="000679C4"/>
    <w:rsid w:val="00067D43"/>
    <w:rsid w:val="00067E9C"/>
    <w:rsid w:val="000701A2"/>
    <w:rsid w:val="0007050C"/>
    <w:rsid w:val="00070524"/>
    <w:rsid w:val="00070526"/>
    <w:rsid w:val="0007060C"/>
    <w:rsid w:val="0007090B"/>
    <w:rsid w:val="00070998"/>
    <w:rsid w:val="00070BB9"/>
    <w:rsid w:val="0007103D"/>
    <w:rsid w:val="00071223"/>
    <w:rsid w:val="00071356"/>
    <w:rsid w:val="00071D3C"/>
    <w:rsid w:val="00071DF6"/>
    <w:rsid w:val="00071FFA"/>
    <w:rsid w:val="0007206F"/>
    <w:rsid w:val="000720B4"/>
    <w:rsid w:val="00072449"/>
    <w:rsid w:val="000725F4"/>
    <w:rsid w:val="000726DA"/>
    <w:rsid w:val="000729EE"/>
    <w:rsid w:val="00072BC1"/>
    <w:rsid w:val="00072CC1"/>
    <w:rsid w:val="00072E30"/>
    <w:rsid w:val="00072F0B"/>
    <w:rsid w:val="000730C3"/>
    <w:rsid w:val="0007344E"/>
    <w:rsid w:val="00073590"/>
    <w:rsid w:val="0007376E"/>
    <w:rsid w:val="0007378B"/>
    <w:rsid w:val="00073C70"/>
    <w:rsid w:val="00074113"/>
    <w:rsid w:val="00074147"/>
    <w:rsid w:val="00074252"/>
    <w:rsid w:val="0007464A"/>
    <w:rsid w:val="00074780"/>
    <w:rsid w:val="00074786"/>
    <w:rsid w:val="00074C28"/>
    <w:rsid w:val="000752FF"/>
    <w:rsid w:val="000756AC"/>
    <w:rsid w:val="00075879"/>
    <w:rsid w:val="00075941"/>
    <w:rsid w:val="00075AFF"/>
    <w:rsid w:val="00075BC6"/>
    <w:rsid w:val="00075C77"/>
    <w:rsid w:val="00076259"/>
    <w:rsid w:val="0007662D"/>
    <w:rsid w:val="00076D3D"/>
    <w:rsid w:val="00076E3C"/>
    <w:rsid w:val="00076E8A"/>
    <w:rsid w:val="00076EFF"/>
    <w:rsid w:val="00076FDA"/>
    <w:rsid w:val="00077079"/>
    <w:rsid w:val="000770B3"/>
    <w:rsid w:val="00077705"/>
    <w:rsid w:val="000778B7"/>
    <w:rsid w:val="00077A02"/>
    <w:rsid w:val="00077C79"/>
    <w:rsid w:val="00077D3D"/>
    <w:rsid w:val="00077FE5"/>
    <w:rsid w:val="000801CC"/>
    <w:rsid w:val="00080289"/>
    <w:rsid w:val="00080443"/>
    <w:rsid w:val="000805BC"/>
    <w:rsid w:val="00080608"/>
    <w:rsid w:val="00080982"/>
    <w:rsid w:val="000809DF"/>
    <w:rsid w:val="00080C51"/>
    <w:rsid w:val="0008131C"/>
    <w:rsid w:val="00081713"/>
    <w:rsid w:val="000817A1"/>
    <w:rsid w:val="00081948"/>
    <w:rsid w:val="00081952"/>
    <w:rsid w:val="00082322"/>
    <w:rsid w:val="0008234E"/>
    <w:rsid w:val="00082377"/>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B1"/>
    <w:rsid w:val="00085227"/>
    <w:rsid w:val="000852B5"/>
    <w:rsid w:val="00085AF9"/>
    <w:rsid w:val="00085B15"/>
    <w:rsid w:val="00085C48"/>
    <w:rsid w:val="00085D2A"/>
    <w:rsid w:val="00085D71"/>
    <w:rsid w:val="00085F6D"/>
    <w:rsid w:val="0008601C"/>
    <w:rsid w:val="00086020"/>
    <w:rsid w:val="000861B9"/>
    <w:rsid w:val="000861C0"/>
    <w:rsid w:val="0008620D"/>
    <w:rsid w:val="0008626C"/>
    <w:rsid w:val="000866B3"/>
    <w:rsid w:val="00086927"/>
    <w:rsid w:val="00086998"/>
    <w:rsid w:val="00086C03"/>
    <w:rsid w:val="00086EFE"/>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DF7"/>
    <w:rsid w:val="00093EE8"/>
    <w:rsid w:val="00093F6E"/>
    <w:rsid w:val="0009426B"/>
    <w:rsid w:val="000944DB"/>
    <w:rsid w:val="000945AA"/>
    <w:rsid w:val="00094A82"/>
    <w:rsid w:val="00094BE8"/>
    <w:rsid w:val="00094C99"/>
    <w:rsid w:val="00094CC8"/>
    <w:rsid w:val="00094CE8"/>
    <w:rsid w:val="000950F5"/>
    <w:rsid w:val="00095435"/>
    <w:rsid w:val="000956AB"/>
    <w:rsid w:val="00095B18"/>
    <w:rsid w:val="00095B23"/>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C7"/>
    <w:rsid w:val="000976D2"/>
    <w:rsid w:val="000979E2"/>
    <w:rsid w:val="00097DD0"/>
    <w:rsid w:val="000A0203"/>
    <w:rsid w:val="000A022B"/>
    <w:rsid w:val="000A06D5"/>
    <w:rsid w:val="000A08FB"/>
    <w:rsid w:val="000A0C74"/>
    <w:rsid w:val="000A0CC1"/>
    <w:rsid w:val="000A0CE8"/>
    <w:rsid w:val="000A0D6C"/>
    <w:rsid w:val="000A0F92"/>
    <w:rsid w:val="000A1016"/>
    <w:rsid w:val="000A1125"/>
    <w:rsid w:val="000A1172"/>
    <w:rsid w:val="000A1189"/>
    <w:rsid w:val="000A13AE"/>
    <w:rsid w:val="000A1480"/>
    <w:rsid w:val="000A173F"/>
    <w:rsid w:val="000A1897"/>
    <w:rsid w:val="000A1902"/>
    <w:rsid w:val="000A1A1F"/>
    <w:rsid w:val="000A1A94"/>
    <w:rsid w:val="000A1C46"/>
    <w:rsid w:val="000A1F58"/>
    <w:rsid w:val="000A2051"/>
    <w:rsid w:val="000A2497"/>
    <w:rsid w:val="000A2DA2"/>
    <w:rsid w:val="000A2DAE"/>
    <w:rsid w:val="000A2E01"/>
    <w:rsid w:val="000A34BA"/>
    <w:rsid w:val="000A34F3"/>
    <w:rsid w:val="000A38B4"/>
    <w:rsid w:val="000A3D00"/>
    <w:rsid w:val="000A3FFB"/>
    <w:rsid w:val="000A414A"/>
    <w:rsid w:val="000A41F4"/>
    <w:rsid w:val="000A4578"/>
    <w:rsid w:val="000A4809"/>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A43"/>
    <w:rsid w:val="000A6D69"/>
    <w:rsid w:val="000A6F72"/>
    <w:rsid w:val="000A6F99"/>
    <w:rsid w:val="000A6FE6"/>
    <w:rsid w:val="000A721F"/>
    <w:rsid w:val="000A77E9"/>
    <w:rsid w:val="000A79A7"/>
    <w:rsid w:val="000A7ACC"/>
    <w:rsid w:val="000A7D7F"/>
    <w:rsid w:val="000B0123"/>
    <w:rsid w:val="000B0141"/>
    <w:rsid w:val="000B0529"/>
    <w:rsid w:val="000B07B3"/>
    <w:rsid w:val="000B086E"/>
    <w:rsid w:val="000B09B0"/>
    <w:rsid w:val="000B09F1"/>
    <w:rsid w:val="000B0BBF"/>
    <w:rsid w:val="000B0C83"/>
    <w:rsid w:val="000B0D2B"/>
    <w:rsid w:val="000B0E8D"/>
    <w:rsid w:val="000B0F08"/>
    <w:rsid w:val="000B0FDB"/>
    <w:rsid w:val="000B1128"/>
    <w:rsid w:val="000B1135"/>
    <w:rsid w:val="000B1156"/>
    <w:rsid w:val="000B15B4"/>
    <w:rsid w:val="000B1A73"/>
    <w:rsid w:val="000B1B49"/>
    <w:rsid w:val="000B1CAA"/>
    <w:rsid w:val="000B2097"/>
    <w:rsid w:val="000B21DC"/>
    <w:rsid w:val="000B224F"/>
    <w:rsid w:val="000B2473"/>
    <w:rsid w:val="000B2535"/>
    <w:rsid w:val="000B2E06"/>
    <w:rsid w:val="000B2E78"/>
    <w:rsid w:val="000B2F43"/>
    <w:rsid w:val="000B330A"/>
    <w:rsid w:val="000B394D"/>
    <w:rsid w:val="000B3B3B"/>
    <w:rsid w:val="000B3FFC"/>
    <w:rsid w:val="000B3FFE"/>
    <w:rsid w:val="000B43F5"/>
    <w:rsid w:val="000B43FB"/>
    <w:rsid w:val="000B4569"/>
    <w:rsid w:val="000B45D7"/>
    <w:rsid w:val="000B4721"/>
    <w:rsid w:val="000B4993"/>
    <w:rsid w:val="000B4A43"/>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C003D"/>
    <w:rsid w:val="000C074E"/>
    <w:rsid w:val="000C1275"/>
    <w:rsid w:val="000C15B8"/>
    <w:rsid w:val="000C1698"/>
    <w:rsid w:val="000C1890"/>
    <w:rsid w:val="000C196B"/>
    <w:rsid w:val="000C1E46"/>
    <w:rsid w:val="000C1F62"/>
    <w:rsid w:val="000C206A"/>
    <w:rsid w:val="000C2090"/>
    <w:rsid w:val="000C20EA"/>
    <w:rsid w:val="000C210C"/>
    <w:rsid w:val="000C219A"/>
    <w:rsid w:val="000C24A8"/>
    <w:rsid w:val="000C2692"/>
    <w:rsid w:val="000C2706"/>
    <w:rsid w:val="000C2707"/>
    <w:rsid w:val="000C2E10"/>
    <w:rsid w:val="000C3279"/>
    <w:rsid w:val="000C3406"/>
    <w:rsid w:val="000C3497"/>
    <w:rsid w:val="000C36BD"/>
    <w:rsid w:val="000C36F6"/>
    <w:rsid w:val="000C394A"/>
    <w:rsid w:val="000C3A98"/>
    <w:rsid w:val="000C3C31"/>
    <w:rsid w:val="000C41AB"/>
    <w:rsid w:val="000C4314"/>
    <w:rsid w:val="000C440E"/>
    <w:rsid w:val="000C463D"/>
    <w:rsid w:val="000C4681"/>
    <w:rsid w:val="000C48A6"/>
    <w:rsid w:val="000C4985"/>
    <w:rsid w:val="000C4C98"/>
    <w:rsid w:val="000C4E0C"/>
    <w:rsid w:val="000C4E9E"/>
    <w:rsid w:val="000C4F33"/>
    <w:rsid w:val="000C4F74"/>
    <w:rsid w:val="000C5166"/>
    <w:rsid w:val="000C516C"/>
    <w:rsid w:val="000C5319"/>
    <w:rsid w:val="000C53CE"/>
    <w:rsid w:val="000C54E9"/>
    <w:rsid w:val="000C555D"/>
    <w:rsid w:val="000C5ED7"/>
    <w:rsid w:val="000C5F12"/>
    <w:rsid w:val="000C6043"/>
    <w:rsid w:val="000C6211"/>
    <w:rsid w:val="000C655D"/>
    <w:rsid w:val="000C692E"/>
    <w:rsid w:val="000C69D5"/>
    <w:rsid w:val="000C6D78"/>
    <w:rsid w:val="000C6EBF"/>
    <w:rsid w:val="000C6F06"/>
    <w:rsid w:val="000C70D6"/>
    <w:rsid w:val="000C76DD"/>
    <w:rsid w:val="000C7E46"/>
    <w:rsid w:val="000D02EB"/>
    <w:rsid w:val="000D0723"/>
    <w:rsid w:val="000D07F4"/>
    <w:rsid w:val="000D0D09"/>
    <w:rsid w:val="000D0E8B"/>
    <w:rsid w:val="000D0F36"/>
    <w:rsid w:val="000D0F46"/>
    <w:rsid w:val="000D11FA"/>
    <w:rsid w:val="000D144A"/>
    <w:rsid w:val="000D16DF"/>
    <w:rsid w:val="000D1A8A"/>
    <w:rsid w:val="000D1AC6"/>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225"/>
    <w:rsid w:val="000D3324"/>
    <w:rsid w:val="000D3328"/>
    <w:rsid w:val="000D3332"/>
    <w:rsid w:val="000D335B"/>
    <w:rsid w:val="000D3397"/>
    <w:rsid w:val="000D33BE"/>
    <w:rsid w:val="000D38C3"/>
    <w:rsid w:val="000D398B"/>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24E"/>
    <w:rsid w:val="000D54BA"/>
    <w:rsid w:val="000D5B64"/>
    <w:rsid w:val="000D5C3A"/>
    <w:rsid w:val="000D6209"/>
    <w:rsid w:val="000D643C"/>
    <w:rsid w:val="000D64DD"/>
    <w:rsid w:val="000D6AEB"/>
    <w:rsid w:val="000D6C0B"/>
    <w:rsid w:val="000D6C2E"/>
    <w:rsid w:val="000D7460"/>
    <w:rsid w:val="000D7971"/>
    <w:rsid w:val="000D79DB"/>
    <w:rsid w:val="000D7D7F"/>
    <w:rsid w:val="000D7D9A"/>
    <w:rsid w:val="000D7E52"/>
    <w:rsid w:val="000D7EEC"/>
    <w:rsid w:val="000E0249"/>
    <w:rsid w:val="000E0865"/>
    <w:rsid w:val="000E0994"/>
    <w:rsid w:val="000E09FF"/>
    <w:rsid w:val="000E10BC"/>
    <w:rsid w:val="000E11BF"/>
    <w:rsid w:val="000E1232"/>
    <w:rsid w:val="000E1253"/>
    <w:rsid w:val="000E12D6"/>
    <w:rsid w:val="000E1590"/>
    <w:rsid w:val="000E1859"/>
    <w:rsid w:val="000E1C30"/>
    <w:rsid w:val="000E1CCF"/>
    <w:rsid w:val="000E208B"/>
    <w:rsid w:val="000E2595"/>
    <w:rsid w:val="000E2961"/>
    <w:rsid w:val="000E2A71"/>
    <w:rsid w:val="000E2C27"/>
    <w:rsid w:val="000E2D24"/>
    <w:rsid w:val="000E2F58"/>
    <w:rsid w:val="000E2F7A"/>
    <w:rsid w:val="000E321B"/>
    <w:rsid w:val="000E3359"/>
    <w:rsid w:val="000E371C"/>
    <w:rsid w:val="000E37B4"/>
    <w:rsid w:val="000E3C86"/>
    <w:rsid w:val="000E3D59"/>
    <w:rsid w:val="000E3DAC"/>
    <w:rsid w:val="000E401D"/>
    <w:rsid w:val="000E4215"/>
    <w:rsid w:val="000E439E"/>
    <w:rsid w:val="000E4476"/>
    <w:rsid w:val="000E4703"/>
    <w:rsid w:val="000E478F"/>
    <w:rsid w:val="000E48E2"/>
    <w:rsid w:val="000E48F7"/>
    <w:rsid w:val="000E4CBB"/>
    <w:rsid w:val="000E4DCA"/>
    <w:rsid w:val="000E5132"/>
    <w:rsid w:val="000E53E9"/>
    <w:rsid w:val="000E5525"/>
    <w:rsid w:val="000E554E"/>
    <w:rsid w:val="000E57D3"/>
    <w:rsid w:val="000E5827"/>
    <w:rsid w:val="000E60DC"/>
    <w:rsid w:val="000E62CE"/>
    <w:rsid w:val="000E62D4"/>
    <w:rsid w:val="000E62F5"/>
    <w:rsid w:val="000E6382"/>
    <w:rsid w:val="000E678B"/>
    <w:rsid w:val="000E6A44"/>
    <w:rsid w:val="000E7231"/>
    <w:rsid w:val="000E7316"/>
    <w:rsid w:val="000E74CA"/>
    <w:rsid w:val="000E77B6"/>
    <w:rsid w:val="000E7838"/>
    <w:rsid w:val="000E7910"/>
    <w:rsid w:val="000E795C"/>
    <w:rsid w:val="000E7A0C"/>
    <w:rsid w:val="000E7AF9"/>
    <w:rsid w:val="000E7C99"/>
    <w:rsid w:val="000E7EFD"/>
    <w:rsid w:val="000F0028"/>
    <w:rsid w:val="000F01E6"/>
    <w:rsid w:val="000F0397"/>
    <w:rsid w:val="000F0979"/>
    <w:rsid w:val="000F0B3B"/>
    <w:rsid w:val="000F0C34"/>
    <w:rsid w:val="000F0C76"/>
    <w:rsid w:val="000F0D7A"/>
    <w:rsid w:val="000F0E42"/>
    <w:rsid w:val="000F17AF"/>
    <w:rsid w:val="000F181A"/>
    <w:rsid w:val="000F2136"/>
    <w:rsid w:val="000F229F"/>
    <w:rsid w:val="000F2348"/>
    <w:rsid w:val="000F2381"/>
    <w:rsid w:val="000F240D"/>
    <w:rsid w:val="000F2592"/>
    <w:rsid w:val="000F3518"/>
    <w:rsid w:val="000F37A3"/>
    <w:rsid w:val="000F3843"/>
    <w:rsid w:val="000F385E"/>
    <w:rsid w:val="000F3C18"/>
    <w:rsid w:val="000F3C91"/>
    <w:rsid w:val="000F3D72"/>
    <w:rsid w:val="000F42A6"/>
    <w:rsid w:val="000F4378"/>
    <w:rsid w:val="000F43EF"/>
    <w:rsid w:val="000F4427"/>
    <w:rsid w:val="000F44ED"/>
    <w:rsid w:val="000F470E"/>
    <w:rsid w:val="000F4813"/>
    <w:rsid w:val="000F4DBC"/>
    <w:rsid w:val="000F4F02"/>
    <w:rsid w:val="000F4F39"/>
    <w:rsid w:val="000F4FC2"/>
    <w:rsid w:val="000F50E7"/>
    <w:rsid w:val="000F512F"/>
    <w:rsid w:val="000F5225"/>
    <w:rsid w:val="000F5401"/>
    <w:rsid w:val="000F5493"/>
    <w:rsid w:val="000F54C6"/>
    <w:rsid w:val="000F5681"/>
    <w:rsid w:val="000F57CC"/>
    <w:rsid w:val="000F581F"/>
    <w:rsid w:val="000F5829"/>
    <w:rsid w:val="000F58A7"/>
    <w:rsid w:val="000F5A9B"/>
    <w:rsid w:val="000F5B31"/>
    <w:rsid w:val="000F5E7A"/>
    <w:rsid w:val="000F616A"/>
    <w:rsid w:val="000F6258"/>
    <w:rsid w:val="000F636C"/>
    <w:rsid w:val="000F64E1"/>
    <w:rsid w:val="000F66A1"/>
    <w:rsid w:val="000F67F0"/>
    <w:rsid w:val="000F6A6B"/>
    <w:rsid w:val="000F6CE4"/>
    <w:rsid w:val="000F72E1"/>
    <w:rsid w:val="000F736E"/>
    <w:rsid w:val="000F738E"/>
    <w:rsid w:val="000F74AB"/>
    <w:rsid w:val="000F74D5"/>
    <w:rsid w:val="000F7671"/>
    <w:rsid w:val="000F775A"/>
    <w:rsid w:val="000F7C70"/>
    <w:rsid w:val="000F7E2B"/>
    <w:rsid w:val="001003BB"/>
    <w:rsid w:val="00100421"/>
    <w:rsid w:val="0010063E"/>
    <w:rsid w:val="001006D6"/>
    <w:rsid w:val="001006F0"/>
    <w:rsid w:val="001008FB"/>
    <w:rsid w:val="00100CF1"/>
    <w:rsid w:val="00100EF3"/>
    <w:rsid w:val="00100FA0"/>
    <w:rsid w:val="001011B1"/>
    <w:rsid w:val="00101254"/>
    <w:rsid w:val="0010150F"/>
    <w:rsid w:val="0010166A"/>
    <w:rsid w:val="00101C2D"/>
    <w:rsid w:val="00101CD7"/>
    <w:rsid w:val="00101CF9"/>
    <w:rsid w:val="00101E70"/>
    <w:rsid w:val="0010209B"/>
    <w:rsid w:val="00102313"/>
    <w:rsid w:val="0010234F"/>
    <w:rsid w:val="001024B0"/>
    <w:rsid w:val="00102653"/>
    <w:rsid w:val="00102833"/>
    <w:rsid w:val="001028FF"/>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823"/>
    <w:rsid w:val="0010485E"/>
    <w:rsid w:val="001048BF"/>
    <w:rsid w:val="001049C9"/>
    <w:rsid w:val="00104AC6"/>
    <w:rsid w:val="00104C7F"/>
    <w:rsid w:val="00104E4C"/>
    <w:rsid w:val="001051DA"/>
    <w:rsid w:val="00105422"/>
    <w:rsid w:val="00105502"/>
    <w:rsid w:val="00105F33"/>
    <w:rsid w:val="00106284"/>
    <w:rsid w:val="0010635B"/>
    <w:rsid w:val="00106636"/>
    <w:rsid w:val="00106A5A"/>
    <w:rsid w:val="00106D64"/>
    <w:rsid w:val="00106E02"/>
    <w:rsid w:val="00107187"/>
    <w:rsid w:val="001073A4"/>
    <w:rsid w:val="0010780D"/>
    <w:rsid w:val="00107862"/>
    <w:rsid w:val="001078AC"/>
    <w:rsid w:val="0010791C"/>
    <w:rsid w:val="001079D8"/>
    <w:rsid w:val="00107B30"/>
    <w:rsid w:val="00107B44"/>
    <w:rsid w:val="00107C2C"/>
    <w:rsid w:val="00107C4E"/>
    <w:rsid w:val="00107C9C"/>
    <w:rsid w:val="00107D1D"/>
    <w:rsid w:val="001104BE"/>
    <w:rsid w:val="001104C4"/>
    <w:rsid w:val="00110517"/>
    <w:rsid w:val="00110754"/>
    <w:rsid w:val="00110A92"/>
    <w:rsid w:val="00110AF8"/>
    <w:rsid w:val="00110B0A"/>
    <w:rsid w:val="00110C17"/>
    <w:rsid w:val="00110D04"/>
    <w:rsid w:val="00110F91"/>
    <w:rsid w:val="0011139D"/>
    <w:rsid w:val="0011199A"/>
    <w:rsid w:val="00111AB0"/>
    <w:rsid w:val="00111B72"/>
    <w:rsid w:val="00111BB5"/>
    <w:rsid w:val="00111D5C"/>
    <w:rsid w:val="00111DD5"/>
    <w:rsid w:val="0011204B"/>
    <w:rsid w:val="00112212"/>
    <w:rsid w:val="0011261B"/>
    <w:rsid w:val="00112659"/>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C06"/>
    <w:rsid w:val="001140D4"/>
    <w:rsid w:val="001141CF"/>
    <w:rsid w:val="00114447"/>
    <w:rsid w:val="001146A0"/>
    <w:rsid w:val="0011490F"/>
    <w:rsid w:val="00114978"/>
    <w:rsid w:val="00114A55"/>
    <w:rsid w:val="00114A83"/>
    <w:rsid w:val="00114D97"/>
    <w:rsid w:val="001151F2"/>
    <w:rsid w:val="00115763"/>
    <w:rsid w:val="00115942"/>
    <w:rsid w:val="00115943"/>
    <w:rsid w:val="00115979"/>
    <w:rsid w:val="00115A3B"/>
    <w:rsid w:val="00115A7A"/>
    <w:rsid w:val="00115BEF"/>
    <w:rsid w:val="00115CAE"/>
    <w:rsid w:val="00115CED"/>
    <w:rsid w:val="001160B0"/>
    <w:rsid w:val="001160FB"/>
    <w:rsid w:val="0011665B"/>
    <w:rsid w:val="001167AC"/>
    <w:rsid w:val="00116B52"/>
    <w:rsid w:val="00116C62"/>
    <w:rsid w:val="00116D7F"/>
    <w:rsid w:val="00117108"/>
    <w:rsid w:val="00117175"/>
    <w:rsid w:val="00117253"/>
    <w:rsid w:val="00117358"/>
    <w:rsid w:val="001174DD"/>
    <w:rsid w:val="00117635"/>
    <w:rsid w:val="00117A2B"/>
    <w:rsid w:val="00117BC8"/>
    <w:rsid w:val="00117C45"/>
    <w:rsid w:val="00117C62"/>
    <w:rsid w:val="00117CA0"/>
    <w:rsid w:val="00117D44"/>
    <w:rsid w:val="00117E59"/>
    <w:rsid w:val="00117E5C"/>
    <w:rsid w:val="00120019"/>
    <w:rsid w:val="001206A9"/>
    <w:rsid w:val="0012074E"/>
    <w:rsid w:val="001207FD"/>
    <w:rsid w:val="00120AFC"/>
    <w:rsid w:val="00120C39"/>
    <w:rsid w:val="00120C60"/>
    <w:rsid w:val="00120CD9"/>
    <w:rsid w:val="0012135A"/>
    <w:rsid w:val="00121418"/>
    <w:rsid w:val="0012165E"/>
    <w:rsid w:val="001216C8"/>
    <w:rsid w:val="001218AD"/>
    <w:rsid w:val="00121CCD"/>
    <w:rsid w:val="00121D83"/>
    <w:rsid w:val="001226E3"/>
    <w:rsid w:val="0012282D"/>
    <w:rsid w:val="001229F8"/>
    <w:rsid w:val="00122A53"/>
    <w:rsid w:val="00122A5B"/>
    <w:rsid w:val="00122DB8"/>
    <w:rsid w:val="00122EC6"/>
    <w:rsid w:val="00122EF1"/>
    <w:rsid w:val="00122F50"/>
    <w:rsid w:val="0012309F"/>
    <w:rsid w:val="001233F3"/>
    <w:rsid w:val="0012341B"/>
    <w:rsid w:val="00123451"/>
    <w:rsid w:val="0012354D"/>
    <w:rsid w:val="0012358D"/>
    <w:rsid w:val="0012386D"/>
    <w:rsid w:val="00123C6B"/>
    <w:rsid w:val="00123C87"/>
    <w:rsid w:val="00123CD1"/>
    <w:rsid w:val="00123FDC"/>
    <w:rsid w:val="00124151"/>
    <w:rsid w:val="00124210"/>
    <w:rsid w:val="00124248"/>
    <w:rsid w:val="00124732"/>
    <w:rsid w:val="001248A3"/>
    <w:rsid w:val="001248FD"/>
    <w:rsid w:val="00124C8B"/>
    <w:rsid w:val="00124D00"/>
    <w:rsid w:val="00124D8F"/>
    <w:rsid w:val="00124E36"/>
    <w:rsid w:val="00124EAB"/>
    <w:rsid w:val="00125286"/>
    <w:rsid w:val="00125301"/>
    <w:rsid w:val="0012535E"/>
    <w:rsid w:val="00125402"/>
    <w:rsid w:val="0012550F"/>
    <w:rsid w:val="00125659"/>
    <w:rsid w:val="00125686"/>
    <w:rsid w:val="001257EB"/>
    <w:rsid w:val="0012582F"/>
    <w:rsid w:val="00125B2E"/>
    <w:rsid w:val="00126237"/>
    <w:rsid w:val="00126824"/>
    <w:rsid w:val="001268BB"/>
    <w:rsid w:val="00126915"/>
    <w:rsid w:val="00126958"/>
    <w:rsid w:val="001269B8"/>
    <w:rsid w:val="00126AF0"/>
    <w:rsid w:val="00126B14"/>
    <w:rsid w:val="00126B3B"/>
    <w:rsid w:val="00126BFE"/>
    <w:rsid w:val="00126D60"/>
    <w:rsid w:val="001271FC"/>
    <w:rsid w:val="001273F8"/>
    <w:rsid w:val="0012745B"/>
    <w:rsid w:val="001274A9"/>
    <w:rsid w:val="001275B2"/>
    <w:rsid w:val="001278ED"/>
    <w:rsid w:val="00127B9E"/>
    <w:rsid w:val="00127CA5"/>
    <w:rsid w:val="00127D7F"/>
    <w:rsid w:val="00127EBF"/>
    <w:rsid w:val="00127FC5"/>
    <w:rsid w:val="00130315"/>
    <w:rsid w:val="001304DC"/>
    <w:rsid w:val="0013052D"/>
    <w:rsid w:val="00130A6F"/>
    <w:rsid w:val="00130B27"/>
    <w:rsid w:val="00130B75"/>
    <w:rsid w:val="00130C9F"/>
    <w:rsid w:val="00130D4E"/>
    <w:rsid w:val="00130DBC"/>
    <w:rsid w:val="00130F26"/>
    <w:rsid w:val="001310F1"/>
    <w:rsid w:val="00131197"/>
    <w:rsid w:val="001314B9"/>
    <w:rsid w:val="001316FA"/>
    <w:rsid w:val="0013186F"/>
    <w:rsid w:val="001319A0"/>
    <w:rsid w:val="00131D11"/>
    <w:rsid w:val="00131ED2"/>
    <w:rsid w:val="00131F49"/>
    <w:rsid w:val="00132024"/>
    <w:rsid w:val="00132696"/>
    <w:rsid w:val="001328EB"/>
    <w:rsid w:val="00132D5E"/>
    <w:rsid w:val="00132E43"/>
    <w:rsid w:val="00132F01"/>
    <w:rsid w:val="00133060"/>
    <w:rsid w:val="0013309E"/>
    <w:rsid w:val="00133280"/>
    <w:rsid w:val="0013339C"/>
    <w:rsid w:val="001333F0"/>
    <w:rsid w:val="001335C9"/>
    <w:rsid w:val="001335CB"/>
    <w:rsid w:val="001339AC"/>
    <w:rsid w:val="001339FA"/>
    <w:rsid w:val="00133D72"/>
    <w:rsid w:val="001342F7"/>
    <w:rsid w:val="00134320"/>
    <w:rsid w:val="00134437"/>
    <w:rsid w:val="001344F5"/>
    <w:rsid w:val="0013450B"/>
    <w:rsid w:val="001346A0"/>
    <w:rsid w:val="001347EA"/>
    <w:rsid w:val="001348C4"/>
    <w:rsid w:val="00134B36"/>
    <w:rsid w:val="00134DBA"/>
    <w:rsid w:val="00134EFC"/>
    <w:rsid w:val="00134F72"/>
    <w:rsid w:val="001352D6"/>
    <w:rsid w:val="0013565E"/>
    <w:rsid w:val="00135760"/>
    <w:rsid w:val="001359D7"/>
    <w:rsid w:val="00135DD4"/>
    <w:rsid w:val="00135E44"/>
    <w:rsid w:val="0013606C"/>
    <w:rsid w:val="001361CD"/>
    <w:rsid w:val="001361D6"/>
    <w:rsid w:val="0013624E"/>
    <w:rsid w:val="001363BC"/>
    <w:rsid w:val="0013654A"/>
    <w:rsid w:val="001371D4"/>
    <w:rsid w:val="001371DC"/>
    <w:rsid w:val="001379B7"/>
    <w:rsid w:val="00137A98"/>
    <w:rsid w:val="00137DD9"/>
    <w:rsid w:val="00137F03"/>
    <w:rsid w:val="001400A0"/>
    <w:rsid w:val="001404E9"/>
    <w:rsid w:val="00140656"/>
    <w:rsid w:val="00140C98"/>
    <w:rsid w:val="00140CC4"/>
    <w:rsid w:val="00140E02"/>
    <w:rsid w:val="00141657"/>
    <w:rsid w:val="001416C8"/>
    <w:rsid w:val="00141C91"/>
    <w:rsid w:val="00141DF4"/>
    <w:rsid w:val="00142005"/>
    <w:rsid w:val="0014257F"/>
    <w:rsid w:val="001426BC"/>
    <w:rsid w:val="00142714"/>
    <w:rsid w:val="00142776"/>
    <w:rsid w:val="00142876"/>
    <w:rsid w:val="00142EA5"/>
    <w:rsid w:val="00142F2B"/>
    <w:rsid w:val="00143045"/>
    <w:rsid w:val="001436C2"/>
    <w:rsid w:val="001436DC"/>
    <w:rsid w:val="00143844"/>
    <w:rsid w:val="00143A90"/>
    <w:rsid w:val="00143E6D"/>
    <w:rsid w:val="00144073"/>
    <w:rsid w:val="00144744"/>
    <w:rsid w:val="00144904"/>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568"/>
    <w:rsid w:val="0014676D"/>
    <w:rsid w:val="00146782"/>
    <w:rsid w:val="00146993"/>
    <w:rsid w:val="00146C9F"/>
    <w:rsid w:val="00146CFB"/>
    <w:rsid w:val="00146FDE"/>
    <w:rsid w:val="00147261"/>
    <w:rsid w:val="00147382"/>
    <w:rsid w:val="001473A6"/>
    <w:rsid w:val="001473C3"/>
    <w:rsid w:val="00147A05"/>
    <w:rsid w:val="00147FCF"/>
    <w:rsid w:val="00147FEA"/>
    <w:rsid w:val="001501D5"/>
    <w:rsid w:val="00150506"/>
    <w:rsid w:val="00150747"/>
    <w:rsid w:val="001507E8"/>
    <w:rsid w:val="00150876"/>
    <w:rsid w:val="001508A9"/>
    <w:rsid w:val="001509F7"/>
    <w:rsid w:val="00150A8E"/>
    <w:rsid w:val="00150B20"/>
    <w:rsid w:val="00150B66"/>
    <w:rsid w:val="00150CBA"/>
    <w:rsid w:val="00150DF3"/>
    <w:rsid w:val="00150F62"/>
    <w:rsid w:val="00151323"/>
    <w:rsid w:val="0015147A"/>
    <w:rsid w:val="001514AF"/>
    <w:rsid w:val="0015152B"/>
    <w:rsid w:val="001516F0"/>
    <w:rsid w:val="00151747"/>
    <w:rsid w:val="0015184D"/>
    <w:rsid w:val="001518CA"/>
    <w:rsid w:val="001519E7"/>
    <w:rsid w:val="00151D76"/>
    <w:rsid w:val="00151DC4"/>
    <w:rsid w:val="00151E6E"/>
    <w:rsid w:val="00152016"/>
    <w:rsid w:val="001520F6"/>
    <w:rsid w:val="00152108"/>
    <w:rsid w:val="0015217F"/>
    <w:rsid w:val="001523EE"/>
    <w:rsid w:val="00152731"/>
    <w:rsid w:val="00152850"/>
    <w:rsid w:val="0015290E"/>
    <w:rsid w:val="00152991"/>
    <w:rsid w:val="00152ABC"/>
    <w:rsid w:val="00152FE4"/>
    <w:rsid w:val="001532A4"/>
    <w:rsid w:val="001537A4"/>
    <w:rsid w:val="001537D0"/>
    <w:rsid w:val="00153B7D"/>
    <w:rsid w:val="00153BC8"/>
    <w:rsid w:val="00153F15"/>
    <w:rsid w:val="00154401"/>
    <w:rsid w:val="001545AD"/>
    <w:rsid w:val="00154682"/>
    <w:rsid w:val="001547F6"/>
    <w:rsid w:val="00154E2A"/>
    <w:rsid w:val="00154E60"/>
    <w:rsid w:val="00155202"/>
    <w:rsid w:val="0015538F"/>
    <w:rsid w:val="00155434"/>
    <w:rsid w:val="001564FC"/>
    <w:rsid w:val="00156D28"/>
    <w:rsid w:val="00156D64"/>
    <w:rsid w:val="00156EF9"/>
    <w:rsid w:val="00157375"/>
    <w:rsid w:val="00157500"/>
    <w:rsid w:val="00157721"/>
    <w:rsid w:val="00157952"/>
    <w:rsid w:val="00157A47"/>
    <w:rsid w:val="001602B3"/>
    <w:rsid w:val="0016040C"/>
    <w:rsid w:val="001604C3"/>
    <w:rsid w:val="0016050D"/>
    <w:rsid w:val="0016079C"/>
    <w:rsid w:val="0016086E"/>
    <w:rsid w:val="001609D0"/>
    <w:rsid w:val="00160A0C"/>
    <w:rsid w:val="00160A49"/>
    <w:rsid w:val="00160C89"/>
    <w:rsid w:val="0016104C"/>
    <w:rsid w:val="0016143E"/>
    <w:rsid w:val="00161555"/>
    <w:rsid w:val="00161574"/>
    <w:rsid w:val="001615D5"/>
    <w:rsid w:val="001618DB"/>
    <w:rsid w:val="00161A84"/>
    <w:rsid w:val="00161AF3"/>
    <w:rsid w:val="001620A0"/>
    <w:rsid w:val="001620E1"/>
    <w:rsid w:val="0016223A"/>
    <w:rsid w:val="001623B5"/>
    <w:rsid w:val="001624B5"/>
    <w:rsid w:val="001627F3"/>
    <w:rsid w:val="001629D3"/>
    <w:rsid w:val="00162DFF"/>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F9C"/>
    <w:rsid w:val="001655BB"/>
    <w:rsid w:val="001657CC"/>
    <w:rsid w:val="00165B61"/>
    <w:rsid w:val="001664DB"/>
    <w:rsid w:val="0016655E"/>
    <w:rsid w:val="00166A93"/>
    <w:rsid w:val="00166C93"/>
    <w:rsid w:val="00166E60"/>
    <w:rsid w:val="00166F3F"/>
    <w:rsid w:val="001670EA"/>
    <w:rsid w:val="0016784B"/>
    <w:rsid w:val="00167AB6"/>
    <w:rsid w:val="00167EBA"/>
    <w:rsid w:val="00167FB2"/>
    <w:rsid w:val="00167FD9"/>
    <w:rsid w:val="001700A5"/>
    <w:rsid w:val="001703B4"/>
    <w:rsid w:val="001705E4"/>
    <w:rsid w:val="00170D89"/>
    <w:rsid w:val="00170FF3"/>
    <w:rsid w:val="00171273"/>
    <w:rsid w:val="001712A1"/>
    <w:rsid w:val="001712C4"/>
    <w:rsid w:val="00171325"/>
    <w:rsid w:val="00171451"/>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4052"/>
    <w:rsid w:val="00174088"/>
    <w:rsid w:val="00174325"/>
    <w:rsid w:val="00174359"/>
    <w:rsid w:val="001743FA"/>
    <w:rsid w:val="001744DA"/>
    <w:rsid w:val="00174694"/>
    <w:rsid w:val="00174952"/>
    <w:rsid w:val="001749EC"/>
    <w:rsid w:val="00174B65"/>
    <w:rsid w:val="00174B82"/>
    <w:rsid w:val="00174D35"/>
    <w:rsid w:val="00175843"/>
    <w:rsid w:val="001759C5"/>
    <w:rsid w:val="00175AFE"/>
    <w:rsid w:val="00175BBF"/>
    <w:rsid w:val="0017603C"/>
    <w:rsid w:val="00176149"/>
    <w:rsid w:val="0017622F"/>
    <w:rsid w:val="0017623A"/>
    <w:rsid w:val="00176250"/>
    <w:rsid w:val="00176399"/>
    <w:rsid w:val="00176768"/>
    <w:rsid w:val="00176794"/>
    <w:rsid w:val="001767E0"/>
    <w:rsid w:val="0017690B"/>
    <w:rsid w:val="00176DE2"/>
    <w:rsid w:val="00176E48"/>
    <w:rsid w:val="001770BF"/>
    <w:rsid w:val="001770D4"/>
    <w:rsid w:val="0017712C"/>
    <w:rsid w:val="00177148"/>
    <w:rsid w:val="001772BB"/>
    <w:rsid w:val="00177385"/>
    <w:rsid w:val="001776C7"/>
    <w:rsid w:val="00177707"/>
    <w:rsid w:val="00177873"/>
    <w:rsid w:val="00177A63"/>
    <w:rsid w:val="00177B45"/>
    <w:rsid w:val="00177F9F"/>
    <w:rsid w:val="00180172"/>
    <w:rsid w:val="001801F4"/>
    <w:rsid w:val="001802CA"/>
    <w:rsid w:val="00180775"/>
    <w:rsid w:val="00180829"/>
    <w:rsid w:val="0018083E"/>
    <w:rsid w:val="0018085E"/>
    <w:rsid w:val="00180954"/>
    <w:rsid w:val="00180975"/>
    <w:rsid w:val="001809C7"/>
    <w:rsid w:val="00180D63"/>
    <w:rsid w:val="0018115A"/>
    <w:rsid w:val="001813A3"/>
    <w:rsid w:val="001813BA"/>
    <w:rsid w:val="001813BE"/>
    <w:rsid w:val="001813C3"/>
    <w:rsid w:val="00181581"/>
    <w:rsid w:val="00181919"/>
    <w:rsid w:val="00181A20"/>
    <w:rsid w:val="00181C43"/>
    <w:rsid w:val="00181C75"/>
    <w:rsid w:val="00181D48"/>
    <w:rsid w:val="00181D80"/>
    <w:rsid w:val="00182348"/>
    <w:rsid w:val="00182464"/>
    <w:rsid w:val="001824BE"/>
    <w:rsid w:val="001826C3"/>
    <w:rsid w:val="001829EB"/>
    <w:rsid w:val="00182C70"/>
    <w:rsid w:val="00183026"/>
    <w:rsid w:val="001834AA"/>
    <w:rsid w:val="001835E4"/>
    <w:rsid w:val="001835F6"/>
    <w:rsid w:val="001838C6"/>
    <w:rsid w:val="00183935"/>
    <w:rsid w:val="0018397D"/>
    <w:rsid w:val="00183A51"/>
    <w:rsid w:val="00183A60"/>
    <w:rsid w:val="00183B57"/>
    <w:rsid w:val="00183C2A"/>
    <w:rsid w:val="00183DFC"/>
    <w:rsid w:val="00184004"/>
    <w:rsid w:val="00184171"/>
    <w:rsid w:val="00184298"/>
    <w:rsid w:val="001846ED"/>
    <w:rsid w:val="001849ED"/>
    <w:rsid w:val="00184A85"/>
    <w:rsid w:val="00184B0F"/>
    <w:rsid w:val="00184BC3"/>
    <w:rsid w:val="00184DC3"/>
    <w:rsid w:val="00184F04"/>
    <w:rsid w:val="00184FA0"/>
    <w:rsid w:val="00185367"/>
    <w:rsid w:val="0018542F"/>
    <w:rsid w:val="00185A00"/>
    <w:rsid w:val="00185BBA"/>
    <w:rsid w:val="0018614B"/>
    <w:rsid w:val="001862B1"/>
    <w:rsid w:val="001862ED"/>
    <w:rsid w:val="00186763"/>
    <w:rsid w:val="0018676E"/>
    <w:rsid w:val="0018693D"/>
    <w:rsid w:val="00186AEB"/>
    <w:rsid w:val="00186C6E"/>
    <w:rsid w:val="00186CE3"/>
    <w:rsid w:val="0018702E"/>
    <w:rsid w:val="00187162"/>
    <w:rsid w:val="0018723C"/>
    <w:rsid w:val="001872B3"/>
    <w:rsid w:val="00187350"/>
    <w:rsid w:val="001874D5"/>
    <w:rsid w:val="00187668"/>
    <w:rsid w:val="00187BD3"/>
    <w:rsid w:val="00187D09"/>
    <w:rsid w:val="00187D47"/>
    <w:rsid w:val="00190143"/>
    <w:rsid w:val="0019015C"/>
    <w:rsid w:val="00190335"/>
    <w:rsid w:val="00190396"/>
    <w:rsid w:val="001907E2"/>
    <w:rsid w:val="00190CEE"/>
    <w:rsid w:val="001914A6"/>
    <w:rsid w:val="00191517"/>
    <w:rsid w:val="00191ABB"/>
    <w:rsid w:val="00191D08"/>
    <w:rsid w:val="00191F11"/>
    <w:rsid w:val="00191FD1"/>
    <w:rsid w:val="00192450"/>
    <w:rsid w:val="001924F5"/>
    <w:rsid w:val="001928B8"/>
    <w:rsid w:val="00192A48"/>
    <w:rsid w:val="00192ADE"/>
    <w:rsid w:val="00192D14"/>
    <w:rsid w:val="00192E9C"/>
    <w:rsid w:val="001930E3"/>
    <w:rsid w:val="00193106"/>
    <w:rsid w:val="00193A98"/>
    <w:rsid w:val="00193BEE"/>
    <w:rsid w:val="00193C95"/>
    <w:rsid w:val="00193D98"/>
    <w:rsid w:val="00193E32"/>
    <w:rsid w:val="00194050"/>
    <w:rsid w:val="00194200"/>
    <w:rsid w:val="00194427"/>
    <w:rsid w:val="001944C6"/>
    <w:rsid w:val="001948CB"/>
    <w:rsid w:val="00194C53"/>
    <w:rsid w:val="001950C6"/>
    <w:rsid w:val="0019525E"/>
    <w:rsid w:val="00195427"/>
    <w:rsid w:val="001954DF"/>
    <w:rsid w:val="00195A71"/>
    <w:rsid w:val="00195B1E"/>
    <w:rsid w:val="00195D3C"/>
    <w:rsid w:val="001961CE"/>
    <w:rsid w:val="00196296"/>
    <w:rsid w:val="00196AA1"/>
    <w:rsid w:val="00196C49"/>
    <w:rsid w:val="00196D7F"/>
    <w:rsid w:val="001971A4"/>
    <w:rsid w:val="0019751C"/>
    <w:rsid w:val="00197AD9"/>
    <w:rsid w:val="00197DB5"/>
    <w:rsid w:val="00197F02"/>
    <w:rsid w:val="00197F40"/>
    <w:rsid w:val="001A0090"/>
    <w:rsid w:val="001A022D"/>
    <w:rsid w:val="001A0286"/>
    <w:rsid w:val="001A0373"/>
    <w:rsid w:val="001A04AA"/>
    <w:rsid w:val="001A06F8"/>
    <w:rsid w:val="001A0A32"/>
    <w:rsid w:val="001A0FE8"/>
    <w:rsid w:val="001A106A"/>
    <w:rsid w:val="001A1224"/>
    <w:rsid w:val="001A13A8"/>
    <w:rsid w:val="001A168B"/>
    <w:rsid w:val="001A1914"/>
    <w:rsid w:val="001A19C5"/>
    <w:rsid w:val="001A1ABE"/>
    <w:rsid w:val="001A1B50"/>
    <w:rsid w:val="001A1B78"/>
    <w:rsid w:val="001A1BA3"/>
    <w:rsid w:val="001A1F0B"/>
    <w:rsid w:val="001A1F70"/>
    <w:rsid w:val="001A229A"/>
    <w:rsid w:val="001A2347"/>
    <w:rsid w:val="001A2415"/>
    <w:rsid w:val="001A25C9"/>
    <w:rsid w:val="001A27B9"/>
    <w:rsid w:val="001A27E8"/>
    <w:rsid w:val="001A287C"/>
    <w:rsid w:val="001A29C1"/>
    <w:rsid w:val="001A2AFE"/>
    <w:rsid w:val="001A2B91"/>
    <w:rsid w:val="001A3094"/>
    <w:rsid w:val="001A35AC"/>
    <w:rsid w:val="001A3985"/>
    <w:rsid w:val="001A3B68"/>
    <w:rsid w:val="001A3CCC"/>
    <w:rsid w:val="001A4045"/>
    <w:rsid w:val="001A40CF"/>
    <w:rsid w:val="001A4877"/>
    <w:rsid w:val="001A4A0B"/>
    <w:rsid w:val="001A52A6"/>
    <w:rsid w:val="001A5496"/>
    <w:rsid w:val="001A5595"/>
    <w:rsid w:val="001A55F7"/>
    <w:rsid w:val="001A570C"/>
    <w:rsid w:val="001A57B9"/>
    <w:rsid w:val="001A5FC1"/>
    <w:rsid w:val="001A5FF0"/>
    <w:rsid w:val="001A62AF"/>
    <w:rsid w:val="001A63B1"/>
    <w:rsid w:val="001A6701"/>
    <w:rsid w:val="001A6762"/>
    <w:rsid w:val="001A6862"/>
    <w:rsid w:val="001A68CC"/>
    <w:rsid w:val="001A6996"/>
    <w:rsid w:val="001A6BD3"/>
    <w:rsid w:val="001A6D7F"/>
    <w:rsid w:val="001A6F08"/>
    <w:rsid w:val="001A7040"/>
    <w:rsid w:val="001A7042"/>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D86"/>
    <w:rsid w:val="001B0F08"/>
    <w:rsid w:val="001B0FC5"/>
    <w:rsid w:val="001B106C"/>
    <w:rsid w:val="001B1142"/>
    <w:rsid w:val="001B11B3"/>
    <w:rsid w:val="001B11C4"/>
    <w:rsid w:val="001B1C0B"/>
    <w:rsid w:val="001B1D06"/>
    <w:rsid w:val="001B2015"/>
    <w:rsid w:val="001B2049"/>
    <w:rsid w:val="001B2067"/>
    <w:rsid w:val="001B2322"/>
    <w:rsid w:val="001B28F9"/>
    <w:rsid w:val="001B2A06"/>
    <w:rsid w:val="001B2EB9"/>
    <w:rsid w:val="001B2FD0"/>
    <w:rsid w:val="001B302C"/>
    <w:rsid w:val="001B30FE"/>
    <w:rsid w:val="001B3159"/>
    <w:rsid w:val="001B3793"/>
    <w:rsid w:val="001B38ED"/>
    <w:rsid w:val="001B39CE"/>
    <w:rsid w:val="001B39DF"/>
    <w:rsid w:val="001B3B2F"/>
    <w:rsid w:val="001B3B98"/>
    <w:rsid w:val="001B3BBA"/>
    <w:rsid w:val="001B3EF9"/>
    <w:rsid w:val="001B40C8"/>
    <w:rsid w:val="001B40F1"/>
    <w:rsid w:val="001B43B1"/>
    <w:rsid w:val="001B4499"/>
    <w:rsid w:val="001B49F0"/>
    <w:rsid w:val="001B504D"/>
    <w:rsid w:val="001B5307"/>
    <w:rsid w:val="001B53EE"/>
    <w:rsid w:val="001B56F4"/>
    <w:rsid w:val="001B5918"/>
    <w:rsid w:val="001B5BA3"/>
    <w:rsid w:val="001B5CD4"/>
    <w:rsid w:val="001B6154"/>
    <w:rsid w:val="001B64C1"/>
    <w:rsid w:val="001B6C13"/>
    <w:rsid w:val="001B6F07"/>
    <w:rsid w:val="001B7015"/>
    <w:rsid w:val="001B702C"/>
    <w:rsid w:val="001B741C"/>
    <w:rsid w:val="001B76E6"/>
    <w:rsid w:val="001B7D86"/>
    <w:rsid w:val="001B7DF0"/>
    <w:rsid w:val="001B7E4E"/>
    <w:rsid w:val="001B7E75"/>
    <w:rsid w:val="001B7E7E"/>
    <w:rsid w:val="001C00DF"/>
    <w:rsid w:val="001C010E"/>
    <w:rsid w:val="001C0191"/>
    <w:rsid w:val="001C029F"/>
    <w:rsid w:val="001C0850"/>
    <w:rsid w:val="001C0AB3"/>
    <w:rsid w:val="001C1461"/>
    <w:rsid w:val="001C167B"/>
    <w:rsid w:val="001C172A"/>
    <w:rsid w:val="001C1A12"/>
    <w:rsid w:val="001C1AE9"/>
    <w:rsid w:val="001C1B8B"/>
    <w:rsid w:val="001C1E53"/>
    <w:rsid w:val="001C2145"/>
    <w:rsid w:val="001C255E"/>
    <w:rsid w:val="001C2695"/>
    <w:rsid w:val="001C29BE"/>
    <w:rsid w:val="001C2DCD"/>
    <w:rsid w:val="001C2E41"/>
    <w:rsid w:val="001C2F65"/>
    <w:rsid w:val="001C326E"/>
    <w:rsid w:val="001C33D5"/>
    <w:rsid w:val="001C34AE"/>
    <w:rsid w:val="001C34EC"/>
    <w:rsid w:val="001C3701"/>
    <w:rsid w:val="001C38DF"/>
    <w:rsid w:val="001C3982"/>
    <w:rsid w:val="001C4429"/>
    <w:rsid w:val="001C47A0"/>
    <w:rsid w:val="001C47E6"/>
    <w:rsid w:val="001C4E97"/>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412"/>
    <w:rsid w:val="001C660A"/>
    <w:rsid w:val="001C6732"/>
    <w:rsid w:val="001C6AAB"/>
    <w:rsid w:val="001C6AE0"/>
    <w:rsid w:val="001C6B50"/>
    <w:rsid w:val="001C6C55"/>
    <w:rsid w:val="001C70EB"/>
    <w:rsid w:val="001C7330"/>
    <w:rsid w:val="001C7368"/>
    <w:rsid w:val="001C778F"/>
    <w:rsid w:val="001C7909"/>
    <w:rsid w:val="001C7A23"/>
    <w:rsid w:val="001C7A82"/>
    <w:rsid w:val="001C7AE7"/>
    <w:rsid w:val="001C7C91"/>
    <w:rsid w:val="001C7E5E"/>
    <w:rsid w:val="001C7F13"/>
    <w:rsid w:val="001D0140"/>
    <w:rsid w:val="001D021A"/>
    <w:rsid w:val="001D03AD"/>
    <w:rsid w:val="001D046C"/>
    <w:rsid w:val="001D0778"/>
    <w:rsid w:val="001D07CF"/>
    <w:rsid w:val="001D0985"/>
    <w:rsid w:val="001D0BEB"/>
    <w:rsid w:val="001D0C91"/>
    <w:rsid w:val="001D112C"/>
    <w:rsid w:val="001D165E"/>
    <w:rsid w:val="001D1689"/>
    <w:rsid w:val="001D1783"/>
    <w:rsid w:val="001D1980"/>
    <w:rsid w:val="001D27F7"/>
    <w:rsid w:val="001D2889"/>
    <w:rsid w:val="001D28C9"/>
    <w:rsid w:val="001D2936"/>
    <w:rsid w:val="001D2BF6"/>
    <w:rsid w:val="001D2D30"/>
    <w:rsid w:val="001D3766"/>
    <w:rsid w:val="001D3B44"/>
    <w:rsid w:val="001D3BFA"/>
    <w:rsid w:val="001D3F50"/>
    <w:rsid w:val="001D4067"/>
    <w:rsid w:val="001D4254"/>
    <w:rsid w:val="001D42B2"/>
    <w:rsid w:val="001D4345"/>
    <w:rsid w:val="001D4904"/>
    <w:rsid w:val="001D4A3F"/>
    <w:rsid w:val="001D4C30"/>
    <w:rsid w:val="001D4FC1"/>
    <w:rsid w:val="001D52B8"/>
    <w:rsid w:val="001D5355"/>
    <w:rsid w:val="001D55D6"/>
    <w:rsid w:val="001D58A8"/>
    <w:rsid w:val="001D5E02"/>
    <w:rsid w:val="001D6001"/>
    <w:rsid w:val="001D606E"/>
    <w:rsid w:val="001D614E"/>
    <w:rsid w:val="001D6399"/>
    <w:rsid w:val="001D66FE"/>
    <w:rsid w:val="001D6988"/>
    <w:rsid w:val="001D7003"/>
    <w:rsid w:val="001D709A"/>
    <w:rsid w:val="001D73D2"/>
    <w:rsid w:val="001D7969"/>
    <w:rsid w:val="001D7B11"/>
    <w:rsid w:val="001D7B71"/>
    <w:rsid w:val="001D7C04"/>
    <w:rsid w:val="001D7D1B"/>
    <w:rsid w:val="001D7EBE"/>
    <w:rsid w:val="001E0074"/>
    <w:rsid w:val="001E01D0"/>
    <w:rsid w:val="001E025C"/>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84D"/>
    <w:rsid w:val="001E19E2"/>
    <w:rsid w:val="001E1D1A"/>
    <w:rsid w:val="001E1D45"/>
    <w:rsid w:val="001E1E94"/>
    <w:rsid w:val="001E226B"/>
    <w:rsid w:val="001E2280"/>
    <w:rsid w:val="001E280C"/>
    <w:rsid w:val="001E2D70"/>
    <w:rsid w:val="001E306C"/>
    <w:rsid w:val="001E3228"/>
    <w:rsid w:val="001E3354"/>
    <w:rsid w:val="001E34AA"/>
    <w:rsid w:val="001E34EF"/>
    <w:rsid w:val="001E3638"/>
    <w:rsid w:val="001E3764"/>
    <w:rsid w:val="001E381D"/>
    <w:rsid w:val="001E3875"/>
    <w:rsid w:val="001E3AE0"/>
    <w:rsid w:val="001E3B66"/>
    <w:rsid w:val="001E3C02"/>
    <w:rsid w:val="001E3D80"/>
    <w:rsid w:val="001E3D8C"/>
    <w:rsid w:val="001E3DFC"/>
    <w:rsid w:val="001E4118"/>
    <w:rsid w:val="001E437E"/>
    <w:rsid w:val="001E43E2"/>
    <w:rsid w:val="001E447D"/>
    <w:rsid w:val="001E4ED1"/>
    <w:rsid w:val="001E5295"/>
    <w:rsid w:val="001E54DC"/>
    <w:rsid w:val="001E5EAF"/>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615"/>
    <w:rsid w:val="001F07D6"/>
    <w:rsid w:val="001F07F7"/>
    <w:rsid w:val="001F08D7"/>
    <w:rsid w:val="001F0C50"/>
    <w:rsid w:val="001F126A"/>
    <w:rsid w:val="001F137C"/>
    <w:rsid w:val="001F17AB"/>
    <w:rsid w:val="001F1B18"/>
    <w:rsid w:val="001F1D26"/>
    <w:rsid w:val="001F1E70"/>
    <w:rsid w:val="001F2402"/>
    <w:rsid w:val="001F28AA"/>
    <w:rsid w:val="001F2AB7"/>
    <w:rsid w:val="001F2D4E"/>
    <w:rsid w:val="001F3246"/>
    <w:rsid w:val="001F3530"/>
    <w:rsid w:val="001F3673"/>
    <w:rsid w:val="001F36AF"/>
    <w:rsid w:val="001F385D"/>
    <w:rsid w:val="001F3C79"/>
    <w:rsid w:val="001F3D72"/>
    <w:rsid w:val="001F3FA4"/>
    <w:rsid w:val="001F3FAF"/>
    <w:rsid w:val="001F4141"/>
    <w:rsid w:val="001F437A"/>
    <w:rsid w:val="001F4382"/>
    <w:rsid w:val="001F443D"/>
    <w:rsid w:val="001F446B"/>
    <w:rsid w:val="001F448E"/>
    <w:rsid w:val="001F4559"/>
    <w:rsid w:val="001F4C73"/>
    <w:rsid w:val="001F5191"/>
    <w:rsid w:val="001F5251"/>
    <w:rsid w:val="001F52D4"/>
    <w:rsid w:val="001F5318"/>
    <w:rsid w:val="001F536F"/>
    <w:rsid w:val="001F5482"/>
    <w:rsid w:val="001F5484"/>
    <w:rsid w:val="001F584C"/>
    <w:rsid w:val="001F5D74"/>
    <w:rsid w:val="001F6084"/>
    <w:rsid w:val="001F61FB"/>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B35"/>
    <w:rsid w:val="001F7D75"/>
    <w:rsid w:val="001F7E2B"/>
    <w:rsid w:val="0020047F"/>
    <w:rsid w:val="0020059F"/>
    <w:rsid w:val="002005BB"/>
    <w:rsid w:val="00200896"/>
    <w:rsid w:val="002008C8"/>
    <w:rsid w:val="00200FFD"/>
    <w:rsid w:val="00201195"/>
    <w:rsid w:val="002013FB"/>
    <w:rsid w:val="0020150D"/>
    <w:rsid w:val="00201870"/>
    <w:rsid w:val="002019EA"/>
    <w:rsid w:val="002021B4"/>
    <w:rsid w:val="00202316"/>
    <w:rsid w:val="002023D4"/>
    <w:rsid w:val="00202B06"/>
    <w:rsid w:val="00202B44"/>
    <w:rsid w:val="00203009"/>
    <w:rsid w:val="00203118"/>
    <w:rsid w:val="00203153"/>
    <w:rsid w:val="002033CB"/>
    <w:rsid w:val="002034C2"/>
    <w:rsid w:val="00203726"/>
    <w:rsid w:val="00203A4A"/>
    <w:rsid w:val="00203BF8"/>
    <w:rsid w:val="00203DAD"/>
    <w:rsid w:val="00203E7F"/>
    <w:rsid w:val="00204728"/>
    <w:rsid w:val="00204761"/>
    <w:rsid w:val="002047C4"/>
    <w:rsid w:val="00204865"/>
    <w:rsid w:val="00204E72"/>
    <w:rsid w:val="00204FA5"/>
    <w:rsid w:val="002054CA"/>
    <w:rsid w:val="00205CED"/>
    <w:rsid w:val="00205D16"/>
    <w:rsid w:val="00205F4E"/>
    <w:rsid w:val="00206410"/>
    <w:rsid w:val="00206722"/>
    <w:rsid w:val="00206A04"/>
    <w:rsid w:val="00206BE4"/>
    <w:rsid w:val="00206D3E"/>
    <w:rsid w:val="00206D5B"/>
    <w:rsid w:val="002074D2"/>
    <w:rsid w:val="0020761E"/>
    <w:rsid w:val="002077D3"/>
    <w:rsid w:val="002078ED"/>
    <w:rsid w:val="00207913"/>
    <w:rsid w:val="002079D2"/>
    <w:rsid w:val="00207CF8"/>
    <w:rsid w:val="00207E99"/>
    <w:rsid w:val="002105B2"/>
    <w:rsid w:val="002105C3"/>
    <w:rsid w:val="0021063C"/>
    <w:rsid w:val="0021085B"/>
    <w:rsid w:val="00210A3A"/>
    <w:rsid w:val="00210C07"/>
    <w:rsid w:val="00210C63"/>
    <w:rsid w:val="00210E93"/>
    <w:rsid w:val="00211392"/>
    <w:rsid w:val="00211BE3"/>
    <w:rsid w:val="00211CF4"/>
    <w:rsid w:val="00211DA3"/>
    <w:rsid w:val="00211E81"/>
    <w:rsid w:val="00212379"/>
    <w:rsid w:val="002124C1"/>
    <w:rsid w:val="002125D6"/>
    <w:rsid w:val="00212B72"/>
    <w:rsid w:val="00212BA8"/>
    <w:rsid w:val="00212CA0"/>
    <w:rsid w:val="002130DE"/>
    <w:rsid w:val="002131C5"/>
    <w:rsid w:val="00213701"/>
    <w:rsid w:val="002139C6"/>
    <w:rsid w:val="00213B0D"/>
    <w:rsid w:val="00213B31"/>
    <w:rsid w:val="00213EC0"/>
    <w:rsid w:val="00213EE5"/>
    <w:rsid w:val="00214137"/>
    <w:rsid w:val="002141E2"/>
    <w:rsid w:val="002142AE"/>
    <w:rsid w:val="00214368"/>
    <w:rsid w:val="00214B2B"/>
    <w:rsid w:val="00214F86"/>
    <w:rsid w:val="00214FA6"/>
    <w:rsid w:val="0021509C"/>
    <w:rsid w:val="002152AD"/>
    <w:rsid w:val="00215476"/>
    <w:rsid w:val="0021554A"/>
    <w:rsid w:val="0021565E"/>
    <w:rsid w:val="00215797"/>
    <w:rsid w:val="0021618E"/>
    <w:rsid w:val="002161B4"/>
    <w:rsid w:val="00216642"/>
    <w:rsid w:val="002166AF"/>
    <w:rsid w:val="002167D9"/>
    <w:rsid w:val="00216A22"/>
    <w:rsid w:val="00216EEC"/>
    <w:rsid w:val="0021703E"/>
    <w:rsid w:val="00217445"/>
    <w:rsid w:val="0021798F"/>
    <w:rsid w:val="00217C37"/>
    <w:rsid w:val="00217CB8"/>
    <w:rsid w:val="00217E13"/>
    <w:rsid w:val="00217E62"/>
    <w:rsid w:val="00217EA8"/>
    <w:rsid w:val="0022004D"/>
    <w:rsid w:val="002202FE"/>
    <w:rsid w:val="00220349"/>
    <w:rsid w:val="00220562"/>
    <w:rsid w:val="0022057E"/>
    <w:rsid w:val="002205C8"/>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869"/>
    <w:rsid w:val="00221D2A"/>
    <w:rsid w:val="00221E82"/>
    <w:rsid w:val="00221EA7"/>
    <w:rsid w:val="00222202"/>
    <w:rsid w:val="00222706"/>
    <w:rsid w:val="00222A23"/>
    <w:rsid w:val="00222B6A"/>
    <w:rsid w:val="00222B97"/>
    <w:rsid w:val="00222CE5"/>
    <w:rsid w:val="00223224"/>
    <w:rsid w:val="0022334D"/>
    <w:rsid w:val="002239ED"/>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B0"/>
    <w:rsid w:val="002252B3"/>
    <w:rsid w:val="00225326"/>
    <w:rsid w:val="002253C2"/>
    <w:rsid w:val="0022558D"/>
    <w:rsid w:val="0022562C"/>
    <w:rsid w:val="002256A6"/>
    <w:rsid w:val="00225CC1"/>
    <w:rsid w:val="00225D5A"/>
    <w:rsid w:val="00225D96"/>
    <w:rsid w:val="00225DBE"/>
    <w:rsid w:val="0022619D"/>
    <w:rsid w:val="00226217"/>
    <w:rsid w:val="0022656B"/>
    <w:rsid w:val="00226831"/>
    <w:rsid w:val="00226BA4"/>
    <w:rsid w:val="00226E2D"/>
    <w:rsid w:val="00226F38"/>
    <w:rsid w:val="00226FD1"/>
    <w:rsid w:val="0022737E"/>
    <w:rsid w:val="00227679"/>
    <w:rsid w:val="00227B21"/>
    <w:rsid w:val="00227BC9"/>
    <w:rsid w:val="00230A63"/>
    <w:rsid w:val="00230AEB"/>
    <w:rsid w:val="00230B42"/>
    <w:rsid w:val="00230CB0"/>
    <w:rsid w:val="00230CFB"/>
    <w:rsid w:val="00230EA6"/>
    <w:rsid w:val="0023108B"/>
    <w:rsid w:val="0023109B"/>
    <w:rsid w:val="002313D6"/>
    <w:rsid w:val="0023145D"/>
    <w:rsid w:val="00231658"/>
    <w:rsid w:val="002316B7"/>
    <w:rsid w:val="0023181F"/>
    <w:rsid w:val="00231E6F"/>
    <w:rsid w:val="00231F45"/>
    <w:rsid w:val="00231F9E"/>
    <w:rsid w:val="00232100"/>
    <w:rsid w:val="0023249D"/>
    <w:rsid w:val="002324FB"/>
    <w:rsid w:val="0023250D"/>
    <w:rsid w:val="00232793"/>
    <w:rsid w:val="002327DD"/>
    <w:rsid w:val="0023295E"/>
    <w:rsid w:val="00232EAF"/>
    <w:rsid w:val="0023302F"/>
    <w:rsid w:val="002332CE"/>
    <w:rsid w:val="002334AF"/>
    <w:rsid w:val="0023385B"/>
    <w:rsid w:val="002339B5"/>
    <w:rsid w:val="00233BE4"/>
    <w:rsid w:val="00233CFD"/>
    <w:rsid w:val="00233DA6"/>
    <w:rsid w:val="00234295"/>
    <w:rsid w:val="00234AA6"/>
    <w:rsid w:val="00234AED"/>
    <w:rsid w:val="00234B77"/>
    <w:rsid w:val="00234BF1"/>
    <w:rsid w:val="00235450"/>
    <w:rsid w:val="002355E5"/>
    <w:rsid w:val="00235640"/>
    <w:rsid w:val="00235BDF"/>
    <w:rsid w:val="00235BEE"/>
    <w:rsid w:val="00235DA2"/>
    <w:rsid w:val="00235FCF"/>
    <w:rsid w:val="00236642"/>
    <w:rsid w:val="00236765"/>
    <w:rsid w:val="00236B08"/>
    <w:rsid w:val="00236C96"/>
    <w:rsid w:val="00237125"/>
    <w:rsid w:val="002371F0"/>
    <w:rsid w:val="00237712"/>
    <w:rsid w:val="00237B33"/>
    <w:rsid w:val="00237C8B"/>
    <w:rsid w:val="00237DF5"/>
    <w:rsid w:val="00237E9C"/>
    <w:rsid w:val="00240071"/>
    <w:rsid w:val="00240561"/>
    <w:rsid w:val="00240612"/>
    <w:rsid w:val="00240852"/>
    <w:rsid w:val="00240AC8"/>
    <w:rsid w:val="00240CE5"/>
    <w:rsid w:val="00240D6D"/>
    <w:rsid w:val="00240F8A"/>
    <w:rsid w:val="0024101A"/>
    <w:rsid w:val="002412CB"/>
    <w:rsid w:val="002412F8"/>
    <w:rsid w:val="00241447"/>
    <w:rsid w:val="0024168E"/>
    <w:rsid w:val="00241690"/>
    <w:rsid w:val="00241803"/>
    <w:rsid w:val="00241A6C"/>
    <w:rsid w:val="00241B38"/>
    <w:rsid w:val="00241C11"/>
    <w:rsid w:val="00241EB1"/>
    <w:rsid w:val="00241FBF"/>
    <w:rsid w:val="002421DA"/>
    <w:rsid w:val="00242324"/>
    <w:rsid w:val="00242A12"/>
    <w:rsid w:val="00242A60"/>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972"/>
    <w:rsid w:val="00245BAA"/>
    <w:rsid w:val="002460FE"/>
    <w:rsid w:val="00246133"/>
    <w:rsid w:val="0024623F"/>
    <w:rsid w:val="00246812"/>
    <w:rsid w:val="002469F5"/>
    <w:rsid w:val="00246BC6"/>
    <w:rsid w:val="00246D51"/>
    <w:rsid w:val="00246E3E"/>
    <w:rsid w:val="00246FBC"/>
    <w:rsid w:val="0024701C"/>
    <w:rsid w:val="0024706D"/>
    <w:rsid w:val="00247A52"/>
    <w:rsid w:val="00247ED7"/>
    <w:rsid w:val="00250042"/>
    <w:rsid w:val="00250065"/>
    <w:rsid w:val="00250104"/>
    <w:rsid w:val="00250150"/>
    <w:rsid w:val="00250499"/>
    <w:rsid w:val="002504BF"/>
    <w:rsid w:val="00250604"/>
    <w:rsid w:val="0025066C"/>
    <w:rsid w:val="002506AE"/>
    <w:rsid w:val="00250861"/>
    <w:rsid w:val="002509A9"/>
    <w:rsid w:val="0025129E"/>
    <w:rsid w:val="00251429"/>
    <w:rsid w:val="002515FE"/>
    <w:rsid w:val="00251844"/>
    <w:rsid w:val="0025187A"/>
    <w:rsid w:val="002518B2"/>
    <w:rsid w:val="00251A07"/>
    <w:rsid w:val="00251B30"/>
    <w:rsid w:val="00251D5A"/>
    <w:rsid w:val="00251FDC"/>
    <w:rsid w:val="002522D3"/>
    <w:rsid w:val="0025234D"/>
    <w:rsid w:val="002525FE"/>
    <w:rsid w:val="002527A2"/>
    <w:rsid w:val="002527B3"/>
    <w:rsid w:val="0025298E"/>
    <w:rsid w:val="00252DF4"/>
    <w:rsid w:val="00252E4C"/>
    <w:rsid w:val="00252F1D"/>
    <w:rsid w:val="002531AA"/>
    <w:rsid w:val="0025374F"/>
    <w:rsid w:val="00253AA7"/>
    <w:rsid w:val="00253CA5"/>
    <w:rsid w:val="00253F9B"/>
    <w:rsid w:val="002540B5"/>
    <w:rsid w:val="002543A7"/>
    <w:rsid w:val="00254481"/>
    <w:rsid w:val="00254AEF"/>
    <w:rsid w:val="00254DFD"/>
    <w:rsid w:val="00254E22"/>
    <w:rsid w:val="00254EFD"/>
    <w:rsid w:val="002553A1"/>
    <w:rsid w:val="00255507"/>
    <w:rsid w:val="002557F8"/>
    <w:rsid w:val="002558CE"/>
    <w:rsid w:val="00255909"/>
    <w:rsid w:val="00255AFF"/>
    <w:rsid w:val="00255C30"/>
    <w:rsid w:val="00255DB7"/>
    <w:rsid w:val="002561B7"/>
    <w:rsid w:val="00256234"/>
    <w:rsid w:val="00256587"/>
    <w:rsid w:val="002565FB"/>
    <w:rsid w:val="0025662A"/>
    <w:rsid w:val="00256B21"/>
    <w:rsid w:val="00256DC3"/>
    <w:rsid w:val="00256FCA"/>
    <w:rsid w:val="002570CA"/>
    <w:rsid w:val="0025735E"/>
    <w:rsid w:val="00257615"/>
    <w:rsid w:val="002577C0"/>
    <w:rsid w:val="0025784D"/>
    <w:rsid w:val="0025796D"/>
    <w:rsid w:val="00257BBD"/>
    <w:rsid w:val="00257E67"/>
    <w:rsid w:val="00257EAF"/>
    <w:rsid w:val="00257EC6"/>
    <w:rsid w:val="00257ED6"/>
    <w:rsid w:val="00260201"/>
    <w:rsid w:val="00260264"/>
    <w:rsid w:val="0026037B"/>
    <w:rsid w:val="002604FD"/>
    <w:rsid w:val="002605E4"/>
    <w:rsid w:val="00260C7F"/>
    <w:rsid w:val="00260CD6"/>
    <w:rsid w:val="0026110D"/>
    <w:rsid w:val="002615F1"/>
    <w:rsid w:val="00261B80"/>
    <w:rsid w:val="00261DE7"/>
    <w:rsid w:val="002622C9"/>
    <w:rsid w:val="002622ED"/>
    <w:rsid w:val="00262352"/>
    <w:rsid w:val="002623EE"/>
    <w:rsid w:val="00262400"/>
    <w:rsid w:val="002628C6"/>
    <w:rsid w:val="0026296A"/>
    <w:rsid w:val="00262A15"/>
    <w:rsid w:val="00262B4C"/>
    <w:rsid w:val="00262CA4"/>
    <w:rsid w:val="00262D30"/>
    <w:rsid w:val="00263043"/>
    <w:rsid w:val="00263075"/>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4F2"/>
    <w:rsid w:val="00265791"/>
    <w:rsid w:val="00265EFB"/>
    <w:rsid w:val="00266784"/>
    <w:rsid w:val="002667BA"/>
    <w:rsid w:val="00266A1C"/>
    <w:rsid w:val="00266BF6"/>
    <w:rsid w:val="0026712C"/>
    <w:rsid w:val="00267217"/>
    <w:rsid w:val="00267471"/>
    <w:rsid w:val="002674BB"/>
    <w:rsid w:val="002675BA"/>
    <w:rsid w:val="00267698"/>
    <w:rsid w:val="00267746"/>
    <w:rsid w:val="0026796B"/>
    <w:rsid w:val="00267E37"/>
    <w:rsid w:val="00267E98"/>
    <w:rsid w:val="002701E5"/>
    <w:rsid w:val="0027033A"/>
    <w:rsid w:val="0027037A"/>
    <w:rsid w:val="00270464"/>
    <w:rsid w:val="002708B8"/>
    <w:rsid w:val="00270954"/>
    <w:rsid w:val="00270AA7"/>
    <w:rsid w:val="00270B6C"/>
    <w:rsid w:val="00270EDE"/>
    <w:rsid w:val="00270F10"/>
    <w:rsid w:val="0027143A"/>
    <w:rsid w:val="00271927"/>
    <w:rsid w:val="00271B76"/>
    <w:rsid w:val="00271DC6"/>
    <w:rsid w:val="00271E9A"/>
    <w:rsid w:val="002720D3"/>
    <w:rsid w:val="0027225F"/>
    <w:rsid w:val="00272537"/>
    <w:rsid w:val="00272769"/>
    <w:rsid w:val="00272E7F"/>
    <w:rsid w:val="00273108"/>
    <w:rsid w:val="002731C8"/>
    <w:rsid w:val="0027386E"/>
    <w:rsid w:val="002739ED"/>
    <w:rsid w:val="00273A94"/>
    <w:rsid w:val="00273E7D"/>
    <w:rsid w:val="00274416"/>
    <w:rsid w:val="002746C7"/>
    <w:rsid w:val="00274816"/>
    <w:rsid w:val="002748DF"/>
    <w:rsid w:val="0027490A"/>
    <w:rsid w:val="00274969"/>
    <w:rsid w:val="00274991"/>
    <w:rsid w:val="00274B8B"/>
    <w:rsid w:val="00274C67"/>
    <w:rsid w:val="00274FAE"/>
    <w:rsid w:val="002751EC"/>
    <w:rsid w:val="00275316"/>
    <w:rsid w:val="002755A1"/>
    <w:rsid w:val="002756B4"/>
    <w:rsid w:val="00275BC6"/>
    <w:rsid w:val="00275C3F"/>
    <w:rsid w:val="00275D51"/>
    <w:rsid w:val="00275DF0"/>
    <w:rsid w:val="00276129"/>
    <w:rsid w:val="00276239"/>
    <w:rsid w:val="00276311"/>
    <w:rsid w:val="0027647D"/>
    <w:rsid w:val="002764C9"/>
    <w:rsid w:val="002764F5"/>
    <w:rsid w:val="00276556"/>
    <w:rsid w:val="00276631"/>
    <w:rsid w:val="002766F9"/>
    <w:rsid w:val="00276761"/>
    <w:rsid w:val="00276AEA"/>
    <w:rsid w:val="00276B43"/>
    <w:rsid w:val="00276B8D"/>
    <w:rsid w:val="00276DA3"/>
    <w:rsid w:val="00276E70"/>
    <w:rsid w:val="0027711C"/>
    <w:rsid w:val="00277147"/>
    <w:rsid w:val="002771C6"/>
    <w:rsid w:val="00277401"/>
    <w:rsid w:val="0027742A"/>
    <w:rsid w:val="002775CA"/>
    <w:rsid w:val="002776D8"/>
    <w:rsid w:val="0027777A"/>
    <w:rsid w:val="002777C0"/>
    <w:rsid w:val="002777D6"/>
    <w:rsid w:val="00277856"/>
    <w:rsid w:val="00277AC2"/>
    <w:rsid w:val="00277B80"/>
    <w:rsid w:val="00277E50"/>
    <w:rsid w:val="0028005D"/>
    <w:rsid w:val="00280076"/>
    <w:rsid w:val="00280246"/>
    <w:rsid w:val="002802BA"/>
    <w:rsid w:val="002806AC"/>
    <w:rsid w:val="002806B3"/>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E86"/>
    <w:rsid w:val="00282390"/>
    <w:rsid w:val="002826C3"/>
    <w:rsid w:val="00282F4A"/>
    <w:rsid w:val="00283031"/>
    <w:rsid w:val="002832A6"/>
    <w:rsid w:val="002834E4"/>
    <w:rsid w:val="002837B1"/>
    <w:rsid w:val="00283AA1"/>
    <w:rsid w:val="00283C48"/>
    <w:rsid w:val="00283D5E"/>
    <w:rsid w:val="00283E2E"/>
    <w:rsid w:val="00283ED2"/>
    <w:rsid w:val="00283FC0"/>
    <w:rsid w:val="00284572"/>
    <w:rsid w:val="002846A1"/>
    <w:rsid w:val="00284859"/>
    <w:rsid w:val="00284905"/>
    <w:rsid w:val="00284C10"/>
    <w:rsid w:val="00284F69"/>
    <w:rsid w:val="00285306"/>
    <w:rsid w:val="00285314"/>
    <w:rsid w:val="002856BE"/>
    <w:rsid w:val="00285712"/>
    <w:rsid w:val="0028577F"/>
    <w:rsid w:val="0028579A"/>
    <w:rsid w:val="0028584C"/>
    <w:rsid w:val="0028596A"/>
    <w:rsid w:val="00285A13"/>
    <w:rsid w:val="00285C35"/>
    <w:rsid w:val="002860FB"/>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CC0"/>
    <w:rsid w:val="002911AB"/>
    <w:rsid w:val="00291282"/>
    <w:rsid w:val="00291411"/>
    <w:rsid w:val="0029160D"/>
    <w:rsid w:val="00291711"/>
    <w:rsid w:val="002917B6"/>
    <w:rsid w:val="002918EC"/>
    <w:rsid w:val="00291A15"/>
    <w:rsid w:val="00291B28"/>
    <w:rsid w:val="00291B63"/>
    <w:rsid w:val="00291C4E"/>
    <w:rsid w:val="00291D08"/>
    <w:rsid w:val="00291FB1"/>
    <w:rsid w:val="00292078"/>
    <w:rsid w:val="00292359"/>
    <w:rsid w:val="002923D5"/>
    <w:rsid w:val="00292ACA"/>
    <w:rsid w:val="00292D49"/>
    <w:rsid w:val="00292E74"/>
    <w:rsid w:val="00293497"/>
    <w:rsid w:val="00293919"/>
    <w:rsid w:val="002939AF"/>
    <w:rsid w:val="00293BA4"/>
    <w:rsid w:val="00293D57"/>
    <w:rsid w:val="00293F96"/>
    <w:rsid w:val="0029467E"/>
    <w:rsid w:val="00294B02"/>
    <w:rsid w:val="00294EEB"/>
    <w:rsid w:val="0029533F"/>
    <w:rsid w:val="0029552E"/>
    <w:rsid w:val="00295708"/>
    <w:rsid w:val="002957E5"/>
    <w:rsid w:val="00295929"/>
    <w:rsid w:val="00295B27"/>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9EF"/>
    <w:rsid w:val="002A0D46"/>
    <w:rsid w:val="002A0E83"/>
    <w:rsid w:val="002A1511"/>
    <w:rsid w:val="002A158A"/>
    <w:rsid w:val="002A1691"/>
    <w:rsid w:val="002A17AF"/>
    <w:rsid w:val="002A1875"/>
    <w:rsid w:val="002A19C7"/>
    <w:rsid w:val="002A1DEE"/>
    <w:rsid w:val="002A20F8"/>
    <w:rsid w:val="002A22A7"/>
    <w:rsid w:val="002A2380"/>
    <w:rsid w:val="002A2416"/>
    <w:rsid w:val="002A24E2"/>
    <w:rsid w:val="002A24F2"/>
    <w:rsid w:val="002A285F"/>
    <w:rsid w:val="002A2FCD"/>
    <w:rsid w:val="002A30A1"/>
    <w:rsid w:val="002A3686"/>
    <w:rsid w:val="002A368A"/>
    <w:rsid w:val="002A39F2"/>
    <w:rsid w:val="002A3D55"/>
    <w:rsid w:val="002A3E48"/>
    <w:rsid w:val="002A41F4"/>
    <w:rsid w:val="002A42CF"/>
    <w:rsid w:val="002A4349"/>
    <w:rsid w:val="002A43C2"/>
    <w:rsid w:val="002A43C6"/>
    <w:rsid w:val="002A4847"/>
    <w:rsid w:val="002A4DA4"/>
    <w:rsid w:val="002A524C"/>
    <w:rsid w:val="002A5749"/>
    <w:rsid w:val="002A5B18"/>
    <w:rsid w:val="002A5D23"/>
    <w:rsid w:val="002A5D36"/>
    <w:rsid w:val="002A5ECF"/>
    <w:rsid w:val="002A60AE"/>
    <w:rsid w:val="002A6390"/>
    <w:rsid w:val="002A6767"/>
    <w:rsid w:val="002A6B4C"/>
    <w:rsid w:val="002A6C81"/>
    <w:rsid w:val="002A6CB1"/>
    <w:rsid w:val="002A6CBC"/>
    <w:rsid w:val="002A6CFE"/>
    <w:rsid w:val="002A71C9"/>
    <w:rsid w:val="002A7544"/>
    <w:rsid w:val="002A77D7"/>
    <w:rsid w:val="002A7A0F"/>
    <w:rsid w:val="002A7A18"/>
    <w:rsid w:val="002A7B62"/>
    <w:rsid w:val="002A7F5B"/>
    <w:rsid w:val="002B00E2"/>
    <w:rsid w:val="002B02F2"/>
    <w:rsid w:val="002B04FD"/>
    <w:rsid w:val="002B05CF"/>
    <w:rsid w:val="002B0621"/>
    <w:rsid w:val="002B06F7"/>
    <w:rsid w:val="002B073A"/>
    <w:rsid w:val="002B087D"/>
    <w:rsid w:val="002B0D06"/>
    <w:rsid w:val="002B0FF8"/>
    <w:rsid w:val="002B10CA"/>
    <w:rsid w:val="002B12E7"/>
    <w:rsid w:val="002B1700"/>
    <w:rsid w:val="002B1EAA"/>
    <w:rsid w:val="002B1EF8"/>
    <w:rsid w:val="002B20CC"/>
    <w:rsid w:val="002B21C7"/>
    <w:rsid w:val="002B25DB"/>
    <w:rsid w:val="002B284E"/>
    <w:rsid w:val="002B285A"/>
    <w:rsid w:val="002B29B3"/>
    <w:rsid w:val="002B2E51"/>
    <w:rsid w:val="002B2E5D"/>
    <w:rsid w:val="002B2F36"/>
    <w:rsid w:val="002B3141"/>
    <w:rsid w:val="002B3228"/>
    <w:rsid w:val="002B3318"/>
    <w:rsid w:val="002B3342"/>
    <w:rsid w:val="002B3438"/>
    <w:rsid w:val="002B3532"/>
    <w:rsid w:val="002B3571"/>
    <w:rsid w:val="002B36C4"/>
    <w:rsid w:val="002B37A2"/>
    <w:rsid w:val="002B380B"/>
    <w:rsid w:val="002B389E"/>
    <w:rsid w:val="002B38E4"/>
    <w:rsid w:val="002B3C62"/>
    <w:rsid w:val="002B3E1D"/>
    <w:rsid w:val="002B3E55"/>
    <w:rsid w:val="002B40E6"/>
    <w:rsid w:val="002B41B7"/>
    <w:rsid w:val="002B425C"/>
    <w:rsid w:val="002B4262"/>
    <w:rsid w:val="002B44C1"/>
    <w:rsid w:val="002B45DC"/>
    <w:rsid w:val="002B46EB"/>
    <w:rsid w:val="002B4988"/>
    <w:rsid w:val="002B4A39"/>
    <w:rsid w:val="002B4AC8"/>
    <w:rsid w:val="002B4CAF"/>
    <w:rsid w:val="002B4CB5"/>
    <w:rsid w:val="002B4CC2"/>
    <w:rsid w:val="002B4DE1"/>
    <w:rsid w:val="002B502D"/>
    <w:rsid w:val="002B5166"/>
    <w:rsid w:val="002B518F"/>
    <w:rsid w:val="002B531C"/>
    <w:rsid w:val="002B5632"/>
    <w:rsid w:val="002B597F"/>
    <w:rsid w:val="002B59FD"/>
    <w:rsid w:val="002B5CEC"/>
    <w:rsid w:val="002B5D2F"/>
    <w:rsid w:val="002B6164"/>
    <w:rsid w:val="002B6176"/>
    <w:rsid w:val="002B646E"/>
    <w:rsid w:val="002B6520"/>
    <w:rsid w:val="002B67FB"/>
    <w:rsid w:val="002B6876"/>
    <w:rsid w:val="002B6A46"/>
    <w:rsid w:val="002B6AE5"/>
    <w:rsid w:val="002B6C9C"/>
    <w:rsid w:val="002B6D50"/>
    <w:rsid w:val="002B6D6E"/>
    <w:rsid w:val="002B6F8C"/>
    <w:rsid w:val="002B7216"/>
    <w:rsid w:val="002B75F9"/>
    <w:rsid w:val="002B76C6"/>
    <w:rsid w:val="002B779B"/>
    <w:rsid w:val="002B7903"/>
    <w:rsid w:val="002B79C4"/>
    <w:rsid w:val="002B7A47"/>
    <w:rsid w:val="002B7B00"/>
    <w:rsid w:val="002B7B0E"/>
    <w:rsid w:val="002B7BF3"/>
    <w:rsid w:val="002B7C9A"/>
    <w:rsid w:val="002B7CFD"/>
    <w:rsid w:val="002B7F68"/>
    <w:rsid w:val="002C0062"/>
    <w:rsid w:val="002C02E5"/>
    <w:rsid w:val="002C067A"/>
    <w:rsid w:val="002C0957"/>
    <w:rsid w:val="002C09AB"/>
    <w:rsid w:val="002C0C93"/>
    <w:rsid w:val="002C0D61"/>
    <w:rsid w:val="002C0DAA"/>
    <w:rsid w:val="002C0EB8"/>
    <w:rsid w:val="002C0EF3"/>
    <w:rsid w:val="002C12E0"/>
    <w:rsid w:val="002C1363"/>
    <w:rsid w:val="002C1515"/>
    <w:rsid w:val="002C191E"/>
    <w:rsid w:val="002C234D"/>
    <w:rsid w:val="002C26A1"/>
    <w:rsid w:val="002C28A2"/>
    <w:rsid w:val="002C29BA"/>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B7F"/>
    <w:rsid w:val="002C4ECA"/>
    <w:rsid w:val="002C50AE"/>
    <w:rsid w:val="002C5272"/>
    <w:rsid w:val="002C52BB"/>
    <w:rsid w:val="002C5322"/>
    <w:rsid w:val="002C53C5"/>
    <w:rsid w:val="002C5624"/>
    <w:rsid w:val="002C5696"/>
    <w:rsid w:val="002C56DB"/>
    <w:rsid w:val="002C580F"/>
    <w:rsid w:val="002C5832"/>
    <w:rsid w:val="002C59F1"/>
    <w:rsid w:val="002C5A4C"/>
    <w:rsid w:val="002C5D7C"/>
    <w:rsid w:val="002C5F25"/>
    <w:rsid w:val="002C5F4A"/>
    <w:rsid w:val="002C62F5"/>
    <w:rsid w:val="002C6396"/>
    <w:rsid w:val="002C6639"/>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6D8"/>
    <w:rsid w:val="002D0993"/>
    <w:rsid w:val="002D09CD"/>
    <w:rsid w:val="002D0CA6"/>
    <w:rsid w:val="002D0D29"/>
    <w:rsid w:val="002D0EB2"/>
    <w:rsid w:val="002D1025"/>
    <w:rsid w:val="002D11D6"/>
    <w:rsid w:val="002D11EA"/>
    <w:rsid w:val="002D159C"/>
    <w:rsid w:val="002D19F8"/>
    <w:rsid w:val="002D1A90"/>
    <w:rsid w:val="002D1C06"/>
    <w:rsid w:val="002D20B0"/>
    <w:rsid w:val="002D2146"/>
    <w:rsid w:val="002D21DF"/>
    <w:rsid w:val="002D29D1"/>
    <w:rsid w:val="002D2ADC"/>
    <w:rsid w:val="002D2C1E"/>
    <w:rsid w:val="002D2EDC"/>
    <w:rsid w:val="002D32D9"/>
    <w:rsid w:val="002D3492"/>
    <w:rsid w:val="002D34C5"/>
    <w:rsid w:val="002D35AE"/>
    <w:rsid w:val="002D35E1"/>
    <w:rsid w:val="002D3617"/>
    <w:rsid w:val="002D36E6"/>
    <w:rsid w:val="002D38EE"/>
    <w:rsid w:val="002D3A4F"/>
    <w:rsid w:val="002D3C77"/>
    <w:rsid w:val="002D3CD6"/>
    <w:rsid w:val="002D3D98"/>
    <w:rsid w:val="002D3EC4"/>
    <w:rsid w:val="002D4101"/>
    <w:rsid w:val="002D42B7"/>
    <w:rsid w:val="002D4461"/>
    <w:rsid w:val="002D451D"/>
    <w:rsid w:val="002D480F"/>
    <w:rsid w:val="002D4A67"/>
    <w:rsid w:val="002D4A89"/>
    <w:rsid w:val="002D556A"/>
    <w:rsid w:val="002D5656"/>
    <w:rsid w:val="002D5B33"/>
    <w:rsid w:val="002D6234"/>
    <w:rsid w:val="002D6392"/>
    <w:rsid w:val="002D6402"/>
    <w:rsid w:val="002D6554"/>
    <w:rsid w:val="002D66E1"/>
    <w:rsid w:val="002D6B40"/>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DB8"/>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7F"/>
    <w:rsid w:val="002E2B06"/>
    <w:rsid w:val="002E2CE9"/>
    <w:rsid w:val="002E397A"/>
    <w:rsid w:val="002E3C75"/>
    <w:rsid w:val="002E3C7B"/>
    <w:rsid w:val="002E3DDA"/>
    <w:rsid w:val="002E4190"/>
    <w:rsid w:val="002E421F"/>
    <w:rsid w:val="002E4257"/>
    <w:rsid w:val="002E4723"/>
    <w:rsid w:val="002E4E06"/>
    <w:rsid w:val="002E51A3"/>
    <w:rsid w:val="002E54A1"/>
    <w:rsid w:val="002E5586"/>
    <w:rsid w:val="002E5875"/>
    <w:rsid w:val="002E58BE"/>
    <w:rsid w:val="002E59B7"/>
    <w:rsid w:val="002E5CB0"/>
    <w:rsid w:val="002E6163"/>
    <w:rsid w:val="002E622F"/>
    <w:rsid w:val="002E62DD"/>
    <w:rsid w:val="002E6383"/>
    <w:rsid w:val="002E6675"/>
    <w:rsid w:val="002E6E1F"/>
    <w:rsid w:val="002E6ED1"/>
    <w:rsid w:val="002E6ED6"/>
    <w:rsid w:val="002E6EDD"/>
    <w:rsid w:val="002E70A9"/>
    <w:rsid w:val="002E73BC"/>
    <w:rsid w:val="002E7454"/>
    <w:rsid w:val="002E7602"/>
    <w:rsid w:val="002E7999"/>
    <w:rsid w:val="002E7AB5"/>
    <w:rsid w:val="002E7BCC"/>
    <w:rsid w:val="002E7E30"/>
    <w:rsid w:val="002F004E"/>
    <w:rsid w:val="002F0092"/>
    <w:rsid w:val="002F0096"/>
    <w:rsid w:val="002F0332"/>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A6"/>
    <w:rsid w:val="002F2961"/>
    <w:rsid w:val="002F297F"/>
    <w:rsid w:val="002F2A16"/>
    <w:rsid w:val="002F2CA9"/>
    <w:rsid w:val="002F2D41"/>
    <w:rsid w:val="002F2D64"/>
    <w:rsid w:val="002F2D67"/>
    <w:rsid w:val="002F2EC0"/>
    <w:rsid w:val="002F2F01"/>
    <w:rsid w:val="002F3169"/>
    <w:rsid w:val="002F33A6"/>
    <w:rsid w:val="002F33EA"/>
    <w:rsid w:val="002F348E"/>
    <w:rsid w:val="002F350C"/>
    <w:rsid w:val="002F35E7"/>
    <w:rsid w:val="002F3602"/>
    <w:rsid w:val="002F37F2"/>
    <w:rsid w:val="002F3ADE"/>
    <w:rsid w:val="002F3EB3"/>
    <w:rsid w:val="002F3F1B"/>
    <w:rsid w:val="002F3F3E"/>
    <w:rsid w:val="002F41C0"/>
    <w:rsid w:val="002F4344"/>
    <w:rsid w:val="002F4435"/>
    <w:rsid w:val="002F44BD"/>
    <w:rsid w:val="002F44E6"/>
    <w:rsid w:val="002F453E"/>
    <w:rsid w:val="002F4A13"/>
    <w:rsid w:val="002F4E0A"/>
    <w:rsid w:val="002F53B9"/>
    <w:rsid w:val="002F5704"/>
    <w:rsid w:val="002F571E"/>
    <w:rsid w:val="002F5C02"/>
    <w:rsid w:val="002F5C35"/>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EEB"/>
    <w:rsid w:val="002F7F33"/>
    <w:rsid w:val="002F7F95"/>
    <w:rsid w:val="003003E9"/>
    <w:rsid w:val="00300607"/>
    <w:rsid w:val="00300BFC"/>
    <w:rsid w:val="00300CAB"/>
    <w:rsid w:val="00301052"/>
    <w:rsid w:val="00301186"/>
    <w:rsid w:val="003012F3"/>
    <w:rsid w:val="003013BA"/>
    <w:rsid w:val="003013BF"/>
    <w:rsid w:val="003013F3"/>
    <w:rsid w:val="00301620"/>
    <w:rsid w:val="00301668"/>
    <w:rsid w:val="003016CA"/>
    <w:rsid w:val="003016F0"/>
    <w:rsid w:val="003017ED"/>
    <w:rsid w:val="003018F5"/>
    <w:rsid w:val="00301EE9"/>
    <w:rsid w:val="00301FBC"/>
    <w:rsid w:val="003023CD"/>
    <w:rsid w:val="00302495"/>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D"/>
    <w:rsid w:val="00303AB7"/>
    <w:rsid w:val="00303E6A"/>
    <w:rsid w:val="00304335"/>
    <w:rsid w:val="0030441F"/>
    <w:rsid w:val="00304454"/>
    <w:rsid w:val="00304758"/>
    <w:rsid w:val="003047BF"/>
    <w:rsid w:val="0030490D"/>
    <w:rsid w:val="00304A48"/>
    <w:rsid w:val="00304AFE"/>
    <w:rsid w:val="00304B8A"/>
    <w:rsid w:val="00304F46"/>
    <w:rsid w:val="003052AB"/>
    <w:rsid w:val="003055EB"/>
    <w:rsid w:val="00305D0E"/>
    <w:rsid w:val="00305FDE"/>
    <w:rsid w:val="0030622C"/>
    <w:rsid w:val="003062C6"/>
    <w:rsid w:val="0030638F"/>
    <w:rsid w:val="003064E8"/>
    <w:rsid w:val="0030654D"/>
    <w:rsid w:val="00306557"/>
    <w:rsid w:val="00306709"/>
    <w:rsid w:val="00306DA5"/>
    <w:rsid w:val="00306E6D"/>
    <w:rsid w:val="00306FC9"/>
    <w:rsid w:val="0030730A"/>
    <w:rsid w:val="00307877"/>
    <w:rsid w:val="0030792F"/>
    <w:rsid w:val="00307A94"/>
    <w:rsid w:val="00307C74"/>
    <w:rsid w:val="0031003F"/>
    <w:rsid w:val="00310638"/>
    <w:rsid w:val="00310741"/>
    <w:rsid w:val="003113D7"/>
    <w:rsid w:val="003114A8"/>
    <w:rsid w:val="0031161C"/>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E8"/>
    <w:rsid w:val="003131E3"/>
    <w:rsid w:val="00313241"/>
    <w:rsid w:val="003136ED"/>
    <w:rsid w:val="00313D9D"/>
    <w:rsid w:val="003140A8"/>
    <w:rsid w:val="003141FD"/>
    <w:rsid w:val="00314235"/>
    <w:rsid w:val="00314291"/>
    <w:rsid w:val="0031481D"/>
    <w:rsid w:val="0031494D"/>
    <w:rsid w:val="0031495F"/>
    <w:rsid w:val="00314AAF"/>
    <w:rsid w:val="00314D15"/>
    <w:rsid w:val="00314D31"/>
    <w:rsid w:val="00315055"/>
    <w:rsid w:val="0031524C"/>
    <w:rsid w:val="003152F2"/>
    <w:rsid w:val="0031572F"/>
    <w:rsid w:val="00315D8D"/>
    <w:rsid w:val="00315D9A"/>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17642"/>
    <w:rsid w:val="00320187"/>
    <w:rsid w:val="00320305"/>
    <w:rsid w:val="003203EF"/>
    <w:rsid w:val="00320658"/>
    <w:rsid w:val="003207F3"/>
    <w:rsid w:val="00320E72"/>
    <w:rsid w:val="003213AC"/>
    <w:rsid w:val="00321898"/>
    <w:rsid w:val="003219FA"/>
    <w:rsid w:val="00321F0D"/>
    <w:rsid w:val="0032215D"/>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40F3"/>
    <w:rsid w:val="003242C9"/>
    <w:rsid w:val="003242D0"/>
    <w:rsid w:val="003242EB"/>
    <w:rsid w:val="0032463B"/>
    <w:rsid w:val="00324682"/>
    <w:rsid w:val="003249B8"/>
    <w:rsid w:val="00324CE3"/>
    <w:rsid w:val="00325398"/>
    <w:rsid w:val="00325455"/>
    <w:rsid w:val="00325751"/>
    <w:rsid w:val="00325A09"/>
    <w:rsid w:val="00325E88"/>
    <w:rsid w:val="00325FA6"/>
    <w:rsid w:val="0032601E"/>
    <w:rsid w:val="00326139"/>
    <w:rsid w:val="0032636C"/>
    <w:rsid w:val="003264D5"/>
    <w:rsid w:val="003265F3"/>
    <w:rsid w:val="0032669D"/>
    <w:rsid w:val="00326A80"/>
    <w:rsid w:val="00326B2E"/>
    <w:rsid w:val="00326FF0"/>
    <w:rsid w:val="00327291"/>
    <w:rsid w:val="003275CB"/>
    <w:rsid w:val="003278B6"/>
    <w:rsid w:val="00327A60"/>
    <w:rsid w:val="00327C96"/>
    <w:rsid w:val="00327F45"/>
    <w:rsid w:val="00327FE1"/>
    <w:rsid w:val="0033016A"/>
    <w:rsid w:val="003301B9"/>
    <w:rsid w:val="003301C3"/>
    <w:rsid w:val="00330B18"/>
    <w:rsid w:val="00330D71"/>
    <w:rsid w:val="00330E85"/>
    <w:rsid w:val="003315DC"/>
    <w:rsid w:val="00331758"/>
    <w:rsid w:val="00331C19"/>
    <w:rsid w:val="00331F7B"/>
    <w:rsid w:val="00332228"/>
    <w:rsid w:val="003322B4"/>
    <w:rsid w:val="003322E8"/>
    <w:rsid w:val="003325BF"/>
    <w:rsid w:val="003325EB"/>
    <w:rsid w:val="003325F4"/>
    <w:rsid w:val="003327DF"/>
    <w:rsid w:val="00332908"/>
    <w:rsid w:val="00332A0B"/>
    <w:rsid w:val="00332B3E"/>
    <w:rsid w:val="00332B90"/>
    <w:rsid w:val="00333157"/>
    <w:rsid w:val="00333502"/>
    <w:rsid w:val="00333541"/>
    <w:rsid w:val="00333553"/>
    <w:rsid w:val="00333681"/>
    <w:rsid w:val="003336C3"/>
    <w:rsid w:val="0033386E"/>
    <w:rsid w:val="00333914"/>
    <w:rsid w:val="003339D6"/>
    <w:rsid w:val="00333F89"/>
    <w:rsid w:val="00333FB1"/>
    <w:rsid w:val="00334249"/>
    <w:rsid w:val="003345BF"/>
    <w:rsid w:val="00334A3D"/>
    <w:rsid w:val="00334A6A"/>
    <w:rsid w:val="00334DD2"/>
    <w:rsid w:val="00334E9D"/>
    <w:rsid w:val="00334FC3"/>
    <w:rsid w:val="0033524C"/>
    <w:rsid w:val="003354C8"/>
    <w:rsid w:val="003355B0"/>
    <w:rsid w:val="00335800"/>
    <w:rsid w:val="00335849"/>
    <w:rsid w:val="003359B9"/>
    <w:rsid w:val="00335C2F"/>
    <w:rsid w:val="00335C95"/>
    <w:rsid w:val="003361C6"/>
    <w:rsid w:val="003361E6"/>
    <w:rsid w:val="00336526"/>
    <w:rsid w:val="003367F5"/>
    <w:rsid w:val="0033685F"/>
    <w:rsid w:val="00336993"/>
    <w:rsid w:val="00336A49"/>
    <w:rsid w:val="00336A66"/>
    <w:rsid w:val="00336AB3"/>
    <w:rsid w:val="00336BD1"/>
    <w:rsid w:val="00336E3F"/>
    <w:rsid w:val="00336F09"/>
    <w:rsid w:val="00337009"/>
    <w:rsid w:val="00337349"/>
    <w:rsid w:val="00337354"/>
    <w:rsid w:val="00337785"/>
    <w:rsid w:val="00337934"/>
    <w:rsid w:val="00337B5A"/>
    <w:rsid w:val="00337C7B"/>
    <w:rsid w:val="00337D1D"/>
    <w:rsid w:val="00337FC4"/>
    <w:rsid w:val="00340245"/>
    <w:rsid w:val="0034060B"/>
    <w:rsid w:val="0034065D"/>
    <w:rsid w:val="00340888"/>
    <w:rsid w:val="003409AD"/>
    <w:rsid w:val="00340B47"/>
    <w:rsid w:val="00341185"/>
    <w:rsid w:val="0034179B"/>
    <w:rsid w:val="00341A17"/>
    <w:rsid w:val="00341A8B"/>
    <w:rsid w:val="00341CFB"/>
    <w:rsid w:val="00341E81"/>
    <w:rsid w:val="003421D1"/>
    <w:rsid w:val="0034225D"/>
    <w:rsid w:val="003426DD"/>
    <w:rsid w:val="00342785"/>
    <w:rsid w:val="003428E8"/>
    <w:rsid w:val="00342B67"/>
    <w:rsid w:val="00342C1D"/>
    <w:rsid w:val="00343098"/>
    <w:rsid w:val="00343567"/>
    <w:rsid w:val="003435AD"/>
    <w:rsid w:val="0034386E"/>
    <w:rsid w:val="00343CCD"/>
    <w:rsid w:val="00343EB4"/>
    <w:rsid w:val="00343F1C"/>
    <w:rsid w:val="00344001"/>
    <w:rsid w:val="0034434F"/>
    <w:rsid w:val="003445C2"/>
    <w:rsid w:val="003445D6"/>
    <w:rsid w:val="00344893"/>
    <w:rsid w:val="00344CA2"/>
    <w:rsid w:val="00344E50"/>
    <w:rsid w:val="00345469"/>
    <w:rsid w:val="0034581F"/>
    <w:rsid w:val="003458A2"/>
    <w:rsid w:val="00345A10"/>
    <w:rsid w:val="00345F57"/>
    <w:rsid w:val="003460FF"/>
    <w:rsid w:val="00346218"/>
    <w:rsid w:val="00346850"/>
    <w:rsid w:val="003469F1"/>
    <w:rsid w:val="00346B32"/>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986"/>
    <w:rsid w:val="00351F38"/>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5A7"/>
    <w:rsid w:val="00355652"/>
    <w:rsid w:val="003557A6"/>
    <w:rsid w:val="003557E3"/>
    <w:rsid w:val="003558D7"/>
    <w:rsid w:val="00355968"/>
    <w:rsid w:val="003561DF"/>
    <w:rsid w:val="00356734"/>
    <w:rsid w:val="00356C97"/>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46B"/>
    <w:rsid w:val="00361558"/>
    <w:rsid w:val="003616CD"/>
    <w:rsid w:val="003617D6"/>
    <w:rsid w:val="00361A16"/>
    <w:rsid w:val="00361B86"/>
    <w:rsid w:val="00361D07"/>
    <w:rsid w:val="00361E23"/>
    <w:rsid w:val="00361F38"/>
    <w:rsid w:val="00361FDF"/>
    <w:rsid w:val="003622AC"/>
    <w:rsid w:val="00362303"/>
    <w:rsid w:val="0036251F"/>
    <w:rsid w:val="00362BEA"/>
    <w:rsid w:val="00362DBD"/>
    <w:rsid w:val="00362F4E"/>
    <w:rsid w:val="00362F81"/>
    <w:rsid w:val="0036303C"/>
    <w:rsid w:val="00363098"/>
    <w:rsid w:val="0036320F"/>
    <w:rsid w:val="00363307"/>
    <w:rsid w:val="0036371D"/>
    <w:rsid w:val="00363886"/>
    <w:rsid w:val="00363D1A"/>
    <w:rsid w:val="003640F7"/>
    <w:rsid w:val="003648EB"/>
    <w:rsid w:val="00364CF8"/>
    <w:rsid w:val="00364DBC"/>
    <w:rsid w:val="00364EE4"/>
    <w:rsid w:val="003650DB"/>
    <w:rsid w:val="003650E4"/>
    <w:rsid w:val="00365318"/>
    <w:rsid w:val="003655F7"/>
    <w:rsid w:val="00365666"/>
    <w:rsid w:val="0036579A"/>
    <w:rsid w:val="003657E7"/>
    <w:rsid w:val="00365B55"/>
    <w:rsid w:val="00365B63"/>
    <w:rsid w:val="00365C15"/>
    <w:rsid w:val="00366029"/>
    <w:rsid w:val="0036658D"/>
    <w:rsid w:val="00366A6D"/>
    <w:rsid w:val="00366CB0"/>
    <w:rsid w:val="00366DE1"/>
    <w:rsid w:val="00366E81"/>
    <w:rsid w:val="003671D8"/>
    <w:rsid w:val="00367792"/>
    <w:rsid w:val="0036786B"/>
    <w:rsid w:val="00367A78"/>
    <w:rsid w:val="00367FC6"/>
    <w:rsid w:val="00370001"/>
    <w:rsid w:val="00370045"/>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C3"/>
    <w:rsid w:val="003719D6"/>
    <w:rsid w:val="00371B5B"/>
    <w:rsid w:val="00371BB8"/>
    <w:rsid w:val="00371DE5"/>
    <w:rsid w:val="00371E3E"/>
    <w:rsid w:val="00371EF8"/>
    <w:rsid w:val="003720D2"/>
    <w:rsid w:val="00372165"/>
    <w:rsid w:val="003723CB"/>
    <w:rsid w:val="0037249A"/>
    <w:rsid w:val="003725BC"/>
    <w:rsid w:val="003729BC"/>
    <w:rsid w:val="00372A01"/>
    <w:rsid w:val="003732B2"/>
    <w:rsid w:val="00373340"/>
    <w:rsid w:val="00373643"/>
    <w:rsid w:val="0037380D"/>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74E"/>
    <w:rsid w:val="0037499B"/>
    <w:rsid w:val="003749F9"/>
    <w:rsid w:val="00374B83"/>
    <w:rsid w:val="00374C20"/>
    <w:rsid w:val="00375190"/>
    <w:rsid w:val="0037532B"/>
    <w:rsid w:val="00375399"/>
    <w:rsid w:val="003753DE"/>
    <w:rsid w:val="0037567C"/>
    <w:rsid w:val="003757F5"/>
    <w:rsid w:val="0037584F"/>
    <w:rsid w:val="00375AD0"/>
    <w:rsid w:val="00375BEE"/>
    <w:rsid w:val="00375C9D"/>
    <w:rsid w:val="00375F03"/>
    <w:rsid w:val="0037616A"/>
    <w:rsid w:val="0037621C"/>
    <w:rsid w:val="00376256"/>
    <w:rsid w:val="00376533"/>
    <w:rsid w:val="0037659D"/>
    <w:rsid w:val="003767B6"/>
    <w:rsid w:val="003769B4"/>
    <w:rsid w:val="00376A4B"/>
    <w:rsid w:val="00376B06"/>
    <w:rsid w:val="00376BFD"/>
    <w:rsid w:val="00376C7C"/>
    <w:rsid w:val="00376DE3"/>
    <w:rsid w:val="00376E80"/>
    <w:rsid w:val="00376FB2"/>
    <w:rsid w:val="003777EF"/>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130C"/>
    <w:rsid w:val="003818E3"/>
    <w:rsid w:val="00381AF0"/>
    <w:rsid w:val="00381F0C"/>
    <w:rsid w:val="003822BF"/>
    <w:rsid w:val="003823AA"/>
    <w:rsid w:val="0038240E"/>
    <w:rsid w:val="00382746"/>
    <w:rsid w:val="003827DA"/>
    <w:rsid w:val="0038296E"/>
    <w:rsid w:val="003829B4"/>
    <w:rsid w:val="00382B44"/>
    <w:rsid w:val="00382C3E"/>
    <w:rsid w:val="00382C85"/>
    <w:rsid w:val="00382E18"/>
    <w:rsid w:val="00382F72"/>
    <w:rsid w:val="00383201"/>
    <w:rsid w:val="0038369C"/>
    <w:rsid w:val="00383C6E"/>
    <w:rsid w:val="00383D65"/>
    <w:rsid w:val="00383D69"/>
    <w:rsid w:val="00383E08"/>
    <w:rsid w:val="00384368"/>
    <w:rsid w:val="00384595"/>
    <w:rsid w:val="00384959"/>
    <w:rsid w:val="00384B20"/>
    <w:rsid w:val="00384BD4"/>
    <w:rsid w:val="00384EB1"/>
    <w:rsid w:val="00384F33"/>
    <w:rsid w:val="0038520A"/>
    <w:rsid w:val="00385227"/>
    <w:rsid w:val="00385392"/>
    <w:rsid w:val="0038560D"/>
    <w:rsid w:val="00385718"/>
    <w:rsid w:val="00385720"/>
    <w:rsid w:val="00385BE1"/>
    <w:rsid w:val="00385C05"/>
    <w:rsid w:val="00385E0E"/>
    <w:rsid w:val="00385F94"/>
    <w:rsid w:val="0038613F"/>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BDB"/>
    <w:rsid w:val="00390C2B"/>
    <w:rsid w:val="00390E48"/>
    <w:rsid w:val="00390FD1"/>
    <w:rsid w:val="00391086"/>
    <w:rsid w:val="0039118A"/>
    <w:rsid w:val="0039132D"/>
    <w:rsid w:val="00391638"/>
    <w:rsid w:val="00391779"/>
    <w:rsid w:val="003917E3"/>
    <w:rsid w:val="00391CA6"/>
    <w:rsid w:val="003920CB"/>
    <w:rsid w:val="0039213A"/>
    <w:rsid w:val="003921D2"/>
    <w:rsid w:val="0039230A"/>
    <w:rsid w:val="00392327"/>
    <w:rsid w:val="00392353"/>
    <w:rsid w:val="0039239D"/>
    <w:rsid w:val="003924B2"/>
    <w:rsid w:val="003926DC"/>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702"/>
    <w:rsid w:val="0039477B"/>
    <w:rsid w:val="00394823"/>
    <w:rsid w:val="003948C0"/>
    <w:rsid w:val="00395373"/>
    <w:rsid w:val="003954B1"/>
    <w:rsid w:val="00395876"/>
    <w:rsid w:val="00395967"/>
    <w:rsid w:val="00395B6B"/>
    <w:rsid w:val="00395C2B"/>
    <w:rsid w:val="00395E4B"/>
    <w:rsid w:val="00395FF5"/>
    <w:rsid w:val="00396080"/>
    <w:rsid w:val="0039612B"/>
    <w:rsid w:val="0039619B"/>
    <w:rsid w:val="0039653A"/>
    <w:rsid w:val="00396ADA"/>
    <w:rsid w:val="00396EB5"/>
    <w:rsid w:val="003970A7"/>
    <w:rsid w:val="0039735D"/>
    <w:rsid w:val="00397502"/>
    <w:rsid w:val="00397515"/>
    <w:rsid w:val="00397608"/>
    <w:rsid w:val="00397999"/>
    <w:rsid w:val="00397BFE"/>
    <w:rsid w:val="003A03C1"/>
    <w:rsid w:val="003A0486"/>
    <w:rsid w:val="003A057E"/>
    <w:rsid w:val="003A0AB9"/>
    <w:rsid w:val="003A0AD7"/>
    <w:rsid w:val="003A0D5B"/>
    <w:rsid w:val="003A0FFF"/>
    <w:rsid w:val="003A10D5"/>
    <w:rsid w:val="003A1113"/>
    <w:rsid w:val="003A1452"/>
    <w:rsid w:val="003A150B"/>
    <w:rsid w:val="003A1813"/>
    <w:rsid w:val="003A18A4"/>
    <w:rsid w:val="003A197C"/>
    <w:rsid w:val="003A1A10"/>
    <w:rsid w:val="003A1BDA"/>
    <w:rsid w:val="003A1CFF"/>
    <w:rsid w:val="003A1D63"/>
    <w:rsid w:val="003A1DBA"/>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562"/>
    <w:rsid w:val="003A359E"/>
    <w:rsid w:val="003A368D"/>
    <w:rsid w:val="003A3799"/>
    <w:rsid w:val="003A38FB"/>
    <w:rsid w:val="003A3CC8"/>
    <w:rsid w:val="003A3E85"/>
    <w:rsid w:val="003A40D2"/>
    <w:rsid w:val="003A431B"/>
    <w:rsid w:val="003A4534"/>
    <w:rsid w:val="003A455D"/>
    <w:rsid w:val="003A4C0C"/>
    <w:rsid w:val="003A4E85"/>
    <w:rsid w:val="003A4F48"/>
    <w:rsid w:val="003A5178"/>
    <w:rsid w:val="003A51BE"/>
    <w:rsid w:val="003A55F8"/>
    <w:rsid w:val="003A562F"/>
    <w:rsid w:val="003A563E"/>
    <w:rsid w:val="003A5788"/>
    <w:rsid w:val="003A5964"/>
    <w:rsid w:val="003A5E83"/>
    <w:rsid w:val="003A5FBB"/>
    <w:rsid w:val="003A6294"/>
    <w:rsid w:val="003A63A6"/>
    <w:rsid w:val="003A6719"/>
    <w:rsid w:val="003A68AE"/>
    <w:rsid w:val="003A698E"/>
    <w:rsid w:val="003A6C3E"/>
    <w:rsid w:val="003A6FA2"/>
    <w:rsid w:val="003A719D"/>
    <w:rsid w:val="003A73EB"/>
    <w:rsid w:val="003A745D"/>
    <w:rsid w:val="003A753E"/>
    <w:rsid w:val="003A78C5"/>
    <w:rsid w:val="003A7AA7"/>
    <w:rsid w:val="003A7C53"/>
    <w:rsid w:val="003A7D05"/>
    <w:rsid w:val="003A7D64"/>
    <w:rsid w:val="003B00AE"/>
    <w:rsid w:val="003B0306"/>
    <w:rsid w:val="003B07AC"/>
    <w:rsid w:val="003B08E8"/>
    <w:rsid w:val="003B09EC"/>
    <w:rsid w:val="003B0B19"/>
    <w:rsid w:val="003B0CA6"/>
    <w:rsid w:val="003B0D96"/>
    <w:rsid w:val="003B0D9A"/>
    <w:rsid w:val="003B0E65"/>
    <w:rsid w:val="003B0FFF"/>
    <w:rsid w:val="003B121F"/>
    <w:rsid w:val="003B122B"/>
    <w:rsid w:val="003B126E"/>
    <w:rsid w:val="003B1A0F"/>
    <w:rsid w:val="003B1AC0"/>
    <w:rsid w:val="003B1D6F"/>
    <w:rsid w:val="003B1FE6"/>
    <w:rsid w:val="003B2035"/>
    <w:rsid w:val="003B21DA"/>
    <w:rsid w:val="003B223B"/>
    <w:rsid w:val="003B2502"/>
    <w:rsid w:val="003B264E"/>
    <w:rsid w:val="003B2664"/>
    <w:rsid w:val="003B27CC"/>
    <w:rsid w:val="003B2CF2"/>
    <w:rsid w:val="003B2F25"/>
    <w:rsid w:val="003B3002"/>
    <w:rsid w:val="003B30AB"/>
    <w:rsid w:val="003B3E4A"/>
    <w:rsid w:val="003B480C"/>
    <w:rsid w:val="003B486E"/>
    <w:rsid w:val="003B48F2"/>
    <w:rsid w:val="003B4956"/>
    <w:rsid w:val="003B497D"/>
    <w:rsid w:val="003B4AA6"/>
    <w:rsid w:val="003B4C86"/>
    <w:rsid w:val="003B4E1F"/>
    <w:rsid w:val="003B4E60"/>
    <w:rsid w:val="003B5128"/>
    <w:rsid w:val="003B5268"/>
    <w:rsid w:val="003B5445"/>
    <w:rsid w:val="003B5675"/>
    <w:rsid w:val="003B58A1"/>
    <w:rsid w:val="003B5B4D"/>
    <w:rsid w:val="003B60FB"/>
    <w:rsid w:val="003B6E88"/>
    <w:rsid w:val="003B6F92"/>
    <w:rsid w:val="003B7140"/>
    <w:rsid w:val="003B73D7"/>
    <w:rsid w:val="003B76B3"/>
    <w:rsid w:val="003B778E"/>
    <w:rsid w:val="003B7982"/>
    <w:rsid w:val="003B7A48"/>
    <w:rsid w:val="003B7B10"/>
    <w:rsid w:val="003B7C00"/>
    <w:rsid w:val="003B7C13"/>
    <w:rsid w:val="003B7FC9"/>
    <w:rsid w:val="003C00E2"/>
    <w:rsid w:val="003C02EC"/>
    <w:rsid w:val="003C04AB"/>
    <w:rsid w:val="003C04B8"/>
    <w:rsid w:val="003C052A"/>
    <w:rsid w:val="003C0915"/>
    <w:rsid w:val="003C0D7F"/>
    <w:rsid w:val="003C0E4E"/>
    <w:rsid w:val="003C12A0"/>
    <w:rsid w:val="003C1550"/>
    <w:rsid w:val="003C159E"/>
    <w:rsid w:val="003C169B"/>
    <w:rsid w:val="003C19B8"/>
    <w:rsid w:val="003C19E0"/>
    <w:rsid w:val="003C1CAF"/>
    <w:rsid w:val="003C23D6"/>
    <w:rsid w:val="003C23E4"/>
    <w:rsid w:val="003C2415"/>
    <w:rsid w:val="003C248A"/>
    <w:rsid w:val="003C264D"/>
    <w:rsid w:val="003C2A7B"/>
    <w:rsid w:val="003C2B3C"/>
    <w:rsid w:val="003C3747"/>
    <w:rsid w:val="003C3B28"/>
    <w:rsid w:val="003C40BF"/>
    <w:rsid w:val="003C412E"/>
    <w:rsid w:val="003C417A"/>
    <w:rsid w:val="003C43A6"/>
    <w:rsid w:val="003C43D1"/>
    <w:rsid w:val="003C4515"/>
    <w:rsid w:val="003C4E96"/>
    <w:rsid w:val="003C5054"/>
    <w:rsid w:val="003C5201"/>
    <w:rsid w:val="003C5276"/>
    <w:rsid w:val="003C54E8"/>
    <w:rsid w:val="003C5687"/>
    <w:rsid w:val="003C578D"/>
    <w:rsid w:val="003C5793"/>
    <w:rsid w:val="003C5C29"/>
    <w:rsid w:val="003C5E34"/>
    <w:rsid w:val="003C5FC9"/>
    <w:rsid w:val="003C6594"/>
    <w:rsid w:val="003C6625"/>
    <w:rsid w:val="003C66FA"/>
    <w:rsid w:val="003C67CC"/>
    <w:rsid w:val="003C6A20"/>
    <w:rsid w:val="003C6C32"/>
    <w:rsid w:val="003C7242"/>
    <w:rsid w:val="003C7310"/>
    <w:rsid w:val="003C754C"/>
    <w:rsid w:val="003C7838"/>
    <w:rsid w:val="003C7872"/>
    <w:rsid w:val="003C7ABC"/>
    <w:rsid w:val="003C7B69"/>
    <w:rsid w:val="003C7D93"/>
    <w:rsid w:val="003D0071"/>
    <w:rsid w:val="003D0106"/>
    <w:rsid w:val="003D03B4"/>
    <w:rsid w:val="003D0D10"/>
    <w:rsid w:val="003D11E9"/>
    <w:rsid w:val="003D1254"/>
    <w:rsid w:val="003D1397"/>
    <w:rsid w:val="003D13BC"/>
    <w:rsid w:val="003D1419"/>
    <w:rsid w:val="003D17A4"/>
    <w:rsid w:val="003D1835"/>
    <w:rsid w:val="003D18E7"/>
    <w:rsid w:val="003D1C9B"/>
    <w:rsid w:val="003D1CAC"/>
    <w:rsid w:val="003D1DAB"/>
    <w:rsid w:val="003D1F1E"/>
    <w:rsid w:val="003D1FF0"/>
    <w:rsid w:val="003D20F2"/>
    <w:rsid w:val="003D222C"/>
    <w:rsid w:val="003D26A9"/>
    <w:rsid w:val="003D288A"/>
    <w:rsid w:val="003D28A5"/>
    <w:rsid w:val="003D28EC"/>
    <w:rsid w:val="003D2BD9"/>
    <w:rsid w:val="003D2D25"/>
    <w:rsid w:val="003D2EE8"/>
    <w:rsid w:val="003D326F"/>
    <w:rsid w:val="003D338E"/>
    <w:rsid w:val="003D33AC"/>
    <w:rsid w:val="003D33FA"/>
    <w:rsid w:val="003D3408"/>
    <w:rsid w:val="003D3437"/>
    <w:rsid w:val="003D3514"/>
    <w:rsid w:val="003D3707"/>
    <w:rsid w:val="003D38C7"/>
    <w:rsid w:val="003D3981"/>
    <w:rsid w:val="003D3CD3"/>
    <w:rsid w:val="003D3CF9"/>
    <w:rsid w:val="003D40F5"/>
    <w:rsid w:val="003D414E"/>
    <w:rsid w:val="003D423A"/>
    <w:rsid w:val="003D42C0"/>
    <w:rsid w:val="003D43D3"/>
    <w:rsid w:val="003D488D"/>
    <w:rsid w:val="003D4906"/>
    <w:rsid w:val="003D4A70"/>
    <w:rsid w:val="003D4A82"/>
    <w:rsid w:val="003D4B0B"/>
    <w:rsid w:val="003D4BAB"/>
    <w:rsid w:val="003D4E5F"/>
    <w:rsid w:val="003D51E5"/>
    <w:rsid w:val="003D52F9"/>
    <w:rsid w:val="003D575F"/>
    <w:rsid w:val="003D5875"/>
    <w:rsid w:val="003D58D6"/>
    <w:rsid w:val="003D59FB"/>
    <w:rsid w:val="003D5ABC"/>
    <w:rsid w:val="003D5AE6"/>
    <w:rsid w:val="003D5DEC"/>
    <w:rsid w:val="003D5FE3"/>
    <w:rsid w:val="003D6498"/>
    <w:rsid w:val="003D6899"/>
    <w:rsid w:val="003D6B8C"/>
    <w:rsid w:val="003D6C7D"/>
    <w:rsid w:val="003D7368"/>
    <w:rsid w:val="003D7589"/>
    <w:rsid w:val="003D775F"/>
    <w:rsid w:val="003D7A34"/>
    <w:rsid w:val="003D7A93"/>
    <w:rsid w:val="003D7AB7"/>
    <w:rsid w:val="003D7BA7"/>
    <w:rsid w:val="003E0153"/>
    <w:rsid w:val="003E051D"/>
    <w:rsid w:val="003E05FE"/>
    <w:rsid w:val="003E0645"/>
    <w:rsid w:val="003E06E1"/>
    <w:rsid w:val="003E0902"/>
    <w:rsid w:val="003E118D"/>
    <w:rsid w:val="003E119D"/>
    <w:rsid w:val="003E1223"/>
    <w:rsid w:val="003E1228"/>
    <w:rsid w:val="003E12C2"/>
    <w:rsid w:val="003E135D"/>
    <w:rsid w:val="003E1520"/>
    <w:rsid w:val="003E17E4"/>
    <w:rsid w:val="003E1DC8"/>
    <w:rsid w:val="003E21A8"/>
    <w:rsid w:val="003E22EF"/>
    <w:rsid w:val="003E281C"/>
    <w:rsid w:val="003E292E"/>
    <w:rsid w:val="003E2A2E"/>
    <w:rsid w:val="003E2B3B"/>
    <w:rsid w:val="003E2B91"/>
    <w:rsid w:val="003E2D06"/>
    <w:rsid w:val="003E2F5F"/>
    <w:rsid w:val="003E2F7A"/>
    <w:rsid w:val="003E30A6"/>
    <w:rsid w:val="003E3327"/>
    <w:rsid w:val="003E3356"/>
    <w:rsid w:val="003E3366"/>
    <w:rsid w:val="003E36B2"/>
    <w:rsid w:val="003E39AD"/>
    <w:rsid w:val="003E3AC3"/>
    <w:rsid w:val="003E3AFB"/>
    <w:rsid w:val="003E3BA5"/>
    <w:rsid w:val="003E3C9E"/>
    <w:rsid w:val="003E3F63"/>
    <w:rsid w:val="003E4526"/>
    <w:rsid w:val="003E4725"/>
    <w:rsid w:val="003E4766"/>
    <w:rsid w:val="003E4837"/>
    <w:rsid w:val="003E4893"/>
    <w:rsid w:val="003E49A0"/>
    <w:rsid w:val="003E4AE1"/>
    <w:rsid w:val="003E4B27"/>
    <w:rsid w:val="003E4BE9"/>
    <w:rsid w:val="003E50C8"/>
    <w:rsid w:val="003E5628"/>
    <w:rsid w:val="003E56E1"/>
    <w:rsid w:val="003E5C42"/>
    <w:rsid w:val="003E5E13"/>
    <w:rsid w:val="003E5E2A"/>
    <w:rsid w:val="003E63C1"/>
    <w:rsid w:val="003E6569"/>
    <w:rsid w:val="003E6589"/>
    <w:rsid w:val="003E6BE1"/>
    <w:rsid w:val="003E703A"/>
    <w:rsid w:val="003E7118"/>
    <w:rsid w:val="003E723A"/>
    <w:rsid w:val="003E738E"/>
    <w:rsid w:val="003E744C"/>
    <w:rsid w:val="003E75FC"/>
    <w:rsid w:val="003E778B"/>
    <w:rsid w:val="003E78C2"/>
    <w:rsid w:val="003E792A"/>
    <w:rsid w:val="003E7BD4"/>
    <w:rsid w:val="003F0228"/>
    <w:rsid w:val="003F022F"/>
    <w:rsid w:val="003F0461"/>
    <w:rsid w:val="003F071F"/>
    <w:rsid w:val="003F0781"/>
    <w:rsid w:val="003F07E2"/>
    <w:rsid w:val="003F0A92"/>
    <w:rsid w:val="003F0C88"/>
    <w:rsid w:val="003F0D04"/>
    <w:rsid w:val="003F122D"/>
    <w:rsid w:val="003F14D8"/>
    <w:rsid w:val="003F158D"/>
    <w:rsid w:val="003F1718"/>
    <w:rsid w:val="003F2191"/>
    <w:rsid w:val="003F21E4"/>
    <w:rsid w:val="003F26A3"/>
    <w:rsid w:val="003F2AAB"/>
    <w:rsid w:val="003F2BC0"/>
    <w:rsid w:val="003F2D0B"/>
    <w:rsid w:val="003F2E4F"/>
    <w:rsid w:val="003F306A"/>
    <w:rsid w:val="003F3126"/>
    <w:rsid w:val="003F31C1"/>
    <w:rsid w:val="003F3204"/>
    <w:rsid w:val="003F34D0"/>
    <w:rsid w:val="003F3583"/>
    <w:rsid w:val="003F35C9"/>
    <w:rsid w:val="003F36A6"/>
    <w:rsid w:val="003F3847"/>
    <w:rsid w:val="003F3888"/>
    <w:rsid w:val="003F3DC8"/>
    <w:rsid w:val="003F3F77"/>
    <w:rsid w:val="003F4362"/>
    <w:rsid w:val="003F479B"/>
    <w:rsid w:val="003F4827"/>
    <w:rsid w:val="003F4839"/>
    <w:rsid w:val="003F4843"/>
    <w:rsid w:val="003F4950"/>
    <w:rsid w:val="003F4AF4"/>
    <w:rsid w:val="003F4BC8"/>
    <w:rsid w:val="003F4E62"/>
    <w:rsid w:val="003F4F42"/>
    <w:rsid w:val="003F5425"/>
    <w:rsid w:val="003F5537"/>
    <w:rsid w:val="003F55BE"/>
    <w:rsid w:val="003F583E"/>
    <w:rsid w:val="003F5CFF"/>
    <w:rsid w:val="003F6044"/>
    <w:rsid w:val="003F6088"/>
    <w:rsid w:val="003F6454"/>
    <w:rsid w:val="003F66BB"/>
    <w:rsid w:val="003F6817"/>
    <w:rsid w:val="003F6A80"/>
    <w:rsid w:val="003F6BA7"/>
    <w:rsid w:val="003F6D84"/>
    <w:rsid w:val="003F6E46"/>
    <w:rsid w:val="003F6E64"/>
    <w:rsid w:val="003F6E8E"/>
    <w:rsid w:val="003F6EC1"/>
    <w:rsid w:val="003F73F7"/>
    <w:rsid w:val="003F7536"/>
    <w:rsid w:val="003F78D1"/>
    <w:rsid w:val="003F7D52"/>
    <w:rsid w:val="003F7EAC"/>
    <w:rsid w:val="00400054"/>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613"/>
    <w:rsid w:val="004017EC"/>
    <w:rsid w:val="00401BF6"/>
    <w:rsid w:val="00401D93"/>
    <w:rsid w:val="00402436"/>
    <w:rsid w:val="004029DF"/>
    <w:rsid w:val="004029EC"/>
    <w:rsid w:val="00402ABC"/>
    <w:rsid w:val="00402B36"/>
    <w:rsid w:val="00402FE5"/>
    <w:rsid w:val="0040303D"/>
    <w:rsid w:val="004031A5"/>
    <w:rsid w:val="004032E4"/>
    <w:rsid w:val="00403574"/>
    <w:rsid w:val="004037EE"/>
    <w:rsid w:val="00403820"/>
    <w:rsid w:val="00403C92"/>
    <w:rsid w:val="00403D62"/>
    <w:rsid w:val="00403EDA"/>
    <w:rsid w:val="004040A9"/>
    <w:rsid w:val="00404198"/>
    <w:rsid w:val="004043B8"/>
    <w:rsid w:val="0040448E"/>
    <w:rsid w:val="00404538"/>
    <w:rsid w:val="0040453F"/>
    <w:rsid w:val="00404553"/>
    <w:rsid w:val="004046A0"/>
    <w:rsid w:val="004046AC"/>
    <w:rsid w:val="00404F39"/>
    <w:rsid w:val="004050B1"/>
    <w:rsid w:val="004051B4"/>
    <w:rsid w:val="00405368"/>
    <w:rsid w:val="0040567F"/>
    <w:rsid w:val="004056C1"/>
    <w:rsid w:val="00405789"/>
    <w:rsid w:val="00405940"/>
    <w:rsid w:val="00405BB1"/>
    <w:rsid w:val="00405C17"/>
    <w:rsid w:val="00405C81"/>
    <w:rsid w:val="00405CFC"/>
    <w:rsid w:val="0040667F"/>
    <w:rsid w:val="004066DC"/>
    <w:rsid w:val="004067F2"/>
    <w:rsid w:val="004068D6"/>
    <w:rsid w:val="00406C82"/>
    <w:rsid w:val="00406D6D"/>
    <w:rsid w:val="00406DB3"/>
    <w:rsid w:val="004072D4"/>
    <w:rsid w:val="0040762C"/>
    <w:rsid w:val="004076C9"/>
    <w:rsid w:val="00407728"/>
    <w:rsid w:val="00407796"/>
    <w:rsid w:val="00407A48"/>
    <w:rsid w:val="00407B86"/>
    <w:rsid w:val="004100CC"/>
    <w:rsid w:val="004100F9"/>
    <w:rsid w:val="00410544"/>
    <w:rsid w:val="0041090A"/>
    <w:rsid w:val="004109BA"/>
    <w:rsid w:val="00410B05"/>
    <w:rsid w:val="00410C20"/>
    <w:rsid w:val="00410E28"/>
    <w:rsid w:val="004111AB"/>
    <w:rsid w:val="004112C2"/>
    <w:rsid w:val="0041152A"/>
    <w:rsid w:val="004117C1"/>
    <w:rsid w:val="00411897"/>
    <w:rsid w:val="004118CE"/>
    <w:rsid w:val="004119FE"/>
    <w:rsid w:val="00411C38"/>
    <w:rsid w:val="00411E61"/>
    <w:rsid w:val="00411EE0"/>
    <w:rsid w:val="0041230E"/>
    <w:rsid w:val="00412715"/>
    <w:rsid w:val="00412768"/>
    <w:rsid w:val="00412CAE"/>
    <w:rsid w:val="0041333F"/>
    <w:rsid w:val="00413352"/>
    <w:rsid w:val="0041350D"/>
    <w:rsid w:val="00413546"/>
    <w:rsid w:val="00413562"/>
    <w:rsid w:val="00413AD8"/>
    <w:rsid w:val="00413FF3"/>
    <w:rsid w:val="0041402C"/>
    <w:rsid w:val="00414511"/>
    <w:rsid w:val="00414A6F"/>
    <w:rsid w:val="00414AEE"/>
    <w:rsid w:val="00414C26"/>
    <w:rsid w:val="00415122"/>
    <w:rsid w:val="004153BF"/>
    <w:rsid w:val="0041569A"/>
    <w:rsid w:val="004159FC"/>
    <w:rsid w:val="00415A6D"/>
    <w:rsid w:val="00415A87"/>
    <w:rsid w:val="0041661F"/>
    <w:rsid w:val="00416640"/>
    <w:rsid w:val="00416669"/>
    <w:rsid w:val="004167EC"/>
    <w:rsid w:val="004167F8"/>
    <w:rsid w:val="0041689B"/>
    <w:rsid w:val="00416D95"/>
    <w:rsid w:val="00416DCB"/>
    <w:rsid w:val="0041700F"/>
    <w:rsid w:val="00417323"/>
    <w:rsid w:val="0041744C"/>
    <w:rsid w:val="0041748D"/>
    <w:rsid w:val="00417A97"/>
    <w:rsid w:val="00417CB1"/>
    <w:rsid w:val="00417E6C"/>
    <w:rsid w:val="004201A9"/>
    <w:rsid w:val="00420342"/>
    <w:rsid w:val="0042035E"/>
    <w:rsid w:val="0042059F"/>
    <w:rsid w:val="0042075F"/>
    <w:rsid w:val="00420950"/>
    <w:rsid w:val="00420A3C"/>
    <w:rsid w:val="00420A7F"/>
    <w:rsid w:val="00420C49"/>
    <w:rsid w:val="00420DA9"/>
    <w:rsid w:val="00420DC6"/>
    <w:rsid w:val="00420F35"/>
    <w:rsid w:val="00420FE6"/>
    <w:rsid w:val="0042128D"/>
    <w:rsid w:val="00421484"/>
    <w:rsid w:val="004214DB"/>
    <w:rsid w:val="004215B8"/>
    <w:rsid w:val="00421BFB"/>
    <w:rsid w:val="00421D59"/>
    <w:rsid w:val="00421EB3"/>
    <w:rsid w:val="00422424"/>
    <w:rsid w:val="004226C2"/>
    <w:rsid w:val="004226E7"/>
    <w:rsid w:val="0042301A"/>
    <w:rsid w:val="00423170"/>
    <w:rsid w:val="004232CD"/>
    <w:rsid w:val="00423597"/>
    <w:rsid w:val="00423600"/>
    <w:rsid w:val="0042374E"/>
    <w:rsid w:val="004237FD"/>
    <w:rsid w:val="00423886"/>
    <w:rsid w:val="004239D8"/>
    <w:rsid w:val="00423B69"/>
    <w:rsid w:val="00423DA1"/>
    <w:rsid w:val="00424063"/>
    <w:rsid w:val="00424126"/>
    <w:rsid w:val="004241FD"/>
    <w:rsid w:val="004244C4"/>
    <w:rsid w:val="00424855"/>
    <w:rsid w:val="00424975"/>
    <w:rsid w:val="00424A5B"/>
    <w:rsid w:val="00424E92"/>
    <w:rsid w:val="004250B7"/>
    <w:rsid w:val="0042512C"/>
    <w:rsid w:val="00425136"/>
    <w:rsid w:val="00425318"/>
    <w:rsid w:val="00425693"/>
    <w:rsid w:val="004257F4"/>
    <w:rsid w:val="00425A07"/>
    <w:rsid w:val="00425A93"/>
    <w:rsid w:val="00425AF3"/>
    <w:rsid w:val="00425C32"/>
    <w:rsid w:val="00425E34"/>
    <w:rsid w:val="0042603B"/>
    <w:rsid w:val="0042619A"/>
    <w:rsid w:val="00426255"/>
    <w:rsid w:val="004262D9"/>
    <w:rsid w:val="004263FE"/>
    <w:rsid w:val="0042666D"/>
    <w:rsid w:val="004266D1"/>
    <w:rsid w:val="00426707"/>
    <w:rsid w:val="0042670D"/>
    <w:rsid w:val="00426B64"/>
    <w:rsid w:val="00426D3F"/>
    <w:rsid w:val="00426F88"/>
    <w:rsid w:val="004270A2"/>
    <w:rsid w:val="004272F1"/>
    <w:rsid w:val="00427411"/>
    <w:rsid w:val="004279F1"/>
    <w:rsid w:val="00427BC9"/>
    <w:rsid w:val="00427EB3"/>
    <w:rsid w:val="00430090"/>
    <w:rsid w:val="004300DC"/>
    <w:rsid w:val="004302BA"/>
    <w:rsid w:val="004304C5"/>
    <w:rsid w:val="004305CC"/>
    <w:rsid w:val="004306C8"/>
    <w:rsid w:val="004306F8"/>
    <w:rsid w:val="00430815"/>
    <w:rsid w:val="00430BC1"/>
    <w:rsid w:val="00430BDB"/>
    <w:rsid w:val="004310ED"/>
    <w:rsid w:val="00431249"/>
    <w:rsid w:val="004313E7"/>
    <w:rsid w:val="0043176C"/>
    <w:rsid w:val="00431A06"/>
    <w:rsid w:val="00431EB8"/>
    <w:rsid w:val="00431FE3"/>
    <w:rsid w:val="00432295"/>
    <w:rsid w:val="004322D9"/>
    <w:rsid w:val="004323E2"/>
    <w:rsid w:val="0043266A"/>
    <w:rsid w:val="00432BDB"/>
    <w:rsid w:val="00432C5E"/>
    <w:rsid w:val="00432DDF"/>
    <w:rsid w:val="00432EBF"/>
    <w:rsid w:val="00432F69"/>
    <w:rsid w:val="00433018"/>
    <w:rsid w:val="00433489"/>
    <w:rsid w:val="004335E9"/>
    <w:rsid w:val="00433602"/>
    <w:rsid w:val="004336C1"/>
    <w:rsid w:val="004336DF"/>
    <w:rsid w:val="00433978"/>
    <w:rsid w:val="00433B4F"/>
    <w:rsid w:val="00433CDD"/>
    <w:rsid w:val="00433E0B"/>
    <w:rsid w:val="0043405B"/>
    <w:rsid w:val="004340E0"/>
    <w:rsid w:val="004344B7"/>
    <w:rsid w:val="00434840"/>
    <w:rsid w:val="004348A3"/>
    <w:rsid w:val="0043498E"/>
    <w:rsid w:val="004349BF"/>
    <w:rsid w:val="004349CA"/>
    <w:rsid w:val="00434D74"/>
    <w:rsid w:val="0043505E"/>
    <w:rsid w:val="00435337"/>
    <w:rsid w:val="004353C7"/>
    <w:rsid w:val="00435536"/>
    <w:rsid w:val="0043555B"/>
    <w:rsid w:val="00435890"/>
    <w:rsid w:val="00435F99"/>
    <w:rsid w:val="00436013"/>
    <w:rsid w:val="004364B0"/>
    <w:rsid w:val="0043666B"/>
    <w:rsid w:val="004369BA"/>
    <w:rsid w:val="00436B53"/>
    <w:rsid w:val="00436BFB"/>
    <w:rsid w:val="00437070"/>
    <w:rsid w:val="00437083"/>
    <w:rsid w:val="004370F8"/>
    <w:rsid w:val="004376DC"/>
    <w:rsid w:val="0043770F"/>
    <w:rsid w:val="0043793E"/>
    <w:rsid w:val="00437AB3"/>
    <w:rsid w:val="00437ABC"/>
    <w:rsid w:val="00437CDD"/>
    <w:rsid w:val="00437D0E"/>
    <w:rsid w:val="00437E2E"/>
    <w:rsid w:val="00440015"/>
    <w:rsid w:val="004406C1"/>
    <w:rsid w:val="004408D1"/>
    <w:rsid w:val="00440DD7"/>
    <w:rsid w:val="00440DED"/>
    <w:rsid w:val="00440EC0"/>
    <w:rsid w:val="00440F5D"/>
    <w:rsid w:val="00441030"/>
    <w:rsid w:val="00441405"/>
    <w:rsid w:val="00441490"/>
    <w:rsid w:val="00441AAC"/>
    <w:rsid w:val="00441B3D"/>
    <w:rsid w:val="00441BFB"/>
    <w:rsid w:val="004421E8"/>
    <w:rsid w:val="00442243"/>
    <w:rsid w:val="004423DE"/>
    <w:rsid w:val="004423F4"/>
    <w:rsid w:val="0044240E"/>
    <w:rsid w:val="00442543"/>
    <w:rsid w:val="00442A84"/>
    <w:rsid w:val="00442BC6"/>
    <w:rsid w:val="00442FAE"/>
    <w:rsid w:val="004430BB"/>
    <w:rsid w:val="004431A7"/>
    <w:rsid w:val="00443636"/>
    <w:rsid w:val="0044365F"/>
    <w:rsid w:val="0044383B"/>
    <w:rsid w:val="00443B3F"/>
    <w:rsid w:val="00443B9B"/>
    <w:rsid w:val="00443BD1"/>
    <w:rsid w:val="00443CE7"/>
    <w:rsid w:val="0044403F"/>
    <w:rsid w:val="0044440B"/>
    <w:rsid w:val="0044472F"/>
    <w:rsid w:val="00444783"/>
    <w:rsid w:val="00444C59"/>
    <w:rsid w:val="00444ED1"/>
    <w:rsid w:val="00444FC6"/>
    <w:rsid w:val="0044506C"/>
    <w:rsid w:val="004452C3"/>
    <w:rsid w:val="00445422"/>
    <w:rsid w:val="0044563B"/>
    <w:rsid w:val="004457C8"/>
    <w:rsid w:val="004457EE"/>
    <w:rsid w:val="00445971"/>
    <w:rsid w:val="00445BC2"/>
    <w:rsid w:val="00445C65"/>
    <w:rsid w:val="00445C71"/>
    <w:rsid w:val="00445F8D"/>
    <w:rsid w:val="00446100"/>
    <w:rsid w:val="004461DB"/>
    <w:rsid w:val="00446335"/>
    <w:rsid w:val="00446497"/>
    <w:rsid w:val="004464FA"/>
    <w:rsid w:val="004466E4"/>
    <w:rsid w:val="00446AB1"/>
    <w:rsid w:val="00446B58"/>
    <w:rsid w:val="00446C69"/>
    <w:rsid w:val="00446E59"/>
    <w:rsid w:val="004473B1"/>
    <w:rsid w:val="00447477"/>
    <w:rsid w:val="00447CFF"/>
    <w:rsid w:val="00447D56"/>
    <w:rsid w:val="00447E53"/>
    <w:rsid w:val="00447EB6"/>
    <w:rsid w:val="00447F16"/>
    <w:rsid w:val="00447F20"/>
    <w:rsid w:val="004504F0"/>
    <w:rsid w:val="004504FE"/>
    <w:rsid w:val="00450D50"/>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8"/>
    <w:rsid w:val="00452F19"/>
    <w:rsid w:val="00453050"/>
    <w:rsid w:val="00453126"/>
    <w:rsid w:val="004531F7"/>
    <w:rsid w:val="00453259"/>
    <w:rsid w:val="00453E11"/>
    <w:rsid w:val="00453E33"/>
    <w:rsid w:val="00454330"/>
    <w:rsid w:val="00454349"/>
    <w:rsid w:val="0045438B"/>
    <w:rsid w:val="0045446D"/>
    <w:rsid w:val="004546D5"/>
    <w:rsid w:val="004546EB"/>
    <w:rsid w:val="0045475C"/>
    <w:rsid w:val="004548F0"/>
    <w:rsid w:val="00454DA3"/>
    <w:rsid w:val="00455273"/>
    <w:rsid w:val="004553A0"/>
    <w:rsid w:val="004553BC"/>
    <w:rsid w:val="00455458"/>
    <w:rsid w:val="0045593F"/>
    <w:rsid w:val="00455A69"/>
    <w:rsid w:val="00455D66"/>
    <w:rsid w:val="00455F7A"/>
    <w:rsid w:val="00455FBB"/>
    <w:rsid w:val="004560F5"/>
    <w:rsid w:val="004564C9"/>
    <w:rsid w:val="00456556"/>
    <w:rsid w:val="00456AA0"/>
    <w:rsid w:val="00456C34"/>
    <w:rsid w:val="00456DC5"/>
    <w:rsid w:val="00456E5E"/>
    <w:rsid w:val="00456E6D"/>
    <w:rsid w:val="0045701E"/>
    <w:rsid w:val="00457393"/>
    <w:rsid w:val="0045745E"/>
    <w:rsid w:val="00457560"/>
    <w:rsid w:val="0045782B"/>
    <w:rsid w:val="00457BD8"/>
    <w:rsid w:val="00457D39"/>
    <w:rsid w:val="00457F6E"/>
    <w:rsid w:val="00457F79"/>
    <w:rsid w:val="00460043"/>
    <w:rsid w:val="00460089"/>
    <w:rsid w:val="00460158"/>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C10"/>
    <w:rsid w:val="00462F1C"/>
    <w:rsid w:val="00462F92"/>
    <w:rsid w:val="004632F6"/>
    <w:rsid w:val="0046349B"/>
    <w:rsid w:val="00463507"/>
    <w:rsid w:val="004635E0"/>
    <w:rsid w:val="004637A0"/>
    <w:rsid w:val="004638F4"/>
    <w:rsid w:val="00463A6B"/>
    <w:rsid w:val="00463E7C"/>
    <w:rsid w:val="00463F8B"/>
    <w:rsid w:val="00463F8F"/>
    <w:rsid w:val="00463FFE"/>
    <w:rsid w:val="004640D7"/>
    <w:rsid w:val="0046415A"/>
    <w:rsid w:val="004641E8"/>
    <w:rsid w:val="0046420E"/>
    <w:rsid w:val="00464352"/>
    <w:rsid w:val="004646E9"/>
    <w:rsid w:val="0046488C"/>
    <w:rsid w:val="0046489E"/>
    <w:rsid w:val="00464A4E"/>
    <w:rsid w:val="00464AC3"/>
    <w:rsid w:val="00464C7D"/>
    <w:rsid w:val="00464CE2"/>
    <w:rsid w:val="00464FA8"/>
    <w:rsid w:val="00465122"/>
    <w:rsid w:val="00465359"/>
    <w:rsid w:val="0046546D"/>
    <w:rsid w:val="0046551D"/>
    <w:rsid w:val="00465551"/>
    <w:rsid w:val="004655AA"/>
    <w:rsid w:val="004657B2"/>
    <w:rsid w:val="004658C5"/>
    <w:rsid w:val="00465A5B"/>
    <w:rsid w:val="004660F6"/>
    <w:rsid w:val="00466269"/>
    <w:rsid w:val="004664F0"/>
    <w:rsid w:val="00466608"/>
    <w:rsid w:val="0046667A"/>
    <w:rsid w:val="00466735"/>
    <w:rsid w:val="0046698F"/>
    <w:rsid w:val="00466FCB"/>
    <w:rsid w:val="004671AE"/>
    <w:rsid w:val="004672B1"/>
    <w:rsid w:val="004672EF"/>
    <w:rsid w:val="0046732E"/>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2016"/>
    <w:rsid w:val="00472039"/>
    <w:rsid w:val="0047209C"/>
    <w:rsid w:val="004720D5"/>
    <w:rsid w:val="00472355"/>
    <w:rsid w:val="00472384"/>
    <w:rsid w:val="00472423"/>
    <w:rsid w:val="004728DE"/>
    <w:rsid w:val="0047297D"/>
    <w:rsid w:val="00472C48"/>
    <w:rsid w:val="00472EB7"/>
    <w:rsid w:val="004730D6"/>
    <w:rsid w:val="0047351A"/>
    <w:rsid w:val="004736AF"/>
    <w:rsid w:val="00473B52"/>
    <w:rsid w:val="00473BCA"/>
    <w:rsid w:val="00473E75"/>
    <w:rsid w:val="00473F03"/>
    <w:rsid w:val="00473F20"/>
    <w:rsid w:val="00473F99"/>
    <w:rsid w:val="00474059"/>
    <w:rsid w:val="00474153"/>
    <w:rsid w:val="004741B0"/>
    <w:rsid w:val="004741ED"/>
    <w:rsid w:val="00474200"/>
    <w:rsid w:val="00474489"/>
    <w:rsid w:val="00474494"/>
    <w:rsid w:val="004747C0"/>
    <w:rsid w:val="00474901"/>
    <w:rsid w:val="00474D4D"/>
    <w:rsid w:val="00474DB4"/>
    <w:rsid w:val="00474F7A"/>
    <w:rsid w:val="00475106"/>
    <w:rsid w:val="004755A4"/>
    <w:rsid w:val="004755B2"/>
    <w:rsid w:val="00475607"/>
    <w:rsid w:val="004759D6"/>
    <w:rsid w:val="00475DDF"/>
    <w:rsid w:val="00475EF9"/>
    <w:rsid w:val="004760A4"/>
    <w:rsid w:val="00476129"/>
    <w:rsid w:val="0047647F"/>
    <w:rsid w:val="004766D5"/>
    <w:rsid w:val="00476816"/>
    <w:rsid w:val="00476822"/>
    <w:rsid w:val="004768A1"/>
    <w:rsid w:val="004769D3"/>
    <w:rsid w:val="00476B2C"/>
    <w:rsid w:val="00476CDA"/>
    <w:rsid w:val="00477B54"/>
    <w:rsid w:val="00477B57"/>
    <w:rsid w:val="00480096"/>
    <w:rsid w:val="004802F4"/>
    <w:rsid w:val="004807A8"/>
    <w:rsid w:val="0048093B"/>
    <w:rsid w:val="004809A3"/>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44DB"/>
    <w:rsid w:val="00484762"/>
    <w:rsid w:val="0048479B"/>
    <w:rsid w:val="00484A1F"/>
    <w:rsid w:val="00484B12"/>
    <w:rsid w:val="00484B2D"/>
    <w:rsid w:val="00484B3E"/>
    <w:rsid w:val="00484EE4"/>
    <w:rsid w:val="004852EE"/>
    <w:rsid w:val="00485858"/>
    <w:rsid w:val="00485904"/>
    <w:rsid w:val="00485C1D"/>
    <w:rsid w:val="00485E19"/>
    <w:rsid w:val="0048613E"/>
    <w:rsid w:val="00486215"/>
    <w:rsid w:val="00486672"/>
    <w:rsid w:val="00486A3E"/>
    <w:rsid w:val="00486AC4"/>
    <w:rsid w:val="00486BB9"/>
    <w:rsid w:val="00486EC6"/>
    <w:rsid w:val="00486FB8"/>
    <w:rsid w:val="0048714A"/>
    <w:rsid w:val="00487276"/>
    <w:rsid w:val="004877DB"/>
    <w:rsid w:val="00487893"/>
    <w:rsid w:val="004879A9"/>
    <w:rsid w:val="00487BE6"/>
    <w:rsid w:val="004900F7"/>
    <w:rsid w:val="00490150"/>
    <w:rsid w:val="004901C5"/>
    <w:rsid w:val="004901EC"/>
    <w:rsid w:val="00490487"/>
    <w:rsid w:val="004905E8"/>
    <w:rsid w:val="0049075F"/>
    <w:rsid w:val="00490846"/>
    <w:rsid w:val="00490AEE"/>
    <w:rsid w:val="00490CE2"/>
    <w:rsid w:val="00490F7C"/>
    <w:rsid w:val="004910E9"/>
    <w:rsid w:val="00491443"/>
    <w:rsid w:val="004915BF"/>
    <w:rsid w:val="00491711"/>
    <w:rsid w:val="004919B7"/>
    <w:rsid w:val="00491A90"/>
    <w:rsid w:val="00491AB9"/>
    <w:rsid w:val="00491BAB"/>
    <w:rsid w:val="00491BD0"/>
    <w:rsid w:val="00491CCC"/>
    <w:rsid w:val="00491D30"/>
    <w:rsid w:val="00491F97"/>
    <w:rsid w:val="00491FAE"/>
    <w:rsid w:val="004920F3"/>
    <w:rsid w:val="004922E7"/>
    <w:rsid w:val="00492674"/>
    <w:rsid w:val="004928AB"/>
    <w:rsid w:val="00492C7F"/>
    <w:rsid w:val="00492CBA"/>
    <w:rsid w:val="00492E55"/>
    <w:rsid w:val="00493259"/>
    <w:rsid w:val="00493278"/>
    <w:rsid w:val="0049334B"/>
    <w:rsid w:val="004933AD"/>
    <w:rsid w:val="004936C0"/>
    <w:rsid w:val="004936FA"/>
    <w:rsid w:val="0049379C"/>
    <w:rsid w:val="00493956"/>
    <w:rsid w:val="00493F7B"/>
    <w:rsid w:val="004940F6"/>
    <w:rsid w:val="004941FC"/>
    <w:rsid w:val="00494240"/>
    <w:rsid w:val="004942E4"/>
    <w:rsid w:val="00494333"/>
    <w:rsid w:val="00494904"/>
    <w:rsid w:val="004949B4"/>
    <w:rsid w:val="00494C2E"/>
    <w:rsid w:val="00494D50"/>
    <w:rsid w:val="00494EF5"/>
    <w:rsid w:val="00495188"/>
    <w:rsid w:val="0049534C"/>
    <w:rsid w:val="0049544C"/>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6CB"/>
    <w:rsid w:val="00497773"/>
    <w:rsid w:val="004978B6"/>
    <w:rsid w:val="00497942"/>
    <w:rsid w:val="004979A5"/>
    <w:rsid w:val="00497AF8"/>
    <w:rsid w:val="00497D3E"/>
    <w:rsid w:val="004A039F"/>
    <w:rsid w:val="004A053C"/>
    <w:rsid w:val="004A06C1"/>
    <w:rsid w:val="004A0B5A"/>
    <w:rsid w:val="004A0B66"/>
    <w:rsid w:val="004A1240"/>
    <w:rsid w:val="004A1346"/>
    <w:rsid w:val="004A1636"/>
    <w:rsid w:val="004A18F5"/>
    <w:rsid w:val="004A1C93"/>
    <w:rsid w:val="004A1F90"/>
    <w:rsid w:val="004A24C2"/>
    <w:rsid w:val="004A273A"/>
    <w:rsid w:val="004A2810"/>
    <w:rsid w:val="004A2945"/>
    <w:rsid w:val="004A2C49"/>
    <w:rsid w:val="004A30E8"/>
    <w:rsid w:val="004A35D1"/>
    <w:rsid w:val="004A3719"/>
    <w:rsid w:val="004A38AF"/>
    <w:rsid w:val="004A3941"/>
    <w:rsid w:val="004A3DB8"/>
    <w:rsid w:val="004A3E15"/>
    <w:rsid w:val="004A3FA4"/>
    <w:rsid w:val="004A406D"/>
    <w:rsid w:val="004A40A3"/>
    <w:rsid w:val="004A40C0"/>
    <w:rsid w:val="004A425A"/>
    <w:rsid w:val="004A4329"/>
    <w:rsid w:val="004A43A8"/>
    <w:rsid w:val="004A44F5"/>
    <w:rsid w:val="004A458C"/>
    <w:rsid w:val="004A4670"/>
    <w:rsid w:val="004A4848"/>
    <w:rsid w:val="004A48BB"/>
    <w:rsid w:val="004A4CB1"/>
    <w:rsid w:val="004A4F52"/>
    <w:rsid w:val="004A4F88"/>
    <w:rsid w:val="004A5161"/>
    <w:rsid w:val="004A56B5"/>
    <w:rsid w:val="004A5F43"/>
    <w:rsid w:val="004A5F7D"/>
    <w:rsid w:val="004A6064"/>
    <w:rsid w:val="004A60FC"/>
    <w:rsid w:val="004A626F"/>
    <w:rsid w:val="004A634E"/>
    <w:rsid w:val="004A6379"/>
    <w:rsid w:val="004A6381"/>
    <w:rsid w:val="004A649A"/>
    <w:rsid w:val="004A663C"/>
    <w:rsid w:val="004A6799"/>
    <w:rsid w:val="004A69CD"/>
    <w:rsid w:val="004A6A5A"/>
    <w:rsid w:val="004A6B3D"/>
    <w:rsid w:val="004A725E"/>
    <w:rsid w:val="004A786A"/>
    <w:rsid w:val="004A78F8"/>
    <w:rsid w:val="004B00A9"/>
    <w:rsid w:val="004B0420"/>
    <w:rsid w:val="004B0495"/>
    <w:rsid w:val="004B0575"/>
    <w:rsid w:val="004B07E2"/>
    <w:rsid w:val="004B0983"/>
    <w:rsid w:val="004B0A52"/>
    <w:rsid w:val="004B0BD6"/>
    <w:rsid w:val="004B1124"/>
    <w:rsid w:val="004B1186"/>
    <w:rsid w:val="004B14FA"/>
    <w:rsid w:val="004B1565"/>
    <w:rsid w:val="004B1D68"/>
    <w:rsid w:val="004B1FD7"/>
    <w:rsid w:val="004B2032"/>
    <w:rsid w:val="004B2764"/>
    <w:rsid w:val="004B2C16"/>
    <w:rsid w:val="004B2C7A"/>
    <w:rsid w:val="004B2EF7"/>
    <w:rsid w:val="004B2FC6"/>
    <w:rsid w:val="004B313E"/>
    <w:rsid w:val="004B350E"/>
    <w:rsid w:val="004B3630"/>
    <w:rsid w:val="004B39DB"/>
    <w:rsid w:val="004B3B77"/>
    <w:rsid w:val="004B3B99"/>
    <w:rsid w:val="004B3D57"/>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486"/>
    <w:rsid w:val="004B65C1"/>
    <w:rsid w:val="004B662A"/>
    <w:rsid w:val="004B6E3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490"/>
    <w:rsid w:val="004C0721"/>
    <w:rsid w:val="004C100B"/>
    <w:rsid w:val="004C130F"/>
    <w:rsid w:val="004C1409"/>
    <w:rsid w:val="004C147D"/>
    <w:rsid w:val="004C153A"/>
    <w:rsid w:val="004C16AA"/>
    <w:rsid w:val="004C19F0"/>
    <w:rsid w:val="004C1CEB"/>
    <w:rsid w:val="004C1D42"/>
    <w:rsid w:val="004C2112"/>
    <w:rsid w:val="004C2120"/>
    <w:rsid w:val="004C228C"/>
    <w:rsid w:val="004C22D4"/>
    <w:rsid w:val="004C22FC"/>
    <w:rsid w:val="004C2840"/>
    <w:rsid w:val="004C288A"/>
    <w:rsid w:val="004C2F53"/>
    <w:rsid w:val="004C2F6C"/>
    <w:rsid w:val="004C306D"/>
    <w:rsid w:val="004C325D"/>
    <w:rsid w:val="004C32FF"/>
    <w:rsid w:val="004C3317"/>
    <w:rsid w:val="004C36AD"/>
    <w:rsid w:val="004C36B4"/>
    <w:rsid w:val="004C3976"/>
    <w:rsid w:val="004C39EC"/>
    <w:rsid w:val="004C3D8B"/>
    <w:rsid w:val="004C3DB9"/>
    <w:rsid w:val="004C3DCE"/>
    <w:rsid w:val="004C3E06"/>
    <w:rsid w:val="004C3F4B"/>
    <w:rsid w:val="004C4082"/>
    <w:rsid w:val="004C40CF"/>
    <w:rsid w:val="004C43B8"/>
    <w:rsid w:val="004C486E"/>
    <w:rsid w:val="004C4A2C"/>
    <w:rsid w:val="004C4A30"/>
    <w:rsid w:val="004C4AE7"/>
    <w:rsid w:val="004C4BCC"/>
    <w:rsid w:val="004C4D88"/>
    <w:rsid w:val="004C508A"/>
    <w:rsid w:val="004C50AA"/>
    <w:rsid w:val="004C51EB"/>
    <w:rsid w:val="004C5516"/>
    <w:rsid w:val="004C554D"/>
    <w:rsid w:val="004C5695"/>
    <w:rsid w:val="004C5868"/>
    <w:rsid w:val="004C58D8"/>
    <w:rsid w:val="004C59D6"/>
    <w:rsid w:val="004C5BB5"/>
    <w:rsid w:val="004C5E1F"/>
    <w:rsid w:val="004C5E27"/>
    <w:rsid w:val="004C5E60"/>
    <w:rsid w:val="004C5E8F"/>
    <w:rsid w:val="004C5F7D"/>
    <w:rsid w:val="004C64F6"/>
    <w:rsid w:val="004C6B5D"/>
    <w:rsid w:val="004C6C22"/>
    <w:rsid w:val="004C704C"/>
    <w:rsid w:val="004C7211"/>
    <w:rsid w:val="004C7D3A"/>
    <w:rsid w:val="004D036F"/>
    <w:rsid w:val="004D03CC"/>
    <w:rsid w:val="004D053C"/>
    <w:rsid w:val="004D05FF"/>
    <w:rsid w:val="004D074C"/>
    <w:rsid w:val="004D0872"/>
    <w:rsid w:val="004D0CF5"/>
    <w:rsid w:val="004D0E23"/>
    <w:rsid w:val="004D0F75"/>
    <w:rsid w:val="004D0FEC"/>
    <w:rsid w:val="004D10AC"/>
    <w:rsid w:val="004D10FD"/>
    <w:rsid w:val="004D1154"/>
    <w:rsid w:val="004D1757"/>
    <w:rsid w:val="004D1811"/>
    <w:rsid w:val="004D1A6D"/>
    <w:rsid w:val="004D1B15"/>
    <w:rsid w:val="004D2246"/>
    <w:rsid w:val="004D22EF"/>
    <w:rsid w:val="004D2476"/>
    <w:rsid w:val="004D2859"/>
    <w:rsid w:val="004D2C55"/>
    <w:rsid w:val="004D2D54"/>
    <w:rsid w:val="004D2EC0"/>
    <w:rsid w:val="004D3271"/>
    <w:rsid w:val="004D328C"/>
    <w:rsid w:val="004D338A"/>
    <w:rsid w:val="004D338F"/>
    <w:rsid w:val="004D3488"/>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C89"/>
    <w:rsid w:val="004D4F45"/>
    <w:rsid w:val="004D5082"/>
    <w:rsid w:val="004D526C"/>
    <w:rsid w:val="004D52F3"/>
    <w:rsid w:val="004D543A"/>
    <w:rsid w:val="004D5590"/>
    <w:rsid w:val="004D55D0"/>
    <w:rsid w:val="004D57ED"/>
    <w:rsid w:val="004D598D"/>
    <w:rsid w:val="004D5BE8"/>
    <w:rsid w:val="004D5E46"/>
    <w:rsid w:val="004D64B2"/>
    <w:rsid w:val="004D66D9"/>
    <w:rsid w:val="004D6765"/>
    <w:rsid w:val="004D679C"/>
    <w:rsid w:val="004D6B60"/>
    <w:rsid w:val="004D6FC1"/>
    <w:rsid w:val="004D7442"/>
    <w:rsid w:val="004D7568"/>
    <w:rsid w:val="004D78AA"/>
    <w:rsid w:val="004D79C6"/>
    <w:rsid w:val="004D7EDE"/>
    <w:rsid w:val="004D7FA6"/>
    <w:rsid w:val="004E00B0"/>
    <w:rsid w:val="004E0375"/>
    <w:rsid w:val="004E053E"/>
    <w:rsid w:val="004E081B"/>
    <w:rsid w:val="004E0A30"/>
    <w:rsid w:val="004E0A50"/>
    <w:rsid w:val="004E0D8B"/>
    <w:rsid w:val="004E1045"/>
    <w:rsid w:val="004E10CE"/>
    <w:rsid w:val="004E1201"/>
    <w:rsid w:val="004E16E4"/>
    <w:rsid w:val="004E19C3"/>
    <w:rsid w:val="004E1D7B"/>
    <w:rsid w:val="004E1FF2"/>
    <w:rsid w:val="004E2740"/>
    <w:rsid w:val="004E2772"/>
    <w:rsid w:val="004E2DF0"/>
    <w:rsid w:val="004E2EAE"/>
    <w:rsid w:val="004E31D9"/>
    <w:rsid w:val="004E33EE"/>
    <w:rsid w:val="004E35AA"/>
    <w:rsid w:val="004E37D4"/>
    <w:rsid w:val="004E382C"/>
    <w:rsid w:val="004E39D3"/>
    <w:rsid w:val="004E3CDE"/>
    <w:rsid w:val="004E3FC3"/>
    <w:rsid w:val="004E3FF2"/>
    <w:rsid w:val="004E42A6"/>
    <w:rsid w:val="004E44D0"/>
    <w:rsid w:val="004E4952"/>
    <w:rsid w:val="004E4AAB"/>
    <w:rsid w:val="004E4D48"/>
    <w:rsid w:val="004E4F1C"/>
    <w:rsid w:val="004E5271"/>
    <w:rsid w:val="004E5312"/>
    <w:rsid w:val="004E567F"/>
    <w:rsid w:val="004E572A"/>
    <w:rsid w:val="004E5870"/>
    <w:rsid w:val="004E59DD"/>
    <w:rsid w:val="004E5D39"/>
    <w:rsid w:val="004E5E8F"/>
    <w:rsid w:val="004E5F14"/>
    <w:rsid w:val="004E6220"/>
    <w:rsid w:val="004E6330"/>
    <w:rsid w:val="004E6474"/>
    <w:rsid w:val="004E6487"/>
    <w:rsid w:val="004E651E"/>
    <w:rsid w:val="004E6729"/>
    <w:rsid w:val="004E6857"/>
    <w:rsid w:val="004E69DB"/>
    <w:rsid w:val="004E6B94"/>
    <w:rsid w:val="004E6E66"/>
    <w:rsid w:val="004E6FF2"/>
    <w:rsid w:val="004E7095"/>
    <w:rsid w:val="004E70BF"/>
    <w:rsid w:val="004E7268"/>
    <w:rsid w:val="004E75E3"/>
    <w:rsid w:val="004E7627"/>
    <w:rsid w:val="004E7761"/>
    <w:rsid w:val="004E783E"/>
    <w:rsid w:val="004E79D9"/>
    <w:rsid w:val="004E7A13"/>
    <w:rsid w:val="004E7ADD"/>
    <w:rsid w:val="004E7D16"/>
    <w:rsid w:val="004F0319"/>
    <w:rsid w:val="004F0731"/>
    <w:rsid w:val="004F0747"/>
    <w:rsid w:val="004F0ACD"/>
    <w:rsid w:val="004F0E5A"/>
    <w:rsid w:val="004F0F71"/>
    <w:rsid w:val="004F0FD2"/>
    <w:rsid w:val="004F104B"/>
    <w:rsid w:val="004F1073"/>
    <w:rsid w:val="004F128F"/>
    <w:rsid w:val="004F1420"/>
    <w:rsid w:val="004F15DE"/>
    <w:rsid w:val="004F1A6A"/>
    <w:rsid w:val="004F1DDB"/>
    <w:rsid w:val="004F1F4D"/>
    <w:rsid w:val="004F2217"/>
    <w:rsid w:val="004F22E1"/>
    <w:rsid w:val="004F2607"/>
    <w:rsid w:val="004F292C"/>
    <w:rsid w:val="004F2A6D"/>
    <w:rsid w:val="004F2BAB"/>
    <w:rsid w:val="004F2BDE"/>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752"/>
    <w:rsid w:val="004F4870"/>
    <w:rsid w:val="004F4990"/>
    <w:rsid w:val="004F4FDD"/>
    <w:rsid w:val="004F50AD"/>
    <w:rsid w:val="004F535D"/>
    <w:rsid w:val="004F54BD"/>
    <w:rsid w:val="004F599C"/>
    <w:rsid w:val="004F6066"/>
    <w:rsid w:val="004F6349"/>
    <w:rsid w:val="004F639C"/>
    <w:rsid w:val="004F6435"/>
    <w:rsid w:val="004F66C8"/>
    <w:rsid w:val="004F670B"/>
    <w:rsid w:val="004F68E3"/>
    <w:rsid w:val="004F6B36"/>
    <w:rsid w:val="004F6DC6"/>
    <w:rsid w:val="004F6E67"/>
    <w:rsid w:val="004F70B5"/>
    <w:rsid w:val="004F75F7"/>
    <w:rsid w:val="004F7691"/>
    <w:rsid w:val="004F78C8"/>
    <w:rsid w:val="004F79A5"/>
    <w:rsid w:val="004F7A5D"/>
    <w:rsid w:val="004F7B83"/>
    <w:rsid w:val="004F7D30"/>
    <w:rsid w:val="004F7DAE"/>
    <w:rsid w:val="0050023C"/>
    <w:rsid w:val="00500AC9"/>
    <w:rsid w:val="00500DA9"/>
    <w:rsid w:val="00500FA8"/>
    <w:rsid w:val="005013E9"/>
    <w:rsid w:val="00501649"/>
    <w:rsid w:val="00501682"/>
    <w:rsid w:val="005016C9"/>
    <w:rsid w:val="005017FC"/>
    <w:rsid w:val="00501942"/>
    <w:rsid w:val="00501BD4"/>
    <w:rsid w:val="00501E75"/>
    <w:rsid w:val="005024F5"/>
    <w:rsid w:val="00502573"/>
    <w:rsid w:val="0050271D"/>
    <w:rsid w:val="00502728"/>
    <w:rsid w:val="00502DA6"/>
    <w:rsid w:val="0050319D"/>
    <w:rsid w:val="005031B4"/>
    <w:rsid w:val="00503228"/>
    <w:rsid w:val="005034A0"/>
    <w:rsid w:val="005035D6"/>
    <w:rsid w:val="00503948"/>
    <w:rsid w:val="00503B29"/>
    <w:rsid w:val="00503C1F"/>
    <w:rsid w:val="00503EEF"/>
    <w:rsid w:val="00504367"/>
    <w:rsid w:val="00504877"/>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93D"/>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C6"/>
    <w:rsid w:val="005100D9"/>
    <w:rsid w:val="0051058D"/>
    <w:rsid w:val="0051066B"/>
    <w:rsid w:val="00510766"/>
    <w:rsid w:val="0051082E"/>
    <w:rsid w:val="00510C64"/>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7E0"/>
    <w:rsid w:val="005139BE"/>
    <w:rsid w:val="00513B7A"/>
    <w:rsid w:val="00513CC8"/>
    <w:rsid w:val="00514436"/>
    <w:rsid w:val="005145E2"/>
    <w:rsid w:val="00514A01"/>
    <w:rsid w:val="00514B4F"/>
    <w:rsid w:val="005151AE"/>
    <w:rsid w:val="00515238"/>
    <w:rsid w:val="0051557F"/>
    <w:rsid w:val="005156C8"/>
    <w:rsid w:val="00515A8D"/>
    <w:rsid w:val="00515DEB"/>
    <w:rsid w:val="00515E1A"/>
    <w:rsid w:val="005161C1"/>
    <w:rsid w:val="005167F0"/>
    <w:rsid w:val="0051687D"/>
    <w:rsid w:val="00516B04"/>
    <w:rsid w:val="00516B82"/>
    <w:rsid w:val="00517139"/>
    <w:rsid w:val="0051713F"/>
    <w:rsid w:val="00517299"/>
    <w:rsid w:val="005176F7"/>
    <w:rsid w:val="005177DB"/>
    <w:rsid w:val="00517871"/>
    <w:rsid w:val="005178F0"/>
    <w:rsid w:val="00517A3D"/>
    <w:rsid w:val="00517A74"/>
    <w:rsid w:val="00517EE4"/>
    <w:rsid w:val="0052052D"/>
    <w:rsid w:val="005205B6"/>
    <w:rsid w:val="00520A8B"/>
    <w:rsid w:val="00521016"/>
    <w:rsid w:val="005210E0"/>
    <w:rsid w:val="0052125C"/>
    <w:rsid w:val="005215D4"/>
    <w:rsid w:val="00521663"/>
    <w:rsid w:val="005217E8"/>
    <w:rsid w:val="00521851"/>
    <w:rsid w:val="0052192E"/>
    <w:rsid w:val="005224FF"/>
    <w:rsid w:val="005226C2"/>
    <w:rsid w:val="0052276E"/>
    <w:rsid w:val="005227C6"/>
    <w:rsid w:val="00522C96"/>
    <w:rsid w:val="00523026"/>
    <w:rsid w:val="0052311F"/>
    <w:rsid w:val="00523423"/>
    <w:rsid w:val="00523489"/>
    <w:rsid w:val="005236A9"/>
    <w:rsid w:val="00523A6C"/>
    <w:rsid w:val="00523AFF"/>
    <w:rsid w:val="00523B93"/>
    <w:rsid w:val="00523CE4"/>
    <w:rsid w:val="00523E4B"/>
    <w:rsid w:val="0052411F"/>
    <w:rsid w:val="005242D1"/>
    <w:rsid w:val="005242D2"/>
    <w:rsid w:val="00524475"/>
    <w:rsid w:val="005244CF"/>
    <w:rsid w:val="005245EB"/>
    <w:rsid w:val="0052471D"/>
    <w:rsid w:val="00524CBD"/>
    <w:rsid w:val="00525154"/>
    <w:rsid w:val="005251CE"/>
    <w:rsid w:val="005251EB"/>
    <w:rsid w:val="005253DB"/>
    <w:rsid w:val="005259A9"/>
    <w:rsid w:val="00525C6E"/>
    <w:rsid w:val="00525D60"/>
    <w:rsid w:val="005262A1"/>
    <w:rsid w:val="005264CD"/>
    <w:rsid w:val="005266ED"/>
    <w:rsid w:val="0052698C"/>
    <w:rsid w:val="00526B6B"/>
    <w:rsid w:val="00526C8F"/>
    <w:rsid w:val="005270DF"/>
    <w:rsid w:val="005275CB"/>
    <w:rsid w:val="005276BF"/>
    <w:rsid w:val="00527726"/>
    <w:rsid w:val="00527825"/>
    <w:rsid w:val="00527B13"/>
    <w:rsid w:val="00527DF6"/>
    <w:rsid w:val="00530095"/>
    <w:rsid w:val="00530183"/>
    <w:rsid w:val="00530578"/>
    <w:rsid w:val="00530842"/>
    <w:rsid w:val="005309FA"/>
    <w:rsid w:val="00531011"/>
    <w:rsid w:val="005311EE"/>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F9"/>
    <w:rsid w:val="00532BE3"/>
    <w:rsid w:val="00532E4F"/>
    <w:rsid w:val="00532E86"/>
    <w:rsid w:val="0053322B"/>
    <w:rsid w:val="00533568"/>
    <w:rsid w:val="005335C9"/>
    <w:rsid w:val="005338EA"/>
    <w:rsid w:val="00533912"/>
    <w:rsid w:val="00533C0A"/>
    <w:rsid w:val="00533C2D"/>
    <w:rsid w:val="00533F25"/>
    <w:rsid w:val="00533FD9"/>
    <w:rsid w:val="005340D3"/>
    <w:rsid w:val="005341C6"/>
    <w:rsid w:val="00534376"/>
    <w:rsid w:val="0053484F"/>
    <w:rsid w:val="00534959"/>
    <w:rsid w:val="00534BBD"/>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D3"/>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C88"/>
    <w:rsid w:val="00540D31"/>
    <w:rsid w:val="00540D35"/>
    <w:rsid w:val="00540D81"/>
    <w:rsid w:val="00540D97"/>
    <w:rsid w:val="00540EBE"/>
    <w:rsid w:val="00540F79"/>
    <w:rsid w:val="00541207"/>
    <w:rsid w:val="0054132D"/>
    <w:rsid w:val="00541555"/>
    <w:rsid w:val="005415DA"/>
    <w:rsid w:val="00541AD3"/>
    <w:rsid w:val="00541B36"/>
    <w:rsid w:val="00541CD1"/>
    <w:rsid w:val="00541DC9"/>
    <w:rsid w:val="00541DD5"/>
    <w:rsid w:val="00541E06"/>
    <w:rsid w:val="00541FCC"/>
    <w:rsid w:val="00542053"/>
    <w:rsid w:val="0054209A"/>
    <w:rsid w:val="005420E4"/>
    <w:rsid w:val="005421B1"/>
    <w:rsid w:val="00542212"/>
    <w:rsid w:val="0054284A"/>
    <w:rsid w:val="005429E1"/>
    <w:rsid w:val="00542B25"/>
    <w:rsid w:val="005433E9"/>
    <w:rsid w:val="00543983"/>
    <w:rsid w:val="00543AC9"/>
    <w:rsid w:val="00543AE6"/>
    <w:rsid w:val="00543B25"/>
    <w:rsid w:val="00543BCD"/>
    <w:rsid w:val="00543DE6"/>
    <w:rsid w:val="00543F80"/>
    <w:rsid w:val="0054402D"/>
    <w:rsid w:val="005446DB"/>
    <w:rsid w:val="0054492F"/>
    <w:rsid w:val="00544BD5"/>
    <w:rsid w:val="00545039"/>
    <w:rsid w:val="00545139"/>
    <w:rsid w:val="00545171"/>
    <w:rsid w:val="00545239"/>
    <w:rsid w:val="00545306"/>
    <w:rsid w:val="0054552D"/>
    <w:rsid w:val="00545B6F"/>
    <w:rsid w:val="00545B72"/>
    <w:rsid w:val="00545D40"/>
    <w:rsid w:val="00545DCC"/>
    <w:rsid w:val="00545EE0"/>
    <w:rsid w:val="00545EE7"/>
    <w:rsid w:val="00546087"/>
    <w:rsid w:val="0054637F"/>
    <w:rsid w:val="00546442"/>
    <w:rsid w:val="005465AC"/>
    <w:rsid w:val="00546609"/>
    <w:rsid w:val="005467F8"/>
    <w:rsid w:val="0054685F"/>
    <w:rsid w:val="00546860"/>
    <w:rsid w:val="00546C93"/>
    <w:rsid w:val="00547183"/>
    <w:rsid w:val="005471CF"/>
    <w:rsid w:val="005473EF"/>
    <w:rsid w:val="00547524"/>
    <w:rsid w:val="005476CA"/>
    <w:rsid w:val="005478D7"/>
    <w:rsid w:val="00547F9C"/>
    <w:rsid w:val="005501FB"/>
    <w:rsid w:val="005503D2"/>
    <w:rsid w:val="005505D4"/>
    <w:rsid w:val="005506ED"/>
    <w:rsid w:val="00550771"/>
    <w:rsid w:val="005507E7"/>
    <w:rsid w:val="0055095F"/>
    <w:rsid w:val="0055098E"/>
    <w:rsid w:val="005509B9"/>
    <w:rsid w:val="005509D8"/>
    <w:rsid w:val="00550CCA"/>
    <w:rsid w:val="00550D2B"/>
    <w:rsid w:val="00550D55"/>
    <w:rsid w:val="00550DE2"/>
    <w:rsid w:val="00551159"/>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2DE4"/>
    <w:rsid w:val="005530A1"/>
    <w:rsid w:val="00553207"/>
    <w:rsid w:val="00553475"/>
    <w:rsid w:val="00553679"/>
    <w:rsid w:val="0055370A"/>
    <w:rsid w:val="0055396A"/>
    <w:rsid w:val="00553AE7"/>
    <w:rsid w:val="00553E7F"/>
    <w:rsid w:val="00553FC8"/>
    <w:rsid w:val="00553FF7"/>
    <w:rsid w:val="00554519"/>
    <w:rsid w:val="00554554"/>
    <w:rsid w:val="00554643"/>
    <w:rsid w:val="005546F8"/>
    <w:rsid w:val="00554735"/>
    <w:rsid w:val="005548AC"/>
    <w:rsid w:val="00554FE7"/>
    <w:rsid w:val="0055508D"/>
    <w:rsid w:val="005550F2"/>
    <w:rsid w:val="00555341"/>
    <w:rsid w:val="00555A5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E9E"/>
    <w:rsid w:val="00557406"/>
    <w:rsid w:val="00557648"/>
    <w:rsid w:val="005577C4"/>
    <w:rsid w:val="00557D30"/>
    <w:rsid w:val="00560344"/>
    <w:rsid w:val="005603D9"/>
    <w:rsid w:val="00560420"/>
    <w:rsid w:val="0056044E"/>
    <w:rsid w:val="0056055F"/>
    <w:rsid w:val="005607CA"/>
    <w:rsid w:val="005608DB"/>
    <w:rsid w:val="00561038"/>
    <w:rsid w:val="00561075"/>
    <w:rsid w:val="00561329"/>
    <w:rsid w:val="00561446"/>
    <w:rsid w:val="0056153B"/>
    <w:rsid w:val="005617D0"/>
    <w:rsid w:val="005618F1"/>
    <w:rsid w:val="00561AC8"/>
    <w:rsid w:val="00561AD8"/>
    <w:rsid w:val="00561C44"/>
    <w:rsid w:val="00561E31"/>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6"/>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359"/>
    <w:rsid w:val="00565577"/>
    <w:rsid w:val="0056585F"/>
    <w:rsid w:val="005658E6"/>
    <w:rsid w:val="00565904"/>
    <w:rsid w:val="00565AB3"/>
    <w:rsid w:val="00566005"/>
    <w:rsid w:val="0056601C"/>
    <w:rsid w:val="00566244"/>
    <w:rsid w:val="00566418"/>
    <w:rsid w:val="00566532"/>
    <w:rsid w:val="0056663D"/>
    <w:rsid w:val="005668B5"/>
    <w:rsid w:val="00566ADD"/>
    <w:rsid w:val="00566D9F"/>
    <w:rsid w:val="00566EFD"/>
    <w:rsid w:val="00566FBD"/>
    <w:rsid w:val="00567211"/>
    <w:rsid w:val="005672DB"/>
    <w:rsid w:val="00567674"/>
    <w:rsid w:val="00567C2A"/>
    <w:rsid w:val="00567C4F"/>
    <w:rsid w:val="00567DAA"/>
    <w:rsid w:val="00567EDB"/>
    <w:rsid w:val="00567F2D"/>
    <w:rsid w:val="00570154"/>
    <w:rsid w:val="00570896"/>
    <w:rsid w:val="00571152"/>
    <w:rsid w:val="005715E8"/>
    <w:rsid w:val="005717D2"/>
    <w:rsid w:val="00571987"/>
    <w:rsid w:val="00571C53"/>
    <w:rsid w:val="00571C5B"/>
    <w:rsid w:val="00571FD3"/>
    <w:rsid w:val="00572088"/>
    <w:rsid w:val="0057212C"/>
    <w:rsid w:val="00572941"/>
    <w:rsid w:val="00572B74"/>
    <w:rsid w:val="00572CB1"/>
    <w:rsid w:val="00572DEE"/>
    <w:rsid w:val="0057335A"/>
    <w:rsid w:val="005735DF"/>
    <w:rsid w:val="00573815"/>
    <w:rsid w:val="0057393D"/>
    <w:rsid w:val="00573978"/>
    <w:rsid w:val="00573AC3"/>
    <w:rsid w:val="00573E28"/>
    <w:rsid w:val="005740C0"/>
    <w:rsid w:val="00574280"/>
    <w:rsid w:val="005742E1"/>
    <w:rsid w:val="00574424"/>
    <w:rsid w:val="005744BF"/>
    <w:rsid w:val="0057456B"/>
    <w:rsid w:val="00574C88"/>
    <w:rsid w:val="00574F21"/>
    <w:rsid w:val="00575315"/>
    <w:rsid w:val="00575506"/>
    <w:rsid w:val="00575E57"/>
    <w:rsid w:val="0057601E"/>
    <w:rsid w:val="005760AC"/>
    <w:rsid w:val="0057618A"/>
    <w:rsid w:val="00576235"/>
    <w:rsid w:val="0057636D"/>
    <w:rsid w:val="005763AD"/>
    <w:rsid w:val="005763B8"/>
    <w:rsid w:val="00576504"/>
    <w:rsid w:val="005765DC"/>
    <w:rsid w:val="00576715"/>
    <w:rsid w:val="00576BA6"/>
    <w:rsid w:val="00576CBE"/>
    <w:rsid w:val="00576F8C"/>
    <w:rsid w:val="00576F91"/>
    <w:rsid w:val="005770B2"/>
    <w:rsid w:val="00577375"/>
    <w:rsid w:val="0057777F"/>
    <w:rsid w:val="005779CF"/>
    <w:rsid w:val="00577ABA"/>
    <w:rsid w:val="00577BEE"/>
    <w:rsid w:val="00577DDD"/>
    <w:rsid w:val="00577F3D"/>
    <w:rsid w:val="00577FA5"/>
    <w:rsid w:val="00580073"/>
    <w:rsid w:val="00580669"/>
    <w:rsid w:val="00580AC8"/>
    <w:rsid w:val="00580B04"/>
    <w:rsid w:val="00580B68"/>
    <w:rsid w:val="00580D5A"/>
    <w:rsid w:val="00580F2F"/>
    <w:rsid w:val="00581066"/>
    <w:rsid w:val="005811FF"/>
    <w:rsid w:val="00581413"/>
    <w:rsid w:val="00581442"/>
    <w:rsid w:val="00581498"/>
    <w:rsid w:val="0058159F"/>
    <w:rsid w:val="00581656"/>
    <w:rsid w:val="005818E6"/>
    <w:rsid w:val="00581D8F"/>
    <w:rsid w:val="00581E63"/>
    <w:rsid w:val="00581F59"/>
    <w:rsid w:val="0058203C"/>
    <w:rsid w:val="00582196"/>
    <w:rsid w:val="005825F2"/>
    <w:rsid w:val="005826D5"/>
    <w:rsid w:val="005828E1"/>
    <w:rsid w:val="00582989"/>
    <w:rsid w:val="00582A72"/>
    <w:rsid w:val="00582D1C"/>
    <w:rsid w:val="00582F90"/>
    <w:rsid w:val="00582FF1"/>
    <w:rsid w:val="00583074"/>
    <w:rsid w:val="0058361D"/>
    <w:rsid w:val="005839EF"/>
    <w:rsid w:val="00583E24"/>
    <w:rsid w:val="00584267"/>
    <w:rsid w:val="005845B8"/>
    <w:rsid w:val="005845EF"/>
    <w:rsid w:val="00584D9D"/>
    <w:rsid w:val="00584EAC"/>
    <w:rsid w:val="00585427"/>
    <w:rsid w:val="0058555E"/>
    <w:rsid w:val="0058561C"/>
    <w:rsid w:val="00585CE1"/>
    <w:rsid w:val="00585D4C"/>
    <w:rsid w:val="00585D87"/>
    <w:rsid w:val="00585DE7"/>
    <w:rsid w:val="00585ECD"/>
    <w:rsid w:val="005863A7"/>
    <w:rsid w:val="005864DF"/>
    <w:rsid w:val="00586571"/>
    <w:rsid w:val="005865DE"/>
    <w:rsid w:val="005865EA"/>
    <w:rsid w:val="005866D5"/>
    <w:rsid w:val="00586D23"/>
    <w:rsid w:val="00586F1B"/>
    <w:rsid w:val="0058716D"/>
    <w:rsid w:val="0058773E"/>
    <w:rsid w:val="00587A6C"/>
    <w:rsid w:val="005900BF"/>
    <w:rsid w:val="005902D0"/>
    <w:rsid w:val="00590CA4"/>
    <w:rsid w:val="00590CA6"/>
    <w:rsid w:val="00590CB2"/>
    <w:rsid w:val="00590CFA"/>
    <w:rsid w:val="00590F63"/>
    <w:rsid w:val="005915BE"/>
    <w:rsid w:val="005917C0"/>
    <w:rsid w:val="0059195C"/>
    <w:rsid w:val="00591AE2"/>
    <w:rsid w:val="00591E64"/>
    <w:rsid w:val="0059216A"/>
    <w:rsid w:val="0059252E"/>
    <w:rsid w:val="0059260B"/>
    <w:rsid w:val="00592679"/>
    <w:rsid w:val="00592804"/>
    <w:rsid w:val="005929AA"/>
    <w:rsid w:val="00592C45"/>
    <w:rsid w:val="00592CAF"/>
    <w:rsid w:val="00592EE6"/>
    <w:rsid w:val="00592F4C"/>
    <w:rsid w:val="00592FF2"/>
    <w:rsid w:val="00593065"/>
    <w:rsid w:val="0059329B"/>
    <w:rsid w:val="00593350"/>
    <w:rsid w:val="0059389C"/>
    <w:rsid w:val="00593C7C"/>
    <w:rsid w:val="00593D33"/>
    <w:rsid w:val="00594208"/>
    <w:rsid w:val="00594506"/>
    <w:rsid w:val="00594523"/>
    <w:rsid w:val="005947B9"/>
    <w:rsid w:val="005947D3"/>
    <w:rsid w:val="00594B0A"/>
    <w:rsid w:val="00594DAE"/>
    <w:rsid w:val="00594F05"/>
    <w:rsid w:val="00595335"/>
    <w:rsid w:val="00595416"/>
    <w:rsid w:val="00595436"/>
    <w:rsid w:val="0059548B"/>
    <w:rsid w:val="005955B7"/>
    <w:rsid w:val="00595632"/>
    <w:rsid w:val="00595729"/>
    <w:rsid w:val="00595AAA"/>
    <w:rsid w:val="00595C20"/>
    <w:rsid w:val="00596072"/>
    <w:rsid w:val="005962A8"/>
    <w:rsid w:val="005965CF"/>
    <w:rsid w:val="005965E6"/>
    <w:rsid w:val="0059661E"/>
    <w:rsid w:val="00596926"/>
    <w:rsid w:val="00596BB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E54"/>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D1"/>
    <w:rsid w:val="005A28BE"/>
    <w:rsid w:val="005A2F44"/>
    <w:rsid w:val="005A2F45"/>
    <w:rsid w:val="005A2F85"/>
    <w:rsid w:val="005A307E"/>
    <w:rsid w:val="005A30B5"/>
    <w:rsid w:val="005A36BC"/>
    <w:rsid w:val="005A37E5"/>
    <w:rsid w:val="005A3933"/>
    <w:rsid w:val="005A3B89"/>
    <w:rsid w:val="005A3DBA"/>
    <w:rsid w:val="005A3EC6"/>
    <w:rsid w:val="005A44AE"/>
    <w:rsid w:val="005A44D3"/>
    <w:rsid w:val="005A4A2A"/>
    <w:rsid w:val="005A4BB0"/>
    <w:rsid w:val="005A4EB2"/>
    <w:rsid w:val="005A4FD3"/>
    <w:rsid w:val="005A523A"/>
    <w:rsid w:val="005A532E"/>
    <w:rsid w:val="005A536D"/>
    <w:rsid w:val="005A53AD"/>
    <w:rsid w:val="005A5532"/>
    <w:rsid w:val="005A5855"/>
    <w:rsid w:val="005A594D"/>
    <w:rsid w:val="005A5953"/>
    <w:rsid w:val="005A5AB5"/>
    <w:rsid w:val="005A5B16"/>
    <w:rsid w:val="005A6109"/>
    <w:rsid w:val="005A624A"/>
    <w:rsid w:val="005A6302"/>
    <w:rsid w:val="005A639A"/>
    <w:rsid w:val="005A63DA"/>
    <w:rsid w:val="005A648B"/>
    <w:rsid w:val="005A6824"/>
    <w:rsid w:val="005A6AD0"/>
    <w:rsid w:val="005A6D88"/>
    <w:rsid w:val="005A6DC0"/>
    <w:rsid w:val="005A6EC5"/>
    <w:rsid w:val="005A6FAD"/>
    <w:rsid w:val="005A7050"/>
    <w:rsid w:val="005A7369"/>
    <w:rsid w:val="005A7536"/>
    <w:rsid w:val="005A7D06"/>
    <w:rsid w:val="005A7E7E"/>
    <w:rsid w:val="005A7F16"/>
    <w:rsid w:val="005B0002"/>
    <w:rsid w:val="005B007D"/>
    <w:rsid w:val="005B02E6"/>
    <w:rsid w:val="005B0464"/>
    <w:rsid w:val="005B0730"/>
    <w:rsid w:val="005B0789"/>
    <w:rsid w:val="005B0DC3"/>
    <w:rsid w:val="005B0EA7"/>
    <w:rsid w:val="005B11F1"/>
    <w:rsid w:val="005B180E"/>
    <w:rsid w:val="005B1BBF"/>
    <w:rsid w:val="005B1ECB"/>
    <w:rsid w:val="005B20D5"/>
    <w:rsid w:val="005B225B"/>
    <w:rsid w:val="005B2331"/>
    <w:rsid w:val="005B2F67"/>
    <w:rsid w:val="005B2FB3"/>
    <w:rsid w:val="005B3152"/>
    <w:rsid w:val="005B356A"/>
    <w:rsid w:val="005B3598"/>
    <w:rsid w:val="005B3761"/>
    <w:rsid w:val="005B3823"/>
    <w:rsid w:val="005B39E2"/>
    <w:rsid w:val="005B3C99"/>
    <w:rsid w:val="005B3E7B"/>
    <w:rsid w:val="005B3EFF"/>
    <w:rsid w:val="005B404D"/>
    <w:rsid w:val="005B40C9"/>
    <w:rsid w:val="005B4888"/>
    <w:rsid w:val="005B49B4"/>
    <w:rsid w:val="005B4D05"/>
    <w:rsid w:val="005B57CD"/>
    <w:rsid w:val="005B58F8"/>
    <w:rsid w:val="005B5F99"/>
    <w:rsid w:val="005B5FF2"/>
    <w:rsid w:val="005B603E"/>
    <w:rsid w:val="005B60C4"/>
    <w:rsid w:val="005B60D3"/>
    <w:rsid w:val="005B65A2"/>
    <w:rsid w:val="005B670A"/>
    <w:rsid w:val="005B6903"/>
    <w:rsid w:val="005B69B6"/>
    <w:rsid w:val="005B6A92"/>
    <w:rsid w:val="005B6B20"/>
    <w:rsid w:val="005B6BD4"/>
    <w:rsid w:val="005B6C58"/>
    <w:rsid w:val="005B6DDD"/>
    <w:rsid w:val="005B6E54"/>
    <w:rsid w:val="005B7074"/>
    <w:rsid w:val="005B71B7"/>
    <w:rsid w:val="005B7328"/>
    <w:rsid w:val="005B752E"/>
    <w:rsid w:val="005B7BBC"/>
    <w:rsid w:val="005C0398"/>
    <w:rsid w:val="005C04CD"/>
    <w:rsid w:val="005C0C8D"/>
    <w:rsid w:val="005C0D6F"/>
    <w:rsid w:val="005C0E2C"/>
    <w:rsid w:val="005C11B0"/>
    <w:rsid w:val="005C129A"/>
    <w:rsid w:val="005C17B9"/>
    <w:rsid w:val="005C1913"/>
    <w:rsid w:val="005C1B09"/>
    <w:rsid w:val="005C1E5C"/>
    <w:rsid w:val="005C1E93"/>
    <w:rsid w:val="005C21A6"/>
    <w:rsid w:val="005C2210"/>
    <w:rsid w:val="005C2594"/>
    <w:rsid w:val="005C25B6"/>
    <w:rsid w:val="005C29AA"/>
    <w:rsid w:val="005C2B1E"/>
    <w:rsid w:val="005C2E53"/>
    <w:rsid w:val="005C3002"/>
    <w:rsid w:val="005C307B"/>
    <w:rsid w:val="005C342F"/>
    <w:rsid w:val="005C3973"/>
    <w:rsid w:val="005C3BDD"/>
    <w:rsid w:val="005C3F31"/>
    <w:rsid w:val="005C4021"/>
    <w:rsid w:val="005C404B"/>
    <w:rsid w:val="005C4719"/>
    <w:rsid w:val="005C4A16"/>
    <w:rsid w:val="005C4A32"/>
    <w:rsid w:val="005C4BC1"/>
    <w:rsid w:val="005C4D3D"/>
    <w:rsid w:val="005C54D3"/>
    <w:rsid w:val="005C5540"/>
    <w:rsid w:val="005C5719"/>
    <w:rsid w:val="005C5911"/>
    <w:rsid w:val="005C5944"/>
    <w:rsid w:val="005C5A89"/>
    <w:rsid w:val="005C5B2A"/>
    <w:rsid w:val="005C5E5C"/>
    <w:rsid w:val="005C63CC"/>
    <w:rsid w:val="005C65F6"/>
    <w:rsid w:val="005C668A"/>
    <w:rsid w:val="005C68F2"/>
    <w:rsid w:val="005C6B27"/>
    <w:rsid w:val="005C6B7E"/>
    <w:rsid w:val="005C6BF1"/>
    <w:rsid w:val="005C6FAA"/>
    <w:rsid w:val="005C710E"/>
    <w:rsid w:val="005C7294"/>
    <w:rsid w:val="005C737F"/>
    <w:rsid w:val="005C7384"/>
    <w:rsid w:val="005C76C6"/>
    <w:rsid w:val="005C7811"/>
    <w:rsid w:val="005C7C45"/>
    <w:rsid w:val="005C7F60"/>
    <w:rsid w:val="005D0079"/>
    <w:rsid w:val="005D02EF"/>
    <w:rsid w:val="005D032D"/>
    <w:rsid w:val="005D0456"/>
    <w:rsid w:val="005D04B0"/>
    <w:rsid w:val="005D0859"/>
    <w:rsid w:val="005D088A"/>
    <w:rsid w:val="005D10FC"/>
    <w:rsid w:val="005D15F9"/>
    <w:rsid w:val="005D1BD8"/>
    <w:rsid w:val="005D1CE6"/>
    <w:rsid w:val="005D23E7"/>
    <w:rsid w:val="005D24D1"/>
    <w:rsid w:val="005D2975"/>
    <w:rsid w:val="005D2AB7"/>
    <w:rsid w:val="005D2CCA"/>
    <w:rsid w:val="005D2DE0"/>
    <w:rsid w:val="005D2FFC"/>
    <w:rsid w:val="005D336D"/>
    <w:rsid w:val="005D35FD"/>
    <w:rsid w:val="005D36A2"/>
    <w:rsid w:val="005D3772"/>
    <w:rsid w:val="005D3842"/>
    <w:rsid w:val="005D396D"/>
    <w:rsid w:val="005D3A16"/>
    <w:rsid w:val="005D3B0D"/>
    <w:rsid w:val="005D3BC1"/>
    <w:rsid w:val="005D3D2C"/>
    <w:rsid w:val="005D3F21"/>
    <w:rsid w:val="005D44B3"/>
    <w:rsid w:val="005D4550"/>
    <w:rsid w:val="005D4579"/>
    <w:rsid w:val="005D45F8"/>
    <w:rsid w:val="005D48E9"/>
    <w:rsid w:val="005D4B6E"/>
    <w:rsid w:val="005D4C8B"/>
    <w:rsid w:val="005D5032"/>
    <w:rsid w:val="005D5407"/>
    <w:rsid w:val="005D5436"/>
    <w:rsid w:val="005D55D2"/>
    <w:rsid w:val="005D563F"/>
    <w:rsid w:val="005D5667"/>
    <w:rsid w:val="005D56B2"/>
    <w:rsid w:val="005D585B"/>
    <w:rsid w:val="005D5925"/>
    <w:rsid w:val="005D5A5F"/>
    <w:rsid w:val="005D5C6B"/>
    <w:rsid w:val="005D5E06"/>
    <w:rsid w:val="005D5E6C"/>
    <w:rsid w:val="005D6028"/>
    <w:rsid w:val="005D621E"/>
    <w:rsid w:val="005D6354"/>
    <w:rsid w:val="005D6848"/>
    <w:rsid w:val="005D68CE"/>
    <w:rsid w:val="005D6961"/>
    <w:rsid w:val="005D6B1F"/>
    <w:rsid w:val="005D6B9A"/>
    <w:rsid w:val="005D6BF0"/>
    <w:rsid w:val="005D6D9E"/>
    <w:rsid w:val="005D6E76"/>
    <w:rsid w:val="005D6EF2"/>
    <w:rsid w:val="005D70EF"/>
    <w:rsid w:val="005D7261"/>
    <w:rsid w:val="005D72C9"/>
    <w:rsid w:val="005D770B"/>
    <w:rsid w:val="005D7A07"/>
    <w:rsid w:val="005D7CC7"/>
    <w:rsid w:val="005D7DA9"/>
    <w:rsid w:val="005E00A6"/>
    <w:rsid w:val="005E019B"/>
    <w:rsid w:val="005E0B26"/>
    <w:rsid w:val="005E1749"/>
    <w:rsid w:val="005E1C8A"/>
    <w:rsid w:val="005E1DA5"/>
    <w:rsid w:val="005E222A"/>
    <w:rsid w:val="005E23E1"/>
    <w:rsid w:val="005E291A"/>
    <w:rsid w:val="005E2B37"/>
    <w:rsid w:val="005E33C3"/>
    <w:rsid w:val="005E3679"/>
    <w:rsid w:val="005E3A8C"/>
    <w:rsid w:val="005E3DB2"/>
    <w:rsid w:val="005E4759"/>
    <w:rsid w:val="005E47C2"/>
    <w:rsid w:val="005E4A56"/>
    <w:rsid w:val="005E4AB6"/>
    <w:rsid w:val="005E4BD8"/>
    <w:rsid w:val="005E4F07"/>
    <w:rsid w:val="005E4FDC"/>
    <w:rsid w:val="005E4FE1"/>
    <w:rsid w:val="005E5327"/>
    <w:rsid w:val="005E55F4"/>
    <w:rsid w:val="005E5605"/>
    <w:rsid w:val="005E58A9"/>
    <w:rsid w:val="005E5AC7"/>
    <w:rsid w:val="005E5B6D"/>
    <w:rsid w:val="005E5D33"/>
    <w:rsid w:val="005E6164"/>
    <w:rsid w:val="005E6402"/>
    <w:rsid w:val="005E6430"/>
    <w:rsid w:val="005E6457"/>
    <w:rsid w:val="005E64C2"/>
    <w:rsid w:val="005E6E35"/>
    <w:rsid w:val="005E6EB7"/>
    <w:rsid w:val="005E72AA"/>
    <w:rsid w:val="005E73CA"/>
    <w:rsid w:val="005E74F8"/>
    <w:rsid w:val="005E76B5"/>
    <w:rsid w:val="005E792F"/>
    <w:rsid w:val="005E7E29"/>
    <w:rsid w:val="005F02EB"/>
    <w:rsid w:val="005F035F"/>
    <w:rsid w:val="005F0396"/>
    <w:rsid w:val="005F03BF"/>
    <w:rsid w:val="005F048D"/>
    <w:rsid w:val="005F049F"/>
    <w:rsid w:val="005F0553"/>
    <w:rsid w:val="005F0580"/>
    <w:rsid w:val="005F0639"/>
    <w:rsid w:val="005F0801"/>
    <w:rsid w:val="005F0F57"/>
    <w:rsid w:val="005F0FC1"/>
    <w:rsid w:val="005F0FD2"/>
    <w:rsid w:val="005F10F4"/>
    <w:rsid w:val="005F173C"/>
    <w:rsid w:val="005F18D0"/>
    <w:rsid w:val="005F1AED"/>
    <w:rsid w:val="005F215B"/>
    <w:rsid w:val="005F22AF"/>
    <w:rsid w:val="005F25BE"/>
    <w:rsid w:val="005F2711"/>
    <w:rsid w:val="005F2739"/>
    <w:rsid w:val="005F27CD"/>
    <w:rsid w:val="005F2AB4"/>
    <w:rsid w:val="005F2BAE"/>
    <w:rsid w:val="005F2D37"/>
    <w:rsid w:val="005F311F"/>
    <w:rsid w:val="005F3171"/>
    <w:rsid w:val="005F31BB"/>
    <w:rsid w:val="005F32DD"/>
    <w:rsid w:val="005F384F"/>
    <w:rsid w:val="005F38C5"/>
    <w:rsid w:val="005F3934"/>
    <w:rsid w:val="005F3ED4"/>
    <w:rsid w:val="005F41ED"/>
    <w:rsid w:val="005F4256"/>
    <w:rsid w:val="005F4407"/>
    <w:rsid w:val="005F449D"/>
    <w:rsid w:val="005F451E"/>
    <w:rsid w:val="005F48CC"/>
    <w:rsid w:val="005F4AD8"/>
    <w:rsid w:val="005F4EB4"/>
    <w:rsid w:val="005F4EF9"/>
    <w:rsid w:val="005F4F45"/>
    <w:rsid w:val="005F4F5C"/>
    <w:rsid w:val="005F4FE9"/>
    <w:rsid w:val="005F50B6"/>
    <w:rsid w:val="005F51F0"/>
    <w:rsid w:val="005F57E0"/>
    <w:rsid w:val="005F58FD"/>
    <w:rsid w:val="005F599E"/>
    <w:rsid w:val="005F59C1"/>
    <w:rsid w:val="005F5B2D"/>
    <w:rsid w:val="005F5ED6"/>
    <w:rsid w:val="005F5FE6"/>
    <w:rsid w:val="005F645C"/>
    <w:rsid w:val="005F64D4"/>
    <w:rsid w:val="005F699D"/>
    <w:rsid w:val="005F6C2C"/>
    <w:rsid w:val="005F6EFA"/>
    <w:rsid w:val="005F7011"/>
    <w:rsid w:val="005F70F0"/>
    <w:rsid w:val="005F71A9"/>
    <w:rsid w:val="005F72F4"/>
    <w:rsid w:val="005F741B"/>
    <w:rsid w:val="005F74FA"/>
    <w:rsid w:val="005F7602"/>
    <w:rsid w:val="005F7682"/>
    <w:rsid w:val="005F7CBF"/>
    <w:rsid w:val="005F7E87"/>
    <w:rsid w:val="005F7E9E"/>
    <w:rsid w:val="005F7ED5"/>
    <w:rsid w:val="005F7FB9"/>
    <w:rsid w:val="00600076"/>
    <w:rsid w:val="00600132"/>
    <w:rsid w:val="006002C0"/>
    <w:rsid w:val="00600305"/>
    <w:rsid w:val="00600574"/>
    <w:rsid w:val="00600AC3"/>
    <w:rsid w:val="00600BA5"/>
    <w:rsid w:val="00600BE4"/>
    <w:rsid w:val="00600D25"/>
    <w:rsid w:val="006011AF"/>
    <w:rsid w:val="00601496"/>
    <w:rsid w:val="006016F4"/>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76B"/>
    <w:rsid w:val="00603A39"/>
    <w:rsid w:val="006046C4"/>
    <w:rsid w:val="00604734"/>
    <w:rsid w:val="00604770"/>
    <w:rsid w:val="00604AD6"/>
    <w:rsid w:val="00604D09"/>
    <w:rsid w:val="00604EDD"/>
    <w:rsid w:val="0060537C"/>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BB7"/>
    <w:rsid w:val="00606E3F"/>
    <w:rsid w:val="0060721E"/>
    <w:rsid w:val="006072FB"/>
    <w:rsid w:val="00607405"/>
    <w:rsid w:val="00607457"/>
    <w:rsid w:val="0060748A"/>
    <w:rsid w:val="00607676"/>
    <w:rsid w:val="006076E4"/>
    <w:rsid w:val="00607948"/>
    <w:rsid w:val="006079E8"/>
    <w:rsid w:val="00607B0C"/>
    <w:rsid w:val="00607ECB"/>
    <w:rsid w:val="0061021C"/>
    <w:rsid w:val="006104D8"/>
    <w:rsid w:val="00610920"/>
    <w:rsid w:val="00610B2D"/>
    <w:rsid w:val="00610CCC"/>
    <w:rsid w:val="006114E4"/>
    <w:rsid w:val="00611605"/>
    <w:rsid w:val="00611A40"/>
    <w:rsid w:val="00611C07"/>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5B17"/>
    <w:rsid w:val="00615E7C"/>
    <w:rsid w:val="00615FA2"/>
    <w:rsid w:val="00616057"/>
    <w:rsid w:val="0061636D"/>
    <w:rsid w:val="006168DF"/>
    <w:rsid w:val="0061698F"/>
    <w:rsid w:val="00616A4C"/>
    <w:rsid w:val="00616CB2"/>
    <w:rsid w:val="006174C4"/>
    <w:rsid w:val="00617613"/>
    <w:rsid w:val="00617B36"/>
    <w:rsid w:val="00620093"/>
    <w:rsid w:val="006202D7"/>
    <w:rsid w:val="006203E2"/>
    <w:rsid w:val="00620414"/>
    <w:rsid w:val="0062047E"/>
    <w:rsid w:val="006206D0"/>
    <w:rsid w:val="006207AE"/>
    <w:rsid w:val="00620976"/>
    <w:rsid w:val="00620D10"/>
    <w:rsid w:val="00620E82"/>
    <w:rsid w:val="00620EC4"/>
    <w:rsid w:val="0062105C"/>
    <w:rsid w:val="006211AB"/>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3071"/>
    <w:rsid w:val="00623114"/>
    <w:rsid w:val="00623180"/>
    <w:rsid w:val="0062330E"/>
    <w:rsid w:val="00623327"/>
    <w:rsid w:val="0062335C"/>
    <w:rsid w:val="006236F1"/>
    <w:rsid w:val="00623B86"/>
    <w:rsid w:val="00623E9D"/>
    <w:rsid w:val="00624010"/>
    <w:rsid w:val="006242E3"/>
    <w:rsid w:val="006247DF"/>
    <w:rsid w:val="00624804"/>
    <w:rsid w:val="00624919"/>
    <w:rsid w:val="006249AF"/>
    <w:rsid w:val="00624A21"/>
    <w:rsid w:val="00624AAA"/>
    <w:rsid w:val="00624BC5"/>
    <w:rsid w:val="0062528A"/>
    <w:rsid w:val="006252D0"/>
    <w:rsid w:val="00625701"/>
    <w:rsid w:val="006259FA"/>
    <w:rsid w:val="00625AFD"/>
    <w:rsid w:val="00625C94"/>
    <w:rsid w:val="00625E11"/>
    <w:rsid w:val="00626043"/>
    <w:rsid w:val="0062606A"/>
    <w:rsid w:val="006261EB"/>
    <w:rsid w:val="00626513"/>
    <w:rsid w:val="00626622"/>
    <w:rsid w:val="00626664"/>
    <w:rsid w:val="00626959"/>
    <w:rsid w:val="006269EF"/>
    <w:rsid w:val="006269F6"/>
    <w:rsid w:val="0062711B"/>
    <w:rsid w:val="006274B7"/>
    <w:rsid w:val="0062759C"/>
    <w:rsid w:val="00627D8F"/>
    <w:rsid w:val="00627E72"/>
    <w:rsid w:val="00627EA6"/>
    <w:rsid w:val="00630146"/>
    <w:rsid w:val="0063019B"/>
    <w:rsid w:val="00630254"/>
    <w:rsid w:val="00630272"/>
    <w:rsid w:val="006302E5"/>
    <w:rsid w:val="00630341"/>
    <w:rsid w:val="006307BB"/>
    <w:rsid w:val="006307CB"/>
    <w:rsid w:val="00630865"/>
    <w:rsid w:val="006309C3"/>
    <w:rsid w:val="00630B19"/>
    <w:rsid w:val="00630BC2"/>
    <w:rsid w:val="00630BFE"/>
    <w:rsid w:val="00630C59"/>
    <w:rsid w:val="00630D89"/>
    <w:rsid w:val="00630FE0"/>
    <w:rsid w:val="00631034"/>
    <w:rsid w:val="00631229"/>
    <w:rsid w:val="00631426"/>
    <w:rsid w:val="006314B3"/>
    <w:rsid w:val="006317F0"/>
    <w:rsid w:val="006318C2"/>
    <w:rsid w:val="00631A0C"/>
    <w:rsid w:val="00631A74"/>
    <w:rsid w:val="00631CB9"/>
    <w:rsid w:val="00631D94"/>
    <w:rsid w:val="00631EB7"/>
    <w:rsid w:val="00631F57"/>
    <w:rsid w:val="00631F8E"/>
    <w:rsid w:val="00631FC4"/>
    <w:rsid w:val="006322A4"/>
    <w:rsid w:val="006322FC"/>
    <w:rsid w:val="006323A0"/>
    <w:rsid w:val="006325B9"/>
    <w:rsid w:val="0063276B"/>
    <w:rsid w:val="006327B3"/>
    <w:rsid w:val="00632A99"/>
    <w:rsid w:val="00632DC9"/>
    <w:rsid w:val="00632FB8"/>
    <w:rsid w:val="006330FD"/>
    <w:rsid w:val="0063330C"/>
    <w:rsid w:val="006333DF"/>
    <w:rsid w:val="006334E6"/>
    <w:rsid w:val="00633542"/>
    <w:rsid w:val="00633BAA"/>
    <w:rsid w:val="00633C1F"/>
    <w:rsid w:val="00633D22"/>
    <w:rsid w:val="00634212"/>
    <w:rsid w:val="00634723"/>
    <w:rsid w:val="00634764"/>
    <w:rsid w:val="006347EB"/>
    <w:rsid w:val="00634986"/>
    <w:rsid w:val="00634AFC"/>
    <w:rsid w:val="00634B07"/>
    <w:rsid w:val="00635674"/>
    <w:rsid w:val="00635835"/>
    <w:rsid w:val="00635F69"/>
    <w:rsid w:val="006362B2"/>
    <w:rsid w:val="00636440"/>
    <w:rsid w:val="0063675D"/>
    <w:rsid w:val="00636942"/>
    <w:rsid w:val="006369C7"/>
    <w:rsid w:val="00636A13"/>
    <w:rsid w:val="00636A1E"/>
    <w:rsid w:val="00636AB1"/>
    <w:rsid w:val="00636BC1"/>
    <w:rsid w:val="00636BE3"/>
    <w:rsid w:val="00636C82"/>
    <w:rsid w:val="00637207"/>
    <w:rsid w:val="00637514"/>
    <w:rsid w:val="0063757B"/>
    <w:rsid w:val="00637605"/>
    <w:rsid w:val="00637668"/>
    <w:rsid w:val="0063771C"/>
    <w:rsid w:val="00637955"/>
    <w:rsid w:val="00637A0E"/>
    <w:rsid w:val="00637B2E"/>
    <w:rsid w:val="00637D07"/>
    <w:rsid w:val="006401B7"/>
    <w:rsid w:val="00640575"/>
    <w:rsid w:val="006405B9"/>
    <w:rsid w:val="006407B6"/>
    <w:rsid w:val="00640A73"/>
    <w:rsid w:val="00640E8D"/>
    <w:rsid w:val="00640FC0"/>
    <w:rsid w:val="00641130"/>
    <w:rsid w:val="00641284"/>
    <w:rsid w:val="006412BA"/>
    <w:rsid w:val="00641492"/>
    <w:rsid w:val="006414CC"/>
    <w:rsid w:val="00641A10"/>
    <w:rsid w:val="00641C6D"/>
    <w:rsid w:val="00641D8F"/>
    <w:rsid w:val="00641FC0"/>
    <w:rsid w:val="0064202D"/>
    <w:rsid w:val="00642245"/>
    <w:rsid w:val="0064224A"/>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8CC"/>
    <w:rsid w:val="00644CBB"/>
    <w:rsid w:val="00644D6E"/>
    <w:rsid w:val="00644EBD"/>
    <w:rsid w:val="00645218"/>
    <w:rsid w:val="0064573F"/>
    <w:rsid w:val="00645AE4"/>
    <w:rsid w:val="006463DB"/>
    <w:rsid w:val="006464DA"/>
    <w:rsid w:val="006465F8"/>
    <w:rsid w:val="0064695D"/>
    <w:rsid w:val="00646A70"/>
    <w:rsid w:val="00646DFA"/>
    <w:rsid w:val="00646E0D"/>
    <w:rsid w:val="00646F0D"/>
    <w:rsid w:val="00646F40"/>
    <w:rsid w:val="0064725E"/>
    <w:rsid w:val="0064736E"/>
    <w:rsid w:val="00647402"/>
    <w:rsid w:val="00647B99"/>
    <w:rsid w:val="00647D06"/>
    <w:rsid w:val="00647E7B"/>
    <w:rsid w:val="00647ED1"/>
    <w:rsid w:val="00650002"/>
    <w:rsid w:val="006502FC"/>
    <w:rsid w:val="00650441"/>
    <w:rsid w:val="00650683"/>
    <w:rsid w:val="00650A9A"/>
    <w:rsid w:val="00650D13"/>
    <w:rsid w:val="00650D42"/>
    <w:rsid w:val="00650F31"/>
    <w:rsid w:val="00651076"/>
    <w:rsid w:val="00651223"/>
    <w:rsid w:val="00651373"/>
    <w:rsid w:val="00651490"/>
    <w:rsid w:val="006514DB"/>
    <w:rsid w:val="0065157A"/>
    <w:rsid w:val="00651918"/>
    <w:rsid w:val="00651A5C"/>
    <w:rsid w:val="00651D5F"/>
    <w:rsid w:val="00651D6E"/>
    <w:rsid w:val="00651E7E"/>
    <w:rsid w:val="00652258"/>
    <w:rsid w:val="006523E8"/>
    <w:rsid w:val="006525C5"/>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77D"/>
    <w:rsid w:val="006559E7"/>
    <w:rsid w:val="00655F67"/>
    <w:rsid w:val="00656011"/>
    <w:rsid w:val="006563B4"/>
    <w:rsid w:val="006567CE"/>
    <w:rsid w:val="00656ACD"/>
    <w:rsid w:val="006574DF"/>
    <w:rsid w:val="006575D0"/>
    <w:rsid w:val="006579FD"/>
    <w:rsid w:val="00657E2A"/>
    <w:rsid w:val="00657EF2"/>
    <w:rsid w:val="00657FFC"/>
    <w:rsid w:val="006605A7"/>
    <w:rsid w:val="00660807"/>
    <w:rsid w:val="0066093C"/>
    <w:rsid w:val="00660947"/>
    <w:rsid w:val="00660A11"/>
    <w:rsid w:val="00660A2B"/>
    <w:rsid w:val="00660B0B"/>
    <w:rsid w:val="00660C01"/>
    <w:rsid w:val="00660C30"/>
    <w:rsid w:val="00660C46"/>
    <w:rsid w:val="00660E35"/>
    <w:rsid w:val="00661191"/>
    <w:rsid w:val="0066119E"/>
    <w:rsid w:val="006612D1"/>
    <w:rsid w:val="0066157A"/>
    <w:rsid w:val="0066162F"/>
    <w:rsid w:val="006618D4"/>
    <w:rsid w:val="006619A4"/>
    <w:rsid w:val="006621EF"/>
    <w:rsid w:val="0066247E"/>
    <w:rsid w:val="00662533"/>
    <w:rsid w:val="00662556"/>
    <w:rsid w:val="00662727"/>
    <w:rsid w:val="00662898"/>
    <w:rsid w:val="00662BB0"/>
    <w:rsid w:val="00662E68"/>
    <w:rsid w:val="00662EB7"/>
    <w:rsid w:val="00662EE5"/>
    <w:rsid w:val="006630CB"/>
    <w:rsid w:val="0066327C"/>
    <w:rsid w:val="006635CB"/>
    <w:rsid w:val="00663955"/>
    <w:rsid w:val="00663B3C"/>
    <w:rsid w:val="00663BD1"/>
    <w:rsid w:val="00663FA2"/>
    <w:rsid w:val="00663FAD"/>
    <w:rsid w:val="0066401C"/>
    <w:rsid w:val="00664192"/>
    <w:rsid w:val="006642CA"/>
    <w:rsid w:val="006644F2"/>
    <w:rsid w:val="006645FE"/>
    <w:rsid w:val="0066462C"/>
    <w:rsid w:val="00664CA5"/>
    <w:rsid w:val="00665170"/>
    <w:rsid w:val="006654E8"/>
    <w:rsid w:val="00665803"/>
    <w:rsid w:val="00665829"/>
    <w:rsid w:val="006659C6"/>
    <w:rsid w:val="00665A65"/>
    <w:rsid w:val="00665B53"/>
    <w:rsid w:val="00665C03"/>
    <w:rsid w:val="00666097"/>
    <w:rsid w:val="00666355"/>
    <w:rsid w:val="006663B8"/>
    <w:rsid w:val="00666528"/>
    <w:rsid w:val="0066659E"/>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209"/>
    <w:rsid w:val="006702F1"/>
    <w:rsid w:val="00670413"/>
    <w:rsid w:val="00670456"/>
    <w:rsid w:val="00670815"/>
    <w:rsid w:val="0067085A"/>
    <w:rsid w:val="006708B6"/>
    <w:rsid w:val="00670C2C"/>
    <w:rsid w:val="00670DCD"/>
    <w:rsid w:val="00670E7B"/>
    <w:rsid w:val="00671152"/>
    <w:rsid w:val="00671194"/>
    <w:rsid w:val="006713DA"/>
    <w:rsid w:val="00671824"/>
    <w:rsid w:val="00671A0D"/>
    <w:rsid w:val="00671AEA"/>
    <w:rsid w:val="00671BCF"/>
    <w:rsid w:val="00671C19"/>
    <w:rsid w:val="006722AE"/>
    <w:rsid w:val="006723AC"/>
    <w:rsid w:val="006724BA"/>
    <w:rsid w:val="00672639"/>
    <w:rsid w:val="0067267B"/>
    <w:rsid w:val="0067288A"/>
    <w:rsid w:val="00672D2B"/>
    <w:rsid w:val="00672D84"/>
    <w:rsid w:val="00673024"/>
    <w:rsid w:val="006733C6"/>
    <w:rsid w:val="00673687"/>
    <w:rsid w:val="00673BA1"/>
    <w:rsid w:val="00673BE3"/>
    <w:rsid w:val="00673E19"/>
    <w:rsid w:val="00674596"/>
    <w:rsid w:val="00674BD5"/>
    <w:rsid w:val="00674DAE"/>
    <w:rsid w:val="00674F95"/>
    <w:rsid w:val="00675379"/>
    <w:rsid w:val="0067561D"/>
    <w:rsid w:val="00675628"/>
    <w:rsid w:val="0067583A"/>
    <w:rsid w:val="006758AD"/>
    <w:rsid w:val="00675B79"/>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3044"/>
    <w:rsid w:val="00683238"/>
    <w:rsid w:val="00683471"/>
    <w:rsid w:val="006834FA"/>
    <w:rsid w:val="006835A5"/>
    <w:rsid w:val="0068374C"/>
    <w:rsid w:val="006839F5"/>
    <w:rsid w:val="00683C9D"/>
    <w:rsid w:val="0068454A"/>
    <w:rsid w:val="00684ACD"/>
    <w:rsid w:val="00684B8F"/>
    <w:rsid w:val="006853DA"/>
    <w:rsid w:val="00685632"/>
    <w:rsid w:val="00685A09"/>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5FB"/>
    <w:rsid w:val="0068768A"/>
    <w:rsid w:val="00687AFD"/>
    <w:rsid w:val="00687C7A"/>
    <w:rsid w:val="00687D0D"/>
    <w:rsid w:val="00687D9F"/>
    <w:rsid w:val="006901A5"/>
    <w:rsid w:val="006902AC"/>
    <w:rsid w:val="0069030C"/>
    <w:rsid w:val="0069032C"/>
    <w:rsid w:val="00690509"/>
    <w:rsid w:val="00690722"/>
    <w:rsid w:val="00690740"/>
    <w:rsid w:val="00690D91"/>
    <w:rsid w:val="00691377"/>
    <w:rsid w:val="00691490"/>
    <w:rsid w:val="0069155C"/>
    <w:rsid w:val="006917AE"/>
    <w:rsid w:val="00691B47"/>
    <w:rsid w:val="00691B6D"/>
    <w:rsid w:val="00691DEA"/>
    <w:rsid w:val="00691F17"/>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C4A"/>
    <w:rsid w:val="00693D53"/>
    <w:rsid w:val="00694568"/>
    <w:rsid w:val="00694572"/>
    <w:rsid w:val="0069467E"/>
    <w:rsid w:val="00694755"/>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6822"/>
    <w:rsid w:val="00696C09"/>
    <w:rsid w:val="00696C0D"/>
    <w:rsid w:val="00696CF7"/>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D1A"/>
    <w:rsid w:val="006A121A"/>
    <w:rsid w:val="006A15AB"/>
    <w:rsid w:val="006A17A2"/>
    <w:rsid w:val="006A1D19"/>
    <w:rsid w:val="006A1FFE"/>
    <w:rsid w:val="006A203D"/>
    <w:rsid w:val="006A20EF"/>
    <w:rsid w:val="006A233A"/>
    <w:rsid w:val="006A244D"/>
    <w:rsid w:val="006A2721"/>
    <w:rsid w:val="006A292C"/>
    <w:rsid w:val="006A31E7"/>
    <w:rsid w:val="006A36D1"/>
    <w:rsid w:val="006A3AB6"/>
    <w:rsid w:val="006A3AF3"/>
    <w:rsid w:val="006A3E5A"/>
    <w:rsid w:val="006A401F"/>
    <w:rsid w:val="006A40CC"/>
    <w:rsid w:val="006A4128"/>
    <w:rsid w:val="006A4185"/>
    <w:rsid w:val="006A440E"/>
    <w:rsid w:val="006A4510"/>
    <w:rsid w:val="006A4732"/>
    <w:rsid w:val="006A492C"/>
    <w:rsid w:val="006A4ECD"/>
    <w:rsid w:val="006A50D4"/>
    <w:rsid w:val="006A50FD"/>
    <w:rsid w:val="006A560E"/>
    <w:rsid w:val="006A56AF"/>
    <w:rsid w:val="006A572F"/>
    <w:rsid w:val="006A59DB"/>
    <w:rsid w:val="006A619C"/>
    <w:rsid w:val="006A62BD"/>
    <w:rsid w:val="006A638B"/>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9D6"/>
    <w:rsid w:val="006A7A5F"/>
    <w:rsid w:val="006A7D87"/>
    <w:rsid w:val="006A7E11"/>
    <w:rsid w:val="006A7E37"/>
    <w:rsid w:val="006B006E"/>
    <w:rsid w:val="006B01E0"/>
    <w:rsid w:val="006B0671"/>
    <w:rsid w:val="006B0674"/>
    <w:rsid w:val="006B06A9"/>
    <w:rsid w:val="006B1003"/>
    <w:rsid w:val="006B1449"/>
    <w:rsid w:val="006B179D"/>
    <w:rsid w:val="006B1815"/>
    <w:rsid w:val="006B1ACC"/>
    <w:rsid w:val="006B1C2B"/>
    <w:rsid w:val="006B1C4E"/>
    <w:rsid w:val="006B1E1A"/>
    <w:rsid w:val="006B1E6E"/>
    <w:rsid w:val="006B1FAF"/>
    <w:rsid w:val="006B24F7"/>
    <w:rsid w:val="006B261E"/>
    <w:rsid w:val="006B29B7"/>
    <w:rsid w:val="006B29C5"/>
    <w:rsid w:val="006B2DC8"/>
    <w:rsid w:val="006B3054"/>
    <w:rsid w:val="006B36B9"/>
    <w:rsid w:val="006B37B0"/>
    <w:rsid w:val="006B3809"/>
    <w:rsid w:val="006B398D"/>
    <w:rsid w:val="006B3B6C"/>
    <w:rsid w:val="006B3CA1"/>
    <w:rsid w:val="006B3D55"/>
    <w:rsid w:val="006B3F75"/>
    <w:rsid w:val="006B4499"/>
    <w:rsid w:val="006B48A6"/>
    <w:rsid w:val="006B49A8"/>
    <w:rsid w:val="006B4CAE"/>
    <w:rsid w:val="006B4E36"/>
    <w:rsid w:val="006B53C2"/>
    <w:rsid w:val="006B5575"/>
    <w:rsid w:val="006B5619"/>
    <w:rsid w:val="006B5624"/>
    <w:rsid w:val="006B58D8"/>
    <w:rsid w:val="006B5A24"/>
    <w:rsid w:val="006B6074"/>
    <w:rsid w:val="006B61BE"/>
    <w:rsid w:val="006B627F"/>
    <w:rsid w:val="006B63E5"/>
    <w:rsid w:val="006B666A"/>
    <w:rsid w:val="006B69B8"/>
    <w:rsid w:val="006B6A84"/>
    <w:rsid w:val="006B6BDF"/>
    <w:rsid w:val="006B6CF2"/>
    <w:rsid w:val="006B6D19"/>
    <w:rsid w:val="006B6D74"/>
    <w:rsid w:val="006B728E"/>
    <w:rsid w:val="006B7AB6"/>
    <w:rsid w:val="006B7B20"/>
    <w:rsid w:val="006B7CB2"/>
    <w:rsid w:val="006B7DFB"/>
    <w:rsid w:val="006B7FA1"/>
    <w:rsid w:val="006C0012"/>
    <w:rsid w:val="006C008C"/>
    <w:rsid w:val="006C0294"/>
    <w:rsid w:val="006C0346"/>
    <w:rsid w:val="006C0487"/>
    <w:rsid w:val="006C05BC"/>
    <w:rsid w:val="006C06CE"/>
    <w:rsid w:val="006C075E"/>
    <w:rsid w:val="006C0A79"/>
    <w:rsid w:val="006C0B2D"/>
    <w:rsid w:val="006C0C5B"/>
    <w:rsid w:val="006C0CC4"/>
    <w:rsid w:val="006C1241"/>
    <w:rsid w:val="006C128B"/>
    <w:rsid w:val="006C1325"/>
    <w:rsid w:val="006C15D6"/>
    <w:rsid w:val="006C1619"/>
    <w:rsid w:val="006C1723"/>
    <w:rsid w:val="006C181C"/>
    <w:rsid w:val="006C1BE9"/>
    <w:rsid w:val="006C2063"/>
    <w:rsid w:val="006C23A8"/>
    <w:rsid w:val="006C24B5"/>
    <w:rsid w:val="006C267A"/>
    <w:rsid w:val="006C280A"/>
    <w:rsid w:val="006C2820"/>
    <w:rsid w:val="006C2986"/>
    <w:rsid w:val="006C2A0D"/>
    <w:rsid w:val="006C2AF2"/>
    <w:rsid w:val="006C2D2F"/>
    <w:rsid w:val="006C32F8"/>
    <w:rsid w:val="006C335A"/>
    <w:rsid w:val="006C363F"/>
    <w:rsid w:val="006C3ACC"/>
    <w:rsid w:val="006C3D37"/>
    <w:rsid w:val="006C3ED5"/>
    <w:rsid w:val="006C4171"/>
    <w:rsid w:val="006C42C2"/>
    <w:rsid w:val="006C44AB"/>
    <w:rsid w:val="006C44F0"/>
    <w:rsid w:val="006C453E"/>
    <w:rsid w:val="006C475C"/>
    <w:rsid w:val="006C4872"/>
    <w:rsid w:val="006C4980"/>
    <w:rsid w:val="006C4C23"/>
    <w:rsid w:val="006C4E9A"/>
    <w:rsid w:val="006C512C"/>
    <w:rsid w:val="006C52A4"/>
    <w:rsid w:val="006C55E2"/>
    <w:rsid w:val="006C5614"/>
    <w:rsid w:val="006C57DE"/>
    <w:rsid w:val="006C58ED"/>
    <w:rsid w:val="006C5E1A"/>
    <w:rsid w:val="006C61B4"/>
    <w:rsid w:val="006C632A"/>
    <w:rsid w:val="006C6376"/>
    <w:rsid w:val="006C670C"/>
    <w:rsid w:val="006C67F9"/>
    <w:rsid w:val="006C6A18"/>
    <w:rsid w:val="006C6B97"/>
    <w:rsid w:val="006C6C08"/>
    <w:rsid w:val="006C6C46"/>
    <w:rsid w:val="006C6CFA"/>
    <w:rsid w:val="006C6DB8"/>
    <w:rsid w:val="006C724E"/>
    <w:rsid w:val="006C7340"/>
    <w:rsid w:val="006C74E6"/>
    <w:rsid w:val="006C79CE"/>
    <w:rsid w:val="006C7DF9"/>
    <w:rsid w:val="006D0352"/>
    <w:rsid w:val="006D0A56"/>
    <w:rsid w:val="006D0C43"/>
    <w:rsid w:val="006D0E75"/>
    <w:rsid w:val="006D0F2A"/>
    <w:rsid w:val="006D1130"/>
    <w:rsid w:val="006D15BE"/>
    <w:rsid w:val="006D1725"/>
    <w:rsid w:val="006D191A"/>
    <w:rsid w:val="006D1935"/>
    <w:rsid w:val="006D19C7"/>
    <w:rsid w:val="006D19FF"/>
    <w:rsid w:val="006D1B3B"/>
    <w:rsid w:val="006D1D65"/>
    <w:rsid w:val="006D20DB"/>
    <w:rsid w:val="006D21DA"/>
    <w:rsid w:val="006D2631"/>
    <w:rsid w:val="006D29B4"/>
    <w:rsid w:val="006D2B4E"/>
    <w:rsid w:val="006D2EF2"/>
    <w:rsid w:val="006D3042"/>
    <w:rsid w:val="006D30DF"/>
    <w:rsid w:val="006D342A"/>
    <w:rsid w:val="006D34DF"/>
    <w:rsid w:val="006D38A7"/>
    <w:rsid w:val="006D3A97"/>
    <w:rsid w:val="006D3B23"/>
    <w:rsid w:val="006D3BF5"/>
    <w:rsid w:val="006D3CA6"/>
    <w:rsid w:val="006D42C5"/>
    <w:rsid w:val="006D44F2"/>
    <w:rsid w:val="006D455A"/>
    <w:rsid w:val="006D4A83"/>
    <w:rsid w:val="006D4DD2"/>
    <w:rsid w:val="006D4E72"/>
    <w:rsid w:val="006D4E86"/>
    <w:rsid w:val="006D5150"/>
    <w:rsid w:val="006D5889"/>
    <w:rsid w:val="006D5DE2"/>
    <w:rsid w:val="006D5EB1"/>
    <w:rsid w:val="006D60F1"/>
    <w:rsid w:val="006D6246"/>
    <w:rsid w:val="006D6267"/>
    <w:rsid w:val="006D62A6"/>
    <w:rsid w:val="006D647A"/>
    <w:rsid w:val="006D659B"/>
    <w:rsid w:val="006D68CD"/>
    <w:rsid w:val="006D697D"/>
    <w:rsid w:val="006D6C35"/>
    <w:rsid w:val="006D6C36"/>
    <w:rsid w:val="006D6E74"/>
    <w:rsid w:val="006D6FC2"/>
    <w:rsid w:val="006D6FC3"/>
    <w:rsid w:val="006D7070"/>
    <w:rsid w:val="006D71CE"/>
    <w:rsid w:val="006D720A"/>
    <w:rsid w:val="006D72C2"/>
    <w:rsid w:val="006D74CC"/>
    <w:rsid w:val="006D74EF"/>
    <w:rsid w:val="006D760C"/>
    <w:rsid w:val="006D7914"/>
    <w:rsid w:val="006D7B05"/>
    <w:rsid w:val="006E0388"/>
    <w:rsid w:val="006E03F6"/>
    <w:rsid w:val="006E0413"/>
    <w:rsid w:val="006E056A"/>
    <w:rsid w:val="006E05F2"/>
    <w:rsid w:val="006E0760"/>
    <w:rsid w:val="006E0ABA"/>
    <w:rsid w:val="006E0AFE"/>
    <w:rsid w:val="006E0BE7"/>
    <w:rsid w:val="006E0C33"/>
    <w:rsid w:val="006E0CD0"/>
    <w:rsid w:val="006E0D88"/>
    <w:rsid w:val="006E0DDD"/>
    <w:rsid w:val="006E0E66"/>
    <w:rsid w:val="006E0F8E"/>
    <w:rsid w:val="006E10FC"/>
    <w:rsid w:val="006E1228"/>
    <w:rsid w:val="006E1563"/>
    <w:rsid w:val="006E157D"/>
    <w:rsid w:val="006E159A"/>
    <w:rsid w:val="006E15FC"/>
    <w:rsid w:val="006E16B5"/>
    <w:rsid w:val="006E16F8"/>
    <w:rsid w:val="006E1957"/>
    <w:rsid w:val="006E1B9A"/>
    <w:rsid w:val="006E1F38"/>
    <w:rsid w:val="006E202F"/>
    <w:rsid w:val="006E209F"/>
    <w:rsid w:val="006E233C"/>
    <w:rsid w:val="006E24AB"/>
    <w:rsid w:val="006E2649"/>
    <w:rsid w:val="006E27AC"/>
    <w:rsid w:val="006E2B6F"/>
    <w:rsid w:val="006E3029"/>
    <w:rsid w:val="006E315D"/>
    <w:rsid w:val="006E316F"/>
    <w:rsid w:val="006E3340"/>
    <w:rsid w:val="006E33DD"/>
    <w:rsid w:val="006E361A"/>
    <w:rsid w:val="006E39A4"/>
    <w:rsid w:val="006E3A24"/>
    <w:rsid w:val="006E3BF4"/>
    <w:rsid w:val="006E3D1B"/>
    <w:rsid w:val="006E3D46"/>
    <w:rsid w:val="006E42A7"/>
    <w:rsid w:val="006E456D"/>
    <w:rsid w:val="006E474D"/>
    <w:rsid w:val="006E4C0A"/>
    <w:rsid w:val="006E4C39"/>
    <w:rsid w:val="006E4D1E"/>
    <w:rsid w:val="006E4D65"/>
    <w:rsid w:val="006E4F8F"/>
    <w:rsid w:val="006E5092"/>
    <w:rsid w:val="006E55C2"/>
    <w:rsid w:val="006E55F8"/>
    <w:rsid w:val="006E592C"/>
    <w:rsid w:val="006E5CB6"/>
    <w:rsid w:val="006E61F1"/>
    <w:rsid w:val="006E6590"/>
    <w:rsid w:val="006E65D7"/>
    <w:rsid w:val="006E6602"/>
    <w:rsid w:val="006E665D"/>
    <w:rsid w:val="006E6877"/>
    <w:rsid w:val="006E697D"/>
    <w:rsid w:val="006E6AA9"/>
    <w:rsid w:val="006E6C24"/>
    <w:rsid w:val="006E7119"/>
    <w:rsid w:val="006E73A5"/>
    <w:rsid w:val="006E7684"/>
    <w:rsid w:val="006E7802"/>
    <w:rsid w:val="006E78AF"/>
    <w:rsid w:val="006E7C40"/>
    <w:rsid w:val="006F003B"/>
    <w:rsid w:val="006F00E8"/>
    <w:rsid w:val="006F0106"/>
    <w:rsid w:val="006F0193"/>
    <w:rsid w:val="006F0427"/>
    <w:rsid w:val="006F075E"/>
    <w:rsid w:val="006F087C"/>
    <w:rsid w:val="006F0AB6"/>
    <w:rsid w:val="006F0B68"/>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220D"/>
    <w:rsid w:val="006F276D"/>
    <w:rsid w:val="006F2962"/>
    <w:rsid w:val="006F296E"/>
    <w:rsid w:val="006F2A88"/>
    <w:rsid w:val="006F2DB7"/>
    <w:rsid w:val="006F2EB4"/>
    <w:rsid w:val="006F3826"/>
    <w:rsid w:val="006F38DB"/>
    <w:rsid w:val="006F3AAE"/>
    <w:rsid w:val="006F3CB4"/>
    <w:rsid w:val="006F3FE5"/>
    <w:rsid w:val="006F417F"/>
    <w:rsid w:val="006F431D"/>
    <w:rsid w:val="006F436F"/>
    <w:rsid w:val="006F449A"/>
    <w:rsid w:val="006F4576"/>
    <w:rsid w:val="006F464B"/>
    <w:rsid w:val="006F4A1B"/>
    <w:rsid w:val="006F4AA0"/>
    <w:rsid w:val="006F4BBD"/>
    <w:rsid w:val="006F4D37"/>
    <w:rsid w:val="006F5040"/>
    <w:rsid w:val="006F5283"/>
    <w:rsid w:val="006F542F"/>
    <w:rsid w:val="006F55DB"/>
    <w:rsid w:val="006F57CB"/>
    <w:rsid w:val="006F5823"/>
    <w:rsid w:val="006F5B06"/>
    <w:rsid w:val="006F5BFA"/>
    <w:rsid w:val="006F5EAC"/>
    <w:rsid w:val="006F5ED8"/>
    <w:rsid w:val="006F5F73"/>
    <w:rsid w:val="006F6549"/>
    <w:rsid w:val="006F68B9"/>
    <w:rsid w:val="006F69AA"/>
    <w:rsid w:val="006F6A8C"/>
    <w:rsid w:val="006F6BA8"/>
    <w:rsid w:val="006F6CD0"/>
    <w:rsid w:val="006F6EFC"/>
    <w:rsid w:val="006F7365"/>
    <w:rsid w:val="006F7423"/>
    <w:rsid w:val="006F7586"/>
    <w:rsid w:val="006F772D"/>
    <w:rsid w:val="006F78B8"/>
    <w:rsid w:val="006F7B25"/>
    <w:rsid w:val="006F7C76"/>
    <w:rsid w:val="006F7F88"/>
    <w:rsid w:val="007001F0"/>
    <w:rsid w:val="00700261"/>
    <w:rsid w:val="007003B6"/>
    <w:rsid w:val="00700474"/>
    <w:rsid w:val="00700477"/>
    <w:rsid w:val="007004F7"/>
    <w:rsid w:val="00700514"/>
    <w:rsid w:val="00700567"/>
    <w:rsid w:val="00700788"/>
    <w:rsid w:val="007007DB"/>
    <w:rsid w:val="00700E2A"/>
    <w:rsid w:val="00700F49"/>
    <w:rsid w:val="00701108"/>
    <w:rsid w:val="007012FE"/>
    <w:rsid w:val="007013AD"/>
    <w:rsid w:val="00701675"/>
    <w:rsid w:val="0070179D"/>
    <w:rsid w:val="00701852"/>
    <w:rsid w:val="00702107"/>
    <w:rsid w:val="007025C2"/>
    <w:rsid w:val="007028AC"/>
    <w:rsid w:val="00702926"/>
    <w:rsid w:val="00702B46"/>
    <w:rsid w:val="007037AA"/>
    <w:rsid w:val="00703821"/>
    <w:rsid w:val="00703B32"/>
    <w:rsid w:val="00703C88"/>
    <w:rsid w:val="00703D1C"/>
    <w:rsid w:val="00703FA5"/>
    <w:rsid w:val="00704004"/>
    <w:rsid w:val="007040DA"/>
    <w:rsid w:val="00704330"/>
    <w:rsid w:val="0070435F"/>
    <w:rsid w:val="00704407"/>
    <w:rsid w:val="00704550"/>
    <w:rsid w:val="007049F8"/>
    <w:rsid w:val="00704A5A"/>
    <w:rsid w:val="00704D75"/>
    <w:rsid w:val="00704FDF"/>
    <w:rsid w:val="007052A4"/>
    <w:rsid w:val="0070538F"/>
    <w:rsid w:val="00705549"/>
    <w:rsid w:val="007059BB"/>
    <w:rsid w:val="00705A2C"/>
    <w:rsid w:val="00705AC9"/>
    <w:rsid w:val="00705B8F"/>
    <w:rsid w:val="00705C10"/>
    <w:rsid w:val="00705C65"/>
    <w:rsid w:val="00705E8D"/>
    <w:rsid w:val="00705F1B"/>
    <w:rsid w:val="00706423"/>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1004F"/>
    <w:rsid w:val="0071039F"/>
    <w:rsid w:val="0071053D"/>
    <w:rsid w:val="00710731"/>
    <w:rsid w:val="00710DF6"/>
    <w:rsid w:val="00710E55"/>
    <w:rsid w:val="00711167"/>
    <w:rsid w:val="0071144C"/>
    <w:rsid w:val="0071164F"/>
    <w:rsid w:val="007117E0"/>
    <w:rsid w:val="0071185C"/>
    <w:rsid w:val="00711DE3"/>
    <w:rsid w:val="007123E6"/>
    <w:rsid w:val="00712646"/>
    <w:rsid w:val="00712958"/>
    <w:rsid w:val="00712D21"/>
    <w:rsid w:val="00712ECA"/>
    <w:rsid w:val="00712EDE"/>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F3"/>
    <w:rsid w:val="0071568F"/>
    <w:rsid w:val="007159F6"/>
    <w:rsid w:val="00715B58"/>
    <w:rsid w:val="00715D9F"/>
    <w:rsid w:val="007160C7"/>
    <w:rsid w:val="007163C0"/>
    <w:rsid w:val="007165AC"/>
    <w:rsid w:val="00716709"/>
    <w:rsid w:val="00716724"/>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C4C"/>
    <w:rsid w:val="00720E64"/>
    <w:rsid w:val="00720EED"/>
    <w:rsid w:val="0072110E"/>
    <w:rsid w:val="0072118B"/>
    <w:rsid w:val="007212AB"/>
    <w:rsid w:val="007212F3"/>
    <w:rsid w:val="00721725"/>
    <w:rsid w:val="00721779"/>
    <w:rsid w:val="00721C43"/>
    <w:rsid w:val="00721C65"/>
    <w:rsid w:val="0072231C"/>
    <w:rsid w:val="0072236A"/>
    <w:rsid w:val="00722838"/>
    <w:rsid w:val="00722864"/>
    <w:rsid w:val="00722BBD"/>
    <w:rsid w:val="00723202"/>
    <w:rsid w:val="0072323C"/>
    <w:rsid w:val="007237B7"/>
    <w:rsid w:val="007237EB"/>
    <w:rsid w:val="0072380C"/>
    <w:rsid w:val="007239F9"/>
    <w:rsid w:val="00723A0F"/>
    <w:rsid w:val="00723A31"/>
    <w:rsid w:val="00723AC2"/>
    <w:rsid w:val="00723B97"/>
    <w:rsid w:val="00723BD9"/>
    <w:rsid w:val="00723EE2"/>
    <w:rsid w:val="00723F71"/>
    <w:rsid w:val="00723F81"/>
    <w:rsid w:val="00723FB9"/>
    <w:rsid w:val="00724035"/>
    <w:rsid w:val="00724176"/>
    <w:rsid w:val="007243E5"/>
    <w:rsid w:val="007247C4"/>
    <w:rsid w:val="00724851"/>
    <w:rsid w:val="00724892"/>
    <w:rsid w:val="00724988"/>
    <w:rsid w:val="00724A43"/>
    <w:rsid w:val="00724AF1"/>
    <w:rsid w:val="00724B26"/>
    <w:rsid w:val="00724C3A"/>
    <w:rsid w:val="00724EFD"/>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D4E"/>
    <w:rsid w:val="00726F74"/>
    <w:rsid w:val="00727520"/>
    <w:rsid w:val="00727552"/>
    <w:rsid w:val="007279B8"/>
    <w:rsid w:val="007279FC"/>
    <w:rsid w:val="00727AE6"/>
    <w:rsid w:val="00727BEE"/>
    <w:rsid w:val="0073000A"/>
    <w:rsid w:val="007300F6"/>
    <w:rsid w:val="0073016A"/>
    <w:rsid w:val="007301A7"/>
    <w:rsid w:val="00730A14"/>
    <w:rsid w:val="00730BB1"/>
    <w:rsid w:val="00730D35"/>
    <w:rsid w:val="00730DFE"/>
    <w:rsid w:val="00730F0E"/>
    <w:rsid w:val="00730FCE"/>
    <w:rsid w:val="007312F7"/>
    <w:rsid w:val="007313C9"/>
    <w:rsid w:val="00731485"/>
    <w:rsid w:val="007315B1"/>
    <w:rsid w:val="00731615"/>
    <w:rsid w:val="007316A1"/>
    <w:rsid w:val="00731A45"/>
    <w:rsid w:val="00731A7C"/>
    <w:rsid w:val="00731D9B"/>
    <w:rsid w:val="00731EF3"/>
    <w:rsid w:val="00732333"/>
    <w:rsid w:val="00732414"/>
    <w:rsid w:val="007325A8"/>
    <w:rsid w:val="007327A2"/>
    <w:rsid w:val="00732C13"/>
    <w:rsid w:val="00732C39"/>
    <w:rsid w:val="00732DFF"/>
    <w:rsid w:val="00732E65"/>
    <w:rsid w:val="00732FE9"/>
    <w:rsid w:val="00733064"/>
    <w:rsid w:val="007330A1"/>
    <w:rsid w:val="00733669"/>
    <w:rsid w:val="00733947"/>
    <w:rsid w:val="00733B74"/>
    <w:rsid w:val="00733CA9"/>
    <w:rsid w:val="00733E95"/>
    <w:rsid w:val="00733F91"/>
    <w:rsid w:val="00733FEF"/>
    <w:rsid w:val="00734062"/>
    <w:rsid w:val="00734121"/>
    <w:rsid w:val="0073414A"/>
    <w:rsid w:val="007343BA"/>
    <w:rsid w:val="0073465A"/>
    <w:rsid w:val="00734B38"/>
    <w:rsid w:val="00734B51"/>
    <w:rsid w:val="00734CDA"/>
    <w:rsid w:val="00735030"/>
    <w:rsid w:val="00735455"/>
    <w:rsid w:val="00735530"/>
    <w:rsid w:val="0073572B"/>
    <w:rsid w:val="00735A94"/>
    <w:rsid w:val="00735E0B"/>
    <w:rsid w:val="00735EA0"/>
    <w:rsid w:val="0073627D"/>
    <w:rsid w:val="007367D4"/>
    <w:rsid w:val="00736826"/>
    <w:rsid w:val="00736AD8"/>
    <w:rsid w:val="00736AEB"/>
    <w:rsid w:val="00736B5D"/>
    <w:rsid w:val="00736C50"/>
    <w:rsid w:val="00736FFC"/>
    <w:rsid w:val="007370C5"/>
    <w:rsid w:val="007370CD"/>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7DC"/>
    <w:rsid w:val="0074088B"/>
    <w:rsid w:val="00740A2B"/>
    <w:rsid w:val="00740A8B"/>
    <w:rsid w:val="00740F28"/>
    <w:rsid w:val="00741013"/>
    <w:rsid w:val="007419D6"/>
    <w:rsid w:val="007419EE"/>
    <w:rsid w:val="00741A5E"/>
    <w:rsid w:val="00741CCC"/>
    <w:rsid w:val="00742141"/>
    <w:rsid w:val="0074221D"/>
    <w:rsid w:val="0074224C"/>
    <w:rsid w:val="00742252"/>
    <w:rsid w:val="0074263F"/>
    <w:rsid w:val="007426B7"/>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F37"/>
    <w:rsid w:val="00744040"/>
    <w:rsid w:val="00744091"/>
    <w:rsid w:val="00744295"/>
    <w:rsid w:val="007442B6"/>
    <w:rsid w:val="00744430"/>
    <w:rsid w:val="0074495E"/>
    <w:rsid w:val="00744B85"/>
    <w:rsid w:val="00744E0F"/>
    <w:rsid w:val="00745083"/>
    <w:rsid w:val="007451F9"/>
    <w:rsid w:val="007456F3"/>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CFB"/>
    <w:rsid w:val="00746FCE"/>
    <w:rsid w:val="00747030"/>
    <w:rsid w:val="007473E7"/>
    <w:rsid w:val="00747411"/>
    <w:rsid w:val="007479EB"/>
    <w:rsid w:val="00747F2A"/>
    <w:rsid w:val="00750376"/>
    <w:rsid w:val="00750408"/>
    <w:rsid w:val="00750915"/>
    <w:rsid w:val="00750B42"/>
    <w:rsid w:val="00750DB3"/>
    <w:rsid w:val="00750E16"/>
    <w:rsid w:val="00750E44"/>
    <w:rsid w:val="00751054"/>
    <w:rsid w:val="00751311"/>
    <w:rsid w:val="007515BE"/>
    <w:rsid w:val="0075161A"/>
    <w:rsid w:val="00751695"/>
    <w:rsid w:val="00751BEF"/>
    <w:rsid w:val="00751F9F"/>
    <w:rsid w:val="00752031"/>
    <w:rsid w:val="007521BC"/>
    <w:rsid w:val="007522FD"/>
    <w:rsid w:val="0075237B"/>
    <w:rsid w:val="00752532"/>
    <w:rsid w:val="00752C38"/>
    <w:rsid w:val="00752E6D"/>
    <w:rsid w:val="00752EC9"/>
    <w:rsid w:val="00752FEA"/>
    <w:rsid w:val="007530B3"/>
    <w:rsid w:val="007532EF"/>
    <w:rsid w:val="00753453"/>
    <w:rsid w:val="00753646"/>
    <w:rsid w:val="007539A9"/>
    <w:rsid w:val="00753A77"/>
    <w:rsid w:val="00753AC1"/>
    <w:rsid w:val="00753BBC"/>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F3"/>
    <w:rsid w:val="00756774"/>
    <w:rsid w:val="00756828"/>
    <w:rsid w:val="00756C43"/>
    <w:rsid w:val="00756C78"/>
    <w:rsid w:val="00756DD9"/>
    <w:rsid w:val="00756DEC"/>
    <w:rsid w:val="0075719C"/>
    <w:rsid w:val="007571DF"/>
    <w:rsid w:val="00757564"/>
    <w:rsid w:val="00757659"/>
    <w:rsid w:val="007577CB"/>
    <w:rsid w:val="007600FB"/>
    <w:rsid w:val="00760258"/>
    <w:rsid w:val="007602C9"/>
    <w:rsid w:val="00760816"/>
    <w:rsid w:val="00760C0D"/>
    <w:rsid w:val="00760FB1"/>
    <w:rsid w:val="007612CA"/>
    <w:rsid w:val="00761924"/>
    <w:rsid w:val="00761A15"/>
    <w:rsid w:val="00761A4D"/>
    <w:rsid w:val="00761ADD"/>
    <w:rsid w:val="00761DFA"/>
    <w:rsid w:val="00761E2D"/>
    <w:rsid w:val="00761EA7"/>
    <w:rsid w:val="0076215A"/>
    <w:rsid w:val="00762346"/>
    <w:rsid w:val="0076249C"/>
    <w:rsid w:val="00762547"/>
    <w:rsid w:val="00762B1E"/>
    <w:rsid w:val="00762B2A"/>
    <w:rsid w:val="00762D3A"/>
    <w:rsid w:val="00762D8E"/>
    <w:rsid w:val="00762DDF"/>
    <w:rsid w:val="00762F77"/>
    <w:rsid w:val="007632B8"/>
    <w:rsid w:val="007634BF"/>
    <w:rsid w:val="00763623"/>
    <w:rsid w:val="007636DA"/>
    <w:rsid w:val="0076395A"/>
    <w:rsid w:val="00763999"/>
    <w:rsid w:val="00763A7E"/>
    <w:rsid w:val="00763D1E"/>
    <w:rsid w:val="00764095"/>
    <w:rsid w:val="00764200"/>
    <w:rsid w:val="00764235"/>
    <w:rsid w:val="00764241"/>
    <w:rsid w:val="007643DD"/>
    <w:rsid w:val="0076449B"/>
    <w:rsid w:val="007648C5"/>
    <w:rsid w:val="007649FF"/>
    <w:rsid w:val="00764BAB"/>
    <w:rsid w:val="00764BF4"/>
    <w:rsid w:val="00764CD3"/>
    <w:rsid w:val="00764D59"/>
    <w:rsid w:val="00764DA1"/>
    <w:rsid w:val="00764E09"/>
    <w:rsid w:val="007651ED"/>
    <w:rsid w:val="007651FA"/>
    <w:rsid w:val="0076543B"/>
    <w:rsid w:val="00765567"/>
    <w:rsid w:val="00765A17"/>
    <w:rsid w:val="00765C2F"/>
    <w:rsid w:val="00765C6A"/>
    <w:rsid w:val="00765E51"/>
    <w:rsid w:val="007660A3"/>
    <w:rsid w:val="00766142"/>
    <w:rsid w:val="007661D1"/>
    <w:rsid w:val="007662BE"/>
    <w:rsid w:val="00766480"/>
    <w:rsid w:val="007664C0"/>
    <w:rsid w:val="00766703"/>
    <w:rsid w:val="00766AD4"/>
    <w:rsid w:val="00766F8B"/>
    <w:rsid w:val="00767563"/>
    <w:rsid w:val="007677FF"/>
    <w:rsid w:val="00767818"/>
    <w:rsid w:val="00767B17"/>
    <w:rsid w:val="00767C00"/>
    <w:rsid w:val="00767C58"/>
    <w:rsid w:val="00767CCF"/>
    <w:rsid w:val="0077016F"/>
    <w:rsid w:val="00770319"/>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2E4"/>
    <w:rsid w:val="007723D6"/>
    <w:rsid w:val="00772462"/>
    <w:rsid w:val="0077248E"/>
    <w:rsid w:val="00772748"/>
    <w:rsid w:val="007728B1"/>
    <w:rsid w:val="007729F5"/>
    <w:rsid w:val="00772A24"/>
    <w:rsid w:val="00772A52"/>
    <w:rsid w:val="00772F8D"/>
    <w:rsid w:val="007730B5"/>
    <w:rsid w:val="007733C7"/>
    <w:rsid w:val="007736AB"/>
    <w:rsid w:val="007738C3"/>
    <w:rsid w:val="00773A62"/>
    <w:rsid w:val="00773C34"/>
    <w:rsid w:val="00773E05"/>
    <w:rsid w:val="00773F38"/>
    <w:rsid w:val="007742C6"/>
    <w:rsid w:val="0077433D"/>
    <w:rsid w:val="0077449C"/>
    <w:rsid w:val="007744B2"/>
    <w:rsid w:val="0077455A"/>
    <w:rsid w:val="0077459A"/>
    <w:rsid w:val="007745FD"/>
    <w:rsid w:val="007749EF"/>
    <w:rsid w:val="00774C0A"/>
    <w:rsid w:val="00775263"/>
    <w:rsid w:val="007755D1"/>
    <w:rsid w:val="00775605"/>
    <w:rsid w:val="0077569F"/>
    <w:rsid w:val="007757AC"/>
    <w:rsid w:val="00775A80"/>
    <w:rsid w:val="00775B18"/>
    <w:rsid w:val="00775DAC"/>
    <w:rsid w:val="00775F18"/>
    <w:rsid w:val="00775FAC"/>
    <w:rsid w:val="007760FC"/>
    <w:rsid w:val="007762A0"/>
    <w:rsid w:val="007764D9"/>
    <w:rsid w:val="00776581"/>
    <w:rsid w:val="0077684E"/>
    <w:rsid w:val="00776A7F"/>
    <w:rsid w:val="00776F56"/>
    <w:rsid w:val="0077709D"/>
    <w:rsid w:val="00777313"/>
    <w:rsid w:val="00777521"/>
    <w:rsid w:val="00777532"/>
    <w:rsid w:val="007777BD"/>
    <w:rsid w:val="00777B42"/>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60"/>
    <w:rsid w:val="0078198D"/>
    <w:rsid w:val="00781AEB"/>
    <w:rsid w:val="00781CF8"/>
    <w:rsid w:val="00781DDE"/>
    <w:rsid w:val="00782139"/>
    <w:rsid w:val="007824B9"/>
    <w:rsid w:val="0078291C"/>
    <w:rsid w:val="0078296E"/>
    <w:rsid w:val="00782B9E"/>
    <w:rsid w:val="00782DA3"/>
    <w:rsid w:val="00782F60"/>
    <w:rsid w:val="00782FD8"/>
    <w:rsid w:val="00783091"/>
    <w:rsid w:val="007831A8"/>
    <w:rsid w:val="00783302"/>
    <w:rsid w:val="0078339C"/>
    <w:rsid w:val="00783429"/>
    <w:rsid w:val="007835CC"/>
    <w:rsid w:val="00783ACD"/>
    <w:rsid w:val="00783BC4"/>
    <w:rsid w:val="00783BD9"/>
    <w:rsid w:val="00783D62"/>
    <w:rsid w:val="00783E57"/>
    <w:rsid w:val="00783F10"/>
    <w:rsid w:val="00784065"/>
    <w:rsid w:val="00784123"/>
    <w:rsid w:val="00784241"/>
    <w:rsid w:val="00784282"/>
    <w:rsid w:val="00784308"/>
    <w:rsid w:val="00784408"/>
    <w:rsid w:val="00784541"/>
    <w:rsid w:val="00784C5A"/>
    <w:rsid w:val="00784CBE"/>
    <w:rsid w:val="00784CD4"/>
    <w:rsid w:val="00784F26"/>
    <w:rsid w:val="00784F60"/>
    <w:rsid w:val="0078509D"/>
    <w:rsid w:val="00785759"/>
    <w:rsid w:val="00785B54"/>
    <w:rsid w:val="007860AA"/>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88D"/>
    <w:rsid w:val="0079092E"/>
    <w:rsid w:val="0079098E"/>
    <w:rsid w:val="00790A77"/>
    <w:rsid w:val="00790AE0"/>
    <w:rsid w:val="00790CC5"/>
    <w:rsid w:val="00790E54"/>
    <w:rsid w:val="00790EDE"/>
    <w:rsid w:val="00790FCA"/>
    <w:rsid w:val="00791637"/>
    <w:rsid w:val="00791B18"/>
    <w:rsid w:val="00791C41"/>
    <w:rsid w:val="00791CCB"/>
    <w:rsid w:val="00791D9E"/>
    <w:rsid w:val="00791E00"/>
    <w:rsid w:val="0079278D"/>
    <w:rsid w:val="00793436"/>
    <w:rsid w:val="00793493"/>
    <w:rsid w:val="0079367E"/>
    <w:rsid w:val="0079376A"/>
    <w:rsid w:val="007939D8"/>
    <w:rsid w:val="00793CAB"/>
    <w:rsid w:val="00793CD1"/>
    <w:rsid w:val="00793CE3"/>
    <w:rsid w:val="00794010"/>
    <w:rsid w:val="007943E0"/>
    <w:rsid w:val="00794785"/>
    <w:rsid w:val="007948BF"/>
    <w:rsid w:val="00794928"/>
    <w:rsid w:val="00794A1C"/>
    <w:rsid w:val="00794AB9"/>
    <w:rsid w:val="00794B55"/>
    <w:rsid w:val="00794CC0"/>
    <w:rsid w:val="00794E05"/>
    <w:rsid w:val="00795104"/>
    <w:rsid w:val="007955F7"/>
    <w:rsid w:val="0079571B"/>
    <w:rsid w:val="007957DE"/>
    <w:rsid w:val="007958CE"/>
    <w:rsid w:val="00795905"/>
    <w:rsid w:val="007959D6"/>
    <w:rsid w:val="00795EE5"/>
    <w:rsid w:val="00795F87"/>
    <w:rsid w:val="007961C9"/>
    <w:rsid w:val="00796337"/>
    <w:rsid w:val="007964B2"/>
    <w:rsid w:val="007964DB"/>
    <w:rsid w:val="007967B9"/>
    <w:rsid w:val="007967D0"/>
    <w:rsid w:val="00796858"/>
    <w:rsid w:val="00796AB3"/>
    <w:rsid w:val="00796B09"/>
    <w:rsid w:val="00796BEB"/>
    <w:rsid w:val="00796E3D"/>
    <w:rsid w:val="0079766C"/>
    <w:rsid w:val="007976C5"/>
    <w:rsid w:val="00797773"/>
    <w:rsid w:val="00797B13"/>
    <w:rsid w:val="00797C4B"/>
    <w:rsid w:val="00797DF7"/>
    <w:rsid w:val="007A019B"/>
    <w:rsid w:val="007A0367"/>
    <w:rsid w:val="007A04BC"/>
    <w:rsid w:val="007A0599"/>
    <w:rsid w:val="007A082D"/>
    <w:rsid w:val="007A08DE"/>
    <w:rsid w:val="007A0D87"/>
    <w:rsid w:val="007A0EFA"/>
    <w:rsid w:val="007A0FD5"/>
    <w:rsid w:val="007A155E"/>
    <w:rsid w:val="007A157D"/>
    <w:rsid w:val="007A162F"/>
    <w:rsid w:val="007A163F"/>
    <w:rsid w:val="007A167F"/>
    <w:rsid w:val="007A193C"/>
    <w:rsid w:val="007A1E12"/>
    <w:rsid w:val="007A1EE0"/>
    <w:rsid w:val="007A1EE3"/>
    <w:rsid w:val="007A20DD"/>
    <w:rsid w:val="007A234F"/>
    <w:rsid w:val="007A23D1"/>
    <w:rsid w:val="007A2429"/>
    <w:rsid w:val="007A2455"/>
    <w:rsid w:val="007A2457"/>
    <w:rsid w:val="007A2483"/>
    <w:rsid w:val="007A2630"/>
    <w:rsid w:val="007A2C36"/>
    <w:rsid w:val="007A2C72"/>
    <w:rsid w:val="007A2D17"/>
    <w:rsid w:val="007A2ECA"/>
    <w:rsid w:val="007A3003"/>
    <w:rsid w:val="007A3A19"/>
    <w:rsid w:val="007A3AC9"/>
    <w:rsid w:val="007A3ACB"/>
    <w:rsid w:val="007A3DE6"/>
    <w:rsid w:val="007A3F2B"/>
    <w:rsid w:val="007A447C"/>
    <w:rsid w:val="007A46FC"/>
    <w:rsid w:val="007A4A11"/>
    <w:rsid w:val="007A4B02"/>
    <w:rsid w:val="007A4CD7"/>
    <w:rsid w:val="007A4D57"/>
    <w:rsid w:val="007A4E6D"/>
    <w:rsid w:val="007A4EA8"/>
    <w:rsid w:val="007A4EE0"/>
    <w:rsid w:val="007A509A"/>
    <w:rsid w:val="007A5387"/>
    <w:rsid w:val="007A53D1"/>
    <w:rsid w:val="007A54A3"/>
    <w:rsid w:val="007A55CA"/>
    <w:rsid w:val="007A5BC9"/>
    <w:rsid w:val="007A5C27"/>
    <w:rsid w:val="007A5C5C"/>
    <w:rsid w:val="007A5CEE"/>
    <w:rsid w:val="007A5DC0"/>
    <w:rsid w:val="007A5F13"/>
    <w:rsid w:val="007A610C"/>
    <w:rsid w:val="007A613F"/>
    <w:rsid w:val="007A61BA"/>
    <w:rsid w:val="007A6266"/>
    <w:rsid w:val="007A6383"/>
    <w:rsid w:val="007A6583"/>
    <w:rsid w:val="007A66DD"/>
    <w:rsid w:val="007A677F"/>
    <w:rsid w:val="007A6C2B"/>
    <w:rsid w:val="007A70AB"/>
    <w:rsid w:val="007A70C1"/>
    <w:rsid w:val="007A7128"/>
    <w:rsid w:val="007A736E"/>
    <w:rsid w:val="007A743B"/>
    <w:rsid w:val="007A7A4E"/>
    <w:rsid w:val="007A7A96"/>
    <w:rsid w:val="007A7AA8"/>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B00"/>
    <w:rsid w:val="007B1F40"/>
    <w:rsid w:val="007B20E8"/>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457"/>
    <w:rsid w:val="007B4898"/>
    <w:rsid w:val="007B4C20"/>
    <w:rsid w:val="007B4D58"/>
    <w:rsid w:val="007B500A"/>
    <w:rsid w:val="007B5149"/>
    <w:rsid w:val="007B523E"/>
    <w:rsid w:val="007B53B6"/>
    <w:rsid w:val="007B590C"/>
    <w:rsid w:val="007B598C"/>
    <w:rsid w:val="007B5DBD"/>
    <w:rsid w:val="007B623F"/>
    <w:rsid w:val="007B6302"/>
    <w:rsid w:val="007B6428"/>
    <w:rsid w:val="007B6601"/>
    <w:rsid w:val="007B6623"/>
    <w:rsid w:val="007B6739"/>
    <w:rsid w:val="007B6853"/>
    <w:rsid w:val="007B68D6"/>
    <w:rsid w:val="007B6B07"/>
    <w:rsid w:val="007B6BEF"/>
    <w:rsid w:val="007B6C3E"/>
    <w:rsid w:val="007B6D96"/>
    <w:rsid w:val="007B6DF1"/>
    <w:rsid w:val="007B6E3C"/>
    <w:rsid w:val="007B6E50"/>
    <w:rsid w:val="007B73E4"/>
    <w:rsid w:val="007B7A3A"/>
    <w:rsid w:val="007B7AE6"/>
    <w:rsid w:val="007C04B1"/>
    <w:rsid w:val="007C0B09"/>
    <w:rsid w:val="007C0DC3"/>
    <w:rsid w:val="007C1117"/>
    <w:rsid w:val="007C1443"/>
    <w:rsid w:val="007C156D"/>
    <w:rsid w:val="007C1981"/>
    <w:rsid w:val="007C1ADC"/>
    <w:rsid w:val="007C1FEA"/>
    <w:rsid w:val="007C212C"/>
    <w:rsid w:val="007C235B"/>
    <w:rsid w:val="007C2A17"/>
    <w:rsid w:val="007C2AA1"/>
    <w:rsid w:val="007C2DC6"/>
    <w:rsid w:val="007C2E5B"/>
    <w:rsid w:val="007C3636"/>
    <w:rsid w:val="007C3C52"/>
    <w:rsid w:val="007C3C9E"/>
    <w:rsid w:val="007C3CF7"/>
    <w:rsid w:val="007C3E4E"/>
    <w:rsid w:val="007C3E51"/>
    <w:rsid w:val="007C3F32"/>
    <w:rsid w:val="007C3FBD"/>
    <w:rsid w:val="007C4052"/>
    <w:rsid w:val="007C40FE"/>
    <w:rsid w:val="007C41F3"/>
    <w:rsid w:val="007C4266"/>
    <w:rsid w:val="007C4628"/>
    <w:rsid w:val="007C4864"/>
    <w:rsid w:val="007C49D2"/>
    <w:rsid w:val="007C4DFD"/>
    <w:rsid w:val="007C50A8"/>
    <w:rsid w:val="007C51A4"/>
    <w:rsid w:val="007C5514"/>
    <w:rsid w:val="007C55C2"/>
    <w:rsid w:val="007C59E7"/>
    <w:rsid w:val="007C5B04"/>
    <w:rsid w:val="007C5DE1"/>
    <w:rsid w:val="007C5F5F"/>
    <w:rsid w:val="007C6407"/>
    <w:rsid w:val="007C6835"/>
    <w:rsid w:val="007C688F"/>
    <w:rsid w:val="007C6D2A"/>
    <w:rsid w:val="007C7402"/>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532"/>
    <w:rsid w:val="007D18E0"/>
    <w:rsid w:val="007D1947"/>
    <w:rsid w:val="007D1A2C"/>
    <w:rsid w:val="007D1E0D"/>
    <w:rsid w:val="007D2029"/>
    <w:rsid w:val="007D209A"/>
    <w:rsid w:val="007D240B"/>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C76"/>
    <w:rsid w:val="007D3D3F"/>
    <w:rsid w:val="007D3D62"/>
    <w:rsid w:val="007D4083"/>
    <w:rsid w:val="007D4245"/>
    <w:rsid w:val="007D4293"/>
    <w:rsid w:val="007D480B"/>
    <w:rsid w:val="007D4867"/>
    <w:rsid w:val="007D48A9"/>
    <w:rsid w:val="007D492B"/>
    <w:rsid w:val="007D4983"/>
    <w:rsid w:val="007D4B5C"/>
    <w:rsid w:val="007D4FF0"/>
    <w:rsid w:val="007D5206"/>
    <w:rsid w:val="007D5212"/>
    <w:rsid w:val="007D52F2"/>
    <w:rsid w:val="007D55D6"/>
    <w:rsid w:val="007D5742"/>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381"/>
    <w:rsid w:val="007E048F"/>
    <w:rsid w:val="007E0603"/>
    <w:rsid w:val="007E0645"/>
    <w:rsid w:val="007E08A1"/>
    <w:rsid w:val="007E0939"/>
    <w:rsid w:val="007E0E0B"/>
    <w:rsid w:val="007E0E50"/>
    <w:rsid w:val="007E12FE"/>
    <w:rsid w:val="007E13A3"/>
    <w:rsid w:val="007E1435"/>
    <w:rsid w:val="007E14CF"/>
    <w:rsid w:val="007E1531"/>
    <w:rsid w:val="007E15CA"/>
    <w:rsid w:val="007E163E"/>
    <w:rsid w:val="007E167C"/>
    <w:rsid w:val="007E16CF"/>
    <w:rsid w:val="007E1815"/>
    <w:rsid w:val="007E1BEF"/>
    <w:rsid w:val="007E1C1C"/>
    <w:rsid w:val="007E22C9"/>
    <w:rsid w:val="007E23F1"/>
    <w:rsid w:val="007E26C8"/>
    <w:rsid w:val="007E29B6"/>
    <w:rsid w:val="007E2B75"/>
    <w:rsid w:val="007E2B9B"/>
    <w:rsid w:val="007E2E03"/>
    <w:rsid w:val="007E2F04"/>
    <w:rsid w:val="007E2F42"/>
    <w:rsid w:val="007E332A"/>
    <w:rsid w:val="007E35AB"/>
    <w:rsid w:val="007E3767"/>
    <w:rsid w:val="007E3D0C"/>
    <w:rsid w:val="007E4740"/>
    <w:rsid w:val="007E4760"/>
    <w:rsid w:val="007E4853"/>
    <w:rsid w:val="007E4AAA"/>
    <w:rsid w:val="007E4F14"/>
    <w:rsid w:val="007E5284"/>
    <w:rsid w:val="007E53A0"/>
    <w:rsid w:val="007E5E24"/>
    <w:rsid w:val="007E5F1A"/>
    <w:rsid w:val="007E5FA6"/>
    <w:rsid w:val="007E60DE"/>
    <w:rsid w:val="007E6261"/>
    <w:rsid w:val="007E63F7"/>
    <w:rsid w:val="007E69B0"/>
    <w:rsid w:val="007E6A2A"/>
    <w:rsid w:val="007E6D4F"/>
    <w:rsid w:val="007E6DCC"/>
    <w:rsid w:val="007E6DD5"/>
    <w:rsid w:val="007E6F84"/>
    <w:rsid w:val="007E72DD"/>
    <w:rsid w:val="007E747A"/>
    <w:rsid w:val="007E7AD7"/>
    <w:rsid w:val="007E7DF4"/>
    <w:rsid w:val="007E7ED3"/>
    <w:rsid w:val="007E7EE2"/>
    <w:rsid w:val="007F02BA"/>
    <w:rsid w:val="007F075E"/>
    <w:rsid w:val="007F07AE"/>
    <w:rsid w:val="007F08B3"/>
    <w:rsid w:val="007F09FA"/>
    <w:rsid w:val="007F0C35"/>
    <w:rsid w:val="007F0C6A"/>
    <w:rsid w:val="007F0FD6"/>
    <w:rsid w:val="007F109E"/>
    <w:rsid w:val="007F1320"/>
    <w:rsid w:val="007F16CB"/>
    <w:rsid w:val="007F1709"/>
    <w:rsid w:val="007F1864"/>
    <w:rsid w:val="007F19CB"/>
    <w:rsid w:val="007F1AF1"/>
    <w:rsid w:val="007F1B3D"/>
    <w:rsid w:val="007F1B44"/>
    <w:rsid w:val="007F1BB4"/>
    <w:rsid w:val="007F22F9"/>
    <w:rsid w:val="007F2509"/>
    <w:rsid w:val="007F255E"/>
    <w:rsid w:val="007F2637"/>
    <w:rsid w:val="007F26A3"/>
    <w:rsid w:val="007F2B0C"/>
    <w:rsid w:val="007F2EDF"/>
    <w:rsid w:val="007F31AB"/>
    <w:rsid w:val="007F32AE"/>
    <w:rsid w:val="007F32DB"/>
    <w:rsid w:val="007F33C2"/>
    <w:rsid w:val="007F34BD"/>
    <w:rsid w:val="007F3AD1"/>
    <w:rsid w:val="007F3C5D"/>
    <w:rsid w:val="007F3D8E"/>
    <w:rsid w:val="007F3EB7"/>
    <w:rsid w:val="007F3F48"/>
    <w:rsid w:val="007F4162"/>
    <w:rsid w:val="007F4A41"/>
    <w:rsid w:val="007F4AC6"/>
    <w:rsid w:val="007F4B3B"/>
    <w:rsid w:val="007F4B5E"/>
    <w:rsid w:val="007F4E0E"/>
    <w:rsid w:val="007F4E9D"/>
    <w:rsid w:val="007F5150"/>
    <w:rsid w:val="007F51F7"/>
    <w:rsid w:val="007F5834"/>
    <w:rsid w:val="007F5C0C"/>
    <w:rsid w:val="007F5D71"/>
    <w:rsid w:val="007F5FAB"/>
    <w:rsid w:val="007F615C"/>
    <w:rsid w:val="007F67A8"/>
    <w:rsid w:val="007F6EFD"/>
    <w:rsid w:val="007F6F15"/>
    <w:rsid w:val="007F7080"/>
    <w:rsid w:val="007F70A1"/>
    <w:rsid w:val="007F72CE"/>
    <w:rsid w:val="007F74F9"/>
    <w:rsid w:val="0080016C"/>
    <w:rsid w:val="008001CE"/>
    <w:rsid w:val="00800249"/>
    <w:rsid w:val="00800280"/>
    <w:rsid w:val="00800904"/>
    <w:rsid w:val="00800919"/>
    <w:rsid w:val="00800A8E"/>
    <w:rsid w:val="00800D8E"/>
    <w:rsid w:val="00800DEE"/>
    <w:rsid w:val="00800E4F"/>
    <w:rsid w:val="0080104C"/>
    <w:rsid w:val="00801630"/>
    <w:rsid w:val="00801A51"/>
    <w:rsid w:val="00802339"/>
    <w:rsid w:val="008026A4"/>
    <w:rsid w:val="00802830"/>
    <w:rsid w:val="008029A1"/>
    <w:rsid w:val="00802B8B"/>
    <w:rsid w:val="0080325D"/>
    <w:rsid w:val="0080334E"/>
    <w:rsid w:val="008038CC"/>
    <w:rsid w:val="008039CC"/>
    <w:rsid w:val="00803B2B"/>
    <w:rsid w:val="00803CC7"/>
    <w:rsid w:val="00803D9B"/>
    <w:rsid w:val="00803E48"/>
    <w:rsid w:val="00804306"/>
    <w:rsid w:val="0080435F"/>
    <w:rsid w:val="008044AF"/>
    <w:rsid w:val="008044C1"/>
    <w:rsid w:val="008044FA"/>
    <w:rsid w:val="008047E4"/>
    <w:rsid w:val="00804B9A"/>
    <w:rsid w:val="00804C23"/>
    <w:rsid w:val="00804D33"/>
    <w:rsid w:val="00804F05"/>
    <w:rsid w:val="00804FF5"/>
    <w:rsid w:val="008052FD"/>
    <w:rsid w:val="00805538"/>
    <w:rsid w:val="00805763"/>
    <w:rsid w:val="00805C03"/>
    <w:rsid w:val="00805D99"/>
    <w:rsid w:val="0080631D"/>
    <w:rsid w:val="0080668A"/>
    <w:rsid w:val="00806957"/>
    <w:rsid w:val="008069EC"/>
    <w:rsid w:val="00806C4A"/>
    <w:rsid w:val="00806DDE"/>
    <w:rsid w:val="0080721C"/>
    <w:rsid w:val="008073FA"/>
    <w:rsid w:val="00807499"/>
    <w:rsid w:val="00807525"/>
    <w:rsid w:val="008075F7"/>
    <w:rsid w:val="008077D5"/>
    <w:rsid w:val="00807869"/>
    <w:rsid w:val="008078BF"/>
    <w:rsid w:val="00807AD1"/>
    <w:rsid w:val="00807C9A"/>
    <w:rsid w:val="00807CCE"/>
    <w:rsid w:val="00807CF5"/>
    <w:rsid w:val="00807DFC"/>
    <w:rsid w:val="0081011F"/>
    <w:rsid w:val="00810315"/>
    <w:rsid w:val="008104D7"/>
    <w:rsid w:val="008105FC"/>
    <w:rsid w:val="0081080D"/>
    <w:rsid w:val="00810866"/>
    <w:rsid w:val="008108B4"/>
    <w:rsid w:val="00810B04"/>
    <w:rsid w:val="00810DA6"/>
    <w:rsid w:val="00810E17"/>
    <w:rsid w:val="00810EC1"/>
    <w:rsid w:val="00810F98"/>
    <w:rsid w:val="00811002"/>
    <w:rsid w:val="00811055"/>
    <w:rsid w:val="008110A2"/>
    <w:rsid w:val="008114DE"/>
    <w:rsid w:val="008117DB"/>
    <w:rsid w:val="00811871"/>
    <w:rsid w:val="00811896"/>
    <w:rsid w:val="00811A93"/>
    <w:rsid w:val="00811B29"/>
    <w:rsid w:val="00811B91"/>
    <w:rsid w:val="00812051"/>
    <w:rsid w:val="0081214D"/>
    <w:rsid w:val="0081276C"/>
    <w:rsid w:val="00812D05"/>
    <w:rsid w:val="00812E97"/>
    <w:rsid w:val="00813005"/>
    <w:rsid w:val="008133C1"/>
    <w:rsid w:val="008135FE"/>
    <w:rsid w:val="00813756"/>
    <w:rsid w:val="00813BE7"/>
    <w:rsid w:val="00813C24"/>
    <w:rsid w:val="00813F08"/>
    <w:rsid w:val="008142FD"/>
    <w:rsid w:val="0081462B"/>
    <w:rsid w:val="00814660"/>
    <w:rsid w:val="0081475E"/>
    <w:rsid w:val="00814A73"/>
    <w:rsid w:val="00814C38"/>
    <w:rsid w:val="00815213"/>
    <w:rsid w:val="008152B7"/>
    <w:rsid w:val="008154CD"/>
    <w:rsid w:val="008154D9"/>
    <w:rsid w:val="008154E9"/>
    <w:rsid w:val="008155CA"/>
    <w:rsid w:val="0081562A"/>
    <w:rsid w:val="00815C5E"/>
    <w:rsid w:val="00815DFC"/>
    <w:rsid w:val="00816086"/>
    <w:rsid w:val="00816367"/>
    <w:rsid w:val="008164D1"/>
    <w:rsid w:val="0081651B"/>
    <w:rsid w:val="00816528"/>
    <w:rsid w:val="00816541"/>
    <w:rsid w:val="0081683B"/>
    <w:rsid w:val="00816A26"/>
    <w:rsid w:val="00816BFB"/>
    <w:rsid w:val="00816C22"/>
    <w:rsid w:val="00816E17"/>
    <w:rsid w:val="0081721F"/>
    <w:rsid w:val="008172C2"/>
    <w:rsid w:val="0081733D"/>
    <w:rsid w:val="0081746B"/>
    <w:rsid w:val="00817D68"/>
    <w:rsid w:val="00817EEC"/>
    <w:rsid w:val="00820288"/>
    <w:rsid w:val="008206CD"/>
    <w:rsid w:val="00821209"/>
    <w:rsid w:val="00821281"/>
    <w:rsid w:val="00821348"/>
    <w:rsid w:val="00821370"/>
    <w:rsid w:val="008214FC"/>
    <w:rsid w:val="0082174C"/>
    <w:rsid w:val="00821753"/>
    <w:rsid w:val="008217C9"/>
    <w:rsid w:val="008218B4"/>
    <w:rsid w:val="00821B21"/>
    <w:rsid w:val="00821BF7"/>
    <w:rsid w:val="00821C3B"/>
    <w:rsid w:val="00821CA9"/>
    <w:rsid w:val="00821CFD"/>
    <w:rsid w:val="00822387"/>
    <w:rsid w:val="00822412"/>
    <w:rsid w:val="008226A5"/>
    <w:rsid w:val="00822A9E"/>
    <w:rsid w:val="00822C21"/>
    <w:rsid w:val="00822C7F"/>
    <w:rsid w:val="00822E76"/>
    <w:rsid w:val="0082327A"/>
    <w:rsid w:val="008233DC"/>
    <w:rsid w:val="008233EA"/>
    <w:rsid w:val="0082343C"/>
    <w:rsid w:val="00823672"/>
    <w:rsid w:val="008236FA"/>
    <w:rsid w:val="00823849"/>
    <w:rsid w:val="00823979"/>
    <w:rsid w:val="00823B04"/>
    <w:rsid w:val="00823BC5"/>
    <w:rsid w:val="00823C8B"/>
    <w:rsid w:val="00823CBE"/>
    <w:rsid w:val="00823CE7"/>
    <w:rsid w:val="00823E22"/>
    <w:rsid w:val="00824514"/>
    <w:rsid w:val="008247BC"/>
    <w:rsid w:val="008247F4"/>
    <w:rsid w:val="00824892"/>
    <w:rsid w:val="00824C43"/>
    <w:rsid w:val="00824CC9"/>
    <w:rsid w:val="0082521D"/>
    <w:rsid w:val="00825508"/>
    <w:rsid w:val="0082553A"/>
    <w:rsid w:val="008255BB"/>
    <w:rsid w:val="008256BC"/>
    <w:rsid w:val="00825DF2"/>
    <w:rsid w:val="00825E12"/>
    <w:rsid w:val="00825EBE"/>
    <w:rsid w:val="0082602B"/>
    <w:rsid w:val="008260AB"/>
    <w:rsid w:val="008263C1"/>
    <w:rsid w:val="008263E1"/>
    <w:rsid w:val="00826907"/>
    <w:rsid w:val="00826C10"/>
    <w:rsid w:val="00826CB3"/>
    <w:rsid w:val="00826EB9"/>
    <w:rsid w:val="0082700E"/>
    <w:rsid w:val="008270A9"/>
    <w:rsid w:val="00827320"/>
    <w:rsid w:val="00827366"/>
    <w:rsid w:val="008274CC"/>
    <w:rsid w:val="00827F5D"/>
    <w:rsid w:val="008300DC"/>
    <w:rsid w:val="00830300"/>
    <w:rsid w:val="0083090B"/>
    <w:rsid w:val="00830C2B"/>
    <w:rsid w:val="0083123C"/>
    <w:rsid w:val="008312B0"/>
    <w:rsid w:val="008313E5"/>
    <w:rsid w:val="00831774"/>
    <w:rsid w:val="0083183F"/>
    <w:rsid w:val="00831A3C"/>
    <w:rsid w:val="00831BD9"/>
    <w:rsid w:val="00831D99"/>
    <w:rsid w:val="00831FA9"/>
    <w:rsid w:val="008323B0"/>
    <w:rsid w:val="008324E0"/>
    <w:rsid w:val="00832556"/>
    <w:rsid w:val="008326FC"/>
    <w:rsid w:val="00832890"/>
    <w:rsid w:val="0083290A"/>
    <w:rsid w:val="00832F7A"/>
    <w:rsid w:val="008337A3"/>
    <w:rsid w:val="0083395D"/>
    <w:rsid w:val="00833A00"/>
    <w:rsid w:val="00834EE2"/>
    <w:rsid w:val="00834F3A"/>
    <w:rsid w:val="0083530C"/>
    <w:rsid w:val="00835420"/>
    <w:rsid w:val="00835645"/>
    <w:rsid w:val="0083566F"/>
    <w:rsid w:val="00835753"/>
    <w:rsid w:val="00835A5F"/>
    <w:rsid w:val="00835B7E"/>
    <w:rsid w:val="00835BE3"/>
    <w:rsid w:val="00835ECD"/>
    <w:rsid w:val="00835F94"/>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58E"/>
    <w:rsid w:val="008417C2"/>
    <w:rsid w:val="00841801"/>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D23"/>
    <w:rsid w:val="00843FB9"/>
    <w:rsid w:val="0084415C"/>
    <w:rsid w:val="00844428"/>
    <w:rsid w:val="0084476C"/>
    <w:rsid w:val="00844A39"/>
    <w:rsid w:val="0084509D"/>
    <w:rsid w:val="0084534E"/>
    <w:rsid w:val="00845604"/>
    <w:rsid w:val="00845C18"/>
    <w:rsid w:val="00845D51"/>
    <w:rsid w:val="00845D5A"/>
    <w:rsid w:val="008462D7"/>
    <w:rsid w:val="00846B32"/>
    <w:rsid w:val="00846CE9"/>
    <w:rsid w:val="00846DE3"/>
    <w:rsid w:val="00846F8E"/>
    <w:rsid w:val="0084700E"/>
    <w:rsid w:val="00847025"/>
    <w:rsid w:val="0084703D"/>
    <w:rsid w:val="008471E4"/>
    <w:rsid w:val="0084720A"/>
    <w:rsid w:val="008472A7"/>
    <w:rsid w:val="00847526"/>
    <w:rsid w:val="00847A58"/>
    <w:rsid w:val="00847A69"/>
    <w:rsid w:val="00847C9C"/>
    <w:rsid w:val="00847F1F"/>
    <w:rsid w:val="0085003E"/>
    <w:rsid w:val="00850077"/>
    <w:rsid w:val="008502F7"/>
    <w:rsid w:val="00850481"/>
    <w:rsid w:val="008505CA"/>
    <w:rsid w:val="0085060B"/>
    <w:rsid w:val="00850648"/>
    <w:rsid w:val="00850861"/>
    <w:rsid w:val="00850862"/>
    <w:rsid w:val="008509EF"/>
    <w:rsid w:val="00850AFA"/>
    <w:rsid w:val="00850B2A"/>
    <w:rsid w:val="00850C99"/>
    <w:rsid w:val="00850F7D"/>
    <w:rsid w:val="0085108B"/>
    <w:rsid w:val="008512C9"/>
    <w:rsid w:val="0085136E"/>
    <w:rsid w:val="00851455"/>
    <w:rsid w:val="00851468"/>
    <w:rsid w:val="008516AE"/>
    <w:rsid w:val="00851706"/>
    <w:rsid w:val="00851A1D"/>
    <w:rsid w:val="00851A88"/>
    <w:rsid w:val="00851D4F"/>
    <w:rsid w:val="0085247D"/>
    <w:rsid w:val="008527C5"/>
    <w:rsid w:val="00852842"/>
    <w:rsid w:val="00852843"/>
    <w:rsid w:val="0085291D"/>
    <w:rsid w:val="00852EA6"/>
    <w:rsid w:val="00852F47"/>
    <w:rsid w:val="0085329A"/>
    <w:rsid w:val="00853515"/>
    <w:rsid w:val="008536A0"/>
    <w:rsid w:val="0085385B"/>
    <w:rsid w:val="008539BA"/>
    <w:rsid w:val="00853A25"/>
    <w:rsid w:val="00853A4A"/>
    <w:rsid w:val="00853C8C"/>
    <w:rsid w:val="00853D1D"/>
    <w:rsid w:val="00853D2C"/>
    <w:rsid w:val="00853DCF"/>
    <w:rsid w:val="00853F87"/>
    <w:rsid w:val="00853F94"/>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0E3"/>
    <w:rsid w:val="00856261"/>
    <w:rsid w:val="008564A8"/>
    <w:rsid w:val="00856753"/>
    <w:rsid w:val="008568E5"/>
    <w:rsid w:val="00856A89"/>
    <w:rsid w:val="0085703F"/>
    <w:rsid w:val="0085742E"/>
    <w:rsid w:val="00857749"/>
    <w:rsid w:val="00857889"/>
    <w:rsid w:val="0085793E"/>
    <w:rsid w:val="00857A1D"/>
    <w:rsid w:val="00857AF5"/>
    <w:rsid w:val="008600D4"/>
    <w:rsid w:val="00860211"/>
    <w:rsid w:val="00860614"/>
    <w:rsid w:val="0086081D"/>
    <w:rsid w:val="00860AE9"/>
    <w:rsid w:val="00860BD7"/>
    <w:rsid w:val="008611C9"/>
    <w:rsid w:val="008613B8"/>
    <w:rsid w:val="008618B4"/>
    <w:rsid w:val="008618FA"/>
    <w:rsid w:val="00861B50"/>
    <w:rsid w:val="00861B6C"/>
    <w:rsid w:val="00861C42"/>
    <w:rsid w:val="00861C46"/>
    <w:rsid w:val="00861C4F"/>
    <w:rsid w:val="00861D04"/>
    <w:rsid w:val="00861D84"/>
    <w:rsid w:val="00862479"/>
    <w:rsid w:val="008625A1"/>
    <w:rsid w:val="008626CC"/>
    <w:rsid w:val="008627F4"/>
    <w:rsid w:val="008628E9"/>
    <w:rsid w:val="00862AC5"/>
    <w:rsid w:val="00862B0F"/>
    <w:rsid w:val="00862B1B"/>
    <w:rsid w:val="00862B7D"/>
    <w:rsid w:val="00862C8A"/>
    <w:rsid w:val="00862CB3"/>
    <w:rsid w:val="00862F19"/>
    <w:rsid w:val="008633A2"/>
    <w:rsid w:val="008634F7"/>
    <w:rsid w:val="00863BBD"/>
    <w:rsid w:val="00863C9D"/>
    <w:rsid w:val="008644D0"/>
    <w:rsid w:val="008645B9"/>
    <w:rsid w:val="00864762"/>
    <w:rsid w:val="008647B1"/>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B7A"/>
    <w:rsid w:val="00866BFD"/>
    <w:rsid w:val="00866DC7"/>
    <w:rsid w:val="008674D3"/>
    <w:rsid w:val="00867712"/>
    <w:rsid w:val="00867D83"/>
    <w:rsid w:val="00867E81"/>
    <w:rsid w:val="00870274"/>
    <w:rsid w:val="0087029B"/>
    <w:rsid w:val="008703F6"/>
    <w:rsid w:val="00870639"/>
    <w:rsid w:val="008707D3"/>
    <w:rsid w:val="00870A44"/>
    <w:rsid w:val="00870A5B"/>
    <w:rsid w:val="00870AAE"/>
    <w:rsid w:val="00870C9E"/>
    <w:rsid w:val="00870DD2"/>
    <w:rsid w:val="0087125E"/>
    <w:rsid w:val="0087146D"/>
    <w:rsid w:val="00871528"/>
    <w:rsid w:val="0087189E"/>
    <w:rsid w:val="00871A32"/>
    <w:rsid w:val="00871D4E"/>
    <w:rsid w:val="00871D7D"/>
    <w:rsid w:val="00871F01"/>
    <w:rsid w:val="00871FF7"/>
    <w:rsid w:val="008720C0"/>
    <w:rsid w:val="008727CF"/>
    <w:rsid w:val="008727D4"/>
    <w:rsid w:val="00872B33"/>
    <w:rsid w:val="00872CD4"/>
    <w:rsid w:val="00872CD5"/>
    <w:rsid w:val="00872F5A"/>
    <w:rsid w:val="00872FD8"/>
    <w:rsid w:val="0087306A"/>
    <w:rsid w:val="0087363C"/>
    <w:rsid w:val="0087393E"/>
    <w:rsid w:val="00873AF2"/>
    <w:rsid w:val="00873B8E"/>
    <w:rsid w:val="00873E87"/>
    <w:rsid w:val="00874044"/>
    <w:rsid w:val="0087444B"/>
    <w:rsid w:val="008745D8"/>
    <w:rsid w:val="00874CC2"/>
    <w:rsid w:val="00874E0E"/>
    <w:rsid w:val="00874F7B"/>
    <w:rsid w:val="00875025"/>
    <w:rsid w:val="008753BC"/>
    <w:rsid w:val="008756AA"/>
    <w:rsid w:val="00875BA4"/>
    <w:rsid w:val="00875BA5"/>
    <w:rsid w:val="00875E8A"/>
    <w:rsid w:val="00875ED9"/>
    <w:rsid w:val="00875EEA"/>
    <w:rsid w:val="00875FAB"/>
    <w:rsid w:val="0087642E"/>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E6F"/>
    <w:rsid w:val="00877FAC"/>
    <w:rsid w:val="00880053"/>
    <w:rsid w:val="00880195"/>
    <w:rsid w:val="008802CD"/>
    <w:rsid w:val="008804DA"/>
    <w:rsid w:val="00880527"/>
    <w:rsid w:val="008806CA"/>
    <w:rsid w:val="008807C5"/>
    <w:rsid w:val="00880D8B"/>
    <w:rsid w:val="0088111C"/>
    <w:rsid w:val="00881261"/>
    <w:rsid w:val="00881275"/>
    <w:rsid w:val="008814B9"/>
    <w:rsid w:val="00881536"/>
    <w:rsid w:val="00881C0F"/>
    <w:rsid w:val="00881F98"/>
    <w:rsid w:val="008823A4"/>
    <w:rsid w:val="00882694"/>
    <w:rsid w:val="00882BF9"/>
    <w:rsid w:val="00882CDE"/>
    <w:rsid w:val="00883153"/>
    <w:rsid w:val="00883189"/>
    <w:rsid w:val="00883329"/>
    <w:rsid w:val="00883766"/>
    <w:rsid w:val="0088381F"/>
    <w:rsid w:val="008838B6"/>
    <w:rsid w:val="0088398D"/>
    <w:rsid w:val="00883AC7"/>
    <w:rsid w:val="00883B36"/>
    <w:rsid w:val="00883C40"/>
    <w:rsid w:val="00883C8D"/>
    <w:rsid w:val="00883C9E"/>
    <w:rsid w:val="00883CB5"/>
    <w:rsid w:val="00883D39"/>
    <w:rsid w:val="00883F45"/>
    <w:rsid w:val="00884021"/>
    <w:rsid w:val="00884045"/>
    <w:rsid w:val="00884627"/>
    <w:rsid w:val="00884699"/>
    <w:rsid w:val="0088470D"/>
    <w:rsid w:val="008848E2"/>
    <w:rsid w:val="00884F12"/>
    <w:rsid w:val="008850C2"/>
    <w:rsid w:val="008850EF"/>
    <w:rsid w:val="008851ED"/>
    <w:rsid w:val="00885409"/>
    <w:rsid w:val="00885811"/>
    <w:rsid w:val="00885D46"/>
    <w:rsid w:val="00885D73"/>
    <w:rsid w:val="00885EB7"/>
    <w:rsid w:val="00885F02"/>
    <w:rsid w:val="008861C6"/>
    <w:rsid w:val="0088631A"/>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E69"/>
    <w:rsid w:val="00887F78"/>
    <w:rsid w:val="008900C0"/>
    <w:rsid w:val="008900F3"/>
    <w:rsid w:val="00890728"/>
    <w:rsid w:val="00890780"/>
    <w:rsid w:val="00890812"/>
    <w:rsid w:val="00890A87"/>
    <w:rsid w:val="00890AA3"/>
    <w:rsid w:val="00890FAB"/>
    <w:rsid w:val="008911CC"/>
    <w:rsid w:val="0089125B"/>
    <w:rsid w:val="008912F8"/>
    <w:rsid w:val="0089130C"/>
    <w:rsid w:val="00891CB4"/>
    <w:rsid w:val="008923EF"/>
    <w:rsid w:val="00892554"/>
    <w:rsid w:val="008927ED"/>
    <w:rsid w:val="0089297A"/>
    <w:rsid w:val="00892A3A"/>
    <w:rsid w:val="00892A8C"/>
    <w:rsid w:val="00892DD0"/>
    <w:rsid w:val="00892DDB"/>
    <w:rsid w:val="00893391"/>
    <w:rsid w:val="008933EB"/>
    <w:rsid w:val="00893435"/>
    <w:rsid w:val="00893470"/>
    <w:rsid w:val="008939F8"/>
    <w:rsid w:val="00893B56"/>
    <w:rsid w:val="00893BD4"/>
    <w:rsid w:val="00893C94"/>
    <w:rsid w:val="00893E6C"/>
    <w:rsid w:val="00893E73"/>
    <w:rsid w:val="00893F26"/>
    <w:rsid w:val="008945E2"/>
    <w:rsid w:val="0089478D"/>
    <w:rsid w:val="008947F8"/>
    <w:rsid w:val="0089491C"/>
    <w:rsid w:val="00894BC7"/>
    <w:rsid w:val="00894DF2"/>
    <w:rsid w:val="00895094"/>
    <w:rsid w:val="00895161"/>
    <w:rsid w:val="008952ED"/>
    <w:rsid w:val="008955B1"/>
    <w:rsid w:val="00895B87"/>
    <w:rsid w:val="00896127"/>
    <w:rsid w:val="00896206"/>
    <w:rsid w:val="008968C2"/>
    <w:rsid w:val="00896BFE"/>
    <w:rsid w:val="00896C9E"/>
    <w:rsid w:val="00896D12"/>
    <w:rsid w:val="008972B0"/>
    <w:rsid w:val="0089762D"/>
    <w:rsid w:val="008978F0"/>
    <w:rsid w:val="008979A2"/>
    <w:rsid w:val="00897CD7"/>
    <w:rsid w:val="008A0463"/>
    <w:rsid w:val="008A069D"/>
    <w:rsid w:val="008A0767"/>
    <w:rsid w:val="008A0B3C"/>
    <w:rsid w:val="008A0F40"/>
    <w:rsid w:val="008A198E"/>
    <w:rsid w:val="008A1BAB"/>
    <w:rsid w:val="008A1E23"/>
    <w:rsid w:val="008A237E"/>
    <w:rsid w:val="008A2407"/>
    <w:rsid w:val="008A242B"/>
    <w:rsid w:val="008A2730"/>
    <w:rsid w:val="008A282E"/>
    <w:rsid w:val="008A29FD"/>
    <w:rsid w:val="008A2CBB"/>
    <w:rsid w:val="008A2ED4"/>
    <w:rsid w:val="008A32E7"/>
    <w:rsid w:val="008A3803"/>
    <w:rsid w:val="008A38E3"/>
    <w:rsid w:val="008A3A28"/>
    <w:rsid w:val="008A3B2C"/>
    <w:rsid w:val="008A3B51"/>
    <w:rsid w:val="008A3C83"/>
    <w:rsid w:val="008A3EB1"/>
    <w:rsid w:val="008A3F2A"/>
    <w:rsid w:val="008A41CE"/>
    <w:rsid w:val="008A41DF"/>
    <w:rsid w:val="008A4796"/>
    <w:rsid w:val="008A4A77"/>
    <w:rsid w:val="008A4B7E"/>
    <w:rsid w:val="008A4D9A"/>
    <w:rsid w:val="008A52CC"/>
    <w:rsid w:val="008A5883"/>
    <w:rsid w:val="008A5A2E"/>
    <w:rsid w:val="008A5A78"/>
    <w:rsid w:val="008A5EC5"/>
    <w:rsid w:val="008A5ED2"/>
    <w:rsid w:val="008A5F93"/>
    <w:rsid w:val="008A60B6"/>
    <w:rsid w:val="008A613D"/>
    <w:rsid w:val="008A632B"/>
    <w:rsid w:val="008A6693"/>
    <w:rsid w:val="008A66CE"/>
    <w:rsid w:val="008A6703"/>
    <w:rsid w:val="008A678E"/>
    <w:rsid w:val="008A6B15"/>
    <w:rsid w:val="008A6DC9"/>
    <w:rsid w:val="008A6E91"/>
    <w:rsid w:val="008A7036"/>
    <w:rsid w:val="008A7407"/>
    <w:rsid w:val="008A7567"/>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4D1"/>
    <w:rsid w:val="008B1A78"/>
    <w:rsid w:val="008B1A8E"/>
    <w:rsid w:val="008B1EDA"/>
    <w:rsid w:val="008B1EE7"/>
    <w:rsid w:val="008B2119"/>
    <w:rsid w:val="008B21FD"/>
    <w:rsid w:val="008B221B"/>
    <w:rsid w:val="008B239A"/>
    <w:rsid w:val="008B23D6"/>
    <w:rsid w:val="008B2473"/>
    <w:rsid w:val="008B2563"/>
    <w:rsid w:val="008B2566"/>
    <w:rsid w:val="008B25D3"/>
    <w:rsid w:val="008B268E"/>
    <w:rsid w:val="008B2708"/>
    <w:rsid w:val="008B2A93"/>
    <w:rsid w:val="008B2B7A"/>
    <w:rsid w:val="008B2F50"/>
    <w:rsid w:val="008B3113"/>
    <w:rsid w:val="008B350D"/>
    <w:rsid w:val="008B3586"/>
    <w:rsid w:val="008B3CD3"/>
    <w:rsid w:val="008B3EB4"/>
    <w:rsid w:val="008B3EE8"/>
    <w:rsid w:val="008B400F"/>
    <w:rsid w:val="008B4139"/>
    <w:rsid w:val="008B41F0"/>
    <w:rsid w:val="008B42B2"/>
    <w:rsid w:val="008B44EB"/>
    <w:rsid w:val="008B4566"/>
    <w:rsid w:val="008B482A"/>
    <w:rsid w:val="008B49B0"/>
    <w:rsid w:val="008B4A8E"/>
    <w:rsid w:val="008B4C73"/>
    <w:rsid w:val="008B4DD3"/>
    <w:rsid w:val="008B4E26"/>
    <w:rsid w:val="008B4E67"/>
    <w:rsid w:val="008B51BC"/>
    <w:rsid w:val="008B5270"/>
    <w:rsid w:val="008B5785"/>
    <w:rsid w:val="008B59C0"/>
    <w:rsid w:val="008B5AB2"/>
    <w:rsid w:val="008B5FFB"/>
    <w:rsid w:val="008B63E5"/>
    <w:rsid w:val="008B645E"/>
    <w:rsid w:val="008B675D"/>
    <w:rsid w:val="008B6A03"/>
    <w:rsid w:val="008B6A3E"/>
    <w:rsid w:val="008B6AAE"/>
    <w:rsid w:val="008B6B85"/>
    <w:rsid w:val="008B7013"/>
    <w:rsid w:val="008B7090"/>
    <w:rsid w:val="008B71F9"/>
    <w:rsid w:val="008B7214"/>
    <w:rsid w:val="008B7442"/>
    <w:rsid w:val="008B755E"/>
    <w:rsid w:val="008B7576"/>
    <w:rsid w:val="008B7587"/>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1E23"/>
    <w:rsid w:val="008C20AA"/>
    <w:rsid w:val="008C226E"/>
    <w:rsid w:val="008C228E"/>
    <w:rsid w:val="008C2431"/>
    <w:rsid w:val="008C245A"/>
    <w:rsid w:val="008C25BB"/>
    <w:rsid w:val="008C2847"/>
    <w:rsid w:val="008C29A0"/>
    <w:rsid w:val="008C2C38"/>
    <w:rsid w:val="008C2D87"/>
    <w:rsid w:val="008C2E0B"/>
    <w:rsid w:val="008C30E5"/>
    <w:rsid w:val="008C3214"/>
    <w:rsid w:val="008C3AB7"/>
    <w:rsid w:val="008C3C01"/>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423"/>
    <w:rsid w:val="008C6473"/>
    <w:rsid w:val="008C65A7"/>
    <w:rsid w:val="008C6918"/>
    <w:rsid w:val="008C6947"/>
    <w:rsid w:val="008C6953"/>
    <w:rsid w:val="008C7170"/>
    <w:rsid w:val="008C7190"/>
    <w:rsid w:val="008C7259"/>
    <w:rsid w:val="008C72F9"/>
    <w:rsid w:val="008C76FD"/>
    <w:rsid w:val="008C7767"/>
    <w:rsid w:val="008C7B20"/>
    <w:rsid w:val="008C7C1A"/>
    <w:rsid w:val="008C7D23"/>
    <w:rsid w:val="008D00D3"/>
    <w:rsid w:val="008D026A"/>
    <w:rsid w:val="008D07E6"/>
    <w:rsid w:val="008D0C7A"/>
    <w:rsid w:val="008D0DEB"/>
    <w:rsid w:val="008D0F99"/>
    <w:rsid w:val="008D1172"/>
    <w:rsid w:val="008D11C8"/>
    <w:rsid w:val="008D11DF"/>
    <w:rsid w:val="008D1358"/>
    <w:rsid w:val="008D1B24"/>
    <w:rsid w:val="008D1B57"/>
    <w:rsid w:val="008D1B8D"/>
    <w:rsid w:val="008D1BF7"/>
    <w:rsid w:val="008D1C7B"/>
    <w:rsid w:val="008D1DAE"/>
    <w:rsid w:val="008D208D"/>
    <w:rsid w:val="008D216F"/>
    <w:rsid w:val="008D242A"/>
    <w:rsid w:val="008D2845"/>
    <w:rsid w:val="008D2CC8"/>
    <w:rsid w:val="008D2E4C"/>
    <w:rsid w:val="008D2F10"/>
    <w:rsid w:val="008D33F2"/>
    <w:rsid w:val="008D3421"/>
    <w:rsid w:val="008D365B"/>
    <w:rsid w:val="008D373D"/>
    <w:rsid w:val="008D3761"/>
    <w:rsid w:val="008D37EB"/>
    <w:rsid w:val="008D3907"/>
    <w:rsid w:val="008D3E2A"/>
    <w:rsid w:val="008D4060"/>
    <w:rsid w:val="008D41A9"/>
    <w:rsid w:val="008D41EF"/>
    <w:rsid w:val="008D431C"/>
    <w:rsid w:val="008D434C"/>
    <w:rsid w:val="008D45B9"/>
    <w:rsid w:val="008D4972"/>
    <w:rsid w:val="008D4C14"/>
    <w:rsid w:val="008D4C2C"/>
    <w:rsid w:val="008D4D0E"/>
    <w:rsid w:val="008D5435"/>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D26"/>
    <w:rsid w:val="008D6F8B"/>
    <w:rsid w:val="008D6FAF"/>
    <w:rsid w:val="008D70BC"/>
    <w:rsid w:val="008D74A9"/>
    <w:rsid w:val="008D7582"/>
    <w:rsid w:val="008D7609"/>
    <w:rsid w:val="008D7A32"/>
    <w:rsid w:val="008D7BAB"/>
    <w:rsid w:val="008D7BD6"/>
    <w:rsid w:val="008D7D28"/>
    <w:rsid w:val="008E06D4"/>
    <w:rsid w:val="008E07AB"/>
    <w:rsid w:val="008E07E6"/>
    <w:rsid w:val="008E0855"/>
    <w:rsid w:val="008E08FB"/>
    <w:rsid w:val="008E099B"/>
    <w:rsid w:val="008E0A61"/>
    <w:rsid w:val="008E0FBB"/>
    <w:rsid w:val="008E1624"/>
    <w:rsid w:val="008E180F"/>
    <w:rsid w:val="008E1970"/>
    <w:rsid w:val="008E1A99"/>
    <w:rsid w:val="008E1E77"/>
    <w:rsid w:val="008E1EC8"/>
    <w:rsid w:val="008E1F5F"/>
    <w:rsid w:val="008E1FA7"/>
    <w:rsid w:val="008E207F"/>
    <w:rsid w:val="008E20F0"/>
    <w:rsid w:val="008E20FC"/>
    <w:rsid w:val="008E218C"/>
    <w:rsid w:val="008E28A5"/>
    <w:rsid w:val="008E298E"/>
    <w:rsid w:val="008E2DEF"/>
    <w:rsid w:val="008E2EA9"/>
    <w:rsid w:val="008E2FB9"/>
    <w:rsid w:val="008E308B"/>
    <w:rsid w:val="008E3292"/>
    <w:rsid w:val="008E3B5B"/>
    <w:rsid w:val="008E3C89"/>
    <w:rsid w:val="008E3CA1"/>
    <w:rsid w:val="008E3CEB"/>
    <w:rsid w:val="008E3CF9"/>
    <w:rsid w:val="008E3D68"/>
    <w:rsid w:val="008E41CA"/>
    <w:rsid w:val="008E4234"/>
    <w:rsid w:val="008E4366"/>
    <w:rsid w:val="008E4482"/>
    <w:rsid w:val="008E4484"/>
    <w:rsid w:val="008E44B7"/>
    <w:rsid w:val="008E4606"/>
    <w:rsid w:val="008E46E1"/>
    <w:rsid w:val="008E4DFB"/>
    <w:rsid w:val="008E5011"/>
    <w:rsid w:val="008E5217"/>
    <w:rsid w:val="008E565E"/>
    <w:rsid w:val="008E5841"/>
    <w:rsid w:val="008E5ACF"/>
    <w:rsid w:val="008E5C0B"/>
    <w:rsid w:val="008E5EE3"/>
    <w:rsid w:val="008E5EFF"/>
    <w:rsid w:val="008E63F7"/>
    <w:rsid w:val="008E6638"/>
    <w:rsid w:val="008E6698"/>
    <w:rsid w:val="008E66F0"/>
    <w:rsid w:val="008E69A1"/>
    <w:rsid w:val="008E6A88"/>
    <w:rsid w:val="008E6ACE"/>
    <w:rsid w:val="008E6AF8"/>
    <w:rsid w:val="008E6DA9"/>
    <w:rsid w:val="008E7545"/>
    <w:rsid w:val="008F0102"/>
    <w:rsid w:val="008F01F5"/>
    <w:rsid w:val="008F0795"/>
    <w:rsid w:val="008F084E"/>
    <w:rsid w:val="008F08B0"/>
    <w:rsid w:val="008F0F1F"/>
    <w:rsid w:val="008F0FEA"/>
    <w:rsid w:val="008F13B1"/>
    <w:rsid w:val="008F13F7"/>
    <w:rsid w:val="008F179C"/>
    <w:rsid w:val="008F1957"/>
    <w:rsid w:val="008F19F6"/>
    <w:rsid w:val="008F1D28"/>
    <w:rsid w:val="008F22A6"/>
    <w:rsid w:val="008F2342"/>
    <w:rsid w:val="008F23EF"/>
    <w:rsid w:val="008F245D"/>
    <w:rsid w:val="008F24D9"/>
    <w:rsid w:val="008F2700"/>
    <w:rsid w:val="008F2982"/>
    <w:rsid w:val="008F298A"/>
    <w:rsid w:val="008F2A75"/>
    <w:rsid w:val="008F2F30"/>
    <w:rsid w:val="008F334F"/>
    <w:rsid w:val="008F382E"/>
    <w:rsid w:val="008F3A24"/>
    <w:rsid w:val="008F3CB2"/>
    <w:rsid w:val="008F3DCB"/>
    <w:rsid w:val="008F40F9"/>
    <w:rsid w:val="008F475C"/>
    <w:rsid w:val="008F47BE"/>
    <w:rsid w:val="008F5119"/>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7059"/>
    <w:rsid w:val="008F750F"/>
    <w:rsid w:val="008F7770"/>
    <w:rsid w:val="008F7837"/>
    <w:rsid w:val="008F7A2F"/>
    <w:rsid w:val="008F7C0D"/>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95E"/>
    <w:rsid w:val="00901D37"/>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404C"/>
    <w:rsid w:val="00904088"/>
    <w:rsid w:val="009043BA"/>
    <w:rsid w:val="009044EA"/>
    <w:rsid w:val="0090463B"/>
    <w:rsid w:val="009046D4"/>
    <w:rsid w:val="00904925"/>
    <w:rsid w:val="00904AF3"/>
    <w:rsid w:val="00904DCE"/>
    <w:rsid w:val="0090517C"/>
    <w:rsid w:val="009053FA"/>
    <w:rsid w:val="009057AC"/>
    <w:rsid w:val="00905A08"/>
    <w:rsid w:val="00905BC2"/>
    <w:rsid w:val="00905C79"/>
    <w:rsid w:val="00905E5C"/>
    <w:rsid w:val="00905FC6"/>
    <w:rsid w:val="00906996"/>
    <w:rsid w:val="009069A3"/>
    <w:rsid w:val="00906D3B"/>
    <w:rsid w:val="00906E61"/>
    <w:rsid w:val="00907066"/>
    <w:rsid w:val="0090717F"/>
    <w:rsid w:val="009075C0"/>
    <w:rsid w:val="00907B53"/>
    <w:rsid w:val="00907DC8"/>
    <w:rsid w:val="00910070"/>
    <w:rsid w:val="00910091"/>
    <w:rsid w:val="0091013C"/>
    <w:rsid w:val="00910647"/>
    <w:rsid w:val="00910933"/>
    <w:rsid w:val="00910B75"/>
    <w:rsid w:val="00910CD7"/>
    <w:rsid w:val="00910D1F"/>
    <w:rsid w:val="00910D9D"/>
    <w:rsid w:val="00910E48"/>
    <w:rsid w:val="00910EB3"/>
    <w:rsid w:val="00910ECD"/>
    <w:rsid w:val="00910F42"/>
    <w:rsid w:val="009114CB"/>
    <w:rsid w:val="009115D8"/>
    <w:rsid w:val="0091173A"/>
    <w:rsid w:val="009118CD"/>
    <w:rsid w:val="00911944"/>
    <w:rsid w:val="009119E4"/>
    <w:rsid w:val="00911B5B"/>
    <w:rsid w:val="00911C67"/>
    <w:rsid w:val="00911DB0"/>
    <w:rsid w:val="00911E9A"/>
    <w:rsid w:val="00911F43"/>
    <w:rsid w:val="00912218"/>
    <w:rsid w:val="009125E8"/>
    <w:rsid w:val="0091271A"/>
    <w:rsid w:val="0091285C"/>
    <w:rsid w:val="00912C4A"/>
    <w:rsid w:val="00913340"/>
    <w:rsid w:val="0091334E"/>
    <w:rsid w:val="0091366F"/>
    <w:rsid w:val="009137E6"/>
    <w:rsid w:val="009138AF"/>
    <w:rsid w:val="00913AB1"/>
    <w:rsid w:val="00913F2E"/>
    <w:rsid w:val="00913FB0"/>
    <w:rsid w:val="00914434"/>
    <w:rsid w:val="00914541"/>
    <w:rsid w:val="00914ADC"/>
    <w:rsid w:val="00914B9E"/>
    <w:rsid w:val="00914C92"/>
    <w:rsid w:val="00914CBD"/>
    <w:rsid w:val="00914CD6"/>
    <w:rsid w:val="00914E6A"/>
    <w:rsid w:val="00915CA8"/>
    <w:rsid w:val="0091609D"/>
    <w:rsid w:val="009160C5"/>
    <w:rsid w:val="0091610E"/>
    <w:rsid w:val="0091667B"/>
    <w:rsid w:val="00916843"/>
    <w:rsid w:val="009168CA"/>
    <w:rsid w:val="00916F01"/>
    <w:rsid w:val="009170C8"/>
    <w:rsid w:val="00917156"/>
    <w:rsid w:val="0091717B"/>
    <w:rsid w:val="00917314"/>
    <w:rsid w:val="009173D9"/>
    <w:rsid w:val="009174B1"/>
    <w:rsid w:val="00917578"/>
    <w:rsid w:val="0091779F"/>
    <w:rsid w:val="00917B1B"/>
    <w:rsid w:val="00917D31"/>
    <w:rsid w:val="00917D3D"/>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A6"/>
    <w:rsid w:val="00922BE5"/>
    <w:rsid w:val="00922C9F"/>
    <w:rsid w:val="00922E8F"/>
    <w:rsid w:val="00923034"/>
    <w:rsid w:val="009231DA"/>
    <w:rsid w:val="00923234"/>
    <w:rsid w:val="0092337F"/>
    <w:rsid w:val="00923842"/>
    <w:rsid w:val="009238E8"/>
    <w:rsid w:val="009239EC"/>
    <w:rsid w:val="00923C11"/>
    <w:rsid w:val="00923CEE"/>
    <w:rsid w:val="00923DA7"/>
    <w:rsid w:val="009245BA"/>
    <w:rsid w:val="009245BB"/>
    <w:rsid w:val="00924790"/>
    <w:rsid w:val="00924837"/>
    <w:rsid w:val="00924A63"/>
    <w:rsid w:val="00924B3F"/>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642B"/>
    <w:rsid w:val="00926670"/>
    <w:rsid w:val="00926964"/>
    <w:rsid w:val="0092697A"/>
    <w:rsid w:val="00926D1D"/>
    <w:rsid w:val="00926F9E"/>
    <w:rsid w:val="0092726F"/>
    <w:rsid w:val="00927294"/>
    <w:rsid w:val="009273E6"/>
    <w:rsid w:val="009276BC"/>
    <w:rsid w:val="009278D9"/>
    <w:rsid w:val="00927A66"/>
    <w:rsid w:val="00927A88"/>
    <w:rsid w:val="00927C90"/>
    <w:rsid w:val="00927D1E"/>
    <w:rsid w:val="009306F9"/>
    <w:rsid w:val="009309B4"/>
    <w:rsid w:val="00930A9B"/>
    <w:rsid w:val="00930B8B"/>
    <w:rsid w:val="00930C4E"/>
    <w:rsid w:val="00930FF5"/>
    <w:rsid w:val="009311EF"/>
    <w:rsid w:val="0093136E"/>
    <w:rsid w:val="00931419"/>
    <w:rsid w:val="0093179A"/>
    <w:rsid w:val="0093198C"/>
    <w:rsid w:val="0093253B"/>
    <w:rsid w:val="009328CC"/>
    <w:rsid w:val="009328E3"/>
    <w:rsid w:val="009328F8"/>
    <w:rsid w:val="00932B6D"/>
    <w:rsid w:val="00932D38"/>
    <w:rsid w:val="00932D76"/>
    <w:rsid w:val="00932F41"/>
    <w:rsid w:val="00933004"/>
    <w:rsid w:val="009335E9"/>
    <w:rsid w:val="009336BB"/>
    <w:rsid w:val="0093377F"/>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D6F"/>
    <w:rsid w:val="00936111"/>
    <w:rsid w:val="0093626D"/>
    <w:rsid w:val="00936680"/>
    <w:rsid w:val="009368BB"/>
    <w:rsid w:val="00936C6B"/>
    <w:rsid w:val="00936CD5"/>
    <w:rsid w:val="00936D9E"/>
    <w:rsid w:val="00936F91"/>
    <w:rsid w:val="00937052"/>
    <w:rsid w:val="009373B9"/>
    <w:rsid w:val="0093746C"/>
    <w:rsid w:val="00937B39"/>
    <w:rsid w:val="009401D0"/>
    <w:rsid w:val="00940230"/>
    <w:rsid w:val="009403C7"/>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2284"/>
    <w:rsid w:val="009425D3"/>
    <w:rsid w:val="009426FB"/>
    <w:rsid w:val="009427D6"/>
    <w:rsid w:val="0094289F"/>
    <w:rsid w:val="00942A0D"/>
    <w:rsid w:val="00943170"/>
    <w:rsid w:val="00943325"/>
    <w:rsid w:val="009436D4"/>
    <w:rsid w:val="0094371D"/>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FF"/>
    <w:rsid w:val="00946666"/>
    <w:rsid w:val="009468A6"/>
    <w:rsid w:val="009469D8"/>
    <w:rsid w:val="00946AA1"/>
    <w:rsid w:val="00946BDB"/>
    <w:rsid w:val="00946CCD"/>
    <w:rsid w:val="00946DF8"/>
    <w:rsid w:val="00947531"/>
    <w:rsid w:val="0094774C"/>
    <w:rsid w:val="00950054"/>
    <w:rsid w:val="009500EF"/>
    <w:rsid w:val="0095068D"/>
    <w:rsid w:val="00950706"/>
    <w:rsid w:val="009508D2"/>
    <w:rsid w:val="00950AAC"/>
    <w:rsid w:val="00950AB4"/>
    <w:rsid w:val="00951531"/>
    <w:rsid w:val="00951758"/>
    <w:rsid w:val="009517B8"/>
    <w:rsid w:val="009519F3"/>
    <w:rsid w:val="00951D82"/>
    <w:rsid w:val="00951DE6"/>
    <w:rsid w:val="00952277"/>
    <w:rsid w:val="0095251F"/>
    <w:rsid w:val="009525DB"/>
    <w:rsid w:val="00952604"/>
    <w:rsid w:val="00952779"/>
    <w:rsid w:val="00952801"/>
    <w:rsid w:val="00952846"/>
    <w:rsid w:val="00952860"/>
    <w:rsid w:val="0095293C"/>
    <w:rsid w:val="00952AF8"/>
    <w:rsid w:val="00952DF4"/>
    <w:rsid w:val="00952F68"/>
    <w:rsid w:val="00952FDE"/>
    <w:rsid w:val="00952FF7"/>
    <w:rsid w:val="009533F0"/>
    <w:rsid w:val="0095370F"/>
    <w:rsid w:val="00953740"/>
    <w:rsid w:val="009538E8"/>
    <w:rsid w:val="00953904"/>
    <w:rsid w:val="00953A28"/>
    <w:rsid w:val="00953C20"/>
    <w:rsid w:val="00953EB0"/>
    <w:rsid w:val="00954128"/>
    <w:rsid w:val="009547A7"/>
    <w:rsid w:val="00954DB9"/>
    <w:rsid w:val="00954F12"/>
    <w:rsid w:val="00954FFE"/>
    <w:rsid w:val="0095502C"/>
    <w:rsid w:val="0095540D"/>
    <w:rsid w:val="00955C13"/>
    <w:rsid w:val="00955DA2"/>
    <w:rsid w:val="00956060"/>
    <w:rsid w:val="009561D9"/>
    <w:rsid w:val="0095632F"/>
    <w:rsid w:val="0095634D"/>
    <w:rsid w:val="00956636"/>
    <w:rsid w:val="00956DAB"/>
    <w:rsid w:val="009576B3"/>
    <w:rsid w:val="00957747"/>
    <w:rsid w:val="009578F0"/>
    <w:rsid w:val="00957AE1"/>
    <w:rsid w:val="00957C00"/>
    <w:rsid w:val="00957C4E"/>
    <w:rsid w:val="00957CB5"/>
    <w:rsid w:val="009606DD"/>
    <w:rsid w:val="009606E9"/>
    <w:rsid w:val="00960981"/>
    <w:rsid w:val="009609D0"/>
    <w:rsid w:val="00960C9C"/>
    <w:rsid w:val="00960E19"/>
    <w:rsid w:val="00960E79"/>
    <w:rsid w:val="00960E85"/>
    <w:rsid w:val="00960EF2"/>
    <w:rsid w:val="00960F82"/>
    <w:rsid w:val="0096114D"/>
    <w:rsid w:val="00961307"/>
    <w:rsid w:val="0096138C"/>
    <w:rsid w:val="009614A4"/>
    <w:rsid w:val="009615D5"/>
    <w:rsid w:val="0096191D"/>
    <w:rsid w:val="00961935"/>
    <w:rsid w:val="00961E94"/>
    <w:rsid w:val="009620AB"/>
    <w:rsid w:val="009623CA"/>
    <w:rsid w:val="00962995"/>
    <w:rsid w:val="0096299A"/>
    <w:rsid w:val="00962B1A"/>
    <w:rsid w:val="00962B51"/>
    <w:rsid w:val="009632EE"/>
    <w:rsid w:val="009634DD"/>
    <w:rsid w:val="009636E9"/>
    <w:rsid w:val="00963710"/>
    <w:rsid w:val="009637A9"/>
    <w:rsid w:val="00963872"/>
    <w:rsid w:val="00963C5A"/>
    <w:rsid w:val="00963F36"/>
    <w:rsid w:val="00964293"/>
    <w:rsid w:val="00964A43"/>
    <w:rsid w:val="00964C01"/>
    <w:rsid w:val="00964C79"/>
    <w:rsid w:val="00964CEF"/>
    <w:rsid w:val="00964DC8"/>
    <w:rsid w:val="00964F8C"/>
    <w:rsid w:val="00965536"/>
    <w:rsid w:val="0096555E"/>
    <w:rsid w:val="0096572F"/>
    <w:rsid w:val="00965818"/>
    <w:rsid w:val="00965B06"/>
    <w:rsid w:val="00965F96"/>
    <w:rsid w:val="00966189"/>
    <w:rsid w:val="00966A2D"/>
    <w:rsid w:val="00966D41"/>
    <w:rsid w:val="0096713B"/>
    <w:rsid w:val="0096720F"/>
    <w:rsid w:val="00967210"/>
    <w:rsid w:val="009672D3"/>
    <w:rsid w:val="00967513"/>
    <w:rsid w:val="00967A58"/>
    <w:rsid w:val="00967D01"/>
    <w:rsid w:val="00967E67"/>
    <w:rsid w:val="00967ECC"/>
    <w:rsid w:val="009706BF"/>
    <w:rsid w:val="00970862"/>
    <w:rsid w:val="0097086F"/>
    <w:rsid w:val="00970C01"/>
    <w:rsid w:val="00970E59"/>
    <w:rsid w:val="00971237"/>
    <w:rsid w:val="00971511"/>
    <w:rsid w:val="0097185C"/>
    <w:rsid w:val="0097190C"/>
    <w:rsid w:val="00971BF5"/>
    <w:rsid w:val="00971D15"/>
    <w:rsid w:val="00971E50"/>
    <w:rsid w:val="00971E6D"/>
    <w:rsid w:val="00971F85"/>
    <w:rsid w:val="0097201A"/>
    <w:rsid w:val="0097201E"/>
    <w:rsid w:val="0097202F"/>
    <w:rsid w:val="00972063"/>
    <w:rsid w:val="009723F2"/>
    <w:rsid w:val="009725D1"/>
    <w:rsid w:val="0097285B"/>
    <w:rsid w:val="00972AB4"/>
    <w:rsid w:val="00972C17"/>
    <w:rsid w:val="00972D36"/>
    <w:rsid w:val="00973416"/>
    <w:rsid w:val="009736C3"/>
    <w:rsid w:val="0097397D"/>
    <w:rsid w:val="00973C21"/>
    <w:rsid w:val="00973C4C"/>
    <w:rsid w:val="00973C88"/>
    <w:rsid w:val="0097476F"/>
    <w:rsid w:val="0097481B"/>
    <w:rsid w:val="00974CA4"/>
    <w:rsid w:val="00975051"/>
    <w:rsid w:val="00975348"/>
    <w:rsid w:val="00975395"/>
    <w:rsid w:val="00975409"/>
    <w:rsid w:val="0097555A"/>
    <w:rsid w:val="00975603"/>
    <w:rsid w:val="00975717"/>
    <w:rsid w:val="00975818"/>
    <w:rsid w:val="0097591A"/>
    <w:rsid w:val="009759ED"/>
    <w:rsid w:val="00975ADD"/>
    <w:rsid w:val="00975AE5"/>
    <w:rsid w:val="00975CEC"/>
    <w:rsid w:val="00975E83"/>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5C0"/>
    <w:rsid w:val="009808AF"/>
    <w:rsid w:val="009809EA"/>
    <w:rsid w:val="00980A46"/>
    <w:rsid w:val="00980AEB"/>
    <w:rsid w:val="00980B8F"/>
    <w:rsid w:val="00980EC9"/>
    <w:rsid w:val="00981009"/>
    <w:rsid w:val="00981129"/>
    <w:rsid w:val="0098138D"/>
    <w:rsid w:val="00981D34"/>
    <w:rsid w:val="00981DCC"/>
    <w:rsid w:val="00981F70"/>
    <w:rsid w:val="009820D0"/>
    <w:rsid w:val="0098229E"/>
    <w:rsid w:val="00982649"/>
    <w:rsid w:val="009828C1"/>
    <w:rsid w:val="00982AB7"/>
    <w:rsid w:val="00982C2F"/>
    <w:rsid w:val="00982E88"/>
    <w:rsid w:val="009836AB"/>
    <w:rsid w:val="009836F3"/>
    <w:rsid w:val="0098377F"/>
    <w:rsid w:val="009839ED"/>
    <w:rsid w:val="00983DF4"/>
    <w:rsid w:val="009840B2"/>
    <w:rsid w:val="00984141"/>
    <w:rsid w:val="009841EB"/>
    <w:rsid w:val="0098446D"/>
    <w:rsid w:val="00984B72"/>
    <w:rsid w:val="00984D78"/>
    <w:rsid w:val="00984DB4"/>
    <w:rsid w:val="0098566D"/>
    <w:rsid w:val="00985747"/>
    <w:rsid w:val="00985935"/>
    <w:rsid w:val="009859F8"/>
    <w:rsid w:val="00985CDA"/>
    <w:rsid w:val="00986336"/>
    <w:rsid w:val="009864E8"/>
    <w:rsid w:val="00986759"/>
    <w:rsid w:val="009869B0"/>
    <w:rsid w:val="00986A20"/>
    <w:rsid w:val="00986AF5"/>
    <w:rsid w:val="00986B15"/>
    <w:rsid w:val="00986B23"/>
    <w:rsid w:val="00986CFA"/>
    <w:rsid w:val="00986EA5"/>
    <w:rsid w:val="00986F75"/>
    <w:rsid w:val="00987256"/>
    <w:rsid w:val="00987603"/>
    <w:rsid w:val="009878FE"/>
    <w:rsid w:val="00987A7F"/>
    <w:rsid w:val="00987A95"/>
    <w:rsid w:val="00987CBD"/>
    <w:rsid w:val="00987D10"/>
    <w:rsid w:val="00987F74"/>
    <w:rsid w:val="0099036B"/>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E1D"/>
    <w:rsid w:val="00991FB8"/>
    <w:rsid w:val="0099238B"/>
    <w:rsid w:val="009923B8"/>
    <w:rsid w:val="009923FA"/>
    <w:rsid w:val="00992428"/>
    <w:rsid w:val="00992735"/>
    <w:rsid w:val="0099276B"/>
    <w:rsid w:val="009927D4"/>
    <w:rsid w:val="00992A60"/>
    <w:rsid w:val="00992B07"/>
    <w:rsid w:val="00992C91"/>
    <w:rsid w:val="00992F0E"/>
    <w:rsid w:val="00992F7A"/>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DB3"/>
    <w:rsid w:val="00994DD0"/>
    <w:rsid w:val="00994E02"/>
    <w:rsid w:val="00994FD4"/>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9CA"/>
    <w:rsid w:val="0099735C"/>
    <w:rsid w:val="00997395"/>
    <w:rsid w:val="00997495"/>
    <w:rsid w:val="0099762E"/>
    <w:rsid w:val="0099780B"/>
    <w:rsid w:val="0099785E"/>
    <w:rsid w:val="00997E5D"/>
    <w:rsid w:val="009A0173"/>
    <w:rsid w:val="009A021D"/>
    <w:rsid w:val="009A0512"/>
    <w:rsid w:val="009A0D3B"/>
    <w:rsid w:val="009A0F97"/>
    <w:rsid w:val="009A133D"/>
    <w:rsid w:val="009A139E"/>
    <w:rsid w:val="009A151C"/>
    <w:rsid w:val="009A1919"/>
    <w:rsid w:val="009A1ADC"/>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40"/>
    <w:rsid w:val="009A2DBD"/>
    <w:rsid w:val="009A2DC9"/>
    <w:rsid w:val="009A3288"/>
    <w:rsid w:val="009A3307"/>
    <w:rsid w:val="009A348B"/>
    <w:rsid w:val="009A373A"/>
    <w:rsid w:val="009A3F6E"/>
    <w:rsid w:val="009A4086"/>
    <w:rsid w:val="009A496E"/>
    <w:rsid w:val="009A4B9A"/>
    <w:rsid w:val="009A4BFB"/>
    <w:rsid w:val="009A4C5A"/>
    <w:rsid w:val="009A4D1D"/>
    <w:rsid w:val="009A5244"/>
    <w:rsid w:val="009A534F"/>
    <w:rsid w:val="009A5429"/>
    <w:rsid w:val="009A5515"/>
    <w:rsid w:val="009A5677"/>
    <w:rsid w:val="009A585D"/>
    <w:rsid w:val="009A59E9"/>
    <w:rsid w:val="009A5D2A"/>
    <w:rsid w:val="009A5E2B"/>
    <w:rsid w:val="009A6025"/>
    <w:rsid w:val="009A62D2"/>
    <w:rsid w:val="009A633A"/>
    <w:rsid w:val="009A6737"/>
    <w:rsid w:val="009A6B12"/>
    <w:rsid w:val="009A6E3E"/>
    <w:rsid w:val="009A715B"/>
    <w:rsid w:val="009A720E"/>
    <w:rsid w:val="009A72D1"/>
    <w:rsid w:val="009A73D5"/>
    <w:rsid w:val="009A754F"/>
    <w:rsid w:val="009A75AC"/>
    <w:rsid w:val="009A76CA"/>
    <w:rsid w:val="009A7727"/>
    <w:rsid w:val="009A78B4"/>
    <w:rsid w:val="009A7D7B"/>
    <w:rsid w:val="009A7E5E"/>
    <w:rsid w:val="009B0014"/>
    <w:rsid w:val="009B0059"/>
    <w:rsid w:val="009B017F"/>
    <w:rsid w:val="009B03C2"/>
    <w:rsid w:val="009B0A64"/>
    <w:rsid w:val="009B0AD7"/>
    <w:rsid w:val="009B0C7C"/>
    <w:rsid w:val="009B0D21"/>
    <w:rsid w:val="009B1488"/>
    <w:rsid w:val="009B1695"/>
    <w:rsid w:val="009B1905"/>
    <w:rsid w:val="009B2084"/>
    <w:rsid w:val="009B21D9"/>
    <w:rsid w:val="009B24F6"/>
    <w:rsid w:val="009B264A"/>
    <w:rsid w:val="009B2773"/>
    <w:rsid w:val="009B27D5"/>
    <w:rsid w:val="009B2981"/>
    <w:rsid w:val="009B2A33"/>
    <w:rsid w:val="009B2F2F"/>
    <w:rsid w:val="009B33F8"/>
    <w:rsid w:val="009B3411"/>
    <w:rsid w:val="009B36DD"/>
    <w:rsid w:val="009B394B"/>
    <w:rsid w:val="009B3983"/>
    <w:rsid w:val="009B3A11"/>
    <w:rsid w:val="009B3ACF"/>
    <w:rsid w:val="009B3F50"/>
    <w:rsid w:val="009B3F9B"/>
    <w:rsid w:val="009B4164"/>
    <w:rsid w:val="009B42A4"/>
    <w:rsid w:val="009B4319"/>
    <w:rsid w:val="009B43D2"/>
    <w:rsid w:val="009B4676"/>
    <w:rsid w:val="009B477C"/>
    <w:rsid w:val="009B485A"/>
    <w:rsid w:val="009B4D64"/>
    <w:rsid w:val="009B4DD2"/>
    <w:rsid w:val="009B4E95"/>
    <w:rsid w:val="009B50D4"/>
    <w:rsid w:val="009B511C"/>
    <w:rsid w:val="009B51FB"/>
    <w:rsid w:val="009B53FA"/>
    <w:rsid w:val="009B55F9"/>
    <w:rsid w:val="009B573E"/>
    <w:rsid w:val="009B5B35"/>
    <w:rsid w:val="009B5EFD"/>
    <w:rsid w:val="009B6031"/>
    <w:rsid w:val="009B63A6"/>
    <w:rsid w:val="009B6B70"/>
    <w:rsid w:val="009B6B99"/>
    <w:rsid w:val="009B6CDC"/>
    <w:rsid w:val="009B6DB4"/>
    <w:rsid w:val="009B6F01"/>
    <w:rsid w:val="009B7077"/>
    <w:rsid w:val="009B720E"/>
    <w:rsid w:val="009B7285"/>
    <w:rsid w:val="009B7610"/>
    <w:rsid w:val="009B7765"/>
    <w:rsid w:val="009B7834"/>
    <w:rsid w:val="009B79E6"/>
    <w:rsid w:val="009B7BA9"/>
    <w:rsid w:val="009B7BF0"/>
    <w:rsid w:val="009C004B"/>
    <w:rsid w:val="009C02F4"/>
    <w:rsid w:val="009C0529"/>
    <w:rsid w:val="009C08FE"/>
    <w:rsid w:val="009C0B37"/>
    <w:rsid w:val="009C0E08"/>
    <w:rsid w:val="009C113D"/>
    <w:rsid w:val="009C11C0"/>
    <w:rsid w:val="009C15F0"/>
    <w:rsid w:val="009C16A5"/>
    <w:rsid w:val="009C1993"/>
    <w:rsid w:val="009C199B"/>
    <w:rsid w:val="009C19F8"/>
    <w:rsid w:val="009C1D81"/>
    <w:rsid w:val="009C1D8C"/>
    <w:rsid w:val="009C1FBB"/>
    <w:rsid w:val="009C1FCE"/>
    <w:rsid w:val="009C2579"/>
    <w:rsid w:val="009C2819"/>
    <w:rsid w:val="009C2AD3"/>
    <w:rsid w:val="009C2E42"/>
    <w:rsid w:val="009C32A3"/>
    <w:rsid w:val="009C3486"/>
    <w:rsid w:val="009C3875"/>
    <w:rsid w:val="009C3CF4"/>
    <w:rsid w:val="009C3CFE"/>
    <w:rsid w:val="009C3EA4"/>
    <w:rsid w:val="009C406A"/>
    <w:rsid w:val="009C42EE"/>
    <w:rsid w:val="009C44CD"/>
    <w:rsid w:val="009C45C5"/>
    <w:rsid w:val="009C45EF"/>
    <w:rsid w:val="009C49DA"/>
    <w:rsid w:val="009C4B2A"/>
    <w:rsid w:val="009C4CA4"/>
    <w:rsid w:val="009C504B"/>
    <w:rsid w:val="009C51B7"/>
    <w:rsid w:val="009C51EC"/>
    <w:rsid w:val="009C5292"/>
    <w:rsid w:val="009C5545"/>
    <w:rsid w:val="009C56FA"/>
    <w:rsid w:val="009C5A5E"/>
    <w:rsid w:val="009C5CBE"/>
    <w:rsid w:val="009C60F2"/>
    <w:rsid w:val="009C6149"/>
    <w:rsid w:val="009C6159"/>
    <w:rsid w:val="009C61AE"/>
    <w:rsid w:val="009C62AC"/>
    <w:rsid w:val="009C62D6"/>
    <w:rsid w:val="009C63AB"/>
    <w:rsid w:val="009C66AE"/>
    <w:rsid w:val="009C671A"/>
    <w:rsid w:val="009C6848"/>
    <w:rsid w:val="009C692B"/>
    <w:rsid w:val="009C6CAF"/>
    <w:rsid w:val="009C6CBB"/>
    <w:rsid w:val="009C6EF6"/>
    <w:rsid w:val="009C6F46"/>
    <w:rsid w:val="009C71EE"/>
    <w:rsid w:val="009C72A1"/>
    <w:rsid w:val="009C72D8"/>
    <w:rsid w:val="009C72E6"/>
    <w:rsid w:val="009C75A3"/>
    <w:rsid w:val="009C7C37"/>
    <w:rsid w:val="009D0003"/>
    <w:rsid w:val="009D0287"/>
    <w:rsid w:val="009D03DF"/>
    <w:rsid w:val="009D0423"/>
    <w:rsid w:val="009D0542"/>
    <w:rsid w:val="009D06BF"/>
    <w:rsid w:val="009D08D0"/>
    <w:rsid w:val="009D0CCB"/>
    <w:rsid w:val="009D0CFE"/>
    <w:rsid w:val="009D0D6B"/>
    <w:rsid w:val="009D0F10"/>
    <w:rsid w:val="009D1098"/>
    <w:rsid w:val="009D11A5"/>
    <w:rsid w:val="009D132A"/>
    <w:rsid w:val="009D140C"/>
    <w:rsid w:val="009D167B"/>
    <w:rsid w:val="009D1818"/>
    <w:rsid w:val="009D1A49"/>
    <w:rsid w:val="009D1A5E"/>
    <w:rsid w:val="009D1A89"/>
    <w:rsid w:val="009D1B60"/>
    <w:rsid w:val="009D1BD5"/>
    <w:rsid w:val="009D1D58"/>
    <w:rsid w:val="009D1F03"/>
    <w:rsid w:val="009D1F65"/>
    <w:rsid w:val="009D2101"/>
    <w:rsid w:val="009D21D3"/>
    <w:rsid w:val="009D2297"/>
    <w:rsid w:val="009D2349"/>
    <w:rsid w:val="009D2A80"/>
    <w:rsid w:val="009D2B5A"/>
    <w:rsid w:val="009D2B8F"/>
    <w:rsid w:val="009D2C18"/>
    <w:rsid w:val="009D2C19"/>
    <w:rsid w:val="009D3350"/>
    <w:rsid w:val="009D3412"/>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740"/>
    <w:rsid w:val="009D69B3"/>
    <w:rsid w:val="009D6CAE"/>
    <w:rsid w:val="009D6CF1"/>
    <w:rsid w:val="009D6CFB"/>
    <w:rsid w:val="009D7188"/>
    <w:rsid w:val="009D73A2"/>
    <w:rsid w:val="009D74E9"/>
    <w:rsid w:val="009D75B6"/>
    <w:rsid w:val="009D75D6"/>
    <w:rsid w:val="009D7708"/>
    <w:rsid w:val="009D7EB1"/>
    <w:rsid w:val="009E0166"/>
    <w:rsid w:val="009E064C"/>
    <w:rsid w:val="009E06B6"/>
    <w:rsid w:val="009E0759"/>
    <w:rsid w:val="009E07FC"/>
    <w:rsid w:val="009E08D7"/>
    <w:rsid w:val="009E0BBC"/>
    <w:rsid w:val="009E0D71"/>
    <w:rsid w:val="009E0DDB"/>
    <w:rsid w:val="009E1097"/>
    <w:rsid w:val="009E1130"/>
    <w:rsid w:val="009E12DF"/>
    <w:rsid w:val="009E143A"/>
    <w:rsid w:val="009E154F"/>
    <w:rsid w:val="009E1AC7"/>
    <w:rsid w:val="009E1ACA"/>
    <w:rsid w:val="009E1B56"/>
    <w:rsid w:val="009E1DFD"/>
    <w:rsid w:val="009E1E0B"/>
    <w:rsid w:val="009E25AA"/>
    <w:rsid w:val="009E267A"/>
    <w:rsid w:val="009E2709"/>
    <w:rsid w:val="009E271E"/>
    <w:rsid w:val="009E28FB"/>
    <w:rsid w:val="009E302B"/>
    <w:rsid w:val="009E32C6"/>
    <w:rsid w:val="009E3533"/>
    <w:rsid w:val="009E398D"/>
    <w:rsid w:val="009E39AA"/>
    <w:rsid w:val="009E4A6A"/>
    <w:rsid w:val="009E505E"/>
    <w:rsid w:val="009E51F0"/>
    <w:rsid w:val="009E53B0"/>
    <w:rsid w:val="009E5427"/>
    <w:rsid w:val="009E55B5"/>
    <w:rsid w:val="009E5615"/>
    <w:rsid w:val="009E568E"/>
    <w:rsid w:val="009E56FE"/>
    <w:rsid w:val="009E5C9C"/>
    <w:rsid w:val="009E5E80"/>
    <w:rsid w:val="009E5E96"/>
    <w:rsid w:val="009E5EDD"/>
    <w:rsid w:val="009E6204"/>
    <w:rsid w:val="009E634C"/>
    <w:rsid w:val="009E63CD"/>
    <w:rsid w:val="009E6783"/>
    <w:rsid w:val="009E688E"/>
    <w:rsid w:val="009E69D7"/>
    <w:rsid w:val="009E6A7A"/>
    <w:rsid w:val="009E6A9C"/>
    <w:rsid w:val="009E6B2A"/>
    <w:rsid w:val="009E6C6E"/>
    <w:rsid w:val="009E6F1A"/>
    <w:rsid w:val="009E6F4F"/>
    <w:rsid w:val="009E7A72"/>
    <w:rsid w:val="009E7DBB"/>
    <w:rsid w:val="009E7EC0"/>
    <w:rsid w:val="009F0011"/>
    <w:rsid w:val="009F062E"/>
    <w:rsid w:val="009F066D"/>
    <w:rsid w:val="009F06A9"/>
    <w:rsid w:val="009F071B"/>
    <w:rsid w:val="009F0D6F"/>
    <w:rsid w:val="009F0FFD"/>
    <w:rsid w:val="009F1428"/>
    <w:rsid w:val="009F152C"/>
    <w:rsid w:val="009F178C"/>
    <w:rsid w:val="009F1AAB"/>
    <w:rsid w:val="009F1B6E"/>
    <w:rsid w:val="009F1E22"/>
    <w:rsid w:val="009F2076"/>
    <w:rsid w:val="009F2295"/>
    <w:rsid w:val="009F2467"/>
    <w:rsid w:val="009F297A"/>
    <w:rsid w:val="009F2B85"/>
    <w:rsid w:val="009F2EE3"/>
    <w:rsid w:val="009F3032"/>
    <w:rsid w:val="009F31A7"/>
    <w:rsid w:val="009F33DC"/>
    <w:rsid w:val="009F3920"/>
    <w:rsid w:val="009F3948"/>
    <w:rsid w:val="009F3A1F"/>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87E"/>
    <w:rsid w:val="009F58AE"/>
    <w:rsid w:val="009F60B3"/>
    <w:rsid w:val="009F6157"/>
    <w:rsid w:val="009F62E7"/>
    <w:rsid w:val="009F676F"/>
    <w:rsid w:val="009F6825"/>
    <w:rsid w:val="009F6847"/>
    <w:rsid w:val="009F6B7C"/>
    <w:rsid w:val="009F6DF8"/>
    <w:rsid w:val="009F6E76"/>
    <w:rsid w:val="009F7088"/>
    <w:rsid w:val="009F727D"/>
    <w:rsid w:val="009F736A"/>
    <w:rsid w:val="009F7866"/>
    <w:rsid w:val="009F7902"/>
    <w:rsid w:val="00A00029"/>
    <w:rsid w:val="00A000E8"/>
    <w:rsid w:val="00A00524"/>
    <w:rsid w:val="00A00581"/>
    <w:rsid w:val="00A0083F"/>
    <w:rsid w:val="00A008A5"/>
    <w:rsid w:val="00A00AFF"/>
    <w:rsid w:val="00A00E80"/>
    <w:rsid w:val="00A00E99"/>
    <w:rsid w:val="00A00F3E"/>
    <w:rsid w:val="00A01053"/>
    <w:rsid w:val="00A010A7"/>
    <w:rsid w:val="00A011A7"/>
    <w:rsid w:val="00A011FF"/>
    <w:rsid w:val="00A014CA"/>
    <w:rsid w:val="00A01659"/>
    <w:rsid w:val="00A01677"/>
    <w:rsid w:val="00A01809"/>
    <w:rsid w:val="00A01964"/>
    <w:rsid w:val="00A01AA4"/>
    <w:rsid w:val="00A01AD0"/>
    <w:rsid w:val="00A01B59"/>
    <w:rsid w:val="00A01C10"/>
    <w:rsid w:val="00A01E33"/>
    <w:rsid w:val="00A02405"/>
    <w:rsid w:val="00A024C9"/>
    <w:rsid w:val="00A025BB"/>
    <w:rsid w:val="00A02805"/>
    <w:rsid w:val="00A02874"/>
    <w:rsid w:val="00A02B56"/>
    <w:rsid w:val="00A02C0C"/>
    <w:rsid w:val="00A02EE1"/>
    <w:rsid w:val="00A02F96"/>
    <w:rsid w:val="00A035AA"/>
    <w:rsid w:val="00A03D06"/>
    <w:rsid w:val="00A042A2"/>
    <w:rsid w:val="00A0438C"/>
    <w:rsid w:val="00A04A3E"/>
    <w:rsid w:val="00A04C50"/>
    <w:rsid w:val="00A0511E"/>
    <w:rsid w:val="00A052ED"/>
    <w:rsid w:val="00A05371"/>
    <w:rsid w:val="00A054C9"/>
    <w:rsid w:val="00A05AC6"/>
    <w:rsid w:val="00A060B4"/>
    <w:rsid w:val="00A060EB"/>
    <w:rsid w:val="00A0636B"/>
    <w:rsid w:val="00A06CF7"/>
    <w:rsid w:val="00A06D47"/>
    <w:rsid w:val="00A06E6F"/>
    <w:rsid w:val="00A070DD"/>
    <w:rsid w:val="00A07365"/>
    <w:rsid w:val="00A07514"/>
    <w:rsid w:val="00A07558"/>
    <w:rsid w:val="00A078AB"/>
    <w:rsid w:val="00A102D1"/>
    <w:rsid w:val="00A1031F"/>
    <w:rsid w:val="00A108F7"/>
    <w:rsid w:val="00A10914"/>
    <w:rsid w:val="00A10A9E"/>
    <w:rsid w:val="00A10CD3"/>
    <w:rsid w:val="00A10D24"/>
    <w:rsid w:val="00A10F73"/>
    <w:rsid w:val="00A113F3"/>
    <w:rsid w:val="00A115BF"/>
    <w:rsid w:val="00A11863"/>
    <w:rsid w:val="00A118FA"/>
    <w:rsid w:val="00A11A14"/>
    <w:rsid w:val="00A11A26"/>
    <w:rsid w:val="00A11A61"/>
    <w:rsid w:val="00A11AD2"/>
    <w:rsid w:val="00A11B95"/>
    <w:rsid w:val="00A11C1E"/>
    <w:rsid w:val="00A11F12"/>
    <w:rsid w:val="00A11FD6"/>
    <w:rsid w:val="00A12425"/>
    <w:rsid w:val="00A12641"/>
    <w:rsid w:val="00A126A9"/>
    <w:rsid w:val="00A1279B"/>
    <w:rsid w:val="00A12815"/>
    <w:rsid w:val="00A128F8"/>
    <w:rsid w:val="00A12AB9"/>
    <w:rsid w:val="00A12F49"/>
    <w:rsid w:val="00A12FA4"/>
    <w:rsid w:val="00A131A5"/>
    <w:rsid w:val="00A132A9"/>
    <w:rsid w:val="00A132EA"/>
    <w:rsid w:val="00A132F6"/>
    <w:rsid w:val="00A1361A"/>
    <w:rsid w:val="00A137F2"/>
    <w:rsid w:val="00A13CC8"/>
    <w:rsid w:val="00A14112"/>
    <w:rsid w:val="00A14113"/>
    <w:rsid w:val="00A14120"/>
    <w:rsid w:val="00A1416C"/>
    <w:rsid w:val="00A1424A"/>
    <w:rsid w:val="00A1427A"/>
    <w:rsid w:val="00A145E0"/>
    <w:rsid w:val="00A14693"/>
    <w:rsid w:val="00A14870"/>
    <w:rsid w:val="00A1488E"/>
    <w:rsid w:val="00A14906"/>
    <w:rsid w:val="00A1495D"/>
    <w:rsid w:val="00A149BE"/>
    <w:rsid w:val="00A14AB7"/>
    <w:rsid w:val="00A14D1C"/>
    <w:rsid w:val="00A14DF4"/>
    <w:rsid w:val="00A14FC0"/>
    <w:rsid w:val="00A14FF6"/>
    <w:rsid w:val="00A15341"/>
    <w:rsid w:val="00A155F1"/>
    <w:rsid w:val="00A15748"/>
    <w:rsid w:val="00A15789"/>
    <w:rsid w:val="00A158D0"/>
    <w:rsid w:val="00A15A0C"/>
    <w:rsid w:val="00A15BD6"/>
    <w:rsid w:val="00A15D94"/>
    <w:rsid w:val="00A15E30"/>
    <w:rsid w:val="00A15F56"/>
    <w:rsid w:val="00A15FD3"/>
    <w:rsid w:val="00A16AFB"/>
    <w:rsid w:val="00A16B6B"/>
    <w:rsid w:val="00A16BD2"/>
    <w:rsid w:val="00A170A8"/>
    <w:rsid w:val="00A17926"/>
    <w:rsid w:val="00A17D36"/>
    <w:rsid w:val="00A17D8D"/>
    <w:rsid w:val="00A17D96"/>
    <w:rsid w:val="00A17EB7"/>
    <w:rsid w:val="00A17FEF"/>
    <w:rsid w:val="00A2035D"/>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E42"/>
    <w:rsid w:val="00A21E7F"/>
    <w:rsid w:val="00A2236B"/>
    <w:rsid w:val="00A22866"/>
    <w:rsid w:val="00A22DDE"/>
    <w:rsid w:val="00A23076"/>
    <w:rsid w:val="00A238DC"/>
    <w:rsid w:val="00A239B8"/>
    <w:rsid w:val="00A23CA3"/>
    <w:rsid w:val="00A23E58"/>
    <w:rsid w:val="00A23E66"/>
    <w:rsid w:val="00A2429F"/>
    <w:rsid w:val="00A2433D"/>
    <w:rsid w:val="00A2433E"/>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AD"/>
    <w:rsid w:val="00A26739"/>
    <w:rsid w:val="00A267BC"/>
    <w:rsid w:val="00A268AF"/>
    <w:rsid w:val="00A269EB"/>
    <w:rsid w:val="00A26B67"/>
    <w:rsid w:val="00A26C30"/>
    <w:rsid w:val="00A26C43"/>
    <w:rsid w:val="00A26D05"/>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1059"/>
    <w:rsid w:val="00A31572"/>
    <w:rsid w:val="00A317A5"/>
    <w:rsid w:val="00A3190D"/>
    <w:rsid w:val="00A319E6"/>
    <w:rsid w:val="00A31B12"/>
    <w:rsid w:val="00A31BBD"/>
    <w:rsid w:val="00A31D41"/>
    <w:rsid w:val="00A3208A"/>
    <w:rsid w:val="00A3231E"/>
    <w:rsid w:val="00A325BC"/>
    <w:rsid w:val="00A3267E"/>
    <w:rsid w:val="00A3268D"/>
    <w:rsid w:val="00A3288C"/>
    <w:rsid w:val="00A3291E"/>
    <w:rsid w:val="00A32A41"/>
    <w:rsid w:val="00A32E3A"/>
    <w:rsid w:val="00A32EEF"/>
    <w:rsid w:val="00A334A2"/>
    <w:rsid w:val="00A3368C"/>
    <w:rsid w:val="00A33866"/>
    <w:rsid w:val="00A339E7"/>
    <w:rsid w:val="00A340AA"/>
    <w:rsid w:val="00A341B5"/>
    <w:rsid w:val="00A343EF"/>
    <w:rsid w:val="00A3445C"/>
    <w:rsid w:val="00A3463A"/>
    <w:rsid w:val="00A347D1"/>
    <w:rsid w:val="00A34A2A"/>
    <w:rsid w:val="00A34A69"/>
    <w:rsid w:val="00A34B79"/>
    <w:rsid w:val="00A34F3B"/>
    <w:rsid w:val="00A353E5"/>
    <w:rsid w:val="00A35417"/>
    <w:rsid w:val="00A358FF"/>
    <w:rsid w:val="00A35B60"/>
    <w:rsid w:val="00A35B78"/>
    <w:rsid w:val="00A35FA3"/>
    <w:rsid w:val="00A36296"/>
    <w:rsid w:val="00A3642D"/>
    <w:rsid w:val="00A364E1"/>
    <w:rsid w:val="00A36633"/>
    <w:rsid w:val="00A368FC"/>
    <w:rsid w:val="00A369BB"/>
    <w:rsid w:val="00A36CFA"/>
    <w:rsid w:val="00A36D4D"/>
    <w:rsid w:val="00A36E5C"/>
    <w:rsid w:val="00A373C2"/>
    <w:rsid w:val="00A3756B"/>
    <w:rsid w:val="00A3758E"/>
    <w:rsid w:val="00A375F3"/>
    <w:rsid w:val="00A37608"/>
    <w:rsid w:val="00A37636"/>
    <w:rsid w:val="00A37707"/>
    <w:rsid w:val="00A37A89"/>
    <w:rsid w:val="00A37E45"/>
    <w:rsid w:val="00A40110"/>
    <w:rsid w:val="00A40405"/>
    <w:rsid w:val="00A40430"/>
    <w:rsid w:val="00A40558"/>
    <w:rsid w:val="00A40AED"/>
    <w:rsid w:val="00A40B5C"/>
    <w:rsid w:val="00A40BE8"/>
    <w:rsid w:val="00A40C65"/>
    <w:rsid w:val="00A40DFC"/>
    <w:rsid w:val="00A41273"/>
    <w:rsid w:val="00A415E6"/>
    <w:rsid w:val="00A41676"/>
    <w:rsid w:val="00A41AB4"/>
    <w:rsid w:val="00A41D6D"/>
    <w:rsid w:val="00A41EFA"/>
    <w:rsid w:val="00A4243C"/>
    <w:rsid w:val="00A42485"/>
    <w:rsid w:val="00A42623"/>
    <w:rsid w:val="00A429E7"/>
    <w:rsid w:val="00A42A55"/>
    <w:rsid w:val="00A42E18"/>
    <w:rsid w:val="00A42F86"/>
    <w:rsid w:val="00A430CA"/>
    <w:rsid w:val="00A430F4"/>
    <w:rsid w:val="00A431DF"/>
    <w:rsid w:val="00A43234"/>
    <w:rsid w:val="00A435CC"/>
    <w:rsid w:val="00A4374F"/>
    <w:rsid w:val="00A43848"/>
    <w:rsid w:val="00A4389E"/>
    <w:rsid w:val="00A43AF2"/>
    <w:rsid w:val="00A43C50"/>
    <w:rsid w:val="00A43C6F"/>
    <w:rsid w:val="00A43D46"/>
    <w:rsid w:val="00A43ED8"/>
    <w:rsid w:val="00A443B8"/>
    <w:rsid w:val="00A44732"/>
    <w:rsid w:val="00A44789"/>
    <w:rsid w:val="00A44897"/>
    <w:rsid w:val="00A449CD"/>
    <w:rsid w:val="00A44B68"/>
    <w:rsid w:val="00A452EA"/>
    <w:rsid w:val="00A453E8"/>
    <w:rsid w:val="00A45516"/>
    <w:rsid w:val="00A45549"/>
    <w:rsid w:val="00A45848"/>
    <w:rsid w:val="00A45B3C"/>
    <w:rsid w:val="00A45C14"/>
    <w:rsid w:val="00A45CA8"/>
    <w:rsid w:val="00A45CE0"/>
    <w:rsid w:val="00A46144"/>
    <w:rsid w:val="00A4616A"/>
    <w:rsid w:val="00A46623"/>
    <w:rsid w:val="00A46754"/>
    <w:rsid w:val="00A46E9B"/>
    <w:rsid w:val="00A46EDD"/>
    <w:rsid w:val="00A47495"/>
    <w:rsid w:val="00A474D3"/>
    <w:rsid w:val="00A47686"/>
    <w:rsid w:val="00A476AE"/>
    <w:rsid w:val="00A47A11"/>
    <w:rsid w:val="00A47B20"/>
    <w:rsid w:val="00A47B50"/>
    <w:rsid w:val="00A5018B"/>
    <w:rsid w:val="00A50442"/>
    <w:rsid w:val="00A50736"/>
    <w:rsid w:val="00A5083B"/>
    <w:rsid w:val="00A50851"/>
    <w:rsid w:val="00A50BEE"/>
    <w:rsid w:val="00A50C46"/>
    <w:rsid w:val="00A50F5C"/>
    <w:rsid w:val="00A50FC2"/>
    <w:rsid w:val="00A514E9"/>
    <w:rsid w:val="00A5162C"/>
    <w:rsid w:val="00A518D7"/>
    <w:rsid w:val="00A51DA9"/>
    <w:rsid w:val="00A521D5"/>
    <w:rsid w:val="00A5270C"/>
    <w:rsid w:val="00A5270F"/>
    <w:rsid w:val="00A528B6"/>
    <w:rsid w:val="00A52972"/>
    <w:rsid w:val="00A52B47"/>
    <w:rsid w:val="00A52C60"/>
    <w:rsid w:val="00A52C70"/>
    <w:rsid w:val="00A52EEF"/>
    <w:rsid w:val="00A52F72"/>
    <w:rsid w:val="00A53061"/>
    <w:rsid w:val="00A530F1"/>
    <w:rsid w:val="00A530FD"/>
    <w:rsid w:val="00A53276"/>
    <w:rsid w:val="00A5356F"/>
    <w:rsid w:val="00A53B53"/>
    <w:rsid w:val="00A53D3C"/>
    <w:rsid w:val="00A53E69"/>
    <w:rsid w:val="00A54038"/>
    <w:rsid w:val="00A54414"/>
    <w:rsid w:val="00A545D5"/>
    <w:rsid w:val="00A546C5"/>
    <w:rsid w:val="00A54B2F"/>
    <w:rsid w:val="00A54C74"/>
    <w:rsid w:val="00A54D26"/>
    <w:rsid w:val="00A54D4F"/>
    <w:rsid w:val="00A54E86"/>
    <w:rsid w:val="00A551E5"/>
    <w:rsid w:val="00A555C5"/>
    <w:rsid w:val="00A55B14"/>
    <w:rsid w:val="00A55DD1"/>
    <w:rsid w:val="00A55F56"/>
    <w:rsid w:val="00A55FEF"/>
    <w:rsid w:val="00A56309"/>
    <w:rsid w:val="00A5662D"/>
    <w:rsid w:val="00A566A4"/>
    <w:rsid w:val="00A56A6B"/>
    <w:rsid w:val="00A56CDE"/>
    <w:rsid w:val="00A56DB5"/>
    <w:rsid w:val="00A56FD9"/>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66B"/>
    <w:rsid w:val="00A606DD"/>
    <w:rsid w:val="00A60707"/>
    <w:rsid w:val="00A608BC"/>
    <w:rsid w:val="00A608F4"/>
    <w:rsid w:val="00A60920"/>
    <w:rsid w:val="00A60AB1"/>
    <w:rsid w:val="00A60ACC"/>
    <w:rsid w:val="00A60D21"/>
    <w:rsid w:val="00A60FAF"/>
    <w:rsid w:val="00A610FF"/>
    <w:rsid w:val="00A61ACE"/>
    <w:rsid w:val="00A61D2A"/>
    <w:rsid w:val="00A61E85"/>
    <w:rsid w:val="00A6211A"/>
    <w:rsid w:val="00A621A1"/>
    <w:rsid w:val="00A6223A"/>
    <w:rsid w:val="00A623EF"/>
    <w:rsid w:val="00A62684"/>
    <w:rsid w:val="00A62695"/>
    <w:rsid w:val="00A627CD"/>
    <w:rsid w:val="00A6281D"/>
    <w:rsid w:val="00A628D9"/>
    <w:rsid w:val="00A62ACB"/>
    <w:rsid w:val="00A63180"/>
    <w:rsid w:val="00A633A4"/>
    <w:rsid w:val="00A6374D"/>
    <w:rsid w:val="00A637DE"/>
    <w:rsid w:val="00A638C5"/>
    <w:rsid w:val="00A638FA"/>
    <w:rsid w:val="00A63900"/>
    <w:rsid w:val="00A63A44"/>
    <w:rsid w:val="00A63CEF"/>
    <w:rsid w:val="00A64055"/>
    <w:rsid w:val="00A64171"/>
    <w:rsid w:val="00A6455B"/>
    <w:rsid w:val="00A64582"/>
    <w:rsid w:val="00A64805"/>
    <w:rsid w:val="00A648EF"/>
    <w:rsid w:val="00A64924"/>
    <w:rsid w:val="00A6493F"/>
    <w:rsid w:val="00A6499E"/>
    <w:rsid w:val="00A64A40"/>
    <w:rsid w:val="00A64CA7"/>
    <w:rsid w:val="00A65026"/>
    <w:rsid w:val="00A65065"/>
    <w:rsid w:val="00A6508E"/>
    <w:rsid w:val="00A651C2"/>
    <w:rsid w:val="00A65237"/>
    <w:rsid w:val="00A65329"/>
    <w:rsid w:val="00A6550C"/>
    <w:rsid w:val="00A6590E"/>
    <w:rsid w:val="00A65CCC"/>
    <w:rsid w:val="00A660E4"/>
    <w:rsid w:val="00A66596"/>
    <w:rsid w:val="00A666C2"/>
    <w:rsid w:val="00A666FC"/>
    <w:rsid w:val="00A66B88"/>
    <w:rsid w:val="00A66C49"/>
    <w:rsid w:val="00A66CB2"/>
    <w:rsid w:val="00A66DDD"/>
    <w:rsid w:val="00A67120"/>
    <w:rsid w:val="00A6739E"/>
    <w:rsid w:val="00A676A8"/>
    <w:rsid w:val="00A67883"/>
    <w:rsid w:val="00A67886"/>
    <w:rsid w:val="00A678A4"/>
    <w:rsid w:val="00A67C35"/>
    <w:rsid w:val="00A70367"/>
    <w:rsid w:val="00A7040A"/>
    <w:rsid w:val="00A704A9"/>
    <w:rsid w:val="00A704FC"/>
    <w:rsid w:val="00A70505"/>
    <w:rsid w:val="00A70812"/>
    <w:rsid w:val="00A7096A"/>
    <w:rsid w:val="00A709FA"/>
    <w:rsid w:val="00A70CD7"/>
    <w:rsid w:val="00A71159"/>
    <w:rsid w:val="00A711B4"/>
    <w:rsid w:val="00A712E1"/>
    <w:rsid w:val="00A7132A"/>
    <w:rsid w:val="00A71A1F"/>
    <w:rsid w:val="00A71C5E"/>
    <w:rsid w:val="00A71D29"/>
    <w:rsid w:val="00A71E77"/>
    <w:rsid w:val="00A71ECA"/>
    <w:rsid w:val="00A71F32"/>
    <w:rsid w:val="00A72194"/>
    <w:rsid w:val="00A72306"/>
    <w:rsid w:val="00A725D9"/>
    <w:rsid w:val="00A72707"/>
    <w:rsid w:val="00A7281D"/>
    <w:rsid w:val="00A729D0"/>
    <w:rsid w:val="00A72B08"/>
    <w:rsid w:val="00A72E25"/>
    <w:rsid w:val="00A731B0"/>
    <w:rsid w:val="00A734A2"/>
    <w:rsid w:val="00A735D5"/>
    <w:rsid w:val="00A736EA"/>
    <w:rsid w:val="00A739BB"/>
    <w:rsid w:val="00A73CF3"/>
    <w:rsid w:val="00A73D67"/>
    <w:rsid w:val="00A73E81"/>
    <w:rsid w:val="00A73F47"/>
    <w:rsid w:val="00A7409A"/>
    <w:rsid w:val="00A740D0"/>
    <w:rsid w:val="00A7414D"/>
    <w:rsid w:val="00A74165"/>
    <w:rsid w:val="00A744AA"/>
    <w:rsid w:val="00A7452B"/>
    <w:rsid w:val="00A74567"/>
    <w:rsid w:val="00A746CD"/>
    <w:rsid w:val="00A746E1"/>
    <w:rsid w:val="00A7563F"/>
    <w:rsid w:val="00A757BF"/>
    <w:rsid w:val="00A75A91"/>
    <w:rsid w:val="00A75AC9"/>
    <w:rsid w:val="00A75B1C"/>
    <w:rsid w:val="00A75C5A"/>
    <w:rsid w:val="00A75E2B"/>
    <w:rsid w:val="00A75EEF"/>
    <w:rsid w:val="00A76016"/>
    <w:rsid w:val="00A76147"/>
    <w:rsid w:val="00A76517"/>
    <w:rsid w:val="00A7663F"/>
    <w:rsid w:val="00A7683C"/>
    <w:rsid w:val="00A76A95"/>
    <w:rsid w:val="00A76C12"/>
    <w:rsid w:val="00A76C51"/>
    <w:rsid w:val="00A77035"/>
    <w:rsid w:val="00A77136"/>
    <w:rsid w:val="00A77267"/>
    <w:rsid w:val="00A773C6"/>
    <w:rsid w:val="00A775FD"/>
    <w:rsid w:val="00A77784"/>
    <w:rsid w:val="00A77807"/>
    <w:rsid w:val="00A77993"/>
    <w:rsid w:val="00A80272"/>
    <w:rsid w:val="00A804D4"/>
    <w:rsid w:val="00A805DE"/>
    <w:rsid w:val="00A80976"/>
    <w:rsid w:val="00A809FD"/>
    <w:rsid w:val="00A80D5E"/>
    <w:rsid w:val="00A80D6F"/>
    <w:rsid w:val="00A81355"/>
    <w:rsid w:val="00A81590"/>
    <w:rsid w:val="00A81693"/>
    <w:rsid w:val="00A81825"/>
    <w:rsid w:val="00A819B1"/>
    <w:rsid w:val="00A81C5F"/>
    <w:rsid w:val="00A81CA7"/>
    <w:rsid w:val="00A81DFB"/>
    <w:rsid w:val="00A821D9"/>
    <w:rsid w:val="00A822DB"/>
    <w:rsid w:val="00A8269C"/>
    <w:rsid w:val="00A82719"/>
    <w:rsid w:val="00A82A0F"/>
    <w:rsid w:val="00A82AB3"/>
    <w:rsid w:val="00A82B11"/>
    <w:rsid w:val="00A82B66"/>
    <w:rsid w:val="00A82C21"/>
    <w:rsid w:val="00A82F1D"/>
    <w:rsid w:val="00A83679"/>
    <w:rsid w:val="00A83CF5"/>
    <w:rsid w:val="00A83EC4"/>
    <w:rsid w:val="00A84195"/>
    <w:rsid w:val="00A8434F"/>
    <w:rsid w:val="00A844EF"/>
    <w:rsid w:val="00A84596"/>
    <w:rsid w:val="00A84BC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AF8"/>
    <w:rsid w:val="00A87B7D"/>
    <w:rsid w:val="00A87D56"/>
    <w:rsid w:val="00A9014B"/>
    <w:rsid w:val="00A90794"/>
    <w:rsid w:val="00A90795"/>
    <w:rsid w:val="00A90DEA"/>
    <w:rsid w:val="00A90E6B"/>
    <w:rsid w:val="00A90E85"/>
    <w:rsid w:val="00A90FA1"/>
    <w:rsid w:val="00A90FA4"/>
    <w:rsid w:val="00A91174"/>
    <w:rsid w:val="00A91189"/>
    <w:rsid w:val="00A9174A"/>
    <w:rsid w:val="00A91A1C"/>
    <w:rsid w:val="00A91ACD"/>
    <w:rsid w:val="00A91EDF"/>
    <w:rsid w:val="00A92347"/>
    <w:rsid w:val="00A92407"/>
    <w:rsid w:val="00A9253B"/>
    <w:rsid w:val="00A925F3"/>
    <w:rsid w:val="00A92DAC"/>
    <w:rsid w:val="00A92DF9"/>
    <w:rsid w:val="00A92E9F"/>
    <w:rsid w:val="00A92EF0"/>
    <w:rsid w:val="00A93101"/>
    <w:rsid w:val="00A9338F"/>
    <w:rsid w:val="00A935BD"/>
    <w:rsid w:val="00A93D0E"/>
    <w:rsid w:val="00A93F0B"/>
    <w:rsid w:val="00A93F4F"/>
    <w:rsid w:val="00A940DF"/>
    <w:rsid w:val="00A9421F"/>
    <w:rsid w:val="00A94354"/>
    <w:rsid w:val="00A94843"/>
    <w:rsid w:val="00A94BD7"/>
    <w:rsid w:val="00A94DED"/>
    <w:rsid w:val="00A94EA5"/>
    <w:rsid w:val="00A94F39"/>
    <w:rsid w:val="00A950FC"/>
    <w:rsid w:val="00A95198"/>
    <w:rsid w:val="00A95962"/>
    <w:rsid w:val="00A95C7A"/>
    <w:rsid w:val="00A95CA5"/>
    <w:rsid w:val="00A95E7D"/>
    <w:rsid w:val="00A961B5"/>
    <w:rsid w:val="00A96605"/>
    <w:rsid w:val="00A96A05"/>
    <w:rsid w:val="00A96BAE"/>
    <w:rsid w:val="00A96C2C"/>
    <w:rsid w:val="00A96C6F"/>
    <w:rsid w:val="00A96E7E"/>
    <w:rsid w:val="00A96F1A"/>
    <w:rsid w:val="00A97116"/>
    <w:rsid w:val="00A9715D"/>
    <w:rsid w:val="00A971CA"/>
    <w:rsid w:val="00A974D5"/>
    <w:rsid w:val="00A97536"/>
    <w:rsid w:val="00A97551"/>
    <w:rsid w:val="00A97581"/>
    <w:rsid w:val="00A9766F"/>
    <w:rsid w:val="00A977C6"/>
    <w:rsid w:val="00A97857"/>
    <w:rsid w:val="00A97E78"/>
    <w:rsid w:val="00A97FF2"/>
    <w:rsid w:val="00AA003E"/>
    <w:rsid w:val="00AA007C"/>
    <w:rsid w:val="00AA00EC"/>
    <w:rsid w:val="00AA02B1"/>
    <w:rsid w:val="00AA0746"/>
    <w:rsid w:val="00AA089A"/>
    <w:rsid w:val="00AA09A4"/>
    <w:rsid w:val="00AA0A27"/>
    <w:rsid w:val="00AA0AA9"/>
    <w:rsid w:val="00AA125A"/>
    <w:rsid w:val="00AA1285"/>
    <w:rsid w:val="00AA1692"/>
    <w:rsid w:val="00AA1718"/>
    <w:rsid w:val="00AA17CC"/>
    <w:rsid w:val="00AA1937"/>
    <w:rsid w:val="00AA1A34"/>
    <w:rsid w:val="00AA1AE8"/>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9A"/>
    <w:rsid w:val="00AA3F07"/>
    <w:rsid w:val="00AA4003"/>
    <w:rsid w:val="00AA44DF"/>
    <w:rsid w:val="00AA47D6"/>
    <w:rsid w:val="00AA480C"/>
    <w:rsid w:val="00AA4D54"/>
    <w:rsid w:val="00AA4E39"/>
    <w:rsid w:val="00AA54CD"/>
    <w:rsid w:val="00AA5555"/>
    <w:rsid w:val="00AA5760"/>
    <w:rsid w:val="00AA5B08"/>
    <w:rsid w:val="00AA5C8A"/>
    <w:rsid w:val="00AA5CD0"/>
    <w:rsid w:val="00AA5D29"/>
    <w:rsid w:val="00AA60A8"/>
    <w:rsid w:val="00AA60C0"/>
    <w:rsid w:val="00AA6193"/>
    <w:rsid w:val="00AA6619"/>
    <w:rsid w:val="00AA6802"/>
    <w:rsid w:val="00AA6883"/>
    <w:rsid w:val="00AA6A4A"/>
    <w:rsid w:val="00AA6BDE"/>
    <w:rsid w:val="00AA6F9F"/>
    <w:rsid w:val="00AA7001"/>
    <w:rsid w:val="00AA7011"/>
    <w:rsid w:val="00AA72DA"/>
    <w:rsid w:val="00AA7944"/>
    <w:rsid w:val="00AA7B1B"/>
    <w:rsid w:val="00AA7BC6"/>
    <w:rsid w:val="00AB01F4"/>
    <w:rsid w:val="00AB02E6"/>
    <w:rsid w:val="00AB05B1"/>
    <w:rsid w:val="00AB0645"/>
    <w:rsid w:val="00AB0869"/>
    <w:rsid w:val="00AB0990"/>
    <w:rsid w:val="00AB0A9D"/>
    <w:rsid w:val="00AB0B8A"/>
    <w:rsid w:val="00AB1678"/>
    <w:rsid w:val="00AB16D4"/>
    <w:rsid w:val="00AB1FCB"/>
    <w:rsid w:val="00AB26B5"/>
    <w:rsid w:val="00AB2E6E"/>
    <w:rsid w:val="00AB2EC7"/>
    <w:rsid w:val="00AB2FA7"/>
    <w:rsid w:val="00AB303F"/>
    <w:rsid w:val="00AB3097"/>
    <w:rsid w:val="00AB3197"/>
    <w:rsid w:val="00AB32D3"/>
    <w:rsid w:val="00AB338F"/>
    <w:rsid w:val="00AB348C"/>
    <w:rsid w:val="00AB34BD"/>
    <w:rsid w:val="00AB3566"/>
    <w:rsid w:val="00AB38F7"/>
    <w:rsid w:val="00AB3957"/>
    <w:rsid w:val="00AB3A06"/>
    <w:rsid w:val="00AB3AAE"/>
    <w:rsid w:val="00AB3B39"/>
    <w:rsid w:val="00AB3B93"/>
    <w:rsid w:val="00AB3D53"/>
    <w:rsid w:val="00AB3E6E"/>
    <w:rsid w:val="00AB4283"/>
    <w:rsid w:val="00AB462E"/>
    <w:rsid w:val="00AB4A81"/>
    <w:rsid w:val="00AB4B02"/>
    <w:rsid w:val="00AB4DB8"/>
    <w:rsid w:val="00AB4F5F"/>
    <w:rsid w:val="00AB514D"/>
    <w:rsid w:val="00AB5462"/>
    <w:rsid w:val="00AB5793"/>
    <w:rsid w:val="00AB57BB"/>
    <w:rsid w:val="00AB595D"/>
    <w:rsid w:val="00AB5A1A"/>
    <w:rsid w:val="00AB5ADA"/>
    <w:rsid w:val="00AB5BEE"/>
    <w:rsid w:val="00AB5C18"/>
    <w:rsid w:val="00AB5CD2"/>
    <w:rsid w:val="00AB5CDF"/>
    <w:rsid w:val="00AB5F84"/>
    <w:rsid w:val="00AB6251"/>
    <w:rsid w:val="00AB62EC"/>
    <w:rsid w:val="00AB6356"/>
    <w:rsid w:val="00AB638F"/>
    <w:rsid w:val="00AB659A"/>
    <w:rsid w:val="00AB66B6"/>
    <w:rsid w:val="00AB673C"/>
    <w:rsid w:val="00AB69CE"/>
    <w:rsid w:val="00AB6B08"/>
    <w:rsid w:val="00AB6B2B"/>
    <w:rsid w:val="00AB72AD"/>
    <w:rsid w:val="00AB7706"/>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82D"/>
    <w:rsid w:val="00AC1871"/>
    <w:rsid w:val="00AC18CE"/>
    <w:rsid w:val="00AC1B93"/>
    <w:rsid w:val="00AC20E6"/>
    <w:rsid w:val="00AC210F"/>
    <w:rsid w:val="00AC23F5"/>
    <w:rsid w:val="00AC2CC1"/>
    <w:rsid w:val="00AC2D3F"/>
    <w:rsid w:val="00AC2DD6"/>
    <w:rsid w:val="00AC2E0C"/>
    <w:rsid w:val="00AC2E89"/>
    <w:rsid w:val="00AC2F2D"/>
    <w:rsid w:val="00AC31D1"/>
    <w:rsid w:val="00AC33F1"/>
    <w:rsid w:val="00AC3717"/>
    <w:rsid w:val="00AC39D0"/>
    <w:rsid w:val="00AC3A68"/>
    <w:rsid w:val="00AC3FBF"/>
    <w:rsid w:val="00AC4C08"/>
    <w:rsid w:val="00AC511C"/>
    <w:rsid w:val="00AC5357"/>
    <w:rsid w:val="00AC566A"/>
    <w:rsid w:val="00AC5D9D"/>
    <w:rsid w:val="00AC5DDE"/>
    <w:rsid w:val="00AC5F08"/>
    <w:rsid w:val="00AC614A"/>
    <w:rsid w:val="00AC62F8"/>
    <w:rsid w:val="00AC64A3"/>
    <w:rsid w:val="00AC6845"/>
    <w:rsid w:val="00AC6A5A"/>
    <w:rsid w:val="00AC6A9B"/>
    <w:rsid w:val="00AC6CA4"/>
    <w:rsid w:val="00AC6F2E"/>
    <w:rsid w:val="00AC736F"/>
    <w:rsid w:val="00AC756F"/>
    <w:rsid w:val="00AC7D08"/>
    <w:rsid w:val="00AC7DAA"/>
    <w:rsid w:val="00AD0099"/>
    <w:rsid w:val="00AD0135"/>
    <w:rsid w:val="00AD06E3"/>
    <w:rsid w:val="00AD0AF2"/>
    <w:rsid w:val="00AD0D6E"/>
    <w:rsid w:val="00AD1124"/>
    <w:rsid w:val="00AD1174"/>
    <w:rsid w:val="00AD176A"/>
    <w:rsid w:val="00AD1808"/>
    <w:rsid w:val="00AD19BD"/>
    <w:rsid w:val="00AD1AFF"/>
    <w:rsid w:val="00AD209C"/>
    <w:rsid w:val="00AD235D"/>
    <w:rsid w:val="00AD2668"/>
    <w:rsid w:val="00AD293E"/>
    <w:rsid w:val="00AD2D43"/>
    <w:rsid w:val="00AD3383"/>
    <w:rsid w:val="00AD34AA"/>
    <w:rsid w:val="00AD351F"/>
    <w:rsid w:val="00AD36DC"/>
    <w:rsid w:val="00AD3B62"/>
    <w:rsid w:val="00AD3BD1"/>
    <w:rsid w:val="00AD3D64"/>
    <w:rsid w:val="00AD3DDE"/>
    <w:rsid w:val="00AD3E2E"/>
    <w:rsid w:val="00AD3F83"/>
    <w:rsid w:val="00AD3FF3"/>
    <w:rsid w:val="00AD411D"/>
    <w:rsid w:val="00AD416B"/>
    <w:rsid w:val="00AD4193"/>
    <w:rsid w:val="00AD41EE"/>
    <w:rsid w:val="00AD4420"/>
    <w:rsid w:val="00AD450E"/>
    <w:rsid w:val="00AD47EF"/>
    <w:rsid w:val="00AD486A"/>
    <w:rsid w:val="00AD4CA9"/>
    <w:rsid w:val="00AD4DDC"/>
    <w:rsid w:val="00AD4E56"/>
    <w:rsid w:val="00AD50EA"/>
    <w:rsid w:val="00AD50FB"/>
    <w:rsid w:val="00AD5813"/>
    <w:rsid w:val="00AD59EB"/>
    <w:rsid w:val="00AD5A0B"/>
    <w:rsid w:val="00AD5A3D"/>
    <w:rsid w:val="00AD5AE7"/>
    <w:rsid w:val="00AD5BCC"/>
    <w:rsid w:val="00AD5BFF"/>
    <w:rsid w:val="00AD5C59"/>
    <w:rsid w:val="00AD600F"/>
    <w:rsid w:val="00AD63B1"/>
    <w:rsid w:val="00AD63B5"/>
    <w:rsid w:val="00AD65A4"/>
    <w:rsid w:val="00AD678D"/>
    <w:rsid w:val="00AD67CF"/>
    <w:rsid w:val="00AD6BDF"/>
    <w:rsid w:val="00AD70DA"/>
    <w:rsid w:val="00AD73C9"/>
    <w:rsid w:val="00AD7586"/>
    <w:rsid w:val="00AD75BF"/>
    <w:rsid w:val="00AD764F"/>
    <w:rsid w:val="00AD76AE"/>
    <w:rsid w:val="00AD76E3"/>
    <w:rsid w:val="00AD77CA"/>
    <w:rsid w:val="00AD78E8"/>
    <w:rsid w:val="00AD7A28"/>
    <w:rsid w:val="00AD7CE7"/>
    <w:rsid w:val="00AD7F1E"/>
    <w:rsid w:val="00AD7F21"/>
    <w:rsid w:val="00AD7F73"/>
    <w:rsid w:val="00AE0298"/>
    <w:rsid w:val="00AE038C"/>
    <w:rsid w:val="00AE047F"/>
    <w:rsid w:val="00AE075D"/>
    <w:rsid w:val="00AE08B3"/>
    <w:rsid w:val="00AE0B6E"/>
    <w:rsid w:val="00AE0C70"/>
    <w:rsid w:val="00AE0D0A"/>
    <w:rsid w:val="00AE0F81"/>
    <w:rsid w:val="00AE1330"/>
    <w:rsid w:val="00AE1634"/>
    <w:rsid w:val="00AE16FE"/>
    <w:rsid w:val="00AE1733"/>
    <w:rsid w:val="00AE17FC"/>
    <w:rsid w:val="00AE1A0B"/>
    <w:rsid w:val="00AE1FE4"/>
    <w:rsid w:val="00AE262B"/>
    <w:rsid w:val="00AE27F4"/>
    <w:rsid w:val="00AE27F9"/>
    <w:rsid w:val="00AE2C2B"/>
    <w:rsid w:val="00AE3058"/>
    <w:rsid w:val="00AE3310"/>
    <w:rsid w:val="00AE354F"/>
    <w:rsid w:val="00AE37A1"/>
    <w:rsid w:val="00AE3956"/>
    <w:rsid w:val="00AE3A4F"/>
    <w:rsid w:val="00AE3CF3"/>
    <w:rsid w:val="00AE3D5E"/>
    <w:rsid w:val="00AE3D85"/>
    <w:rsid w:val="00AE41EF"/>
    <w:rsid w:val="00AE4703"/>
    <w:rsid w:val="00AE4BF3"/>
    <w:rsid w:val="00AE516D"/>
    <w:rsid w:val="00AE517E"/>
    <w:rsid w:val="00AE5246"/>
    <w:rsid w:val="00AE5292"/>
    <w:rsid w:val="00AE52B4"/>
    <w:rsid w:val="00AE56A2"/>
    <w:rsid w:val="00AE56C7"/>
    <w:rsid w:val="00AE58C5"/>
    <w:rsid w:val="00AE5993"/>
    <w:rsid w:val="00AE5B55"/>
    <w:rsid w:val="00AE5BF8"/>
    <w:rsid w:val="00AE5F51"/>
    <w:rsid w:val="00AE6070"/>
    <w:rsid w:val="00AE6119"/>
    <w:rsid w:val="00AE6127"/>
    <w:rsid w:val="00AE619F"/>
    <w:rsid w:val="00AE6957"/>
    <w:rsid w:val="00AE6AF4"/>
    <w:rsid w:val="00AE6B4D"/>
    <w:rsid w:val="00AE6BCD"/>
    <w:rsid w:val="00AE6D3E"/>
    <w:rsid w:val="00AE6DAC"/>
    <w:rsid w:val="00AE6E3C"/>
    <w:rsid w:val="00AE6E84"/>
    <w:rsid w:val="00AE6EFE"/>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CF7"/>
    <w:rsid w:val="00AF1EB2"/>
    <w:rsid w:val="00AF2164"/>
    <w:rsid w:val="00AF2325"/>
    <w:rsid w:val="00AF23C9"/>
    <w:rsid w:val="00AF2572"/>
    <w:rsid w:val="00AF276D"/>
    <w:rsid w:val="00AF284F"/>
    <w:rsid w:val="00AF2F95"/>
    <w:rsid w:val="00AF32EB"/>
    <w:rsid w:val="00AF333E"/>
    <w:rsid w:val="00AF37FA"/>
    <w:rsid w:val="00AF38BE"/>
    <w:rsid w:val="00AF3928"/>
    <w:rsid w:val="00AF3B06"/>
    <w:rsid w:val="00AF3D18"/>
    <w:rsid w:val="00AF40A0"/>
    <w:rsid w:val="00AF44F8"/>
    <w:rsid w:val="00AF4514"/>
    <w:rsid w:val="00AF46C4"/>
    <w:rsid w:val="00AF46C7"/>
    <w:rsid w:val="00AF4717"/>
    <w:rsid w:val="00AF4956"/>
    <w:rsid w:val="00AF53A4"/>
    <w:rsid w:val="00AF5798"/>
    <w:rsid w:val="00AF5815"/>
    <w:rsid w:val="00AF5959"/>
    <w:rsid w:val="00AF5C7C"/>
    <w:rsid w:val="00AF5CC9"/>
    <w:rsid w:val="00AF5EC5"/>
    <w:rsid w:val="00AF60D6"/>
    <w:rsid w:val="00AF66DE"/>
    <w:rsid w:val="00AF6A8A"/>
    <w:rsid w:val="00AF6B26"/>
    <w:rsid w:val="00AF6BDB"/>
    <w:rsid w:val="00AF6DB3"/>
    <w:rsid w:val="00AF6DD6"/>
    <w:rsid w:val="00AF6F80"/>
    <w:rsid w:val="00AF70CB"/>
    <w:rsid w:val="00AF73F3"/>
    <w:rsid w:val="00AF7535"/>
    <w:rsid w:val="00AF799C"/>
    <w:rsid w:val="00B00000"/>
    <w:rsid w:val="00B00B19"/>
    <w:rsid w:val="00B00D80"/>
    <w:rsid w:val="00B00F03"/>
    <w:rsid w:val="00B012CC"/>
    <w:rsid w:val="00B0177D"/>
    <w:rsid w:val="00B01887"/>
    <w:rsid w:val="00B01E07"/>
    <w:rsid w:val="00B0237B"/>
    <w:rsid w:val="00B02BFB"/>
    <w:rsid w:val="00B030F8"/>
    <w:rsid w:val="00B03106"/>
    <w:rsid w:val="00B03253"/>
    <w:rsid w:val="00B03895"/>
    <w:rsid w:val="00B03904"/>
    <w:rsid w:val="00B03A5D"/>
    <w:rsid w:val="00B03A61"/>
    <w:rsid w:val="00B03AC9"/>
    <w:rsid w:val="00B03B4C"/>
    <w:rsid w:val="00B03B56"/>
    <w:rsid w:val="00B03B9A"/>
    <w:rsid w:val="00B03FF9"/>
    <w:rsid w:val="00B04158"/>
    <w:rsid w:val="00B04301"/>
    <w:rsid w:val="00B0432B"/>
    <w:rsid w:val="00B0432D"/>
    <w:rsid w:val="00B043E1"/>
    <w:rsid w:val="00B0458D"/>
    <w:rsid w:val="00B04625"/>
    <w:rsid w:val="00B0477B"/>
    <w:rsid w:val="00B04AE0"/>
    <w:rsid w:val="00B04C69"/>
    <w:rsid w:val="00B04EC8"/>
    <w:rsid w:val="00B05414"/>
    <w:rsid w:val="00B054CD"/>
    <w:rsid w:val="00B0562B"/>
    <w:rsid w:val="00B05783"/>
    <w:rsid w:val="00B0580C"/>
    <w:rsid w:val="00B058D1"/>
    <w:rsid w:val="00B059E5"/>
    <w:rsid w:val="00B05CA0"/>
    <w:rsid w:val="00B05CE8"/>
    <w:rsid w:val="00B0601D"/>
    <w:rsid w:val="00B063D3"/>
    <w:rsid w:val="00B06783"/>
    <w:rsid w:val="00B06D28"/>
    <w:rsid w:val="00B06D9A"/>
    <w:rsid w:val="00B06DB4"/>
    <w:rsid w:val="00B06EB7"/>
    <w:rsid w:val="00B070B0"/>
    <w:rsid w:val="00B070CE"/>
    <w:rsid w:val="00B073F0"/>
    <w:rsid w:val="00B07756"/>
    <w:rsid w:val="00B07799"/>
    <w:rsid w:val="00B07D77"/>
    <w:rsid w:val="00B1041B"/>
    <w:rsid w:val="00B10616"/>
    <w:rsid w:val="00B110A1"/>
    <w:rsid w:val="00B111CE"/>
    <w:rsid w:val="00B11204"/>
    <w:rsid w:val="00B112A0"/>
    <w:rsid w:val="00B11476"/>
    <w:rsid w:val="00B114BC"/>
    <w:rsid w:val="00B1153A"/>
    <w:rsid w:val="00B1169E"/>
    <w:rsid w:val="00B119E6"/>
    <w:rsid w:val="00B11A3D"/>
    <w:rsid w:val="00B11A60"/>
    <w:rsid w:val="00B11A88"/>
    <w:rsid w:val="00B11CB2"/>
    <w:rsid w:val="00B11DB8"/>
    <w:rsid w:val="00B12206"/>
    <w:rsid w:val="00B1246F"/>
    <w:rsid w:val="00B12702"/>
    <w:rsid w:val="00B12729"/>
    <w:rsid w:val="00B12B30"/>
    <w:rsid w:val="00B13222"/>
    <w:rsid w:val="00B1388B"/>
    <w:rsid w:val="00B138BE"/>
    <w:rsid w:val="00B13AB7"/>
    <w:rsid w:val="00B13BCC"/>
    <w:rsid w:val="00B13D36"/>
    <w:rsid w:val="00B13DDF"/>
    <w:rsid w:val="00B14018"/>
    <w:rsid w:val="00B1410B"/>
    <w:rsid w:val="00B143D6"/>
    <w:rsid w:val="00B14457"/>
    <w:rsid w:val="00B14EA4"/>
    <w:rsid w:val="00B1504B"/>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23D"/>
    <w:rsid w:val="00B17370"/>
    <w:rsid w:val="00B17465"/>
    <w:rsid w:val="00B17555"/>
    <w:rsid w:val="00B175FE"/>
    <w:rsid w:val="00B177C0"/>
    <w:rsid w:val="00B1791F"/>
    <w:rsid w:val="00B17C2C"/>
    <w:rsid w:val="00B17C49"/>
    <w:rsid w:val="00B17D83"/>
    <w:rsid w:val="00B17E55"/>
    <w:rsid w:val="00B17E99"/>
    <w:rsid w:val="00B203E8"/>
    <w:rsid w:val="00B203F9"/>
    <w:rsid w:val="00B2087F"/>
    <w:rsid w:val="00B20B60"/>
    <w:rsid w:val="00B20D55"/>
    <w:rsid w:val="00B21494"/>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827"/>
    <w:rsid w:val="00B23932"/>
    <w:rsid w:val="00B23B32"/>
    <w:rsid w:val="00B23D98"/>
    <w:rsid w:val="00B23DCC"/>
    <w:rsid w:val="00B23F89"/>
    <w:rsid w:val="00B2413F"/>
    <w:rsid w:val="00B246A8"/>
    <w:rsid w:val="00B2471B"/>
    <w:rsid w:val="00B24924"/>
    <w:rsid w:val="00B2492E"/>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69B"/>
    <w:rsid w:val="00B2681A"/>
    <w:rsid w:val="00B268AA"/>
    <w:rsid w:val="00B26ADC"/>
    <w:rsid w:val="00B26C56"/>
    <w:rsid w:val="00B27011"/>
    <w:rsid w:val="00B27180"/>
    <w:rsid w:val="00B27219"/>
    <w:rsid w:val="00B27349"/>
    <w:rsid w:val="00B27586"/>
    <w:rsid w:val="00B279A8"/>
    <w:rsid w:val="00B27C91"/>
    <w:rsid w:val="00B27E12"/>
    <w:rsid w:val="00B30180"/>
    <w:rsid w:val="00B30817"/>
    <w:rsid w:val="00B3086D"/>
    <w:rsid w:val="00B30920"/>
    <w:rsid w:val="00B30A5C"/>
    <w:rsid w:val="00B30AFC"/>
    <w:rsid w:val="00B30C8B"/>
    <w:rsid w:val="00B30CFB"/>
    <w:rsid w:val="00B30E52"/>
    <w:rsid w:val="00B31025"/>
    <w:rsid w:val="00B31204"/>
    <w:rsid w:val="00B314AB"/>
    <w:rsid w:val="00B31566"/>
    <w:rsid w:val="00B31581"/>
    <w:rsid w:val="00B316F3"/>
    <w:rsid w:val="00B31982"/>
    <w:rsid w:val="00B31A2B"/>
    <w:rsid w:val="00B31A5C"/>
    <w:rsid w:val="00B31FDF"/>
    <w:rsid w:val="00B3227B"/>
    <w:rsid w:val="00B3235B"/>
    <w:rsid w:val="00B3261B"/>
    <w:rsid w:val="00B3269A"/>
    <w:rsid w:val="00B32BB0"/>
    <w:rsid w:val="00B33185"/>
    <w:rsid w:val="00B33196"/>
    <w:rsid w:val="00B331B4"/>
    <w:rsid w:val="00B3334F"/>
    <w:rsid w:val="00B333C6"/>
    <w:rsid w:val="00B341E3"/>
    <w:rsid w:val="00B3449D"/>
    <w:rsid w:val="00B34511"/>
    <w:rsid w:val="00B346B6"/>
    <w:rsid w:val="00B34768"/>
    <w:rsid w:val="00B34B78"/>
    <w:rsid w:val="00B34BD6"/>
    <w:rsid w:val="00B34D6A"/>
    <w:rsid w:val="00B34F23"/>
    <w:rsid w:val="00B34F3A"/>
    <w:rsid w:val="00B35083"/>
    <w:rsid w:val="00B35799"/>
    <w:rsid w:val="00B357D5"/>
    <w:rsid w:val="00B357EA"/>
    <w:rsid w:val="00B35C09"/>
    <w:rsid w:val="00B35FBF"/>
    <w:rsid w:val="00B36604"/>
    <w:rsid w:val="00B36817"/>
    <w:rsid w:val="00B36A04"/>
    <w:rsid w:val="00B36CF9"/>
    <w:rsid w:val="00B36D32"/>
    <w:rsid w:val="00B36F78"/>
    <w:rsid w:val="00B3733A"/>
    <w:rsid w:val="00B373A4"/>
    <w:rsid w:val="00B373B1"/>
    <w:rsid w:val="00B3763C"/>
    <w:rsid w:val="00B37640"/>
    <w:rsid w:val="00B37769"/>
    <w:rsid w:val="00B378BB"/>
    <w:rsid w:val="00B37935"/>
    <w:rsid w:val="00B37A70"/>
    <w:rsid w:val="00B37C5E"/>
    <w:rsid w:val="00B4009E"/>
    <w:rsid w:val="00B4013A"/>
    <w:rsid w:val="00B403E5"/>
    <w:rsid w:val="00B407C0"/>
    <w:rsid w:val="00B4099A"/>
    <w:rsid w:val="00B409D6"/>
    <w:rsid w:val="00B40A31"/>
    <w:rsid w:val="00B40A47"/>
    <w:rsid w:val="00B40A7F"/>
    <w:rsid w:val="00B40BAA"/>
    <w:rsid w:val="00B40F4F"/>
    <w:rsid w:val="00B412AB"/>
    <w:rsid w:val="00B416B0"/>
    <w:rsid w:val="00B41960"/>
    <w:rsid w:val="00B4198D"/>
    <w:rsid w:val="00B41992"/>
    <w:rsid w:val="00B419E9"/>
    <w:rsid w:val="00B41A10"/>
    <w:rsid w:val="00B41B42"/>
    <w:rsid w:val="00B41D4E"/>
    <w:rsid w:val="00B420CA"/>
    <w:rsid w:val="00B42163"/>
    <w:rsid w:val="00B42231"/>
    <w:rsid w:val="00B42562"/>
    <w:rsid w:val="00B4264F"/>
    <w:rsid w:val="00B42975"/>
    <w:rsid w:val="00B42ADD"/>
    <w:rsid w:val="00B4319D"/>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11E"/>
    <w:rsid w:val="00B4536F"/>
    <w:rsid w:val="00B453FF"/>
    <w:rsid w:val="00B45BB7"/>
    <w:rsid w:val="00B45F88"/>
    <w:rsid w:val="00B4604D"/>
    <w:rsid w:val="00B46080"/>
    <w:rsid w:val="00B461B6"/>
    <w:rsid w:val="00B463FF"/>
    <w:rsid w:val="00B464EF"/>
    <w:rsid w:val="00B466E4"/>
    <w:rsid w:val="00B4682D"/>
    <w:rsid w:val="00B46989"/>
    <w:rsid w:val="00B46CAE"/>
    <w:rsid w:val="00B46EF0"/>
    <w:rsid w:val="00B47049"/>
    <w:rsid w:val="00B47289"/>
    <w:rsid w:val="00B47A9B"/>
    <w:rsid w:val="00B47E82"/>
    <w:rsid w:val="00B47EAF"/>
    <w:rsid w:val="00B47EF4"/>
    <w:rsid w:val="00B47F59"/>
    <w:rsid w:val="00B5005D"/>
    <w:rsid w:val="00B502E7"/>
    <w:rsid w:val="00B50454"/>
    <w:rsid w:val="00B5048E"/>
    <w:rsid w:val="00B504D4"/>
    <w:rsid w:val="00B50566"/>
    <w:rsid w:val="00B50711"/>
    <w:rsid w:val="00B50AB8"/>
    <w:rsid w:val="00B50C6A"/>
    <w:rsid w:val="00B50C8A"/>
    <w:rsid w:val="00B5149E"/>
    <w:rsid w:val="00B517F8"/>
    <w:rsid w:val="00B5183F"/>
    <w:rsid w:val="00B51979"/>
    <w:rsid w:val="00B51A65"/>
    <w:rsid w:val="00B51A6A"/>
    <w:rsid w:val="00B51C62"/>
    <w:rsid w:val="00B51DBB"/>
    <w:rsid w:val="00B51FF2"/>
    <w:rsid w:val="00B521D0"/>
    <w:rsid w:val="00B5233E"/>
    <w:rsid w:val="00B52520"/>
    <w:rsid w:val="00B52684"/>
    <w:rsid w:val="00B528F3"/>
    <w:rsid w:val="00B52A02"/>
    <w:rsid w:val="00B52F7E"/>
    <w:rsid w:val="00B53165"/>
    <w:rsid w:val="00B53566"/>
    <w:rsid w:val="00B536F5"/>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433"/>
    <w:rsid w:val="00B55894"/>
    <w:rsid w:val="00B558F6"/>
    <w:rsid w:val="00B55B8F"/>
    <w:rsid w:val="00B55D61"/>
    <w:rsid w:val="00B55F8D"/>
    <w:rsid w:val="00B56297"/>
    <w:rsid w:val="00B5651D"/>
    <w:rsid w:val="00B56796"/>
    <w:rsid w:val="00B56AF7"/>
    <w:rsid w:val="00B56B9B"/>
    <w:rsid w:val="00B56B9D"/>
    <w:rsid w:val="00B56F47"/>
    <w:rsid w:val="00B57039"/>
    <w:rsid w:val="00B574D6"/>
    <w:rsid w:val="00B574DA"/>
    <w:rsid w:val="00B579C3"/>
    <w:rsid w:val="00B57A5C"/>
    <w:rsid w:val="00B57DA4"/>
    <w:rsid w:val="00B57DFA"/>
    <w:rsid w:val="00B60168"/>
    <w:rsid w:val="00B60531"/>
    <w:rsid w:val="00B605F5"/>
    <w:rsid w:val="00B606D8"/>
    <w:rsid w:val="00B60720"/>
    <w:rsid w:val="00B609CF"/>
    <w:rsid w:val="00B60B94"/>
    <w:rsid w:val="00B60CC0"/>
    <w:rsid w:val="00B60D77"/>
    <w:rsid w:val="00B6133F"/>
    <w:rsid w:val="00B6140D"/>
    <w:rsid w:val="00B615B0"/>
    <w:rsid w:val="00B6161C"/>
    <w:rsid w:val="00B61E60"/>
    <w:rsid w:val="00B61EEC"/>
    <w:rsid w:val="00B62057"/>
    <w:rsid w:val="00B620EB"/>
    <w:rsid w:val="00B62104"/>
    <w:rsid w:val="00B62742"/>
    <w:rsid w:val="00B6277A"/>
    <w:rsid w:val="00B62A1E"/>
    <w:rsid w:val="00B62A55"/>
    <w:rsid w:val="00B62ADF"/>
    <w:rsid w:val="00B62B23"/>
    <w:rsid w:val="00B62C60"/>
    <w:rsid w:val="00B62DF4"/>
    <w:rsid w:val="00B62DFA"/>
    <w:rsid w:val="00B632AA"/>
    <w:rsid w:val="00B63385"/>
    <w:rsid w:val="00B635F8"/>
    <w:rsid w:val="00B6387E"/>
    <w:rsid w:val="00B6391C"/>
    <w:rsid w:val="00B63AB7"/>
    <w:rsid w:val="00B63C37"/>
    <w:rsid w:val="00B63CBC"/>
    <w:rsid w:val="00B63E94"/>
    <w:rsid w:val="00B63F7D"/>
    <w:rsid w:val="00B6437B"/>
    <w:rsid w:val="00B644CF"/>
    <w:rsid w:val="00B645A6"/>
    <w:rsid w:val="00B64BC8"/>
    <w:rsid w:val="00B64D0E"/>
    <w:rsid w:val="00B654E9"/>
    <w:rsid w:val="00B656C5"/>
    <w:rsid w:val="00B656FE"/>
    <w:rsid w:val="00B66018"/>
    <w:rsid w:val="00B66127"/>
    <w:rsid w:val="00B6616E"/>
    <w:rsid w:val="00B663DD"/>
    <w:rsid w:val="00B6647A"/>
    <w:rsid w:val="00B6687A"/>
    <w:rsid w:val="00B66C15"/>
    <w:rsid w:val="00B66F68"/>
    <w:rsid w:val="00B67187"/>
    <w:rsid w:val="00B6733A"/>
    <w:rsid w:val="00B6766B"/>
    <w:rsid w:val="00B67681"/>
    <w:rsid w:val="00B67741"/>
    <w:rsid w:val="00B6789A"/>
    <w:rsid w:val="00B678C3"/>
    <w:rsid w:val="00B67DD3"/>
    <w:rsid w:val="00B67FAD"/>
    <w:rsid w:val="00B7022A"/>
    <w:rsid w:val="00B7048E"/>
    <w:rsid w:val="00B705FC"/>
    <w:rsid w:val="00B70771"/>
    <w:rsid w:val="00B709B3"/>
    <w:rsid w:val="00B71188"/>
    <w:rsid w:val="00B71267"/>
    <w:rsid w:val="00B714AC"/>
    <w:rsid w:val="00B7153E"/>
    <w:rsid w:val="00B716A9"/>
    <w:rsid w:val="00B71881"/>
    <w:rsid w:val="00B71BFD"/>
    <w:rsid w:val="00B7217B"/>
    <w:rsid w:val="00B721D9"/>
    <w:rsid w:val="00B7226F"/>
    <w:rsid w:val="00B72639"/>
    <w:rsid w:val="00B72767"/>
    <w:rsid w:val="00B72948"/>
    <w:rsid w:val="00B72C26"/>
    <w:rsid w:val="00B72E2A"/>
    <w:rsid w:val="00B72F6D"/>
    <w:rsid w:val="00B72FA9"/>
    <w:rsid w:val="00B73062"/>
    <w:rsid w:val="00B7372C"/>
    <w:rsid w:val="00B738DB"/>
    <w:rsid w:val="00B73B96"/>
    <w:rsid w:val="00B73D9B"/>
    <w:rsid w:val="00B742AD"/>
    <w:rsid w:val="00B74331"/>
    <w:rsid w:val="00B7438F"/>
    <w:rsid w:val="00B74539"/>
    <w:rsid w:val="00B74605"/>
    <w:rsid w:val="00B746F9"/>
    <w:rsid w:val="00B74776"/>
    <w:rsid w:val="00B7488D"/>
    <w:rsid w:val="00B74A78"/>
    <w:rsid w:val="00B74F28"/>
    <w:rsid w:val="00B751F2"/>
    <w:rsid w:val="00B75329"/>
    <w:rsid w:val="00B7537D"/>
    <w:rsid w:val="00B75580"/>
    <w:rsid w:val="00B75AFF"/>
    <w:rsid w:val="00B7646E"/>
    <w:rsid w:val="00B7690D"/>
    <w:rsid w:val="00B76B95"/>
    <w:rsid w:val="00B76C80"/>
    <w:rsid w:val="00B76D2C"/>
    <w:rsid w:val="00B76D87"/>
    <w:rsid w:val="00B76FF0"/>
    <w:rsid w:val="00B76FF8"/>
    <w:rsid w:val="00B77025"/>
    <w:rsid w:val="00B7716C"/>
    <w:rsid w:val="00B772BB"/>
    <w:rsid w:val="00B7745A"/>
    <w:rsid w:val="00B77540"/>
    <w:rsid w:val="00B776C1"/>
    <w:rsid w:val="00B7785F"/>
    <w:rsid w:val="00B77930"/>
    <w:rsid w:val="00B77ABE"/>
    <w:rsid w:val="00B77AD5"/>
    <w:rsid w:val="00B77B91"/>
    <w:rsid w:val="00B77F3D"/>
    <w:rsid w:val="00B8005D"/>
    <w:rsid w:val="00B80091"/>
    <w:rsid w:val="00B800B1"/>
    <w:rsid w:val="00B806E9"/>
    <w:rsid w:val="00B806FD"/>
    <w:rsid w:val="00B80A15"/>
    <w:rsid w:val="00B80A20"/>
    <w:rsid w:val="00B80D12"/>
    <w:rsid w:val="00B80DB4"/>
    <w:rsid w:val="00B8104D"/>
    <w:rsid w:val="00B81080"/>
    <w:rsid w:val="00B810AC"/>
    <w:rsid w:val="00B81153"/>
    <w:rsid w:val="00B8127D"/>
    <w:rsid w:val="00B81361"/>
    <w:rsid w:val="00B8160D"/>
    <w:rsid w:val="00B816E8"/>
    <w:rsid w:val="00B81809"/>
    <w:rsid w:val="00B819DA"/>
    <w:rsid w:val="00B81AED"/>
    <w:rsid w:val="00B81F79"/>
    <w:rsid w:val="00B8224B"/>
    <w:rsid w:val="00B8252D"/>
    <w:rsid w:val="00B8275D"/>
    <w:rsid w:val="00B8278C"/>
    <w:rsid w:val="00B827B3"/>
    <w:rsid w:val="00B827BF"/>
    <w:rsid w:val="00B82949"/>
    <w:rsid w:val="00B8298E"/>
    <w:rsid w:val="00B82A42"/>
    <w:rsid w:val="00B82D59"/>
    <w:rsid w:val="00B82DCD"/>
    <w:rsid w:val="00B8308E"/>
    <w:rsid w:val="00B831ED"/>
    <w:rsid w:val="00B83334"/>
    <w:rsid w:val="00B83433"/>
    <w:rsid w:val="00B8349C"/>
    <w:rsid w:val="00B834D2"/>
    <w:rsid w:val="00B8357B"/>
    <w:rsid w:val="00B83696"/>
    <w:rsid w:val="00B83CAA"/>
    <w:rsid w:val="00B83D84"/>
    <w:rsid w:val="00B840CD"/>
    <w:rsid w:val="00B842F9"/>
    <w:rsid w:val="00B844A4"/>
    <w:rsid w:val="00B844AA"/>
    <w:rsid w:val="00B8453F"/>
    <w:rsid w:val="00B845D5"/>
    <w:rsid w:val="00B84609"/>
    <w:rsid w:val="00B84936"/>
    <w:rsid w:val="00B84B95"/>
    <w:rsid w:val="00B84CBA"/>
    <w:rsid w:val="00B85140"/>
    <w:rsid w:val="00B851D1"/>
    <w:rsid w:val="00B85228"/>
    <w:rsid w:val="00B85ABC"/>
    <w:rsid w:val="00B85E49"/>
    <w:rsid w:val="00B8616B"/>
    <w:rsid w:val="00B863F0"/>
    <w:rsid w:val="00B864C4"/>
    <w:rsid w:val="00B8659E"/>
    <w:rsid w:val="00B865D1"/>
    <w:rsid w:val="00B866B2"/>
    <w:rsid w:val="00B866CA"/>
    <w:rsid w:val="00B86739"/>
    <w:rsid w:val="00B869D6"/>
    <w:rsid w:val="00B86AA1"/>
    <w:rsid w:val="00B86EC0"/>
    <w:rsid w:val="00B86F6F"/>
    <w:rsid w:val="00B87083"/>
    <w:rsid w:val="00B87270"/>
    <w:rsid w:val="00B87385"/>
    <w:rsid w:val="00B879AB"/>
    <w:rsid w:val="00B87DBE"/>
    <w:rsid w:val="00B87EEE"/>
    <w:rsid w:val="00B87EF2"/>
    <w:rsid w:val="00B900E9"/>
    <w:rsid w:val="00B9012D"/>
    <w:rsid w:val="00B90535"/>
    <w:rsid w:val="00B90566"/>
    <w:rsid w:val="00B905E0"/>
    <w:rsid w:val="00B90619"/>
    <w:rsid w:val="00B908E0"/>
    <w:rsid w:val="00B909A7"/>
    <w:rsid w:val="00B90E70"/>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5FA"/>
    <w:rsid w:val="00B948DA"/>
    <w:rsid w:val="00B94CD2"/>
    <w:rsid w:val="00B95341"/>
    <w:rsid w:val="00B9536A"/>
    <w:rsid w:val="00B953FA"/>
    <w:rsid w:val="00B95AB0"/>
    <w:rsid w:val="00B95C70"/>
    <w:rsid w:val="00B95DBF"/>
    <w:rsid w:val="00B95E24"/>
    <w:rsid w:val="00B96224"/>
    <w:rsid w:val="00B9626C"/>
    <w:rsid w:val="00B962F3"/>
    <w:rsid w:val="00B96418"/>
    <w:rsid w:val="00B9649D"/>
    <w:rsid w:val="00B96679"/>
    <w:rsid w:val="00B96C70"/>
    <w:rsid w:val="00B96D4F"/>
    <w:rsid w:val="00B96D54"/>
    <w:rsid w:val="00B96ED9"/>
    <w:rsid w:val="00B97104"/>
    <w:rsid w:val="00B977B6"/>
    <w:rsid w:val="00B97934"/>
    <w:rsid w:val="00B97A1F"/>
    <w:rsid w:val="00B97A26"/>
    <w:rsid w:val="00B97A7A"/>
    <w:rsid w:val="00B97D6A"/>
    <w:rsid w:val="00B97D76"/>
    <w:rsid w:val="00B97E46"/>
    <w:rsid w:val="00BA01F4"/>
    <w:rsid w:val="00BA0325"/>
    <w:rsid w:val="00BA03BD"/>
    <w:rsid w:val="00BA04CC"/>
    <w:rsid w:val="00BA0564"/>
    <w:rsid w:val="00BA070E"/>
    <w:rsid w:val="00BA083E"/>
    <w:rsid w:val="00BA08F2"/>
    <w:rsid w:val="00BA0A5E"/>
    <w:rsid w:val="00BA0BB1"/>
    <w:rsid w:val="00BA0D70"/>
    <w:rsid w:val="00BA1112"/>
    <w:rsid w:val="00BA12C3"/>
    <w:rsid w:val="00BA1432"/>
    <w:rsid w:val="00BA15B9"/>
    <w:rsid w:val="00BA1913"/>
    <w:rsid w:val="00BA198C"/>
    <w:rsid w:val="00BA1C33"/>
    <w:rsid w:val="00BA1DA0"/>
    <w:rsid w:val="00BA1DF1"/>
    <w:rsid w:val="00BA1F19"/>
    <w:rsid w:val="00BA1FBE"/>
    <w:rsid w:val="00BA23F6"/>
    <w:rsid w:val="00BA242D"/>
    <w:rsid w:val="00BA246A"/>
    <w:rsid w:val="00BA27FC"/>
    <w:rsid w:val="00BA3350"/>
    <w:rsid w:val="00BA388A"/>
    <w:rsid w:val="00BA3A40"/>
    <w:rsid w:val="00BA3FED"/>
    <w:rsid w:val="00BA401F"/>
    <w:rsid w:val="00BA424C"/>
    <w:rsid w:val="00BA43C9"/>
    <w:rsid w:val="00BA48DE"/>
    <w:rsid w:val="00BA4950"/>
    <w:rsid w:val="00BA4A43"/>
    <w:rsid w:val="00BA4AC6"/>
    <w:rsid w:val="00BA4CD6"/>
    <w:rsid w:val="00BA4CFB"/>
    <w:rsid w:val="00BA4D1B"/>
    <w:rsid w:val="00BA5729"/>
    <w:rsid w:val="00BA578E"/>
    <w:rsid w:val="00BA5CD2"/>
    <w:rsid w:val="00BA5CF4"/>
    <w:rsid w:val="00BA5E0C"/>
    <w:rsid w:val="00BA5EA4"/>
    <w:rsid w:val="00BA5F47"/>
    <w:rsid w:val="00BA615C"/>
    <w:rsid w:val="00BA62AC"/>
    <w:rsid w:val="00BA650B"/>
    <w:rsid w:val="00BA6B0A"/>
    <w:rsid w:val="00BA6C68"/>
    <w:rsid w:val="00BA7008"/>
    <w:rsid w:val="00BA7068"/>
    <w:rsid w:val="00BA71B4"/>
    <w:rsid w:val="00BA7218"/>
    <w:rsid w:val="00BA73E5"/>
    <w:rsid w:val="00BA73F4"/>
    <w:rsid w:val="00BA78BA"/>
    <w:rsid w:val="00BA7E56"/>
    <w:rsid w:val="00BB00AA"/>
    <w:rsid w:val="00BB00FE"/>
    <w:rsid w:val="00BB046D"/>
    <w:rsid w:val="00BB04FF"/>
    <w:rsid w:val="00BB0673"/>
    <w:rsid w:val="00BB09BC"/>
    <w:rsid w:val="00BB0A06"/>
    <w:rsid w:val="00BB0B5D"/>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83"/>
    <w:rsid w:val="00BB29BF"/>
    <w:rsid w:val="00BB2B37"/>
    <w:rsid w:val="00BB2CC6"/>
    <w:rsid w:val="00BB30FF"/>
    <w:rsid w:val="00BB3306"/>
    <w:rsid w:val="00BB33C2"/>
    <w:rsid w:val="00BB3442"/>
    <w:rsid w:val="00BB38EA"/>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64"/>
    <w:rsid w:val="00BB5576"/>
    <w:rsid w:val="00BB55B4"/>
    <w:rsid w:val="00BB581B"/>
    <w:rsid w:val="00BB5830"/>
    <w:rsid w:val="00BB58F8"/>
    <w:rsid w:val="00BB5B64"/>
    <w:rsid w:val="00BB5EB3"/>
    <w:rsid w:val="00BB5F9B"/>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EEF"/>
    <w:rsid w:val="00BB7F93"/>
    <w:rsid w:val="00BC0005"/>
    <w:rsid w:val="00BC001B"/>
    <w:rsid w:val="00BC02EA"/>
    <w:rsid w:val="00BC0561"/>
    <w:rsid w:val="00BC0766"/>
    <w:rsid w:val="00BC082A"/>
    <w:rsid w:val="00BC0B24"/>
    <w:rsid w:val="00BC0DBD"/>
    <w:rsid w:val="00BC0E3E"/>
    <w:rsid w:val="00BC0EF4"/>
    <w:rsid w:val="00BC0FF3"/>
    <w:rsid w:val="00BC1472"/>
    <w:rsid w:val="00BC1862"/>
    <w:rsid w:val="00BC18D1"/>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CCE"/>
    <w:rsid w:val="00BC3E8D"/>
    <w:rsid w:val="00BC41B4"/>
    <w:rsid w:val="00BC452B"/>
    <w:rsid w:val="00BC47FA"/>
    <w:rsid w:val="00BC48C2"/>
    <w:rsid w:val="00BC4F8A"/>
    <w:rsid w:val="00BC504D"/>
    <w:rsid w:val="00BC5061"/>
    <w:rsid w:val="00BC50AA"/>
    <w:rsid w:val="00BC5372"/>
    <w:rsid w:val="00BC541E"/>
    <w:rsid w:val="00BC5447"/>
    <w:rsid w:val="00BC5724"/>
    <w:rsid w:val="00BC582C"/>
    <w:rsid w:val="00BC588E"/>
    <w:rsid w:val="00BC5AF5"/>
    <w:rsid w:val="00BC5B89"/>
    <w:rsid w:val="00BC5DE1"/>
    <w:rsid w:val="00BC5EB0"/>
    <w:rsid w:val="00BC6135"/>
    <w:rsid w:val="00BC61AA"/>
    <w:rsid w:val="00BC6262"/>
    <w:rsid w:val="00BC6628"/>
    <w:rsid w:val="00BC66A1"/>
    <w:rsid w:val="00BC66A9"/>
    <w:rsid w:val="00BC6C1B"/>
    <w:rsid w:val="00BC6E9E"/>
    <w:rsid w:val="00BC703D"/>
    <w:rsid w:val="00BC721C"/>
    <w:rsid w:val="00BC7362"/>
    <w:rsid w:val="00BC75DF"/>
    <w:rsid w:val="00BC7825"/>
    <w:rsid w:val="00BC7915"/>
    <w:rsid w:val="00BC79A7"/>
    <w:rsid w:val="00BC7A40"/>
    <w:rsid w:val="00BC7AE1"/>
    <w:rsid w:val="00BC7E8F"/>
    <w:rsid w:val="00BC7EA1"/>
    <w:rsid w:val="00BC7EC1"/>
    <w:rsid w:val="00BD0237"/>
    <w:rsid w:val="00BD031C"/>
    <w:rsid w:val="00BD03EE"/>
    <w:rsid w:val="00BD08EC"/>
    <w:rsid w:val="00BD0992"/>
    <w:rsid w:val="00BD0A98"/>
    <w:rsid w:val="00BD0ADB"/>
    <w:rsid w:val="00BD0B34"/>
    <w:rsid w:val="00BD0E5B"/>
    <w:rsid w:val="00BD0FFE"/>
    <w:rsid w:val="00BD123F"/>
    <w:rsid w:val="00BD133D"/>
    <w:rsid w:val="00BD1389"/>
    <w:rsid w:val="00BD1500"/>
    <w:rsid w:val="00BD1589"/>
    <w:rsid w:val="00BD172C"/>
    <w:rsid w:val="00BD1792"/>
    <w:rsid w:val="00BD1A29"/>
    <w:rsid w:val="00BD1ABB"/>
    <w:rsid w:val="00BD1AC4"/>
    <w:rsid w:val="00BD1B2D"/>
    <w:rsid w:val="00BD1C3D"/>
    <w:rsid w:val="00BD2742"/>
    <w:rsid w:val="00BD2766"/>
    <w:rsid w:val="00BD2926"/>
    <w:rsid w:val="00BD299E"/>
    <w:rsid w:val="00BD2A5C"/>
    <w:rsid w:val="00BD2AE5"/>
    <w:rsid w:val="00BD2C5F"/>
    <w:rsid w:val="00BD2D35"/>
    <w:rsid w:val="00BD2E77"/>
    <w:rsid w:val="00BD30CC"/>
    <w:rsid w:val="00BD32B6"/>
    <w:rsid w:val="00BD34DB"/>
    <w:rsid w:val="00BD3819"/>
    <w:rsid w:val="00BD3B4D"/>
    <w:rsid w:val="00BD3EAD"/>
    <w:rsid w:val="00BD3EC2"/>
    <w:rsid w:val="00BD412C"/>
    <w:rsid w:val="00BD41B0"/>
    <w:rsid w:val="00BD4327"/>
    <w:rsid w:val="00BD44B6"/>
    <w:rsid w:val="00BD480C"/>
    <w:rsid w:val="00BD4B10"/>
    <w:rsid w:val="00BD4C67"/>
    <w:rsid w:val="00BD4CC2"/>
    <w:rsid w:val="00BD4CED"/>
    <w:rsid w:val="00BD4EE8"/>
    <w:rsid w:val="00BD4F99"/>
    <w:rsid w:val="00BD5101"/>
    <w:rsid w:val="00BD5375"/>
    <w:rsid w:val="00BD5397"/>
    <w:rsid w:val="00BD53A6"/>
    <w:rsid w:val="00BD5C3F"/>
    <w:rsid w:val="00BD5CEA"/>
    <w:rsid w:val="00BD5E45"/>
    <w:rsid w:val="00BD64AF"/>
    <w:rsid w:val="00BD6552"/>
    <w:rsid w:val="00BD65DA"/>
    <w:rsid w:val="00BD66D6"/>
    <w:rsid w:val="00BD6CD9"/>
    <w:rsid w:val="00BD6D6D"/>
    <w:rsid w:val="00BD7023"/>
    <w:rsid w:val="00BD720C"/>
    <w:rsid w:val="00BD7317"/>
    <w:rsid w:val="00BD732A"/>
    <w:rsid w:val="00BD7F8E"/>
    <w:rsid w:val="00BE00B5"/>
    <w:rsid w:val="00BE02B3"/>
    <w:rsid w:val="00BE050B"/>
    <w:rsid w:val="00BE0590"/>
    <w:rsid w:val="00BE080D"/>
    <w:rsid w:val="00BE0AB8"/>
    <w:rsid w:val="00BE0E8B"/>
    <w:rsid w:val="00BE0FB8"/>
    <w:rsid w:val="00BE14A0"/>
    <w:rsid w:val="00BE1866"/>
    <w:rsid w:val="00BE19F0"/>
    <w:rsid w:val="00BE1D5A"/>
    <w:rsid w:val="00BE1E31"/>
    <w:rsid w:val="00BE1F26"/>
    <w:rsid w:val="00BE21BC"/>
    <w:rsid w:val="00BE2249"/>
    <w:rsid w:val="00BE248C"/>
    <w:rsid w:val="00BE2593"/>
    <w:rsid w:val="00BE26BD"/>
    <w:rsid w:val="00BE27F3"/>
    <w:rsid w:val="00BE2CD1"/>
    <w:rsid w:val="00BE3451"/>
    <w:rsid w:val="00BE3506"/>
    <w:rsid w:val="00BE3AE6"/>
    <w:rsid w:val="00BE3CA2"/>
    <w:rsid w:val="00BE3E18"/>
    <w:rsid w:val="00BE3FAB"/>
    <w:rsid w:val="00BE4A40"/>
    <w:rsid w:val="00BE53DF"/>
    <w:rsid w:val="00BE54CF"/>
    <w:rsid w:val="00BE5604"/>
    <w:rsid w:val="00BE5642"/>
    <w:rsid w:val="00BE5713"/>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C2"/>
    <w:rsid w:val="00BE6B3F"/>
    <w:rsid w:val="00BE6C29"/>
    <w:rsid w:val="00BE6EFA"/>
    <w:rsid w:val="00BE6F03"/>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DAE"/>
    <w:rsid w:val="00BF10B7"/>
    <w:rsid w:val="00BF114E"/>
    <w:rsid w:val="00BF1401"/>
    <w:rsid w:val="00BF1480"/>
    <w:rsid w:val="00BF1651"/>
    <w:rsid w:val="00BF1A35"/>
    <w:rsid w:val="00BF1BD7"/>
    <w:rsid w:val="00BF1CA3"/>
    <w:rsid w:val="00BF1D73"/>
    <w:rsid w:val="00BF2078"/>
    <w:rsid w:val="00BF225C"/>
    <w:rsid w:val="00BF26BE"/>
    <w:rsid w:val="00BF26C3"/>
    <w:rsid w:val="00BF2803"/>
    <w:rsid w:val="00BF2D63"/>
    <w:rsid w:val="00BF33AD"/>
    <w:rsid w:val="00BF34E7"/>
    <w:rsid w:val="00BF3777"/>
    <w:rsid w:val="00BF3914"/>
    <w:rsid w:val="00BF3A01"/>
    <w:rsid w:val="00BF3BF6"/>
    <w:rsid w:val="00BF3EC6"/>
    <w:rsid w:val="00BF48F4"/>
    <w:rsid w:val="00BF4B98"/>
    <w:rsid w:val="00BF4DE8"/>
    <w:rsid w:val="00BF4FE8"/>
    <w:rsid w:val="00BF5088"/>
    <w:rsid w:val="00BF521E"/>
    <w:rsid w:val="00BF5268"/>
    <w:rsid w:val="00BF5342"/>
    <w:rsid w:val="00BF538E"/>
    <w:rsid w:val="00BF54EE"/>
    <w:rsid w:val="00BF55D6"/>
    <w:rsid w:val="00BF5702"/>
    <w:rsid w:val="00BF579F"/>
    <w:rsid w:val="00BF580D"/>
    <w:rsid w:val="00BF581D"/>
    <w:rsid w:val="00BF592D"/>
    <w:rsid w:val="00BF5A3F"/>
    <w:rsid w:val="00BF5EF0"/>
    <w:rsid w:val="00BF607A"/>
    <w:rsid w:val="00BF63C4"/>
    <w:rsid w:val="00BF659C"/>
    <w:rsid w:val="00BF67EF"/>
    <w:rsid w:val="00BF68A0"/>
    <w:rsid w:val="00BF68D9"/>
    <w:rsid w:val="00BF6B12"/>
    <w:rsid w:val="00BF6B85"/>
    <w:rsid w:val="00BF721B"/>
    <w:rsid w:val="00BF727A"/>
    <w:rsid w:val="00BF73F0"/>
    <w:rsid w:val="00BF744E"/>
    <w:rsid w:val="00BF7780"/>
    <w:rsid w:val="00BF7813"/>
    <w:rsid w:val="00BF7845"/>
    <w:rsid w:val="00BF7865"/>
    <w:rsid w:val="00BF7C8B"/>
    <w:rsid w:val="00C0000C"/>
    <w:rsid w:val="00C000C8"/>
    <w:rsid w:val="00C0079C"/>
    <w:rsid w:val="00C0083C"/>
    <w:rsid w:val="00C009F0"/>
    <w:rsid w:val="00C010A8"/>
    <w:rsid w:val="00C0141D"/>
    <w:rsid w:val="00C014DE"/>
    <w:rsid w:val="00C0152B"/>
    <w:rsid w:val="00C0164A"/>
    <w:rsid w:val="00C017BF"/>
    <w:rsid w:val="00C019FC"/>
    <w:rsid w:val="00C01B0B"/>
    <w:rsid w:val="00C01E7D"/>
    <w:rsid w:val="00C01EBD"/>
    <w:rsid w:val="00C01F1E"/>
    <w:rsid w:val="00C02001"/>
    <w:rsid w:val="00C0202B"/>
    <w:rsid w:val="00C02049"/>
    <w:rsid w:val="00C021BB"/>
    <w:rsid w:val="00C021EB"/>
    <w:rsid w:val="00C02299"/>
    <w:rsid w:val="00C0240F"/>
    <w:rsid w:val="00C029EA"/>
    <w:rsid w:val="00C02A20"/>
    <w:rsid w:val="00C02B39"/>
    <w:rsid w:val="00C02B4F"/>
    <w:rsid w:val="00C02DE3"/>
    <w:rsid w:val="00C02ECB"/>
    <w:rsid w:val="00C02FE1"/>
    <w:rsid w:val="00C03012"/>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51D9"/>
    <w:rsid w:val="00C0525D"/>
    <w:rsid w:val="00C0558B"/>
    <w:rsid w:val="00C05613"/>
    <w:rsid w:val="00C057EE"/>
    <w:rsid w:val="00C058D4"/>
    <w:rsid w:val="00C05A1B"/>
    <w:rsid w:val="00C05B9C"/>
    <w:rsid w:val="00C05BE5"/>
    <w:rsid w:val="00C05C4E"/>
    <w:rsid w:val="00C05CB8"/>
    <w:rsid w:val="00C05E55"/>
    <w:rsid w:val="00C0606C"/>
    <w:rsid w:val="00C06408"/>
    <w:rsid w:val="00C06416"/>
    <w:rsid w:val="00C064A7"/>
    <w:rsid w:val="00C06508"/>
    <w:rsid w:val="00C066D3"/>
    <w:rsid w:val="00C06CFA"/>
    <w:rsid w:val="00C06F4D"/>
    <w:rsid w:val="00C0719D"/>
    <w:rsid w:val="00C074E0"/>
    <w:rsid w:val="00C076D3"/>
    <w:rsid w:val="00C0792A"/>
    <w:rsid w:val="00C07B21"/>
    <w:rsid w:val="00C07C03"/>
    <w:rsid w:val="00C07C0E"/>
    <w:rsid w:val="00C07DD9"/>
    <w:rsid w:val="00C07F1C"/>
    <w:rsid w:val="00C10462"/>
    <w:rsid w:val="00C106BA"/>
    <w:rsid w:val="00C10792"/>
    <w:rsid w:val="00C108D4"/>
    <w:rsid w:val="00C10B90"/>
    <w:rsid w:val="00C10DC1"/>
    <w:rsid w:val="00C112DF"/>
    <w:rsid w:val="00C1166D"/>
    <w:rsid w:val="00C119EF"/>
    <w:rsid w:val="00C11AAC"/>
    <w:rsid w:val="00C11D8F"/>
    <w:rsid w:val="00C11E99"/>
    <w:rsid w:val="00C11EE1"/>
    <w:rsid w:val="00C12574"/>
    <w:rsid w:val="00C125F2"/>
    <w:rsid w:val="00C12A56"/>
    <w:rsid w:val="00C12BF3"/>
    <w:rsid w:val="00C12C3D"/>
    <w:rsid w:val="00C12C47"/>
    <w:rsid w:val="00C12C7C"/>
    <w:rsid w:val="00C12DE2"/>
    <w:rsid w:val="00C12E59"/>
    <w:rsid w:val="00C12E7E"/>
    <w:rsid w:val="00C12FEB"/>
    <w:rsid w:val="00C13236"/>
    <w:rsid w:val="00C136F8"/>
    <w:rsid w:val="00C138B0"/>
    <w:rsid w:val="00C138F3"/>
    <w:rsid w:val="00C13A74"/>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B14"/>
    <w:rsid w:val="00C15D1E"/>
    <w:rsid w:val="00C15F1E"/>
    <w:rsid w:val="00C16276"/>
    <w:rsid w:val="00C1649C"/>
    <w:rsid w:val="00C16745"/>
    <w:rsid w:val="00C16AAA"/>
    <w:rsid w:val="00C16CBF"/>
    <w:rsid w:val="00C176E9"/>
    <w:rsid w:val="00C178E6"/>
    <w:rsid w:val="00C179EB"/>
    <w:rsid w:val="00C17EA5"/>
    <w:rsid w:val="00C17FC3"/>
    <w:rsid w:val="00C17FF4"/>
    <w:rsid w:val="00C2012B"/>
    <w:rsid w:val="00C206A9"/>
    <w:rsid w:val="00C20794"/>
    <w:rsid w:val="00C2081E"/>
    <w:rsid w:val="00C20C68"/>
    <w:rsid w:val="00C20D4D"/>
    <w:rsid w:val="00C2107D"/>
    <w:rsid w:val="00C2123D"/>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5B1"/>
    <w:rsid w:val="00C24672"/>
    <w:rsid w:val="00C246EA"/>
    <w:rsid w:val="00C247C0"/>
    <w:rsid w:val="00C248A8"/>
    <w:rsid w:val="00C250CC"/>
    <w:rsid w:val="00C253D2"/>
    <w:rsid w:val="00C25A2D"/>
    <w:rsid w:val="00C25EFB"/>
    <w:rsid w:val="00C26018"/>
    <w:rsid w:val="00C267F3"/>
    <w:rsid w:val="00C2684E"/>
    <w:rsid w:val="00C26B1C"/>
    <w:rsid w:val="00C26BBA"/>
    <w:rsid w:val="00C26D6D"/>
    <w:rsid w:val="00C26E34"/>
    <w:rsid w:val="00C27281"/>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C25"/>
    <w:rsid w:val="00C30D7D"/>
    <w:rsid w:val="00C30DE6"/>
    <w:rsid w:val="00C31173"/>
    <w:rsid w:val="00C312DF"/>
    <w:rsid w:val="00C3141B"/>
    <w:rsid w:val="00C31501"/>
    <w:rsid w:val="00C315AB"/>
    <w:rsid w:val="00C316DD"/>
    <w:rsid w:val="00C31DE7"/>
    <w:rsid w:val="00C31E10"/>
    <w:rsid w:val="00C320B7"/>
    <w:rsid w:val="00C32243"/>
    <w:rsid w:val="00C322D1"/>
    <w:rsid w:val="00C3252A"/>
    <w:rsid w:val="00C325BB"/>
    <w:rsid w:val="00C32B4B"/>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90F"/>
    <w:rsid w:val="00C3494C"/>
    <w:rsid w:val="00C34ADF"/>
    <w:rsid w:val="00C34B1A"/>
    <w:rsid w:val="00C34B49"/>
    <w:rsid w:val="00C34BC4"/>
    <w:rsid w:val="00C35562"/>
    <w:rsid w:val="00C3571B"/>
    <w:rsid w:val="00C35744"/>
    <w:rsid w:val="00C35AA4"/>
    <w:rsid w:val="00C35B2C"/>
    <w:rsid w:val="00C35E70"/>
    <w:rsid w:val="00C360CA"/>
    <w:rsid w:val="00C36143"/>
    <w:rsid w:val="00C361B3"/>
    <w:rsid w:val="00C36550"/>
    <w:rsid w:val="00C367C7"/>
    <w:rsid w:val="00C367EC"/>
    <w:rsid w:val="00C36963"/>
    <w:rsid w:val="00C369A6"/>
    <w:rsid w:val="00C369AA"/>
    <w:rsid w:val="00C36A9A"/>
    <w:rsid w:val="00C36AD2"/>
    <w:rsid w:val="00C36B32"/>
    <w:rsid w:val="00C36C43"/>
    <w:rsid w:val="00C36CE4"/>
    <w:rsid w:val="00C37096"/>
    <w:rsid w:val="00C3709C"/>
    <w:rsid w:val="00C370AD"/>
    <w:rsid w:val="00C3715C"/>
    <w:rsid w:val="00C37397"/>
    <w:rsid w:val="00C373A9"/>
    <w:rsid w:val="00C3743B"/>
    <w:rsid w:val="00C374D6"/>
    <w:rsid w:val="00C37618"/>
    <w:rsid w:val="00C37689"/>
    <w:rsid w:val="00C37C3A"/>
    <w:rsid w:val="00C37D11"/>
    <w:rsid w:val="00C37D38"/>
    <w:rsid w:val="00C37FED"/>
    <w:rsid w:val="00C406A2"/>
    <w:rsid w:val="00C40A33"/>
    <w:rsid w:val="00C40B04"/>
    <w:rsid w:val="00C40C5C"/>
    <w:rsid w:val="00C40E4D"/>
    <w:rsid w:val="00C40E78"/>
    <w:rsid w:val="00C412CD"/>
    <w:rsid w:val="00C41407"/>
    <w:rsid w:val="00C41557"/>
    <w:rsid w:val="00C41A77"/>
    <w:rsid w:val="00C41F9B"/>
    <w:rsid w:val="00C429B4"/>
    <w:rsid w:val="00C42A62"/>
    <w:rsid w:val="00C42B80"/>
    <w:rsid w:val="00C430C6"/>
    <w:rsid w:val="00C43ADE"/>
    <w:rsid w:val="00C445BE"/>
    <w:rsid w:val="00C44609"/>
    <w:rsid w:val="00C44C6E"/>
    <w:rsid w:val="00C45349"/>
    <w:rsid w:val="00C45685"/>
    <w:rsid w:val="00C45914"/>
    <w:rsid w:val="00C459BA"/>
    <w:rsid w:val="00C45A3D"/>
    <w:rsid w:val="00C45A88"/>
    <w:rsid w:val="00C45C64"/>
    <w:rsid w:val="00C45C88"/>
    <w:rsid w:val="00C45F13"/>
    <w:rsid w:val="00C45FDB"/>
    <w:rsid w:val="00C46284"/>
    <w:rsid w:val="00C462A6"/>
    <w:rsid w:val="00C4632B"/>
    <w:rsid w:val="00C4658C"/>
    <w:rsid w:val="00C468B8"/>
    <w:rsid w:val="00C46D4F"/>
    <w:rsid w:val="00C470B9"/>
    <w:rsid w:val="00C47118"/>
    <w:rsid w:val="00C473FF"/>
    <w:rsid w:val="00C47432"/>
    <w:rsid w:val="00C4764A"/>
    <w:rsid w:val="00C47885"/>
    <w:rsid w:val="00C47A6F"/>
    <w:rsid w:val="00C47D7C"/>
    <w:rsid w:val="00C47F39"/>
    <w:rsid w:val="00C47FE6"/>
    <w:rsid w:val="00C50321"/>
    <w:rsid w:val="00C510DD"/>
    <w:rsid w:val="00C511E3"/>
    <w:rsid w:val="00C517F3"/>
    <w:rsid w:val="00C51E31"/>
    <w:rsid w:val="00C51E7E"/>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937"/>
    <w:rsid w:val="00C53BD5"/>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335"/>
    <w:rsid w:val="00C55368"/>
    <w:rsid w:val="00C553AD"/>
    <w:rsid w:val="00C554B9"/>
    <w:rsid w:val="00C5572A"/>
    <w:rsid w:val="00C55863"/>
    <w:rsid w:val="00C5586A"/>
    <w:rsid w:val="00C55CBF"/>
    <w:rsid w:val="00C55CE9"/>
    <w:rsid w:val="00C55D12"/>
    <w:rsid w:val="00C55DBC"/>
    <w:rsid w:val="00C55E8F"/>
    <w:rsid w:val="00C55EC4"/>
    <w:rsid w:val="00C56708"/>
    <w:rsid w:val="00C56779"/>
    <w:rsid w:val="00C5683B"/>
    <w:rsid w:val="00C56842"/>
    <w:rsid w:val="00C56861"/>
    <w:rsid w:val="00C568F7"/>
    <w:rsid w:val="00C56901"/>
    <w:rsid w:val="00C56E1F"/>
    <w:rsid w:val="00C5707C"/>
    <w:rsid w:val="00C572B3"/>
    <w:rsid w:val="00C5738D"/>
    <w:rsid w:val="00C57632"/>
    <w:rsid w:val="00C576D9"/>
    <w:rsid w:val="00C5776B"/>
    <w:rsid w:val="00C57BE1"/>
    <w:rsid w:val="00C57F1F"/>
    <w:rsid w:val="00C60013"/>
    <w:rsid w:val="00C60015"/>
    <w:rsid w:val="00C60042"/>
    <w:rsid w:val="00C6091C"/>
    <w:rsid w:val="00C60E2E"/>
    <w:rsid w:val="00C610D2"/>
    <w:rsid w:val="00C61270"/>
    <w:rsid w:val="00C6144E"/>
    <w:rsid w:val="00C618C7"/>
    <w:rsid w:val="00C61CEA"/>
    <w:rsid w:val="00C61F29"/>
    <w:rsid w:val="00C61FD1"/>
    <w:rsid w:val="00C62015"/>
    <w:rsid w:val="00C6265A"/>
    <w:rsid w:val="00C62710"/>
    <w:rsid w:val="00C62C6C"/>
    <w:rsid w:val="00C63336"/>
    <w:rsid w:val="00C63370"/>
    <w:rsid w:val="00C636BA"/>
    <w:rsid w:val="00C638E0"/>
    <w:rsid w:val="00C63D0C"/>
    <w:rsid w:val="00C63D71"/>
    <w:rsid w:val="00C63DEE"/>
    <w:rsid w:val="00C63EE7"/>
    <w:rsid w:val="00C63F9C"/>
    <w:rsid w:val="00C64232"/>
    <w:rsid w:val="00C6452E"/>
    <w:rsid w:val="00C64994"/>
    <w:rsid w:val="00C64E9E"/>
    <w:rsid w:val="00C65012"/>
    <w:rsid w:val="00C653A3"/>
    <w:rsid w:val="00C6549F"/>
    <w:rsid w:val="00C6572B"/>
    <w:rsid w:val="00C65838"/>
    <w:rsid w:val="00C65A2C"/>
    <w:rsid w:val="00C65BFD"/>
    <w:rsid w:val="00C65E23"/>
    <w:rsid w:val="00C65EA3"/>
    <w:rsid w:val="00C65FCA"/>
    <w:rsid w:val="00C6609F"/>
    <w:rsid w:val="00C6633B"/>
    <w:rsid w:val="00C6681D"/>
    <w:rsid w:val="00C6688C"/>
    <w:rsid w:val="00C66B29"/>
    <w:rsid w:val="00C6703C"/>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CDD"/>
    <w:rsid w:val="00C7115C"/>
    <w:rsid w:val="00C71227"/>
    <w:rsid w:val="00C7147D"/>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EA2"/>
    <w:rsid w:val="00C72EBD"/>
    <w:rsid w:val="00C72F03"/>
    <w:rsid w:val="00C7322E"/>
    <w:rsid w:val="00C73443"/>
    <w:rsid w:val="00C7349A"/>
    <w:rsid w:val="00C73633"/>
    <w:rsid w:val="00C736EA"/>
    <w:rsid w:val="00C73803"/>
    <w:rsid w:val="00C73918"/>
    <w:rsid w:val="00C73965"/>
    <w:rsid w:val="00C739FE"/>
    <w:rsid w:val="00C73CEC"/>
    <w:rsid w:val="00C73DCD"/>
    <w:rsid w:val="00C73EA6"/>
    <w:rsid w:val="00C74CEC"/>
    <w:rsid w:val="00C74EBE"/>
    <w:rsid w:val="00C751DF"/>
    <w:rsid w:val="00C753CF"/>
    <w:rsid w:val="00C75555"/>
    <w:rsid w:val="00C75657"/>
    <w:rsid w:val="00C75782"/>
    <w:rsid w:val="00C759F3"/>
    <w:rsid w:val="00C75A9D"/>
    <w:rsid w:val="00C75AA9"/>
    <w:rsid w:val="00C75CE8"/>
    <w:rsid w:val="00C7614A"/>
    <w:rsid w:val="00C761D5"/>
    <w:rsid w:val="00C764D9"/>
    <w:rsid w:val="00C76646"/>
    <w:rsid w:val="00C766E7"/>
    <w:rsid w:val="00C7671C"/>
    <w:rsid w:val="00C76AE3"/>
    <w:rsid w:val="00C76F18"/>
    <w:rsid w:val="00C77034"/>
    <w:rsid w:val="00C7764B"/>
    <w:rsid w:val="00C7765D"/>
    <w:rsid w:val="00C77763"/>
    <w:rsid w:val="00C77AA1"/>
    <w:rsid w:val="00C77CA0"/>
    <w:rsid w:val="00C77EAA"/>
    <w:rsid w:val="00C80530"/>
    <w:rsid w:val="00C8053D"/>
    <w:rsid w:val="00C805B9"/>
    <w:rsid w:val="00C80612"/>
    <w:rsid w:val="00C80766"/>
    <w:rsid w:val="00C80A18"/>
    <w:rsid w:val="00C80A98"/>
    <w:rsid w:val="00C80DE5"/>
    <w:rsid w:val="00C8116B"/>
    <w:rsid w:val="00C813CD"/>
    <w:rsid w:val="00C81487"/>
    <w:rsid w:val="00C81E70"/>
    <w:rsid w:val="00C8207F"/>
    <w:rsid w:val="00C8272D"/>
    <w:rsid w:val="00C82922"/>
    <w:rsid w:val="00C82968"/>
    <w:rsid w:val="00C82CCB"/>
    <w:rsid w:val="00C830FA"/>
    <w:rsid w:val="00C83280"/>
    <w:rsid w:val="00C834C2"/>
    <w:rsid w:val="00C83513"/>
    <w:rsid w:val="00C835F4"/>
    <w:rsid w:val="00C83711"/>
    <w:rsid w:val="00C83789"/>
    <w:rsid w:val="00C8396A"/>
    <w:rsid w:val="00C83CA0"/>
    <w:rsid w:val="00C83D6B"/>
    <w:rsid w:val="00C83F3E"/>
    <w:rsid w:val="00C83F68"/>
    <w:rsid w:val="00C8426B"/>
    <w:rsid w:val="00C8428C"/>
    <w:rsid w:val="00C842BB"/>
    <w:rsid w:val="00C843A0"/>
    <w:rsid w:val="00C84687"/>
    <w:rsid w:val="00C8473C"/>
    <w:rsid w:val="00C8492E"/>
    <w:rsid w:val="00C849BA"/>
    <w:rsid w:val="00C84AE4"/>
    <w:rsid w:val="00C84D53"/>
    <w:rsid w:val="00C850A4"/>
    <w:rsid w:val="00C85567"/>
    <w:rsid w:val="00C85753"/>
    <w:rsid w:val="00C857DF"/>
    <w:rsid w:val="00C85814"/>
    <w:rsid w:val="00C85816"/>
    <w:rsid w:val="00C85A0A"/>
    <w:rsid w:val="00C85D43"/>
    <w:rsid w:val="00C85FD2"/>
    <w:rsid w:val="00C85FD9"/>
    <w:rsid w:val="00C8609E"/>
    <w:rsid w:val="00C860A9"/>
    <w:rsid w:val="00C86277"/>
    <w:rsid w:val="00C862C8"/>
    <w:rsid w:val="00C8665D"/>
    <w:rsid w:val="00C8675E"/>
    <w:rsid w:val="00C86873"/>
    <w:rsid w:val="00C86B48"/>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EE"/>
    <w:rsid w:val="00C9112C"/>
    <w:rsid w:val="00C9116D"/>
    <w:rsid w:val="00C911DB"/>
    <w:rsid w:val="00C91A57"/>
    <w:rsid w:val="00C91B20"/>
    <w:rsid w:val="00C91C40"/>
    <w:rsid w:val="00C91EFF"/>
    <w:rsid w:val="00C92143"/>
    <w:rsid w:val="00C921CC"/>
    <w:rsid w:val="00C923BD"/>
    <w:rsid w:val="00C92928"/>
    <w:rsid w:val="00C929FE"/>
    <w:rsid w:val="00C92AB4"/>
    <w:rsid w:val="00C92B19"/>
    <w:rsid w:val="00C92E1B"/>
    <w:rsid w:val="00C93049"/>
    <w:rsid w:val="00C93472"/>
    <w:rsid w:val="00C934C9"/>
    <w:rsid w:val="00C93744"/>
    <w:rsid w:val="00C939B2"/>
    <w:rsid w:val="00C93E06"/>
    <w:rsid w:val="00C93F31"/>
    <w:rsid w:val="00C943BE"/>
    <w:rsid w:val="00C946A2"/>
    <w:rsid w:val="00C947DE"/>
    <w:rsid w:val="00C948A8"/>
    <w:rsid w:val="00C94C5C"/>
    <w:rsid w:val="00C94C94"/>
    <w:rsid w:val="00C94EC8"/>
    <w:rsid w:val="00C94F2B"/>
    <w:rsid w:val="00C95115"/>
    <w:rsid w:val="00C9563E"/>
    <w:rsid w:val="00C95736"/>
    <w:rsid w:val="00C95A4F"/>
    <w:rsid w:val="00C95CAF"/>
    <w:rsid w:val="00C95DEE"/>
    <w:rsid w:val="00C95FD6"/>
    <w:rsid w:val="00C960C8"/>
    <w:rsid w:val="00C962B9"/>
    <w:rsid w:val="00C96474"/>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A03BA"/>
    <w:rsid w:val="00CA043C"/>
    <w:rsid w:val="00CA057D"/>
    <w:rsid w:val="00CA0A26"/>
    <w:rsid w:val="00CA0A48"/>
    <w:rsid w:val="00CA0BEF"/>
    <w:rsid w:val="00CA0E21"/>
    <w:rsid w:val="00CA0EF4"/>
    <w:rsid w:val="00CA1363"/>
    <w:rsid w:val="00CA13E0"/>
    <w:rsid w:val="00CA1505"/>
    <w:rsid w:val="00CA16B4"/>
    <w:rsid w:val="00CA17E9"/>
    <w:rsid w:val="00CA1851"/>
    <w:rsid w:val="00CA18FF"/>
    <w:rsid w:val="00CA1FE9"/>
    <w:rsid w:val="00CA22DA"/>
    <w:rsid w:val="00CA2A3F"/>
    <w:rsid w:val="00CA2B16"/>
    <w:rsid w:val="00CA2ED6"/>
    <w:rsid w:val="00CA2FC0"/>
    <w:rsid w:val="00CA3041"/>
    <w:rsid w:val="00CA309B"/>
    <w:rsid w:val="00CA310A"/>
    <w:rsid w:val="00CA32F1"/>
    <w:rsid w:val="00CA33D5"/>
    <w:rsid w:val="00CA3589"/>
    <w:rsid w:val="00CA367F"/>
    <w:rsid w:val="00CA3796"/>
    <w:rsid w:val="00CA3CE3"/>
    <w:rsid w:val="00CA3D63"/>
    <w:rsid w:val="00CA4312"/>
    <w:rsid w:val="00CA4534"/>
    <w:rsid w:val="00CA49D0"/>
    <w:rsid w:val="00CA4B1F"/>
    <w:rsid w:val="00CA4BFB"/>
    <w:rsid w:val="00CA4E3D"/>
    <w:rsid w:val="00CA4E51"/>
    <w:rsid w:val="00CA514E"/>
    <w:rsid w:val="00CA51B8"/>
    <w:rsid w:val="00CA5654"/>
    <w:rsid w:val="00CA5663"/>
    <w:rsid w:val="00CA5698"/>
    <w:rsid w:val="00CA5A06"/>
    <w:rsid w:val="00CA5B29"/>
    <w:rsid w:val="00CA5C3F"/>
    <w:rsid w:val="00CA5CC9"/>
    <w:rsid w:val="00CA5CCF"/>
    <w:rsid w:val="00CA5DFD"/>
    <w:rsid w:val="00CA62A4"/>
    <w:rsid w:val="00CA62FD"/>
    <w:rsid w:val="00CA6740"/>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B0135"/>
    <w:rsid w:val="00CB0198"/>
    <w:rsid w:val="00CB02C7"/>
    <w:rsid w:val="00CB04A5"/>
    <w:rsid w:val="00CB07F8"/>
    <w:rsid w:val="00CB089C"/>
    <w:rsid w:val="00CB097B"/>
    <w:rsid w:val="00CB09E4"/>
    <w:rsid w:val="00CB0A99"/>
    <w:rsid w:val="00CB0C7B"/>
    <w:rsid w:val="00CB0C84"/>
    <w:rsid w:val="00CB1291"/>
    <w:rsid w:val="00CB15FD"/>
    <w:rsid w:val="00CB174A"/>
    <w:rsid w:val="00CB18DC"/>
    <w:rsid w:val="00CB1948"/>
    <w:rsid w:val="00CB20F0"/>
    <w:rsid w:val="00CB261E"/>
    <w:rsid w:val="00CB2954"/>
    <w:rsid w:val="00CB2A91"/>
    <w:rsid w:val="00CB2B45"/>
    <w:rsid w:val="00CB2CE6"/>
    <w:rsid w:val="00CB2D0A"/>
    <w:rsid w:val="00CB2D15"/>
    <w:rsid w:val="00CB2D3B"/>
    <w:rsid w:val="00CB3051"/>
    <w:rsid w:val="00CB328E"/>
    <w:rsid w:val="00CB364A"/>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5364"/>
    <w:rsid w:val="00CB53D8"/>
    <w:rsid w:val="00CB548D"/>
    <w:rsid w:val="00CB551A"/>
    <w:rsid w:val="00CB565E"/>
    <w:rsid w:val="00CB5661"/>
    <w:rsid w:val="00CB5A2F"/>
    <w:rsid w:val="00CB5AFE"/>
    <w:rsid w:val="00CB5B23"/>
    <w:rsid w:val="00CB5CA0"/>
    <w:rsid w:val="00CB5E12"/>
    <w:rsid w:val="00CB6036"/>
    <w:rsid w:val="00CB6416"/>
    <w:rsid w:val="00CB65C6"/>
    <w:rsid w:val="00CB6778"/>
    <w:rsid w:val="00CB69AA"/>
    <w:rsid w:val="00CB6A8E"/>
    <w:rsid w:val="00CB6B3A"/>
    <w:rsid w:val="00CB6FEF"/>
    <w:rsid w:val="00CB71D2"/>
    <w:rsid w:val="00CB738A"/>
    <w:rsid w:val="00CB758D"/>
    <w:rsid w:val="00CB7A89"/>
    <w:rsid w:val="00CB7E6B"/>
    <w:rsid w:val="00CC002D"/>
    <w:rsid w:val="00CC03A6"/>
    <w:rsid w:val="00CC0565"/>
    <w:rsid w:val="00CC07C1"/>
    <w:rsid w:val="00CC07C7"/>
    <w:rsid w:val="00CC07CB"/>
    <w:rsid w:val="00CC0908"/>
    <w:rsid w:val="00CC0EB8"/>
    <w:rsid w:val="00CC102B"/>
    <w:rsid w:val="00CC11C7"/>
    <w:rsid w:val="00CC11D8"/>
    <w:rsid w:val="00CC1212"/>
    <w:rsid w:val="00CC1293"/>
    <w:rsid w:val="00CC15FC"/>
    <w:rsid w:val="00CC176E"/>
    <w:rsid w:val="00CC18DD"/>
    <w:rsid w:val="00CC1DBF"/>
    <w:rsid w:val="00CC1DCC"/>
    <w:rsid w:val="00CC1E69"/>
    <w:rsid w:val="00CC1EC6"/>
    <w:rsid w:val="00CC1EF8"/>
    <w:rsid w:val="00CC212F"/>
    <w:rsid w:val="00CC2382"/>
    <w:rsid w:val="00CC23F2"/>
    <w:rsid w:val="00CC250B"/>
    <w:rsid w:val="00CC259B"/>
    <w:rsid w:val="00CC2701"/>
    <w:rsid w:val="00CC2A27"/>
    <w:rsid w:val="00CC2DC0"/>
    <w:rsid w:val="00CC2E12"/>
    <w:rsid w:val="00CC2E8A"/>
    <w:rsid w:val="00CC3237"/>
    <w:rsid w:val="00CC35A9"/>
    <w:rsid w:val="00CC36DC"/>
    <w:rsid w:val="00CC3B57"/>
    <w:rsid w:val="00CC3CF5"/>
    <w:rsid w:val="00CC4179"/>
    <w:rsid w:val="00CC429D"/>
    <w:rsid w:val="00CC4382"/>
    <w:rsid w:val="00CC43EA"/>
    <w:rsid w:val="00CC4426"/>
    <w:rsid w:val="00CC48EF"/>
    <w:rsid w:val="00CC4D07"/>
    <w:rsid w:val="00CC4EBB"/>
    <w:rsid w:val="00CC4F40"/>
    <w:rsid w:val="00CC5215"/>
    <w:rsid w:val="00CC52AC"/>
    <w:rsid w:val="00CC53FF"/>
    <w:rsid w:val="00CC5883"/>
    <w:rsid w:val="00CC5A11"/>
    <w:rsid w:val="00CC5CA1"/>
    <w:rsid w:val="00CC5CDE"/>
    <w:rsid w:val="00CC5E9D"/>
    <w:rsid w:val="00CC6025"/>
    <w:rsid w:val="00CC607F"/>
    <w:rsid w:val="00CC620D"/>
    <w:rsid w:val="00CC64AC"/>
    <w:rsid w:val="00CC64D4"/>
    <w:rsid w:val="00CC66C2"/>
    <w:rsid w:val="00CC6CEB"/>
    <w:rsid w:val="00CC71CB"/>
    <w:rsid w:val="00CC734D"/>
    <w:rsid w:val="00CC74FD"/>
    <w:rsid w:val="00CC7542"/>
    <w:rsid w:val="00CC769A"/>
    <w:rsid w:val="00CC780A"/>
    <w:rsid w:val="00CC7ACA"/>
    <w:rsid w:val="00CC7D29"/>
    <w:rsid w:val="00CC7E8B"/>
    <w:rsid w:val="00CD001A"/>
    <w:rsid w:val="00CD009E"/>
    <w:rsid w:val="00CD00A8"/>
    <w:rsid w:val="00CD02DC"/>
    <w:rsid w:val="00CD0351"/>
    <w:rsid w:val="00CD0989"/>
    <w:rsid w:val="00CD0F55"/>
    <w:rsid w:val="00CD1082"/>
    <w:rsid w:val="00CD10A8"/>
    <w:rsid w:val="00CD12CC"/>
    <w:rsid w:val="00CD12DC"/>
    <w:rsid w:val="00CD15FC"/>
    <w:rsid w:val="00CD173C"/>
    <w:rsid w:val="00CD1B9A"/>
    <w:rsid w:val="00CD1E7D"/>
    <w:rsid w:val="00CD222E"/>
    <w:rsid w:val="00CD227E"/>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B99"/>
    <w:rsid w:val="00CD5C88"/>
    <w:rsid w:val="00CD5F49"/>
    <w:rsid w:val="00CD60C4"/>
    <w:rsid w:val="00CD620A"/>
    <w:rsid w:val="00CD6A76"/>
    <w:rsid w:val="00CD6D39"/>
    <w:rsid w:val="00CD6EAC"/>
    <w:rsid w:val="00CD6F01"/>
    <w:rsid w:val="00CD73DB"/>
    <w:rsid w:val="00CD7575"/>
    <w:rsid w:val="00CD767C"/>
    <w:rsid w:val="00CD7F16"/>
    <w:rsid w:val="00CE0296"/>
    <w:rsid w:val="00CE0318"/>
    <w:rsid w:val="00CE03FE"/>
    <w:rsid w:val="00CE099E"/>
    <w:rsid w:val="00CE0B02"/>
    <w:rsid w:val="00CE0DED"/>
    <w:rsid w:val="00CE0FA8"/>
    <w:rsid w:val="00CE1767"/>
    <w:rsid w:val="00CE1B9A"/>
    <w:rsid w:val="00CE1D2D"/>
    <w:rsid w:val="00CE1F90"/>
    <w:rsid w:val="00CE2209"/>
    <w:rsid w:val="00CE222E"/>
    <w:rsid w:val="00CE2560"/>
    <w:rsid w:val="00CE26B4"/>
    <w:rsid w:val="00CE278A"/>
    <w:rsid w:val="00CE2C72"/>
    <w:rsid w:val="00CE2EA7"/>
    <w:rsid w:val="00CE339D"/>
    <w:rsid w:val="00CE347A"/>
    <w:rsid w:val="00CE34D3"/>
    <w:rsid w:val="00CE352F"/>
    <w:rsid w:val="00CE36FE"/>
    <w:rsid w:val="00CE37A0"/>
    <w:rsid w:val="00CE38FD"/>
    <w:rsid w:val="00CE3BA8"/>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542"/>
    <w:rsid w:val="00CE6D34"/>
    <w:rsid w:val="00CE7012"/>
    <w:rsid w:val="00CE71C9"/>
    <w:rsid w:val="00CE7314"/>
    <w:rsid w:val="00CE73F2"/>
    <w:rsid w:val="00CE75A1"/>
    <w:rsid w:val="00CE75F1"/>
    <w:rsid w:val="00CE7770"/>
    <w:rsid w:val="00CE7776"/>
    <w:rsid w:val="00CE7853"/>
    <w:rsid w:val="00CE7A7D"/>
    <w:rsid w:val="00CE7B20"/>
    <w:rsid w:val="00CF020F"/>
    <w:rsid w:val="00CF0422"/>
    <w:rsid w:val="00CF088D"/>
    <w:rsid w:val="00CF130A"/>
    <w:rsid w:val="00CF13AF"/>
    <w:rsid w:val="00CF1441"/>
    <w:rsid w:val="00CF1B11"/>
    <w:rsid w:val="00CF1BDA"/>
    <w:rsid w:val="00CF1D86"/>
    <w:rsid w:val="00CF2564"/>
    <w:rsid w:val="00CF2AE6"/>
    <w:rsid w:val="00CF304C"/>
    <w:rsid w:val="00CF393C"/>
    <w:rsid w:val="00CF3C43"/>
    <w:rsid w:val="00CF3C57"/>
    <w:rsid w:val="00CF404F"/>
    <w:rsid w:val="00CF414C"/>
    <w:rsid w:val="00CF4656"/>
    <w:rsid w:val="00CF4FA6"/>
    <w:rsid w:val="00CF5018"/>
    <w:rsid w:val="00CF5257"/>
    <w:rsid w:val="00CF52CF"/>
    <w:rsid w:val="00CF53CD"/>
    <w:rsid w:val="00CF55E0"/>
    <w:rsid w:val="00CF56F9"/>
    <w:rsid w:val="00CF5739"/>
    <w:rsid w:val="00CF5772"/>
    <w:rsid w:val="00CF59FB"/>
    <w:rsid w:val="00CF5E58"/>
    <w:rsid w:val="00CF5EEA"/>
    <w:rsid w:val="00CF60CE"/>
    <w:rsid w:val="00CF635E"/>
    <w:rsid w:val="00CF63C0"/>
    <w:rsid w:val="00CF660A"/>
    <w:rsid w:val="00CF669A"/>
    <w:rsid w:val="00CF66A1"/>
    <w:rsid w:val="00CF7137"/>
    <w:rsid w:val="00CF74E3"/>
    <w:rsid w:val="00CF76C2"/>
    <w:rsid w:val="00CF7AFF"/>
    <w:rsid w:val="00CF7CDC"/>
    <w:rsid w:val="00CF7E65"/>
    <w:rsid w:val="00D0041B"/>
    <w:rsid w:val="00D00C21"/>
    <w:rsid w:val="00D00FD7"/>
    <w:rsid w:val="00D012CB"/>
    <w:rsid w:val="00D0137F"/>
    <w:rsid w:val="00D01726"/>
    <w:rsid w:val="00D01B3A"/>
    <w:rsid w:val="00D01BC3"/>
    <w:rsid w:val="00D02470"/>
    <w:rsid w:val="00D0249C"/>
    <w:rsid w:val="00D024E0"/>
    <w:rsid w:val="00D0252E"/>
    <w:rsid w:val="00D026AB"/>
    <w:rsid w:val="00D027E7"/>
    <w:rsid w:val="00D02865"/>
    <w:rsid w:val="00D02E63"/>
    <w:rsid w:val="00D02E8D"/>
    <w:rsid w:val="00D02FBF"/>
    <w:rsid w:val="00D03384"/>
    <w:rsid w:val="00D036AA"/>
    <w:rsid w:val="00D03C34"/>
    <w:rsid w:val="00D03E4B"/>
    <w:rsid w:val="00D03F84"/>
    <w:rsid w:val="00D03FB0"/>
    <w:rsid w:val="00D044A7"/>
    <w:rsid w:val="00D04958"/>
    <w:rsid w:val="00D04C5A"/>
    <w:rsid w:val="00D04D28"/>
    <w:rsid w:val="00D04E55"/>
    <w:rsid w:val="00D04EA9"/>
    <w:rsid w:val="00D050BC"/>
    <w:rsid w:val="00D050DA"/>
    <w:rsid w:val="00D054F5"/>
    <w:rsid w:val="00D05C42"/>
    <w:rsid w:val="00D05C71"/>
    <w:rsid w:val="00D05CC7"/>
    <w:rsid w:val="00D05FFF"/>
    <w:rsid w:val="00D06236"/>
    <w:rsid w:val="00D0652C"/>
    <w:rsid w:val="00D06785"/>
    <w:rsid w:val="00D06A3B"/>
    <w:rsid w:val="00D06C03"/>
    <w:rsid w:val="00D06ED5"/>
    <w:rsid w:val="00D06EED"/>
    <w:rsid w:val="00D0734A"/>
    <w:rsid w:val="00D0734B"/>
    <w:rsid w:val="00D073A2"/>
    <w:rsid w:val="00D07EB3"/>
    <w:rsid w:val="00D1008B"/>
    <w:rsid w:val="00D10096"/>
    <w:rsid w:val="00D10606"/>
    <w:rsid w:val="00D106A0"/>
    <w:rsid w:val="00D10784"/>
    <w:rsid w:val="00D10D36"/>
    <w:rsid w:val="00D10D3B"/>
    <w:rsid w:val="00D10DD2"/>
    <w:rsid w:val="00D10EEB"/>
    <w:rsid w:val="00D111D2"/>
    <w:rsid w:val="00D11807"/>
    <w:rsid w:val="00D11B4C"/>
    <w:rsid w:val="00D11BA8"/>
    <w:rsid w:val="00D11D3E"/>
    <w:rsid w:val="00D11EA1"/>
    <w:rsid w:val="00D11F1D"/>
    <w:rsid w:val="00D11FA9"/>
    <w:rsid w:val="00D1217D"/>
    <w:rsid w:val="00D1223A"/>
    <w:rsid w:val="00D1226C"/>
    <w:rsid w:val="00D123EE"/>
    <w:rsid w:val="00D12403"/>
    <w:rsid w:val="00D1250A"/>
    <w:rsid w:val="00D125E1"/>
    <w:rsid w:val="00D1262D"/>
    <w:rsid w:val="00D1276C"/>
    <w:rsid w:val="00D127D3"/>
    <w:rsid w:val="00D12999"/>
    <w:rsid w:val="00D12D74"/>
    <w:rsid w:val="00D12F2B"/>
    <w:rsid w:val="00D12FB8"/>
    <w:rsid w:val="00D12FFF"/>
    <w:rsid w:val="00D1331E"/>
    <w:rsid w:val="00D1340B"/>
    <w:rsid w:val="00D1349E"/>
    <w:rsid w:val="00D134A3"/>
    <w:rsid w:val="00D13852"/>
    <w:rsid w:val="00D13863"/>
    <w:rsid w:val="00D13BD5"/>
    <w:rsid w:val="00D13D5B"/>
    <w:rsid w:val="00D13FC6"/>
    <w:rsid w:val="00D14453"/>
    <w:rsid w:val="00D14564"/>
    <w:rsid w:val="00D14879"/>
    <w:rsid w:val="00D149AC"/>
    <w:rsid w:val="00D14B41"/>
    <w:rsid w:val="00D14B54"/>
    <w:rsid w:val="00D14CF3"/>
    <w:rsid w:val="00D14E2E"/>
    <w:rsid w:val="00D14E53"/>
    <w:rsid w:val="00D1520A"/>
    <w:rsid w:val="00D1542D"/>
    <w:rsid w:val="00D15649"/>
    <w:rsid w:val="00D1577A"/>
    <w:rsid w:val="00D15B62"/>
    <w:rsid w:val="00D15E36"/>
    <w:rsid w:val="00D1615C"/>
    <w:rsid w:val="00D1617C"/>
    <w:rsid w:val="00D161C4"/>
    <w:rsid w:val="00D16892"/>
    <w:rsid w:val="00D16980"/>
    <w:rsid w:val="00D16A8A"/>
    <w:rsid w:val="00D16B4C"/>
    <w:rsid w:val="00D16D96"/>
    <w:rsid w:val="00D16DEF"/>
    <w:rsid w:val="00D16E9B"/>
    <w:rsid w:val="00D16F3C"/>
    <w:rsid w:val="00D170A4"/>
    <w:rsid w:val="00D1765E"/>
    <w:rsid w:val="00D17F1B"/>
    <w:rsid w:val="00D200DF"/>
    <w:rsid w:val="00D201F4"/>
    <w:rsid w:val="00D2024B"/>
    <w:rsid w:val="00D205E9"/>
    <w:rsid w:val="00D2088D"/>
    <w:rsid w:val="00D20B6B"/>
    <w:rsid w:val="00D20DEF"/>
    <w:rsid w:val="00D20F98"/>
    <w:rsid w:val="00D2119C"/>
    <w:rsid w:val="00D21543"/>
    <w:rsid w:val="00D21602"/>
    <w:rsid w:val="00D2162E"/>
    <w:rsid w:val="00D2196D"/>
    <w:rsid w:val="00D219EC"/>
    <w:rsid w:val="00D21B2C"/>
    <w:rsid w:val="00D21F98"/>
    <w:rsid w:val="00D220D9"/>
    <w:rsid w:val="00D2266D"/>
    <w:rsid w:val="00D229C7"/>
    <w:rsid w:val="00D22A83"/>
    <w:rsid w:val="00D22C26"/>
    <w:rsid w:val="00D22CD3"/>
    <w:rsid w:val="00D23286"/>
    <w:rsid w:val="00D23416"/>
    <w:rsid w:val="00D236C2"/>
    <w:rsid w:val="00D238CB"/>
    <w:rsid w:val="00D238D9"/>
    <w:rsid w:val="00D2391D"/>
    <w:rsid w:val="00D23C54"/>
    <w:rsid w:val="00D23CF1"/>
    <w:rsid w:val="00D23F9C"/>
    <w:rsid w:val="00D24196"/>
    <w:rsid w:val="00D241E2"/>
    <w:rsid w:val="00D24784"/>
    <w:rsid w:val="00D248A2"/>
    <w:rsid w:val="00D248DB"/>
    <w:rsid w:val="00D24BAD"/>
    <w:rsid w:val="00D24BD6"/>
    <w:rsid w:val="00D24D0A"/>
    <w:rsid w:val="00D24EB2"/>
    <w:rsid w:val="00D24EFC"/>
    <w:rsid w:val="00D24FCB"/>
    <w:rsid w:val="00D25258"/>
    <w:rsid w:val="00D25343"/>
    <w:rsid w:val="00D25B49"/>
    <w:rsid w:val="00D25C74"/>
    <w:rsid w:val="00D26391"/>
    <w:rsid w:val="00D26472"/>
    <w:rsid w:val="00D264F3"/>
    <w:rsid w:val="00D26746"/>
    <w:rsid w:val="00D26752"/>
    <w:rsid w:val="00D26ABB"/>
    <w:rsid w:val="00D26AF0"/>
    <w:rsid w:val="00D26BBE"/>
    <w:rsid w:val="00D26D28"/>
    <w:rsid w:val="00D27362"/>
    <w:rsid w:val="00D27423"/>
    <w:rsid w:val="00D27428"/>
    <w:rsid w:val="00D27497"/>
    <w:rsid w:val="00D274B4"/>
    <w:rsid w:val="00D278A2"/>
    <w:rsid w:val="00D2796E"/>
    <w:rsid w:val="00D279E0"/>
    <w:rsid w:val="00D27D25"/>
    <w:rsid w:val="00D27D58"/>
    <w:rsid w:val="00D27FC8"/>
    <w:rsid w:val="00D30348"/>
    <w:rsid w:val="00D3057A"/>
    <w:rsid w:val="00D306CB"/>
    <w:rsid w:val="00D307D3"/>
    <w:rsid w:val="00D30AD4"/>
    <w:rsid w:val="00D30BCC"/>
    <w:rsid w:val="00D30DCD"/>
    <w:rsid w:val="00D3130C"/>
    <w:rsid w:val="00D3136C"/>
    <w:rsid w:val="00D3153D"/>
    <w:rsid w:val="00D316E5"/>
    <w:rsid w:val="00D31A9A"/>
    <w:rsid w:val="00D31B26"/>
    <w:rsid w:val="00D31BE0"/>
    <w:rsid w:val="00D32202"/>
    <w:rsid w:val="00D323F7"/>
    <w:rsid w:val="00D32548"/>
    <w:rsid w:val="00D32609"/>
    <w:rsid w:val="00D326E7"/>
    <w:rsid w:val="00D328D7"/>
    <w:rsid w:val="00D3316C"/>
    <w:rsid w:val="00D332B5"/>
    <w:rsid w:val="00D33541"/>
    <w:rsid w:val="00D33841"/>
    <w:rsid w:val="00D339C0"/>
    <w:rsid w:val="00D33A04"/>
    <w:rsid w:val="00D33C96"/>
    <w:rsid w:val="00D341CB"/>
    <w:rsid w:val="00D342A1"/>
    <w:rsid w:val="00D3431B"/>
    <w:rsid w:val="00D34F66"/>
    <w:rsid w:val="00D35333"/>
    <w:rsid w:val="00D3537C"/>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DF4"/>
    <w:rsid w:val="00D36E5C"/>
    <w:rsid w:val="00D36F82"/>
    <w:rsid w:val="00D3727B"/>
    <w:rsid w:val="00D373F2"/>
    <w:rsid w:val="00D376B7"/>
    <w:rsid w:val="00D3793B"/>
    <w:rsid w:val="00D379A6"/>
    <w:rsid w:val="00D37EC3"/>
    <w:rsid w:val="00D40246"/>
    <w:rsid w:val="00D403B4"/>
    <w:rsid w:val="00D403BF"/>
    <w:rsid w:val="00D405D4"/>
    <w:rsid w:val="00D40B51"/>
    <w:rsid w:val="00D40CD6"/>
    <w:rsid w:val="00D40E05"/>
    <w:rsid w:val="00D41072"/>
    <w:rsid w:val="00D4108F"/>
    <w:rsid w:val="00D410DF"/>
    <w:rsid w:val="00D413F9"/>
    <w:rsid w:val="00D4168F"/>
    <w:rsid w:val="00D41691"/>
    <w:rsid w:val="00D418E0"/>
    <w:rsid w:val="00D419E2"/>
    <w:rsid w:val="00D419F8"/>
    <w:rsid w:val="00D41B77"/>
    <w:rsid w:val="00D41DC9"/>
    <w:rsid w:val="00D4205D"/>
    <w:rsid w:val="00D4252D"/>
    <w:rsid w:val="00D42685"/>
    <w:rsid w:val="00D42902"/>
    <w:rsid w:val="00D4299C"/>
    <w:rsid w:val="00D42A22"/>
    <w:rsid w:val="00D42AE4"/>
    <w:rsid w:val="00D42B1F"/>
    <w:rsid w:val="00D42FC8"/>
    <w:rsid w:val="00D4327C"/>
    <w:rsid w:val="00D4342E"/>
    <w:rsid w:val="00D4355D"/>
    <w:rsid w:val="00D436D6"/>
    <w:rsid w:val="00D43839"/>
    <w:rsid w:val="00D43BF1"/>
    <w:rsid w:val="00D43E54"/>
    <w:rsid w:val="00D44042"/>
    <w:rsid w:val="00D4422A"/>
    <w:rsid w:val="00D442EF"/>
    <w:rsid w:val="00D444EA"/>
    <w:rsid w:val="00D44D18"/>
    <w:rsid w:val="00D4510A"/>
    <w:rsid w:val="00D4514A"/>
    <w:rsid w:val="00D4528E"/>
    <w:rsid w:val="00D45333"/>
    <w:rsid w:val="00D454C9"/>
    <w:rsid w:val="00D45567"/>
    <w:rsid w:val="00D45949"/>
    <w:rsid w:val="00D45979"/>
    <w:rsid w:val="00D45A6D"/>
    <w:rsid w:val="00D45A7A"/>
    <w:rsid w:val="00D45A89"/>
    <w:rsid w:val="00D45AED"/>
    <w:rsid w:val="00D45EC8"/>
    <w:rsid w:val="00D464F3"/>
    <w:rsid w:val="00D4661C"/>
    <w:rsid w:val="00D466C6"/>
    <w:rsid w:val="00D46875"/>
    <w:rsid w:val="00D46AF0"/>
    <w:rsid w:val="00D46C89"/>
    <w:rsid w:val="00D47101"/>
    <w:rsid w:val="00D47755"/>
    <w:rsid w:val="00D477DB"/>
    <w:rsid w:val="00D4791C"/>
    <w:rsid w:val="00D479F7"/>
    <w:rsid w:val="00D47B6E"/>
    <w:rsid w:val="00D47D59"/>
    <w:rsid w:val="00D47DCD"/>
    <w:rsid w:val="00D47F5F"/>
    <w:rsid w:val="00D500FD"/>
    <w:rsid w:val="00D5044A"/>
    <w:rsid w:val="00D50805"/>
    <w:rsid w:val="00D50820"/>
    <w:rsid w:val="00D509E9"/>
    <w:rsid w:val="00D50E0F"/>
    <w:rsid w:val="00D50E2C"/>
    <w:rsid w:val="00D50F80"/>
    <w:rsid w:val="00D512E5"/>
    <w:rsid w:val="00D513FC"/>
    <w:rsid w:val="00D51E5C"/>
    <w:rsid w:val="00D520B1"/>
    <w:rsid w:val="00D52174"/>
    <w:rsid w:val="00D522C6"/>
    <w:rsid w:val="00D522EC"/>
    <w:rsid w:val="00D52643"/>
    <w:rsid w:val="00D5269C"/>
    <w:rsid w:val="00D52B21"/>
    <w:rsid w:val="00D52EC1"/>
    <w:rsid w:val="00D5311C"/>
    <w:rsid w:val="00D534A9"/>
    <w:rsid w:val="00D53605"/>
    <w:rsid w:val="00D536B9"/>
    <w:rsid w:val="00D53823"/>
    <w:rsid w:val="00D5393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7B"/>
    <w:rsid w:val="00D55285"/>
    <w:rsid w:val="00D554A8"/>
    <w:rsid w:val="00D55619"/>
    <w:rsid w:val="00D5577E"/>
    <w:rsid w:val="00D55A7D"/>
    <w:rsid w:val="00D55AB5"/>
    <w:rsid w:val="00D55AD0"/>
    <w:rsid w:val="00D55C21"/>
    <w:rsid w:val="00D55D5A"/>
    <w:rsid w:val="00D55DAA"/>
    <w:rsid w:val="00D55EC2"/>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680"/>
    <w:rsid w:val="00D6083B"/>
    <w:rsid w:val="00D60B11"/>
    <w:rsid w:val="00D60CBF"/>
    <w:rsid w:val="00D60CD3"/>
    <w:rsid w:val="00D610E6"/>
    <w:rsid w:val="00D61600"/>
    <w:rsid w:val="00D61614"/>
    <w:rsid w:val="00D6171D"/>
    <w:rsid w:val="00D61821"/>
    <w:rsid w:val="00D6184A"/>
    <w:rsid w:val="00D6186E"/>
    <w:rsid w:val="00D61BAC"/>
    <w:rsid w:val="00D61C06"/>
    <w:rsid w:val="00D61CF1"/>
    <w:rsid w:val="00D622A7"/>
    <w:rsid w:val="00D623C7"/>
    <w:rsid w:val="00D6266A"/>
    <w:rsid w:val="00D62689"/>
    <w:rsid w:val="00D627DA"/>
    <w:rsid w:val="00D629F4"/>
    <w:rsid w:val="00D62B65"/>
    <w:rsid w:val="00D62BF2"/>
    <w:rsid w:val="00D62E02"/>
    <w:rsid w:val="00D63089"/>
    <w:rsid w:val="00D631D4"/>
    <w:rsid w:val="00D6331E"/>
    <w:rsid w:val="00D63324"/>
    <w:rsid w:val="00D63329"/>
    <w:rsid w:val="00D63345"/>
    <w:rsid w:val="00D637E1"/>
    <w:rsid w:val="00D6381C"/>
    <w:rsid w:val="00D63902"/>
    <w:rsid w:val="00D63925"/>
    <w:rsid w:val="00D63C09"/>
    <w:rsid w:val="00D63C7D"/>
    <w:rsid w:val="00D63DB7"/>
    <w:rsid w:val="00D63E54"/>
    <w:rsid w:val="00D6403E"/>
    <w:rsid w:val="00D64142"/>
    <w:rsid w:val="00D645EC"/>
    <w:rsid w:val="00D646A9"/>
    <w:rsid w:val="00D646F4"/>
    <w:rsid w:val="00D647B8"/>
    <w:rsid w:val="00D648B8"/>
    <w:rsid w:val="00D64B6E"/>
    <w:rsid w:val="00D6530A"/>
    <w:rsid w:val="00D653FD"/>
    <w:rsid w:val="00D654C2"/>
    <w:rsid w:val="00D65554"/>
    <w:rsid w:val="00D655FD"/>
    <w:rsid w:val="00D6564E"/>
    <w:rsid w:val="00D657AA"/>
    <w:rsid w:val="00D65A30"/>
    <w:rsid w:val="00D65A8D"/>
    <w:rsid w:val="00D65AC0"/>
    <w:rsid w:val="00D65C5D"/>
    <w:rsid w:val="00D65DBB"/>
    <w:rsid w:val="00D65E0A"/>
    <w:rsid w:val="00D65F79"/>
    <w:rsid w:val="00D66259"/>
    <w:rsid w:val="00D662F5"/>
    <w:rsid w:val="00D66EE3"/>
    <w:rsid w:val="00D6721A"/>
    <w:rsid w:val="00D67254"/>
    <w:rsid w:val="00D67324"/>
    <w:rsid w:val="00D673EA"/>
    <w:rsid w:val="00D67939"/>
    <w:rsid w:val="00D67D9D"/>
    <w:rsid w:val="00D67E6A"/>
    <w:rsid w:val="00D70254"/>
    <w:rsid w:val="00D70287"/>
    <w:rsid w:val="00D70507"/>
    <w:rsid w:val="00D7059D"/>
    <w:rsid w:val="00D70A11"/>
    <w:rsid w:val="00D70C62"/>
    <w:rsid w:val="00D70E26"/>
    <w:rsid w:val="00D70EC0"/>
    <w:rsid w:val="00D70F94"/>
    <w:rsid w:val="00D713E9"/>
    <w:rsid w:val="00D71417"/>
    <w:rsid w:val="00D714F6"/>
    <w:rsid w:val="00D7152E"/>
    <w:rsid w:val="00D71BB0"/>
    <w:rsid w:val="00D71F28"/>
    <w:rsid w:val="00D72069"/>
    <w:rsid w:val="00D720C6"/>
    <w:rsid w:val="00D720E8"/>
    <w:rsid w:val="00D72112"/>
    <w:rsid w:val="00D722D1"/>
    <w:rsid w:val="00D724CE"/>
    <w:rsid w:val="00D72561"/>
    <w:rsid w:val="00D725A3"/>
    <w:rsid w:val="00D725D7"/>
    <w:rsid w:val="00D727AF"/>
    <w:rsid w:val="00D72BDE"/>
    <w:rsid w:val="00D73015"/>
    <w:rsid w:val="00D7308C"/>
    <w:rsid w:val="00D734B5"/>
    <w:rsid w:val="00D735DF"/>
    <w:rsid w:val="00D7389C"/>
    <w:rsid w:val="00D73912"/>
    <w:rsid w:val="00D73A25"/>
    <w:rsid w:val="00D73CB6"/>
    <w:rsid w:val="00D74331"/>
    <w:rsid w:val="00D743C3"/>
    <w:rsid w:val="00D743DC"/>
    <w:rsid w:val="00D74528"/>
    <w:rsid w:val="00D7464A"/>
    <w:rsid w:val="00D74719"/>
    <w:rsid w:val="00D74780"/>
    <w:rsid w:val="00D7495F"/>
    <w:rsid w:val="00D74A16"/>
    <w:rsid w:val="00D74D77"/>
    <w:rsid w:val="00D74DE1"/>
    <w:rsid w:val="00D750F8"/>
    <w:rsid w:val="00D75177"/>
    <w:rsid w:val="00D7528F"/>
    <w:rsid w:val="00D752E8"/>
    <w:rsid w:val="00D75304"/>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AA"/>
    <w:rsid w:val="00D7724A"/>
    <w:rsid w:val="00D7764C"/>
    <w:rsid w:val="00D776DA"/>
    <w:rsid w:val="00D77781"/>
    <w:rsid w:val="00D777CF"/>
    <w:rsid w:val="00D77D28"/>
    <w:rsid w:val="00D77EF6"/>
    <w:rsid w:val="00D801B7"/>
    <w:rsid w:val="00D80432"/>
    <w:rsid w:val="00D8056F"/>
    <w:rsid w:val="00D80697"/>
    <w:rsid w:val="00D806E4"/>
    <w:rsid w:val="00D807BB"/>
    <w:rsid w:val="00D8081D"/>
    <w:rsid w:val="00D80B51"/>
    <w:rsid w:val="00D80C62"/>
    <w:rsid w:val="00D80C86"/>
    <w:rsid w:val="00D80D5E"/>
    <w:rsid w:val="00D80E22"/>
    <w:rsid w:val="00D81231"/>
    <w:rsid w:val="00D8183C"/>
    <w:rsid w:val="00D818A4"/>
    <w:rsid w:val="00D8242C"/>
    <w:rsid w:val="00D827F2"/>
    <w:rsid w:val="00D828A6"/>
    <w:rsid w:val="00D832B9"/>
    <w:rsid w:val="00D83398"/>
    <w:rsid w:val="00D83410"/>
    <w:rsid w:val="00D8348E"/>
    <w:rsid w:val="00D83660"/>
    <w:rsid w:val="00D836EF"/>
    <w:rsid w:val="00D8389F"/>
    <w:rsid w:val="00D8398B"/>
    <w:rsid w:val="00D839EE"/>
    <w:rsid w:val="00D841A8"/>
    <w:rsid w:val="00D84252"/>
    <w:rsid w:val="00D8469F"/>
    <w:rsid w:val="00D846E7"/>
    <w:rsid w:val="00D8485A"/>
    <w:rsid w:val="00D84AB7"/>
    <w:rsid w:val="00D84CF0"/>
    <w:rsid w:val="00D84D6A"/>
    <w:rsid w:val="00D84DD6"/>
    <w:rsid w:val="00D8533B"/>
    <w:rsid w:val="00D855CF"/>
    <w:rsid w:val="00D85942"/>
    <w:rsid w:val="00D85CB6"/>
    <w:rsid w:val="00D8615E"/>
    <w:rsid w:val="00D86240"/>
    <w:rsid w:val="00D8627B"/>
    <w:rsid w:val="00D8653D"/>
    <w:rsid w:val="00D86588"/>
    <w:rsid w:val="00D86907"/>
    <w:rsid w:val="00D86A8A"/>
    <w:rsid w:val="00D86D62"/>
    <w:rsid w:val="00D86EC6"/>
    <w:rsid w:val="00D86F4A"/>
    <w:rsid w:val="00D86FFA"/>
    <w:rsid w:val="00D870D2"/>
    <w:rsid w:val="00D87219"/>
    <w:rsid w:val="00D8736B"/>
    <w:rsid w:val="00D87463"/>
    <w:rsid w:val="00D879FB"/>
    <w:rsid w:val="00D87CC8"/>
    <w:rsid w:val="00D87DEA"/>
    <w:rsid w:val="00D87F46"/>
    <w:rsid w:val="00D900B9"/>
    <w:rsid w:val="00D901A8"/>
    <w:rsid w:val="00D902C3"/>
    <w:rsid w:val="00D902D3"/>
    <w:rsid w:val="00D90655"/>
    <w:rsid w:val="00D909AE"/>
    <w:rsid w:val="00D909F9"/>
    <w:rsid w:val="00D90B84"/>
    <w:rsid w:val="00D91045"/>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31E2"/>
    <w:rsid w:val="00D93719"/>
    <w:rsid w:val="00D939FD"/>
    <w:rsid w:val="00D93A3A"/>
    <w:rsid w:val="00D93B11"/>
    <w:rsid w:val="00D93C24"/>
    <w:rsid w:val="00D94689"/>
    <w:rsid w:val="00D948A7"/>
    <w:rsid w:val="00D94B94"/>
    <w:rsid w:val="00D94CFA"/>
    <w:rsid w:val="00D950A6"/>
    <w:rsid w:val="00D952DD"/>
    <w:rsid w:val="00D95787"/>
    <w:rsid w:val="00D9585A"/>
    <w:rsid w:val="00D958DF"/>
    <w:rsid w:val="00D9591B"/>
    <w:rsid w:val="00D959AF"/>
    <w:rsid w:val="00D95B05"/>
    <w:rsid w:val="00D95CDE"/>
    <w:rsid w:val="00D95E0F"/>
    <w:rsid w:val="00D96183"/>
    <w:rsid w:val="00D961EC"/>
    <w:rsid w:val="00D96346"/>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766"/>
    <w:rsid w:val="00D97C0A"/>
    <w:rsid w:val="00D97DAA"/>
    <w:rsid w:val="00D97EB4"/>
    <w:rsid w:val="00DA0078"/>
    <w:rsid w:val="00DA018D"/>
    <w:rsid w:val="00DA0259"/>
    <w:rsid w:val="00DA10E1"/>
    <w:rsid w:val="00DA12B1"/>
    <w:rsid w:val="00DA1766"/>
    <w:rsid w:val="00DA19D4"/>
    <w:rsid w:val="00DA1A57"/>
    <w:rsid w:val="00DA1DB2"/>
    <w:rsid w:val="00DA1F46"/>
    <w:rsid w:val="00DA20E5"/>
    <w:rsid w:val="00DA2B9E"/>
    <w:rsid w:val="00DA2D8E"/>
    <w:rsid w:val="00DA2E17"/>
    <w:rsid w:val="00DA2E2C"/>
    <w:rsid w:val="00DA2FA4"/>
    <w:rsid w:val="00DA304D"/>
    <w:rsid w:val="00DA3065"/>
    <w:rsid w:val="00DA3095"/>
    <w:rsid w:val="00DA34D6"/>
    <w:rsid w:val="00DA38D5"/>
    <w:rsid w:val="00DA3FD4"/>
    <w:rsid w:val="00DA4506"/>
    <w:rsid w:val="00DA4620"/>
    <w:rsid w:val="00DA4784"/>
    <w:rsid w:val="00DA49A0"/>
    <w:rsid w:val="00DA4B10"/>
    <w:rsid w:val="00DA4D04"/>
    <w:rsid w:val="00DA4E8A"/>
    <w:rsid w:val="00DA517E"/>
    <w:rsid w:val="00DA53BC"/>
    <w:rsid w:val="00DA53CC"/>
    <w:rsid w:val="00DA5546"/>
    <w:rsid w:val="00DA5593"/>
    <w:rsid w:val="00DA55FB"/>
    <w:rsid w:val="00DA58FB"/>
    <w:rsid w:val="00DA59BE"/>
    <w:rsid w:val="00DA5A6E"/>
    <w:rsid w:val="00DA5D0E"/>
    <w:rsid w:val="00DA5D33"/>
    <w:rsid w:val="00DA5E8D"/>
    <w:rsid w:val="00DA5FBD"/>
    <w:rsid w:val="00DA6059"/>
    <w:rsid w:val="00DA62D3"/>
    <w:rsid w:val="00DA651E"/>
    <w:rsid w:val="00DA68E1"/>
    <w:rsid w:val="00DA6E90"/>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CDD"/>
    <w:rsid w:val="00DB0D8F"/>
    <w:rsid w:val="00DB1192"/>
    <w:rsid w:val="00DB12C2"/>
    <w:rsid w:val="00DB13ED"/>
    <w:rsid w:val="00DB13F3"/>
    <w:rsid w:val="00DB1666"/>
    <w:rsid w:val="00DB1B8E"/>
    <w:rsid w:val="00DB1C7C"/>
    <w:rsid w:val="00DB1CF8"/>
    <w:rsid w:val="00DB1D67"/>
    <w:rsid w:val="00DB1F48"/>
    <w:rsid w:val="00DB21EB"/>
    <w:rsid w:val="00DB2247"/>
    <w:rsid w:val="00DB243C"/>
    <w:rsid w:val="00DB25EC"/>
    <w:rsid w:val="00DB2686"/>
    <w:rsid w:val="00DB341E"/>
    <w:rsid w:val="00DB34E0"/>
    <w:rsid w:val="00DB3623"/>
    <w:rsid w:val="00DB399C"/>
    <w:rsid w:val="00DB3C3F"/>
    <w:rsid w:val="00DB3CDF"/>
    <w:rsid w:val="00DB41C2"/>
    <w:rsid w:val="00DB4261"/>
    <w:rsid w:val="00DB472B"/>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9E2"/>
    <w:rsid w:val="00DB612C"/>
    <w:rsid w:val="00DB618A"/>
    <w:rsid w:val="00DB6477"/>
    <w:rsid w:val="00DB660D"/>
    <w:rsid w:val="00DB66F8"/>
    <w:rsid w:val="00DB675B"/>
    <w:rsid w:val="00DB6885"/>
    <w:rsid w:val="00DB6CA7"/>
    <w:rsid w:val="00DB7116"/>
    <w:rsid w:val="00DB7125"/>
    <w:rsid w:val="00DB71A1"/>
    <w:rsid w:val="00DB745A"/>
    <w:rsid w:val="00DB7597"/>
    <w:rsid w:val="00DB765A"/>
    <w:rsid w:val="00DB77DD"/>
    <w:rsid w:val="00DB790E"/>
    <w:rsid w:val="00DB7C45"/>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2FEF"/>
    <w:rsid w:val="00DC3261"/>
    <w:rsid w:val="00DC3536"/>
    <w:rsid w:val="00DC38A7"/>
    <w:rsid w:val="00DC3AE7"/>
    <w:rsid w:val="00DC400F"/>
    <w:rsid w:val="00DC4088"/>
    <w:rsid w:val="00DC4174"/>
    <w:rsid w:val="00DC4572"/>
    <w:rsid w:val="00DC4AFB"/>
    <w:rsid w:val="00DC4B78"/>
    <w:rsid w:val="00DC4BE5"/>
    <w:rsid w:val="00DC4CA1"/>
    <w:rsid w:val="00DC4F15"/>
    <w:rsid w:val="00DC4F38"/>
    <w:rsid w:val="00DC4F9B"/>
    <w:rsid w:val="00DC500E"/>
    <w:rsid w:val="00DC53E8"/>
    <w:rsid w:val="00DC54CE"/>
    <w:rsid w:val="00DC5651"/>
    <w:rsid w:val="00DC5BF7"/>
    <w:rsid w:val="00DC5C3B"/>
    <w:rsid w:val="00DC5ED1"/>
    <w:rsid w:val="00DC6038"/>
    <w:rsid w:val="00DC618E"/>
    <w:rsid w:val="00DC660E"/>
    <w:rsid w:val="00DC665F"/>
    <w:rsid w:val="00DC681A"/>
    <w:rsid w:val="00DC6A0F"/>
    <w:rsid w:val="00DC6B57"/>
    <w:rsid w:val="00DC6CC8"/>
    <w:rsid w:val="00DC6DBC"/>
    <w:rsid w:val="00DC6F41"/>
    <w:rsid w:val="00DC7489"/>
    <w:rsid w:val="00DC7553"/>
    <w:rsid w:val="00DC766F"/>
    <w:rsid w:val="00DC76B5"/>
    <w:rsid w:val="00DC7888"/>
    <w:rsid w:val="00DC78B7"/>
    <w:rsid w:val="00DC7921"/>
    <w:rsid w:val="00DC7B4A"/>
    <w:rsid w:val="00DC7E9A"/>
    <w:rsid w:val="00DC7F66"/>
    <w:rsid w:val="00DD0144"/>
    <w:rsid w:val="00DD01BE"/>
    <w:rsid w:val="00DD06CB"/>
    <w:rsid w:val="00DD0954"/>
    <w:rsid w:val="00DD0A00"/>
    <w:rsid w:val="00DD1009"/>
    <w:rsid w:val="00DD1146"/>
    <w:rsid w:val="00DD1378"/>
    <w:rsid w:val="00DD140A"/>
    <w:rsid w:val="00DD1506"/>
    <w:rsid w:val="00DD157D"/>
    <w:rsid w:val="00DD1973"/>
    <w:rsid w:val="00DD1B0D"/>
    <w:rsid w:val="00DD1CF4"/>
    <w:rsid w:val="00DD1ECF"/>
    <w:rsid w:val="00DD1FDF"/>
    <w:rsid w:val="00DD2007"/>
    <w:rsid w:val="00DD2405"/>
    <w:rsid w:val="00DD242E"/>
    <w:rsid w:val="00DD2574"/>
    <w:rsid w:val="00DD25D2"/>
    <w:rsid w:val="00DD2791"/>
    <w:rsid w:val="00DD27DA"/>
    <w:rsid w:val="00DD2925"/>
    <w:rsid w:val="00DD2B15"/>
    <w:rsid w:val="00DD2C91"/>
    <w:rsid w:val="00DD2E3D"/>
    <w:rsid w:val="00DD2F9A"/>
    <w:rsid w:val="00DD3334"/>
    <w:rsid w:val="00DD36AA"/>
    <w:rsid w:val="00DD37A4"/>
    <w:rsid w:val="00DD37C0"/>
    <w:rsid w:val="00DD39AA"/>
    <w:rsid w:val="00DD40A6"/>
    <w:rsid w:val="00DD40C0"/>
    <w:rsid w:val="00DD4321"/>
    <w:rsid w:val="00DD4406"/>
    <w:rsid w:val="00DD449F"/>
    <w:rsid w:val="00DD44EF"/>
    <w:rsid w:val="00DD46FA"/>
    <w:rsid w:val="00DD47EE"/>
    <w:rsid w:val="00DD4815"/>
    <w:rsid w:val="00DD501C"/>
    <w:rsid w:val="00DD501E"/>
    <w:rsid w:val="00DD50FA"/>
    <w:rsid w:val="00DD5262"/>
    <w:rsid w:val="00DD52A7"/>
    <w:rsid w:val="00DD531D"/>
    <w:rsid w:val="00DD56B9"/>
    <w:rsid w:val="00DD5955"/>
    <w:rsid w:val="00DD59A4"/>
    <w:rsid w:val="00DD5A0C"/>
    <w:rsid w:val="00DD5BA4"/>
    <w:rsid w:val="00DD5D7A"/>
    <w:rsid w:val="00DD5D9E"/>
    <w:rsid w:val="00DD6408"/>
    <w:rsid w:val="00DD6558"/>
    <w:rsid w:val="00DD6731"/>
    <w:rsid w:val="00DD6A2A"/>
    <w:rsid w:val="00DD6CFF"/>
    <w:rsid w:val="00DD735E"/>
    <w:rsid w:val="00DD7362"/>
    <w:rsid w:val="00DD739E"/>
    <w:rsid w:val="00DD74C3"/>
    <w:rsid w:val="00DD782E"/>
    <w:rsid w:val="00DD7873"/>
    <w:rsid w:val="00DD7968"/>
    <w:rsid w:val="00DD7995"/>
    <w:rsid w:val="00DD7A1C"/>
    <w:rsid w:val="00DD7CDE"/>
    <w:rsid w:val="00DD7E87"/>
    <w:rsid w:val="00DD7F13"/>
    <w:rsid w:val="00DD7F56"/>
    <w:rsid w:val="00DE00CF"/>
    <w:rsid w:val="00DE0183"/>
    <w:rsid w:val="00DE03B8"/>
    <w:rsid w:val="00DE06F3"/>
    <w:rsid w:val="00DE07E8"/>
    <w:rsid w:val="00DE0B69"/>
    <w:rsid w:val="00DE0DF4"/>
    <w:rsid w:val="00DE0E10"/>
    <w:rsid w:val="00DE0E7E"/>
    <w:rsid w:val="00DE10A1"/>
    <w:rsid w:val="00DE10F5"/>
    <w:rsid w:val="00DE1692"/>
    <w:rsid w:val="00DE1C22"/>
    <w:rsid w:val="00DE23FF"/>
    <w:rsid w:val="00DE249D"/>
    <w:rsid w:val="00DE2804"/>
    <w:rsid w:val="00DE2AC1"/>
    <w:rsid w:val="00DE2CEF"/>
    <w:rsid w:val="00DE2D73"/>
    <w:rsid w:val="00DE2F65"/>
    <w:rsid w:val="00DE31EA"/>
    <w:rsid w:val="00DE3265"/>
    <w:rsid w:val="00DE36D4"/>
    <w:rsid w:val="00DE38E4"/>
    <w:rsid w:val="00DE3A0B"/>
    <w:rsid w:val="00DE3F06"/>
    <w:rsid w:val="00DE4720"/>
    <w:rsid w:val="00DE48A4"/>
    <w:rsid w:val="00DE4B9F"/>
    <w:rsid w:val="00DE4C0C"/>
    <w:rsid w:val="00DE4EA3"/>
    <w:rsid w:val="00DE502D"/>
    <w:rsid w:val="00DE5388"/>
    <w:rsid w:val="00DE55FC"/>
    <w:rsid w:val="00DE57C4"/>
    <w:rsid w:val="00DE5B92"/>
    <w:rsid w:val="00DE5F42"/>
    <w:rsid w:val="00DE6392"/>
    <w:rsid w:val="00DE6674"/>
    <w:rsid w:val="00DE6796"/>
    <w:rsid w:val="00DE6844"/>
    <w:rsid w:val="00DE6D82"/>
    <w:rsid w:val="00DE6D9D"/>
    <w:rsid w:val="00DE6E69"/>
    <w:rsid w:val="00DE6EEB"/>
    <w:rsid w:val="00DE6EED"/>
    <w:rsid w:val="00DE6EF2"/>
    <w:rsid w:val="00DE7847"/>
    <w:rsid w:val="00DE784C"/>
    <w:rsid w:val="00DE7880"/>
    <w:rsid w:val="00DE7A26"/>
    <w:rsid w:val="00DE7D39"/>
    <w:rsid w:val="00DE7EE8"/>
    <w:rsid w:val="00DF05C8"/>
    <w:rsid w:val="00DF0768"/>
    <w:rsid w:val="00DF0C29"/>
    <w:rsid w:val="00DF0C96"/>
    <w:rsid w:val="00DF0FD9"/>
    <w:rsid w:val="00DF15B0"/>
    <w:rsid w:val="00DF1795"/>
    <w:rsid w:val="00DF182E"/>
    <w:rsid w:val="00DF1A59"/>
    <w:rsid w:val="00DF1AED"/>
    <w:rsid w:val="00DF1CEE"/>
    <w:rsid w:val="00DF1EBE"/>
    <w:rsid w:val="00DF20F4"/>
    <w:rsid w:val="00DF21FA"/>
    <w:rsid w:val="00DF22CC"/>
    <w:rsid w:val="00DF23A5"/>
    <w:rsid w:val="00DF24EA"/>
    <w:rsid w:val="00DF26BA"/>
    <w:rsid w:val="00DF26DF"/>
    <w:rsid w:val="00DF27A3"/>
    <w:rsid w:val="00DF2A16"/>
    <w:rsid w:val="00DF2CF9"/>
    <w:rsid w:val="00DF2D95"/>
    <w:rsid w:val="00DF2E20"/>
    <w:rsid w:val="00DF2E3C"/>
    <w:rsid w:val="00DF32AA"/>
    <w:rsid w:val="00DF334B"/>
    <w:rsid w:val="00DF3BA0"/>
    <w:rsid w:val="00DF3E29"/>
    <w:rsid w:val="00DF3ED6"/>
    <w:rsid w:val="00DF4065"/>
    <w:rsid w:val="00DF40E0"/>
    <w:rsid w:val="00DF41CC"/>
    <w:rsid w:val="00DF430A"/>
    <w:rsid w:val="00DF45C8"/>
    <w:rsid w:val="00DF4B52"/>
    <w:rsid w:val="00DF4E1B"/>
    <w:rsid w:val="00DF5018"/>
    <w:rsid w:val="00DF52B2"/>
    <w:rsid w:val="00DF53D0"/>
    <w:rsid w:val="00DF5519"/>
    <w:rsid w:val="00DF554B"/>
    <w:rsid w:val="00DF58A8"/>
    <w:rsid w:val="00DF5BD7"/>
    <w:rsid w:val="00DF64CA"/>
    <w:rsid w:val="00DF659E"/>
    <w:rsid w:val="00DF6C9D"/>
    <w:rsid w:val="00DF6E5D"/>
    <w:rsid w:val="00DF70EF"/>
    <w:rsid w:val="00DF72CD"/>
    <w:rsid w:val="00DF7459"/>
    <w:rsid w:val="00DF7655"/>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45C3"/>
    <w:rsid w:val="00E047B3"/>
    <w:rsid w:val="00E048FF"/>
    <w:rsid w:val="00E04AB7"/>
    <w:rsid w:val="00E05064"/>
    <w:rsid w:val="00E05400"/>
    <w:rsid w:val="00E0556C"/>
    <w:rsid w:val="00E05789"/>
    <w:rsid w:val="00E05A4D"/>
    <w:rsid w:val="00E05AC4"/>
    <w:rsid w:val="00E05E9E"/>
    <w:rsid w:val="00E06073"/>
    <w:rsid w:val="00E06096"/>
    <w:rsid w:val="00E06402"/>
    <w:rsid w:val="00E064D9"/>
    <w:rsid w:val="00E06708"/>
    <w:rsid w:val="00E06B00"/>
    <w:rsid w:val="00E07354"/>
    <w:rsid w:val="00E074FB"/>
    <w:rsid w:val="00E076FC"/>
    <w:rsid w:val="00E07897"/>
    <w:rsid w:val="00E07ACC"/>
    <w:rsid w:val="00E07B1B"/>
    <w:rsid w:val="00E07C91"/>
    <w:rsid w:val="00E07D0C"/>
    <w:rsid w:val="00E1056D"/>
    <w:rsid w:val="00E10788"/>
    <w:rsid w:val="00E109C4"/>
    <w:rsid w:val="00E10D28"/>
    <w:rsid w:val="00E10F98"/>
    <w:rsid w:val="00E110A4"/>
    <w:rsid w:val="00E11213"/>
    <w:rsid w:val="00E115D7"/>
    <w:rsid w:val="00E116E5"/>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3046"/>
    <w:rsid w:val="00E131E8"/>
    <w:rsid w:val="00E135F8"/>
    <w:rsid w:val="00E13A86"/>
    <w:rsid w:val="00E13C9E"/>
    <w:rsid w:val="00E13DFD"/>
    <w:rsid w:val="00E13E06"/>
    <w:rsid w:val="00E140C2"/>
    <w:rsid w:val="00E14237"/>
    <w:rsid w:val="00E1428C"/>
    <w:rsid w:val="00E14756"/>
    <w:rsid w:val="00E14C91"/>
    <w:rsid w:val="00E1562D"/>
    <w:rsid w:val="00E1598D"/>
    <w:rsid w:val="00E159AC"/>
    <w:rsid w:val="00E15EDD"/>
    <w:rsid w:val="00E16030"/>
    <w:rsid w:val="00E163CF"/>
    <w:rsid w:val="00E16862"/>
    <w:rsid w:val="00E16868"/>
    <w:rsid w:val="00E16869"/>
    <w:rsid w:val="00E16D8A"/>
    <w:rsid w:val="00E16E34"/>
    <w:rsid w:val="00E16EEE"/>
    <w:rsid w:val="00E173C1"/>
    <w:rsid w:val="00E17990"/>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9AB"/>
    <w:rsid w:val="00E219F4"/>
    <w:rsid w:val="00E21BB5"/>
    <w:rsid w:val="00E21D2F"/>
    <w:rsid w:val="00E21DA1"/>
    <w:rsid w:val="00E21E78"/>
    <w:rsid w:val="00E21F1E"/>
    <w:rsid w:val="00E222A0"/>
    <w:rsid w:val="00E222FD"/>
    <w:rsid w:val="00E225C4"/>
    <w:rsid w:val="00E22624"/>
    <w:rsid w:val="00E22FEC"/>
    <w:rsid w:val="00E2326C"/>
    <w:rsid w:val="00E233C7"/>
    <w:rsid w:val="00E2340F"/>
    <w:rsid w:val="00E23528"/>
    <w:rsid w:val="00E23723"/>
    <w:rsid w:val="00E23918"/>
    <w:rsid w:val="00E23940"/>
    <w:rsid w:val="00E23B7A"/>
    <w:rsid w:val="00E2408E"/>
    <w:rsid w:val="00E2427C"/>
    <w:rsid w:val="00E24295"/>
    <w:rsid w:val="00E242D5"/>
    <w:rsid w:val="00E242EA"/>
    <w:rsid w:val="00E24406"/>
    <w:rsid w:val="00E24649"/>
    <w:rsid w:val="00E24836"/>
    <w:rsid w:val="00E24BDE"/>
    <w:rsid w:val="00E24D87"/>
    <w:rsid w:val="00E24E19"/>
    <w:rsid w:val="00E25005"/>
    <w:rsid w:val="00E252D9"/>
    <w:rsid w:val="00E25513"/>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CA9"/>
    <w:rsid w:val="00E270D0"/>
    <w:rsid w:val="00E2718A"/>
    <w:rsid w:val="00E271A7"/>
    <w:rsid w:val="00E27289"/>
    <w:rsid w:val="00E27383"/>
    <w:rsid w:val="00E277D4"/>
    <w:rsid w:val="00E27B37"/>
    <w:rsid w:val="00E27BE4"/>
    <w:rsid w:val="00E27D57"/>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65"/>
    <w:rsid w:val="00E318F4"/>
    <w:rsid w:val="00E318F9"/>
    <w:rsid w:val="00E3198C"/>
    <w:rsid w:val="00E31995"/>
    <w:rsid w:val="00E319AE"/>
    <w:rsid w:val="00E31DAA"/>
    <w:rsid w:val="00E31E1C"/>
    <w:rsid w:val="00E326A7"/>
    <w:rsid w:val="00E3275F"/>
    <w:rsid w:val="00E3279C"/>
    <w:rsid w:val="00E327F0"/>
    <w:rsid w:val="00E32B0C"/>
    <w:rsid w:val="00E32BBD"/>
    <w:rsid w:val="00E32C82"/>
    <w:rsid w:val="00E32EC7"/>
    <w:rsid w:val="00E33065"/>
    <w:rsid w:val="00E330D5"/>
    <w:rsid w:val="00E33237"/>
    <w:rsid w:val="00E333F7"/>
    <w:rsid w:val="00E335F7"/>
    <w:rsid w:val="00E33745"/>
    <w:rsid w:val="00E3409A"/>
    <w:rsid w:val="00E34475"/>
    <w:rsid w:val="00E3448C"/>
    <w:rsid w:val="00E347A5"/>
    <w:rsid w:val="00E34DFA"/>
    <w:rsid w:val="00E34F03"/>
    <w:rsid w:val="00E3516E"/>
    <w:rsid w:val="00E35233"/>
    <w:rsid w:val="00E353C2"/>
    <w:rsid w:val="00E3578F"/>
    <w:rsid w:val="00E35B50"/>
    <w:rsid w:val="00E35BB4"/>
    <w:rsid w:val="00E35C74"/>
    <w:rsid w:val="00E35D78"/>
    <w:rsid w:val="00E36081"/>
    <w:rsid w:val="00E36137"/>
    <w:rsid w:val="00E3630E"/>
    <w:rsid w:val="00E363D7"/>
    <w:rsid w:val="00E36682"/>
    <w:rsid w:val="00E36870"/>
    <w:rsid w:val="00E36894"/>
    <w:rsid w:val="00E37049"/>
    <w:rsid w:val="00E372B6"/>
    <w:rsid w:val="00E3754A"/>
    <w:rsid w:val="00E3754C"/>
    <w:rsid w:val="00E37B1A"/>
    <w:rsid w:val="00E37B6D"/>
    <w:rsid w:val="00E37D0A"/>
    <w:rsid w:val="00E37FD7"/>
    <w:rsid w:val="00E4006C"/>
    <w:rsid w:val="00E400DC"/>
    <w:rsid w:val="00E4011E"/>
    <w:rsid w:val="00E401AA"/>
    <w:rsid w:val="00E405E9"/>
    <w:rsid w:val="00E40774"/>
    <w:rsid w:val="00E40B32"/>
    <w:rsid w:val="00E4118D"/>
    <w:rsid w:val="00E41208"/>
    <w:rsid w:val="00E4139D"/>
    <w:rsid w:val="00E4147A"/>
    <w:rsid w:val="00E414F4"/>
    <w:rsid w:val="00E41658"/>
    <w:rsid w:val="00E41B4A"/>
    <w:rsid w:val="00E41BF4"/>
    <w:rsid w:val="00E42457"/>
    <w:rsid w:val="00E424EE"/>
    <w:rsid w:val="00E428B1"/>
    <w:rsid w:val="00E42971"/>
    <w:rsid w:val="00E42E09"/>
    <w:rsid w:val="00E430C6"/>
    <w:rsid w:val="00E43475"/>
    <w:rsid w:val="00E4362C"/>
    <w:rsid w:val="00E43637"/>
    <w:rsid w:val="00E43686"/>
    <w:rsid w:val="00E43729"/>
    <w:rsid w:val="00E4376E"/>
    <w:rsid w:val="00E437BD"/>
    <w:rsid w:val="00E43819"/>
    <w:rsid w:val="00E43A01"/>
    <w:rsid w:val="00E43BE1"/>
    <w:rsid w:val="00E43D20"/>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BF"/>
    <w:rsid w:val="00E458D8"/>
    <w:rsid w:val="00E45C9E"/>
    <w:rsid w:val="00E46075"/>
    <w:rsid w:val="00E4608C"/>
    <w:rsid w:val="00E46758"/>
    <w:rsid w:val="00E467F7"/>
    <w:rsid w:val="00E4690E"/>
    <w:rsid w:val="00E469A5"/>
    <w:rsid w:val="00E46E0C"/>
    <w:rsid w:val="00E46E74"/>
    <w:rsid w:val="00E46E7C"/>
    <w:rsid w:val="00E471F8"/>
    <w:rsid w:val="00E47207"/>
    <w:rsid w:val="00E47333"/>
    <w:rsid w:val="00E47428"/>
    <w:rsid w:val="00E476FC"/>
    <w:rsid w:val="00E477EB"/>
    <w:rsid w:val="00E477FB"/>
    <w:rsid w:val="00E478A5"/>
    <w:rsid w:val="00E47A6C"/>
    <w:rsid w:val="00E47A88"/>
    <w:rsid w:val="00E47C75"/>
    <w:rsid w:val="00E47C90"/>
    <w:rsid w:val="00E47D82"/>
    <w:rsid w:val="00E47FB4"/>
    <w:rsid w:val="00E50193"/>
    <w:rsid w:val="00E50376"/>
    <w:rsid w:val="00E50450"/>
    <w:rsid w:val="00E50554"/>
    <w:rsid w:val="00E506A1"/>
    <w:rsid w:val="00E50709"/>
    <w:rsid w:val="00E5076B"/>
    <w:rsid w:val="00E507C5"/>
    <w:rsid w:val="00E507CF"/>
    <w:rsid w:val="00E50BE6"/>
    <w:rsid w:val="00E50D06"/>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3067"/>
    <w:rsid w:val="00E5332F"/>
    <w:rsid w:val="00E533A1"/>
    <w:rsid w:val="00E5341E"/>
    <w:rsid w:val="00E5358C"/>
    <w:rsid w:val="00E53624"/>
    <w:rsid w:val="00E536AF"/>
    <w:rsid w:val="00E538FA"/>
    <w:rsid w:val="00E53BDB"/>
    <w:rsid w:val="00E53C8C"/>
    <w:rsid w:val="00E53E1A"/>
    <w:rsid w:val="00E53E9C"/>
    <w:rsid w:val="00E54308"/>
    <w:rsid w:val="00E54498"/>
    <w:rsid w:val="00E5456F"/>
    <w:rsid w:val="00E5468D"/>
    <w:rsid w:val="00E546B4"/>
    <w:rsid w:val="00E54756"/>
    <w:rsid w:val="00E54809"/>
    <w:rsid w:val="00E54A9B"/>
    <w:rsid w:val="00E54E0A"/>
    <w:rsid w:val="00E55056"/>
    <w:rsid w:val="00E55079"/>
    <w:rsid w:val="00E556E9"/>
    <w:rsid w:val="00E557A0"/>
    <w:rsid w:val="00E557B2"/>
    <w:rsid w:val="00E5589A"/>
    <w:rsid w:val="00E55AA5"/>
    <w:rsid w:val="00E562E2"/>
    <w:rsid w:val="00E5659C"/>
    <w:rsid w:val="00E568D0"/>
    <w:rsid w:val="00E56965"/>
    <w:rsid w:val="00E56C80"/>
    <w:rsid w:val="00E56D16"/>
    <w:rsid w:val="00E57172"/>
    <w:rsid w:val="00E5730B"/>
    <w:rsid w:val="00E5774E"/>
    <w:rsid w:val="00E57914"/>
    <w:rsid w:val="00E579CB"/>
    <w:rsid w:val="00E57A50"/>
    <w:rsid w:val="00E57B75"/>
    <w:rsid w:val="00E57CEE"/>
    <w:rsid w:val="00E57D8C"/>
    <w:rsid w:val="00E57E19"/>
    <w:rsid w:val="00E57FE1"/>
    <w:rsid w:val="00E6004D"/>
    <w:rsid w:val="00E60417"/>
    <w:rsid w:val="00E6053D"/>
    <w:rsid w:val="00E60810"/>
    <w:rsid w:val="00E6088E"/>
    <w:rsid w:val="00E60942"/>
    <w:rsid w:val="00E60C7D"/>
    <w:rsid w:val="00E60F5A"/>
    <w:rsid w:val="00E60F8F"/>
    <w:rsid w:val="00E611E1"/>
    <w:rsid w:val="00E6138E"/>
    <w:rsid w:val="00E61419"/>
    <w:rsid w:val="00E61658"/>
    <w:rsid w:val="00E61DC9"/>
    <w:rsid w:val="00E62006"/>
    <w:rsid w:val="00E62015"/>
    <w:rsid w:val="00E6236B"/>
    <w:rsid w:val="00E6242D"/>
    <w:rsid w:val="00E624C5"/>
    <w:rsid w:val="00E6257B"/>
    <w:rsid w:val="00E625B8"/>
    <w:rsid w:val="00E626ED"/>
    <w:rsid w:val="00E62885"/>
    <w:rsid w:val="00E62B42"/>
    <w:rsid w:val="00E62BF9"/>
    <w:rsid w:val="00E62D79"/>
    <w:rsid w:val="00E62DC7"/>
    <w:rsid w:val="00E6312E"/>
    <w:rsid w:val="00E634C5"/>
    <w:rsid w:val="00E63512"/>
    <w:rsid w:val="00E63827"/>
    <w:rsid w:val="00E63A7A"/>
    <w:rsid w:val="00E63BBD"/>
    <w:rsid w:val="00E63F9C"/>
    <w:rsid w:val="00E6403D"/>
    <w:rsid w:val="00E640F5"/>
    <w:rsid w:val="00E641E4"/>
    <w:rsid w:val="00E6435F"/>
    <w:rsid w:val="00E64413"/>
    <w:rsid w:val="00E644DA"/>
    <w:rsid w:val="00E64634"/>
    <w:rsid w:val="00E64A4A"/>
    <w:rsid w:val="00E64D54"/>
    <w:rsid w:val="00E64FEE"/>
    <w:rsid w:val="00E65220"/>
    <w:rsid w:val="00E6537E"/>
    <w:rsid w:val="00E65702"/>
    <w:rsid w:val="00E65E3D"/>
    <w:rsid w:val="00E65EF6"/>
    <w:rsid w:val="00E65EFA"/>
    <w:rsid w:val="00E65EFE"/>
    <w:rsid w:val="00E65FFE"/>
    <w:rsid w:val="00E66293"/>
    <w:rsid w:val="00E66479"/>
    <w:rsid w:val="00E667E3"/>
    <w:rsid w:val="00E669C1"/>
    <w:rsid w:val="00E66E5F"/>
    <w:rsid w:val="00E670A6"/>
    <w:rsid w:val="00E673CC"/>
    <w:rsid w:val="00E674AE"/>
    <w:rsid w:val="00E67716"/>
    <w:rsid w:val="00E67893"/>
    <w:rsid w:val="00E67AD0"/>
    <w:rsid w:val="00E67C1F"/>
    <w:rsid w:val="00E67D1E"/>
    <w:rsid w:val="00E70276"/>
    <w:rsid w:val="00E703A4"/>
    <w:rsid w:val="00E705CB"/>
    <w:rsid w:val="00E705F0"/>
    <w:rsid w:val="00E70C77"/>
    <w:rsid w:val="00E70CB0"/>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F88"/>
    <w:rsid w:val="00E7334E"/>
    <w:rsid w:val="00E73637"/>
    <w:rsid w:val="00E7366C"/>
    <w:rsid w:val="00E738C6"/>
    <w:rsid w:val="00E739D4"/>
    <w:rsid w:val="00E73A47"/>
    <w:rsid w:val="00E73BA1"/>
    <w:rsid w:val="00E73C20"/>
    <w:rsid w:val="00E73EC9"/>
    <w:rsid w:val="00E740BE"/>
    <w:rsid w:val="00E741AD"/>
    <w:rsid w:val="00E74287"/>
    <w:rsid w:val="00E743DB"/>
    <w:rsid w:val="00E744A0"/>
    <w:rsid w:val="00E74679"/>
    <w:rsid w:val="00E749BF"/>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67C"/>
    <w:rsid w:val="00E769E0"/>
    <w:rsid w:val="00E76A29"/>
    <w:rsid w:val="00E77248"/>
    <w:rsid w:val="00E77435"/>
    <w:rsid w:val="00E774EA"/>
    <w:rsid w:val="00E77521"/>
    <w:rsid w:val="00E77601"/>
    <w:rsid w:val="00E776BC"/>
    <w:rsid w:val="00E777D8"/>
    <w:rsid w:val="00E77821"/>
    <w:rsid w:val="00E7795D"/>
    <w:rsid w:val="00E77AF5"/>
    <w:rsid w:val="00E77D78"/>
    <w:rsid w:val="00E803F4"/>
    <w:rsid w:val="00E80409"/>
    <w:rsid w:val="00E80BC2"/>
    <w:rsid w:val="00E80C1B"/>
    <w:rsid w:val="00E80D88"/>
    <w:rsid w:val="00E80EA1"/>
    <w:rsid w:val="00E80F72"/>
    <w:rsid w:val="00E81056"/>
    <w:rsid w:val="00E810B2"/>
    <w:rsid w:val="00E8118B"/>
    <w:rsid w:val="00E81272"/>
    <w:rsid w:val="00E81877"/>
    <w:rsid w:val="00E81DD5"/>
    <w:rsid w:val="00E81EAC"/>
    <w:rsid w:val="00E821B9"/>
    <w:rsid w:val="00E8232B"/>
    <w:rsid w:val="00E823BD"/>
    <w:rsid w:val="00E82453"/>
    <w:rsid w:val="00E8246D"/>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41A5"/>
    <w:rsid w:val="00E8431B"/>
    <w:rsid w:val="00E8439A"/>
    <w:rsid w:val="00E8492C"/>
    <w:rsid w:val="00E84B4C"/>
    <w:rsid w:val="00E84CF5"/>
    <w:rsid w:val="00E84D2B"/>
    <w:rsid w:val="00E8506A"/>
    <w:rsid w:val="00E850A9"/>
    <w:rsid w:val="00E85376"/>
    <w:rsid w:val="00E853FC"/>
    <w:rsid w:val="00E85A25"/>
    <w:rsid w:val="00E85ABB"/>
    <w:rsid w:val="00E85C65"/>
    <w:rsid w:val="00E85E24"/>
    <w:rsid w:val="00E86246"/>
    <w:rsid w:val="00E86506"/>
    <w:rsid w:val="00E867C7"/>
    <w:rsid w:val="00E86B25"/>
    <w:rsid w:val="00E86C3F"/>
    <w:rsid w:val="00E86DF7"/>
    <w:rsid w:val="00E86ED9"/>
    <w:rsid w:val="00E86EE5"/>
    <w:rsid w:val="00E871C7"/>
    <w:rsid w:val="00E87246"/>
    <w:rsid w:val="00E87571"/>
    <w:rsid w:val="00E87686"/>
    <w:rsid w:val="00E87A54"/>
    <w:rsid w:val="00E87B02"/>
    <w:rsid w:val="00E87BC3"/>
    <w:rsid w:val="00E87D9B"/>
    <w:rsid w:val="00E90073"/>
    <w:rsid w:val="00E903DC"/>
    <w:rsid w:val="00E90611"/>
    <w:rsid w:val="00E9086B"/>
    <w:rsid w:val="00E90CB1"/>
    <w:rsid w:val="00E90E8B"/>
    <w:rsid w:val="00E90ECC"/>
    <w:rsid w:val="00E90FA8"/>
    <w:rsid w:val="00E90FB4"/>
    <w:rsid w:val="00E9104C"/>
    <w:rsid w:val="00E910A5"/>
    <w:rsid w:val="00E917E9"/>
    <w:rsid w:val="00E9181C"/>
    <w:rsid w:val="00E9191F"/>
    <w:rsid w:val="00E91E6C"/>
    <w:rsid w:val="00E92024"/>
    <w:rsid w:val="00E92168"/>
    <w:rsid w:val="00E922A6"/>
    <w:rsid w:val="00E924DA"/>
    <w:rsid w:val="00E92550"/>
    <w:rsid w:val="00E92597"/>
    <w:rsid w:val="00E928FA"/>
    <w:rsid w:val="00E92922"/>
    <w:rsid w:val="00E92F0A"/>
    <w:rsid w:val="00E9303F"/>
    <w:rsid w:val="00E93050"/>
    <w:rsid w:val="00E930BF"/>
    <w:rsid w:val="00E93586"/>
    <w:rsid w:val="00E9383F"/>
    <w:rsid w:val="00E93848"/>
    <w:rsid w:val="00E93881"/>
    <w:rsid w:val="00E939BA"/>
    <w:rsid w:val="00E939E2"/>
    <w:rsid w:val="00E93A3F"/>
    <w:rsid w:val="00E93AEA"/>
    <w:rsid w:val="00E93D87"/>
    <w:rsid w:val="00E93E62"/>
    <w:rsid w:val="00E94035"/>
    <w:rsid w:val="00E940E2"/>
    <w:rsid w:val="00E9461A"/>
    <w:rsid w:val="00E94726"/>
    <w:rsid w:val="00E94786"/>
    <w:rsid w:val="00E94861"/>
    <w:rsid w:val="00E949DB"/>
    <w:rsid w:val="00E94AF7"/>
    <w:rsid w:val="00E94E36"/>
    <w:rsid w:val="00E95401"/>
    <w:rsid w:val="00E956C4"/>
    <w:rsid w:val="00E95B1C"/>
    <w:rsid w:val="00E95BA3"/>
    <w:rsid w:val="00E95E85"/>
    <w:rsid w:val="00E9629C"/>
    <w:rsid w:val="00E962AA"/>
    <w:rsid w:val="00E964AA"/>
    <w:rsid w:val="00E96896"/>
    <w:rsid w:val="00E968F5"/>
    <w:rsid w:val="00E9692F"/>
    <w:rsid w:val="00E96949"/>
    <w:rsid w:val="00E96B09"/>
    <w:rsid w:val="00E96FCA"/>
    <w:rsid w:val="00E9700B"/>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0F71"/>
    <w:rsid w:val="00EA10A1"/>
    <w:rsid w:val="00EA14F4"/>
    <w:rsid w:val="00EA17C0"/>
    <w:rsid w:val="00EA17C8"/>
    <w:rsid w:val="00EA1A59"/>
    <w:rsid w:val="00EA1CF1"/>
    <w:rsid w:val="00EA1D0F"/>
    <w:rsid w:val="00EA1DB6"/>
    <w:rsid w:val="00EA1FC5"/>
    <w:rsid w:val="00EA219F"/>
    <w:rsid w:val="00EA23E6"/>
    <w:rsid w:val="00EA23FC"/>
    <w:rsid w:val="00EA25D3"/>
    <w:rsid w:val="00EA2618"/>
    <w:rsid w:val="00EA2665"/>
    <w:rsid w:val="00EA2A3E"/>
    <w:rsid w:val="00EA2B7F"/>
    <w:rsid w:val="00EA2F8C"/>
    <w:rsid w:val="00EA3110"/>
    <w:rsid w:val="00EA32C4"/>
    <w:rsid w:val="00EA342F"/>
    <w:rsid w:val="00EA3D1F"/>
    <w:rsid w:val="00EA40E5"/>
    <w:rsid w:val="00EA45BC"/>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7F5"/>
    <w:rsid w:val="00EA6D06"/>
    <w:rsid w:val="00EA736E"/>
    <w:rsid w:val="00EA770E"/>
    <w:rsid w:val="00EA7934"/>
    <w:rsid w:val="00EA7F07"/>
    <w:rsid w:val="00EA7FC3"/>
    <w:rsid w:val="00EB0190"/>
    <w:rsid w:val="00EB02A1"/>
    <w:rsid w:val="00EB0500"/>
    <w:rsid w:val="00EB07BC"/>
    <w:rsid w:val="00EB0A07"/>
    <w:rsid w:val="00EB0BD6"/>
    <w:rsid w:val="00EB0DFC"/>
    <w:rsid w:val="00EB13BB"/>
    <w:rsid w:val="00EB161C"/>
    <w:rsid w:val="00EB1636"/>
    <w:rsid w:val="00EB204E"/>
    <w:rsid w:val="00EB21F8"/>
    <w:rsid w:val="00EB2513"/>
    <w:rsid w:val="00EB26DC"/>
    <w:rsid w:val="00EB2751"/>
    <w:rsid w:val="00EB27A3"/>
    <w:rsid w:val="00EB27BF"/>
    <w:rsid w:val="00EB27D3"/>
    <w:rsid w:val="00EB293F"/>
    <w:rsid w:val="00EB2A28"/>
    <w:rsid w:val="00EB2DF9"/>
    <w:rsid w:val="00EB2E7B"/>
    <w:rsid w:val="00EB2FD8"/>
    <w:rsid w:val="00EB3060"/>
    <w:rsid w:val="00EB318A"/>
    <w:rsid w:val="00EB319E"/>
    <w:rsid w:val="00EB31EE"/>
    <w:rsid w:val="00EB343C"/>
    <w:rsid w:val="00EB35C2"/>
    <w:rsid w:val="00EB397E"/>
    <w:rsid w:val="00EB3CD0"/>
    <w:rsid w:val="00EB3E24"/>
    <w:rsid w:val="00EB3E45"/>
    <w:rsid w:val="00EB3EE3"/>
    <w:rsid w:val="00EB3F9F"/>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763"/>
    <w:rsid w:val="00EB58A0"/>
    <w:rsid w:val="00EB5BD5"/>
    <w:rsid w:val="00EB5EAC"/>
    <w:rsid w:val="00EB61A0"/>
    <w:rsid w:val="00EB6872"/>
    <w:rsid w:val="00EB694F"/>
    <w:rsid w:val="00EB6CFB"/>
    <w:rsid w:val="00EB6D6E"/>
    <w:rsid w:val="00EB6D94"/>
    <w:rsid w:val="00EB7226"/>
    <w:rsid w:val="00EB74C1"/>
    <w:rsid w:val="00EB75B8"/>
    <w:rsid w:val="00EB762E"/>
    <w:rsid w:val="00EB770C"/>
    <w:rsid w:val="00EB7891"/>
    <w:rsid w:val="00EB7A91"/>
    <w:rsid w:val="00EB7B29"/>
    <w:rsid w:val="00EB7C3D"/>
    <w:rsid w:val="00EB7D39"/>
    <w:rsid w:val="00EB7DF2"/>
    <w:rsid w:val="00EB7E37"/>
    <w:rsid w:val="00EC002D"/>
    <w:rsid w:val="00EC00C7"/>
    <w:rsid w:val="00EC01E9"/>
    <w:rsid w:val="00EC066F"/>
    <w:rsid w:val="00EC06A4"/>
    <w:rsid w:val="00EC077E"/>
    <w:rsid w:val="00EC0801"/>
    <w:rsid w:val="00EC1046"/>
    <w:rsid w:val="00EC10C6"/>
    <w:rsid w:val="00EC10E0"/>
    <w:rsid w:val="00EC1494"/>
    <w:rsid w:val="00EC1572"/>
    <w:rsid w:val="00EC158A"/>
    <w:rsid w:val="00EC1743"/>
    <w:rsid w:val="00EC17D1"/>
    <w:rsid w:val="00EC1993"/>
    <w:rsid w:val="00EC19AE"/>
    <w:rsid w:val="00EC1EE6"/>
    <w:rsid w:val="00EC1F24"/>
    <w:rsid w:val="00EC2123"/>
    <w:rsid w:val="00EC2364"/>
    <w:rsid w:val="00EC25F1"/>
    <w:rsid w:val="00EC266E"/>
    <w:rsid w:val="00EC29CF"/>
    <w:rsid w:val="00EC2C48"/>
    <w:rsid w:val="00EC306F"/>
    <w:rsid w:val="00EC3331"/>
    <w:rsid w:val="00EC335F"/>
    <w:rsid w:val="00EC3558"/>
    <w:rsid w:val="00EC3844"/>
    <w:rsid w:val="00EC3950"/>
    <w:rsid w:val="00EC39E7"/>
    <w:rsid w:val="00EC3C0B"/>
    <w:rsid w:val="00EC3D70"/>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6082"/>
    <w:rsid w:val="00EC6156"/>
    <w:rsid w:val="00EC63F4"/>
    <w:rsid w:val="00EC6502"/>
    <w:rsid w:val="00EC655B"/>
    <w:rsid w:val="00EC67F3"/>
    <w:rsid w:val="00EC696F"/>
    <w:rsid w:val="00EC6B90"/>
    <w:rsid w:val="00EC6BF8"/>
    <w:rsid w:val="00EC6C3E"/>
    <w:rsid w:val="00EC6DE6"/>
    <w:rsid w:val="00EC6F7B"/>
    <w:rsid w:val="00EC7099"/>
    <w:rsid w:val="00EC71C9"/>
    <w:rsid w:val="00EC730A"/>
    <w:rsid w:val="00EC770C"/>
    <w:rsid w:val="00EC7AC9"/>
    <w:rsid w:val="00EC7B42"/>
    <w:rsid w:val="00EC7C29"/>
    <w:rsid w:val="00EC7D83"/>
    <w:rsid w:val="00EC7DBC"/>
    <w:rsid w:val="00EC7ECF"/>
    <w:rsid w:val="00ED009A"/>
    <w:rsid w:val="00ED00D7"/>
    <w:rsid w:val="00ED0189"/>
    <w:rsid w:val="00ED01C6"/>
    <w:rsid w:val="00ED0202"/>
    <w:rsid w:val="00ED041A"/>
    <w:rsid w:val="00ED04F6"/>
    <w:rsid w:val="00ED05A7"/>
    <w:rsid w:val="00ED0B8A"/>
    <w:rsid w:val="00ED0D0D"/>
    <w:rsid w:val="00ED0DB7"/>
    <w:rsid w:val="00ED0E59"/>
    <w:rsid w:val="00ED0F72"/>
    <w:rsid w:val="00ED1050"/>
    <w:rsid w:val="00ED10F0"/>
    <w:rsid w:val="00ED11FD"/>
    <w:rsid w:val="00ED12FF"/>
    <w:rsid w:val="00ED15F6"/>
    <w:rsid w:val="00ED1687"/>
    <w:rsid w:val="00ED16CF"/>
    <w:rsid w:val="00ED187E"/>
    <w:rsid w:val="00ED2146"/>
    <w:rsid w:val="00ED21DF"/>
    <w:rsid w:val="00ED2759"/>
    <w:rsid w:val="00ED2DCB"/>
    <w:rsid w:val="00ED3131"/>
    <w:rsid w:val="00ED34D6"/>
    <w:rsid w:val="00ED3555"/>
    <w:rsid w:val="00ED386C"/>
    <w:rsid w:val="00ED388D"/>
    <w:rsid w:val="00ED3F2C"/>
    <w:rsid w:val="00ED444C"/>
    <w:rsid w:val="00ED4662"/>
    <w:rsid w:val="00ED46BE"/>
    <w:rsid w:val="00ED4813"/>
    <w:rsid w:val="00ED4861"/>
    <w:rsid w:val="00ED48C7"/>
    <w:rsid w:val="00ED4AD4"/>
    <w:rsid w:val="00ED4B39"/>
    <w:rsid w:val="00ED4E49"/>
    <w:rsid w:val="00ED5054"/>
    <w:rsid w:val="00ED527B"/>
    <w:rsid w:val="00ED531F"/>
    <w:rsid w:val="00ED5426"/>
    <w:rsid w:val="00ED5489"/>
    <w:rsid w:val="00ED5619"/>
    <w:rsid w:val="00ED58A4"/>
    <w:rsid w:val="00ED5955"/>
    <w:rsid w:val="00ED5C2E"/>
    <w:rsid w:val="00ED6057"/>
    <w:rsid w:val="00ED6102"/>
    <w:rsid w:val="00ED612A"/>
    <w:rsid w:val="00ED64C8"/>
    <w:rsid w:val="00ED67AC"/>
    <w:rsid w:val="00ED67D5"/>
    <w:rsid w:val="00ED68E4"/>
    <w:rsid w:val="00ED6A48"/>
    <w:rsid w:val="00ED6E81"/>
    <w:rsid w:val="00ED7019"/>
    <w:rsid w:val="00ED7599"/>
    <w:rsid w:val="00ED7626"/>
    <w:rsid w:val="00ED7B25"/>
    <w:rsid w:val="00ED7B82"/>
    <w:rsid w:val="00ED7ED4"/>
    <w:rsid w:val="00EE0203"/>
    <w:rsid w:val="00EE021A"/>
    <w:rsid w:val="00EE02AA"/>
    <w:rsid w:val="00EE03D2"/>
    <w:rsid w:val="00EE08D8"/>
    <w:rsid w:val="00EE0949"/>
    <w:rsid w:val="00EE09CC"/>
    <w:rsid w:val="00EE0A9A"/>
    <w:rsid w:val="00EE0BFC"/>
    <w:rsid w:val="00EE0C0F"/>
    <w:rsid w:val="00EE0DE3"/>
    <w:rsid w:val="00EE0FB2"/>
    <w:rsid w:val="00EE124F"/>
    <w:rsid w:val="00EE1498"/>
    <w:rsid w:val="00EE18CA"/>
    <w:rsid w:val="00EE1AB9"/>
    <w:rsid w:val="00EE1D80"/>
    <w:rsid w:val="00EE1E3E"/>
    <w:rsid w:val="00EE2314"/>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F3E"/>
    <w:rsid w:val="00EE41F2"/>
    <w:rsid w:val="00EE452B"/>
    <w:rsid w:val="00EE4A17"/>
    <w:rsid w:val="00EE4A2C"/>
    <w:rsid w:val="00EE4C46"/>
    <w:rsid w:val="00EE4CA5"/>
    <w:rsid w:val="00EE4E37"/>
    <w:rsid w:val="00EE52B7"/>
    <w:rsid w:val="00EE534C"/>
    <w:rsid w:val="00EE5677"/>
    <w:rsid w:val="00EE5806"/>
    <w:rsid w:val="00EE5B34"/>
    <w:rsid w:val="00EE5BAF"/>
    <w:rsid w:val="00EE5EAF"/>
    <w:rsid w:val="00EE6104"/>
    <w:rsid w:val="00EE6500"/>
    <w:rsid w:val="00EE6984"/>
    <w:rsid w:val="00EE69A4"/>
    <w:rsid w:val="00EE6C8E"/>
    <w:rsid w:val="00EE71D1"/>
    <w:rsid w:val="00EE7277"/>
    <w:rsid w:val="00EE7804"/>
    <w:rsid w:val="00EE78C0"/>
    <w:rsid w:val="00EE7A4F"/>
    <w:rsid w:val="00EE7C07"/>
    <w:rsid w:val="00EE7D09"/>
    <w:rsid w:val="00EE7D7C"/>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9B"/>
    <w:rsid w:val="00EF272C"/>
    <w:rsid w:val="00EF2956"/>
    <w:rsid w:val="00EF2EEA"/>
    <w:rsid w:val="00EF2FF5"/>
    <w:rsid w:val="00EF32EF"/>
    <w:rsid w:val="00EF3487"/>
    <w:rsid w:val="00EF3821"/>
    <w:rsid w:val="00EF3AFF"/>
    <w:rsid w:val="00EF3C24"/>
    <w:rsid w:val="00EF3F75"/>
    <w:rsid w:val="00EF3FAA"/>
    <w:rsid w:val="00EF4185"/>
    <w:rsid w:val="00EF421E"/>
    <w:rsid w:val="00EF4329"/>
    <w:rsid w:val="00EF4717"/>
    <w:rsid w:val="00EF4A02"/>
    <w:rsid w:val="00EF4CD2"/>
    <w:rsid w:val="00EF4E7D"/>
    <w:rsid w:val="00EF4FE3"/>
    <w:rsid w:val="00EF5016"/>
    <w:rsid w:val="00EF51F9"/>
    <w:rsid w:val="00EF565C"/>
    <w:rsid w:val="00EF58B7"/>
    <w:rsid w:val="00EF5AD7"/>
    <w:rsid w:val="00EF5BE3"/>
    <w:rsid w:val="00EF5C38"/>
    <w:rsid w:val="00EF61A4"/>
    <w:rsid w:val="00EF63E3"/>
    <w:rsid w:val="00EF6455"/>
    <w:rsid w:val="00EF68A7"/>
    <w:rsid w:val="00EF6ABC"/>
    <w:rsid w:val="00EF6BFE"/>
    <w:rsid w:val="00EF6D90"/>
    <w:rsid w:val="00EF6D9B"/>
    <w:rsid w:val="00EF72FD"/>
    <w:rsid w:val="00EF7525"/>
    <w:rsid w:val="00EF7561"/>
    <w:rsid w:val="00EF7703"/>
    <w:rsid w:val="00EF77B9"/>
    <w:rsid w:val="00EF7BEC"/>
    <w:rsid w:val="00EF7D5D"/>
    <w:rsid w:val="00F001AC"/>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9E0"/>
    <w:rsid w:val="00F019EA"/>
    <w:rsid w:val="00F01A6E"/>
    <w:rsid w:val="00F01BAB"/>
    <w:rsid w:val="00F02076"/>
    <w:rsid w:val="00F020E4"/>
    <w:rsid w:val="00F02245"/>
    <w:rsid w:val="00F025AA"/>
    <w:rsid w:val="00F026AE"/>
    <w:rsid w:val="00F02AB2"/>
    <w:rsid w:val="00F0318A"/>
    <w:rsid w:val="00F031B7"/>
    <w:rsid w:val="00F031C4"/>
    <w:rsid w:val="00F03216"/>
    <w:rsid w:val="00F033CD"/>
    <w:rsid w:val="00F0365D"/>
    <w:rsid w:val="00F0374B"/>
    <w:rsid w:val="00F03857"/>
    <w:rsid w:val="00F03A2D"/>
    <w:rsid w:val="00F03B04"/>
    <w:rsid w:val="00F03B46"/>
    <w:rsid w:val="00F03CA0"/>
    <w:rsid w:val="00F03CEB"/>
    <w:rsid w:val="00F03F20"/>
    <w:rsid w:val="00F040AE"/>
    <w:rsid w:val="00F0427C"/>
    <w:rsid w:val="00F0439A"/>
    <w:rsid w:val="00F04461"/>
    <w:rsid w:val="00F04703"/>
    <w:rsid w:val="00F049DD"/>
    <w:rsid w:val="00F04B5B"/>
    <w:rsid w:val="00F0507E"/>
    <w:rsid w:val="00F05190"/>
    <w:rsid w:val="00F054D8"/>
    <w:rsid w:val="00F0559B"/>
    <w:rsid w:val="00F0561B"/>
    <w:rsid w:val="00F05789"/>
    <w:rsid w:val="00F05942"/>
    <w:rsid w:val="00F05BA9"/>
    <w:rsid w:val="00F06199"/>
    <w:rsid w:val="00F06919"/>
    <w:rsid w:val="00F06A73"/>
    <w:rsid w:val="00F06B95"/>
    <w:rsid w:val="00F06DA4"/>
    <w:rsid w:val="00F07D4F"/>
    <w:rsid w:val="00F07DC2"/>
    <w:rsid w:val="00F07F24"/>
    <w:rsid w:val="00F07F33"/>
    <w:rsid w:val="00F10609"/>
    <w:rsid w:val="00F10634"/>
    <w:rsid w:val="00F1090C"/>
    <w:rsid w:val="00F10AE7"/>
    <w:rsid w:val="00F1100F"/>
    <w:rsid w:val="00F11146"/>
    <w:rsid w:val="00F1124B"/>
    <w:rsid w:val="00F112E7"/>
    <w:rsid w:val="00F11529"/>
    <w:rsid w:val="00F11641"/>
    <w:rsid w:val="00F11664"/>
    <w:rsid w:val="00F118D2"/>
    <w:rsid w:val="00F11A2B"/>
    <w:rsid w:val="00F11C1D"/>
    <w:rsid w:val="00F11DB5"/>
    <w:rsid w:val="00F11EA8"/>
    <w:rsid w:val="00F120BE"/>
    <w:rsid w:val="00F12108"/>
    <w:rsid w:val="00F12232"/>
    <w:rsid w:val="00F1251D"/>
    <w:rsid w:val="00F12573"/>
    <w:rsid w:val="00F1271F"/>
    <w:rsid w:val="00F1282A"/>
    <w:rsid w:val="00F128EA"/>
    <w:rsid w:val="00F129B9"/>
    <w:rsid w:val="00F12AD0"/>
    <w:rsid w:val="00F12D67"/>
    <w:rsid w:val="00F12FEA"/>
    <w:rsid w:val="00F1326D"/>
    <w:rsid w:val="00F136C1"/>
    <w:rsid w:val="00F13765"/>
    <w:rsid w:val="00F13806"/>
    <w:rsid w:val="00F139DC"/>
    <w:rsid w:val="00F13E1C"/>
    <w:rsid w:val="00F14006"/>
    <w:rsid w:val="00F1400E"/>
    <w:rsid w:val="00F140AD"/>
    <w:rsid w:val="00F1429C"/>
    <w:rsid w:val="00F142D6"/>
    <w:rsid w:val="00F14B2E"/>
    <w:rsid w:val="00F14B4F"/>
    <w:rsid w:val="00F14FEB"/>
    <w:rsid w:val="00F151EF"/>
    <w:rsid w:val="00F15316"/>
    <w:rsid w:val="00F1533D"/>
    <w:rsid w:val="00F154A2"/>
    <w:rsid w:val="00F1558F"/>
    <w:rsid w:val="00F1573F"/>
    <w:rsid w:val="00F15786"/>
    <w:rsid w:val="00F15861"/>
    <w:rsid w:val="00F15B02"/>
    <w:rsid w:val="00F15C51"/>
    <w:rsid w:val="00F15C99"/>
    <w:rsid w:val="00F15FE6"/>
    <w:rsid w:val="00F1615C"/>
    <w:rsid w:val="00F16225"/>
    <w:rsid w:val="00F163F1"/>
    <w:rsid w:val="00F1648F"/>
    <w:rsid w:val="00F166E0"/>
    <w:rsid w:val="00F168B5"/>
    <w:rsid w:val="00F16B81"/>
    <w:rsid w:val="00F16D7D"/>
    <w:rsid w:val="00F16D83"/>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13A2"/>
    <w:rsid w:val="00F214D2"/>
    <w:rsid w:val="00F218CD"/>
    <w:rsid w:val="00F21AD9"/>
    <w:rsid w:val="00F21B36"/>
    <w:rsid w:val="00F21EDD"/>
    <w:rsid w:val="00F22402"/>
    <w:rsid w:val="00F22431"/>
    <w:rsid w:val="00F22779"/>
    <w:rsid w:val="00F22A1B"/>
    <w:rsid w:val="00F22A4F"/>
    <w:rsid w:val="00F22BA1"/>
    <w:rsid w:val="00F22D0B"/>
    <w:rsid w:val="00F22F8E"/>
    <w:rsid w:val="00F230B6"/>
    <w:rsid w:val="00F23224"/>
    <w:rsid w:val="00F234A1"/>
    <w:rsid w:val="00F234F2"/>
    <w:rsid w:val="00F23753"/>
    <w:rsid w:val="00F237F4"/>
    <w:rsid w:val="00F238E4"/>
    <w:rsid w:val="00F2398D"/>
    <w:rsid w:val="00F23B3F"/>
    <w:rsid w:val="00F23EB1"/>
    <w:rsid w:val="00F242C5"/>
    <w:rsid w:val="00F245D5"/>
    <w:rsid w:val="00F24667"/>
    <w:rsid w:val="00F2478B"/>
    <w:rsid w:val="00F249AD"/>
    <w:rsid w:val="00F24A05"/>
    <w:rsid w:val="00F24E55"/>
    <w:rsid w:val="00F24EF4"/>
    <w:rsid w:val="00F2503C"/>
    <w:rsid w:val="00F25063"/>
    <w:rsid w:val="00F250A4"/>
    <w:rsid w:val="00F25172"/>
    <w:rsid w:val="00F251F3"/>
    <w:rsid w:val="00F2536A"/>
    <w:rsid w:val="00F2537F"/>
    <w:rsid w:val="00F25C6C"/>
    <w:rsid w:val="00F26066"/>
    <w:rsid w:val="00F26125"/>
    <w:rsid w:val="00F261FB"/>
    <w:rsid w:val="00F2622B"/>
    <w:rsid w:val="00F262C1"/>
    <w:rsid w:val="00F2650D"/>
    <w:rsid w:val="00F26A49"/>
    <w:rsid w:val="00F26CF1"/>
    <w:rsid w:val="00F26FC4"/>
    <w:rsid w:val="00F2785A"/>
    <w:rsid w:val="00F279DD"/>
    <w:rsid w:val="00F27D20"/>
    <w:rsid w:val="00F27DCE"/>
    <w:rsid w:val="00F300C2"/>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644"/>
    <w:rsid w:val="00F32981"/>
    <w:rsid w:val="00F32A9F"/>
    <w:rsid w:val="00F32D78"/>
    <w:rsid w:val="00F3322C"/>
    <w:rsid w:val="00F332A7"/>
    <w:rsid w:val="00F33455"/>
    <w:rsid w:val="00F3347C"/>
    <w:rsid w:val="00F334B5"/>
    <w:rsid w:val="00F335E1"/>
    <w:rsid w:val="00F33659"/>
    <w:rsid w:val="00F33822"/>
    <w:rsid w:val="00F33C9E"/>
    <w:rsid w:val="00F3425B"/>
    <w:rsid w:val="00F3474F"/>
    <w:rsid w:val="00F34A4B"/>
    <w:rsid w:val="00F34BD2"/>
    <w:rsid w:val="00F34C8C"/>
    <w:rsid w:val="00F34EAC"/>
    <w:rsid w:val="00F34EE3"/>
    <w:rsid w:val="00F3511E"/>
    <w:rsid w:val="00F352F9"/>
    <w:rsid w:val="00F353BF"/>
    <w:rsid w:val="00F356B2"/>
    <w:rsid w:val="00F356B5"/>
    <w:rsid w:val="00F3575A"/>
    <w:rsid w:val="00F35E57"/>
    <w:rsid w:val="00F3609A"/>
    <w:rsid w:val="00F363BA"/>
    <w:rsid w:val="00F36520"/>
    <w:rsid w:val="00F3653E"/>
    <w:rsid w:val="00F3654E"/>
    <w:rsid w:val="00F36E70"/>
    <w:rsid w:val="00F37085"/>
    <w:rsid w:val="00F37181"/>
    <w:rsid w:val="00F372F6"/>
    <w:rsid w:val="00F373F7"/>
    <w:rsid w:val="00F37425"/>
    <w:rsid w:val="00F3742D"/>
    <w:rsid w:val="00F374C7"/>
    <w:rsid w:val="00F37ABA"/>
    <w:rsid w:val="00F37C40"/>
    <w:rsid w:val="00F37CA7"/>
    <w:rsid w:val="00F37CB0"/>
    <w:rsid w:val="00F37D4B"/>
    <w:rsid w:val="00F37E74"/>
    <w:rsid w:val="00F37FF9"/>
    <w:rsid w:val="00F4016F"/>
    <w:rsid w:val="00F402AB"/>
    <w:rsid w:val="00F4056B"/>
    <w:rsid w:val="00F4063C"/>
    <w:rsid w:val="00F4082D"/>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85"/>
    <w:rsid w:val="00F41EBB"/>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3D3F"/>
    <w:rsid w:val="00F44172"/>
    <w:rsid w:val="00F44521"/>
    <w:rsid w:val="00F445DC"/>
    <w:rsid w:val="00F445FB"/>
    <w:rsid w:val="00F447F0"/>
    <w:rsid w:val="00F44818"/>
    <w:rsid w:val="00F44C27"/>
    <w:rsid w:val="00F44CD6"/>
    <w:rsid w:val="00F44D4F"/>
    <w:rsid w:val="00F4528E"/>
    <w:rsid w:val="00F454A8"/>
    <w:rsid w:val="00F454C0"/>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7018"/>
    <w:rsid w:val="00F474D3"/>
    <w:rsid w:val="00F47C76"/>
    <w:rsid w:val="00F47DA7"/>
    <w:rsid w:val="00F47EE0"/>
    <w:rsid w:val="00F47F65"/>
    <w:rsid w:val="00F500DE"/>
    <w:rsid w:val="00F50264"/>
    <w:rsid w:val="00F50293"/>
    <w:rsid w:val="00F50CB4"/>
    <w:rsid w:val="00F50D1E"/>
    <w:rsid w:val="00F5116C"/>
    <w:rsid w:val="00F513CD"/>
    <w:rsid w:val="00F515D2"/>
    <w:rsid w:val="00F51915"/>
    <w:rsid w:val="00F51B80"/>
    <w:rsid w:val="00F51B96"/>
    <w:rsid w:val="00F524C4"/>
    <w:rsid w:val="00F52537"/>
    <w:rsid w:val="00F5286F"/>
    <w:rsid w:val="00F528A3"/>
    <w:rsid w:val="00F52A68"/>
    <w:rsid w:val="00F52BE5"/>
    <w:rsid w:val="00F52F59"/>
    <w:rsid w:val="00F530A7"/>
    <w:rsid w:val="00F53112"/>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D92"/>
    <w:rsid w:val="00F54DA5"/>
    <w:rsid w:val="00F54FD4"/>
    <w:rsid w:val="00F550ED"/>
    <w:rsid w:val="00F55639"/>
    <w:rsid w:val="00F5586B"/>
    <w:rsid w:val="00F55A55"/>
    <w:rsid w:val="00F55B31"/>
    <w:rsid w:val="00F561B8"/>
    <w:rsid w:val="00F562FB"/>
    <w:rsid w:val="00F56357"/>
    <w:rsid w:val="00F5638C"/>
    <w:rsid w:val="00F563D9"/>
    <w:rsid w:val="00F56612"/>
    <w:rsid w:val="00F56875"/>
    <w:rsid w:val="00F56902"/>
    <w:rsid w:val="00F56990"/>
    <w:rsid w:val="00F569A9"/>
    <w:rsid w:val="00F56BB3"/>
    <w:rsid w:val="00F56E0C"/>
    <w:rsid w:val="00F57039"/>
    <w:rsid w:val="00F5709C"/>
    <w:rsid w:val="00F572F8"/>
    <w:rsid w:val="00F57348"/>
    <w:rsid w:val="00F57583"/>
    <w:rsid w:val="00F57CD5"/>
    <w:rsid w:val="00F57E89"/>
    <w:rsid w:val="00F60209"/>
    <w:rsid w:val="00F60475"/>
    <w:rsid w:val="00F607BC"/>
    <w:rsid w:val="00F60920"/>
    <w:rsid w:val="00F60D10"/>
    <w:rsid w:val="00F60D79"/>
    <w:rsid w:val="00F61186"/>
    <w:rsid w:val="00F611F2"/>
    <w:rsid w:val="00F614F4"/>
    <w:rsid w:val="00F6150B"/>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C25"/>
    <w:rsid w:val="00F62EBC"/>
    <w:rsid w:val="00F630DF"/>
    <w:rsid w:val="00F63108"/>
    <w:rsid w:val="00F633F1"/>
    <w:rsid w:val="00F6349F"/>
    <w:rsid w:val="00F635F9"/>
    <w:rsid w:val="00F6369D"/>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DB0"/>
    <w:rsid w:val="00F65F2F"/>
    <w:rsid w:val="00F66038"/>
    <w:rsid w:val="00F660F6"/>
    <w:rsid w:val="00F661AC"/>
    <w:rsid w:val="00F66ED4"/>
    <w:rsid w:val="00F66FB8"/>
    <w:rsid w:val="00F670C8"/>
    <w:rsid w:val="00F67256"/>
    <w:rsid w:val="00F674DB"/>
    <w:rsid w:val="00F67590"/>
    <w:rsid w:val="00F6772B"/>
    <w:rsid w:val="00F67A31"/>
    <w:rsid w:val="00F67D86"/>
    <w:rsid w:val="00F67E1F"/>
    <w:rsid w:val="00F67EDB"/>
    <w:rsid w:val="00F702E8"/>
    <w:rsid w:val="00F7090E"/>
    <w:rsid w:val="00F70D58"/>
    <w:rsid w:val="00F70EF1"/>
    <w:rsid w:val="00F70FAD"/>
    <w:rsid w:val="00F711AF"/>
    <w:rsid w:val="00F7120C"/>
    <w:rsid w:val="00F712EE"/>
    <w:rsid w:val="00F71383"/>
    <w:rsid w:val="00F716BF"/>
    <w:rsid w:val="00F7170C"/>
    <w:rsid w:val="00F71753"/>
    <w:rsid w:val="00F72086"/>
    <w:rsid w:val="00F721FA"/>
    <w:rsid w:val="00F7226B"/>
    <w:rsid w:val="00F7257C"/>
    <w:rsid w:val="00F728DC"/>
    <w:rsid w:val="00F72A45"/>
    <w:rsid w:val="00F72E31"/>
    <w:rsid w:val="00F73078"/>
    <w:rsid w:val="00F7342F"/>
    <w:rsid w:val="00F737C0"/>
    <w:rsid w:val="00F7384E"/>
    <w:rsid w:val="00F738A5"/>
    <w:rsid w:val="00F73A9B"/>
    <w:rsid w:val="00F73FBA"/>
    <w:rsid w:val="00F743D0"/>
    <w:rsid w:val="00F7448A"/>
    <w:rsid w:val="00F7473A"/>
    <w:rsid w:val="00F747BE"/>
    <w:rsid w:val="00F749BA"/>
    <w:rsid w:val="00F74EFA"/>
    <w:rsid w:val="00F74FD2"/>
    <w:rsid w:val="00F757D2"/>
    <w:rsid w:val="00F759C3"/>
    <w:rsid w:val="00F75DBB"/>
    <w:rsid w:val="00F76182"/>
    <w:rsid w:val="00F762BC"/>
    <w:rsid w:val="00F7665A"/>
    <w:rsid w:val="00F76928"/>
    <w:rsid w:val="00F76AAF"/>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0C8B"/>
    <w:rsid w:val="00F811D4"/>
    <w:rsid w:val="00F811DC"/>
    <w:rsid w:val="00F811DF"/>
    <w:rsid w:val="00F811F3"/>
    <w:rsid w:val="00F814C5"/>
    <w:rsid w:val="00F816C7"/>
    <w:rsid w:val="00F818F5"/>
    <w:rsid w:val="00F819E8"/>
    <w:rsid w:val="00F81C01"/>
    <w:rsid w:val="00F81DE1"/>
    <w:rsid w:val="00F81E1A"/>
    <w:rsid w:val="00F82160"/>
    <w:rsid w:val="00F826F3"/>
    <w:rsid w:val="00F82788"/>
    <w:rsid w:val="00F82807"/>
    <w:rsid w:val="00F82DFD"/>
    <w:rsid w:val="00F82E66"/>
    <w:rsid w:val="00F82EE8"/>
    <w:rsid w:val="00F82F6B"/>
    <w:rsid w:val="00F83620"/>
    <w:rsid w:val="00F8402C"/>
    <w:rsid w:val="00F840F6"/>
    <w:rsid w:val="00F841AC"/>
    <w:rsid w:val="00F84229"/>
    <w:rsid w:val="00F843A8"/>
    <w:rsid w:val="00F8467A"/>
    <w:rsid w:val="00F848E2"/>
    <w:rsid w:val="00F84A13"/>
    <w:rsid w:val="00F84A8C"/>
    <w:rsid w:val="00F84CF8"/>
    <w:rsid w:val="00F84D63"/>
    <w:rsid w:val="00F84DE9"/>
    <w:rsid w:val="00F8539A"/>
    <w:rsid w:val="00F85514"/>
    <w:rsid w:val="00F8574D"/>
    <w:rsid w:val="00F85DC9"/>
    <w:rsid w:val="00F85F1E"/>
    <w:rsid w:val="00F85FED"/>
    <w:rsid w:val="00F860AE"/>
    <w:rsid w:val="00F861F4"/>
    <w:rsid w:val="00F862B1"/>
    <w:rsid w:val="00F8636E"/>
    <w:rsid w:val="00F86837"/>
    <w:rsid w:val="00F86973"/>
    <w:rsid w:val="00F86A60"/>
    <w:rsid w:val="00F86AD2"/>
    <w:rsid w:val="00F86C85"/>
    <w:rsid w:val="00F86E66"/>
    <w:rsid w:val="00F87590"/>
    <w:rsid w:val="00F875DF"/>
    <w:rsid w:val="00F875E0"/>
    <w:rsid w:val="00F87722"/>
    <w:rsid w:val="00F878B7"/>
    <w:rsid w:val="00F878BA"/>
    <w:rsid w:val="00F87B05"/>
    <w:rsid w:val="00F87ED9"/>
    <w:rsid w:val="00F9094D"/>
    <w:rsid w:val="00F90952"/>
    <w:rsid w:val="00F90B92"/>
    <w:rsid w:val="00F91315"/>
    <w:rsid w:val="00F914FA"/>
    <w:rsid w:val="00F9159D"/>
    <w:rsid w:val="00F917D3"/>
    <w:rsid w:val="00F918F5"/>
    <w:rsid w:val="00F91A25"/>
    <w:rsid w:val="00F91F72"/>
    <w:rsid w:val="00F923AD"/>
    <w:rsid w:val="00F92A28"/>
    <w:rsid w:val="00F92B4C"/>
    <w:rsid w:val="00F92E24"/>
    <w:rsid w:val="00F93281"/>
    <w:rsid w:val="00F934CB"/>
    <w:rsid w:val="00F93541"/>
    <w:rsid w:val="00F9354E"/>
    <w:rsid w:val="00F936A7"/>
    <w:rsid w:val="00F9389D"/>
    <w:rsid w:val="00F939D0"/>
    <w:rsid w:val="00F93C7F"/>
    <w:rsid w:val="00F9410B"/>
    <w:rsid w:val="00F94214"/>
    <w:rsid w:val="00F943B5"/>
    <w:rsid w:val="00F94563"/>
    <w:rsid w:val="00F94D15"/>
    <w:rsid w:val="00F94D54"/>
    <w:rsid w:val="00F94D7B"/>
    <w:rsid w:val="00F94DD9"/>
    <w:rsid w:val="00F95443"/>
    <w:rsid w:val="00F95532"/>
    <w:rsid w:val="00F95639"/>
    <w:rsid w:val="00F95A22"/>
    <w:rsid w:val="00F95C46"/>
    <w:rsid w:val="00F95E84"/>
    <w:rsid w:val="00F9644F"/>
    <w:rsid w:val="00F96645"/>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CFA"/>
    <w:rsid w:val="00FA10C2"/>
    <w:rsid w:val="00FA127F"/>
    <w:rsid w:val="00FA13FA"/>
    <w:rsid w:val="00FA16E6"/>
    <w:rsid w:val="00FA181C"/>
    <w:rsid w:val="00FA1B4D"/>
    <w:rsid w:val="00FA1BDF"/>
    <w:rsid w:val="00FA1E10"/>
    <w:rsid w:val="00FA1FB6"/>
    <w:rsid w:val="00FA214F"/>
    <w:rsid w:val="00FA2254"/>
    <w:rsid w:val="00FA2333"/>
    <w:rsid w:val="00FA272F"/>
    <w:rsid w:val="00FA277C"/>
    <w:rsid w:val="00FA3090"/>
    <w:rsid w:val="00FA30B6"/>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80D"/>
    <w:rsid w:val="00FA5D4E"/>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B03B6"/>
    <w:rsid w:val="00FB063B"/>
    <w:rsid w:val="00FB063E"/>
    <w:rsid w:val="00FB0749"/>
    <w:rsid w:val="00FB0A44"/>
    <w:rsid w:val="00FB0A96"/>
    <w:rsid w:val="00FB0C75"/>
    <w:rsid w:val="00FB0DD7"/>
    <w:rsid w:val="00FB0EBF"/>
    <w:rsid w:val="00FB103E"/>
    <w:rsid w:val="00FB11AF"/>
    <w:rsid w:val="00FB11E9"/>
    <w:rsid w:val="00FB14ED"/>
    <w:rsid w:val="00FB1A20"/>
    <w:rsid w:val="00FB1BBE"/>
    <w:rsid w:val="00FB1C91"/>
    <w:rsid w:val="00FB1C98"/>
    <w:rsid w:val="00FB1CB3"/>
    <w:rsid w:val="00FB1E07"/>
    <w:rsid w:val="00FB21AF"/>
    <w:rsid w:val="00FB2262"/>
    <w:rsid w:val="00FB2290"/>
    <w:rsid w:val="00FB231B"/>
    <w:rsid w:val="00FB23DB"/>
    <w:rsid w:val="00FB24A7"/>
    <w:rsid w:val="00FB24FE"/>
    <w:rsid w:val="00FB2665"/>
    <w:rsid w:val="00FB29E0"/>
    <w:rsid w:val="00FB2DA9"/>
    <w:rsid w:val="00FB2F46"/>
    <w:rsid w:val="00FB330B"/>
    <w:rsid w:val="00FB3649"/>
    <w:rsid w:val="00FB36A0"/>
    <w:rsid w:val="00FB3D89"/>
    <w:rsid w:val="00FB4243"/>
    <w:rsid w:val="00FB44CA"/>
    <w:rsid w:val="00FB5189"/>
    <w:rsid w:val="00FB5361"/>
    <w:rsid w:val="00FB53E3"/>
    <w:rsid w:val="00FB5403"/>
    <w:rsid w:val="00FB55F0"/>
    <w:rsid w:val="00FB566A"/>
    <w:rsid w:val="00FB56C5"/>
    <w:rsid w:val="00FB5E41"/>
    <w:rsid w:val="00FB6021"/>
    <w:rsid w:val="00FB61C4"/>
    <w:rsid w:val="00FB637D"/>
    <w:rsid w:val="00FB65ED"/>
    <w:rsid w:val="00FB6830"/>
    <w:rsid w:val="00FB6A1A"/>
    <w:rsid w:val="00FB6B14"/>
    <w:rsid w:val="00FB6BAE"/>
    <w:rsid w:val="00FB6D47"/>
    <w:rsid w:val="00FB6DA8"/>
    <w:rsid w:val="00FB6EAD"/>
    <w:rsid w:val="00FB6EFB"/>
    <w:rsid w:val="00FB708B"/>
    <w:rsid w:val="00FB7116"/>
    <w:rsid w:val="00FB711A"/>
    <w:rsid w:val="00FB7486"/>
    <w:rsid w:val="00FB752B"/>
    <w:rsid w:val="00FB757D"/>
    <w:rsid w:val="00FB7588"/>
    <w:rsid w:val="00FB767D"/>
    <w:rsid w:val="00FB7816"/>
    <w:rsid w:val="00FB7A2B"/>
    <w:rsid w:val="00FC051D"/>
    <w:rsid w:val="00FC05D7"/>
    <w:rsid w:val="00FC0B40"/>
    <w:rsid w:val="00FC0B58"/>
    <w:rsid w:val="00FC0C08"/>
    <w:rsid w:val="00FC0D68"/>
    <w:rsid w:val="00FC12B0"/>
    <w:rsid w:val="00FC1517"/>
    <w:rsid w:val="00FC16BF"/>
    <w:rsid w:val="00FC1858"/>
    <w:rsid w:val="00FC1900"/>
    <w:rsid w:val="00FC1937"/>
    <w:rsid w:val="00FC1A78"/>
    <w:rsid w:val="00FC1CC8"/>
    <w:rsid w:val="00FC1F5E"/>
    <w:rsid w:val="00FC1F95"/>
    <w:rsid w:val="00FC20E9"/>
    <w:rsid w:val="00FC2435"/>
    <w:rsid w:val="00FC24A6"/>
    <w:rsid w:val="00FC2701"/>
    <w:rsid w:val="00FC2ECF"/>
    <w:rsid w:val="00FC2EF9"/>
    <w:rsid w:val="00FC332F"/>
    <w:rsid w:val="00FC33FF"/>
    <w:rsid w:val="00FC3488"/>
    <w:rsid w:val="00FC3617"/>
    <w:rsid w:val="00FC3661"/>
    <w:rsid w:val="00FC3A39"/>
    <w:rsid w:val="00FC3AEC"/>
    <w:rsid w:val="00FC3FBC"/>
    <w:rsid w:val="00FC4A36"/>
    <w:rsid w:val="00FC4AFD"/>
    <w:rsid w:val="00FC4BBC"/>
    <w:rsid w:val="00FC4C0C"/>
    <w:rsid w:val="00FC512C"/>
    <w:rsid w:val="00FC5197"/>
    <w:rsid w:val="00FC5321"/>
    <w:rsid w:val="00FC5585"/>
    <w:rsid w:val="00FC5633"/>
    <w:rsid w:val="00FC5A77"/>
    <w:rsid w:val="00FC5D16"/>
    <w:rsid w:val="00FC619D"/>
    <w:rsid w:val="00FC61C8"/>
    <w:rsid w:val="00FC644A"/>
    <w:rsid w:val="00FC6461"/>
    <w:rsid w:val="00FC66F5"/>
    <w:rsid w:val="00FC678F"/>
    <w:rsid w:val="00FC67BC"/>
    <w:rsid w:val="00FC6833"/>
    <w:rsid w:val="00FC69BA"/>
    <w:rsid w:val="00FC6AE6"/>
    <w:rsid w:val="00FC6D71"/>
    <w:rsid w:val="00FC6ECE"/>
    <w:rsid w:val="00FC70A1"/>
    <w:rsid w:val="00FC7163"/>
    <w:rsid w:val="00FC7844"/>
    <w:rsid w:val="00FC7D4D"/>
    <w:rsid w:val="00FC7E53"/>
    <w:rsid w:val="00FC7FE3"/>
    <w:rsid w:val="00FD02D5"/>
    <w:rsid w:val="00FD043B"/>
    <w:rsid w:val="00FD0983"/>
    <w:rsid w:val="00FD0C03"/>
    <w:rsid w:val="00FD0E27"/>
    <w:rsid w:val="00FD0E2F"/>
    <w:rsid w:val="00FD0EF6"/>
    <w:rsid w:val="00FD1024"/>
    <w:rsid w:val="00FD1104"/>
    <w:rsid w:val="00FD1300"/>
    <w:rsid w:val="00FD1458"/>
    <w:rsid w:val="00FD157C"/>
    <w:rsid w:val="00FD16A4"/>
    <w:rsid w:val="00FD179D"/>
    <w:rsid w:val="00FD1945"/>
    <w:rsid w:val="00FD1AD0"/>
    <w:rsid w:val="00FD1CF7"/>
    <w:rsid w:val="00FD1D2F"/>
    <w:rsid w:val="00FD1EB5"/>
    <w:rsid w:val="00FD22E2"/>
    <w:rsid w:val="00FD236F"/>
    <w:rsid w:val="00FD294E"/>
    <w:rsid w:val="00FD2FA9"/>
    <w:rsid w:val="00FD31AA"/>
    <w:rsid w:val="00FD3958"/>
    <w:rsid w:val="00FD39F1"/>
    <w:rsid w:val="00FD411C"/>
    <w:rsid w:val="00FD435A"/>
    <w:rsid w:val="00FD45B8"/>
    <w:rsid w:val="00FD4643"/>
    <w:rsid w:val="00FD47B7"/>
    <w:rsid w:val="00FD4E0F"/>
    <w:rsid w:val="00FD4FA0"/>
    <w:rsid w:val="00FD4FDD"/>
    <w:rsid w:val="00FD5006"/>
    <w:rsid w:val="00FD51EA"/>
    <w:rsid w:val="00FD56D4"/>
    <w:rsid w:val="00FD5982"/>
    <w:rsid w:val="00FD59F8"/>
    <w:rsid w:val="00FD5B63"/>
    <w:rsid w:val="00FD5B91"/>
    <w:rsid w:val="00FD5BD3"/>
    <w:rsid w:val="00FD5D9B"/>
    <w:rsid w:val="00FD649F"/>
    <w:rsid w:val="00FD660F"/>
    <w:rsid w:val="00FD699B"/>
    <w:rsid w:val="00FD6C8A"/>
    <w:rsid w:val="00FD7033"/>
    <w:rsid w:val="00FD737E"/>
    <w:rsid w:val="00FD743B"/>
    <w:rsid w:val="00FD75A6"/>
    <w:rsid w:val="00FD7650"/>
    <w:rsid w:val="00FD7805"/>
    <w:rsid w:val="00FD7B88"/>
    <w:rsid w:val="00FD7C8B"/>
    <w:rsid w:val="00FD7DCF"/>
    <w:rsid w:val="00FD7F14"/>
    <w:rsid w:val="00FD7FDF"/>
    <w:rsid w:val="00FE00AA"/>
    <w:rsid w:val="00FE03E4"/>
    <w:rsid w:val="00FE04AB"/>
    <w:rsid w:val="00FE055F"/>
    <w:rsid w:val="00FE0A0C"/>
    <w:rsid w:val="00FE0D8A"/>
    <w:rsid w:val="00FE0FCF"/>
    <w:rsid w:val="00FE0FDD"/>
    <w:rsid w:val="00FE0FE5"/>
    <w:rsid w:val="00FE119D"/>
    <w:rsid w:val="00FE151A"/>
    <w:rsid w:val="00FE160A"/>
    <w:rsid w:val="00FE184D"/>
    <w:rsid w:val="00FE184E"/>
    <w:rsid w:val="00FE187B"/>
    <w:rsid w:val="00FE1904"/>
    <w:rsid w:val="00FE19E4"/>
    <w:rsid w:val="00FE1D57"/>
    <w:rsid w:val="00FE20A2"/>
    <w:rsid w:val="00FE2201"/>
    <w:rsid w:val="00FE2392"/>
    <w:rsid w:val="00FE26C1"/>
    <w:rsid w:val="00FE2842"/>
    <w:rsid w:val="00FE2F7A"/>
    <w:rsid w:val="00FE30B6"/>
    <w:rsid w:val="00FE3D93"/>
    <w:rsid w:val="00FE3E5C"/>
    <w:rsid w:val="00FE3EA0"/>
    <w:rsid w:val="00FE414C"/>
    <w:rsid w:val="00FE4246"/>
    <w:rsid w:val="00FE43B0"/>
    <w:rsid w:val="00FE4415"/>
    <w:rsid w:val="00FE4653"/>
    <w:rsid w:val="00FE4832"/>
    <w:rsid w:val="00FE488D"/>
    <w:rsid w:val="00FE495D"/>
    <w:rsid w:val="00FE4A38"/>
    <w:rsid w:val="00FE4B29"/>
    <w:rsid w:val="00FE4E49"/>
    <w:rsid w:val="00FE4FFA"/>
    <w:rsid w:val="00FE522F"/>
    <w:rsid w:val="00FE5769"/>
    <w:rsid w:val="00FE5980"/>
    <w:rsid w:val="00FE5C69"/>
    <w:rsid w:val="00FE609C"/>
    <w:rsid w:val="00FE6230"/>
    <w:rsid w:val="00FE6468"/>
    <w:rsid w:val="00FE65A6"/>
    <w:rsid w:val="00FE6646"/>
    <w:rsid w:val="00FE669B"/>
    <w:rsid w:val="00FE6738"/>
    <w:rsid w:val="00FE714D"/>
    <w:rsid w:val="00FE7352"/>
    <w:rsid w:val="00FE7D6A"/>
    <w:rsid w:val="00FF018D"/>
    <w:rsid w:val="00FF01B0"/>
    <w:rsid w:val="00FF029E"/>
    <w:rsid w:val="00FF034B"/>
    <w:rsid w:val="00FF03B0"/>
    <w:rsid w:val="00FF0403"/>
    <w:rsid w:val="00FF0655"/>
    <w:rsid w:val="00FF0961"/>
    <w:rsid w:val="00FF09F9"/>
    <w:rsid w:val="00FF0C30"/>
    <w:rsid w:val="00FF1007"/>
    <w:rsid w:val="00FF122C"/>
    <w:rsid w:val="00FF13B9"/>
    <w:rsid w:val="00FF1842"/>
    <w:rsid w:val="00FF196B"/>
    <w:rsid w:val="00FF1A67"/>
    <w:rsid w:val="00FF1C8A"/>
    <w:rsid w:val="00FF21D2"/>
    <w:rsid w:val="00FF2408"/>
    <w:rsid w:val="00FF25E2"/>
    <w:rsid w:val="00FF2B84"/>
    <w:rsid w:val="00FF313B"/>
    <w:rsid w:val="00FF31A1"/>
    <w:rsid w:val="00FF34C8"/>
    <w:rsid w:val="00FF36BD"/>
    <w:rsid w:val="00FF381C"/>
    <w:rsid w:val="00FF3A8F"/>
    <w:rsid w:val="00FF3B13"/>
    <w:rsid w:val="00FF3B76"/>
    <w:rsid w:val="00FF3CCA"/>
    <w:rsid w:val="00FF4083"/>
    <w:rsid w:val="00FF40DB"/>
    <w:rsid w:val="00FF41EC"/>
    <w:rsid w:val="00FF43EE"/>
    <w:rsid w:val="00FF48E6"/>
    <w:rsid w:val="00FF4ACE"/>
    <w:rsid w:val="00FF4B29"/>
    <w:rsid w:val="00FF4B4F"/>
    <w:rsid w:val="00FF4D99"/>
    <w:rsid w:val="00FF4DA1"/>
    <w:rsid w:val="00FF5225"/>
    <w:rsid w:val="00FF5450"/>
    <w:rsid w:val="00FF5C14"/>
    <w:rsid w:val="00FF5FA3"/>
    <w:rsid w:val="00FF5FF1"/>
    <w:rsid w:val="00FF6005"/>
    <w:rsid w:val="00FF613D"/>
    <w:rsid w:val="00FF6189"/>
    <w:rsid w:val="00FF677B"/>
    <w:rsid w:val="00FF6916"/>
    <w:rsid w:val="00FF6982"/>
    <w:rsid w:val="00FF6A2B"/>
    <w:rsid w:val="00FF6C1C"/>
    <w:rsid w:val="00FF6C35"/>
    <w:rsid w:val="00FF7060"/>
    <w:rsid w:val="00FF7636"/>
    <w:rsid w:val="00FF765F"/>
    <w:rsid w:val="00FF7989"/>
    <w:rsid w:val="00FF7D03"/>
    <w:rsid w:val="02291F7E"/>
    <w:rsid w:val="03C17E7B"/>
    <w:rsid w:val="04222D8B"/>
    <w:rsid w:val="06C55827"/>
    <w:rsid w:val="083E2404"/>
    <w:rsid w:val="09EB0E67"/>
    <w:rsid w:val="0B660C1A"/>
    <w:rsid w:val="0D5B7757"/>
    <w:rsid w:val="0DA16476"/>
    <w:rsid w:val="0FC4616A"/>
    <w:rsid w:val="114128C4"/>
    <w:rsid w:val="12FE3A23"/>
    <w:rsid w:val="14447B5C"/>
    <w:rsid w:val="14BD4AC8"/>
    <w:rsid w:val="16187EE8"/>
    <w:rsid w:val="1717685B"/>
    <w:rsid w:val="176B3D54"/>
    <w:rsid w:val="17F93E0B"/>
    <w:rsid w:val="1ADC6D40"/>
    <w:rsid w:val="1B6E5A17"/>
    <w:rsid w:val="1C455CA5"/>
    <w:rsid w:val="1D2C69D2"/>
    <w:rsid w:val="239E00B4"/>
    <w:rsid w:val="24B76C04"/>
    <w:rsid w:val="251E74A4"/>
    <w:rsid w:val="25483F42"/>
    <w:rsid w:val="27843CE5"/>
    <w:rsid w:val="27D8263D"/>
    <w:rsid w:val="2920429C"/>
    <w:rsid w:val="2C7678B8"/>
    <w:rsid w:val="2FB06AE5"/>
    <w:rsid w:val="313434ED"/>
    <w:rsid w:val="32EB653A"/>
    <w:rsid w:val="34F54093"/>
    <w:rsid w:val="360A1886"/>
    <w:rsid w:val="386512AB"/>
    <w:rsid w:val="39214FE7"/>
    <w:rsid w:val="3B47E674"/>
    <w:rsid w:val="3BCB6780"/>
    <w:rsid w:val="3D205AFC"/>
    <w:rsid w:val="3DC57913"/>
    <w:rsid w:val="42CD0A98"/>
    <w:rsid w:val="431A0C09"/>
    <w:rsid w:val="47BFD393"/>
    <w:rsid w:val="480E2158"/>
    <w:rsid w:val="49C820BA"/>
    <w:rsid w:val="4B325031"/>
    <w:rsid w:val="4B65373A"/>
    <w:rsid w:val="4D00163A"/>
    <w:rsid w:val="4F0F5BE3"/>
    <w:rsid w:val="504302BB"/>
    <w:rsid w:val="52422029"/>
    <w:rsid w:val="53A11C5E"/>
    <w:rsid w:val="540D556C"/>
    <w:rsid w:val="5422686A"/>
    <w:rsid w:val="55040901"/>
    <w:rsid w:val="56DF05DE"/>
    <w:rsid w:val="57FC6189"/>
    <w:rsid w:val="588F56E2"/>
    <w:rsid w:val="59454840"/>
    <w:rsid w:val="59B91946"/>
    <w:rsid w:val="5AA1491D"/>
    <w:rsid w:val="5CBA1941"/>
    <w:rsid w:val="5D8413FB"/>
    <w:rsid w:val="5E712CD8"/>
    <w:rsid w:val="5F073306"/>
    <w:rsid w:val="5F117C07"/>
    <w:rsid w:val="5F5F73B9"/>
    <w:rsid w:val="5F8D1A00"/>
    <w:rsid w:val="618B537C"/>
    <w:rsid w:val="660B1CE2"/>
    <w:rsid w:val="67DC746C"/>
    <w:rsid w:val="6838144E"/>
    <w:rsid w:val="68AA7398"/>
    <w:rsid w:val="6C7225A9"/>
    <w:rsid w:val="6C8F3AE5"/>
    <w:rsid w:val="6DAF1FDF"/>
    <w:rsid w:val="6E3E120C"/>
    <w:rsid w:val="6F347F2A"/>
    <w:rsid w:val="742C597A"/>
    <w:rsid w:val="74FD6F1D"/>
    <w:rsid w:val="770E79E9"/>
    <w:rsid w:val="773F37FC"/>
    <w:rsid w:val="77A62839"/>
    <w:rsid w:val="77FB3EA4"/>
    <w:rsid w:val="7AF11D9C"/>
    <w:rsid w:val="7B806247"/>
    <w:rsid w:val="7BEB5064"/>
    <w:rsid w:val="7D7F27CB"/>
    <w:rsid w:val="97F5AFC3"/>
    <w:rsid w:val="97F9A81D"/>
    <w:rsid w:val="9FFFF7B7"/>
    <w:rsid w:val="A3FC7EF9"/>
    <w:rsid w:val="DAEF1D3F"/>
    <w:rsid w:val="DF3BC3CB"/>
    <w:rsid w:val="DF7F1C07"/>
    <w:rsid w:val="DFFE2B78"/>
    <w:rsid w:val="E5F74E3D"/>
    <w:rsid w:val="EBFF0FE2"/>
    <w:rsid w:val="F33EB074"/>
    <w:rsid w:val="F6FB582A"/>
    <w:rsid w:val="FBBFA841"/>
    <w:rsid w:val="FD0C9535"/>
    <w:rsid w:val="FD7B8188"/>
    <w:rsid w:val="FFE9265E"/>
    <w:rsid w:val="FFF588A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qFormat="1"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unhideWhenUsed="0" w:uiPriority="0" w:semiHidden="0" w:name="footnote text"/>
    <w:lsdException w:qFormat="1" w:unhideWhenUsed="0" w:uiPriority="99"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99"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qFormat="1"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qFormat="1" w:unhideWhenUsed="0" w:uiPriority="0"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230"/>
    <w:autoRedefine/>
    <w:qFormat/>
    <w:uiPriority w:val="0"/>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3">
    <w:name w:val="heading 2"/>
    <w:basedOn w:val="1"/>
    <w:next w:val="1"/>
    <w:link w:val="56"/>
    <w:autoRedefine/>
    <w:qFormat/>
    <w:uiPriority w:val="0"/>
    <w:pPr>
      <w:keepNext/>
      <w:keepLines/>
      <w:autoSpaceDE w:val="0"/>
      <w:autoSpaceDN w:val="0"/>
      <w:adjustRightInd w:val="0"/>
      <w:spacing w:before="120" w:line="300" w:lineRule="auto"/>
      <w:jc w:val="center"/>
      <w:outlineLvl w:val="1"/>
    </w:pPr>
    <w:rPr>
      <w:rFonts w:ascii="Arial" w:hAnsi="Arial" w:eastAsia="黑体"/>
      <w:b/>
      <w:kern w:val="0"/>
      <w:sz w:val="30"/>
      <w:szCs w:val="20"/>
    </w:rPr>
  </w:style>
  <w:style w:type="paragraph" w:styleId="4">
    <w:name w:val="heading 3"/>
    <w:basedOn w:val="1"/>
    <w:next w:val="1"/>
    <w:link w:val="57"/>
    <w:autoRedefine/>
    <w:qFormat/>
    <w:uiPriority w:val="0"/>
    <w:pPr>
      <w:keepNext/>
      <w:keepLines/>
      <w:autoSpaceDE w:val="0"/>
      <w:autoSpaceDN w:val="0"/>
      <w:adjustRightInd w:val="0"/>
      <w:spacing w:before="360" w:after="120"/>
      <w:jc w:val="left"/>
      <w:outlineLvl w:val="2"/>
    </w:pPr>
    <w:rPr>
      <w:rFonts w:ascii="宋体"/>
      <w:b/>
      <w:kern w:val="0"/>
      <w:sz w:val="24"/>
      <w:szCs w:val="20"/>
      <w:u w:val="single"/>
    </w:rPr>
  </w:style>
  <w:style w:type="paragraph" w:styleId="5">
    <w:name w:val="heading 4"/>
    <w:basedOn w:val="1"/>
    <w:next w:val="1"/>
    <w:link w:val="231"/>
    <w:autoRedefine/>
    <w:qFormat/>
    <w:uiPriority w:val="0"/>
    <w:pPr>
      <w:keepNext/>
      <w:keepLines/>
      <w:adjustRightInd w:val="0"/>
      <w:spacing w:before="280" w:after="290" w:line="376" w:lineRule="atLeast"/>
      <w:textAlignment w:val="baseline"/>
      <w:outlineLvl w:val="3"/>
    </w:pPr>
    <w:rPr>
      <w:kern w:val="0"/>
      <w:sz w:val="24"/>
      <w:szCs w:val="20"/>
    </w:rPr>
  </w:style>
  <w:style w:type="paragraph" w:styleId="6">
    <w:name w:val="heading 5"/>
    <w:basedOn w:val="1"/>
    <w:next w:val="1"/>
    <w:link w:val="232"/>
    <w:autoRedefine/>
    <w:qFormat/>
    <w:uiPriority w:val="0"/>
    <w:pPr>
      <w:keepNext/>
      <w:keepLines/>
      <w:adjustRightInd w:val="0"/>
      <w:spacing w:before="280" w:after="290" w:line="376" w:lineRule="atLeast"/>
      <w:textAlignment w:val="baseline"/>
      <w:outlineLvl w:val="4"/>
    </w:pPr>
    <w:rPr>
      <w:b/>
      <w:kern w:val="0"/>
      <w:sz w:val="28"/>
      <w:szCs w:val="20"/>
    </w:rPr>
  </w:style>
  <w:style w:type="paragraph" w:styleId="7">
    <w:name w:val="heading 6"/>
    <w:basedOn w:val="1"/>
    <w:next w:val="1"/>
    <w:link w:val="233"/>
    <w:qFormat/>
    <w:uiPriority w:val="0"/>
    <w:pPr>
      <w:keepNext/>
      <w:keepLines/>
      <w:adjustRightInd w:val="0"/>
      <w:spacing w:before="240" w:after="64" w:line="320" w:lineRule="atLeast"/>
      <w:textAlignment w:val="baseline"/>
      <w:outlineLvl w:val="5"/>
    </w:pPr>
    <w:rPr>
      <w:rFonts w:ascii="Arial" w:hAnsi="Arial" w:eastAsia="黑体"/>
      <w:b/>
      <w:kern w:val="0"/>
      <w:sz w:val="24"/>
      <w:szCs w:val="20"/>
    </w:rPr>
  </w:style>
  <w:style w:type="paragraph" w:styleId="8">
    <w:name w:val="heading 7"/>
    <w:basedOn w:val="1"/>
    <w:next w:val="1"/>
    <w:link w:val="234"/>
    <w:autoRedefine/>
    <w:qFormat/>
    <w:uiPriority w:val="0"/>
    <w:pPr>
      <w:keepNext/>
      <w:keepLines/>
      <w:adjustRightInd w:val="0"/>
      <w:spacing w:before="240" w:after="64" w:line="320" w:lineRule="atLeast"/>
      <w:textAlignment w:val="baseline"/>
      <w:outlineLvl w:val="6"/>
    </w:pPr>
    <w:rPr>
      <w:b/>
      <w:kern w:val="0"/>
      <w:sz w:val="24"/>
      <w:szCs w:val="20"/>
    </w:rPr>
  </w:style>
  <w:style w:type="paragraph" w:styleId="9">
    <w:name w:val="heading 8"/>
    <w:basedOn w:val="1"/>
    <w:next w:val="1"/>
    <w:link w:val="235"/>
    <w:autoRedefine/>
    <w:qFormat/>
    <w:uiPriority w:val="0"/>
    <w:pPr>
      <w:keepNext/>
      <w:keepLines/>
      <w:adjustRightInd w:val="0"/>
      <w:spacing w:before="240" w:after="64" w:line="320" w:lineRule="atLeast"/>
      <w:textAlignment w:val="baseline"/>
      <w:outlineLvl w:val="7"/>
    </w:pPr>
    <w:rPr>
      <w:rFonts w:ascii="Arial" w:hAnsi="Arial" w:eastAsia="黑体"/>
      <w:kern w:val="0"/>
      <w:sz w:val="24"/>
      <w:szCs w:val="20"/>
    </w:rPr>
  </w:style>
  <w:style w:type="paragraph" w:styleId="10">
    <w:name w:val="heading 9"/>
    <w:basedOn w:val="1"/>
    <w:next w:val="1"/>
    <w:link w:val="236"/>
    <w:autoRedefine/>
    <w:qFormat/>
    <w:uiPriority w:val="0"/>
    <w:pPr>
      <w:keepNext/>
      <w:keepLines/>
      <w:adjustRightInd w:val="0"/>
      <w:spacing w:before="240" w:after="64" w:line="320" w:lineRule="atLeast"/>
      <w:textAlignment w:val="baseline"/>
      <w:outlineLvl w:val="8"/>
    </w:pPr>
    <w:rPr>
      <w:rFonts w:ascii="Arial" w:hAnsi="Arial" w:eastAsia="黑体"/>
      <w:kern w:val="0"/>
      <w:szCs w:val="20"/>
    </w:rPr>
  </w:style>
  <w:style w:type="character" w:default="1" w:styleId="47">
    <w:name w:val="Default Paragraph Font"/>
    <w:autoRedefine/>
    <w:semiHidden/>
    <w:unhideWhenUsed/>
    <w:qFormat/>
    <w:uiPriority w:val="1"/>
  </w:style>
  <w:style w:type="table" w:default="1" w:styleId="44">
    <w:name w:val="Normal Table"/>
    <w:autoRedefine/>
    <w:semiHidden/>
    <w:unhideWhenUsed/>
    <w:qFormat/>
    <w:uiPriority w:val="99"/>
    <w:tblPr>
      <w:tblCellMar>
        <w:top w:w="0" w:type="dxa"/>
        <w:left w:w="108" w:type="dxa"/>
        <w:bottom w:w="0" w:type="dxa"/>
        <w:right w:w="108" w:type="dxa"/>
      </w:tblCellMar>
    </w:tblPr>
  </w:style>
  <w:style w:type="paragraph" w:styleId="11">
    <w:name w:val="toc 7"/>
    <w:basedOn w:val="1"/>
    <w:next w:val="1"/>
    <w:autoRedefine/>
    <w:qFormat/>
    <w:uiPriority w:val="0"/>
    <w:pPr>
      <w:ind w:left="2520" w:leftChars="1200"/>
    </w:pPr>
  </w:style>
  <w:style w:type="paragraph" w:styleId="12">
    <w:name w:val="Normal Indent"/>
    <w:basedOn w:val="1"/>
    <w:link w:val="64"/>
    <w:autoRedefine/>
    <w:qFormat/>
    <w:uiPriority w:val="0"/>
    <w:pPr>
      <w:autoSpaceDE w:val="0"/>
      <w:autoSpaceDN w:val="0"/>
      <w:adjustRightInd w:val="0"/>
      <w:ind w:firstLine="420"/>
      <w:jc w:val="left"/>
    </w:pPr>
    <w:rPr>
      <w:rFonts w:ascii="宋体"/>
      <w:sz w:val="24"/>
    </w:rPr>
  </w:style>
  <w:style w:type="paragraph" w:styleId="13">
    <w:name w:val="caption"/>
    <w:basedOn w:val="1"/>
    <w:next w:val="1"/>
    <w:autoRedefine/>
    <w:qFormat/>
    <w:uiPriority w:val="0"/>
    <w:pPr>
      <w:spacing w:line="480" w:lineRule="auto"/>
    </w:pPr>
    <w:rPr>
      <w:rFonts w:ascii="华文中宋" w:hAnsi="华文中宋" w:eastAsia="华文中宋"/>
      <w:sz w:val="36"/>
      <w:szCs w:val="20"/>
    </w:rPr>
  </w:style>
  <w:style w:type="paragraph" w:styleId="14">
    <w:name w:val="Document Map"/>
    <w:basedOn w:val="1"/>
    <w:link w:val="237"/>
    <w:autoRedefine/>
    <w:qFormat/>
    <w:uiPriority w:val="0"/>
    <w:pPr>
      <w:shd w:val="clear" w:color="auto" w:fill="000080"/>
    </w:pPr>
  </w:style>
  <w:style w:type="paragraph" w:styleId="15">
    <w:name w:val="annotation text"/>
    <w:basedOn w:val="1"/>
    <w:link w:val="183"/>
    <w:autoRedefine/>
    <w:qFormat/>
    <w:uiPriority w:val="99"/>
    <w:pPr>
      <w:jc w:val="left"/>
    </w:pPr>
  </w:style>
  <w:style w:type="paragraph" w:styleId="16">
    <w:name w:val="Body Text 3"/>
    <w:basedOn w:val="1"/>
    <w:link w:val="238"/>
    <w:autoRedefine/>
    <w:qFormat/>
    <w:uiPriority w:val="0"/>
    <w:pPr>
      <w:spacing w:after="120"/>
    </w:pPr>
    <w:rPr>
      <w:sz w:val="16"/>
      <w:szCs w:val="16"/>
    </w:rPr>
  </w:style>
  <w:style w:type="paragraph" w:styleId="17">
    <w:name w:val="Body Text"/>
    <w:basedOn w:val="1"/>
    <w:link w:val="239"/>
    <w:autoRedefine/>
    <w:qFormat/>
    <w:uiPriority w:val="0"/>
    <w:pPr>
      <w:tabs>
        <w:tab w:val="left" w:pos="567"/>
      </w:tabs>
      <w:spacing w:before="120" w:line="22" w:lineRule="atLeast"/>
    </w:pPr>
    <w:rPr>
      <w:rFonts w:ascii="宋体" w:hAnsi="宋体"/>
      <w:sz w:val="24"/>
    </w:rPr>
  </w:style>
  <w:style w:type="paragraph" w:styleId="18">
    <w:name w:val="Body Text Indent"/>
    <w:basedOn w:val="1"/>
    <w:link w:val="69"/>
    <w:autoRedefine/>
    <w:qFormat/>
    <w:uiPriority w:val="0"/>
    <w:pPr>
      <w:spacing w:line="360" w:lineRule="auto"/>
      <w:ind w:firstLine="570"/>
    </w:pPr>
    <w:rPr>
      <w:sz w:val="24"/>
    </w:rPr>
  </w:style>
  <w:style w:type="paragraph" w:styleId="19">
    <w:name w:val="List 2"/>
    <w:basedOn w:val="1"/>
    <w:qFormat/>
    <w:uiPriority w:val="0"/>
    <w:pPr>
      <w:ind w:left="100" w:leftChars="200" w:hanging="200" w:hangingChars="200"/>
    </w:pPr>
  </w:style>
  <w:style w:type="paragraph" w:styleId="20">
    <w:name w:val="Block Text"/>
    <w:basedOn w:val="1"/>
    <w:autoRedefine/>
    <w:qFormat/>
    <w:uiPriority w:val="0"/>
    <w:pPr>
      <w:widowControl/>
      <w:ind w:left="480" w:right="-341" w:firstLine="513"/>
    </w:pPr>
    <w:rPr>
      <w:kern w:val="0"/>
      <w:sz w:val="24"/>
      <w:szCs w:val="20"/>
    </w:rPr>
  </w:style>
  <w:style w:type="paragraph" w:styleId="21">
    <w:name w:val="toc 5"/>
    <w:basedOn w:val="1"/>
    <w:next w:val="1"/>
    <w:autoRedefine/>
    <w:qFormat/>
    <w:uiPriority w:val="0"/>
    <w:pPr>
      <w:ind w:left="1680" w:leftChars="800"/>
    </w:pPr>
  </w:style>
  <w:style w:type="paragraph" w:styleId="22">
    <w:name w:val="toc 3"/>
    <w:basedOn w:val="1"/>
    <w:next w:val="1"/>
    <w:autoRedefine/>
    <w:qFormat/>
    <w:uiPriority w:val="39"/>
    <w:pPr>
      <w:ind w:left="840" w:leftChars="400"/>
    </w:pPr>
  </w:style>
  <w:style w:type="paragraph" w:styleId="23">
    <w:name w:val="Plain Text"/>
    <w:basedOn w:val="1"/>
    <w:next w:val="1"/>
    <w:link w:val="203"/>
    <w:autoRedefine/>
    <w:qFormat/>
    <w:uiPriority w:val="0"/>
    <w:rPr>
      <w:rFonts w:hint="eastAsia" w:ascii="宋体" w:hAnsi="Courier New"/>
      <w:szCs w:val="20"/>
    </w:rPr>
  </w:style>
  <w:style w:type="paragraph" w:styleId="24">
    <w:name w:val="toc 8"/>
    <w:basedOn w:val="1"/>
    <w:next w:val="1"/>
    <w:autoRedefine/>
    <w:qFormat/>
    <w:uiPriority w:val="0"/>
    <w:pPr>
      <w:ind w:left="2940" w:leftChars="1400"/>
    </w:pPr>
  </w:style>
  <w:style w:type="paragraph" w:styleId="25">
    <w:name w:val="Date"/>
    <w:basedOn w:val="1"/>
    <w:next w:val="1"/>
    <w:link w:val="240"/>
    <w:autoRedefine/>
    <w:qFormat/>
    <w:uiPriority w:val="0"/>
    <w:pPr>
      <w:ind w:left="100" w:leftChars="2500"/>
    </w:pPr>
    <w:rPr>
      <w:rFonts w:ascii="仿宋_GB2312" w:hAnsi="宋体" w:eastAsia="仿宋_GB2312"/>
      <w:color w:val="000000"/>
      <w:sz w:val="24"/>
    </w:rPr>
  </w:style>
  <w:style w:type="paragraph" w:styleId="26">
    <w:name w:val="Body Text Indent 2"/>
    <w:basedOn w:val="1"/>
    <w:link w:val="241"/>
    <w:autoRedefine/>
    <w:qFormat/>
    <w:uiPriority w:val="0"/>
    <w:pPr>
      <w:ind w:firstLine="480" w:firstLineChars="200"/>
    </w:pPr>
    <w:rPr>
      <w:rFonts w:ascii="仿宋_GB2312" w:eastAsia="仿宋_GB2312"/>
      <w:sz w:val="24"/>
    </w:rPr>
  </w:style>
  <w:style w:type="paragraph" w:styleId="27">
    <w:name w:val="Balloon Text"/>
    <w:basedOn w:val="1"/>
    <w:link w:val="242"/>
    <w:autoRedefine/>
    <w:qFormat/>
    <w:uiPriority w:val="0"/>
    <w:rPr>
      <w:sz w:val="18"/>
      <w:szCs w:val="18"/>
    </w:rPr>
  </w:style>
  <w:style w:type="paragraph" w:styleId="28">
    <w:name w:val="footer"/>
    <w:basedOn w:val="1"/>
    <w:link w:val="171"/>
    <w:autoRedefine/>
    <w:qFormat/>
    <w:uiPriority w:val="99"/>
    <w:pPr>
      <w:tabs>
        <w:tab w:val="center" w:pos="4153"/>
        <w:tab w:val="right" w:pos="8306"/>
      </w:tabs>
      <w:autoSpaceDE w:val="0"/>
      <w:autoSpaceDN w:val="0"/>
      <w:adjustRightInd w:val="0"/>
      <w:snapToGrid w:val="0"/>
      <w:jc w:val="left"/>
    </w:pPr>
    <w:rPr>
      <w:rFonts w:ascii="宋体"/>
      <w:kern w:val="0"/>
      <w:sz w:val="18"/>
      <w:szCs w:val="20"/>
    </w:rPr>
  </w:style>
  <w:style w:type="paragraph" w:styleId="29">
    <w:name w:val="header"/>
    <w:basedOn w:val="1"/>
    <w:link w:val="78"/>
    <w:autoRedefine/>
    <w:qFormat/>
    <w:uiPriority w:val="0"/>
    <w:pPr>
      <w:pBdr>
        <w:bottom w:val="single" w:color="auto" w:sz="6" w:space="1"/>
      </w:pBdr>
      <w:tabs>
        <w:tab w:val="center" w:pos="4153"/>
        <w:tab w:val="right" w:pos="8306"/>
      </w:tabs>
      <w:snapToGrid w:val="0"/>
      <w:jc w:val="center"/>
    </w:pPr>
    <w:rPr>
      <w:sz w:val="18"/>
      <w:szCs w:val="18"/>
    </w:rPr>
  </w:style>
  <w:style w:type="paragraph" w:styleId="30">
    <w:name w:val="toc 1"/>
    <w:basedOn w:val="1"/>
    <w:next w:val="1"/>
    <w:autoRedefine/>
    <w:qFormat/>
    <w:uiPriority w:val="39"/>
    <w:pPr>
      <w:tabs>
        <w:tab w:val="left" w:pos="1050"/>
        <w:tab w:val="right" w:leader="dot" w:pos="8937"/>
      </w:tabs>
      <w:spacing w:line="300" w:lineRule="auto"/>
    </w:pPr>
    <w:rPr>
      <w:rFonts w:ascii="宋体" w:hAnsi="宋体"/>
      <w:b/>
      <w:sz w:val="24"/>
    </w:rPr>
  </w:style>
  <w:style w:type="paragraph" w:styleId="31">
    <w:name w:val="toc 4"/>
    <w:basedOn w:val="1"/>
    <w:next w:val="1"/>
    <w:autoRedefine/>
    <w:qFormat/>
    <w:uiPriority w:val="0"/>
    <w:pPr>
      <w:ind w:left="1260" w:leftChars="600"/>
    </w:pPr>
  </w:style>
  <w:style w:type="paragraph" w:styleId="32">
    <w:name w:val="toc 6"/>
    <w:basedOn w:val="1"/>
    <w:next w:val="1"/>
    <w:autoRedefine/>
    <w:qFormat/>
    <w:uiPriority w:val="0"/>
    <w:pPr>
      <w:ind w:left="2100" w:leftChars="1000"/>
    </w:pPr>
  </w:style>
  <w:style w:type="paragraph" w:styleId="33">
    <w:name w:val="Body Text Indent 3"/>
    <w:basedOn w:val="1"/>
    <w:link w:val="243"/>
    <w:autoRedefine/>
    <w:qFormat/>
    <w:uiPriority w:val="0"/>
    <w:pPr>
      <w:autoSpaceDE w:val="0"/>
      <w:autoSpaceDN w:val="0"/>
      <w:adjustRightInd w:val="0"/>
      <w:spacing w:before="120" w:line="22" w:lineRule="atLeast"/>
      <w:ind w:left="720" w:firstLine="480"/>
      <w:jc w:val="left"/>
    </w:pPr>
    <w:rPr>
      <w:rFonts w:ascii="宋体"/>
      <w:kern w:val="0"/>
      <w:sz w:val="24"/>
      <w:szCs w:val="20"/>
    </w:rPr>
  </w:style>
  <w:style w:type="paragraph" w:styleId="34">
    <w:name w:val="index 7"/>
    <w:basedOn w:val="1"/>
    <w:next w:val="1"/>
    <w:autoRedefine/>
    <w:qFormat/>
    <w:uiPriority w:val="0"/>
    <w:pPr>
      <w:ind w:left="2520"/>
    </w:pPr>
  </w:style>
  <w:style w:type="paragraph" w:styleId="35">
    <w:name w:val="toc 2"/>
    <w:basedOn w:val="1"/>
    <w:next w:val="1"/>
    <w:autoRedefine/>
    <w:qFormat/>
    <w:uiPriority w:val="39"/>
    <w:pPr>
      <w:tabs>
        <w:tab w:val="right" w:leader="dot" w:pos="8937"/>
      </w:tabs>
      <w:spacing w:line="312" w:lineRule="auto"/>
      <w:ind w:left="420" w:leftChars="200"/>
    </w:pPr>
  </w:style>
  <w:style w:type="paragraph" w:styleId="36">
    <w:name w:val="toc 9"/>
    <w:basedOn w:val="1"/>
    <w:next w:val="1"/>
    <w:autoRedefine/>
    <w:qFormat/>
    <w:uiPriority w:val="0"/>
    <w:pPr>
      <w:ind w:left="3360" w:leftChars="1600"/>
    </w:pPr>
  </w:style>
  <w:style w:type="paragraph" w:styleId="37">
    <w:name w:val="HTML Preformatted"/>
    <w:basedOn w:val="1"/>
    <w:link w:val="244"/>
    <w:autoRedefine/>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38">
    <w:name w:val="Normal (Web)"/>
    <w:basedOn w:val="1"/>
    <w:autoRedefine/>
    <w:unhideWhenUsed/>
    <w:qFormat/>
    <w:uiPriority w:val="99"/>
    <w:pPr>
      <w:widowControl/>
      <w:spacing w:before="100" w:beforeAutospacing="1" w:after="100" w:afterAutospacing="1"/>
      <w:jc w:val="left"/>
    </w:pPr>
    <w:rPr>
      <w:rFonts w:ascii="宋体" w:hAnsi="宋体" w:cs="宋体"/>
      <w:kern w:val="0"/>
      <w:sz w:val="24"/>
    </w:rPr>
  </w:style>
  <w:style w:type="paragraph" w:styleId="39">
    <w:name w:val="index 1"/>
    <w:basedOn w:val="1"/>
    <w:next w:val="1"/>
    <w:autoRedefine/>
    <w:qFormat/>
    <w:uiPriority w:val="0"/>
    <w:rPr>
      <w:szCs w:val="20"/>
    </w:rPr>
  </w:style>
  <w:style w:type="paragraph" w:styleId="40">
    <w:name w:val="Title"/>
    <w:basedOn w:val="1"/>
    <w:link w:val="189"/>
    <w:autoRedefine/>
    <w:qFormat/>
    <w:uiPriority w:val="0"/>
    <w:pPr>
      <w:jc w:val="center"/>
      <w:outlineLvl w:val="0"/>
    </w:pPr>
    <w:rPr>
      <w:b/>
      <w:sz w:val="32"/>
      <w:szCs w:val="20"/>
    </w:rPr>
  </w:style>
  <w:style w:type="paragraph" w:styleId="41">
    <w:name w:val="annotation subject"/>
    <w:basedOn w:val="15"/>
    <w:next w:val="15"/>
    <w:link w:val="245"/>
    <w:autoRedefine/>
    <w:qFormat/>
    <w:uiPriority w:val="0"/>
    <w:rPr>
      <w:b/>
      <w:bCs/>
    </w:rPr>
  </w:style>
  <w:style w:type="paragraph" w:styleId="42">
    <w:name w:val="Body Text First Indent"/>
    <w:basedOn w:val="17"/>
    <w:autoRedefine/>
    <w:qFormat/>
    <w:uiPriority w:val="0"/>
    <w:pPr>
      <w:ind w:firstLine="420" w:firstLineChars="100"/>
    </w:pPr>
  </w:style>
  <w:style w:type="paragraph" w:styleId="43">
    <w:name w:val="Body Text First Indent 2"/>
    <w:basedOn w:val="18"/>
    <w:link w:val="246"/>
    <w:autoRedefine/>
    <w:qFormat/>
    <w:uiPriority w:val="0"/>
    <w:pPr>
      <w:spacing w:after="120" w:line="480" w:lineRule="exact"/>
      <w:ind w:left="420" w:leftChars="200" w:firstLine="420" w:firstLineChars="200"/>
    </w:pPr>
    <w:rPr>
      <w:szCs w:val="20"/>
    </w:rPr>
  </w:style>
  <w:style w:type="table" w:styleId="45">
    <w:name w:val="Table Grid"/>
    <w:basedOn w:val="44"/>
    <w:autoRedefine/>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6">
    <w:name w:val="Medium Grid 1 Accent 2"/>
    <w:basedOn w:val="44"/>
    <w:autoRedefine/>
    <w:qFormat/>
    <w:uiPriority w:val="0"/>
    <w:rPr>
      <w:kern w:val="2"/>
      <w:sz w:val="21"/>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firstRow">
      <w:rPr>
        <w:b/>
        <w:bCs/>
      </w:rPr>
    </w:tblStylePr>
    <w:tblStylePr w:type="lastRow">
      <w:rPr>
        <w:b/>
        <w:bCs/>
      </w:rPr>
      <w:tblPr/>
      <w:tcPr>
        <w:tcBorders>
          <w:top w:val="single" w:color="CF7B79" w:sz="18" w:space="0"/>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48">
    <w:name w:val="Strong"/>
    <w:autoRedefine/>
    <w:qFormat/>
    <w:uiPriority w:val="0"/>
    <w:rPr>
      <w:b/>
      <w:bCs/>
    </w:rPr>
  </w:style>
  <w:style w:type="character" w:styleId="49">
    <w:name w:val="page number"/>
    <w:basedOn w:val="47"/>
    <w:autoRedefine/>
    <w:qFormat/>
    <w:uiPriority w:val="0"/>
  </w:style>
  <w:style w:type="character" w:styleId="50">
    <w:name w:val="FollowedHyperlink"/>
    <w:autoRedefine/>
    <w:qFormat/>
    <w:uiPriority w:val="0"/>
    <w:rPr>
      <w:color w:val="800080"/>
      <w:u w:val="single"/>
    </w:rPr>
  </w:style>
  <w:style w:type="character" w:styleId="51">
    <w:name w:val="Emphasis"/>
    <w:autoRedefine/>
    <w:qFormat/>
    <w:uiPriority w:val="0"/>
    <w:rPr>
      <w:color w:val="CC0033"/>
    </w:rPr>
  </w:style>
  <w:style w:type="character" w:styleId="52">
    <w:name w:val="Hyperlink"/>
    <w:autoRedefine/>
    <w:qFormat/>
    <w:uiPriority w:val="99"/>
    <w:rPr>
      <w:color w:val="0000FF"/>
      <w:u w:val="single"/>
    </w:rPr>
  </w:style>
  <w:style w:type="character" w:styleId="53">
    <w:name w:val="annotation reference"/>
    <w:autoRedefine/>
    <w:qFormat/>
    <w:uiPriority w:val="99"/>
    <w:rPr>
      <w:sz w:val="21"/>
      <w:szCs w:val="21"/>
    </w:rPr>
  </w:style>
  <w:style w:type="character" w:styleId="54">
    <w:name w:val="HTML Cite"/>
    <w:autoRedefine/>
    <w:qFormat/>
    <w:uiPriority w:val="0"/>
    <w:rPr>
      <w:i/>
      <w:iCs/>
    </w:rPr>
  </w:style>
  <w:style w:type="paragraph" w:styleId="55">
    <w:name w:val="No Spacing"/>
    <w:autoRedefine/>
    <w:qFormat/>
    <w:uiPriority w:val="0"/>
    <w:pPr>
      <w:widowControl w:val="0"/>
      <w:jc w:val="both"/>
    </w:pPr>
    <w:rPr>
      <w:rFonts w:ascii="Times New Roman" w:hAnsi="Times New Roman" w:eastAsia="宋体" w:cs="Times New Roman"/>
      <w:kern w:val="2"/>
      <w:sz w:val="21"/>
      <w:szCs w:val="24"/>
      <w:lang w:val="en-US" w:eastAsia="zh-CN" w:bidi="ar-SA"/>
    </w:rPr>
  </w:style>
  <w:style w:type="character" w:customStyle="1" w:styleId="56">
    <w:name w:val="标题 2 字符"/>
    <w:link w:val="3"/>
    <w:autoRedefine/>
    <w:qFormat/>
    <w:uiPriority w:val="0"/>
    <w:rPr>
      <w:rFonts w:ascii="Arial" w:hAnsi="Arial" w:eastAsia="黑体"/>
      <w:b/>
      <w:sz w:val="30"/>
      <w:lang w:val="en-US" w:eastAsia="zh-CN" w:bidi="ar-SA"/>
    </w:rPr>
  </w:style>
  <w:style w:type="character" w:customStyle="1" w:styleId="57">
    <w:name w:val="标题 3 字符"/>
    <w:link w:val="4"/>
    <w:autoRedefine/>
    <w:qFormat/>
    <w:uiPriority w:val="0"/>
    <w:rPr>
      <w:rFonts w:ascii="宋体" w:eastAsia="宋体"/>
      <w:b/>
      <w:sz w:val="24"/>
      <w:u w:val="single"/>
      <w:lang w:val="en-US" w:eastAsia="zh-CN" w:bidi="ar-SA"/>
    </w:rPr>
  </w:style>
  <w:style w:type="character" w:customStyle="1" w:styleId="58">
    <w:name w:val="c21"/>
    <w:autoRedefine/>
    <w:qFormat/>
    <w:uiPriority w:val="0"/>
    <w:rPr>
      <w:rFonts w:hint="default" w:ascii="ˎ̥" w:hAnsi="ˎ̥"/>
      <w:color w:val="000000"/>
      <w:sz w:val="20"/>
      <w:szCs w:val="20"/>
      <w:u w:val="none"/>
    </w:rPr>
  </w:style>
  <w:style w:type="character" w:customStyle="1" w:styleId="59">
    <w:name w:val="title4"/>
    <w:autoRedefine/>
    <w:qFormat/>
    <w:uiPriority w:val="0"/>
    <w:rPr>
      <w:b/>
      <w:bCs/>
      <w:color w:val="1D87B3"/>
      <w:sz w:val="15"/>
      <w:szCs w:val="15"/>
    </w:rPr>
  </w:style>
  <w:style w:type="character" w:customStyle="1" w:styleId="60">
    <w:name w:val="标题 2 Char Char"/>
    <w:autoRedefine/>
    <w:qFormat/>
    <w:uiPriority w:val="0"/>
    <w:rPr>
      <w:rFonts w:ascii="Arial" w:hAnsi="Arial" w:eastAsia="黑体"/>
      <w:b/>
      <w:bCs/>
      <w:kern w:val="2"/>
      <w:sz w:val="32"/>
      <w:szCs w:val="32"/>
      <w:lang w:val="en-US" w:eastAsia="zh-CN" w:bidi="ar-SA"/>
    </w:rPr>
  </w:style>
  <w:style w:type="character" w:customStyle="1" w:styleId="61">
    <w:name w:val="black1"/>
    <w:autoRedefine/>
    <w:qFormat/>
    <w:uiPriority w:val="0"/>
    <w:rPr>
      <w:color w:val="000000"/>
    </w:rPr>
  </w:style>
  <w:style w:type="character" w:customStyle="1" w:styleId="62">
    <w:name w:val="street-address"/>
    <w:basedOn w:val="47"/>
    <w:autoRedefine/>
    <w:qFormat/>
    <w:uiPriority w:val="0"/>
  </w:style>
  <w:style w:type="character" w:customStyle="1" w:styleId="63">
    <w:name w:val="locality"/>
    <w:basedOn w:val="47"/>
    <w:autoRedefine/>
    <w:qFormat/>
    <w:uiPriority w:val="0"/>
  </w:style>
  <w:style w:type="character" w:customStyle="1" w:styleId="64">
    <w:name w:val="正文缩进 字符"/>
    <w:link w:val="12"/>
    <w:autoRedefine/>
    <w:qFormat/>
    <w:uiPriority w:val="0"/>
    <w:rPr>
      <w:rFonts w:ascii="宋体" w:eastAsia="宋体"/>
      <w:kern w:val="2"/>
      <w:sz w:val="24"/>
      <w:szCs w:val="24"/>
      <w:lang w:val="en-US" w:eastAsia="zh-CN" w:bidi="ar-SA"/>
    </w:rPr>
  </w:style>
  <w:style w:type="character" w:customStyle="1" w:styleId="65">
    <w:name w:val="正文文本缩进 Char1"/>
    <w:link w:val="66"/>
    <w:autoRedefine/>
    <w:qFormat/>
    <w:uiPriority w:val="0"/>
    <w:rPr>
      <w:rFonts w:ascii="宋体" w:hAnsi="宋体" w:eastAsia="宋体"/>
      <w:sz w:val="24"/>
      <w:szCs w:val="24"/>
      <w:lang w:bidi="ar-SA"/>
    </w:rPr>
  </w:style>
  <w:style w:type="paragraph" w:customStyle="1" w:styleId="66">
    <w:name w:val="正文文本缩进1"/>
    <w:basedOn w:val="1"/>
    <w:link w:val="65"/>
    <w:autoRedefine/>
    <w:qFormat/>
    <w:uiPriority w:val="0"/>
    <w:pPr>
      <w:spacing w:line="480" w:lineRule="exact"/>
      <w:ind w:firstLine="480" w:firstLineChars="200"/>
    </w:pPr>
    <w:rPr>
      <w:rFonts w:ascii="宋体" w:hAnsi="宋体"/>
      <w:kern w:val="0"/>
      <w:sz w:val="24"/>
    </w:rPr>
  </w:style>
  <w:style w:type="character" w:customStyle="1" w:styleId="67">
    <w:name w:val="Char Char11"/>
    <w:autoRedefine/>
    <w:qFormat/>
    <w:uiPriority w:val="0"/>
    <w:rPr>
      <w:rFonts w:ascii="宋体" w:eastAsia="宋体"/>
      <w:b/>
      <w:sz w:val="24"/>
      <w:u w:val="single"/>
      <w:lang w:val="en-US" w:eastAsia="zh-CN" w:bidi="ar-SA"/>
    </w:rPr>
  </w:style>
  <w:style w:type="character" w:customStyle="1" w:styleId="68">
    <w:name w:val="txt"/>
    <w:basedOn w:val="47"/>
    <w:autoRedefine/>
    <w:qFormat/>
    <w:uiPriority w:val="0"/>
  </w:style>
  <w:style w:type="character" w:customStyle="1" w:styleId="69">
    <w:name w:val="正文文本缩进 字符"/>
    <w:link w:val="18"/>
    <w:autoRedefine/>
    <w:qFormat/>
    <w:uiPriority w:val="0"/>
    <w:rPr>
      <w:rFonts w:eastAsia="宋体"/>
      <w:kern w:val="2"/>
      <w:sz w:val="24"/>
      <w:szCs w:val="24"/>
      <w:lang w:val="en-US" w:eastAsia="zh-CN" w:bidi="ar-SA"/>
    </w:rPr>
  </w:style>
  <w:style w:type="character" w:customStyle="1" w:styleId="70">
    <w:name w:val="正文缩进 Char Char"/>
    <w:link w:val="71"/>
    <w:autoRedefine/>
    <w:qFormat/>
    <w:uiPriority w:val="0"/>
    <w:rPr>
      <w:rFonts w:ascii="宋体" w:eastAsia="宋体"/>
      <w:snapToGrid w:val="0"/>
      <w:color w:val="000000"/>
      <w:kern w:val="28"/>
      <w:sz w:val="28"/>
      <w:lang w:bidi="ar-SA"/>
    </w:rPr>
  </w:style>
  <w:style w:type="paragraph" w:customStyle="1" w:styleId="71">
    <w:name w:val="正文缩进1"/>
    <w:basedOn w:val="1"/>
    <w:link w:val="70"/>
    <w:autoRedefine/>
    <w:qFormat/>
    <w:uiPriority w:val="0"/>
    <w:pPr>
      <w:widowControl/>
      <w:adjustRightInd w:val="0"/>
      <w:snapToGrid w:val="0"/>
      <w:spacing w:line="480" w:lineRule="exact"/>
      <w:ind w:firstLine="567"/>
    </w:pPr>
    <w:rPr>
      <w:rFonts w:ascii="宋体"/>
      <w:snapToGrid w:val="0"/>
      <w:color w:val="000000"/>
      <w:kern w:val="28"/>
      <w:sz w:val="28"/>
      <w:szCs w:val="20"/>
    </w:rPr>
  </w:style>
  <w:style w:type="character" w:customStyle="1" w:styleId="72">
    <w:name w:val="普通文字1 Char1"/>
    <w:autoRedefine/>
    <w:qFormat/>
    <w:uiPriority w:val="0"/>
    <w:rPr>
      <w:rFonts w:ascii="宋体" w:hAnsi="Courier New" w:eastAsia="宋体"/>
      <w:kern w:val="2"/>
      <w:sz w:val="21"/>
      <w:lang w:val="en-US" w:eastAsia="zh-CN" w:bidi="ar-SA"/>
    </w:rPr>
  </w:style>
  <w:style w:type="character" w:customStyle="1" w:styleId="73">
    <w:name w:val="chanpin1"/>
    <w:autoRedefine/>
    <w:qFormat/>
    <w:uiPriority w:val="0"/>
    <w:rPr>
      <w:rFonts w:hint="default" w:ascii="ˎ̥" w:hAnsi="ˎ̥"/>
      <w:color w:val="000000"/>
      <w:sz w:val="20"/>
      <w:szCs w:val="20"/>
      <w:u w:val="none"/>
    </w:rPr>
  </w:style>
  <w:style w:type="character" w:customStyle="1" w:styleId="74">
    <w:name w:val="列表段落 字符"/>
    <w:link w:val="75"/>
    <w:autoRedefine/>
    <w:qFormat/>
    <w:uiPriority w:val="34"/>
    <w:rPr>
      <w:rFonts w:ascii="Calibri" w:hAnsi="Calibri" w:eastAsia="宋体"/>
      <w:kern w:val="2"/>
      <w:sz w:val="21"/>
      <w:szCs w:val="22"/>
      <w:lang w:val="en-US" w:eastAsia="zh-CN" w:bidi="ar-SA"/>
    </w:rPr>
  </w:style>
  <w:style w:type="paragraph" w:styleId="75">
    <w:name w:val="List Paragraph"/>
    <w:basedOn w:val="1"/>
    <w:link w:val="74"/>
    <w:autoRedefine/>
    <w:qFormat/>
    <w:uiPriority w:val="34"/>
    <w:pPr>
      <w:ind w:firstLine="420" w:firstLineChars="200"/>
    </w:pPr>
    <w:rPr>
      <w:rFonts w:ascii="Calibri" w:hAnsi="Calibri"/>
      <w:szCs w:val="22"/>
    </w:rPr>
  </w:style>
  <w:style w:type="character" w:customStyle="1" w:styleId="76">
    <w:name w:val="标题 3 Char Char"/>
    <w:autoRedefine/>
    <w:qFormat/>
    <w:uiPriority w:val="0"/>
    <w:rPr>
      <w:rFonts w:eastAsia="宋体"/>
      <w:b/>
      <w:bCs/>
      <w:kern w:val="2"/>
      <w:sz w:val="32"/>
      <w:szCs w:val="32"/>
      <w:lang w:val="en-US" w:eastAsia="zh-CN" w:bidi="ar-SA"/>
    </w:rPr>
  </w:style>
  <w:style w:type="character" w:customStyle="1" w:styleId="77">
    <w:name w:val="段1 Char"/>
    <w:autoRedefine/>
    <w:qFormat/>
    <w:uiPriority w:val="0"/>
    <w:rPr>
      <w:rFonts w:ascii="宋体" w:eastAsia="宋体"/>
      <w:sz w:val="24"/>
      <w:lang w:val="en-US" w:eastAsia="zh-CN" w:bidi="ar-SA"/>
    </w:rPr>
  </w:style>
  <w:style w:type="character" w:customStyle="1" w:styleId="78">
    <w:name w:val="页眉 字符"/>
    <w:link w:val="29"/>
    <w:autoRedefine/>
    <w:qFormat/>
    <w:uiPriority w:val="0"/>
    <w:rPr>
      <w:rFonts w:eastAsia="宋体"/>
      <w:kern w:val="2"/>
      <w:sz w:val="18"/>
      <w:szCs w:val="18"/>
      <w:lang w:val="en-US" w:eastAsia="zh-CN" w:bidi="ar-SA"/>
    </w:rPr>
  </w:style>
  <w:style w:type="character" w:customStyle="1" w:styleId="79">
    <w:name w:val="chanpin拷贝"/>
    <w:basedOn w:val="47"/>
    <w:autoRedefine/>
    <w:qFormat/>
    <w:uiPriority w:val="0"/>
  </w:style>
  <w:style w:type="character" w:customStyle="1" w:styleId="80">
    <w:name w:val="纯文本 Char1"/>
    <w:autoRedefine/>
    <w:qFormat/>
    <w:uiPriority w:val="0"/>
    <w:rPr>
      <w:rFonts w:ascii="宋体" w:hAnsi="Courier New" w:eastAsia="宋体"/>
      <w:kern w:val="2"/>
      <w:sz w:val="21"/>
      <w:lang w:val="en-US" w:eastAsia="zh-CN" w:bidi="ar-SA"/>
    </w:rPr>
  </w:style>
  <w:style w:type="character" w:customStyle="1" w:styleId="81">
    <w:name w:val="apple-style-span"/>
    <w:autoRedefine/>
    <w:qFormat/>
    <w:uiPriority w:val="0"/>
    <w:rPr>
      <w:rFonts w:cs="Times New Roman"/>
    </w:rPr>
  </w:style>
  <w:style w:type="paragraph" w:customStyle="1" w:styleId="82">
    <w:name w:val="二级条标题"/>
    <w:basedOn w:val="83"/>
    <w:next w:val="1"/>
    <w:autoRedefine/>
    <w:qFormat/>
    <w:uiPriority w:val="0"/>
    <w:pPr>
      <w:numPr>
        <w:numId w:val="0"/>
      </w:numPr>
      <w:tabs>
        <w:tab w:val="left" w:pos="360"/>
        <w:tab w:val="left" w:pos="840"/>
      </w:tabs>
      <w:ind w:hanging="840"/>
      <w:outlineLvl w:val="2"/>
    </w:pPr>
    <w:rPr>
      <w:rFonts w:ascii="宋体" w:eastAsia="宋体"/>
      <w:b w:val="0"/>
    </w:rPr>
  </w:style>
  <w:style w:type="paragraph" w:customStyle="1" w:styleId="83">
    <w:name w:val="一级条标题"/>
    <w:basedOn w:val="84"/>
    <w:next w:val="1"/>
    <w:autoRedefine/>
    <w:qFormat/>
    <w:uiPriority w:val="0"/>
    <w:pPr>
      <w:numPr>
        <w:ilvl w:val="1"/>
      </w:numPr>
      <w:tabs>
        <w:tab w:val="left" w:pos="360"/>
        <w:tab w:val="left" w:pos="840"/>
      </w:tabs>
      <w:ind w:left="0" w:hanging="840"/>
      <w:outlineLvl w:val="1"/>
    </w:pPr>
  </w:style>
  <w:style w:type="paragraph" w:customStyle="1" w:styleId="84">
    <w:name w:val="章标题"/>
    <w:next w:val="1"/>
    <w:autoRedefine/>
    <w:qFormat/>
    <w:uiPriority w:val="0"/>
    <w:pPr>
      <w:numPr>
        <w:ilvl w:val="0"/>
        <w:numId w:val="1"/>
      </w:numPr>
      <w:spacing w:before="156" w:beforeLines="50" w:after="156" w:afterLines="50" w:line="460" w:lineRule="exact"/>
      <w:ind w:left="0"/>
      <w:jc w:val="both"/>
      <w:outlineLvl w:val="0"/>
    </w:pPr>
    <w:rPr>
      <w:rFonts w:ascii="黑体" w:hAnsi="Times New Roman" w:eastAsia="黑体" w:cs="Times New Roman"/>
      <w:b/>
      <w:sz w:val="28"/>
      <w:lang w:val="en-US" w:eastAsia="zh-CN" w:bidi="ar-SA"/>
    </w:rPr>
  </w:style>
  <w:style w:type="paragraph" w:customStyle="1" w:styleId="85">
    <w:name w:val="font7"/>
    <w:basedOn w:val="1"/>
    <w:autoRedefine/>
    <w:qFormat/>
    <w:uiPriority w:val="0"/>
    <w:pPr>
      <w:widowControl/>
      <w:spacing w:before="100" w:beforeAutospacing="1" w:after="100" w:afterAutospacing="1"/>
      <w:jc w:val="left"/>
    </w:pPr>
    <w:rPr>
      <w:rFonts w:eastAsia="Arial Unicode MS"/>
      <w:b/>
      <w:bCs/>
      <w:color w:val="000000"/>
      <w:kern w:val="0"/>
      <w:sz w:val="20"/>
      <w:szCs w:val="20"/>
    </w:rPr>
  </w:style>
  <w:style w:type="paragraph" w:customStyle="1" w:styleId="86">
    <w:name w:val="字元 字元"/>
    <w:basedOn w:val="1"/>
    <w:autoRedefine/>
    <w:qFormat/>
    <w:uiPriority w:val="0"/>
    <w:rPr>
      <w:rFonts w:ascii="Tahoma" w:hAnsi="Tahoma"/>
      <w:sz w:val="24"/>
      <w:szCs w:val="20"/>
    </w:rPr>
  </w:style>
  <w:style w:type="paragraph" w:customStyle="1" w:styleId="87">
    <w:name w:val="Char3 Char Char Char"/>
    <w:basedOn w:val="1"/>
    <w:autoRedefine/>
    <w:qFormat/>
    <w:uiPriority w:val="0"/>
    <w:rPr>
      <w:rFonts w:ascii="Tahoma" w:hAnsi="Tahoma"/>
      <w:sz w:val="24"/>
      <w:szCs w:val="20"/>
    </w:rPr>
  </w:style>
  <w:style w:type="paragraph" w:customStyle="1" w:styleId="88">
    <w:name w:val="font6"/>
    <w:basedOn w:val="1"/>
    <w:autoRedefine/>
    <w:qFormat/>
    <w:uiPriority w:val="0"/>
    <w:pPr>
      <w:widowControl/>
      <w:spacing w:before="100" w:beforeAutospacing="1" w:after="100" w:afterAutospacing="1"/>
      <w:jc w:val="left"/>
    </w:pPr>
    <w:rPr>
      <w:rFonts w:ascii="宋体" w:hAnsi="宋体" w:cs="宋体"/>
      <w:kern w:val="0"/>
      <w:sz w:val="20"/>
      <w:szCs w:val="20"/>
    </w:rPr>
  </w:style>
  <w:style w:type="paragraph" w:customStyle="1" w:styleId="89">
    <w:name w:val="项目编号2"/>
    <w:basedOn w:val="90"/>
    <w:autoRedefine/>
    <w:qFormat/>
    <w:uiPriority w:val="0"/>
    <w:pPr>
      <w:numPr>
        <w:numId w:val="2"/>
      </w:numPr>
    </w:pPr>
  </w:style>
  <w:style w:type="paragraph" w:customStyle="1" w:styleId="90">
    <w:name w:val="项目编号1"/>
    <w:basedOn w:val="1"/>
    <w:autoRedefine/>
    <w:qFormat/>
    <w:uiPriority w:val="0"/>
    <w:pPr>
      <w:numPr>
        <w:ilvl w:val="0"/>
        <w:numId w:val="3"/>
      </w:numPr>
      <w:spacing w:before="100" w:beforeAutospacing="1" w:after="100" w:afterAutospacing="1" w:line="360" w:lineRule="auto"/>
    </w:pPr>
    <w:rPr>
      <w:sz w:val="24"/>
    </w:rPr>
  </w:style>
  <w:style w:type="paragraph" w:customStyle="1" w:styleId="91">
    <w:name w:val="图中文字"/>
    <w:basedOn w:val="1"/>
    <w:autoRedefine/>
    <w:qFormat/>
    <w:uiPriority w:val="0"/>
    <w:pPr>
      <w:adjustRightInd w:val="0"/>
      <w:snapToGrid w:val="0"/>
      <w:spacing w:line="0" w:lineRule="atLeast"/>
      <w:jc w:val="center"/>
    </w:pPr>
    <w:rPr>
      <w:sz w:val="24"/>
      <w:szCs w:val="20"/>
    </w:rPr>
  </w:style>
  <w:style w:type="paragraph" w:customStyle="1" w:styleId="92">
    <w:name w:val="xl46"/>
    <w:basedOn w:val="1"/>
    <w:autoRedefine/>
    <w:qFormat/>
    <w:uiPriority w:val="0"/>
    <w:pPr>
      <w:widowControl/>
      <w:pBdr>
        <w:top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93">
    <w:name w:val="xl2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top"/>
    </w:pPr>
    <w:rPr>
      <w:rFonts w:ascii="Arial Unicode MS" w:hAnsi="Arial Unicode MS" w:eastAsia="Arial Unicode MS" w:cs="Arial Unicode MS"/>
      <w:b/>
      <w:bCs/>
      <w:color w:val="000000"/>
      <w:kern w:val="0"/>
      <w:sz w:val="20"/>
      <w:szCs w:val="20"/>
    </w:rPr>
  </w:style>
  <w:style w:type="paragraph" w:customStyle="1" w:styleId="94">
    <w:name w:val="Char2"/>
    <w:basedOn w:val="1"/>
    <w:autoRedefine/>
    <w:qFormat/>
    <w:uiPriority w:val="0"/>
    <w:rPr>
      <w:rFonts w:ascii="Tahoma" w:hAnsi="Tahoma"/>
      <w:sz w:val="24"/>
      <w:szCs w:val="20"/>
    </w:rPr>
  </w:style>
  <w:style w:type="paragraph" w:customStyle="1" w:styleId="95">
    <w:name w:val="xl35"/>
    <w:basedOn w:val="1"/>
    <w:autoRedefine/>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96">
    <w:name w:val="xl4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97">
    <w:name w:val="xl5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16"/>
      <w:szCs w:val="16"/>
    </w:rPr>
  </w:style>
  <w:style w:type="paragraph" w:customStyle="1" w:styleId="98">
    <w:name w:val="xl43"/>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99">
    <w:name w:val="background1"/>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100">
    <w:name w:val="Char Char Char Char Char Char Char"/>
    <w:basedOn w:val="1"/>
    <w:autoRedefine/>
    <w:qFormat/>
    <w:uiPriority w:val="0"/>
    <w:pPr>
      <w:snapToGrid w:val="0"/>
      <w:spacing w:line="360" w:lineRule="auto"/>
      <w:ind w:firstLine="200" w:firstLineChars="200"/>
    </w:pPr>
    <w:rPr>
      <w:rFonts w:eastAsia="仿宋_GB2312"/>
      <w:sz w:val="24"/>
    </w:rPr>
  </w:style>
  <w:style w:type="paragraph" w:customStyle="1" w:styleId="101">
    <w:name w:val="xl3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16"/>
      <w:szCs w:val="16"/>
    </w:rPr>
  </w:style>
  <w:style w:type="paragraph" w:customStyle="1" w:styleId="102">
    <w:name w:val="xl36"/>
    <w:basedOn w:val="1"/>
    <w:autoRedefine/>
    <w:qFormat/>
    <w:uiPriority w:val="0"/>
    <w:pPr>
      <w:widowControl/>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03">
    <w:name w:val="正文 + 宋体"/>
    <w:basedOn w:val="1"/>
    <w:autoRedefine/>
    <w:qFormat/>
    <w:uiPriority w:val="0"/>
    <w:pPr>
      <w:widowControl/>
      <w:ind w:left="360" w:hanging="360"/>
      <w:jc w:val="left"/>
    </w:pPr>
    <w:rPr>
      <w:rFonts w:ascii="宋体" w:hAnsi="宋体" w:cs="宋体"/>
      <w:b/>
      <w:bCs/>
      <w:color w:val="000000"/>
      <w:kern w:val="0"/>
      <w:sz w:val="18"/>
      <w:szCs w:val="18"/>
    </w:rPr>
  </w:style>
  <w:style w:type="paragraph" w:customStyle="1" w:styleId="104">
    <w:name w:val="正文列项_数字"/>
    <w:basedOn w:val="1"/>
    <w:autoRedefine/>
    <w:qFormat/>
    <w:uiPriority w:val="0"/>
    <w:pPr>
      <w:numPr>
        <w:ilvl w:val="7"/>
        <w:numId w:val="1"/>
      </w:numPr>
      <w:tabs>
        <w:tab w:val="clear" w:pos="860"/>
      </w:tabs>
      <w:autoSpaceDE w:val="0"/>
      <w:autoSpaceDN w:val="0"/>
      <w:spacing w:line="460" w:lineRule="exact"/>
      <w:ind w:left="680" w:leftChars="530" w:hanging="150" w:hangingChars="150"/>
      <w:outlineLvl w:val="7"/>
    </w:pPr>
    <w:rPr>
      <w:rFonts w:ascii="宋体"/>
      <w:kern w:val="0"/>
      <w:sz w:val="28"/>
      <w:szCs w:val="20"/>
    </w:rPr>
  </w:style>
  <w:style w:type="paragraph" w:customStyle="1" w:styleId="105">
    <w:name w:val="xl3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06">
    <w:name w:val="xl37"/>
    <w:basedOn w:val="1"/>
    <w:autoRedefine/>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07">
    <w:name w:val="xl3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color w:val="000000"/>
      <w:kern w:val="0"/>
      <w:sz w:val="20"/>
      <w:szCs w:val="20"/>
    </w:rPr>
  </w:style>
  <w:style w:type="paragraph" w:customStyle="1" w:styleId="108">
    <w:name w:val="font8"/>
    <w:basedOn w:val="1"/>
    <w:autoRedefine/>
    <w:qFormat/>
    <w:uiPriority w:val="0"/>
    <w:pPr>
      <w:widowControl/>
      <w:spacing w:before="100" w:beforeAutospacing="1" w:after="100" w:afterAutospacing="1"/>
      <w:jc w:val="left"/>
    </w:pPr>
    <w:rPr>
      <w:kern w:val="0"/>
      <w:sz w:val="36"/>
      <w:szCs w:val="36"/>
    </w:rPr>
  </w:style>
  <w:style w:type="paragraph" w:customStyle="1" w:styleId="109">
    <w:name w:val="Char"/>
    <w:basedOn w:val="1"/>
    <w:autoRedefine/>
    <w:qFormat/>
    <w:uiPriority w:val="0"/>
    <w:pPr>
      <w:tabs>
        <w:tab w:val="left" w:pos="360"/>
      </w:tabs>
    </w:pPr>
    <w:rPr>
      <w:sz w:val="24"/>
    </w:rPr>
  </w:style>
  <w:style w:type="paragraph" w:customStyle="1" w:styleId="110">
    <w:name w:val="Char Char Char Char Char Char Char Char Char Char Char Char Char Char Char Char"/>
    <w:basedOn w:val="1"/>
    <w:autoRedefine/>
    <w:qFormat/>
    <w:uiPriority w:val="0"/>
    <w:pPr>
      <w:widowControl/>
      <w:spacing w:after="160" w:line="240" w:lineRule="exact"/>
      <w:jc w:val="center"/>
    </w:pPr>
    <w:rPr>
      <w:rFonts w:ascii="宋体" w:hAnsi="宋体"/>
      <w:b/>
      <w:kern w:val="0"/>
      <w:sz w:val="30"/>
      <w:szCs w:val="30"/>
      <w:lang w:eastAsia="en-US"/>
    </w:rPr>
  </w:style>
  <w:style w:type="paragraph" w:customStyle="1" w:styleId="111">
    <w:name w:val="xl45"/>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12">
    <w:name w:val="Char Char1 Char Char Char Char Char Char"/>
    <w:basedOn w:val="1"/>
    <w:autoRedefine/>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113">
    <w:name w:val="Char Char1"/>
    <w:basedOn w:val="14"/>
    <w:autoRedefine/>
    <w:qFormat/>
    <w:uiPriority w:val="0"/>
    <w:rPr>
      <w:rFonts w:ascii="Tahoma" w:hAnsi="Tahoma"/>
      <w:sz w:val="24"/>
    </w:rPr>
  </w:style>
  <w:style w:type="paragraph" w:customStyle="1" w:styleId="114">
    <w:name w:val="xl2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2"/>
      <w:szCs w:val="22"/>
    </w:rPr>
  </w:style>
  <w:style w:type="paragraph" w:customStyle="1" w:styleId="115">
    <w:name w:val="xl3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16">
    <w:name w:val="xl41"/>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17">
    <w:name w:val="样式 宋体 五号 行距: 单倍行距"/>
    <w:basedOn w:val="1"/>
    <w:autoRedefine/>
    <w:qFormat/>
    <w:uiPriority w:val="0"/>
    <w:pPr>
      <w:adjustRightInd w:val="0"/>
      <w:jc w:val="left"/>
      <w:textAlignment w:val="baseline"/>
    </w:pPr>
    <w:rPr>
      <w:rFonts w:ascii="宋体" w:hAnsi="宋体"/>
      <w:kern w:val="0"/>
      <w:szCs w:val="20"/>
    </w:rPr>
  </w:style>
  <w:style w:type="paragraph" w:customStyle="1" w:styleId="118">
    <w:name w:val="Char1 Char Char Char1"/>
    <w:basedOn w:val="1"/>
    <w:autoRedefine/>
    <w:qFormat/>
    <w:uiPriority w:val="0"/>
    <w:rPr>
      <w:rFonts w:ascii="Tahoma" w:hAnsi="Tahoma" w:cs="仿宋_GB2312"/>
      <w:sz w:val="24"/>
      <w:szCs w:val="28"/>
    </w:rPr>
  </w:style>
  <w:style w:type="paragraph" w:customStyle="1" w:styleId="119">
    <w:name w:val="四级条标题"/>
    <w:basedOn w:val="120"/>
    <w:next w:val="1"/>
    <w:autoRedefine/>
    <w:qFormat/>
    <w:uiPriority w:val="0"/>
    <w:pPr>
      <w:numPr>
        <w:ilvl w:val="4"/>
      </w:numPr>
      <w:tabs>
        <w:tab w:val="left" w:pos="360"/>
        <w:tab w:val="left" w:pos="840"/>
      </w:tabs>
      <w:ind w:left="0" w:hanging="840"/>
      <w:outlineLvl w:val="4"/>
    </w:pPr>
  </w:style>
  <w:style w:type="paragraph" w:customStyle="1" w:styleId="120">
    <w:name w:val="三级条标题"/>
    <w:basedOn w:val="82"/>
    <w:next w:val="1"/>
    <w:autoRedefine/>
    <w:qFormat/>
    <w:uiPriority w:val="0"/>
    <w:pPr>
      <w:numPr>
        <w:ilvl w:val="3"/>
        <w:numId w:val="1"/>
      </w:numPr>
      <w:ind w:left="0" w:hanging="840"/>
      <w:outlineLvl w:val="3"/>
    </w:pPr>
  </w:style>
  <w:style w:type="paragraph" w:customStyle="1" w:styleId="121">
    <w:name w:val="??"/>
    <w:autoRedefine/>
    <w:qFormat/>
    <w:uiPriority w:val="0"/>
    <w:pPr>
      <w:widowControl w:val="0"/>
      <w:overflowPunct w:val="0"/>
      <w:autoSpaceDE w:val="0"/>
      <w:autoSpaceDN w:val="0"/>
      <w:adjustRightInd w:val="0"/>
      <w:jc w:val="both"/>
    </w:pPr>
    <w:rPr>
      <w:rFonts w:ascii="Times New Roman" w:hAnsi="Times New Roman" w:eastAsia="宋体" w:cs="Times New Roman"/>
      <w:kern w:val="2"/>
      <w:sz w:val="21"/>
      <w:lang w:val="en-US" w:eastAsia="en-US" w:bidi="ar-SA"/>
    </w:rPr>
  </w:style>
  <w:style w:type="paragraph" w:customStyle="1" w:styleId="122">
    <w:name w:val="样式 标题 2 + 宋体 五号 行距: 单倍行距"/>
    <w:basedOn w:val="3"/>
    <w:autoRedefine/>
    <w:qFormat/>
    <w:uiPriority w:val="0"/>
    <w:pPr>
      <w:numPr>
        <w:ilvl w:val="1"/>
        <w:numId w:val="4"/>
      </w:numPr>
      <w:autoSpaceDE/>
      <w:autoSpaceDN/>
      <w:spacing w:before="260" w:after="260" w:line="240" w:lineRule="auto"/>
      <w:jc w:val="left"/>
      <w:textAlignment w:val="baseline"/>
    </w:pPr>
    <w:rPr>
      <w:rFonts w:ascii="宋体" w:hAnsi="宋体" w:eastAsia="宋体"/>
      <w:bCs/>
      <w:sz w:val="21"/>
    </w:rPr>
  </w:style>
  <w:style w:type="paragraph" w:customStyle="1" w:styleId="123">
    <w:name w:val="List Paragraph1"/>
    <w:basedOn w:val="1"/>
    <w:autoRedefine/>
    <w:qFormat/>
    <w:uiPriority w:val="0"/>
    <w:pPr>
      <w:ind w:firstLine="420" w:firstLineChars="200"/>
    </w:pPr>
    <w:rPr>
      <w:rFonts w:ascii="Calibri" w:hAnsi="Calibri"/>
      <w:szCs w:val="22"/>
    </w:rPr>
  </w:style>
  <w:style w:type="paragraph" w:customStyle="1" w:styleId="124">
    <w:name w:val="项目符号1"/>
    <w:basedOn w:val="125"/>
    <w:autoRedefine/>
    <w:qFormat/>
    <w:uiPriority w:val="0"/>
    <w:pPr>
      <w:ind w:left="-25" w:firstLine="0"/>
    </w:pPr>
  </w:style>
  <w:style w:type="paragraph" w:customStyle="1" w:styleId="125">
    <w:name w:val="正文文本样式"/>
    <w:basedOn w:val="1"/>
    <w:autoRedefine/>
    <w:qFormat/>
    <w:uiPriority w:val="0"/>
    <w:pPr>
      <w:spacing w:line="360" w:lineRule="auto"/>
      <w:ind w:firstLine="482"/>
    </w:pPr>
    <w:rPr>
      <w:rFonts w:cs="宋体"/>
      <w:sz w:val="24"/>
      <w:szCs w:val="20"/>
    </w:rPr>
  </w:style>
  <w:style w:type="paragraph" w:customStyle="1" w:styleId="126">
    <w:name w:val="xl2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0"/>
      <w:szCs w:val="20"/>
    </w:rPr>
  </w:style>
  <w:style w:type="paragraph" w:customStyle="1" w:styleId="127">
    <w:name w:val="font5"/>
    <w:basedOn w:val="1"/>
    <w:autoRedefine/>
    <w:qFormat/>
    <w:uiPriority w:val="0"/>
    <w:pPr>
      <w:widowControl/>
      <w:spacing w:before="100" w:beforeAutospacing="1" w:after="100" w:afterAutospacing="1"/>
      <w:jc w:val="left"/>
    </w:pPr>
    <w:rPr>
      <w:rFonts w:ascii="宋体" w:hAnsi="宋体" w:cs="宋体"/>
      <w:kern w:val="0"/>
      <w:sz w:val="18"/>
      <w:szCs w:val="18"/>
    </w:rPr>
  </w:style>
  <w:style w:type="paragraph" w:customStyle="1" w:styleId="128">
    <w:name w:val="五级条标题"/>
    <w:basedOn w:val="119"/>
    <w:next w:val="1"/>
    <w:autoRedefine/>
    <w:qFormat/>
    <w:uiPriority w:val="0"/>
    <w:pPr>
      <w:numPr>
        <w:ilvl w:val="5"/>
      </w:numPr>
      <w:ind w:left="0" w:hanging="840"/>
      <w:outlineLvl w:val="5"/>
    </w:pPr>
  </w:style>
  <w:style w:type="paragraph" w:customStyle="1" w:styleId="129">
    <w:name w:val="xl4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2"/>
      <w:szCs w:val="22"/>
    </w:rPr>
  </w:style>
  <w:style w:type="paragraph" w:customStyle="1" w:styleId="130">
    <w:name w:val="文档正文"/>
    <w:basedOn w:val="1"/>
    <w:autoRedefine/>
    <w:qFormat/>
    <w:uiPriority w:val="0"/>
    <w:pPr>
      <w:snapToGrid w:val="0"/>
      <w:spacing w:before="120" w:after="120" w:line="180" w:lineRule="auto"/>
    </w:pPr>
    <w:rPr>
      <w:rFonts w:ascii="Arial" w:hAnsi="Arial"/>
      <w:szCs w:val="20"/>
    </w:rPr>
  </w:style>
  <w:style w:type="paragraph" w:customStyle="1" w:styleId="131">
    <w:name w:val="xl33"/>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eastAsia="Arial Unicode MS"/>
      <w:color w:val="000000"/>
      <w:kern w:val="0"/>
      <w:sz w:val="20"/>
      <w:szCs w:val="20"/>
    </w:rPr>
  </w:style>
  <w:style w:type="paragraph" w:customStyle="1" w:styleId="132">
    <w:name w:val="xl4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b/>
      <w:bCs/>
      <w:color w:val="000000"/>
      <w:kern w:val="0"/>
      <w:sz w:val="20"/>
      <w:szCs w:val="20"/>
    </w:rPr>
  </w:style>
  <w:style w:type="paragraph" w:customStyle="1" w:styleId="133">
    <w:name w:val="Char Char Char1 Char"/>
    <w:basedOn w:val="1"/>
    <w:autoRedefine/>
    <w:qFormat/>
    <w:uiPriority w:val="0"/>
    <w:rPr>
      <w:rFonts w:ascii="Tahoma" w:hAnsi="Tahoma"/>
      <w:sz w:val="24"/>
      <w:szCs w:val="20"/>
    </w:rPr>
  </w:style>
  <w:style w:type="paragraph" w:customStyle="1" w:styleId="134">
    <w:name w:val="xl44"/>
    <w:basedOn w:val="1"/>
    <w:autoRedefine/>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kern w:val="0"/>
      <w:sz w:val="24"/>
    </w:rPr>
  </w:style>
  <w:style w:type="paragraph" w:customStyle="1" w:styleId="135">
    <w:name w:val="1名"/>
    <w:basedOn w:val="1"/>
    <w:autoRedefine/>
    <w:qFormat/>
    <w:uiPriority w:val="0"/>
    <w:pPr>
      <w:numPr>
        <w:ilvl w:val="0"/>
        <w:numId w:val="5"/>
      </w:numPr>
      <w:spacing w:before="120"/>
    </w:pPr>
    <w:rPr>
      <w:rFonts w:ascii="宋体"/>
      <w:sz w:val="28"/>
      <w:szCs w:val="20"/>
    </w:rPr>
  </w:style>
  <w:style w:type="paragraph" w:customStyle="1" w:styleId="136">
    <w:name w:val="font9"/>
    <w:basedOn w:val="1"/>
    <w:autoRedefine/>
    <w:qFormat/>
    <w:uiPriority w:val="0"/>
    <w:pPr>
      <w:widowControl/>
      <w:spacing w:before="100" w:beforeAutospacing="1" w:after="100" w:afterAutospacing="1"/>
      <w:jc w:val="left"/>
    </w:pPr>
    <w:rPr>
      <w:rFonts w:hint="eastAsia" w:ascii="宋体" w:hAnsi="宋体" w:cs="Arial Unicode MS"/>
      <w:color w:val="000000"/>
      <w:kern w:val="0"/>
      <w:sz w:val="20"/>
      <w:szCs w:val="20"/>
    </w:rPr>
  </w:style>
  <w:style w:type="paragraph" w:customStyle="1" w:styleId="137">
    <w:name w:val="Char Char Char1 Char1"/>
    <w:basedOn w:val="1"/>
    <w:autoRedefine/>
    <w:qFormat/>
    <w:uiPriority w:val="0"/>
    <w:rPr>
      <w:rFonts w:ascii="Tahoma" w:hAnsi="Tahoma"/>
      <w:sz w:val="24"/>
      <w:szCs w:val="20"/>
    </w:rPr>
  </w:style>
  <w:style w:type="paragraph" w:customStyle="1" w:styleId="138">
    <w:name w:val="Char Char Char Char Char Char Char Char Char Char"/>
    <w:basedOn w:val="1"/>
    <w:autoRedefine/>
    <w:qFormat/>
    <w:uiPriority w:val="0"/>
  </w:style>
  <w:style w:type="paragraph" w:customStyle="1" w:styleId="139">
    <w:name w:val="Char Char1 Char Char Char Char Char Char Char Char"/>
    <w:basedOn w:val="1"/>
    <w:autoRedefine/>
    <w:qFormat/>
    <w:uiPriority w:val="0"/>
    <w:pPr>
      <w:widowControl/>
      <w:spacing w:after="160" w:line="240" w:lineRule="exact"/>
      <w:jc w:val="left"/>
    </w:pPr>
    <w:rPr>
      <w:rFonts w:ascii="Verdana" w:hAnsi="Verdana"/>
      <w:kern w:val="0"/>
      <w:sz w:val="20"/>
      <w:szCs w:val="20"/>
      <w:lang w:eastAsia="en-US"/>
    </w:rPr>
  </w:style>
  <w:style w:type="paragraph" w:customStyle="1" w:styleId="140">
    <w:name w:val="Char1"/>
    <w:basedOn w:val="1"/>
    <w:autoRedefine/>
    <w:qFormat/>
    <w:uiPriority w:val="0"/>
    <w:pPr>
      <w:tabs>
        <w:tab w:val="left" w:pos="360"/>
      </w:tabs>
    </w:pPr>
    <w:rPr>
      <w:sz w:val="24"/>
    </w:rPr>
  </w:style>
  <w:style w:type="paragraph" w:customStyle="1" w:styleId="141">
    <w:name w:val="正文列项_字母"/>
    <w:basedOn w:val="1"/>
    <w:autoRedefine/>
    <w:qFormat/>
    <w:uiPriority w:val="0"/>
    <w:pPr>
      <w:numPr>
        <w:ilvl w:val="6"/>
        <w:numId w:val="1"/>
      </w:numPr>
      <w:tabs>
        <w:tab w:val="clear" w:pos="635"/>
      </w:tabs>
      <w:autoSpaceDE w:val="0"/>
      <w:autoSpaceDN w:val="0"/>
      <w:spacing w:line="460" w:lineRule="exact"/>
      <w:ind w:left="480" w:leftChars="300" w:hanging="180" w:hangingChars="180"/>
      <w:outlineLvl w:val="6"/>
    </w:pPr>
    <w:rPr>
      <w:rFonts w:ascii="宋体"/>
      <w:kern w:val="0"/>
      <w:sz w:val="28"/>
      <w:szCs w:val="20"/>
    </w:rPr>
  </w:style>
  <w:style w:type="paragraph" w:customStyle="1" w:styleId="142">
    <w:name w:val="xl2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43">
    <w:name w:val="xl47"/>
    <w:basedOn w:val="1"/>
    <w:autoRedefine/>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44">
    <w:name w:val="默认段落字体 Para Char Char Char Char"/>
    <w:basedOn w:val="1"/>
    <w:autoRedefine/>
    <w:qFormat/>
    <w:uiPriority w:val="0"/>
    <w:rPr>
      <w:rFonts w:ascii="Arial" w:hAnsi="Arial" w:cs="Arial"/>
      <w:szCs w:val="21"/>
    </w:rPr>
  </w:style>
  <w:style w:type="paragraph" w:customStyle="1" w:styleId="145">
    <w:name w:val="xl4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22"/>
      <w:szCs w:val="22"/>
    </w:rPr>
  </w:style>
  <w:style w:type="paragraph" w:customStyle="1" w:styleId="146">
    <w:name w:val="xl3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eastAsia="Arial Unicode MS"/>
      <w:color w:val="000000"/>
      <w:kern w:val="0"/>
      <w:sz w:val="20"/>
      <w:szCs w:val="20"/>
    </w:rPr>
  </w:style>
  <w:style w:type="paragraph" w:customStyle="1" w:styleId="147">
    <w:name w:val="xl53"/>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top"/>
    </w:pPr>
    <w:rPr>
      <w:rFonts w:ascii="Arial Unicode MS" w:hAnsi="Arial Unicode MS" w:eastAsia="Arial Unicode MS" w:cs="Arial Unicode MS"/>
      <w:b/>
      <w:bCs/>
      <w:color w:val="000000"/>
      <w:kern w:val="0"/>
      <w:sz w:val="20"/>
      <w:szCs w:val="20"/>
    </w:rPr>
  </w:style>
  <w:style w:type="paragraph" w:customStyle="1" w:styleId="148">
    <w:name w:val="Char Char Char"/>
    <w:basedOn w:val="1"/>
    <w:autoRedefine/>
    <w:qFormat/>
    <w:uiPriority w:val="0"/>
    <w:rPr>
      <w:rFonts w:ascii="Tahoma" w:hAnsi="Tahoma"/>
      <w:sz w:val="24"/>
      <w:szCs w:val="20"/>
    </w:rPr>
  </w:style>
  <w:style w:type="paragraph" w:customStyle="1" w:styleId="149">
    <w:name w:val="xl5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32"/>
      <w:szCs w:val="32"/>
    </w:rPr>
  </w:style>
  <w:style w:type="paragraph" w:customStyle="1" w:styleId="150">
    <w:name w:val="缺省文本"/>
    <w:basedOn w:val="1"/>
    <w:autoRedefine/>
    <w:qFormat/>
    <w:uiPriority w:val="0"/>
    <w:pPr>
      <w:autoSpaceDE w:val="0"/>
      <w:autoSpaceDN w:val="0"/>
      <w:adjustRightInd w:val="0"/>
      <w:jc w:val="left"/>
    </w:pPr>
    <w:rPr>
      <w:kern w:val="0"/>
      <w:sz w:val="24"/>
    </w:rPr>
  </w:style>
  <w:style w:type="paragraph" w:customStyle="1" w:styleId="151">
    <w:name w:val="Char Char Char1"/>
    <w:basedOn w:val="1"/>
    <w:autoRedefine/>
    <w:qFormat/>
    <w:uiPriority w:val="0"/>
    <w:rPr>
      <w:rFonts w:ascii="Tahoma" w:hAnsi="Tahoma"/>
      <w:sz w:val="24"/>
      <w:szCs w:val="20"/>
    </w:rPr>
  </w:style>
  <w:style w:type="paragraph" w:customStyle="1" w:styleId="152">
    <w:name w:val="Char Char Char Char Char Char Char1"/>
    <w:basedOn w:val="1"/>
    <w:autoRedefine/>
    <w:qFormat/>
    <w:uiPriority w:val="0"/>
    <w:pPr>
      <w:snapToGrid w:val="0"/>
      <w:spacing w:line="360" w:lineRule="auto"/>
      <w:ind w:firstLine="200" w:firstLineChars="200"/>
    </w:pPr>
    <w:rPr>
      <w:rFonts w:eastAsia="仿宋_GB2312"/>
      <w:sz w:val="24"/>
    </w:rPr>
  </w:style>
  <w:style w:type="paragraph" w:customStyle="1" w:styleId="153">
    <w:name w:val="xl5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20"/>
      <w:szCs w:val="20"/>
    </w:rPr>
  </w:style>
  <w:style w:type="paragraph" w:customStyle="1" w:styleId="154">
    <w:name w:val="样式2"/>
    <w:basedOn w:val="39"/>
    <w:autoRedefine/>
    <w:qFormat/>
    <w:uiPriority w:val="0"/>
    <w:pPr>
      <w:spacing w:line="360" w:lineRule="auto"/>
      <w:jc w:val="center"/>
    </w:pPr>
    <w:rPr>
      <w:sz w:val="24"/>
    </w:rPr>
  </w:style>
  <w:style w:type="paragraph" w:customStyle="1" w:styleId="155">
    <w:name w:val="xl2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56">
    <w:name w:val="xl2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szCs w:val="20"/>
    </w:rPr>
  </w:style>
  <w:style w:type="paragraph" w:customStyle="1" w:styleId="157">
    <w:name w:val="正文 + 楷体_GB2312"/>
    <w:basedOn w:val="1"/>
    <w:autoRedefine/>
    <w:qFormat/>
    <w:uiPriority w:val="0"/>
    <w:pPr>
      <w:widowControl/>
      <w:jc w:val="left"/>
    </w:pPr>
    <w:rPr>
      <w:rFonts w:ascii="楷体_GB2312" w:eastAsia="楷体_GB2312" w:cs="Arial"/>
      <w:kern w:val="0"/>
      <w:sz w:val="24"/>
    </w:rPr>
  </w:style>
  <w:style w:type="paragraph" w:customStyle="1" w:styleId="158">
    <w:name w:val="xl3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color w:val="FF6600"/>
      <w:kern w:val="0"/>
      <w:sz w:val="20"/>
      <w:szCs w:val="20"/>
    </w:rPr>
  </w:style>
  <w:style w:type="paragraph" w:customStyle="1" w:styleId="159">
    <w:name w:val="1 Char Char Char Char"/>
    <w:basedOn w:val="1"/>
    <w:autoRedefine/>
    <w:qFormat/>
    <w:uiPriority w:val="0"/>
    <w:rPr>
      <w:rFonts w:ascii="Tahoma" w:hAnsi="Tahoma"/>
      <w:sz w:val="24"/>
      <w:szCs w:val="20"/>
    </w:rPr>
  </w:style>
  <w:style w:type="paragraph" w:customStyle="1" w:styleId="160">
    <w:name w:val="Default"/>
    <w:autoRedefine/>
    <w:qFormat/>
    <w:uiPriority w:val="0"/>
    <w:pPr>
      <w:widowControl w:val="0"/>
      <w:autoSpaceDE w:val="0"/>
      <w:autoSpaceDN w:val="0"/>
      <w:adjustRightInd w:val="0"/>
    </w:pPr>
    <w:rPr>
      <w:rFonts w:ascii="Symbol" w:hAnsi="Symbol" w:eastAsia="宋体" w:cs="Symbol"/>
      <w:color w:val="000000"/>
      <w:sz w:val="24"/>
      <w:szCs w:val="24"/>
      <w:lang w:val="en-US" w:eastAsia="zh-CN" w:bidi="ar-SA"/>
    </w:rPr>
  </w:style>
  <w:style w:type="paragraph" w:customStyle="1" w:styleId="161">
    <w:name w:val="列出段落1"/>
    <w:basedOn w:val="1"/>
    <w:autoRedefine/>
    <w:qFormat/>
    <w:uiPriority w:val="0"/>
    <w:pPr>
      <w:ind w:firstLine="420" w:firstLineChars="200"/>
    </w:pPr>
    <w:rPr>
      <w:rFonts w:ascii="Calibri" w:hAnsi="Calibri"/>
      <w:szCs w:val="22"/>
    </w:rPr>
  </w:style>
  <w:style w:type="paragraph" w:customStyle="1" w:styleId="162">
    <w:name w:val="default"/>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163">
    <w:name w:val="字元 字元1"/>
    <w:basedOn w:val="1"/>
    <w:autoRedefine/>
    <w:qFormat/>
    <w:uiPriority w:val="0"/>
    <w:rPr>
      <w:rFonts w:ascii="Tahoma" w:hAnsi="Tahoma"/>
      <w:sz w:val="24"/>
      <w:szCs w:val="20"/>
    </w:rPr>
  </w:style>
  <w:style w:type="paragraph" w:customStyle="1" w:styleId="164">
    <w:name w:val="_Style 160"/>
    <w:autoRedefine/>
    <w:qFormat/>
    <w:uiPriority w:val="0"/>
    <w:rPr>
      <w:rFonts w:ascii="Times New Roman" w:hAnsi="Times New Roman" w:eastAsia="宋体" w:cs="Times New Roman"/>
      <w:kern w:val="2"/>
      <w:sz w:val="21"/>
      <w:szCs w:val="24"/>
      <w:lang w:val="en-US" w:eastAsia="zh-CN" w:bidi="ar-SA"/>
    </w:rPr>
  </w:style>
  <w:style w:type="paragraph" w:customStyle="1" w:styleId="165">
    <w:name w:val="项目编号3"/>
    <w:basedOn w:val="125"/>
    <w:autoRedefine/>
    <w:qFormat/>
    <w:uiPriority w:val="0"/>
    <w:pPr>
      <w:numPr>
        <w:ilvl w:val="0"/>
        <w:numId w:val="6"/>
      </w:numPr>
    </w:pPr>
  </w:style>
  <w:style w:type="paragraph" w:customStyle="1" w:styleId="166">
    <w:name w:val="Char21"/>
    <w:basedOn w:val="1"/>
    <w:autoRedefine/>
    <w:qFormat/>
    <w:uiPriority w:val="0"/>
    <w:rPr>
      <w:rFonts w:ascii="Tahoma" w:hAnsi="Tahoma"/>
      <w:sz w:val="24"/>
      <w:szCs w:val="20"/>
    </w:rPr>
  </w:style>
  <w:style w:type="paragraph" w:customStyle="1" w:styleId="167">
    <w:name w:val="表格文字"/>
    <w:basedOn w:val="18"/>
    <w:autoRedefine/>
    <w:qFormat/>
    <w:uiPriority w:val="0"/>
    <w:pPr>
      <w:spacing w:before="20" w:after="20" w:line="240" w:lineRule="auto"/>
      <w:ind w:firstLine="0"/>
    </w:pPr>
    <w:rPr>
      <w:rFonts w:ascii="Century Gothic" w:hAnsi="Century Gothic"/>
      <w:sz w:val="20"/>
      <w:szCs w:val="20"/>
    </w:rPr>
  </w:style>
  <w:style w:type="paragraph" w:customStyle="1" w:styleId="168">
    <w:name w:val="Char Char Char Char Char Char Char Char Char Char1"/>
    <w:basedOn w:val="1"/>
    <w:autoRedefine/>
    <w:qFormat/>
    <w:uiPriority w:val="0"/>
    <w:rPr>
      <w:rFonts w:ascii="宋体" w:hAnsi="宋体" w:cs="Courier New"/>
      <w:sz w:val="32"/>
      <w:szCs w:val="32"/>
    </w:rPr>
  </w:style>
  <w:style w:type="paragraph" w:customStyle="1" w:styleId="169">
    <w:name w:val="正文文本样式 加粗"/>
    <w:basedOn w:val="125"/>
    <w:autoRedefine/>
    <w:qFormat/>
    <w:uiPriority w:val="0"/>
    <w:rPr>
      <w:b/>
    </w:rPr>
  </w:style>
  <w:style w:type="paragraph" w:customStyle="1" w:styleId="170">
    <w:name w:val="Char2 Char Char Char Char Char Char"/>
    <w:basedOn w:val="1"/>
    <w:autoRedefine/>
    <w:qFormat/>
    <w:uiPriority w:val="0"/>
    <w:pPr>
      <w:widowControl/>
      <w:spacing w:line="400" w:lineRule="exact"/>
      <w:jc w:val="center"/>
    </w:pPr>
  </w:style>
  <w:style w:type="character" w:customStyle="1" w:styleId="171">
    <w:name w:val="页脚 字符"/>
    <w:link w:val="28"/>
    <w:autoRedefine/>
    <w:qFormat/>
    <w:uiPriority w:val="99"/>
    <w:rPr>
      <w:rFonts w:ascii="宋体" w:eastAsia="宋体"/>
      <w:sz w:val="18"/>
      <w:lang w:val="en-US" w:eastAsia="zh-CN" w:bidi="ar-SA"/>
    </w:rPr>
  </w:style>
  <w:style w:type="paragraph" w:customStyle="1" w:styleId="172">
    <w:name w:val="Char Char4"/>
    <w:basedOn w:val="1"/>
    <w:autoRedefine/>
    <w:qFormat/>
    <w:uiPriority w:val="0"/>
    <w:pPr>
      <w:widowControl/>
      <w:spacing w:line="400" w:lineRule="exact"/>
      <w:jc w:val="center"/>
    </w:pPr>
  </w:style>
  <w:style w:type="paragraph" w:customStyle="1" w:styleId="173">
    <w:name w:val="Char3 Char Char Char1"/>
    <w:basedOn w:val="1"/>
    <w:autoRedefine/>
    <w:qFormat/>
    <w:uiPriority w:val="0"/>
    <w:rPr>
      <w:rFonts w:ascii="Tahoma" w:hAnsi="Tahoma"/>
      <w:sz w:val="24"/>
      <w:szCs w:val="20"/>
    </w:rPr>
  </w:style>
  <w:style w:type="paragraph" w:customStyle="1" w:styleId="174">
    <w:name w:val="22222222222222"/>
    <w:basedOn w:val="1"/>
    <w:autoRedefine/>
    <w:qFormat/>
    <w:uiPriority w:val="0"/>
    <w:pPr>
      <w:widowControl/>
      <w:adjustRightInd w:val="0"/>
      <w:spacing w:line="360" w:lineRule="auto"/>
      <w:ind w:firstLine="480" w:firstLineChars="200"/>
      <w:jc w:val="left"/>
    </w:pPr>
    <w:rPr>
      <w:color w:val="FF0000"/>
      <w:kern w:val="0"/>
      <w:sz w:val="24"/>
      <w:szCs w:val="20"/>
    </w:rPr>
  </w:style>
  <w:style w:type="character" w:customStyle="1" w:styleId="175">
    <w:name w:val="中等深浅网格 1 - 强调文字颜色 2 Char"/>
    <w:link w:val="176"/>
    <w:autoRedefine/>
    <w:qFormat/>
    <w:uiPriority w:val="0"/>
    <w:rPr>
      <w:kern w:val="2"/>
      <w:sz w:val="21"/>
      <w:szCs w:val="24"/>
      <w:lang w:val="zh-CN" w:eastAsia="zh-CN"/>
    </w:rPr>
  </w:style>
  <w:style w:type="paragraph" w:customStyle="1" w:styleId="176">
    <w:name w:val="1"/>
    <w:link w:val="175"/>
    <w:autoRedefine/>
    <w:qFormat/>
    <w:uiPriority w:val="0"/>
    <w:rPr>
      <w:rFonts w:ascii="Times New Roman" w:hAnsi="Times New Roman" w:eastAsia="宋体" w:cs="Times New Roman"/>
      <w:kern w:val="2"/>
      <w:sz w:val="21"/>
      <w:szCs w:val="24"/>
      <w:lang w:val="zh-CN" w:eastAsia="zh-CN" w:bidi="ar-SA"/>
    </w:rPr>
  </w:style>
  <w:style w:type="paragraph" w:customStyle="1" w:styleId="177">
    <w:name w:val="图文"/>
    <w:basedOn w:val="1"/>
    <w:autoRedefine/>
    <w:qFormat/>
    <w:uiPriority w:val="0"/>
    <w:pPr>
      <w:adjustRightInd w:val="0"/>
      <w:snapToGrid w:val="0"/>
      <w:spacing w:after="50" w:line="360" w:lineRule="auto"/>
    </w:pPr>
    <w:rPr>
      <w:sz w:val="24"/>
    </w:rPr>
  </w:style>
  <w:style w:type="paragraph" w:customStyle="1" w:styleId="178">
    <w:name w:val="xl23"/>
    <w:basedOn w:val="1"/>
    <w:autoRedefine/>
    <w:qFormat/>
    <w:uiPriority w:val="0"/>
    <w:pPr>
      <w:widowControl/>
      <w:spacing w:before="100" w:beforeAutospacing="1" w:after="100" w:afterAutospacing="1" w:line="360" w:lineRule="auto"/>
      <w:textAlignment w:val="top"/>
    </w:pPr>
    <w:rPr>
      <w:kern w:val="0"/>
      <w:sz w:val="24"/>
      <w:szCs w:val="20"/>
    </w:rPr>
  </w:style>
  <w:style w:type="paragraph" w:customStyle="1" w:styleId="179">
    <w:name w:val="正文表格"/>
    <w:basedOn w:val="1"/>
    <w:link w:val="180"/>
    <w:autoRedefine/>
    <w:qFormat/>
    <w:uiPriority w:val="0"/>
    <w:pPr>
      <w:adjustRightInd w:val="0"/>
      <w:snapToGrid w:val="0"/>
      <w:jc w:val="left"/>
    </w:pPr>
    <w:rPr>
      <w:rFonts w:ascii="宋体" w:hAnsi="宋体"/>
      <w:color w:val="000000"/>
      <w:szCs w:val="21"/>
    </w:rPr>
  </w:style>
  <w:style w:type="character" w:customStyle="1" w:styleId="180">
    <w:name w:val="正文表格 Char"/>
    <w:link w:val="179"/>
    <w:autoRedefine/>
    <w:qFormat/>
    <w:uiPriority w:val="0"/>
    <w:rPr>
      <w:rFonts w:ascii="宋体" w:hAnsi="宋体"/>
      <w:color w:val="000000"/>
      <w:kern w:val="2"/>
      <w:sz w:val="21"/>
      <w:szCs w:val="21"/>
    </w:rPr>
  </w:style>
  <w:style w:type="paragraph" w:customStyle="1" w:styleId="181">
    <w:name w:val="正文重点"/>
    <w:basedOn w:val="1"/>
    <w:link w:val="182"/>
    <w:autoRedefine/>
    <w:qFormat/>
    <w:uiPriority w:val="0"/>
    <w:pPr>
      <w:adjustRightInd w:val="0"/>
      <w:spacing w:line="360" w:lineRule="auto"/>
      <w:ind w:firstLine="482" w:firstLineChars="200"/>
      <w:jc w:val="left"/>
      <w:textAlignment w:val="baseline"/>
    </w:pPr>
    <w:rPr>
      <w:b/>
      <w:kern w:val="0"/>
      <w:sz w:val="24"/>
      <w:szCs w:val="20"/>
    </w:rPr>
  </w:style>
  <w:style w:type="character" w:customStyle="1" w:styleId="182">
    <w:name w:val="正文重点 Char"/>
    <w:link w:val="181"/>
    <w:autoRedefine/>
    <w:qFormat/>
    <w:uiPriority w:val="0"/>
    <w:rPr>
      <w:b/>
      <w:sz w:val="24"/>
    </w:rPr>
  </w:style>
  <w:style w:type="character" w:customStyle="1" w:styleId="183">
    <w:name w:val="批注文字 字符1"/>
    <w:link w:val="15"/>
    <w:autoRedefine/>
    <w:qFormat/>
    <w:uiPriority w:val="99"/>
    <w:rPr>
      <w:kern w:val="2"/>
      <w:sz w:val="21"/>
      <w:szCs w:val="24"/>
    </w:rPr>
  </w:style>
  <w:style w:type="paragraph" w:customStyle="1" w:styleId="184">
    <w:name w:val="标题1-附件"/>
    <w:basedOn w:val="2"/>
    <w:autoRedefine/>
    <w:qFormat/>
    <w:uiPriority w:val="0"/>
    <w:pPr>
      <w:jc w:val="left"/>
    </w:pPr>
    <w:rPr>
      <w:sz w:val="24"/>
      <w:szCs w:val="24"/>
    </w:rPr>
  </w:style>
  <w:style w:type="paragraph" w:customStyle="1" w:styleId="185">
    <w:name w:val="正文小标题"/>
    <w:basedOn w:val="1"/>
    <w:next w:val="12"/>
    <w:link w:val="186"/>
    <w:autoRedefine/>
    <w:qFormat/>
    <w:uiPriority w:val="0"/>
    <w:pPr>
      <w:adjustRightInd w:val="0"/>
      <w:snapToGrid w:val="0"/>
      <w:spacing w:before="312" w:beforeLines="100" w:after="312" w:afterLines="100"/>
      <w:ind w:firstLine="482"/>
      <w:jc w:val="left"/>
    </w:pPr>
    <w:rPr>
      <w:rFonts w:ascii="宋体" w:hAnsi="宋体"/>
      <w:b/>
      <w:i/>
      <w:color w:val="FF0000"/>
      <w:sz w:val="24"/>
      <w:szCs w:val="20"/>
    </w:rPr>
  </w:style>
  <w:style w:type="character" w:customStyle="1" w:styleId="186">
    <w:name w:val="正文小标题 Char"/>
    <w:link w:val="185"/>
    <w:autoRedefine/>
    <w:qFormat/>
    <w:uiPriority w:val="0"/>
    <w:rPr>
      <w:rFonts w:ascii="宋体" w:hAnsi="宋体"/>
      <w:b/>
      <w:i/>
      <w:color w:val="FF0000"/>
      <w:kern w:val="2"/>
      <w:sz w:val="24"/>
    </w:rPr>
  </w:style>
  <w:style w:type="paragraph" w:customStyle="1" w:styleId="187">
    <w:name w:val="正文大标题"/>
    <w:basedOn w:val="185"/>
    <w:next w:val="12"/>
    <w:link w:val="188"/>
    <w:autoRedefine/>
    <w:qFormat/>
    <w:uiPriority w:val="0"/>
    <w:pPr>
      <w:jc w:val="center"/>
    </w:pPr>
    <w:rPr>
      <w:i w:val="0"/>
      <w:color w:val="000000"/>
      <w:sz w:val="28"/>
      <w:szCs w:val="21"/>
    </w:rPr>
  </w:style>
  <w:style w:type="character" w:customStyle="1" w:styleId="188">
    <w:name w:val="正文大标题 Char"/>
    <w:link w:val="187"/>
    <w:autoRedefine/>
    <w:qFormat/>
    <w:uiPriority w:val="0"/>
    <w:rPr>
      <w:rFonts w:ascii="宋体" w:hAnsi="宋体"/>
      <w:b/>
      <w:color w:val="000000"/>
      <w:kern w:val="2"/>
      <w:sz w:val="28"/>
      <w:szCs w:val="21"/>
    </w:rPr>
  </w:style>
  <w:style w:type="character" w:customStyle="1" w:styleId="189">
    <w:name w:val="标题 字符"/>
    <w:link w:val="40"/>
    <w:autoRedefine/>
    <w:qFormat/>
    <w:uiPriority w:val="0"/>
    <w:rPr>
      <w:b/>
      <w:kern w:val="2"/>
      <w:sz w:val="32"/>
    </w:rPr>
  </w:style>
  <w:style w:type="paragraph" w:customStyle="1" w:styleId="190">
    <w:name w:val="注释"/>
    <w:basedOn w:val="1"/>
    <w:link w:val="191"/>
    <w:autoRedefine/>
    <w:qFormat/>
    <w:uiPriority w:val="0"/>
    <w:pPr>
      <w:adjustRightInd w:val="0"/>
      <w:snapToGrid w:val="0"/>
      <w:ind w:left="420" w:hanging="420" w:hangingChars="200"/>
      <w:jc w:val="left"/>
    </w:pPr>
    <w:rPr>
      <w:rFonts w:ascii="宋体" w:hAnsi="宋体"/>
      <w:szCs w:val="21"/>
    </w:rPr>
  </w:style>
  <w:style w:type="character" w:customStyle="1" w:styleId="191">
    <w:name w:val="注释 Char"/>
    <w:link w:val="190"/>
    <w:autoRedefine/>
    <w:qFormat/>
    <w:uiPriority w:val="0"/>
    <w:rPr>
      <w:rFonts w:ascii="宋体" w:hAnsi="宋体"/>
      <w:kern w:val="2"/>
      <w:sz w:val="21"/>
      <w:szCs w:val="21"/>
    </w:rPr>
  </w:style>
  <w:style w:type="paragraph" w:customStyle="1" w:styleId="192">
    <w:name w:val="正文须知-1级"/>
    <w:basedOn w:val="1"/>
    <w:next w:val="1"/>
    <w:autoRedefine/>
    <w:qFormat/>
    <w:uiPriority w:val="0"/>
    <w:pPr>
      <w:numPr>
        <w:ilvl w:val="0"/>
        <w:numId w:val="7"/>
      </w:numPr>
      <w:adjustRightInd w:val="0"/>
      <w:snapToGrid w:val="0"/>
      <w:spacing w:line="300" w:lineRule="auto"/>
    </w:pPr>
    <w:rPr>
      <w:rFonts w:ascii="宋体" w:hAnsi="Calibri"/>
      <w:sz w:val="24"/>
      <w:szCs w:val="21"/>
    </w:rPr>
  </w:style>
  <w:style w:type="paragraph" w:customStyle="1" w:styleId="193">
    <w:name w:val="正文须知-2级"/>
    <w:basedOn w:val="1"/>
    <w:autoRedefine/>
    <w:qFormat/>
    <w:uiPriority w:val="0"/>
    <w:pPr>
      <w:numPr>
        <w:ilvl w:val="1"/>
        <w:numId w:val="7"/>
      </w:numPr>
      <w:adjustRightInd w:val="0"/>
      <w:snapToGrid w:val="0"/>
      <w:spacing w:line="300" w:lineRule="auto"/>
    </w:pPr>
    <w:rPr>
      <w:rFonts w:ascii="宋体" w:hAnsi="Calibri"/>
      <w:sz w:val="24"/>
      <w:szCs w:val="21"/>
    </w:rPr>
  </w:style>
  <w:style w:type="paragraph" w:customStyle="1" w:styleId="194">
    <w:name w:val="正文须知-3级"/>
    <w:basedOn w:val="1"/>
    <w:autoRedefine/>
    <w:qFormat/>
    <w:uiPriority w:val="0"/>
    <w:pPr>
      <w:numPr>
        <w:ilvl w:val="2"/>
        <w:numId w:val="7"/>
      </w:numPr>
      <w:adjustRightInd w:val="0"/>
      <w:snapToGrid w:val="0"/>
      <w:spacing w:line="300" w:lineRule="auto"/>
      <w:ind w:hanging="355" w:hangingChars="355"/>
    </w:pPr>
    <w:rPr>
      <w:rFonts w:ascii="宋体" w:hAnsi="Calibri"/>
      <w:sz w:val="24"/>
      <w:szCs w:val="21"/>
    </w:rPr>
  </w:style>
  <w:style w:type="character" w:customStyle="1" w:styleId="195">
    <w:name w:val="批注文字 字符"/>
    <w:autoRedefine/>
    <w:qFormat/>
    <w:uiPriority w:val="99"/>
    <w:rPr>
      <w:rFonts w:ascii="Times New Roman" w:hAnsi="Times New Roman" w:eastAsia="宋体" w:cs="Times New Roman"/>
      <w:sz w:val="24"/>
      <w:lang w:val="en-US" w:eastAsia="zh-CN" w:bidi="ar-SA"/>
    </w:rPr>
  </w:style>
  <w:style w:type="character" w:customStyle="1" w:styleId="196">
    <w:name w:val="纯文本 字符"/>
    <w:autoRedefine/>
    <w:qFormat/>
    <w:uiPriority w:val="99"/>
    <w:rPr>
      <w:rFonts w:ascii="宋体" w:hAnsi="Courier New" w:eastAsia="宋体" w:cs="Times New Roman"/>
      <w:kern w:val="2"/>
      <w:sz w:val="21"/>
      <w:szCs w:val="21"/>
      <w:lang w:val="en-US" w:eastAsia="zh-CN" w:bidi="ar-SA"/>
    </w:rPr>
  </w:style>
  <w:style w:type="paragraph" w:customStyle="1" w:styleId="197">
    <w:name w:val="表格1"/>
    <w:basedOn w:val="1"/>
    <w:autoRedefine/>
    <w:qFormat/>
    <w:uiPriority w:val="0"/>
    <w:pPr>
      <w:ind w:firstLine="480" w:firstLineChars="200"/>
      <w:jc w:val="center"/>
    </w:pPr>
    <w:rPr>
      <w:sz w:val="24"/>
      <w:szCs w:val="20"/>
    </w:rPr>
  </w:style>
  <w:style w:type="character" w:customStyle="1" w:styleId="198">
    <w:name w:val="纯文本 字符1"/>
    <w:autoRedefine/>
    <w:qFormat/>
    <w:uiPriority w:val="0"/>
    <w:rPr>
      <w:rFonts w:ascii="宋体" w:hAnsi="Courier New"/>
    </w:rPr>
  </w:style>
  <w:style w:type="character" w:customStyle="1" w:styleId="199">
    <w:name w:val="bjh-p"/>
    <w:autoRedefine/>
    <w:qFormat/>
    <w:uiPriority w:val="0"/>
  </w:style>
  <w:style w:type="paragraph" w:customStyle="1" w:styleId="200">
    <w:name w:val="无标题条"/>
    <w:next w:val="1"/>
    <w:autoRedefine/>
    <w:qFormat/>
    <w:uiPriority w:val="0"/>
    <w:pPr>
      <w:jc w:val="both"/>
    </w:pPr>
    <w:rPr>
      <w:rFonts w:ascii="Times New Roman" w:hAnsi="Times New Roman" w:eastAsia="宋体" w:cs="Times New Roman"/>
      <w:sz w:val="21"/>
      <w:lang w:val="en-US" w:eastAsia="zh-CN" w:bidi="ar-SA"/>
    </w:rPr>
  </w:style>
  <w:style w:type="character" w:customStyle="1" w:styleId="201">
    <w:name w:val="正文格式 Char"/>
    <w:link w:val="202"/>
    <w:autoRedefine/>
    <w:qFormat/>
    <w:locked/>
    <w:uiPriority w:val="0"/>
    <w:rPr>
      <w:rFonts w:ascii="宋体" w:hAnsi="宋体"/>
      <w:sz w:val="24"/>
      <w:szCs w:val="24"/>
      <w:lang w:val="en-GB"/>
    </w:rPr>
  </w:style>
  <w:style w:type="paragraph" w:customStyle="1" w:styleId="202">
    <w:name w:val="正文格式"/>
    <w:basedOn w:val="1"/>
    <w:link w:val="201"/>
    <w:autoRedefine/>
    <w:qFormat/>
    <w:uiPriority w:val="0"/>
    <w:pPr>
      <w:spacing w:beforeLines="50" w:line="360" w:lineRule="auto"/>
      <w:ind w:firstLine="480" w:firstLineChars="200"/>
    </w:pPr>
    <w:rPr>
      <w:rFonts w:ascii="宋体" w:hAnsi="宋体"/>
      <w:kern w:val="0"/>
      <w:sz w:val="24"/>
      <w:lang w:val="en-GB"/>
    </w:rPr>
  </w:style>
  <w:style w:type="character" w:customStyle="1" w:styleId="203">
    <w:name w:val="纯文本 字符2"/>
    <w:basedOn w:val="47"/>
    <w:link w:val="23"/>
    <w:autoRedefine/>
    <w:qFormat/>
    <w:uiPriority w:val="0"/>
    <w:rPr>
      <w:rFonts w:hint="eastAsia" w:ascii="宋体" w:hAnsi="Courier New" w:eastAsia="宋体" w:cs="宋体"/>
      <w:kern w:val="2"/>
      <w:sz w:val="21"/>
    </w:rPr>
  </w:style>
  <w:style w:type="character" w:customStyle="1" w:styleId="204">
    <w:name w:val="标题 3 Char"/>
    <w:autoRedefine/>
    <w:qFormat/>
    <w:uiPriority w:val="0"/>
    <w:rPr>
      <w:rFonts w:ascii="宋体" w:eastAsia="宋体"/>
      <w:b/>
      <w:sz w:val="24"/>
      <w:u w:val="single"/>
      <w:lang w:val="en-US" w:eastAsia="zh-CN" w:bidi="ar-SA"/>
    </w:rPr>
  </w:style>
  <w:style w:type="character" w:customStyle="1" w:styleId="205">
    <w:name w:val="正文缩进 Char"/>
    <w:autoRedefine/>
    <w:qFormat/>
    <w:uiPriority w:val="0"/>
    <w:rPr>
      <w:rFonts w:ascii="宋体" w:eastAsia="宋体"/>
      <w:kern w:val="2"/>
      <w:sz w:val="24"/>
      <w:szCs w:val="24"/>
      <w:lang w:val="en-US" w:eastAsia="zh-CN" w:bidi="ar-SA"/>
    </w:rPr>
  </w:style>
  <w:style w:type="character" w:customStyle="1" w:styleId="206">
    <w:name w:val="Char Char111"/>
    <w:autoRedefine/>
    <w:qFormat/>
    <w:uiPriority w:val="0"/>
    <w:rPr>
      <w:rFonts w:ascii="宋体" w:eastAsia="宋体"/>
      <w:b/>
      <w:sz w:val="24"/>
      <w:u w:val="single"/>
      <w:lang w:val="en-US" w:eastAsia="zh-CN" w:bidi="ar-SA"/>
    </w:rPr>
  </w:style>
  <w:style w:type="character" w:customStyle="1" w:styleId="207">
    <w:name w:val="正文文本缩进 Char"/>
    <w:autoRedefine/>
    <w:qFormat/>
    <w:uiPriority w:val="0"/>
    <w:rPr>
      <w:rFonts w:eastAsia="宋体"/>
      <w:kern w:val="2"/>
      <w:sz w:val="24"/>
      <w:szCs w:val="24"/>
      <w:lang w:val="en-US" w:eastAsia="zh-CN" w:bidi="ar-SA"/>
    </w:rPr>
  </w:style>
  <w:style w:type="character" w:customStyle="1" w:styleId="208">
    <w:name w:val="列出段落 Char"/>
    <w:autoRedefine/>
    <w:qFormat/>
    <w:uiPriority w:val="0"/>
    <w:rPr>
      <w:rFonts w:ascii="Calibri" w:hAnsi="Calibri" w:eastAsia="宋体"/>
      <w:kern w:val="2"/>
      <w:sz w:val="21"/>
      <w:szCs w:val="22"/>
      <w:lang w:val="en-US" w:eastAsia="zh-CN" w:bidi="ar-SA"/>
    </w:rPr>
  </w:style>
  <w:style w:type="character" w:customStyle="1" w:styleId="209">
    <w:name w:val="页眉 Char"/>
    <w:autoRedefine/>
    <w:qFormat/>
    <w:uiPriority w:val="0"/>
    <w:rPr>
      <w:rFonts w:eastAsia="宋体"/>
      <w:kern w:val="2"/>
      <w:sz w:val="18"/>
      <w:szCs w:val="18"/>
      <w:lang w:val="en-US" w:eastAsia="zh-CN" w:bidi="ar-SA"/>
    </w:rPr>
  </w:style>
  <w:style w:type="character" w:customStyle="1" w:styleId="210">
    <w:name w:val="标题 2 Char"/>
    <w:autoRedefine/>
    <w:qFormat/>
    <w:uiPriority w:val="0"/>
    <w:rPr>
      <w:rFonts w:ascii="Arial" w:hAnsi="Arial" w:eastAsia="黑体"/>
      <w:b/>
      <w:sz w:val="30"/>
      <w:lang w:val="en-US" w:eastAsia="zh-CN" w:bidi="ar-SA"/>
    </w:rPr>
  </w:style>
  <w:style w:type="paragraph" w:customStyle="1" w:styleId="211">
    <w:name w:val="字元 字元2"/>
    <w:basedOn w:val="1"/>
    <w:autoRedefine/>
    <w:qFormat/>
    <w:uiPriority w:val="0"/>
    <w:rPr>
      <w:rFonts w:ascii="Tahoma" w:hAnsi="Tahoma"/>
      <w:sz w:val="24"/>
      <w:szCs w:val="20"/>
    </w:rPr>
  </w:style>
  <w:style w:type="paragraph" w:customStyle="1" w:styleId="212">
    <w:name w:val="Char3 Char Char Char2"/>
    <w:basedOn w:val="1"/>
    <w:autoRedefine/>
    <w:qFormat/>
    <w:uiPriority w:val="0"/>
    <w:rPr>
      <w:rFonts w:ascii="Tahoma" w:hAnsi="Tahoma"/>
      <w:sz w:val="24"/>
      <w:szCs w:val="20"/>
    </w:rPr>
  </w:style>
  <w:style w:type="paragraph" w:customStyle="1" w:styleId="213">
    <w:name w:val="正文文本缩进2"/>
    <w:basedOn w:val="1"/>
    <w:autoRedefine/>
    <w:qFormat/>
    <w:uiPriority w:val="0"/>
    <w:pPr>
      <w:spacing w:line="480" w:lineRule="exact"/>
      <w:ind w:firstLine="480" w:firstLineChars="200"/>
    </w:pPr>
    <w:rPr>
      <w:rFonts w:ascii="宋体" w:hAnsi="宋体"/>
      <w:kern w:val="0"/>
      <w:sz w:val="24"/>
      <w:lang w:val="zh-CN"/>
    </w:rPr>
  </w:style>
  <w:style w:type="paragraph" w:customStyle="1" w:styleId="214">
    <w:name w:val="Char3"/>
    <w:basedOn w:val="1"/>
    <w:autoRedefine/>
    <w:qFormat/>
    <w:uiPriority w:val="0"/>
    <w:pPr>
      <w:tabs>
        <w:tab w:val="left" w:pos="360"/>
      </w:tabs>
    </w:pPr>
    <w:rPr>
      <w:sz w:val="24"/>
    </w:rPr>
  </w:style>
  <w:style w:type="paragraph" w:customStyle="1" w:styleId="215">
    <w:name w:val="Char Char Char Char Char Char Char Char Char Char Char Char Char Char Char Char1"/>
    <w:basedOn w:val="1"/>
    <w:autoRedefine/>
    <w:qFormat/>
    <w:uiPriority w:val="0"/>
    <w:pPr>
      <w:widowControl/>
      <w:spacing w:after="160" w:line="240" w:lineRule="exact"/>
      <w:jc w:val="center"/>
    </w:pPr>
    <w:rPr>
      <w:rFonts w:ascii="宋体" w:hAnsi="宋体"/>
      <w:b/>
      <w:kern w:val="0"/>
      <w:sz w:val="30"/>
      <w:szCs w:val="30"/>
      <w:lang w:eastAsia="en-US"/>
    </w:rPr>
  </w:style>
  <w:style w:type="paragraph" w:customStyle="1" w:styleId="216">
    <w:name w:val="Char Char1 Char Char Char Char Char Char1"/>
    <w:basedOn w:val="1"/>
    <w:autoRedefine/>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217">
    <w:name w:val="列出段落2"/>
    <w:basedOn w:val="1"/>
    <w:autoRedefine/>
    <w:qFormat/>
    <w:uiPriority w:val="0"/>
    <w:pPr>
      <w:ind w:firstLine="420" w:firstLineChars="200"/>
    </w:pPr>
    <w:rPr>
      <w:rFonts w:ascii="Calibri" w:hAnsi="Calibri"/>
      <w:szCs w:val="22"/>
    </w:rPr>
  </w:style>
  <w:style w:type="paragraph" w:customStyle="1" w:styleId="218">
    <w:name w:val="Char Char Char1 Char2"/>
    <w:basedOn w:val="1"/>
    <w:autoRedefine/>
    <w:qFormat/>
    <w:uiPriority w:val="0"/>
    <w:rPr>
      <w:rFonts w:ascii="Tahoma" w:hAnsi="Tahoma"/>
      <w:sz w:val="24"/>
      <w:szCs w:val="20"/>
    </w:rPr>
  </w:style>
  <w:style w:type="paragraph" w:customStyle="1" w:styleId="219">
    <w:name w:val="Char Char Char2"/>
    <w:basedOn w:val="1"/>
    <w:autoRedefine/>
    <w:qFormat/>
    <w:uiPriority w:val="0"/>
    <w:rPr>
      <w:rFonts w:ascii="Tahoma" w:hAnsi="Tahoma"/>
      <w:sz w:val="24"/>
      <w:szCs w:val="20"/>
    </w:rPr>
  </w:style>
  <w:style w:type="paragraph" w:customStyle="1" w:styleId="220">
    <w:name w:val="Char Char Char Char Char Char Char2"/>
    <w:basedOn w:val="1"/>
    <w:autoRedefine/>
    <w:qFormat/>
    <w:uiPriority w:val="0"/>
    <w:pPr>
      <w:snapToGrid w:val="0"/>
      <w:spacing w:line="360" w:lineRule="auto"/>
      <w:ind w:firstLine="200" w:firstLineChars="200"/>
    </w:pPr>
    <w:rPr>
      <w:rFonts w:eastAsia="仿宋_GB2312"/>
      <w:sz w:val="24"/>
    </w:rPr>
  </w:style>
  <w:style w:type="paragraph" w:customStyle="1" w:styleId="221">
    <w:name w:val="正文缩进2"/>
    <w:basedOn w:val="1"/>
    <w:autoRedefine/>
    <w:qFormat/>
    <w:uiPriority w:val="0"/>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222">
    <w:name w:val="修订1"/>
    <w:autoRedefine/>
    <w:qFormat/>
    <w:uiPriority w:val="0"/>
    <w:rPr>
      <w:rFonts w:ascii="Times New Roman" w:hAnsi="Times New Roman" w:eastAsia="宋体" w:cs="Times New Roman"/>
      <w:kern w:val="2"/>
      <w:sz w:val="21"/>
      <w:szCs w:val="24"/>
      <w:lang w:val="en-US" w:eastAsia="zh-CN" w:bidi="ar-SA"/>
    </w:rPr>
  </w:style>
  <w:style w:type="paragraph" w:customStyle="1" w:styleId="223">
    <w:name w:val="Char22"/>
    <w:basedOn w:val="1"/>
    <w:autoRedefine/>
    <w:qFormat/>
    <w:uiPriority w:val="0"/>
    <w:rPr>
      <w:rFonts w:ascii="Tahoma" w:hAnsi="Tahoma"/>
      <w:sz w:val="24"/>
      <w:szCs w:val="20"/>
    </w:rPr>
  </w:style>
  <w:style w:type="paragraph" w:customStyle="1" w:styleId="224">
    <w:name w:val="Char Char Char Char Char Char Char Char Char Char2"/>
    <w:basedOn w:val="1"/>
    <w:autoRedefine/>
    <w:qFormat/>
    <w:uiPriority w:val="0"/>
    <w:rPr>
      <w:rFonts w:ascii="宋体" w:hAnsi="宋体" w:cs="Courier New"/>
      <w:sz w:val="32"/>
      <w:szCs w:val="32"/>
    </w:rPr>
  </w:style>
  <w:style w:type="paragraph" w:customStyle="1" w:styleId="225">
    <w:name w:val="Char2 Char Char Char Char Char Char1"/>
    <w:basedOn w:val="1"/>
    <w:autoRedefine/>
    <w:qFormat/>
    <w:uiPriority w:val="0"/>
    <w:pPr>
      <w:widowControl/>
      <w:spacing w:line="400" w:lineRule="exact"/>
      <w:jc w:val="center"/>
    </w:pPr>
  </w:style>
  <w:style w:type="character" w:customStyle="1" w:styleId="226">
    <w:name w:val="页脚 Char"/>
    <w:autoRedefine/>
    <w:qFormat/>
    <w:uiPriority w:val="0"/>
    <w:rPr>
      <w:rFonts w:ascii="宋体" w:eastAsia="宋体"/>
      <w:sz w:val="18"/>
      <w:lang w:val="en-US" w:eastAsia="zh-CN" w:bidi="ar-SA"/>
    </w:rPr>
  </w:style>
  <w:style w:type="paragraph" w:customStyle="1" w:styleId="227">
    <w:name w:val="Char Char41"/>
    <w:basedOn w:val="1"/>
    <w:autoRedefine/>
    <w:qFormat/>
    <w:uiPriority w:val="0"/>
    <w:pPr>
      <w:widowControl/>
      <w:spacing w:line="400" w:lineRule="exact"/>
      <w:jc w:val="center"/>
    </w:pPr>
  </w:style>
  <w:style w:type="character" w:customStyle="1" w:styleId="228">
    <w:name w:val="批注文字 Char"/>
    <w:autoRedefine/>
    <w:qFormat/>
    <w:uiPriority w:val="99"/>
    <w:rPr>
      <w:kern w:val="2"/>
      <w:sz w:val="21"/>
      <w:szCs w:val="24"/>
    </w:rPr>
  </w:style>
  <w:style w:type="character" w:customStyle="1" w:styleId="229">
    <w:name w:val="标题 Char"/>
    <w:autoRedefine/>
    <w:qFormat/>
    <w:uiPriority w:val="0"/>
    <w:rPr>
      <w:b/>
      <w:kern w:val="2"/>
      <w:sz w:val="32"/>
    </w:rPr>
  </w:style>
  <w:style w:type="character" w:customStyle="1" w:styleId="230">
    <w:name w:val="标题 1 字符"/>
    <w:basedOn w:val="47"/>
    <w:link w:val="2"/>
    <w:autoRedefine/>
    <w:qFormat/>
    <w:uiPriority w:val="0"/>
    <w:rPr>
      <w:rFonts w:ascii="宋体"/>
      <w:b/>
      <w:kern w:val="44"/>
      <w:sz w:val="32"/>
    </w:rPr>
  </w:style>
  <w:style w:type="character" w:customStyle="1" w:styleId="231">
    <w:name w:val="标题 4 字符"/>
    <w:basedOn w:val="47"/>
    <w:link w:val="5"/>
    <w:autoRedefine/>
    <w:qFormat/>
    <w:uiPriority w:val="0"/>
    <w:rPr>
      <w:sz w:val="24"/>
    </w:rPr>
  </w:style>
  <w:style w:type="character" w:customStyle="1" w:styleId="232">
    <w:name w:val="标题 5 字符"/>
    <w:basedOn w:val="47"/>
    <w:link w:val="6"/>
    <w:autoRedefine/>
    <w:qFormat/>
    <w:uiPriority w:val="0"/>
    <w:rPr>
      <w:b/>
      <w:sz w:val="28"/>
    </w:rPr>
  </w:style>
  <w:style w:type="character" w:customStyle="1" w:styleId="233">
    <w:name w:val="标题 6 字符"/>
    <w:basedOn w:val="47"/>
    <w:link w:val="7"/>
    <w:autoRedefine/>
    <w:qFormat/>
    <w:uiPriority w:val="0"/>
    <w:rPr>
      <w:rFonts w:ascii="Arial" w:hAnsi="Arial" w:eastAsia="黑体"/>
      <w:b/>
      <w:sz w:val="24"/>
    </w:rPr>
  </w:style>
  <w:style w:type="character" w:customStyle="1" w:styleId="234">
    <w:name w:val="标题 7 字符"/>
    <w:basedOn w:val="47"/>
    <w:link w:val="8"/>
    <w:autoRedefine/>
    <w:qFormat/>
    <w:uiPriority w:val="0"/>
    <w:rPr>
      <w:b/>
      <w:sz w:val="24"/>
    </w:rPr>
  </w:style>
  <w:style w:type="character" w:customStyle="1" w:styleId="235">
    <w:name w:val="标题 8 字符"/>
    <w:basedOn w:val="47"/>
    <w:link w:val="9"/>
    <w:autoRedefine/>
    <w:qFormat/>
    <w:uiPriority w:val="0"/>
    <w:rPr>
      <w:rFonts w:ascii="Arial" w:hAnsi="Arial" w:eastAsia="黑体"/>
      <w:sz w:val="24"/>
    </w:rPr>
  </w:style>
  <w:style w:type="character" w:customStyle="1" w:styleId="236">
    <w:name w:val="标题 9 字符"/>
    <w:basedOn w:val="47"/>
    <w:link w:val="10"/>
    <w:autoRedefine/>
    <w:qFormat/>
    <w:uiPriority w:val="0"/>
    <w:rPr>
      <w:rFonts w:ascii="Arial" w:hAnsi="Arial" w:eastAsia="黑体"/>
      <w:sz w:val="21"/>
    </w:rPr>
  </w:style>
  <w:style w:type="character" w:customStyle="1" w:styleId="237">
    <w:name w:val="文档结构图 字符"/>
    <w:basedOn w:val="47"/>
    <w:link w:val="14"/>
    <w:autoRedefine/>
    <w:qFormat/>
    <w:uiPriority w:val="0"/>
    <w:rPr>
      <w:kern w:val="2"/>
      <w:sz w:val="21"/>
      <w:szCs w:val="24"/>
      <w:shd w:val="clear" w:color="auto" w:fill="000080"/>
    </w:rPr>
  </w:style>
  <w:style w:type="character" w:customStyle="1" w:styleId="238">
    <w:name w:val="正文文本 3 字符"/>
    <w:basedOn w:val="47"/>
    <w:link w:val="16"/>
    <w:autoRedefine/>
    <w:qFormat/>
    <w:uiPriority w:val="0"/>
    <w:rPr>
      <w:kern w:val="2"/>
      <w:sz w:val="16"/>
      <w:szCs w:val="16"/>
    </w:rPr>
  </w:style>
  <w:style w:type="character" w:customStyle="1" w:styleId="239">
    <w:name w:val="正文文本 字符"/>
    <w:basedOn w:val="47"/>
    <w:link w:val="17"/>
    <w:autoRedefine/>
    <w:qFormat/>
    <w:uiPriority w:val="0"/>
    <w:rPr>
      <w:rFonts w:ascii="宋体" w:hAnsi="宋体"/>
      <w:kern w:val="2"/>
      <w:sz w:val="24"/>
      <w:szCs w:val="24"/>
    </w:rPr>
  </w:style>
  <w:style w:type="character" w:customStyle="1" w:styleId="240">
    <w:name w:val="日期 字符"/>
    <w:basedOn w:val="47"/>
    <w:link w:val="25"/>
    <w:autoRedefine/>
    <w:qFormat/>
    <w:uiPriority w:val="0"/>
    <w:rPr>
      <w:rFonts w:ascii="仿宋_GB2312" w:hAnsi="宋体" w:eastAsia="仿宋_GB2312"/>
      <w:color w:val="000000"/>
      <w:kern w:val="2"/>
      <w:sz w:val="24"/>
      <w:szCs w:val="24"/>
    </w:rPr>
  </w:style>
  <w:style w:type="character" w:customStyle="1" w:styleId="241">
    <w:name w:val="正文文本缩进 2 字符"/>
    <w:basedOn w:val="47"/>
    <w:link w:val="26"/>
    <w:autoRedefine/>
    <w:qFormat/>
    <w:uiPriority w:val="0"/>
    <w:rPr>
      <w:rFonts w:ascii="仿宋_GB2312" w:eastAsia="仿宋_GB2312"/>
      <w:kern w:val="2"/>
      <w:sz w:val="24"/>
      <w:szCs w:val="24"/>
    </w:rPr>
  </w:style>
  <w:style w:type="character" w:customStyle="1" w:styleId="242">
    <w:name w:val="批注框文本 字符"/>
    <w:basedOn w:val="47"/>
    <w:link w:val="27"/>
    <w:autoRedefine/>
    <w:qFormat/>
    <w:uiPriority w:val="0"/>
    <w:rPr>
      <w:kern w:val="2"/>
      <w:sz w:val="18"/>
      <w:szCs w:val="18"/>
    </w:rPr>
  </w:style>
  <w:style w:type="character" w:customStyle="1" w:styleId="243">
    <w:name w:val="正文文本缩进 3 字符"/>
    <w:basedOn w:val="47"/>
    <w:link w:val="33"/>
    <w:autoRedefine/>
    <w:qFormat/>
    <w:uiPriority w:val="0"/>
    <w:rPr>
      <w:rFonts w:ascii="宋体"/>
      <w:sz w:val="24"/>
    </w:rPr>
  </w:style>
  <w:style w:type="character" w:customStyle="1" w:styleId="244">
    <w:name w:val="HTML 预设格式 字符"/>
    <w:basedOn w:val="47"/>
    <w:link w:val="37"/>
    <w:autoRedefine/>
    <w:qFormat/>
    <w:uiPriority w:val="0"/>
    <w:rPr>
      <w:rFonts w:ascii="宋体" w:hAnsi="宋体" w:cs="宋体"/>
      <w:sz w:val="24"/>
      <w:szCs w:val="24"/>
    </w:rPr>
  </w:style>
  <w:style w:type="character" w:customStyle="1" w:styleId="245">
    <w:name w:val="批注主题 字符"/>
    <w:basedOn w:val="195"/>
    <w:link w:val="41"/>
    <w:autoRedefine/>
    <w:qFormat/>
    <w:uiPriority w:val="0"/>
    <w:rPr>
      <w:rFonts w:ascii="Times New Roman" w:hAnsi="Times New Roman" w:eastAsia="宋体" w:cs="Times New Roman"/>
      <w:b/>
      <w:bCs/>
      <w:kern w:val="2"/>
      <w:sz w:val="21"/>
      <w:szCs w:val="24"/>
      <w:lang w:val="en-US" w:eastAsia="zh-CN" w:bidi="ar-SA"/>
    </w:rPr>
  </w:style>
  <w:style w:type="character" w:customStyle="1" w:styleId="246">
    <w:name w:val="正文文本首行缩进 2 字符"/>
    <w:basedOn w:val="69"/>
    <w:link w:val="43"/>
    <w:autoRedefine/>
    <w:qFormat/>
    <w:uiPriority w:val="0"/>
    <w:rPr>
      <w:rFonts w:eastAsia="宋体"/>
      <w:kern w:val="2"/>
      <w:sz w:val="24"/>
      <w:szCs w:val="24"/>
      <w:lang w:val="en-US" w:eastAsia="zh-CN" w:bidi="ar-SA"/>
    </w:rPr>
  </w:style>
  <w:style w:type="paragraph" w:customStyle="1" w:styleId="247">
    <w:name w:val="图例"/>
    <w:basedOn w:val="1"/>
    <w:autoRedefine/>
    <w:qFormat/>
    <w:uiPriority w:val="0"/>
    <w:pPr>
      <w:spacing w:before="120" w:after="120" w:line="360" w:lineRule="auto"/>
      <w:jc w:val="center"/>
    </w:pPr>
    <w:rPr>
      <w:rFonts w:eastAsia="仿宋_GB2312"/>
      <w:b/>
      <w:sz w:val="24"/>
      <w:szCs w:val="20"/>
    </w:rPr>
  </w:style>
  <w:style w:type="table" w:customStyle="1" w:styleId="248">
    <w:name w:val="Table Normal"/>
    <w:autoRedefine/>
    <w:semiHidden/>
    <w:unhideWhenUsed/>
    <w:qFormat/>
    <w:uiPriority w:val="2"/>
    <w:pPr>
      <w:widowControl w:val="0"/>
      <w:autoSpaceDE w:val="0"/>
      <w:autoSpaceDN w:val="0"/>
    </w:pPr>
    <w:rPr>
      <w:rFonts w:asciiTheme="minorHAnsi" w:hAnsiTheme="minorHAnsi" w:eastAsiaTheme="minorEastAsia" w:cstheme="minorBidi"/>
      <w:sz w:val="22"/>
      <w:szCs w:val="22"/>
      <w:lang w:eastAsia="en-US"/>
    </w:rPr>
    <w:tblPr>
      <w:tblCellMar>
        <w:top w:w="0" w:type="dxa"/>
        <w:left w:w="0" w:type="dxa"/>
        <w:bottom w:w="0" w:type="dxa"/>
        <w:right w:w="0" w:type="dxa"/>
      </w:tblCellMar>
    </w:tblPr>
  </w:style>
  <w:style w:type="paragraph" w:customStyle="1" w:styleId="249">
    <w:name w:val="Table Paragraph"/>
    <w:basedOn w:val="1"/>
    <w:autoRedefine/>
    <w:qFormat/>
    <w:uiPriority w:val="1"/>
    <w:pPr>
      <w:autoSpaceDE w:val="0"/>
      <w:autoSpaceDN w:val="0"/>
      <w:jc w:val="left"/>
    </w:pPr>
    <w:rPr>
      <w:rFonts w:ascii="宋体" w:hAnsi="宋体" w:cs="宋体"/>
      <w:kern w:val="0"/>
      <w:sz w:val="22"/>
      <w:szCs w:val="22"/>
      <w:lang w:eastAsia="en-US"/>
    </w:rPr>
  </w:style>
  <w:style w:type="character" w:customStyle="1" w:styleId="250">
    <w:name w:val="font31"/>
    <w:basedOn w:val="47"/>
    <w:autoRedefine/>
    <w:qFormat/>
    <w:uiPriority w:val="0"/>
    <w:rPr>
      <w:rFonts w:hint="eastAsia" w:ascii="宋体" w:hAnsi="宋体" w:eastAsia="宋体" w:cs="宋体"/>
      <w:color w:val="000000"/>
      <w:sz w:val="21"/>
      <w:szCs w:val="21"/>
      <w:u w:val="none"/>
    </w:rPr>
  </w:style>
  <w:style w:type="paragraph" w:customStyle="1" w:styleId="251">
    <w:name w:val="my正文"/>
    <w:basedOn w:val="1"/>
    <w:autoRedefine/>
    <w:qFormat/>
    <w:uiPriority w:val="0"/>
    <w:pPr>
      <w:spacing w:line="360" w:lineRule="auto"/>
      <w:ind w:firstLine="480" w:firstLineChars="200"/>
    </w:pPr>
    <w:rPr>
      <w:sz w:val="24"/>
    </w:rPr>
  </w:style>
  <w:style w:type="paragraph" w:customStyle="1" w:styleId="252">
    <w:name w:val="Normal + 小四"/>
    <w:basedOn w:val="1"/>
    <w:autoRedefine/>
    <w:qFormat/>
    <w:uiPriority w:val="0"/>
    <w:pPr>
      <w:spacing w:line="360" w:lineRule="auto"/>
    </w:pPr>
    <w:rPr>
      <w:sz w:val="24"/>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header" Target="header4.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4" Type="http://schemas.openxmlformats.org/officeDocument/2006/relationships/fontTable" Target="fontTable.xml"/><Relationship Id="rId23" Type="http://schemas.openxmlformats.org/officeDocument/2006/relationships/customXml" Target="../customXml/item2.xml"/><Relationship Id="rId22" Type="http://schemas.openxmlformats.org/officeDocument/2006/relationships/numbering" Target="numbering.xml"/><Relationship Id="rId21" Type="http://schemas.openxmlformats.org/officeDocument/2006/relationships/customXml" Target="../customXml/item1.xml"/><Relationship Id="rId20" Type="http://schemas.openxmlformats.org/officeDocument/2006/relationships/theme" Target="theme/theme1.xml"/><Relationship Id="rId2" Type="http://schemas.openxmlformats.org/officeDocument/2006/relationships/settings" Target="settings.xml"/><Relationship Id="rId19" Type="http://schemas.openxmlformats.org/officeDocument/2006/relationships/footer" Target="footer9.xml"/><Relationship Id="rId18" Type="http://schemas.openxmlformats.org/officeDocument/2006/relationships/footer" Target="footer8.xml"/><Relationship Id="rId17" Type="http://schemas.openxmlformats.org/officeDocument/2006/relationships/header" Target="header8.xml"/><Relationship Id="rId16" Type="http://schemas.openxmlformats.org/officeDocument/2006/relationships/header" Target="header7.xml"/><Relationship Id="rId15" Type="http://schemas.openxmlformats.org/officeDocument/2006/relationships/footer" Target="footer7.xml"/><Relationship Id="rId14" Type="http://schemas.openxmlformats.org/officeDocument/2006/relationships/footer" Target="footer6.xml"/><Relationship Id="rId13" Type="http://schemas.openxmlformats.org/officeDocument/2006/relationships/header" Target="header6.xml"/><Relationship Id="rId12" Type="http://schemas.openxmlformats.org/officeDocument/2006/relationships/header" Target="header5.xml"/><Relationship Id="rId11" Type="http://schemas.openxmlformats.org/officeDocument/2006/relationships/footer" Target="footer5.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StyleName="APA" SelectedStyle="\APASixthEditionOfficeOnline.xsl"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E5FEABBB-E92B-4964-9345-FCCC578D32B8}">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69</Pages>
  <Words>31931</Words>
  <Characters>33628</Characters>
  <Lines>256</Lines>
  <Paragraphs>72</Paragraphs>
  <TotalTime>1</TotalTime>
  <ScaleCrop>false</ScaleCrop>
  <LinksUpToDate>false</LinksUpToDate>
  <CharactersWithSpaces>34366</CharactersWithSpaces>
  <Application>WPS Office_12.1.0.16417_F1E327BC-269C-435d-A152-05C5408002CA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2023-09-26T23:00:00Z</dcterms:created>
  <dc:creator>尹皓</dc:creator>
  <cp:lastModifiedBy>嘿</cp:lastModifiedBy>
  <cp:lastPrinted>2023-11-23T20:36:00Z</cp:lastPrinted>
  <dcterms:modified xsi:type="dcterms:W3CDTF">2024-03-25T01:43:07Z</dcterms:modified>
  <dc:title>政府采购示范文本（2023）</dc:title>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2052-12.1.0.16417</vt:lpwstr>
  </property>
  <property fmtid="{D5CDD505-2E9C-101B-9397-08002B2CF9AE}" pid="3" name="ICV">
    <vt:lpwstr>6AF6380E84F24E42B8FFD7188DCC23CA_13</vt:lpwstr>
  </property>
</Properties>
</file>