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5C17E">
      <w:pPr>
        <w:pageBreakBefore w:val="0"/>
        <w:overflowPunct/>
        <w:topLinePunct w:val="0"/>
        <w:bidi w:val="0"/>
        <w:snapToGrid w:val="0"/>
        <w:spacing w:after="0" w:line="360" w:lineRule="auto"/>
        <w:jc w:val="both"/>
        <w:rPr>
          <w:rFonts w:hint="eastAsia" w:ascii="宋体" w:hAnsi="宋体" w:eastAsia="宋体" w:cs="宋体"/>
          <w:b/>
          <w:bCs/>
          <w:color w:val="auto"/>
          <w:sz w:val="52"/>
          <w:szCs w:val="52"/>
        </w:rPr>
      </w:pPr>
    </w:p>
    <w:p w14:paraId="63D412F9">
      <w:pPr>
        <w:pageBreakBefore w:val="0"/>
        <w:overflowPunct/>
        <w:topLinePunct w:val="0"/>
        <w:bidi w:val="0"/>
        <w:snapToGrid w:val="0"/>
        <w:spacing w:after="0"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北京市南水北调大宁管理处水利工程日常维修养护-设备</w:t>
      </w:r>
      <w:r>
        <w:rPr>
          <w:rFonts w:hint="eastAsia" w:ascii="宋体" w:hAnsi="宋体" w:eastAsia="宋体" w:cs="宋体"/>
          <w:b/>
          <w:bCs/>
          <w:color w:val="auto"/>
          <w:sz w:val="52"/>
          <w:szCs w:val="52"/>
          <w:lang w:val="en-US" w:eastAsia="zh-CN"/>
        </w:rPr>
        <w:t>设施</w:t>
      </w:r>
      <w:r>
        <w:rPr>
          <w:rFonts w:hint="eastAsia" w:ascii="宋体" w:hAnsi="宋体" w:eastAsia="宋体" w:cs="宋体"/>
          <w:b/>
          <w:bCs/>
          <w:color w:val="auto"/>
          <w:sz w:val="52"/>
          <w:szCs w:val="52"/>
        </w:rPr>
        <w:t>维修养护</w:t>
      </w:r>
    </w:p>
    <w:p w14:paraId="203DA833">
      <w:pPr>
        <w:pStyle w:val="6"/>
        <w:pageBreakBefore w:val="0"/>
        <w:overflowPunct/>
        <w:topLinePunct w:val="0"/>
        <w:bidi w:val="0"/>
        <w:snapToGrid w:val="0"/>
        <w:spacing w:after="0" w:line="360" w:lineRule="auto"/>
        <w:rPr>
          <w:rFonts w:hint="eastAsia" w:hAnsi="宋体"/>
        </w:rPr>
      </w:pPr>
    </w:p>
    <w:p w14:paraId="1BF146CE">
      <w:pPr>
        <w:pStyle w:val="6"/>
        <w:pageBreakBefore w:val="0"/>
        <w:overflowPunct/>
        <w:topLinePunct w:val="0"/>
        <w:bidi w:val="0"/>
        <w:snapToGrid w:val="0"/>
        <w:spacing w:after="0" w:line="360" w:lineRule="auto"/>
        <w:rPr>
          <w:rFonts w:hint="eastAsia" w:hAnsi="宋体"/>
        </w:rPr>
      </w:pPr>
    </w:p>
    <w:p w14:paraId="1885224D">
      <w:pPr>
        <w:pStyle w:val="6"/>
        <w:pageBreakBefore w:val="0"/>
        <w:overflowPunct/>
        <w:topLinePunct w:val="0"/>
        <w:bidi w:val="0"/>
        <w:snapToGrid w:val="0"/>
        <w:spacing w:after="0" w:line="360" w:lineRule="auto"/>
        <w:rPr>
          <w:rFonts w:hint="eastAsia" w:hAnsi="宋体"/>
        </w:rPr>
      </w:pPr>
    </w:p>
    <w:p w14:paraId="1306877A">
      <w:pPr>
        <w:pStyle w:val="6"/>
        <w:pageBreakBefore w:val="0"/>
        <w:overflowPunct/>
        <w:topLinePunct w:val="0"/>
        <w:bidi w:val="0"/>
        <w:snapToGrid w:val="0"/>
        <w:spacing w:after="0" w:line="360" w:lineRule="auto"/>
        <w:rPr>
          <w:rFonts w:hint="eastAsia" w:hAnsi="宋体"/>
        </w:rPr>
      </w:pPr>
    </w:p>
    <w:p w14:paraId="771E0FAB">
      <w:pPr>
        <w:pStyle w:val="6"/>
        <w:pageBreakBefore w:val="0"/>
        <w:overflowPunct/>
        <w:topLinePunct w:val="0"/>
        <w:bidi w:val="0"/>
        <w:snapToGrid w:val="0"/>
        <w:spacing w:after="0" w:line="360" w:lineRule="auto"/>
        <w:rPr>
          <w:rFonts w:hint="eastAsia" w:hAnsi="宋体"/>
        </w:rPr>
      </w:pPr>
    </w:p>
    <w:p w14:paraId="140EAEAB">
      <w:pPr>
        <w:pageBreakBefore w:val="0"/>
        <w:overflowPunct/>
        <w:topLinePunct w:val="0"/>
        <w:bidi w:val="0"/>
        <w:snapToGrid w:val="0"/>
        <w:spacing w:after="0"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招标文件</w:t>
      </w:r>
    </w:p>
    <w:p w14:paraId="5A834328">
      <w:pPr>
        <w:pageBreakBefore w:val="0"/>
        <w:overflowPunct/>
        <w:topLinePunct w:val="0"/>
        <w:bidi w:val="0"/>
        <w:snapToGrid w:val="0"/>
        <w:spacing w:after="0" w:line="360" w:lineRule="auto"/>
        <w:jc w:val="center"/>
        <w:rPr>
          <w:rFonts w:hint="eastAsia" w:ascii="宋体" w:hAnsi="宋体" w:eastAsia="宋体" w:cs="宋体"/>
          <w:b/>
          <w:bCs/>
          <w:color w:val="auto"/>
          <w:sz w:val="44"/>
          <w:szCs w:val="44"/>
        </w:rPr>
      </w:pPr>
    </w:p>
    <w:p w14:paraId="3B48D9CA">
      <w:pPr>
        <w:pStyle w:val="2"/>
        <w:rPr>
          <w:rFonts w:hint="eastAsia"/>
        </w:rPr>
      </w:pPr>
    </w:p>
    <w:p w14:paraId="0F6C4915">
      <w:pPr>
        <w:pageBreakBefore w:val="0"/>
        <w:overflowPunct/>
        <w:topLinePunct w:val="0"/>
        <w:bidi w:val="0"/>
        <w:snapToGrid w:val="0"/>
        <w:spacing w:after="0" w:line="360" w:lineRule="auto"/>
        <w:jc w:val="center"/>
        <w:rPr>
          <w:rFonts w:hint="eastAsia" w:ascii="宋体" w:hAnsi="宋体" w:eastAsia="宋体" w:cs="宋体"/>
          <w:b/>
          <w:bCs/>
          <w:color w:val="auto"/>
          <w:sz w:val="44"/>
          <w:szCs w:val="44"/>
        </w:rPr>
      </w:pPr>
    </w:p>
    <w:p w14:paraId="59F98CDE">
      <w:pPr>
        <w:pageBreakBefore w:val="0"/>
        <w:overflowPunct/>
        <w:topLinePunct w:val="0"/>
        <w:bidi w:val="0"/>
        <w:snapToGrid w:val="0"/>
        <w:spacing w:after="0" w:line="360" w:lineRule="auto"/>
        <w:jc w:val="center"/>
        <w:rPr>
          <w:rFonts w:hint="eastAsia" w:ascii="宋体" w:hAnsi="宋体" w:eastAsia="宋体" w:cs="宋体"/>
          <w:b/>
          <w:bCs/>
          <w:color w:val="auto"/>
          <w:sz w:val="44"/>
          <w:szCs w:val="44"/>
        </w:rPr>
      </w:pPr>
    </w:p>
    <w:p w14:paraId="17247C2B">
      <w:pPr>
        <w:pageBreakBefore w:val="0"/>
        <w:overflowPunct/>
        <w:topLinePunct w:val="0"/>
        <w:bidi w:val="0"/>
        <w:snapToGrid w:val="0"/>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项目编号：</w:t>
      </w:r>
      <w:bookmarkStart w:id="0" w:name="OLE_LINK8"/>
      <w:r>
        <w:rPr>
          <w:rFonts w:hint="eastAsia" w:ascii="宋体" w:hAnsi="宋体" w:eastAsia="宋体" w:cs="宋体"/>
          <w:color w:val="auto"/>
          <w:sz w:val="32"/>
          <w:szCs w:val="32"/>
        </w:rPr>
        <w:t>ZYZX-FW-25</w:t>
      </w:r>
      <w:r>
        <w:rPr>
          <w:rFonts w:hint="eastAsia" w:ascii="宋体" w:hAnsi="宋体" w:eastAsia="宋体" w:cs="宋体"/>
          <w:color w:val="auto"/>
          <w:sz w:val="32"/>
          <w:szCs w:val="32"/>
          <w:lang w:val="en-US" w:eastAsia="zh-CN"/>
        </w:rPr>
        <w:t>5</w:t>
      </w:r>
      <w:bookmarkEnd w:id="0"/>
      <w:r>
        <w:rPr>
          <w:rFonts w:hint="eastAsia" w:ascii="宋体" w:hAnsi="宋体" w:eastAsia="宋体" w:cs="宋体"/>
          <w:color w:val="auto"/>
          <w:sz w:val="32"/>
          <w:szCs w:val="32"/>
          <w:lang w:val="en-US" w:eastAsia="zh-CN"/>
        </w:rPr>
        <w:t>6</w:t>
      </w:r>
    </w:p>
    <w:p w14:paraId="65FC40F2">
      <w:pPr>
        <w:pageBreakBefore w:val="0"/>
        <w:overflowPunct/>
        <w:topLinePunct w:val="0"/>
        <w:bidi w:val="0"/>
        <w:snapToGrid w:val="0"/>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 购 人：北京市水利工程管理中心  </w:t>
      </w:r>
    </w:p>
    <w:p w14:paraId="18C5EA81">
      <w:pPr>
        <w:pageBreakBefore w:val="0"/>
        <w:overflowPunct/>
        <w:topLinePunct w:val="0"/>
        <w:bidi w:val="0"/>
        <w:snapToGrid w:val="0"/>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采购代理机构：北京中域正信工程咨询有限公司 </w:t>
      </w:r>
    </w:p>
    <w:p w14:paraId="670C8EA1">
      <w:pPr>
        <w:pageBreakBefore w:val="0"/>
        <w:overflowPunct/>
        <w:topLinePunct w:val="0"/>
        <w:bidi w:val="0"/>
        <w:snapToGrid w:val="0"/>
        <w:spacing w:after="0" w:line="360" w:lineRule="auto"/>
        <w:jc w:val="center"/>
        <w:rPr>
          <w:rFonts w:hint="eastAsia" w:ascii="宋体" w:hAnsi="宋体" w:eastAsia="宋体"/>
          <w:color w:val="auto"/>
        </w:rPr>
      </w:pPr>
      <w:r>
        <w:rPr>
          <w:rFonts w:hint="eastAsia" w:ascii="宋体" w:hAnsi="宋体" w:eastAsia="宋体" w:cs="宋体"/>
          <w:color w:val="auto"/>
          <w:sz w:val="32"/>
          <w:szCs w:val="32"/>
        </w:rPr>
        <w:t>2025年3月</w:t>
      </w:r>
    </w:p>
    <w:p w14:paraId="20303CA7">
      <w:pPr>
        <w:pStyle w:val="6"/>
        <w:pageBreakBefore w:val="0"/>
        <w:overflowPunct/>
        <w:topLinePunct w:val="0"/>
        <w:bidi w:val="0"/>
        <w:snapToGrid w:val="0"/>
        <w:spacing w:after="0" w:line="360" w:lineRule="auto"/>
        <w:rPr>
          <w:rFonts w:hint="eastAsia" w:hAnsi="宋体"/>
        </w:rPr>
      </w:pPr>
    </w:p>
    <w:p w14:paraId="733128DD">
      <w:pPr>
        <w:pStyle w:val="6"/>
        <w:pageBreakBefore w:val="0"/>
        <w:overflowPunct/>
        <w:topLinePunct w:val="0"/>
        <w:bidi w:val="0"/>
        <w:snapToGrid w:val="0"/>
        <w:spacing w:after="0" w:line="360" w:lineRule="auto"/>
        <w:ind w:firstLine="0"/>
        <w:jc w:val="both"/>
        <w:rPr>
          <w:rFonts w:hint="eastAsia" w:hAnsi="宋体"/>
          <w:b/>
          <w:bCs/>
        </w:rPr>
        <w:sectPr>
          <w:headerReference r:id="rId6" w:type="first"/>
          <w:footerReference r:id="rId8" w:type="first"/>
          <w:headerReference r:id="rId5" w:type="even"/>
          <w:footerReference r:id="rId7" w:type="even"/>
          <w:pgSz w:w="11907" w:h="16840"/>
          <w:pgMar w:top="1117" w:right="1047" w:bottom="1060" w:left="1700" w:header="878" w:footer="886" w:gutter="0"/>
          <w:cols w:space="720" w:num="1"/>
        </w:sectPr>
      </w:pPr>
    </w:p>
    <w:p w14:paraId="66881D64">
      <w:pPr>
        <w:pStyle w:val="6"/>
        <w:pageBreakBefore w:val="0"/>
        <w:overflowPunct/>
        <w:topLinePunct w:val="0"/>
        <w:bidi w:val="0"/>
        <w:snapToGrid w:val="0"/>
        <w:spacing w:after="0" w:line="360" w:lineRule="auto"/>
        <w:jc w:val="center"/>
        <w:rPr>
          <w:rFonts w:hint="eastAsia" w:hAnsi="宋体"/>
          <w:b/>
          <w:bCs/>
        </w:rPr>
      </w:pPr>
      <w:r>
        <w:rPr>
          <w:rFonts w:hint="eastAsia" w:hAnsi="宋体"/>
          <w:b/>
          <w:bCs/>
        </w:rPr>
        <w:t>目录</w:t>
      </w:r>
    </w:p>
    <w:p w14:paraId="29C1022B">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rPr>
          <w:rFonts w:ascii="宋体" w:hAnsi="宋体" w:eastAsia="宋体"/>
          <w:color w:val="auto"/>
          <w:sz w:val="24"/>
          <w:szCs w:val="24"/>
        </w:rPr>
        <w:fldChar w:fldCharType="begin"/>
      </w:r>
      <w:r>
        <w:rPr>
          <w:rFonts w:ascii="宋体" w:hAnsi="宋体" w:eastAsia="宋体"/>
          <w:color w:val="auto"/>
          <w:sz w:val="24"/>
          <w:szCs w:val="24"/>
        </w:rPr>
        <w:instrText xml:space="preserve"> TOC \o "1-1" \h \z \u </w:instrText>
      </w:r>
      <w:r>
        <w:rPr>
          <w:rFonts w:ascii="宋体" w:hAnsi="宋体" w:eastAsia="宋体"/>
          <w:color w:val="auto"/>
          <w:sz w:val="24"/>
          <w:szCs w:val="24"/>
        </w:rPr>
        <w:fldChar w:fldCharType="separate"/>
      </w:r>
      <w:r>
        <w:fldChar w:fldCharType="begin"/>
      </w:r>
      <w:r>
        <w:instrText xml:space="preserve"> HYPERLINK \l "_Toc183959673" </w:instrText>
      </w:r>
      <w:r>
        <w:fldChar w:fldCharType="separate"/>
      </w:r>
      <w:r>
        <w:rPr>
          <w:rStyle w:val="19"/>
          <w:rFonts w:hint="eastAsia" w:ascii="宋体" w:hAnsi="宋体" w:eastAsia="宋体"/>
          <w:b/>
          <w:bCs/>
          <w:color w:val="auto"/>
          <w:sz w:val="24"/>
          <w:szCs w:val="24"/>
        </w:rPr>
        <w:t>第一章   投标邀请</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_Toc183959673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0AAE2F14">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"_Toc183959674" </w:instrText>
      </w:r>
      <w:r>
        <w:fldChar w:fldCharType="separate"/>
      </w:r>
      <w:r>
        <w:rPr>
          <w:rStyle w:val="19"/>
          <w:rFonts w:hint="eastAsia" w:ascii="宋体" w:hAnsi="宋体" w:eastAsia="宋体"/>
          <w:b/>
          <w:bCs/>
          <w:color w:val="auto"/>
          <w:sz w:val="24"/>
          <w:szCs w:val="24"/>
        </w:rPr>
        <w:t>第二章   投标人须知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_Toc183959674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6</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4DD36802">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"_Toc183959675" </w:instrText>
      </w:r>
      <w:r>
        <w:fldChar w:fldCharType="separate"/>
      </w:r>
      <w:r>
        <w:rPr>
          <w:rStyle w:val="19"/>
          <w:rFonts w:hint="eastAsia" w:ascii="宋体" w:hAnsi="宋体" w:eastAsia="宋体"/>
          <w:b/>
          <w:bCs/>
          <w:color w:val="auto"/>
          <w:sz w:val="24"/>
          <w:szCs w:val="24"/>
        </w:rPr>
        <w:t>第三章   资格审查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_Toc183959675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21</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3391A8E2">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"_Toc183959676" </w:instrText>
      </w:r>
      <w:r>
        <w:fldChar w:fldCharType="separate"/>
      </w:r>
      <w:r>
        <w:rPr>
          <w:rStyle w:val="19"/>
          <w:rFonts w:hint="eastAsia" w:ascii="宋体" w:hAnsi="宋体" w:eastAsia="宋体"/>
          <w:b/>
          <w:bCs/>
          <w:color w:val="auto"/>
          <w:sz w:val="24"/>
          <w:szCs w:val="24"/>
        </w:rPr>
        <w:t>第四章   评标程序、评标方法和评标标准</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_Toc183959676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23</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00ED2C9F">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"_Toc183959677" </w:instrText>
      </w:r>
      <w:r>
        <w:fldChar w:fldCharType="separate"/>
      </w:r>
      <w:r>
        <w:rPr>
          <w:rStyle w:val="19"/>
          <w:rFonts w:hint="eastAsia" w:ascii="宋体" w:hAnsi="宋体" w:eastAsia="宋体"/>
          <w:b/>
          <w:bCs/>
          <w:color w:val="auto"/>
          <w:sz w:val="24"/>
          <w:szCs w:val="24"/>
        </w:rPr>
        <w:t>第五章   采购需求</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_Toc183959677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30</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096508A7">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lang w:val="en-US" w:eastAsia="zh-CN"/>
          <w14:ligatures w14:val="standardContextual"/>
        </w:rPr>
      </w:pPr>
      <w:r>
        <w:fldChar w:fldCharType="begin"/>
      </w:r>
      <w:r>
        <w:instrText xml:space="preserve"> HYPERLINK \l "_Toc183959678" </w:instrText>
      </w:r>
      <w:r>
        <w:fldChar w:fldCharType="separate"/>
      </w:r>
      <w:r>
        <w:rPr>
          <w:rStyle w:val="19"/>
          <w:rFonts w:hint="eastAsia" w:ascii="宋体" w:hAnsi="宋体" w:eastAsia="宋体"/>
          <w:b/>
          <w:bCs/>
          <w:color w:val="auto"/>
          <w:sz w:val="24"/>
          <w:szCs w:val="24"/>
        </w:rPr>
        <w:t>第六章   拟签订的合同文本</w:t>
      </w:r>
      <w:r>
        <w:rPr>
          <w:rFonts w:hint="eastAsia" w:ascii="宋体" w:hAnsi="宋体" w:eastAsia="宋体"/>
          <w:color w:val="auto"/>
          <w:sz w:val="24"/>
          <w:szCs w:val="24"/>
        </w:rPr>
        <w:tab/>
      </w:r>
      <w:r>
        <w:rPr>
          <w:rFonts w:hint="eastAsia" w:ascii="宋体" w:hAnsi="宋体" w:eastAsia="宋体"/>
          <w:color w:val="auto"/>
          <w:sz w:val="24"/>
          <w:szCs w:val="24"/>
          <w:lang w:val="en-US" w:eastAsia="zh-CN"/>
        </w:rPr>
        <w:t>3</w:t>
      </w:r>
      <w:r>
        <w:rPr>
          <w:rFonts w:hint="eastAsia" w:ascii="宋体" w:hAnsi="宋体" w:eastAsia="宋体"/>
          <w:color w:val="auto"/>
          <w:sz w:val="24"/>
          <w:szCs w:val="24"/>
        </w:rPr>
        <w:fldChar w:fldCharType="end"/>
      </w:r>
      <w:r>
        <w:rPr>
          <w:rFonts w:hint="eastAsia" w:ascii="宋体" w:hAnsi="宋体" w:eastAsia="宋体"/>
          <w:color w:val="auto"/>
          <w:sz w:val="24"/>
          <w:szCs w:val="24"/>
          <w:lang w:val="en-US" w:eastAsia="zh-CN"/>
        </w:rPr>
        <w:t>7</w:t>
      </w:r>
    </w:p>
    <w:p w14:paraId="75BD9B9D">
      <w:pPr>
        <w:pStyle w:val="1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"_Toc183959679" </w:instrText>
      </w:r>
      <w:r>
        <w:fldChar w:fldCharType="separate"/>
      </w:r>
      <w:r>
        <w:rPr>
          <w:rStyle w:val="19"/>
          <w:rFonts w:hint="eastAsia" w:ascii="宋体" w:hAnsi="宋体" w:eastAsia="宋体"/>
          <w:b/>
          <w:bCs/>
          <w:color w:val="auto"/>
          <w:sz w:val="24"/>
          <w:szCs w:val="24"/>
        </w:rPr>
        <w:t>第七章   投标文件格式</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_Toc183959679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47</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231D13A2">
      <w:pPr>
        <w:pStyle w:val="6"/>
        <w:pageBreakBefore w:val="0"/>
        <w:overflowPunct/>
        <w:topLinePunct w:val="0"/>
        <w:bidi w:val="0"/>
        <w:snapToGrid w:val="0"/>
        <w:spacing w:after="0" w:line="480" w:lineRule="auto"/>
        <w:rPr>
          <w:rFonts w:hint="eastAsia" w:hAnsi="宋体"/>
        </w:rPr>
      </w:pPr>
      <w:r>
        <w:rPr>
          <w:rFonts w:hAnsi="宋体"/>
          <w:sz w:val="32"/>
          <w:szCs w:val="22"/>
        </w:rPr>
        <w:fldChar w:fldCharType="end"/>
      </w:r>
    </w:p>
    <w:p w14:paraId="60B5582E">
      <w:pPr>
        <w:pStyle w:val="6"/>
        <w:pageBreakBefore w:val="0"/>
        <w:overflowPunct/>
        <w:topLinePunct w:val="0"/>
        <w:bidi w:val="0"/>
        <w:snapToGrid w:val="0"/>
        <w:spacing w:after="0" w:line="360" w:lineRule="auto"/>
        <w:rPr>
          <w:rFonts w:hint="eastAsia" w:hAnsi="宋体"/>
        </w:rPr>
      </w:pPr>
    </w:p>
    <w:p w14:paraId="570DA125">
      <w:pPr>
        <w:pStyle w:val="6"/>
        <w:pageBreakBefore w:val="0"/>
        <w:overflowPunct/>
        <w:topLinePunct w:val="0"/>
        <w:bidi w:val="0"/>
        <w:snapToGrid w:val="0"/>
        <w:spacing w:after="0" w:line="360" w:lineRule="auto"/>
        <w:rPr>
          <w:rFonts w:hint="eastAsia" w:hAnsi="宋体"/>
        </w:rPr>
      </w:pPr>
    </w:p>
    <w:p w14:paraId="7278DA53">
      <w:pPr>
        <w:pStyle w:val="6"/>
        <w:pageBreakBefore w:val="0"/>
        <w:overflowPunct/>
        <w:topLinePunct w:val="0"/>
        <w:bidi w:val="0"/>
        <w:snapToGrid w:val="0"/>
        <w:spacing w:after="0" w:line="360" w:lineRule="auto"/>
        <w:rPr>
          <w:rFonts w:hint="eastAsia" w:hAnsi="宋体"/>
        </w:rPr>
      </w:pPr>
    </w:p>
    <w:p w14:paraId="6AEB5275">
      <w:pPr>
        <w:pStyle w:val="6"/>
        <w:pageBreakBefore w:val="0"/>
        <w:overflowPunct/>
        <w:topLinePunct w:val="0"/>
        <w:bidi w:val="0"/>
        <w:snapToGrid w:val="0"/>
        <w:spacing w:after="0" w:line="360" w:lineRule="auto"/>
        <w:rPr>
          <w:rFonts w:hint="eastAsia" w:hAnsi="宋体"/>
        </w:rPr>
      </w:pPr>
    </w:p>
    <w:p w14:paraId="4DA5E89C">
      <w:pPr>
        <w:pStyle w:val="6"/>
        <w:pageBreakBefore w:val="0"/>
        <w:overflowPunct/>
        <w:topLinePunct w:val="0"/>
        <w:bidi w:val="0"/>
        <w:snapToGrid w:val="0"/>
        <w:spacing w:after="0" w:line="360" w:lineRule="auto"/>
        <w:rPr>
          <w:rFonts w:hint="eastAsia" w:hAnsi="宋体"/>
        </w:rPr>
      </w:pPr>
    </w:p>
    <w:p w14:paraId="74EC20C7">
      <w:pPr>
        <w:pStyle w:val="6"/>
        <w:pageBreakBefore w:val="0"/>
        <w:overflowPunct/>
        <w:topLinePunct w:val="0"/>
        <w:bidi w:val="0"/>
        <w:snapToGrid w:val="0"/>
        <w:spacing w:after="0" w:line="360" w:lineRule="auto"/>
        <w:rPr>
          <w:rFonts w:hint="eastAsia" w:hAnsi="宋体"/>
        </w:rPr>
      </w:pPr>
    </w:p>
    <w:p w14:paraId="4A39732F">
      <w:pPr>
        <w:pStyle w:val="6"/>
        <w:pageBreakBefore w:val="0"/>
        <w:overflowPunct/>
        <w:topLinePunct w:val="0"/>
        <w:bidi w:val="0"/>
        <w:snapToGrid w:val="0"/>
        <w:spacing w:after="0" w:line="360" w:lineRule="auto"/>
        <w:rPr>
          <w:rFonts w:hint="eastAsia" w:hAnsi="宋体"/>
        </w:rPr>
      </w:pPr>
    </w:p>
    <w:p w14:paraId="37178445">
      <w:pPr>
        <w:pStyle w:val="6"/>
        <w:pageBreakBefore w:val="0"/>
        <w:overflowPunct/>
        <w:topLinePunct w:val="0"/>
        <w:bidi w:val="0"/>
        <w:snapToGrid w:val="0"/>
        <w:spacing w:after="0" w:line="360" w:lineRule="auto"/>
        <w:rPr>
          <w:rFonts w:hint="eastAsia" w:hAnsi="宋体"/>
        </w:rPr>
      </w:pPr>
    </w:p>
    <w:p w14:paraId="4CFBF430">
      <w:pPr>
        <w:pageBreakBefore w:val="0"/>
        <w:overflowPunct/>
        <w:topLinePunct w:val="0"/>
        <w:bidi w:val="0"/>
        <w:snapToGrid w:val="0"/>
        <w:spacing w:after="0"/>
        <w:rPr>
          <w:rFonts w:hint="eastAsia" w:hAnsi="宋体"/>
        </w:rPr>
      </w:pPr>
      <w:r>
        <w:rPr>
          <w:rFonts w:hint="eastAsia" w:hAnsi="宋体"/>
        </w:rPr>
        <w:br w:type="page"/>
      </w:r>
    </w:p>
    <w:p w14:paraId="62B82C81">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1" w:name="_Toc166149868"/>
      <w:bookmarkStart w:id="2" w:name="_Toc183959673"/>
      <w:bookmarkStart w:id="3" w:name="_Toc148096340"/>
      <w:r>
        <w:rPr>
          <w:rFonts w:hint="eastAsia" w:hAnsi="宋体"/>
          <w:b/>
          <w:bCs/>
          <w:sz w:val="36"/>
          <w:szCs w:val="36"/>
        </w:rPr>
        <w:t>第一章</w:t>
      </w:r>
      <w:r>
        <w:rPr>
          <w:rFonts w:hAnsi="宋体"/>
          <w:b/>
          <w:bCs/>
          <w:sz w:val="36"/>
          <w:szCs w:val="36"/>
        </w:rPr>
        <w:t xml:space="preserve">   </w:t>
      </w:r>
      <w:r>
        <w:rPr>
          <w:rFonts w:hint="eastAsia" w:hAnsi="宋体"/>
          <w:b/>
          <w:bCs/>
          <w:sz w:val="36"/>
          <w:szCs w:val="36"/>
        </w:rPr>
        <w:t>投标邀请</w:t>
      </w:r>
      <w:bookmarkEnd w:id="1"/>
      <w:bookmarkEnd w:id="2"/>
      <w:bookmarkEnd w:id="3"/>
    </w:p>
    <w:p w14:paraId="0F185588">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4" w:name="_Toc148096341"/>
      <w:r>
        <w:rPr>
          <w:rFonts w:hint="eastAsia" w:ascii="宋体" w:hAnsi="宋体" w:eastAsia="宋体"/>
          <w:b/>
          <w:bCs/>
          <w:color w:val="auto"/>
          <w:sz w:val="24"/>
          <w:szCs w:val="24"/>
        </w:rPr>
        <w:t>一、项目基本情况</w:t>
      </w:r>
      <w:bookmarkEnd w:id="4"/>
    </w:p>
    <w:p w14:paraId="53788F4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1.项目编号：ZYZX-FW-2</w:t>
      </w:r>
      <w:r>
        <w:rPr>
          <w:rFonts w:hint="eastAsia" w:ascii="宋体" w:hAnsi="宋体" w:eastAsia="宋体"/>
          <w:color w:val="auto"/>
          <w:sz w:val="24"/>
          <w:szCs w:val="24"/>
          <w:lang w:val="en-US" w:eastAsia="zh-CN"/>
        </w:rPr>
        <w:t>556</w:t>
      </w:r>
    </w:p>
    <w:p w14:paraId="45E4C65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2.项目名称：</w:t>
      </w:r>
      <w:bookmarkStart w:id="5" w:name="OLE_LINK21"/>
      <w:r>
        <w:rPr>
          <w:rFonts w:hint="eastAsia" w:ascii="宋体" w:hAnsi="宋体" w:eastAsia="宋体"/>
          <w:color w:val="auto"/>
          <w:sz w:val="24"/>
          <w:szCs w:val="24"/>
        </w:rPr>
        <w:t>北京市南水北调大宁管理处水利工程日常维修养护-设备</w:t>
      </w:r>
      <w:r>
        <w:rPr>
          <w:rFonts w:hint="eastAsia" w:ascii="宋体" w:hAnsi="宋体" w:eastAsia="宋体"/>
          <w:color w:val="auto"/>
          <w:sz w:val="24"/>
          <w:szCs w:val="24"/>
          <w:lang w:eastAsia="zh-CN"/>
        </w:rPr>
        <w:t>设施</w:t>
      </w:r>
      <w:r>
        <w:rPr>
          <w:rFonts w:hint="eastAsia" w:ascii="宋体" w:hAnsi="宋体" w:eastAsia="宋体"/>
          <w:color w:val="auto"/>
          <w:sz w:val="24"/>
          <w:szCs w:val="24"/>
        </w:rPr>
        <w:t xml:space="preserve">维修养护 </w:t>
      </w:r>
    </w:p>
    <w:bookmarkEnd w:id="5"/>
    <w:p w14:paraId="639D6A2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3.项目预算金额：382.049252万元、项目最高限价(如有)：382.049252万元</w:t>
      </w:r>
    </w:p>
    <w:p w14:paraId="0D1B513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4.采购需求：</w:t>
      </w:r>
    </w:p>
    <w:tbl>
      <w:tblPr>
        <w:tblStyle w:val="16"/>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764"/>
        <w:gridCol w:w="1561"/>
        <w:gridCol w:w="867"/>
        <w:gridCol w:w="4686"/>
      </w:tblGrid>
      <w:tr w14:paraId="4F52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770754E9">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包号</w:t>
            </w:r>
          </w:p>
        </w:tc>
        <w:tc>
          <w:tcPr>
            <w:tcW w:w="936" w:type="pct"/>
            <w:vAlign w:val="center"/>
          </w:tcPr>
          <w:p w14:paraId="08F39824">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标的名称</w:t>
            </w:r>
          </w:p>
        </w:tc>
        <w:tc>
          <w:tcPr>
            <w:tcW w:w="828" w:type="pct"/>
            <w:vAlign w:val="center"/>
          </w:tcPr>
          <w:p w14:paraId="5FFF88D1">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采购包预算金额（万元）</w:t>
            </w:r>
          </w:p>
        </w:tc>
        <w:tc>
          <w:tcPr>
            <w:tcW w:w="460" w:type="pct"/>
            <w:vAlign w:val="center"/>
          </w:tcPr>
          <w:p w14:paraId="561E1F41">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数量</w:t>
            </w:r>
          </w:p>
        </w:tc>
        <w:tc>
          <w:tcPr>
            <w:tcW w:w="2486" w:type="pct"/>
            <w:vAlign w:val="center"/>
          </w:tcPr>
          <w:p w14:paraId="0213DC78">
            <w:pPr>
              <w:pageBreakBefore w:val="0"/>
              <w:overflowPunct/>
              <w:topLinePunct w:val="0"/>
              <w:bidi w:val="0"/>
              <w:snapToGrid w:val="0"/>
              <w:spacing w:after="0" w:line="360" w:lineRule="auto"/>
              <w:jc w:val="center"/>
              <w:rPr>
                <w:rFonts w:hint="eastAsia" w:ascii="宋体" w:hAnsi="宋体" w:eastAsia="宋体" w:cs="宋体"/>
                <w:color w:val="auto"/>
              </w:rPr>
            </w:pPr>
            <w:r>
              <w:rPr>
                <w:rFonts w:hint="eastAsia" w:ascii="宋体" w:hAnsi="宋体" w:eastAsia="宋体" w:cs="宋体"/>
                <w:color w:val="auto"/>
              </w:rPr>
              <w:t>简要技术需求或服务要求</w:t>
            </w:r>
          </w:p>
        </w:tc>
      </w:tr>
      <w:tr w14:paraId="6F0A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121E5BE6">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01</w:t>
            </w:r>
          </w:p>
        </w:tc>
        <w:tc>
          <w:tcPr>
            <w:tcW w:w="936" w:type="pct"/>
            <w:vAlign w:val="center"/>
          </w:tcPr>
          <w:p w14:paraId="25500971">
            <w:pPr>
              <w:pageBreakBefore w:val="0"/>
              <w:overflowPunct/>
              <w:topLinePunct w:val="0"/>
              <w:bidi w:val="0"/>
              <w:snapToGrid w:val="0"/>
              <w:spacing w:after="0" w:line="360" w:lineRule="auto"/>
              <w:jc w:val="center"/>
              <w:rPr>
                <w:rFonts w:hint="eastAsia" w:ascii="宋体" w:hAnsi="宋体" w:eastAsia="宋体" w:cs="宋体"/>
                <w:color w:val="auto"/>
              </w:rPr>
            </w:pPr>
            <w:r>
              <w:rPr>
                <w:rFonts w:hint="eastAsia" w:ascii="宋体" w:hAnsi="宋体" w:eastAsia="宋体" w:cs="宋体"/>
                <w:color w:val="auto"/>
              </w:rPr>
              <w:t>北京市南水北调大宁管理处水利工程日常维修养护-设备</w:t>
            </w:r>
            <w:r>
              <w:rPr>
                <w:rFonts w:hint="eastAsia" w:ascii="宋体" w:hAnsi="宋体" w:eastAsia="宋体" w:cs="宋体"/>
                <w:color w:val="auto"/>
                <w:lang w:eastAsia="zh-CN"/>
              </w:rPr>
              <w:t>设施</w:t>
            </w:r>
            <w:r>
              <w:rPr>
                <w:rFonts w:hint="eastAsia" w:ascii="宋体" w:hAnsi="宋体" w:eastAsia="宋体" w:cs="宋体"/>
                <w:color w:val="auto"/>
              </w:rPr>
              <w:t>维修养护</w:t>
            </w:r>
          </w:p>
        </w:tc>
        <w:tc>
          <w:tcPr>
            <w:tcW w:w="828" w:type="pct"/>
            <w:vAlign w:val="center"/>
          </w:tcPr>
          <w:p w14:paraId="0AB14E36">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382.049252</w:t>
            </w:r>
          </w:p>
        </w:tc>
        <w:tc>
          <w:tcPr>
            <w:tcW w:w="460" w:type="pct"/>
            <w:vAlign w:val="center"/>
          </w:tcPr>
          <w:p w14:paraId="620E493D">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1项</w:t>
            </w:r>
          </w:p>
        </w:tc>
        <w:tc>
          <w:tcPr>
            <w:tcW w:w="2486" w:type="pct"/>
            <w:vAlign w:val="center"/>
          </w:tcPr>
          <w:p w14:paraId="651C400A">
            <w:pPr>
              <w:pageBreakBefore w:val="0"/>
              <w:overflowPunct/>
              <w:topLinePunct w:val="0"/>
              <w:bidi w:val="0"/>
              <w:snapToGrid w:val="0"/>
              <w:spacing w:after="0" w:line="360" w:lineRule="auto"/>
              <w:rPr>
                <w:rFonts w:hint="eastAsia" w:ascii="宋体" w:hAnsi="宋体" w:eastAsia="宋体" w:cs="宋体"/>
                <w:color w:val="auto"/>
              </w:rPr>
            </w:pPr>
            <w:r>
              <w:rPr>
                <w:rFonts w:hint="eastAsia" w:ascii="宋体" w:hAnsi="宋体" w:eastAsia="宋体" w:cs="宋体"/>
                <w:color w:val="auto"/>
              </w:rPr>
              <w:t>保障大宁调蓄水库工程，河西支线工程的设备设施正常安全运行，包括机电、金结设备、甲方自有设备及其他有关的设备设施的维修、养护。具体详见采购需求。</w:t>
            </w:r>
          </w:p>
        </w:tc>
      </w:tr>
    </w:tbl>
    <w:p w14:paraId="24182A8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5.合同履行期限：</w:t>
      </w:r>
      <w:r>
        <w:rPr>
          <w:rFonts w:hint="eastAsia" w:ascii="宋体" w:hAnsi="宋体" w:eastAsia="宋体"/>
          <w:color w:val="auto"/>
          <w:sz w:val="24"/>
          <w:szCs w:val="24"/>
          <w:highlight w:val="none"/>
          <w:u w:val="single"/>
          <w:lang w:val="en-US" w:eastAsia="zh-CN"/>
        </w:rPr>
        <w:t>自</w:t>
      </w:r>
      <w:r>
        <w:rPr>
          <w:rFonts w:hint="eastAsia" w:ascii="宋体" w:hAnsi="宋体" w:eastAsia="宋体"/>
          <w:color w:val="auto"/>
          <w:sz w:val="24"/>
          <w:szCs w:val="24"/>
          <w:highlight w:val="none"/>
          <w:u w:val="single"/>
        </w:rPr>
        <w:t>合同签订之日</w:t>
      </w:r>
      <w:r>
        <w:rPr>
          <w:rFonts w:hint="eastAsia" w:ascii="宋体" w:hAnsi="宋体" w:eastAsia="宋体"/>
          <w:color w:val="auto"/>
          <w:sz w:val="24"/>
          <w:szCs w:val="24"/>
          <w:highlight w:val="none"/>
          <w:u w:val="single"/>
          <w:lang w:val="en-US" w:eastAsia="zh-CN"/>
        </w:rPr>
        <w:t>起</w:t>
      </w:r>
      <w:r>
        <w:rPr>
          <w:rFonts w:hint="eastAsia" w:ascii="宋体" w:hAnsi="宋体" w:eastAsia="宋体"/>
          <w:color w:val="auto"/>
          <w:sz w:val="24"/>
          <w:szCs w:val="24"/>
          <w:highlight w:val="none"/>
          <w:u w:val="single"/>
        </w:rPr>
        <w:t>至202</w:t>
      </w:r>
      <w:r>
        <w:rPr>
          <w:rFonts w:hint="eastAsia" w:ascii="宋体" w:hAnsi="宋体" w:eastAsia="宋体"/>
          <w:color w:val="auto"/>
          <w:sz w:val="24"/>
          <w:szCs w:val="24"/>
          <w:highlight w:val="none"/>
          <w:u w:val="single"/>
          <w:lang w:val="en-US" w:eastAsia="zh-CN"/>
        </w:rPr>
        <w:t>5</w:t>
      </w:r>
      <w:r>
        <w:rPr>
          <w:rFonts w:hint="eastAsia" w:ascii="宋体" w:hAnsi="宋体" w:eastAsia="宋体"/>
          <w:color w:val="auto"/>
          <w:sz w:val="24"/>
          <w:szCs w:val="24"/>
          <w:highlight w:val="none"/>
          <w:u w:val="single"/>
        </w:rPr>
        <w:t>年12月31日。</w:t>
      </w:r>
    </w:p>
    <w:p w14:paraId="5E8DDB24">
      <w:pPr>
        <w:pageBreakBefore w:val="0"/>
        <w:tabs>
          <w:tab w:val="left" w:pos="7006"/>
        </w:tabs>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6.本项目是否接受联合体投标： □是  ■否。</w:t>
      </w:r>
      <w:r>
        <w:rPr>
          <w:rFonts w:hint="eastAsia" w:ascii="宋体" w:hAnsi="宋体" w:eastAsia="宋体"/>
          <w:color w:val="auto"/>
          <w:sz w:val="24"/>
          <w:szCs w:val="24"/>
        </w:rPr>
        <w:tab/>
      </w:r>
    </w:p>
    <w:p w14:paraId="3EBE8F7B">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6" w:name="_Toc148096342"/>
      <w:r>
        <w:rPr>
          <w:rFonts w:hint="eastAsia" w:ascii="宋体" w:hAnsi="宋体" w:eastAsia="宋体"/>
          <w:b/>
          <w:bCs/>
          <w:color w:val="auto"/>
          <w:sz w:val="24"/>
          <w:szCs w:val="24"/>
        </w:rPr>
        <w:t>二、申请人的资格要求（须同时满足）</w:t>
      </w:r>
      <w:bookmarkEnd w:id="6"/>
    </w:p>
    <w:p w14:paraId="0E5DDE2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14:paraId="111FBAB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2.落实政府采购政策需满足的资格要求：</w:t>
      </w:r>
    </w:p>
    <w:p w14:paraId="555A57C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14:paraId="4577C0A2">
      <w:pPr>
        <w:pageBreakBefore w:val="0"/>
        <w:overflowPunct/>
        <w:topLinePunct w:val="0"/>
        <w:bidi w:val="0"/>
        <w:snapToGrid w:val="0"/>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本项目不专门面向中小企业预留采购份额。</w:t>
      </w:r>
    </w:p>
    <w:p w14:paraId="46082CB1">
      <w:pPr>
        <w:pageBreakBefore w:val="0"/>
        <w:overflowPunct/>
        <w:topLinePunct w:val="0"/>
        <w:bidi w:val="0"/>
        <w:snapToGrid w:val="0"/>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 xml:space="preserve">本项目专门面向  </w:t>
      </w:r>
      <w:r>
        <w:rPr>
          <w:rFonts w:hint="eastAsia" w:ascii="宋体" w:hAnsi="宋体" w:eastAsia="宋体"/>
          <w:color w:val="auto"/>
          <w:sz w:val="24"/>
          <w:szCs w:val="24"/>
        </w:rPr>
        <w:t>■</w:t>
      </w:r>
      <w:r>
        <w:rPr>
          <w:rFonts w:ascii="宋体" w:hAnsi="宋体" w:eastAsia="宋体"/>
          <w:color w:val="auto"/>
          <w:sz w:val="24"/>
        </w:rPr>
        <w:t xml:space="preserve">中小  </w:t>
      </w:r>
      <w:r>
        <w:rPr>
          <w:rFonts w:ascii="宋体" w:hAnsi="宋体" w:eastAsia="宋体"/>
          <w:color w:val="auto"/>
        </w:rPr>
        <w:t>□</w:t>
      </w:r>
      <w:r>
        <w:rPr>
          <w:rFonts w:ascii="宋体" w:hAnsi="宋体" w:eastAsia="宋体"/>
          <w:color w:val="auto"/>
          <w:sz w:val="24"/>
        </w:rPr>
        <w:t>小微企业  采购。即：提供的货物全部由符合政策要求的中小/小微企业制造、服务全部由符合政策要求的中小/小微企业承接。</w:t>
      </w:r>
    </w:p>
    <w:p w14:paraId="6C6F8328">
      <w:pPr>
        <w:pageBreakBefore w:val="0"/>
        <w:overflowPunct/>
        <w:topLinePunct w:val="0"/>
        <w:bidi w:val="0"/>
        <w:snapToGrid w:val="0"/>
        <w:spacing w:after="0" w:line="360" w:lineRule="auto"/>
        <w:ind w:firstLine="420" w:firstLineChars="200"/>
        <w:rPr>
          <w:rFonts w:hint="eastAsia" w:ascii="宋体" w:hAnsi="宋体" w:eastAsia="宋体"/>
          <w:color w:val="auto"/>
          <w:sz w:val="24"/>
        </w:rPr>
      </w:pPr>
      <w:r>
        <w:rPr>
          <w:rFonts w:ascii="宋体" w:hAnsi="宋体" w:eastAsia="宋体"/>
          <w:color w:val="auto"/>
        </w:rPr>
        <w:t>□</w:t>
      </w:r>
      <w:r>
        <w:rPr>
          <w:rFonts w:ascii="宋体" w:hAnsi="宋体" w:eastAsia="宋体"/>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u w:val="single"/>
          <w:lang w:val="en-US" w:eastAsia="zh-CN"/>
        </w:rPr>
        <w:t xml:space="preserve">     /    </w:t>
      </w:r>
      <w:r>
        <w:rPr>
          <w:rFonts w:hint="eastAsia" w:ascii="宋体" w:hAnsi="宋体" w:eastAsia="宋体"/>
          <w:color w:val="auto"/>
          <w:sz w:val="24"/>
        </w:rPr>
        <w:t>。</w:t>
      </w:r>
    </w:p>
    <w:p w14:paraId="251FB530">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ascii="宋体" w:hAnsi="宋体" w:eastAsia="宋体"/>
          <w:color w:val="auto"/>
          <w:sz w:val="24"/>
        </w:rPr>
        <w:t>2.2 其它落实政府采购政策的资格要求（如有）：</w:t>
      </w:r>
    </w:p>
    <w:p w14:paraId="473F7855">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2.2.1 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5810BE30">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2.2.2 未被信用中国网站（www.creditchina.gov.cn）、中国政府采购网（www.ccgp.gov.cn）列入失信被执行人、重大税收违法案件当事人名单、政府采购严重违法失信行为记录名单（处罚执行有效期失效的除外）。</w:t>
      </w:r>
    </w:p>
    <w:p w14:paraId="6D8CD1D3">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2.2.3 采购人在政府采购活动中根据项目类别和性质执行相应的节约能源、保护环境、扶持不发达地区和少数民族地区等政府采购政策。</w:t>
      </w:r>
    </w:p>
    <w:p w14:paraId="0FC61ED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p>
    <w:p w14:paraId="6D1113B3">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 本项目是否接受分支机构参与投标：</w:t>
      </w:r>
      <w:bookmarkStart w:id="7" w:name="OLE_LINK11"/>
      <w:r>
        <w:rPr>
          <w:rFonts w:hint="eastAsia" w:ascii="宋体" w:hAnsi="宋体" w:eastAsia="宋体"/>
          <w:color w:val="auto"/>
          <w:sz w:val="24"/>
          <w:szCs w:val="24"/>
          <w:highlight w:val="none"/>
        </w:rPr>
        <w:t>□</w:t>
      </w:r>
      <w:bookmarkEnd w:id="7"/>
      <w:r>
        <w:rPr>
          <w:rFonts w:hint="eastAsia" w:ascii="宋体" w:hAnsi="宋体" w:eastAsia="宋体"/>
          <w:color w:val="auto"/>
          <w:sz w:val="24"/>
          <w:szCs w:val="24"/>
          <w:highlight w:val="none"/>
        </w:rPr>
        <w:t>是  ■否；（仅当项目涉及银行、保险、石油石化、电力、电信等行业有特殊情况的，可以接受分支机构参与）</w:t>
      </w:r>
    </w:p>
    <w:p w14:paraId="32C7648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14:paraId="02CD9052">
      <w:pPr>
        <w:pageBreakBefore w:val="0"/>
        <w:overflowPunct/>
        <w:topLinePunct w:val="0"/>
        <w:bidi w:val="0"/>
        <w:snapToGrid w:val="0"/>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■否</w:t>
      </w:r>
    </w:p>
    <w:p w14:paraId="7A610ACA">
      <w:pPr>
        <w:pageBreakBefore w:val="0"/>
        <w:overflowPunct/>
        <w:topLinePunct w:val="0"/>
        <w:bidi w:val="0"/>
        <w:snapToGrid w:val="0"/>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□是，公益一类事业单位、使用事业编制且由财政拨款保障的群团组织，不得作为承接主体；</w:t>
      </w:r>
    </w:p>
    <w:p w14:paraId="42076CA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3.3</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8" w:name="OLE_LINK1"/>
      <w:r>
        <w:rPr>
          <w:rFonts w:hint="eastAsia" w:ascii="宋体" w:hAnsi="宋体" w:eastAsia="宋体"/>
          <w:color w:val="auto"/>
          <w:sz w:val="24"/>
          <w:szCs w:val="24"/>
        </w:rPr>
        <w:t>：</w:t>
      </w:r>
    </w:p>
    <w:bookmarkEnd w:id="8"/>
    <w:p w14:paraId="453F7C10">
      <w:pPr>
        <w:pStyle w:val="7"/>
        <w:spacing w:before="151" w:after="0" w:line="360" w:lineRule="auto"/>
        <w:ind w:left="238" w:right="148"/>
        <w:rPr>
          <w:rFonts w:hint="eastAsia" w:ascii="宋体" w:hAnsi="宋体" w:eastAsia="宋体" w:cs="宋体"/>
          <w:color w:val="auto"/>
          <w:sz w:val="24"/>
          <w:szCs w:val="24"/>
          <w:highlight w:val="none"/>
          <w:lang w:eastAsia="zh-CN"/>
        </w:rPr>
      </w:pPr>
      <w:bookmarkStart w:id="9" w:name="_Toc148096343"/>
      <w:r>
        <w:rPr>
          <w:rFonts w:hint="eastAsia" w:ascii="宋体" w:hAnsi="宋体" w:eastAsia="宋体" w:cs="宋体"/>
          <w:color w:val="auto"/>
          <w:sz w:val="24"/>
          <w:szCs w:val="24"/>
          <w:highlight w:val="none"/>
          <w:lang w:eastAsia="zh-CN"/>
        </w:rPr>
        <w:t>1）供应商应具备水利水电工程施工总承包三级（含）以上或水利水电机电安装工程专业承包三级（含）以上资质等级；</w:t>
      </w:r>
    </w:p>
    <w:p w14:paraId="4B8B360D">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2）供应商应具有建设行政主管部门核发的有效的安全生产许可证；</w:t>
      </w:r>
    </w:p>
    <w:p w14:paraId="674C026A">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3）拟任项目经理需具有水利行业中级及以上职称；</w:t>
      </w:r>
    </w:p>
    <w:p w14:paraId="455465AF">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4）安全管理人员（专职安全生产管理人员）具有水行政主管部门颁发的C类安全生产考核合格证书；</w:t>
      </w:r>
    </w:p>
    <w:p w14:paraId="4143B7AE">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5）企业负责人具有水行政主管部门颁发的A类安全考核合格证书。</w:t>
      </w:r>
    </w:p>
    <w:p w14:paraId="17D0DB73">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r>
        <w:rPr>
          <w:rFonts w:hint="eastAsia" w:ascii="宋体" w:hAnsi="宋体" w:eastAsia="宋体"/>
          <w:b/>
          <w:bCs/>
          <w:color w:val="auto"/>
          <w:sz w:val="24"/>
          <w:szCs w:val="24"/>
        </w:rPr>
        <w:t>三、获取招标文件</w:t>
      </w:r>
      <w:bookmarkEnd w:id="9"/>
    </w:p>
    <w:p w14:paraId="47552868">
      <w:pPr>
        <w:pageBreakBefore w:val="0"/>
        <w:overflowPunct/>
        <w:topLinePunct w:val="0"/>
        <w:bidi w:val="0"/>
        <w:snapToGrid w:val="0"/>
        <w:spacing w:after="0" w:line="360" w:lineRule="auto"/>
        <w:ind w:firstLine="480" w:firstLineChars="200"/>
        <w:rPr>
          <w:rFonts w:hint="eastAsia" w:ascii="宋体" w:hAnsi="宋体" w:eastAsia="宋体"/>
          <w:color w:val="FF0000"/>
          <w:sz w:val="24"/>
          <w:szCs w:val="24"/>
        </w:rPr>
      </w:pPr>
      <w:r>
        <w:rPr>
          <w:rFonts w:hint="eastAsia" w:ascii="宋体" w:hAnsi="宋体" w:eastAsia="宋体"/>
          <w:color w:val="auto"/>
          <w:sz w:val="24"/>
          <w:szCs w:val="24"/>
        </w:rPr>
        <w:t>1.时间：2025年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15</w:t>
      </w:r>
      <w:r>
        <w:rPr>
          <w:rFonts w:hint="eastAsia" w:ascii="宋体" w:hAnsi="宋体" w:eastAsia="宋体"/>
          <w:color w:val="auto"/>
          <w:sz w:val="24"/>
          <w:szCs w:val="24"/>
        </w:rPr>
        <w:t>日至2025年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21</w:t>
      </w:r>
      <w:r>
        <w:rPr>
          <w:rFonts w:hint="eastAsia" w:ascii="宋体" w:hAnsi="宋体" w:eastAsia="宋体"/>
          <w:color w:val="auto"/>
          <w:sz w:val="24"/>
          <w:szCs w:val="24"/>
        </w:rPr>
        <w:t>日，每天上午0:00至24:00(北京时间)。</w:t>
      </w:r>
    </w:p>
    <w:p w14:paraId="4E8AD26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2.地点：北京市政府采购电子交易平台</w:t>
      </w:r>
    </w:p>
    <w:p w14:paraId="2AED997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14:paraId="504F9463">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4.售价：0元。</w:t>
      </w:r>
    </w:p>
    <w:p w14:paraId="42AAC3A0">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10" w:name="_Toc148096344"/>
      <w:r>
        <w:rPr>
          <w:rFonts w:hint="eastAsia" w:ascii="宋体" w:hAnsi="宋体" w:eastAsia="宋体"/>
          <w:b/>
          <w:bCs/>
          <w:color w:val="auto"/>
          <w:sz w:val="24"/>
          <w:szCs w:val="24"/>
        </w:rPr>
        <w:t>四、提交投标文件截止时间、开标时间和地点</w:t>
      </w:r>
      <w:bookmarkEnd w:id="10"/>
    </w:p>
    <w:p w14:paraId="22289AD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1.投标截止时间、开标时间：2025年</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9</w:t>
      </w:r>
      <w:r>
        <w:rPr>
          <w:rFonts w:hint="eastAsia" w:ascii="宋体" w:hAnsi="宋体" w:eastAsia="宋体"/>
          <w:color w:val="auto"/>
          <w:sz w:val="24"/>
          <w:szCs w:val="24"/>
        </w:rPr>
        <w:t>日</w:t>
      </w:r>
      <w:r>
        <w:rPr>
          <w:rFonts w:hint="eastAsia" w:ascii="宋体" w:hAnsi="宋体" w:eastAsia="宋体"/>
          <w:color w:val="auto"/>
          <w:sz w:val="24"/>
          <w:szCs w:val="24"/>
          <w:lang w:val="en-US" w:eastAsia="zh-CN"/>
        </w:rPr>
        <w:t>9</w:t>
      </w:r>
      <w:r>
        <w:rPr>
          <w:rFonts w:hint="eastAsia" w:ascii="宋体" w:hAnsi="宋体" w:eastAsia="宋体"/>
          <w:color w:val="auto"/>
          <w:sz w:val="24"/>
          <w:szCs w:val="24"/>
        </w:rPr>
        <w:t xml:space="preserve">点00分(北京时间)。 </w:t>
      </w:r>
    </w:p>
    <w:p w14:paraId="4D0E933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2.地点：北京市昌平区碧水庄园3-20。 </w:t>
      </w:r>
    </w:p>
    <w:p w14:paraId="487C9D22">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11" w:name="_Toc148096345"/>
      <w:r>
        <w:rPr>
          <w:rFonts w:hint="eastAsia" w:ascii="宋体" w:hAnsi="宋体" w:eastAsia="宋体"/>
          <w:b/>
          <w:bCs/>
          <w:color w:val="auto"/>
          <w:sz w:val="24"/>
          <w:szCs w:val="24"/>
        </w:rPr>
        <w:t>五、公告期限</w:t>
      </w:r>
      <w:bookmarkEnd w:id="11"/>
    </w:p>
    <w:p w14:paraId="2813486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自本公告发布之日起 5 个工作日。</w:t>
      </w:r>
    </w:p>
    <w:p w14:paraId="7F62E459">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12" w:name="_Toc148096346"/>
      <w:r>
        <w:rPr>
          <w:rFonts w:hint="eastAsia" w:ascii="宋体" w:hAnsi="宋体" w:eastAsia="宋体"/>
          <w:b/>
          <w:bCs/>
          <w:color w:val="auto"/>
          <w:sz w:val="24"/>
          <w:szCs w:val="24"/>
        </w:rPr>
        <w:t>六、其他补充事宜</w:t>
      </w:r>
      <w:bookmarkEnd w:id="12"/>
    </w:p>
    <w:p w14:paraId="310D6B6A">
      <w:pPr>
        <w:pageBreakBefore w:val="0"/>
        <w:overflowPunct/>
        <w:topLinePunct w:val="0"/>
        <w:bidi w:val="0"/>
        <w:snapToGrid w:val="0"/>
        <w:spacing w:after="0" w:line="360" w:lineRule="auto"/>
        <w:rPr>
          <w:rFonts w:hint="eastAsia" w:ascii="宋体" w:hAnsi="宋体" w:eastAsia="宋体" w:cs="宋体"/>
          <w:color w:val="auto"/>
          <w:sz w:val="24"/>
          <w:szCs w:val="24"/>
        </w:rPr>
      </w:pPr>
      <w:bookmarkStart w:id="13" w:name="_Toc148096347"/>
      <w:r>
        <w:rPr>
          <w:rFonts w:hint="eastAsia" w:ascii="宋体" w:hAnsi="宋体" w:eastAsia="宋体" w:cs="宋体"/>
          <w:color w:val="auto"/>
          <w:sz w:val="24"/>
          <w:szCs w:val="24"/>
        </w:rPr>
        <w:t>本项目采用政府采购电子化招标（线上线下相结合形式）投标人按照规定办理CA数字认证证书（北京一证通数字证书）。</w:t>
      </w:r>
    </w:p>
    <w:p w14:paraId="10FD8A55">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14:paraId="19D246B4">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2、于北京市政府采购电子交易平台“用户指南”—“操作指南”—“市场主体注册入库操作流程指引”进行自助注册绑定。</w:t>
      </w:r>
    </w:p>
    <w:p w14:paraId="20066DE6">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14:paraId="14F7F8FA">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4、未按上述获取方式和期限下载招标文件的投标无效。</w:t>
      </w:r>
    </w:p>
    <w:p w14:paraId="2309772D">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5、证书驱动下载：</w:t>
      </w:r>
    </w:p>
    <w:p w14:paraId="6931B4C9">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（1）于北京市政府采购电子交易平台“用户指南”—“工具下载”—“招标采购系统文件驱动安装包”下载相关驱动。</w:t>
      </w:r>
    </w:p>
    <w:p w14:paraId="1EA6AA1C">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（2）CA认证证书服务热线 010-58511086</w:t>
      </w:r>
    </w:p>
    <w:p w14:paraId="108284AA">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技术支持服务热线    010-86483801    13669922829   </w:t>
      </w:r>
    </w:p>
    <w:p w14:paraId="03940BCB">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3607C92D">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6、采购项目需要落实的政府采购政策：节约能源、保护环境、扶持不发达地区和少数民族地区、促进中小企业发展、支持监狱企业发展、促进残疾人就业等。</w:t>
      </w:r>
    </w:p>
    <w:p w14:paraId="372E6C95">
      <w:pPr>
        <w:pageBreakBefore w:val="0"/>
        <w:overflowPunct/>
        <w:topLinePunct w:val="0"/>
        <w:bidi w:val="0"/>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7、公告发布媒介：本项目招标公告在中国政府采购网、北京市政府采购网及北京市水务局外网。</w:t>
      </w:r>
    </w:p>
    <w:p w14:paraId="653CC148">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 采购项目需要落实的政府采购政策：本项目需落实的节能环保、中小微型企业扶持、支持监狱企业、促进残疾人就业、融资担保等相关政府采购政策详见招标文件。</w:t>
      </w:r>
    </w:p>
    <w:p w14:paraId="31B9E0E2">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9、采购代理机构账户信息： 开户行：中国光大银行股份有限公司北京京广桥支行</w:t>
      </w:r>
    </w:p>
    <w:p w14:paraId="17ADA78D">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  号：35310180809799668</w:t>
      </w:r>
    </w:p>
    <w:p w14:paraId="601F251A">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r>
        <w:rPr>
          <w:rFonts w:hint="eastAsia" w:ascii="宋体" w:hAnsi="宋体" w:eastAsia="宋体"/>
          <w:b/>
          <w:bCs/>
          <w:color w:val="auto"/>
          <w:sz w:val="24"/>
          <w:szCs w:val="24"/>
        </w:rPr>
        <w:t>七、对本次招标提出询问， 请按以下方式联系。</w:t>
      </w:r>
      <w:bookmarkEnd w:id="13"/>
    </w:p>
    <w:p w14:paraId="22A6BD2C">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1.采购人信息</w:t>
      </w:r>
    </w:p>
    <w:p w14:paraId="5987A532">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称：北京市水利工程管理中心</w:t>
      </w:r>
    </w:p>
    <w:p w14:paraId="72B6AC68">
      <w:pPr>
        <w:pageBreakBefore w:val="0"/>
        <w:overflowPunct/>
        <w:topLinePunct w:val="0"/>
        <w:bidi w:val="0"/>
        <w:snapToGrid w:val="0"/>
        <w:spacing w:after="0"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olor w:val="auto"/>
          <w:sz w:val="24"/>
          <w:szCs w:val="24"/>
          <w:highlight w:val="none"/>
        </w:rPr>
        <w:t>北京市海淀区</w:t>
      </w:r>
      <w:r>
        <w:rPr>
          <w:rFonts w:hint="eastAsia" w:ascii="宋体" w:hAnsi="宋体" w:eastAsia="宋体"/>
          <w:color w:val="auto"/>
          <w:sz w:val="24"/>
          <w:szCs w:val="24"/>
          <w:highlight w:val="none"/>
          <w:lang w:eastAsia="zh-CN"/>
        </w:rPr>
        <w:t>翠微路甲</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号</w:t>
      </w:r>
    </w:p>
    <w:p w14:paraId="6922E742">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r>
        <w:rPr>
          <w:rFonts w:hint="eastAsia" w:ascii="宋体" w:hAnsi="宋体" w:eastAsia="宋体"/>
          <w:color w:val="auto"/>
          <w:sz w:val="24"/>
          <w:szCs w:val="24"/>
        </w:rPr>
        <w:t xml:space="preserve">马工 </w:t>
      </w:r>
      <w:r>
        <w:rPr>
          <w:rFonts w:hint="eastAsia" w:ascii="宋体" w:hAnsi="宋体"/>
          <w:color w:val="auto"/>
          <w:sz w:val="24"/>
        </w:rPr>
        <w:t>010-80364712</w:t>
      </w:r>
      <w:r>
        <w:rPr>
          <w:rFonts w:hint="eastAsia" w:ascii="宋体" w:hAnsi="宋体" w:eastAsia="宋体"/>
          <w:color w:val="auto"/>
          <w:sz w:val="24"/>
          <w:szCs w:val="24"/>
        </w:rPr>
        <w:t xml:space="preserve"> </w:t>
      </w:r>
    </w:p>
    <w:p w14:paraId="05F92FBA">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2.采购代理机构信息</w:t>
      </w:r>
    </w:p>
    <w:p w14:paraId="495CC077">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称：北京中域正信工程咨询有限公司</w:t>
      </w:r>
    </w:p>
    <w:p w14:paraId="2747E9CB">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址：北京市昌平区碧水庄园3-20</w:t>
      </w:r>
    </w:p>
    <w:p w14:paraId="003D81D0">
      <w:pPr>
        <w:pageBreakBefore w:val="0"/>
        <w:overflowPunct/>
        <w:topLinePunct w:val="0"/>
        <w:bidi w:val="0"/>
        <w:snapToGrid w:val="0"/>
        <w:spacing w:after="0" w:line="360" w:lineRule="auto"/>
        <w:ind w:firstLine="480" w:firstLineChars="200"/>
        <w:rPr>
          <w:rFonts w:hint="default" w:ascii="宋体" w:hAnsi="宋体" w:eastAsia="宋体"/>
          <w:color w:val="auto"/>
          <w:sz w:val="24"/>
          <w:szCs w:val="24"/>
          <w:lang w:val="en-US" w:eastAsia="zh-CN"/>
        </w:rPr>
      </w:pPr>
      <w:r>
        <w:rPr>
          <w:rFonts w:hint="eastAsia" w:ascii="宋体" w:hAnsi="宋体" w:eastAsia="宋体" w:cs="宋体"/>
          <w:color w:val="auto"/>
          <w:sz w:val="24"/>
        </w:rPr>
        <w:t>联系方式：</w:t>
      </w:r>
      <w:r>
        <w:rPr>
          <w:rFonts w:hint="eastAsia" w:ascii="宋体" w:hAnsi="宋体" w:eastAsia="宋体" w:cs="宋体"/>
          <w:color w:val="auto"/>
          <w:sz w:val="24"/>
          <w:lang w:val="en-US" w:eastAsia="zh-CN"/>
        </w:rPr>
        <w:t>崔梦雪</w:t>
      </w:r>
      <w:r>
        <w:rPr>
          <w:rFonts w:hint="eastAsia" w:ascii="宋体" w:hAnsi="宋体" w:eastAsia="宋体" w:cs="宋体"/>
          <w:color w:val="auto"/>
          <w:sz w:val="24"/>
        </w:rPr>
        <w:t>、</w:t>
      </w:r>
      <w:bookmarkStart w:id="14" w:name="OLE_LINK16"/>
      <w:r>
        <w:rPr>
          <w:rFonts w:hint="eastAsia" w:ascii="宋体" w:hAnsi="宋体" w:eastAsia="宋体" w:cs="宋体"/>
          <w:color w:val="auto"/>
          <w:sz w:val="24"/>
        </w:rPr>
        <w:t>15</w:t>
      </w:r>
      <w:bookmarkEnd w:id="14"/>
      <w:r>
        <w:rPr>
          <w:rFonts w:hint="eastAsia" w:ascii="宋体" w:hAnsi="宋体" w:eastAsia="宋体" w:cs="宋体"/>
          <w:color w:val="auto"/>
          <w:sz w:val="24"/>
          <w:lang w:val="en-US" w:eastAsia="zh-CN"/>
        </w:rPr>
        <w:t>632222896</w:t>
      </w:r>
    </w:p>
    <w:p w14:paraId="14614166">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3.项目联系方式</w:t>
      </w:r>
    </w:p>
    <w:p w14:paraId="5219D5A1">
      <w:pPr>
        <w:pageBreakBefore w:val="0"/>
        <w:overflowPunct/>
        <w:topLinePunct w:val="0"/>
        <w:bidi w:val="0"/>
        <w:snapToGrid w:val="0"/>
        <w:spacing w:after="0" w:line="360" w:lineRule="auto"/>
        <w:ind w:firstLine="480" w:firstLineChars="200"/>
        <w:rPr>
          <w:rFonts w:hint="eastAsia" w:ascii="宋体" w:hAnsi="宋体" w:eastAsia="宋体" w:cs="宋体"/>
          <w:color w:val="auto"/>
          <w:sz w:val="24"/>
          <w:lang w:eastAsia="zh-CN"/>
        </w:rPr>
      </w:pPr>
      <w:bookmarkStart w:id="15" w:name="_Toc794"/>
      <w:r>
        <w:rPr>
          <w:rFonts w:hint="eastAsia" w:ascii="宋体" w:hAnsi="宋体" w:eastAsia="宋体" w:cs="宋体"/>
          <w:color w:val="auto"/>
          <w:sz w:val="24"/>
        </w:rPr>
        <w:t>项目联系人：</w:t>
      </w:r>
      <w:bookmarkEnd w:id="15"/>
      <w:r>
        <w:rPr>
          <w:rFonts w:hint="eastAsia" w:ascii="宋体" w:hAnsi="宋体" w:eastAsia="宋体" w:cs="宋体"/>
          <w:color w:val="auto"/>
          <w:sz w:val="24"/>
          <w:lang w:val="en-US" w:eastAsia="zh-CN"/>
        </w:rPr>
        <w:t>崔梦雪</w:t>
      </w:r>
    </w:p>
    <w:p w14:paraId="5AEA7454">
      <w:pPr>
        <w:pageBreakBefore w:val="0"/>
        <w:overflowPunct/>
        <w:topLinePunct w:val="0"/>
        <w:bidi w:val="0"/>
        <w:snapToGrid w:val="0"/>
        <w:spacing w:after="0" w:line="360" w:lineRule="auto"/>
        <w:ind w:firstLine="480" w:firstLineChars="200"/>
        <w:rPr>
          <w:rFonts w:hint="default" w:ascii="宋体" w:hAnsi="宋体" w:eastAsia="宋体"/>
          <w:color w:val="auto"/>
          <w:sz w:val="24"/>
          <w:szCs w:val="24"/>
          <w:lang w:val="en-US" w:eastAsia="zh-CN"/>
        </w:rPr>
      </w:pPr>
      <w:r>
        <w:rPr>
          <w:rFonts w:hint="eastAsia" w:ascii="宋体" w:hAnsi="宋体" w:eastAsia="宋体" w:cs="宋体"/>
          <w:color w:val="auto"/>
          <w:sz w:val="24"/>
        </w:rPr>
        <w:t>电      话：15</w:t>
      </w:r>
      <w:r>
        <w:rPr>
          <w:rFonts w:hint="eastAsia" w:ascii="宋体" w:hAnsi="宋体" w:eastAsia="宋体" w:cs="宋体"/>
          <w:color w:val="auto"/>
          <w:sz w:val="24"/>
          <w:lang w:val="en-US" w:eastAsia="zh-CN"/>
        </w:rPr>
        <w:t>632222896</w:t>
      </w:r>
    </w:p>
    <w:p w14:paraId="0EE82E55">
      <w:pPr>
        <w:pStyle w:val="6"/>
        <w:pageBreakBefore w:val="0"/>
        <w:overflowPunct/>
        <w:topLinePunct w:val="0"/>
        <w:bidi w:val="0"/>
        <w:snapToGrid w:val="0"/>
        <w:spacing w:after="0"/>
        <w:rPr>
          <w:rFonts w:hint="eastAsia" w:hAnsi="宋体"/>
        </w:rPr>
        <w:sectPr>
          <w:footerReference r:id="rId9" w:type="default"/>
          <w:pgSz w:w="11907" w:h="16840"/>
          <w:pgMar w:top="1117" w:right="1047" w:bottom="1060" w:left="1700" w:header="878" w:footer="886" w:gutter="0"/>
          <w:pgNumType w:fmt="decimal" w:start="1"/>
          <w:cols w:space="720" w:num="1"/>
        </w:sectPr>
      </w:pPr>
    </w:p>
    <w:p w14:paraId="078F2475">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16" w:name="_Toc148096348"/>
      <w:bookmarkStart w:id="17" w:name="_Toc183959674"/>
      <w:r>
        <w:rPr>
          <w:rFonts w:hint="eastAsia" w:hAnsi="宋体"/>
          <w:b/>
          <w:bCs/>
          <w:sz w:val="36"/>
          <w:szCs w:val="36"/>
        </w:rPr>
        <w:t>第二章   投标人须知</w:t>
      </w:r>
      <w:bookmarkEnd w:id="16"/>
      <w:bookmarkEnd w:id="17"/>
    </w:p>
    <w:p w14:paraId="640CCBF8">
      <w:pPr>
        <w:pageBreakBefore w:val="0"/>
        <w:overflowPunct/>
        <w:topLinePunct w:val="0"/>
        <w:bidi w:val="0"/>
        <w:snapToGrid w:val="0"/>
        <w:spacing w:after="0" w:line="360" w:lineRule="auto"/>
        <w:rPr>
          <w:rFonts w:hint="eastAsia" w:ascii="宋体" w:hAnsi="宋体" w:eastAsia="宋体"/>
          <w:color w:val="auto"/>
          <w:sz w:val="24"/>
        </w:rPr>
      </w:pPr>
      <w:r>
        <w:rPr>
          <w:rFonts w:ascii="宋体" w:hAnsi="宋体" w:eastAsia="宋体"/>
          <w:color w:val="auto"/>
          <w:sz w:val="24"/>
        </w:rPr>
        <w:t>本表是对供应商须知的具体补充和修改，如有矛盾，均以本资料表为准。标记“</w:t>
      </w:r>
      <w:r>
        <w:rPr>
          <w:rFonts w:ascii="宋体" w:hAnsi="宋体" w:eastAsia="宋体"/>
          <w:b/>
          <w:color w:val="auto"/>
          <w:sz w:val="24"/>
        </w:rPr>
        <w:t>■</w:t>
      </w:r>
      <w:r>
        <w:rPr>
          <w:rFonts w:ascii="宋体" w:hAnsi="宋体" w:eastAsia="宋体"/>
          <w:color w:val="auto"/>
          <w:sz w:val="24"/>
        </w:rPr>
        <w:t>”的选项意为适用于本项目，标记“</w:t>
      </w:r>
      <w:r>
        <w:rPr>
          <w:rFonts w:ascii="宋体" w:hAnsi="宋体" w:eastAsia="宋体"/>
          <w:color w:val="auto"/>
        </w:rPr>
        <w:t>□</w:t>
      </w:r>
      <w:r>
        <w:rPr>
          <w:rFonts w:ascii="宋体" w:hAnsi="宋体" w:eastAsia="宋体"/>
          <w:color w:val="auto"/>
          <w:sz w:val="24"/>
        </w:rPr>
        <w:t>”的选项意为不适用于本项目</w:t>
      </w:r>
      <w:r>
        <w:rPr>
          <w:rFonts w:hint="eastAsia" w:ascii="宋体" w:hAnsi="宋体" w:eastAsia="宋体"/>
          <w:color w:val="auto"/>
          <w:sz w:val="24"/>
        </w:rPr>
        <w:t>。</w:t>
      </w:r>
    </w:p>
    <w:p w14:paraId="1561557B">
      <w:pPr>
        <w:pageBreakBefore w:val="0"/>
        <w:overflowPunct/>
        <w:topLinePunct w:val="0"/>
        <w:bidi w:val="0"/>
        <w:snapToGrid w:val="0"/>
        <w:spacing w:after="0" w:line="43" w:lineRule="auto"/>
        <w:rPr>
          <w:rFonts w:hint="eastAsia" w:ascii="宋体" w:hAnsi="宋体" w:eastAsia="宋体" w:cs="宋体"/>
          <w:color w:val="auto"/>
          <w:sz w:val="2"/>
        </w:rPr>
      </w:pPr>
    </w:p>
    <w:tbl>
      <w:tblPr>
        <w:tblStyle w:val="27"/>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22"/>
        <w:gridCol w:w="2853"/>
        <w:gridCol w:w="3627"/>
        <w:gridCol w:w="240"/>
      </w:tblGrid>
      <w:tr w14:paraId="5DBA6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14:paraId="226D5211">
            <w:pPr>
              <w:pageBreakBefore w:val="0"/>
              <w:overflowPunct/>
              <w:topLinePunct w:val="0"/>
              <w:bidi w:val="0"/>
              <w:snapToGrid w:val="0"/>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14:paraId="05F2A168">
            <w:pPr>
              <w:pageBreakBefore w:val="0"/>
              <w:overflowPunct/>
              <w:topLinePunct w:val="0"/>
              <w:bidi w:val="0"/>
              <w:snapToGrid w:val="0"/>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14:paraId="3CB7FE7C">
            <w:pPr>
              <w:pageBreakBefore w:val="0"/>
              <w:overflowPunct/>
              <w:topLinePunct w:val="0"/>
              <w:bidi w:val="0"/>
              <w:snapToGrid w:val="0"/>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14:paraId="36A08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992" w:type="dxa"/>
            <w:vAlign w:val="center"/>
          </w:tcPr>
          <w:p w14:paraId="7E67299B">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14:paraId="5C7A92D4">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14:paraId="4F30B1C4">
            <w:pPr>
              <w:pageBreakBefore w:val="0"/>
              <w:overflowPunct/>
              <w:topLinePunct w:val="0"/>
              <w:bidi w:val="0"/>
              <w:snapToGrid w:val="0"/>
              <w:spacing w:before="25"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1"/>
                <w:sz w:val="24"/>
                <w:szCs w:val="24"/>
              </w:rPr>
              <w:t>项目属性：</w:t>
            </w: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 xml:space="preserve">服务    </w:t>
            </w: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14:paraId="67ED4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992" w:type="dxa"/>
            <w:vAlign w:val="center"/>
          </w:tcPr>
          <w:p w14:paraId="75BC5E15">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14:paraId="4AE87EAE">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14:paraId="43BC9A34">
            <w:pPr>
              <w:pageBreakBefore w:val="0"/>
              <w:overflowPunct/>
              <w:topLinePunct w:val="0"/>
              <w:bidi w:val="0"/>
              <w:snapToGrid w:val="0"/>
              <w:spacing w:before="24"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bookmarkStart w:id="18" w:name="OLE_LINK12"/>
            <w:r>
              <w:rPr>
                <w:rFonts w:hint="eastAsia" w:ascii="宋体" w:hAnsi="宋体" w:eastAsia="宋体" w:cs="宋体"/>
                <w:color w:val="auto"/>
                <w:spacing w:val="30"/>
                <w:sz w:val="24"/>
                <w:szCs w:val="24"/>
              </w:rPr>
              <w:t>□</w:t>
            </w:r>
            <w:bookmarkEnd w:id="18"/>
            <w:r>
              <w:rPr>
                <w:rFonts w:hint="eastAsia" w:ascii="宋体" w:hAnsi="宋体" w:eastAsia="宋体" w:cs="宋体"/>
                <w:color w:val="auto"/>
                <w:spacing w:val="29"/>
                <w:sz w:val="24"/>
                <w:szCs w:val="24"/>
              </w:rPr>
              <w:t xml:space="preserve">是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14:paraId="43F3C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4" w:hRule="atLeast"/>
          <w:jc w:val="center"/>
        </w:trPr>
        <w:tc>
          <w:tcPr>
            <w:tcW w:w="992" w:type="dxa"/>
            <w:vAlign w:val="center"/>
          </w:tcPr>
          <w:p w14:paraId="0BCCC000">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14:paraId="455C5CFD">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14:paraId="52700175">
            <w:pPr>
              <w:pageBreakBefore w:val="0"/>
              <w:overflowPunct/>
              <w:topLinePunct w:val="0"/>
              <w:bidi w:val="0"/>
              <w:snapToGrid w:val="0"/>
              <w:spacing w:before="3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14:paraId="585A0F49">
            <w:pPr>
              <w:pageBreakBefore w:val="0"/>
              <w:overflowPunct/>
              <w:topLinePunct w:val="0"/>
              <w:bidi w:val="0"/>
              <w:snapToGrid w:val="0"/>
              <w:spacing w:before="27" w:after="0" w:line="276" w:lineRule="auto"/>
              <w:ind w:left="126"/>
              <w:rPr>
                <w:rFonts w:hint="eastAsia" w:ascii="宋体" w:hAnsi="宋体" w:eastAsia="宋体" w:cs="宋体"/>
                <w:color w:val="auto"/>
                <w:sz w:val="24"/>
                <w:szCs w:val="24"/>
              </w:rPr>
            </w:pPr>
            <w:bookmarkStart w:id="19" w:name="OLE_LINK3"/>
            <w:r>
              <w:rPr>
                <w:rFonts w:hint="eastAsia" w:ascii="宋体" w:hAnsi="宋体" w:eastAsia="宋体" w:cs="宋体"/>
                <w:color w:val="auto"/>
                <w:spacing w:val="1"/>
                <w:sz w:val="24"/>
                <w:szCs w:val="24"/>
              </w:rPr>
              <w:t>□</w:t>
            </w:r>
            <w:bookmarkEnd w:id="19"/>
            <w:r>
              <w:rPr>
                <w:rFonts w:hint="eastAsia" w:ascii="宋体" w:hAnsi="宋体" w:eastAsia="宋体" w:cs="宋体"/>
                <w:color w:val="auto"/>
                <w:sz w:val="24"/>
                <w:szCs w:val="24"/>
              </w:rPr>
              <w:t>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包为单一产品采购项目。</w:t>
            </w:r>
          </w:p>
          <w:p w14:paraId="7A347E94">
            <w:pPr>
              <w:pageBreakBefore w:val="0"/>
              <w:overflowPunct/>
              <w:topLinePunct w:val="0"/>
              <w:bidi w:val="0"/>
              <w:snapToGrid w:val="0"/>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8"/>
                <w:sz w:val="24"/>
                <w:szCs w:val="24"/>
              </w:rPr>
              <w:t>本项目</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4"/>
                <w:sz w:val="24"/>
                <w:szCs w:val="24"/>
              </w:rPr>
              <w:t>包为非单一产品采购项目，核心产品为: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w:t>
            </w:r>
          </w:p>
        </w:tc>
      </w:tr>
      <w:tr w14:paraId="26CDA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992" w:type="dxa"/>
            <w:vMerge w:val="restart"/>
            <w:tcBorders>
              <w:bottom w:val="nil"/>
            </w:tcBorders>
            <w:vAlign w:val="center"/>
          </w:tcPr>
          <w:p w14:paraId="4176B903">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14:paraId="3F3064DB">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14:paraId="1418A2E7">
            <w:pPr>
              <w:pageBreakBefore w:val="0"/>
              <w:overflowPunct/>
              <w:topLinePunct w:val="0"/>
              <w:bidi w:val="0"/>
              <w:snapToGrid w:val="0"/>
              <w:spacing w:after="0" w:line="360" w:lineRule="auto"/>
              <w:rPr>
                <w:rFonts w:hint="eastAsia" w:ascii="宋体" w:hAnsi="宋体" w:eastAsia="宋体"/>
                <w:color w:val="auto"/>
                <w:sz w:val="24"/>
              </w:rPr>
            </w:pPr>
            <w:r>
              <w:rPr>
                <w:rFonts w:hint="eastAsia" w:ascii="宋体" w:hAnsi="宋体" w:eastAsia="宋体"/>
                <w:color w:val="auto"/>
                <w:sz w:val="24"/>
              </w:rPr>
              <w:t>■不组织</w:t>
            </w:r>
          </w:p>
          <w:p w14:paraId="16BFCE10">
            <w:pPr>
              <w:pageBreakBefore w:val="0"/>
              <w:overflowPunct/>
              <w:topLinePunct w:val="0"/>
              <w:bidi w:val="0"/>
              <w:snapToGrid w:val="0"/>
              <w:spacing w:after="0" w:line="360" w:lineRule="auto"/>
              <w:rPr>
                <w:rFonts w:hint="eastAsia" w:ascii="宋体" w:hAnsi="宋体" w:eastAsia="宋体"/>
                <w:color w:val="auto"/>
                <w:sz w:val="24"/>
              </w:rPr>
            </w:pPr>
            <w:r>
              <w:rPr>
                <w:rFonts w:hint="eastAsia" w:ascii="宋体" w:hAnsi="宋体" w:eastAsia="宋体"/>
                <w:color w:val="auto"/>
                <w:sz w:val="24"/>
              </w:rPr>
              <w:t>□组织，考察时间：2025年 月 日</w:t>
            </w:r>
            <w:r>
              <w:rPr>
                <w:rFonts w:hint="eastAsia" w:ascii="宋体" w:hAnsi="宋体" w:eastAsia="宋体"/>
                <w:color w:val="auto"/>
                <w:sz w:val="24"/>
                <w:lang w:val="en-US" w:eastAsia="zh-CN"/>
              </w:rPr>
              <w:t xml:space="preserve"> </w:t>
            </w:r>
            <w:r>
              <w:rPr>
                <w:rFonts w:hint="eastAsia" w:ascii="宋体" w:hAnsi="宋体" w:eastAsia="宋体"/>
                <w:color w:val="auto"/>
                <w:sz w:val="24"/>
              </w:rPr>
              <w:t>时</w:t>
            </w:r>
            <w:r>
              <w:rPr>
                <w:rFonts w:hint="eastAsia" w:ascii="宋体" w:hAnsi="宋体" w:eastAsia="宋体"/>
                <w:color w:val="auto"/>
                <w:sz w:val="24"/>
                <w:lang w:val="en-US" w:eastAsia="zh-CN"/>
              </w:rPr>
              <w:t xml:space="preserve"> </w:t>
            </w:r>
            <w:r>
              <w:rPr>
                <w:rFonts w:hint="eastAsia" w:ascii="宋体" w:hAnsi="宋体" w:eastAsia="宋体"/>
                <w:color w:val="auto"/>
                <w:sz w:val="24"/>
              </w:rPr>
              <w:t xml:space="preserve">分 </w:t>
            </w:r>
          </w:p>
          <w:p w14:paraId="66D1A2F4">
            <w:pPr>
              <w:pageBreakBefore w:val="0"/>
              <w:overflowPunct/>
              <w:topLinePunct w:val="0"/>
              <w:bidi w:val="0"/>
              <w:snapToGrid w:val="0"/>
              <w:spacing w:after="0"/>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考察地点：</w:t>
            </w:r>
            <w:r>
              <w:rPr>
                <w:rFonts w:hint="eastAsia" w:ascii="宋体" w:hAnsi="宋体" w:eastAsia="宋体" w:cs="宋体"/>
                <w:color w:val="auto"/>
                <w:sz w:val="24"/>
                <w:szCs w:val="24"/>
                <w:highlight w:val="none"/>
              </w:rPr>
              <w:t>/</w:t>
            </w:r>
          </w:p>
        </w:tc>
      </w:tr>
      <w:tr w14:paraId="70BC2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14:paraId="02A97587">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Align w:val="center"/>
          </w:tcPr>
          <w:p w14:paraId="6CC73511">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14:paraId="27F9AAA4">
            <w:pPr>
              <w:pageBreakBefore w:val="0"/>
              <w:overflowPunct/>
              <w:topLinePunct w:val="0"/>
              <w:bidi w:val="0"/>
              <w:snapToGrid w:val="0"/>
              <w:spacing w:before="35"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14:paraId="56BE40C9">
            <w:pPr>
              <w:pageBreakBefore w:val="0"/>
              <w:overflowPunct/>
              <w:topLinePunct w:val="0"/>
              <w:bidi w:val="0"/>
              <w:snapToGrid w:val="0"/>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14:paraId="0D4B4D23">
            <w:pPr>
              <w:pageBreakBefore w:val="0"/>
              <w:overflowPunct/>
              <w:topLinePunct w:val="0"/>
              <w:bidi w:val="0"/>
              <w:snapToGrid w:val="0"/>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14:paraId="4ECD3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992" w:type="dxa"/>
            <w:vAlign w:val="center"/>
          </w:tcPr>
          <w:p w14:paraId="07C62078">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14:paraId="12F853FA">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14:paraId="32AE3F9E">
            <w:pPr>
              <w:pageBreakBefore w:val="0"/>
              <w:overflowPunct/>
              <w:topLinePunct w:val="0"/>
              <w:bidi w:val="0"/>
              <w:snapToGrid w:val="0"/>
              <w:spacing w:before="39" w:after="0" w:line="240" w:lineRule="auto"/>
              <w:ind w:left="117"/>
              <w:rPr>
                <w:rFonts w:hint="eastAsia"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14:paraId="712C62E3">
            <w:pPr>
              <w:pageBreakBefore w:val="0"/>
              <w:overflowPunct/>
              <w:topLinePunct w:val="0"/>
              <w:bidi w:val="0"/>
              <w:snapToGrid w:val="0"/>
              <w:spacing w:before="23" w:after="0" w:line="240"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14:paraId="7A0DBCD2">
            <w:pPr>
              <w:pageBreakBefore w:val="0"/>
              <w:overflowPunct/>
              <w:topLinePunct w:val="0"/>
              <w:bidi w:val="0"/>
              <w:snapToGrid w:val="0"/>
              <w:spacing w:before="24" w:after="0" w:line="24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14:paraId="7D046206">
            <w:pPr>
              <w:pageBreakBefore w:val="0"/>
              <w:overflowPunct/>
              <w:topLinePunct w:val="0"/>
              <w:bidi w:val="0"/>
              <w:snapToGrid w:val="0"/>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14:paraId="794F23F2">
            <w:pPr>
              <w:pageBreakBefore w:val="0"/>
              <w:overflowPunct/>
              <w:topLinePunct w:val="0"/>
              <w:bidi w:val="0"/>
              <w:snapToGrid w:val="0"/>
              <w:spacing w:before="27" w:after="0" w:line="240" w:lineRule="auto"/>
              <w:ind w:left="120"/>
              <w:rPr>
                <w:rFonts w:hint="eastAsia"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14:paraId="72E85333">
            <w:pPr>
              <w:pageBreakBefore w:val="0"/>
              <w:overflowPunct/>
              <w:topLinePunct w:val="0"/>
              <w:bidi w:val="0"/>
              <w:snapToGrid w:val="0"/>
              <w:spacing w:before="27" w:after="0" w:line="240" w:lineRule="auto"/>
              <w:ind w:left="120" w:firstLine="548" w:firstLineChars="200"/>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14:paraId="3FDFFBE4">
            <w:pPr>
              <w:pageBreakBefore w:val="0"/>
              <w:overflowPunct/>
              <w:topLinePunct w:val="0"/>
              <w:bidi w:val="0"/>
              <w:snapToGrid w:val="0"/>
              <w:spacing w:before="25" w:after="0" w:line="240" w:lineRule="auto"/>
              <w:ind w:left="726"/>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14:paraId="6A08DAF3">
            <w:pPr>
              <w:pageBreakBefore w:val="0"/>
              <w:overflowPunct/>
              <w:topLinePunct w:val="0"/>
              <w:bidi w:val="0"/>
              <w:snapToGrid w:val="0"/>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(3)样品递交要求： _________；</w:t>
            </w:r>
          </w:p>
          <w:p w14:paraId="581F1101">
            <w:pPr>
              <w:pageBreakBefore w:val="0"/>
              <w:overflowPunct/>
              <w:topLinePunct w:val="0"/>
              <w:bidi w:val="0"/>
              <w:snapToGrid w:val="0"/>
              <w:spacing w:before="28"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14:paraId="194BA999">
            <w:pPr>
              <w:pageBreakBefore w:val="0"/>
              <w:overflowPunct/>
              <w:topLinePunct w:val="0"/>
              <w:bidi w:val="0"/>
              <w:snapToGrid w:val="0"/>
              <w:spacing w:before="27" w:after="0"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14:paraId="4F315564">
            <w:pPr>
              <w:pageBreakBefore w:val="0"/>
              <w:overflowPunct/>
              <w:topLinePunct w:val="0"/>
              <w:bidi w:val="0"/>
              <w:snapToGrid w:val="0"/>
              <w:spacing w:before="28" w:after="0" w:line="276" w:lineRule="auto"/>
              <w:ind w:left="120"/>
              <w:rPr>
                <w:rFonts w:hint="eastAsia"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14:paraId="0322A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14:paraId="41F41A90">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14:paraId="103FD7D4">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14:paraId="59526A63">
            <w:pPr>
              <w:pageBreakBefore w:val="0"/>
              <w:overflowPunct/>
              <w:topLinePunct w:val="0"/>
              <w:bidi w:val="0"/>
              <w:snapToGrid w:val="0"/>
              <w:spacing w:before="44" w:after="0" w:line="276" w:lineRule="auto"/>
              <w:ind w:left="115"/>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14:paraId="05D1C72E">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047A6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14:paraId="3097F53C">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Merge w:val="continue"/>
            <w:tcBorders>
              <w:top w:val="single" w:color="auto" w:sz="4" w:space="0"/>
              <w:bottom w:val="nil"/>
            </w:tcBorders>
            <w:vAlign w:val="center"/>
          </w:tcPr>
          <w:p w14:paraId="47ACB75D">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822" w:type="dxa"/>
            <w:tcBorders>
              <w:top w:val="single" w:color="auto" w:sz="4" w:space="0"/>
            </w:tcBorders>
            <w:vAlign w:val="center"/>
          </w:tcPr>
          <w:p w14:paraId="4451FA52">
            <w:pPr>
              <w:pStyle w:val="31"/>
              <w:pageBreakBefore w:val="0"/>
              <w:overflowPunct/>
              <w:topLinePunct w:val="0"/>
              <w:bidi w:val="0"/>
              <w:snapToGrid w:val="0"/>
              <w:spacing w:before="119" w:after="0" w:line="221" w:lineRule="auto"/>
              <w:ind w:left="152"/>
              <w:rPr>
                <w:rFonts w:hint="eastAsia"/>
                <w:color w:val="auto"/>
                <w:spacing w:val="-2"/>
                <w:sz w:val="24"/>
                <w:szCs w:val="24"/>
                <w:lang w:eastAsia="zh-CN"/>
              </w:rPr>
            </w:pPr>
            <w:r>
              <w:rPr>
                <w:rFonts w:hint="eastAsia"/>
                <w:color w:val="auto"/>
                <w:spacing w:val="-2"/>
                <w:sz w:val="24"/>
                <w:szCs w:val="24"/>
                <w:lang w:eastAsia="zh-CN"/>
              </w:rPr>
              <w:t>包号</w:t>
            </w:r>
          </w:p>
        </w:tc>
        <w:tc>
          <w:tcPr>
            <w:tcW w:w="2853" w:type="dxa"/>
            <w:tcBorders>
              <w:top w:val="single" w:color="auto" w:sz="4" w:space="0"/>
            </w:tcBorders>
            <w:vAlign w:val="center"/>
          </w:tcPr>
          <w:p w14:paraId="081716C1">
            <w:pPr>
              <w:pStyle w:val="31"/>
              <w:pageBreakBefore w:val="0"/>
              <w:overflowPunct/>
              <w:topLinePunct w:val="0"/>
              <w:bidi w:val="0"/>
              <w:snapToGrid w:val="0"/>
              <w:spacing w:before="119" w:after="0" w:line="220" w:lineRule="auto"/>
              <w:jc w:val="center"/>
              <w:rPr>
                <w:rFonts w:hint="eastAsia"/>
                <w:color w:val="auto"/>
                <w:spacing w:val="-2"/>
                <w:sz w:val="24"/>
                <w:szCs w:val="24"/>
                <w:lang w:eastAsia="zh-CN"/>
              </w:rPr>
            </w:pPr>
            <w:r>
              <w:rPr>
                <w:rFonts w:hint="eastAsia"/>
                <w:color w:val="auto"/>
                <w:spacing w:val="-2"/>
                <w:sz w:val="24"/>
                <w:szCs w:val="24"/>
                <w:lang w:eastAsia="zh-CN"/>
              </w:rPr>
              <w:t>标的名称</w:t>
            </w:r>
          </w:p>
        </w:tc>
        <w:tc>
          <w:tcPr>
            <w:tcW w:w="3627" w:type="dxa"/>
            <w:tcBorders>
              <w:top w:val="single" w:color="auto" w:sz="4" w:space="0"/>
            </w:tcBorders>
            <w:vAlign w:val="center"/>
          </w:tcPr>
          <w:p w14:paraId="1D5B23A8">
            <w:pPr>
              <w:pStyle w:val="31"/>
              <w:pageBreakBefore w:val="0"/>
              <w:overflowPunct/>
              <w:topLinePunct w:val="0"/>
              <w:bidi w:val="0"/>
              <w:snapToGrid w:val="0"/>
              <w:spacing w:before="119" w:after="0" w:line="220" w:lineRule="auto"/>
              <w:ind w:left="207" w:firstLine="236" w:firstLineChars="100"/>
              <w:jc w:val="center"/>
              <w:rPr>
                <w:rFonts w:hint="eastAsia"/>
                <w:color w:val="auto"/>
                <w:spacing w:val="-2"/>
                <w:sz w:val="24"/>
                <w:szCs w:val="24"/>
                <w:lang w:eastAsia="zh-CN"/>
              </w:rPr>
            </w:pPr>
            <w:r>
              <w:rPr>
                <w:rFonts w:hint="eastAsia"/>
                <w:color w:val="auto"/>
                <w:spacing w:val="-2"/>
                <w:sz w:val="24"/>
                <w:szCs w:val="24"/>
                <w:lang w:eastAsia="zh-CN"/>
              </w:rPr>
              <w:t>中小企业划分标准所属行业</w:t>
            </w:r>
          </w:p>
        </w:tc>
        <w:tc>
          <w:tcPr>
            <w:tcW w:w="240" w:type="dxa"/>
            <w:vMerge w:val="continue"/>
            <w:tcBorders>
              <w:top w:val="nil"/>
              <w:bottom w:val="nil"/>
            </w:tcBorders>
            <w:vAlign w:val="center"/>
          </w:tcPr>
          <w:p w14:paraId="61BD46FA">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08003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14:paraId="1EE8DCF0">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Merge w:val="continue"/>
            <w:tcBorders>
              <w:top w:val="nil"/>
              <w:bottom w:val="nil"/>
            </w:tcBorders>
            <w:vAlign w:val="center"/>
          </w:tcPr>
          <w:p w14:paraId="6520E07C">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822" w:type="dxa"/>
            <w:vAlign w:val="center"/>
          </w:tcPr>
          <w:p w14:paraId="0EC9353F">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01</w:t>
            </w:r>
          </w:p>
        </w:tc>
        <w:tc>
          <w:tcPr>
            <w:tcW w:w="2853" w:type="dxa"/>
            <w:vAlign w:val="center"/>
          </w:tcPr>
          <w:p w14:paraId="7A101E4E">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北京市南水北调大宁管理处水利工程日常维修养护-设备</w:t>
            </w:r>
            <w:r>
              <w:rPr>
                <w:rFonts w:hint="eastAsia" w:ascii="宋体" w:hAnsi="宋体" w:eastAsia="宋体" w:cs="宋体"/>
                <w:color w:val="auto"/>
                <w:spacing w:val="-2"/>
                <w:sz w:val="24"/>
                <w:szCs w:val="24"/>
                <w:lang w:eastAsia="zh-CN"/>
              </w:rPr>
              <w:t>设施</w:t>
            </w:r>
            <w:r>
              <w:rPr>
                <w:rFonts w:hint="eastAsia" w:ascii="宋体" w:hAnsi="宋体" w:eastAsia="宋体" w:cs="宋体"/>
                <w:color w:val="auto"/>
                <w:spacing w:val="-2"/>
                <w:sz w:val="24"/>
                <w:szCs w:val="24"/>
              </w:rPr>
              <w:t>维修养护</w:t>
            </w:r>
          </w:p>
        </w:tc>
        <w:tc>
          <w:tcPr>
            <w:tcW w:w="3627" w:type="dxa"/>
            <w:vAlign w:val="center"/>
          </w:tcPr>
          <w:p w14:paraId="550259FB">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其他未列明行业</w:t>
            </w:r>
          </w:p>
        </w:tc>
        <w:tc>
          <w:tcPr>
            <w:tcW w:w="240" w:type="dxa"/>
            <w:vMerge w:val="continue"/>
            <w:tcBorders>
              <w:top w:val="nil"/>
              <w:bottom w:val="nil"/>
            </w:tcBorders>
            <w:vAlign w:val="center"/>
          </w:tcPr>
          <w:p w14:paraId="393EDED3">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70456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 w:hRule="atLeast"/>
          <w:jc w:val="center"/>
        </w:trPr>
        <w:tc>
          <w:tcPr>
            <w:tcW w:w="992" w:type="dxa"/>
            <w:vMerge w:val="continue"/>
            <w:tcBorders>
              <w:top w:val="nil"/>
            </w:tcBorders>
            <w:vAlign w:val="center"/>
          </w:tcPr>
          <w:p w14:paraId="471554CF">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Merge w:val="continue"/>
            <w:tcBorders>
              <w:top w:val="nil"/>
            </w:tcBorders>
            <w:vAlign w:val="center"/>
          </w:tcPr>
          <w:p w14:paraId="7D9D448E">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7302" w:type="dxa"/>
            <w:gridSpan w:val="3"/>
            <w:tcBorders>
              <w:right w:val="nil"/>
            </w:tcBorders>
            <w:vAlign w:val="center"/>
          </w:tcPr>
          <w:p w14:paraId="53116D6C">
            <w:pPr>
              <w:pageBreakBefore w:val="0"/>
              <w:overflowPunct/>
              <w:topLinePunct w:val="0"/>
              <w:bidi w:val="0"/>
              <w:snapToGrid w:val="0"/>
              <w:spacing w:after="0" w:line="276" w:lineRule="auto"/>
              <w:rPr>
                <w:rFonts w:hint="eastAsia" w:ascii="宋体" w:hAnsi="宋体" w:eastAsia="宋体" w:cs="宋体"/>
                <w:color w:val="auto"/>
                <w:sz w:val="24"/>
                <w:szCs w:val="24"/>
              </w:rPr>
            </w:pPr>
          </w:p>
        </w:tc>
        <w:tc>
          <w:tcPr>
            <w:tcW w:w="240" w:type="dxa"/>
            <w:vMerge w:val="continue"/>
            <w:tcBorders>
              <w:top w:val="nil"/>
            </w:tcBorders>
            <w:vAlign w:val="center"/>
          </w:tcPr>
          <w:p w14:paraId="3B7256B8">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03780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B250E64">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14:paraId="54CD7DA2">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14:paraId="076AC9EC">
            <w:pPr>
              <w:pageBreakBefore w:val="0"/>
              <w:overflowPunct/>
              <w:topLinePunct w:val="0"/>
              <w:bidi w:val="0"/>
              <w:snapToGrid w:val="0"/>
              <w:spacing w:before="39" w:after="0" w:line="276" w:lineRule="auto"/>
              <w:ind w:left="117"/>
              <w:rPr>
                <w:rFonts w:hint="eastAsia"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14:paraId="6F1E75E9">
            <w:pPr>
              <w:pageBreakBefore w:val="0"/>
              <w:overflowPunct/>
              <w:topLinePunct w:val="0"/>
              <w:bidi w:val="0"/>
              <w:snapToGrid w:val="0"/>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14:paraId="128C78DF">
            <w:pPr>
              <w:pageBreakBefore w:val="0"/>
              <w:overflowPunct/>
              <w:topLinePunct w:val="0"/>
              <w:bidi w:val="0"/>
              <w:snapToGrid w:val="0"/>
              <w:spacing w:before="22"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w:t>
            </w:r>
            <w:r>
              <w:rPr>
                <w:rFonts w:hint="eastAsia" w:ascii="宋体" w:hAnsi="宋体" w:eastAsia="宋体" w:cs="宋体"/>
                <w:color w:val="auto"/>
                <w:spacing w:val="-8"/>
                <w:sz w:val="24"/>
                <w:szCs w:val="24"/>
                <w:u w:val="single"/>
              </w:rPr>
              <w:t>/</w:t>
            </w:r>
            <w:r>
              <w:rPr>
                <w:rFonts w:hint="eastAsia" w:ascii="宋体" w:hAnsi="宋体" w:eastAsia="宋体" w:cs="宋体"/>
                <w:color w:val="auto"/>
                <w:spacing w:val="-8"/>
                <w:sz w:val="24"/>
                <w:szCs w:val="24"/>
              </w:rPr>
              <w:t>。</w:t>
            </w:r>
          </w:p>
        </w:tc>
      </w:tr>
      <w:tr w14:paraId="2837E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B6448FE">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14:paraId="10F8335B">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14:paraId="3A1BAD59">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hint="eastAsia" w:ascii="宋体" w:hAnsi="宋体" w:eastAsia="宋体" w:cs="宋体"/>
                <w:color w:val="auto"/>
                <w:spacing w:val="-1"/>
                <w:sz w:val="24"/>
                <w:szCs w:val="24"/>
                <w:lang w:val="en-US" w:eastAsia="zh-CN" w:bidi="ar"/>
              </w:rPr>
              <w:t>5000</w:t>
            </w:r>
            <w:r>
              <w:rPr>
                <w:rFonts w:hint="eastAsia" w:ascii="宋体" w:hAnsi="宋体" w:eastAsia="宋体" w:cs="宋体"/>
                <w:color w:val="auto"/>
                <w:spacing w:val="-1"/>
                <w:sz w:val="24"/>
                <w:szCs w:val="24"/>
                <w:lang w:bidi="ar"/>
              </w:rPr>
              <w:t>元</w:t>
            </w:r>
          </w:p>
          <w:p w14:paraId="68FB205F">
            <w:pPr>
              <w:pageBreakBefore w:val="0"/>
              <w:overflowPunct/>
              <w:topLinePunct w:val="0"/>
              <w:bidi w:val="0"/>
              <w:snapToGrid w:val="0"/>
              <w:spacing w:before="2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14:paraId="7F945A0E">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14:paraId="588A9E67">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14:paraId="6EF139F7">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p w14:paraId="59BC0526">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备    注：投标保证金应当从其基本账户转出。</w:t>
            </w:r>
          </w:p>
        </w:tc>
      </w:tr>
      <w:tr w14:paraId="238C9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4F83636D">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2.8.2</w:t>
            </w:r>
          </w:p>
        </w:tc>
        <w:tc>
          <w:tcPr>
            <w:tcW w:w="1700" w:type="dxa"/>
            <w:vMerge w:val="continue"/>
            <w:vAlign w:val="center"/>
          </w:tcPr>
          <w:p w14:paraId="20E9E1EF">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p>
        </w:tc>
        <w:tc>
          <w:tcPr>
            <w:tcW w:w="7542" w:type="dxa"/>
            <w:gridSpan w:val="4"/>
            <w:vAlign w:val="center"/>
          </w:tcPr>
          <w:p w14:paraId="16185C1E">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14:paraId="21DD6DC5">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14:paraId="3DACD117">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14:paraId="1B4E3A3D">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（一）</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在提交</w:t>
            </w:r>
            <w:r>
              <w:rPr>
                <w:rFonts w:hint="eastAsia" w:ascii="宋体" w:hAnsi="宋体" w:eastAsia="宋体" w:cs="宋体"/>
                <w:color w:val="auto"/>
                <w:spacing w:val="-1"/>
                <w:sz w:val="24"/>
                <w:szCs w:val="24"/>
                <w:u w:val="single"/>
                <w:lang w:val="en-US" w:eastAsia="zh-CN" w:bidi="ar"/>
              </w:rPr>
              <w:t>投标</w:t>
            </w:r>
            <w:r>
              <w:rPr>
                <w:rFonts w:hint="eastAsia" w:ascii="宋体" w:hAnsi="宋体" w:eastAsia="宋体" w:cs="宋体"/>
                <w:color w:val="auto"/>
                <w:spacing w:val="-1"/>
                <w:sz w:val="24"/>
                <w:szCs w:val="24"/>
                <w:u w:val="single"/>
                <w:lang w:bidi="ar"/>
              </w:rPr>
              <w:t>文件截止时间后撤回</w:t>
            </w:r>
            <w:r>
              <w:rPr>
                <w:rFonts w:hint="eastAsia" w:ascii="宋体" w:hAnsi="宋体" w:eastAsia="宋体" w:cs="宋体"/>
                <w:color w:val="auto"/>
                <w:spacing w:val="-1"/>
                <w:sz w:val="24"/>
                <w:szCs w:val="24"/>
                <w:u w:val="single"/>
                <w:lang w:val="en-US" w:eastAsia="zh-CN" w:bidi="ar"/>
              </w:rPr>
              <w:t>投标</w:t>
            </w:r>
            <w:r>
              <w:rPr>
                <w:rFonts w:hint="eastAsia" w:ascii="宋体" w:hAnsi="宋体" w:eastAsia="宋体" w:cs="宋体"/>
                <w:color w:val="auto"/>
                <w:spacing w:val="-1"/>
                <w:sz w:val="24"/>
                <w:szCs w:val="24"/>
                <w:u w:val="single"/>
                <w:lang w:bidi="ar"/>
              </w:rPr>
              <w:t>文件的；</w:t>
            </w:r>
          </w:p>
          <w:p w14:paraId="2D77FC1A">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（二）</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在</w:t>
            </w:r>
            <w:r>
              <w:rPr>
                <w:rFonts w:hint="eastAsia" w:ascii="宋体" w:hAnsi="宋体" w:eastAsia="宋体" w:cs="宋体"/>
                <w:color w:val="auto"/>
                <w:spacing w:val="-1"/>
                <w:sz w:val="24"/>
                <w:szCs w:val="24"/>
                <w:u w:val="single"/>
                <w:lang w:val="en-US" w:eastAsia="zh-CN" w:bidi="ar"/>
              </w:rPr>
              <w:t>投标</w:t>
            </w:r>
            <w:r>
              <w:rPr>
                <w:rFonts w:hint="eastAsia" w:ascii="宋体" w:hAnsi="宋体" w:eastAsia="宋体" w:cs="宋体"/>
                <w:color w:val="auto"/>
                <w:spacing w:val="-1"/>
                <w:sz w:val="24"/>
                <w:szCs w:val="24"/>
                <w:u w:val="single"/>
                <w:lang w:bidi="ar"/>
              </w:rPr>
              <w:t>文件中提供虚假材料的；</w:t>
            </w:r>
          </w:p>
          <w:p w14:paraId="016B2BB7">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（三）除因不可抗力或谈判文件、询价通知书认可的情形以外，</w:t>
            </w:r>
            <w:r>
              <w:rPr>
                <w:rFonts w:hint="eastAsia" w:ascii="宋体" w:hAnsi="宋体" w:eastAsia="宋体" w:cs="宋体"/>
                <w:color w:val="auto"/>
                <w:spacing w:val="-1"/>
                <w:sz w:val="24"/>
                <w:szCs w:val="24"/>
                <w:u w:val="single"/>
                <w:lang w:val="en-US" w:eastAsia="zh-CN" w:bidi="ar"/>
              </w:rPr>
              <w:t>中标人</w:t>
            </w:r>
            <w:r>
              <w:rPr>
                <w:rFonts w:hint="eastAsia" w:ascii="宋体" w:hAnsi="宋体" w:eastAsia="宋体" w:cs="宋体"/>
                <w:color w:val="auto"/>
                <w:spacing w:val="-1"/>
                <w:sz w:val="24"/>
                <w:szCs w:val="24"/>
                <w:u w:val="single"/>
                <w:lang w:bidi="ar"/>
              </w:rPr>
              <w:t>不与采购人签订合同的；</w:t>
            </w:r>
          </w:p>
          <w:p w14:paraId="504D0DFC">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（四）</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与采购人、其他</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或者采购代理机构恶意串通的；</w:t>
            </w:r>
          </w:p>
          <w:p w14:paraId="4E51B739">
            <w:pPr>
              <w:pageBreakBefore w:val="0"/>
              <w:overflowPunct/>
              <w:topLinePunct w:val="0"/>
              <w:bidi w:val="0"/>
              <w:snapToGrid w:val="0"/>
              <w:spacing w:before="36" w:after="0" w:line="276" w:lineRule="auto"/>
              <w:ind w:left="117"/>
              <w:rPr>
                <w:rFonts w:hint="eastAsia" w:ascii="宋体" w:hAnsi="宋体" w:eastAsia="宋体" w:cs="宋体"/>
                <w:color w:val="auto"/>
                <w:spacing w:val="-7"/>
                <w:sz w:val="24"/>
                <w:szCs w:val="24"/>
                <w:u w:val="single"/>
              </w:rPr>
            </w:pPr>
            <w:r>
              <w:rPr>
                <w:rFonts w:hint="eastAsia" w:ascii="宋体" w:hAnsi="宋体" w:eastAsia="宋体" w:cs="宋体"/>
                <w:color w:val="auto"/>
                <w:spacing w:val="-1"/>
                <w:sz w:val="24"/>
                <w:szCs w:val="24"/>
                <w:u w:val="single"/>
                <w:lang w:bidi="ar"/>
              </w:rPr>
              <w:t>（五）</w:t>
            </w:r>
            <w:r>
              <w:rPr>
                <w:rFonts w:hint="eastAsia" w:ascii="宋体" w:hAnsi="宋体" w:eastAsia="宋体" w:cs="宋体"/>
                <w:color w:val="auto"/>
                <w:spacing w:val="-1"/>
                <w:sz w:val="24"/>
                <w:szCs w:val="24"/>
                <w:u w:val="single"/>
                <w:lang w:val="en-US" w:eastAsia="zh-CN" w:bidi="ar"/>
              </w:rPr>
              <w:t>招标</w:t>
            </w:r>
            <w:r>
              <w:rPr>
                <w:rFonts w:hint="eastAsia" w:ascii="宋体" w:hAnsi="宋体" w:eastAsia="宋体" w:cs="宋体"/>
                <w:color w:val="auto"/>
                <w:spacing w:val="-1"/>
                <w:sz w:val="24"/>
                <w:szCs w:val="24"/>
                <w:u w:val="single"/>
                <w:lang w:bidi="ar"/>
              </w:rPr>
              <w:t>文件规定的其他情形。</w:t>
            </w:r>
          </w:p>
        </w:tc>
      </w:tr>
      <w:tr w14:paraId="447954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49749622">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14:paraId="02185927">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14:paraId="06C154B7">
            <w:pPr>
              <w:pageBreakBefore w:val="0"/>
              <w:overflowPunct/>
              <w:topLinePunct w:val="0"/>
              <w:bidi w:val="0"/>
              <w:snapToGrid w:val="0"/>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14:paraId="45962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77BC5441">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18.2</w:t>
            </w:r>
          </w:p>
        </w:tc>
        <w:tc>
          <w:tcPr>
            <w:tcW w:w="1700" w:type="dxa"/>
            <w:vAlign w:val="center"/>
          </w:tcPr>
          <w:p w14:paraId="18EBBAC6">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解密时间</w:t>
            </w:r>
          </w:p>
        </w:tc>
        <w:tc>
          <w:tcPr>
            <w:tcW w:w="7542" w:type="dxa"/>
            <w:gridSpan w:val="4"/>
            <w:vAlign w:val="center"/>
          </w:tcPr>
          <w:p w14:paraId="2431F723">
            <w:pPr>
              <w:pageBreakBefore w:val="0"/>
              <w:overflowPunct/>
              <w:topLinePunct w:val="0"/>
              <w:bidi w:val="0"/>
              <w:snapToGrid w:val="0"/>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解密时间：10分钟。（本项目采用纸质版文件线下递交）</w:t>
            </w:r>
          </w:p>
        </w:tc>
      </w:tr>
      <w:tr w14:paraId="0A544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2D1A0DE">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14:paraId="0FAD8C3B">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14:paraId="36957D7D">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采购人是否委托评标委员会确定中标人：</w:t>
            </w:r>
          </w:p>
          <w:p w14:paraId="7D0CF9EC">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■否</w:t>
            </w:r>
          </w:p>
          <w:p w14:paraId="3A880F48">
            <w:pPr>
              <w:pageBreakBefore w:val="0"/>
              <w:overflowPunct/>
              <w:topLinePunct w:val="0"/>
              <w:bidi w:val="0"/>
              <w:snapToGrid w:val="0"/>
              <w:spacing w:after="0" w:line="276" w:lineRule="auto"/>
              <w:ind w:left="126"/>
              <w:rPr>
                <w:rFonts w:hint="eastAsia" w:ascii="宋体" w:hAnsi="宋体" w:eastAsia="宋体" w:cs="宋体"/>
                <w:color w:val="auto"/>
                <w:sz w:val="24"/>
                <w:szCs w:val="24"/>
              </w:rPr>
            </w:pPr>
            <w:bookmarkStart w:id="20" w:name="OLE_LINK14"/>
            <w:r>
              <w:rPr>
                <w:rFonts w:hint="eastAsia" w:ascii="宋体" w:hAnsi="宋体" w:eastAsia="宋体" w:cs="宋体"/>
                <w:color w:val="auto"/>
                <w:sz w:val="24"/>
                <w:szCs w:val="24"/>
              </w:rPr>
              <w:t>□</w:t>
            </w:r>
            <w:bookmarkEnd w:id="20"/>
            <w:r>
              <w:rPr>
                <w:rFonts w:hint="eastAsia" w:ascii="宋体" w:hAnsi="宋体" w:eastAsia="宋体" w:cs="宋体"/>
                <w:color w:val="auto"/>
                <w:sz w:val="24"/>
                <w:szCs w:val="24"/>
              </w:rPr>
              <w:t>是</w:t>
            </w:r>
          </w:p>
          <w:p w14:paraId="3E1B937A">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中标候选人并列的，按照以下方式确定中标人：</w:t>
            </w:r>
          </w:p>
          <w:p w14:paraId="4178DF38">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rPr>
              <w:t>得分且投标报价均相同的，以</w:t>
            </w:r>
            <w:r>
              <w:rPr>
                <w:rFonts w:hint="eastAsia" w:ascii="宋体" w:hAnsi="宋体" w:eastAsia="宋体" w:cs="宋体"/>
                <w:color w:val="auto"/>
                <w:sz w:val="24"/>
                <w:szCs w:val="24"/>
                <w:highlight w:val="none"/>
                <w:u w:val="single"/>
              </w:rPr>
              <w:t>评审因素的量化指标评审</w:t>
            </w:r>
            <w:r>
              <w:rPr>
                <w:rFonts w:hint="eastAsia" w:ascii="宋体" w:hAnsi="宋体" w:eastAsia="宋体" w:cs="宋体"/>
                <w:color w:val="auto"/>
                <w:sz w:val="24"/>
                <w:szCs w:val="24"/>
                <w:highlight w:val="none"/>
              </w:rPr>
              <w:t>得分高者为中标人</w:t>
            </w:r>
          </w:p>
          <w:p w14:paraId="75A629A8">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□随机抽取</w:t>
            </w:r>
          </w:p>
        </w:tc>
      </w:tr>
      <w:tr w14:paraId="1E8E3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C7BFC22">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14:paraId="123F1AEF">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14:paraId="3479F2E7">
            <w:pPr>
              <w:pageBreakBefore w:val="0"/>
              <w:overflowPunct/>
              <w:topLinePunct w:val="0"/>
              <w:bidi w:val="0"/>
              <w:snapToGrid w:val="0"/>
              <w:spacing w:after="0" w:line="240" w:lineRule="auto"/>
              <w:rPr>
                <w:rFonts w:hint="eastAsia" w:ascii="宋体" w:hAnsi="宋体" w:eastAsia="宋体"/>
                <w:color w:val="auto"/>
                <w:sz w:val="24"/>
              </w:rPr>
            </w:pPr>
            <w:r>
              <w:rPr>
                <w:rFonts w:ascii="宋体" w:hAnsi="宋体" w:eastAsia="宋体"/>
                <w:color w:val="auto"/>
                <w:sz w:val="24"/>
              </w:rPr>
              <w:t xml:space="preserve">本项目是否允许分包： </w:t>
            </w:r>
          </w:p>
          <w:p w14:paraId="428BEB1D">
            <w:pPr>
              <w:pageBreakBefore w:val="0"/>
              <w:overflowPunct/>
              <w:topLinePunct w:val="0"/>
              <w:bidi w:val="0"/>
              <w:snapToGrid w:val="0"/>
              <w:spacing w:after="0" w:line="240" w:lineRule="auto"/>
              <w:rPr>
                <w:rFonts w:hint="eastAsia"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不允许</w:t>
            </w:r>
          </w:p>
          <w:p w14:paraId="50606526">
            <w:pPr>
              <w:pageBreakBefore w:val="0"/>
              <w:overflowPunct/>
              <w:topLinePunct w:val="0"/>
              <w:bidi w:val="0"/>
              <w:snapToGrid w:val="0"/>
              <w:spacing w:after="0" w:line="240" w:lineRule="auto"/>
              <w:rPr>
                <w:rFonts w:hint="eastAsia" w:ascii="宋体" w:hAnsi="宋体" w:eastAsia="宋体"/>
                <w:color w:val="auto"/>
                <w:sz w:val="24"/>
              </w:rPr>
            </w:pPr>
            <w:r>
              <w:rPr>
                <w:rFonts w:ascii="宋体" w:hAnsi="宋体" w:eastAsia="宋体"/>
                <w:b/>
                <w:color w:val="auto"/>
                <w:sz w:val="24"/>
              </w:rPr>
              <w:t>■</w:t>
            </w:r>
            <w:r>
              <w:rPr>
                <w:rFonts w:ascii="宋体" w:hAnsi="宋体" w:eastAsia="宋体"/>
                <w:color w:val="auto"/>
                <w:sz w:val="24"/>
              </w:rPr>
              <w:t>允许，具体要求：</w:t>
            </w:r>
          </w:p>
          <w:p w14:paraId="193DDE21">
            <w:pPr>
              <w:spacing w:after="0" w:line="240" w:lineRule="auto"/>
              <w:rPr>
                <w:rFonts w:hint="eastAsia" w:ascii="宋体" w:hAnsi="宋体" w:eastAsia="宋体"/>
                <w:color w:val="auto"/>
                <w:sz w:val="24"/>
              </w:rPr>
            </w:pPr>
            <w:r>
              <w:rPr>
                <w:rFonts w:ascii="宋体" w:hAnsi="宋体" w:eastAsia="宋体"/>
                <w:color w:val="auto"/>
                <w:sz w:val="24"/>
              </w:rPr>
              <w:t>（1）可以分包履行的具体内容：</w:t>
            </w:r>
            <w:r>
              <w:rPr>
                <w:rFonts w:hint="eastAsia" w:ascii="宋体" w:hAnsi="宋体" w:eastAsia="宋体"/>
                <w:color w:val="auto"/>
                <w:sz w:val="24"/>
                <w:lang w:eastAsia="zh-CN"/>
              </w:rPr>
              <w:t>劳务</w:t>
            </w:r>
            <w:r>
              <w:rPr>
                <w:rFonts w:hint="eastAsia" w:ascii="宋体" w:hAnsi="宋体" w:eastAsia="宋体"/>
                <w:color w:val="auto"/>
                <w:sz w:val="24"/>
                <w:lang w:val="en-US" w:eastAsia="zh-CN"/>
              </w:rPr>
              <w:t>，</w:t>
            </w:r>
            <w:r>
              <w:rPr>
                <w:rFonts w:hint="eastAsia" w:ascii="宋体" w:hAnsi="宋体" w:eastAsia="宋体"/>
                <w:color w:val="auto"/>
                <w:sz w:val="24"/>
                <w:lang w:eastAsia="zh-CN"/>
              </w:rPr>
              <w:t>电梯</w:t>
            </w:r>
            <w:r>
              <w:rPr>
                <w:rFonts w:hint="eastAsia" w:ascii="宋体" w:hAnsi="宋体" w:eastAsia="宋体"/>
                <w:color w:val="auto"/>
                <w:sz w:val="24"/>
                <w:lang w:val="en-US" w:eastAsia="zh-CN"/>
              </w:rPr>
              <w:t>维护</w:t>
            </w:r>
            <w:r>
              <w:rPr>
                <w:rFonts w:hint="eastAsia" w:ascii="宋体" w:hAnsi="宋体" w:eastAsia="宋体"/>
                <w:color w:val="auto"/>
                <w:sz w:val="24"/>
                <w:lang w:eastAsia="zh-CN"/>
              </w:rPr>
              <w:t>、消防</w:t>
            </w:r>
            <w:r>
              <w:rPr>
                <w:rFonts w:hint="eastAsia" w:ascii="宋体" w:hAnsi="宋体" w:eastAsia="宋体"/>
                <w:color w:val="auto"/>
                <w:sz w:val="24"/>
                <w:lang w:val="en-US" w:eastAsia="zh-CN"/>
              </w:rPr>
              <w:t>类设备检测维护</w:t>
            </w:r>
            <w:r>
              <w:rPr>
                <w:rFonts w:hint="eastAsia" w:ascii="宋体" w:hAnsi="宋体" w:eastAsia="宋体"/>
                <w:color w:val="auto"/>
                <w:sz w:val="24"/>
                <w:lang w:eastAsia="zh-CN"/>
              </w:rPr>
              <w:t>、中央空调</w:t>
            </w:r>
            <w:r>
              <w:rPr>
                <w:rFonts w:hint="eastAsia" w:ascii="宋体" w:hAnsi="宋体" w:eastAsia="宋体"/>
                <w:color w:val="auto"/>
                <w:sz w:val="24"/>
                <w:lang w:val="en-US" w:eastAsia="zh-CN"/>
              </w:rPr>
              <w:t>维护</w:t>
            </w:r>
            <w:r>
              <w:rPr>
                <w:rFonts w:hint="eastAsia" w:ascii="宋体" w:hAnsi="宋体" w:eastAsia="宋体"/>
                <w:color w:val="auto"/>
                <w:sz w:val="24"/>
                <w:lang w:eastAsia="zh-CN"/>
              </w:rPr>
              <w:t>、排风系统</w:t>
            </w:r>
            <w:r>
              <w:rPr>
                <w:rFonts w:hint="eastAsia" w:ascii="宋体" w:hAnsi="宋体" w:eastAsia="宋体"/>
                <w:color w:val="auto"/>
                <w:sz w:val="24"/>
                <w:lang w:val="en-US" w:eastAsia="zh-CN"/>
              </w:rPr>
              <w:t>维护</w:t>
            </w:r>
            <w:r>
              <w:rPr>
                <w:rFonts w:hint="eastAsia" w:ascii="宋体" w:hAnsi="宋体" w:eastAsia="宋体"/>
                <w:color w:val="auto"/>
                <w:sz w:val="24"/>
                <w:lang w:eastAsia="zh-CN"/>
              </w:rPr>
              <w:t>、水质检测设备</w:t>
            </w:r>
            <w:r>
              <w:rPr>
                <w:rFonts w:hint="eastAsia" w:ascii="宋体" w:hAnsi="宋体" w:eastAsia="宋体"/>
                <w:color w:val="auto"/>
                <w:sz w:val="24"/>
                <w:lang w:val="en-US" w:eastAsia="zh-CN"/>
              </w:rPr>
              <w:t>维护、特种设备检测维护等</w:t>
            </w:r>
            <w:r>
              <w:rPr>
                <w:rFonts w:hint="eastAsia" w:ascii="宋体" w:hAnsi="宋体" w:eastAsia="宋体"/>
                <w:color w:val="auto"/>
                <w:sz w:val="24"/>
                <w:lang w:eastAsia="zh-CN"/>
              </w:rPr>
              <w:t>专业</w:t>
            </w:r>
            <w:r>
              <w:rPr>
                <w:rFonts w:hint="eastAsia" w:ascii="宋体" w:hAnsi="宋体" w:eastAsia="宋体"/>
                <w:color w:val="auto"/>
                <w:sz w:val="24"/>
                <w:lang w:val="en-US" w:eastAsia="zh-CN"/>
              </w:rPr>
              <w:t>类检测</w:t>
            </w:r>
            <w:r>
              <w:rPr>
                <w:rFonts w:hint="eastAsia" w:ascii="宋体" w:hAnsi="宋体" w:eastAsia="宋体"/>
                <w:color w:val="auto"/>
                <w:sz w:val="24"/>
                <w:lang w:eastAsia="zh-CN"/>
              </w:rPr>
              <w:t>维护</w:t>
            </w:r>
            <w:r>
              <w:rPr>
                <w:rFonts w:ascii="宋体" w:hAnsi="宋体" w:eastAsia="宋体"/>
                <w:color w:val="auto"/>
                <w:sz w:val="24"/>
              </w:rPr>
              <w:t>；</w:t>
            </w:r>
          </w:p>
          <w:p w14:paraId="695C2A9A">
            <w:pPr>
              <w:pageBreakBefore w:val="0"/>
              <w:overflowPunct/>
              <w:topLinePunct w:val="0"/>
              <w:bidi w:val="0"/>
              <w:snapToGrid w:val="0"/>
              <w:spacing w:after="0" w:line="240" w:lineRule="auto"/>
              <w:rPr>
                <w:rFonts w:hint="eastAsia" w:ascii="宋体" w:hAnsi="宋体" w:eastAsia="宋体"/>
                <w:color w:val="auto"/>
                <w:sz w:val="24"/>
              </w:rPr>
            </w:pPr>
            <w:r>
              <w:rPr>
                <w:rFonts w:ascii="宋体" w:hAnsi="宋体" w:eastAsia="宋体"/>
                <w:color w:val="auto"/>
                <w:sz w:val="24"/>
              </w:rPr>
              <w:t>（2）允许分包的金额或者比例：</w:t>
            </w:r>
            <w:r>
              <w:rPr>
                <w:rFonts w:hint="eastAsia" w:ascii="宋体" w:hAnsi="宋体" w:eastAsia="宋体"/>
                <w:color w:val="auto"/>
                <w:sz w:val="24"/>
                <w:lang w:val="en-US" w:eastAsia="zh-CN"/>
              </w:rPr>
              <w:t>不高于40%</w:t>
            </w:r>
            <w:r>
              <w:rPr>
                <w:rFonts w:ascii="宋体" w:hAnsi="宋体" w:eastAsia="宋体"/>
                <w:color w:val="auto"/>
                <w:sz w:val="24"/>
              </w:rPr>
              <w:t>；</w:t>
            </w:r>
          </w:p>
          <w:p w14:paraId="4C8BB508">
            <w:pPr>
              <w:pageBreakBefore w:val="0"/>
              <w:overflowPunct/>
              <w:topLinePunct w:val="0"/>
              <w:bidi w:val="0"/>
              <w:snapToGrid w:val="0"/>
              <w:spacing w:before="0" w:after="0" w:line="240" w:lineRule="auto"/>
              <w:rPr>
                <w:rFonts w:hint="eastAsia" w:ascii="宋体" w:hAnsi="宋体" w:eastAsia="宋体" w:cs="宋体"/>
                <w:color w:val="auto"/>
                <w:spacing w:val="1"/>
                <w:sz w:val="24"/>
                <w:szCs w:val="24"/>
              </w:rPr>
            </w:pPr>
            <w:r>
              <w:rPr>
                <w:rFonts w:ascii="宋体" w:hAnsi="宋体" w:eastAsia="宋体"/>
                <w:color w:val="auto"/>
                <w:sz w:val="24"/>
              </w:rPr>
              <w:t>（3）其他要求：</w:t>
            </w:r>
            <w:r>
              <w:rPr>
                <w:rFonts w:hint="eastAsia" w:ascii="宋体" w:hAnsi="宋体" w:eastAsia="宋体" w:cs="Arial"/>
                <w:i w:val="0"/>
                <w:iCs w:val="0"/>
                <w:caps w:val="0"/>
                <w:snapToGrid w:val="0"/>
                <w:color w:val="auto"/>
                <w:spacing w:val="0"/>
                <w:kern w:val="0"/>
                <w:sz w:val="24"/>
                <w:szCs w:val="21"/>
                <w:shd w:val="clear"/>
                <w:lang w:val="en-US" w:eastAsia="zh-CN" w:bidi="ar"/>
              </w:rPr>
              <w:t>分包必须取得采购人的同意；分包应专门面向小微企业；依法分包，法律法规有明确关于分包的规定必须遵守；合同的履约依法需要相关市场准入法定资格资质的，分包供应商必须具有法律法规规定资格条件和相应资格资质。</w:t>
            </w:r>
          </w:p>
        </w:tc>
      </w:tr>
      <w:tr w14:paraId="0347C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jc w:val="center"/>
        </w:trPr>
        <w:tc>
          <w:tcPr>
            <w:tcW w:w="992" w:type="dxa"/>
            <w:vAlign w:val="center"/>
          </w:tcPr>
          <w:p w14:paraId="0ACD5F34">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25.6</w:t>
            </w:r>
          </w:p>
        </w:tc>
        <w:tc>
          <w:tcPr>
            <w:tcW w:w="1700" w:type="dxa"/>
            <w:vAlign w:val="center"/>
          </w:tcPr>
          <w:p w14:paraId="699EC460">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政采贷</w:t>
            </w:r>
          </w:p>
        </w:tc>
        <w:tc>
          <w:tcPr>
            <w:tcW w:w="7542" w:type="dxa"/>
            <w:gridSpan w:val="4"/>
            <w:vAlign w:val="center"/>
          </w:tcPr>
          <w:p w14:paraId="4CA587DE">
            <w:pPr>
              <w:pageBreakBefore w:val="0"/>
              <w:overflowPunct/>
              <w:topLinePunct w:val="0"/>
              <w:bidi w:val="0"/>
              <w:snapToGrid w:val="0"/>
              <w:spacing w:before="37" w:after="0" w:line="276" w:lineRule="auto"/>
              <w:ind w:left="117"/>
              <w:rPr>
                <w:rFonts w:hint="eastAsia" w:ascii="宋体" w:hAnsi="宋体" w:eastAsia="宋体"/>
                <w:color w:val="auto"/>
                <w:sz w:val="24"/>
              </w:rPr>
            </w:pPr>
            <w:r>
              <w:rPr>
                <w:rFonts w:hint="eastAsia" w:ascii="宋体" w:hAnsi="宋体" w:eastAsia="宋体"/>
                <w:color w:val="auto"/>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2D5A8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811BDD8">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14:paraId="1339159C">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14:paraId="2F599AEE">
            <w:pPr>
              <w:pageBreakBefore w:val="0"/>
              <w:overflowPunct/>
              <w:topLinePunct w:val="0"/>
              <w:bidi w:val="0"/>
              <w:snapToGrid w:val="0"/>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14:paraId="0139C4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3F08B48">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14:paraId="32AC9DED">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14:paraId="06B94916">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14:paraId="239D19DA">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w:t>
            </w:r>
            <w:r>
              <w:rPr>
                <w:rFonts w:hint="eastAsia" w:ascii="宋体" w:hAnsi="宋体" w:eastAsia="宋体" w:cs="宋体"/>
                <w:color w:val="auto"/>
                <w:spacing w:val="-1"/>
                <w:sz w:val="24"/>
                <w:szCs w:val="24"/>
                <w:lang w:val="en-US" w:eastAsia="zh-CN" w:bidi="ar"/>
              </w:rPr>
              <w:t>崔梦雪</w:t>
            </w:r>
            <w:r>
              <w:rPr>
                <w:rFonts w:hint="eastAsia" w:ascii="宋体" w:hAnsi="宋体" w:eastAsia="宋体" w:cs="宋体"/>
                <w:color w:val="auto"/>
                <w:spacing w:val="-1"/>
                <w:sz w:val="24"/>
                <w:szCs w:val="24"/>
                <w:lang w:bidi="ar"/>
              </w:rPr>
              <w:t>；</w:t>
            </w:r>
          </w:p>
          <w:p w14:paraId="352DEDD4">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w:t>
            </w:r>
            <w:r>
              <w:rPr>
                <w:rFonts w:hint="eastAsia" w:ascii="宋体" w:hAnsi="宋体" w:eastAsia="宋体" w:cs="宋体"/>
                <w:color w:val="auto"/>
                <w:spacing w:val="-1"/>
                <w:sz w:val="24"/>
                <w:szCs w:val="24"/>
                <w:lang w:val="en-US" w:eastAsia="zh-CN" w:bidi="ar"/>
              </w:rPr>
              <w:t>632222896</w:t>
            </w:r>
            <w:r>
              <w:rPr>
                <w:rFonts w:hint="eastAsia" w:ascii="宋体" w:hAnsi="宋体" w:eastAsia="宋体" w:cs="宋体"/>
                <w:color w:val="auto"/>
                <w:spacing w:val="-1"/>
                <w:sz w:val="24"/>
                <w:szCs w:val="24"/>
                <w:lang w:bidi="ar"/>
              </w:rPr>
              <w:t>；</w:t>
            </w:r>
          </w:p>
          <w:p w14:paraId="59508F4E">
            <w:pPr>
              <w:pageBreakBefore w:val="0"/>
              <w:overflowPunct/>
              <w:topLinePunct w:val="0"/>
              <w:bidi w:val="0"/>
              <w:snapToGrid w:val="0"/>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通讯地址：北京市昌平区碧水庄园3-20。</w:t>
            </w:r>
          </w:p>
        </w:tc>
      </w:tr>
      <w:tr w14:paraId="0E5AF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D86A8D9">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14:paraId="4D74836E">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14:paraId="64A1C338">
            <w:pPr>
              <w:pageBreakBefore w:val="0"/>
              <w:overflowPunct/>
              <w:topLinePunct w:val="0"/>
              <w:bidi w:val="0"/>
              <w:snapToGrid w:val="0"/>
              <w:spacing w:before="40" w:after="0" w:line="276" w:lineRule="auto"/>
              <w:ind w:left="122"/>
              <w:rPr>
                <w:rFonts w:hint="eastAsia"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14:paraId="50ED4AA3">
            <w:pPr>
              <w:pageBreakBefore w:val="0"/>
              <w:overflowPunct/>
              <w:topLinePunct w:val="0"/>
              <w:bidi w:val="0"/>
              <w:snapToGrid w:val="0"/>
              <w:spacing w:before="26"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14:paraId="6619DB98">
            <w:pPr>
              <w:pageBreakBefore w:val="0"/>
              <w:overflowPunct/>
              <w:topLinePunct w:val="0"/>
              <w:bidi w:val="0"/>
              <w:snapToGrid w:val="0"/>
              <w:spacing w:before="24"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14:paraId="3C49EB56">
            <w:pPr>
              <w:pageBreakBefore w:val="0"/>
              <w:overflowPunct/>
              <w:topLinePunct w:val="0"/>
              <w:bidi w:val="0"/>
              <w:snapToGrid w:val="0"/>
              <w:spacing w:after="0" w:line="276" w:lineRule="auto"/>
              <w:ind w:left="112"/>
              <w:rPr>
                <w:rFonts w:hint="eastAsia" w:ascii="宋体" w:hAnsi="宋体" w:eastAsia="宋体" w:cs="宋体"/>
                <w:color w:val="auto"/>
                <w:sz w:val="24"/>
                <w:szCs w:val="24"/>
              </w:rPr>
            </w:pPr>
            <w:r>
              <w:rPr>
                <w:rFonts w:hint="eastAsia" w:ascii="宋体" w:hAnsi="宋体" w:eastAsia="宋体" w:cs="宋体"/>
                <w:color w:val="auto"/>
                <w:sz w:val="24"/>
                <w:szCs w:val="24"/>
              </w:rPr>
              <w:t>收费标准：参照原国家计委《招标代理服务收费管理暂行办法》（[2002]1980号）服务类标准收费；</w:t>
            </w:r>
          </w:p>
          <w:p w14:paraId="2262AB52">
            <w:pPr>
              <w:pageBreakBefore w:val="0"/>
              <w:overflowPunct/>
              <w:topLinePunct w:val="0"/>
              <w:bidi w:val="0"/>
              <w:snapToGrid w:val="0"/>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z w:val="24"/>
                <w:szCs w:val="24"/>
              </w:rPr>
              <w:t>缴纳时间：发出中标通知后5个工作日内。</w:t>
            </w:r>
          </w:p>
        </w:tc>
      </w:tr>
      <w:tr w14:paraId="044A4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2EEEC3E">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bookmarkStart w:id="21" w:name="_Toc148096350"/>
            <w:r>
              <w:rPr>
                <w:rFonts w:hint="eastAsia" w:ascii="宋体" w:hAnsi="宋体" w:eastAsia="宋体" w:cs="宋体"/>
                <w:color w:val="auto"/>
                <w:spacing w:val="10"/>
                <w:sz w:val="24"/>
                <w:szCs w:val="24"/>
              </w:rPr>
              <w:t>28</w:t>
            </w:r>
          </w:p>
        </w:tc>
        <w:tc>
          <w:tcPr>
            <w:tcW w:w="1700" w:type="dxa"/>
            <w:vAlign w:val="center"/>
          </w:tcPr>
          <w:p w14:paraId="0DAE269C">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10"/>
                <w:sz w:val="24"/>
                <w:szCs w:val="24"/>
              </w:rPr>
              <w:t>其他补充事项</w:t>
            </w:r>
          </w:p>
        </w:tc>
        <w:tc>
          <w:tcPr>
            <w:tcW w:w="7542" w:type="dxa"/>
            <w:gridSpan w:val="4"/>
            <w:vAlign w:val="center"/>
          </w:tcPr>
          <w:p w14:paraId="47E05AEF">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投标文件份数：</w:t>
            </w:r>
          </w:p>
          <w:p w14:paraId="6B6F4379">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1、纸质正本1份，纸质副本4份。资格证明文件与商务技术文件分开装订密封。</w:t>
            </w:r>
          </w:p>
          <w:p w14:paraId="2CB505F4">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2、密封处应注明投标截止时间前禁止开启。</w:t>
            </w:r>
          </w:p>
          <w:p w14:paraId="32D3484B">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3、电子版文件1份（应为正本盖章文件的扫描件，载体为U盘，为了便于区分，在U盘表面粘帖单位标识,如：供应商简称+采购项目编号后三位）。</w:t>
            </w:r>
          </w:p>
        </w:tc>
      </w:tr>
    </w:tbl>
    <w:p w14:paraId="08CE3C4F">
      <w:pPr>
        <w:pageBreakBefore w:val="0"/>
        <w:overflowPunct/>
        <w:topLinePunct w:val="0"/>
        <w:bidi w:val="0"/>
        <w:snapToGrid w:val="0"/>
        <w:spacing w:after="0"/>
        <w:rPr>
          <w:rFonts w:hint="eastAsia" w:ascii="宋体" w:hAnsi="宋体" w:eastAsia="宋体"/>
          <w:color w:val="auto"/>
        </w:rPr>
      </w:pPr>
    </w:p>
    <w:p w14:paraId="3440B7A7">
      <w:pPr>
        <w:pageBreakBefore w:val="0"/>
        <w:overflowPunct/>
        <w:topLinePunct w:val="0"/>
        <w:bidi w:val="0"/>
        <w:snapToGrid w:val="0"/>
        <w:spacing w:after="0"/>
        <w:jc w:val="center"/>
        <w:rPr>
          <w:rFonts w:hint="eastAsia" w:ascii="宋体" w:hAnsi="宋体" w:eastAsia="宋体"/>
          <w:b/>
          <w:bCs/>
          <w:color w:val="auto"/>
          <w:sz w:val="28"/>
          <w:szCs w:val="28"/>
        </w:rPr>
        <w:sectPr>
          <w:footerReference r:id="rId10" w:type="default"/>
          <w:pgSz w:w="11907" w:h="16840"/>
          <w:pgMar w:top="1117" w:right="1047" w:bottom="1060" w:left="1700" w:header="878" w:footer="886" w:gutter="0"/>
          <w:pgNumType w:fmt="decimal"/>
          <w:cols w:space="720" w:num="1"/>
        </w:sectPr>
      </w:pPr>
    </w:p>
    <w:p w14:paraId="5EC20E81">
      <w:pPr>
        <w:pageBreakBefore w:val="0"/>
        <w:overflowPunct/>
        <w:topLinePunct w:val="0"/>
        <w:bidi w:val="0"/>
        <w:snapToGrid w:val="0"/>
        <w:spacing w:after="0"/>
        <w:jc w:val="center"/>
        <w:rPr>
          <w:rFonts w:hint="eastAsia" w:ascii="宋体" w:hAnsi="宋体" w:eastAsia="宋体"/>
          <w:b/>
          <w:bCs/>
          <w:color w:val="auto"/>
          <w:sz w:val="28"/>
          <w:szCs w:val="28"/>
        </w:rPr>
      </w:pPr>
      <w:r>
        <w:rPr>
          <w:rFonts w:hint="eastAsia" w:ascii="宋体" w:hAnsi="宋体" w:eastAsia="宋体"/>
          <w:b/>
          <w:bCs/>
          <w:color w:val="auto"/>
          <w:sz w:val="28"/>
          <w:szCs w:val="28"/>
        </w:rPr>
        <w:t>投标人须知</w:t>
      </w:r>
      <w:bookmarkEnd w:id="21"/>
    </w:p>
    <w:p w14:paraId="44BEEBA5">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2" w:name="_Toc148096351"/>
      <w:r>
        <w:rPr>
          <w:rFonts w:hint="eastAsia" w:ascii="宋体" w:hAnsi="宋体" w:eastAsia="宋体" w:cs="Times New Roman"/>
          <w:b/>
          <w:bCs/>
          <w:snapToGrid/>
          <w:color w:val="auto"/>
          <w:kern w:val="2"/>
          <w:sz w:val="28"/>
          <w:szCs w:val="36"/>
        </w:rPr>
        <w:t>一</w:t>
      </w:r>
      <w:r>
        <w:rPr>
          <w:rFonts w:ascii="宋体" w:hAnsi="宋体" w:eastAsia="宋体" w:cs="Times New Roman"/>
          <w:b/>
          <w:bCs/>
          <w:snapToGrid/>
          <w:color w:val="auto"/>
          <w:kern w:val="2"/>
          <w:sz w:val="28"/>
          <w:szCs w:val="36"/>
        </w:rPr>
        <w:t xml:space="preserve">   </w:t>
      </w:r>
      <w:r>
        <w:rPr>
          <w:rFonts w:hint="eastAsia" w:ascii="宋体" w:hAnsi="宋体" w:eastAsia="宋体" w:cs="Times New Roman"/>
          <w:b/>
          <w:bCs/>
          <w:snapToGrid/>
          <w:color w:val="auto"/>
          <w:kern w:val="2"/>
          <w:sz w:val="28"/>
          <w:szCs w:val="36"/>
        </w:rPr>
        <w:t>说  明</w:t>
      </w:r>
      <w:bookmarkEnd w:id="22"/>
    </w:p>
    <w:p w14:paraId="42913872">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采购人、采购代理机构、投标人、联合体</w:t>
      </w:r>
    </w:p>
    <w:p w14:paraId="553B9375">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 采购人、采购代理机构：指依法进行政府采购的国家机关、事业单位、团体组织，及其委托的采购代理机构。本项目采购人、采购代理机构见第一章《投标邀请》。</w:t>
      </w:r>
    </w:p>
    <w:p w14:paraId="72CA70BB">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 投标人(也称“供应商”、“申请人”)：指向采购人提供货物、工程或者服务的法人、其他组织或者自然人。</w:t>
      </w:r>
    </w:p>
    <w:p w14:paraId="4884B46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1.3 联合体：指两个以上的自然人、法人或者其他组织组成一个联合体，以一个供应商的身份共同参加政府采购。</w:t>
      </w:r>
    </w:p>
    <w:p w14:paraId="62AC47C8">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资金来源、项目属性、科研仪器设备采购、核心产品</w:t>
      </w:r>
    </w:p>
    <w:p w14:paraId="1CD9655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2.1 资金来源为财政性资金和/或本项目采购中无法与财政性资金分割的非财政性资金。</w:t>
      </w:r>
    </w:p>
    <w:p w14:paraId="66529B5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2.2 项目属性见《投标人须知资料表》。</w:t>
      </w:r>
    </w:p>
    <w:p w14:paraId="77BABB1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2.3 是否属于科研仪器设备采购见《投标人须知资料表》。</w:t>
      </w:r>
    </w:p>
    <w:p w14:paraId="035A2A4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核心产品见《投标人须知资料表》。</w:t>
      </w:r>
    </w:p>
    <w:p w14:paraId="7833FC60">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现场考察、开标前答疑会</w:t>
      </w:r>
    </w:p>
    <w:p w14:paraId="3FD67D78">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若《投标人须知资料表》中规定了组织现场考察、召开开标前答疑会，则投标人应按要求在规定的时间和地点参加。</w:t>
      </w:r>
    </w:p>
    <w:p w14:paraId="449B2C6F">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3.2 由于未参加现场考察或开标前答疑会而导致对项目实际情况不了解，影响投标文件编制、投标报价准确性、综合因素响应不全面等问题的，由投标人自行承担不利评审后果。</w:t>
      </w:r>
    </w:p>
    <w:p w14:paraId="0ACB29BA">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   样品</w:t>
      </w:r>
    </w:p>
    <w:p w14:paraId="7026932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本项目是否要求投标人提供样品，以及样品制作的标准和要求、是否需要随样品提交相关检测报告、样品的递交与退还等要求见《投标人须知资料表》。</w:t>
      </w:r>
    </w:p>
    <w:p w14:paraId="2533B46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4.2 样品的评审方法以及评审标准等内容见第四章《评标程序、评标方法和评标准》。</w:t>
      </w:r>
    </w:p>
    <w:p w14:paraId="306B1C9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 xml:space="preserve">政府采购政策(包括但不限于下列具体政策要求) </w:t>
      </w:r>
    </w:p>
    <w:p w14:paraId="6FAD2B89">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 采购本国货物、工程和服务</w:t>
      </w:r>
    </w:p>
    <w:p w14:paraId="4A0564DB">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政府采购应当采购本国货物、工程和服务。但有《中华人民共和国政府采购法》第十条规定情形的除外。</w:t>
      </w:r>
    </w:p>
    <w:p w14:paraId="2926C009">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5.1.2</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本项目如接受非本国货物、工程、服务参与投标，则具体要求见第五章《采购需求》。</w:t>
      </w:r>
    </w:p>
    <w:p w14:paraId="3D5B1E60">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1AAE884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 中小企业、监狱企业及残疾人福利性单位</w:t>
      </w:r>
    </w:p>
    <w:p w14:paraId="59E58CA2">
      <w:pPr>
        <w:pageBreakBefore w:val="0"/>
        <w:widowControl w:val="0"/>
        <w:tabs>
          <w:tab w:val="left" w:pos="360"/>
        </w:tabs>
        <w:kinsoku/>
        <w:overflowPunct/>
        <w:topLinePunct w:val="0"/>
        <w:autoSpaceDE/>
        <w:autoSpaceDN/>
        <w:bidi w:val="0"/>
        <w:adjustRightInd/>
        <w:snapToGrid w:val="0"/>
        <w:spacing w:after="0" w:line="360" w:lineRule="auto"/>
        <w:ind w:left="435" w:leftChars="207" w:firstLine="547" w:firstLineChars="228"/>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 中小企业定义：</w:t>
      </w:r>
    </w:p>
    <w:p w14:paraId="416B77C0">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步加大政府采购支持中小企业力度的通知》(财库〔2022〕19号)、《政府采购促进中小企业发展管理办法》(财库〔2020〕46号)、《关于印发中小企业划型标准规定的通知》</w:t>
      </w:r>
      <w:bookmarkStart w:id="23" w:name="OLE_LINK4"/>
      <w:r>
        <w:rPr>
          <w:rFonts w:hint="eastAsia" w:ascii="宋体" w:hAnsi="宋体" w:eastAsia="宋体" w:cs="Times New Roman"/>
          <w:snapToGrid/>
          <w:color w:val="auto"/>
          <w:kern w:val="2"/>
          <w:sz w:val="24"/>
          <w:szCs w:val="24"/>
        </w:rPr>
        <w:t>(工信部联企业〔2011〕300号)</w:t>
      </w:r>
      <w:bookmarkEnd w:id="23"/>
      <w:r>
        <w:rPr>
          <w:rFonts w:hint="eastAsia" w:ascii="宋体" w:hAnsi="宋体" w:eastAsia="宋体" w:cs="Times New Roman"/>
          <w:snapToGrid/>
          <w:color w:val="auto"/>
          <w:kern w:val="2"/>
          <w:sz w:val="24"/>
          <w:szCs w:val="24"/>
        </w:rPr>
        <w:t>、《金融企业划型标准规定》(〔2015〕309号)等国务院批准的中小企业划分标准执行。</w:t>
      </w:r>
    </w:p>
    <w:p w14:paraId="7E9ADD50">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5.2.1.2 供应商提供的货物、工程或者服务符合下列情形的，享受中小企业扶持政策：</w:t>
      </w:r>
    </w:p>
    <w:p w14:paraId="5B5923CD">
      <w:pPr>
        <w:pageBreakBefore w:val="0"/>
        <w:widowControl w:val="0"/>
        <w:tabs>
          <w:tab w:val="left" w:pos="360"/>
        </w:tabs>
        <w:kinsoku/>
        <w:overflowPunct/>
        <w:topLinePunct w:val="0"/>
        <w:autoSpaceDE/>
        <w:autoSpaceDN/>
        <w:bidi w:val="0"/>
        <w:adjustRightInd/>
        <w:snapToGrid w:val="0"/>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 在货物采购项目中，货物由中小企业制造，即货物由中小企业生产且使用该中小企业商号或者注册商标；</w:t>
      </w:r>
    </w:p>
    <w:p w14:paraId="7973170E">
      <w:pPr>
        <w:pageBreakBefore w:val="0"/>
        <w:widowControl w:val="0"/>
        <w:tabs>
          <w:tab w:val="left" w:pos="360"/>
        </w:tabs>
        <w:kinsoku/>
        <w:overflowPunct/>
        <w:topLinePunct w:val="0"/>
        <w:autoSpaceDE/>
        <w:autoSpaceDN/>
        <w:bidi w:val="0"/>
        <w:adjustRightInd/>
        <w:snapToGrid w:val="0"/>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在工程采购项目中，工程由中小企业承建，即工程施工单位为中小企业；</w:t>
      </w:r>
    </w:p>
    <w:p w14:paraId="4A8C432A">
      <w:pPr>
        <w:pageBreakBefore w:val="0"/>
        <w:widowControl w:val="0"/>
        <w:tabs>
          <w:tab w:val="left" w:pos="360"/>
        </w:tabs>
        <w:kinsoku/>
        <w:overflowPunct/>
        <w:topLinePunct w:val="0"/>
        <w:autoSpaceDE/>
        <w:autoSpaceDN/>
        <w:bidi w:val="0"/>
        <w:adjustRightInd/>
        <w:snapToGrid w:val="0"/>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 在服务采购项目中，服务由中小企业承接，即提供服务的人员为中小企业依照《中华人民共和国劳动合同法》订立劳动合同的从业人员。</w:t>
      </w:r>
    </w:p>
    <w:p w14:paraId="51159BD9">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5.2.1.3 在货物采购项目中，供应商提供的货物既有中小企业制造货物，也有大型企业制造货物的，不享受中小企业扶持政策。</w:t>
      </w:r>
    </w:p>
    <w:p w14:paraId="6D66FFCC">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5.2.1.4 以联合体形式参加政府采购活动，联合体各方均为中小企业的，联合体视同中小企业。其中，联合体各方均为小微企业的，联合体视同小微企业。</w:t>
      </w:r>
    </w:p>
    <w:p w14:paraId="255FFD83">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00639DF2">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5E2EF8C">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5.2.3.1 安置的残疾人占本单位在职职工人数的比例不低于25%(含25%)，并且安置的残疾人人数不少于10人(含10人)；</w:t>
      </w:r>
    </w:p>
    <w:p w14:paraId="2366D951">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5.2.3.2 依法与安置的每位残疾人签订了一年以上(含一年) 的劳动合同或服务协议；</w:t>
      </w:r>
    </w:p>
    <w:p w14:paraId="46D7D154">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5.2.3.3 为安置的每位残疾人按月足额缴纳了基本养老保险、基本医疗保险、失业保险、工伤保险和生育保险等社会保险费；</w:t>
      </w:r>
    </w:p>
    <w:p w14:paraId="53EA3FC5">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5.2.3.4 通过银行等金融机构向安置的每位残疾人，按月支付了不低于单位所在区县适用的经省级人民政府批准的月最低工资标准的工资；</w:t>
      </w:r>
    </w:p>
    <w:p w14:paraId="529B00D7">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5.2.3.5 提供本单位制造的货物、承担的工程或者服务(以下简称产品)，或者提供其他残疾人福利性单位制造的货物(不包括使用非残疾人福利性单位注册商标的货物)；</w:t>
      </w:r>
    </w:p>
    <w:p w14:paraId="0A6A2F53">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E70C203">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5.2.4 本项目是否专门面向中小企业预留采购份额见第一章《投标邀请》。</w:t>
      </w:r>
    </w:p>
    <w:p w14:paraId="753D1631">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5.2.5 采购标的对应的中小企业划分标准所属行业见《投标人须知资料表》。</w:t>
      </w:r>
    </w:p>
    <w:p w14:paraId="067D84F0">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5.2.6 小微企业价格评审优惠的政策调整：见第四章《评标程序、评标方法和评标标准》。</w:t>
      </w:r>
    </w:p>
    <w:p w14:paraId="1A73AF4C">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政府采购节能产品、环境标志产品</w:t>
      </w:r>
    </w:p>
    <w:p w14:paraId="676EF335">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80066E9">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717F8950">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5.3.3 如本项目采购产品属于实施政府强制采购品目清单范围的节能产，则投标人所报产品必须获得国家确定的认证机构出具的、处于有效期之内的节能产品认证证书，否则投标无效；</w:t>
      </w:r>
    </w:p>
    <w:p w14:paraId="0B232D2C">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5.3.4 非政府强制采购的节能产品或环境标志产品，依据品目清单和认证证书实施政府优先采购。优先采购的具体规定见第四章《评标程序、评标方法和评标标准》(如涉及)。</w:t>
      </w:r>
    </w:p>
    <w:p w14:paraId="10E78C61">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正版软件</w:t>
      </w:r>
    </w:p>
    <w:p w14:paraId="1F78E559">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5.4.1各级政府部门在购置计算机办公设备时，必须采购预装正版操作系统软件的计算机产品，相关规定依据《国家版权局、信息产业部、财政部、国务院机关事务管理局关于政府部门购置计算机办公设备必须采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BE44D28">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 网络安全专用产品</w:t>
      </w:r>
    </w:p>
    <w:p w14:paraId="0875E618">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5.5.1 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491A574">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推广使用低挥发性有机化合物(VOCs)</w:t>
      </w:r>
    </w:p>
    <w:p w14:paraId="2AAF53B5">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4D79579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采购需求标准</w:t>
      </w:r>
    </w:p>
    <w:p w14:paraId="5E092015">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5.7.1 商品包装、快递包装政府采购需求标准(试行)</w:t>
      </w:r>
    </w:p>
    <w:p w14:paraId="08A14E65">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38027C9">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5.7.2 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7EDD5BA9">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投标费用</w:t>
      </w:r>
    </w:p>
    <w:p w14:paraId="7922EE07">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6.1 投标人应自行承担所有与准备和参加投标有关的费用，无论投标的结果如何，采购人或采购代理机构在任何情况下均无承担这些费用的义务和责任。</w:t>
      </w:r>
    </w:p>
    <w:p w14:paraId="25241BFE">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4" w:name="_Toc148096352"/>
      <w:r>
        <w:rPr>
          <w:rFonts w:hint="eastAsia" w:ascii="宋体" w:hAnsi="宋体" w:eastAsia="宋体" w:cs="Times New Roman"/>
          <w:b/>
          <w:bCs/>
          <w:snapToGrid/>
          <w:color w:val="auto"/>
          <w:kern w:val="2"/>
          <w:sz w:val="28"/>
          <w:szCs w:val="36"/>
        </w:rPr>
        <w:t>二   招标文件</w:t>
      </w:r>
      <w:bookmarkEnd w:id="24"/>
    </w:p>
    <w:p w14:paraId="529D0A51">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   招标文件构成</w:t>
      </w:r>
    </w:p>
    <w:p w14:paraId="73AA3ADA">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7.1 招标文件包括以下部分：</w:t>
      </w:r>
    </w:p>
    <w:p w14:paraId="059378F3">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第一章   投标邀请</w:t>
      </w:r>
    </w:p>
    <w:p w14:paraId="2D86F006">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第二章   投标人须知</w:t>
      </w:r>
    </w:p>
    <w:p w14:paraId="3319966C">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第三章   资格审查</w:t>
      </w:r>
    </w:p>
    <w:p w14:paraId="05810966">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第四章   评标程序、评标方法和评标标准</w:t>
      </w:r>
    </w:p>
    <w:p w14:paraId="350F7696">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第五章   采购需求</w:t>
      </w:r>
    </w:p>
    <w:p w14:paraId="37767160">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第六章   拟签订的合同文本</w:t>
      </w:r>
    </w:p>
    <w:p w14:paraId="38FF3926">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第七章   投标文件格式</w:t>
      </w:r>
    </w:p>
    <w:p w14:paraId="76721746">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7.2 投标人应认真阅读招标文件的全部内容。投标人应按照招标文件要求提交投标文件并保证所提供的全部资料的真实性，并对招标文件做出实质性响应，否则投标无效。</w:t>
      </w:r>
    </w:p>
    <w:p w14:paraId="451D4679">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8</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对招标文件的澄清或修改</w:t>
      </w:r>
    </w:p>
    <w:p w14:paraId="39F88D9A">
      <w:pPr>
        <w:pageBreakBefore w:val="0"/>
        <w:overflowPunct/>
        <w:topLinePunct w:val="0"/>
        <w:bidi w:val="0"/>
        <w:snapToGrid w:val="0"/>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14:paraId="50718FF3">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14:paraId="57BF9E4B">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A131549">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25" w:name="_Toc148096353"/>
      <w:r>
        <w:rPr>
          <w:rFonts w:hint="eastAsia" w:ascii="宋体" w:hAnsi="宋体" w:eastAsia="宋体" w:cs="Times New Roman"/>
          <w:b/>
          <w:bCs/>
          <w:snapToGrid/>
          <w:color w:val="auto"/>
          <w:kern w:val="2"/>
          <w:sz w:val="28"/>
          <w:szCs w:val="36"/>
        </w:rPr>
        <w:t>三   投标文件的编制</w:t>
      </w:r>
      <w:bookmarkEnd w:id="25"/>
    </w:p>
    <w:p w14:paraId="154CC07B">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9</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投标范围、投标文件中计量单位的使用及投标语言</w:t>
      </w:r>
    </w:p>
    <w:p w14:paraId="77884DFA">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053032E4">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14:paraId="144DBFA7">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014F64">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w:t>
      </w:r>
      <w:r>
        <w:rPr>
          <w:rFonts w:hint="eastAsia" w:ascii="宋体" w:hAnsi="宋体" w:eastAsia="宋体" w:cs="Times New Roman"/>
          <w:snapToGrid/>
          <w:color w:val="auto"/>
          <w:kern w:val="2"/>
          <w:sz w:val="24"/>
          <w:szCs w:val="24"/>
        </w:rPr>
        <w:t>文件</w:t>
      </w:r>
      <w:r>
        <w:rPr>
          <w:rFonts w:hint="eastAsia" w:ascii="宋体" w:hAnsi="宋体" w:eastAsia="宋体" w:cs="宋体"/>
          <w:color w:val="auto"/>
          <w:sz w:val="24"/>
          <w:szCs w:val="24"/>
        </w:rPr>
        <w:t>构成</w:t>
      </w:r>
    </w:p>
    <w:p w14:paraId="24A5DF12">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 投标人应当按照招标文件的要求编制投标文件。投标文件应由《资格证明文件》、《商务技术文件》两部分构成。投标文件的部分格式要求，见第七章《投标文件格式》。</w:t>
      </w:r>
    </w:p>
    <w:p w14:paraId="5E618D2B">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6C90E7CD">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 第四章《评标程序、评标方法和评标标准》中涉及的证明文件。</w:t>
      </w:r>
    </w:p>
    <w:p w14:paraId="2B6A9D54">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60EB27EB">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10.5 投标人认为应附的其他材料。</w:t>
      </w:r>
    </w:p>
    <w:p w14:paraId="0A205953">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14:paraId="476BE4DB">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 所有投标均以人民币报价。</w:t>
      </w:r>
    </w:p>
    <w:p w14:paraId="1696CEEB">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14:paraId="117E3802">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7A8BC370">
      <w:pPr>
        <w:pageBreakBefore w:val="0"/>
        <w:widowControl w:val="0"/>
        <w:tabs>
          <w:tab w:val="left" w:pos="360"/>
        </w:tabs>
        <w:kinsoku/>
        <w:overflowPunct/>
        <w:topLinePunct w:val="0"/>
        <w:autoSpaceDE/>
        <w:autoSpaceDN/>
        <w:bidi w:val="0"/>
        <w:adjustRightInd/>
        <w:snapToGrid w:val="0"/>
        <w:spacing w:after="0" w:line="360" w:lineRule="auto"/>
        <w:ind w:left="1676" w:leftChars="684" w:hanging="240" w:hangingChars="100"/>
        <w:jc w:val="both"/>
        <w:textAlignment w:val="auto"/>
        <w:rPr>
          <w:rFonts w:hint="eastAsia" w:ascii="宋体" w:hAnsi="宋体" w:eastAsia="宋体" w:cs="宋体"/>
          <w:color w:val="auto"/>
          <w:spacing w:val="12"/>
          <w:position w:val="4"/>
          <w:sz w:val="24"/>
          <w:szCs w:val="24"/>
        </w:rPr>
      </w:pPr>
      <w:r>
        <w:rPr>
          <w:rFonts w:hint="eastAsia" w:ascii="宋体" w:hAnsi="宋体" w:eastAsia="宋体" w:cs="Times New Roman"/>
          <w:snapToGrid/>
          <w:color w:val="auto"/>
          <w:kern w:val="2"/>
          <w:sz w:val="24"/>
          <w:szCs w:val="24"/>
        </w:rPr>
        <w:t>11.2.2 按照招标文件要求完成本项目的全部相关费用。</w:t>
      </w:r>
    </w:p>
    <w:p w14:paraId="02D3D218">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 采购人不得向供应商索要或者接受其给予的赠品、回扣或者与采购无关的其他商品、服务。</w:t>
      </w:r>
    </w:p>
    <w:p w14:paraId="6D24EF51">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11.4 投标人不能提供任何有选择性或可调整的报价(招标文件另有规定的除外)，否则其投标无效。</w:t>
      </w:r>
    </w:p>
    <w:p w14:paraId="41AD66FA">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14:paraId="1810B9E5">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 投标人应按《投标人须知资料表》中规定的金额及要求交纳投标保证金。投标人自愿超额缴纳投标保证金的，投标文件不做无效处理。</w:t>
      </w:r>
    </w:p>
    <w:p w14:paraId="1C20B39B">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 交纳投标保证金可采用的形式：政府采购法律法规接受的支票、汇票、本票、网上银行支付或者金融机构、担保机构出具的保函等非现金形式。</w:t>
      </w:r>
    </w:p>
    <w:p w14:paraId="751FA63D">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00BD97AE">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 投标人除需在投标文件中提供“投标保证金凭证/交款单据电子件”，还需在投标截止时间前，通过电子交易平台上传“投标保证金凭证/交款单据电子件”。</w:t>
      </w:r>
    </w:p>
    <w:p w14:paraId="44D00D0D">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 投标保证金有效期同投标有效期。</w:t>
      </w:r>
    </w:p>
    <w:p w14:paraId="0DB81761">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标人为联合体的，可以由联合体中的一方或者多方共同交纳投标保证金，其交纳的投标保证金对联合体各方均具有约束力。</w:t>
      </w:r>
    </w:p>
    <w:p w14:paraId="61BFF7E0">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9E47526">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12.7.1 投标人在投标截止时间前撤回已提交的投标文件的，自收到投标人书面撤回通知之日起5个工作日内退还已收取的投标保证金；</w:t>
      </w:r>
    </w:p>
    <w:p w14:paraId="7F12F43C">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12.7.2 中标人的投标保证金，自采购合同签订之日起5个工作日内退还中标人；</w:t>
      </w:r>
    </w:p>
    <w:p w14:paraId="5C8177E2">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12.7.3 未中标投标人的投标保证金，自中标通知书发出之日起5个工作日内退还未中标人；</w:t>
      </w:r>
    </w:p>
    <w:p w14:paraId="618F1158">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12.7.4 终止招标项目已经收取投标保证金的，自终止采购活动后5个工作日内退还已收取的投标保证金及其在银行产生的孳息。</w:t>
      </w:r>
    </w:p>
    <w:p w14:paraId="6940E867">
      <w:pPr>
        <w:pageBreakBefore w:val="0"/>
        <w:overflowPunct/>
        <w:topLinePunct w:val="0"/>
        <w:bidi w:val="0"/>
        <w:snapToGrid w:val="0"/>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12.8 有下列情形之一的，采购人或采购代理机构可以不予退还投标保证金：</w:t>
      </w:r>
    </w:p>
    <w:p w14:paraId="7779B8E9">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12.8.1 投标有效期内投标人撤销投标文件的。</w:t>
      </w:r>
    </w:p>
    <w:p w14:paraId="467D9C95">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12.8.2 《投标人须知资料表》中规定的其他情形。</w:t>
      </w:r>
    </w:p>
    <w:p w14:paraId="5894A6AE">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14:paraId="672D6262">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14:paraId="1AB8953E">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14:paraId="2DBA24B2">
      <w:pPr>
        <w:pStyle w:val="6"/>
        <w:pageBreakBefore w:val="0"/>
        <w:overflowPunct/>
        <w:topLinePunct w:val="0"/>
        <w:bidi w:val="0"/>
        <w:snapToGrid w:val="0"/>
        <w:spacing w:after="0"/>
        <w:ind w:firstLine="960" w:firstLineChars="400"/>
      </w:pPr>
      <w:r>
        <w:rPr>
          <w:rFonts w:hint="eastAsia"/>
        </w:rPr>
        <w:t xml:space="preserve">14.1  </w:t>
      </w:r>
      <w:r>
        <w:rPr>
          <w:rFonts w:hint="eastAsia" w:hAnsi="宋体" w:cs="宋体"/>
          <w:spacing w:val="-1"/>
          <w:szCs w:val="24"/>
        </w:rPr>
        <w:t>招标文件要求签字的内容应符合招标文件要求</w:t>
      </w:r>
      <w:r>
        <w:t>。</w:t>
      </w:r>
    </w:p>
    <w:p w14:paraId="4ACF51CF">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6" w:name="_Toc148096354"/>
      <w:r>
        <w:rPr>
          <w:rFonts w:hint="eastAsia" w:ascii="宋体" w:hAnsi="宋体" w:eastAsia="宋体" w:cs="Times New Roman"/>
          <w:b/>
          <w:bCs/>
          <w:snapToGrid/>
          <w:color w:val="auto"/>
          <w:kern w:val="2"/>
          <w:sz w:val="28"/>
          <w:szCs w:val="36"/>
        </w:rPr>
        <w:t>四   投标文件的提交</w:t>
      </w:r>
      <w:bookmarkEnd w:id="26"/>
    </w:p>
    <w:p w14:paraId="50085C79">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14:paraId="2BC6178D">
      <w:pPr>
        <w:pageBreakBefore w:val="0"/>
        <w:overflowPunct/>
        <w:topLinePunct w:val="0"/>
        <w:bidi w:val="0"/>
        <w:snapToGrid w:val="0"/>
        <w:spacing w:after="0" w:line="360" w:lineRule="auto"/>
        <w:ind w:left="1434" w:leftChars="456" w:hanging="476" w:hangingChars="200"/>
        <w:rPr>
          <w:rFonts w:hint="eastAsia" w:ascii="宋体" w:hAnsi="宋体" w:eastAsia="宋体"/>
          <w:color w:val="auto"/>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r>
        <w:rPr>
          <w:rFonts w:hint="eastAsia" w:ascii="宋体" w:hAnsi="宋体" w:eastAsia="宋体"/>
          <w:color w:val="auto"/>
          <w:sz w:val="24"/>
          <w:szCs w:val="24"/>
        </w:rPr>
        <w:t>。</w:t>
      </w:r>
    </w:p>
    <w:p w14:paraId="03F7727C">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14:paraId="6EF022E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14:paraId="2CBEABCE">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14:paraId="2725F865">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17.1 投标截止时间前，投标人可以对所提交的投标文件进行补充、修改或者撤回。但应就其补充、修改或者撤回通知采购人或采购代理机构。</w:t>
      </w:r>
    </w:p>
    <w:p w14:paraId="5EF6C8C0">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14:paraId="6912B7F6">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7" w:name="_Toc148096355"/>
      <w:r>
        <w:rPr>
          <w:rFonts w:hint="eastAsia" w:ascii="宋体" w:hAnsi="宋体" w:eastAsia="宋体" w:cs="Times New Roman"/>
          <w:b/>
          <w:bCs/>
          <w:snapToGrid/>
          <w:color w:val="auto"/>
          <w:kern w:val="2"/>
          <w:sz w:val="28"/>
          <w:szCs w:val="36"/>
        </w:rPr>
        <w:t>五   开标、资格审查及评标</w:t>
      </w:r>
      <w:bookmarkEnd w:id="27"/>
    </w:p>
    <w:p w14:paraId="39BF4DCA">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14:paraId="1025878A">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bookmarkStart w:id="28" w:name="OLE_LINK17"/>
      <w:r>
        <w:rPr>
          <w:rFonts w:hint="eastAsia" w:ascii="宋体" w:hAnsi="宋体" w:eastAsia="宋体" w:cs="宋体"/>
          <w:color w:val="auto"/>
          <w:spacing w:val="-1"/>
          <w:sz w:val="24"/>
          <w:szCs w:val="24"/>
        </w:rPr>
        <w:t>18.1 采购人或采购代理机构将按招标文件的规定，在投标截止时间的同一时间和招标文件预先确定的地点组织开标。</w:t>
      </w:r>
    </w:p>
    <w:p w14:paraId="54E4174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18.2 开标过程将宣布投标人名称、投标价格和招标文件规定的需要宣布的其他内容并进行记录，并由参加开标的各投标人确认。投标人未在开标现场提出疑义或确认一览表的，视同认可开标结果。</w:t>
      </w:r>
    </w:p>
    <w:p w14:paraId="61F2B264">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222214A">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18.4 投标人不足3家的，不予开标。</w:t>
      </w:r>
    </w:p>
    <w:bookmarkEnd w:id="28"/>
    <w:p w14:paraId="20497F15">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14:paraId="369AF906">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14:paraId="6AF6501A">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14:paraId="7599A1D8">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14:paraId="00423F1E">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2EEE4C4B">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14:paraId="7385356B">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14:paraId="5D56F07C">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9" w:name="_Toc148096356"/>
      <w:r>
        <w:rPr>
          <w:rFonts w:hint="eastAsia" w:ascii="宋体" w:hAnsi="宋体" w:eastAsia="宋体" w:cs="Times New Roman"/>
          <w:b/>
          <w:bCs/>
          <w:snapToGrid/>
          <w:color w:val="auto"/>
          <w:kern w:val="2"/>
          <w:sz w:val="28"/>
          <w:szCs w:val="36"/>
        </w:rPr>
        <w:t>六   确定中标</w:t>
      </w:r>
      <w:bookmarkEnd w:id="29"/>
    </w:p>
    <w:p w14:paraId="6B3CCD7B">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确定中标人</w:t>
      </w:r>
    </w:p>
    <w:p w14:paraId="50C739B2">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64C8540">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14:paraId="07784A73">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14:paraId="7AE7DD3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75FF6A5F">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14:paraId="4643CADD">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14:paraId="2F148281">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符合专业条件的供应商或者对招标文件作实质响应的供应商不足三家的；</w:t>
      </w:r>
    </w:p>
    <w:p w14:paraId="05B65E80">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14:paraId="6668120D">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14:paraId="34CDE249">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14:paraId="0A836638">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14:paraId="0345F870">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14:paraId="65C9C9F5">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14:paraId="3FFA37A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14:paraId="0E01FFA8">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14:paraId="5A7BA06A">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14:paraId="6F3F3535">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w:t>
      </w:r>
      <w:r>
        <w:rPr>
          <w:rFonts w:hint="eastAsia" w:ascii="宋体" w:hAnsi="宋体" w:eastAsia="宋体" w:cs="宋体"/>
          <w:color w:val="auto"/>
          <w:spacing w:val="-1"/>
          <w:sz w:val="24"/>
          <w:szCs w:val="24"/>
          <w:highlight w:val="none"/>
        </w:rPr>
        <w:t>中标人可以依法在中标后将中标项目的非主体、非关键性工作采取分包方式履行合同。本项目的非主体、非关键性工作是否允许分包，见《投标人须知资料表》。</w:t>
      </w:r>
      <w:r>
        <w:rPr>
          <w:rFonts w:hint="eastAsia" w:ascii="宋体" w:hAnsi="宋体" w:eastAsia="宋体" w:cs="宋体"/>
          <w:b/>
          <w:bCs/>
          <w:color w:val="auto"/>
          <w:spacing w:val="-1"/>
          <w:sz w:val="24"/>
          <w:szCs w:val="24"/>
        </w:rPr>
        <w:t>政府采购合同分包履行的，</w:t>
      </w:r>
      <w:r>
        <w:rPr>
          <w:rFonts w:hint="eastAsia" w:ascii="宋体" w:hAnsi="宋体" w:eastAsia="宋体" w:cs="宋体"/>
          <w:b/>
          <w:bCs/>
          <w:color w:val="auto"/>
          <w:spacing w:val="-1"/>
          <w:sz w:val="24"/>
          <w:szCs w:val="24"/>
          <w:highlight w:val="none"/>
        </w:rPr>
        <w:t>应当在投标文件中载明分包承担主体，分包承担主体应当具备相应资质条件且不得再次分包，否则投标无效。</w:t>
      </w:r>
      <w:r>
        <w:rPr>
          <w:rFonts w:hint="eastAsia" w:ascii="宋体" w:hAnsi="宋体" w:eastAsia="宋体" w:cs="宋体"/>
          <w:color w:val="auto"/>
          <w:spacing w:val="-1"/>
          <w:sz w:val="24"/>
          <w:szCs w:val="24"/>
        </w:rPr>
        <w:t>中标人就采购项目和分包项目向采购人负责，分包供应商就分包项目承担责任。</w:t>
      </w:r>
    </w:p>
    <w:p w14:paraId="328E2DEF">
      <w:pPr>
        <w:pStyle w:val="6"/>
        <w:pageBreakBefore w:val="0"/>
        <w:overflowPunct/>
        <w:topLinePunct w:val="0"/>
        <w:bidi w:val="0"/>
        <w:snapToGrid w:val="0"/>
        <w:spacing w:after="0"/>
        <w:ind w:firstLine="960" w:firstLineChars="400"/>
      </w:pPr>
      <w:r>
        <w:rPr>
          <w:rFonts w:hint="eastAsia"/>
        </w:rPr>
        <w:t>25.6  “政采贷”融资指引：详见《投标人须知资料表》。</w:t>
      </w:r>
    </w:p>
    <w:p w14:paraId="01322937">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14:paraId="04816E73">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14:paraId="5CB69807">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26.1.1 投标人对政府采购活动事项有疑问的，可依法向采购人或采购代理机构提出询问，提出形式见《投标人须知资料表》。</w:t>
      </w:r>
    </w:p>
    <w:p w14:paraId="3A4BC0C7">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14:paraId="7EF14455">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14:paraId="1902A8B1">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投标人认为采购文件、采购过程、中标结果使自己的权益受到损害的,可以在知道或者应知其权益受到损害之日起 7 个工作日内，以书面 形式向采购人、采购代理机构提出质疑。采购人、采购代理机构在收到质疑函后 7 个工作日内作出答复。</w:t>
      </w:r>
    </w:p>
    <w:p w14:paraId="1AA7E567">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4E54FFA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516C425">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14:paraId="39071D4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w:t>
      </w:r>
    </w:p>
    <w:p w14:paraId="757BD500">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14:paraId="70609131">
      <w:pPr>
        <w:pStyle w:val="6"/>
        <w:pageBreakBefore w:val="0"/>
        <w:overflowPunct/>
        <w:topLinePunct w:val="0"/>
        <w:bidi w:val="0"/>
        <w:snapToGrid w:val="0"/>
        <w:spacing w:after="0" w:line="360" w:lineRule="auto"/>
        <w:ind w:left="1434" w:leftChars="456" w:hanging="476" w:hangingChars="200"/>
        <w:rPr>
          <w:rFonts w:hint="eastAsia" w:hAnsi="宋体" w:cs="宋体"/>
          <w:b/>
          <w:bCs/>
          <w:spacing w:val="-1"/>
          <w:szCs w:val="24"/>
        </w:rPr>
      </w:pPr>
      <w:r>
        <w:rPr>
          <w:rFonts w:hint="eastAsia" w:hAnsi="宋体" w:cs="宋体"/>
          <w:spacing w:val="-1"/>
          <w:szCs w:val="24"/>
        </w:rPr>
        <w:t>27.1 收费对象、收费标准及缴纳时间见《投标人须知资料表》。由中标人支付的，中标人须一次性向采购代理机构缴纳代理费，</w:t>
      </w:r>
      <w:r>
        <w:rPr>
          <w:rFonts w:hint="eastAsia" w:hAnsi="宋体" w:cs="宋体"/>
          <w:b/>
          <w:bCs/>
          <w:spacing w:val="-1"/>
          <w:szCs w:val="24"/>
        </w:rPr>
        <w:t>投标报价应包含代理费用。</w:t>
      </w:r>
    </w:p>
    <w:p w14:paraId="78264358">
      <w:pPr>
        <w:pStyle w:val="6"/>
        <w:pageBreakBefore w:val="0"/>
        <w:overflowPunct/>
        <w:topLinePunct w:val="0"/>
        <w:bidi w:val="0"/>
        <w:snapToGrid w:val="0"/>
        <w:spacing w:after="0"/>
        <w:rPr>
          <w:rFonts w:hint="eastAsia" w:hAnsi="宋体" w:cs="宋体"/>
          <w:spacing w:val="-1"/>
          <w:szCs w:val="24"/>
        </w:rPr>
      </w:pPr>
    </w:p>
    <w:p w14:paraId="10A0FD60">
      <w:pPr>
        <w:pStyle w:val="6"/>
        <w:pageBreakBefore w:val="0"/>
        <w:overflowPunct/>
        <w:topLinePunct w:val="0"/>
        <w:bidi w:val="0"/>
        <w:snapToGrid w:val="0"/>
        <w:spacing w:after="0"/>
        <w:rPr>
          <w:rFonts w:hint="eastAsia" w:hAnsi="宋体" w:cs="宋体"/>
          <w:spacing w:val="-1"/>
          <w:szCs w:val="24"/>
        </w:rPr>
      </w:pPr>
    </w:p>
    <w:p w14:paraId="3D582A8F">
      <w:pPr>
        <w:pStyle w:val="6"/>
        <w:pageBreakBefore w:val="0"/>
        <w:overflowPunct/>
        <w:topLinePunct w:val="0"/>
        <w:bidi w:val="0"/>
        <w:snapToGrid w:val="0"/>
        <w:spacing w:after="0"/>
        <w:rPr>
          <w:rFonts w:hint="eastAsia" w:hAnsi="宋体" w:cs="宋体"/>
          <w:spacing w:val="-1"/>
          <w:szCs w:val="24"/>
        </w:rPr>
      </w:pPr>
    </w:p>
    <w:p w14:paraId="2FA08F9D">
      <w:pPr>
        <w:pStyle w:val="6"/>
        <w:pageBreakBefore w:val="0"/>
        <w:overflowPunct/>
        <w:topLinePunct w:val="0"/>
        <w:bidi w:val="0"/>
        <w:snapToGrid w:val="0"/>
        <w:spacing w:after="0"/>
        <w:rPr>
          <w:rFonts w:hint="eastAsia" w:hAnsi="宋体" w:cs="宋体"/>
          <w:spacing w:val="-1"/>
          <w:szCs w:val="24"/>
        </w:rPr>
      </w:pPr>
    </w:p>
    <w:p w14:paraId="24CCCD52">
      <w:pPr>
        <w:pStyle w:val="6"/>
        <w:pageBreakBefore w:val="0"/>
        <w:overflowPunct/>
        <w:topLinePunct w:val="0"/>
        <w:bidi w:val="0"/>
        <w:snapToGrid w:val="0"/>
        <w:spacing w:after="0"/>
        <w:rPr>
          <w:rFonts w:hint="eastAsia" w:hAnsi="宋体" w:cs="宋体"/>
          <w:spacing w:val="-1"/>
          <w:szCs w:val="24"/>
        </w:rPr>
      </w:pPr>
    </w:p>
    <w:p w14:paraId="7F449627">
      <w:pPr>
        <w:pStyle w:val="6"/>
        <w:pageBreakBefore w:val="0"/>
        <w:overflowPunct/>
        <w:topLinePunct w:val="0"/>
        <w:bidi w:val="0"/>
        <w:snapToGrid w:val="0"/>
        <w:spacing w:after="0"/>
        <w:rPr>
          <w:rFonts w:hint="eastAsia" w:hAnsi="宋体" w:cs="宋体"/>
          <w:spacing w:val="-1"/>
          <w:szCs w:val="24"/>
        </w:rPr>
      </w:pPr>
    </w:p>
    <w:p w14:paraId="29CA0078">
      <w:pPr>
        <w:pStyle w:val="6"/>
        <w:pageBreakBefore w:val="0"/>
        <w:overflowPunct/>
        <w:topLinePunct w:val="0"/>
        <w:bidi w:val="0"/>
        <w:snapToGrid w:val="0"/>
        <w:spacing w:after="0"/>
        <w:rPr>
          <w:rFonts w:hint="eastAsia" w:hAnsi="宋体" w:cs="宋体"/>
          <w:spacing w:val="-1"/>
          <w:szCs w:val="24"/>
        </w:rPr>
      </w:pPr>
    </w:p>
    <w:p w14:paraId="7617AD7D">
      <w:pPr>
        <w:pStyle w:val="6"/>
        <w:pageBreakBefore w:val="0"/>
        <w:overflowPunct/>
        <w:topLinePunct w:val="0"/>
        <w:bidi w:val="0"/>
        <w:snapToGrid w:val="0"/>
        <w:spacing w:after="0" w:line="360" w:lineRule="auto"/>
        <w:jc w:val="center"/>
        <w:outlineLvl w:val="0"/>
        <w:rPr>
          <w:rFonts w:hint="eastAsia" w:hAnsi="宋体"/>
          <w:b/>
          <w:bCs/>
          <w:sz w:val="36"/>
          <w:szCs w:val="36"/>
        </w:rPr>
        <w:sectPr>
          <w:pgSz w:w="11907" w:h="16840"/>
          <w:pgMar w:top="1117" w:right="1047" w:bottom="1060" w:left="1700" w:header="878" w:footer="886" w:gutter="0"/>
          <w:pgNumType w:fmt="decimal"/>
          <w:cols w:space="720" w:num="1"/>
        </w:sectPr>
      </w:pPr>
      <w:bookmarkStart w:id="30" w:name="_Toc148096357"/>
      <w:bookmarkStart w:id="31" w:name="_Toc183959675"/>
    </w:p>
    <w:p w14:paraId="3EA7EEAD">
      <w:pPr>
        <w:pStyle w:val="6"/>
        <w:pageBreakBefore w:val="0"/>
        <w:overflowPunct/>
        <w:topLinePunct w:val="0"/>
        <w:bidi w:val="0"/>
        <w:snapToGrid w:val="0"/>
        <w:spacing w:after="0" w:line="360" w:lineRule="auto"/>
        <w:jc w:val="center"/>
        <w:outlineLvl w:val="0"/>
        <w:rPr>
          <w:rFonts w:hint="eastAsia" w:hAnsi="宋体"/>
          <w:b/>
          <w:bCs/>
          <w:sz w:val="36"/>
          <w:szCs w:val="36"/>
        </w:rPr>
      </w:pPr>
      <w:r>
        <w:rPr>
          <w:rFonts w:hint="eastAsia" w:hAnsi="宋体"/>
          <w:b/>
          <w:bCs/>
          <w:sz w:val="36"/>
          <w:szCs w:val="36"/>
        </w:rPr>
        <w:t>第三章</w:t>
      </w:r>
      <w:r>
        <w:rPr>
          <w:rFonts w:hAnsi="宋体"/>
          <w:b/>
          <w:bCs/>
          <w:sz w:val="36"/>
          <w:szCs w:val="36"/>
        </w:rPr>
        <w:t xml:space="preserve">   </w:t>
      </w:r>
      <w:r>
        <w:rPr>
          <w:rFonts w:hint="eastAsia" w:hAnsi="宋体"/>
          <w:b/>
          <w:bCs/>
          <w:sz w:val="36"/>
          <w:szCs w:val="36"/>
        </w:rPr>
        <w:t>资格审查</w:t>
      </w:r>
      <w:bookmarkEnd w:id="30"/>
      <w:bookmarkEnd w:id="31"/>
    </w:p>
    <w:p w14:paraId="379C8303">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2" w:name="_Toc148096358"/>
      <w:r>
        <w:rPr>
          <w:rFonts w:hint="eastAsia" w:ascii="宋体" w:hAnsi="宋体" w:eastAsia="宋体" w:cs="Times New Roman"/>
          <w:b/>
          <w:bCs/>
          <w:snapToGrid/>
          <w:color w:val="auto"/>
          <w:kern w:val="2"/>
          <w:sz w:val="28"/>
          <w:szCs w:val="36"/>
        </w:rPr>
        <w:t>一、资格审查程序</w:t>
      </w:r>
      <w:bookmarkEnd w:id="32"/>
    </w:p>
    <w:p w14:paraId="14D55AAE">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14:paraId="772AA977">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14:paraId="2DCEE900">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14:paraId="49CE8EB5">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14:paraId="598989A1">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3" w:name="_Toc148096359"/>
      <w:r>
        <w:rPr>
          <w:rFonts w:hint="eastAsia" w:ascii="宋体" w:hAnsi="宋体" w:eastAsia="宋体" w:cs="Times New Roman"/>
          <w:b/>
          <w:bCs/>
          <w:snapToGrid/>
          <w:color w:val="auto"/>
          <w:kern w:val="2"/>
          <w:sz w:val="28"/>
          <w:szCs w:val="36"/>
        </w:rPr>
        <w:t>二、资格审查要求</w:t>
      </w:r>
      <w:bookmarkEnd w:id="33"/>
    </w:p>
    <w:tbl>
      <w:tblPr>
        <w:tblStyle w:val="16"/>
        <w:tblpPr w:leftFromText="180" w:rightFromText="180" w:vertAnchor="text" w:horzAnchor="page" w:tblpX="1588" w:tblpY="637"/>
        <w:tblOverlap w:val="never"/>
        <w:tblW w:w="508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2029"/>
        <w:gridCol w:w="5066"/>
        <w:gridCol w:w="1613"/>
      </w:tblGrid>
      <w:tr w14:paraId="46DB4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blHeader/>
        </w:trPr>
        <w:tc>
          <w:tcPr>
            <w:tcW w:w="433" w:type="pct"/>
            <w:vAlign w:val="center"/>
          </w:tcPr>
          <w:p w14:paraId="2BA0D74C">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序号</w:t>
            </w:r>
          </w:p>
        </w:tc>
        <w:tc>
          <w:tcPr>
            <w:tcW w:w="1064" w:type="pct"/>
            <w:vAlign w:val="center"/>
          </w:tcPr>
          <w:p w14:paraId="6C4D4718">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检查因素</w:t>
            </w:r>
          </w:p>
        </w:tc>
        <w:tc>
          <w:tcPr>
            <w:tcW w:w="2657" w:type="pct"/>
            <w:vAlign w:val="center"/>
          </w:tcPr>
          <w:p w14:paraId="5DFA8655">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检查内容</w:t>
            </w:r>
          </w:p>
        </w:tc>
        <w:tc>
          <w:tcPr>
            <w:tcW w:w="847" w:type="pct"/>
            <w:vAlign w:val="center"/>
          </w:tcPr>
          <w:p w14:paraId="4D226EAB">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格式要求</w:t>
            </w:r>
          </w:p>
        </w:tc>
      </w:tr>
      <w:tr w14:paraId="1A493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433" w:type="pct"/>
            <w:vAlign w:val="center"/>
          </w:tcPr>
          <w:p w14:paraId="6885D2FE">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w:t>
            </w:r>
          </w:p>
        </w:tc>
        <w:tc>
          <w:tcPr>
            <w:tcW w:w="1064" w:type="pct"/>
            <w:vAlign w:val="center"/>
          </w:tcPr>
          <w:p w14:paraId="2D4201BE">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满足《中华人民共和国政府采购法》第二十二条规定</w:t>
            </w:r>
          </w:p>
        </w:tc>
        <w:tc>
          <w:tcPr>
            <w:tcW w:w="2657" w:type="pct"/>
            <w:vAlign w:val="center"/>
          </w:tcPr>
          <w:p w14:paraId="7707E062">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具体规定见第一章《采购邀请》</w:t>
            </w:r>
          </w:p>
        </w:tc>
        <w:tc>
          <w:tcPr>
            <w:tcW w:w="847" w:type="pct"/>
            <w:vAlign w:val="center"/>
          </w:tcPr>
          <w:p w14:paraId="5CB59C06">
            <w:pPr>
              <w:pageBreakBefore w:val="0"/>
              <w:tabs>
                <w:tab w:val="left" w:pos="1080"/>
              </w:tabs>
              <w:overflowPunct/>
              <w:topLinePunct w:val="0"/>
              <w:bidi w:val="0"/>
              <w:snapToGrid w:val="0"/>
              <w:spacing w:after="0"/>
              <w:rPr>
                <w:rFonts w:hint="eastAsia" w:ascii="宋体" w:hAnsi="宋体" w:eastAsia="宋体" w:cs="宋体"/>
              </w:rPr>
            </w:pPr>
          </w:p>
        </w:tc>
      </w:tr>
      <w:tr w14:paraId="68BDF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4" w:hRule="atLeast"/>
        </w:trPr>
        <w:tc>
          <w:tcPr>
            <w:tcW w:w="433" w:type="pct"/>
            <w:vAlign w:val="center"/>
          </w:tcPr>
          <w:p w14:paraId="5DEF92D5">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1-1</w:t>
            </w:r>
          </w:p>
        </w:tc>
        <w:tc>
          <w:tcPr>
            <w:tcW w:w="1064" w:type="pct"/>
            <w:vAlign w:val="center"/>
          </w:tcPr>
          <w:p w14:paraId="22AE0B2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营业执照等证明文件</w:t>
            </w:r>
          </w:p>
        </w:tc>
        <w:tc>
          <w:tcPr>
            <w:tcW w:w="2657" w:type="pct"/>
            <w:vAlign w:val="center"/>
          </w:tcPr>
          <w:p w14:paraId="699D38F2">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供应商为企业（包括合伙企业）的，应提供有效的“营业执照”；</w:t>
            </w:r>
          </w:p>
          <w:p w14:paraId="78D6452B">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供应商为事业单位的，应提供有效的“事业单位法人证书”；</w:t>
            </w:r>
          </w:p>
          <w:p w14:paraId="69B56FDC">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供应商是非企业机构的，应提供有效的“执业许可证”、“登记证书”等证明文件；</w:t>
            </w:r>
          </w:p>
          <w:p w14:paraId="408BD5CD">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供应商是个体工商户的，应提供有效的“个体工商户营业执照”；</w:t>
            </w:r>
          </w:p>
          <w:p w14:paraId="19422C18">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供应商是自然人的，应提供有效的自然人身份证明。</w:t>
            </w:r>
          </w:p>
          <w:p w14:paraId="04EB4FB9">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eastAsia="宋体" w:cs="宋体"/>
                <w:iCs/>
              </w:rPr>
              <w:t>银行、保险、石油石化、电力、电信等行业的分支机构，可以提供上述</w:t>
            </w:r>
            <w:r>
              <w:rPr>
                <w:rFonts w:hint="eastAsia" w:ascii="宋体" w:hAnsi="宋体" w:eastAsia="宋体" w:cs="宋体"/>
              </w:rPr>
              <w:t>授权，也可以提供其所属法人/其他组织的有关文件或制度等能够证明授权其独立开展业务的证明材料。</w:t>
            </w:r>
          </w:p>
        </w:tc>
        <w:tc>
          <w:tcPr>
            <w:tcW w:w="847" w:type="pct"/>
            <w:vAlign w:val="center"/>
          </w:tcPr>
          <w:p w14:paraId="41AA5EB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提供证明文件（加盖公章）</w:t>
            </w:r>
          </w:p>
        </w:tc>
      </w:tr>
      <w:tr w14:paraId="0E5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00E68D5C">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1-2</w:t>
            </w:r>
          </w:p>
        </w:tc>
        <w:tc>
          <w:tcPr>
            <w:tcW w:w="1064" w:type="pct"/>
            <w:vAlign w:val="center"/>
          </w:tcPr>
          <w:p w14:paraId="259DAA29">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供应商资格声明书</w:t>
            </w:r>
          </w:p>
        </w:tc>
        <w:tc>
          <w:tcPr>
            <w:tcW w:w="2657" w:type="pct"/>
            <w:vAlign w:val="center"/>
          </w:tcPr>
          <w:p w14:paraId="51208F37">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提供了符合投标文件要求的《供应商资格声明书》。</w:t>
            </w:r>
          </w:p>
        </w:tc>
        <w:tc>
          <w:tcPr>
            <w:tcW w:w="847" w:type="pct"/>
            <w:vAlign w:val="center"/>
          </w:tcPr>
          <w:p w14:paraId="39887D44">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格式见《投标文件格式》</w:t>
            </w:r>
          </w:p>
        </w:tc>
      </w:tr>
      <w:tr w14:paraId="1BE59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75189C84">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1-3</w:t>
            </w:r>
          </w:p>
        </w:tc>
        <w:tc>
          <w:tcPr>
            <w:tcW w:w="1064" w:type="pct"/>
            <w:vAlign w:val="center"/>
          </w:tcPr>
          <w:p w14:paraId="7E6183C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供应商信用记录</w:t>
            </w:r>
          </w:p>
        </w:tc>
        <w:tc>
          <w:tcPr>
            <w:tcW w:w="2657" w:type="pct"/>
            <w:vAlign w:val="center"/>
          </w:tcPr>
          <w:p w14:paraId="16EF37A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查询渠道：信用中国网站和中国政府采购网（www.creditchina.gov.cn、www.ccgp.gov.cn）；</w:t>
            </w:r>
          </w:p>
          <w:p w14:paraId="6D4C46B6">
            <w:pPr>
              <w:pageBreakBefore w:val="0"/>
              <w:tabs>
                <w:tab w:val="left" w:pos="900"/>
                <w:tab w:val="left" w:pos="1980"/>
              </w:tabs>
              <w:overflowPunct/>
              <w:topLinePunct w:val="0"/>
              <w:bidi w:val="0"/>
              <w:snapToGrid w:val="0"/>
              <w:spacing w:after="0"/>
              <w:rPr>
                <w:rFonts w:hint="eastAsia" w:ascii="宋体" w:hAnsi="宋体" w:eastAsia="宋体" w:cs="宋体"/>
              </w:rPr>
            </w:pPr>
            <w:r>
              <w:rPr>
                <w:rFonts w:hint="eastAsia" w:ascii="宋体" w:hAnsi="宋体" w:eastAsia="宋体" w:cs="宋体"/>
              </w:rPr>
              <w:t>截止时点：首次投标文件提交截止时间以后、资格审查阶段采购人或采购代理机构的实际查询时间；</w:t>
            </w:r>
          </w:p>
          <w:p w14:paraId="052E8770">
            <w:pPr>
              <w:pageBreakBefore w:val="0"/>
              <w:tabs>
                <w:tab w:val="left" w:pos="900"/>
                <w:tab w:val="left" w:pos="1980"/>
              </w:tabs>
              <w:overflowPunct/>
              <w:topLinePunct w:val="0"/>
              <w:bidi w:val="0"/>
              <w:snapToGrid w:val="0"/>
              <w:spacing w:after="0"/>
              <w:rPr>
                <w:rFonts w:hint="eastAsia" w:ascii="宋体" w:hAnsi="宋体" w:eastAsia="宋体" w:cs="宋体"/>
              </w:rPr>
            </w:pPr>
            <w:r>
              <w:rPr>
                <w:rFonts w:hint="eastAsia" w:ascii="宋体" w:hAnsi="宋体" w:eastAsia="宋体" w:cs="宋体"/>
              </w:rPr>
              <w:t>信用信息查询记录和证据留存具体方式：查询结果网页打印页作为查询记录和证据，与其他投标文件一并保存；</w:t>
            </w:r>
          </w:p>
          <w:p w14:paraId="712B5BD1">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信用信息的使用原则：经认定的被列入失信被执行人、重大税收违法失信主体、政府采购严重违法失信行为记录名单的供应商，其</w:t>
            </w:r>
            <w:r>
              <w:rPr>
                <w:rFonts w:hint="eastAsia" w:ascii="宋体" w:hAnsi="宋体" w:eastAsia="宋体" w:cs="宋体"/>
                <w:b/>
              </w:rPr>
              <w:t>投标无效</w:t>
            </w:r>
            <w:r>
              <w:rPr>
                <w:rFonts w:hint="eastAsia" w:ascii="宋体" w:hAnsi="宋体" w:eastAsia="宋体" w:cs="宋体"/>
              </w:rPr>
              <w:t>。联合体形式磋商的，联合体成员存在不良信用记录，视同联合体存在不良信用记录。</w:t>
            </w:r>
          </w:p>
        </w:tc>
        <w:tc>
          <w:tcPr>
            <w:tcW w:w="847" w:type="pct"/>
            <w:vAlign w:val="center"/>
          </w:tcPr>
          <w:p w14:paraId="66CA1698">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无须供应商提供，由采购人或采购代理机构查询。</w:t>
            </w:r>
          </w:p>
        </w:tc>
      </w:tr>
      <w:tr w14:paraId="4B405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03E82E7A">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1-4</w:t>
            </w:r>
          </w:p>
        </w:tc>
        <w:tc>
          <w:tcPr>
            <w:tcW w:w="1064" w:type="pct"/>
            <w:vAlign w:val="center"/>
          </w:tcPr>
          <w:p w14:paraId="05CF1180">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法律、行政法规规定的其他条件</w:t>
            </w:r>
          </w:p>
        </w:tc>
        <w:tc>
          <w:tcPr>
            <w:tcW w:w="2657" w:type="pct"/>
            <w:vAlign w:val="center"/>
          </w:tcPr>
          <w:p w14:paraId="749EEB62">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法律、行政法规规定的其他条件</w:t>
            </w:r>
          </w:p>
        </w:tc>
        <w:tc>
          <w:tcPr>
            <w:tcW w:w="847" w:type="pct"/>
            <w:vAlign w:val="center"/>
          </w:tcPr>
          <w:p w14:paraId="43585C16">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w:t>
            </w:r>
          </w:p>
        </w:tc>
      </w:tr>
      <w:tr w14:paraId="64EFA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0AE7A894">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2</w:t>
            </w:r>
          </w:p>
        </w:tc>
        <w:tc>
          <w:tcPr>
            <w:tcW w:w="1064" w:type="pct"/>
            <w:vAlign w:val="center"/>
          </w:tcPr>
          <w:p w14:paraId="183F75F4">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落实政府采购政策需满足的资格要求</w:t>
            </w:r>
          </w:p>
        </w:tc>
        <w:tc>
          <w:tcPr>
            <w:tcW w:w="2657" w:type="pct"/>
            <w:vAlign w:val="center"/>
          </w:tcPr>
          <w:p w14:paraId="68D8FDCC">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如有，见第一章《采购邀请》</w:t>
            </w:r>
          </w:p>
        </w:tc>
        <w:tc>
          <w:tcPr>
            <w:tcW w:w="847" w:type="pct"/>
            <w:vAlign w:val="center"/>
          </w:tcPr>
          <w:p w14:paraId="105F4774">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w:t>
            </w:r>
          </w:p>
        </w:tc>
      </w:tr>
      <w:tr w14:paraId="194EC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4DAF158B">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2-1</w:t>
            </w:r>
          </w:p>
        </w:tc>
        <w:tc>
          <w:tcPr>
            <w:tcW w:w="1064" w:type="pct"/>
            <w:vAlign w:val="center"/>
          </w:tcPr>
          <w:p w14:paraId="672169A7">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中小企业声明函</w:t>
            </w:r>
          </w:p>
        </w:tc>
        <w:tc>
          <w:tcPr>
            <w:tcW w:w="2657" w:type="pct"/>
            <w:vAlign w:val="center"/>
          </w:tcPr>
          <w:p w14:paraId="754C378C">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当本项目（包）涉及预留份额专门面向中小企业采购时，</w:t>
            </w:r>
            <w:r>
              <w:rPr>
                <w:rFonts w:hint="eastAsia" w:ascii="宋体" w:hAnsi="宋体" w:eastAsia="宋体" w:cs="宋体"/>
                <w:b/>
                <w:bCs/>
              </w:rPr>
              <w:t>必须</w:t>
            </w:r>
            <w:r>
              <w:rPr>
                <w:rFonts w:hint="eastAsia" w:ascii="宋体" w:hAnsi="宋体" w:eastAsia="宋体" w:cs="宋体"/>
              </w:rPr>
              <w:t>在《资格证明文件》中按要求提供相关材料。</w:t>
            </w:r>
          </w:p>
          <w:p w14:paraId="2E7CF13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如为监狱企业或残疾人福利性单位，不必提供中小企业声明函，但须按注1或注2要求提供证明材料。</w:t>
            </w:r>
          </w:p>
          <w:p w14:paraId="50C8C121">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注1：监狱企业须提供由省级以上监狱管理局（北京市含教育矫治局）、戒毒管理局（含新疆生产建设兵团）出具的属于监狱企业的证明文件。</w:t>
            </w:r>
          </w:p>
          <w:p w14:paraId="38C0A8CE">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注2：残疾人福利性单位需按招标文件要求提供《残疾人福利性单位声明函》</w:t>
            </w:r>
          </w:p>
        </w:tc>
        <w:tc>
          <w:tcPr>
            <w:tcW w:w="847" w:type="pct"/>
            <w:vAlign w:val="center"/>
          </w:tcPr>
          <w:p w14:paraId="5538912D">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格式见《投标文件格式》</w:t>
            </w:r>
          </w:p>
        </w:tc>
      </w:tr>
      <w:tr w14:paraId="12DBF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6361D3C4">
            <w:pPr>
              <w:pageBreakBefore w:val="0"/>
              <w:tabs>
                <w:tab w:val="left" w:pos="1080"/>
              </w:tabs>
              <w:overflowPunct/>
              <w:topLinePunct w:val="0"/>
              <w:bidi w:val="0"/>
              <w:snapToGrid w:val="0"/>
              <w:spacing w:after="0"/>
              <w:jc w:val="center"/>
              <w:rPr>
                <w:rFonts w:hint="eastAsia" w:ascii="宋体" w:hAnsi="宋体" w:eastAsia="宋体" w:cs="宋体"/>
                <w:highlight w:val="yellow"/>
              </w:rPr>
            </w:pPr>
            <w:r>
              <w:rPr>
                <w:rFonts w:hint="eastAsia" w:ascii="宋体" w:hAnsi="宋体" w:eastAsia="宋体" w:cs="宋体"/>
              </w:rPr>
              <w:t>3</w:t>
            </w:r>
          </w:p>
        </w:tc>
        <w:tc>
          <w:tcPr>
            <w:tcW w:w="1064" w:type="pct"/>
            <w:vAlign w:val="center"/>
          </w:tcPr>
          <w:p w14:paraId="7918E527">
            <w:pPr>
              <w:pageBreakBefore w:val="0"/>
              <w:tabs>
                <w:tab w:val="left" w:pos="1080"/>
              </w:tabs>
              <w:overflowPunct/>
              <w:topLinePunct w:val="0"/>
              <w:bidi w:val="0"/>
              <w:snapToGrid w:val="0"/>
              <w:spacing w:after="0"/>
              <w:rPr>
                <w:rFonts w:hint="eastAsia" w:ascii="宋体" w:hAnsi="宋体" w:eastAsia="宋体" w:cs="宋体"/>
                <w:highlight w:val="yellow"/>
              </w:rPr>
            </w:pPr>
            <w:r>
              <w:rPr>
                <w:rFonts w:hint="eastAsia" w:ascii="宋体" w:hAnsi="宋体" w:eastAsia="宋体" w:cs="宋体"/>
              </w:rPr>
              <w:t>本项目的特定资格要求</w:t>
            </w:r>
          </w:p>
        </w:tc>
        <w:tc>
          <w:tcPr>
            <w:tcW w:w="2657" w:type="pct"/>
            <w:vAlign w:val="center"/>
          </w:tcPr>
          <w:p w14:paraId="616C3054">
            <w:pPr>
              <w:pageBreakBefore w:val="0"/>
              <w:tabs>
                <w:tab w:val="left" w:pos="1080"/>
              </w:tabs>
              <w:overflowPunct/>
              <w:topLinePunct w:val="0"/>
              <w:bidi w:val="0"/>
              <w:snapToGrid w:val="0"/>
              <w:spacing w:after="0"/>
              <w:rPr>
                <w:rFonts w:hint="eastAsia" w:ascii="宋体" w:hAnsi="宋体" w:eastAsia="宋体" w:cs="宋体"/>
                <w:highlight w:val="yellow"/>
              </w:rPr>
            </w:pPr>
            <w:r>
              <w:rPr>
                <w:rFonts w:hint="eastAsia" w:ascii="宋体" w:hAnsi="宋体" w:eastAsia="宋体" w:cs="宋体"/>
              </w:rPr>
              <w:t>如有，见第一章《采购邀请》</w:t>
            </w:r>
          </w:p>
        </w:tc>
        <w:tc>
          <w:tcPr>
            <w:tcW w:w="847" w:type="pct"/>
            <w:vAlign w:val="center"/>
          </w:tcPr>
          <w:p w14:paraId="404CFC8A">
            <w:pPr>
              <w:pageBreakBefore w:val="0"/>
              <w:tabs>
                <w:tab w:val="left" w:pos="1080"/>
              </w:tabs>
              <w:overflowPunct/>
              <w:topLinePunct w:val="0"/>
              <w:bidi w:val="0"/>
              <w:snapToGrid w:val="0"/>
              <w:spacing w:after="0"/>
              <w:rPr>
                <w:rFonts w:hint="eastAsia" w:ascii="宋体" w:hAnsi="宋体" w:eastAsia="宋体" w:cs="宋体"/>
                <w:highlight w:val="yellow"/>
              </w:rPr>
            </w:pPr>
          </w:p>
        </w:tc>
      </w:tr>
      <w:tr w14:paraId="28E79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6" w:type="dxa"/>
            <w:vAlign w:val="center"/>
          </w:tcPr>
          <w:p w14:paraId="1A91C8CB">
            <w:pPr>
              <w:tabs>
                <w:tab w:val="left" w:pos="1080"/>
              </w:tabs>
              <w:jc w:val="center"/>
              <w:rPr>
                <w:rFonts w:hint="eastAsia" w:ascii="宋体" w:hAnsi="宋体" w:eastAsia="宋体" w:cs="宋体"/>
              </w:rPr>
            </w:pPr>
            <w:r>
              <w:rPr>
                <w:rFonts w:hint="eastAsia" w:ascii="宋体" w:hAnsi="宋体" w:eastAsia="宋体" w:cs="宋体"/>
                <w:lang w:val="en-US" w:eastAsia="zh-CN"/>
              </w:rPr>
              <w:t>4</w:t>
            </w:r>
          </w:p>
        </w:tc>
        <w:tc>
          <w:tcPr>
            <w:tcW w:w="2029" w:type="dxa"/>
            <w:vAlign w:val="center"/>
          </w:tcPr>
          <w:p w14:paraId="422B899A">
            <w:pPr>
              <w:tabs>
                <w:tab w:val="left" w:pos="1080"/>
              </w:tabs>
              <w:rPr>
                <w:rFonts w:hint="eastAsia" w:ascii="宋体" w:hAnsi="宋体" w:eastAsia="宋体" w:cs="宋体"/>
              </w:rPr>
            </w:pPr>
            <w:r>
              <w:rPr>
                <w:rFonts w:hint="eastAsia" w:ascii="宋体" w:hAnsi="宋体" w:eastAsia="宋体" w:cs="宋体"/>
                <w:lang w:val="en-US" w:eastAsia="zh-CN"/>
              </w:rPr>
              <w:t>投标保证金</w:t>
            </w:r>
          </w:p>
        </w:tc>
        <w:tc>
          <w:tcPr>
            <w:tcW w:w="5066" w:type="dxa"/>
            <w:vAlign w:val="center"/>
          </w:tcPr>
          <w:p w14:paraId="38D04B48">
            <w:pPr>
              <w:tabs>
                <w:tab w:val="left" w:pos="1080"/>
              </w:tabs>
              <w:rPr>
                <w:rFonts w:hint="eastAsia" w:ascii="宋体" w:hAnsi="宋体" w:eastAsia="宋体" w:cs="宋体"/>
              </w:rPr>
            </w:pPr>
          </w:p>
        </w:tc>
        <w:tc>
          <w:tcPr>
            <w:tcW w:w="1613" w:type="dxa"/>
            <w:vAlign w:val="center"/>
          </w:tcPr>
          <w:p w14:paraId="50DB77F0">
            <w:pPr>
              <w:tabs>
                <w:tab w:val="left" w:pos="1080"/>
              </w:tabs>
              <w:rPr>
                <w:rFonts w:hint="eastAsia" w:ascii="宋体" w:hAnsi="宋体" w:eastAsia="宋体" w:cs="宋体"/>
                <w:highlight w:val="yellow"/>
              </w:rPr>
            </w:pPr>
            <w:r>
              <w:rPr>
                <w:rFonts w:hint="eastAsia" w:ascii="宋体" w:hAnsi="宋体" w:eastAsia="宋体" w:cs="宋体"/>
                <w:highlight w:val="none"/>
              </w:rPr>
              <w:t>提供投标保证金凭证/交款单据电子件</w:t>
            </w:r>
          </w:p>
        </w:tc>
      </w:tr>
    </w:tbl>
    <w:p w14:paraId="79FAEB0D">
      <w:pPr>
        <w:pStyle w:val="6"/>
        <w:pageBreakBefore w:val="0"/>
        <w:overflowPunct/>
        <w:topLinePunct w:val="0"/>
        <w:bidi w:val="0"/>
        <w:snapToGrid w:val="0"/>
        <w:spacing w:after="0"/>
        <w:rPr>
          <w:rFonts w:hint="eastAsia" w:hAnsi="宋体"/>
        </w:rPr>
      </w:pPr>
    </w:p>
    <w:p w14:paraId="354C5346">
      <w:pPr>
        <w:pStyle w:val="6"/>
        <w:pageBreakBefore w:val="0"/>
        <w:overflowPunct/>
        <w:topLinePunct w:val="0"/>
        <w:bidi w:val="0"/>
        <w:snapToGrid w:val="0"/>
        <w:spacing w:after="0"/>
        <w:rPr>
          <w:rFonts w:hint="eastAsia" w:hAnsi="宋体"/>
        </w:rPr>
      </w:pPr>
      <w:r>
        <w:rPr>
          <w:rFonts w:hAnsi="宋体"/>
        </w:rPr>
        <w:br w:type="page"/>
      </w:r>
    </w:p>
    <w:p w14:paraId="69BB0584">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34" w:name="_Toc183959676"/>
      <w:r>
        <w:rPr>
          <w:rFonts w:hint="eastAsia" w:hAnsi="宋体"/>
          <w:b/>
          <w:bCs/>
          <w:sz w:val="36"/>
          <w:szCs w:val="36"/>
        </w:rPr>
        <w:t>第四章</w:t>
      </w:r>
      <w:r>
        <w:rPr>
          <w:rFonts w:hAnsi="宋体"/>
          <w:b/>
          <w:bCs/>
          <w:sz w:val="36"/>
          <w:szCs w:val="36"/>
        </w:rPr>
        <w:t xml:space="preserve">   </w:t>
      </w:r>
      <w:r>
        <w:rPr>
          <w:rFonts w:hint="eastAsia" w:hAnsi="宋体"/>
          <w:b/>
          <w:bCs/>
          <w:sz w:val="36"/>
          <w:szCs w:val="36"/>
        </w:rPr>
        <w:t>评标程序、评标方法和评标标准</w:t>
      </w:r>
      <w:bookmarkEnd w:id="34"/>
    </w:p>
    <w:p w14:paraId="6340BACA">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5" w:name="_Toc148096361"/>
      <w:r>
        <w:rPr>
          <w:rFonts w:hint="eastAsia" w:ascii="宋体" w:hAnsi="宋体" w:eastAsia="宋体" w:cs="Times New Roman"/>
          <w:b/>
          <w:bCs/>
          <w:snapToGrid/>
          <w:color w:val="auto"/>
          <w:kern w:val="2"/>
          <w:sz w:val="28"/>
          <w:szCs w:val="36"/>
        </w:rPr>
        <w:t>一、评标方法</w:t>
      </w:r>
      <w:bookmarkEnd w:id="35"/>
    </w:p>
    <w:p w14:paraId="4612A81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 投标文件的符合性审查</w:t>
      </w:r>
    </w:p>
    <w:p w14:paraId="31A64E42">
      <w:pPr>
        <w:pageBreakBefore w:val="0"/>
        <w:overflowPunct/>
        <w:topLinePunct w:val="0"/>
        <w:bidi w:val="0"/>
        <w:snapToGrid w:val="0"/>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14:paraId="5D21F384">
      <w:pPr>
        <w:pageBreakBefore w:val="0"/>
        <w:overflowPunct/>
        <w:topLinePunct w:val="0"/>
        <w:bidi w:val="0"/>
        <w:snapToGrid w:val="0"/>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035D8180">
      <w:pPr>
        <w:pageBreakBefore w:val="0"/>
        <w:overflowPunct/>
        <w:topLinePunct w:val="0"/>
        <w:bidi w:val="0"/>
        <w:snapToGrid w:val="0"/>
        <w:spacing w:after="0" w:line="360" w:lineRule="auto"/>
        <w:jc w:val="center"/>
        <w:rPr>
          <w:rFonts w:hint="eastAsia" w:ascii="宋体" w:hAnsi="宋体" w:eastAsia="宋体"/>
          <w:color w:val="auto"/>
          <w:sz w:val="24"/>
          <w:szCs w:val="24"/>
        </w:rPr>
      </w:pPr>
      <w:r>
        <w:rPr>
          <w:rFonts w:hint="eastAsia" w:ascii="宋体" w:hAnsi="宋体" w:eastAsia="宋体"/>
          <w:b/>
          <w:bCs/>
          <w:color w:val="auto"/>
          <w:sz w:val="24"/>
          <w:szCs w:val="24"/>
        </w:rPr>
        <w:t>符合性审查要求：</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928"/>
        <w:gridCol w:w="6692"/>
      </w:tblGrid>
      <w:tr w14:paraId="47B6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5F7DE6C9">
            <w:pPr>
              <w:pageBreakBefore w:val="0"/>
              <w:overflowPunct/>
              <w:topLinePunct w:val="0"/>
              <w:bidi w:val="0"/>
              <w:snapToGrid w:val="0"/>
              <w:spacing w:after="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028" w:type="pct"/>
            <w:shd w:val="clear" w:color="auto" w:fill="auto"/>
            <w:vAlign w:val="center"/>
          </w:tcPr>
          <w:p w14:paraId="40A497F9">
            <w:pPr>
              <w:pageBreakBefore w:val="0"/>
              <w:overflowPunct/>
              <w:topLinePunct w:val="0"/>
              <w:bidi w:val="0"/>
              <w:snapToGrid w:val="0"/>
              <w:spacing w:after="0"/>
              <w:jc w:val="center"/>
              <w:rPr>
                <w:rFonts w:hint="eastAsia" w:ascii="宋体" w:hAnsi="宋体" w:eastAsia="宋体" w:cs="宋体"/>
                <w:b/>
                <w:color w:val="auto"/>
                <w:sz w:val="24"/>
              </w:rPr>
            </w:pPr>
            <w:r>
              <w:rPr>
                <w:rFonts w:hint="eastAsia" w:ascii="宋体" w:hAnsi="宋体" w:eastAsia="宋体" w:cs="宋体"/>
                <w:b/>
                <w:color w:val="auto"/>
                <w:sz w:val="24"/>
              </w:rPr>
              <w:t>审查因素</w:t>
            </w:r>
          </w:p>
        </w:tc>
        <w:tc>
          <w:tcPr>
            <w:tcW w:w="3568" w:type="pct"/>
            <w:shd w:val="clear" w:color="auto" w:fill="auto"/>
            <w:vAlign w:val="center"/>
          </w:tcPr>
          <w:p w14:paraId="52F9F7AC">
            <w:pPr>
              <w:pageBreakBefore w:val="0"/>
              <w:overflowPunct/>
              <w:topLinePunct w:val="0"/>
              <w:bidi w:val="0"/>
              <w:snapToGrid w:val="0"/>
              <w:spacing w:after="0"/>
              <w:jc w:val="center"/>
              <w:rPr>
                <w:rFonts w:hint="eastAsia" w:ascii="宋体" w:hAnsi="宋体" w:eastAsia="宋体" w:cs="宋体"/>
                <w:b/>
                <w:color w:val="auto"/>
                <w:sz w:val="24"/>
              </w:rPr>
            </w:pPr>
            <w:r>
              <w:rPr>
                <w:rFonts w:hint="eastAsia" w:ascii="宋体" w:hAnsi="宋体" w:eastAsia="宋体" w:cs="宋体"/>
                <w:b/>
                <w:color w:val="auto"/>
                <w:sz w:val="24"/>
              </w:rPr>
              <w:t>审查内容</w:t>
            </w:r>
          </w:p>
        </w:tc>
      </w:tr>
      <w:tr w14:paraId="5C1E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76EA2A3">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w:t>
            </w:r>
          </w:p>
        </w:tc>
        <w:tc>
          <w:tcPr>
            <w:tcW w:w="1028" w:type="pct"/>
            <w:shd w:val="clear" w:color="auto" w:fill="auto"/>
            <w:vAlign w:val="center"/>
          </w:tcPr>
          <w:p w14:paraId="1B84AE2E">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授权委托书</w:t>
            </w:r>
          </w:p>
        </w:tc>
        <w:tc>
          <w:tcPr>
            <w:tcW w:w="3568" w:type="pct"/>
            <w:shd w:val="clear" w:color="auto" w:fill="auto"/>
            <w:vAlign w:val="center"/>
          </w:tcPr>
          <w:p w14:paraId="6AD7F53F">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 xml:space="preserve">按招标文件要求提供授权委托书； </w:t>
            </w:r>
          </w:p>
        </w:tc>
      </w:tr>
      <w:tr w14:paraId="39CF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9DE7232">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2</w:t>
            </w:r>
          </w:p>
        </w:tc>
        <w:tc>
          <w:tcPr>
            <w:tcW w:w="1028" w:type="pct"/>
            <w:shd w:val="clear" w:color="auto" w:fill="auto"/>
            <w:vAlign w:val="center"/>
          </w:tcPr>
          <w:p w14:paraId="0BB0E3AA">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投标完整性</w:t>
            </w:r>
          </w:p>
        </w:tc>
        <w:tc>
          <w:tcPr>
            <w:tcW w:w="3568" w:type="pct"/>
            <w:shd w:val="clear" w:color="auto" w:fill="auto"/>
            <w:vAlign w:val="center"/>
          </w:tcPr>
          <w:p w14:paraId="0B3002B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未将一个采购包中的内容拆开投标；</w:t>
            </w:r>
          </w:p>
        </w:tc>
      </w:tr>
      <w:tr w14:paraId="4E98F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9A2151E">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3</w:t>
            </w:r>
          </w:p>
        </w:tc>
        <w:tc>
          <w:tcPr>
            <w:tcW w:w="1028" w:type="pct"/>
            <w:shd w:val="clear" w:color="auto" w:fill="auto"/>
            <w:vAlign w:val="center"/>
          </w:tcPr>
          <w:p w14:paraId="164C3BCA">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投标报价</w:t>
            </w:r>
          </w:p>
        </w:tc>
        <w:tc>
          <w:tcPr>
            <w:tcW w:w="3568" w:type="pct"/>
            <w:shd w:val="clear" w:color="auto" w:fill="auto"/>
            <w:vAlign w:val="center"/>
          </w:tcPr>
          <w:p w14:paraId="2BC48EC7">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投标报价未超过招标文件中规定的项目/采购包预算金额或者项目/采购包最高限价；</w:t>
            </w:r>
          </w:p>
        </w:tc>
      </w:tr>
      <w:tr w14:paraId="1889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D036F6E">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4</w:t>
            </w:r>
          </w:p>
        </w:tc>
        <w:tc>
          <w:tcPr>
            <w:tcW w:w="1028" w:type="pct"/>
            <w:shd w:val="clear" w:color="auto" w:fill="auto"/>
            <w:vAlign w:val="center"/>
          </w:tcPr>
          <w:p w14:paraId="46A36272">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报价唯一性</w:t>
            </w:r>
          </w:p>
        </w:tc>
        <w:tc>
          <w:tcPr>
            <w:tcW w:w="3568" w:type="pct"/>
            <w:shd w:val="clear" w:color="auto" w:fill="auto"/>
            <w:vAlign w:val="center"/>
          </w:tcPr>
          <w:p w14:paraId="7C1C87D4">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投标文件未出现可选择性或可调整的报价（招标文件另有规定的除外）；</w:t>
            </w:r>
          </w:p>
        </w:tc>
      </w:tr>
      <w:tr w14:paraId="1F67E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52A9A57">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5</w:t>
            </w:r>
          </w:p>
        </w:tc>
        <w:tc>
          <w:tcPr>
            <w:tcW w:w="1028" w:type="pct"/>
            <w:shd w:val="clear" w:color="auto" w:fill="auto"/>
            <w:vAlign w:val="center"/>
          </w:tcPr>
          <w:p w14:paraId="725D1B92">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投标有效期</w:t>
            </w:r>
          </w:p>
        </w:tc>
        <w:tc>
          <w:tcPr>
            <w:tcW w:w="3568" w:type="pct"/>
            <w:shd w:val="clear" w:color="auto" w:fill="auto"/>
            <w:vAlign w:val="center"/>
          </w:tcPr>
          <w:p w14:paraId="7E36FAB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投标文件中承诺的投标有效期满足招标文件中载明的投标有效期的；</w:t>
            </w:r>
          </w:p>
        </w:tc>
      </w:tr>
      <w:tr w14:paraId="017B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2F11D43">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6</w:t>
            </w:r>
          </w:p>
        </w:tc>
        <w:tc>
          <w:tcPr>
            <w:tcW w:w="1028" w:type="pct"/>
            <w:shd w:val="clear" w:color="auto" w:fill="auto"/>
            <w:vAlign w:val="center"/>
          </w:tcPr>
          <w:p w14:paraId="2EEB95D6">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实质性格式</w:t>
            </w:r>
          </w:p>
        </w:tc>
        <w:tc>
          <w:tcPr>
            <w:tcW w:w="3568" w:type="pct"/>
            <w:shd w:val="clear" w:color="auto" w:fill="auto"/>
            <w:vAlign w:val="center"/>
          </w:tcPr>
          <w:p w14:paraId="15248AB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标记为“实质性格式”的文件均按招标文件要求提供且签署、盖</w:t>
            </w:r>
          </w:p>
          <w:p w14:paraId="7D1715B2">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章的；</w:t>
            </w:r>
          </w:p>
        </w:tc>
      </w:tr>
      <w:tr w14:paraId="560C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0358C2E">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7</w:t>
            </w:r>
          </w:p>
        </w:tc>
        <w:tc>
          <w:tcPr>
            <w:tcW w:w="1028" w:type="pct"/>
            <w:shd w:val="clear" w:color="auto" w:fill="auto"/>
            <w:vAlign w:val="center"/>
          </w:tcPr>
          <w:p w14:paraId="7336B7B3">
            <w:pPr>
              <w:pageBreakBefore w:val="0"/>
              <w:overflowPunct/>
              <w:topLinePunct w:val="0"/>
              <w:bidi w:val="0"/>
              <w:snapToGrid w:val="0"/>
              <w:spacing w:after="0"/>
              <w:rPr>
                <w:rFonts w:hint="eastAsia" w:ascii="宋体" w:hAnsi="宋体" w:eastAsia="宋体" w:cs="宋体"/>
                <w:color w:val="auto"/>
              </w:rPr>
            </w:pPr>
            <w:bookmarkStart w:id="36" w:name="_Hlk126850020"/>
            <w:r>
              <w:rPr>
                <w:rFonts w:hint="eastAsia" w:ascii="宋体" w:hAnsi="宋体" w:eastAsia="宋体" w:cs="宋体"/>
                <w:color w:val="auto"/>
              </w:rPr>
              <w:t>★号条款</w:t>
            </w:r>
            <w:bookmarkEnd w:id="36"/>
            <w:r>
              <w:rPr>
                <w:rFonts w:hint="eastAsia" w:ascii="宋体" w:hAnsi="宋体" w:eastAsia="宋体" w:cs="宋体"/>
                <w:color w:val="auto"/>
              </w:rPr>
              <w:t>响应（如有）</w:t>
            </w:r>
          </w:p>
        </w:tc>
        <w:tc>
          <w:tcPr>
            <w:tcW w:w="3568" w:type="pct"/>
            <w:shd w:val="clear" w:color="auto" w:fill="auto"/>
            <w:vAlign w:val="center"/>
          </w:tcPr>
          <w:p w14:paraId="4555088C">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投标文件满足招标文件第五章《采购需求》中★号条款（如有）要求的；</w:t>
            </w:r>
          </w:p>
        </w:tc>
      </w:tr>
      <w:tr w14:paraId="0D56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1A58AEB">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8</w:t>
            </w:r>
          </w:p>
        </w:tc>
        <w:tc>
          <w:tcPr>
            <w:tcW w:w="1028" w:type="pct"/>
            <w:shd w:val="clear" w:color="auto" w:fill="auto"/>
            <w:vAlign w:val="center"/>
          </w:tcPr>
          <w:p w14:paraId="4F3856B2">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分包承担主体（如有）</w:t>
            </w:r>
          </w:p>
        </w:tc>
        <w:tc>
          <w:tcPr>
            <w:tcW w:w="3568" w:type="pct"/>
            <w:shd w:val="clear" w:color="auto" w:fill="auto"/>
            <w:vAlign w:val="center"/>
          </w:tcPr>
          <w:p w14:paraId="3240CFE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分包承担主体具备《投标人须知资料表》载明的资质条件且提供了资质证书电子件（如有）。</w:t>
            </w:r>
          </w:p>
        </w:tc>
      </w:tr>
      <w:tr w14:paraId="20EB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EFE27E0">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9</w:t>
            </w:r>
          </w:p>
        </w:tc>
        <w:tc>
          <w:tcPr>
            <w:tcW w:w="1028" w:type="pct"/>
            <w:shd w:val="clear" w:color="auto" w:fill="auto"/>
            <w:vAlign w:val="center"/>
          </w:tcPr>
          <w:p w14:paraId="31E1BB1C">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分包意向协议（如有）</w:t>
            </w:r>
          </w:p>
        </w:tc>
        <w:tc>
          <w:tcPr>
            <w:tcW w:w="3568" w:type="pct"/>
            <w:shd w:val="clear" w:color="auto" w:fill="auto"/>
            <w:vAlign w:val="center"/>
          </w:tcPr>
          <w:p w14:paraId="230D33EE">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按招标文件规定签订并提供分包意向协议原件的电子件的（如有）。</w:t>
            </w:r>
          </w:p>
        </w:tc>
      </w:tr>
      <w:tr w14:paraId="1FAA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3031AC">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10</w:t>
            </w:r>
          </w:p>
        </w:tc>
        <w:tc>
          <w:tcPr>
            <w:tcW w:w="1028" w:type="pct"/>
            <w:shd w:val="clear" w:color="auto" w:fill="auto"/>
            <w:vAlign w:val="center"/>
          </w:tcPr>
          <w:p w14:paraId="3A32B2E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报价的修正（如有）</w:t>
            </w:r>
          </w:p>
        </w:tc>
        <w:tc>
          <w:tcPr>
            <w:tcW w:w="3568" w:type="pct"/>
            <w:shd w:val="clear" w:color="auto" w:fill="auto"/>
            <w:vAlign w:val="center"/>
          </w:tcPr>
          <w:p w14:paraId="3A813F55">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 xml:space="preserve">不涉及报价修正，或投标文件报价出现前后不一致时，投标人对修正后的报价予以确认（如有）； </w:t>
            </w:r>
          </w:p>
        </w:tc>
      </w:tr>
      <w:tr w14:paraId="2EE0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211F4C1">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11</w:t>
            </w:r>
          </w:p>
        </w:tc>
        <w:tc>
          <w:tcPr>
            <w:tcW w:w="1028" w:type="pct"/>
            <w:shd w:val="clear" w:color="auto" w:fill="auto"/>
            <w:vAlign w:val="center"/>
          </w:tcPr>
          <w:p w14:paraId="05A85B0A">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报价合理性</w:t>
            </w:r>
          </w:p>
        </w:tc>
        <w:tc>
          <w:tcPr>
            <w:tcW w:w="3568" w:type="pct"/>
            <w:shd w:val="clear" w:color="auto" w:fill="auto"/>
            <w:vAlign w:val="center"/>
          </w:tcPr>
          <w:p w14:paraId="541047F3">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报价合理，或投标人的报价明显低于其他通过符合性审查投标人的报价，有可能影响产品质量或者不能诚信履约的，能够应评标委员会要求在规定时间内证明其报价合理性的；</w:t>
            </w:r>
          </w:p>
        </w:tc>
      </w:tr>
      <w:tr w14:paraId="5A859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A430025">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12</w:t>
            </w:r>
          </w:p>
        </w:tc>
        <w:tc>
          <w:tcPr>
            <w:tcW w:w="1028" w:type="pct"/>
            <w:shd w:val="clear" w:color="auto" w:fill="auto"/>
            <w:vAlign w:val="center"/>
          </w:tcPr>
          <w:p w14:paraId="493B71BE">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进口产品（如有）</w:t>
            </w:r>
          </w:p>
        </w:tc>
        <w:tc>
          <w:tcPr>
            <w:tcW w:w="3568" w:type="pct"/>
            <w:shd w:val="clear" w:color="auto" w:fill="auto"/>
            <w:vAlign w:val="center"/>
          </w:tcPr>
          <w:p w14:paraId="0756482C">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招标文件不接受进口产品投标的内容时，投标人所投产品非进口产品的。</w:t>
            </w:r>
          </w:p>
        </w:tc>
      </w:tr>
      <w:tr w14:paraId="2C48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9A918B7">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13</w:t>
            </w:r>
          </w:p>
        </w:tc>
        <w:tc>
          <w:tcPr>
            <w:tcW w:w="1028" w:type="pct"/>
            <w:shd w:val="clear" w:color="auto" w:fill="auto"/>
            <w:vAlign w:val="center"/>
          </w:tcPr>
          <w:p w14:paraId="13D62A56">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国家有关部门对投标人的投标产品有强制性规定或要求的（如有）</w:t>
            </w:r>
          </w:p>
        </w:tc>
        <w:tc>
          <w:tcPr>
            <w:tcW w:w="3568" w:type="pct"/>
            <w:shd w:val="clear" w:color="auto" w:fill="auto"/>
            <w:vAlign w:val="center"/>
          </w:tcPr>
          <w:p w14:paraId="59F84A89">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 xml:space="preserve">国家有关部门对投标人的投标产品有强制性规定或要求的（如相应技术、安全、节能和环保等），投标人的投标产品应符合相应规定或要求，并提供证明文件电子件： </w:t>
            </w:r>
          </w:p>
          <w:p w14:paraId="605BCA4E">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 xml:space="preserve">）采购的产品若属于《节能产品政府采购品目清单》范围中政府强制采购产品，则投标人所报产品必须获得国家确定的认证机构出具的、处于有效期之内的节能产品认证证书； </w:t>
            </w:r>
          </w:p>
          <w:p w14:paraId="59C99D08">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 xml:space="preserve">）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000AA648">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eastAsia="宋体" w:cs="宋体"/>
                <w:color w:val="auto"/>
              </w:rPr>
              <w:t>GB 15629.11/1102</w:t>
            </w:r>
            <w:r>
              <w:rPr>
                <w:rFonts w:hint="eastAsia" w:ascii="宋体" w:hAnsi="宋体" w:eastAsia="宋体" w:cs="宋体"/>
                <w:color w:val="auto"/>
              </w:rPr>
              <w:t xml:space="preserve">）并通过国家产品认证的产品； </w:t>
            </w:r>
          </w:p>
          <w:p w14:paraId="59638C1E">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 xml:space="preserve">）项目中涉及涂料、胶黏剂、油墨、清洗剂等挥发性有机物产品，且属于强制性标准的，供应商应执行符合本市和国家的 </w:t>
            </w:r>
            <w:r>
              <w:rPr>
                <w:rFonts w:ascii="宋体" w:hAnsi="宋体" w:eastAsia="宋体" w:cs="宋体"/>
                <w:color w:val="auto"/>
              </w:rPr>
              <w:t xml:space="preserve">VOCs </w:t>
            </w:r>
            <w:r>
              <w:rPr>
                <w:rFonts w:hint="eastAsia" w:ascii="宋体" w:hAnsi="宋体" w:eastAsia="宋体" w:cs="宋体"/>
                <w:color w:val="auto"/>
              </w:rPr>
              <w:t>含量限制标准。</w:t>
            </w:r>
          </w:p>
        </w:tc>
      </w:tr>
      <w:tr w14:paraId="6072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C32A6BB">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14</w:t>
            </w:r>
          </w:p>
        </w:tc>
        <w:tc>
          <w:tcPr>
            <w:tcW w:w="1028" w:type="pct"/>
            <w:shd w:val="clear" w:color="auto" w:fill="auto"/>
            <w:vAlign w:val="center"/>
          </w:tcPr>
          <w:p w14:paraId="4A855B32">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公平竞争</w:t>
            </w:r>
          </w:p>
        </w:tc>
        <w:tc>
          <w:tcPr>
            <w:tcW w:w="3568" w:type="pct"/>
            <w:shd w:val="clear" w:color="auto" w:fill="auto"/>
            <w:vAlign w:val="center"/>
          </w:tcPr>
          <w:p w14:paraId="09A877E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投标人遵循公平竞争的原则，不存在恶意串通，妨碍其他投标人的竞争行为，不存在损害采购人或者其他投标人的合法权益情形的；</w:t>
            </w:r>
          </w:p>
        </w:tc>
      </w:tr>
      <w:tr w14:paraId="2FEC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8D83D73">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15</w:t>
            </w:r>
          </w:p>
        </w:tc>
        <w:tc>
          <w:tcPr>
            <w:tcW w:w="1028" w:type="pct"/>
            <w:shd w:val="clear" w:color="auto" w:fill="auto"/>
            <w:vAlign w:val="center"/>
          </w:tcPr>
          <w:p w14:paraId="294A3693">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串通投标</w:t>
            </w:r>
          </w:p>
        </w:tc>
        <w:tc>
          <w:tcPr>
            <w:tcW w:w="3568" w:type="pct"/>
            <w:shd w:val="clear" w:color="auto" w:fill="auto"/>
            <w:vAlign w:val="center"/>
          </w:tcPr>
          <w:p w14:paraId="04D8BFAF">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CAB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F15CF28">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16</w:t>
            </w:r>
          </w:p>
        </w:tc>
        <w:tc>
          <w:tcPr>
            <w:tcW w:w="1028" w:type="pct"/>
            <w:shd w:val="clear" w:color="auto" w:fill="auto"/>
            <w:vAlign w:val="center"/>
          </w:tcPr>
          <w:p w14:paraId="781D062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附加条件</w:t>
            </w:r>
          </w:p>
        </w:tc>
        <w:tc>
          <w:tcPr>
            <w:tcW w:w="3568" w:type="pct"/>
            <w:shd w:val="clear" w:color="auto" w:fill="auto"/>
            <w:vAlign w:val="center"/>
          </w:tcPr>
          <w:p w14:paraId="42DDD57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投标文件未含有采购人不能接受的附加条件的；</w:t>
            </w:r>
          </w:p>
        </w:tc>
      </w:tr>
      <w:tr w14:paraId="6EBB0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1B43B81">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17</w:t>
            </w:r>
          </w:p>
        </w:tc>
        <w:tc>
          <w:tcPr>
            <w:tcW w:w="1028" w:type="pct"/>
            <w:shd w:val="clear" w:color="auto" w:fill="auto"/>
            <w:vAlign w:val="center"/>
          </w:tcPr>
          <w:p w14:paraId="09AAF9C5">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其他无效情形</w:t>
            </w:r>
          </w:p>
        </w:tc>
        <w:tc>
          <w:tcPr>
            <w:tcW w:w="3568" w:type="pct"/>
            <w:shd w:val="clear" w:color="auto" w:fill="auto"/>
            <w:vAlign w:val="center"/>
          </w:tcPr>
          <w:p w14:paraId="77B4567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投标人、投标文件不存在不符合法律、法规和招标文件规定的其他无效情形。</w:t>
            </w:r>
          </w:p>
        </w:tc>
      </w:tr>
    </w:tbl>
    <w:p w14:paraId="557F029C">
      <w:pPr>
        <w:pageBreakBefore w:val="0"/>
        <w:overflowPunct/>
        <w:topLinePunct w:val="0"/>
        <w:bidi w:val="0"/>
        <w:snapToGrid w:val="0"/>
        <w:spacing w:after="0" w:line="14" w:lineRule="auto"/>
        <w:rPr>
          <w:rFonts w:hint="eastAsia" w:ascii="宋体" w:hAnsi="宋体" w:eastAsia="宋体" w:cs="宋体"/>
          <w:color w:val="auto"/>
          <w:sz w:val="2"/>
        </w:rPr>
      </w:pPr>
    </w:p>
    <w:p w14:paraId="25734068">
      <w:pPr>
        <w:pageBreakBefore w:val="0"/>
        <w:overflowPunct/>
        <w:topLinePunct w:val="0"/>
        <w:bidi w:val="0"/>
        <w:snapToGrid w:val="0"/>
        <w:spacing w:before="78"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14:paraId="254671E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35E78055">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7FF1C5BD">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3C9DA32E">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14:paraId="668CC5A7">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14:paraId="2A30EA45">
      <w:pPr>
        <w:pageBreakBefore w:val="0"/>
        <w:overflowPunct/>
        <w:topLinePunct w:val="0"/>
        <w:bidi w:val="0"/>
        <w:snapToGrid w:val="0"/>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14:paraId="5C61FCD2">
      <w:pPr>
        <w:pageBreakBefore w:val="0"/>
        <w:overflowPunct/>
        <w:topLinePunct w:val="0"/>
        <w:bidi w:val="0"/>
        <w:snapToGrid w:val="0"/>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14:paraId="21ABBA5B">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14:paraId="7751674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2.4.3 投标文件中开标一览表(报价表) 内容与投标文件中相应内容不一致的，以开标一览表(报价表)为准；</w:t>
      </w:r>
    </w:p>
    <w:p w14:paraId="08076CEC">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2.4.4 大写金额和小写金额不一致的，以大写金额为准；</w:t>
      </w:r>
    </w:p>
    <w:p w14:paraId="091BB4EC">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2.4.5 单价金额小数点或者百分比有明显错位的， 以开标一览表的总价为准，并修改单价；</w:t>
      </w:r>
    </w:p>
    <w:p w14:paraId="535C0090">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2.4.6 总价金额与按单价汇总金额不一致的，以单价金额计算结果为准；</w:t>
      </w:r>
    </w:p>
    <w:p w14:paraId="751DDE32">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2.4.7 同时出现两种以上不一致的，按照前款规定的顺序修正。</w:t>
      </w:r>
    </w:p>
    <w:p w14:paraId="0942B213">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2.4.8 修正后的报价经投标人书面确认后产生约束力，投标人不确认的，其投标无效。</w:t>
      </w:r>
    </w:p>
    <w:p w14:paraId="1CB4472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14:paraId="6DDE7F28">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14:paraId="1013F8F1">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77DA5620">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组成联合体或者接受分包的小微企业与联合体内其他企业、分包企业之间存在直接控股、管理关系的，不享受价格扣除优惠政策。</w:t>
      </w:r>
    </w:p>
    <w:p w14:paraId="38AA3C21">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价格扣除比例对小型企业和微型企业同等对待，不作区分。</w:t>
      </w:r>
    </w:p>
    <w:p w14:paraId="11E55CAB">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中小企业参加政府采购活动，应当按照招标文件给定的格式出具《中小企业声明函》，否则不得享受相关中小企业扶持政策。</w:t>
      </w:r>
    </w:p>
    <w:p w14:paraId="29FB732E">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2.5.6 监狱企业提供了由省级以上监狱管理局、戒毒管理局(含新疆生产建设兵团)出具的属于监狱企业的证明文件的，视同小微企业。</w:t>
      </w:r>
    </w:p>
    <w:p w14:paraId="5C77CDE6">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2.5.7 残疾人福利性单位按招标文件要求提供了《残疾人福利性单位声明函》的，视同小微企业。</w:t>
      </w:r>
    </w:p>
    <w:p w14:paraId="36664CC9">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2.5.8 若投标人同时属于小型或微型企业、监狱企业、残疾人福利性单位中的两种及以上，将不重复享受小微企业价格扣减的优惠政策。</w:t>
      </w:r>
    </w:p>
    <w:p w14:paraId="3DF0B5B4">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14:paraId="00F66E3D">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5D9F0D04">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14:paraId="499A87DC">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14:paraId="481C09A0">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AADB00D">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14:paraId="1906267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w:t>
      </w:r>
    </w:p>
    <w:p w14:paraId="108D6F9E">
      <w:pPr>
        <w:pageBreakBefore w:val="0"/>
        <w:overflowPunct/>
        <w:topLinePunct w:val="0"/>
        <w:bidi w:val="0"/>
        <w:snapToGrid w:val="0"/>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00C1EF6C">
      <w:pPr>
        <w:pageBreakBefore w:val="0"/>
        <w:overflowPunct/>
        <w:topLinePunct w:val="0"/>
        <w:bidi w:val="0"/>
        <w:snapToGrid w:val="0"/>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14:paraId="68825E14">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3.2.3 非政府强制采购的节能产品或环境标志产品，依据品目清单和认证证书实施政府优先采购。优先采购的具体规定(如涉及) </w:t>
      </w:r>
      <w:bookmarkStart w:id="37" w:name="_Hlk127903545"/>
      <w:r>
        <w:rPr>
          <w:rFonts w:hint="eastAsia" w:ascii="宋体" w:hAnsi="宋体" w:eastAsia="宋体" w:cs="宋体"/>
          <w:color w:val="auto"/>
          <w:spacing w:val="-1"/>
          <w:sz w:val="24"/>
          <w:szCs w:val="24"/>
        </w:rPr>
        <w:t>按评标标准予以政策性加分</w:t>
      </w:r>
      <w:bookmarkEnd w:id="37"/>
      <w:r>
        <w:rPr>
          <w:rFonts w:hint="eastAsia" w:ascii="宋体" w:hAnsi="宋体" w:eastAsia="宋体" w:cs="宋体"/>
          <w:color w:val="auto"/>
          <w:spacing w:val="-1"/>
          <w:sz w:val="24"/>
          <w:szCs w:val="24"/>
        </w:rPr>
        <w:t xml:space="preserve">  。</w:t>
      </w:r>
    </w:p>
    <w:p w14:paraId="4BF008C0">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14:paraId="71A89FD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0064A7A">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71C84200">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■其他方式，具体要求：投标报价低的投标人为中标候选人。</w:t>
      </w:r>
    </w:p>
    <w:p w14:paraId="474CB96F">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EB4C3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4.3 采用最低评标价法时，评标结果按本章 2.4、2.5 调整后的投标报价由低到高顺序排列。投标报价相同的并列。投标文件满足招标文件全部实质性要求且投标报价最低的投标人为排名第一的中标候选人。</w:t>
      </w:r>
    </w:p>
    <w:p w14:paraId="41A0B8AE">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14:paraId="5677304C">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推荐_3_名中标候选人。</w:t>
      </w:r>
    </w:p>
    <w:p w14:paraId="31D7392A">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14:paraId="2C8D640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sectPr>
          <w:pgSz w:w="11907" w:h="16840"/>
          <w:pgMar w:top="1117" w:right="1047" w:bottom="1060" w:left="1700" w:header="878" w:footer="886" w:gutter="0"/>
          <w:pgNumType w:fmt="decimal"/>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14:paraId="76698CB6">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8" w:name="_Toc148096362"/>
      <w:r>
        <w:rPr>
          <w:rFonts w:hint="eastAsia" w:ascii="宋体" w:hAnsi="宋体" w:eastAsia="宋体" w:cs="Times New Roman"/>
          <w:b/>
          <w:bCs/>
          <w:snapToGrid/>
          <w:color w:val="auto"/>
          <w:kern w:val="2"/>
          <w:sz w:val="28"/>
          <w:szCs w:val="36"/>
        </w:rPr>
        <w:t>二、评标标准</w:t>
      </w:r>
      <w:bookmarkEnd w:id="38"/>
    </w:p>
    <w:tbl>
      <w:tblPr>
        <w:tblStyle w:val="27"/>
        <w:tblpPr w:leftFromText="180" w:rightFromText="180" w:vertAnchor="text" w:horzAnchor="page" w:tblpX="1517" w:tblpY="1102"/>
        <w:tblOverlap w:val="never"/>
        <w:tblW w:w="5139" w:type="pct"/>
        <w:tblInd w:w="0" w:type="dxa"/>
        <w:tblLayout w:type="autofit"/>
        <w:tblCellMar>
          <w:top w:w="0" w:type="dxa"/>
          <w:left w:w="0" w:type="dxa"/>
          <w:bottom w:w="0" w:type="dxa"/>
          <w:right w:w="0" w:type="dxa"/>
        </w:tblCellMar>
      </w:tblPr>
      <w:tblGrid>
        <w:gridCol w:w="564"/>
        <w:gridCol w:w="906"/>
        <w:gridCol w:w="906"/>
        <w:gridCol w:w="680"/>
        <w:gridCol w:w="5491"/>
      </w:tblGrid>
      <w:tr w14:paraId="11200DB7">
        <w:tblPrEx>
          <w:tblCellMar>
            <w:top w:w="0" w:type="dxa"/>
            <w:left w:w="0" w:type="dxa"/>
            <w:bottom w:w="0" w:type="dxa"/>
            <w:right w:w="0" w:type="dxa"/>
          </w:tblCellMar>
        </w:tblPrEx>
        <w:trPr>
          <w:trHeight w:val="927" w:hRule="exact"/>
        </w:trPr>
        <w:tc>
          <w:tcPr>
            <w:tcW w:w="330" w:type="pct"/>
            <w:tcBorders>
              <w:top w:val="single" w:color="000000" w:sz="4" w:space="0"/>
              <w:left w:val="single" w:color="000000" w:sz="4" w:space="0"/>
              <w:bottom w:val="single" w:color="000000" w:sz="6" w:space="0"/>
              <w:right w:val="single" w:color="000000" w:sz="6" w:space="0"/>
            </w:tcBorders>
            <w:vAlign w:val="center"/>
          </w:tcPr>
          <w:p w14:paraId="161868E3">
            <w:pPr>
              <w:pStyle w:val="39"/>
              <w:pageBreakBefore w:val="0"/>
              <w:overflowPunct/>
              <w:topLinePunct w:val="0"/>
              <w:bidi w:val="0"/>
              <w:snapToGrid w:val="0"/>
              <w:spacing w:before="156" w:after="0"/>
              <w:ind w:left="106"/>
              <w:jc w:val="center"/>
              <w:rPr>
                <w:rFonts w:hint="eastAsia"/>
                <w:sz w:val="21"/>
                <w:szCs w:val="21"/>
              </w:rPr>
            </w:pPr>
            <w:r>
              <w:rPr>
                <w:b/>
                <w:bCs/>
                <w:sz w:val="21"/>
                <w:szCs w:val="21"/>
              </w:rPr>
              <w:t>序号</w:t>
            </w:r>
          </w:p>
        </w:tc>
        <w:tc>
          <w:tcPr>
            <w:tcW w:w="530" w:type="pct"/>
            <w:tcBorders>
              <w:top w:val="single" w:color="000000" w:sz="4" w:space="0"/>
              <w:left w:val="single" w:color="000000" w:sz="6" w:space="0"/>
              <w:bottom w:val="single" w:color="000000" w:sz="6" w:space="0"/>
              <w:right w:val="single" w:color="000000" w:sz="6" w:space="0"/>
            </w:tcBorders>
            <w:vAlign w:val="center"/>
          </w:tcPr>
          <w:p w14:paraId="05E24D8E">
            <w:pPr>
              <w:pStyle w:val="39"/>
              <w:pageBreakBefore w:val="0"/>
              <w:overflowPunct/>
              <w:topLinePunct w:val="0"/>
              <w:bidi w:val="0"/>
              <w:snapToGrid w:val="0"/>
              <w:spacing w:before="156" w:after="0"/>
              <w:ind w:left="105"/>
              <w:jc w:val="center"/>
              <w:rPr>
                <w:rFonts w:hint="eastAsia"/>
                <w:b/>
                <w:bCs/>
                <w:sz w:val="21"/>
                <w:szCs w:val="21"/>
              </w:rPr>
            </w:pPr>
            <w:r>
              <w:rPr>
                <w:rFonts w:hint="eastAsia"/>
                <w:b/>
                <w:bCs/>
                <w:sz w:val="21"/>
                <w:szCs w:val="21"/>
                <w:lang w:eastAsia="zh-CN"/>
              </w:rPr>
              <w:t>内容</w:t>
            </w:r>
          </w:p>
        </w:tc>
        <w:tc>
          <w:tcPr>
            <w:tcW w:w="530" w:type="pct"/>
            <w:tcBorders>
              <w:top w:val="single" w:color="000000" w:sz="4" w:space="0"/>
              <w:left w:val="single" w:color="000000" w:sz="6" w:space="0"/>
              <w:bottom w:val="single" w:color="000000" w:sz="6" w:space="0"/>
              <w:right w:val="single" w:color="000000" w:sz="6" w:space="0"/>
            </w:tcBorders>
            <w:vAlign w:val="center"/>
          </w:tcPr>
          <w:p w14:paraId="7DC76B97">
            <w:pPr>
              <w:pStyle w:val="39"/>
              <w:pageBreakBefore w:val="0"/>
              <w:overflowPunct/>
              <w:topLinePunct w:val="0"/>
              <w:bidi w:val="0"/>
              <w:snapToGrid w:val="0"/>
              <w:spacing w:before="156" w:after="0"/>
              <w:ind w:left="105"/>
              <w:jc w:val="center"/>
              <w:rPr>
                <w:rFonts w:hint="eastAsia"/>
                <w:sz w:val="21"/>
                <w:szCs w:val="21"/>
              </w:rPr>
            </w:pPr>
            <w:r>
              <w:rPr>
                <w:b/>
                <w:bCs/>
                <w:sz w:val="21"/>
                <w:szCs w:val="21"/>
              </w:rPr>
              <w:t>评审因素</w:t>
            </w:r>
          </w:p>
        </w:tc>
        <w:tc>
          <w:tcPr>
            <w:tcW w:w="398" w:type="pct"/>
            <w:tcBorders>
              <w:top w:val="single" w:color="000000" w:sz="4" w:space="0"/>
              <w:left w:val="single" w:color="000000" w:sz="6" w:space="0"/>
              <w:bottom w:val="single" w:color="000000" w:sz="6" w:space="0"/>
              <w:right w:val="single" w:color="000000" w:sz="6" w:space="0"/>
            </w:tcBorders>
            <w:vAlign w:val="center"/>
          </w:tcPr>
          <w:p w14:paraId="1BFDB2A7">
            <w:pPr>
              <w:pStyle w:val="39"/>
              <w:pageBreakBefore w:val="0"/>
              <w:overflowPunct/>
              <w:topLinePunct w:val="0"/>
              <w:bidi w:val="0"/>
              <w:snapToGrid w:val="0"/>
              <w:spacing w:before="156" w:after="0"/>
              <w:ind w:right="101"/>
              <w:jc w:val="center"/>
              <w:rPr>
                <w:rFonts w:hint="eastAsia"/>
                <w:sz w:val="21"/>
                <w:szCs w:val="21"/>
              </w:rPr>
            </w:pPr>
            <w:r>
              <w:rPr>
                <w:b/>
                <w:bCs/>
                <w:sz w:val="21"/>
                <w:szCs w:val="21"/>
              </w:rPr>
              <w:t>分值</w:t>
            </w:r>
          </w:p>
        </w:tc>
        <w:tc>
          <w:tcPr>
            <w:tcW w:w="3210" w:type="pct"/>
            <w:tcBorders>
              <w:top w:val="single" w:color="000000" w:sz="4" w:space="0"/>
              <w:left w:val="single" w:color="000000" w:sz="6" w:space="0"/>
              <w:bottom w:val="single" w:color="000000" w:sz="6" w:space="0"/>
              <w:right w:val="single" w:color="000000" w:sz="4" w:space="0"/>
            </w:tcBorders>
            <w:vAlign w:val="center"/>
          </w:tcPr>
          <w:p w14:paraId="3818BDB9">
            <w:pPr>
              <w:pStyle w:val="39"/>
              <w:pageBreakBefore w:val="0"/>
              <w:overflowPunct/>
              <w:topLinePunct w:val="0"/>
              <w:bidi w:val="0"/>
              <w:snapToGrid w:val="0"/>
              <w:spacing w:before="156" w:after="0"/>
              <w:ind w:left="103"/>
              <w:jc w:val="center"/>
              <w:rPr>
                <w:rFonts w:hint="eastAsia"/>
                <w:sz w:val="21"/>
                <w:szCs w:val="21"/>
              </w:rPr>
            </w:pPr>
            <w:r>
              <w:rPr>
                <w:b/>
                <w:bCs/>
                <w:sz w:val="21"/>
                <w:szCs w:val="21"/>
              </w:rPr>
              <w:t>评分标准说明</w:t>
            </w:r>
          </w:p>
        </w:tc>
      </w:tr>
      <w:tr w14:paraId="3DB81EF5">
        <w:tblPrEx>
          <w:tblCellMar>
            <w:top w:w="0" w:type="dxa"/>
            <w:left w:w="0" w:type="dxa"/>
            <w:bottom w:w="0" w:type="dxa"/>
            <w:right w:w="0" w:type="dxa"/>
          </w:tblCellMar>
        </w:tblPrEx>
        <w:trPr>
          <w:trHeight w:val="484" w:hRule="exact"/>
        </w:trPr>
        <w:tc>
          <w:tcPr>
            <w:tcW w:w="5000" w:type="pct"/>
            <w:gridSpan w:val="5"/>
            <w:tcBorders>
              <w:top w:val="single" w:color="000000" w:sz="6" w:space="0"/>
              <w:left w:val="single" w:color="000000" w:sz="4" w:space="0"/>
              <w:bottom w:val="single" w:color="000000" w:sz="6" w:space="0"/>
              <w:right w:val="single" w:color="000000" w:sz="4" w:space="0"/>
            </w:tcBorders>
            <w:vAlign w:val="center"/>
          </w:tcPr>
          <w:p w14:paraId="20EE32EF">
            <w:pPr>
              <w:pageBreakBefore w:val="0"/>
              <w:overflowPunct/>
              <w:topLinePunct w:val="0"/>
              <w:bidi w:val="0"/>
              <w:snapToGrid w:val="0"/>
              <w:spacing w:after="0"/>
              <w:jc w:val="center"/>
              <w:rPr>
                <w:rFonts w:hint="eastAsia" w:ascii="宋体" w:hAnsi="宋体" w:eastAsia="宋体"/>
                <w:b/>
                <w:bCs/>
                <w:color w:val="auto"/>
              </w:rPr>
            </w:pPr>
            <w:r>
              <w:rPr>
                <w:rFonts w:hint="eastAsia" w:ascii="宋体" w:hAnsi="宋体" w:eastAsia="宋体"/>
                <w:b/>
                <w:bCs/>
                <w:color w:val="auto"/>
              </w:rPr>
              <w:t>价格部分（1</w:t>
            </w:r>
            <w:r>
              <w:rPr>
                <w:rFonts w:ascii="宋体" w:hAnsi="宋体" w:eastAsia="宋体"/>
                <w:b/>
                <w:bCs/>
                <w:color w:val="auto"/>
              </w:rPr>
              <w:t>0</w:t>
            </w:r>
            <w:r>
              <w:rPr>
                <w:rFonts w:hint="eastAsia" w:ascii="宋体" w:hAnsi="宋体" w:eastAsia="宋体"/>
                <w:b/>
                <w:bCs/>
                <w:color w:val="auto"/>
              </w:rPr>
              <w:t>分）</w:t>
            </w:r>
          </w:p>
        </w:tc>
      </w:tr>
      <w:tr w14:paraId="010416DA">
        <w:tblPrEx>
          <w:tblCellMar>
            <w:top w:w="0" w:type="dxa"/>
            <w:left w:w="0" w:type="dxa"/>
            <w:bottom w:w="0" w:type="dxa"/>
            <w:right w:w="0" w:type="dxa"/>
          </w:tblCellMar>
        </w:tblPrEx>
        <w:trPr>
          <w:trHeight w:val="1996" w:hRule="exact"/>
        </w:trPr>
        <w:tc>
          <w:tcPr>
            <w:tcW w:w="330" w:type="pct"/>
            <w:tcBorders>
              <w:top w:val="single" w:color="000000" w:sz="6" w:space="0"/>
              <w:left w:val="single" w:color="000000" w:sz="4" w:space="0"/>
              <w:bottom w:val="single" w:color="000000" w:sz="6" w:space="0"/>
              <w:right w:val="single" w:color="000000" w:sz="6" w:space="0"/>
            </w:tcBorders>
            <w:vAlign w:val="center"/>
          </w:tcPr>
          <w:p w14:paraId="2C8FC15C">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1</w:t>
            </w:r>
          </w:p>
        </w:tc>
        <w:tc>
          <w:tcPr>
            <w:tcW w:w="530" w:type="pct"/>
            <w:tcBorders>
              <w:top w:val="single" w:color="000000" w:sz="6" w:space="0"/>
              <w:left w:val="single" w:color="000000" w:sz="6" w:space="0"/>
              <w:bottom w:val="single" w:color="000000" w:sz="6" w:space="0"/>
              <w:right w:val="single" w:color="000000" w:sz="6" w:space="0"/>
            </w:tcBorders>
            <w:vAlign w:val="center"/>
          </w:tcPr>
          <w:p w14:paraId="61A6EA82">
            <w:pPr>
              <w:pageBreakBefore w:val="0"/>
              <w:overflowPunct/>
              <w:topLinePunct w:val="0"/>
              <w:bidi w:val="0"/>
              <w:snapToGrid w:val="0"/>
              <w:spacing w:after="0"/>
              <w:jc w:val="both"/>
              <w:rPr>
                <w:rFonts w:hint="eastAsia" w:ascii="宋体" w:hAnsi="宋体" w:eastAsia="宋体"/>
                <w:color w:val="auto"/>
              </w:rPr>
            </w:pPr>
            <w:r>
              <w:rPr>
                <w:rFonts w:hint="eastAsia" w:ascii="宋体" w:hAnsi="宋体" w:eastAsia="宋体"/>
                <w:color w:val="auto"/>
              </w:rPr>
              <w:t>价格部分</w:t>
            </w:r>
          </w:p>
        </w:tc>
        <w:tc>
          <w:tcPr>
            <w:tcW w:w="530" w:type="pct"/>
            <w:tcBorders>
              <w:top w:val="single" w:color="000000" w:sz="6" w:space="0"/>
              <w:left w:val="single" w:color="000000" w:sz="6" w:space="0"/>
              <w:bottom w:val="single" w:color="000000" w:sz="6" w:space="0"/>
              <w:right w:val="single" w:color="000000" w:sz="6" w:space="0"/>
            </w:tcBorders>
            <w:vAlign w:val="center"/>
          </w:tcPr>
          <w:p w14:paraId="58706608">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价格分</w:t>
            </w:r>
          </w:p>
        </w:tc>
        <w:tc>
          <w:tcPr>
            <w:tcW w:w="398" w:type="pct"/>
            <w:tcBorders>
              <w:top w:val="single" w:color="000000" w:sz="6" w:space="0"/>
              <w:left w:val="single" w:color="000000" w:sz="6" w:space="0"/>
              <w:bottom w:val="single" w:color="000000" w:sz="6" w:space="0"/>
              <w:right w:val="single" w:color="000000" w:sz="6" w:space="0"/>
            </w:tcBorders>
            <w:vAlign w:val="center"/>
          </w:tcPr>
          <w:p w14:paraId="1D91BF40">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0-</w:t>
            </w:r>
            <w:r>
              <w:rPr>
                <w:rFonts w:hint="eastAsia" w:ascii="宋体" w:hAnsi="宋体" w:eastAsia="宋体"/>
                <w:color w:val="auto"/>
              </w:rPr>
              <w:t>1</w:t>
            </w:r>
            <w:r>
              <w:rPr>
                <w:rFonts w:ascii="宋体" w:hAnsi="宋体" w:eastAsia="宋体"/>
                <w:color w:val="auto"/>
              </w:rPr>
              <w:t>0</w:t>
            </w:r>
          </w:p>
        </w:tc>
        <w:tc>
          <w:tcPr>
            <w:tcW w:w="3210" w:type="pct"/>
            <w:tcBorders>
              <w:top w:val="single" w:color="000000" w:sz="6" w:space="0"/>
              <w:left w:val="single" w:color="000000" w:sz="6" w:space="0"/>
              <w:bottom w:val="single" w:color="000000" w:sz="6" w:space="0"/>
              <w:right w:val="single" w:color="000000" w:sz="4" w:space="0"/>
            </w:tcBorders>
            <w:vAlign w:val="center"/>
          </w:tcPr>
          <w:p w14:paraId="1E9DFD3D">
            <w:pPr>
              <w:pageBreakBefore w:val="0"/>
              <w:overflowPunct/>
              <w:topLinePunct w:val="0"/>
              <w:bidi w:val="0"/>
              <w:snapToGrid w:val="0"/>
              <w:spacing w:after="0"/>
              <w:jc w:val="both"/>
              <w:rPr>
                <w:rFonts w:hint="eastAsia" w:ascii="宋体" w:hAnsi="宋体" w:eastAsia="宋体"/>
                <w:color w:val="auto"/>
              </w:rPr>
            </w:pPr>
            <w:r>
              <w:rPr>
                <w:rFonts w:ascii="宋体" w:hAnsi="宋体" w:eastAsia="宋体"/>
                <w:color w:val="auto"/>
              </w:rPr>
              <w:t>1、价格分统一采用低价优先法计算即满足</w:t>
            </w:r>
            <w:r>
              <w:rPr>
                <w:rFonts w:hint="eastAsia" w:ascii="宋体" w:hAnsi="宋体" w:eastAsia="宋体"/>
                <w:color w:val="auto"/>
              </w:rPr>
              <w:t>招标</w:t>
            </w:r>
            <w:r>
              <w:rPr>
                <w:rFonts w:ascii="宋体" w:hAnsi="宋体" w:eastAsia="宋体"/>
                <w:color w:val="auto"/>
              </w:rPr>
              <w:t>文件要求且响应价格最低的有效响应报价（即除低于成本报价以外的所有报价）为评标基准价，其价格分为满分。</w:t>
            </w:r>
          </w:p>
          <w:p w14:paraId="5EF2D015">
            <w:pPr>
              <w:pageBreakBefore w:val="0"/>
              <w:overflowPunct/>
              <w:topLinePunct w:val="0"/>
              <w:bidi w:val="0"/>
              <w:snapToGrid w:val="0"/>
              <w:spacing w:after="0"/>
              <w:jc w:val="both"/>
              <w:rPr>
                <w:rFonts w:hint="eastAsia" w:ascii="宋体" w:hAnsi="宋体" w:eastAsia="宋体"/>
                <w:color w:val="auto"/>
              </w:rPr>
            </w:pPr>
            <w:r>
              <w:rPr>
                <w:rFonts w:ascii="宋体" w:hAnsi="宋体" w:eastAsia="宋体"/>
                <w:color w:val="auto"/>
              </w:rPr>
              <w:t>2、其他供应商的价格分统一按照以下公式计算：</w:t>
            </w:r>
          </w:p>
          <w:p w14:paraId="7A27A22C">
            <w:pPr>
              <w:pageBreakBefore w:val="0"/>
              <w:overflowPunct/>
              <w:topLinePunct w:val="0"/>
              <w:bidi w:val="0"/>
              <w:snapToGrid w:val="0"/>
              <w:spacing w:after="0"/>
              <w:jc w:val="both"/>
              <w:rPr>
                <w:rFonts w:hint="eastAsia" w:ascii="宋体" w:hAnsi="宋体" w:eastAsia="宋体"/>
                <w:color w:val="auto"/>
              </w:rPr>
            </w:pPr>
            <w:r>
              <w:rPr>
                <w:rFonts w:ascii="宋体" w:hAnsi="宋体" w:eastAsia="宋体"/>
                <w:color w:val="auto"/>
              </w:rPr>
              <w:t>响应报价得分=（评标基准价/响应报价）×</w:t>
            </w:r>
            <w:r>
              <w:rPr>
                <w:rFonts w:hint="eastAsia" w:ascii="宋体" w:hAnsi="宋体" w:eastAsia="宋体"/>
                <w:color w:val="auto"/>
              </w:rPr>
              <w:t>1</w:t>
            </w:r>
            <w:r>
              <w:rPr>
                <w:rFonts w:ascii="宋体" w:hAnsi="宋体" w:eastAsia="宋体"/>
                <w:color w:val="auto"/>
              </w:rPr>
              <w:t>0</w:t>
            </w:r>
          </w:p>
        </w:tc>
      </w:tr>
      <w:tr w14:paraId="0107558E">
        <w:tblPrEx>
          <w:tblCellMar>
            <w:top w:w="0" w:type="dxa"/>
            <w:left w:w="0" w:type="dxa"/>
            <w:bottom w:w="0" w:type="dxa"/>
            <w:right w:w="0" w:type="dxa"/>
          </w:tblCellMar>
        </w:tblPrEx>
        <w:trPr>
          <w:trHeight w:val="502" w:hRule="exact"/>
        </w:trPr>
        <w:tc>
          <w:tcPr>
            <w:tcW w:w="5000" w:type="pct"/>
            <w:gridSpan w:val="5"/>
            <w:tcBorders>
              <w:top w:val="single" w:color="000000" w:sz="6" w:space="0"/>
              <w:left w:val="single" w:color="000000" w:sz="4" w:space="0"/>
              <w:bottom w:val="single" w:color="000000" w:sz="6" w:space="0"/>
              <w:right w:val="single" w:color="000000" w:sz="4" w:space="0"/>
            </w:tcBorders>
            <w:vAlign w:val="center"/>
          </w:tcPr>
          <w:p w14:paraId="1AFA747B">
            <w:pPr>
              <w:pStyle w:val="39"/>
              <w:pageBreakBefore w:val="0"/>
              <w:overflowPunct/>
              <w:topLinePunct w:val="0"/>
              <w:bidi w:val="0"/>
              <w:snapToGrid w:val="0"/>
              <w:spacing w:after="0" w:line="260" w:lineRule="exact"/>
              <w:jc w:val="center"/>
              <w:rPr>
                <w:rFonts w:hint="eastAsia"/>
                <w:sz w:val="21"/>
                <w:szCs w:val="21"/>
                <w:lang w:eastAsia="zh-CN"/>
              </w:rPr>
            </w:pPr>
            <w:r>
              <w:rPr>
                <w:rFonts w:hint="eastAsia"/>
                <w:b/>
                <w:bCs/>
                <w:sz w:val="21"/>
                <w:szCs w:val="21"/>
                <w:lang w:eastAsia="zh-CN"/>
              </w:rPr>
              <w:t>商务部分（</w:t>
            </w:r>
            <w:r>
              <w:rPr>
                <w:b/>
                <w:bCs/>
                <w:sz w:val="21"/>
                <w:szCs w:val="21"/>
                <w:lang w:eastAsia="zh-CN"/>
              </w:rPr>
              <w:t>2</w:t>
            </w:r>
            <w:r>
              <w:rPr>
                <w:rFonts w:hint="eastAsia"/>
                <w:b/>
                <w:bCs/>
                <w:sz w:val="21"/>
                <w:szCs w:val="21"/>
                <w:lang w:eastAsia="zh-CN"/>
              </w:rPr>
              <w:t>6分）</w:t>
            </w:r>
          </w:p>
        </w:tc>
      </w:tr>
      <w:tr w14:paraId="428ADE99">
        <w:tblPrEx>
          <w:tblCellMar>
            <w:top w:w="0" w:type="dxa"/>
            <w:left w:w="0" w:type="dxa"/>
            <w:bottom w:w="0" w:type="dxa"/>
            <w:right w:w="0" w:type="dxa"/>
          </w:tblCellMar>
        </w:tblPrEx>
        <w:trPr>
          <w:trHeight w:val="1147" w:hRule="exact"/>
        </w:trPr>
        <w:tc>
          <w:tcPr>
            <w:tcW w:w="330" w:type="pct"/>
            <w:tcBorders>
              <w:top w:val="single" w:color="000000" w:sz="6" w:space="0"/>
              <w:left w:val="single" w:color="000000" w:sz="4" w:space="0"/>
              <w:bottom w:val="single" w:color="000000" w:sz="6" w:space="0"/>
              <w:right w:val="single" w:color="000000" w:sz="6" w:space="0"/>
            </w:tcBorders>
            <w:vAlign w:val="center"/>
          </w:tcPr>
          <w:p w14:paraId="3678169B">
            <w:pPr>
              <w:pStyle w:val="39"/>
              <w:pageBreakBefore w:val="0"/>
              <w:overflowPunct/>
              <w:topLinePunct w:val="0"/>
              <w:bidi w:val="0"/>
              <w:snapToGrid w:val="0"/>
              <w:spacing w:before="25" w:after="0"/>
              <w:ind w:left="106"/>
              <w:jc w:val="center"/>
              <w:rPr>
                <w:rFonts w:hint="eastAsia"/>
                <w:sz w:val="21"/>
                <w:szCs w:val="21"/>
              </w:rPr>
            </w:pPr>
            <w:r>
              <w:rPr>
                <w:sz w:val="21"/>
              </w:rPr>
              <w:t>2</w:t>
            </w:r>
          </w:p>
        </w:tc>
        <w:tc>
          <w:tcPr>
            <w:tcW w:w="530" w:type="pct"/>
            <w:vMerge w:val="restart"/>
            <w:tcBorders>
              <w:top w:val="single" w:color="000000" w:sz="6" w:space="0"/>
              <w:left w:val="single" w:color="000000" w:sz="6" w:space="0"/>
              <w:right w:val="single" w:color="000000" w:sz="6" w:space="0"/>
            </w:tcBorders>
            <w:vAlign w:val="center"/>
          </w:tcPr>
          <w:p w14:paraId="7A803E17">
            <w:pPr>
              <w:pStyle w:val="39"/>
              <w:pageBreakBefore w:val="0"/>
              <w:overflowPunct/>
              <w:topLinePunct w:val="0"/>
              <w:bidi w:val="0"/>
              <w:snapToGrid w:val="0"/>
              <w:spacing w:before="69" w:after="0"/>
              <w:ind w:left="103"/>
              <w:jc w:val="center"/>
              <w:rPr>
                <w:rFonts w:hint="eastAsia"/>
                <w:sz w:val="21"/>
                <w:szCs w:val="21"/>
                <w:lang w:eastAsia="zh-CN"/>
              </w:rPr>
            </w:pPr>
            <w:r>
              <w:rPr>
                <w:rFonts w:hint="eastAsia"/>
                <w:sz w:val="21"/>
                <w:szCs w:val="21"/>
                <w:lang w:eastAsia="zh-CN"/>
              </w:rPr>
              <w:t>商务部分（</w:t>
            </w:r>
            <w:r>
              <w:rPr>
                <w:sz w:val="21"/>
                <w:szCs w:val="21"/>
                <w:lang w:eastAsia="zh-CN"/>
              </w:rPr>
              <w:t>2</w:t>
            </w:r>
            <w:r>
              <w:rPr>
                <w:rFonts w:hint="eastAsia"/>
                <w:sz w:val="21"/>
                <w:szCs w:val="21"/>
                <w:lang w:eastAsia="zh-CN"/>
              </w:rPr>
              <w:t>6分）</w:t>
            </w:r>
          </w:p>
        </w:tc>
        <w:tc>
          <w:tcPr>
            <w:tcW w:w="530" w:type="pct"/>
            <w:tcBorders>
              <w:top w:val="single" w:color="000000" w:sz="6" w:space="0"/>
              <w:left w:val="single" w:color="000000" w:sz="6" w:space="0"/>
              <w:bottom w:val="single" w:color="000000" w:sz="6" w:space="0"/>
              <w:right w:val="single" w:color="000000" w:sz="6" w:space="0"/>
            </w:tcBorders>
            <w:vAlign w:val="center"/>
          </w:tcPr>
          <w:p w14:paraId="513F7C39">
            <w:pPr>
              <w:pStyle w:val="39"/>
              <w:pageBreakBefore w:val="0"/>
              <w:overflowPunct/>
              <w:topLinePunct w:val="0"/>
              <w:bidi w:val="0"/>
              <w:snapToGrid w:val="0"/>
              <w:spacing w:before="69" w:after="0"/>
              <w:ind w:left="103"/>
              <w:jc w:val="center"/>
              <w:rPr>
                <w:rFonts w:hint="eastAsia"/>
                <w:sz w:val="21"/>
                <w:szCs w:val="21"/>
              </w:rPr>
            </w:pPr>
            <w:r>
              <w:rPr>
                <w:rFonts w:hint="eastAsia"/>
                <w:sz w:val="21"/>
                <w:szCs w:val="21"/>
              </w:rPr>
              <w:t>类似项目经验</w:t>
            </w:r>
          </w:p>
        </w:tc>
        <w:tc>
          <w:tcPr>
            <w:tcW w:w="398" w:type="pct"/>
            <w:tcBorders>
              <w:top w:val="single" w:color="000000" w:sz="6" w:space="0"/>
              <w:left w:val="single" w:color="000000" w:sz="6" w:space="0"/>
              <w:bottom w:val="single" w:color="000000" w:sz="6" w:space="0"/>
              <w:right w:val="single" w:color="000000" w:sz="6" w:space="0"/>
            </w:tcBorders>
            <w:vAlign w:val="center"/>
          </w:tcPr>
          <w:p w14:paraId="23539649">
            <w:pPr>
              <w:pStyle w:val="39"/>
              <w:pageBreakBefore w:val="0"/>
              <w:overflowPunct/>
              <w:topLinePunct w:val="0"/>
              <w:bidi w:val="0"/>
              <w:snapToGrid w:val="0"/>
              <w:spacing w:before="25" w:after="0"/>
              <w:ind w:right="154"/>
              <w:jc w:val="center"/>
              <w:rPr>
                <w:rFonts w:hint="eastAsia"/>
                <w:sz w:val="21"/>
                <w:szCs w:val="21"/>
                <w:lang w:eastAsia="zh-CN"/>
              </w:rPr>
            </w:pPr>
            <w:r>
              <w:rPr>
                <w:rFonts w:hint="eastAsia"/>
                <w:sz w:val="21"/>
                <w:szCs w:val="21"/>
                <w:lang w:eastAsia="zh-CN"/>
              </w:rPr>
              <w:t>0</w:t>
            </w:r>
            <w:r>
              <w:rPr>
                <w:sz w:val="21"/>
                <w:szCs w:val="21"/>
                <w:lang w:eastAsia="zh-CN"/>
              </w:rPr>
              <w:t>-</w:t>
            </w:r>
            <w:r>
              <w:rPr>
                <w:rFonts w:hint="eastAsia"/>
                <w:sz w:val="21"/>
                <w:szCs w:val="21"/>
                <w:lang w:eastAsia="zh-CN"/>
              </w:rPr>
              <w:t>20</w:t>
            </w:r>
          </w:p>
        </w:tc>
        <w:tc>
          <w:tcPr>
            <w:tcW w:w="3210" w:type="pct"/>
            <w:tcBorders>
              <w:top w:val="single" w:color="000000" w:sz="6" w:space="0"/>
              <w:left w:val="single" w:color="000000" w:sz="6" w:space="0"/>
              <w:bottom w:val="single" w:color="000000" w:sz="6" w:space="0"/>
              <w:right w:val="single" w:color="000000" w:sz="4" w:space="0"/>
            </w:tcBorders>
            <w:vAlign w:val="center"/>
          </w:tcPr>
          <w:p w14:paraId="20A41754">
            <w:pPr>
              <w:pStyle w:val="39"/>
              <w:pageBreakBefore w:val="0"/>
              <w:overflowPunct/>
              <w:topLinePunct w:val="0"/>
              <w:bidi w:val="0"/>
              <w:snapToGrid w:val="0"/>
              <w:spacing w:after="0" w:line="260" w:lineRule="exact"/>
              <w:rPr>
                <w:rFonts w:hint="eastAsia"/>
                <w:sz w:val="21"/>
                <w:szCs w:val="21"/>
                <w:lang w:eastAsia="zh-CN"/>
              </w:rPr>
            </w:pPr>
            <w:r>
              <w:rPr>
                <w:rFonts w:hint="eastAsia"/>
                <w:sz w:val="21"/>
                <w:szCs w:val="21"/>
                <w:lang w:eastAsia="zh-CN"/>
              </w:rPr>
              <w:t>近三年（2</w:t>
            </w:r>
            <w:r>
              <w:rPr>
                <w:sz w:val="21"/>
                <w:szCs w:val="21"/>
                <w:lang w:eastAsia="zh-CN"/>
              </w:rPr>
              <w:t>02</w:t>
            </w:r>
            <w:r>
              <w:rPr>
                <w:rFonts w:hint="eastAsia"/>
                <w:sz w:val="21"/>
                <w:szCs w:val="21"/>
                <w:lang w:eastAsia="zh-CN"/>
              </w:rPr>
              <w:t>2年3月</w:t>
            </w:r>
            <w:r>
              <w:rPr>
                <w:rFonts w:hint="eastAsia"/>
                <w:sz w:val="21"/>
                <w:szCs w:val="21"/>
                <w:lang w:val="en-US" w:eastAsia="zh-CN"/>
              </w:rPr>
              <w:t>1</w:t>
            </w:r>
            <w:r>
              <w:rPr>
                <w:rFonts w:hint="eastAsia"/>
                <w:sz w:val="21"/>
                <w:szCs w:val="21"/>
                <w:lang w:eastAsia="zh-CN"/>
              </w:rPr>
              <w:t>3日至2</w:t>
            </w:r>
            <w:r>
              <w:rPr>
                <w:sz w:val="21"/>
                <w:szCs w:val="21"/>
                <w:lang w:eastAsia="zh-CN"/>
              </w:rPr>
              <w:t>02</w:t>
            </w:r>
            <w:r>
              <w:rPr>
                <w:rFonts w:hint="eastAsia"/>
                <w:sz w:val="21"/>
                <w:szCs w:val="21"/>
                <w:lang w:eastAsia="zh-CN"/>
              </w:rPr>
              <w:t>5年3月</w:t>
            </w:r>
            <w:r>
              <w:rPr>
                <w:rFonts w:hint="eastAsia"/>
                <w:sz w:val="21"/>
                <w:szCs w:val="21"/>
                <w:lang w:val="en-US" w:eastAsia="zh-CN"/>
              </w:rPr>
              <w:t>1</w:t>
            </w:r>
            <w:r>
              <w:rPr>
                <w:rFonts w:hint="eastAsia"/>
                <w:sz w:val="21"/>
                <w:szCs w:val="21"/>
                <w:lang w:eastAsia="zh-CN"/>
              </w:rPr>
              <w:t>2日），以项目合同签订时间为准），供应商具备类似项目经验，每提供一个得4分，最高得20分。</w:t>
            </w:r>
          </w:p>
        </w:tc>
      </w:tr>
      <w:tr w14:paraId="7BABEDDE">
        <w:tblPrEx>
          <w:tblCellMar>
            <w:top w:w="0" w:type="dxa"/>
            <w:left w:w="0" w:type="dxa"/>
            <w:bottom w:w="0" w:type="dxa"/>
            <w:right w:w="0" w:type="dxa"/>
          </w:tblCellMar>
        </w:tblPrEx>
        <w:trPr>
          <w:trHeight w:val="1476" w:hRule="exact"/>
        </w:trPr>
        <w:tc>
          <w:tcPr>
            <w:tcW w:w="330" w:type="pct"/>
            <w:tcBorders>
              <w:top w:val="single" w:color="000000" w:sz="6" w:space="0"/>
              <w:left w:val="single" w:color="000000" w:sz="4" w:space="0"/>
              <w:bottom w:val="single" w:color="auto" w:sz="4" w:space="0"/>
              <w:right w:val="single" w:color="000000" w:sz="6" w:space="0"/>
            </w:tcBorders>
            <w:vAlign w:val="center"/>
          </w:tcPr>
          <w:p w14:paraId="05D4C705">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3</w:t>
            </w:r>
          </w:p>
        </w:tc>
        <w:tc>
          <w:tcPr>
            <w:tcW w:w="530" w:type="pct"/>
            <w:vMerge w:val="continue"/>
            <w:tcBorders>
              <w:left w:val="single" w:color="000000" w:sz="6" w:space="0"/>
              <w:bottom w:val="single" w:color="auto" w:sz="4" w:space="0"/>
              <w:right w:val="single" w:color="000000" w:sz="6" w:space="0"/>
            </w:tcBorders>
          </w:tcPr>
          <w:p w14:paraId="7FC76374">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000000" w:sz="6" w:space="0"/>
              <w:left w:val="single" w:color="000000" w:sz="6" w:space="0"/>
              <w:bottom w:val="single" w:color="auto" w:sz="4" w:space="0"/>
              <w:right w:val="single" w:color="000000" w:sz="6" w:space="0"/>
            </w:tcBorders>
            <w:vAlign w:val="center"/>
          </w:tcPr>
          <w:p w14:paraId="4B823058">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拟派项目负责人业绩</w:t>
            </w:r>
          </w:p>
        </w:tc>
        <w:tc>
          <w:tcPr>
            <w:tcW w:w="398" w:type="pct"/>
            <w:tcBorders>
              <w:top w:val="single" w:color="000000" w:sz="6" w:space="0"/>
              <w:left w:val="single" w:color="000000" w:sz="6" w:space="0"/>
              <w:bottom w:val="single" w:color="auto" w:sz="4" w:space="0"/>
              <w:right w:val="single" w:color="000000" w:sz="6" w:space="0"/>
            </w:tcBorders>
            <w:vAlign w:val="center"/>
          </w:tcPr>
          <w:p w14:paraId="07C3B8D5">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0-6</w:t>
            </w:r>
          </w:p>
        </w:tc>
        <w:tc>
          <w:tcPr>
            <w:tcW w:w="3210" w:type="pct"/>
            <w:tcBorders>
              <w:top w:val="single" w:color="000000" w:sz="6" w:space="0"/>
              <w:left w:val="single" w:color="000000" w:sz="6" w:space="0"/>
              <w:bottom w:val="single" w:color="auto" w:sz="4" w:space="0"/>
              <w:right w:val="single" w:color="000000" w:sz="4" w:space="0"/>
            </w:tcBorders>
            <w:vAlign w:val="center"/>
          </w:tcPr>
          <w:p w14:paraId="5AFD22FD">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近三年（</w:t>
            </w:r>
            <w:r>
              <w:rPr>
                <w:rFonts w:hint="eastAsia" w:ascii="宋体" w:hAnsi="宋体" w:eastAsia="宋体" w:cs="宋体"/>
                <w:color w:val="auto"/>
              </w:rPr>
              <w:t>2022年3月</w:t>
            </w:r>
            <w:r>
              <w:rPr>
                <w:rFonts w:hint="eastAsia" w:ascii="宋体" w:hAnsi="宋体" w:eastAsia="宋体" w:cs="宋体"/>
                <w:color w:val="auto"/>
                <w:lang w:val="en-US" w:eastAsia="zh-CN"/>
              </w:rPr>
              <w:t>1</w:t>
            </w:r>
            <w:r>
              <w:rPr>
                <w:rFonts w:hint="eastAsia" w:ascii="宋体" w:hAnsi="宋体" w:eastAsia="宋体" w:cs="宋体"/>
                <w:color w:val="auto"/>
              </w:rPr>
              <w:t>3日至2025年3月</w:t>
            </w:r>
            <w:r>
              <w:rPr>
                <w:rFonts w:hint="eastAsia" w:ascii="宋体" w:hAnsi="宋体" w:eastAsia="宋体" w:cs="宋体"/>
                <w:color w:val="auto"/>
                <w:lang w:val="en-US" w:eastAsia="zh-CN"/>
              </w:rPr>
              <w:t>1</w:t>
            </w:r>
            <w:r>
              <w:rPr>
                <w:rFonts w:hint="eastAsia" w:ascii="宋体" w:hAnsi="宋体" w:eastAsia="宋体" w:cs="宋体"/>
                <w:color w:val="auto"/>
              </w:rPr>
              <w:t>2日</w:t>
            </w:r>
            <w:r>
              <w:rPr>
                <w:rFonts w:hint="eastAsia" w:ascii="宋体" w:hAnsi="宋体" w:eastAsia="宋体"/>
                <w:color w:val="auto"/>
              </w:rPr>
              <w:t>，以项目合同签订时间为准），拟派的项目负责人具备类似项目经验，每提供一个得2分，最高得6分。</w:t>
            </w:r>
          </w:p>
        </w:tc>
      </w:tr>
      <w:tr w14:paraId="323B9417">
        <w:tblPrEx>
          <w:tblCellMar>
            <w:top w:w="0" w:type="dxa"/>
            <w:left w:w="0" w:type="dxa"/>
            <w:bottom w:w="0" w:type="dxa"/>
            <w:right w:w="0" w:type="dxa"/>
          </w:tblCellMar>
        </w:tblPrEx>
        <w:trPr>
          <w:trHeight w:val="555"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5E04B34">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b/>
                <w:bCs/>
                <w:color w:val="auto"/>
              </w:rPr>
              <w:t>技术部分（64分）</w:t>
            </w:r>
          </w:p>
        </w:tc>
      </w:tr>
      <w:tr w14:paraId="0EA88F2A">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7A6C3633">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4</w:t>
            </w:r>
          </w:p>
        </w:tc>
        <w:tc>
          <w:tcPr>
            <w:tcW w:w="530" w:type="pct"/>
            <w:vMerge w:val="restart"/>
            <w:tcBorders>
              <w:top w:val="single" w:color="auto" w:sz="4" w:space="0"/>
              <w:left w:val="single" w:color="auto" w:sz="4" w:space="0"/>
              <w:right w:val="single" w:color="auto" w:sz="4" w:space="0"/>
            </w:tcBorders>
            <w:vAlign w:val="center"/>
          </w:tcPr>
          <w:p w14:paraId="4DA6685F">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技术部分（64分）</w:t>
            </w:r>
          </w:p>
        </w:tc>
        <w:tc>
          <w:tcPr>
            <w:tcW w:w="530" w:type="pct"/>
            <w:tcBorders>
              <w:top w:val="single" w:color="auto" w:sz="4" w:space="0"/>
              <w:left w:val="single" w:color="auto" w:sz="4" w:space="0"/>
              <w:bottom w:val="single" w:color="auto" w:sz="4" w:space="0"/>
              <w:right w:val="single" w:color="auto" w:sz="4" w:space="0"/>
            </w:tcBorders>
            <w:vAlign w:val="center"/>
          </w:tcPr>
          <w:p w14:paraId="2F5FBE75">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针对本项目的服务方案</w:t>
            </w:r>
          </w:p>
        </w:tc>
        <w:tc>
          <w:tcPr>
            <w:tcW w:w="398" w:type="pct"/>
            <w:tcBorders>
              <w:top w:val="single" w:color="auto" w:sz="4" w:space="0"/>
              <w:left w:val="single" w:color="auto" w:sz="4" w:space="0"/>
              <w:bottom w:val="single" w:color="auto" w:sz="4" w:space="0"/>
              <w:right w:val="single" w:color="auto" w:sz="4" w:space="0"/>
            </w:tcBorders>
            <w:vAlign w:val="center"/>
          </w:tcPr>
          <w:p w14:paraId="313C0EFB">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w:t>
            </w:r>
            <w:r>
              <w:rPr>
                <w:rFonts w:hint="eastAsia" w:ascii="宋体" w:hAnsi="宋体" w:eastAsia="宋体"/>
                <w:color w:val="auto"/>
              </w:rPr>
              <w:t>24</w:t>
            </w:r>
          </w:p>
        </w:tc>
        <w:tc>
          <w:tcPr>
            <w:tcW w:w="3210" w:type="pct"/>
            <w:tcBorders>
              <w:top w:val="single" w:color="auto" w:sz="4" w:space="0"/>
              <w:left w:val="single" w:color="auto" w:sz="4" w:space="0"/>
              <w:bottom w:val="single" w:color="auto" w:sz="4" w:space="0"/>
              <w:right w:val="single" w:color="auto" w:sz="4" w:space="0"/>
            </w:tcBorders>
            <w:vAlign w:val="center"/>
          </w:tcPr>
          <w:p w14:paraId="632D6297">
            <w:pPr>
              <w:pStyle w:val="41"/>
              <w:pageBreakBefore w:val="0"/>
              <w:overflowPunct/>
              <w:topLinePunct w:val="0"/>
              <w:bidi w:val="0"/>
              <w:snapToGrid w:val="0"/>
              <w:spacing w:after="160" w:line="278" w:lineRule="auto"/>
              <w:rPr>
                <w:rFonts w:hint="eastAsia"/>
                <w:color w:val="auto"/>
                <w:sz w:val="21"/>
                <w:szCs w:val="21"/>
                <w:lang w:eastAsia="zh-CN"/>
              </w:rPr>
            </w:pPr>
            <w:r>
              <w:rPr>
                <w:rFonts w:hint="eastAsia"/>
                <w:color w:val="auto"/>
                <w:sz w:val="21"/>
                <w:szCs w:val="21"/>
                <w:lang w:eastAsia="zh-CN"/>
              </w:rPr>
              <w:t>针对本项目的服务方案：</w:t>
            </w:r>
            <w:r>
              <w:rPr>
                <w:color w:val="auto"/>
                <w:sz w:val="21"/>
                <w:szCs w:val="21"/>
                <w:lang w:eastAsia="zh-CN"/>
              </w:rPr>
              <w:t xml:space="preserve"> </w:t>
            </w:r>
          </w:p>
          <w:p w14:paraId="635C0E84">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1</w:t>
            </w:r>
            <w:r>
              <w:rPr>
                <w:rFonts w:hint="eastAsia"/>
                <w:color w:val="auto"/>
                <w:sz w:val="21"/>
                <w:szCs w:val="21"/>
                <w:lang w:eastAsia="zh-CN"/>
              </w:rPr>
              <w:t>、方案总体全面、完整、合理，具有强的可操作性，完全满足用户实际需求，得24分；</w:t>
            </w:r>
            <w:r>
              <w:rPr>
                <w:color w:val="auto"/>
                <w:sz w:val="21"/>
                <w:szCs w:val="21"/>
                <w:lang w:eastAsia="zh-CN"/>
              </w:rPr>
              <w:t xml:space="preserve"> </w:t>
            </w:r>
          </w:p>
          <w:p w14:paraId="6B9F5C95">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2</w:t>
            </w:r>
            <w:r>
              <w:rPr>
                <w:rFonts w:hint="eastAsia"/>
                <w:color w:val="auto"/>
                <w:sz w:val="21"/>
                <w:szCs w:val="21"/>
                <w:lang w:eastAsia="zh-CN"/>
              </w:rPr>
              <w:t>、方案总体较为全面、完整、合理，具有较强的可操作性，满足用户实际需求，得20分；</w:t>
            </w:r>
            <w:r>
              <w:rPr>
                <w:color w:val="auto"/>
                <w:sz w:val="21"/>
                <w:szCs w:val="21"/>
                <w:lang w:eastAsia="zh-CN"/>
              </w:rPr>
              <w:t xml:space="preserve"> </w:t>
            </w:r>
          </w:p>
          <w:p w14:paraId="31E2A394">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3</w:t>
            </w:r>
            <w:r>
              <w:rPr>
                <w:rFonts w:hint="eastAsia"/>
                <w:color w:val="auto"/>
                <w:sz w:val="21"/>
                <w:szCs w:val="21"/>
                <w:lang w:eastAsia="zh-CN"/>
              </w:rPr>
              <w:t>、方案总体较为全面、完整、合理，具有一定的可操作性，符合用户实际需求，得16分；</w:t>
            </w:r>
            <w:r>
              <w:rPr>
                <w:color w:val="auto"/>
                <w:sz w:val="21"/>
                <w:szCs w:val="21"/>
                <w:lang w:eastAsia="zh-CN"/>
              </w:rPr>
              <w:t xml:space="preserve"> </w:t>
            </w:r>
          </w:p>
          <w:p w14:paraId="58628065">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4</w:t>
            </w:r>
            <w:r>
              <w:rPr>
                <w:rFonts w:hint="eastAsia"/>
                <w:color w:val="auto"/>
                <w:sz w:val="21"/>
                <w:szCs w:val="21"/>
                <w:lang w:eastAsia="zh-CN"/>
              </w:rPr>
              <w:t>、方案总体基本全面、完整，合理性一般，具有一定的可操作性，基本符合用户实际需求，得10分；</w:t>
            </w:r>
            <w:r>
              <w:rPr>
                <w:color w:val="auto"/>
                <w:sz w:val="21"/>
                <w:szCs w:val="21"/>
                <w:lang w:eastAsia="zh-CN"/>
              </w:rPr>
              <w:t xml:space="preserve"> </w:t>
            </w:r>
          </w:p>
          <w:p w14:paraId="146A0468">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5</w:t>
            </w:r>
            <w:r>
              <w:rPr>
                <w:rFonts w:hint="eastAsia"/>
                <w:color w:val="auto"/>
                <w:sz w:val="21"/>
                <w:szCs w:val="21"/>
                <w:lang w:eastAsia="zh-CN"/>
              </w:rPr>
              <w:t xml:space="preserve">、方案总体不够全面、完整、合理，具有较差的可操作性，基本符合用户实际需求，得4分； </w:t>
            </w:r>
          </w:p>
          <w:p w14:paraId="2F95DCA3">
            <w:pPr>
              <w:pStyle w:val="41"/>
              <w:pageBreakBefore w:val="0"/>
              <w:overflowPunct/>
              <w:topLinePunct w:val="0"/>
              <w:bidi w:val="0"/>
              <w:snapToGrid w:val="0"/>
              <w:spacing w:after="160" w:line="278" w:lineRule="auto"/>
              <w:rPr>
                <w:rFonts w:hint="eastAsia" w:hAnsi="宋体"/>
                <w:color w:val="auto"/>
                <w:sz w:val="21"/>
                <w:szCs w:val="21"/>
                <w:lang w:eastAsia="zh-CN"/>
              </w:rPr>
            </w:pPr>
            <w:r>
              <w:rPr>
                <w:rFonts w:hint="eastAsia"/>
                <w:color w:val="auto"/>
                <w:sz w:val="21"/>
                <w:szCs w:val="21"/>
                <w:lang w:eastAsia="zh-CN"/>
              </w:rPr>
              <w:t xml:space="preserve">6、方案总体与用户需求无关或无方案不得分。 </w:t>
            </w:r>
          </w:p>
        </w:tc>
      </w:tr>
      <w:tr w14:paraId="44090889">
        <w:tblPrEx>
          <w:tblCellMar>
            <w:top w:w="0" w:type="dxa"/>
            <w:left w:w="0" w:type="dxa"/>
            <w:bottom w:w="0" w:type="dxa"/>
            <w:right w:w="0" w:type="dxa"/>
          </w:tblCellMar>
        </w:tblPrEx>
        <w:trPr>
          <w:trHeight w:val="1637" w:hRule="atLeast"/>
        </w:trPr>
        <w:tc>
          <w:tcPr>
            <w:tcW w:w="330" w:type="pct"/>
            <w:tcBorders>
              <w:top w:val="single" w:color="auto" w:sz="4" w:space="0"/>
              <w:left w:val="single" w:color="auto" w:sz="4" w:space="0"/>
              <w:bottom w:val="single" w:color="auto" w:sz="4" w:space="0"/>
              <w:right w:val="single" w:color="auto" w:sz="4" w:space="0"/>
            </w:tcBorders>
            <w:vAlign w:val="center"/>
          </w:tcPr>
          <w:p w14:paraId="294A4A7A">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5</w:t>
            </w:r>
          </w:p>
        </w:tc>
        <w:tc>
          <w:tcPr>
            <w:tcW w:w="530" w:type="pct"/>
            <w:vMerge w:val="continue"/>
            <w:tcBorders>
              <w:left w:val="single" w:color="auto" w:sz="4" w:space="0"/>
              <w:right w:val="single" w:color="auto" w:sz="4" w:space="0"/>
            </w:tcBorders>
            <w:vAlign w:val="center"/>
          </w:tcPr>
          <w:p w14:paraId="00C73D45">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76F94984">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应急预案</w:t>
            </w:r>
          </w:p>
        </w:tc>
        <w:tc>
          <w:tcPr>
            <w:tcW w:w="398" w:type="pct"/>
            <w:tcBorders>
              <w:top w:val="single" w:color="auto" w:sz="4" w:space="0"/>
              <w:left w:val="single" w:color="auto" w:sz="4" w:space="0"/>
              <w:bottom w:val="single" w:color="auto" w:sz="4" w:space="0"/>
              <w:right w:val="single" w:color="auto" w:sz="4" w:space="0"/>
            </w:tcBorders>
            <w:vAlign w:val="center"/>
          </w:tcPr>
          <w:p w14:paraId="1556D788">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2C7582FC">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根据供应商提供的应急预案进行综合评审：</w:t>
            </w:r>
          </w:p>
          <w:p w14:paraId="201342DC">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1、应急预案合理、针对性、可行性强，得10分；</w:t>
            </w:r>
          </w:p>
          <w:p w14:paraId="592397B3">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2、应急预案较合理、针对性、可行性较强，得7分；</w:t>
            </w:r>
          </w:p>
          <w:p w14:paraId="0C5DB375">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3、应急预案一般合理、针对性、可行性一般，得4分；</w:t>
            </w:r>
          </w:p>
          <w:p w14:paraId="38CA9255">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4、应急预案不合理、针对性、可行性较差，得1分。</w:t>
            </w:r>
          </w:p>
          <w:p w14:paraId="545CE81E">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5、未提供不得分。</w:t>
            </w:r>
          </w:p>
        </w:tc>
      </w:tr>
      <w:tr w14:paraId="28A614DE">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0BD99416">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6</w:t>
            </w:r>
          </w:p>
        </w:tc>
        <w:tc>
          <w:tcPr>
            <w:tcW w:w="530" w:type="pct"/>
            <w:vMerge w:val="continue"/>
            <w:tcBorders>
              <w:left w:val="single" w:color="auto" w:sz="4" w:space="0"/>
              <w:right w:val="single" w:color="auto" w:sz="4" w:space="0"/>
            </w:tcBorders>
            <w:vAlign w:val="center"/>
          </w:tcPr>
          <w:p w14:paraId="4AC313C7">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029DE9FB">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运行维</w:t>
            </w:r>
          </w:p>
          <w:p w14:paraId="3D60D5E1">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护人员</w:t>
            </w:r>
          </w:p>
        </w:tc>
        <w:tc>
          <w:tcPr>
            <w:tcW w:w="398" w:type="pct"/>
            <w:tcBorders>
              <w:top w:val="single" w:color="auto" w:sz="4" w:space="0"/>
              <w:left w:val="single" w:color="auto" w:sz="4" w:space="0"/>
              <w:bottom w:val="single" w:color="auto" w:sz="4" w:space="0"/>
              <w:right w:val="single" w:color="auto" w:sz="4" w:space="0"/>
            </w:tcBorders>
            <w:vAlign w:val="center"/>
          </w:tcPr>
          <w:p w14:paraId="7F50AA43">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1AF03091">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根据运行维护人员的资格证书、工作经验等进行综合评审：</w:t>
            </w:r>
          </w:p>
          <w:p w14:paraId="6224E9B1">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1、人员配备能够满足招标文件要求</w:t>
            </w:r>
            <w:r>
              <w:rPr>
                <w:rFonts w:hint="eastAsia" w:ascii="宋体" w:hAnsi="宋体" w:eastAsia="宋体"/>
                <w:color w:val="auto"/>
                <w:lang w:eastAsia="zh-CN"/>
              </w:rPr>
              <w:t>。</w:t>
            </w:r>
            <w:r>
              <w:rPr>
                <w:rFonts w:hint="eastAsia" w:ascii="宋体" w:hAnsi="宋体" w:eastAsia="宋体"/>
                <w:color w:val="auto"/>
              </w:rPr>
              <w:t>构成比例合理、专业齐备，人员经验丰富得10分；</w:t>
            </w:r>
          </w:p>
          <w:p w14:paraId="36FF8B45">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2、人员配备能够满足招标文件要求</w:t>
            </w:r>
            <w:r>
              <w:rPr>
                <w:rFonts w:hint="eastAsia" w:ascii="宋体" w:hAnsi="宋体" w:eastAsia="宋体"/>
                <w:color w:val="auto"/>
                <w:lang w:eastAsia="zh-CN"/>
              </w:rPr>
              <w:t>。</w:t>
            </w:r>
            <w:r>
              <w:rPr>
                <w:rFonts w:hint="eastAsia" w:ascii="宋体" w:hAnsi="宋体" w:eastAsia="宋体"/>
                <w:color w:val="auto"/>
              </w:rPr>
              <w:t>构成比例较合理、专业较齐备，人员经验较丰富得7分；</w:t>
            </w:r>
          </w:p>
          <w:p w14:paraId="006FD2C7">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3、人员配备基本能够满足招标文件要求</w:t>
            </w:r>
            <w:r>
              <w:rPr>
                <w:rFonts w:hint="eastAsia" w:ascii="宋体" w:hAnsi="宋体" w:eastAsia="宋体"/>
                <w:color w:val="auto"/>
                <w:lang w:eastAsia="zh-CN"/>
              </w:rPr>
              <w:t>。</w:t>
            </w:r>
            <w:r>
              <w:rPr>
                <w:rFonts w:hint="eastAsia" w:ascii="宋体" w:hAnsi="宋体" w:eastAsia="宋体"/>
                <w:color w:val="auto"/>
              </w:rPr>
              <w:t>构成比例合理性一般、专业齐备性一般，人员经验一般得4分；</w:t>
            </w:r>
          </w:p>
          <w:p w14:paraId="40594BBE">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4、人员配备基本不能够满足招标文件要求</w:t>
            </w:r>
            <w:r>
              <w:rPr>
                <w:rFonts w:hint="eastAsia" w:ascii="宋体" w:hAnsi="宋体" w:eastAsia="宋体"/>
                <w:color w:val="auto"/>
                <w:lang w:eastAsia="zh-CN"/>
              </w:rPr>
              <w:t>。</w:t>
            </w:r>
            <w:r>
              <w:rPr>
                <w:rFonts w:hint="eastAsia" w:ascii="宋体" w:hAnsi="宋体" w:eastAsia="宋体"/>
                <w:color w:val="auto"/>
              </w:rPr>
              <w:t>构成比例合理性较差、专业不够齐备，人员经验欠丰富得1分；</w:t>
            </w:r>
          </w:p>
          <w:p w14:paraId="35384503">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5、未提供不得分。</w:t>
            </w:r>
          </w:p>
        </w:tc>
      </w:tr>
      <w:tr w14:paraId="64BC9ADA">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68995C4A">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7</w:t>
            </w:r>
          </w:p>
        </w:tc>
        <w:tc>
          <w:tcPr>
            <w:tcW w:w="530" w:type="pct"/>
            <w:vMerge w:val="continue"/>
            <w:tcBorders>
              <w:left w:val="single" w:color="auto" w:sz="4" w:space="0"/>
              <w:right w:val="single" w:color="auto" w:sz="4" w:space="0"/>
            </w:tcBorders>
            <w:vAlign w:val="center"/>
          </w:tcPr>
          <w:p w14:paraId="637D2A9D">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2F3BCC4B">
            <w:pPr>
              <w:pStyle w:val="41"/>
              <w:pageBreakBefore w:val="0"/>
              <w:overflowPunct/>
              <w:topLinePunct w:val="0"/>
              <w:bidi w:val="0"/>
              <w:snapToGrid w:val="0"/>
              <w:spacing w:after="160" w:line="278" w:lineRule="auto"/>
              <w:jc w:val="center"/>
              <w:rPr>
                <w:rFonts w:hint="eastAsia"/>
                <w:color w:val="auto"/>
                <w:sz w:val="21"/>
                <w:szCs w:val="21"/>
                <w:lang w:eastAsia="zh-CN"/>
              </w:rPr>
            </w:pPr>
            <w:r>
              <w:rPr>
                <w:rFonts w:hint="eastAsia"/>
                <w:color w:val="auto"/>
                <w:sz w:val="21"/>
                <w:szCs w:val="21"/>
                <w:lang w:eastAsia="zh-CN"/>
              </w:rPr>
              <w:t>质量保障措施</w:t>
            </w:r>
          </w:p>
        </w:tc>
        <w:tc>
          <w:tcPr>
            <w:tcW w:w="398" w:type="pct"/>
            <w:tcBorders>
              <w:top w:val="single" w:color="auto" w:sz="4" w:space="0"/>
              <w:left w:val="single" w:color="auto" w:sz="4" w:space="0"/>
              <w:bottom w:val="single" w:color="auto" w:sz="4" w:space="0"/>
              <w:right w:val="single" w:color="auto" w:sz="4" w:space="0"/>
            </w:tcBorders>
            <w:vAlign w:val="center"/>
          </w:tcPr>
          <w:p w14:paraId="6BD92A4A">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3925FD29">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根据质量保障措施的合理性、科学性、针对性等进行综合评审：</w:t>
            </w:r>
          </w:p>
          <w:p w14:paraId="2AE4B9B0">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1、方案内容充实，合理性、科学性、针对性高得1</w:t>
            </w:r>
            <w:r>
              <w:rPr>
                <w:rFonts w:ascii="宋体" w:hAnsi="宋体" w:eastAsia="宋体"/>
                <w:color w:val="auto"/>
              </w:rPr>
              <w:t>0</w:t>
            </w:r>
            <w:r>
              <w:rPr>
                <w:rFonts w:hint="eastAsia" w:ascii="宋体" w:hAnsi="宋体" w:eastAsia="宋体"/>
                <w:color w:val="auto"/>
              </w:rPr>
              <w:t>分；</w:t>
            </w:r>
          </w:p>
          <w:p w14:paraId="0054B53D">
            <w:pPr>
              <w:pageBreakBefore w:val="0"/>
              <w:overflowPunct/>
              <w:topLinePunct w:val="0"/>
              <w:bidi w:val="0"/>
              <w:snapToGrid w:val="0"/>
              <w:spacing w:after="0"/>
              <w:rPr>
                <w:rFonts w:hint="eastAsia" w:ascii="宋体" w:hAnsi="宋体" w:eastAsia="宋体"/>
                <w:color w:val="auto"/>
              </w:rPr>
            </w:pPr>
            <w:r>
              <w:rPr>
                <w:rFonts w:ascii="宋体" w:hAnsi="宋体" w:eastAsia="宋体"/>
                <w:color w:val="auto"/>
              </w:rPr>
              <w:t>2</w:t>
            </w:r>
            <w:r>
              <w:rPr>
                <w:rFonts w:hint="eastAsia" w:ascii="宋体" w:hAnsi="宋体" w:eastAsia="宋体"/>
                <w:color w:val="auto"/>
              </w:rPr>
              <w:t>、方案内容较充实，合理性、科学性、针对性较高得</w:t>
            </w:r>
            <w:r>
              <w:rPr>
                <w:rFonts w:ascii="宋体" w:hAnsi="宋体" w:eastAsia="宋体"/>
                <w:color w:val="auto"/>
              </w:rPr>
              <w:t>7</w:t>
            </w:r>
            <w:r>
              <w:rPr>
                <w:rFonts w:hint="eastAsia" w:ascii="宋体" w:hAnsi="宋体" w:eastAsia="宋体"/>
                <w:color w:val="auto"/>
              </w:rPr>
              <w:t>分；</w:t>
            </w:r>
          </w:p>
          <w:p w14:paraId="75473CA4">
            <w:pPr>
              <w:pageBreakBefore w:val="0"/>
              <w:overflowPunct/>
              <w:topLinePunct w:val="0"/>
              <w:bidi w:val="0"/>
              <w:snapToGrid w:val="0"/>
              <w:spacing w:after="0"/>
              <w:rPr>
                <w:rFonts w:hint="eastAsia" w:ascii="宋体" w:hAnsi="宋体" w:eastAsia="宋体"/>
                <w:color w:val="auto"/>
              </w:rPr>
            </w:pPr>
            <w:r>
              <w:rPr>
                <w:rFonts w:ascii="宋体" w:hAnsi="宋体" w:eastAsia="宋体"/>
                <w:color w:val="auto"/>
              </w:rPr>
              <w:t>3</w:t>
            </w:r>
            <w:r>
              <w:rPr>
                <w:rFonts w:hint="eastAsia" w:ascii="宋体" w:hAnsi="宋体" w:eastAsia="宋体"/>
                <w:color w:val="auto"/>
              </w:rPr>
              <w:t>、方案内容一般，合理性、科学性、针对性一般得</w:t>
            </w:r>
            <w:r>
              <w:rPr>
                <w:rFonts w:ascii="宋体" w:hAnsi="宋体" w:eastAsia="宋体"/>
                <w:color w:val="auto"/>
              </w:rPr>
              <w:t>4</w:t>
            </w:r>
            <w:r>
              <w:rPr>
                <w:rFonts w:hint="eastAsia" w:ascii="宋体" w:hAnsi="宋体" w:eastAsia="宋体"/>
                <w:color w:val="auto"/>
              </w:rPr>
              <w:t>分；</w:t>
            </w:r>
          </w:p>
          <w:p w14:paraId="20C46690">
            <w:pPr>
              <w:pageBreakBefore w:val="0"/>
              <w:overflowPunct/>
              <w:topLinePunct w:val="0"/>
              <w:bidi w:val="0"/>
              <w:snapToGrid w:val="0"/>
              <w:spacing w:after="0"/>
              <w:rPr>
                <w:rFonts w:hint="eastAsia" w:ascii="宋体" w:hAnsi="宋体" w:eastAsia="宋体"/>
                <w:color w:val="auto"/>
              </w:rPr>
            </w:pPr>
            <w:r>
              <w:rPr>
                <w:rFonts w:ascii="宋体" w:hAnsi="宋体" w:eastAsia="宋体"/>
                <w:color w:val="auto"/>
              </w:rPr>
              <w:t>4</w:t>
            </w:r>
            <w:r>
              <w:rPr>
                <w:rFonts w:hint="eastAsia" w:ascii="宋体" w:hAnsi="宋体" w:eastAsia="宋体"/>
                <w:color w:val="auto"/>
              </w:rPr>
              <w:t>、方案内容较差，合理性、科学性、针对性较差得1分；</w:t>
            </w:r>
          </w:p>
          <w:p w14:paraId="6F3E2C11">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5、未提供不得分。</w:t>
            </w:r>
          </w:p>
        </w:tc>
      </w:tr>
      <w:tr w14:paraId="4A44473E">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7AF78568">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8</w:t>
            </w:r>
          </w:p>
        </w:tc>
        <w:tc>
          <w:tcPr>
            <w:tcW w:w="530" w:type="pct"/>
            <w:vMerge w:val="continue"/>
            <w:tcBorders>
              <w:left w:val="single" w:color="auto" w:sz="4" w:space="0"/>
              <w:bottom w:val="single" w:color="auto" w:sz="4" w:space="0"/>
              <w:right w:val="single" w:color="auto" w:sz="4" w:space="0"/>
            </w:tcBorders>
            <w:vAlign w:val="center"/>
          </w:tcPr>
          <w:p w14:paraId="346192D9">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7CE3943A">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日常管理及工作程序</w:t>
            </w:r>
          </w:p>
        </w:tc>
        <w:tc>
          <w:tcPr>
            <w:tcW w:w="398" w:type="pct"/>
            <w:tcBorders>
              <w:top w:val="single" w:color="auto" w:sz="4" w:space="0"/>
              <w:left w:val="single" w:color="auto" w:sz="4" w:space="0"/>
              <w:bottom w:val="single" w:color="auto" w:sz="4" w:space="0"/>
              <w:right w:val="single" w:color="auto" w:sz="4" w:space="0"/>
            </w:tcBorders>
            <w:vAlign w:val="center"/>
          </w:tcPr>
          <w:p w14:paraId="65A5A17F">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696A0F39">
            <w:pPr>
              <w:pageBreakBefore w:val="0"/>
              <w:overflowPunct/>
              <w:topLinePunct w:val="0"/>
              <w:bidi w:val="0"/>
              <w:snapToGrid w:val="0"/>
              <w:spacing w:after="0"/>
              <w:rPr>
                <w:rFonts w:ascii="宋体" w:eastAsia="宋体" w:cs="宋体"/>
                <w:color w:val="auto"/>
              </w:rPr>
            </w:pPr>
            <w:r>
              <w:rPr>
                <w:rFonts w:hint="eastAsia" w:ascii="宋体" w:eastAsia="宋体" w:cs="宋体"/>
                <w:color w:val="auto"/>
              </w:rPr>
              <w:t>根据供应商提供的日常管理及工作程序进行综合评审：</w:t>
            </w:r>
          </w:p>
          <w:p w14:paraId="1F5C66D4">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1、日常管理及工作程序合理得10分；</w:t>
            </w:r>
          </w:p>
          <w:p w14:paraId="38A2FAFF">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2、日常管理及工作程序较合理得7分；</w:t>
            </w:r>
          </w:p>
          <w:p w14:paraId="28E8A86A">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3、日常管理及工作程序一般得4分；</w:t>
            </w:r>
          </w:p>
          <w:p w14:paraId="13A7BDB7">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4、日常管理及工作程序不合理得1分；</w:t>
            </w:r>
          </w:p>
          <w:p w14:paraId="6AF3A2CB">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eastAsia="宋体" w:cs="宋体"/>
                <w:color w:val="auto"/>
              </w:rPr>
              <w:t>5、未提供不得分。</w:t>
            </w:r>
          </w:p>
        </w:tc>
      </w:tr>
    </w:tbl>
    <w:p w14:paraId="4F9EEEC8">
      <w:pPr>
        <w:pStyle w:val="6"/>
        <w:pageBreakBefore w:val="0"/>
        <w:overflowPunct/>
        <w:topLinePunct w:val="0"/>
        <w:bidi w:val="0"/>
        <w:snapToGrid w:val="0"/>
        <w:spacing w:after="0"/>
        <w:rPr>
          <w:rFonts w:hAnsi="宋体"/>
        </w:rPr>
      </w:pPr>
    </w:p>
    <w:p w14:paraId="3A3F96E6">
      <w:pPr>
        <w:pStyle w:val="6"/>
        <w:pageBreakBefore w:val="0"/>
        <w:overflowPunct/>
        <w:topLinePunct w:val="0"/>
        <w:bidi w:val="0"/>
        <w:snapToGrid w:val="0"/>
        <w:spacing w:after="0"/>
        <w:rPr>
          <w:rFonts w:hAnsi="宋体"/>
        </w:rPr>
      </w:pPr>
    </w:p>
    <w:p w14:paraId="1A5A7A30">
      <w:pPr>
        <w:pStyle w:val="6"/>
        <w:pageBreakBefore w:val="0"/>
        <w:overflowPunct/>
        <w:topLinePunct w:val="0"/>
        <w:bidi w:val="0"/>
        <w:snapToGrid w:val="0"/>
        <w:spacing w:after="0"/>
        <w:rPr>
          <w:rFonts w:hAnsi="宋体"/>
        </w:rPr>
      </w:pPr>
    </w:p>
    <w:p w14:paraId="40D9CF01">
      <w:pPr>
        <w:pStyle w:val="6"/>
        <w:pageBreakBefore w:val="0"/>
        <w:overflowPunct/>
        <w:topLinePunct w:val="0"/>
        <w:bidi w:val="0"/>
        <w:snapToGrid w:val="0"/>
        <w:spacing w:after="0"/>
        <w:rPr>
          <w:rFonts w:hAnsi="宋体"/>
        </w:rPr>
      </w:pPr>
    </w:p>
    <w:p w14:paraId="3BC0A989">
      <w:pPr>
        <w:pStyle w:val="6"/>
        <w:pageBreakBefore w:val="0"/>
        <w:overflowPunct/>
        <w:topLinePunct w:val="0"/>
        <w:bidi w:val="0"/>
        <w:snapToGrid w:val="0"/>
        <w:spacing w:after="0"/>
        <w:rPr>
          <w:rFonts w:hAnsi="宋体"/>
        </w:rPr>
      </w:pPr>
    </w:p>
    <w:p w14:paraId="0797CDD8">
      <w:pPr>
        <w:pStyle w:val="6"/>
        <w:pageBreakBefore w:val="0"/>
        <w:overflowPunct/>
        <w:topLinePunct w:val="0"/>
        <w:bidi w:val="0"/>
        <w:snapToGrid w:val="0"/>
        <w:spacing w:after="0"/>
        <w:rPr>
          <w:rFonts w:hAnsi="宋体"/>
        </w:rPr>
      </w:pPr>
    </w:p>
    <w:p w14:paraId="2AFD938F">
      <w:pPr>
        <w:pStyle w:val="6"/>
        <w:pageBreakBefore w:val="0"/>
        <w:overflowPunct/>
        <w:topLinePunct w:val="0"/>
        <w:bidi w:val="0"/>
        <w:snapToGrid w:val="0"/>
        <w:spacing w:after="0"/>
        <w:rPr>
          <w:rFonts w:hAnsi="宋体"/>
        </w:rPr>
      </w:pPr>
    </w:p>
    <w:p w14:paraId="414C61C0">
      <w:pPr>
        <w:pStyle w:val="6"/>
        <w:pageBreakBefore w:val="0"/>
        <w:overflowPunct/>
        <w:topLinePunct w:val="0"/>
        <w:bidi w:val="0"/>
        <w:snapToGrid w:val="0"/>
        <w:spacing w:after="0"/>
        <w:rPr>
          <w:rFonts w:hAnsi="宋体"/>
        </w:rPr>
      </w:pPr>
    </w:p>
    <w:p w14:paraId="55905B45">
      <w:pPr>
        <w:pStyle w:val="6"/>
        <w:pageBreakBefore w:val="0"/>
        <w:overflowPunct/>
        <w:topLinePunct w:val="0"/>
        <w:bidi w:val="0"/>
        <w:snapToGrid w:val="0"/>
        <w:spacing w:after="0"/>
        <w:rPr>
          <w:rFonts w:hAnsi="宋体"/>
        </w:rPr>
      </w:pPr>
    </w:p>
    <w:p w14:paraId="13C5A728">
      <w:pPr>
        <w:pStyle w:val="6"/>
        <w:pageBreakBefore w:val="0"/>
        <w:overflowPunct/>
        <w:topLinePunct w:val="0"/>
        <w:bidi w:val="0"/>
        <w:snapToGrid w:val="0"/>
        <w:spacing w:after="0"/>
        <w:rPr>
          <w:rFonts w:hAnsi="宋体"/>
        </w:rPr>
      </w:pPr>
    </w:p>
    <w:p w14:paraId="630DB327">
      <w:pPr>
        <w:pStyle w:val="6"/>
        <w:pageBreakBefore w:val="0"/>
        <w:overflowPunct/>
        <w:topLinePunct w:val="0"/>
        <w:bidi w:val="0"/>
        <w:snapToGrid w:val="0"/>
        <w:spacing w:after="0"/>
        <w:rPr>
          <w:rFonts w:hAnsi="宋体"/>
        </w:rPr>
      </w:pPr>
    </w:p>
    <w:p w14:paraId="77A523A4">
      <w:pPr>
        <w:pStyle w:val="6"/>
        <w:pageBreakBefore w:val="0"/>
        <w:overflowPunct/>
        <w:topLinePunct w:val="0"/>
        <w:bidi w:val="0"/>
        <w:snapToGrid w:val="0"/>
        <w:spacing w:after="0"/>
        <w:rPr>
          <w:rFonts w:hAnsi="宋体"/>
        </w:rPr>
      </w:pPr>
    </w:p>
    <w:p w14:paraId="6CE74017">
      <w:pPr>
        <w:pStyle w:val="6"/>
        <w:pageBreakBefore w:val="0"/>
        <w:overflowPunct/>
        <w:topLinePunct w:val="0"/>
        <w:bidi w:val="0"/>
        <w:snapToGrid w:val="0"/>
        <w:spacing w:after="0" w:line="360" w:lineRule="auto"/>
        <w:jc w:val="center"/>
        <w:outlineLvl w:val="0"/>
        <w:rPr>
          <w:rFonts w:hAnsi="宋体"/>
          <w:b/>
          <w:bCs/>
          <w:sz w:val="36"/>
          <w:szCs w:val="36"/>
        </w:rPr>
      </w:pPr>
      <w:bookmarkStart w:id="39" w:name="_Toc126921756"/>
      <w:bookmarkStart w:id="40" w:name="_Toc183959677"/>
      <w:r>
        <w:rPr>
          <w:rFonts w:hAnsi="宋体"/>
          <w:b/>
          <w:bCs/>
          <w:sz w:val="36"/>
          <w:szCs w:val="36"/>
        </w:rPr>
        <w:t>第五章   采购需求</w:t>
      </w:r>
      <w:bookmarkEnd w:id="39"/>
      <w:bookmarkEnd w:id="40"/>
    </w:p>
    <w:p w14:paraId="764BECD6">
      <w:pPr>
        <w:pageBreakBefore w:val="0"/>
        <w:overflowPunct/>
        <w:topLinePunct w:val="0"/>
        <w:bidi w:val="0"/>
        <w:snapToGrid w:val="0"/>
        <w:spacing w:after="0" w:line="360" w:lineRule="auto"/>
        <w:rPr>
          <w:rFonts w:hint="eastAsia" w:ascii="宋体" w:hAnsi="宋体" w:eastAsia="宋体" w:cs="宋体"/>
          <w:b/>
          <w:bCs/>
          <w:color w:val="auto"/>
          <w:sz w:val="24"/>
          <w:szCs w:val="24"/>
        </w:rPr>
      </w:pPr>
      <w:bookmarkStart w:id="41" w:name="OLE_LINK19"/>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602BAEF9">
      <w:pPr>
        <w:pStyle w:val="2"/>
        <w:pageBreakBefore w:val="0"/>
        <w:overflowPunct/>
        <w:topLinePunct w:val="0"/>
        <w:bidi w:val="0"/>
        <w:snapToGrid w:val="0"/>
        <w:spacing w:after="0" w:line="360" w:lineRule="auto"/>
        <w:outlineLvl w:val="1"/>
        <w:rPr>
          <w:rFonts w:hint="eastAsia" w:ascii="宋体" w:hAnsi="宋体" w:cs="宋体"/>
          <w:b/>
          <w:bCs/>
          <w:sz w:val="28"/>
          <w:szCs w:val="28"/>
        </w:rPr>
      </w:pPr>
      <w:bookmarkStart w:id="42" w:name="_Toc99931212"/>
      <w:bookmarkStart w:id="43" w:name="_Hlk100001247"/>
      <w:bookmarkStart w:id="44" w:name="_Toc96424418"/>
      <w:r>
        <w:rPr>
          <w:rFonts w:hint="eastAsia" w:ascii="宋体" w:hAnsi="宋体" w:cs="宋体"/>
          <w:b/>
          <w:bCs/>
          <w:sz w:val="28"/>
          <w:szCs w:val="28"/>
        </w:rPr>
        <w:t>一、采购标的</w:t>
      </w:r>
    </w:p>
    <w:p w14:paraId="0A702393">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sz w:val="24"/>
          <w:szCs w:val="24"/>
        </w:rPr>
      </w:pPr>
      <w:r>
        <w:rPr>
          <w:rFonts w:hint="eastAsia" w:ascii="宋体" w:hAnsi="宋体" w:eastAsia="宋体" w:cs="宋体"/>
          <w:b/>
          <w:bCs/>
          <w:color w:val="auto"/>
        </w:rPr>
        <w:t>1.标的名称</w:t>
      </w:r>
    </w:p>
    <w:p w14:paraId="111F4B3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kern w:val="0"/>
          <w:sz w:val="24"/>
          <w:szCs w:val="24"/>
          <w:lang w:val="en-US" w:eastAsia="zh-CN" w:bidi="ar"/>
        </w:rPr>
        <w:t>北京市南水北调大宁管理处水利工程日常维修养护-设备设施维修养护</w:t>
      </w:r>
      <w:r>
        <w:rPr>
          <w:rFonts w:hint="eastAsia" w:ascii="宋体" w:hAnsi="宋体" w:eastAsia="宋体"/>
          <w:color w:val="auto"/>
          <w:sz w:val="24"/>
          <w:szCs w:val="24"/>
        </w:rPr>
        <w:t xml:space="preserve"> </w:t>
      </w:r>
    </w:p>
    <w:p w14:paraId="04DCB67C">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rPr>
      </w:pPr>
      <w:r>
        <w:rPr>
          <w:rFonts w:hint="eastAsia" w:ascii="宋体" w:hAnsi="宋体" w:eastAsia="宋体" w:cs="宋体"/>
          <w:b/>
          <w:bCs/>
          <w:color w:val="auto"/>
          <w:lang w:val="en-US" w:eastAsia="zh-CN"/>
        </w:rPr>
        <w:t>2</w:t>
      </w:r>
      <w:r>
        <w:rPr>
          <w:rFonts w:hint="eastAsia" w:ascii="宋体" w:hAnsi="宋体" w:eastAsia="宋体" w:cs="宋体"/>
          <w:b/>
          <w:bCs/>
          <w:color w:val="auto"/>
        </w:rPr>
        <w:t>.标的预算</w:t>
      </w:r>
    </w:p>
    <w:p w14:paraId="74C8C9CC">
      <w:pPr>
        <w:pageBreakBefore w:val="0"/>
        <w:overflowPunct/>
        <w:topLinePunct w:val="0"/>
        <w:bidi w:val="0"/>
        <w:snapToGrid w:val="0"/>
        <w:spacing w:after="0" w:line="360" w:lineRule="auto"/>
        <w:ind w:firstLine="480" w:firstLineChars="200"/>
        <w:rPr>
          <w:rFonts w:hint="eastAsia" w:ascii="宋体" w:hAnsi="宋体" w:eastAsia="宋体" w:cs="Arial"/>
          <w:color w:val="auto"/>
          <w:sz w:val="24"/>
          <w:szCs w:val="24"/>
          <w:lang w:eastAsia="zh-CN"/>
        </w:rPr>
      </w:pPr>
      <w:r>
        <w:rPr>
          <w:rFonts w:hint="eastAsia" w:ascii="宋体" w:hAnsi="宋体" w:eastAsia="宋体" w:cs="Arial"/>
          <w:color w:val="auto"/>
          <w:sz w:val="24"/>
          <w:szCs w:val="24"/>
        </w:rPr>
        <w:t>采购标的预算金额：382.049252万元，</w:t>
      </w:r>
      <w:r>
        <w:rPr>
          <w:rFonts w:hint="eastAsia" w:ascii="宋体" w:hAnsi="宋体" w:eastAsia="宋体" w:cs="Arial"/>
          <w:color w:val="auto"/>
          <w:sz w:val="24"/>
          <w:szCs w:val="24"/>
          <w:lang w:val="en-US" w:eastAsia="zh-CN"/>
        </w:rPr>
        <w:t>其中水库-闸门维护、水库-启闭机维护、水库-机电及辅助设备维护、水库-自有设备维护、水库-水质自动站维护、水库-中央空调系统维护、水库-排风系统维护、水库-电梯维护、水库-消防设备设施维护合计报价不得超过105.130141万元，中堤泵站-水利机械设备维护养护、中堤泵站-供配电设备维护养护、中堤泵站-水文水质设备维护养护、中堤泵站-张坊连接站设备设施维护养护、中堤泵站-消防设备设施维护养护、中堤泵站-暖通设备维护养护、中堤泵站-实训基地设备设施维护养护合计报价不得超过186.085637万元，园博泵站-水利机械维护养护、园博泵站-供配电维护养护、园博泵站-管道工程维护养护、园博泵站-消防设备维护养护合计报价不得超过90.833474万元。</w:t>
      </w:r>
      <w:r>
        <w:rPr>
          <w:rFonts w:hint="eastAsia" w:ascii="宋体" w:hAnsi="宋体" w:eastAsia="宋体" w:cs="Arial"/>
          <w:color w:val="auto"/>
          <w:sz w:val="24"/>
          <w:szCs w:val="24"/>
        </w:rPr>
        <w:t xml:space="preserve">本预算为2025年1月1日至2025年12月31日的预算费用，甲乙双方按照实际发生并经确认的工作量进行结算。 </w:t>
      </w:r>
    </w:p>
    <w:p w14:paraId="7E544609">
      <w:pPr>
        <w:pStyle w:val="42"/>
        <w:pageBreakBefore w:val="0"/>
        <w:overflowPunct/>
        <w:topLinePunct w:val="0"/>
        <w:bidi w:val="0"/>
        <w:snapToGrid w:val="0"/>
        <w:spacing w:after="0" w:line="360" w:lineRule="auto"/>
        <w:ind w:firstLine="0"/>
        <w:rPr>
          <w:rFonts w:hint="eastAsia" w:ascii="宋体" w:hAnsi="宋体" w:eastAsia="宋体" w:cs="宋体"/>
          <w:b/>
          <w:bCs/>
          <w:color w:val="auto"/>
        </w:rPr>
      </w:pPr>
      <w:r>
        <w:rPr>
          <w:rFonts w:hint="eastAsia" w:ascii="宋体" w:hAnsi="宋体" w:eastAsia="宋体" w:cs="宋体"/>
          <w:b/>
          <w:bCs/>
          <w:color w:val="auto"/>
          <w:lang w:val="en-US" w:eastAsia="zh-CN"/>
        </w:rPr>
        <w:t>3</w:t>
      </w:r>
      <w:r>
        <w:rPr>
          <w:rFonts w:hint="eastAsia" w:ascii="宋体" w:hAnsi="宋体" w:eastAsia="宋体" w:cs="宋体"/>
          <w:b/>
          <w:bCs/>
          <w:color w:val="auto"/>
        </w:rPr>
        <w:t xml:space="preserve">.标的所属行业 </w:t>
      </w:r>
    </w:p>
    <w:p w14:paraId="06909DC4">
      <w:pPr>
        <w:pStyle w:val="42"/>
        <w:pageBreakBefore w:val="0"/>
        <w:overflowPunct/>
        <w:topLinePunct w:val="0"/>
        <w:bidi w:val="0"/>
        <w:snapToGrid w:val="0"/>
        <w:spacing w:after="0"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采购标的对应的中小企业划分标准所属行业：其他未列明行业。</w:t>
      </w:r>
    </w:p>
    <w:p w14:paraId="6C4F7F62">
      <w:pPr>
        <w:pStyle w:val="42"/>
        <w:pageBreakBefore w:val="0"/>
        <w:overflowPunct/>
        <w:topLinePunct w:val="0"/>
        <w:bidi w:val="0"/>
        <w:snapToGrid w:val="0"/>
        <w:spacing w:after="0" w:line="360" w:lineRule="auto"/>
        <w:ind w:firstLine="0"/>
        <w:outlineLvl w:val="1"/>
        <w:rPr>
          <w:rFonts w:hint="eastAsia" w:ascii="宋体" w:hAnsi="宋体" w:eastAsia="宋体" w:cs="宋体"/>
          <w:b/>
          <w:bCs/>
          <w:color w:val="auto"/>
          <w:sz w:val="24"/>
          <w:szCs w:val="24"/>
        </w:rPr>
      </w:pPr>
      <w:r>
        <w:rPr>
          <w:rFonts w:hint="eastAsia" w:ascii="宋体" w:hAnsi="宋体" w:eastAsia="宋体" w:cs="宋体"/>
          <w:b/>
          <w:bCs/>
          <w:color w:val="auto"/>
          <w:lang w:val="en-US" w:eastAsia="zh-CN"/>
        </w:rPr>
        <w:t>二</w:t>
      </w:r>
      <w:r>
        <w:rPr>
          <w:rFonts w:hint="eastAsia" w:ascii="宋体" w:hAnsi="宋体" w:eastAsia="宋体" w:cs="宋体"/>
          <w:b/>
          <w:bCs/>
          <w:color w:val="auto"/>
        </w:rPr>
        <w:t>、商务要求</w:t>
      </w:r>
    </w:p>
    <w:p w14:paraId="295D1B33">
      <w:pPr>
        <w:keepNext w:val="0"/>
        <w:keepLines w:val="0"/>
        <w:pageBreakBefore w:val="0"/>
        <w:widowControl/>
        <w:numPr>
          <w:ilvl w:val="0"/>
          <w:numId w:val="0"/>
        </w:numPr>
        <w:suppressLineNumbers w:val="0"/>
        <w:overflowPunct/>
        <w:topLinePunct w:val="0"/>
        <w:bidi w:val="0"/>
        <w:snapToGrid w:val="0"/>
        <w:spacing w:after="0"/>
        <w:jc w:val="left"/>
        <w:rPr>
          <w:rFonts w:hint="eastAsia" w:ascii="宋体" w:hAnsi="宋体" w:eastAsia="宋体" w:cs="宋体"/>
          <w:b/>
          <w:bCs/>
          <w:snapToGrid w:val="0"/>
          <w:color w:val="auto"/>
          <w:sz w:val="28"/>
          <w:szCs w:val="28"/>
          <w:lang w:val="en-US" w:eastAsia="zh-CN" w:bidi="ar-SA"/>
        </w:rPr>
      </w:pPr>
      <w:r>
        <w:rPr>
          <w:rFonts w:hint="eastAsia" w:ascii="宋体" w:hAnsi="宋体" w:eastAsia="宋体" w:cs="宋体"/>
          <w:b/>
          <w:bCs/>
          <w:snapToGrid w:val="0"/>
          <w:color w:val="auto"/>
          <w:sz w:val="28"/>
          <w:szCs w:val="28"/>
          <w:lang w:val="en-US" w:eastAsia="zh-CN" w:bidi="ar-SA"/>
        </w:rPr>
        <w:t xml:space="preserve">1. 实施期限和地点 </w:t>
      </w:r>
    </w:p>
    <w:p w14:paraId="2123CB5E">
      <w:pPr>
        <w:pStyle w:val="42"/>
        <w:pageBreakBefore w:val="0"/>
        <w:overflowPunct/>
        <w:topLinePunct w:val="0"/>
        <w:bidi w:val="0"/>
        <w:snapToGrid w:val="0"/>
        <w:spacing w:after="0" w:line="360" w:lineRule="auto"/>
        <w:ind w:firstLine="0"/>
        <w:outlineLvl w:val="2"/>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（1）实施期限</w:t>
      </w:r>
    </w:p>
    <w:p w14:paraId="743B89B8">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sz w:val="24"/>
          <w:szCs w:val="24"/>
          <w:lang w:val="en-US" w:eastAsia="zh-CN"/>
        </w:rPr>
        <w:t>1</w:t>
      </w:r>
      <w:r>
        <w:rPr>
          <w:rFonts w:hint="eastAsia" w:ascii="宋体" w:hAnsi="宋体" w:eastAsia="宋体" w:cs="宋体"/>
          <w:sz w:val="24"/>
          <w:szCs w:val="24"/>
        </w:rPr>
        <w:t>月1日至202</w:t>
      </w:r>
      <w:r>
        <w:rPr>
          <w:rFonts w:hint="eastAsia" w:ascii="宋体" w:hAnsi="宋体" w:eastAsia="宋体" w:cs="宋体"/>
          <w:sz w:val="24"/>
          <w:szCs w:val="24"/>
          <w:lang w:val="en-US" w:eastAsia="zh-CN"/>
        </w:rPr>
        <w:t>5</w:t>
      </w:r>
      <w:r>
        <w:rPr>
          <w:rFonts w:hint="eastAsia" w:ascii="宋体" w:hAnsi="宋体" w:eastAsia="宋体" w:cs="宋体"/>
          <w:sz w:val="24"/>
          <w:szCs w:val="24"/>
        </w:rPr>
        <w:t>年12月31日</w:t>
      </w:r>
      <w:r>
        <w:rPr>
          <w:rFonts w:hint="eastAsia" w:ascii="宋体" w:hAnsi="宋体" w:eastAsia="宋体" w:cs="宋体"/>
          <w:sz w:val="24"/>
          <w:szCs w:val="24"/>
          <w:lang w:eastAsia="zh-CN"/>
        </w:rPr>
        <w:t>，其中202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月1日至本合同签订之日前一日由原服务单位提供服务，本合同签订之日至202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年12月31日由新中选单位提供服务</w:t>
      </w:r>
      <w:r>
        <w:rPr>
          <w:rFonts w:hint="eastAsia" w:ascii="宋体" w:hAnsi="宋体" w:eastAsia="宋体" w:cs="宋体"/>
          <w:sz w:val="24"/>
          <w:szCs w:val="24"/>
        </w:rPr>
        <w:t>。本合同约定的服务期满后，如</w:t>
      </w:r>
      <w:r>
        <w:rPr>
          <w:rFonts w:hint="eastAsia" w:ascii="宋体" w:hAnsi="宋体" w:eastAsia="宋体" w:cs="宋体"/>
          <w:sz w:val="24"/>
          <w:szCs w:val="24"/>
          <w:lang w:eastAsia="zh-CN"/>
        </w:rPr>
        <w:t>采购人</w:t>
      </w:r>
      <w:r>
        <w:rPr>
          <w:rFonts w:hint="eastAsia" w:ascii="宋体" w:hAnsi="宋体" w:eastAsia="宋体" w:cs="宋体"/>
          <w:sz w:val="24"/>
          <w:szCs w:val="24"/>
        </w:rPr>
        <w:t>需要，</w:t>
      </w:r>
      <w:r>
        <w:rPr>
          <w:rFonts w:hint="eastAsia" w:ascii="宋体" w:hAnsi="宋体" w:eastAsia="宋体" w:cs="宋体"/>
          <w:sz w:val="24"/>
          <w:szCs w:val="24"/>
          <w:lang w:eastAsia="zh-CN"/>
        </w:rPr>
        <w:t>供应商</w:t>
      </w:r>
      <w:r>
        <w:rPr>
          <w:rFonts w:hint="eastAsia" w:ascii="宋体" w:hAnsi="宋体" w:eastAsia="宋体" w:cs="宋体"/>
          <w:sz w:val="24"/>
          <w:szCs w:val="24"/>
        </w:rPr>
        <w:t>应继续按照</w:t>
      </w:r>
      <w:r>
        <w:rPr>
          <w:rFonts w:hint="eastAsia" w:ascii="宋体" w:hAnsi="宋体" w:eastAsia="宋体" w:cs="宋体"/>
          <w:sz w:val="24"/>
          <w:szCs w:val="24"/>
          <w:lang w:eastAsia="zh-CN"/>
        </w:rPr>
        <w:t>采购人</w:t>
      </w:r>
      <w:r>
        <w:rPr>
          <w:rFonts w:hint="eastAsia" w:ascii="宋体" w:hAnsi="宋体" w:eastAsia="宋体" w:cs="宋体"/>
          <w:sz w:val="24"/>
          <w:szCs w:val="24"/>
        </w:rPr>
        <w:t>要求延长其服务期限，直至下一年度实施单位进场。延长服务期限的，由甲乙双方协商签订书面补充协议。</w:t>
      </w:r>
    </w:p>
    <w:p w14:paraId="3C118DB6">
      <w:pPr>
        <w:pStyle w:val="42"/>
        <w:pageBreakBefore w:val="0"/>
        <w:numPr>
          <w:ilvl w:val="0"/>
          <w:numId w:val="1"/>
        </w:numPr>
        <w:overflowPunct/>
        <w:topLinePunct w:val="0"/>
        <w:bidi w:val="0"/>
        <w:snapToGrid w:val="0"/>
        <w:spacing w:after="0" w:line="360" w:lineRule="auto"/>
        <w:ind w:firstLine="0"/>
        <w:outlineLvl w:val="2"/>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实施地点 </w:t>
      </w:r>
    </w:p>
    <w:p w14:paraId="3672A5D8">
      <w:pPr>
        <w:pStyle w:val="42"/>
        <w:numPr>
          <w:ilvl w:val="0"/>
          <w:numId w:val="0"/>
        </w:numPr>
        <w:spacing w:line="360" w:lineRule="auto"/>
        <w:ind w:firstLine="480" w:firstLineChars="200"/>
        <w:outlineLvl w:val="2"/>
        <w:rPr>
          <w:color w:val="000000"/>
          <w:sz w:val="24"/>
          <w:szCs w:val="24"/>
        </w:rPr>
      </w:pPr>
      <w:r>
        <w:rPr>
          <w:rFonts w:hint="eastAsia" w:ascii="宋体" w:hAnsi="宋体" w:eastAsia="宋体" w:cs="宋体"/>
          <w:sz w:val="24"/>
          <w:szCs w:val="24"/>
        </w:rPr>
        <w:t>北京市丰台区</w:t>
      </w:r>
      <w:r>
        <w:rPr>
          <w:rFonts w:hint="eastAsia" w:ascii="宋体" w:hAnsi="宋体" w:eastAsia="宋体" w:cs="宋体"/>
          <w:sz w:val="24"/>
          <w:szCs w:val="24"/>
          <w:lang w:eastAsia="zh-CN"/>
        </w:rPr>
        <w:t>、</w:t>
      </w:r>
      <w:r>
        <w:rPr>
          <w:rFonts w:hint="eastAsia" w:ascii="宋体" w:hAnsi="宋体" w:eastAsia="宋体" w:cs="宋体"/>
          <w:sz w:val="24"/>
          <w:szCs w:val="24"/>
        </w:rPr>
        <w:t>房山区</w:t>
      </w:r>
      <w:r>
        <w:rPr>
          <w:rFonts w:hint="eastAsia" w:ascii="宋体" w:hAnsi="宋体" w:eastAsia="宋体" w:cs="宋体"/>
          <w:sz w:val="24"/>
          <w:szCs w:val="24"/>
          <w:lang w:val="en-US" w:eastAsia="zh-CN"/>
        </w:rPr>
        <w:t>和门头沟区</w:t>
      </w:r>
      <w:r>
        <w:rPr>
          <w:rFonts w:hint="eastAsia" w:ascii="宋体" w:hAnsi="宋体" w:eastAsia="宋体" w:cs="宋体"/>
          <w:sz w:val="24"/>
          <w:szCs w:val="24"/>
          <w:lang w:eastAsia="zh-CN"/>
        </w:rPr>
        <w:t>采购人分支机构北京市南水北调大宁管理处</w:t>
      </w:r>
      <w:r>
        <w:rPr>
          <w:rFonts w:hint="eastAsia" w:ascii="宋体" w:hAnsi="宋体" w:eastAsia="宋体" w:cs="宋体"/>
          <w:sz w:val="24"/>
          <w:szCs w:val="24"/>
        </w:rPr>
        <w:t>所辖范围。</w:t>
      </w:r>
    </w:p>
    <w:p w14:paraId="6D9D65C5">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rPr>
      </w:pPr>
      <w:r>
        <w:rPr>
          <w:rFonts w:hint="eastAsia" w:ascii="宋体" w:hAnsi="宋体" w:eastAsia="宋体" w:cs="宋体"/>
          <w:b/>
          <w:bCs/>
          <w:color w:val="auto"/>
          <w:lang w:val="en-US" w:eastAsia="zh-CN"/>
        </w:rPr>
        <w:t>2</w:t>
      </w:r>
      <w:r>
        <w:rPr>
          <w:rFonts w:hint="eastAsia" w:ascii="宋体" w:hAnsi="宋体" w:eastAsia="宋体" w:cs="宋体"/>
          <w:b/>
          <w:bCs/>
          <w:color w:val="auto"/>
        </w:rPr>
        <w:t>.</w:t>
      </w:r>
      <w:r>
        <w:rPr>
          <w:rFonts w:hint="eastAsia" w:ascii="宋体" w:hAnsi="宋体" w:eastAsia="宋体" w:cs="宋体"/>
          <w:b/>
          <w:bCs/>
          <w:color w:val="auto"/>
          <w:lang w:val="en-US" w:eastAsia="zh-CN"/>
        </w:rPr>
        <w:t>付款条件</w:t>
      </w:r>
      <w:r>
        <w:rPr>
          <w:rFonts w:hint="eastAsia" w:ascii="宋体" w:hAnsi="宋体" w:eastAsia="宋体" w:cs="宋体"/>
          <w:b/>
          <w:bCs/>
          <w:color w:val="auto"/>
        </w:rPr>
        <w:t xml:space="preserve"> </w:t>
      </w:r>
    </w:p>
    <w:p w14:paraId="60888427">
      <w:pPr>
        <w:pStyle w:val="42"/>
        <w:pageBreakBefore w:val="0"/>
        <w:overflowPunct/>
        <w:topLinePunct w:val="0"/>
        <w:bidi w:val="0"/>
        <w:snapToGrid w:val="0"/>
        <w:spacing w:after="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合同类型及定价方式</w:t>
      </w:r>
    </w:p>
    <w:p w14:paraId="5EF0B739">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合同类型：</w:t>
      </w:r>
      <w:r>
        <w:rPr>
          <w:rFonts w:hint="eastAsia" w:ascii="宋体" w:hAnsi="宋体" w:eastAsia="宋体" w:cs="宋体"/>
          <w:color w:val="auto"/>
          <w:sz w:val="24"/>
          <w:szCs w:val="24"/>
          <w:highlight w:val="none"/>
          <w:lang w:eastAsia="zh-CN"/>
        </w:rPr>
        <w:t>委托</w:t>
      </w:r>
      <w:r>
        <w:rPr>
          <w:rFonts w:hint="eastAsia" w:ascii="宋体" w:hAnsi="宋体" w:eastAsia="宋体" w:cs="宋体"/>
          <w:color w:val="auto"/>
          <w:sz w:val="24"/>
          <w:szCs w:val="24"/>
          <w:highlight w:val="none"/>
        </w:rPr>
        <w:t>合同</w:t>
      </w:r>
    </w:p>
    <w:p w14:paraId="38186166">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定价方式：</w:t>
      </w:r>
      <w:r>
        <w:rPr>
          <w:rFonts w:hint="eastAsia" w:ascii="宋体" w:hAnsi="宋体" w:eastAsia="宋体" w:cs="宋体"/>
          <w:sz w:val="24"/>
          <w:szCs w:val="24"/>
          <w:lang w:val="en-US" w:eastAsia="zh-CN"/>
        </w:rPr>
        <w:t>采购人按照供应商在本合同服务期内经采购人确认的实际工作量以及实际工作的考核情况结算，如经采购人考核供应商提供的服务不符合本合同约定的，</w:t>
      </w:r>
      <w:r>
        <w:rPr>
          <w:rFonts w:hint="eastAsia" w:ascii="宋体" w:hAnsi="宋体" w:eastAsia="宋体" w:cs="宋体"/>
          <w:sz w:val="24"/>
          <w:szCs w:val="24"/>
          <w:lang w:eastAsia="zh-CN"/>
        </w:rPr>
        <w:t>采购人有权在支付费用时扣除</w:t>
      </w:r>
      <w:r>
        <w:rPr>
          <w:rFonts w:hint="eastAsia" w:ascii="宋体" w:hAnsi="宋体" w:eastAsia="宋体" w:cs="宋体"/>
          <w:sz w:val="24"/>
          <w:szCs w:val="24"/>
          <w:lang w:val="en-US" w:eastAsia="zh-CN"/>
        </w:rPr>
        <w:t>扣款、</w:t>
      </w:r>
      <w:r>
        <w:rPr>
          <w:rFonts w:hint="eastAsia" w:ascii="宋体" w:hAnsi="宋体" w:eastAsia="宋体" w:cs="宋体"/>
          <w:sz w:val="24"/>
          <w:szCs w:val="24"/>
          <w:lang w:eastAsia="zh-CN"/>
        </w:rPr>
        <w:t>罚款、</w:t>
      </w:r>
      <w:r>
        <w:rPr>
          <w:rFonts w:hint="eastAsia" w:ascii="宋体" w:hAnsi="宋体" w:eastAsia="宋体" w:cs="宋体"/>
          <w:sz w:val="24"/>
          <w:szCs w:val="24"/>
          <w:lang w:val="en-US" w:eastAsia="zh-CN"/>
        </w:rPr>
        <w:t>违约金及采购人损失等相应款项</w:t>
      </w:r>
      <w:r>
        <w:rPr>
          <w:rFonts w:hint="eastAsia" w:ascii="宋体" w:hAnsi="宋体" w:eastAsia="宋体" w:cs="宋体"/>
          <w:sz w:val="24"/>
          <w:szCs w:val="24"/>
          <w:lang w:eastAsia="zh-CN"/>
        </w:rPr>
        <w:t>。</w:t>
      </w:r>
    </w:p>
    <w:p w14:paraId="0F2309BE">
      <w:pPr>
        <w:pStyle w:val="42"/>
        <w:pageBreakBefore w:val="0"/>
        <w:overflowPunct/>
        <w:topLinePunct w:val="0"/>
        <w:bidi w:val="0"/>
        <w:snapToGrid w:val="0"/>
        <w:spacing w:after="0" w:line="360" w:lineRule="auto"/>
        <w:ind w:firstLine="480" w:firstLineChars="200"/>
        <w:rPr>
          <w:rFonts w:hint="eastAsia" w:ascii="宋体" w:hAnsi="宋体" w:eastAsia="宋体" w:cs="宋体"/>
          <w:color w:val="000000"/>
          <w:sz w:val="24"/>
        </w:rPr>
      </w:pPr>
      <w:r>
        <w:rPr>
          <w:rFonts w:hint="eastAsia" w:ascii="宋体" w:hAnsi="宋体" w:eastAsia="宋体" w:cs="宋体"/>
          <w:sz w:val="24"/>
          <w:szCs w:val="24"/>
        </w:rPr>
        <w:t>合同价款为含税</w:t>
      </w:r>
      <w:r>
        <w:rPr>
          <w:rFonts w:hint="eastAsia" w:ascii="宋体" w:hAnsi="宋体" w:eastAsia="宋体" w:cs="宋体"/>
          <w:sz w:val="24"/>
          <w:szCs w:val="24"/>
          <w:lang w:val="zh-CN"/>
        </w:rPr>
        <w:t>价，已包含了供应商履行本合同所必需的所有费用，该总价包括但不限于供应商履行本合同所需的人工费、材料费、水电费、设备购置或租用费、运输费、措施费、综合管理费、保险费、利润和各种税费等，同</w:t>
      </w:r>
      <w:r>
        <w:rPr>
          <w:rFonts w:hint="eastAsia" w:ascii="宋体" w:hAnsi="宋体" w:eastAsia="宋体" w:cs="宋体"/>
          <w:sz w:val="24"/>
          <w:szCs w:val="24"/>
        </w:rPr>
        <w:t>时还包括人工、养护用料、水、电涨价在内的各种影响养护实施成本的风险费用；</w:t>
      </w:r>
    </w:p>
    <w:p w14:paraId="7495A4DB">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履约保证金金额：</w:t>
      </w:r>
      <w:r>
        <w:rPr>
          <w:rFonts w:hint="eastAsia" w:ascii="宋体" w:hAnsi="宋体" w:eastAsia="宋体" w:cs="宋体"/>
          <w:sz w:val="24"/>
          <w:szCs w:val="24"/>
          <w:lang w:eastAsia="zh-CN"/>
        </w:rPr>
        <w:t>供应商</w:t>
      </w:r>
      <w:r>
        <w:rPr>
          <w:rFonts w:hint="eastAsia" w:ascii="宋体" w:hAnsi="宋体" w:eastAsia="宋体" w:cs="宋体"/>
          <w:sz w:val="24"/>
          <w:szCs w:val="24"/>
        </w:rPr>
        <w:t>应自合同签订日后15</w:t>
      </w:r>
      <w:r>
        <w:rPr>
          <w:rFonts w:hint="eastAsia" w:ascii="宋体" w:hAnsi="宋体" w:eastAsia="宋体" w:cs="宋体"/>
          <w:sz w:val="24"/>
          <w:szCs w:val="24"/>
          <w:lang w:eastAsia="zh-CN"/>
        </w:rPr>
        <w:t>个工作日</w:t>
      </w:r>
      <w:r>
        <w:rPr>
          <w:rFonts w:hint="eastAsia" w:ascii="宋体" w:hAnsi="宋体" w:eastAsia="宋体" w:cs="宋体"/>
          <w:sz w:val="24"/>
          <w:szCs w:val="24"/>
        </w:rPr>
        <w:t>内向</w:t>
      </w:r>
      <w:r>
        <w:rPr>
          <w:rFonts w:hint="eastAsia" w:ascii="宋体" w:hAnsi="宋体" w:eastAsia="宋体" w:cs="宋体"/>
          <w:sz w:val="24"/>
          <w:szCs w:val="24"/>
          <w:lang w:eastAsia="zh-CN"/>
        </w:rPr>
        <w:t>采购人</w:t>
      </w:r>
      <w:r>
        <w:rPr>
          <w:rFonts w:hint="eastAsia" w:ascii="宋体" w:hAnsi="宋体" w:eastAsia="宋体" w:cs="宋体"/>
          <w:sz w:val="24"/>
          <w:szCs w:val="24"/>
        </w:rPr>
        <w:t>支付本合同总价的10%作为履约保证金。</w:t>
      </w:r>
    </w:p>
    <w:p w14:paraId="3891483F">
      <w:pPr>
        <w:pStyle w:val="42"/>
        <w:pageBreakBefore w:val="0"/>
        <w:numPr>
          <w:ilvl w:val="0"/>
          <w:numId w:val="0"/>
        </w:numPr>
        <w:overflowPunct/>
        <w:topLinePunct w:val="0"/>
        <w:bidi w:val="0"/>
        <w:snapToGrid w:val="0"/>
        <w:spacing w:after="0"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付款进度：</w:t>
      </w:r>
    </w:p>
    <w:p w14:paraId="3F88531A">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合同价款1：2025年1月1日至合同签订前一日的合同价款</w:t>
      </w:r>
      <w:r>
        <w:rPr>
          <w:rFonts w:hint="eastAsia" w:ascii="宋体" w:hAnsi="宋体" w:eastAsia="宋体" w:cs="宋体"/>
          <w:color w:val="auto"/>
          <w:sz w:val="24"/>
          <w:szCs w:val="24"/>
          <w:lang w:eastAsia="zh-CN"/>
        </w:rPr>
        <w:t>：合同生效且财政资金到位后</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日内，</w:t>
      </w:r>
      <w:r>
        <w:rPr>
          <w:rFonts w:hint="eastAsia" w:ascii="宋体" w:hAnsi="宋体" w:eastAsia="宋体" w:cs="宋体"/>
          <w:color w:val="auto"/>
          <w:sz w:val="24"/>
          <w:szCs w:val="24"/>
          <w:lang w:val="en-US" w:eastAsia="zh-CN"/>
        </w:rPr>
        <w:t>由采购人按本合同单价和经采购人确认的实际工作量支付给原服务单位。</w:t>
      </w:r>
    </w:p>
    <w:p w14:paraId="1C0FF1CC">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合同价款2：合同签订之日至2025年12月31日的合同价款。</w:t>
      </w:r>
    </w:p>
    <w:p w14:paraId="057FA4BE">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本合同生效且财政资金到位后</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日内，</w:t>
      </w:r>
      <w:r>
        <w:rPr>
          <w:rFonts w:hint="eastAsia" w:ascii="宋体" w:hAnsi="宋体" w:eastAsia="宋体" w:cs="宋体"/>
          <w:color w:val="auto"/>
          <w:sz w:val="24"/>
          <w:szCs w:val="24"/>
          <w:lang w:val="en-US" w:eastAsia="zh-CN"/>
        </w:rPr>
        <w:t>采购人向供应商支付合同总价的50%扣除合同价款1后的金额</w:t>
      </w:r>
      <w:r>
        <w:rPr>
          <w:rFonts w:hint="eastAsia" w:ascii="宋体" w:hAnsi="宋体" w:eastAsia="宋体" w:cs="宋体"/>
          <w:color w:val="auto"/>
          <w:sz w:val="24"/>
          <w:szCs w:val="24"/>
          <w:lang w:eastAsia="zh-CN"/>
        </w:rPr>
        <w:t>。</w:t>
      </w:r>
    </w:p>
    <w:p w14:paraId="15EEB6B7">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2025年6</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日前采购人向供应商支付合同总价的</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p>
    <w:p w14:paraId="78053EA6">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2025年9</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日前采购人向供应商支付合同总价的</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p>
    <w:p w14:paraId="43F49C57">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2025年11</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日前采购人向供应商支付合同总价的</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p>
    <w:p w14:paraId="27CF3E3D">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采购人支付进度有可能根据实际情况进行调整。</w:t>
      </w:r>
    </w:p>
    <w:p w14:paraId="79223709">
      <w:pPr>
        <w:pStyle w:val="42"/>
        <w:pageBreakBefore w:val="0"/>
        <w:overflowPunct/>
        <w:topLinePunct w:val="0"/>
        <w:bidi w:val="0"/>
        <w:snapToGrid w:val="0"/>
        <w:spacing w:after="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付款方式：以电汇或银行支票为主要付款方式，并以电汇为首选支付方式。</w:t>
      </w:r>
    </w:p>
    <w:p w14:paraId="04D29369">
      <w:pPr>
        <w:pStyle w:val="2"/>
        <w:pageBreakBefore w:val="0"/>
        <w:overflowPunct/>
        <w:topLinePunct w:val="0"/>
        <w:bidi w:val="0"/>
        <w:snapToGrid w:val="0"/>
        <w:spacing w:after="0" w:line="360" w:lineRule="auto"/>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）付款时间：</w:t>
      </w:r>
      <w:r>
        <w:rPr>
          <w:rFonts w:hint="eastAsia" w:ascii="宋体" w:hAnsi="宋体" w:cs="宋体"/>
          <w:sz w:val="24"/>
          <w:szCs w:val="24"/>
          <w:lang w:eastAsia="zh-CN"/>
        </w:rPr>
        <w:t>供应商</w:t>
      </w:r>
      <w:r>
        <w:rPr>
          <w:rFonts w:hint="eastAsia" w:ascii="宋体" w:hAnsi="宋体" w:eastAsia="宋体" w:cs="宋体"/>
          <w:sz w:val="24"/>
          <w:szCs w:val="24"/>
          <w:lang w:eastAsia="zh-CN"/>
        </w:rPr>
        <w:t>按照采购人要求提供完整支付文件，</w:t>
      </w:r>
      <w:r>
        <w:rPr>
          <w:rFonts w:hint="eastAsia" w:ascii="宋体" w:hAnsi="宋体" w:cs="宋体"/>
          <w:sz w:val="24"/>
          <w:szCs w:val="24"/>
          <w:lang w:eastAsia="zh-CN"/>
        </w:rPr>
        <w:t>采购人</w:t>
      </w:r>
      <w:r>
        <w:rPr>
          <w:rFonts w:hint="eastAsia" w:ascii="宋体" w:hAnsi="宋体" w:eastAsia="宋体" w:cs="宋体"/>
          <w:sz w:val="24"/>
          <w:szCs w:val="24"/>
          <w:lang w:eastAsia="zh-CN"/>
        </w:rPr>
        <w:t>收到上述文件后原则上1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日内将款项支付给</w:t>
      </w:r>
      <w:r>
        <w:rPr>
          <w:rFonts w:hint="eastAsia" w:ascii="宋体" w:hAnsi="宋体" w:cs="宋体"/>
          <w:sz w:val="24"/>
          <w:szCs w:val="24"/>
          <w:lang w:eastAsia="zh-CN"/>
        </w:rPr>
        <w:t>供应商</w:t>
      </w:r>
      <w:r>
        <w:rPr>
          <w:rFonts w:hint="eastAsia" w:ascii="宋体" w:hAnsi="宋体" w:eastAsia="宋体" w:cs="宋体"/>
          <w:sz w:val="24"/>
          <w:szCs w:val="24"/>
          <w:lang w:eastAsia="zh-CN"/>
        </w:rPr>
        <w:t>。</w:t>
      </w:r>
    </w:p>
    <w:p w14:paraId="225804D9">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3.售后服务（质保期）</w:t>
      </w:r>
    </w:p>
    <w:p w14:paraId="4D7CD0E6">
      <w:pPr>
        <w:pStyle w:val="42"/>
        <w:pageBreakBefore w:val="0"/>
        <w:overflowPunct/>
        <w:topLinePunct w:val="0"/>
        <w:bidi w:val="0"/>
        <w:snapToGrid w:val="0"/>
        <w:spacing w:after="0" w:line="360" w:lineRule="auto"/>
        <w:ind w:left="0" w:leftChars="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本项目不涉及售后服务（质保期），项目完成后，供应商应免费提供后续项目考核、相关检查、审计配合工作。</w:t>
      </w:r>
    </w:p>
    <w:p w14:paraId="76B106A8">
      <w:pPr>
        <w:pStyle w:val="2"/>
        <w:pageBreakBefore w:val="0"/>
        <w:overflowPunct/>
        <w:topLinePunct w:val="0"/>
        <w:bidi w:val="0"/>
        <w:snapToGrid w:val="0"/>
        <w:spacing w:after="0" w:line="360" w:lineRule="auto"/>
        <w:outlineLvl w:val="1"/>
        <w:rPr>
          <w:rFonts w:hint="eastAsia" w:ascii="宋体" w:hAnsi="宋体" w:cs="宋体"/>
          <w:b/>
          <w:bCs/>
          <w:sz w:val="28"/>
          <w:szCs w:val="28"/>
        </w:rPr>
      </w:pPr>
      <w:r>
        <w:rPr>
          <w:rFonts w:hint="eastAsia" w:ascii="宋体" w:hAnsi="宋体" w:cs="宋体"/>
          <w:b/>
          <w:bCs/>
          <w:sz w:val="28"/>
          <w:szCs w:val="28"/>
          <w:lang w:val="en-US" w:eastAsia="zh-CN"/>
        </w:rPr>
        <w:t>三</w:t>
      </w:r>
      <w:r>
        <w:rPr>
          <w:rFonts w:hint="eastAsia" w:ascii="宋体" w:hAnsi="宋体" w:cs="宋体"/>
          <w:b/>
          <w:bCs/>
          <w:sz w:val="28"/>
          <w:szCs w:val="28"/>
        </w:rPr>
        <w:t>、技术要求</w:t>
      </w:r>
    </w:p>
    <w:bookmarkEnd w:id="42"/>
    <w:bookmarkEnd w:id="43"/>
    <w:bookmarkEnd w:id="44"/>
    <w:p w14:paraId="04A8A175">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1. 基本要求 </w:t>
      </w:r>
    </w:p>
    <w:p w14:paraId="5371077B">
      <w:pPr>
        <w:keepNext w:val="0"/>
        <w:keepLines w:val="0"/>
        <w:pageBreakBefore w:val="0"/>
        <w:widowControl/>
        <w:numPr>
          <w:ilvl w:val="0"/>
          <w:numId w:val="0"/>
        </w:numPr>
        <w:suppressLineNumbers w:val="0"/>
        <w:overflowPunct/>
        <w:topLinePunct w:val="0"/>
        <w:bidi w:val="0"/>
        <w:snapToGrid w:val="0"/>
        <w:spacing w:after="0"/>
        <w:jc w:val="left"/>
        <w:outlineLvl w:val="2"/>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（1）采购标的需实现的功能或者目标 </w:t>
      </w:r>
    </w:p>
    <w:p w14:paraId="43F1455B">
      <w:pPr>
        <w:pStyle w:val="28"/>
        <w:pageBreakBefore w:val="0"/>
        <w:overflowPunct/>
        <w:topLinePunct w:val="0"/>
        <w:bidi w:val="0"/>
        <w:snapToGrid w:val="0"/>
        <w:spacing w:after="0"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保障大宁调蓄水库工程，河西支线工程的</w:t>
      </w:r>
      <w:r>
        <w:rPr>
          <w:rFonts w:hint="eastAsia" w:ascii="宋体" w:hAnsi="宋体" w:eastAsia="宋体" w:cs="宋体"/>
          <w:color w:val="auto"/>
          <w:sz w:val="24"/>
          <w:szCs w:val="24"/>
          <w:lang w:val="en-US" w:eastAsia="zh-CN"/>
        </w:rPr>
        <w:t>设备设施</w:t>
      </w:r>
      <w:r>
        <w:rPr>
          <w:rFonts w:hint="eastAsia" w:ascii="宋体" w:hAnsi="宋体" w:eastAsia="宋体" w:cs="宋体"/>
          <w:color w:val="auto"/>
          <w:sz w:val="24"/>
          <w:szCs w:val="24"/>
          <w:lang w:eastAsia="zh-CN"/>
        </w:rPr>
        <w:t>正常安全运行，包括机电、金结设备、采购人自有设备及其他有关的设备设施的维修、养护。</w:t>
      </w:r>
    </w:p>
    <w:p w14:paraId="22231F67">
      <w:pPr>
        <w:keepNext w:val="0"/>
        <w:keepLines w:val="0"/>
        <w:pageBreakBefore w:val="0"/>
        <w:widowControl/>
        <w:numPr>
          <w:ilvl w:val="0"/>
          <w:numId w:val="2"/>
        </w:numPr>
        <w:suppressLineNumbers w:val="0"/>
        <w:overflowPunct/>
        <w:topLinePunct w:val="0"/>
        <w:bidi w:val="0"/>
        <w:snapToGrid w:val="0"/>
        <w:spacing w:after="0"/>
        <w:jc w:val="left"/>
        <w:outlineLvl w:val="2"/>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需执行的国家相关标准、行业标准、地方标准或者其他标准、规范 </w:t>
      </w:r>
    </w:p>
    <w:p w14:paraId="46543035">
      <w:pPr>
        <w:pStyle w:val="42"/>
        <w:pageBreakBefore w:val="0"/>
        <w:overflowPunct/>
        <w:topLinePunct w:val="0"/>
        <w:bidi w:val="0"/>
        <w:snapToGrid w:val="0"/>
        <w:spacing w:after="0" w:line="360" w:lineRule="auto"/>
        <w:ind w:firstLine="560"/>
        <w:rPr>
          <w:rFonts w:hint="eastAsia" w:ascii="宋体" w:hAnsi="宋体" w:eastAsia="宋体" w:cs="宋体"/>
          <w:color w:val="0000FF"/>
          <w:sz w:val="24"/>
          <w:szCs w:val="24"/>
          <w:lang w:eastAsia="zh-CN"/>
        </w:rPr>
      </w:pPr>
      <w:r>
        <w:rPr>
          <w:rFonts w:hint="eastAsia" w:ascii="宋体" w:hAnsi="宋体" w:eastAsia="宋体" w:cs="宋体"/>
          <w:sz w:val="24"/>
          <w:szCs w:val="24"/>
          <w:lang w:eastAsia="zh-CN"/>
        </w:rPr>
        <w:t>参照</w:t>
      </w:r>
      <w:r>
        <w:rPr>
          <w:rFonts w:hint="eastAsia" w:ascii="宋体" w:hAnsi="宋体" w:eastAsia="宋体" w:cs="宋体"/>
          <w:sz w:val="24"/>
          <w:szCs w:val="24"/>
          <w:lang w:val="en-US" w:eastAsia="zh-CN"/>
        </w:rPr>
        <w:t>南水北调中线干线工程建设管理局《</w:t>
      </w:r>
      <w:r>
        <w:rPr>
          <w:rFonts w:hint="eastAsia" w:ascii="宋体" w:hAnsi="宋体" w:eastAsia="宋体" w:cs="宋体"/>
          <w:sz w:val="24"/>
          <w:szCs w:val="24"/>
          <w:lang w:eastAsia="zh-CN"/>
        </w:rPr>
        <w:t>泵站金属结构及机电设备维护检修规程</w:t>
      </w:r>
      <w:r>
        <w:rPr>
          <w:rFonts w:hint="eastAsia" w:ascii="宋体" w:hAnsi="宋体" w:eastAsia="宋体" w:cs="宋体"/>
          <w:sz w:val="24"/>
          <w:szCs w:val="24"/>
          <w:lang w:val="en-US" w:eastAsia="zh-CN"/>
        </w:rPr>
        <w:t>》、《水闸技术管理规程》SL75-201、《</w:t>
      </w:r>
      <w:r>
        <w:rPr>
          <w:rFonts w:hint="eastAsia" w:ascii="宋体" w:hAnsi="宋体" w:eastAsia="宋体" w:cs="宋体"/>
          <w:sz w:val="24"/>
          <w:szCs w:val="24"/>
          <w:lang w:eastAsia="zh-CN"/>
        </w:rPr>
        <w:t>建筑消防设施的维护管理</w:t>
      </w:r>
      <w:r>
        <w:rPr>
          <w:rFonts w:hint="eastAsia" w:ascii="宋体" w:hAnsi="宋体" w:eastAsia="宋体" w:cs="宋体"/>
          <w:sz w:val="24"/>
          <w:szCs w:val="24"/>
          <w:lang w:val="en-US" w:eastAsia="zh-CN"/>
        </w:rPr>
        <w:t>》GB 25201-2010、《建筑设计防火规范》GB50016等相关文件及其他地区行业现行标准、设备说明、厂家说明等执行，保证建筑工程完好、各种设备设施正常使用。</w:t>
      </w:r>
      <w:r>
        <w:rPr>
          <w:rFonts w:hint="eastAsia" w:ascii="宋体" w:hAnsi="宋体" w:eastAsia="宋体" w:cs="宋体"/>
          <w:color w:val="000000"/>
          <w:sz w:val="24"/>
          <w:szCs w:val="24"/>
          <w:lang w:eastAsia="zh-CN"/>
        </w:rPr>
        <w:t>等相关</w:t>
      </w:r>
      <w:r>
        <w:rPr>
          <w:rFonts w:hint="eastAsia" w:ascii="宋体" w:hAnsi="宋体" w:eastAsia="宋体" w:cs="宋体"/>
          <w:color w:val="000000"/>
          <w:sz w:val="24"/>
          <w:szCs w:val="24"/>
        </w:rPr>
        <w:t>规定执行。</w:t>
      </w:r>
    </w:p>
    <w:p w14:paraId="1531CCBA">
      <w:pPr>
        <w:pageBreakBefore w:val="0"/>
        <w:overflowPunct/>
        <w:topLinePunct w:val="0"/>
        <w:bidi w:val="0"/>
        <w:snapToGrid w:val="0"/>
        <w:spacing w:after="0" w:line="460" w:lineRule="exact"/>
        <w:ind w:firstLine="482" w:firstLineChars="200"/>
        <w:jc w:val="left"/>
        <w:rPr>
          <w:rFonts w:hint="default" w:ascii="Calibri" w:hAnsi="Calibri" w:eastAsia="宋体" w:cs="Times New Roman"/>
          <w:b/>
          <w:bCs/>
          <w:color w:val="auto"/>
          <w:kern w:val="2"/>
          <w:sz w:val="21"/>
          <w:szCs w:val="24"/>
          <w:lang w:val="en-US" w:eastAsia="zh-CN" w:bidi="ar-SA"/>
        </w:rPr>
      </w:pPr>
      <w:r>
        <w:rPr>
          <w:rFonts w:hint="eastAsia" w:ascii="宋体" w:hAnsi="宋体" w:eastAsia="宋体" w:cs="宋体"/>
          <w:b/>
          <w:bCs/>
          <w:color w:val="auto"/>
          <w:sz w:val="24"/>
          <w:szCs w:val="24"/>
          <w:lang w:eastAsia="zh-CN"/>
        </w:rPr>
        <w:t>合同履行期间，如政府相关管理部门发布新的管理规定或标准，且该规定或标准高于本合同约定的规定或标准的，供应商应按照新的规定和标准履行相应的义务。</w:t>
      </w:r>
      <w:r>
        <w:rPr>
          <w:rFonts w:hint="eastAsia" w:ascii="宋体" w:hAnsi="宋体" w:eastAsia="宋体" w:cs="宋体"/>
          <w:b/>
          <w:bCs/>
          <w:color w:val="auto"/>
          <w:sz w:val="24"/>
          <w:szCs w:val="24"/>
          <w:highlight w:val="none"/>
          <w:lang w:eastAsia="zh-CN"/>
        </w:rPr>
        <w:t>合同履行期间，如采购人新制定或更新了</w:t>
      </w:r>
      <w:r>
        <w:rPr>
          <w:rFonts w:hint="eastAsia" w:ascii="宋体" w:hAnsi="宋体" w:eastAsia="宋体" w:cs="宋体"/>
          <w:b/>
          <w:bCs/>
          <w:color w:val="auto"/>
          <w:sz w:val="24"/>
          <w:szCs w:val="24"/>
          <w:highlight w:val="none"/>
          <w:lang w:val="en-US" w:eastAsia="zh-CN"/>
        </w:rPr>
        <w:t>项目相关</w:t>
      </w:r>
      <w:r>
        <w:rPr>
          <w:rFonts w:hint="eastAsia" w:ascii="宋体" w:hAnsi="宋体" w:eastAsia="宋体" w:cs="宋体"/>
          <w:b/>
          <w:bCs/>
          <w:color w:val="auto"/>
          <w:sz w:val="24"/>
          <w:szCs w:val="24"/>
          <w:highlight w:val="none"/>
          <w:lang w:eastAsia="zh-CN"/>
        </w:rPr>
        <w:t>技术标准、维护标准、考核办法、应急预案等，供应商应遵照</w:t>
      </w:r>
      <w:r>
        <w:rPr>
          <w:rFonts w:hint="eastAsia" w:ascii="宋体" w:hAnsi="宋体" w:eastAsia="宋体" w:cs="宋体"/>
          <w:b/>
          <w:bCs/>
          <w:color w:val="auto"/>
          <w:sz w:val="24"/>
          <w:szCs w:val="24"/>
          <w:highlight w:val="none"/>
          <w:lang w:val="en-US" w:eastAsia="zh-CN"/>
        </w:rPr>
        <w:t>新制定或更新后</w:t>
      </w:r>
      <w:r>
        <w:rPr>
          <w:rFonts w:hint="eastAsia" w:ascii="宋体" w:hAnsi="宋体" w:eastAsia="宋体" w:cs="宋体"/>
          <w:b/>
          <w:bCs/>
          <w:color w:val="auto"/>
          <w:sz w:val="24"/>
          <w:szCs w:val="24"/>
          <w:highlight w:val="none"/>
          <w:lang w:eastAsia="zh-CN"/>
        </w:rPr>
        <w:t>相关标准、办法、</w:t>
      </w:r>
      <w:r>
        <w:rPr>
          <w:rFonts w:hint="eastAsia" w:ascii="宋体" w:hAnsi="宋体" w:eastAsia="宋体" w:cs="宋体"/>
          <w:b/>
          <w:bCs/>
          <w:color w:val="auto"/>
          <w:sz w:val="24"/>
          <w:szCs w:val="24"/>
          <w:highlight w:val="none"/>
          <w:lang w:val="en-US" w:eastAsia="zh-CN"/>
        </w:rPr>
        <w:t>预案</w:t>
      </w:r>
      <w:r>
        <w:rPr>
          <w:rFonts w:hint="eastAsia" w:ascii="宋体" w:hAnsi="宋体" w:eastAsia="宋体" w:cs="宋体"/>
          <w:b/>
          <w:bCs/>
          <w:color w:val="auto"/>
          <w:sz w:val="24"/>
          <w:szCs w:val="24"/>
          <w:highlight w:val="none"/>
          <w:lang w:eastAsia="zh-CN"/>
        </w:rPr>
        <w:t>履行相应义务。</w:t>
      </w:r>
    </w:p>
    <w:p w14:paraId="2CC26F6B">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2. 服务内容及要求</w:t>
      </w:r>
    </w:p>
    <w:p w14:paraId="3E04CDB4">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（1）服务内容</w:t>
      </w:r>
    </w:p>
    <w:p w14:paraId="526C7E6C">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宁调蓄水库工程设备设施维修养护主要包括：闸门维护、启闭机维护、机电及辅助设备维护、自有设备维护、水质自动站维护、中央空调系统维护、排风系统维护、电梯维护、消防设备设施维护。自有设备维护包括观光车、船、岗亭、环库路照明设备、除冰系统等的缺陷处理和日常维护养护。</w:t>
      </w:r>
    </w:p>
    <w:p w14:paraId="124A1EC1">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河西支线工程设备设施维修养护主要包括：</w:t>
      </w:r>
    </w:p>
    <w:p w14:paraId="79853A3F">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中堤泵站设备设施维修养护：水利机械设备维护养护、供配电设备维护养护、水文水质设备维护养护、张坊连接站设备设施维护养护、消防设备设施维护养护、暖通设备维护养护、实训基地设备设施维护养护。</w:t>
      </w:r>
    </w:p>
    <w:p w14:paraId="0CDF2965">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园博泵站设备设施维修养护：水利机械维护养护、供配电维护养护、管道工程维护养护、消防设备维护养护。</w:t>
      </w:r>
    </w:p>
    <w:p w14:paraId="38A268AF">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（2）服务要求</w:t>
      </w:r>
    </w:p>
    <w:p w14:paraId="304B2524">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实施过程中，严格执行相关规范要求，确保工作频次数量，工作质量。及时对损坏设备设施进行维修。保证设备设施完好、正常使用。</w:t>
      </w:r>
    </w:p>
    <w:p w14:paraId="44D839C3">
      <w:pPr>
        <w:pStyle w:val="2"/>
        <w:snapToGrid w:val="0"/>
        <w:spacing w:after="0"/>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供应商需配备足够数量人员满足采购人及其各基层闸站日常运维、应急抢修等作业要求。</w:t>
      </w:r>
    </w:p>
    <w:p w14:paraId="34409BE1">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水质自动化、消防、电梯等部分设备需由具备相应资质的单位进行维护保养。</w:t>
      </w:r>
    </w:p>
    <w:p w14:paraId="6211C0FF">
      <w:pPr>
        <w:pStyle w:val="42"/>
        <w:pageBreakBefore w:val="0"/>
        <w:overflowPunct/>
        <w:topLinePunct w:val="0"/>
        <w:bidi w:val="0"/>
        <w:snapToGrid w:val="0"/>
        <w:spacing w:after="0" w:line="360" w:lineRule="auto"/>
        <w:ind w:firstLine="56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需在合同签约日开始进场服务。</w:t>
      </w:r>
    </w:p>
    <w:p w14:paraId="13DD0498">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（3）项目要求</w:t>
      </w:r>
    </w:p>
    <w:p w14:paraId="2724FA13">
      <w:pPr>
        <w:pStyle w:val="42"/>
        <w:pageBreakBefore w:val="0"/>
        <w:overflowPunct/>
        <w:topLinePunct w:val="0"/>
        <w:bidi w:val="0"/>
        <w:snapToGrid w:val="0"/>
        <w:spacing w:after="0" w:line="360" w:lineRule="auto"/>
        <w:ind w:firstLine="56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采购人参照已制定和新制定的项目管控办法、技术标准、运维标准、考核办法等开展日常项目监督检查与考核，供应商必须严格按照合同和各类标准规范组织项目实施，接受采购人监督和定期考核，考核应达到采购人要求合格标准，否则采购人有权按合同及采购人相关制度进行处置。</w:t>
      </w:r>
    </w:p>
    <w:p w14:paraId="6A0EB789">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（4）采购标的的其他技术、服务等要求</w:t>
      </w:r>
    </w:p>
    <w:p w14:paraId="1B4D1E6B">
      <w:pPr>
        <w:pStyle w:val="42"/>
        <w:pageBreakBefore w:val="0"/>
        <w:overflowPunct/>
        <w:topLinePunct w:val="0"/>
        <w:bidi w:val="0"/>
        <w:snapToGrid w:val="0"/>
        <w:spacing w:after="0" w:line="360" w:lineRule="auto"/>
        <w:ind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维护综合管理要求：</w:t>
      </w:r>
    </w:p>
    <w:p w14:paraId="42FEE6A7">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供应商要建立、完善维护管理规章制度，并严格落实、执行。</w:t>
      </w:r>
    </w:p>
    <w:p w14:paraId="431AE7AE">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配备能够满足维护要求、标准的维护人员等，做好各维护地点的设备设施维护计划安排。项目负责人应做好各站点维护统筹协调工作，维护人员应具备电气维修、机械维修、土建工程维修、消防设施维修以及焊接、测量等相关方面的技能。维护人员数量应满足相关规定和采购人维修养护工作要求。</w:t>
      </w:r>
    </w:p>
    <w:p w14:paraId="59B29275">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供应商的维修养护人员基本情况须提交采购人备案。采购人有权利对不满足合同要求的人员向供应商提出更换。</w:t>
      </w:r>
    </w:p>
    <w:p w14:paraId="45A00365">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供应商应制定维护人员培训及教育计划，并按计划落实。</w:t>
      </w:r>
    </w:p>
    <w:p w14:paraId="0A654D13">
      <w:pPr>
        <w:pStyle w:val="42"/>
        <w:pageBreakBefore w:val="0"/>
        <w:overflowPunct/>
        <w:topLinePunct w:val="0"/>
        <w:bidi w:val="0"/>
        <w:snapToGrid w:val="0"/>
        <w:spacing w:after="0" w:line="360" w:lineRule="auto"/>
        <w:ind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维护实施管理要求：</w:t>
      </w:r>
    </w:p>
    <w:p w14:paraId="2FC5B27A">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供应商应根据设备设施的相关维护标准、规范等制定详细、全面的维护养护实施方案和计划，并及时报采购人审批。</w:t>
      </w:r>
    </w:p>
    <w:p w14:paraId="356D61DF">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供应商应按维护作业标准、规范、维护方案、工作计划等实施维护工作，维护内容、标准及频次应符合质量、进度、周期要求。</w:t>
      </w:r>
    </w:p>
    <w:p w14:paraId="3208DCAE">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工程维修养护应做好维修养护记录、台账，并定期整编所有工作中形成的记录、台账和技术档案。</w:t>
      </w:r>
    </w:p>
    <w:p w14:paraId="6CCF35F0">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必须自行配备满足维修养护工作需要的各类工器具、设备设施及安全防护用品等，并符合国家相关的技术标准。对于采购人已配置并交由供应商使用的设备设施、工器具及安全防护用品等，供应商应妥善保管和正确使用，发生损坏、丢失等由供应商负责修复和赔偿，合同期结束后，应完好移交采购人。</w:t>
      </w:r>
    </w:p>
    <w:p w14:paraId="6661E6A1">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维修养护用低值易耗品、易损件、消耗性材料、配件（10000元以内，以上的双方协商）等由供应商负责提供和更换。</w:t>
      </w:r>
    </w:p>
    <w:p w14:paraId="0A790CE7">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发生故障或事故时，供应商应及时采取有效措施防止故障、事故扩大。并立即对其进行分析和排除，同时做好记录和分析、处理报告。供应商还应根据设备设施运行状况，对可能出现的故障进行预判，并及时提出维修方案和计划，报采购人审批。</w:t>
      </w:r>
    </w:p>
    <w:p w14:paraId="7B37982F">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供应商应及时发现和消除设备设施的缺陷。</w:t>
      </w:r>
    </w:p>
    <w:p w14:paraId="52521B04">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按要求对机电金结等设备进行编号，并保持设备号牌、识别标识（标色）及介质流向、开关方向标识等完好无损。所有机电设备应建档挂卡，记录设备运行、维修及现状情况，并明确责任人。</w:t>
      </w:r>
    </w:p>
    <w:p w14:paraId="7358E3B6">
      <w:pPr>
        <w:pStyle w:val="42"/>
        <w:pageBreakBefore w:val="0"/>
        <w:overflowPunct/>
        <w:topLinePunct w:val="0"/>
        <w:bidi w:val="0"/>
        <w:snapToGrid w:val="0"/>
        <w:spacing w:after="0"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对于自动化、工控、监控等设备设施的维护给与配合，参与配合调试等。</w:t>
      </w:r>
    </w:p>
    <w:p w14:paraId="4E21F858">
      <w:pPr>
        <w:pStyle w:val="42"/>
        <w:pageBreakBefore w:val="0"/>
        <w:overflowPunct/>
        <w:topLinePunct w:val="0"/>
        <w:bidi w:val="0"/>
        <w:snapToGrid w:val="0"/>
        <w:spacing w:after="0" w:line="360" w:lineRule="auto"/>
        <w:ind w:firstLine="56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供应商应建立一直不少于10人的应队伍，配合设备设施应急抢险处置相关工作。</w:t>
      </w:r>
    </w:p>
    <w:p w14:paraId="5027E1C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lang w:eastAsia="zh-CN"/>
        </w:rPr>
      </w:pPr>
      <w:r>
        <w:rPr>
          <w:rFonts w:hint="eastAsia" w:ascii="宋体" w:hAnsi="宋体" w:eastAsia="宋体" w:cs="宋体"/>
          <w:sz w:val="24"/>
          <w:szCs w:val="24"/>
          <w:highlight w:val="none"/>
          <w:lang w:val="en-US" w:eastAsia="zh-CN"/>
        </w:rPr>
        <w:t>（5）</w:t>
      </w:r>
      <w:r>
        <w:rPr>
          <w:rFonts w:hint="eastAsia" w:ascii="宋体" w:hAnsi="宋体" w:eastAsia="宋体"/>
          <w:color w:val="auto"/>
          <w:sz w:val="24"/>
          <w:szCs w:val="24"/>
        </w:rPr>
        <w:t>其他特定资格要求：</w:t>
      </w:r>
    </w:p>
    <w:p w14:paraId="4DAF995D">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1）供应商应具备水利水电工程施工总承包三级（含）以上或水利水电机电安装工程专业承包三级（含）以上资质等级；</w:t>
      </w:r>
    </w:p>
    <w:p w14:paraId="3EE10736">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2）供应商应具有建设行政主管部门核发的有效的安全生产许可证；</w:t>
      </w:r>
    </w:p>
    <w:p w14:paraId="30D75DF3">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3）拟任项目经理需具有水利行业中级及以上职称；</w:t>
      </w:r>
    </w:p>
    <w:p w14:paraId="6B34FB0A">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4）安全管理人员（专职安全生产管理人员）具有水行政主管部门颁发的C类安全生产考核合格证书；</w:t>
      </w:r>
    </w:p>
    <w:p w14:paraId="4BF09585">
      <w:pPr>
        <w:pStyle w:val="7"/>
        <w:spacing w:before="151"/>
        <w:ind w:left="238" w:right="148"/>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5）企业负责人具有水行政主管部门颁发的A类安全考核合格证书。</w:t>
      </w:r>
    </w:p>
    <w:p w14:paraId="0B7ADAB6">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3. 采购标的的服务期限 </w:t>
      </w:r>
    </w:p>
    <w:p w14:paraId="3E2B4475">
      <w:pPr>
        <w:pageBreakBefore w:val="0"/>
        <w:widowControl w:val="0"/>
        <w:overflowPunct/>
        <w:topLinePunct w:val="0"/>
        <w:bidi w:val="0"/>
        <w:snapToGrid w:val="0"/>
        <w:spacing w:after="0" w:line="360" w:lineRule="auto"/>
        <w:ind w:firstLine="480" w:firstLineChars="20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2025年1月1日至2025年12月31日，其中2025年1月1日至本合同签订之日前一日由原服务单位提供服务，本合同签订之日至2025年12月31日由新中选单位提供服务。本合同约定的服务期满后，如采购人需要，供应商应继续按照采购人要求延长其服务期限，直至下一年度实施单位进场。延长服务期限的，由甲乙双方协商签订书面补充协议。</w:t>
      </w:r>
    </w:p>
    <w:p w14:paraId="20E31040">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4. 为落实政府采购政策需满足的要求 </w:t>
      </w:r>
    </w:p>
    <w:p w14:paraId="5A3565EF">
      <w:pPr>
        <w:pageBreakBefore w:val="0"/>
        <w:widowControl w:val="0"/>
        <w:overflowPunct/>
        <w:topLinePunct w:val="0"/>
        <w:bidi w:val="0"/>
        <w:snapToGrid w:val="0"/>
        <w:spacing w:after="0" w:line="360" w:lineRule="auto"/>
        <w:ind w:firstLine="480" w:firstLineChars="200"/>
        <w:jc w:val="both"/>
        <w:rPr>
          <w:rFonts w:ascii="宋体" w:hAnsi="宋体" w:eastAsia="宋体" w:cs="Times New Roman"/>
          <w:kern w:val="2"/>
          <w:sz w:val="24"/>
          <w:szCs w:val="24"/>
          <w:lang w:val="en-US" w:eastAsia="zh-CN" w:bidi="ar-SA"/>
        </w:rPr>
      </w:pPr>
      <w:r>
        <w:rPr>
          <w:rFonts w:hint="eastAsia" w:ascii="宋体" w:hAnsi="宋体" w:eastAsia="宋体" w:cs="宋体"/>
          <w:color w:val="000000"/>
          <w:kern w:val="2"/>
          <w:sz w:val="24"/>
          <w:szCs w:val="28"/>
          <w:lang w:val="en-US" w:eastAsia="zh-CN" w:bidi="ar-SA"/>
        </w:rPr>
        <w:t>（1）本项目专门面向中小企业，</w:t>
      </w:r>
      <w:r>
        <w:rPr>
          <w:rFonts w:hint="eastAsia" w:ascii="宋体" w:hAnsi="宋体" w:eastAsia="宋体" w:cs="Times New Roman"/>
          <w:color w:val="000000"/>
          <w:kern w:val="2"/>
          <w:sz w:val="24"/>
          <w:szCs w:val="28"/>
          <w:lang w:val="en-US" w:eastAsia="zh-CN" w:bidi="ar-SA"/>
        </w:rPr>
        <w:t>依据“关于《政府采购促进中小企业发展管理办法》的通知”（财库【2020】46号），</w:t>
      </w:r>
      <w:r>
        <w:rPr>
          <w:rFonts w:hint="eastAsia" w:ascii="宋体" w:hAnsi="宋体" w:eastAsia="宋体" w:cs="宋体"/>
          <w:kern w:val="2"/>
          <w:sz w:val="24"/>
          <w:szCs w:val="28"/>
          <w:lang w:val="en-US" w:eastAsia="zh-CN" w:bidi="ar"/>
        </w:rPr>
        <w:t>价格评审时，不再实行价格扣除</w:t>
      </w:r>
      <w:r>
        <w:rPr>
          <w:rFonts w:hint="eastAsia" w:ascii="宋体" w:hAnsi="宋体" w:eastAsia="宋体" w:cs="Times New Roman"/>
          <w:color w:val="000000"/>
          <w:kern w:val="2"/>
          <w:sz w:val="24"/>
          <w:szCs w:val="28"/>
          <w:lang w:val="en-US" w:eastAsia="zh-CN" w:bidi="ar-SA"/>
        </w:rPr>
        <w:t>；</w:t>
      </w:r>
    </w:p>
    <w:p w14:paraId="40540CF8">
      <w:pPr>
        <w:pageBreakBefore w:val="0"/>
        <w:widowControl w:val="0"/>
        <w:overflowPunct/>
        <w:topLinePunct w:val="0"/>
        <w:bidi w:val="0"/>
        <w:snapToGrid w:val="0"/>
        <w:spacing w:after="0" w:line="360" w:lineRule="auto"/>
        <w:ind w:firstLine="480" w:firstLineChars="20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w:t>
      </w:r>
      <w:r>
        <w:rPr>
          <w:rFonts w:ascii="宋体" w:hAnsi="宋体" w:eastAsia="宋体" w:cs="Times New Roman"/>
          <w:kern w:val="2"/>
          <w:sz w:val="24"/>
          <w:szCs w:val="24"/>
          <w:lang w:val="en-US" w:eastAsia="zh-CN" w:bidi="ar-SA"/>
        </w:rPr>
        <w:t>根据《财政部民政部中国残疾人联合会关于促进残疾人就业政府采购政策的通知》（财库〔2017〕141号），残疾人福利性单位视同小微企业</w:t>
      </w:r>
      <w:r>
        <w:rPr>
          <w:rFonts w:hint="eastAsia" w:ascii="宋体" w:hAnsi="宋体" w:eastAsia="宋体" w:cs="Times New Roman"/>
          <w:kern w:val="2"/>
          <w:sz w:val="24"/>
          <w:szCs w:val="24"/>
          <w:lang w:val="en-US" w:eastAsia="zh-CN" w:bidi="ar-SA"/>
        </w:rPr>
        <w:t>；</w:t>
      </w:r>
    </w:p>
    <w:p w14:paraId="3CF4D8DE">
      <w:pPr>
        <w:pageBreakBefore w:val="0"/>
        <w:widowControl w:val="0"/>
        <w:overflowPunct/>
        <w:topLinePunct w:val="0"/>
        <w:bidi w:val="0"/>
        <w:snapToGrid w:val="0"/>
        <w:spacing w:after="0" w:line="360" w:lineRule="auto"/>
        <w:ind w:firstLine="480" w:firstLineChars="200"/>
        <w:jc w:val="both"/>
        <w:rPr>
          <w:rFonts w:ascii="Calibri" w:hAnsi="Calibri" w:eastAsia="宋体" w:cs="Times New Roman"/>
          <w:kern w:val="2"/>
          <w:sz w:val="28"/>
          <w:szCs w:val="28"/>
          <w:lang w:val="en-US" w:eastAsia="zh-CN" w:bidi="ar-SA"/>
        </w:rPr>
      </w:pPr>
      <w:r>
        <w:rPr>
          <w:rFonts w:ascii="宋体" w:hAnsi="宋体" w:eastAsia="宋体" w:cs="Times New Roman"/>
          <w:kern w:val="2"/>
          <w:sz w:val="24"/>
          <w:szCs w:val="24"/>
          <w:lang w:val="en-US" w:eastAsia="zh-CN" w:bidi="ar-SA"/>
        </w:rPr>
        <w:t xml:space="preserve"> </w:t>
      </w:r>
      <w:r>
        <w:rPr>
          <w:rFonts w:hint="eastAsia" w:ascii="宋体" w:hAnsi="宋体" w:eastAsia="宋体" w:cs="Times New Roman"/>
          <w:kern w:val="2"/>
          <w:sz w:val="24"/>
          <w:szCs w:val="24"/>
          <w:lang w:val="en-US" w:eastAsia="zh-CN" w:bidi="ar-SA"/>
        </w:rPr>
        <w:t>（3）</w:t>
      </w:r>
      <w:r>
        <w:rPr>
          <w:rFonts w:ascii="宋体" w:hAnsi="宋体" w:eastAsia="宋体" w:cs="Times New Roman"/>
          <w:kern w:val="2"/>
          <w:sz w:val="24"/>
          <w:szCs w:val="24"/>
          <w:lang w:val="en-US" w:eastAsia="zh-CN" w:bidi="ar-SA"/>
        </w:rPr>
        <w:t>根据《关于政府采购支持监狱企业发展有关问题的通知》（财库〔2014〕68号）， 监狱企业视同小微企业</w:t>
      </w:r>
      <w:r>
        <w:rPr>
          <w:rFonts w:hint="eastAsia" w:ascii="宋体" w:hAnsi="宋体" w:eastAsia="宋体" w:cs="Times New Roman"/>
          <w:kern w:val="2"/>
          <w:sz w:val="24"/>
          <w:szCs w:val="24"/>
          <w:lang w:val="en-US" w:eastAsia="zh-CN" w:bidi="ar-SA"/>
        </w:rPr>
        <w:t>。</w:t>
      </w:r>
    </w:p>
    <w:p w14:paraId="007DCD72">
      <w:pPr>
        <w:keepNext w:val="0"/>
        <w:keepLines w:val="0"/>
        <w:pageBreakBefore w:val="0"/>
        <w:widowControl/>
        <w:numPr>
          <w:ilvl w:val="0"/>
          <w:numId w:val="0"/>
        </w:numPr>
        <w:suppressLineNumbers w:val="0"/>
        <w:kinsoku/>
        <w:overflowPunct/>
        <w:topLinePunct w:val="0"/>
        <w:autoSpaceDE/>
        <w:autoSpaceDN/>
        <w:bidi w:val="0"/>
        <w:adjustRightInd/>
        <w:snapToGrid w:val="0"/>
        <w:spacing w:after="0" w:line="240" w:lineRule="auto"/>
        <w:jc w:val="left"/>
        <w:textAlignment w:val="auto"/>
        <w:rPr>
          <w:rFonts w:hint="eastAsia" w:ascii="宋体" w:hAnsi="宋体" w:eastAsia="宋体" w:cs="宋体"/>
          <w:b/>
          <w:bCs/>
          <w:snapToGrid w:val="0"/>
          <w:color w:val="auto"/>
          <w:sz w:val="28"/>
          <w:szCs w:val="28"/>
          <w:lang w:val="en-US" w:eastAsia="zh-CN" w:bidi="ar-SA"/>
        </w:rPr>
      </w:pPr>
      <w:r>
        <w:rPr>
          <w:rFonts w:hint="eastAsia" w:ascii="宋体" w:hAnsi="宋体" w:eastAsia="宋体" w:cs="宋体"/>
          <w:b/>
          <w:bCs/>
          <w:snapToGrid w:val="0"/>
          <w:color w:val="auto"/>
          <w:sz w:val="28"/>
          <w:szCs w:val="28"/>
          <w:lang w:val="en-US" w:eastAsia="zh-CN" w:bidi="ar-SA"/>
        </w:rPr>
        <w:t>5. 需由供应商提供设计方案、解决方案或者组织方案的采购项目，应当说明采购标的的功能、应用场景、目标等基本要求</w:t>
      </w:r>
    </w:p>
    <w:p w14:paraId="099CE3C7">
      <w:pPr>
        <w:pStyle w:val="2"/>
        <w:rPr>
          <w:rFonts w:hint="default"/>
          <w:lang w:val="en-US" w:eastAsia="zh-CN"/>
        </w:rPr>
      </w:pPr>
      <w:r>
        <w:rPr>
          <w:rFonts w:hint="eastAsia" w:ascii="宋体" w:hAnsi="宋体" w:cs="宋体"/>
          <w:b/>
          <w:bCs/>
          <w:snapToGrid w:val="0"/>
          <w:color w:val="auto"/>
          <w:sz w:val="28"/>
          <w:szCs w:val="28"/>
          <w:lang w:val="en-US" w:eastAsia="zh-CN" w:bidi="ar-SA"/>
        </w:rPr>
        <w:t xml:space="preserve">   </w:t>
      </w:r>
      <w:r>
        <w:rPr>
          <w:rFonts w:hint="eastAsia" w:ascii="宋体" w:hAnsi="宋体" w:eastAsia="宋体" w:cs="Times New Roman"/>
          <w:snapToGrid w:val="0"/>
          <w:color w:val="000000"/>
          <w:kern w:val="2"/>
          <w:sz w:val="24"/>
          <w:szCs w:val="24"/>
          <w:lang w:val="en-US" w:eastAsia="zh-CN" w:bidi="ar-SA"/>
        </w:rPr>
        <w:t>无</w:t>
      </w:r>
      <w:r>
        <w:rPr>
          <w:rFonts w:hint="eastAsia" w:ascii="宋体" w:hAnsi="宋体" w:cs="Times New Roman"/>
          <w:snapToGrid w:val="0"/>
          <w:color w:val="000000"/>
          <w:kern w:val="2"/>
          <w:sz w:val="24"/>
          <w:szCs w:val="24"/>
          <w:lang w:val="en-US" w:eastAsia="zh-CN" w:bidi="ar-SA"/>
        </w:rPr>
        <w:t>。</w:t>
      </w:r>
    </w:p>
    <w:p w14:paraId="4C8C5D35">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6. 验收标准 </w:t>
      </w:r>
    </w:p>
    <w:p w14:paraId="620A49F9">
      <w:pPr>
        <w:pageBreakBefore w:val="0"/>
        <w:widowControl w:val="0"/>
        <w:kinsoku/>
        <w:overflowPunct/>
        <w:topLinePunct w:val="0"/>
        <w:autoSpaceDE/>
        <w:autoSpaceDN/>
        <w:bidi w:val="0"/>
        <w:adjustRightInd/>
        <w:snapToGrid w:val="0"/>
        <w:spacing w:after="0" w:line="360" w:lineRule="auto"/>
        <w:ind w:firstLine="480" w:firstLineChars="200"/>
        <w:jc w:val="both"/>
        <w:textAlignment w:val="auto"/>
        <w:rPr>
          <w:rFonts w:ascii="宋体" w:hAnsi="宋体" w:eastAsia="宋体" w:cs="Times New Roman"/>
          <w:snapToGrid/>
          <w:kern w:val="2"/>
          <w:sz w:val="24"/>
          <w:szCs w:val="24"/>
          <w:highlight w:val="none"/>
          <w:lang w:eastAsia="zh-CN"/>
        </w:rPr>
      </w:pPr>
      <w:r>
        <w:rPr>
          <w:rFonts w:hint="eastAsia" w:ascii="宋体" w:hAnsi="宋体" w:eastAsia="宋体" w:cs="Times New Roman"/>
          <w:snapToGrid/>
          <w:kern w:val="2"/>
          <w:sz w:val="24"/>
          <w:szCs w:val="24"/>
          <w:highlight w:val="none"/>
          <w:lang w:eastAsia="zh-CN"/>
        </w:rPr>
        <w:t>（</w:t>
      </w:r>
      <w:r>
        <w:rPr>
          <w:rFonts w:hint="eastAsia" w:ascii="宋体" w:hAnsi="宋体" w:eastAsia="宋体" w:cs="Times New Roman"/>
          <w:snapToGrid/>
          <w:kern w:val="2"/>
          <w:sz w:val="24"/>
          <w:szCs w:val="24"/>
          <w:highlight w:val="none"/>
          <w:lang w:val="en-US" w:eastAsia="zh-CN"/>
        </w:rPr>
        <w:t>1</w:t>
      </w:r>
      <w:r>
        <w:rPr>
          <w:rFonts w:hint="eastAsia" w:ascii="宋体" w:hAnsi="宋体" w:eastAsia="宋体" w:cs="Times New Roman"/>
          <w:snapToGrid/>
          <w:kern w:val="2"/>
          <w:sz w:val="24"/>
          <w:szCs w:val="24"/>
          <w:highlight w:val="none"/>
          <w:lang w:eastAsia="zh-CN"/>
        </w:rPr>
        <w:t>）验收标准：供应商按照合同约定完成</w:t>
      </w:r>
      <w:r>
        <w:rPr>
          <w:rFonts w:hint="eastAsia" w:ascii="宋体" w:hAnsi="宋体" w:eastAsia="宋体" w:cs="Times New Roman"/>
          <w:snapToGrid/>
          <w:kern w:val="2"/>
          <w:sz w:val="24"/>
          <w:szCs w:val="24"/>
          <w:highlight w:val="none"/>
          <w:lang w:val="en-US" w:eastAsia="zh-CN"/>
        </w:rPr>
        <w:t>全部工作内容</w:t>
      </w:r>
      <w:r>
        <w:rPr>
          <w:rFonts w:hint="eastAsia" w:ascii="宋体" w:hAnsi="宋体" w:eastAsia="宋体" w:cs="Times New Roman"/>
          <w:snapToGrid/>
          <w:kern w:val="2"/>
          <w:sz w:val="24"/>
          <w:szCs w:val="24"/>
          <w:highlight w:val="none"/>
          <w:lang w:eastAsia="zh-CN"/>
        </w:rPr>
        <w:t>，同时提交完整的验收资料。采购人组织相关专业人员对本项目技术和商务履约情况进行验收，验收合格后双方签署验收书。验收不合格的，由供应商按要求弥补缺陷后再次组织验收，直至验收合格。具体验收参照《北京市南水北调大宁管理处项目管理办法》进行。</w:t>
      </w:r>
    </w:p>
    <w:p w14:paraId="6DC75838">
      <w:pPr>
        <w:pageBreakBefore w:val="0"/>
        <w:widowControl w:val="0"/>
        <w:overflowPunct/>
        <w:topLinePunct w:val="0"/>
        <w:bidi w:val="0"/>
        <w:snapToGrid w:val="0"/>
        <w:spacing w:after="0" w:line="360" w:lineRule="auto"/>
        <w:ind w:firstLine="480" w:firstLineChars="20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（2）验收方法：采用现场检查、查阅资料、确认工程量计量单，召开验收会议等方式完成验收。</w:t>
      </w:r>
    </w:p>
    <w:p w14:paraId="73B290B6">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7. 工程量清单</w:t>
      </w:r>
    </w:p>
    <w:p w14:paraId="49B676BC">
      <w:pPr>
        <w:pageBreakBefore w:val="0"/>
        <w:widowControl w:val="0"/>
        <w:kinsoku/>
        <w:overflowPunct/>
        <w:topLinePunct w:val="0"/>
        <w:autoSpaceDE/>
        <w:autoSpaceDN/>
        <w:bidi w:val="0"/>
        <w:adjustRightInd/>
        <w:snapToGrid w:val="0"/>
        <w:spacing w:after="0" w:line="360" w:lineRule="auto"/>
        <w:ind w:firstLine="480" w:firstLineChars="200"/>
        <w:jc w:val="both"/>
        <w:textAlignment w:val="auto"/>
        <w:rPr>
          <w:rFonts w:hint="eastAsia" w:ascii="宋体" w:hAnsi="宋体" w:eastAsia="宋体" w:cs="Times New Roman"/>
          <w:snapToGrid/>
          <w:color w:val="000000"/>
          <w:kern w:val="2"/>
          <w:sz w:val="24"/>
          <w:szCs w:val="24"/>
          <w:highlight w:val="none"/>
          <w:lang w:val="en-US" w:eastAsia="zh-CN" w:bidi="ar-SA"/>
        </w:rPr>
      </w:pPr>
      <w:r>
        <w:rPr>
          <w:rFonts w:hint="eastAsia" w:ascii="宋体" w:hAnsi="宋体" w:eastAsia="宋体" w:cs="Times New Roman"/>
          <w:snapToGrid/>
          <w:color w:val="000000"/>
          <w:kern w:val="2"/>
          <w:sz w:val="24"/>
          <w:szCs w:val="24"/>
          <w:highlight w:val="none"/>
          <w:lang w:val="en-US" w:eastAsia="zh-CN" w:bidi="ar-SA"/>
        </w:rPr>
        <w:t>服务清单见附件-北京市南水北调大宁管理处水利工程日常维修养护-设备设施维修养护-采购清单。</w:t>
      </w:r>
    </w:p>
    <w:p w14:paraId="7FA7392C">
      <w:pPr>
        <w:pageBreakBefore w:val="0"/>
        <w:widowControl w:val="0"/>
        <w:overflowPunct/>
        <w:topLinePunct w:val="0"/>
        <w:bidi w:val="0"/>
        <w:snapToGrid w:val="0"/>
        <w:spacing w:after="0" w:line="360" w:lineRule="auto"/>
        <w:ind w:firstLine="480" w:firstLineChars="200"/>
        <w:jc w:val="left"/>
        <w:rPr>
          <w:rFonts w:hint="default" w:ascii="宋体" w:hAnsi="宋体" w:eastAsia="宋体" w:cs="Times New Roman"/>
          <w:kern w:val="2"/>
          <w:sz w:val="24"/>
          <w:szCs w:val="24"/>
          <w:lang w:val="en-US" w:eastAsia="zh-CN" w:bidi="ar-SA"/>
        </w:rPr>
      </w:pPr>
    </w:p>
    <w:p w14:paraId="0867F001">
      <w:pPr>
        <w:pageBreakBefore w:val="0"/>
        <w:kinsoku/>
        <w:overflowPunct/>
        <w:topLinePunct w:val="0"/>
        <w:autoSpaceDE/>
        <w:autoSpaceDN/>
        <w:bidi w:val="0"/>
        <w:adjustRightInd/>
        <w:snapToGrid w:val="0"/>
        <w:spacing w:after="0" w:line="560" w:lineRule="exact"/>
        <w:ind w:firstLine="560"/>
        <w:textAlignment w:val="auto"/>
        <w:rPr>
          <w:rFonts w:hint="eastAsia" w:ascii="宋体" w:hAnsi="宋体" w:eastAsia="宋体" w:cs="宋体"/>
          <w:color w:val="auto"/>
          <w:sz w:val="24"/>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4"/>
        </w:rPr>
        <w:br w:type="page"/>
      </w:r>
    </w:p>
    <w:p w14:paraId="2C05C479">
      <w:pPr>
        <w:pageBreakBefore w:val="0"/>
        <w:kinsoku/>
        <w:overflowPunct/>
        <w:topLinePunct w:val="0"/>
        <w:autoSpaceDE/>
        <w:autoSpaceDN/>
        <w:bidi w:val="0"/>
        <w:adjustRightInd/>
        <w:snapToGrid w:val="0"/>
        <w:spacing w:after="0"/>
        <w:jc w:val="center"/>
        <w:textAlignment w:val="auto"/>
        <w:outlineLvl w:val="1"/>
        <w:rPr>
          <w:rFonts w:hint="eastAsia" w:ascii="宋体" w:hAnsi="宋体" w:eastAsia="宋体"/>
          <w:b/>
          <w:bCs/>
          <w:color w:val="auto"/>
          <w:sz w:val="36"/>
          <w:szCs w:val="36"/>
        </w:rPr>
      </w:pPr>
      <w:bookmarkStart w:id="45" w:name="_Toc148096364"/>
      <w:r>
        <w:rPr>
          <w:rFonts w:hint="eastAsia" w:ascii="宋体" w:hAnsi="宋体" w:eastAsia="宋体"/>
          <w:b/>
          <w:bCs/>
          <w:color w:val="auto"/>
          <w:sz w:val="36"/>
          <w:szCs w:val="36"/>
        </w:rPr>
        <w:t>第六章   拟签订的合同文本</w:t>
      </w:r>
      <w:bookmarkEnd w:id="45"/>
    </w:p>
    <w:p w14:paraId="04D8BCAE">
      <w:pPr>
        <w:pageBreakBefore w:val="0"/>
        <w:overflowPunct/>
        <w:topLinePunct w:val="0"/>
        <w:bidi w:val="0"/>
        <w:snapToGrid w:val="0"/>
        <w:spacing w:after="0" w:line="360" w:lineRule="auto"/>
        <w:jc w:val="center"/>
        <w:rPr>
          <w:rFonts w:hint="eastAsia" w:ascii="仿宋" w:hAnsi="仿宋" w:eastAsia="仿宋" w:cs="仿宋"/>
          <w:b/>
          <w:color w:val="000000"/>
          <w:sz w:val="28"/>
          <w:lang w:val="en-US" w:eastAsia="zh-CN"/>
        </w:rPr>
      </w:pPr>
      <w:bookmarkStart w:id="46" w:name="_Hlt487972895"/>
      <w:bookmarkEnd w:id="46"/>
      <w:bookmarkStart w:id="47" w:name="_Toc487900382"/>
      <w:bookmarkStart w:id="48" w:name="_Toc446587520"/>
      <w:bookmarkStart w:id="49" w:name="_Toc446587506"/>
      <w:bookmarkStart w:id="50" w:name="_Toc3129880"/>
      <w:bookmarkStart w:id="51" w:name="_Toc312658970"/>
      <w:bookmarkStart w:id="52" w:name="_Toc266262036"/>
      <w:bookmarkStart w:id="53" w:name="_Toc212972186"/>
      <w:bookmarkStart w:id="54" w:name="_Toc267494476"/>
      <w:bookmarkStart w:id="55" w:name="_Toc431365390"/>
      <w:bookmarkStart w:id="56" w:name="_Toc369678074"/>
    </w:p>
    <w:p w14:paraId="2D036D13">
      <w:pPr>
        <w:pageBreakBefore w:val="0"/>
        <w:overflowPunct/>
        <w:topLinePunct w:val="0"/>
        <w:bidi w:val="0"/>
        <w:snapToGrid w:val="0"/>
        <w:spacing w:after="0" w:line="360" w:lineRule="auto"/>
        <w:jc w:val="center"/>
        <w:rPr>
          <w:rFonts w:hint="eastAsia" w:ascii="仿宋" w:hAnsi="仿宋" w:eastAsia="仿宋" w:cs="仿宋"/>
          <w:color w:val="000000"/>
          <w:kern w:val="0"/>
          <w:sz w:val="48"/>
          <w:szCs w:val="48"/>
        </w:rPr>
      </w:pPr>
      <w:r>
        <w:rPr>
          <w:rFonts w:hint="eastAsia" w:ascii="仿宋" w:hAnsi="仿宋" w:eastAsia="仿宋" w:cs="仿宋"/>
          <w:b/>
          <w:color w:val="000000"/>
          <w:sz w:val="28"/>
          <w:lang w:val="en-US" w:eastAsia="zh-CN"/>
        </w:rPr>
        <w:t xml:space="preserve"> </w:t>
      </w:r>
      <w:bookmarkEnd w:id="47"/>
    </w:p>
    <w:p w14:paraId="5D9CE1E5">
      <w:pPr>
        <w:pageBreakBefore w:val="0"/>
        <w:overflowPunct/>
        <w:topLinePunct w:val="0"/>
        <w:bidi w:val="0"/>
        <w:snapToGrid w:val="0"/>
        <w:spacing w:after="0" w:line="360" w:lineRule="auto"/>
        <w:jc w:val="center"/>
        <w:rPr>
          <w:rFonts w:hint="eastAsia" w:ascii="仿宋" w:hAnsi="仿宋" w:eastAsia="仿宋" w:cs="仿宋"/>
          <w:color w:val="000000"/>
          <w:kern w:val="0"/>
          <w:sz w:val="48"/>
          <w:szCs w:val="48"/>
        </w:rPr>
      </w:pPr>
    </w:p>
    <w:p w14:paraId="20D7C037">
      <w:pPr>
        <w:pageBreakBefore w:val="0"/>
        <w:overflowPunct/>
        <w:topLinePunct w:val="0"/>
        <w:bidi w:val="0"/>
        <w:snapToGrid w:val="0"/>
        <w:spacing w:after="0" w:line="360" w:lineRule="auto"/>
        <w:jc w:val="center"/>
        <w:rPr>
          <w:rFonts w:hint="eastAsia" w:ascii="宋体" w:hAnsi="宋体" w:eastAsia="宋体" w:cs="宋体"/>
          <w:color w:val="000000"/>
          <w:sz w:val="48"/>
          <w:szCs w:val="48"/>
          <w:lang w:val="en-US" w:eastAsia="zh-CN"/>
        </w:rPr>
      </w:pPr>
      <w:r>
        <w:rPr>
          <w:rFonts w:hint="eastAsia" w:ascii="宋体" w:hAnsi="宋体" w:eastAsia="宋体" w:cs="宋体"/>
          <w:b/>
          <w:bCs/>
          <w:color w:val="000000"/>
          <w:kern w:val="0"/>
          <w:sz w:val="48"/>
          <w:szCs w:val="48"/>
          <w:lang w:val="en-US" w:eastAsia="zh-CN"/>
        </w:rPr>
        <w:t>北京市南水北调大宁管理处水利工程日常维修养护-设备设施维修养护合同</w:t>
      </w:r>
    </w:p>
    <w:p w14:paraId="32CA6EAB">
      <w:pPr>
        <w:pageBreakBefore w:val="0"/>
        <w:overflowPunct/>
        <w:topLinePunct w:val="0"/>
        <w:bidi w:val="0"/>
        <w:snapToGrid w:val="0"/>
        <w:spacing w:after="0" w:line="360" w:lineRule="auto"/>
        <w:ind w:firstLine="3450" w:firstLineChars="1150"/>
        <w:jc w:val="both"/>
        <w:rPr>
          <w:rFonts w:hint="eastAsia" w:ascii="宋体" w:hAnsi="宋体" w:eastAsia="宋体" w:cs="宋体"/>
          <w:color w:val="000000"/>
          <w:sz w:val="30"/>
          <w:szCs w:val="30"/>
          <w:lang w:val="en-US" w:eastAsia="zh-CN"/>
        </w:rPr>
      </w:pPr>
    </w:p>
    <w:p w14:paraId="39E3B8EB">
      <w:pPr>
        <w:pageBreakBefore w:val="0"/>
        <w:overflowPunct/>
        <w:topLinePunct w:val="0"/>
        <w:bidi w:val="0"/>
        <w:snapToGrid w:val="0"/>
        <w:spacing w:after="0" w:line="360" w:lineRule="auto"/>
        <w:ind w:firstLine="3450" w:firstLineChars="1150"/>
        <w:jc w:val="both"/>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w:t>
      </w:r>
      <w:r>
        <w:rPr>
          <w:rFonts w:hint="eastAsia" w:ascii="宋体" w:hAnsi="宋体" w:eastAsia="宋体" w:cs="宋体"/>
          <w:color w:val="000000"/>
          <w:sz w:val="30"/>
          <w:szCs w:val="30"/>
        </w:rPr>
        <w:t>合同编号</w:t>
      </w:r>
      <w:r>
        <w:rPr>
          <w:rFonts w:hint="eastAsia" w:ascii="宋体" w:hAnsi="宋体" w:eastAsia="宋体" w:cs="宋体"/>
          <w:color w:val="auto"/>
          <w:sz w:val="30"/>
          <w:szCs w:val="30"/>
        </w:rPr>
        <w:t>：</w:t>
      </w:r>
      <w:r>
        <w:rPr>
          <w:rFonts w:hint="eastAsia" w:ascii="宋体" w:hAnsi="宋体" w:cs="宋体"/>
          <w:color w:val="auto"/>
          <w:sz w:val="30"/>
          <w:szCs w:val="30"/>
          <w:lang w:val="en-US" w:eastAsia="zh-CN"/>
        </w:rPr>
        <w:t>）</w:t>
      </w:r>
    </w:p>
    <w:p w14:paraId="12E245FF">
      <w:pPr>
        <w:pageBreakBefore w:val="0"/>
        <w:overflowPunct/>
        <w:topLinePunct w:val="0"/>
        <w:bidi w:val="0"/>
        <w:snapToGrid w:val="0"/>
        <w:spacing w:after="0" w:line="360" w:lineRule="auto"/>
        <w:rPr>
          <w:rFonts w:hint="eastAsia" w:ascii="仿宋" w:hAnsi="仿宋" w:eastAsia="仿宋" w:cs="仿宋"/>
          <w:color w:val="000000"/>
          <w:sz w:val="30"/>
          <w:szCs w:val="30"/>
        </w:rPr>
      </w:pPr>
    </w:p>
    <w:p w14:paraId="334F50EC">
      <w:pPr>
        <w:pageBreakBefore w:val="0"/>
        <w:overflowPunct/>
        <w:topLinePunct w:val="0"/>
        <w:bidi w:val="0"/>
        <w:snapToGrid w:val="0"/>
        <w:spacing w:after="0" w:line="360" w:lineRule="auto"/>
        <w:rPr>
          <w:rFonts w:hint="eastAsia" w:ascii="仿宋" w:hAnsi="仿宋" w:eastAsia="仿宋" w:cs="仿宋"/>
          <w:color w:val="000000"/>
          <w:sz w:val="30"/>
          <w:szCs w:val="30"/>
        </w:rPr>
      </w:pPr>
    </w:p>
    <w:p w14:paraId="591DB722">
      <w:pPr>
        <w:pageBreakBefore w:val="0"/>
        <w:overflowPunct/>
        <w:topLinePunct w:val="0"/>
        <w:autoSpaceDE w:val="0"/>
        <w:autoSpaceDN w:val="0"/>
        <w:bidi w:val="0"/>
        <w:snapToGrid w:val="0"/>
        <w:spacing w:after="0" w:line="360" w:lineRule="auto"/>
        <w:ind w:firstLine="1125" w:firstLineChars="375"/>
        <w:jc w:val="left"/>
        <w:rPr>
          <w:rFonts w:hint="eastAsia" w:ascii="仿宋" w:hAnsi="仿宋" w:eastAsia="仿宋" w:cs="仿宋"/>
          <w:color w:val="000000"/>
          <w:kern w:val="0"/>
          <w:sz w:val="30"/>
          <w:szCs w:val="30"/>
        </w:rPr>
      </w:pPr>
    </w:p>
    <w:p w14:paraId="2C059F78">
      <w:pPr>
        <w:pageBreakBefore w:val="0"/>
        <w:overflowPunct/>
        <w:topLinePunct w:val="0"/>
        <w:autoSpaceDE w:val="0"/>
        <w:autoSpaceDN w:val="0"/>
        <w:bidi w:val="0"/>
        <w:snapToGrid w:val="0"/>
        <w:spacing w:after="0" w:line="360" w:lineRule="auto"/>
        <w:ind w:firstLine="0" w:firstLineChars="0"/>
        <w:jc w:val="left"/>
        <w:rPr>
          <w:rFonts w:hint="eastAsia" w:ascii="仿宋" w:hAnsi="仿宋" w:eastAsia="仿宋" w:cs="仿宋"/>
          <w:color w:val="000000"/>
          <w:kern w:val="0"/>
          <w:sz w:val="30"/>
          <w:szCs w:val="30"/>
        </w:rPr>
      </w:pPr>
    </w:p>
    <w:p w14:paraId="54157FFD">
      <w:pPr>
        <w:pageBreakBefore w:val="0"/>
        <w:overflowPunct/>
        <w:topLinePunct w:val="0"/>
        <w:autoSpaceDE w:val="0"/>
        <w:autoSpaceDN w:val="0"/>
        <w:bidi w:val="0"/>
        <w:snapToGrid w:val="0"/>
        <w:spacing w:after="0" w:line="360" w:lineRule="auto"/>
        <w:jc w:val="left"/>
        <w:rPr>
          <w:rFonts w:hint="eastAsia" w:ascii="仿宋" w:hAnsi="仿宋" w:eastAsia="仿宋" w:cs="仿宋"/>
          <w:color w:val="000000"/>
          <w:kern w:val="0"/>
          <w:sz w:val="30"/>
          <w:szCs w:val="30"/>
        </w:rPr>
      </w:pPr>
    </w:p>
    <w:p w14:paraId="3E651095">
      <w:pPr>
        <w:pStyle w:val="2"/>
        <w:rPr>
          <w:rFonts w:hint="eastAsia" w:ascii="仿宋" w:hAnsi="仿宋" w:eastAsia="仿宋" w:cs="仿宋"/>
          <w:color w:val="000000"/>
          <w:kern w:val="0"/>
          <w:sz w:val="30"/>
          <w:szCs w:val="30"/>
        </w:rPr>
      </w:pPr>
    </w:p>
    <w:p w14:paraId="2408144D">
      <w:pPr>
        <w:pStyle w:val="2"/>
        <w:rPr>
          <w:rFonts w:hint="eastAsia" w:ascii="仿宋" w:hAnsi="仿宋" w:eastAsia="仿宋" w:cs="仿宋"/>
          <w:color w:val="000000"/>
          <w:kern w:val="0"/>
          <w:sz w:val="30"/>
          <w:szCs w:val="30"/>
        </w:rPr>
      </w:pPr>
    </w:p>
    <w:p w14:paraId="0A073488">
      <w:pPr>
        <w:pageBreakBefore w:val="0"/>
        <w:overflowPunct/>
        <w:topLinePunct w:val="0"/>
        <w:autoSpaceDE w:val="0"/>
        <w:autoSpaceDN w:val="0"/>
        <w:bidi w:val="0"/>
        <w:snapToGrid w:val="0"/>
        <w:spacing w:after="0" w:line="360" w:lineRule="auto"/>
        <w:ind w:firstLine="1125" w:firstLineChars="375"/>
        <w:jc w:val="left"/>
        <w:rPr>
          <w:rFonts w:hint="eastAsia" w:ascii="宋体" w:hAnsi="宋体" w:eastAsia="宋体" w:cs="宋体"/>
          <w:color w:val="000000"/>
          <w:kern w:val="0"/>
          <w:sz w:val="30"/>
          <w:szCs w:val="30"/>
        </w:rPr>
      </w:pPr>
    </w:p>
    <w:p w14:paraId="244449F4">
      <w:pPr>
        <w:pStyle w:val="2"/>
        <w:pageBreakBefore w:val="0"/>
        <w:overflowPunct/>
        <w:topLinePunct w:val="0"/>
        <w:bidi w:val="0"/>
        <w:snapToGrid w:val="0"/>
        <w:spacing w:after="0"/>
        <w:rPr>
          <w:rFonts w:hint="default" w:ascii="Times New Roman" w:hAnsi="Times New Roman" w:eastAsia="宋体" w:cs="Times New Roman"/>
          <w:kern w:val="2"/>
          <w:sz w:val="21"/>
          <w:szCs w:val="24"/>
        </w:rPr>
      </w:pPr>
    </w:p>
    <w:p w14:paraId="154BE387">
      <w:pPr>
        <w:pageBreakBefore w:val="0"/>
        <w:overflowPunct/>
        <w:topLinePunct w:val="0"/>
        <w:autoSpaceDE w:val="0"/>
        <w:autoSpaceDN w:val="0"/>
        <w:bidi w:val="0"/>
        <w:snapToGrid w:val="0"/>
        <w:spacing w:after="0" w:line="360" w:lineRule="auto"/>
        <w:ind w:firstLine="1425" w:firstLineChars="475"/>
        <w:jc w:val="left"/>
        <w:rPr>
          <w:rFonts w:hint="eastAsia" w:ascii="宋体" w:hAnsi="宋体" w:eastAsia="宋体" w:cs="宋体"/>
          <w:color w:val="000000"/>
          <w:sz w:val="30"/>
          <w:szCs w:val="30"/>
        </w:rPr>
      </w:pPr>
      <w:r>
        <w:rPr>
          <w:rFonts w:hint="eastAsia" w:ascii="宋体" w:hAnsi="宋体" w:eastAsia="宋体" w:cs="宋体"/>
          <w:color w:val="000000"/>
          <w:kern w:val="0"/>
          <w:sz w:val="30"/>
          <w:szCs w:val="30"/>
          <w:lang w:val="en-US" w:eastAsia="zh-CN"/>
        </w:rPr>
        <w:t>甲    方</w:t>
      </w:r>
      <w:r>
        <w:rPr>
          <w:rFonts w:hint="eastAsia" w:ascii="宋体" w:hAnsi="宋体" w:eastAsia="宋体" w:cs="宋体"/>
          <w:color w:val="000000"/>
          <w:kern w:val="0"/>
          <w:sz w:val="30"/>
          <w:szCs w:val="30"/>
        </w:rPr>
        <w:t>：北京市</w:t>
      </w:r>
      <w:r>
        <w:rPr>
          <w:rFonts w:hint="eastAsia" w:ascii="宋体" w:hAnsi="宋体" w:eastAsia="宋体" w:cs="宋体"/>
          <w:color w:val="000000"/>
          <w:kern w:val="0"/>
          <w:sz w:val="30"/>
          <w:szCs w:val="30"/>
          <w:lang w:eastAsia="zh-CN"/>
        </w:rPr>
        <w:t>水利工程管理中心</w:t>
      </w:r>
    </w:p>
    <w:p w14:paraId="58C8759A">
      <w:pPr>
        <w:pageBreakBefore w:val="0"/>
        <w:overflowPunct/>
        <w:topLinePunct w:val="0"/>
        <w:bidi w:val="0"/>
        <w:snapToGrid w:val="0"/>
        <w:spacing w:after="0" w:line="360" w:lineRule="auto"/>
        <w:ind w:left="1" w:firstLine="1419" w:firstLineChars="473"/>
        <w:rPr>
          <w:rFonts w:hint="eastAsia" w:ascii="宋体" w:hAnsi="宋体" w:eastAsia="宋体" w:cs="宋体"/>
          <w:color w:val="000000"/>
          <w:kern w:val="0"/>
          <w:sz w:val="30"/>
          <w:szCs w:val="30"/>
        </w:rPr>
      </w:pPr>
      <w:r>
        <w:rPr>
          <w:rFonts w:hint="eastAsia" w:ascii="宋体" w:hAnsi="宋体" w:eastAsia="宋体" w:cs="宋体"/>
          <w:color w:val="000000"/>
          <w:sz w:val="30"/>
          <w:szCs w:val="30"/>
          <w:lang w:val="en-US" w:eastAsia="zh-CN"/>
        </w:rPr>
        <w:t>乙    方</w:t>
      </w:r>
      <w:r>
        <w:rPr>
          <w:rFonts w:hint="eastAsia" w:ascii="宋体" w:hAnsi="宋体" w:eastAsia="宋体" w:cs="宋体"/>
          <w:color w:val="000000"/>
          <w:kern w:val="0"/>
          <w:sz w:val="30"/>
          <w:szCs w:val="30"/>
        </w:rPr>
        <w:t>：</w:t>
      </w:r>
    </w:p>
    <w:p w14:paraId="69923F59">
      <w:pPr>
        <w:pageBreakBefore w:val="0"/>
        <w:overflowPunct/>
        <w:topLinePunct w:val="0"/>
        <w:bidi w:val="0"/>
        <w:snapToGrid w:val="0"/>
        <w:spacing w:after="0" w:line="360" w:lineRule="auto"/>
        <w:ind w:left="1" w:leftChars="0" w:firstLine="1419" w:firstLineChars="473"/>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签订日期</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sz w:val="30"/>
          <w:szCs w:val="30"/>
        </w:rPr>
        <w:t>年  月  日</w:t>
      </w:r>
    </w:p>
    <w:p w14:paraId="75CB6B7C">
      <w:pPr>
        <w:pageBreakBefore w:val="0"/>
        <w:overflowPunct/>
        <w:topLinePunct w:val="0"/>
        <w:bidi w:val="0"/>
        <w:snapToGrid w:val="0"/>
        <w:spacing w:after="0" w:line="360" w:lineRule="auto"/>
        <w:jc w:val="center"/>
        <w:rPr>
          <w:rFonts w:hint="eastAsia" w:ascii="仿宋" w:hAnsi="仿宋" w:eastAsia="仿宋" w:cs="仿宋"/>
          <w:b/>
          <w:sz w:val="24"/>
          <w:szCs w:val="24"/>
        </w:rPr>
      </w:pPr>
    </w:p>
    <w:p w14:paraId="0FE7D6CD">
      <w:pPr>
        <w:pStyle w:val="2"/>
        <w:rPr>
          <w:rFonts w:hint="eastAsia"/>
        </w:rPr>
      </w:pPr>
    </w:p>
    <w:p w14:paraId="370B7DBE">
      <w:pPr>
        <w:pageBreakBefore w:val="0"/>
        <w:overflowPunct/>
        <w:topLinePunct w:val="0"/>
        <w:bidi w:val="0"/>
        <w:snapToGrid w:val="0"/>
        <w:spacing w:after="0" w:line="360" w:lineRule="auto"/>
        <w:ind w:firstLine="482" w:firstLineChars="200"/>
        <w:jc w:val="left"/>
        <w:rPr>
          <w:rFonts w:hint="eastAsia" w:ascii="仿宋" w:hAnsi="仿宋" w:eastAsia="仿宋" w:cs="仿宋"/>
          <w:b/>
          <w:bCs/>
          <w:color w:val="000000"/>
          <w:sz w:val="24"/>
        </w:rPr>
      </w:pPr>
    </w:p>
    <w:p w14:paraId="17B6EEC2">
      <w:pPr>
        <w:pageBreakBefore w:val="0"/>
        <w:overflowPunct/>
        <w:topLinePunct w:val="0"/>
        <w:bidi w:val="0"/>
        <w:snapToGrid w:val="0"/>
        <w:spacing w:after="0" w:line="360" w:lineRule="auto"/>
        <w:ind w:firstLine="482" w:firstLineChars="200"/>
        <w:jc w:val="left"/>
        <w:rPr>
          <w:rFonts w:hint="eastAsia" w:ascii="仿宋" w:hAnsi="仿宋" w:eastAsia="仿宋" w:cs="仿宋"/>
          <w:b/>
          <w:bCs/>
          <w:color w:val="000000"/>
          <w:sz w:val="24"/>
        </w:rPr>
      </w:pPr>
      <w:r>
        <w:rPr>
          <w:rFonts w:hint="eastAsia" w:ascii="仿宋" w:hAnsi="仿宋" w:eastAsia="仿宋" w:cs="仿宋"/>
          <w:b/>
          <w:bCs/>
          <w:color w:val="000000"/>
          <w:sz w:val="24"/>
        </w:rPr>
        <w:t>甲      方：北京市</w:t>
      </w:r>
      <w:r>
        <w:rPr>
          <w:rFonts w:hint="eastAsia" w:ascii="仿宋" w:hAnsi="仿宋" w:eastAsia="仿宋" w:cs="仿宋"/>
          <w:b/>
          <w:bCs/>
          <w:color w:val="000000"/>
          <w:sz w:val="24"/>
          <w:lang w:eastAsia="zh-CN"/>
        </w:rPr>
        <w:t>水利工程管理中心</w:t>
      </w:r>
      <w:r>
        <w:rPr>
          <w:rFonts w:hint="eastAsia" w:ascii="仿宋" w:hAnsi="仿宋" w:eastAsia="仿宋" w:cs="仿宋"/>
          <w:b/>
          <w:bCs/>
          <w:color w:val="000000"/>
          <w:sz w:val="24"/>
        </w:rPr>
        <w:t xml:space="preserve">    </w:t>
      </w:r>
    </w:p>
    <w:p w14:paraId="32BFC3B2">
      <w:pPr>
        <w:pageBreakBefore w:val="0"/>
        <w:overflowPunct/>
        <w:topLinePunct w:val="0"/>
        <w:bidi w:val="0"/>
        <w:snapToGrid w:val="0"/>
        <w:spacing w:after="0" w:line="360" w:lineRule="auto"/>
        <w:ind w:firstLine="480" w:firstLineChars="200"/>
        <w:jc w:val="left"/>
        <w:rPr>
          <w:rFonts w:hint="eastAsia" w:ascii="仿宋" w:hAnsi="仿宋" w:eastAsia="仿宋" w:cs="仿宋"/>
          <w:color w:val="000000"/>
          <w:sz w:val="24"/>
          <w:lang w:eastAsia="zh-CN"/>
        </w:rPr>
      </w:pPr>
      <w:r>
        <w:rPr>
          <w:rFonts w:hint="eastAsia" w:ascii="仿宋" w:hAnsi="仿宋" w:eastAsia="仿宋" w:cs="仿宋"/>
          <w:color w:val="000000"/>
          <w:sz w:val="24"/>
        </w:rPr>
        <w:t>法定代表人：</w:t>
      </w:r>
      <w:r>
        <w:rPr>
          <w:rFonts w:hint="eastAsia" w:ascii="仿宋" w:hAnsi="仿宋" w:eastAsia="仿宋" w:cs="仿宋"/>
          <w:color w:val="000000"/>
          <w:sz w:val="24"/>
          <w:lang w:eastAsia="zh-CN"/>
        </w:rPr>
        <w:t>易忠</w:t>
      </w:r>
    </w:p>
    <w:p w14:paraId="74881542">
      <w:pPr>
        <w:pageBreakBefore w:val="0"/>
        <w:overflowPunct/>
        <w:topLinePunct w:val="0"/>
        <w:bidi w:val="0"/>
        <w:snapToGrid w:val="0"/>
        <w:spacing w:after="0"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住  所  地：北京市</w:t>
      </w:r>
      <w:r>
        <w:rPr>
          <w:rFonts w:hint="eastAsia" w:ascii="仿宋" w:hAnsi="仿宋" w:eastAsia="仿宋" w:cs="仿宋"/>
          <w:color w:val="000000"/>
          <w:sz w:val="24"/>
          <w:lang w:eastAsia="zh-CN"/>
        </w:rPr>
        <w:t>海淀区</w:t>
      </w:r>
      <w:r>
        <w:rPr>
          <w:rFonts w:hint="eastAsia" w:ascii="仿宋" w:hAnsi="仿宋" w:eastAsia="仿宋" w:cs="仿宋"/>
          <w:color w:val="000000"/>
          <w:sz w:val="24"/>
          <w:lang w:val="en-US" w:eastAsia="zh-CN"/>
        </w:rPr>
        <w:t>翠微</w:t>
      </w:r>
      <w:r>
        <w:rPr>
          <w:rFonts w:hint="eastAsia" w:ascii="仿宋" w:hAnsi="仿宋" w:eastAsia="仿宋" w:cs="仿宋"/>
          <w:color w:val="000000"/>
          <w:sz w:val="24"/>
          <w:lang w:eastAsia="zh-CN"/>
        </w:rPr>
        <w:t>路甲</w:t>
      </w:r>
      <w:r>
        <w:rPr>
          <w:rFonts w:hint="eastAsia" w:ascii="仿宋" w:hAnsi="仿宋" w:eastAsia="仿宋" w:cs="仿宋"/>
          <w:color w:val="000000"/>
          <w:sz w:val="24"/>
          <w:lang w:val="en-US" w:eastAsia="zh-CN"/>
        </w:rPr>
        <w:t>3</w:t>
      </w:r>
      <w:r>
        <w:rPr>
          <w:rFonts w:hint="eastAsia" w:ascii="仿宋" w:hAnsi="仿宋" w:eastAsia="仿宋" w:cs="仿宋"/>
          <w:color w:val="000000"/>
          <w:sz w:val="24"/>
        </w:rPr>
        <w:t>号</w:t>
      </w:r>
    </w:p>
    <w:p w14:paraId="4DE0AE00">
      <w:pPr>
        <w:pStyle w:val="2"/>
        <w:pageBreakBefore w:val="0"/>
        <w:overflowPunct/>
        <w:topLinePunct w:val="0"/>
        <w:bidi w:val="0"/>
        <w:snapToGrid w:val="0"/>
        <w:spacing w:after="0"/>
        <w:ind w:firstLine="480"/>
        <w:rPr>
          <w:rFonts w:ascii="仿宋" w:hAnsi="仿宋" w:eastAsia="仿宋" w:cs="仿宋"/>
          <w:color w:val="000000"/>
          <w:sz w:val="24"/>
          <w:lang w:val="en-US" w:eastAsia="zh-CN"/>
        </w:rPr>
      </w:pPr>
      <w:r>
        <w:rPr>
          <w:rFonts w:hint="eastAsia" w:ascii="仿宋" w:hAnsi="仿宋" w:eastAsia="仿宋" w:cs="仿宋"/>
          <w:color w:val="000000"/>
          <w:sz w:val="24"/>
        </w:rPr>
        <w:t>电      话：</w:t>
      </w:r>
      <w:r>
        <w:rPr>
          <w:rFonts w:hint="eastAsia" w:ascii="仿宋" w:hAnsi="仿宋" w:eastAsia="仿宋" w:cs="仿宋"/>
          <w:color w:val="000000"/>
          <w:sz w:val="24"/>
          <w:lang w:val="en-US" w:eastAsia="zh-CN"/>
        </w:rPr>
        <w:t>010-80364712</w:t>
      </w:r>
    </w:p>
    <w:p w14:paraId="35A8994D">
      <w:pPr>
        <w:pageBreakBefore w:val="0"/>
        <w:overflowPunct/>
        <w:topLinePunct w:val="0"/>
        <w:bidi w:val="0"/>
        <w:snapToGrid w:val="0"/>
        <w:spacing w:after="0" w:line="360" w:lineRule="auto"/>
        <w:ind w:firstLine="480" w:firstLineChars="200"/>
        <w:rPr>
          <w:rFonts w:ascii="仿宋" w:hAnsi="仿宋" w:eastAsia="仿宋" w:cs="仿宋"/>
          <w:color w:val="000000"/>
          <w:kern w:val="2"/>
          <w:sz w:val="24"/>
          <w:szCs w:val="24"/>
          <w:lang w:eastAsia="zh-CN"/>
        </w:rPr>
      </w:pPr>
    </w:p>
    <w:p w14:paraId="2D0C54CB">
      <w:pPr>
        <w:pageBreakBefore w:val="0"/>
        <w:overflowPunct/>
        <w:topLinePunct w:val="0"/>
        <w:bidi w:val="0"/>
        <w:snapToGrid w:val="0"/>
        <w:spacing w:after="0" w:line="360" w:lineRule="auto"/>
        <w:ind w:firstLine="482" w:firstLineChars="200"/>
        <w:rPr>
          <w:rFonts w:ascii="仿宋" w:hAnsi="仿宋" w:eastAsia="仿宋" w:cs="仿宋"/>
          <w:b/>
          <w:bCs/>
          <w:color w:val="000000"/>
          <w:kern w:val="2"/>
          <w:sz w:val="24"/>
          <w:szCs w:val="24"/>
          <w:u w:val="single"/>
          <w:lang w:eastAsia="zh-CN"/>
        </w:rPr>
      </w:pPr>
      <w:r>
        <w:rPr>
          <w:rFonts w:hint="eastAsia" w:ascii="仿宋" w:hAnsi="仿宋" w:eastAsia="仿宋" w:cs="仿宋"/>
          <w:b/>
          <w:bCs/>
          <w:color w:val="000000"/>
          <w:kern w:val="2"/>
          <w:sz w:val="24"/>
          <w:szCs w:val="24"/>
          <w:lang w:eastAsia="zh-CN"/>
        </w:rPr>
        <w:t>乙      方：</w:t>
      </w:r>
    </w:p>
    <w:p w14:paraId="09753378">
      <w:pPr>
        <w:pageBreakBefore w:val="0"/>
        <w:overflowPunct/>
        <w:topLinePunct w:val="0"/>
        <w:bidi w:val="0"/>
        <w:snapToGrid w:val="0"/>
        <w:spacing w:after="0" w:line="360" w:lineRule="auto"/>
        <w:ind w:firstLine="480" w:firstLineChars="200"/>
        <w:jc w:val="left"/>
        <w:rPr>
          <w:rFonts w:ascii="仿宋" w:hAnsi="仿宋" w:eastAsia="仿宋" w:cs="仿宋"/>
          <w:color w:val="000000"/>
          <w:kern w:val="2"/>
          <w:sz w:val="24"/>
          <w:szCs w:val="24"/>
          <w:u w:val="single"/>
          <w:lang w:eastAsia="zh-CN"/>
        </w:rPr>
      </w:pPr>
      <w:r>
        <w:rPr>
          <w:rFonts w:hint="eastAsia" w:ascii="仿宋" w:hAnsi="仿宋" w:eastAsia="仿宋" w:cs="仿宋"/>
          <w:color w:val="000000"/>
          <w:kern w:val="2"/>
          <w:sz w:val="24"/>
          <w:szCs w:val="24"/>
          <w:lang w:eastAsia="zh-CN"/>
        </w:rPr>
        <w:t>法定代表人：</w:t>
      </w:r>
    </w:p>
    <w:p w14:paraId="569F0733">
      <w:pPr>
        <w:pageBreakBefore w:val="0"/>
        <w:overflowPunct/>
        <w:topLinePunct w:val="0"/>
        <w:bidi w:val="0"/>
        <w:snapToGrid w:val="0"/>
        <w:spacing w:after="0" w:line="360" w:lineRule="auto"/>
        <w:ind w:firstLine="480" w:firstLineChars="200"/>
        <w:rPr>
          <w:rFonts w:ascii="仿宋" w:hAnsi="仿宋" w:eastAsia="仿宋" w:cs="仿宋"/>
          <w:color w:val="000000"/>
          <w:kern w:val="2"/>
          <w:sz w:val="24"/>
          <w:szCs w:val="24"/>
          <w:u w:val="single"/>
          <w:lang w:eastAsia="zh-CN"/>
        </w:rPr>
      </w:pPr>
      <w:r>
        <w:rPr>
          <w:rFonts w:hint="eastAsia" w:ascii="仿宋" w:hAnsi="仿宋" w:eastAsia="仿宋" w:cs="仿宋"/>
          <w:color w:val="000000"/>
          <w:kern w:val="2"/>
          <w:sz w:val="24"/>
          <w:szCs w:val="24"/>
          <w:lang w:eastAsia="zh-CN"/>
        </w:rPr>
        <w:t>住  所  地：</w:t>
      </w:r>
    </w:p>
    <w:p w14:paraId="5DAD3315">
      <w:pPr>
        <w:pageBreakBefore w:val="0"/>
        <w:overflowPunct/>
        <w:topLinePunct w:val="0"/>
        <w:bidi w:val="0"/>
        <w:snapToGrid w:val="0"/>
        <w:spacing w:after="0" w:line="360" w:lineRule="auto"/>
        <w:ind w:firstLine="480" w:firstLineChars="200"/>
        <w:rPr>
          <w:rFonts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电      话：</w:t>
      </w:r>
    </w:p>
    <w:p w14:paraId="0E7A1118">
      <w:pPr>
        <w:pStyle w:val="2"/>
        <w:pageBreakBefore w:val="0"/>
        <w:overflowPunct/>
        <w:topLinePunct w:val="0"/>
        <w:bidi w:val="0"/>
        <w:snapToGrid w:val="0"/>
        <w:spacing w:after="0"/>
        <w:rPr>
          <w:rFonts w:ascii="仿宋" w:hAnsi="仿宋" w:eastAsia="仿宋" w:cs="仿宋"/>
          <w:lang w:eastAsia="zh-CN"/>
        </w:rPr>
      </w:pPr>
    </w:p>
    <w:p w14:paraId="01FA6F0A">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000000"/>
          <w:sz w:val="24"/>
          <w:lang w:eastAsia="zh-CN"/>
        </w:rPr>
        <w:t>根</w:t>
      </w:r>
      <w:r>
        <w:rPr>
          <w:rFonts w:hint="eastAsia" w:ascii="仿宋" w:hAnsi="仿宋" w:eastAsia="仿宋" w:cs="仿宋"/>
          <w:color w:val="auto"/>
          <w:sz w:val="24"/>
          <w:highlight w:val="none"/>
          <w:lang w:eastAsia="zh-CN"/>
        </w:rPr>
        <w:t>根据《中华人民共和国民法典》等法律法规的规定，甲乙双方在平等、自愿、公平、诚实、守信的基础上，通过</w:t>
      </w:r>
      <w:r>
        <w:rPr>
          <w:rFonts w:hint="eastAsia" w:ascii="方正仿宋_GBK" w:hAnsi="方正仿宋_GBK" w:eastAsia="方正仿宋_GBK" w:cs="方正仿宋_GBK"/>
          <w:color w:val="auto"/>
          <w:spacing w:val="2"/>
          <w:sz w:val="23"/>
          <w:szCs w:val="23"/>
          <w:highlight w:val="none"/>
          <w:lang w:eastAsia="zh-CN"/>
        </w:rPr>
        <w:t>公开招标</w:t>
      </w:r>
      <w:r>
        <w:rPr>
          <w:rFonts w:hint="eastAsia" w:ascii="仿宋" w:hAnsi="仿宋" w:eastAsia="仿宋" w:cs="仿宋"/>
          <w:color w:val="auto"/>
          <w:sz w:val="24"/>
          <w:highlight w:val="none"/>
          <w:lang w:eastAsia="zh-CN"/>
        </w:rPr>
        <w:t>的方式，就</w:t>
      </w:r>
      <w:r>
        <w:rPr>
          <w:rFonts w:hint="eastAsia" w:ascii="仿宋" w:hAnsi="仿宋" w:eastAsia="仿宋" w:cs="仿宋"/>
          <w:color w:val="auto"/>
          <w:sz w:val="24"/>
          <w:highlight w:val="none"/>
          <w:u w:val="single"/>
          <w:lang w:val="en-US" w:eastAsia="zh-CN"/>
        </w:rPr>
        <w:t>北京市南水北调大宁管理处水利工程日常维修养护-设备设施维修养护</w:t>
      </w:r>
      <w:r>
        <w:rPr>
          <w:rFonts w:hint="eastAsia" w:ascii="仿宋" w:hAnsi="仿宋" w:eastAsia="仿宋" w:cs="仿宋"/>
          <w:color w:val="auto"/>
          <w:sz w:val="24"/>
          <w:highlight w:val="none"/>
          <w:lang w:eastAsia="zh-CN"/>
        </w:rPr>
        <w:t>项目相关事宜，协商一致签订本合同，以资双方共同信守。</w:t>
      </w:r>
    </w:p>
    <w:p w14:paraId="1F133341">
      <w:pPr>
        <w:pStyle w:val="5"/>
        <w:pageBreakBefore w:val="0"/>
        <w:tabs>
          <w:tab w:val="left" w:pos="540"/>
        </w:tabs>
        <w:wordWrap/>
        <w:overflowPunct/>
        <w:topLinePunct w:val="0"/>
        <w:bidi w:val="0"/>
        <w:snapToGrid w:val="0"/>
        <w:spacing w:before="0" w:after="0" w:line="460" w:lineRule="exact"/>
        <w:ind w:firstLine="361" w:firstLineChars="15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第一条 项目概况</w:t>
      </w:r>
    </w:p>
    <w:p w14:paraId="0E30080A">
      <w:pPr>
        <w:pStyle w:val="5"/>
        <w:pageBreakBefore w:val="0"/>
        <w:tabs>
          <w:tab w:val="left" w:pos="540"/>
        </w:tabs>
        <w:wordWrap/>
        <w:overflowPunct/>
        <w:topLinePunct w:val="0"/>
        <w:bidi w:val="0"/>
        <w:snapToGrid w:val="0"/>
        <w:spacing w:before="0" w:after="0" w:line="460" w:lineRule="exact"/>
        <w:ind w:firstLine="360" w:firstLineChars="150"/>
        <w:jc w:val="left"/>
        <w:rPr>
          <w:rFonts w:ascii="仿宋" w:hAnsi="仿宋" w:eastAsia="仿宋" w:cs="仿宋"/>
          <w:b w:val="0"/>
          <w:color w:val="auto"/>
          <w:sz w:val="24"/>
          <w:szCs w:val="24"/>
          <w:highlight w:val="none"/>
          <w:u w:val="none"/>
          <w:lang w:eastAsia="zh-CN"/>
        </w:rPr>
      </w:pPr>
      <w:r>
        <w:rPr>
          <w:rFonts w:hint="eastAsia" w:ascii="仿宋" w:hAnsi="仿宋" w:eastAsia="仿宋" w:cs="仿宋"/>
          <w:b w:val="0"/>
          <w:color w:val="auto"/>
          <w:sz w:val="24"/>
          <w:szCs w:val="24"/>
          <w:highlight w:val="none"/>
          <w:u w:val="none"/>
          <w:lang w:eastAsia="zh-CN"/>
        </w:rPr>
        <w:t>（一）项目名称：</w:t>
      </w:r>
      <w:r>
        <w:rPr>
          <w:rFonts w:hint="eastAsia" w:ascii="仿宋" w:hAnsi="仿宋" w:eastAsia="仿宋" w:cs="仿宋"/>
          <w:b w:val="0"/>
          <w:color w:val="auto"/>
          <w:sz w:val="24"/>
          <w:szCs w:val="24"/>
          <w:highlight w:val="none"/>
          <w:u w:val="none"/>
          <w:lang w:val="en-US" w:eastAsia="zh-CN"/>
        </w:rPr>
        <w:t>北京市南水北调大宁管理处水利工程日常维修养护-设备设施维修养护。</w:t>
      </w:r>
    </w:p>
    <w:p w14:paraId="3BCFD7CA">
      <w:pPr>
        <w:pStyle w:val="5"/>
        <w:pageBreakBefore w:val="0"/>
        <w:tabs>
          <w:tab w:val="left" w:pos="540"/>
        </w:tabs>
        <w:wordWrap/>
        <w:overflowPunct/>
        <w:topLinePunct w:val="0"/>
        <w:bidi w:val="0"/>
        <w:snapToGrid w:val="0"/>
        <w:spacing w:before="0" w:after="0" w:line="460" w:lineRule="exact"/>
        <w:ind w:firstLine="360" w:firstLineChars="150"/>
        <w:jc w:val="both"/>
        <w:rPr>
          <w:rFonts w:ascii="仿宋" w:hAnsi="仿宋" w:eastAsia="仿宋" w:cs="仿宋"/>
          <w:b w:val="0"/>
          <w:color w:val="auto"/>
          <w:sz w:val="24"/>
          <w:szCs w:val="24"/>
          <w:highlight w:val="none"/>
          <w:u w:val="none"/>
          <w:lang w:eastAsia="zh-CN"/>
        </w:rPr>
      </w:pPr>
      <w:r>
        <w:rPr>
          <w:rFonts w:hint="eastAsia" w:ascii="仿宋" w:hAnsi="仿宋" w:eastAsia="仿宋" w:cs="仿宋"/>
          <w:b w:val="0"/>
          <w:color w:val="auto"/>
          <w:sz w:val="24"/>
          <w:szCs w:val="24"/>
          <w:highlight w:val="none"/>
          <w:u w:val="none"/>
          <w:lang w:eastAsia="zh-CN"/>
        </w:rPr>
        <w:t>（二）项目位置：北京市丰台区、房山区</w:t>
      </w:r>
      <w:r>
        <w:rPr>
          <w:rFonts w:hint="eastAsia" w:ascii="仿宋" w:hAnsi="仿宋" w:eastAsia="仿宋" w:cs="仿宋"/>
          <w:b w:val="0"/>
          <w:color w:val="auto"/>
          <w:sz w:val="24"/>
          <w:szCs w:val="24"/>
          <w:highlight w:val="none"/>
          <w:u w:val="none"/>
          <w:lang w:val="en-US" w:eastAsia="zh-CN"/>
        </w:rPr>
        <w:t>和门头沟区</w:t>
      </w:r>
      <w:r>
        <w:rPr>
          <w:rFonts w:hint="eastAsia" w:ascii="仿宋" w:hAnsi="仿宋" w:eastAsia="仿宋" w:cs="仿宋"/>
          <w:b w:val="0"/>
          <w:color w:val="auto"/>
          <w:sz w:val="24"/>
          <w:szCs w:val="24"/>
          <w:highlight w:val="none"/>
          <w:u w:val="none"/>
          <w:lang w:eastAsia="zh-CN"/>
        </w:rPr>
        <w:t>甲方分支机构北京市南水北调大宁管理处所辖范围内。</w:t>
      </w:r>
    </w:p>
    <w:p w14:paraId="5B30897A">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（三）</w:t>
      </w:r>
      <w:r>
        <w:rPr>
          <w:rFonts w:hint="eastAsia" w:ascii="仿宋" w:hAnsi="仿宋" w:eastAsia="仿宋" w:cs="仿宋"/>
          <w:b w:val="0"/>
          <w:color w:val="auto"/>
          <w:sz w:val="24"/>
          <w:szCs w:val="24"/>
          <w:highlight w:val="none"/>
          <w:u w:val="none"/>
          <w:lang w:eastAsia="zh-CN"/>
        </w:rPr>
        <w:t>项目</w:t>
      </w:r>
      <w:r>
        <w:rPr>
          <w:rFonts w:hint="eastAsia" w:ascii="仿宋" w:hAnsi="仿宋" w:eastAsia="仿宋" w:cs="仿宋"/>
          <w:bCs/>
          <w:color w:val="auto"/>
          <w:sz w:val="24"/>
          <w:szCs w:val="24"/>
          <w:highlight w:val="none"/>
          <w:lang w:eastAsia="zh-CN"/>
        </w:rPr>
        <w:t>内容</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大宁调蓄水库工程，河西支线工程</w:t>
      </w:r>
      <w:r>
        <w:rPr>
          <w:rFonts w:hint="eastAsia" w:ascii="仿宋" w:hAnsi="仿宋" w:eastAsia="仿宋" w:cs="仿宋"/>
          <w:bCs/>
          <w:color w:val="auto"/>
          <w:sz w:val="24"/>
          <w:szCs w:val="24"/>
          <w:highlight w:val="none"/>
        </w:rPr>
        <w:t>的</w:t>
      </w:r>
      <w:r>
        <w:rPr>
          <w:rFonts w:hint="eastAsia" w:ascii="仿宋" w:hAnsi="仿宋" w:eastAsia="仿宋" w:cs="仿宋"/>
          <w:bCs/>
          <w:color w:val="auto"/>
          <w:sz w:val="24"/>
          <w:szCs w:val="24"/>
          <w:highlight w:val="none"/>
          <w:lang w:val="en-US" w:eastAsia="zh-CN"/>
        </w:rPr>
        <w:t>设备设施</w:t>
      </w:r>
      <w:r>
        <w:rPr>
          <w:rFonts w:hint="eastAsia" w:ascii="仿宋" w:hAnsi="仿宋" w:eastAsia="仿宋" w:cs="仿宋"/>
          <w:color w:val="auto"/>
          <w:sz w:val="24"/>
          <w:szCs w:val="24"/>
          <w:highlight w:val="none"/>
        </w:rPr>
        <w:t>维修养护</w:t>
      </w:r>
      <w:r>
        <w:rPr>
          <w:rFonts w:hint="eastAsia" w:ascii="仿宋" w:hAnsi="仿宋" w:eastAsia="仿宋" w:cs="仿宋"/>
          <w:color w:val="auto"/>
          <w:sz w:val="24"/>
          <w:szCs w:val="24"/>
          <w:highlight w:val="none"/>
          <w:lang w:eastAsia="zh-CN"/>
        </w:rPr>
        <w:t>服务。包括</w:t>
      </w:r>
      <w:r>
        <w:rPr>
          <w:rFonts w:hint="eastAsia" w:ascii="仿宋" w:hAnsi="仿宋" w:eastAsia="仿宋" w:cs="仿宋"/>
          <w:bCs/>
          <w:color w:val="auto"/>
          <w:sz w:val="24"/>
          <w:szCs w:val="24"/>
          <w:highlight w:val="none"/>
        </w:rPr>
        <w:t>机电、</w:t>
      </w:r>
      <w:r>
        <w:rPr>
          <w:rFonts w:hint="eastAsia" w:ascii="仿宋" w:hAnsi="仿宋" w:eastAsia="仿宋" w:cs="仿宋"/>
          <w:color w:val="auto"/>
          <w:sz w:val="24"/>
          <w:szCs w:val="24"/>
          <w:highlight w:val="none"/>
        </w:rPr>
        <w:t>金结设备、甲方自有设备及其他有关的设备设施</w:t>
      </w:r>
      <w:r>
        <w:rPr>
          <w:rFonts w:hint="eastAsia" w:ascii="仿宋" w:hAnsi="仿宋" w:eastAsia="仿宋" w:cs="仿宋"/>
          <w:color w:val="auto"/>
          <w:kern w:val="2"/>
          <w:sz w:val="24"/>
          <w:szCs w:val="24"/>
          <w:highlight w:val="none"/>
          <w:lang w:eastAsia="zh-CN"/>
        </w:rPr>
        <w:t>的维修、养护等服务</w:t>
      </w:r>
      <w:r>
        <w:rPr>
          <w:rFonts w:hint="eastAsia" w:ascii="仿宋" w:hAnsi="仿宋" w:eastAsia="仿宋" w:cs="仿宋"/>
          <w:color w:val="auto"/>
          <w:sz w:val="24"/>
          <w:szCs w:val="24"/>
          <w:highlight w:val="none"/>
          <w:lang w:val="en-US" w:eastAsia="zh-CN"/>
        </w:rPr>
        <w:t>。</w:t>
      </w:r>
    </w:p>
    <w:p w14:paraId="3F6E858E">
      <w:pPr>
        <w:pStyle w:val="5"/>
        <w:pageBreakBefore w:val="0"/>
        <w:tabs>
          <w:tab w:val="left" w:pos="540"/>
        </w:tabs>
        <w:wordWrap/>
        <w:overflowPunct/>
        <w:topLinePunct w:val="0"/>
        <w:bidi w:val="0"/>
        <w:snapToGrid w:val="0"/>
        <w:spacing w:before="0" w:after="0" w:line="460" w:lineRule="exact"/>
        <w:ind w:firstLine="361" w:firstLineChars="150"/>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第二条 服务的内容、要求</w:t>
      </w:r>
    </w:p>
    <w:p w14:paraId="77D9761E">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（一）服务内容</w:t>
      </w:r>
    </w:p>
    <w:p w14:paraId="196A1801">
      <w:pPr>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大宁调蓄水库工程，河西支线工程</w:t>
      </w:r>
      <w:r>
        <w:rPr>
          <w:rFonts w:hint="eastAsia" w:ascii="仿宋" w:hAnsi="仿宋" w:eastAsia="仿宋" w:cs="仿宋"/>
          <w:bCs/>
          <w:color w:val="auto"/>
          <w:sz w:val="24"/>
          <w:szCs w:val="24"/>
          <w:highlight w:val="none"/>
          <w:lang w:val="en-US" w:eastAsia="zh-CN"/>
        </w:rPr>
        <w:t>设备设施</w:t>
      </w:r>
      <w:r>
        <w:rPr>
          <w:rFonts w:hint="eastAsia" w:ascii="仿宋" w:hAnsi="仿宋" w:eastAsia="仿宋" w:cs="仿宋"/>
          <w:color w:val="auto"/>
          <w:sz w:val="24"/>
          <w:szCs w:val="24"/>
          <w:highlight w:val="none"/>
        </w:rPr>
        <w:t>维修养护</w:t>
      </w:r>
      <w:r>
        <w:rPr>
          <w:rFonts w:hint="eastAsia" w:ascii="仿宋" w:hAnsi="仿宋" w:eastAsia="仿宋" w:cs="仿宋"/>
          <w:color w:val="auto"/>
          <w:kern w:val="2"/>
          <w:sz w:val="24"/>
          <w:szCs w:val="24"/>
          <w:highlight w:val="none"/>
          <w:lang w:val="en-US" w:eastAsia="zh-CN"/>
        </w:rPr>
        <w:t>服务。</w:t>
      </w:r>
      <w:r>
        <w:rPr>
          <w:rFonts w:hint="eastAsia" w:ascii="仿宋" w:hAnsi="仿宋" w:eastAsia="仿宋" w:cs="仿宋"/>
          <w:color w:val="auto"/>
          <w:sz w:val="24"/>
          <w:szCs w:val="24"/>
          <w:highlight w:val="none"/>
          <w:lang w:eastAsia="zh-CN"/>
        </w:rPr>
        <w:t>包括</w:t>
      </w:r>
      <w:r>
        <w:rPr>
          <w:rFonts w:hint="eastAsia" w:ascii="仿宋" w:hAnsi="仿宋" w:eastAsia="仿宋" w:cs="仿宋"/>
          <w:bCs/>
          <w:color w:val="auto"/>
          <w:sz w:val="24"/>
          <w:szCs w:val="24"/>
          <w:highlight w:val="none"/>
        </w:rPr>
        <w:t>机电、</w:t>
      </w:r>
      <w:r>
        <w:rPr>
          <w:rFonts w:hint="eastAsia" w:ascii="仿宋" w:hAnsi="仿宋" w:eastAsia="仿宋" w:cs="仿宋"/>
          <w:color w:val="auto"/>
          <w:sz w:val="24"/>
          <w:szCs w:val="24"/>
          <w:highlight w:val="none"/>
        </w:rPr>
        <w:t>金结设备、甲方自有设备及其他有关的设备设施</w:t>
      </w:r>
      <w:r>
        <w:rPr>
          <w:rFonts w:hint="eastAsia" w:ascii="仿宋" w:hAnsi="仿宋" w:eastAsia="仿宋" w:cs="仿宋"/>
          <w:color w:val="auto"/>
          <w:kern w:val="2"/>
          <w:sz w:val="24"/>
          <w:szCs w:val="24"/>
          <w:highlight w:val="none"/>
          <w:lang w:eastAsia="zh-CN"/>
        </w:rPr>
        <w:t>的维修、养护等服务</w:t>
      </w:r>
      <w:r>
        <w:rPr>
          <w:rFonts w:hint="eastAsia" w:ascii="仿宋" w:hAnsi="仿宋" w:eastAsia="仿宋" w:cs="仿宋"/>
          <w:color w:val="auto"/>
          <w:sz w:val="24"/>
          <w:szCs w:val="24"/>
          <w:highlight w:val="none"/>
          <w:lang w:eastAsia="zh-CN"/>
        </w:rPr>
        <w:t>。</w:t>
      </w:r>
    </w:p>
    <w:p w14:paraId="032EF193">
      <w:pPr>
        <w:pStyle w:val="2"/>
        <w:pageBreakBefore w:val="0"/>
        <w:wordWrap/>
        <w:overflowPunct/>
        <w:topLinePunct w:val="0"/>
        <w:bidi w:val="0"/>
        <w:snapToGrid w:val="0"/>
        <w:spacing w:after="0" w:line="460" w:lineRule="exact"/>
        <w:ind w:firstLine="480" w:firstLineChars="200"/>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eastAsia="zh-CN"/>
        </w:rPr>
        <w:t>大宁调蓄水库工程</w:t>
      </w:r>
      <w:r>
        <w:rPr>
          <w:rFonts w:hint="eastAsia" w:ascii="仿宋" w:hAnsi="仿宋" w:eastAsia="仿宋" w:cs="仿宋"/>
          <w:bCs/>
          <w:color w:val="auto"/>
          <w:sz w:val="24"/>
          <w:szCs w:val="24"/>
          <w:highlight w:val="none"/>
          <w:lang w:val="en-US" w:eastAsia="zh-CN"/>
        </w:rPr>
        <w:t>设备设施</w:t>
      </w:r>
      <w:r>
        <w:rPr>
          <w:rFonts w:hint="eastAsia" w:ascii="仿宋" w:hAnsi="仿宋" w:eastAsia="仿宋" w:cs="仿宋"/>
          <w:color w:val="auto"/>
          <w:sz w:val="24"/>
          <w:szCs w:val="24"/>
          <w:highlight w:val="none"/>
        </w:rPr>
        <w:t>维修养护</w:t>
      </w:r>
      <w:r>
        <w:rPr>
          <w:rFonts w:hint="eastAsia" w:ascii="仿宋" w:hAnsi="仿宋" w:eastAsia="仿宋" w:cs="仿宋"/>
          <w:color w:val="auto"/>
          <w:kern w:val="2"/>
          <w:sz w:val="24"/>
          <w:szCs w:val="24"/>
          <w:highlight w:val="none"/>
          <w:lang w:val="en-US" w:eastAsia="zh-CN"/>
        </w:rPr>
        <w:t>主要包括：闸门维护、启闭机维护、机电及辅助设备维护、自有设备维护、水质自动站维护、中央空调系统维护、排风系统维护、电梯维护、消防设备设施维护。</w:t>
      </w:r>
      <w:r>
        <w:rPr>
          <w:rFonts w:hint="eastAsia" w:ascii="仿宋" w:hAnsi="仿宋" w:eastAsia="仿宋" w:cs="仿宋"/>
          <w:color w:val="000000"/>
          <w:kern w:val="2"/>
          <w:sz w:val="24"/>
          <w:szCs w:val="24"/>
          <w:lang w:val="en-US" w:eastAsia="zh-CN"/>
        </w:rPr>
        <w:t>自有设备维护包括</w:t>
      </w:r>
      <w:r>
        <w:rPr>
          <w:rFonts w:hint="eastAsia" w:ascii="仿宋" w:hAnsi="仿宋" w:eastAsia="仿宋" w:cs="仿宋"/>
          <w:color w:val="000000"/>
          <w:kern w:val="2"/>
          <w:sz w:val="24"/>
          <w:szCs w:val="24"/>
          <w:lang w:eastAsia="zh-CN"/>
        </w:rPr>
        <w:t>观光车</w:t>
      </w:r>
      <w:r>
        <w:rPr>
          <w:rFonts w:hint="eastAsia" w:ascii="仿宋" w:hAnsi="仿宋" w:eastAsia="仿宋" w:cs="仿宋"/>
          <w:color w:val="000000"/>
          <w:kern w:val="2"/>
          <w:sz w:val="24"/>
          <w:szCs w:val="24"/>
          <w:lang w:val="en-US" w:eastAsia="zh-CN"/>
        </w:rPr>
        <w:t>、船、岗亭、环库路照明设备、除冰系统等的缺陷处理和日常维护养护。</w:t>
      </w:r>
    </w:p>
    <w:p w14:paraId="03A2AF19">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eastAsia="zh-CN"/>
        </w:rPr>
        <w:t>河西支线工程</w:t>
      </w:r>
      <w:r>
        <w:rPr>
          <w:rFonts w:hint="eastAsia" w:ascii="仿宋" w:hAnsi="仿宋" w:eastAsia="仿宋" w:cs="仿宋"/>
          <w:color w:val="auto"/>
          <w:kern w:val="2"/>
          <w:sz w:val="24"/>
          <w:szCs w:val="24"/>
          <w:highlight w:val="none"/>
          <w:lang w:val="en-US" w:eastAsia="zh-CN"/>
        </w:rPr>
        <w:t>设备设施维修养护主要包括：</w:t>
      </w:r>
    </w:p>
    <w:p w14:paraId="4DDF53F9">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中堤泵站设备设施维修养护：水利机械设备维护养护、供配电设备维护养护、水文水质设备维护养护、张坊连接站设备设施维护养护、消防设备设施维护养护、暖通设备维护养护、实训基地设备设施维护养护。</w:t>
      </w:r>
    </w:p>
    <w:p w14:paraId="4552492D">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园博泵站设备设施维修养护：水利机械维护养护、供配电维护养护、管道工程维护养护、消防设备维护养护。</w:t>
      </w:r>
    </w:p>
    <w:p w14:paraId="3FEBC3C5">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（二）服务要求</w:t>
      </w:r>
    </w:p>
    <w:p w14:paraId="16B28AB3">
      <w:pPr>
        <w:pageBreakBefore w:val="0"/>
        <w:widowControl/>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1、实施过程中，严格执行相关规范要求，确保工作频次数量，工作质量。及时对损坏设备设施进行维修。保证设备设施完好、正常使用。</w:t>
      </w:r>
    </w:p>
    <w:p w14:paraId="64B3BCD7">
      <w:pPr>
        <w:pStyle w:val="2"/>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2、乙方应具备水利水电工程施工总承包三级（含）以上或水利水电机电安装工程专业承包三级（含）以上资质等级；供应商应具有有效的安全生产许可证。项目经理具备中级以上以职称。</w:t>
      </w:r>
    </w:p>
    <w:p w14:paraId="1688CBD7">
      <w:pPr>
        <w:pageBreakBefore w:val="0"/>
        <w:widowControl/>
        <w:wordWrap/>
        <w:overflowPunct/>
        <w:topLinePunct w:val="0"/>
        <w:bidi w:val="0"/>
        <w:snapToGrid w:val="0"/>
        <w:spacing w:after="0" w:line="460" w:lineRule="exact"/>
        <w:ind w:firstLine="480" w:firstLineChars="200"/>
        <w:outlineLvl w:val="2"/>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水质自动化、消防、电梯等部分设备需由具备相应资质的单位进行维护保养。</w:t>
      </w:r>
    </w:p>
    <w:p w14:paraId="4107753F">
      <w:pPr>
        <w:pStyle w:val="2"/>
        <w:pageBreakBefore w:val="0"/>
        <w:numPr>
          <w:ilvl w:val="-1"/>
          <w:numId w:val="0"/>
        </w:numPr>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szCs w:val="24"/>
          <w:highlight w:val="none"/>
          <w:lang w:val="en-US" w:eastAsia="zh-CN"/>
        </w:rPr>
        <w:t>建立相应的管理组织机构，配备足够的岗位服务人员，各岗位人员不得交叉。</w:t>
      </w:r>
    </w:p>
    <w:p w14:paraId="083AAEAD">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5、项目实施所需物资与投标文件一致，接受甲方合理要求。 </w:t>
      </w:r>
    </w:p>
    <w:p w14:paraId="002E35B6">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6、以招标文件技术条款为基础，保障项目高效落实。</w:t>
      </w:r>
    </w:p>
    <w:p w14:paraId="3A0A90B8">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7、乙方需在合同签订日开始进场服务。</w:t>
      </w:r>
    </w:p>
    <w:p w14:paraId="7EFBAE4F">
      <w:pPr>
        <w:pStyle w:val="2"/>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sz w:val="24"/>
          <w:szCs w:val="24"/>
          <w:highlight w:val="none"/>
          <w:lang w:val="en-US" w:eastAsia="zh-CN"/>
        </w:rPr>
        <w:t>服务人员应熟练掌握相关设备的原理、技术、性能，并能实际操作，正确抄录各项仪表数据并按要求填写巡检记录表，进行配电操作时必须严格按照工作票（操作票）要求进行操作。</w:t>
      </w:r>
    </w:p>
    <w:p w14:paraId="7A6DA2A3">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9、</w:t>
      </w:r>
      <w:r>
        <w:rPr>
          <w:rFonts w:hint="eastAsia" w:ascii="仿宋" w:hAnsi="仿宋" w:eastAsia="仿宋" w:cs="仿宋"/>
          <w:color w:val="auto"/>
          <w:kern w:val="2"/>
          <w:sz w:val="24"/>
          <w:szCs w:val="24"/>
          <w:highlight w:val="none"/>
          <w:lang w:eastAsia="zh-CN"/>
        </w:rPr>
        <w:t>执行规范标准</w:t>
      </w:r>
    </w:p>
    <w:p w14:paraId="214A9E55">
      <w:pPr>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本合同履行执行的相关规程规范、法律法规、服务标准包括但不限于：</w:t>
      </w:r>
    </w:p>
    <w:p w14:paraId="5F7CCC2B">
      <w:pPr>
        <w:pStyle w:val="2"/>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南水北调中线干线工程建设管理局《</w:t>
      </w:r>
      <w:r>
        <w:rPr>
          <w:rFonts w:hint="eastAsia" w:ascii="仿宋" w:hAnsi="仿宋" w:eastAsia="仿宋" w:cs="仿宋"/>
          <w:color w:val="auto"/>
          <w:kern w:val="2"/>
          <w:sz w:val="24"/>
          <w:szCs w:val="24"/>
          <w:highlight w:val="none"/>
          <w:lang w:eastAsia="zh-CN"/>
        </w:rPr>
        <w:t>泵站金属结构及机电设备维护检修规程</w:t>
      </w:r>
      <w:r>
        <w:rPr>
          <w:rFonts w:hint="eastAsia" w:ascii="仿宋" w:hAnsi="仿宋" w:eastAsia="仿宋" w:cs="仿宋"/>
          <w:color w:val="auto"/>
          <w:kern w:val="2"/>
          <w:sz w:val="24"/>
          <w:szCs w:val="24"/>
          <w:highlight w:val="none"/>
          <w:lang w:val="en-US" w:eastAsia="zh-CN"/>
        </w:rPr>
        <w:t>》、《橡胶坝技术规范》SL 227-1998</w:t>
      </w:r>
      <w:r>
        <w:rPr>
          <w:rFonts w:hint="eastAsia" w:ascii="仿宋" w:hAnsi="仿宋" w:eastAsia="仿宋" w:cs="仿宋"/>
          <w:color w:val="auto"/>
          <w:kern w:val="2"/>
          <w:sz w:val="24"/>
          <w:szCs w:val="24"/>
          <w:highlight w:val="none"/>
          <w:lang w:val="en-US" w:eastAsia="zh-CN" w:bidi="ar-SA"/>
        </w:rPr>
        <w:t>、《水闸技术管理规程》SL75-201、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建筑消防设施的维护管理</w:t>
      </w:r>
      <w:r>
        <w:rPr>
          <w:rFonts w:hint="eastAsia" w:ascii="仿宋" w:hAnsi="仿宋" w:eastAsia="仿宋" w:cs="仿宋"/>
          <w:color w:val="auto"/>
          <w:kern w:val="2"/>
          <w:sz w:val="24"/>
          <w:szCs w:val="24"/>
          <w:highlight w:val="none"/>
          <w:lang w:val="en-US" w:eastAsia="zh-CN"/>
        </w:rPr>
        <w:t>》GB 25201-2010、《建筑设计防火规范》GB50016、《地表水自动检测技术规范（试行）》HJ915-2017、《地表水水质自动监测站运行维护技术要求》等规范标准。</w:t>
      </w:r>
    </w:p>
    <w:p w14:paraId="63FC6514">
      <w:pPr>
        <w:pStyle w:val="2"/>
        <w:pageBreakBefore w:val="0"/>
        <w:wordWrap/>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合同履行期间，如政府相关管理部门发布新的管理规定或标准，且该规定或标准高于本合同约定的规定或标准的，乙方应按照新的规定和标准履行相应的义务。合同履行期间，如甲方新制定或更新了技术标准、维护标准、考核办法、应急预案等，乙方应遵照相关标准和办法履行相应义务。</w:t>
      </w:r>
    </w:p>
    <w:p w14:paraId="4C3FB880">
      <w:pPr>
        <w:pStyle w:val="5"/>
        <w:pageBreakBefore w:val="0"/>
        <w:tabs>
          <w:tab w:val="left" w:pos="540"/>
        </w:tabs>
        <w:wordWrap/>
        <w:overflowPunct/>
        <w:topLinePunct w:val="0"/>
        <w:bidi w:val="0"/>
        <w:snapToGrid w:val="0"/>
        <w:spacing w:before="0" w:after="0" w:line="460" w:lineRule="exact"/>
        <w:ind w:firstLine="482" w:firstLineChars="20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第三条 合同期限</w:t>
      </w:r>
    </w:p>
    <w:p w14:paraId="018D3F32">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olor w:val="auto"/>
          <w:sz w:val="24"/>
          <w:highlight w:val="none"/>
          <w:lang w:eastAsia="zh-CN"/>
        </w:rPr>
        <w:t>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月1日至202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年12月31日，其中202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月1日至本合同签订之日前一日由原服务单位提供服务，本合同签订之日至202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年12月31日由新中选单位提供服务。本合同服务期满后，如甲方需要，乙方继续按照甲方要求延长其服务期限，直至下一年度实施单位进场。延长服务期限的，由甲乙双方协商签订书面补充协议。</w:t>
      </w:r>
    </w:p>
    <w:p w14:paraId="141BE564">
      <w:pPr>
        <w:keepNext/>
        <w:keepLines/>
        <w:pageBreakBefore w:val="0"/>
        <w:tabs>
          <w:tab w:val="left" w:pos="540"/>
        </w:tabs>
        <w:wordWrap/>
        <w:overflowPunct/>
        <w:topLinePunct w:val="0"/>
        <w:autoSpaceDE w:val="0"/>
        <w:autoSpaceDN w:val="0"/>
        <w:bidi w:val="0"/>
        <w:snapToGrid w:val="0"/>
        <w:spacing w:after="0" w:line="460" w:lineRule="exact"/>
        <w:ind w:firstLine="482" w:firstLineChars="20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第四条 合同价款及支付</w:t>
      </w:r>
    </w:p>
    <w:p w14:paraId="5F9CDC4C">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（一）合同价款</w:t>
      </w:r>
    </w:p>
    <w:p w14:paraId="3B52CB44">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本合同总价为人民币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（小写：</w:t>
      </w:r>
      <w:r>
        <w:rPr>
          <w:rFonts w:hint="eastAsia" w:ascii="仿宋" w:hAnsi="仿宋" w:eastAsia="仿宋" w:cs="仿宋"/>
          <w:color w:val="auto"/>
          <w:kern w:val="2"/>
          <w:sz w:val="24"/>
          <w:szCs w:val="24"/>
          <w:highlight w:val="none"/>
          <w:u w:val="none"/>
          <w:lang w:eastAsia="zh-CN"/>
        </w:rPr>
        <w:t>¥</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w:t>
      </w:r>
      <w:r>
        <w:rPr>
          <w:rFonts w:hint="eastAsia" w:ascii="仿宋" w:hAnsi="仿宋" w:eastAsia="仿宋"/>
          <w:color w:val="auto"/>
          <w:sz w:val="24"/>
          <w:szCs w:val="24"/>
          <w:u w:val="none"/>
          <w:lang w:eastAsia="zh-CN"/>
        </w:rPr>
        <w:t>。</w:t>
      </w:r>
      <w:r>
        <w:rPr>
          <w:rFonts w:hint="eastAsia" w:ascii="仿宋" w:hAnsi="仿宋" w:eastAsia="仿宋"/>
          <w:color w:val="auto"/>
          <w:sz w:val="24"/>
          <w:szCs w:val="24"/>
          <w:lang w:eastAsia="zh-CN"/>
        </w:rPr>
        <w:t>合同总价为含税价，</w:t>
      </w:r>
      <w:r>
        <w:rPr>
          <w:rFonts w:hint="eastAsia" w:ascii="仿宋" w:hAnsi="仿宋" w:eastAsia="仿宋" w:cs="仿宋"/>
          <w:color w:val="auto"/>
          <w:sz w:val="24"/>
          <w:highlight w:val="none"/>
          <w:lang w:eastAsia="zh-CN"/>
        </w:rPr>
        <w:t>已包含了乙方履行本合同所必需的</w:t>
      </w:r>
      <w:r>
        <w:rPr>
          <w:rFonts w:hint="eastAsia" w:ascii="仿宋" w:hAnsi="仿宋" w:eastAsia="仿宋" w:cs="仿宋"/>
          <w:color w:val="auto"/>
          <w:sz w:val="24"/>
          <w:highlight w:val="none"/>
          <w:lang w:val="en-US" w:eastAsia="zh-CN"/>
        </w:rPr>
        <w:t>所有</w:t>
      </w:r>
      <w:r>
        <w:rPr>
          <w:rFonts w:hint="eastAsia" w:ascii="仿宋" w:hAnsi="仿宋" w:eastAsia="仿宋" w:cs="仿宋"/>
          <w:color w:val="auto"/>
          <w:sz w:val="24"/>
          <w:highlight w:val="none"/>
          <w:lang w:eastAsia="zh-CN"/>
        </w:rPr>
        <w:t>费用，包括但不限于乙方履行本合同所需的人工费、材料费、水电费、设备购置或租用费、运输费、措施费、综合管理费、保险费、利润和各种税费等，以及人工、维护用料、水、电等费用涨价在内的各种影响成本的风险费用。</w:t>
      </w:r>
    </w:p>
    <w:p w14:paraId="661D2FD7">
      <w:pPr>
        <w:pageBreakBefore w:val="0"/>
        <w:wordWrap/>
        <w:overflowPunct/>
        <w:topLinePunct w:val="0"/>
        <w:bidi w:val="0"/>
        <w:snapToGrid w:val="0"/>
        <w:spacing w:after="0" w:line="500" w:lineRule="exact"/>
        <w:ind w:firstLine="480" w:firstLineChars="200"/>
        <w:rPr>
          <w:rFonts w:hint="eastAsia" w:ascii="仿宋" w:hAnsi="仿宋" w:eastAsia="仿宋"/>
          <w:color w:val="auto"/>
          <w:sz w:val="24"/>
          <w:szCs w:val="24"/>
          <w:u w:val="none"/>
          <w:lang w:val="en-US" w:eastAsia="zh-CN"/>
        </w:rPr>
      </w:pPr>
      <w:r>
        <w:rPr>
          <w:rFonts w:hint="eastAsia" w:ascii="仿宋" w:hAnsi="仿宋" w:eastAsia="仿宋"/>
          <w:color w:val="auto"/>
          <w:sz w:val="24"/>
          <w:szCs w:val="24"/>
          <w:u w:val="none"/>
          <w:lang w:val="en-US" w:eastAsia="zh-CN"/>
        </w:rPr>
        <w:t>2.合同价款由以下两部分组成：</w:t>
      </w:r>
    </w:p>
    <w:p w14:paraId="6AEA7810">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（1）合同价款1：2025年1月1日至合同签订前一日的合同价款。</w:t>
      </w:r>
    </w:p>
    <w:p w14:paraId="5AA0C385">
      <w:pPr>
        <w:pageBreakBefore w:val="0"/>
        <w:wordWrap/>
        <w:overflowPunct/>
        <w:topLinePunct w:val="0"/>
        <w:bidi w:val="0"/>
        <w:snapToGrid w:val="0"/>
        <w:spacing w:after="0" w:line="460" w:lineRule="exact"/>
        <w:ind w:firstLine="480" w:firstLineChars="200"/>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（2）合同价款2：合同签订之日至2025年12月31日的合同价款。</w:t>
      </w:r>
    </w:p>
    <w:p w14:paraId="4DFECA4D">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3、具体合同价款明细详见</w:t>
      </w:r>
      <w:r>
        <w:rPr>
          <w:rFonts w:hint="eastAsia" w:ascii="仿宋" w:hAnsi="仿宋" w:eastAsia="仿宋" w:cs="仿宋"/>
          <w:color w:val="auto"/>
          <w:kern w:val="2"/>
          <w:sz w:val="24"/>
          <w:szCs w:val="24"/>
          <w:highlight w:val="none"/>
          <w:lang w:val="en-US" w:eastAsia="zh-CN"/>
        </w:rPr>
        <w:t>北京市南水北调大宁管理处水利工程日常维修养护-设备设施维修养护</w:t>
      </w:r>
      <w:r>
        <w:rPr>
          <w:rFonts w:hint="eastAsia" w:ascii="仿宋" w:hAnsi="仿宋" w:eastAsia="仿宋" w:cs="仿宋"/>
          <w:bCs/>
          <w:color w:val="auto"/>
          <w:sz w:val="24"/>
          <w:szCs w:val="24"/>
          <w:highlight w:val="none"/>
          <w:lang w:eastAsia="zh-CN"/>
        </w:rPr>
        <w:t>项目投标</w:t>
      </w:r>
      <w:r>
        <w:rPr>
          <w:rFonts w:hint="eastAsia" w:ascii="仿宋" w:hAnsi="仿宋" w:eastAsia="仿宋" w:cs="仿宋"/>
          <w:color w:val="auto"/>
          <w:kern w:val="2"/>
          <w:sz w:val="24"/>
          <w:szCs w:val="24"/>
          <w:highlight w:val="none"/>
          <w:lang w:eastAsia="zh-CN"/>
        </w:rPr>
        <w:t>文件。</w:t>
      </w:r>
    </w:p>
    <w:p w14:paraId="0B310141">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（二）合同价款的支付</w:t>
      </w:r>
    </w:p>
    <w:p w14:paraId="1C6DA63B">
      <w:pPr>
        <w:pageBreakBefore w:val="0"/>
        <w:numPr>
          <w:ilvl w:val="-1"/>
          <w:numId w:val="0"/>
        </w:numPr>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1.合同价款1：</w:t>
      </w:r>
      <w:r>
        <w:rPr>
          <w:rFonts w:hint="eastAsia" w:ascii="仿宋" w:hAnsi="仿宋" w:eastAsia="仿宋" w:cs="仿宋"/>
          <w:color w:val="auto"/>
          <w:sz w:val="24"/>
          <w:highlight w:val="none"/>
          <w:lang w:eastAsia="zh-CN"/>
        </w:rPr>
        <w:t>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w:t>
      </w:r>
      <w:r>
        <w:rPr>
          <w:rFonts w:hint="eastAsia" w:ascii="仿宋" w:hAnsi="仿宋" w:eastAsia="仿宋" w:cs="仿宋"/>
          <w:color w:val="auto"/>
          <w:sz w:val="24"/>
          <w:highlight w:val="none"/>
          <w:lang w:val="en-US" w:eastAsia="zh-CN"/>
        </w:rPr>
        <w:t>由甲方按本合同单价和经甲方确认的实际工作量支付给原服务单位。</w:t>
      </w:r>
    </w:p>
    <w:p w14:paraId="250A46EB">
      <w:pPr>
        <w:pageBreakBefore w:val="0"/>
        <w:wordWrap/>
        <w:overflowPunct/>
        <w:topLinePunct w:val="0"/>
        <w:bidi w:val="0"/>
        <w:snapToGrid w:val="0"/>
        <w:spacing w:after="0" w:line="460" w:lineRule="exact"/>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2.合同价款2：由甲方按以下进度分期支付给乙方。</w:t>
      </w:r>
    </w:p>
    <w:p w14:paraId="76910736">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w:t>
      </w:r>
      <w:r>
        <w:rPr>
          <w:rFonts w:hint="eastAsia" w:ascii="仿宋" w:hAnsi="仿宋" w:eastAsia="仿宋" w:cs="仿宋"/>
          <w:color w:val="auto"/>
          <w:sz w:val="24"/>
          <w:highlight w:val="none"/>
          <w:lang w:val="en-US" w:eastAsia="zh-CN"/>
        </w:rPr>
        <w:t>甲方向乙方支付合同总价的50%扣除合同价款1后的金额</w:t>
      </w:r>
      <w:r>
        <w:rPr>
          <w:rFonts w:hint="eastAsia" w:ascii="仿宋" w:hAnsi="仿宋" w:eastAsia="仿宋" w:cs="仿宋"/>
          <w:color w:val="auto"/>
          <w:sz w:val="24"/>
          <w:highlight w:val="none"/>
          <w:lang w:eastAsia="zh-CN"/>
        </w:rPr>
        <w:t>。</w:t>
      </w:r>
    </w:p>
    <w:p w14:paraId="6867AAC3">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2025年6</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lang w:eastAsia="zh-CN"/>
        </w:rPr>
        <w:t>%。</w:t>
      </w:r>
    </w:p>
    <w:p w14:paraId="23C90B8E">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2025年9</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lang w:eastAsia="zh-CN"/>
        </w:rPr>
        <w:t>%。</w:t>
      </w:r>
    </w:p>
    <w:p w14:paraId="6872132F">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2025年11</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w:t>
      </w:r>
    </w:p>
    <w:p w14:paraId="54805C88">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付款方式：以电汇或银行支票为主要付款方式，并以电汇为首选支付方式。</w:t>
      </w:r>
    </w:p>
    <w:p w14:paraId="44E905D4">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付款时间：乙方按照采购人要求提供完整支付文件，甲方收到上述文件后原则上1</w:t>
      </w:r>
      <w:r>
        <w:rPr>
          <w:rFonts w:hint="eastAsia" w:ascii="仿宋" w:hAnsi="仿宋" w:eastAsia="仿宋" w:cs="仿宋"/>
          <w:color w:val="auto"/>
          <w:sz w:val="24"/>
          <w:highlight w:val="none"/>
          <w:lang w:val="en-US" w:eastAsia="zh-CN"/>
        </w:rPr>
        <w:t>0个工作</w:t>
      </w:r>
      <w:r>
        <w:rPr>
          <w:rFonts w:hint="eastAsia" w:ascii="仿宋" w:hAnsi="仿宋" w:eastAsia="仿宋" w:cs="仿宋"/>
          <w:color w:val="auto"/>
          <w:sz w:val="24"/>
          <w:highlight w:val="none"/>
          <w:lang w:eastAsia="zh-CN"/>
        </w:rPr>
        <w:t>日内将款项支付给乙方。</w:t>
      </w:r>
    </w:p>
    <w:p w14:paraId="7C1373C0">
      <w:pPr>
        <w:pageBreakBefore w:val="0"/>
        <w:wordWrap/>
        <w:overflowPunct/>
        <w:topLinePunct w:val="0"/>
        <w:bidi w:val="0"/>
        <w:snapToGrid w:val="0"/>
        <w:spacing w:after="0" w:line="460" w:lineRule="exact"/>
        <w:ind w:firstLine="480" w:firstLineChars="200"/>
        <w:rPr>
          <w:rFonts w:eastAsia="仿宋"/>
          <w:color w:val="auto"/>
          <w:highlight w:val="none"/>
          <w:lang w:eastAsia="zh-CN"/>
        </w:rPr>
      </w:pPr>
      <w:r>
        <w:rPr>
          <w:rFonts w:hint="eastAsia" w:ascii="仿宋" w:hAnsi="仿宋" w:eastAsia="仿宋" w:cs="仿宋"/>
          <w:color w:val="auto"/>
          <w:sz w:val="24"/>
          <w:highlight w:val="none"/>
          <w:lang w:eastAsia="zh-CN"/>
        </w:rPr>
        <w:t>甲方付款前，乙方出具当期应付合同款等额合法有效发票、支付申请和甲方要求提供的支付文件，否则甲方有权暂停付款，直至乙方提供合同等额合法有效发票、支付申请等，且不承担违约责任。</w:t>
      </w:r>
    </w:p>
    <w:p w14:paraId="605B9CCE">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14:paraId="3DF56B11">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、乙方收款账户</w:t>
      </w:r>
    </w:p>
    <w:p w14:paraId="14DE381B">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甲方应将前述款项打入乙方如下账户：</w:t>
      </w:r>
    </w:p>
    <w:p w14:paraId="3D807BA8">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户    名：</w:t>
      </w:r>
    </w:p>
    <w:p w14:paraId="4E62DA8D">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开 户 行：</w:t>
      </w:r>
    </w:p>
    <w:p w14:paraId="64EA0D55">
      <w:pPr>
        <w:pageBreakBefore w:val="0"/>
        <w:wordWrap/>
        <w:overflowPunct/>
        <w:topLinePunct w:val="0"/>
        <w:bidi w:val="0"/>
        <w:snapToGrid w:val="0"/>
        <w:spacing w:after="0" w:line="460" w:lineRule="exact"/>
        <w:ind w:firstLine="480" w:firstLineChars="200"/>
        <w:rPr>
          <w:rFonts w:hint="default" w:ascii="仿宋" w:hAnsi="仿宋" w:eastAsia="仿宋" w:cs="仿宋"/>
          <w:color w:val="auto"/>
          <w:kern w:val="2"/>
          <w:sz w:val="24"/>
          <w:szCs w:val="24"/>
          <w:highlight w:val="none"/>
          <w:u w:val="single"/>
          <w:lang w:val="en-US" w:eastAsia="zh-CN"/>
        </w:rPr>
      </w:pPr>
      <w:r>
        <w:rPr>
          <w:rFonts w:hint="eastAsia" w:ascii="仿宋" w:hAnsi="仿宋" w:eastAsia="仿宋" w:cs="仿宋"/>
          <w:color w:val="auto"/>
          <w:kern w:val="2"/>
          <w:sz w:val="24"/>
          <w:szCs w:val="24"/>
          <w:highlight w:val="none"/>
          <w:lang w:eastAsia="zh-CN"/>
        </w:rPr>
        <w:t>银行账号：</w:t>
      </w:r>
    </w:p>
    <w:p w14:paraId="3A0A2D65">
      <w:pPr>
        <w:pStyle w:val="2"/>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甲方将款项支付至上述账户后，无论乙方是否实际收到，均视为甲方已经完成付款。</w:t>
      </w:r>
    </w:p>
    <w:p w14:paraId="125535A5">
      <w:pPr>
        <w:pStyle w:val="2"/>
        <w:pageBreakBefore w:val="0"/>
        <w:numPr>
          <w:ilvl w:val="0"/>
          <w:numId w:val="0"/>
        </w:numPr>
        <w:wordWrap/>
        <w:overflowPunct/>
        <w:topLinePunct w:val="0"/>
        <w:bidi w:val="0"/>
        <w:snapToGrid w:val="0"/>
        <w:spacing w:after="0" w:line="460" w:lineRule="exact"/>
        <w:ind w:firstLine="480" w:firstLineChars="200"/>
        <w:rPr>
          <w:rFonts w:ascii="仿宋" w:hAnsi="仿宋" w:eastAsia="仿宋"/>
          <w:color w:val="auto"/>
          <w:sz w:val="24"/>
          <w:szCs w:val="24"/>
          <w:highlight w:val="none"/>
          <w:lang w:eastAsia="zh-CN"/>
        </w:rPr>
      </w:pPr>
      <w:r>
        <w:rPr>
          <w:rFonts w:hint="eastAsia" w:ascii="仿宋" w:hAnsi="仿宋" w:eastAsia="仿宋" w:cs="仿宋"/>
          <w:color w:val="auto"/>
          <w:sz w:val="24"/>
          <w:highlight w:val="none"/>
          <w:lang w:val="en-US" w:eastAsia="zh-CN"/>
        </w:rPr>
        <w:t>6.甲方按照乙方在本合同服务期内经甲方确认的实际工作量以及实际工作的考核情况结算，如经甲方考核乙方提供的服务不符合本合同约定的，</w:t>
      </w:r>
      <w:r>
        <w:rPr>
          <w:rFonts w:hint="eastAsia" w:ascii="仿宋" w:hAnsi="仿宋" w:eastAsia="仿宋" w:cs="仿宋"/>
          <w:color w:val="auto"/>
          <w:sz w:val="24"/>
          <w:highlight w:val="none"/>
          <w:lang w:eastAsia="zh-CN"/>
        </w:rPr>
        <w:t>甲方有权在支付费用时扣除</w:t>
      </w:r>
      <w:r>
        <w:rPr>
          <w:rFonts w:hint="eastAsia" w:ascii="仿宋" w:hAnsi="仿宋" w:eastAsia="仿宋" w:cs="仿宋"/>
          <w:color w:val="auto"/>
          <w:sz w:val="24"/>
          <w:highlight w:val="none"/>
          <w:lang w:val="en-US" w:eastAsia="zh-CN"/>
        </w:rPr>
        <w:t>扣款、</w:t>
      </w:r>
      <w:r>
        <w:rPr>
          <w:rFonts w:hint="eastAsia" w:ascii="仿宋" w:hAnsi="仿宋" w:eastAsia="仿宋" w:cs="仿宋"/>
          <w:color w:val="auto"/>
          <w:sz w:val="24"/>
          <w:highlight w:val="none"/>
          <w:lang w:eastAsia="zh-CN"/>
        </w:rPr>
        <w:t>罚款、</w:t>
      </w:r>
      <w:r>
        <w:rPr>
          <w:rFonts w:hint="eastAsia" w:ascii="仿宋" w:hAnsi="仿宋" w:eastAsia="仿宋" w:cs="仿宋"/>
          <w:color w:val="auto"/>
          <w:sz w:val="24"/>
          <w:highlight w:val="none"/>
          <w:lang w:val="en-US" w:eastAsia="zh-CN"/>
        </w:rPr>
        <w:t>违约金及甲方损失等相应款项</w:t>
      </w:r>
      <w:r>
        <w:rPr>
          <w:rFonts w:hint="eastAsia" w:ascii="仿宋" w:hAnsi="仿宋" w:eastAsia="仿宋" w:cs="仿宋"/>
          <w:color w:val="auto"/>
          <w:sz w:val="24"/>
          <w:highlight w:val="none"/>
          <w:lang w:eastAsia="zh-CN"/>
        </w:rPr>
        <w:t>。</w:t>
      </w:r>
    </w:p>
    <w:p w14:paraId="030D3A68">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第五条 履约保证金</w:t>
      </w:r>
    </w:p>
    <w:p w14:paraId="1AB52B1A">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sz w:val="24"/>
          <w:highlight w:val="none"/>
          <w:lang w:eastAsia="zh-CN"/>
        </w:rPr>
        <w:t>履约保证金金额：乙方应自签订合同日后</w:t>
      </w:r>
      <w:r>
        <w:rPr>
          <w:rFonts w:hint="eastAsia" w:ascii="仿宋" w:hAnsi="仿宋" w:eastAsia="仿宋" w:cs="仿宋"/>
          <w:color w:val="auto"/>
          <w:sz w:val="24"/>
          <w:highlight w:val="none"/>
          <w:lang w:val="en-US" w:eastAsia="zh-CN"/>
        </w:rPr>
        <w:t>15个工作</w:t>
      </w:r>
      <w:r>
        <w:rPr>
          <w:rFonts w:hint="eastAsia" w:ascii="仿宋" w:hAnsi="仿宋" w:eastAsia="仿宋" w:cs="仿宋"/>
          <w:color w:val="auto"/>
          <w:sz w:val="24"/>
          <w:highlight w:val="none"/>
          <w:lang w:eastAsia="zh-CN"/>
        </w:rPr>
        <w:t>日内向甲方支付本合同总价的10</w:t>
      </w: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即人民币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（小写：￥</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）作为履行本合同的履约保证金。</w:t>
      </w:r>
    </w:p>
    <w:p w14:paraId="7AF2AAF9">
      <w:pPr>
        <w:pStyle w:val="2"/>
        <w:pageBreakBefore w:val="0"/>
        <w:widowControl/>
        <w:numPr>
          <w:ilvl w:val="0"/>
          <w:numId w:val="3"/>
        </w:numPr>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前述</w:t>
      </w:r>
      <w:r>
        <w:rPr>
          <w:rFonts w:hint="eastAsia" w:ascii="仿宋" w:hAnsi="仿宋" w:eastAsia="仿宋" w:cs="仿宋"/>
          <w:color w:val="auto"/>
          <w:kern w:val="2"/>
          <w:sz w:val="24"/>
          <w:szCs w:val="24"/>
          <w:highlight w:val="none"/>
          <w:lang w:eastAsia="zh-CN"/>
        </w:rPr>
        <w:t>履约保证金形式：金融机构、担保机构出具的保函等非现金形式。</w:t>
      </w:r>
    </w:p>
    <w:p w14:paraId="1424F590">
      <w:pPr>
        <w:pStyle w:val="2"/>
        <w:pageBreakBefore w:val="0"/>
        <w:widowControl/>
        <w:numPr>
          <w:ilvl w:val="0"/>
          <w:numId w:val="4"/>
        </w:numPr>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履约保证金有效期截止日期：202</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lang w:eastAsia="zh-CN"/>
        </w:rPr>
        <w:t>年1月31日。</w:t>
      </w:r>
    </w:p>
    <w:p w14:paraId="08314DD5">
      <w:pPr>
        <w:pStyle w:val="2"/>
        <w:pageBreakBefore w:val="0"/>
        <w:widowControl/>
        <w:numPr>
          <w:ilvl w:val="0"/>
          <w:numId w:val="0"/>
        </w:numPr>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（四）履约保证金退还：</w:t>
      </w:r>
      <w:r>
        <w:rPr>
          <w:rFonts w:hint="eastAsia" w:ascii="仿宋" w:hAnsi="仿宋" w:eastAsia="仿宋" w:cs="仿宋"/>
          <w:color w:val="auto"/>
          <w:sz w:val="24"/>
          <w:szCs w:val="24"/>
          <w:highlight w:val="none"/>
        </w:rPr>
        <w:t>合同期满并经</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验收合格</w:t>
      </w:r>
      <w:r>
        <w:rPr>
          <w:rFonts w:hint="eastAsia" w:ascii="仿宋" w:hAnsi="仿宋" w:eastAsia="仿宋" w:cs="仿宋"/>
          <w:color w:val="auto"/>
          <w:sz w:val="24"/>
          <w:szCs w:val="24"/>
          <w:highlight w:val="none"/>
          <w:lang w:val="en-US" w:eastAsia="zh-CN"/>
        </w:rPr>
        <w:t>、档案移交</w:t>
      </w:r>
      <w:r>
        <w:rPr>
          <w:rFonts w:hint="eastAsia" w:ascii="仿宋" w:hAnsi="仿宋" w:eastAsia="仿宋" w:cs="仿宋"/>
          <w:color w:val="auto"/>
          <w:sz w:val="24"/>
          <w:szCs w:val="24"/>
          <w:highlight w:val="none"/>
        </w:rPr>
        <w:t>后15个工作日内，甲方将履约保证金</w:t>
      </w:r>
      <w:r>
        <w:rPr>
          <w:rFonts w:hint="eastAsia" w:ascii="仿宋" w:hAnsi="仿宋" w:eastAsia="仿宋" w:cs="仿宋"/>
          <w:color w:val="auto"/>
          <w:sz w:val="24"/>
          <w:szCs w:val="24"/>
          <w:highlight w:val="none"/>
          <w:lang w:val="en-US" w:eastAsia="zh-CN"/>
        </w:rPr>
        <w:t>无息</w:t>
      </w:r>
      <w:r>
        <w:rPr>
          <w:rFonts w:hint="eastAsia" w:ascii="仿宋" w:hAnsi="仿宋" w:eastAsia="仿宋" w:cs="仿宋"/>
          <w:color w:val="auto"/>
          <w:sz w:val="24"/>
          <w:szCs w:val="24"/>
          <w:highlight w:val="none"/>
        </w:rPr>
        <w:t>退还给乙方。甲方退还履约保证金时，有权按照合同约定扣除违约金。履约保证金的退还方式为：采用保函方式提交的，合同义务终止保函自行</w:t>
      </w:r>
      <w:r>
        <w:rPr>
          <w:rFonts w:hint="eastAsia" w:ascii="仿宋" w:hAnsi="仿宋" w:eastAsia="仿宋" w:cs="仿宋"/>
          <w:color w:val="auto"/>
          <w:sz w:val="24"/>
          <w:szCs w:val="24"/>
          <w:highlight w:val="none"/>
          <w:u w:val="none"/>
        </w:rPr>
        <w:t>失效，采用其他方式提交的，双方另行协商履约保证金的退还事宜。</w:t>
      </w:r>
      <w:r>
        <w:rPr>
          <w:rFonts w:hint="eastAsia" w:ascii="仿宋" w:hAnsi="仿宋" w:eastAsia="仿宋" w:cs="仿宋"/>
          <w:color w:val="auto"/>
          <w:sz w:val="24"/>
          <w:szCs w:val="24"/>
          <w:highlight w:val="none"/>
          <w:u w:val="none"/>
          <w:lang w:val="en-US" w:eastAsia="zh-CN"/>
        </w:rPr>
        <w:t xml:space="preserve">  </w:t>
      </w:r>
    </w:p>
    <w:p w14:paraId="281071FA">
      <w:pPr>
        <w:keepNext/>
        <w:keepLines/>
        <w:pageBreakBefore w:val="0"/>
        <w:tabs>
          <w:tab w:val="left" w:pos="540"/>
        </w:tabs>
        <w:wordWrap/>
        <w:overflowPunct/>
        <w:topLinePunct w:val="0"/>
        <w:autoSpaceDE w:val="0"/>
        <w:autoSpaceDN w:val="0"/>
        <w:bidi w:val="0"/>
        <w:snapToGrid w:val="0"/>
        <w:spacing w:after="0" w:line="460" w:lineRule="exact"/>
        <w:ind w:firstLine="602" w:firstLineChars="2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第六条 甲方的权利与义务</w:t>
      </w:r>
    </w:p>
    <w:p w14:paraId="3821DA7A">
      <w:pPr>
        <w:pStyle w:val="2"/>
        <w:pageBreakBefore w:val="0"/>
        <w:wordWrap/>
        <w:overflowPunct/>
        <w:topLinePunct w:val="0"/>
        <w:bidi w:val="0"/>
        <w:snapToGrid w:val="0"/>
        <w:spacing w:after="0" w:line="460" w:lineRule="exact"/>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 xml:space="preserve">    </w:t>
      </w:r>
      <w:r>
        <w:rPr>
          <w:rFonts w:hint="eastAsia" w:ascii="仿宋" w:hAnsi="仿宋" w:eastAsia="仿宋" w:cs="仿宋"/>
          <w:color w:val="auto"/>
          <w:sz w:val="24"/>
          <w:highlight w:val="none"/>
          <w:lang w:eastAsia="zh-CN"/>
        </w:rPr>
        <w:t>（一）按照本合同第二条约定的要求对乙方工作质量进行检查、监督、验收。</w:t>
      </w:r>
    </w:p>
    <w:p w14:paraId="41D448DD">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（二）乙方提供服务不符合要求时，有权对乙方服务下达整改通知要求整改，整改不合格或逾期不整改给甲方造成损失的，甲方有权解除合同，并要求乙方承担相应损失。</w:t>
      </w:r>
    </w:p>
    <w:p w14:paraId="76F1F613">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（三）对乙方收到的项目资金使用情况进行监督。</w:t>
      </w:r>
    </w:p>
    <w:p w14:paraId="719FCB1E">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（四）对乙方提交的实施方案进行审核，制定相关管理制度，供乙方遵守。</w:t>
      </w:r>
    </w:p>
    <w:p w14:paraId="36498418">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在本合同履行期间，如果政府相关管理部门发布了新的维护保养管理规定或标准，且该规定或标准高于本合同约定的规定和标准时，甲方有权要求乙方根据甲方的需要，对乙方提交且已经甲方审核的维护方案进行修改或调整，乙方应按照新的规定和标准履行，并不得因此要求甲方增加服务费用。</w:t>
      </w:r>
    </w:p>
    <w:p w14:paraId="6D4F9D9B">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（六）本合同履行期间，甲方有权按照自身项目管控要求及标准对乙方进行考核评分，若考核结果不满足要求，甲方有权要求乙方进行改正，并有权根据项目实施情况扣除部分服务费用。</w:t>
      </w:r>
    </w:p>
    <w:p w14:paraId="52A06291">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（七）甲方发现设备设施有异常情况出现后，应及时通知乙方并详细说明故障现象，以便于乙方根据故障现象进行相应准备。</w:t>
      </w:r>
    </w:p>
    <w:p w14:paraId="5D9369EE">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（八）在乙方进行维护及保养过程中，甲方在有条件情况下为乙方提供必要的协调帮助和便利设施。维护保养完毕后，甲方及时派人进行检查和验收。</w:t>
      </w:r>
    </w:p>
    <w:p w14:paraId="0563F28F">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（九）按照本合同第四条的约定履行支付合同价款的义务。</w:t>
      </w:r>
    </w:p>
    <w:p w14:paraId="4A17A458">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第七条 乙方的权利与义务</w:t>
      </w:r>
    </w:p>
    <w:p w14:paraId="0A73E730">
      <w:pPr>
        <w:pStyle w:val="2"/>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（一）按本合同第二条中的工作内容，提供满足本合同要求的服务。</w:t>
      </w:r>
    </w:p>
    <w:p w14:paraId="47214C09">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（二）按本合同约定的维修养护标准进行维护保养工作，遵守国家相关法律、法规、甲方的规章制度及安全环保等相关规定，服从甲方的管理。</w:t>
      </w:r>
    </w:p>
    <w:p w14:paraId="4D49B041">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（三）按照甲方要求和项目情况制定实施方案，并在本合同签订后7日内，将实施方案报请甲方审核，并以此作为项目实施的依据。</w:t>
      </w:r>
    </w:p>
    <w:p w14:paraId="65642CCA">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（四）在项目实施期内，如因重大组织活动或其他原因，甲方认为确有必要暂停维护工作或调整维护方案的，乙方应按照甲方要求调整维护保养时间或更改维护保养措施。</w:t>
      </w:r>
    </w:p>
    <w:p w14:paraId="56DCC08C">
      <w:pPr>
        <w:pageBreakBefore w:val="0"/>
        <w:tabs>
          <w:tab w:val="left" w:pos="1060"/>
        </w:tabs>
        <w:wordWrap/>
        <w:overflowPunct/>
        <w:topLinePunct w:val="0"/>
        <w:bidi w:val="0"/>
        <w:adjustRightInd w:val="0"/>
        <w:snapToGrid w:val="0"/>
        <w:spacing w:after="0" w:line="460" w:lineRule="exact"/>
        <w:ind w:firstLine="480" w:firstLineChars="200"/>
        <w:rPr>
          <w:rFonts w:hint="default"/>
          <w:lang w:val="en-US" w:eastAsia="zh-CN"/>
        </w:rPr>
      </w:pPr>
      <w:r>
        <w:rPr>
          <w:rFonts w:hint="eastAsia" w:ascii="仿宋" w:hAnsi="仿宋" w:eastAsia="仿宋" w:cs="仿宋"/>
          <w:color w:val="auto"/>
          <w:sz w:val="24"/>
          <w:szCs w:val="24"/>
          <w:highlight w:val="none"/>
          <w:lang w:eastAsia="zh-CN"/>
        </w:rPr>
        <w:t>（五）对参与项目的人员（如电工、维修员、检测员等）进行严格的岗前培训，上述各岗位均应持有国家承认的资格证书。</w:t>
      </w:r>
      <w:r>
        <w:rPr>
          <w:rFonts w:hint="eastAsia" w:ascii="仿宋" w:hAnsi="仿宋" w:eastAsia="仿宋" w:cs="仿宋"/>
          <w:color w:val="auto"/>
          <w:sz w:val="24"/>
          <w:szCs w:val="24"/>
          <w:highlight w:val="none"/>
          <w:lang w:val="en-US" w:eastAsia="zh-CN"/>
        </w:rPr>
        <w:t>向甲方提供技术交流，技术咨询等服务，对甲方工作人员提供必要的技术培训，使其达到熟练掌握程度。</w:t>
      </w:r>
    </w:p>
    <w:p w14:paraId="003A530D">
      <w:pPr>
        <w:pStyle w:val="2"/>
        <w:pageBreakBefore w:val="0"/>
        <w:wordWrap/>
        <w:overflowPunct/>
        <w:topLinePunct w:val="0"/>
        <w:bidi w:val="0"/>
        <w:snapToGrid w:val="0"/>
        <w:spacing w:after="0"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（六）制定项目管理制度，编制岗位职责、岗位规范等，并将其所制定的管理制度、岗位规范及拟派本项目的主要人员名单及资质证明材料报甲方备案。</w:t>
      </w:r>
    </w:p>
    <w:p w14:paraId="49ACF2DF">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w:t>
      </w:r>
      <w:r>
        <w:rPr>
          <w:rFonts w:hint="eastAsia" w:ascii="仿宋" w:hAnsi="仿宋" w:eastAsia="仿宋" w:cs="方正仿宋_GBK"/>
          <w:color w:val="auto"/>
          <w:sz w:val="24"/>
          <w:highlight w:val="none"/>
          <w:lang w:eastAsia="zh-CN"/>
        </w:rPr>
        <w:t>乙方应熟悉所有设备操作流程，</w:t>
      </w:r>
      <w:r>
        <w:rPr>
          <w:rFonts w:hint="eastAsia" w:ascii="仿宋" w:hAnsi="仿宋" w:eastAsia="仿宋" w:cs="仿宋"/>
          <w:color w:val="auto"/>
          <w:sz w:val="24"/>
          <w:highlight w:val="none"/>
          <w:lang w:eastAsia="zh-CN"/>
        </w:rPr>
        <w:t>向甲方提供完整的维护记录和相关设备维修资料。每次完成维护工作后填写相应的记录。</w:t>
      </w:r>
      <w:r>
        <w:rPr>
          <w:rFonts w:hint="eastAsia" w:ascii="仿宋" w:hAnsi="仿宋" w:eastAsia="仿宋" w:cs="仿宋"/>
          <w:color w:val="auto"/>
          <w:kern w:val="2"/>
          <w:sz w:val="24"/>
          <w:szCs w:val="24"/>
          <w:highlight w:val="none"/>
          <w:lang w:eastAsia="zh-CN"/>
        </w:rPr>
        <w:t>根据甲方要求每月向甲方报送工作计划、月报。</w:t>
      </w:r>
    </w:p>
    <w:p w14:paraId="369A5832">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（八）乙方须做好备品备件、耗材的供应工作。设备在平时使用过程中出现故障，如当时无法修复，乙方需提供免费替代设备，并保证在3个工作日内使系统恢复正常运行；</w:t>
      </w:r>
    </w:p>
    <w:p w14:paraId="28457C49">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（九）如出现故障，需要维修更换相应的设备、材料等时，乙方提供的设备和材料应经过甲方验收合格后，方能用于维护和检修。</w:t>
      </w:r>
    </w:p>
    <w:p w14:paraId="63CDE075">
      <w:pPr>
        <w:pageBreakBefore w:val="0"/>
        <w:tabs>
          <w:tab w:val="left" w:pos="1060"/>
        </w:tabs>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（十）乙方更换的设备和材料应优先选择原厂产品，更换的设备和材料保修期为自更换之日起12个月，保修期内出现质量问题由乙方负责免费更换或修复。</w:t>
      </w:r>
    </w:p>
    <w:p w14:paraId="0E5E98DF">
      <w:pPr>
        <w:pageBreakBefore w:val="0"/>
        <w:tabs>
          <w:tab w:val="left" w:pos="1060"/>
        </w:tabs>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（十一）乙方更换配件的相关维修服务费用单价在人民币</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000元以内（含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000元）的，由乙方自理，超过人民币</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000元的，经甲乙双方协商办理后进行维修更换。</w:t>
      </w:r>
    </w:p>
    <w:p w14:paraId="1E30E625">
      <w:pPr>
        <w:pageBreakBefore w:val="0"/>
        <w:tabs>
          <w:tab w:val="left" w:pos="1060"/>
        </w:tabs>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二）项目实施过程中，乙方项目负责人需了解本项目情况，统筹项目人员安排，与甲方保持密切沟通，并按照甲方要求参加工作会。如甲方对该项目开展验收、考核、检查、项目交接、延伸审计等，乙方须无条件配合。</w:t>
      </w:r>
    </w:p>
    <w:p w14:paraId="65232B9A">
      <w:pPr>
        <w:pageBreakBefore w:val="0"/>
        <w:tabs>
          <w:tab w:val="left" w:pos="1060"/>
        </w:tabs>
        <w:wordWrap/>
        <w:overflowPunct/>
        <w:topLinePunct w:val="0"/>
        <w:bidi w:val="0"/>
        <w:adjustRightInd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（十三）更换项目负责人</w:t>
      </w:r>
    </w:p>
    <w:p w14:paraId="4E27B8A4">
      <w:pPr>
        <w:pageBreakBefore w:val="0"/>
        <w:tabs>
          <w:tab w:val="left" w:pos="1060"/>
        </w:tabs>
        <w:wordWrap/>
        <w:overflowPunct/>
        <w:topLinePunct w:val="0"/>
        <w:bidi w:val="0"/>
        <w:adjustRightInd w:val="0"/>
        <w:snapToGrid w:val="0"/>
        <w:spacing w:after="0" w:line="460" w:lineRule="exact"/>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1、乙方更换项目主要负责人的，必须经甲方书面同意；</w:t>
      </w:r>
    </w:p>
    <w:p w14:paraId="05FFFA8E">
      <w:pPr>
        <w:pageBreakBefore w:val="0"/>
        <w:tabs>
          <w:tab w:val="left" w:pos="1060"/>
        </w:tabs>
        <w:wordWrap/>
        <w:overflowPunct/>
        <w:topLinePunct w:val="0"/>
        <w:bidi w:val="0"/>
        <w:adjustRightInd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2、更换人员的资质水平应高于项目原负责人或与原负责人资质水平保持一致；</w:t>
      </w:r>
    </w:p>
    <w:p w14:paraId="5C69AB70">
      <w:pPr>
        <w:pageBreakBefore w:val="0"/>
        <w:tabs>
          <w:tab w:val="left" w:pos="1060"/>
        </w:tabs>
        <w:wordWrap/>
        <w:overflowPunct/>
        <w:topLinePunct w:val="0"/>
        <w:bidi w:val="0"/>
        <w:adjustRightInd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14:paraId="4E42A4DD">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四）对派驻到甲方服务的维护人员进行安全教育、培训应急抢险相关知识、技能，并形成培训记录，供甲方随时备查，以保证人员具备相应的安全责任意识和自我保护技能。乙方负责项目实施过程中的安全管理工作，须采取必要的安全防护措施，消除事故隐患，不得违章指挥和违规操作。由于乙方管理不力或工作人员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仿宋"/>
          <w:color w:val="auto"/>
          <w:sz w:val="24"/>
          <w:highlight w:val="none"/>
          <w:lang w:eastAsia="zh-CN"/>
        </w:rPr>
        <w:t>造成事故的责任和因此发生的费用由乙方承担。</w:t>
      </w:r>
    </w:p>
    <w:p w14:paraId="6A39A335">
      <w:pPr>
        <w:pageBreakBefore w:val="0"/>
        <w:tabs>
          <w:tab w:val="left" w:pos="1060"/>
        </w:tabs>
        <w:wordWrap/>
        <w:overflowPunct/>
        <w:topLinePunct w:val="0"/>
        <w:bidi w:val="0"/>
        <w:adjustRightInd w:val="0"/>
        <w:snapToGrid w:val="0"/>
        <w:spacing w:after="0"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（十五）</w:t>
      </w:r>
      <w:r>
        <w:rPr>
          <w:rFonts w:hint="eastAsia" w:ascii="仿宋" w:hAnsi="仿宋" w:eastAsia="仿宋" w:cs="仿宋"/>
          <w:color w:val="auto"/>
          <w:kern w:val="2"/>
          <w:sz w:val="24"/>
          <w:szCs w:val="24"/>
          <w:highlight w:val="none"/>
          <w:lang w:eastAsia="zh-CN"/>
        </w:rPr>
        <w:t>每月对维护情况自检一次，并做好自检记录。乙方须参加甲方组织的维护工作检查、验收、考核等活动。</w:t>
      </w:r>
      <w:r>
        <w:rPr>
          <w:rFonts w:hint="eastAsia" w:ascii="仿宋" w:hAnsi="仿宋" w:eastAsia="仿宋" w:cs="仿宋"/>
          <w:color w:val="auto"/>
          <w:sz w:val="24"/>
          <w:highlight w:val="none"/>
          <w:lang w:eastAsia="zh-CN"/>
        </w:rPr>
        <w:t>对甲方发出的整改通知，应在收到通知之日起5日内完成整改，紧急情况应24小时内整改。乙方无正当理由拒绝整改时，除甲方有权解除合同外，甲方可以另行委托他人进行整改，所发生的费用由乙方承担。</w:t>
      </w:r>
    </w:p>
    <w:p w14:paraId="13CCD0A3">
      <w:pPr>
        <w:pageBreakBefore w:val="0"/>
        <w:tabs>
          <w:tab w:val="left" w:pos="1060"/>
        </w:tabs>
        <w:wordWrap/>
        <w:overflowPunct/>
        <w:topLinePunct w:val="0"/>
        <w:bidi w:val="0"/>
        <w:adjustRightInd w:val="0"/>
        <w:snapToGrid w:val="0"/>
        <w:spacing w:after="0"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（十六）乙方应做到文明施工，加强现场环境保护工作，做好善后工作，遵守北京市环境保护各项规定。</w:t>
      </w:r>
    </w:p>
    <w:p w14:paraId="13E7B4E0">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（十七）未经甲方同意不得在项目实施范围内建设或搭设任何正式或临时设施，如违反此条规定，乙方应在甲方要求限定期限内拆除并恢复原貌，同时承担拆除及恢复费用</w:t>
      </w:r>
      <w:r>
        <w:rPr>
          <w:rFonts w:hint="eastAsia" w:ascii="仿宋" w:hAnsi="仿宋" w:eastAsia="仿宋" w:cs="仿宋"/>
          <w:color w:val="auto"/>
          <w:sz w:val="24"/>
          <w:highlight w:val="none"/>
        </w:rPr>
        <w:t>。逾期不拆除及恢复的，甲方有权解除本合同，乙方应承担合同</w:t>
      </w:r>
      <w:r>
        <w:rPr>
          <w:rFonts w:hint="eastAsia" w:ascii="仿宋" w:hAnsi="仿宋" w:eastAsia="仿宋" w:cs="仿宋"/>
          <w:color w:val="auto"/>
          <w:sz w:val="24"/>
          <w:highlight w:val="none"/>
          <w:lang w:val="en-US" w:eastAsia="zh-CN"/>
        </w:rPr>
        <w:t>总</w:t>
      </w:r>
      <w:r>
        <w:rPr>
          <w:rFonts w:hint="eastAsia" w:ascii="仿宋" w:hAnsi="仿宋" w:eastAsia="仿宋" w:cs="仿宋"/>
          <w:color w:val="auto"/>
          <w:sz w:val="24"/>
          <w:highlight w:val="none"/>
        </w:rPr>
        <w:t>金额</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违约金，</w:t>
      </w:r>
      <w:r>
        <w:rPr>
          <w:rFonts w:hint="eastAsia" w:ascii="仿宋" w:hAnsi="仿宋" w:eastAsia="仿宋" w:cs="仿宋"/>
          <w:color w:val="auto"/>
          <w:sz w:val="24"/>
          <w:highlight w:val="none"/>
          <w:lang w:val="en-US" w:eastAsia="zh-CN"/>
        </w:rPr>
        <w:t>并</w:t>
      </w:r>
      <w:r>
        <w:rPr>
          <w:rFonts w:hint="eastAsia" w:ascii="仿宋" w:hAnsi="仿宋" w:eastAsia="仿宋" w:cs="仿宋"/>
          <w:color w:val="auto"/>
          <w:sz w:val="24"/>
          <w:highlight w:val="none"/>
        </w:rPr>
        <w:t>赔偿甲方损失。</w:t>
      </w:r>
      <w:r>
        <w:rPr>
          <w:rFonts w:hint="eastAsia" w:ascii="仿宋" w:hAnsi="仿宋" w:eastAsia="仿宋" w:cs="仿宋"/>
          <w:color w:val="auto"/>
          <w:sz w:val="24"/>
          <w:highlight w:val="none"/>
          <w:lang w:val="en-US" w:eastAsia="zh-CN"/>
        </w:rPr>
        <w:t xml:space="preserve">   </w:t>
      </w:r>
    </w:p>
    <w:p w14:paraId="3818B8FE">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方正仿宋_GBK"/>
          <w:color w:val="auto"/>
          <w:sz w:val="24"/>
          <w:highlight w:val="none"/>
          <w:lang w:eastAsia="zh-CN"/>
        </w:rPr>
        <w:t>（十八）乙方进入甲方属地工作时须服从甲方的监管，未经甲方同意，乙方人员不得随意进出设备间、触碰工程设备。因乙方违反甲方管理要求或因自身原因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方正仿宋_GBK"/>
          <w:color w:val="auto"/>
          <w:sz w:val="24"/>
          <w:highlight w:val="none"/>
          <w:lang w:eastAsia="zh-CN"/>
        </w:rPr>
        <w:t>造成的人员伤害、设备损坏及其他损失，由乙方承担。</w:t>
      </w:r>
    </w:p>
    <w:p w14:paraId="0218C946">
      <w:pPr>
        <w:pageBreakBefore w:val="0"/>
        <w:tabs>
          <w:tab w:val="left" w:pos="1060"/>
        </w:tabs>
        <w:wordWrap/>
        <w:overflowPunct/>
        <w:topLinePunct w:val="0"/>
        <w:bidi w:val="0"/>
        <w:adjustRightInd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（十九）所有工作人员在工作时间必须统一着装，并佩戴反光警示标识、工卡上岗。</w:t>
      </w:r>
    </w:p>
    <w:p w14:paraId="38C886AF">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（二十）劳动法上的义务</w:t>
      </w:r>
    </w:p>
    <w:p w14:paraId="65FB05F3">
      <w:pPr>
        <w:pageBreakBefore w:val="0"/>
        <w:numPr>
          <w:ilvl w:val="0"/>
          <w:numId w:val="5"/>
        </w:numPr>
        <w:wordWrap/>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严格遵守国家关于劳动时间的规定;</w:t>
      </w:r>
    </w:p>
    <w:p w14:paraId="27367672">
      <w:pPr>
        <w:pageBreakBefore w:val="0"/>
        <w:numPr>
          <w:ilvl w:val="0"/>
          <w:numId w:val="5"/>
        </w:numPr>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完全遵守《中华人民共和国妇女权益保障法》中关于“劳动和社会保障权益”的有关要求。</w:t>
      </w:r>
    </w:p>
    <w:p w14:paraId="510CC1E5">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、虽然乙方所派人员在甲方处工作，但并不意味着乙方人员与甲方建立了劳动关系。乙方应与所派本单位人员签订书面劳动合同，并缴纳的社会保险，按时支付劳动报酬，保证与所派人员不存在劳动纠纷；</w:t>
      </w:r>
    </w:p>
    <w:p w14:paraId="13037A10">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、如因未与派驻本合同项目的本单位工作人员签订书面劳动合同、未缴纳社会保险费用等原因引起的一切责任，由乙方承担；</w:t>
      </w:r>
    </w:p>
    <w:p w14:paraId="7BFD41FB">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乙方派驻甲方的维护人员在提供服务的过程中因意外事故受到人身财产损害或者导致第三方人身财产损害的，由乙方承担全部责任，并由乙方与第三方交涉，保证甲方不受追究。如甲方因此而承担责任的，由乙方负责赔偿。</w:t>
      </w:r>
    </w:p>
    <w:p w14:paraId="6E087184">
      <w:pPr>
        <w:pageBreakBefore w:val="0"/>
        <w:wordWrap/>
        <w:overflowPunct/>
        <w:topLinePunct w:val="0"/>
        <w:bidi w:val="0"/>
        <w:snapToGrid w:val="0"/>
        <w:spacing w:after="0"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一）乙方应对收到的项目资金进行专款专用、专账管理。该项目资金应首先保证维护保养人员工资支出，防止因拖欠维护保养人员工资而引起的群体事件（如讨薪示威等）。若发生此类事件，视为乙方违约，甲方有权解除本合同。</w:t>
      </w:r>
    </w:p>
    <w:p w14:paraId="62F18591">
      <w:pPr>
        <w:pageBreakBefore w:val="0"/>
        <w:wordWrap/>
        <w:overflowPunct/>
        <w:topLinePunct w:val="0"/>
        <w:bidi w:val="0"/>
        <w:snapToGrid w:val="0"/>
        <w:spacing w:after="0"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（二十二）依本合同第四条的约定收取服务费。如因甲方的违约导致乙方损失的，乙方有权向甲方主张违约责任。</w:t>
      </w:r>
    </w:p>
    <w:p w14:paraId="42FF571B">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（二十三）建</w:t>
      </w:r>
      <w:r>
        <w:rPr>
          <w:rFonts w:hint="eastAsia" w:ascii="仿宋" w:hAnsi="仿宋" w:eastAsia="仿宋" w:cs="仿宋"/>
          <w:color w:val="auto"/>
          <w:sz w:val="24"/>
          <w:highlight w:val="none"/>
          <w:lang w:eastAsia="zh-CN"/>
        </w:rPr>
        <w:t>立不少于10人的应急保障队伍，并纳入甲方应急抢险体系，按照甲方要求随时调遣用于紧急情况的应对处置，参与辖区范围内火灾、水旱灾害及各类安全事故等突发事件的应急抢险工作。出现险情时，应在险情出现起1小时内响应和处理。</w:t>
      </w:r>
    </w:p>
    <w:p w14:paraId="19EAEFD4">
      <w:pPr>
        <w:keepNext/>
        <w:keepLines/>
        <w:pageBreakBefore w:val="0"/>
        <w:tabs>
          <w:tab w:val="left" w:pos="540"/>
        </w:tabs>
        <w:wordWrap/>
        <w:overflowPunct/>
        <w:topLinePunct w:val="0"/>
        <w:autoSpaceDE w:val="0"/>
        <w:autoSpaceDN w:val="0"/>
        <w:bidi w:val="0"/>
        <w:snapToGrid w:val="0"/>
        <w:spacing w:after="0" w:line="460" w:lineRule="exact"/>
        <w:ind w:firstLine="361" w:firstLineChars="150"/>
        <w:outlineLvl w:val="2"/>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第八条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lang w:eastAsia="zh-CN"/>
        </w:rPr>
        <w:t>验收</w:t>
      </w:r>
    </w:p>
    <w:p w14:paraId="0514A5DC">
      <w:pPr>
        <w:keepNext w:val="0"/>
        <w:keepLines w:val="0"/>
        <w:pageBreakBefore w:val="0"/>
        <w:widowControl/>
        <w:numPr>
          <w:ilvl w:val="0"/>
          <w:numId w:val="6"/>
        </w:numPr>
        <w:wordWrap/>
        <w:overflowPunct/>
        <w:topLinePunct w:val="0"/>
        <w:autoSpaceDE/>
        <w:autoSpaceDN/>
        <w:bidi w:val="0"/>
        <w:snapToGrid w:val="0"/>
        <w:spacing w:after="0"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在甲方正式验收前，乙方应组织相关人员对本项目完成情况及档案资料整理情况进行自行验收，自行验收通过后，乙方向甲方提出书面验收申请。</w:t>
      </w:r>
    </w:p>
    <w:p w14:paraId="367B01E8">
      <w:pPr>
        <w:keepNext w:val="0"/>
        <w:keepLines w:val="0"/>
        <w:pageBreakBefore w:val="0"/>
        <w:widowControl/>
        <w:numPr>
          <w:ilvl w:val="0"/>
          <w:numId w:val="7"/>
        </w:numPr>
        <w:wordWrap/>
        <w:overflowPunct/>
        <w:topLinePunct w:val="0"/>
        <w:autoSpaceDE/>
        <w:autoSpaceDN/>
        <w:bidi w:val="0"/>
        <w:snapToGrid w:val="0"/>
        <w:spacing w:after="0"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验收方式：甲方自行组织，采用现场检查、查阅资料、确认工程量计量单，召开验收会议等方式，完成验收。</w:t>
      </w:r>
    </w:p>
    <w:p w14:paraId="291E5DAA">
      <w:pPr>
        <w:keepNext w:val="0"/>
        <w:keepLines w:val="0"/>
        <w:pageBreakBefore w:val="0"/>
        <w:widowControl/>
        <w:numPr>
          <w:ilvl w:val="0"/>
          <w:numId w:val="7"/>
        </w:numPr>
        <w:wordWrap/>
        <w:overflowPunct/>
        <w:topLinePunct w:val="0"/>
        <w:autoSpaceDE/>
        <w:autoSpaceDN/>
        <w:bidi w:val="0"/>
        <w:snapToGrid w:val="0"/>
        <w:spacing w:after="0" w:line="460" w:lineRule="exact"/>
        <w:ind w:left="0" w:leftChars="0"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验收条件：</w:t>
      </w:r>
    </w:p>
    <w:p w14:paraId="73E73FEE">
      <w:pPr>
        <w:keepNext w:val="0"/>
        <w:keepLines w:val="0"/>
        <w:pageBreakBefore w:val="0"/>
        <w:widowControl/>
        <w:numPr>
          <w:ilvl w:val="0"/>
          <w:numId w:val="8"/>
        </w:numPr>
        <w:wordWrap/>
        <w:overflowPunct/>
        <w:topLinePunct w:val="0"/>
        <w:autoSpaceDE/>
        <w:autoSpaceDN/>
        <w:bidi w:val="0"/>
        <w:snapToGrid w:val="0"/>
        <w:spacing w:after="0" w:line="460" w:lineRule="exact"/>
        <w:ind w:leftChars="200" w:firstLine="240" w:firstLineChars="1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乙方按合同约定的期限、数量和标准完成各项工作；</w:t>
      </w:r>
    </w:p>
    <w:p w14:paraId="26FA08C1">
      <w:pPr>
        <w:keepNext w:val="0"/>
        <w:keepLines w:val="0"/>
        <w:pageBreakBefore w:val="0"/>
        <w:widowControl/>
        <w:numPr>
          <w:ilvl w:val="0"/>
          <w:numId w:val="9"/>
        </w:numPr>
        <w:wordWrap/>
        <w:overflowPunct/>
        <w:topLinePunct w:val="0"/>
        <w:autoSpaceDE/>
        <w:autoSpaceDN/>
        <w:bidi w:val="0"/>
        <w:snapToGrid w:val="0"/>
        <w:spacing w:after="0" w:line="460" w:lineRule="exact"/>
        <w:ind w:leftChars="200" w:firstLine="240" w:firstLineChars="1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有完整的技术档案。</w:t>
      </w:r>
    </w:p>
    <w:p w14:paraId="12100CAC">
      <w:pPr>
        <w:pStyle w:val="2"/>
        <w:pageBreakBefore w:val="0"/>
        <w:wordWrap/>
        <w:overflowPunct/>
        <w:topLinePunct w:val="0"/>
        <w:bidi w:val="0"/>
        <w:snapToGrid w:val="0"/>
        <w:spacing w:after="0" w:line="460" w:lineRule="exact"/>
        <w:rPr>
          <w:rFonts w:hint="default"/>
          <w:lang w:val="en-US" w:eastAsia="zh-CN"/>
        </w:rPr>
      </w:pPr>
      <w:r>
        <w:rPr>
          <w:rFonts w:hint="eastAsia" w:ascii="仿宋" w:hAnsi="仿宋" w:eastAsia="仿宋" w:cs="仿宋"/>
          <w:color w:val="auto"/>
          <w:sz w:val="24"/>
          <w:highlight w:val="none"/>
          <w:lang w:val="en-US" w:eastAsia="zh-CN"/>
        </w:rPr>
        <w:t xml:space="preserve">    （四）验收时间：</w:t>
      </w:r>
      <w:r>
        <w:rPr>
          <w:rFonts w:hint="eastAsia" w:ascii="仿宋" w:hAnsi="仿宋" w:eastAsia="仿宋" w:cs="仿宋"/>
          <w:color w:val="auto"/>
          <w:sz w:val="24"/>
          <w:highlight w:val="none"/>
          <w:lang w:eastAsia="zh-CN"/>
        </w:rPr>
        <w:t>项目执行完成</w:t>
      </w:r>
      <w:r>
        <w:rPr>
          <w:rFonts w:hint="eastAsia" w:ascii="仿宋" w:hAnsi="仿宋" w:eastAsia="仿宋" w:cs="仿宋"/>
          <w:color w:val="auto"/>
          <w:sz w:val="24"/>
          <w:highlight w:val="none"/>
          <w:lang w:val="en-US" w:eastAsia="zh-CN"/>
        </w:rPr>
        <w:t>60日内，在无遗留问题后，经乙方申请验收甲方同意后，甲方组织进行验收。</w:t>
      </w:r>
    </w:p>
    <w:p w14:paraId="2098C8EA">
      <w:pPr>
        <w:keepNext w:val="0"/>
        <w:keepLines w:val="0"/>
        <w:pageBreakBefore w:val="0"/>
        <w:widowControl/>
        <w:numPr>
          <w:ilvl w:val="-1"/>
          <w:numId w:val="0"/>
        </w:numPr>
        <w:wordWrap/>
        <w:overflowPunct/>
        <w:topLinePunct w:val="0"/>
        <w:autoSpaceDE/>
        <w:autoSpaceDN/>
        <w:bidi w:val="0"/>
        <w:snapToGrid w:val="0"/>
        <w:spacing w:after="0" w:line="460" w:lineRule="exact"/>
        <w:ind w:leftChars="0" w:firstLine="480" w:firstLineChars="200"/>
        <w:outlineLvl w:val="9"/>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验收程序：经甲方项目执行部门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14:paraId="3B290C76">
      <w:pPr>
        <w:keepNext/>
        <w:keepLines/>
        <w:pageBreakBefore w:val="0"/>
        <w:tabs>
          <w:tab w:val="left" w:pos="540"/>
        </w:tabs>
        <w:wordWrap/>
        <w:overflowPunct/>
        <w:topLinePunct w:val="0"/>
        <w:autoSpaceDE w:val="0"/>
        <w:autoSpaceDN w:val="0"/>
        <w:bidi w:val="0"/>
        <w:snapToGrid w:val="0"/>
        <w:spacing w:after="0" w:line="460" w:lineRule="exact"/>
        <w:ind w:firstLine="480" w:firstLineChars="200"/>
        <w:outlineLvl w:val="2"/>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（六）验收内容：乙方是否按合同约定完成各项工作内容，质量、进度、资金使用是否满足合同要求，档案资料是否齐全。</w:t>
      </w:r>
    </w:p>
    <w:p w14:paraId="4AA2CE9D">
      <w:pPr>
        <w:pStyle w:val="2"/>
        <w:pageBreakBefore w:val="0"/>
        <w:wordWrap/>
        <w:overflowPunct/>
        <w:topLinePunct w:val="0"/>
        <w:bidi w:val="0"/>
        <w:snapToGrid w:val="0"/>
        <w:spacing w:after="0" w:line="460" w:lineRule="exact"/>
        <w:rPr>
          <w:rFonts w:hint="default"/>
          <w:lang w:val="en-US" w:eastAsia="zh-CN"/>
        </w:rPr>
      </w:pPr>
      <w:r>
        <w:rPr>
          <w:rFonts w:hint="eastAsia" w:ascii="仿宋" w:hAnsi="仿宋" w:eastAsia="仿宋" w:cs="仿宋"/>
          <w:color w:val="auto"/>
          <w:sz w:val="24"/>
          <w:highlight w:val="none"/>
          <w:lang w:val="en-US" w:eastAsia="zh-CN"/>
        </w:rPr>
        <w:t xml:space="preserve">    （七）验收标准：参照《北京市南水北调大宁管理处项目管理办法》和《北京市南水北调大宁管理处合同管理办法》。</w:t>
      </w:r>
    </w:p>
    <w:p w14:paraId="3996198F">
      <w:pPr>
        <w:keepNext/>
        <w:keepLines/>
        <w:pageBreakBefore w:val="0"/>
        <w:widowControl/>
        <w:tabs>
          <w:tab w:val="left" w:pos="540"/>
        </w:tabs>
        <w:wordWrap/>
        <w:overflowPunct/>
        <w:topLinePunct w:val="0"/>
        <w:autoSpaceDE w:val="0"/>
        <w:autoSpaceDN w:val="0"/>
        <w:bidi w:val="0"/>
        <w:snapToGrid w:val="0"/>
        <w:spacing w:after="0" w:line="460" w:lineRule="exact"/>
        <w:ind w:firstLine="480" w:firstLineChars="200"/>
        <w:outlineLvl w:val="2"/>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（八） 验收通过5日内，乙方应向甲方提供完整的技术档案及管理资料。</w:t>
      </w:r>
    </w:p>
    <w:p w14:paraId="506DCF73">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第九条 信息和保密</w:t>
      </w:r>
    </w:p>
    <w:p w14:paraId="37D738AB">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kern w:val="2"/>
          <w:sz w:val="24"/>
          <w:szCs w:val="24"/>
          <w:highlight w:val="none"/>
          <w:lang w:val="en-GB" w:eastAsia="zh-CN"/>
        </w:rPr>
        <w:t>）乙方应准确系统地建立服务过程中的文档和记录，其形式和详细程度应符合</w:t>
      </w:r>
      <w:r>
        <w:rPr>
          <w:rFonts w:hint="eastAsia" w:ascii="仿宋" w:hAnsi="仿宋" w:eastAsia="仿宋" w:cs="仿宋"/>
          <w:color w:val="auto"/>
          <w:sz w:val="24"/>
          <w:highlight w:val="none"/>
          <w:lang w:val="en-GB" w:eastAsia="zh-CN"/>
        </w:rPr>
        <w:t>标准和甲方要求，</w:t>
      </w:r>
      <w:r>
        <w:rPr>
          <w:rFonts w:hint="eastAsia" w:ascii="仿宋" w:hAnsi="仿宋" w:eastAsia="仿宋" w:cs="仿宋"/>
          <w:color w:val="auto"/>
          <w:kern w:val="2"/>
          <w:sz w:val="24"/>
          <w:szCs w:val="24"/>
          <w:highlight w:val="none"/>
          <w:lang w:val="en-GB" w:eastAsia="zh-CN"/>
        </w:rPr>
        <w:t>并允许甲方在项目执行过程中进行检查和复印。</w:t>
      </w:r>
    </w:p>
    <w:p w14:paraId="64A02C23">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二</w:t>
      </w:r>
      <w:r>
        <w:rPr>
          <w:rFonts w:hint="eastAsia" w:ascii="仿宋" w:hAnsi="仿宋" w:eastAsia="仿宋" w:cs="仿宋"/>
          <w:color w:val="auto"/>
          <w:kern w:val="2"/>
          <w:sz w:val="24"/>
          <w:szCs w:val="24"/>
          <w:highlight w:val="none"/>
          <w:lang w:val="en-GB" w:eastAsia="zh-CN"/>
        </w:rPr>
        <w:t>）对于双方相互提供的信息和资料，另一方须以合理和合适的方式或按照适用的专业标准</w:t>
      </w:r>
      <w:r>
        <w:rPr>
          <w:rFonts w:hint="eastAsia" w:ascii="仿宋" w:hAnsi="仿宋" w:eastAsia="仿宋" w:cs="仿宋"/>
          <w:color w:val="auto"/>
          <w:kern w:val="2"/>
          <w:sz w:val="24"/>
          <w:szCs w:val="24"/>
          <w:highlight w:val="none"/>
          <w:lang w:eastAsia="zh-CN"/>
        </w:rPr>
        <w:t>进行保密</w:t>
      </w:r>
      <w:r>
        <w:rPr>
          <w:rFonts w:hint="eastAsia" w:ascii="仿宋" w:hAnsi="仿宋" w:eastAsia="仿宋" w:cs="仿宋"/>
          <w:color w:val="auto"/>
          <w:kern w:val="2"/>
          <w:sz w:val="24"/>
          <w:szCs w:val="24"/>
          <w:highlight w:val="none"/>
          <w:lang w:val="en-GB" w:eastAsia="zh-CN"/>
        </w:rPr>
        <w:t>。未经提供方书面同意，另一方不得将</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资料通过任何方式</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露给第三方。但甲方</w:t>
      </w:r>
      <w:r>
        <w:rPr>
          <w:rFonts w:hint="eastAsia" w:ascii="仿宋" w:hAnsi="仿宋" w:eastAsia="仿宋" w:cs="仿宋"/>
          <w:color w:val="auto"/>
          <w:kern w:val="2"/>
          <w:sz w:val="24"/>
          <w:szCs w:val="24"/>
          <w:highlight w:val="none"/>
          <w:lang w:eastAsia="zh-CN"/>
        </w:rPr>
        <w:t>为获得项目成果而合理使用此类材料的</w:t>
      </w:r>
      <w:r>
        <w:rPr>
          <w:rFonts w:hint="eastAsia" w:ascii="仿宋" w:hAnsi="仿宋" w:eastAsia="仿宋" w:cs="仿宋"/>
          <w:color w:val="auto"/>
          <w:kern w:val="2"/>
          <w:sz w:val="24"/>
          <w:szCs w:val="24"/>
          <w:highlight w:val="none"/>
          <w:lang w:val="en-GB" w:eastAsia="zh-CN"/>
        </w:rPr>
        <w:t>不</w:t>
      </w:r>
      <w:r>
        <w:rPr>
          <w:rFonts w:hint="eastAsia" w:ascii="仿宋" w:hAnsi="仿宋" w:eastAsia="仿宋" w:cs="仿宋"/>
          <w:color w:val="auto"/>
          <w:kern w:val="2"/>
          <w:sz w:val="24"/>
          <w:szCs w:val="24"/>
          <w:highlight w:val="none"/>
          <w:lang w:eastAsia="zh-CN"/>
        </w:rPr>
        <w:t>受此限制</w:t>
      </w:r>
      <w:r>
        <w:rPr>
          <w:rFonts w:hint="eastAsia" w:ascii="仿宋" w:hAnsi="仿宋" w:eastAsia="仿宋" w:cs="仿宋"/>
          <w:color w:val="auto"/>
          <w:kern w:val="2"/>
          <w:sz w:val="24"/>
          <w:szCs w:val="24"/>
          <w:highlight w:val="none"/>
          <w:lang w:val="en-GB" w:eastAsia="zh-CN"/>
        </w:rPr>
        <w:t>。</w:t>
      </w:r>
    </w:p>
    <w:p w14:paraId="3954645E">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三</w:t>
      </w:r>
      <w:r>
        <w:rPr>
          <w:rFonts w:hint="eastAsia" w:ascii="仿宋" w:hAnsi="仿宋" w:eastAsia="仿宋" w:cs="仿宋"/>
          <w:color w:val="auto"/>
          <w:kern w:val="2"/>
          <w:sz w:val="24"/>
          <w:szCs w:val="24"/>
          <w:highlight w:val="none"/>
          <w:lang w:val="en-GB" w:eastAsia="zh-CN"/>
        </w:rPr>
        <w:t>）甲方向乙方提供的资料、档案均属于甲方的财产，当项目完成或终止后，应甲方要求，乙方须归还</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资料和档案（包括</w:t>
      </w:r>
      <w:r>
        <w:rPr>
          <w:rFonts w:hint="eastAsia" w:ascii="仿宋" w:hAnsi="仿宋" w:eastAsia="仿宋" w:cs="仿宋"/>
          <w:color w:val="auto"/>
          <w:kern w:val="2"/>
          <w:sz w:val="24"/>
          <w:szCs w:val="24"/>
          <w:highlight w:val="none"/>
          <w:lang w:eastAsia="zh-CN"/>
        </w:rPr>
        <w:t>乙方</w:t>
      </w:r>
      <w:r>
        <w:rPr>
          <w:rFonts w:hint="eastAsia" w:ascii="仿宋" w:hAnsi="仿宋" w:eastAsia="仿宋" w:cs="仿宋"/>
          <w:color w:val="auto"/>
          <w:kern w:val="2"/>
          <w:sz w:val="24"/>
          <w:szCs w:val="24"/>
          <w:highlight w:val="none"/>
          <w:lang w:val="en-GB" w:eastAsia="zh-CN"/>
        </w:rPr>
        <w:t>拷贝</w:t>
      </w:r>
      <w:r>
        <w:rPr>
          <w:rFonts w:hint="eastAsia" w:ascii="仿宋" w:hAnsi="仿宋" w:eastAsia="仿宋" w:cs="仿宋"/>
          <w:color w:val="auto"/>
          <w:kern w:val="2"/>
          <w:sz w:val="24"/>
          <w:szCs w:val="24"/>
          <w:highlight w:val="none"/>
          <w:lang w:eastAsia="zh-CN"/>
        </w:rPr>
        <w:t>的资料</w:t>
      </w:r>
      <w:r>
        <w:rPr>
          <w:rFonts w:hint="eastAsia" w:ascii="仿宋" w:hAnsi="仿宋" w:eastAsia="仿宋" w:cs="仿宋"/>
          <w:color w:val="auto"/>
          <w:kern w:val="2"/>
          <w:sz w:val="24"/>
          <w:szCs w:val="24"/>
          <w:highlight w:val="none"/>
          <w:lang w:val="en-GB" w:eastAsia="zh-CN"/>
        </w:rPr>
        <w:t>）。</w:t>
      </w:r>
    </w:p>
    <w:p w14:paraId="2C87CA6D">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四</w:t>
      </w:r>
      <w:r>
        <w:rPr>
          <w:rFonts w:hint="eastAsia" w:ascii="仿宋" w:hAnsi="仿宋" w:eastAsia="仿宋" w:cs="仿宋"/>
          <w:color w:val="auto"/>
          <w:kern w:val="2"/>
          <w:sz w:val="24"/>
          <w:szCs w:val="24"/>
          <w:highlight w:val="none"/>
          <w:lang w:val="en-GB" w:eastAsia="zh-CN"/>
        </w:rPr>
        <w:t>）本项目形成成果的所有权、使用权和著作权归甲方所有，乙方在项目外使用本项目成果时需征的甲方同意。</w:t>
      </w:r>
    </w:p>
    <w:p w14:paraId="025FD5E8">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五</w:t>
      </w:r>
      <w:r>
        <w:rPr>
          <w:rFonts w:hint="eastAsia" w:ascii="仿宋" w:hAnsi="仿宋" w:eastAsia="仿宋" w:cs="仿宋"/>
          <w:color w:val="auto"/>
          <w:kern w:val="2"/>
          <w:sz w:val="24"/>
          <w:szCs w:val="24"/>
          <w:highlight w:val="none"/>
          <w:lang w:val="en-GB" w:eastAsia="zh-CN"/>
        </w:rPr>
        <w:t>）未经甲方同意，乙方不得将本项目成果</w:t>
      </w:r>
      <w:r>
        <w:rPr>
          <w:rFonts w:hint="eastAsia" w:ascii="仿宋" w:hAnsi="仿宋" w:eastAsia="仿宋" w:cs="仿宋"/>
          <w:color w:val="auto"/>
          <w:kern w:val="2"/>
          <w:sz w:val="24"/>
          <w:szCs w:val="24"/>
          <w:highlight w:val="none"/>
          <w:lang w:eastAsia="zh-CN"/>
        </w:rPr>
        <w:t>和与本项目有关的信息</w:t>
      </w:r>
      <w:r>
        <w:rPr>
          <w:rFonts w:hint="eastAsia" w:ascii="仿宋" w:hAnsi="仿宋" w:eastAsia="仿宋" w:cs="仿宋"/>
          <w:color w:val="auto"/>
          <w:kern w:val="2"/>
          <w:sz w:val="24"/>
          <w:szCs w:val="24"/>
          <w:highlight w:val="none"/>
          <w:lang w:val="en-GB" w:eastAsia="zh-CN"/>
        </w:rPr>
        <w:t>公开或</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w:t>
      </w:r>
      <w:r>
        <w:rPr>
          <w:rFonts w:hint="eastAsia" w:ascii="仿宋" w:hAnsi="仿宋" w:eastAsia="仿宋" w:cs="仿宋"/>
          <w:color w:val="auto"/>
          <w:kern w:val="2"/>
          <w:sz w:val="24"/>
          <w:szCs w:val="24"/>
          <w:highlight w:val="none"/>
          <w:lang w:eastAsia="zh-CN"/>
        </w:rPr>
        <w:t>任何</w:t>
      </w:r>
      <w:r>
        <w:rPr>
          <w:rFonts w:hint="eastAsia" w:ascii="仿宋" w:hAnsi="仿宋" w:eastAsia="仿宋" w:cs="仿宋"/>
          <w:color w:val="auto"/>
          <w:kern w:val="2"/>
          <w:sz w:val="24"/>
          <w:szCs w:val="24"/>
          <w:highlight w:val="none"/>
          <w:lang w:val="en-GB" w:eastAsia="zh-CN"/>
        </w:rPr>
        <w:t>第三方。</w:t>
      </w:r>
    </w:p>
    <w:p w14:paraId="0EE1B26E">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六</w:t>
      </w:r>
      <w:r>
        <w:rPr>
          <w:rFonts w:hint="eastAsia" w:ascii="仿宋" w:hAnsi="仿宋" w:eastAsia="仿宋" w:cs="仿宋"/>
          <w:color w:val="auto"/>
          <w:kern w:val="2"/>
          <w:sz w:val="24"/>
          <w:szCs w:val="24"/>
          <w:highlight w:val="none"/>
          <w:lang w:val="en-GB" w:eastAsia="zh-CN"/>
        </w:rPr>
        <w:t>）在任何时</w:t>
      </w:r>
      <w:r>
        <w:rPr>
          <w:rFonts w:hint="eastAsia" w:ascii="仿宋" w:hAnsi="仿宋" w:eastAsia="仿宋" w:cs="仿宋"/>
          <w:color w:val="auto"/>
          <w:kern w:val="2"/>
          <w:sz w:val="24"/>
          <w:szCs w:val="24"/>
          <w:highlight w:val="none"/>
          <w:lang w:eastAsia="zh-CN"/>
        </w:rPr>
        <w:t>间</w:t>
      </w:r>
      <w:r>
        <w:rPr>
          <w:rFonts w:hint="eastAsia" w:ascii="仿宋" w:hAnsi="仿宋" w:eastAsia="仿宋" w:cs="仿宋"/>
          <w:color w:val="auto"/>
          <w:kern w:val="2"/>
          <w:sz w:val="24"/>
          <w:szCs w:val="24"/>
          <w:highlight w:val="none"/>
          <w:lang w:val="en-GB" w:eastAsia="zh-CN"/>
        </w:rPr>
        <w:t>，不论</w:t>
      </w:r>
      <w:r>
        <w:rPr>
          <w:rFonts w:hint="eastAsia" w:ascii="仿宋" w:hAnsi="仿宋" w:eastAsia="仿宋" w:cs="仿宋"/>
          <w:color w:val="auto"/>
          <w:kern w:val="2"/>
          <w:sz w:val="24"/>
          <w:szCs w:val="24"/>
          <w:highlight w:val="none"/>
          <w:lang w:eastAsia="zh-CN"/>
        </w:rPr>
        <w:t>在</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履行期限内</w:t>
      </w:r>
      <w:r>
        <w:rPr>
          <w:rFonts w:hint="eastAsia" w:ascii="仿宋" w:hAnsi="仿宋" w:eastAsia="仿宋" w:cs="仿宋"/>
          <w:color w:val="auto"/>
          <w:kern w:val="2"/>
          <w:sz w:val="24"/>
          <w:szCs w:val="24"/>
          <w:highlight w:val="none"/>
          <w:lang w:val="en-GB" w:eastAsia="zh-CN"/>
        </w:rPr>
        <w:t>还是合同终止后，</w:t>
      </w:r>
      <w:r>
        <w:rPr>
          <w:rFonts w:hint="eastAsia" w:ascii="仿宋" w:hAnsi="仿宋" w:eastAsia="仿宋" w:cs="仿宋"/>
          <w:color w:val="auto"/>
          <w:kern w:val="2"/>
          <w:sz w:val="24"/>
          <w:szCs w:val="24"/>
          <w:highlight w:val="none"/>
          <w:lang w:eastAsia="zh-CN"/>
        </w:rPr>
        <w:t>双方应对彼此</w:t>
      </w:r>
      <w:r>
        <w:rPr>
          <w:rFonts w:hint="eastAsia" w:ascii="仿宋" w:hAnsi="仿宋" w:eastAsia="仿宋" w:cs="仿宋"/>
          <w:color w:val="auto"/>
          <w:kern w:val="2"/>
          <w:sz w:val="24"/>
          <w:szCs w:val="24"/>
          <w:highlight w:val="none"/>
          <w:lang w:val="en-GB" w:eastAsia="zh-CN"/>
        </w:rPr>
        <w:t>提供的技术文件、事务、业务或操作方法以及甲方系统的配置等（下称</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秘密信息</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）实行严格保密。除非另一方书面授权或该方在本项目下开展业务活动需要，任何一方不得向任何人</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露任何秘密信息。</w:t>
      </w:r>
    </w:p>
    <w:p w14:paraId="04ADB286">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第十条 违约责任</w:t>
      </w:r>
    </w:p>
    <w:p w14:paraId="6B639F34">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（一）甲乙双方任何一方违反本合同约定即构成违约，违约方应对其违约行为引起的后果或与之有关的事宜负责，守约方有权要求违约方承担违约责任。</w:t>
      </w:r>
    </w:p>
    <w:p w14:paraId="2A269542">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（二）乙方未能按期完成本合同约定的工作或未按时完成维护保养的，甲方有权解除本合同。</w:t>
      </w:r>
    </w:p>
    <w:p w14:paraId="125E4E8D">
      <w:pPr>
        <w:pageBreakBefore w:val="0"/>
        <w:numPr>
          <w:ilvl w:val="255"/>
          <w:numId w:val="0"/>
        </w:numPr>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（三）乙方提供服务不符合约定的，甲方有权要求乙方在3日内完成整改，整改后仍不合格的，甲方有权解除合同，乙方按照合同总价的20%的标准向甲方支付违约金。</w:t>
      </w:r>
    </w:p>
    <w:p w14:paraId="3BC92AAB">
      <w:pPr>
        <w:pStyle w:val="2"/>
        <w:pageBreakBefore w:val="0"/>
        <w:numPr>
          <w:ilvl w:val="255"/>
          <w:numId w:val="0"/>
        </w:numPr>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w:t>
      </w:r>
      <w:r>
        <w:rPr>
          <w:rFonts w:hint="eastAsia" w:ascii="仿宋" w:hAnsi="仿宋" w:eastAsia="仿宋" w:cs="仿宋"/>
          <w:color w:val="auto"/>
          <w:sz w:val="24"/>
          <w:szCs w:val="24"/>
          <w:highlight w:val="none"/>
          <w:lang w:eastAsia="zh-CN"/>
        </w:rPr>
        <w:t>若乙方违反保密义务，每一次乙方应向甲方支付本合同价款的</w:t>
      </w:r>
      <w:r>
        <w:rPr>
          <w:rFonts w:hint="eastAsia" w:ascii="仿宋" w:hAnsi="仿宋" w:eastAsia="仿宋" w:cs="仿宋"/>
          <w:color w:val="auto"/>
          <w:sz w:val="24"/>
          <w:szCs w:val="24"/>
          <w:highlight w:val="none"/>
          <w:lang w:val="en-US" w:eastAsia="zh-CN"/>
        </w:rPr>
        <w:t>5</w:t>
      </w:r>
      <w:r>
        <w:rPr>
          <w:rFonts w:ascii="仿宋" w:hAnsi="仿宋" w:eastAsia="仿宋" w:cs="仿宋"/>
          <w:color w:val="auto"/>
          <w:sz w:val="24"/>
          <w:szCs w:val="24"/>
          <w:highlight w:val="none"/>
          <w:lang w:eastAsia="zh-CN"/>
        </w:rPr>
        <w:t>%作为违约金</w:t>
      </w:r>
      <w:r>
        <w:rPr>
          <w:rFonts w:hint="eastAsia" w:ascii="仿宋" w:hAnsi="仿宋" w:eastAsia="仿宋" w:cs="仿宋"/>
          <w:color w:val="auto"/>
          <w:sz w:val="24"/>
          <w:szCs w:val="24"/>
          <w:highlight w:val="none"/>
          <w:lang w:eastAsia="zh-CN"/>
        </w:rPr>
        <w:t>，并赔偿甲方的全部损失。</w:t>
      </w:r>
    </w:p>
    <w:p w14:paraId="66283B09">
      <w:pPr>
        <w:pageBreakBefore w:val="0"/>
        <w:numPr>
          <w:ilvl w:val="255"/>
          <w:numId w:val="0"/>
        </w:numPr>
        <w:wordWrap/>
        <w:overflowPunct/>
        <w:topLinePunct w:val="0"/>
        <w:bidi w:val="0"/>
        <w:snapToGrid w:val="0"/>
        <w:spacing w:after="0" w:line="460" w:lineRule="exact"/>
        <w:ind w:firstLine="480" w:firstLineChars="200"/>
        <w:rPr>
          <w:rFonts w:ascii="仿宋" w:hAnsi="仿宋" w:eastAsia="仿宋" w:cs="仿宋"/>
          <w:color w:val="0000FF"/>
          <w:sz w:val="24"/>
          <w:highlight w:val="none"/>
          <w:lang w:eastAsia="zh-CN"/>
        </w:rPr>
      </w:pPr>
      <w:r>
        <w:rPr>
          <w:rFonts w:hint="eastAsia" w:ascii="仿宋" w:hAnsi="仿宋" w:eastAsia="仿宋" w:cs="仿宋"/>
          <w:color w:val="auto"/>
          <w:sz w:val="24"/>
          <w:highlight w:val="none"/>
          <w:lang w:eastAsia="zh-CN"/>
        </w:rPr>
        <w:t>（五）无论何种原因，乙方不得将合同中的主体工作分包、转让或将合同义务转让给第三方，非主体工作需按照约定进行分包，否则甲方有权解除合同。</w:t>
      </w:r>
    </w:p>
    <w:p w14:paraId="3151499E">
      <w:pPr>
        <w:pageBreakBefore w:val="0"/>
        <w:numPr>
          <w:ilvl w:val="255"/>
          <w:numId w:val="0"/>
        </w:numPr>
        <w:tabs>
          <w:tab w:val="left" w:pos="1060"/>
        </w:tabs>
        <w:wordWrap/>
        <w:overflowPunct/>
        <w:topLinePunct w:val="0"/>
        <w:bidi w:val="0"/>
        <w:adjustRightInd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1"/>
          <w:highlight w:val="none"/>
          <w:lang w:eastAsia="zh-CN"/>
        </w:rPr>
        <w:t>（六）由于乙方或其工作人员原因造成安全事故的，每一次乙方应向甲方支付本合同价款的5%作为违约金，并赔偿甲方的全部损失，且甲方有权解除本合同。</w:t>
      </w:r>
    </w:p>
    <w:p w14:paraId="25041CE2">
      <w:pPr>
        <w:pageBreakBefore w:val="0"/>
        <w:wordWrap/>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（七）乙方应支付的违约金、赔偿金，甲方可以从应支付给乙方的费用</w:t>
      </w:r>
      <w:r>
        <w:rPr>
          <w:rFonts w:hint="eastAsia" w:ascii="仿宋" w:hAnsi="仿宋" w:eastAsia="仿宋" w:cs="仿宋"/>
          <w:color w:val="auto"/>
          <w:sz w:val="24"/>
          <w:highlight w:val="none"/>
          <w:lang w:val="en-US" w:eastAsia="zh-CN"/>
        </w:rPr>
        <w:t>或履约保证金</w:t>
      </w:r>
      <w:r>
        <w:rPr>
          <w:rFonts w:hint="eastAsia" w:ascii="仿宋" w:hAnsi="仿宋" w:eastAsia="仿宋" w:cs="仿宋"/>
          <w:color w:val="auto"/>
          <w:sz w:val="24"/>
          <w:highlight w:val="none"/>
          <w:lang w:eastAsia="zh-CN"/>
        </w:rPr>
        <w:t>中直接扣除，</w:t>
      </w:r>
      <w:r>
        <w:rPr>
          <w:rFonts w:hint="eastAsia" w:ascii="仿宋" w:hAnsi="仿宋" w:eastAsia="仿宋" w:cs="仿宋"/>
          <w:color w:val="auto"/>
          <w:sz w:val="24"/>
          <w:highlight w:val="none"/>
          <w:lang w:val="en-US" w:eastAsia="zh-CN"/>
        </w:rPr>
        <w:t>费用不足时，乙方还应另行补足违约金及赔偿甲方损失</w:t>
      </w:r>
      <w:r>
        <w:rPr>
          <w:rFonts w:hint="eastAsia" w:ascii="仿宋" w:hAnsi="仿宋" w:eastAsia="仿宋" w:cs="仿宋"/>
          <w:color w:val="auto"/>
          <w:sz w:val="24"/>
          <w:highlight w:val="none"/>
          <w:lang w:eastAsia="zh-CN"/>
        </w:rPr>
        <w:t>。违约金的支付或扣除不影响合同约定的乙方应履行的其他义务。</w:t>
      </w:r>
    </w:p>
    <w:p w14:paraId="7BF4DD7B">
      <w:pPr>
        <w:pageBreakBefore w:val="0"/>
        <w:tabs>
          <w:tab w:val="left" w:pos="1060"/>
        </w:tabs>
        <w:wordWrap/>
        <w:overflowPunct/>
        <w:topLinePunct w:val="0"/>
        <w:bidi w:val="0"/>
        <w:adjustRightInd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 xml:space="preserve">（八）违约方应对守约方承担的违约责任，包括因违约行为所造成的直接损失、间接损失及因一方实现债权所发生的费用（包括但不限于诉讼费、保全费、保函费、律师费等）。 </w:t>
      </w:r>
    </w:p>
    <w:p w14:paraId="466C49E5">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第十一条 合同的终止与解除</w:t>
      </w:r>
    </w:p>
    <w:p w14:paraId="229B9ACB">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（一）本合同期满后即终止</w:t>
      </w:r>
      <w:r>
        <w:rPr>
          <w:rFonts w:hint="eastAsia" w:ascii="仿宋" w:hAnsi="仿宋" w:eastAsia="仿宋" w:cs="仿宋"/>
          <w:color w:val="auto"/>
          <w:kern w:val="2"/>
          <w:sz w:val="24"/>
          <w:szCs w:val="24"/>
          <w:highlight w:val="none"/>
          <w:lang w:val="en-GB" w:eastAsia="zh-CN"/>
        </w:rPr>
        <w:t>。</w:t>
      </w:r>
    </w:p>
    <w:p w14:paraId="68F2A829">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（二）经甲乙双方协商一致，可解除本合同。</w:t>
      </w:r>
    </w:p>
    <w:p w14:paraId="0D175A85">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（三）出现如下情形之一的，可解除本合同：</w:t>
      </w:r>
    </w:p>
    <w:p w14:paraId="7CC943E5">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1、因不可抗力致使本合同无继续履行之必要，或履行不能的。因不可抗力致使本合同解除的，双方互不承担违约责任；</w:t>
      </w:r>
    </w:p>
    <w:p w14:paraId="0E65CE39">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2、一方迟延履行主要义务，经催告后在合理期限内仍未履行的；</w:t>
      </w:r>
    </w:p>
    <w:p w14:paraId="5BA51506">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3、在履行期限届满前，一方明确表示或者以自己的行为表示不履行主要义务的；</w:t>
      </w:r>
    </w:p>
    <w:p w14:paraId="4E0C17E9">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4、一方因迟延履行义务或其他违约行为致使不能实现本合同目的的。</w:t>
      </w:r>
    </w:p>
    <w:p w14:paraId="447E071A">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第十二条 争议的解决</w:t>
      </w:r>
    </w:p>
    <w:p w14:paraId="4D0A1263">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本</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履行中如</w:t>
      </w:r>
      <w:r>
        <w:rPr>
          <w:rFonts w:hint="eastAsia" w:ascii="仿宋" w:hAnsi="仿宋" w:eastAsia="仿宋" w:cs="仿宋"/>
          <w:color w:val="auto"/>
          <w:kern w:val="2"/>
          <w:sz w:val="24"/>
          <w:szCs w:val="24"/>
          <w:highlight w:val="none"/>
          <w:lang w:val="en-GB" w:eastAsia="zh-CN"/>
        </w:rPr>
        <w:t>出现争议，双方</w:t>
      </w:r>
      <w:r>
        <w:rPr>
          <w:rFonts w:hint="eastAsia" w:ascii="仿宋" w:hAnsi="仿宋" w:eastAsia="仿宋" w:cs="仿宋"/>
          <w:color w:val="auto"/>
          <w:kern w:val="2"/>
          <w:sz w:val="24"/>
          <w:szCs w:val="24"/>
          <w:highlight w:val="none"/>
          <w:lang w:eastAsia="zh-CN"/>
        </w:rPr>
        <w:t>应</w:t>
      </w:r>
      <w:r>
        <w:rPr>
          <w:rFonts w:hint="eastAsia" w:ascii="仿宋" w:hAnsi="仿宋" w:eastAsia="仿宋" w:cs="仿宋"/>
          <w:color w:val="auto"/>
          <w:kern w:val="2"/>
          <w:sz w:val="24"/>
          <w:szCs w:val="24"/>
          <w:highlight w:val="none"/>
          <w:lang w:val="en-GB" w:eastAsia="zh-CN"/>
        </w:rPr>
        <w:t>协商解决，</w:t>
      </w:r>
      <w:r>
        <w:rPr>
          <w:rFonts w:hint="eastAsia" w:ascii="仿宋" w:hAnsi="仿宋" w:eastAsia="仿宋" w:cs="仿宋"/>
          <w:color w:val="auto"/>
          <w:kern w:val="2"/>
          <w:sz w:val="24"/>
          <w:szCs w:val="24"/>
          <w:highlight w:val="none"/>
          <w:lang w:eastAsia="zh-CN"/>
        </w:rPr>
        <w:t>协商不成的，任何一方均有权向北京市</w:t>
      </w:r>
      <w:r>
        <w:rPr>
          <w:rFonts w:hint="eastAsia" w:ascii="仿宋" w:hAnsi="仿宋" w:eastAsia="仿宋" w:cs="仿宋"/>
          <w:color w:val="auto"/>
          <w:kern w:val="2"/>
          <w:sz w:val="24"/>
          <w:szCs w:val="24"/>
          <w:highlight w:val="none"/>
          <w:u w:val="single"/>
          <w:lang w:eastAsia="zh-CN"/>
        </w:rPr>
        <w:t>海淀区</w:t>
      </w:r>
      <w:r>
        <w:rPr>
          <w:rFonts w:hint="eastAsia" w:ascii="仿宋" w:hAnsi="仿宋" w:eastAsia="仿宋" w:cs="仿宋"/>
          <w:color w:val="auto"/>
          <w:kern w:val="2"/>
          <w:sz w:val="24"/>
          <w:szCs w:val="24"/>
          <w:highlight w:val="none"/>
          <w:lang w:eastAsia="zh-CN"/>
        </w:rPr>
        <w:t>人民</w:t>
      </w:r>
      <w:r>
        <w:rPr>
          <w:rFonts w:hint="eastAsia" w:ascii="仿宋" w:hAnsi="仿宋" w:eastAsia="仿宋" w:cs="仿宋"/>
          <w:color w:val="auto"/>
          <w:kern w:val="2"/>
          <w:sz w:val="24"/>
          <w:szCs w:val="24"/>
          <w:highlight w:val="none"/>
          <w:lang w:val="en-GB" w:eastAsia="zh-CN"/>
        </w:rPr>
        <w:t>法院</w:t>
      </w:r>
      <w:r>
        <w:rPr>
          <w:rFonts w:hint="eastAsia" w:ascii="仿宋" w:hAnsi="仿宋" w:eastAsia="仿宋" w:cs="仿宋"/>
          <w:color w:val="auto"/>
          <w:kern w:val="2"/>
          <w:sz w:val="24"/>
          <w:szCs w:val="24"/>
          <w:highlight w:val="none"/>
          <w:lang w:eastAsia="zh-CN"/>
        </w:rPr>
        <w:t>提起诉讼</w:t>
      </w:r>
      <w:r>
        <w:rPr>
          <w:rFonts w:hint="eastAsia" w:ascii="仿宋" w:hAnsi="仿宋" w:eastAsia="仿宋" w:cs="仿宋"/>
          <w:color w:val="auto"/>
          <w:kern w:val="2"/>
          <w:sz w:val="24"/>
          <w:szCs w:val="24"/>
          <w:highlight w:val="none"/>
          <w:lang w:val="en-GB" w:eastAsia="zh-CN"/>
        </w:rPr>
        <w:t>。</w:t>
      </w:r>
    </w:p>
    <w:p w14:paraId="58795240">
      <w:pPr>
        <w:keepNext/>
        <w:keepLines/>
        <w:pageBreakBefore w:val="0"/>
        <w:tabs>
          <w:tab w:val="left" w:pos="540"/>
        </w:tabs>
        <w:wordWrap/>
        <w:overflowPunct/>
        <w:topLinePunct w:val="0"/>
        <w:autoSpaceDE w:val="0"/>
        <w:autoSpaceDN w:val="0"/>
        <w:bidi w:val="0"/>
        <w:snapToGrid w:val="0"/>
        <w:spacing w:after="0"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第十三条 其他</w:t>
      </w:r>
    </w:p>
    <w:p w14:paraId="5D55491D">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（一）本合同自双方签字并盖章之日起生效。</w:t>
      </w:r>
    </w:p>
    <w:p w14:paraId="6E739430">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（二）本合同未尽之事宜，由双方协商确定并签订书面补充协议，书面补充协议与本合同具有同等法律效力。补充协议的内容与本合同冲突的，以补充协议为准。</w:t>
      </w:r>
    </w:p>
    <w:p w14:paraId="18CA3C98">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（三）下列文件构成本合同的组成部分，文件内容发生冲突的，按照如下优先顺序进行解释：</w:t>
      </w:r>
    </w:p>
    <w:p w14:paraId="716180F1">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1、本合同；</w:t>
      </w:r>
    </w:p>
    <w:p w14:paraId="5E40F7DD">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2、北京市南水北调大宁管理处水利工程日常维修养护-设备设施维修养护项目投标文件（含澄清文件）；</w:t>
      </w:r>
    </w:p>
    <w:p w14:paraId="017FE33D">
      <w:pPr>
        <w:pageBreakBefore w:val="0"/>
        <w:wordWrap/>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w:t>
      </w:r>
      <w:r>
        <w:rPr>
          <w:rFonts w:hint="eastAsia" w:ascii="仿宋" w:hAnsi="仿宋" w:eastAsia="仿宋" w:cs="仿宋"/>
          <w:color w:val="auto"/>
          <w:sz w:val="24"/>
          <w:highlight w:val="none"/>
          <w:u w:val="none"/>
          <w:lang w:eastAsia="zh-CN"/>
        </w:rPr>
        <w:t>北京市南水北调大宁管理处水利工程日常维修养护-设备设施维修养护</w:t>
      </w:r>
      <w:r>
        <w:rPr>
          <w:rFonts w:hint="eastAsia" w:ascii="仿宋" w:hAnsi="仿宋" w:eastAsia="仿宋" w:cs="仿宋"/>
          <w:color w:val="auto"/>
          <w:kern w:val="2"/>
          <w:sz w:val="24"/>
          <w:szCs w:val="24"/>
          <w:highlight w:val="none"/>
          <w:lang w:eastAsia="zh-CN"/>
        </w:rPr>
        <w:t>项目招标文件（含招标文件补充通知）。</w:t>
      </w:r>
    </w:p>
    <w:p w14:paraId="4915CAAC">
      <w:pPr>
        <w:pageBreakBefore w:val="0"/>
        <w:wordWrap/>
        <w:overflowPunct/>
        <w:topLinePunct w:val="0"/>
        <w:bidi w:val="0"/>
        <w:snapToGrid w:val="0"/>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highlight w:val="none"/>
          <w:lang w:val="en-GB" w:eastAsia="zh-CN"/>
        </w:rPr>
        <w:t>（四）本</w:t>
      </w:r>
      <w:r>
        <w:rPr>
          <w:rFonts w:hint="eastAsia" w:ascii="仿宋" w:hAnsi="仿宋" w:eastAsia="仿宋" w:cs="仿宋"/>
          <w:color w:val="auto"/>
          <w:sz w:val="24"/>
          <w:lang w:val="en-GB" w:eastAsia="zh-CN"/>
        </w:rPr>
        <w:t>合同一式四份，其中</w:t>
      </w:r>
      <w:r>
        <w:rPr>
          <w:rFonts w:hint="eastAsia" w:ascii="仿宋" w:hAnsi="仿宋" w:eastAsia="仿宋" w:cs="仿宋"/>
          <w:color w:val="auto"/>
          <w:sz w:val="24"/>
          <w:lang w:val="en-GB"/>
        </w:rPr>
        <w:t>正本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w:t>
      </w:r>
      <w:r>
        <w:rPr>
          <w:rFonts w:hint="eastAsia" w:ascii="仿宋" w:hAnsi="仿宋" w:eastAsia="仿宋" w:cs="仿宋"/>
          <w:color w:val="auto"/>
          <w:sz w:val="24"/>
          <w:lang w:val="en-GB"/>
        </w:rPr>
        <w:t>副本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甲方</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正本一份，大宁管理处</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副本二份</w:t>
      </w:r>
      <w:r>
        <w:rPr>
          <w:rFonts w:hint="eastAsia" w:ascii="仿宋" w:hAnsi="仿宋" w:eastAsia="仿宋" w:cs="仿宋"/>
          <w:color w:val="auto"/>
          <w:sz w:val="24"/>
          <w:lang w:val="en-GB"/>
        </w:rPr>
        <w:t>，乙方执</w:t>
      </w:r>
      <w:r>
        <w:rPr>
          <w:rFonts w:hint="eastAsia" w:ascii="仿宋" w:hAnsi="仿宋" w:eastAsia="仿宋" w:cs="仿宋"/>
          <w:color w:val="auto"/>
          <w:sz w:val="24"/>
          <w:lang w:val="en-GB" w:eastAsia="zh-CN"/>
        </w:rPr>
        <w:t>正本一份</w:t>
      </w:r>
      <w:r>
        <w:rPr>
          <w:rFonts w:hint="eastAsia" w:ascii="仿宋" w:hAnsi="仿宋" w:eastAsia="仿宋" w:cs="仿宋"/>
          <w:color w:val="auto"/>
          <w:sz w:val="24"/>
          <w:lang w:val="en-GB"/>
        </w:rPr>
        <w:t>，正副本具有同等法律效力。</w:t>
      </w:r>
    </w:p>
    <w:p w14:paraId="669BB664">
      <w:pPr>
        <w:pageBreakBefore w:val="0"/>
        <w:overflowPunct/>
        <w:topLinePunct w:val="0"/>
        <w:bidi w:val="0"/>
        <w:snapToGrid w:val="0"/>
        <w:spacing w:after="0" w:line="360" w:lineRule="auto"/>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（以下无正文）</w:t>
      </w:r>
    </w:p>
    <w:p w14:paraId="573E2295">
      <w:pPr>
        <w:pStyle w:val="2"/>
        <w:pageBreakBefore w:val="0"/>
        <w:overflowPunct/>
        <w:topLinePunct w:val="0"/>
        <w:bidi w:val="0"/>
        <w:snapToGrid w:val="0"/>
        <w:spacing w:after="0"/>
        <w:rPr>
          <w:rFonts w:ascii="仿宋" w:hAnsi="仿宋" w:eastAsia="仿宋" w:cs="仿宋"/>
          <w:color w:val="auto"/>
          <w:sz w:val="24"/>
          <w:szCs w:val="24"/>
          <w:highlight w:val="none"/>
          <w:lang w:eastAsia="zh-CN"/>
        </w:rPr>
      </w:pPr>
    </w:p>
    <w:p w14:paraId="4104FC42">
      <w:pPr>
        <w:pStyle w:val="2"/>
        <w:pageBreakBefore w:val="0"/>
        <w:overflowPunct/>
        <w:topLinePunct w:val="0"/>
        <w:bidi w:val="0"/>
        <w:snapToGrid w:val="0"/>
        <w:spacing w:after="0"/>
        <w:rPr>
          <w:rFonts w:ascii="仿宋" w:hAnsi="仿宋" w:eastAsia="仿宋" w:cs="仿宋"/>
          <w:color w:val="auto"/>
          <w:sz w:val="24"/>
          <w:szCs w:val="24"/>
          <w:highlight w:val="none"/>
          <w:lang w:eastAsia="zh-CN"/>
        </w:rPr>
      </w:pPr>
    </w:p>
    <w:p w14:paraId="6C32107F">
      <w:pPr>
        <w:pStyle w:val="2"/>
        <w:pageBreakBefore w:val="0"/>
        <w:overflowPunct/>
        <w:topLinePunct w:val="0"/>
        <w:bidi w:val="0"/>
        <w:snapToGrid w:val="0"/>
        <w:spacing w:after="0"/>
        <w:rPr>
          <w:rFonts w:ascii="仿宋" w:hAnsi="仿宋" w:eastAsia="仿宋" w:cs="仿宋"/>
          <w:color w:val="auto"/>
          <w:sz w:val="24"/>
          <w:szCs w:val="24"/>
          <w:highlight w:val="none"/>
          <w:lang w:eastAsia="zh-CN"/>
        </w:rPr>
      </w:pPr>
    </w:p>
    <w:p w14:paraId="109919FD">
      <w:pPr>
        <w:pStyle w:val="2"/>
        <w:pageBreakBefore w:val="0"/>
        <w:overflowPunct/>
        <w:topLinePunct w:val="0"/>
        <w:bidi w:val="0"/>
        <w:snapToGrid w:val="0"/>
        <w:spacing w:after="0"/>
        <w:rPr>
          <w:rFonts w:ascii="仿宋" w:hAnsi="仿宋" w:eastAsia="仿宋" w:cs="仿宋"/>
          <w:color w:val="auto"/>
          <w:sz w:val="24"/>
          <w:szCs w:val="24"/>
          <w:highlight w:val="none"/>
          <w:lang w:eastAsia="zh-CN"/>
        </w:rPr>
      </w:pPr>
    </w:p>
    <w:p w14:paraId="04674987">
      <w:pPr>
        <w:pageBreakBefore w:val="0"/>
        <w:overflowPunct/>
        <w:topLinePunct w:val="0"/>
        <w:bidi w:val="0"/>
        <w:snapToGrid w:val="0"/>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甲方：北京市水利工程管理中心（盖章）</w:t>
      </w:r>
    </w:p>
    <w:p w14:paraId="2CDA25F7">
      <w:pPr>
        <w:pageBreakBefore w:val="0"/>
        <w:overflowPunct/>
        <w:topLinePunct w:val="0"/>
        <w:bidi w:val="0"/>
        <w:snapToGrid w:val="0"/>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法定代表人或授权代表（签字）：</w:t>
      </w:r>
    </w:p>
    <w:p w14:paraId="3EC73A51">
      <w:pPr>
        <w:pageBreakBefore w:val="0"/>
        <w:overflowPunct/>
        <w:topLinePunct w:val="0"/>
        <w:bidi w:val="0"/>
        <w:snapToGrid w:val="0"/>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年    月    日</w:t>
      </w:r>
    </w:p>
    <w:p w14:paraId="16AF94F7">
      <w:pPr>
        <w:pageBreakBefore w:val="0"/>
        <w:overflowPunct/>
        <w:topLinePunct w:val="0"/>
        <w:bidi w:val="0"/>
        <w:snapToGrid w:val="0"/>
        <w:spacing w:after="0" w:line="600" w:lineRule="auto"/>
        <w:ind w:firstLine="472" w:firstLineChars="196"/>
        <w:rPr>
          <w:rFonts w:ascii="仿宋" w:hAnsi="仿宋" w:eastAsia="仿宋" w:cs="仿宋"/>
          <w:b/>
          <w:color w:val="auto"/>
          <w:sz w:val="24"/>
          <w:szCs w:val="24"/>
          <w:highlight w:val="none"/>
          <w:lang w:eastAsia="zh-CN"/>
        </w:rPr>
      </w:pPr>
    </w:p>
    <w:p w14:paraId="4240D13F">
      <w:pPr>
        <w:pageBreakBefore w:val="0"/>
        <w:overflowPunct/>
        <w:topLinePunct w:val="0"/>
        <w:bidi w:val="0"/>
        <w:snapToGrid w:val="0"/>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乙方:</w:t>
      </w:r>
      <w:r>
        <w:rPr>
          <w:rFonts w:hint="eastAsia" w:ascii="仿宋" w:hAnsi="仿宋" w:eastAsia="仿宋" w:cs="仿宋"/>
          <w:b/>
          <w:color w:val="auto"/>
          <w:sz w:val="24"/>
          <w:highlight w:val="none"/>
          <w:lang w:eastAsia="zh-CN"/>
        </w:rPr>
        <w:t xml:space="preserve"> </w:t>
      </w:r>
      <w:r>
        <w:rPr>
          <w:rFonts w:hint="eastAsia" w:ascii="仿宋" w:hAnsi="仿宋" w:eastAsia="仿宋" w:cs="仿宋"/>
          <w:b/>
          <w:color w:val="auto"/>
          <w:sz w:val="24"/>
          <w:szCs w:val="24"/>
          <w:highlight w:val="none"/>
          <w:lang w:eastAsia="zh-CN"/>
        </w:rPr>
        <w:t>（盖章）</w:t>
      </w:r>
    </w:p>
    <w:p w14:paraId="124906F8">
      <w:pPr>
        <w:pageBreakBefore w:val="0"/>
        <w:overflowPunct/>
        <w:topLinePunct w:val="0"/>
        <w:bidi w:val="0"/>
        <w:snapToGrid w:val="0"/>
        <w:spacing w:after="0"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法定代表人或授权代表（签字）：   </w:t>
      </w:r>
    </w:p>
    <w:p w14:paraId="0154856E">
      <w:pPr>
        <w:pageBreakBefore w:val="0"/>
        <w:overflowPunct/>
        <w:topLinePunct w:val="0"/>
        <w:bidi w:val="0"/>
        <w:snapToGrid w:val="0"/>
        <w:spacing w:after="0" w:line="600" w:lineRule="auto"/>
        <w:ind w:left="0" w:leftChars="0" w:firstLine="472" w:firstLineChars="196"/>
        <w:jc w:val="left"/>
        <w:rPr>
          <w:rFonts w:ascii="仿宋" w:hAnsi="仿宋" w:eastAsia="仿宋" w:cs="仿宋"/>
          <w:color w:val="auto"/>
          <w:kern w:val="2"/>
          <w:sz w:val="24"/>
          <w:szCs w:val="24"/>
          <w:highlight w:val="none"/>
          <w:lang w:eastAsia="zh-CN"/>
        </w:rPr>
      </w:pPr>
      <w:r>
        <w:rPr>
          <w:rFonts w:hint="eastAsia" w:ascii="仿宋" w:hAnsi="仿宋" w:eastAsia="仿宋" w:cs="仿宋"/>
          <w:b/>
          <w:color w:val="auto"/>
          <w:sz w:val="24"/>
          <w:szCs w:val="24"/>
          <w:highlight w:val="none"/>
        </w:rPr>
        <w:t xml:space="preserve">                     年    月    日</w:t>
      </w:r>
      <w:bookmarkEnd w:id="48"/>
      <w:bookmarkEnd w:id="49"/>
      <w:bookmarkEnd w:id="50"/>
      <w:bookmarkEnd w:id="51"/>
      <w:bookmarkEnd w:id="52"/>
      <w:bookmarkEnd w:id="53"/>
      <w:bookmarkEnd w:id="54"/>
      <w:bookmarkEnd w:id="55"/>
      <w:bookmarkEnd w:id="56"/>
    </w:p>
    <w:bookmarkEnd w:id="41"/>
    <w:p w14:paraId="6BEFC956">
      <w:pPr>
        <w:pageBreakBefore w:val="0"/>
        <w:tabs>
          <w:tab w:val="left" w:pos="2808"/>
        </w:tabs>
        <w:overflowPunct/>
        <w:topLinePunct w:val="0"/>
        <w:bidi w:val="0"/>
        <w:snapToGrid w:val="0"/>
        <w:spacing w:after="0"/>
        <w:rPr>
          <w:rFonts w:hint="eastAsia"/>
        </w:rPr>
        <w:sectPr>
          <w:headerReference r:id="rId11" w:type="default"/>
          <w:footerReference r:id="rId12" w:type="default"/>
          <w:pgSz w:w="11907" w:h="16840"/>
          <w:pgMar w:top="1117" w:right="1133" w:bottom="1060" w:left="1700" w:header="878" w:footer="886" w:gutter="0"/>
          <w:pgNumType w:fmt="decimal"/>
          <w:cols w:space="720" w:num="1"/>
        </w:sectPr>
      </w:pPr>
      <w:r>
        <w:tab/>
      </w:r>
    </w:p>
    <w:p w14:paraId="77C1F3D0">
      <w:pPr>
        <w:pStyle w:val="6"/>
        <w:pageBreakBefore w:val="0"/>
        <w:overflowPunct/>
        <w:topLinePunct w:val="0"/>
        <w:bidi w:val="0"/>
        <w:snapToGrid w:val="0"/>
        <w:spacing w:after="0"/>
        <w:ind w:firstLine="0"/>
        <w:rPr>
          <w:rFonts w:hint="eastAsia" w:hAnsi="宋体"/>
        </w:rPr>
      </w:pPr>
    </w:p>
    <w:p w14:paraId="13930475">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57" w:name="_Toc183959679"/>
      <w:r>
        <w:rPr>
          <w:rFonts w:hint="eastAsia" w:hAnsi="宋体"/>
          <w:b/>
          <w:bCs/>
          <w:sz w:val="36"/>
          <w:szCs w:val="36"/>
        </w:rPr>
        <w:t>第七章   投标文件格式</w:t>
      </w:r>
      <w:bookmarkEnd w:id="57"/>
    </w:p>
    <w:p w14:paraId="6309DA87">
      <w:pPr>
        <w:pageBreakBefore w:val="0"/>
        <w:overflowPunct/>
        <w:topLinePunct w:val="0"/>
        <w:bidi w:val="0"/>
        <w:snapToGrid w:val="0"/>
        <w:spacing w:after="0"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14:paraId="4528202E">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14:paraId="4A5E2605">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14:paraId="4AAFCB4A">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14:paraId="7C77F494">
      <w:pPr>
        <w:pageBreakBefore w:val="0"/>
        <w:tabs>
          <w:tab w:val="left" w:pos="360"/>
          <w:tab w:val="left" w:pos="1080"/>
        </w:tabs>
        <w:overflowPunct/>
        <w:topLinePunct w:val="0"/>
        <w:bidi w:val="0"/>
        <w:snapToGrid w:val="0"/>
        <w:spacing w:after="0" w:line="360" w:lineRule="auto"/>
        <w:ind w:firstLine="482"/>
        <w:rPr>
          <w:rFonts w:hint="eastAsia" w:ascii="宋体" w:hAnsi="宋体" w:eastAsia="宋体" w:cs="宋体"/>
          <w:color w:val="auto"/>
          <w:sz w:val="24"/>
        </w:rPr>
      </w:pPr>
    </w:p>
    <w:p w14:paraId="4490C1F3">
      <w:pPr>
        <w:pStyle w:val="6"/>
        <w:pageBreakBefore w:val="0"/>
        <w:overflowPunct/>
        <w:topLinePunct w:val="0"/>
        <w:bidi w:val="0"/>
        <w:snapToGrid w:val="0"/>
        <w:spacing w:after="0"/>
        <w:rPr>
          <w:rFonts w:hint="eastAsia" w:hAnsi="宋体"/>
        </w:rPr>
      </w:pPr>
    </w:p>
    <w:p w14:paraId="418B4418">
      <w:pPr>
        <w:pStyle w:val="6"/>
        <w:pageBreakBefore w:val="0"/>
        <w:overflowPunct/>
        <w:topLinePunct w:val="0"/>
        <w:bidi w:val="0"/>
        <w:snapToGrid w:val="0"/>
        <w:spacing w:after="0"/>
        <w:rPr>
          <w:rFonts w:hint="eastAsia" w:hAnsi="宋体"/>
        </w:rPr>
      </w:pPr>
      <w:r>
        <w:rPr>
          <w:rFonts w:hAnsi="宋体"/>
        </w:rPr>
        <w:br w:type="page"/>
      </w:r>
    </w:p>
    <w:p w14:paraId="7F0BA07E">
      <w:pPr>
        <w:pageBreakBefore w:val="0"/>
        <w:widowControl w:val="0"/>
        <w:kinsoku/>
        <w:overflowPunct/>
        <w:topLinePunct w:val="0"/>
        <w:autoSpaceDE/>
        <w:autoSpaceDN/>
        <w:bidi w:val="0"/>
        <w:adjustRightInd/>
        <w:snapToGrid w:val="0"/>
        <w:spacing w:after="0" w:line="360" w:lineRule="auto"/>
        <w:textAlignment w:val="auto"/>
        <w:outlineLvl w:val="1"/>
        <w:rPr>
          <w:rFonts w:hint="eastAsia" w:ascii="宋体" w:hAnsi="宋体" w:eastAsia="宋体" w:cs="Times New Roman"/>
          <w:b/>
          <w:bCs/>
          <w:snapToGrid/>
          <w:color w:val="auto"/>
          <w:kern w:val="2"/>
          <w:sz w:val="28"/>
          <w:szCs w:val="36"/>
        </w:rPr>
      </w:pPr>
      <w:bookmarkStart w:id="58" w:name="_Toc148096366"/>
      <w:r>
        <w:rPr>
          <w:rFonts w:hint="eastAsia" w:ascii="宋体" w:hAnsi="宋体" w:eastAsia="宋体" w:cs="Times New Roman"/>
          <w:b/>
          <w:bCs/>
          <w:snapToGrid/>
          <w:color w:val="auto"/>
          <w:kern w:val="2"/>
          <w:sz w:val="28"/>
          <w:szCs w:val="36"/>
        </w:rPr>
        <w:t>一 、资格证明文件格式</w:t>
      </w:r>
      <w:bookmarkEnd w:id="58"/>
    </w:p>
    <w:p w14:paraId="5E17637C">
      <w:pPr>
        <w:pageBreakBefore w:val="0"/>
        <w:overflowPunct/>
        <w:topLinePunct w:val="0"/>
        <w:bidi w:val="0"/>
        <w:snapToGrid w:val="0"/>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14:paraId="244A6C28">
      <w:pPr>
        <w:pageBreakBefore w:val="0"/>
        <w:overflowPunct/>
        <w:topLinePunct w:val="0"/>
        <w:bidi w:val="0"/>
        <w:snapToGrid w:val="0"/>
        <w:spacing w:before="360" w:after="0" w:line="220" w:lineRule="auto"/>
        <w:ind w:left="1843"/>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14:paraId="421BA4DE">
      <w:pPr>
        <w:pageBreakBefore w:val="0"/>
        <w:overflowPunct/>
        <w:topLinePunct w:val="0"/>
        <w:bidi w:val="0"/>
        <w:snapToGrid w:val="0"/>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6EF9A54A">
      <w:pPr>
        <w:pageBreakBefore w:val="0"/>
        <w:overflowPunct/>
        <w:topLinePunct w:val="0"/>
        <w:bidi w:val="0"/>
        <w:snapToGrid w:val="0"/>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14:paraId="27CE957D">
      <w:pPr>
        <w:pageBreakBefore w:val="0"/>
        <w:overflowPunct/>
        <w:topLinePunct w:val="0"/>
        <w:bidi w:val="0"/>
        <w:snapToGrid w:val="0"/>
        <w:spacing w:after="0" w:line="332" w:lineRule="auto"/>
        <w:rPr>
          <w:rFonts w:hint="eastAsia" w:ascii="宋体" w:hAnsi="宋体" w:eastAsia="宋体" w:cs="宋体"/>
          <w:color w:val="auto"/>
        </w:rPr>
      </w:pPr>
    </w:p>
    <w:p w14:paraId="66BC0611">
      <w:pPr>
        <w:pageBreakBefore w:val="0"/>
        <w:overflowPunct/>
        <w:topLinePunct w:val="0"/>
        <w:bidi w:val="0"/>
        <w:snapToGrid w:val="0"/>
        <w:spacing w:after="0" w:line="332" w:lineRule="auto"/>
        <w:rPr>
          <w:rFonts w:hint="eastAsia" w:ascii="宋体" w:hAnsi="宋体" w:eastAsia="宋体" w:cs="宋体"/>
          <w:color w:val="auto"/>
        </w:rPr>
      </w:pPr>
    </w:p>
    <w:p w14:paraId="0271BC55">
      <w:pPr>
        <w:pStyle w:val="6"/>
        <w:pageBreakBefore w:val="0"/>
        <w:overflowPunct/>
        <w:topLinePunct w:val="0"/>
        <w:bidi w:val="0"/>
        <w:snapToGrid w:val="0"/>
        <w:spacing w:after="0"/>
        <w:rPr>
          <w:rFonts w:hint="eastAsia" w:hAnsi="宋体"/>
        </w:rPr>
      </w:pPr>
    </w:p>
    <w:p w14:paraId="6E264580">
      <w:pPr>
        <w:pStyle w:val="6"/>
        <w:pageBreakBefore w:val="0"/>
        <w:overflowPunct/>
        <w:topLinePunct w:val="0"/>
        <w:bidi w:val="0"/>
        <w:snapToGrid w:val="0"/>
        <w:spacing w:after="0"/>
        <w:rPr>
          <w:rFonts w:hint="eastAsia" w:hAnsi="宋体"/>
        </w:rPr>
      </w:pPr>
    </w:p>
    <w:p w14:paraId="5BF25352">
      <w:pPr>
        <w:pStyle w:val="6"/>
        <w:pageBreakBefore w:val="0"/>
        <w:overflowPunct/>
        <w:topLinePunct w:val="0"/>
        <w:bidi w:val="0"/>
        <w:snapToGrid w:val="0"/>
        <w:spacing w:after="0"/>
        <w:rPr>
          <w:rFonts w:hint="eastAsia" w:hAnsi="宋体"/>
        </w:rPr>
      </w:pPr>
    </w:p>
    <w:p w14:paraId="35449E2E">
      <w:pPr>
        <w:pStyle w:val="6"/>
        <w:pageBreakBefore w:val="0"/>
        <w:overflowPunct/>
        <w:topLinePunct w:val="0"/>
        <w:bidi w:val="0"/>
        <w:snapToGrid w:val="0"/>
        <w:spacing w:after="0"/>
        <w:rPr>
          <w:rFonts w:hint="eastAsia" w:hAnsi="宋体"/>
        </w:rPr>
      </w:pPr>
    </w:p>
    <w:p w14:paraId="6437473F">
      <w:pPr>
        <w:pStyle w:val="6"/>
        <w:pageBreakBefore w:val="0"/>
        <w:overflowPunct/>
        <w:topLinePunct w:val="0"/>
        <w:bidi w:val="0"/>
        <w:snapToGrid w:val="0"/>
        <w:spacing w:after="0"/>
        <w:rPr>
          <w:rFonts w:hint="eastAsia" w:hAnsi="宋体"/>
        </w:rPr>
      </w:pPr>
    </w:p>
    <w:p w14:paraId="2344E986">
      <w:pPr>
        <w:pStyle w:val="6"/>
        <w:pageBreakBefore w:val="0"/>
        <w:overflowPunct/>
        <w:topLinePunct w:val="0"/>
        <w:bidi w:val="0"/>
        <w:snapToGrid w:val="0"/>
        <w:spacing w:after="0"/>
        <w:rPr>
          <w:rFonts w:hint="eastAsia" w:hAnsi="宋体"/>
        </w:rPr>
      </w:pPr>
    </w:p>
    <w:p w14:paraId="053430FC">
      <w:pPr>
        <w:pStyle w:val="6"/>
        <w:pageBreakBefore w:val="0"/>
        <w:overflowPunct/>
        <w:topLinePunct w:val="0"/>
        <w:bidi w:val="0"/>
        <w:snapToGrid w:val="0"/>
        <w:spacing w:after="0"/>
        <w:rPr>
          <w:rFonts w:hint="eastAsia" w:hAnsi="宋体"/>
        </w:rPr>
      </w:pPr>
    </w:p>
    <w:p w14:paraId="43EBEDBC">
      <w:pPr>
        <w:pStyle w:val="6"/>
        <w:pageBreakBefore w:val="0"/>
        <w:overflowPunct/>
        <w:topLinePunct w:val="0"/>
        <w:bidi w:val="0"/>
        <w:snapToGrid w:val="0"/>
        <w:spacing w:after="0"/>
        <w:rPr>
          <w:rFonts w:hint="eastAsia" w:hAnsi="宋体"/>
        </w:rPr>
      </w:pPr>
    </w:p>
    <w:p w14:paraId="20BBA482">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4835645D">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156F4A1F">
      <w:pPr>
        <w:pageBreakBefore w:val="0"/>
        <w:overflowPunct/>
        <w:topLinePunct w:val="0"/>
        <w:bidi w:val="0"/>
        <w:snapToGrid w:val="0"/>
        <w:spacing w:after="0" w:line="360" w:lineRule="auto"/>
        <w:rPr>
          <w:rFonts w:hint="eastAsia" w:ascii="宋体" w:hAnsi="宋体" w:eastAsia="宋体"/>
          <w:color w:val="auto"/>
          <w:sz w:val="32"/>
          <w:szCs w:val="32"/>
        </w:rPr>
        <w:sectPr>
          <w:pgSz w:w="11907" w:h="16840"/>
          <w:pgMar w:top="1117" w:right="1133" w:bottom="1060" w:left="1700" w:header="878" w:footer="886" w:gutter="0"/>
          <w:pgNumType w:fmt="decimal"/>
          <w:cols w:space="720" w:num="1"/>
        </w:sectPr>
      </w:pPr>
      <w:r>
        <w:rPr>
          <w:rFonts w:hint="eastAsia" w:ascii="宋体" w:hAnsi="宋体" w:eastAsia="宋体"/>
          <w:color w:val="auto"/>
          <w:sz w:val="32"/>
          <w:szCs w:val="32"/>
        </w:rPr>
        <w:t>投标人名称：</w:t>
      </w:r>
    </w:p>
    <w:p w14:paraId="7B0B799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9" w:name="_Toc148096367"/>
      <w:r>
        <w:rPr>
          <w:rFonts w:hint="eastAsia" w:ascii="宋体" w:hAnsi="宋体" w:eastAsia="宋体" w:cs="宋体"/>
          <w:color w:val="auto"/>
          <w:spacing w:val="-1"/>
          <w:sz w:val="24"/>
          <w:szCs w:val="24"/>
        </w:rPr>
        <w:t>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满足《中华人民共和国政府采购法》第二十二条规定</w:t>
      </w:r>
      <w:bookmarkEnd w:id="59"/>
    </w:p>
    <w:p w14:paraId="2B70BDFE">
      <w:pPr>
        <w:pageBreakBefore w:val="0"/>
        <w:widowControl w:val="0"/>
        <w:numPr>
          <w:ilvl w:val="1"/>
          <w:numId w:val="0"/>
        </w:numPr>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0" w:name="_Toc148096368"/>
      <w:r>
        <w:rPr>
          <w:rFonts w:ascii="宋体" w:hAnsi="宋体" w:eastAsia="宋体" w:cs="宋体"/>
          <w:color w:val="auto"/>
          <w:spacing w:val="-1"/>
          <w:sz w:val="24"/>
          <w:szCs w:val="24"/>
        </w:rPr>
        <w:t>1-1</w:t>
      </w:r>
      <w:r>
        <w:rPr>
          <w:rFonts w:hint="eastAsia" w:ascii="宋体" w:hAnsi="宋体" w:eastAsia="宋体" w:cs="宋体"/>
          <w:color w:val="auto"/>
          <w:spacing w:val="-1"/>
          <w:sz w:val="24"/>
          <w:szCs w:val="24"/>
        </w:rPr>
        <w:t>营业执照</w:t>
      </w:r>
      <w:bookmarkEnd w:id="60"/>
      <w:r>
        <w:rPr>
          <w:rFonts w:hint="eastAsia" w:ascii="宋体" w:hAnsi="宋体" w:eastAsia="宋体" w:cs="宋体"/>
          <w:color w:val="auto"/>
          <w:spacing w:val="-1"/>
          <w:sz w:val="24"/>
          <w:szCs w:val="24"/>
        </w:rPr>
        <w:t>等证明文件</w:t>
      </w:r>
    </w:p>
    <w:p w14:paraId="2EF5418E">
      <w:pPr>
        <w:pStyle w:val="6"/>
        <w:pageBreakBefore w:val="0"/>
        <w:overflowPunct/>
        <w:topLinePunct w:val="0"/>
        <w:bidi w:val="0"/>
        <w:snapToGrid w:val="0"/>
        <w:spacing w:after="0"/>
        <w:rPr>
          <w:rFonts w:hint="eastAsia" w:hAnsi="宋体"/>
        </w:rPr>
      </w:pPr>
    </w:p>
    <w:p w14:paraId="5F3591EE">
      <w:pPr>
        <w:pStyle w:val="6"/>
        <w:pageBreakBefore w:val="0"/>
        <w:overflowPunct/>
        <w:topLinePunct w:val="0"/>
        <w:bidi w:val="0"/>
        <w:snapToGrid w:val="0"/>
        <w:spacing w:after="0"/>
        <w:rPr>
          <w:rFonts w:hint="eastAsia" w:hAnsi="宋体"/>
        </w:rPr>
      </w:pPr>
      <w:r>
        <w:rPr>
          <w:rFonts w:hAnsi="宋体"/>
        </w:rPr>
        <w:br w:type="page"/>
      </w:r>
    </w:p>
    <w:p w14:paraId="28965A23">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1" w:name="_Toc148096369"/>
      <w:r>
        <w:rPr>
          <w:rFonts w:hint="eastAsia" w:ascii="宋体" w:hAnsi="宋体" w:eastAsia="宋体" w:cs="宋体"/>
          <w:color w:val="auto"/>
          <w:spacing w:val="-1"/>
          <w:sz w:val="24"/>
          <w:szCs w:val="24"/>
        </w:rPr>
        <w:t>1-2 投标人资格声明书</w:t>
      </w:r>
      <w:bookmarkEnd w:id="61"/>
      <w:r>
        <w:rPr>
          <w:rFonts w:hint="eastAsia" w:ascii="宋体" w:hAnsi="宋体" w:eastAsia="宋体" w:cs="宋体"/>
          <w:color w:val="auto"/>
          <w:spacing w:val="-1"/>
          <w:sz w:val="24"/>
          <w:szCs w:val="24"/>
        </w:rPr>
        <w:t>（实质性格式）</w:t>
      </w:r>
    </w:p>
    <w:p w14:paraId="22F7908A">
      <w:pPr>
        <w:pageBreakBefore w:val="0"/>
        <w:overflowPunct/>
        <w:topLinePunct w:val="0"/>
        <w:bidi w:val="0"/>
        <w:snapToGrid w:val="0"/>
        <w:spacing w:before="164" w:after="0" w:line="219" w:lineRule="auto"/>
        <w:ind w:left="3110"/>
        <w:rPr>
          <w:rFonts w:hint="eastAsia"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14:paraId="697ED68B">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致</w:t>
      </w:r>
      <w:r>
        <w:rPr>
          <w:rFonts w:hint="eastAsia" w:ascii="宋体" w:hAnsi="宋体" w:eastAsia="宋体" w:cs="Times New Roman"/>
          <w:snapToGrid/>
          <w:color w:val="auto"/>
          <w:kern w:val="2"/>
          <w:sz w:val="24"/>
          <w:szCs w:val="24"/>
          <w:u w:val="single"/>
        </w:rPr>
        <w:t xml:space="preserve">    </w:t>
      </w:r>
      <w:r>
        <w:rPr>
          <w:rFonts w:hint="eastAsia" w:ascii="宋体" w:hAnsi="宋体" w:eastAsia="宋体" w:cs="Times New Roman"/>
          <w:snapToGrid/>
          <w:color w:val="auto"/>
          <w:kern w:val="2"/>
          <w:sz w:val="24"/>
          <w:szCs w:val="24"/>
        </w:rPr>
        <w:t>（采购人或采购代理机构）：</w:t>
      </w:r>
    </w:p>
    <w:p w14:paraId="2832173D">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在参与本次项目投标中，我单位承诺：</w:t>
      </w:r>
    </w:p>
    <w:p w14:paraId="6B71B90A">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(一)具有良好的商业信誉和健全的财务会计制度；</w:t>
      </w:r>
    </w:p>
    <w:p w14:paraId="6FD8A925">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(二)具有履行合同所必需的设备和专业技术能力；</w:t>
      </w:r>
    </w:p>
    <w:p w14:paraId="27E82A55">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(三)有依法缴纳税收和社会保障资金的良好记录；</w:t>
      </w:r>
    </w:p>
    <w:p w14:paraId="4D453FAE">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9C659E5">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(五)我单位不属于政府采购法律、行政法规规定的公益一类事业单位、或使用事 业编制且由财政拨款保障的群团组织(仅适用于政府购买服务项目)；</w:t>
      </w:r>
    </w:p>
    <w:p w14:paraId="62AAD13D">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(六)我单位不存在为采购项目提供整体设计、规范编制或者项目管理、监理、检 测等服务后，再参加该采购项目的其他采购活动的情形(单一来源采购项目除外)；</w:t>
      </w:r>
    </w:p>
    <w:p w14:paraId="73504D7E">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(七)与我单位存在“单位负责人为同一人或者存在直接控股、管理关系”的其他法人单位信息如下(如有，不论其是否参加同一合同项下的政府采购活动均须填写)：</w:t>
      </w:r>
    </w:p>
    <w:tbl>
      <w:tblPr>
        <w:tblStyle w:val="27"/>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48D04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424EF1B8">
            <w:pPr>
              <w:pageBreakBefore w:val="0"/>
              <w:overflowPunct/>
              <w:topLinePunct w:val="0"/>
              <w:bidi w:val="0"/>
              <w:snapToGrid w:val="0"/>
              <w:spacing w:before="100" w:after="0" w:line="222" w:lineRule="auto"/>
              <w:ind w:left="243"/>
              <w:rPr>
                <w:rFonts w:hint="eastAsia"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14:paraId="5C3FCC04">
            <w:pPr>
              <w:pageBreakBefore w:val="0"/>
              <w:overflowPunct/>
              <w:topLinePunct w:val="0"/>
              <w:bidi w:val="0"/>
              <w:snapToGrid w:val="0"/>
              <w:spacing w:before="101" w:after="0" w:line="221" w:lineRule="auto"/>
              <w:ind w:left="1814"/>
              <w:rPr>
                <w:rFonts w:hint="eastAsia"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14:paraId="39FF62C7">
            <w:pPr>
              <w:pageBreakBefore w:val="0"/>
              <w:overflowPunct/>
              <w:topLinePunct w:val="0"/>
              <w:bidi w:val="0"/>
              <w:snapToGrid w:val="0"/>
              <w:spacing w:before="101" w:after="0" w:line="221" w:lineRule="auto"/>
              <w:ind w:left="1017"/>
              <w:rPr>
                <w:rFonts w:hint="eastAsia"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14:paraId="59C2C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6B30D0A6">
            <w:pPr>
              <w:pageBreakBefore w:val="0"/>
              <w:overflowPunct/>
              <w:topLinePunct w:val="0"/>
              <w:bidi w:val="0"/>
              <w:snapToGrid w:val="0"/>
              <w:spacing w:before="119" w:after="0" w:line="199" w:lineRule="auto"/>
              <w:ind w:left="42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2B350A11">
            <w:pPr>
              <w:pageBreakBefore w:val="0"/>
              <w:overflowPunct/>
              <w:topLinePunct w:val="0"/>
              <w:bidi w:val="0"/>
              <w:snapToGrid w:val="0"/>
              <w:spacing w:after="0"/>
              <w:rPr>
                <w:rFonts w:hint="eastAsia" w:ascii="宋体" w:hAnsi="宋体" w:eastAsia="宋体" w:cs="宋体"/>
                <w:color w:val="auto"/>
                <w:sz w:val="20"/>
              </w:rPr>
            </w:pPr>
          </w:p>
        </w:tc>
        <w:tc>
          <w:tcPr>
            <w:tcW w:w="2980" w:type="dxa"/>
          </w:tcPr>
          <w:p w14:paraId="4DF7FA08">
            <w:pPr>
              <w:pageBreakBefore w:val="0"/>
              <w:overflowPunct/>
              <w:topLinePunct w:val="0"/>
              <w:bidi w:val="0"/>
              <w:snapToGrid w:val="0"/>
              <w:spacing w:after="0"/>
              <w:rPr>
                <w:rFonts w:hint="eastAsia" w:ascii="宋体" w:hAnsi="宋体" w:eastAsia="宋体" w:cs="宋体"/>
                <w:color w:val="auto"/>
                <w:sz w:val="20"/>
              </w:rPr>
            </w:pPr>
          </w:p>
        </w:tc>
      </w:tr>
      <w:tr w14:paraId="7C00D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CC4615A">
            <w:pPr>
              <w:pageBreakBefore w:val="0"/>
              <w:overflowPunct/>
              <w:topLinePunct w:val="0"/>
              <w:bidi w:val="0"/>
              <w:snapToGrid w:val="0"/>
              <w:spacing w:before="121" w:after="0" w:line="201" w:lineRule="auto"/>
              <w:ind w:left="41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2DF2ABCC">
            <w:pPr>
              <w:pageBreakBefore w:val="0"/>
              <w:overflowPunct/>
              <w:topLinePunct w:val="0"/>
              <w:bidi w:val="0"/>
              <w:snapToGrid w:val="0"/>
              <w:spacing w:after="0"/>
              <w:rPr>
                <w:rFonts w:hint="eastAsia" w:ascii="宋体" w:hAnsi="宋体" w:eastAsia="宋体" w:cs="宋体"/>
                <w:color w:val="auto"/>
                <w:sz w:val="20"/>
              </w:rPr>
            </w:pPr>
          </w:p>
        </w:tc>
        <w:tc>
          <w:tcPr>
            <w:tcW w:w="2980" w:type="dxa"/>
          </w:tcPr>
          <w:p w14:paraId="483F4E31">
            <w:pPr>
              <w:pageBreakBefore w:val="0"/>
              <w:overflowPunct/>
              <w:topLinePunct w:val="0"/>
              <w:bidi w:val="0"/>
              <w:snapToGrid w:val="0"/>
              <w:spacing w:after="0"/>
              <w:rPr>
                <w:rFonts w:hint="eastAsia" w:ascii="宋体" w:hAnsi="宋体" w:eastAsia="宋体" w:cs="宋体"/>
                <w:color w:val="auto"/>
                <w:sz w:val="20"/>
              </w:rPr>
            </w:pPr>
          </w:p>
        </w:tc>
      </w:tr>
      <w:tr w14:paraId="6D578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4C5F21D2">
            <w:pPr>
              <w:pageBreakBefore w:val="0"/>
              <w:overflowPunct/>
              <w:topLinePunct w:val="0"/>
              <w:bidi w:val="0"/>
              <w:snapToGrid w:val="0"/>
              <w:spacing w:before="271" w:after="0" w:line="81" w:lineRule="exact"/>
              <w:ind w:left="382"/>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04E2D2CB">
            <w:pPr>
              <w:pageBreakBefore w:val="0"/>
              <w:overflowPunct/>
              <w:topLinePunct w:val="0"/>
              <w:bidi w:val="0"/>
              <w:snapToGrid w:val="0"/>
              <w:spacing w:after="0"/>
              <w:rPr>
                <w:rFonts w:hint="eastAsia" w:ascii="宋体" w:hAnsi="宋体" w:eastAsia="宋体" w:cs="宋体"/>
                <w:color w:val="auto"/>
                <w:sz w:val="20"/>
              </w:rPr>
            </w:pPr>
          </w:p>
        </w:tc>
        <w:tc>
          <w:tcPr>
            <w:tcW w:w="2980" w:type="dxa"/>
          </w:tcPr>
          <w:p w14:paraId="795E36EB">
            <w:pPr>
              <w:pageBreakBefore w:val="0"/>
              <w:overflowPunct/>
              <w:topLinePunct w:val="0"/>
              <w:bidi w:val="0"/>
              <w:snapToGrid w:val="0"/>
              <w:spacing w:after="0"/>
              <w:rPr>
                <w:rFonts w:hint="eastAsia" w:ascii="宋体" w:hAnsi="宋体" w:eastAsia="宋体" w:cs="宋体"/>
                <w:color w:val="auto"/>
                <w:sz w:val="20"/>
              </w:rPr>
            </w:pPr>
          </w:p>
        </w:tc>
      </w:tr>
    </w:tbl>
    <w:p w14:paraId="1CDB4F46">
      <w:pPr>
        <w:pageBreakBefore w:val="0"/>
        <w:overflowPunct/>
        <w:topLinePunct w:val="0"/>
        <w:bidi w:val="0"/>
        <w:snapToGrid w:val="0"/>
        <w:spacing w:before="281" w:after="0" w:line="220" w:lineRule="auto"/>
        <w:ind w:left="491"/>
        <w:rPr>
          <w:rFonts w:hint="eastAsia"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14:paraId="2FDEFDA7">
      <w:pPr>
        <w:pageBreakBefore w:val="0"/>
        <w:overflowPunct/>
        <w:topLinePunct w:val="0"/>
        <w:bidi w:val="0"/>
        <w:snapToGrid w:val="0"/>
        <w:spacing w:before="78" w:after="0" w:line="360" w:lineRule="auto"/>
        <w:jc w:val="right"/>
        <w:rPr>
          <w:rFonts w:hint="eastAsia"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_____</w:t>
      </w:r>
    </w:p>
    <w:p w14:paraId="2E9503E9">
      <w:pPr>
        <w:pageBreakBefore w:val="0"/>
        <w:overflowPunct/>
        <w:topLinePunct w:val="0"/>
        <w:bidi w:val="0"/>
        <w:snapToGrid w:val="0"/>
        <w:spacing w:after="0" w:line="360" w:lineRule="auto"/>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1150D050">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14:paraId="320C19B8">
      <w:pPr>
        <w:pStyle w:val="6"/>
        <w:pageBreakBefore w:val="0"/>
        <w:overflowPunct/>
        <w:topLinePunct w:val="0"/>
        <w:bidi w:val="0"/>
        <w:snapToGrid w:val="0"/>
        <w:spacing w:after="0"/>
      </w:pPr>
    </w:p>
    <w:p w14:paraId="4819260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sectPr>
          <w:footerReference r:id="rId13" w:type="default"/>
          <w:pgSz w:w="11907" w:h="16840"/>
          <w:pgMar w:top="1117" w:right="1133" w:bottom="1057" w:left="1700" w:header="878" w:footer="886" w:gutter="0"/>
          <w:pgNumType w:fmt="decimal"/>
          <w:cols w:space="720" w:num="1"/>
        </w:sectPr>
      </w:pPr>
    </w:p>
    <w:p w14:paraId="46B77D3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 落实政府采购政策需满足的资格要求(如有)</w:t>
      </w:r>
    </w:p>
    <w:p w14:paraId="4BBBFFC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olor w:val="auto"/>
          <w:sz w:val="24"/>
          <w:szCs w:val="24"/>
        </w:rPr>
      </w:pPr>
      <w:r>
        <w:rPr>
          <w:rFonts w:hint="eastAsia" w:ascii="宋体" w:hAnsi="宋体" w:eastAsia="宋体"/>
          <w:color w:val="auto"/>
          <w:sz w:val="24"/>
          <w:szCs w:val="24"/>
        </w:rPr>
        <w:t>2-1 中小企业证明文件（实质性格式）</w:t>
      </w:r>
    </w:p>
    <w:p w14:paraId="737908EA">
      <w:pPr>
        <w:pStyle w:val="6"/>
        <w:pageBreakBefore w:val="0"/>
        <w:overflowPunct/>
        <w:topLinePunct w:val="0"/>
        <w:bidi w:val="0"/>
        <w:snapToGrid w:val="0"/>
        <w:spacing w:after="0"/>
        <w:rPr>
          <w:rFonts w:hint="eastAsia" w:hAnsi="宋体"/>
        </w:rPr>
      </w:pPr>
      <w:r>
        <w:rPr>
          <w:rFonts w:hint="eastAsia" w:hAnsi="宋体"/>
        </w:rPr>
        <w:t>说明：</w:t>
      </w:r>
    </w:p>
    <w:p w14:paraId="23A66D55">
      <w:pPr>
        <w:pStyle w:val="6"/>
        <w:pageBreakBefore w:val="0"/>
        <w:overflowPunct/>
        <w:topLinePunct w:val="0"/>
        <w:bidi w:val="0"/>
        <w:snapToGrid w:val="0"/>
        <w:spacing w:after="0" w:line="360" w:lineRule="auto"/>
        <w:rPr>
          <w:rFonts w:hint="eastAsia" w:hAnsi="宋体"/>
        </w:rPr>
      </w:pPr>
      <w:r>
        <w:rPr>
          <w:rFonts w:hint="eastAsia" w:hAnsi="宋体"/>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083B833E">
      <w:pPr>
        <w:pStyle w:val="6"/>
        <w:pageBreakBefore w:val="0"/>
        <w:overflowPunct/>
        <w:topLinePunct w:val="0"/>
        <w:bidi w:val="0"/>
        <w:snapToGrid w:val="0"/>
        <w:spacing w:after="0" w:line="360" w:lineRule="auto"/>
        <w:rPr>
          <w:rFonts w:hint="eastAsia" w:hAnsi="宋体"/>
        </w:rPr>
      </w:pPr>
      <w:r>
        <w:rPr>
          <w:rFonts w:hint="eastAsia" w:hAnsi="宋体"/>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14:paraId="1D8EB461">
      <w:pPr>
        <w:pStyle w:val="6"/>
        <w:pageBreakBefore w:val="0"/>
        <w:overflowPunct/>
        <w:topLinePunct w:val="0"/>
        <w:bidi w:val="0"/>
        <w:snapToGrid w:val="0"/>
        <w:spacing w:after="0" w:line="360" w:lineRule="auto"/>
        <w:rPr>
          <w:rFonts w:hint="eastAsia" w:hAnsi="宋体"/>
        </w:rPr>
      </w:pPr>
      <w:r>
        <w:rPr>
          <w:rFonts w:hint="eastAsia" w:hAnsi="宋体"/>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A183832">
      <w:pPr>
        <w:pStyle w:val="6"/>
        <w:pageBreakBefore w:val="0"/>
        <w:overflowPunct/>
        <w:topLinePunct w:val="0"/>
        <w:bidi w:val="0"/>
        <w:snapToGrid w:val="0"/>
        <w:spacing w:after="0" w:line="360" w:lineRule="auto"/>
        <w:rPr>
          <w:rFonts w:hint="eastAsia" w:hAnsi="宋体"/>
        </w:rPr>
      </w:pPr>
      <w:r>
        <w:rPr>
          <w:rFonts w:hint="eastAsia" w:hAnsi="宋体"/>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B15685D">
      <w:pPr>
        <w:pStyle w:val="6"/>
        <w:pageBreakBefore w:val="0"/>
        <w:overflowPunct/>
        <w:topLinePunct w:val="0"/>
        <w:bidi w:val="0"/>
        <w:snapToGrid w:val="0"/>
        <w:spacing w:after="0" w:line="360" w:lineRule="auto"/>
        <w:rPr>
          <w:rFonts w:hint="eastAsia" w:hAnsi="宋体"/>
        </w:rPr>
      </w:pPr>
      <w:r>
        <w:rPr>
          <w:rFonts w:hint="eastAsia" w:hAnsi="宋体"/>
        </w:rPr>
        <w:t>（5）中小企业声明函填写注意事项</w:t>
      </w:r>
    </w:p>
    <w:p w14:paraId="50868382">
      <w:pPr>
        <w:pStyle w:val="6"/>
        <w:pageBreakBefore w:val="0"/>
        <w:overflowPunct/>
        <w:topLinePunct w:val="0"/>
        <w:bidi w:val="0"/>
        <w:snapToGrid w:val="0"/>
        <w:spacing w:after="0" w:line="360" w:lineRule="auto"/>
        <w:rPr>
          <w:rFonts w:hint="eastAsia" w:hAnsi="宋体"/>
        </w:rPr>
      </w:pPr>
      <w:r>
        <w:rPr>
          <w:rFonts w:hint="eastAsia" w:hAnsi="宋体"/>
        </w:rPr>
        <w:t>1）《中小企业声明函》由参加政府采购活动的投标人出具。联合体投标的，《中小企业 声明函》可由牵头人出具。</w:t>
      </w:r>
    </w:p>
    <w:p w14:paraId="7572ACE1">
      <w:pPr>
        <w:pStyle w:val="6"/>
        <w:pageBreakBefore w:val="0"/>
        <w:overflowPunct/>
        <w:topLinePunct w:val="0"/>
        <w:bidi w:val="0"/>
        <w:snapToGrid w:val="0"/>
        <w:spacing w:after="0" w:line="360" w:lineRule="auto"/>
        <w:rPr>
          <w:rFonts w:hint="eastAsia" w:hAnsi="宋体"/>
        </w:rPr>
      </w:pPr>
      <w:r>
        <w:rPr>
          <w:rFonts w:hint="eastAsia" w:hAnsi="宋体"/>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3B29B21B">
      <w:pPr>
        <w:pStyle w:val="6"/>
        <w:pageBreakBefore w:val="0"/>
        <w:overflowPunct/>
        <w:topLinePunct w:val="0"/>
        <w:bidi w:val="0"/>
        <w:snapToGrid w:val="0"/>
        <w:spacing w:after="0" w:line="360" w:lineRule="auto"/>
        <w:rPr>
          <w:rFonts w:hint="eastAsia" w:hAnsi="宋体"/>
        </w:rPr>
      </w:pPr>
      <w:r>
        <w:rPr>
          <w:rFonts w:hint="eastAsia" w:hAnsi="宋体"/>
        </w:rPr>
        <w:t>3）对于多标的采购项目，投标人应充分、准确地了解所提供货物的制造企业、提供服务的承接企业信息。对相关情况了解不清楚的，不建议填报本声明函。</w:t>
      </w:r>
    </w:p>
    <w:p w14:paraId="5F503749">
      <w:pPr>
        <w:pStyle w:val="6"/>
        <w:pageBreakBefore w:val="0"/>
        <w:overflowPunct/>
        <w:topLinePunct w:val="0"/>
        <w:bidi w:val="0"/>
        <w:snapToGrid w:val="0"/>
        <w:spacing w:after="0" w:line="360" w:lineRule="auto"/>
        <w:rPr>
          <w:rFonts w:hint="eastAsia" w:hAnsi="宋体"/>
        </w:rPr>
      </w:pPr>
      <w:r>
        <w:rPr>
          <w:rFonts w:hint="eastAsia" w:hAnsi="宋体"/>
        </w:rPr>
        <w:t>（6）温馨提示：为方便广大中小企业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14:paraId="751EDF12">
      <w:pPr>
        <w:pStyle w:val="6"/>
        <w:pageBreakBefore w:val="0"/>
        <w:overflowPunct/>
        <w:topLinePunct w:val="0"/>
        <w:bidi w:val="0"/>
        <w:snapToGrid w:val="0"/>
        <w:spacing w:after="0" w:line="360" w:lineRule="auto"/>
        <w:rPr>
          <w:rFonts w:hint="eastAsia" w:hAnsi="宋体"/>
        </w:rPr>
      </w:pPr>
    </w:p>
    <w:p w14:paraId="1DE85BF8">
      <w:pPr>
        <w:pStyle w:val="6"/>
        <w:pageBreakBefore w:val="0"/>
        <w:overflowPunct/>
        <w:topLinePunct w:val="0"/>
        <w:bidi w:val="0"/>
        <w:snapToGrid w:val="0"/>
        <w:spacing w:after="0"/>
      </w:pPr>
      <w:r>
        <w:br w:type="page"/>
      </w:r>
    </w:p>
    <w:p w14:paraId="5F83662C">
      <w:pPr>
        <w:pageBreakBefore w:val="0"/>
        <w:overflowPunct/>
        <w:topLinePunct w:val="0"/>
        <w:bidi w:val="0"/>
        <w:snapToGrid w:val="0"/>
        <w:spacing w:after="0" w:line="473" w:lineRule="auto"/>
        <w:jc w:val="center"/>
        <w:rPr>
          <w:rFonts w:hint="eastAsia" w:ascii="宋体" w:hAnsi="宋体" w:eastAsia="宋体" w:cs="宋体"/>
          <w:color w:val="auto"/>
        </w:rPr>
      </w:pPr>
      <w:bookmarkStart w:id="62" w:name="OLE_LINK7"/>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3AB5D30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bookmarkStart w:id="63"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76921FE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7252BD55">
      <w:pPr>
        <w:pageBreakBefore w:val="0"/>
        <w:overflowPunct/>
        <w:topLinePunct w:val="0"/>
        <w:bidi w:val="0"/>
        <w:snapToGrid w:val="0"/>
        <w:spacing w:before="69" w:after="0"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11124EF2">
      <w:pPr>
        <w:pageBreakBefore w:val="0"/>
        <w:overflowPunct/>
        <w:topLinePunct w:val="0"/>
        <w:bidi w:val="0"/>
        <w:snapToGrid w:val="0"/>
        <w:spacing w:before="182" w:after="0"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56DCA1E6">
      <w:pPr>
        <w:pageBreakBefore w:val="0"/>
        <w:overflowPunct/>
        <w:topLinePunct w:val="0"/>
        <w:bidi w:val="0"/>
        <w:snapToGrid w:val="0"/>
        <w:spacing w:after="0"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291B4E8A">
      <w:pPr>
        <w:pageBreakBefore w:val="0"/>
        <w:overflowPunct/>
        <w:topLinePunct w:val="0"/>
        <w:bidi w:val="0"/>
        <w:snapToGrid w:val="0"/>
        <w:spacing w:after="0" w:line="259" w:lineRule="auto"/>
        <w:rPr>
          <w:rFonts w:hint="eastAsia" w:ascii="宋体" w:hAnsi="宋体" w:eastAsia="宋体" w:cs="宋体"/>
          <w:color w:val="auto"/>
        </w:rPr>
      </w:pPr>
    </w:p>
    <w:p w14:paraId="78CF5021">
      <w:pPr>
        <w:pageBreakBefore w:val="0"/>
        <w:overflowPunct/>
        <w:topLinePunct w:val="0"/>
        <w:bidi w:val="0"/>
        <w:snapToGrid w:val="0"/>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14510E80">
      <w:pPr>
        <w:pageBreakBefore w:val="0"/>
        <w:overflowPunct/>
        <w:topLinePunct w:val="0"/>
        <w:bidi w:val="0"/>
        <w:snapToGrid w:val="0"/>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63"/>
    <w:p w14:paraId="7C5C1AED">
      <w:pPr>
        <w:pageBreakBefore w:val="0"/>
        <w:overflowPunct/>
        <w:topLinePunct w:val="0"/>
        <w:bidi w:val="0"/>
        <w:snapToGrid w:val="0"/>
        <w:spacing w:after="0" w:line="247" w:lineRule="auto"/>
        <w:rPr>
          <w:rFonts w:hint="eastAsia" w:ascii="宋体" w:hAnsi="宋体" w:eastAsia="宋体" w:cs="宋体"/>
          <w:color w:val="auto"/>
        </w:rPr>
      </w:pPr>
    </w:p>
    <w:p w14:paraId="10669DAB">
      <w:pPr>
        <w:pageBreakBefore w:val="0"/>
        <w:overflowPunct/>
        <w:topLinePunct w:val="0"/>
        <w:bidi w:val="0"/>
        <w:snapToGrid w:val="0"/>
        <w:spacing w:after="0" w:line="248" w:lineRule="auto"/>
        <w:rPr>
          <w:rFonts w:hint="eastAsia" w:ascii="宋体" w:hAnsi="宋体" w:eastAsia="宋体" w:cs="宋体"/>
          <w:color w:val="auto"/>
        </w:rPr>
      </w:pPr>
    </w:p>
    <w:p w14:paraId="5C2F28FA">
      <w:pPr>
        <w:pStyle w:val="6"/>
        <w:pageBreakBefore w:val="0"/>
        <w:overflowPunct/>
        <w:topLinePunct w:val="0"/>
        <w:bidi w:val="0"/>
        <w:snapToGrid w:val="0"/>
        <w:spacing w:after="0"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62"/>
    <w:p w14:paraId="65AA530E">
      <w:pPr>
        <w:pageBreakBefore w:val="0"/>
        <w:overflowPunct/>
        <w:topLinePunct w:val="0"/>
        <w:bidi w:val="0"/>
        <w:snapToGrid w:val="0"/>
        <w:spacing w:after="0"/>
        <w:jc w:val="center"/>
        <w:rPr>
          <w:color w:val="auto"/>
        </w:rPr>
      </w:pPr>
    </w:p>
    <w:p w14:paraId="5FC917F7">
      <w:pPr>
        <w:pStyle w:val="6"/>
        <w:pageBreakBefore w:val="0"/>
        <w:overflowPunct/>
        <w:topLinePunct w:val="0"/>
        <w:bidi w:val="0"/>
        <w:snapToGrid w:val="0"/>
        <w:spacing w:after="0"/>
      </w:pPr>
      <w:r>
        <w:br w:type="page"/>
      </w:r>
    </w:p>
    <w:p w14:paraId="6AB0D152">
      <w:pPr>
        <w:pageBreakBefore w:val="0"/>
        <w:overflowPunct/>
        <w:topLinePunct w:val="0"/>
        <w:bidi w:val="0"/>
        <w:snapToGrid w:val="0"/>
        <w:spacing w:after="0"/>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z w:val="24"/>
          <w:szCs w:val="24"/>
          <w:lang w:bidi="ar"/>
        </w:rPr>
        <w:t>2-2 残疾人福利性单位声明函格式（如有）（实质性格式）</w:t>
      </w:r>
    </w:p>
    <w:p w14:paraId="36F7E2A0">
      <w:pPr>
        <w:pageBreakBefore w:val="0"/>
        <w:overflowPunct/>
        <w:topLinePunct w:val="0"/>
        <w:bidi w:val="0"/>
        <w:snapToGrid w:val="0"/>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4AC0EEEF">
      <w:pPr>
        <w:pageBreakBefore w:val="0"/>
        <w:overflowPunct/>
        <w:topLinePunct w:val="0"/>
        <w:bidi w:val="0"/>
        <w:snapToGrid w:val="0"/>
        <w:spacing w:after="0" w:line="321" w:lineRule="auto"/>
        <w:rPr>
          <w:rFonts w:hint="eastAsia" w:ascii="宋体" w:hAnsi="宋体" w:eastAsia="宋体" w:cs="宋体"/>
          <w:color w:val="auto"/>
        </w:rPr>
      </w:pPr>
    </w:p>
    <w:p w14:paraId="428E4C9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w:t>
      </w:r>
      <w:r>
        <w:rPr>
          <w:rFonts w:hint="eastAsia" w:ascii="宋体" w:hAnsi="宋体" w:eastAsia="宋体"/>
          <w:b/>
          <w:bCs/>
          <w:color w:val="auto"/>
          <w:sz w:val="24"/>
          <w:szCs w:val="24"/>
        </w:rPr>
        <w:t>请进行选择</w:t>
      </w:r>
      <w:r>
        <w:rPr>
          <w:rFonts w:hint="eastAsia" w:ascii="宋体" w:hAnsi="宋体" w:eastAsia="宋体"/>
          <w:color w:val="auto"/>
          <w:sz w:val="24"/>
          <w:szCs w:val="24"/>
        </w:rPr>
        <w:t>)：</w:t>
      </w:r>
    </w:p>
    <w:p w14:paraId="092D6FE5">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14:paraId="62822772">
      <w:pPr>
        <w:pageBreakBefore w:val="0"/>
        <w:overflowPunct/>
        <w:topLinePunct w:val="0"/>
        <w:bidi w:val="0"/>
        <w:snapToGrid w:val="0"/>
        <w:spacing w:after="0" w:line="360" w:lineRule="auto"/>
        <w:ind w:firstLine="482" w:firstLineChars="200"/>
        <w:rPr>
          <w:rFonts w:hint="eastAsia"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858329A">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14:paraId="3BDA8B55">
      <w:pPr>
        <w:pageBreakBefore w:val="0"/>
        <w:overflowPunct/>
        <w:topLinePunct w:val="0"/>
        <w:bidi w:val="0"/>
        <w:snapToGrid w:val="0"/>
        <w:spacing w:after="0"/>
        <w:rPr>
          <w:rFonts w:hint="eastAsia" w:ascii="宋体" w:hAnsi="宋体" w:eastAsia="宋体" w:cs="宋体"/>
          <w:color w:val="auto"/>
        </w:rPr>
      </w:pPr>
    </w:p>
    <w:p w14:paraId="43978DF0">
      <w:pPr>
        <w:pageBreakBefore w:val="0"/>
        <w:overflowPunct/>
        <w:topLinePunct w:val="0"/>
        <w:bidi w:val="0"/>
        <w:snapToGrid w:val="0"/>
        <w:spacing w:after="0"/>
        <w:rPr>
          <w:rFonts w:hint="eastAsia" w:ascii="宋体" w:hAnsi="宋体" w:eastAsia="宋体" w:cs="宋体"/>
          <w:color w:val="auto"/>
        </w:rPr>
      </w:pPr>
    </w:p>
    <w:p w14:paraId="622D65A1">
      <w:pPr>
        <w:pageBreakBefore w:val="0"/>
        <w:overflowPunct/>
        <w:topLinePunct w:val="0"/>
        <w:bidi w:val="0"/>
        <w:snapToGrid w:val="0"/>
        <w:spacing w:after="0"/>
        <w:rPr>
          <w:rFonts w:hint="eastAsia" w:ascii="宋体" w:hAnsi="宋体" w:eastAsia="宋体" w:cs="宋体"/>
          <w:color w:val="auto"/>
        </w:rPr>
      </w:pPr>
    </w:p>
    <w:p w14:paraId="5BAE30AF">
      <w:pPr>
        <w:pageBreakBefore w:val="0"/>
        <w:overflowPunct/>
        <w:topLinePunct w:val="0"/>
        <w:bidi w:val="0"/>
        <w:snapToGrid w:val="0"/>
        <w:spacing w:after="0" w:line="279" w:lineRule="auto"/>
        <w:rPr>
          <w:rFonts w:hint="eastAsia" w:ascii="宋体" w:hAnsi="宋体" w:eastAsia="宋体" w:cs="宋体"/>
          <w:color w:val="auto"/>
        </w:rPr>
      </w:pPr>
    </w:p>
    <w:p w14:paraId="6F60DDFF">
      <w:pPr>
        <w:pageBreakBefore w:val="0"/>
        <w:overflowPunct/>
        <w:topLinePunct w:val="0"/>
        <w:bidi w:val="0"/>
        <w:snapToGrid w:val="0"/>
        <w:spacing w:after="0" w:line="279" w:lineRule="auto"/>
        <w:rPr>
          <w:rFonts w:hint="eastAsia" w:ascii="宋体" w:hAnsi="宋体" w:eastAsia="宋体" w:cs="宋体"/>
          <w:color w:val="auto"/>
        </w:rPr>
      </w:pPr>
    </w:p>
    <w:p w14:paraId="445151B6">
      <w:pPr>
        <w:pageBreakBefore w:val="0"/>
        <w:wordWrap w:val="0"/>
        <w:overflowPunct/>
        <w:topLinePunct w:val="0"/>
        <w:bidi w:val="0"/>
        <w:snapToGrid w:val="0"/>
        <w:spacing w:before="78" w:after="0" w:line="360" w:lineRule="auto"/>
        <w:ind w:left="3938"/>
        <w:jc w:val="right"/>
        <w:rPr>
          <w:rFonts w:hint="eastAsia" w:ascii="宋体" w:hAnsi="宋体" w:eastAsia="宋体"/>
          <w:color w:val="auto"/>
          <w:sz w:val="24"/>
          <w:szCs w:val="24"/>
        </w:rPr>
      </w:pPr>
      <w:r>
        <w:rPr>
          <w:rFonts w:hint="eastAsia" w:ascii="宋体" w:hAnsi="宋体" w:eastAsia="宋体"/>
          <w:color w:val="auto"/>
          <w:sz w:val="24"/>
          <w:szCs w:val="24"/>
        </w:rPr>
        <w:t>单位名称(盖章)：</w:t>
      </w:r>
      <w:r>
        <w:rPr>
          <w:rFonts w:hint="eastAsia" w:ascii="宋体" w:hAnsi="宋体" w:eastAsia="宋体"/>
          <w:color w:val="auto"/>
          <w:sz w:val="24"/>
          <w:szCs w:val="24"/>
          <w:u w:val="single"/>
        </w:rPr>
        <w:t xml:space="preserve">         </w:t>
      </w:r>
    </w:p>
    <w:p w14:paraId="6B08AE3B">
      <w:pPr>
        <w:pageBreakBefore w:val="0"/>
        <w:wordWrap w:val="0"/>
        <w:overflowPunct/>
        <w:topLinePunct w:val="0"/>
        <w:bidi w:val="0"/>
        <w:snapToGrid w:val="0"/>
        <w:spacing w:before="1" w:after="0" w:line="360" w:lineRule="auto"/>
        <w:ind w:left="4011"/>
        <w:jc w:val="right"/>
        <w:rPr>
          <w:rFonts w:hint="eastAsia" w:ascii="宋体" w:hAnsi="宋体" w:eastAsia="宋体"/>
          <w:color w:val="auto"/>
          <w:sz w:val="24"/>
          <w:szCs w:val="24"/>
        </w:rPr>
      </w:pPr>
      <w:r>
        <w:rPr>
          <w:rFonts w:hint="eastAsia" w:ascii="宋体" w:hAnsi="宋体" w:eastAsia="宋体"/>
          <w:color w:val="auto"/>
          <w:sz w:val="24"/>
          <w:szCs w:val="24"/>
        </w:rPr>
        <w:t>日  期 ：</w:t>
      </w:r>
      <w:r>
        <w:rPr>
          <w:rFonts w:hint="eastAsia" w:ascii="宋体" w:hAnsi="宋体" w:eastAsia="宋体"/>
          <w:color w:val="auto"/>
          <w:sz w:val="24"/>
          <w:szCs w:val="24"/>
          <w:u w:val="single"/>
        </w:rPr>
        <w:t xml:space="preserve">         </w:t>
      </w:r>
    </w:p>
    <w:p w14:paraId="37C94C59">
      <w:pPr>
        <w:pageBreakBefore w:val="0"/>
        <w:overflowPunct/>
        <w:topLinePunct w:val="0"/>
        <w:bidi w:val="0"/>
        <w:snapToGrid w:val="0"/>
        <w:spacing w:after="0"/>
        <w:jc w:val="center"/>
        <w:rPr>
          <w:color w:val="auto"/>
        </w:rPr>
      </w:pPr>
    </w:p>
    <w:p w14:paraId="6ABBA25C">
      <w:pPr>
        <w:pStyle w:val="6"/>
        <w:pageBreakBefore w:val="0"/>
        <w:overflowPunct/>
        <w:topLinePunct w:val="0"/>
        <w:bidi w:val="0"/>
        <w:snapToGrid w:val="0"/>
        <w:spacing w:after="0"/>
      </w:pPr>
      <w:r>
        <w:br w:type="page"/>
      </w:r>
    </w:p>
    <w:p w14:paraId="254D3C39">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olor w:val="auto"/>
          <w:sz w:val="24"/>
          <w:szCs w:val="24"/>
        </w:rPr>
      </w:pPr>
      <w:bookmarkStart w:id="64" w:name="_Toc148096374"/>
      <w:r>
        <w:rPr>
          <w:rFonts w:hint="eastAsia" w:ascii="宋体" w:hAnsi="宋体" w:eastAsia="宋体"/>
          <w:color w:val="auto"/>
          <w:sz w:val="24"/>
          <w:szCs w:val="24"/>
        </w:rPr>
        <w:t xml:space="preserve">2-3 </w:t>
      </w:r>
      <w:bookmarkEnd w:id="64"/>
      <w:r>
        <w:rPr>
          <w:rFonts w:hint="eastAsia" w:ascii="宋体" w:hAnsi="宋体" w:eastAsia="宋体"/>
          <w:color w:val="auto"/>
          <w:sz w:val="24"/>
          <w:szCs w:val="24"/>
        </w:rPr>
        <w:t>如监狱企业参加政府采购活动（非实质性格式）</w:t>
      </w:r>
    </w:p>
    <w:p w14:paraId="4FDF1C7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olor w:val="auto"/>
          <w:sz w:val="24"/>
          <w:szCs w:val="24"/>
        </w:rPr>
      </w:pPr>
    </w:p>
    <w:p w14:paraId="272312E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olor w:val="auto"/>
          <w:sz w:val="24"/>
          <w:szCs w:val="24"/>
        </w:rPr>
      </w:pPr>
    </w:p>
    <w:p w14:paraId="20C01ED3">
      <w:pPr>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监狱企业须提供由省级以上监狱管理局（北京市含教育矫治局）、戒毒管理局（含新疆生产建设兵团）出具的属于监狱企业的证明文件</w:t>
      </w:r>
    </w:p>
    <w:p w14:paraId="13F4EA79">
      <w:pPr>
        <w:pageBreakBefore w:val="0"/>
        <w:overflowPunct/>
        <w:topLinePunct w:val="0"/>
        <w:bidi w:val="0"/>
        <w:snapToGrid w:val="0"/>
        <w:spacing w:after="0"/>
        <w:jc w:val="center"/>
        <w:rPr>
          <w:color w:val="auto"/>
        </w:rPr>
      </w:pPr>
    </w:p>
    <w:p w14:paraId="41442835">
      <w:pPr>
        <w:pStyle w:val="6"/>
        <w:pageBreakBefore w:val="0"/>
        <w:overflowPunct/>
        <w:topLinePunct w:val="0"/>
        <w:bidi w:val="0"/>
        <w:snapToGrid w:val="0"/>
        <w:spacing w:after="0"/>
        <w:sectPr>
          <w:pgSz w:w="11907" w:h="16840"/>
          <w:pgMar w:top="1117" w:right="1133" w:bottom="1057" w:left="1700" w:header="878" w:footer="886" w:gutter="0"/>
          <w:pgNumType w:fmt="decimal"/>
          <w:cols w:space="720" w:num="1"/>
        </w:sectPr>
      </w:pPr>
      <w:r>
        <w:rPr>
          <w:rFonts w:hint="eastAsia"/>
        </w:rPr>
        <w:t>【政策详见《财政部 司法部关于政府采购支持监狱企业发展有关问题的通知》（财库〔2014〕68号）】</w:t>
      </w:r>
    </w:p>
    <w:p w14:paraId="0AC9AED6">
      <w:pPr>
        <w:pStyle w:val="6"/>
        <w:pageBreakBefore w:val="0"/>
        <w:overflowPunct/>
        <w:topLinePunct w:val="0"/>
        <w:bidi w:val="0"/>
        <w:snapToGrid w:val="0"/>
        <w:spacing w:after="0"/>
        <w:ind w:firstLine="0"/>
      </w:pPr>
      <w:r>
        <w:rPr>
          <w:rFonts w:hint="eastAsia"/>
        </w:rPr>
        <w:t>2-4 附件：《中小企业划型标准规定》</w:t>
      </w:r>
    </w:p>
    <w:p w14:paraId="7BC794AE">
      <w:pPr>
        <w:pageBreakBefore w:val="0"/>
        <w:tabs>
          <w:tab w:val="left" w:pos="4860"/>
        </w:tabs>
        <w:overflowPunct/>
        <w:topLinePunct w:val="0"/>
        <w:bidi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一、根据《中华人民共和国中小企业促进法》和《国务院关于进一步促进中小企业发展的若干意见》(国发〔2009〕36号)，制定本规定。</w:t>
      </w:r>
    </w:p>
    <w:p w14:paraId="6001706E">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二、中小企业划分为中型、小型、微型三种类型，具体标准根据企业从业人员、营业收入、资产总额等指标，结合行业特点制定。</w:t>
      </w:r>
    </w:p>
    <w:p w14:paraId="547AA1AE">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93C378E">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四、各行业划型标准为：</w:t>
      </w:r>
    </w:p>
    <w:p w14:paraId="661D0C08">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（一）农、林、牧、渔业。营业收入20000万元以下的为中小微型企业。其中，营业收入500万元及以上的为中型企业，营业收入50万元及以上的为小型企业，营业收入50万元以下的为微型企业。</w:t>
      </w:r>
    </w:p>
    <w:p w14:paraId="02F488E7">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353F441">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560A73B">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3928B3">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AC21190">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13C8979">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D32A66C">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EB0243">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EC833B8">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34BF55E">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E02A6E3">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123CADB">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89678E">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46C3398">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D74AAC9">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（十六）其他未列明行业。从业人员300人以下的为中小微型企业。其中，从业人员100人及以上的为中型企业；从业人员10人及以上的为小型企业；从业人员10人以下的为微型企业。</w:t>
      </w:r>
    </w:p>
    <w:p w14:paraId="03DCF625">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五、企业类型的划分以统计部门的统计数据为依据。</w:t>
      </w:r>
    </w:p>
    <w:p w14:paraId="2B4DD630">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六、本规定适用于在中华人民共和国境内依法设立的各类所有制和各种组织形式的企业。个体工商户和本规定以外的行业，参照本规定进行划型。</w:t>
      </w:r>
    </w:p>
    <w:p w14:paraId="1B48B838">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14:paraId="6117EFEC">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八、本规定由工业和信息化部、国家统计局会同有关部门根据《国民经济行业分类》修订情况和企业发展变化情况适时修订。</w:t>
      </w:r>
    </w:p>
    <w:p w14:paraId="10702F08">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九、本规定由工业和信息化部、国家统计局会同有关部门负责解释。</w:t>
      </w:r>
    </w:p>
    <w:p w14:paraId="613D5C66">
      <w:pPr>
        <w:pStyle w:val="6"/>
        <w:pageBreakBefore w:val="0"/>
        <w:overflowPunct/>
        <w:topLinePunct w:val="0"/>
        <w:bidi w:val="0"/>
        <w:snapToGrid w:val="0"/>
        <w:spacing w:after="0"/>
        <w:ind w:firstLine="480" w:firstLineChars="200"/>
      </w:pPr>
      <w:r>
        <w:rPr>
          <w:rFonts w:hint="eastAsia" w:hAnsi="宋体" w:cs="宋体"/>
        </w:rPr>
        <w:t>十、本规定自发布之日起执行，原国家经贸委、原国家计委、财政部和国家统计局2003年颁布的《中小企业标准暂行规定》同时废止。</w:t>
      </w:r>
      <w:r>
        <w:br w:type="page"/>
      </w:r>
    </w:p>
    <w:p w14:paraId="04A4AB7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olor w:val="auto"/>
          <w:sz w:val="24"/>
          <w:szCs w:val="24"/>
        </w:rPr>
      </w:pPr>
      <w:bookmarkStart w:id="65" w:name="_Toc148096375"/>
      <w:r>
        <w:rPr>
          <w:rFonts w:hint="eastAsia" w:ascii="宋体" w:hAnsi="宋体" w:eastAsia="宋体"/>
          <w:color w:val="auto"/>
          <w:sz w:val="24"/>
          <w:szCs w:val="24"/>
        </w:rPr>
        <w:t>3</w:t>
      </w:r>
      <w:r>
        <w:rPr>
          <w:rFonts w:ascii="宋体" w:hAnsi="宋体" w:eastAsia="宋体"/>
          <w:color w:val="auto"/>
          <w:sz w:val="24"/>
          <w:szCs w:val="24"/>
        </w:rPr>
        <w:t xml:space="preserve"> </w:t>
      </w:r>
      <w:bookmarkEnd w:id="65"/>
      <w:r>
        <w:rPr>
          <w:rFonts w:hint="eastAsia" w:ascii="宋体" w:hAnsi="宋体" w:eastAsia="宋体"/>
          <w:color w:val="auto"/>
          <w:sz w:val="24"/>
          <w:szCs w:val="24"/>
        </w:rPr>
        <w:t>其他特定资格要求</w:t>
      </w:r>
    </w:p>
    <w:p w14:paraId="6A8E0D16">
      <w:pPr>
        <w:pStyle w:val="7"/>
        <w:spacing w:before="151" w:after="0" w:line="360" w:lineRule="auto"/>
        <w:ind w:left="238" w:right="148"/>
        <w:rPr>
          <w:rFonts w:hint="eastAsia" w:ascii="宋体" w:hAnsi="宋体" w:eastAsia="宋体" w:cs="宋体"/>
          <w:color w:val="auto"/>
          <w:sz w:val="24"/>
          <w:szCs w:val="24"/>
          <w:highlight w:val="none"/>
          <w:lang w:eastAsia="zh-CN"/>
        </w:rPr>
      </w:pPr>
      <w:bookmarkStart w:id="66" w:name="_Toc148096379"/>
      <w:r>
        <w:rPr>
          <w:rFonts w:hint="eastAsia" w:ascii="宋体" w:hAnsi="宋体" w:eastAsia="宋体" w:cs="宋体"/>
          <w:color w:val="auto"/>
          <w:sz w:val="24"/>
          <w:szCs w:val="24"/>
          <w:highlight w:val="none"/>
          <w:lang w:eastAsia="zh-CN"/>
        </w:rPr>
        <w:t>1）供应商应具备水利水电工程施工总承包三级（含）以上或水利水电机电安装工程专业承包三级（含）以上资质等级；</w:t>
      </w:r>
    </w:p>
    <w:p w14:paraId="6275DD78">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2）供应商应具有建设行政主管部门核发的有效的安全生产许可证；</w:t>
      </w:r>
    </w:p>
    <w:p w14:paraId="2C9E692C">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3）拟任项目经理需具有水利行业中级及以上职称；</w:t>
      </w:r>
    </w:p>
    <w:p w14:paraId="5BE6C81C">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4）安全管理人员（专职安全生产管理人员）具有水行政主管部门颁发的C类安全生产考核合格证书；</w:t>
      </w:r>
    </w:p>
    <w:p w14:paraId="556004FD">
      <w:pPr>
        <w:pStyle w:val="7"/>
        <w:spacing w:before="151" w:after="0" w:line="360" w:lineRule="auto"/>
        <w:ind w:left="238" w:right="1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5）企业负责人具有水行政主管部门颁发的A类安全考核合格证书。</w:t>
      </w:r>
    </w:p>
    <w:p w14:paraId="6B55B566">
      <w:pPr>
        <w:pStyle w:val="7"/>
        <w:pageBreakBefore w:val="0"/>
        <w:overflowPunct/>
        <w:topLinePunct w:val="0"/>
        <w:bidi w:val="0"/>
        <w:snapToGrid w:val="0"/>
        <w:spacing w:before="151" w:after="0" w:line="360" w:lineRule="auto"/>
        <w:ind w:left="238" w:right="148"/>
        <w:rPr>
          <w:rFonts w:hint="default" w:ascii="宋体" w:hAnsi="宋体" w:eastAsia="宋体" w:cs="宋体"/>
          <w:color w:val="auto"/>
          <w:sz w:val="24"/>
          <w:szCs w:val="24"/>
          <w:lang w:val="en-US" w:eastAsia="zh-CN"/>
        </w:rPr>
      </w:pPr>
    </w:p>
    <w:p w14:paraId="058CC4D7">
      <w:pPr>
        <w:pStyle w:val="2"/>
        <w:pageBreakBefore w:val="0"/>
        <w:overflowPunct/>
        <w:topLinePunct w:val="0"/>
        <w:bidi w:val="0"/>
        <w:snapToGrid w:val="0"/>
        <w:spacing w:after="0"/>
      </w:pPr>
    </w:p>
    <w:p w14:paraId="0B0BC0A0">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0696814A">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0D190FA">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6C01D9A8">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092AE782">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76544D7A">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767771A9">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148D6200">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69AC3D5">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D9A6484">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4F6BAFC3">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00A86F2">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A8414D0">
      <w:pPr>
        <w:pStyle w:val="2"/>
        <w:rPr>
          <w:rFonts w:ascii="宋体" w:hAnsi="宋体" w:eastAsia="宋体" w:cs="宋体"/>
          <w:sz w:val="24"/>
          <w:szCs w:val="24"/>
        </w:rPr>
      </w:pPr>
    </w:p>
    <w:p w14:paraId="19AA128D">
      <w:pPr>
        <w:pStyle w:val="2"/>
        <w:rPr>
          <w:rFonts w:ascii="宋体" w:hAnsi="宋体" w:eastAsia="宋体" w:cs="宋体"/>
          <w:sz w:val="24"/>
          <w:szCs w:val="24"/>
        </w:rPr>
      </w:pPr>
    </w:p>
    <w:p w14:paraId="5C361CD1">
      <w:pPr>
        <w:pStyle w:val="2"/>
        <w:rPr>
          <w:rFonts w:ascii="宋体" w:hAnsi="宋体" w:eastAsia="宋体" w:cs="宋体"/>
          <w:sz w:val="24"/>
          <w:szCs w:val="24"/>
        </w:rPr>
      </w:pPr>
    </w:p>
    <w:p w14:paraId="6F46181B">
      <w:pPr>
        <w:pStyle w:val="2"/>
        <w:rPr>
          <w:rFonts w:ascii="宋体" w:hAnsi="宋体" w:eastAsia="宋体" w:cs="宋体"/>
          <w:sz w:val="24"/>
          <w:szCs w:val="24"/>
        </w:rPr>
      </w:pPr>
    </w:p>
    <w:p w14:paraId="312C8BA7">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335FF56">
      <w:pPr>
        <w:pStyle w:val="2"/>
        <w:rPr>
          <w:rFonts w:ascii="宋体" w:hAnsi="宋体" w:eastAsia="宋体" w:cs="宋体"/>
          <w:sz w:val="24"/>
          <w:szCs w:val="24"/>
        </w:rPr>
      </w:pPr>
    </w:p>
    <w:p w14:paraId="55D09BBD">
      <w:pPr>
        <w:pStyle w:val="7"/>
        <w:spacing w:before="307" w:line="201" w:lineRule="auto"/>
        <w:ind w:left="12"/>
        <w:outlineLvl w:val="1"/>
        <w:rPr>
          <w:rFonts w:hint="eastAsia" w:ascii="宋体" w:hAnsi="宋体" w:eastAsia="宋体"/>
          <w:sz w:val="24"/>
          <w:szCs w:val="24"/>
          <w:lang w:eastAsia="zh-CN"/>
        </w:rPr>
      </w:pPr>
      <w:r>
        <w:rPr>
          <w:rFonts w:ascii="宋体" w:hAnsi="宋体" w:eastAsia="宋体" w:cs="Arial"/>
          <w:spacing w:val="1"/>
          <w:sz w:val="24"/>
          <w:szCs w:val="24"/>
          <w:lang w:eastAsia="zh-CN"/>
        </w:rPr>
        <w:t xml:space="preserve">4   </w:t>
      </w:r>
      <w:r>
        <w:rPr>
          <w:rFonts w:ascii="宋体" w:hAnsi="宋体" w:eastAsia="宋体"/>
          <w:spacing w:val="1"/>
          <w:sz w:val="24"/>
          <w:szCs w:val="24"/>
          <w:lang w:eastAsia="zh-CN"/>
        </w:rPr>
        <w:t>投标保证金凭证</w:t>
      </w:r>
      <w:r>
        <w:rPr>
          <w:rFonts w:ascii="宋体" w:hAnsi="宋体" w:eastAsia="宋体" w:cs="Arial"/>
          <w:spacing w:val="1"/>
          <w:sz w:val="24"/>
          <w:szCs w:val="24"/>
          <w:lang w:eastAsia="zh-CN"/>
        </w:rPr>
        <w:t>/</w:t>
      </w:r>
      <w:r>
        <w:rPr>
          <w:rFonts w:ascii="宋体" w:hAnsi="宋体" w:eastAsia="宋体"/>
          <w:spacing w:val="1"/>
          <w:sz w:val="24"/>
          <w:szCs w:val="24"/>
          <w:lang w:eastAsia="zh-CN"/>
        </w:rPr>
        <w:t>交款单据电子件</w:t>
      </w:r>
    </w:p>
    <w:p w14:paraId="1CB17E8A">
      <w:pPr>
        <w:pStyle w:val="2"/>
        <w:rPr>
          <w:rFonts w:ascii="宋体" w:hAnsi="宋体" w:eastAsia="宋体" w:cs="宋体"/>
          <w:sz w:val="24"/>
          <w:szCs w:val="24"/>
        </w:rPr>
      </w:pPr>
    </w:p>
    <w:p w14:paraId="275D6BE3">
      <w:pPr>
        <w:pStyle w:val="2"/>
        <w:rPr>
          <w:rFonts w:ascii="宋体" w:hAnsi="宋体" w:eastAsia="宋体" w:cs="宋体"/>
          <w:sz w:val="24"/>
          <w:szCs w:val="24"/>
        </w:rPr>
      </w:pPr>
      <w:bookmarkStart w:id="73" w:name="_GoBack"/>
    </w:p>
    <w:p w14:paraId="14FFF3EC">
      <w:pPr>
        <w:pStyle w:val="2"/>
        <w:rPr>
          <w:rFonts w:ascii="宋体" w:hAnsi="宋体" w:eastAsia="宋体" w:cs="宋体"/>
          <w:sz w:val="24"/>
          <w:szCs w:val="24"/>
        </w:rPr>
      </w:pPr>
    </w:p>
    <w:p w14:paraId="4B1953DB">
      <w:pPr>
        <w:pStyle w:val="2"/>
        <w:rPr>
          <w:rFonts w:ascii="宋体" w:hAnsi="宋体" w:eastAsia="宋体" w:cs="宋体"/>
          <w:sz w:val="24"/>
          <w:szCs w:val="24"/>
        </w:rPr>
      </w:pPr>
    </w:p>
    <w:p w14:paraId="630F6612">
      <w:pPr>
        <w:pStyle w:val="2"/>
        <w:rPr>
          <w:rFonts w:ascii="宋体" w:hAnsi="宋体" w:eastAsia="宋体" w:cs="宋体"/>
          <w:sz w:val="24"/>
          <w:szCs w:val="24"/>
        </w:rPr>
      </w:pPr>
    </w:p>
    <w:p w14:paraId="6829780D">
      <w:pPr>
        <w:pStyle w:val="2"/>
        <w:rPr>
          <w:rFonts w:ascii="宋体" w:hAnsi="宋体" w:eastAsia="宋体" w:cs="宋体"/>
          <w:sz w:val="24"/>
          <w:szCs w:val="24"/>
        </w:rPr>
      </w:pPr>
    </w:p>
    <w:p w14:paraId="788A7CB7">
      <w:pPr>
        <w:pStyle w:val="2"/>
        <w:rPr>
          <w:rFonts w:ascii="宋体" w:hAnsi="宋体" w:eastAsia="宋体" w:cs="宋体"/>
          <w:sz w:val="24"/>
          <w:szCs w:val="24"/>
        </w:rPr>
      </w:pPr>
    </w:p>
    <w:p w14:paraId="71FE6908">
      <w:pPr>
        <w:pStyle w:val="2"/>
        <w:rPr>
          <w:rFonts w:ascii="宋体" w:hAnsi="宋体" w:eastAsia="宋体" w:cs="宋体"/>
          <w:sz w:val="24"/>
          <w:szCs w:val="24"/>
        </w:rPr>
      </w:pPr>
    </w:p>
    <w:p w14:paraId="06E6F2E8">
      <w:pPr>
        <w:pStyle w:val="2"/>
        <w:rPr>
          <w:rFonts w:ascii="宋体" w:hAnsi="宋体" w:eastAsia="宋体" w:cs="宋体"/>
          <w:sz w:val="24"/>
          <w:szCs w:val="24"/>
        </w:rPr>
      </w:pPr>
    </w:p>
    <w:p w14:paraId="7565F357">
      <w:pPr>
        <w:pStyle w:val="2"/>
        <w:rPr>
          <w:rFonts w:ascii="宋体" w:hAnsi="宋体" w:eastAsia="宋体" w:cs="宋体"/>
          <w:sz w:val="24"/>
          <w:szCs w:val="24"/>
        </w:rPr>
      </w:pPr>
    </w:p>
    <w:p w14:paraId="470BC77C">
      <w:pPr>
        <w:pStyle w:val="2"/>
        <w:rPr>
          <w:rFonts w:ascii="宋体" w:hAnsi="宋体" w:eastAsia="宋体" w:cs="宋体"/>
          <w:sz w:val="24"/>
          <w:szCs w:val="24"/>
        </w:rPr>
      </w:pPr>
    </w:p>
    <w:p w14:paraId="2D42A0B0">
      <w:pPr>
        <w:pStyle w:val="2"/>
        <w:rPr>
          <w:rFonts w:ascii="宋体" w:hAnsi="宋体" w:eastAsia="宋体" w:cs="宋体"/>
          <w:sz w:val="24"/>
          <w:szCs w:val="24"/>
        </w:rPr>
      </w:pPr>
    </w:p>
    <w:p w14:paraId="5814E635">
      <w:pPr>
        <w:pStyle w:val="2"/>
        <w:rPr>
          <w:rFonts w:ascii="宋体" w:hAnsi="宋体" w:eastAsia="宋体" w:cs="宋体"/>
          <w:sz w:val="24"/>
          <w:szCs w:val="24"/>
        </w:rPr>
      </w:pPr>
    </w:p>
    <w:p w14:paraId="04A68572">
      <w:pPr>
        <w:pStyle w:val="2"/>
        <w:rPr>
          <w:rFonts w:ascii="宋体" w:hAnsi="宋体" w:eastAsia="宋体" w:cs="宋体"/>
          <w:sz w:val="24"/>
          <w:szCs w:val="24"/>
        </w:rPr>
      </w:pPr>
    </w:p>
    <w:p w14:paraId="0D450BE4">
      <w:pPr>
        <w:pStyle w:val="2"/>
        <w:rPr>
          <w:rFonts w:ascii="宋体" w:hAnsi="宋体" w:eastAsia="宋体" w:cs="宋体"/>
          <w:sz w:val="24"/>
          <w:szCs w:val="24"/>
        </w:rPr>
      </w:pPr>
    </w:p>
    <w:p w14:paraId="5667D73C">
      <w:pPr>
        <w:pStyle w:val="2"/>
        <w:rPr>
          <w:rFonts w:ascii="宋体" w:hAnsi="宋体" w:eastAsia="宋体" w:cs="宋体"/>
          <w:sz w:val="24"/>
          <w:szCs w:val="24"/>
        </w:rPr>
      </w:pPr>
    </w:p>
    <w:p w14:paraId="0D27E6BA">
      <w:pPr>
        <w:pStyle w:val="2"/>
        <w:rPr>
          <w:rFonts w:ascii="宋体" w:hAnsi="宋体" w:eastAsia="宋体" w:cs="宋体"/>
          <w:sz w:val="24"/>
          <w:szCs w:val="24"/>
        </w:rPr>
      </w:pPr>
    </w:p>
    <w:p w14:paraId="5712EFD5">
      <w:pPr>
        <w:pStyle w:val="2"/>
        <w:rPr>
          <w:rFonts w:ascii="宋体" w:hAnsi="宋体" w:eastAsia="宋体" w:cs="宋体"/>
          <w:sz w:val="24"/>
          <w:szCs w:val="24"/>
        </w:rPr>
      </w:pPr>
    </w:p>
    <w:p w14:paraId="0C22CDCB">
      <w:pPr>
        <w:pStyle w:val="2"/>
        <w:rPr>
          <w:rFonts w:ascii="宋体" w:hAnsi="宋体" w:eastAsia="宋体" w:cs="宋体"/>
          <w:sz w:val="24"/>
          <w:szCs w:val="24"/>
        </w:rPr>
      </w:pPr>
    </w:p>
    <w:p w14:paraId="5A4DC6D5">
      <w:pPr>
        <w:pStyle w:val="2"/>
        <w:rPr>
          <w:rFonts w:ascii="宋体" w:hAnsi="宋体" w:eastAsia="宋体" w:cs="宋体"/>
          <w:sz w:val="24"/>
          <w:szCs w:val="24"/>
        </w:rPr>
      </w:pPr>
    </w:p>
    <w:p w14:paraId="3FF76447">
      <w:pPr>
        <w:pStyle w:val="2"/>
        <w:rPr>
          <w:rFonts w:ascii="宋体" w:hAnsi="宋体" w:eastAsia="宋体" w:cs="宋体"/>
          <w:sz w:val="24"/>
          <w:szCs w:val="24"/>
        </w:rPr>
      </w:pPr>
    </w:p>
    <w:p w14:paraId="4950F7C2">
      <w:pPr>
        <w:pStyle w:val="2"/>
        <w:rPr>
          <w:rFonts w:ascii="宋体" w:hAnsi="宋体" w:eastAsia="宋体" w:cs="宋体"/>
          <w:sz w:val="24"/>
          <w:szCs w:val="24"/>
        </w:rPr>
      </w:pPr>
    </w:p>
    <w:p w14:paraId="0BBC73FB">
      <w:pPr>
        <w:pStyle w:val="2"/>
        <w:rPr>
          <w:rFonts w:ascii="宋体" w:hAnsi="宋体" w:eastAsia="宋体" w:cs="宋体"/>
          <w:sz w:val="24"/>
          <w:szCs w:val="24"/>
        </w:rPr>
      </w:pPr>
    </w:p>
    <w:p w14:paraId="14CBB8B1">
      <w:pPr>
        <w:pStyle w:val="2"/>
        <w:rPr>
          <w:rFonts w:ascii="宋体" w:hAnsi="宋体" w:eastAsia="宋体" w:cs="宋体"/>
          <w:sz w:val="24"/>
          <w:szCs w:val="24"/>
        </w:rPr>
      </w:pPr>
    </w:p>
    <w:bookmarkEnd w:id="73"/>
    <w:p w14:paraId="44C18BC7">
      <w:pPr>
        <w:pStyle w:val="2"/>
        <w:rPr>
          <w:rFonts w:ascii="宋体" w:hAnsi="宋体" w:eastAsia="宋体" w:cs="宋体"/>
          <w:sz w:val="24"/>
          <w:szCs w:val="24"/>
        </w:rPr>
      </w:pPr>
    </w:p>
    <w:p w14:paraId="22BD28CA">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5F0C2B32">
      <w:pPr>
        <w:pageBreakBefore w:val="0"/>
        <w:widowControl w:val="0"/>
        <w:kinsoku/>
        <w:overflowPunct/>
        <w:topLinePunct w:val="0"/>
        <w:autoSpaceDE/>
        <w:autoSpaceDN/>
        <w:bidi w:val="0"/>
        <w:adjustRightInd/>
        <w:snapToGrid w:val="0"/>
        <w:spacing w:after="0" w:line="360" w:lineRule="auto"/>
        <w:textAlignment w:val="auto"/>
        <w:outlineLvl w:val="1"/>
        <w:rPr>
          <w:rFonts w:hint="eastAsia" w:ascii="宋体" w:hAnsi="宋体" w:eastAsia="宋体" w:cs="Times New Roman"/>
          <w:b/>
          <w:bCs/>
          <w:snapToGrid/>
          <w:color w:val="auto"/>
          <w:kern w:val="2"/>
          <w:sz w:val="28"/>
          <w:szCs w:val="36"/>
        </w:rPr>
      </w:pPr>
      <w:r>
        <w:rPr>
          <w:rFonts w:hint="eastAsia" w:ascii="宋体" w:hAnsi="宋体" w:eastAsia="宋体" w:cs="Times New Roman"/>
          <w:b/>
          <w:bCs/>
          <w:snapToGrid/>
          <w:color w:val="auto"/>
          <w:kern w:val="2"/>
          <w:sz w:val="28"/>
          <w:szCs w:val="36"/>
        </w:rPr>
        <w:t>二、商务技术文件格式</w:t>
      </w:r>
      <w:bookmarkEnd w:id="66"/>
    </w:p>
    <w:p w14:paraId="260261E0">
      <w:pPr>
        <w:pageBreakBefore w:val="0"/>
        <w:overflowPunct/>
        <w:topLinePunct w:val="0"/>
        <w:bidi w:val="0"/>
        <w:snapToGrid w:val="0"/>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14:paraId="4497F731">
      <w:pPr>
        <w:pageBreakBefore w:val="0"/>
        <w:overflowPunct/>
        <w:topLinePunct w:val="0"/>
        <w:bidi w:val="0"/>
        <w:snapToGrid w:val="0"/>
        <w:spacing w:before="78" w:after="0" w:line="220" w:lineRule="auto"/>
        <w:rPr>
          <w:rFonts w:hint="eastAsia" w:ascii="宋体" w:hAnsi="宋体" w:eastAsia="宋体" w:cs="宋体"/>
          <w:color w:val="auto"/>
          <w:sz w:val="24"/>
          <w:szCs w:val="24"/>
        </w:rPr>
      </w:pPr>
    </w:p>
    <w:p w14:paraId="38CE757A">
      <w:pPr>
        <w:pageBreakBefore w:val="0"/>
        <w:overflowPunct/>
        <w:topLinePunct w:val="0"/>
        <w:bidi w:val="0"/>
        <w:snapToGrid w:val="0"/>
        <w:spacing w:before="78" w:after="0" w:line="220" w:lineRule="auto"/>
        <w:rPr>
          <w:rFonts w:hint="eastAsia" w:ascii="宋体" w:hAnsi="宋体" w:eastAsia="宋体" w:cs="宋体"/>
          <w:color w:val="auto"/>
          <w:sz w:val="24"/>
          <w:szCs w:val="24"/>
        </w:rPr>
      </w:pPr>
    </w:p>
    <w:p w14:paraId="3B6BB333">
      <w:pPr>
        <w:pStyle w:val="6"/>
        <w:pageBreakBefore w:val="0"/>
        <w:overflowPunct/>
        <w:topLinePunct w:val="0"/>
        <w:bidi w:val="0"/>
        <w:snapToGrid w:val="0"/>
        <w:spacing w:after="0"/>
      </w:pPr>
    </w:p>
    <w:p w14:paraId="69EAFDF6">
      <w:pPr>
        <w:pStyle w:val="6"/>
        <w:pageBreakBefore w:val="0"/>
        <w:overflowPunct/>
        <w:topLinePunct w:val="0"/>
        <w:bidi w:val="0"/>
        <w:snapToGrid w:val="0"/>
        <w:spacing w:after="0"/>
      </w:pPr>
    </w:p>
    <w:p w14:paraId="2E514A69">
      <w:pPr>
        <w:pStyle w:val="6"/>
        <w:pageBreakBefore w:val="0"/>
        <w:overflowPunct/>
        <w:topLinePunct w:val="0"/>
        <w:bidi w:val="0"/>
        <w:snapToGrid w:val="0"/>
        <w:spacing w:after="0"/>
      </w:pPr>
    </w:p>
    <w:p w14:paraId="4A5F19DE">
      <w:pPr>
        <w:pageBreakBefore w:val="0"/>
        <w:overflowPunct/>
        <w:topLinePunct w:val="0"/>
        <w:bidi w:val="0"/>
        <w:snapToGrid w:val="0"/>
        <w:spacing w:before="78" w:after="0" w:line="220" w:lineRule="auto"/>
        <w:rPr>
          <w:rFonts w:hint="eastAsia" w:ascii="宋体" w:hAnsi="宋体" w:eastAsia="宋体" w:cs="宋体"/>
          <w:color w:val="auto"/>
          <w:sz w:val="24"/>
          <w:szCs w:val="24"/>
        </w:rPr>
      </w:pPr>
    </w:p>
    <w:p w14:paraId="7D790594">
      <w:pPr>
        <w:pageBreakBefore w:val="0"/>
        <w:overflowPunct/>
        <w:topLinePunct w:val="0"/>
        <w:bidi w:val="0"/>
        <w:snapToGrid w:val="0"/>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5C757E2B">
      <w:pPr>
        <w:pageBreakBefore w:val="0"/>
        <w:overflowPunct/>
        <w:topLinePunct w:val="0"/>
        <w:bidi w:val="0"/>
        <w:snapToGrid w:val="0"/>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14:paraId="0FFDEC8A">
      <w:pPr>
        <w:pageBreakBefore w:val="0"/>
        <w:overflowPunct/>
        <w:topLinePunct w:val="0"/>
        <w:bidi w:val="0"/>
        <w:snapToGrid w:val="0"/>
        <w:spacing w:after="0" w:line="332" w:lineRule="auto"/>
        <w:rPr>
          <w:rFonts w:hint="eastAsia" w:ascii="宋体" w:hAnsi="宋体" w:eastAsia="宋体" w:cs="宋体"/>
          <w:color w:val="auto"/>
        </w:rPr>
      </w:pPr>
    </w:p>
    <w:p w14:paraId="401E1A9A">
      <w:pPr>
        <w:pageBreakBefore w:val="0"/>
        <w:overflowPunct/>
        <w:topLinePunct w:val="0"/>
        <w:bidi w:val="0"/>
        <w:snapToGrid w:val="0"/>
        <w:spacing w:after="0" w:line="360" w:lineRule="auto"/>
        <w:rPr>
          <w:rFonts w:hint="eastAsia" w:ascii="宋体" w:hAnsi="宋体" w:eastAsia="宋体"/>
          <w:color w:val="auto"/>
          <w:sz w:val="32"/>
          <w:szCs w:val="32"/>
        </w:rPr>
      </w:pPr>
    </w:p>
    <w:p w14:paraId="23E7585B">
      <w:pPr>
        <w:pStyle w:val="6"/>
        <w:pageBreakBefore w:val="0"/>
        <w:overflowPunct/>
        <w:topLinePunct w:val="0"/>
        <w:bidi w:val="0"/>
        <w:snapToGrid w:val="0"/>
        <w:spacing w:after="0"/>
      </w:pPr>
    </w:p>
    <w:p w14:paraId="58E736CF">
      <w:pPr>
        <w:pStyle w:val="6"/>
        <w:pageBreakBefore w:val="0"/>
        <w:overflowPunct/>
        <w:topLinePunct w:val="0"/>
        <w:bidi w:val="0"/>
        <w:snapToGrid w:val="0"/>
        <w:spacing w:after="0"/>
      </w:pPr>
    </w:p>
    <w:p w14:paraId="5FE98430">
      <w:pPr>
        <w:pStyle w:val="6"/>
        <w:pageBreakBefore w:val="0"/>
        <w:overflowPunct/>
        <w:topLinePunct w:val="0"/>
        <w:bidi w:val="0"/>
        <w:snapToGrid w:val="0"/>
        <w:spacing w:after="0"/>
      </w:pPr>
    </w:p>
    <w:p w14:paraId="34D1B31C">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7C8818C1">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075C2E54">
      <w:pPr>
        <w:pageBreakBefore w:val="0"/>
        <w:overflowPunct/>
        <w:topLinePunct w:val="0"/>
        <w:bidi w:val="0"/>
        <w:snapToGrid w:val="0"/>
        <w:spacing w:after="0"/>
        <w:rPr>
          <w:rFonts w:hint="eastAsia" w:ascii="宋体" w:hAnsi="宋体" w:eastAsia="宋体"/>
          <w:color w:val="auto"/>
          <w:sz w:val="32"/>
          <w:szCs w:val="32"/>
        </w:rPr>
      </w:pPr>
      <w:r>
        <w:rPr>
          <w:rFonts w:hint="eastAsia" w:ascii="宋体" w:hAnsi="宋体" w:eastAsia="宋体"/>
          <w:color w:val="auto"/>
          <w:sz w:val="32"/>
          <w:szCs w:val="32"/>
        </w:rPr>
        <w:t>投标人名称：</w:t>
      </w:r>
    </w:p>
    <w:p w14:paraId="3C7B4504">
      <w:pPr>
        <w:pStyle w:val="6"/>
        <w:pageBreakBefore w:val="0"/>
        <w:overflowPunct/>
        <w:topLinePunct w:val="0"/>
        <w:bidi w:val="0"/>
        <w:snapToGrid w:val="0"/>
        <w:spacing w:after="0"/>
      </w:pPr>
      <w:r>
        <w:br w:type="page"/>
      </w:r>
    </w:p>
    <w:p w14:paraId="504A03D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7" w:name="_Toc148096380"/>
      <w:r>
        <w:rPr>
          <w:rFonts w:hint="eastAsia" w:ascii="宋体" w:hAnsi="宋体" w:eastAsia="宋体" w:cs="宋体"/>
          <w:color w:val="auto"/>
          <w:spacing w:val="-1"/>
          <w:sz w:val="24"/>
          <w:szCs w:val="24"/>
        </w:rPr>
        <w:t>1 投标书(实质性格式)</w:t>
      </w:r>
      <w:bookmarkEnd w:id="67"/>
    </w:p>
    <w:p w14:paraId="5706236F">
      <w:pPr>
        <w:pageBreakBefore w:val="0"/>
        <w:overflowPunct/>
        <w:topLinePunct w:val="0"/>
        <w:bidi w:val="0"/>
        <w:snapToGrid w:val="0"/>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14:paraId="62115BE0">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（采购人或采购代理机构）：</w:t>
      </w:r>
    </w:p>
    <w:p w14:paraId="0E9F618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组织的招标活动，并对此项目进行投标。</w:t>
      </w:r>
    </w:p>
    <w:p w14:paraId="1AA43E4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14:paraId="3997436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14:paraId="58D10774">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14:paraId="7BB848F2">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14:paraId="0F8F6539">
      <w:pPr>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(4)如我方中标，我方将在法律规定的期限内与你方签订合同，按照招标文件</w:t>
      </w:r>
      <w:r>
        <w:rPr>
          <w:rFonts w:hint="eastAsia" w:ascii="宋体" w:hAnsi="宋体" w:eastAsia="宋体" w:cs="宋体"/>
          <w:color w:val="auto"/>
          <w:sz w:val="24"/>
          <w:szCs w:val="24"/>
        </w:rPr>
        <w:t>要求提交履约保证金，并在合同约定的期限内完成合同规定的全部义务。</w:t>
      </w:r>
    </w:p>
    <w:p w14:paraId="0E1A42B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szCs w:val="24"/>
        </w:rPr>
        <w:t>2.其他补充条款</w:t>
      </w:r>
      <w:r>
        <w:rPr>
          <w:rFonts w:hint="eastAsia" w:ascii="宋体" w:hAnsi="宋体" w:eastAsia="宋体"/>
          <w:color w:val="auto"/>
          <w:sz w:val="24"/>
          <w:szCs w:val="24"/>
        </w:rPr>
        <w:t>(如有)：___________。</w:t>
      </w:r>
    </w:p>
    <w:p w14:paraId="50185E1C">
      <w:pPr>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3. 是否外商投资</w:t>
      </w:r>
      <w:r>
        <w:rPr>
          <w:rFonts w:hint="eastAsia" w:ascii="宋体" w:hAnsi="宋体" w:eastAsia="宋体"/>
          <w:b/>
          <w:bCs/>
          <w:color w:val="auto"/>
          <w:sz w:val="24"/>
          <w:szCs w:val="24"/>
        </w:rPr>
        <w:t>（请进行选择）</w:t>
      </w:r>
      <w:r>
        <w:rPr>
          <w:rFonts w:hint="eastAsia" w:ascii="宋体" w:hAnsi="宋体" w:eastAsia="宋体"/>
          <w:color w:val="auto"/>
          <w:sz w:val="24"/>
          <w:szCs w:val="24"/>
        </w:rPr>
        <w:t xml:space="preserve">： </w:t>
      </w:r>
      <w:r>
        <w:rPr>
          <w:rFonts w:hint="eastAsia" w:ascii="宋体" w:hAnsi="宋体" w:eastAsia="宋体" w:cs="宋体"/>
          <w:spacing w:val="-10"/>
          <w:sz w:val="24"/>
          <w:szCs w:val="24"/>
          <w:u w:val="single"/>
        </w:rPr>
        <w:t>□是</w:t>
      </w:r>
      <w:r>
        <w:rPr>
          <w:rFonts w:hint="eastAsia" w:ascii="宋体" w:hAnsi="宋体" w:eastAsia="宋体" w:cs="宋体"/>
          <w:spacing w:val="17"/>
          <w:sz w:val="24"/>
          <w:szCs w:val="24"/>
          <w:u w:val="single"/>
        </w:rPr>
        <w:t xml:space="preserve">  </w:t>
      </w:r>
      <w:r>
        <w:rPr>
          <w:rFonts w:hint="eastAsia" w:ascii="宋体" w:hAnsi="宋体" w:eastAsia="宋体" w:cs="宋体"/>
          <w:spacing w:val="-10"/>
          <w:sz w:val="24"/>
          <w:szCs w:val="24"/>
          <w:u w:val="single"/>
        </w:rPr>
        <w:t>□否</w:t>
      </w:r>
      <w:r>
        <w:rPr>
          <w:rFonts w:hint="eastAsia" w:ascii="宋体" w:hAnsi="宋体" w:eastAsia="宋体" w:cs="宋体"/>
          <w:spacing w:val="-10"/>
          <w:sz w:val="24"/>
          <w:szCs w:val="24"/>
        </w:rPr>
        <w:t>。</w:t>
      </w:r>
    </w:p>
    <w:p w14:paraId="1DFC4214">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与本投标有关的一切正式往来信函请寄：</w:t>
      </w:r>
    </w:p>
    <w:p w14:paraId="008A384B">
      <w:pPr>
        <w:pageBreakBefore w:val="0"/>
        <w:overflowPunct/>
        <w:topLinePunct w:val="0"/>
        <w:bidi w:val="0"/>
        <w:snapToGrid w:val="0"/>
        <w:spacing w:after="0" w:line="360" w:lineRule="auto"/>
        <w:ind w:firstLine="400" w:firstLineChars="200"/>
        <w:rPr>
          <w:rFonts w:hint="eastAsia"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14:paraId="1E0B93E2">
      <w:pPr>
        <w:pageBreakBefore w:val="0"/>
        <w:overflowPunct/>
        <w:topLinePunct w:val="0"/>
        <w:bidi w:val="0"/>
        <w:snapToGrid w:val="0"/>
        <w:spacing w:after="0" w:line="360" w:lineRule="auto"/>
        <w:ind w:firstLine="400" w:firstLineChars="200"/>
        <w:rPr>
          <w:rFonts w:hint="eastAsia" w:ascii="宋体" w:hAnsi="宋体" w:eastAsia="宋体" w:cs="宋体"/>
          <w:color w:val="auto"/>
          <w:spacing w:val="-10"/>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14:paraId="4928F881">
      <w:pPr>
        <w:pStyle w:val="6"/>
        <w:pageBreakBefore w:val="0"/>
        <w:overflowPunct/>
        <w:topLinePunct w:val="0"/>
        <w:bidi w:val="0"/>
        <w:snapToGrid w:val="0"/>
        <w:spacing w:after="0"/>
      </w:pPr>
    </w:p>
    <w:p w14:paraId="1625F53F">
      <w:pPr>
        <w:pageBreakBefore w:val="0"/>
        <w:overflowPunct/>
        <w:topLinePunct w:val="0"/>
        <w:bidi w:val="0"/>
        <w:snapToGrid w:val="0"/>
        <w:spacing w:before="78" w:after="0" w:line="360" w:lineRule="auto"/>
        <w:ind w:right="1920"/>
        <w:jc w:val="right"/>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4A4588CA">
      <w:pPr>
        <w:pageBreakBefore w:val="0"/>
        <w:overflowPunct/>
        <w:topLinePunct w:val="0"/>
        <w:bidi w:val="0"/>
        <w:snapToGrid w:val="0"/>
        <w:spacing w:before="78" w:after="0" w:line="360" w:lineRule="auto"/>
        <w:ind w:right="960"/>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4237A087">
      <w:pPr>
        <w:pageBreakBefore w:val="0"/>
        <w:overflowPunct/>
        <w:topLinePunct w:val="0"/>
        <w:bidi w:val="0"/>
        <w:snapToGrid w:val="0"/>
        <w:spacing w:after="0"/>
        <w:rPr>
          <w:color w:val="auto"/>
        </w:rPr>
      </w:pPr>
    </w:p>
    <w:p w14:paraId="18F8DA65">
      <w:pPr>
        <w:pStyle w:val="6"/>
        <w:pageBreakBefore w:val="0"/>
        <w:overflowPunct/>
        <w:topLinePunct w:val="0"/>
        <w:bidi w:val="0"/>
        <w:snapToGrid w:val="0"/>
        <w:spacing w:after="0"/>
      </w:pPr>
      <w:r>
        <w:br w:type="page"/>
      </w:r>
    </w:p>
    <w:p w14:paraId="65561583">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8" w:name="_Toc148096381"/>
      <w:r>
        <w:rPr>
          <w:rFonts w:hint="eastAsia" w:ascii="宋体" w:hAnsi="宋体" w:eastAsia="宋体" w:cs="宋体"/>
          <w:color w:val="auto"/>
          <w:spacing w:val="-1"/>
          <w:sz w:val="24"/>
          <w:szCs w:val="24"/>
        </w:rPr>
        <w:t xml:space="preserve">2 </w:t>
      </w:r>
      <w:r>
        <w:rPr>
          <w:rFonts w:hint="eastAsia" w:ascii="宋体" w:hAnsi="宋体" w:eastAsia="宋体"/>
          <w:color w:val="auto"/>
          <w:sz w:val="24"/>
          <w:szCs w:val="24"/>
        </w:rPr>
        <w:t>授权委托书</w:t>
      </w:r>
      <w:r>
        <w:rPr>
          <w:rFonts w:hint="eastAsia" w:ascii="宋体" w:hAnsi="宋体" w:eastAsia="宋体" w:cs="宋体"/>
          <w:color w:val="auto"/>
          <w:spacing w:val="-1"/>
          <w:sz w:val="24"/>
          <w:szCs w:val="24"/>
        </w:rPr>
        <w:t>(实质性格式)</w:t>
      </w:r>
      <w:bookmarkEnd w:id="68"/>
    </w:p>
    <w:p w14:paraId="6F1F04E5">
      <w:pPr>
        <w:pageBreakBefore w:val="0"/>
        <w:overflowPunct/>
        <w:topLinePunct w:val="0"/>
        <w:bidi w:val="0"/>
        <w:snapToGrid w:val="0"/>
        <w:spacing w:before="164" w:after="0" w:line="219" w:lineRule="auto"/>
        <w:jc w:val="cente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t>授权委托书</w:t>
      </w:r>
    </w:p>
    <w:p w14:paraId="4280F27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的法定代表人(单位负责人)，现委托_______ (姓名) 为我方代理人。代理人根据授权，以我方名义签署、澄清 确认、提交、撤回、修改________________ (项目名称) 投标文件和处理有关事宜，其法律后果由我方承担。</w:t>
      </w:r>
    </w:p>
    <w:p w14:paraId="0EF1B6F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14:paraId="6136A5D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投标人名称(加盖公章)：________________</w:t>
      </w:r>
    </w:p>
    <w:p w14:paraId="4AEE28D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14:paraId="1A67C984">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委托代理人(签字或签章)：________________</w:t>
      </w:r>
    </w:p>
    <w:p w14:paraId="4B73931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3AFDB4E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附：法定代表人（单位负责人）有效期内的身份证明文件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22CE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54BCB8B8">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c>
          <w:tcPr>
            <w:tcW w:w="4270" w:type="dxa"/>
          </w:tcPr>
          <w:p w14:paraId="5C06FBC4">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r>
    </w:tbl>
    <w:p w14:paraId="3D94A917">
      <w:pPr>
        <w:pageBreakBefore w:val="0"/>
        <w:overflowPunct/>
        <w:topLinePunct w:val="0"/>
        <w:bidi w:val="0"/>
        <w:snapToGrid w:val="0"/>
        <w:spacing w:after="0"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委托代理人有效期内的身份证明文件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48684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46EFF4DE">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c>
          <w:tcPr>
            <w:tcW w:w="4270" w:type="dxa"/>
          </w:tcPr>
          <w:p w14:paraId="7869A116">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r>
    </w:tbl>
    <w:p w14:paraId="06F17267">
      <w:pPr>
        <w:pageBreakBefore w:val="0"/>
        <w:overflowPunct/>
        <w:topLinePunct w:val="0"/>
        <w:bidi w:val="0"/>
        <w:snapToGrid w:val="0"/>
        <w:spacing w:after="0" w:line="360" w:lineRule="auto"/>
        <w:ind w:firstLine="480"/>
        <w:rPr>
          <w:rFonts w:hint="eastAsia" w:ascii="宋体" w:hAnsi="宋体" w:eastAsia="宋体"/>
          <w:color w:val="auto"/>
          <w:sz w:val="24"/>
          <w:szCs w:val="24"/>
        </w:rPr>
      </w:pPr>
    </w:p>
    <w:p w14:paraId="58EBC622">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说明：</w:t>
      </w:r>
    </w:p>
    <w:p w14:paraId="09C00412">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14:paraId="264506A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本人签署，则可不提供本《授权委托书》，但须提供《法定代表人(单位负责人)身份证明》（实质性格式）；</w:t>
      </w:r>
      <w:r>
        <w:rPr>
          <w:rFonts w:hint="eastAsia" w:ascii="宋体" w:hAnsi="宋体" w:eastAsia="宋体"/>
          <w:b/>
          <w:bCs/>
          <w:color w:val="auto"/>
          <w:sz w:val="24"/>
          <w:szCs w:val="24"/>
        </w:rPr>
        <w:t>否则，不需要提供 《法定代表人(单位负责人)身份证明》。</w:t>
      </w:r>
    </w:p>
    <w:p w14:paraId="15DE788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14:paraId="38531D6D">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14:paraId="36BD1A11">
      <w:pPr>
        <w:pageBreakBefore w:val="0"/>
        <w:overflowPunct/>
        <w:topLinePunct w:val="0"/>
        <w:bidi w:val="0"/>
        <w:snapToGrid w:val="0"/>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color w:val="auto"/>
        </w:rPr>
        <w:br w:type="page"/>
      </w:r>
      <w: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14:paraId="390CB17C">
      <w:pPr>
        <w:pStyle w:val="6"/>
        <w:pageBreakBefore w:val="0"/>
        <w:overflowPunct/>
        <w:topLinePunct w:val="0"/>
        <w:bidi w:val="0"/>
        <w:snapToGrid w:val="0"/>
        <w:spacing w:after="0"/>
      </w:pPr>
    </w:p>
    <w:p w14:paraId="1007E7F4">
      <w:pPr>
        <w:pageBreakBefore w:val="0"/>
        <w:overflowPunct/>
        <w:topLinePunct w:val="0"/>
        <w:bidi w:val="0"/>
        <w:snapToGrid w:val="0"/>
        <w:spacing w:before="190" w:after="0" w:line="219" w:lineRule="auto"/>
        <w:ind w:left="122"/>
        <w:rPr>
          <w:rFonts w:hint="eastAsia" w:ascii="宋体" w:hAnsi="宋体" w:eastAsia="宋体" w:cs="宋体"/>
          <w:color w:val="auto"/>
          <w:sz w:val="24"/>
          <w:szCs w:val="24"/>
        </w:rPr>
      </w:pPr>
      <w:r>
        <w:rPr>
          <w:rFonts w:ascii="宋体" w:hAnsi="宋体" w:eastAsia="宋体" w:cs="宋体"/>
          <w:color w:val="auto"/>
          <w:spacing w:val="-18"/>
          <w:sz w:val="24"/>
          <w:szCs w:val="24"/>
        </w:rPr>
        <w:t>致</w:t>
      </w:r>
      <w:r>
        <w:rPr>
          <w:rFonts w:ascii="宋体" w:hAnsi="宋体" w:eastAsia="宋体" w:cs="宋体"/>
          <w:color w:val="auto"/>
          <w:spacing w:val="-9"/>
          <w:sz w:val="24"/>
          <w:szCs w:val="24"/>
          <w:u w:val="single"/>
        </w:rPr>
        <w:t xml:space="preserve"> </w:t>
      </w:r>
      <w:r>
        <w:rPr>
          <w:rFonts w:hint="eastAsia" w:ascii="宋体" w:hAnsi="宋体" w:eastAsia="宋体" w:cs="宋体"/>
          <w:color w:val="auto"/>
          <w:spacing w:val="-9"/>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（采购人或采购代理机构）</w:t>
      </w:r>
      <w:r>
        <w:rPr>
          <w:rFonts w:ascii="宋体" w:hAnsi="宋体" w:eastAsia="宋体" w:cs="宋体"/>
          <w:color w:val="auto"/>
          <w:spacing w:val="-11"/>
          <w:sz w:val="24"/>
          <w:szCs w:val="24"/>
        </w:rPr>
        <w:t>：</w:t>
      </w:r>
    </w:p>
    <w:p w14:paraId="4D0829F9">
      <w:pPr>
        <w:pageBreakBefore w:val="0"/>
        <w:overflowPunct/>
        <w:topLinePunct w:val="0"/>
        <w:bidi w:val="0"/>
        <w:snapToGrid w:val="0"/>
        <w:spacing w:before="78" w:after="0" w:line="220" w:lineRule="auto"/>
        <w:ind w:left="606"/>
        <w:rPr>
          <w:rFonts w:hint="eastAsia" w:ascii="宋体" w:hAnsi="宋体" w:eastAsia="宋体" w:cs="宋体"/>
          <w:color w:val="auto"/>
          <w:sz w:val="24"/>
          <w:szCs w:val="24"/>
        </w:rPr>
      </w:pPr>
      <w:r>
        <w:rPr>
          <w:rFonts w:ascii="宋体" w:hAnsi="宋体" w:eastAsia="宋体" w:cs="宋体"/>
          <w:color w:val="auto"/>
          <w:spacing w:val="7"/>
          <w:sz w:val="24"/>
          <w:szCs w:val="24"/>
        </w:rPr>
        <w:t>兹证明</w:t>
      </w:r>
      <w:r>
        <w:rPr>
          <w:rFonts w:ascii="宋体" w:hAnsi="宋体" w:eastAsia="宋体" w:cs="宋体"/>
          <w:color w:val="auto"/>
          <w:spacing w:val="-12"/>
          <w:sz w:val="24"/>
          <w:szCs w:val="24"/>
        </w:rPr>
        <w:t>，</w:t>
      </w:r>
    </w:p>
    <w:p w14:paraId="6724B9C6">
      <w:pPr>
        <w:pageBreakBefore w:val="0"/>
        <w:overflowPunct/>
        <w:topLinePunct w:val="0"/>
        <w:bidi w:val="0"/>
        <w:snapToGrid w:val="0"/>
        <w:spacing w:before="170" w:after="0" w:line="217" w:lineRule="auto"/>
        <w:ind w:left="122"/>
        <w:rPr>
          <w:color w:val="auto"/>
          <w:sz w:val="24"/>
          <w:szCs w:val="24"/>
        </w:rPr>
      </w:pPr>
      <w:r>
        <w:rPr>
          <w:rFonts w:ascii="宋体" w:hAnsi="宋体" w:eastAsia="宋体" w:cs="宋体"/>
          <w:color w:val="auto"/>
          <w:spacing w:val="7"/>
          <w:sz w:val="24"/>
          <w:szCs w:val="24"/>
        </w:rPr>
        <w:t>姓名</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性别</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年龄</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职务</w:t>
      </w:r>
      <w:r>
        <w:rPr>
          <w:rFonts w:ascii="宋体" w:hAnsi="宋体" w:eastAsia="宋体" w:cs="宋体"/>
          <w:color w:val="auto"/>
          <w:spacing w:val="-21"/>
          <w:sz w:val="24"/>
          <w:szCs w:val="24"/>
        </w:rPr>
        <w:t xml:space="preserve">： </w:t>
      </w:r>
      <w:r>
        <w:rPr>
          <w:rFonts w:eastAsia="Arial"/>
          <w:color w:val="auto"/>
          <w:spacing w:val="-21"/>
          <w:sz w:val="24"/>
          <w:szCs w:val="24"/>
        </w:rPr>
        <w:t>____</w:t>
      </w:r>
    </w:p>
    <w:p w14:paraId="68E88B0D">
      <w:pPr>
        <w:pageBreakBefore w:val="0"/>
        <w:overflowPunct/>
        <w:topLinePunct w:val="0"/>
        <w:bidi w:val="0"/>
        <w:snapToGrid w:val="0"/>
        <w:spacing w:after="0" w:line="273" w:lineRule="auto"/>
        <w:rPr>
          <w:color w:val="auto"/>
        </w:rPr>
      </w:pPr>
    </w:p>
    <w:p w14:paraId="78FD5891">
      <w:pPr>
        <w:pageBreakBefore w:val="0"/>
        <w:overflowPunct/>
        <w:topLinePunct w:val="0"/>
        <w:bidi w:val="0"/>
        <w:snapToGrid w:val="0"/>
        <w:spacing w:after="0" w:line="273" w:lineRule="auto"/>
        <w:rPr>
          <w:color w:val="auto"/>
        </w:rPr>
      </w:pPr>
    </w:p>
    <w:p w14:paraId="0D9896B7">
      <w:pPr>
        <w:pageBreakBefore w:val="0"/>
        <w:overflowPunct/>
        <w:topLinePunct w:val="0"/>
        <w:bidi w:val="0"/>
        <w:snapToGrid w:val="0"/>
        <w:spacing w:before="78" w:after="0" w:line="220" w:lineRule="auto"/>
        <w:ind w:left="127"/>
        <w:rPr>
          <w:rFonts w:hint="eastAsia" w:ascii="宋体" w:hAnsi="宋体" w:eastAsia="宋体" w:cs="宋体"/>
          <w:color w:val="auto"/>
          <w:sz w:val="24"/>
          <w:szCs w:val="24"/>
        </w:rPr>
      </w:pPr>
      <w:r>
        <w:rPr>
          <w:rFonts w:ascii="宋体" w:hAnsi="宋体" w:eastAsia="宋体" w:cs="宋体"/>
          <w:color w:val="auto"/>
          <w:spacing w:val="14"/>
          <w:sz w:val="24"/>
          <w:szCs w:val="24"/>
        </w:rPr>
        <w:t>系</w:t>
      </w:r>
      <w:r>
        <w:rPr>
          <w:rFonts w:ascii="宋体" w:hAnsi="宋体" w:eastAsia="宋体" w:cs="宋体"/>
          <w:color w:val="auto"/>
          <w:spacing w:val="14"/>
          <w:sz w:val="24"/>
          <w:szCs w:val="24"/>
          <w:u w:val="single"/>
        </w:rPr>
        <w:t xml:space="preserve">  </w:t>
      </w:r>
      <w:r>
        <w:rPr>
          <w:rFonts w:ascii="宋体" w:hAnsi="宋体" w:eastAsia="宋体" w:cs="宋体"/>
          <w:color w:val="auto"/>
          <w:spacing w:val="12"/>
          <w:sz w:val="24"/>
          <w:szCs w:val="24"/>
          <w:u w:val="single"/>
        </w:rPr>
        <w:t xml:space="preserve"> </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 (投标人名称)的法定代表人(单位负责人)。</w:t>
      </w:r>
    </w:p>
    <w:p w14:paraId="7A1652F9">
      <w:pPr>
        <w:pageBreakBefore w:val="0"/>
        <w:overflowPunct/>
        <w:topLinePunct w:val="0"/>
        <w:bidi w:val="0"/>
        <w:snapToGrid w:val="0"/>
        <w:spacing w:after="0" w:line="258" w:lineRule="auto"/>
        <w:rPr>
          <w:color w:val="auto"/>
        </w:rPr>
      </w:pPr>
    </w:p>
    <w:p w14:paraId="32461E71">
      <w:pPr>
        <w:pageBreakBefore w:val="0"/>
        <w:overflowPunct/>
        <w:topLinePunct w:val="0"/>
        <w:bidi w:val="0"/>
        <w:snapToGrid w:val="0"/>
        <w:spacing w:after="0" w:line="258" w:lineRule="auto"/>
        <w:rPr>
          <w:color w:val="auto"/>
        </w:rPr>
      </w:pPr>
    </w:p>
    <w:p w14:paraId="3721EDC5">
      <w:pPr>
        <w:pageBreakBefore w:val="0"/>
        <w:overflowPunct/>
        <w:topLinePunct w:val="0"/>
        <w:bidi w:val="0"/>
        <w:snapToGrid w:val="0"/>
        <w:spacing w:before="78" w:after="0" w:line="219" w:lineRule="auto"/>
        <w:ind w:left="141"/>
        <w:rPr>
          <w:rFonts w:hint="eastAsia" w:ascii="宋体" w:hAnsi="宋体" w:eastAsia="宋体" w:cs="宋体"/>
          <w:color w:val="auto"/>
          <w:sz w:val="24"/>
          <w:szCs w:val="24"/>
        </w:rPr>
      </w:pPr>
      <w:r>
        <w:rPr>
          <w:rFonts w:ascii="宋体" w:hAnsi="宋体" w:eastAsia="宋体" w:cs="宋体"/>
          <w:color w:val="auto"/>
          <w:spacing w:val="7"/>
          <w:sz w:val="24"/>
          <w:szCs w:val="24"/>
        </w:rPr>
        <w:t>附</w:t>
      </w:r>
      <w:r>
        <w:rPr>
          <w:rFonts w:ascii="宋体" w:hAnsi="宋体" w:eastAsia="宋体" w:cs="宋体"/>
          <w:color w:val="auto"/>
          <w:spacing w:val="5"/>
          <w:sz w:val="24"/>
          <w:szCs w:val="24"/>
        </w:rPr>
        <w:t>：法定代表人(单位负责人)</w:t>
      </w:r>
      <w:r>
        <w:rPr>
          <w:rFonts w:hint="eastAsia" w:ascii="宋体" w:hAnsi="宋体" w:eastAsia="宋体" w:cs="宋体"/>
          <w:color w:val="auto"/>
          <w:spacing w:val="5"/>
          <w:sz w:val="24"/>
          <w:szCs w:val="24"/>
        </w:rPr>
        <w:t>有效期内的</w:t>
      </w:r>
      <w:r>
        <w:rPr>
          <w:rFonts w:ascii="宋体" w:hAnsi="宋体" w:eastAsia="宋体" w:cs="宋体"/>
          <w:color w:val="auto"/>
          <w:spacing w:val="5"/>
          <w:sz w:val="24"/>
          <w:szCs w:val="24"/>
        </w:rPr>
        <w:t>身份证、护照等身份证明文件</w:t>
      </w:r>
      <w:r>
        <w:rPr>
          <w:rFonts w:hint="eastAsia" w:ascii="宋体" w:hAnsi="宋体" w:eastAsia="宋体" w:cs="宋体"/>
          <w:color w:val="auto"/>
          <w:spacing w:val="5"/>
          <w:sz w:val="24"/>
          <w:szCs w:val="24"/>
        </w:rPr>
        <w:t>正反面</w:t>
      </w:r>
      <w:r>
        <w:rPr>
          <w:rFonts w:ascii="宋体" w:hAnsi="宋体" w:eastAsia="宋体" w:cs="宋体"/>
          <w:color w:val="auto"/>
          <w:spacing w:val="5"/>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3ECA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4FF3B25A">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c>
          <w:tcPr>
            <w:tcW w:w="4270" w:type="dxa"/>
          </w:tcPr>
          <w:p w14:paraId="38B90629">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r>
    </w:tbl>
    <w:p w14:paraId="17FEE22D">
      <w:pPr>
        <w:pageBreakBefore w:val="0"/>
        <w:overflowPunct/>
        <w:topLinePunct w:val="0"/>
        <w:bidi w:val="0"/>
        <w:snapToGrid w:val="0"/>
        <w:spacing w:after="0" w:line="431" w:lineRule="auto"/>
        <w:rPr>
          <w:color w:val="auto"/>
        </w:rPr>
      </w:pPr>
    </w:p>
    <w:p w14:paraId="4B90BCF4">
      <w:pPr>
        <w:pageBreakBefore w:val="0"/>
        <w:overflowPunct/>
        <w:topLinePunct w:val="0"/>
        <w:bidi w:val="0"/>
        <w:snapToGrid w:val="0"/>
        <w:spacing w:after="0" w:line="251" w:lineRule="auto"/>
        <w:rPr>
          <w:color w:val="auto"/>
        </w:rPr>
      </w:pPr>
    </w:p>
    <w:p w14:paraId="1D74B308">
      <w:pPr>
        <w:pageBreakBefore w:val="0"/>
        <w:overflowPunct/>
        <w:topLinePunct w:val="0"/>
        <w:bidi w:val="0"/>
        <w:snapToGrid w:val="0"/>
        <w:spacing w:before="78" w:after="0" w:line="360" w:lineRule="auto"/>
        <w:ind w:left="125"/>
        <w:rPr>
          <w:color w:val="auto"/>
          <w:sz w:val="24"/>
          <w:szCs w:val="24"/>
        </w:rPr>
      </w:pPr>
      <w:r>
        <w:rPr>
          <w:rFonts w:ascii="宋体" w:hAnsi="宋体" w:eastAsia="宋体" w:cs="宋体"/>
          <w:color w:val="auto"/>
          <w:spacing w:val="-6"/>
          <w:sz w:val="24"/>
          <w:szCs w:val="24"/>
        </w:rPr>
        <w:t>投标人</w:t>
      </w:r>
      <w:r>
        <w:rPr>
          <w:rFonts w:ascii="宋体" w:hAnsi="宋体" w:eastAsia="宋体" w:cs="宋体"/>
          <w:color w:val="auto"/>
          <w:spacing w:val="-5"/>
          <w:sz w:val="24"/>
          <w:szCs w:val="24"/>
        </w:rPr>
        <w:t>名</w:t>
      </w:r>
      <w:r>
        <w:rPr>
          <w:rFonts w:ascii="宋体" w:hAnsi="宋体" w:eastAsia="宋体" w:cs="宋体"/>
          <w:color w:val="auto"/>
          <w:spacing w:val="-3"/>
          <w:sz w:val="24"/>
          <w:szCs w:val="24"/>
        </w:rPr>
        <w:t>称(加盖公章)：</w:t>
      </w:r>
      <w:r>
        <w:rPr>
          <w:rFonts w:eastAsia="Arial"/>
          <w:color w:val="auto"/>
          <w:spacing w:val="-3"/>
          <w:sz w:val="24"/>
          <w:szCs w:val="24"/>
        </w:rPr>
        <w:t>________________</w:t>
      </w:r>
    </w:p>
    <w:p w14:paraId="412122D0">
      <w:pPr>
        <w:pageBreakBefore w:val="0"/>
        <w:overflowPunct/>
        <w:topLinePunct w:val="0"/>
        <w:bidi w:val="0"/>
        <w:snapToGrid w:val="0"/>
        <w:spacing w:before="303" w:after="0" w:line="360" w:lineRule="auto"/>
        <w:ind w:left="123"/>
        <w:rPr>
          <w:color w:val="auto"/>
          <w:sz w:val="24"/>
          <w:szCs w:val="24"/>
        </w:rPr>
      </w:pPr>
      <w:r>
        <w:rPr>
          <w:rFonts w:ascii="宋体" w:hAnsi="宋体" w:eastAsia="宋体" w:cs="宋体"/>
          <w:color w:val="auto"/>
          <w:spacing w:val="2"/>
          <w:sz w:val="24"/>
          <w:szCs w:val="24"/>
        </w:rPr>
        <w:t>法定代表人(单位负责人)(签字或签章</w:t>
      </w:r>
      <w:r>
        <w:rPr>
          <w:rFonts w:hint="eastAsia" w:ascii="宋体" w:hAnsi="宋体" w:eastAsia="宋体" w:cs="宋体"/>
          <w:color w:val="auto"/>
          <w:spacing w:val="2"/>
          <w:sz w:val="24"/>
          <w:szCs w:val="24"/>
        </w:rPr>
        <w:t>或印鉴</w:t>
      </w:r>
      <w:r>
        <w:rPr>
          <w:rFonts w:ascii="宋体" w:hAnsi="宋体" w:eastAsia="宋体" w:cs="宋体"/>
          <w:color w:val="auto"/>
          <w:spacing w:val="2"/>
          <w:sz w:val="24"/>
          <w:szCs w:val="24"/>
        </w:rPr>
        <w:t>)：</w:t>
      </w:r>
      <w:r>
        <w:rPr>
          <w:rFonts w:eastAsia="Arial"/>
          <w:color w:val="auto"/>
          <w:spacing w:val="2"/>
          <w:sz w:val="24"/>
          <w:szCs w:val="24"/>
        </w:rPr>
        <w:t>_____</w:t>
      </w:r>
      <w:r>
        <w:rPr>
          <w:rFonts w:eastAsia="Arial"/>
          <w:color w:val="auto"/>
          <w:sz w:val="24"/>
          <w:szCs w:val="24"/>
        </w:rPr>
        <w:t>__</w:t>
      </w:r>
    </w:p>
    <w:p w14:paraId="517C09B6">
      <w:pPr>
        <w:pageBreakBefore w:val="0"/>
        <w:overflowPunct/>
        <w:topLinePunct w:val="0"/>
        <w:bidi w:val="0"/>
        <w:snapToGrid w:val="0"/>
        <w:spacing w:before="79" w:after="0" w:line="360" w:lineRule="auto"/>
        <w:ind w:left="164"/>
        <w:rPr>
          <w:rFonts w:hint="eastAsia" w:ascii="宋体" w:hAnsi="宋体" w:eastAsia="宋体" w:cs="宋体"/>
          <w:color w:val="auto"/>
          <w:spacing w:val="-16"/>
          <w:sz w:val="24"/>
          <w:szCs w:val="24"/>
        </w:rPr>
      </w:pPr>
      <w:r>
        <w:rPr>
          <w:rFonts w:ascii="宋体" w:hAnsi="宋体" w:eastAsia="宋体" w:cs="宋体"/>
          <w:color w:val="auto"/>
          <w:spacing w:val="7"/>
          <w:sz w:val="24"/>
          <w:szCs w:val="24"/>
        </w:rPr>
        <w:t>日期</w:t>
      </w:r>
      <w:r>
        <w:rPr>
          <w:rFonts w:ascii="宋体" w:hAnsi="宋体" w:eastAsia="宋体" w:cs="宋体"/>
          <w:color w:val="auto"/>
          <w:spacing w:val="-16"/>
          <w:sz w:val="24"/>
          <w:szCs w:val="24"/>
        </w:rPr>
        <w:t xml:space="preserve">： </w:t>
      </w:r>
      <w:r>
        <w:rPr>
          <w:rFonts w:eastAsia="Arial"/>
          <w:color w:val="auto"/>
          <w:spacing w:val="-16"/>
          <w:sz w:val="24"/>
          <w:szCs w:val="24"/>
        </w:rPr>
        <w:t>_____</w:t>
      </w:r>
      <w:r>
        <w:rPr>
          <w:rFonts w:ascii="宋体" w:hAnsi="宋体" w:eastAsia="宋体" w:cs="宋体"/>
          <w:color w:val="auto"/>
          <w:spacing w:val="-16"/>
          <w:sz w:val="24"/>
          <w:szCs w:val="24"/>
        </w:rPr>
        <w:t>年</w:t>
      </w:r>
      <w:r>
        <w:rPr>
          <w:rFonts w:eastAsia="Arial"/>
          <w:color w:val="auto"/>
          <w:spacing w:val="-16"/>
          <w:sz w:val="24"/>
          <w:szCs w:val="24"/>
        </w:rPr>
        <w:t>______</w:t>
      </w:r>
      <w:r>
        <w:rPr>
          <w:rFonts w:ascii="宋体" w:hAnsi="宋体" w:eastAsia="宋体" w:cs="宋体"/>
          <w:color w:val="auto"/>
          <w:spacing w:val="-16"/>
          <w:sz w:val="24"/>
          <w:szCs w:val="24"/>
        </w:rPr>
        <w:t>月</w:t>
      </w:r>
      <w:r>
        <w:rPr>
          <w:rFonts w:eastAsia="Arial"/>
          <w:color w:val="auto"/>
          <w:spacing w:val="-16"/>
          <w:sz w:val="24"/>
          <w:szCs w:val="24"/>
        </w:rPr>
        <w:t xml:space="preserve">______ </w:t>
      </w:r>
      <w:r>
        <w:rPr>
          <w:rFonts w:ascii="宋体" w:hAnsi="宋体" w:eastAsia="宋体" w:cs="宋体"/>
          <w:color w:val="auto"/>
          <w:spacing w:val="-16"/>
          <w:sz w:val="24"/>
          <w:szCs w:val="24"/>
        </w:rPr>
        <w:t>日</w:t>
      </w:r>
    </w:p>
    <w:p w14:paraId="40E51CCC">
      <w:pPr>
        <w:pStyle w:val="6"/>
        <w:pageBreakBefore w:val="0"/>
        <w:overflowPunct/>
        <w:topLinePunct w:val="0"/>
        <w:bidi w:val="0"/>
        <w:snapToGrid w:val="0"/>
        <w:spacing w:after="0"/>
      </w:pPr>
      <w:r>
        <w:br w:type="page"/>
      </w:r>
    </w:p>
    <w:p w14:paraId="677B22D0">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9" w:name="_Toc148096382"/>
      <w:r>
        <w:rPr>
          <w:rFonts w:hint="eastAsia" w:ascii="宋体" w:hAnsi="宋体" w:eastAsia="宋体" w:cs="宋体"/>
          <w:color w:val="auto"/>
          <w:spacing w:val="-1"/>
          <w:sz w:val="24"/>
          <w:szCs w:val="24"/>
        </w:rPr>
        <w:t>3 开标一览表(实质性格式)</w:t>
      </w:r>
      <w:bookmarkEnd w:id="69"/>
    </w:p>
    <w:p w14:paraId="3EB11CAE">
      <w:pPr>
        <w:pageBreakBefore w:val="0"/>
        <w:overflowPunct/>
        <w:topLinePunct w:val="0"/>
        <w:bidi w:val="0"/>
        <w:snapToGrid w:val="0"/>
        <w:spacing w:before="124" w:after="0" w:line="221" w:lineRule="auto"/>
        <w:ind w:left="3647"/>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14:paraId="7845D688">
      <w:pPr>
        <w:pageBreakBefore w:val="0"/>
        <w:overflowPunct/>
        <w:topLinePunct w:val="0"/>
        <w:bidi w:val="0"/>
        <w:snapToGrid w:val="0"/>
        <w:spacing w:after="0"/>
        <w:rPr>
          <w:rFonts w:hint="eastAsia" w:ascii="宋体" w:hAnsi="宋体" w:eastAsia="宋体" w:cs="宋体"/>
          <w:color w:val="auto"/>
        </w:rPr>
      </w:pPr>
    </w:p>
    <w:p w14:paraId="662730C3">
      <w:pPr>
        <w:pageBreakBefore w:val="0"/>
        <w:overflowPunct/>
        <w:topLinePunct w:val="0"/>
        <w:bidi w:val="0"/>
        <w:snapToGrid w:val="0"/>
        <w:spacing w:after="0"/>
        <w:ind w:firstLine="480" w:firstLineChars="200"/>
        <w:rPr>
          <w:rFonts w:hint="eastAsia"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14:paraId="0028A8F9">
      <w:pPr>
        <w:pageBreakBefore w:val="0"/>
        <w:overflowPunct/>
        <w:topLinePunct w:val="0"/>
        <w:bidi w:val="0"/>
        <w:snapToGrid w:val="0"/>
        <w:spacing w:after="0" w:line="147" w:lineRule="exact"/>
        <w:rPr>
          <w:rFonts w:hint="eastAsia" w:ascii="宋体" w:hAnsi="宋体" w:eastAsia="宋体" w:cs="宋体"/>
          <w:color w:val="auto"/>
        </w:rPr>
      </w:pPr>
    </w:p>
    <w:tbl>
      <w:tblPr>
        <w:tblStyle w:val="27"/>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3239"/>
        <w:gridCol w:w="1736"/>
        <w:gridCol w:w="1738"/>
        <w:gridCol w:w="1579"/>
      </w:tblGrid>
      <w:tr w14:paraId="1B66A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jc w:val="center"/>
        </w:trPr>
        <w:tc>
          <w:tcPr>
            <w:tcW w:w="608" w:type="dxa"/>
            <w:vMerge w:val="restart"/>
            <w:tcBorders>
              <w:bottom w:val="nil"/>
            </w:tcBorders>
          </w:tcPr>
          <w:p w14:paraId="6E2F100C">
            <w:pPr>
              <w:pageBreakBefore w:val="0"/>
              <w:overflowPunct/>
              <w:topLinePunct w:val="0"/>
              <w:bidi w:val="0"/>
              <w:snapToGrid w:val="0"/>
              <w:spacing w:after="0" w:line="409" w:lineRule="auto"/>
              <w:rPr>
                <w:rFonts w:eastAsia="宋体"/>
              </w:rPr>
            </w:pPr>
          </w:p>
          <w:p w14:paraId="2E588619">
            <w:pPr>
              <w:pStyle w:val="31"/>
              <w:pageBreakBefore w:val="0"/>
              <w:overflowPunct/>
              <w:topLinePunct w:val="0"/>
              <w:bidi w:val="0"/>
              <w:snapToGrid w:val="0"/>
              <w:spacing w:before="78" w:after="0" w:line="221" w:lineRule="auto"/>
              <w:ind w:left="82"/>
              <w:rPr>
                <w:rFonts w:hint="eastAsia"/>
              </w:rPr>
            </w:pPr>
            <w:r>
              <w:rPr>
                <w:b/>
                <w:bCs/>
                <w:spacing w:val="-5"/>
              </w:rPr>
              <w:t>序号</w:t>
            </w:r>
          </w:p>
        </w:tc>
        <w:tc>
          <w:tcPr>
            <w:tcW w:w="3239" w:type="dxa"/>
            <w:vMerge w:val="restart"/>
            <w:tcBorders>
              <w:bottom w:val="nil"/>
            </w:tcBorders>
          </w:tcPr>
          <w:p w14:paraId="55194C3B">
            <w:pPr>
              <w:pageBreakBefore w:val="0"/>
              <w:overflowPunct/>
              <w:topLinePunct w:val="0"/>
              <w:bidi w:val="0"/>
              <w:snapToGrid w:val="0"/>
              <w:spacing w:after="0" w:line="409" w:lineRule="auto"/>
              <w:rPr>
                <w:rFonts w:eastAsia="宋体"/>
              </w:rPr>
            </w:pPr>
          </w:p>
          <w:p w14:paraId="0D03B817">
            <w:pPr>
              <w:pStyle w:val="31"/>
              <w:pageBreakBefore w:val="0"/>
              <w:overflowPunct/>
              <w:topLinePunct w:val="0"/>
              <w:bidi w:val="0"/>
              <w:snapToGrid w:val="0"/>
              <w:spacing w:before="78" w:after="0" w:line="220" w:lineRule="auto"/>
              <w:ind w:left="1102"/>
              <w:rPr>
                <w:rFonts w:hint="eastAsia"/>
              </w:rPr>
            </w:pPr>
            <w:r>
              <w:rPr>
                <w:b/>
                <w:bCs/>
                <w:spacing w:val="-5"/>
              </w:rPr>
              <w:t>投标人名称</w:t>
            </w:r>
          </w:p>
        </w:tc>
        <w:tc>
          <w:tcPr>
            <w:tcW w:w="3474" w:type="dxa"/>
            <w:gridSpan w:val="2"/>
          </w:tcPr>
          <w:p w14:paraId="61FFFF79">
            <w:pPr>
              <w:pStyle w:val="31"/>
              <w:pageBreakBefore w:val="0"/>
              <w:overflowPunct/>
              <w:topLinePunct w:val="0"/>
              <w:bidi w:val="0"/>
              <w:snapToGrid w:val="0"/>
              <w:spacing w:before="148" w:after="0" w:line="218" w:lineRule="auto"/>
              <w:ind w:left="1346"/>
              <w:rPr>
                <w:rFonts w:hint="eastAsia"/>
              </w:rPr>
            </w:pPr>
            <w:r>
              <w:rPr>
                <w:b/>
                <w:bCs/>
                <w:spacing w:val="-5"/>
              </w:rPr>
              <w:t>投标报价</w:t>
            </w:r>
          </w:p>
        </w:tc>
        <w:tc>
          <w:tcPr>
            <w:tcW w:w="1579" w:type="dxa"/>
            <w:vMerge w:val="restart"/>
          </w:tcPr>
          <w:p w14:paraId="523271DA">
            <w:pPr>
              <w:pStyle w:val="31"/>
              <w:pageBreakBefore w:val="0"/>
              <w:overflowPunct/>
              <w:topLinePunct w:val="0"/>
              <w:bidi w:val="0"/>
              <w:snapToGrid w:val="0"/>
              <w:spacing w:before="148" w:after="0" w:line="218" w:lineRule="auto"/>
              <w:ind w:firstLine="442" w:firstLineChars="200"/>
              <w:rPr>
                <w:b/>
                <w:bCs/>
                <w:spacing w:val="-5"/>
              </w:rPr>
            </w:pPr>
            <w:r>
              <w:rPr>
                <w:rFonts w:hint="eastAsia"/>
                <w:b/>
                <w:bCs/>
                <w:spacing w:val="-5"/>
                <w:lang w:eastAsia="zh-CN"/>
              </w:rPr>
              <w:t>备注</w:t>
            </w:r>
          </w:p>
        </w:tc>
      </w:tr>
      <w:tr w14:paraId="22031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jc w:val="center"/>
        </w:trPr>
        <w:tc>
          <w:tcPr>
            <w:tcW w:w="608" w:type="dxa"/>
            <w:vMerge w:val="continue"/>
            <w:tcBorders>
              <w:top w:val="nil"/>
            </w:tcBorders>
          </w:tcPr>
          <w:p w14:paraId="46470A69">
            <w:pPr>
              <w:pageBreakBefore w:val="0"/>
              <w:overflowPunct/>
              <w:topLinePunct w:val="0"/>
              <w:bidi w:val="0"/>
              <w:snapToGrid w:val="0"/>
              <w:spacing w:after="0"/>
              <w:rPr>
                <w:rFonts w:eastAsia="宋体"/>
              </w:rPr>
            </w:pPr>
          </w:p>
        </w:tc>
        <w:tc>
          <w:tcPr>
            <w:tcW w:w="3239" w:type="dxa"/>
            <w:vMerge w:val="continue"/>
            <w:tcBorders>
              <w:top w:val="nil"/>
            </w:tcBorders>
          </w:tcPr>
          <w:p w14:paraId="43F71029">
            <w:pPr>
              <w:pageBreakBefore w:val="0"/>
              <w:overflowPunct/>
              <w:topLinePunct w:val="0"/>
              <w:bidi w:val="0"/>
              <w:snapToGrid w:val="0"/>
              <w:spacing w:after="0"/>
              <w:rPr>
                <w:rFonts w:eastAsia="宋体"/>
              </w:rPr>
            </w:pPr>
          </w:p>
        </w:tc>
        <w:tc>
          <w:tcPr>
            <w:tcW w:w="1736" w:type="dxa"/>
          </w:tcPr>
          <w:p w14:paraId="7183E84B">
            <w:pPr>
              <w:pStyle w:val="31"/>
              <w:pageBreakBefore w:val="0"/>
              <w:overflowPunct/>
              <w:topLinePunct w:val="0"/>
              <w:bidi w:val="0"/>
              <w:snapToGrid w:val="0"/>
              <w:spacing w:before="217" w:after="0" w:line="220" w:lineRule="auto"/>
              <w:ind w:left="679"/>
              <w:rPr>
                <w:rFonts w:hint="eastAsia"/>
              </w:rPr>
            </w:pPr>
            <w:r>
              <w:rPr>
                <w:b/>
                <w:bCs/>
                <w:spacing w:val="-5"/>
              </w:rPr>
              <w:t>大写</w:t>
            </w:r>
          </w:p>
        </w:tc>
        <w:tc>
          <w:tcPr>
            <w:tcW w:w="1738" w:type="dxa"/>
          </w:tcPr>
          <w:p w14:paraId="755ACAB0">
            <w:pPr>
              <w:pStyle w:val="31"/>
              <w:pageBreakBefore w:val="0"/>
              <w:overflowPunct/>
              <w:topLinePunct w:val="0"/>
              <w:bidi w:val="0"/>
              <w:snapToGrid w:val="0"/>
              <w:spacing w:before="216" w:after="0" w:line="222" w:lineRule="auto"/>
              <w:ind w:left="682"/>
              <w:rPr>
                <w:rFonts w:hint="eastAsia"/>
              </w:rPr>
            </w:pPr>
            <w:r>
              <w:rPr>
                <w:b/>
                <w:bCs/>
                <w:spacing w:val="-6"/>
              </w:rPr>
              <w:t>小写</w:t>
            </w:r>
          </w:p>
        </w:tc>
        <w:tc>
          <w:tcPr>
            <w:tcW w:w="1579" w:type="dxa"/>
            <w:vMerge w:val="continue"/>
          </w:tcPr>
          <w:p w14:paraId="5332E8A3">
            <w:pPr>
              <w:pStyle w:val="31"/>
              <w:pageBreakBefore w:val="0"/>
              <w:overflowPunct/>
              <w:topLinePunct w:val="0"/>
              <w:bidi w:val="0"/>
              <w:snapToGrid w:val="0"/>
              <w:spacing w:before="216" w:after="0" w:line="222" w:lineRule="auto"/>
              <w:ind w:left="682"/>
              <w:rPr>
                <w:b/>
                <w:bCs/>
                <w:spacing w:val="-6"/>
              </w:rPr>
            </w:pPr>
          </w:p>
        </w:tc>
      </w:tr>
      <w:tr w14:paraId="277F1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1" w:hRule="atLeast"/>
          <w:jc w:val="center"/>
        </w:trPr>
        <w:tc>
          <w:tcPr>
            <w:tcW w:w="608" w:type="dxa"/>
          </w:tcPr>
          <w:p w14:paraId="2646939C">
            <w:pPr>
              <w:pageBreakBefore w:val="0"/>
              <w:overflowPunct/>
              <w:topLinePunct w:val="0"/>
              <w:bidi w:val="0"/>
              <w:snapToGrid w:val="0"/>
              <w:spacing w:after="0"/>
              <w:rPr>
                <w:rFonts w:eastAsia="宋体"/>
              </w:rPr>
            </w:pPr>
          </w:p>
        </w:tc>
        <w:tc>
          <w:tcPr>
            <w:tcW w:w="3239" w:type="dxa"/>
          </w:tcPr>
          <w:p w14:paraId="20AAA329">
            <w:pPr>
              <w:pageBreakBefore w:val="0"/>
              <w:overflowPunct/>
              <w:topLinePunct w:val="0"/>
              <w:bidi w:val="0"/>
              <w:snapToGrid w:val="0"/>
              <w:spacing w:after="0"/>
              <w:rPr>
                <w:rFonts w:eastAsia="宋体"/>
              </w:rPr>
            </w:pPr>
          </w:p>
        </w:tc>
        <w:tc>
          <w:tcPr>
            <w:tcW w:w="1736" w:type="dxa"/>
          </w:tcPr>
          <w:p w14:paraId="6BEB3E02">
            <w:pPr>
              <w:pageBreakBefore w:val="0"/>
              <w:overflowPunct/>
              <w:topLinePunct w:val="0"/>
              <w:bidi w:val="0"/>
              <w:snapToGrid w:val="0"/>
              <w:spacing w:after="0"/>
              <w:rPr>
                <w:rFonts w:eastAsia="宋体"/>
              </w:rPr>
            </w:pPr>
          </w:p>
        </w:tc>
        <w:tc>
          <w:tcPr>
            <w:tcW w:w="1738" w:type="dxa"/>
          </w:tcPr>
          <w:p w14:paraId="2D83F585">
            <w:pPr>
              <w:pageBreakBefore w:val="0"/>
              <w:overflowPunct/>
              <w:topLinePunct w:val="0"/>
              <w:bidi w:val="0"/>
              <w:snapToGrid w:val="0"/>
              <w:spacing w:after="0"/>
              <w:rPr>
                <w:rFonts w:eastAsia="宋体"/>
              </w:rPr>
            </w:pPr>
          </w:p>
        </w:tc>
        <w:tc>
          <w:tcPr>
            <w:tcW w:w="1579" w:type="dxa"/>
          </w:tcPr>
          <w:p w14:paraId="446DAEB8">
            <w:pPr>
              <w:pageBreakBefore w:val="0"/>
              <w:overflowPunct/>
              <w:topLinePunct w:val="0"/>
              <w:bidi w:val="0"/>
              <w:snapToGrid w:val="0"/>
              <w:spacing w:after="0"/>
              <w:rPr>
                <w:rFonts w:eastAsia="宋体"/>
              </w:rPr>
            </w:pPr>
          </w:p>
        </w:tc>
      </w:tr>
    </w:tbl>
    <w:p w14:paraId="1A8FFEC0">
      <w:pPr>
        <w:pageBreakBefore w:val="0"/>
        <w:overflowPunct/>
        <w:topLinePunct w:val="0"/>
        <w:bidi w:val="0"/>
        <w:snapToGrid w:val="0"/>
        <w:spacing w:after="0" w:line="360" w:lineRule="auto"/>
        <w:rPr>
          <w:rFonts w:hint="eastAsia" w:ascii="宋体" w:hAnsi="宋体" w:eastAsia="宋体"/>
          <w:color w:val="auto"/>
          <w:sz w:val="24"/>
          <w:szCs w:val="24"/>
        </w:rPr>
      </w:pPr>
    </w:p>
    <w:p w14:paraId="2FD4F00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19C05B5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1.此表中，每包的投标报价应和《投标分项报价表》中的总价相一致。</w:t>
      </w:r>
    </w:p>
    <w:p w14:paraId="756C67F3">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2.本表必须按包分别填写。</w:t>
      </w:r>
    </w:p>
    <w:p w14:paraId="786502A2">
      <w:pPr>
        <w:pageBreakBefore w:val="0"/>
        <w:overflowPunct/>
        <w:topLinePunct w:val="0"/>
        <w:bidi w:val="0"/>
        <w:snapToGrid w:val="0"/>
        <w:spacing w:before="78" w:after="0" w:line="360" w:lineRule="auto"/>
        <w:ind w:right="960"/>
        <w:rPr>
          <w:rFonts w:hint="eastAsia"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253365A0">
      <w:pPr>
        <w:pageBreakBefore w:val="0"/>
        <w:overflowPunct/>
        <w:topLinePunct w:val="0"/>
        <w:bidi w:val="0"/>
        <w:snapToGrid w:val="0"/>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0C130292">
      <w:pPr>
        <w:pageBreakBefore w:val="0"/>
        <w:overflowPunct/>
        <w:topLinePunct w:val="0"/>
        <w:bidi w:val="0"/>
        <w:snapToGrid w:val="0"/>
        <w:spacing w:before="79" w:after="0" w:line="360" w:lineRule="auto"/>
        <w:ind w:left="164"/>
        <w:rPr>
          <w:rFonts w:hint="eastAsia" w:ascii="宋体" w:hAnsi="宋体" w:eastAsia="宋体" w:cs="宋体"/>
          <w:color w:val="auto"/>
          <w:sz w:val="24"/>
          <w:szCs w:val="24"/>
        </w:rPr>
      </w:pPr>
    </w:p>
    <w:p w14:paraId="41FEEEC6">
      <w:pPr>
        <w:pStyle w:val="6"/>
        <w:pageBreakBefore w:val="0"/>
        <w:overflowPunct/>
        <w:topLinePunct w:val="0"/>
        <w:bidi w:val="0"/>
        <w:snapToGrid w:val="0"/>
        <w:spacing w:after="0"/>
      </w:pPr>
    </w:p>
    <w:p w14:paraId="28E11520">
      <w:pPr>
        <w:pStyle w:val="6"/>
        <w:pageBreakBefore w:val="0"/>
        <w:overflowPunct/>
        <w:topLinePunct w:val="0"/>
        <w:bidi w:val="0"/>
        <w:snapToGrid w:val="0"/>
        <w:spacing w:after="0"/>
      </w:pPr>
      <w:r>
        <w:br w:type="page"/>
      </w:r>
    </w:p>
    <w:p w14:paraId="7A819894">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ascii="宋体" w:hAnsi="宋体" w:eastAsia="宋体" w:cs="宋体"/>
          <w:color w:val="auto"/>
          <w:spacing w:val="-1"/>
          <w:sz w:val="24"/>
          <w:szCs w:val="24"/>
        </w:rPr>
      </w:pPr>
      <w:bookmarkStart w:id="70" w:name="_Toc148096383"/>
      <w:r>
        <w:rPr>
          <w:rFonts w:hint="eastAsia" w:ascii="宋体" w:hAnsi="宋体" w:eastAsia="宋体" w:cs="宋体"/>
          <w:color w:val="auto"/>
          <w:spacing w:val="-1"/>
          <w:sz w:val="24"/>
          <w:szCs w:val="24"/>
        </w:rPr>
        <w:t>4 投标分项报价表</w:t>
      </w:r>
      <w:bookmarkEnd w:id="70"/>
      <w:r>
        <w:rPr>
          <w:rFonts w:hint="eastAsia" w:ascii="宋体" w:hAnsi="宋体" w:eastAsia="宋体" w:cs="宋体"/>
          <w:color w:val="auto"/>
          <w:spacing w:val="-1"/>
          <w:sz w:val="24"/>
          <w:szCs w:val="24"/>
        </w:rPr>
        <w:t>（实质性格式）</w:t>
      </w:r>
    </w:p>
    <w:tbl>
      <w:tblPr>
        <w:tblStyle w:val="16"/>
        <w:tblW w:w="4998" w:type="pct"/>
        <w:jc w:val="center"/>
        <w:tblLayout w:type="autofit"/>
        <w:tblCellMar>
          <w:top w:w="0" w:type="dxa"/>
          <w:left w:w="108" w:type="dxa"/>
          <w:bottom w:w="0" w:type="dxa"/>
          <w:right w:w="108" w:type="dxa"/>
        </w:tblCellMar>
      </w:tblPr>
      <w:tblGrid>
        <w:gridCol w:w="741"/>
        <w:gridCol w:w="3648"/>
        <w:gridCol w:w="2882"/>
        <w:gridCol w:w="1248"/>
      </w:tblGrid>
      <w:tr w14:paraId="36D393D7">
        <w:tblPrEx>
          <w:tblCellMar>
            <w:top w:w="0" w:type="dxa"/>
            <w:left w:w="108" w:type="dxa"/>
            <w:bottom w:w="0" w:type="dxa"/>
            <w:right w:w="108" w:type="dxa"/>
          </w:tblCellMar>
        </w:tblPrEx>
        <w:trPr>
          <w:trHeight w:val="408"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B48F0">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序号</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A7024">
            <w:pPr>
              <w:pageBreakBefore w:val="0"/>
              <w:overflowPunct/>
              <w:topLinePunct w:val="0"/>
              <w:bidi w:val="0"/>
              <w:adjustRightInd/>
              <w:snapToGrid w:val="0"/>
              <w:spacing w:after="0"/>
              <w:jc w:val="center"/>
              <w:rPr>
                <w:rFonts w:hint="eastAsia" w:ascii="宋体" w:hAnsi="宋体" w:eastAsia="宋体" w:cs="宋体"/>
                <w:color w:val="auto"/>
                <w:lang w:eastAsia="zh-CN"/>
              </w:rPr>
            </w:pPr>
            <w:r>
              <w:rPr>
                <w:rFonts w:hint="eastAsia" w:ascii="宋体" w:hAnsi="宋体" w:eastAsia="宋体" w:cs="宋体"/>
                <w:color w:val="auto"/>
                <w:lang w:val="en-US" w:eastAsia="zh-CN"/>
              </w:rPr>
              <w:t>分部名称</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09767">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lang w:val="en-US" w:eastAsia="zh-CN"/>
              </w:rPr>
              <w:t>报价</w:t>
            </w:r>
            <w:r>
              <w:rPr>
                <w:rFonts w:hint="eastAsia" w:ascii="宋体" w:hAnsi="宋体" w:eastAsia="宋体" w:cs="宋体"/>
                <w:color w:val="auto"/>
              </w:rPr>
              <w:t>（元）</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1AE4F">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备注</w:t>
            </w:r>
          </w:p>
        </w:tc>
      </w:tr>
      <w:tr w14:paraId="28217D7D">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82CF5">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1</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29394">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水库-闸门维护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71E4">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39671892">
            <w:pPr>
              <w:pageBreakBefore w:val="0"/>
              <w:overflowPunct/>
              <w:topLinePunct w:val="0"/>
              <w:bidi w:val="0"/>
              <w:adjustRightInd/>
              <w:snapToGrid w:val="0"/>
              <w:spacing w:after="0"/>
              <w:jc w:val="right"/>
              <w:rPr>
                <w:rFonts w:ascii="宋体" w:hAnsi="宋体" w:eastAsia="宋体"/>
                <w:color w:val="auto"/>
              </w:rPr>
            </w:pPr>
          </w:p>
        </w:tc>
      </w:tr>
      <w:tr w14:paraId="32B992EA">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F6A9D">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2</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1F13F">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水库-启闭机维护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5418C">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23667B85">
            <w:pPr>
              <w:pageBreakBefore w:val="0"/>
              <w:overflowPunct/>
              <w:topLinePunct w:val="0"/>
              <w:bidi w:val="0"/>
              <w:adjustRightInd/>
              <w:snapToGrid w:val="0"/>
              <w:spacing w:after="0"/>
              <w:jc w:val="right"/>
              <w:rPr>
                <w:rFonts w:ascii="宋体" w:hAnsi="宋体" w:eastAsia="宋体"/>
                <w:color w:val="auto"/>
              </w:rPr>
            </w:pPr>
          </w:p>
        </w:tc>
      </w:tr>
      <w:tr w14:paraId="3F0A4487">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1741F">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3</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9B5AC">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水库-机电及辅助设备维护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9FC25">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1D79E061">
            <w:pPr>
              <w:pageBreakBefore w:val="0"/>
              <w:overflowPunct/>
              <w:topLinePunct w:val="0"/>
              <w:bidi w:val="0"/>
              <w:adjustRightInd/>
              <w:snapToGrid w:val="0"/>
              <w:spacing w:after="0"/>
              <w:jc w:val="right"/>
              <w:rPr>
                <w:rFonts w:ascii="宋体" w:hAnsi="宋体" w:eastAsia="宋体"/>
                <w:color w:val="auto"/>
              </w:rPr>
            </w:pPr>
          </w:p>
        </w:tc>
      </w:tr>
      <w:tr w14:paraId="5BD930BE">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27BB0">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4</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5BD08">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水库-自有设备维护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9D92E">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253B5235">
            <w:pPr>
              <w:pageBreakBefore w:val="0"/>
              <w:overflowPunct/>
              <w:topLinePunct w:val="0"/>
              <w:bidi w:val="0"/>
              <w:adjustRightInd/>
              <w:snapToGrid w:val="0"/>
              <w:spacing w:after="0"/>
              <w:jc w:val="right"/>
              <w:rPr>
                <w:rFonts w:ascii="宋体" w:hAnsi="宋体" w:eastAsia="宋体"/>
                <w:color w:val="auto"/>
              </w:rPr>
            </w:pPr>
          </w:p>
        </w:tc>
      </w:tr>
      <w:tr w14:paraId="018F9FA3">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29F9B">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5</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8352E">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水库-水质自动站维护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C1E91">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60DF0966">
            <w:pPr>
              <w:pageBreakBefore w:val="0"/>
              <w:overflowPunct/>
              <w:topLinePunct w:val="0"/>
              <w:bidi w:val="0"/>
              <w:adjustRightInd/>
              <w:snapToGrid w:val="0"/>
              <w:spacing w:after="0"/>
              <w:jc w:val="right"/>
              <w:rPr>
                <w:rFonts w:ascii="宋体" w:hAnsi="宋体" w:eastAsia="宋体"/>
                <w:color w:val="auto"/>
              </w:rPr>
            </w:pPr>
          </w:p>
        </w:tc>
      </w:tr>
      <w:tr w14:paraId="613628E5">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678A7">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6</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5A963">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水库-中央空调系统维护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2E032">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00B23C4A">
            <w:pPr>
              <w:pageBreakBefore w:val="0"/>
              <w:overflowPunct/>
              <w:topLinePunct w:val="0"/>
              <w:bidi w:val="0"/>
              <w:adjustRightInd/>
              <w:snapToGrid w:val="0"/>
              <w:spacing w:after="0"/>
              <w:jc w:val="right"/>
              <w:rPr>
                <w:rFonts w:ascii="宋体" w:hAnsi="宋体" w:eastAsia="宋体"/>
                <w:color w:val="auto"/>
              </w:rPr>
            </w:pPr>
          </w:p>
        </w:tc>
      </w:tr>
      <w:tr w14:paraId="6A08D74B">
        <w:tblPrEx>
          <w:tblCellMar>
            <w:top w:w="0" w:type="dxa"/>
            <w:left w:w="108" w:type="dxa"/>
            <w:bottom w:w="0" w:type="dxa"/>
            <w:right w:w="108" w:type="dxa"/>
          </w:tblCellMar>
        </w:tblPrEx>
        <w:trPr>
          <w:trHeight w:val="73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440FE">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7</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7CD0F">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水库-排风系统维护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515DC">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0EC92A15">
            <w:pPr>
              <w:pageBreakBefore w:val="0"/>
              <w:overflowPunct/>
              <w:topLinePunct w:val="0"/>
              <w:bidi w:val="0"/>
              <w:adjustRightInd/>
              <w:snapToGrid w:val="0"/>
              <w:spacing w:after="0"/>
              <w:jc w:val="right"/>
              <w:rPr>
                <w:rFonts w:ascii="宋体" w:hAnsi="宋体" w:eastAsia="宋体"/>
                <w:color w:val="auto"/>
              </w:rPr>
            </w:pPr>
          </w:p>
        </w:tc>
      </w:tr>
      <w:tr w14:paraId="14EACA69">
        <w:tblPrEx>
          <w:tblCellMar>
            <w:top w:w="0" w:type="dxa"/>
            <w:left w:w="108" w:type="dxa"/>
            <w:bottom w:w="0" w:type="dxa"/>
            <w:right w:w="108" w:type="dxa"/>
          </w:tblCellMar>
        </w:tblPrEx>
        <w:trPr>
          <w:trHeight w:val="836"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D2067">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8</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1F2F7">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水库-电梯维护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659E2">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34332ECA">
            <w:pPr>
              <w:pageBreakBefore w:val="0"/>
              <w:overflowPunct/>
              <w:topLinePunct w:val="0"/>
              <w:bidi w:val="0"/>
              <w:adjustRightInd/>
              <w:snapToGrid w:val="0"/>
              <w:spacing w:after="0"/>
              <w:jc w:val="right"/>
              <w:rPr>
                <w:rFonts w:ascii="宋体" w:hAnsi="宋体" w:eastAsia="宋体"/>
                <w:color w:val="auto"/>
              </w:rPr>
            </w:pPr>
          </w:p>
        </w:tc>
      </w:tr>
      <w:tr w14:paraId="1E8BC72F">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F315E">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9</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AF42A">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水库-消防设备设施维护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D159B">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115C64D1">
            <w:pPr>
              <w:pageBreakBefore w:val="0"/>
              <w:overflowPunct/>
              <w:topLinePunct w:val="0"/>
              <w:bidi w:val="0"/>
              <w:adjustRightInd/>
              <w:snapToGrid w:val="0"/>
              <w:spacing w:after="0"/>
              <w:jc w:val="right"/>
              <w:rPr>
                <w:rFonts w:ascii="宋体" w:hAnsi="宋体" w:eastAsia="宋体"/>
                <w:color w:val="auto"/>
              </w:rPr>
            </w:pPr>
          </w:p>
        </w:tc>
      </w:tr>
      <w:tr w14:paraId="7B9FB415">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254BD">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1-9</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C6085">
            <w:pPr>
              <w:keepNext w:val="0"/>
              <w:keepLines w:val="0"/>
              <w:widowControl/>
              <w:suppressLineNumbers w:val="0"/>
              <w:jc w:val="left"/>
              <w:textAlignment w:val="center"/>
              <w:rPr>
                <w:rFonts w:hint="default" w:ascii="宋体" w:hAnsi="宋体" w:eastAsia="宋体" w:cs="宋体"/>
                <w:i w:val="0"/>
                <w:iCs w:val="0"/>
                <w:snapToGrid w:val="0"/>
                <w:color w:val="000000"/>
                <w:kern w:val="0"/>
                <w:sz w:val="21"/>
                <w:szCs w:val="21"/>
                <w:u w:val="none"/>
                <w:lang w:val="en-US" w:eastAsia="zh-CN" w:bidi="ar"/>
              </w:rPr>
            </w:pPr>
            <w:r>
              <w:rPr>
                <w:rFonts w:hint="eastAsia" w:ascii="宋体" w:hAnsi="宋体" w:eastAsia="宋体" w:cs="宋体"/>
                <w:i w:val="0"/>
                <w:iCs w:val="0"/>
                <w:snapToGrid w:val="0"/>
                <w:color w:val="000000"/>
                <w:kern w:val="0"/>
                <w:sz w:val="21"/>
                <w:szCs w:val="21"/>
                <w:u w:val="none"/>
                <w:lang w:val="en-US" w:eastAsia="zh-CN" w:bidi="ar"/>
              </w:rPr>
              <w:t>合计</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F4412">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5ED8468B">
            <w:pPr>
              <w:pageBreakBefore w:val="0"/>
              <w:overflowPunct/>
              <w:topLinePunct w:val="0"/>
              <w:bidi w:val="0"/>
              <w:adjustRightInd/>
              <w:snapToGrid w:val="0"/>
              <w:spacing w:after="0"/>
              <w:jc w:val="right"/>
              <w:rPr>
                <w:rFonts w:ascii="宋体" w:hAnsi="宋体" w:eastAsia="宋体"/>
                <w:color w:val="auto"/>
              </w:rPr>
            </w:pPr>
          </w:p>
        </w:tc>
      </w:tr>
      <w:tr w14:paraId="393269AA">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D3733">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10</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1F4F4">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中堤泵站-水利机械设备维护养护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0663C">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1FF6A437">
            <w:pPr>
              <w:pageBreakBefore w:val="0"/>
              <w:overflowPunct/>
              <w:topLinePunct w:val="0"/>
              <w:bidi w:val="0"/>
              <w:adjustRightInd/>
              <w:snapToGrid w:val="0"/>
              <w:spacing w:after="0"/>
              <w:jc w:val="right"/>
              <w:rPr>
                <w:rFonts w:ascii="宋体" w:hAnsi="宋体" w:eastAsia="宋体"/>
                <w:color w:val="auto"/>
              </w:rPr>
            </w:pPr>
          </w:p>
        </w:tc>
      </w:tr>
      <w:tr w14:paraId="7B68BD05">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D2052">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11</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7C645">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中堤泵站-供配电设备维护养护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81ADF">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465A8ACF">
            <w:pPr>
              <w:pageBreakBefore w:val="0"/>
              <w:overflowPunct/>
              <w:topLinePunct w:val="0"/>
              <w:bidi w:val="0"/>
              <w:adjustRightInd/>
              <w:snapToGrid w:val="0"/>
              <w:spacing w:after="0"/>
              <w:jc w:val="right"/>
              <w:rPr>
                <w:rFonts w:ascii="宋体" w:hAnsi="宋体" w:eastAsia="宋体"/>
                <w:color w:val="auto"/>
              </w:rPr>
            </w:pPr>
          </w:p>
        </w:tc>
      </w:tr>
      <w:tr w14:paraId="163EF1D3">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12C46">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12</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0F0F">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中堤泵站-水文水质设备维护养护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38BFF">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04A8612F">
            <w:pPr>
              <w:pageBreakBefore w:val="0"/>
              <w:overflowPunct/>
              <w:topLinePunct w:val="0"/>
              <w:bidi w:val="0"/>
              <w:adjustRightInd/>
              <w:snapToGrid w:val="0"/>
              <w:spacing w:after="0"/>
              <w:jc w:val="right"/>
              <w:rPr>
                <w:rFonts w:ascii="宋体" w:hAnsi="宋体" w:eastAsia="宋体"/>
                <w:color w:val="auto"/>
              </w:rPr>
            </w:pPr>
          </w:p>
        </w:tc>
      </w:tr>
      <w:tr w14:paraId="045F673A">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78AF3">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13</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A504D">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中堤泵站-张坊连接站设备设施维护养护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7B08E">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73172F8F">
            <w:pPr>
              <w:pageBreakBefore w:val="0"/>
              <w:overflowPunct/>
              <w:topLinePunct w:val="0"/>
              <w:bidi w:val="0"/>
              <w:adjustRightInd/>
              <w:snapToGrid w:val="0"/>
              <w:spacing w:after="0"/>
              <w:jc w:val="right"/>
              <w:rPr>
                <w:rFonts w:ascii="宋体" w:hAnsi="宋体" w:eastAsia="宋体"/>
                <w:color w:val="auto"/>
              </w:rPr>
            </w:pPr>
          </w:p>
        </w:tc>
      </w:tr>
      <w:tr w14:paraId="0E702F3B">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48267">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14</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83306">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中堤泵站-消防设备设施维护养护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AE48D">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70F69A93">
            <w:pPr>
              <w:pageBreakBefore w:val="0"/>
              <w:overflowPunct/>
              <w:topLinePunct w:val="0"/>
              <w:bidi w:val="0"/>
              <w:adjustRightInd/>
              <w:snapToGrid w:val="0"/>
              <w:spacing w:after="0"/>
              <w:jc w:val="right"/>
              <w:rPr>
                <w:rFonts w:ascii="宋体" w:hAnsi="宋体" w:eastAsia="宋体"/>
                <w:color w:val="auto"/>
              </w:rPr>
            </w:pPr>
          </w:p>
        </w:tc>
      </w:tr>
      <w:tr w14:paraId="08C3D267">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83040">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15</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BF3FF">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中堤泵站-暖通设备维护养护</w:t>
            </w:r>
          </w:p>
        </w:tc>
        <w:tc>
          <w:tcPr>
            <w:tcW w:w="1734" w:type="pct"/>
            <w:tcBorders>
              <w:top w:val="single" w:color="000000" w:sz="4" w:space="0"/>
              <w:left w:val="single" w:color="000000" w:sz="4" w:space="0"/>
              <w:bottom w:val="single" w:color="auto" w:sz="4" w:space="0"/>
              <w:right w:val="single" w:color="000000" w:sz="4" w:space="0"/>
            </w:tcBorders>
            <w:shd w:val="clear" w:color="auto" w:fill="auto"/>
            <w:vAlign w:val="center"/>
          </w:tcPr>
          <w:p w14:paraId="4D64F292">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single" w:color="auto" w:sz="4" w:space="0"/>
              <w:right w:val="single" w:color="000000" w:sz="4" w:space="0"/>
            </w:tcBorders>
            <w:shd w:val="clear" w:color="auto" w:fill="auto"/>
            <w:vAlign w:val="center"/>
          </w:tcPr>
          <w:p w14:paraId="3047F4BA">
            <w:pPr>
              <w:pageBreakBefore w:val="0"/>
              <w:overflowPunct/>
              <w:topLinePunct w:val="0"/>
              <w:bidi w:val="0"/>
              <w:adjustRightInd/>
              <w:snapToGrid w:val="0"/>
              <w:spacing w:after="0"/>
              <w:jc w:val="right"/>
              <w:rPr>
                <w:rFonts w:ascii="宋体" w:hAnsi="宋体" w:eastAsia="宋体"/>
                <w:color w:val="auto"/>
              </w:rPr>
            </w:pPr>
          </w:p>
        </w:tc>
      </w:tr>
      <w:tr w14:paraId="0C6CCF4B">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5CD97">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16</w:t>
            </w:r>
          </w:p>
        </w:tc>
        <w:tc>
          <w:tcPr>
            <w:tcW w:w="2183" w:type="pct"/>
            <w:tcBorders>
              <w:top w:val="single" w:color="000000" w:sz="4" w:space="0"/>
              <w:left w:val="single" w:color="000000" w:sz="4" w:space="0"/>
              <w:bottom w:val="single" w:color="000000" w:sz="4" w:space="0"/>
              <w:right w:val="single" w:color="auto" w:sz="4" w:space="0"/>
            </w:tcBorders>
            <w:shd w:val="clear" w:color="auto" w:fill="auto"/>
            <w:vAlign w:val="center"/>
          </w:tcPr>
          <w:p w14:paraId="3EE94260">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中堤泵站-实训基地设备设施维护养护</w:t>
            </w:r>
          </w:p>
        </w:tc>
        <w:tc>
          <w:tcPr>
            <w:tcW w:w="1734" w:type="pct"/>
            <w:tcBorders>
              <w:top w:val="single" w:color="auto" w:sz="4" w:space="0"/>
              <w:left w:val="single" w:color="auto" w:sz="4" w:space="0"/>
              <w:bottom w:val="single" w:color="auto" w:sz="4" w:space="0"/>
              <w:right w:val="single" w:color="auto" w:sz="4" w:space="0"/>
            </w:tcBorders>
            <w:shd w:val="clear" w:color="auto" w:fill="auto"/>
            <w:vAlign w:val="center"/>
          </w:tcPr>
          <w:p w14:paraId="00BD23C7">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auto" w:sz="4" w:space="0"/>
              <w:left w:val="single" w:color="auto" w:sz="4" w:space="0"/>
              <w:bottom w:val="single" w:color="auto" w:sz="4" w:space="0"/>
              <w:right w:val="single" w:color="auto" w:sz="4" w:space="0"/>
            </w:tcBorders>
            <w:shd w:val="clear" w:color="auto" w:fill="auto"/>
            <w:vAlign w:val="center"/>
          </w:tcPr>
          <w:p w14:paraId="4869AF17">
            <w:pPr>
              <w:pageBreakBefore w:val="0"/>
              <w:overflowPunct/>
              <w:topLinePunct w:val="0"/>
              <w:bidi w:val="0"/>
              <w:adjustRightInd/>
              <w:snapToGrid w:val="0"/>
              <w:spacing w:after="0"/>
              <w:jc w:val="right"/>
              <w:rPr>
                <w:rFonts w:ascii="宋体" w:hAnsi="宋体" w:eastAsia="宋体"/>
                <w:color w:val="auto"/>
              </w:rPr>
            </w:pPr>
          </w:p>
        </w:tc>
      </w:tr>
      <w:tr w14:paraId="6F5B6397">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D3684">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10-16</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B6CAC">
            <w:pPr>
              <w:keepNext w:val="0"/>
              <w:keepLines w:val="0"/>
              <w:widowControl/>
              <w:suppressLineNumbers w:val="0"/>
              <w:jc w:val="left"/>
              <w:textAlignment w:val="center"/>
              <w:rPr>
                <w:rFonts w:hint="default" w:ascii="宋体" w:hAnsi="宋体" w:eastAsia="宋体" w:cs="宋体"/>
                <w:i w:val="0"/>
                <w:iCs w:val="0"/>
                <w:snapToGrid w:val="0"/>
                <w:color w:val="000000"/>
                <w:kern w:val="0"/>
                <w:sz w:val="21"/>
                <w:szCs w:val="21"/>
                <w:u w:val="none"/>
                <w:lang w:val="en-US" w:eastAsia="zh-CN" w:bidi="ar"/>
              </w:rPr>
            </w:pPr>
            <w:r>
              <w:rPr>
                <w:rFonts w:hint="eastAsia" w:ascii="宋体" w:hAnsi="宋体" w:eastAsia="宋体" w:cs="宋体"/>
                <w:i w:val="0"/>
                <w:iCs w:val="0"/>
                <w:snapToGrid w:val="0"/>
                <w:color w:val="000000"/>
                <w:kern w:val="0"/>
                <w:sz w:val="21"/>
                <w:szCs w:val="21"/>
                <w:u w:val="none"/>
                <w:lang w:val="en-US" w:eastAsia="zh-CN" w:bidi="ar"/>
              </w:rPr>
              <w:t>合计</w:t>
            </w:r>
          </w:p>
        </w:tc>
        <w:tc>
          <w:tcPr>
            <w:tcW w:w="1734" w:type="pct"/>
            <w:tcBorders>
              <w:top w:val="single" w:color="auto" w:sz="4" w:space="0"/>
              <w:left w:val="single" w:color="000000" w:sz="4" w:space="0"/>
              <w:bottom w:val="single" w:color="000000" w:sz="4" w:space="0"/>
              <w:right w:val="single" w:color="000000" w:sz="4" w:space="0"/>
            </w:tcBorders>
            <w:shd w:val="clear" w:color="auto" w:fill="auto"/>
            <w:vAlign w:val="center"/>
          </w:tcPr>
          <w:p w14:paraId="0CB59EB6">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auto" w:sz="4" w:space="0"/>
              <w:left w:val="single" w:color="000000" w:sz="4" w:space="0"/>
              <w:bottom w:val="nil"/>
              <w:right w:val="single" w:color="000000" w:sz="4" w:space="0"/>
            </w:tcBorders>
            <w:shd w:val="clear" w:color="auto" w:fill="auto"/>
            <w:vAlign w:val="center"/>
          </w:tcPr>
          <w:p w14:paraId="29883A34">
            <w:pPr>
              <w:pageBreakBefore w:val="0"/>
              <w:overflowPunct/>
              <w:topLinePunct w:val="0"/>
              <w:bidi w:val="0"/>
              <w:adjustRightInd/>
              <w:snapToGrid w:val="0"/>
              <w:spacing w:after="0"/>
              <w:jc w:val="right"/>
              <w:rPr>
                <w:rFonts w:ascii="宋体" w:hAnsi="宋体" w:eastAsia="宋体"/>
                <w:color w:val="auto"/>
              </w:rPr>
            </w:pPr>
          </w:p>
        </w:tc>
      </w:tr>
      <w:tr w14:paraId="5F157FEA">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86255">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17</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748AB">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园博泵站-水利机械维护养护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BF072">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0E4F4D45">
            <w:pPr>
              <w:pageBreakBefore w:val="0"/>
              <w:overflowPunct/>
              <w:topLinePunct w:val="0"/>
              <w:bidi w:val="0"/>
              <w:adjustRightInd/>
              <w:snapToGrid w:val="0"/>
              <w:spacing w:after="0"/>
              <w:jc w:val="right"/>
              <w:rPr>
                <w:rFonts w:ascii="宋体" w:hAnsi="宋体" w:eastAsia="宋体"/>
                <w:color w:val="auto"/>
              </w:rPr>
            </w:pPr>
          </w:p>
        </w:tc>
      </w:tr>
      <w:tr w14:paraId="4C468053">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DFF2B">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18</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770DB">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园博泵站-供配电维护养护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F7750">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63060643">
            <w:pPr>
              <w:pageBreakBefore w:val="0"/>
              <w:overflowPunct/>
              <w:topLinePunct w:val="0"/>
              <w:bidi w:val="0"/>
              <w:adjustRightInd/>
              <w:snapToGrid w:val="0"/>
              <w:spacing w:after="0"/>
              <w:jc w:val="right"/>
              <w:rPr>
                <w:rFonts w:ascii="宋体" w:hAnsi="宋体" w:eastAsia="宋体"/>
                <w:color w:val="auto"/>
              </w:rPr>
            </w:pPr>
          </w:p>
        </w:tc>
      </w:tr>
      <w:tr w14:paraId="05EC5894">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376E6">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19</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19CA2">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园博泵站-管道工程维护养护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48FDA">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70EEB826">
            <w:pPr>
              <w:pageBreakBefore w:val="0"/>
              <w:overflowPunct/>
              <w:topLinePunct w:val="0"/>
              <w:bidi w:val="0"/>
              <w:adjustRightInd/>
              <w:snapToGrid w:val="0"/>
              <w:spacing w:after="0"/>
              <w:jc w:val="right"/>
              <w:rPr>
                <w:rFonts w:ascii="宋体" w:hAnsi="宋体" w:eastAsia="宋体"/>
                <w:color w:val="auto"/>
              </w:rPr>
            </w:pPr>
          </w:p>
        </w:tc>
      </w:tr>
      <w:tr w14:paraId="7D19C41F">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440DB">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20</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84DCE">
            <w:pPr>
              <w:keepNext w:val="0"/>
              <w:keepLines w:val="0"/>
              <w:widowControl/>
              <w:suppressLineNumbers w:val="0"/>
              <w:jc w:val="left"/>
              <w:textAlignment w:val="center"/>
              <w:rPr>
                <w:rFonts w:ascii="宋体" w:hAnsi="宋体" w:eastAsia="宋体" w:cs="宋体"/>
                <w:color w:val="auto"/>
              </w:rPr>
            </w:pPr>
            <w:r>
              <w:rPr>
                <w:rFonts w:hint="eastAsia" w:ascii="宋体" w:hAnsi="宋体" w:eastAsia="宋体" w:cs="宋体"/>
                <w:i w:val="0"/>
                <w:iCs w:val="0"/>
                <w:snapToGrid w:val="0"/>
                <w:color w:val="000000"/>
                <w:kern w:val="0"/>
                <w:sz w:val="21"/>
                <w:szCs w:val="21"/>
                <w:u w:val="none"/>
                <w:lang w:val="en-US" w:eastAsia="zh-CN" w:bidi="ar"/>
              </w:rPr>
              <w:t>园博泵站-消防设备维护养护</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764E3">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2A684038">
            <w:pPr>
              <w:pageBreakBefore w:val="0"/>
              <w:overflowPunct/>
              <w:topLinePunct w:val="0"/>
              <w:bidi w:val="0"/>
              <w:adjustRightInd/>
              <w:snapToGrid w:val="0"/>
              <w:spacing w:after="0"/>
              <w:jc w:val="right"/>
              <w:rPr>
                <w:rFonts w:ascii="宋体" w:hAnsi="宋体" w:eastAsia="宋体"/>
                <w:color w:val="auto"/>
              </w:rPr>
            </w:pPr>
          </w:p>
        </w:tc>
      </w:tr>
      <w:tr w14:paraId="454D9FDF">
        <w:tblPrEx>
          <w:tblCellMar>
            <w:top w:w="0" w:type="dxa"/>
            <w:left w:w="108" w:type="dxa"/>
            <w:bottom w:w="0" w:type="dxa"/>
            <w:right w:w="108" w:type="dxa"/>
          </w:tblCellMar>
        </w:tblPrEx>
        <w:trPr>
          <w:trHeight w:val="719" w:hRule="atLeast"/>
          <w:jc w:val="center"/>
        </w:trPr>
        <w:tc>
          <w:tcPr>
            <w:tcW w:w="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CA0A9">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17-20</w:t>
            </w:r>
          </w:p>
        </w:tc>
        <w:tc>
          <w:tcPr>
            <w:tcW w:w="2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48FEF">
            <w:pPr>
              <w:keepNext w:val="0"/>
              <w:keepLines w:val="0"/>
              <w:widowControl/>
              <w:suppressLineNumbers w:val="0"/>
              <w:jc w:val="left"/>
              <w:textAlignment w:val="center"/>
              <w:rPr>
                <w:rFonts w:hint="default" w:ascii="宋体" w:hAnsi="宋体" w:eastAsia="宋体" w:cs="宋体"/>
                <w:i w:val="0"/>
                <w:iCs w:val="0"/>
                <w:snapToGrid w:val="0"/>
                <w:color w:val="000000"/>
                <w:kern w:val="0"/>
                <w:sz w:val="21"/>
                <w:szCs w:val="21"/>
                <w:u w:val="none"/>
                <w:lang w:val="en-US" w:eastAsia="zh-CN" w:bidi="ar"/>
              </w:rPr>
            </w:pPr>
            <w:r>
              <w:rPr>
                <w:rFonts w:hint="eastAsia" w:ascii="宋体" w:hAnsi="宋体" w:eastAsia="宋体" w:cs="宋体"/>
                <w:i w:val="0"/>
                <w:iCs w:val="0"/>
                <w:snapToGrid w:val="0"/>
                <w:color w:val="000000"/>
                <w:kern w:val="0"/>
                <w:sz w:val="21"/>
                <w:szCs w:val="21"/>
                <w:u w:val="none"/>
                <w:lang w:val="en-US" w:eastAsia="zh-CN" w:bidi="ar"/>
              </w:rPr>
              <w:t>合计</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EAF08">
            <w:pPr>
              <w:pageBreakBefore w:val="0"/>
              <w:overflowPunct/>
              <w:topLinePunct w:val="0"/>
              <w:bidi w:val="0"/>
              <w:adjustRightInd/>
              <w:snapToGrid w:val="0"/>
              <w:spacing w:after="0"/>
              <w:jc w:val="center"/>
              <w:rPr>
                <w:rFonts w:ascii="宋体" w:hAnsi="宋体" w:eastAsia="宋体"/>
                <w:color w:val="auto"/>
              </w:rPr>
            </w:pPr>
          </w:p>
        </w:tc>
        <w:tc>
          <w:tcPr>
            <w:tcW w:w="775" w:type="pct"/>
            <w:tcBorders>
              <w:top w:val="single" w:color="000000" w:sz="4" w:space="0"/>
              <w:left w:val="single" w:color="000000" w:sz="4" w:space="0"/>
              <w:bottom w:val="nil"/>
              <w:right w:val="single" w:color="000000" w:sz="4" w:space="0"/>
            </w:tcBorders>
            <w:shd w:val="clear" w:color="auto" w:fill="auto"/>
            <w:vAlign w:val="center"/>
          </w:tcPr>
          <w:p w14:paraId="088DE54B">
            <w:pPr>
              <w:pageBreakBefore w:val="0"/>
              <w:overflowPunct/>
              <w:topLinePunct w:val="0"/>
              <w:bidi w:val="0"/>
              <w:adjustRightInd/>
              <w:snapToGrid w:val="0"/>
              <w:spacing w:after="0"/>
              <w:jc w:val="right"/>
              <w:rPr>
                <w:rFonts w:ascii="宋体" w:hAnsi="宋体" w:eastAsia="宋体"/>
                <w:color w:val="auto"/>
              </w:rPr>
            </w:pPr>
          </w:p>
        </w:tc>
      </w:tr>
      <w:tr w14:paraId="18D687DE">
        <w:tblPrEx>
          <w:tblCellMar>
            <w:top w:w="0" w:type="dxa"/>
            <w:left w:w="108" w:type="dxa"/>
            <w:bottom w:w="0" w:type="dxa"/>
            <w:right w:w="108" w:type="dxa"/>
          </w:tblCellMar>
        </w:tblPrEx>
        <w:trPr>
          <w:trHeight w:val="564" w:hRule="atLeast"/>
          <w:jc w:val="center"/>
        </w:trPr>
        <w:tc>
          <w:tcPr>
            <w:tcW w:w="24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EFA446">
            <w:pPr>
              <w:pageBreakBefore w:val="0"/>
              <w:overflowPunct/>
              <w:topLinePunct w:val="0"/>
              <w:bidi w:val="0"/>
              <w:adjustRightInd/>
              <w:snapToGrid w:val="0"/>
              <w:spacing w:after="0"/>
              <w:jc w:val="center"/>
              <w:rPr>
                <w:rFonts w:ascii="宋体" w:hAnsi="宋体" w:eastAsia="宋体" w:cs="宋体"/>
                <w:b/>
                <w:bCs/>
                <w:color w:val="auto"/>
              </w:rPr>
            </w:pPr>
            <w:r>
              <w:rPr>
                <w:rFonts w:hint="eastAsia" w:ascii="宋体" w:hAnsi="宋体" w:eastAsia="宋体" w:cs="宋体"/>
                <w:b/>
                <w:bCs/>
                <w:color w:val="auto"/>
              </w:rPr>
              <w:t>合    计（元）</w:t>
            </w:r>
          </w:p>
        </w:tc>
        <w:tc>
          <w:tcPr>
            <w:tcW w:w="1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D1740">
            <w:pPr>
              <w:pageBreakBefore w:val="0"/>
              <w:overflowPunct/>
              <w:topLinePunct w:val="0"/>
              <w:bidi w:val="0"/>
              <w:adjustRightInd/>
              <w:snapToGrid w:val="0"/>
              <w:spacing w:after="0"/>
              <w:jc w:val="right"/>
              <w:rPr>
                <w:rFonts w:ascii="宋体" w:hAnsi="宋体" w:eastAsia="宋体"/>
                <w:color w:val="auto"/>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355B3">
            <w:pPr>
              <w:pageBreakBefore w:val="0"/>
              <w:overflowPunct/>
              <w:topLinePunct w:val="0"/>
              <w:bidi w:val="0"/>
              <w:adjustRightInd/>
              <w:snapToGrid w:val="0"/>
              <w:spacing w:after="0"/>
              <w:jc w:val="right"/>
              <w:rPr>
                <w:rFonts w:ascii="宋体" w:hAnsi="宋体" w:eastAsia="宋体"/>
                <w:color w:val="auto"/>
              </w:rPr>
            </w:pPr>
          </w:p>
        </w:tc>
      </w:tr>
    </w:tbl>
    <w:p w14:paraId="5506608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pacing w:val="-1"/>
          <w:sz w:val="24"/>
          <w:szCs w:val="24"/>
        </w:rPr>
      </w:pPr>
    </w:p>
    <w:p w14:paraId="50A03D0B">
      <w:pPr>
        <w:pageBreakBefore w:val="0"/>
        <w:overflowPunct/>
        <w:topLinePunct w:val="0"/>
        <w:bidi w:val="0"/>
        <w:snapToGrid w:val="0"/>
        <w:spacing w:before="309" w:after="0" w:line="360" w:lineRule="auto"/>
        <w:ind w:left="107"/>
        <w:rPr>
          <w:rFonts w:hint="eastAsia" w:ascii="宋体" w:hAnsi="宋体" w:eastAsia="宋体" w:cs="宋体"/>
          <w:sz w:val="24"/>
          <w:szCs w:val="24"/>
        </w:rPr>
      </w:pPr>
      <w:r>
        <w:rPr>
          <w:rFonts w:hint="eastAsia" w:ascii="宋体" w:hAnsi="宋体" w:eastAsia="宋体" w:cs="宋体"/>
          <w:spacing w:val="-3"/>
          <w:sz w:val="24"/>
          <w:szCs w:val="24"/>
        </w:rPr>
        <w:t>注：1.本表应按包分别填写。</w:t>
      </w:r>
    </w:p>
    <w:p w14:paraId="5A77E16E">
      <w:pPr>
        <w:pageBreakBefore w:val="0"/>
        <w:numPr>
          <w:ilvl w:val="0"/>
          <w:numId w:val="10"/>
        </w:numPr>
        <w:overflowPunct/>
        <w:topLinePunct w:val="0"/>
        <w:bidi w:val="0"/>
        <w:snapToGrid w:val="0"/>
        <w:spacing w:before="24" w:after="0" w:line="360" w:lineRule="auto"/>
        <w:ind w:left="587" w:right="2021" w:hanging="4"/>
        <w:rPr>
          <w:rFonts w:hint="eastAsia" w:ascii="宋体" w:hAnsi="宋体" w:eastAsia="宋体" w:cs="宋体"/>
          <w:spacing w:val="-8"/>
          <w:sz w:val="24"/>
          <w:szCs w:val="24"/>
        </w:rPr>
      </w:pPr>
      <w:r>
        <w:rPr>
          <w:rFonts w:hint="eastAsia" w:ascii="宋体" w:hAnsi="宋体" w:eastAsia="宋体" w:cs="宋体"/>
          <w:spacing w:val="-2"/>
          <w:sz w:val="24"/>
          <w:szCs w:val="24"/>
        </w:rPr>
        <w:t>如果不提供分项报价将视为没有实质性响应招标文件。</w:t>
      </w:r>
      <w:r>
        <w:rPr>
          <w:rFonts w:hint="eastAsia" w:ascii="宋体" w:hAnsi="宋体" w:eastAsia="宋体" w:cs="宋体"/>
          <w:spacing w:val="11"/>
          <w:sz w:val="24"/>
          <w:szCs w:val="24"/>
        </w:rPr>
        <w:t xml:space="preserve"> </w:t>
      </w:r>
      <w:r>
        <w:rPr>
          <w:rFonts w:hint="eastAsia" w:ascii="宋体" w:hAnsi="宋体" w:eastAsia="宋体" w:cs="宋体"/>
          <w:spacing w:val="-8"/>
          <w:sz w:val="24"/>
          <w:szCs w:val="24"/>
        </w:rPr>
        <w:t>3.上述各项的详细规格（如有</w:t>
      </w:r>
      <w:r>
        <w:rPr>
          <w:rFonts w:hint="eastAsia" w:ascii="宋体" w:hAnsi="宋体" w:eastAsia="宋体" w:cs="宋体"/>
          <w:spacing w:val="-2"/>
          <w:sz w:val="24"/>
          <w:szCs w:val="24"/>
        </w:rPr>
        <w:t>），</w:t>
      </w:r>
      <w:r>
        <w:rPr>
          <w:rFonts w:hint="eastAsia" w:ascii="宋体" w:hAnsi="宋体" w:eastAsia="宋体" w:cs="宋体"/>
          <w:spacing w:val="-8"/>
          <w:sz w:val="24"/>
          <w:szCs w:val="24"/>
        </w:rPr>
        <w:t>可另页描述。</w:t>
      </w:r>
    </w:p>
    <w:p w14:paraId="03E5A9F7">
      <w:pPr>
        <w:ind w:firstLine="720" w:firstLine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4.最高控制价382.049252万元，其中：分部1-9合计报价不得超过105.130141万元，分部10-16合计报价不得超过186.085637万元，分部17-20合计报价不得超过90.833474万元。</w:t>
      </w:r>
    </w:p>
    <w:p w14:paraId="282899E5">
      <w:pPr>
        <w:pageBreakBefore w:val="0"/>
        <w:overflowPunct/>
        <w:topLinePunct w:val="0"/>
        <w:bidi w:val="0"/>
        <w:snapToGrid w:val="0"/>
        <w:spacing w:before="78" w:after="0" w:line="360" w:lineRule="auto"/>
        <w:ind w:left="125"/>
        <w:rPr>
          <w:rFonts w:hint="eastAsia" w:ascii="宋体" w:hAnsi="宋体" w:eastAsia="宋体" w:cs="宋体"/>
          <w:color w:val="auto"/>
          <w:sz w:val="24"/>
          <w:szCs w:val="24"/>
        </w:rPr>
      </w:pPr>
      <w:r>
        <w:rPr>
          <w:rFonts w:hint="eastAsia" w:ascii="宋体" w:hAnsi="宋体" w:eastAsia="宋体" w:cs="宋体"/>
          <w:color w:val="auto"/>
          <w:spacing w:val="-2"/>
          <w:position w:val="19"/>
          <w:sz w:val="24"/>
          <w:szCs w:val="24"/>
        </w:rPr>
        <w:t>投标人名称(加盖公章)：_____</w:t>
      </w:r>
      <w:r>
        <w:rPr>
          <w:rFonts w:hint="eastAsia" w:ascii="宋体" w:hAnsi="宋体" w:eastAsia="宋体" w:cs="宋体"/>
          <w:color w:val="auto"/>
          <w:spacing w:val="-1"/>
          <w:position w:val="19"/>
          <w:sz w:val="24"/>
          <w:szCs w:val="24"/>
        </w:rPr>
        <w:t>_______</w:t>
      </w:r>
    </w:p>
    <w:p w14:paraId="19A95649">
      <w:pPr>
        <w:pageBreakBefore w:val="0"/>
        <w:overflowPunct/>
        <w:topLinePunct w:val="0"/>
        <w:bidi w:val="0"/>
        <w:snapToGrid w:val="0"/>
        <w:spacing w:before="2" w:after="0" w:line="218" w:lineRule="auto"/>
        <w:ind w:left="164"/>
        <w:rPr>
          <w:rFonts w:hint="eastAsia" w:ascii="宋体" w:hAnsi="宋体" w:eastAsia="宋体" w:cs="宋体"/>
          <w:color w:val="auto"/>
          <w:sz w:val="24"/>
          <w:szCs w:val="24"/>
        </w:rPr>
      </w:pPr>
      <w:r>
        <w:rPr>
          <w:rFonts w:hint="eastAsia" w:ascii="宋体" w:hAnsi="宋体" w:eastAsia="宋体" w:cs="宋体"/>
          <w:color w:val="auto"/>
          <w:spacing w:val="-32"/>
          <w:sz w:val="24"/>
          <w:szCs w:val="24"/>
        </w:rPr>
        <w:t>日</w:t>
      </w:r>
      <w:r>
        <w:rPr>
          <w:rFonts w:hint="eastAsia" w:ascii="宋体" w:hAnsi="宋体" w:eastAsia="宋体" w:cs="宋体"/>
          <w:color w:val="auto"/>
          <w:spacing w:val="-16"/>
          <w:sz w:val="24"/>
          <w:szCs w:val="24"/>
        </w:rPr>
        <w:t>期： _____年______月______ 日</w:t>
      </w:r>
    </w:p>
    <w:p w14:paraId="4F24C681">
      <w:pPr>
        <w:pStyle w:val="6"/>
        <w:pageBreakBefore w:val="0"/>
        <w:overflowPunct/>
        <w:topLinePunct w:val="0"/>
        <w:bidi w:val="0"/>
        <w:snapToGrid w:val="0"/>
        <w:spacing w:after="0"/>
        <w:rPr>
          <w:rFonts w:hint="eastAsia" w:hAnsi="宋体"/>
        </w:rPr>
      </w:pPr>
    </w:p>
    <w:p w14:paraId="6267FFB7">
      <w:pPr>
        <w:pStyle w:val="6"/>
        <w:pageBreakBefore w:val="0"/>
        <w:overflowPunct/>
        <w:topLinePunct w:val="0"/>
        <w:bidi w:val="0"/>
        <w:snapToGrid w:val="0"/>
        <w:spacing w:after="0"/>
      </w:pPr>
      <w:r>
        <w:br w:type="page"/>
      </w:r>
    </w:p>
    <w:p w14:paraId="7648B691">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1" w:name="_Toc148096384"/>
      <w:r>
        <w:rPr>
          <w:rFonts w:hint="eastAsia" w:ascii="宋体" w:hAnsi="宋体" w:eastAsia="宋体" w:cs="宋体"/>
          <w:color w:val="auto"/>
          <w:spacing w:val="-1"/>
          <w:sz w:val="24"/>
          <w:szCs w:val="24"/>
        </w:rPr>
        <w:t>5 合同条款偏离表(实质性格式)</w:t>
      </w:r>
      <w:bookmarkEnd w:id="71"/>
    </w:p>
    <w:p w14:paraId="4217574C">
      <w:pPr>
        <w:pageBreakBefore w:val="0"/>
        <w:overflowPunct/>
        <w:topLinePunct w:val="0"/>
        <w:bidi w:val="0"/>
        <w:snapToGrid w:val="0"/>
        <w:spacing w:before="124" w:after="0" w:line="221"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14:paraId="775B8718">
      <w:pPr>
        <w:pageBreakBefore w:val="0"/>
        <w:overflowPunct/>
        <w:topLinePunct w:val="0"/>
        <w:bidi w:val="0"/>
        <w:snapToGrid w:val="0"/>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7"/>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14:paraId="3220C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3C3D00C6">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14:paraId="1FBE64E9">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14:paraId="2A25B4AF">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14:paraId="16F99CDC">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14:paraId="5014F628">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14:paraId="45D44677">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29CCE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14:paraId="3860E62C">
            <w:pPr>
              <w:pageBreakBefore w:val="0"/>
              <w:overflowPunct/>
              <w:topLinePunct w:val="0"/>
              <w:bidi w:val="0"/>
              <w:snapToGrid w:val="0"/>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6B64A8DA">
            <w:pPr>
              <w:pageBreakBefore w:val="0"/>
              <w:overflowPunct/>
              <w:topLinePunct w:val="0"/>
              <w:bidi w:val="0"/>
              <w:snapToGrid w:val="0"/>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14:paraId="5EC0A2C7">
            <w:pPr>
              <w:pageBreakBefore w:val="0"/>
              <w:overflowPunct/>
              <w:topLinePunct w:val="0"/>
              <w:bidi w:val="0"/>
              <w:snapToGrid w:val="0"/>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14:paraId="7CD04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328C3918">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0C9A1ECF">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3F674DC6">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6D83EB6D">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211BDBC2">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4C4B640C">
            <w:pPr>
              <w:pageBreakBefore w:val="0"/>
              <w:overflowPunct/>
              <w:topLinePunct w:val="0"/>
              <w:bidi w:val="0"/>
              <w:snapToGrid w:val="0"/>
              <w:spacing w:after="0" w:line="276" w:lineRule="auto"/>
              <w:rPr>
                <w:rFonts w:hint="eastAsia" w:ascii="宋体" w:hAnsi="宋体" w:eastAsia="宋体"/>
                <w:color w:val="auto"/>
                <w:sz w:val="24"/>
                <w:szCs w:val="24"/>
              </w:rPr>
            </w:pPr>
          </w:p>
        </w:tc>
      </w:tr>
      <w:tr w14:paraId="66841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6D0F0FCA">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1E7D8DE0">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7461AB88">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79CE64BD">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5C449C4C">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03597B77">
            <w:pPr>
              <w:pageBreakBefore w:val="0"/>
              <w:overflowPunct/>
              <w:topLinePunct w:val="0"/>
              <w:bidi w:val="0"/>
              <w:snapToGrid w:val="0"/>
              <w:spacing w:after="0" w:line="276" w:lineRule="auto"/>
              <w:rPr>
                <w:rFonts w:hint="eastAsia" w:ascii="宋体" w:hAnsi="宋体" w:eastAsia="宋体"/>
                <w:color w:val="auto"/>
                <w:sz w:val="24"/>
                <w:szCs w:val="24"/>
              </w:rPr>
            </w:pPr>
          </w:p>
        </w:tc>
      </w:tr>
      <w:tr w14:paraId="136C1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77C1DBDB">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681BD204">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0392ACBD">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45C35538">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2F344E63">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5E21B624">
            <w:pPr>
              <w:pageBreakBefore w:val="0"/>
              <w:overflowPunct/>
              <w:topLinePunct w:val="0"/>
              <w:bidi w:val="0"/>
              <w:snapToGrid w:val="0"/>
              <w:spacing w:after="0" w:line="276" w:lineRule="auto"/>
              <w:rPr>
                <w:rFonts w:hint="eastAsia" w:ascii="宋体" w:hAnsi="宋体" w:eastAsia="宋体"/>
                <w:color w:val="auto"/>
                <w:sz w:val="24"/>
                <w:szCs w:val="24"/>
              </w:rPr>
            </w:pPr>
          </w:p>
        </w:tc>
      </w:tr>
      <w:tr w14:paraId="60C55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45513A60">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0F0A9022">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3163C03A">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22AD3038">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1AFD8526">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53836A24">
            <w:pPr>
              <w:pageBreakBefore w:val="0"/>
              <w:overflowPunct/>
              <w:topLinePunct w:val="0"/>
              <w:bidi w:val="0"/>
              <w:snapToGrid w:val="0"/>
              <w:spacing w:after="0" w:line="276" w:lineRule="auto"/>
              <w:rPr>
                <w:rFonts w:hint="eastAsia" w:ascii="宋体" w:hAnsi="宋体" w:eastAsia="宋体"/>
                <w:color w:val="auto"/>
                <w:sz w:val="24"/>
                <w:szCs w:val="24"/>
              </w:rPr>
            </w:pPr>
          </w:p>
        </w:tc>
      </w:tr>
    </w:tbl>
    <w:p w14:paraId="050F4362">
      <w:pPr>
        <w:pageBreakBefore w:val="0"/>
        <w:overflowPunct/>
        <w:topLinePunct w:val="0"/>
        <w:bidi w:val="0"/>
        <w:snapToGrid w:val="0"/>
        <w:spacing w:before="314" w:after="0" w:line="220" w:lineRule="auto"/>
        <w:rPr>
          <w:rFonts w:hint="eastAsia" w:ascii="宋体" w:hAnsi="宋体" w:eastAsia="宋体" w:cs="宋体"/>
          <w:color w:val="auto"/>
          <w:sz w:val="24"/>
          <w:szCs w:val="24"/>
        </w:rPr>
      </w:pPr>
      <w:r>
        <w:rPr>
          <w:rFonts w:hint="eastAsia" w:ascii="宋体" w:hAnsi="宋体" w:eastAsia="宋体"/>
          <w:color w:val="auto"/>
          <w:sz w:val="24"/>
          <w:szCs w:val="24"/>
        </w:rPr>
        <w:t>注：“偏离情况”列应据实填写“正偏离”或“负偏离”。</w:t>
      </w:r>
    </w:p>
    <w:p w14:paraId="66BFD3A1">
      <w:pPr>
        <w:pageBreakBefore w:val="0"/>
        <w:overflowPunct/>
        <w:topLinePunct w:val="0"/>
        <w:bidi w:val="0"/>
        <w:snapToGrid w:val="0"/>
        <w:spacing w:after="0" w:line="277" w:lineRule="auto"/>
        <w:rPr>
          <w:rFonts w:hint="eastAsia" w:ascii="宋体" w:hAnsi="宋体" w:eastAsia="宋体" w:cs="宋体"/>
          <w:color w:val="auto"/>
        </w:rPr>
      </w:pPr>
    </w:p>
    <w:p w14:paraId="1F21267C">
      <w:pPr>
        <w:pageBreakBefore w:val="0"/>
        <w:overflowPunct/>
        <w:topLinePunct w:val="0"/>
        <w:bidi w:val="0"/>
        <w:snapToGrid w:val="0"/>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0EA52AA0">
      <w:pPr>
        <w:pageBreakBefore w:val="0"/>
        <w:overflowPunct/>
        <w:topLinePunct w:val="0"/>
        <w:bidi w:val="0"/>
        <w:snapToGrid w:val="0"/>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2A00617E">
      <w:pPr>
        <w:pStyle w:val="6"/>
        <w:pageBreakBefore w:val="0"/>
        <w:overflowPunct/>
        <w:topLinePunct w:val="0"/>
        <w:bidi w:val="0"/>
        <w:snapToGrid w:val="0"/>
        <w:spacing w:after="0"/>
        <w:rPr>
          <w:rFonts w:hint="eastAsia" w:hAnsi="宋体"/>
        </w:rPr>
      </w:pPr>
    </w:p>
    <w:p w14:paraId="201B18B2">
      <w:pPr>
        <w:pStyle w:val="6"/>
        <w:pageBreakBefore w:val="0"/>
        <w:overflowPunct/>
        <w:topLinePunct w:val="0"/>
        <w:bidi w:val="0"/>
        <w:snapToGrid w:val="0"/>
        <w:spacing w:after="0"/>
      </w:pPr>
      <w:r>
        <w:br w:type="page"/>
      </w:r>
    </w:p>
    <w:p w14:paraId="20EBBAD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72" w:name="_Toc148096385"/>
      <w:r>
        <w:rPr>
          <w:rFonts w:hint="eastAsia" w:ascii="宋体" w:hAnsi="宋体" w:eastAsia="宋体" w:cs="宋体"/>
          <w:color w:val="auto"/>
          <w:spacing w:val="-1"/>
          <w:sz w:val="24"/>
          <w:szCs w:val="24"/>
        </w:rPr>
        <w:t>6 采购需求偏离表(实质性格式)</w:t>
      </w:r>
      <w:bookmarkEnd w:id="72"/>
    </w:p>
    <w:p w14:paraId="1CFAF322">
      <w:pPr>
        <w:pageBreakBefore w:val="0"/>
        <w:overflowPunct/>
        <w:topLinePunct w:val="0"/>
        <w:bidi w:val="0"/>
        <w:snapToGrid w:val="0"/>
        <w:spacing w:before="198" w:after="0" w:line="219" w:lineRule="auto"/>
        <w:ind w:left="3579"/>
        <w:rPr>
          <w:rFonts w:hint="eastAsia"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14:paraId="5F62500C">
      <w:pPr>
        <w:pageBreakBefore w:val="0"/>
        <w:overflowPunct/>
        <w:topLinePunct w:val="0"/>
        <w:bidi w:val="0"/>
        <w:snapToGrid w:val="0"/>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7"/>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7E354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29CA4367">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14:paraId="07466A60">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14:paraId="7733AB19">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14:paraId="0BFE5F06">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14:paraId="6899476E">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14:paraId="2ABC7094">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6AA14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13220880">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71F58CAA">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1337AFD6">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18EF61BF">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62F02115">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112C06F2">
            <w:pPr>
              <w:pageBreakBefore w:val="0"/>
              <w:overflowPunct/>
              <w:topLinePunct w:val="0"/>
              <w:bidi w:val="0"/>
              <w:snapToGrid w:val="0"/>
              <w:spacing w:after="0" w:line="276" w:lineRule="auto"/>
              <w:rPr>
                <w:rFonts w:hint="eastAsia" w:ascii="宋体" w:hAnsi="宋体" w:eastAsia="宋体"/>
                <w:color w:val="auto"/>
                <w:sz w:val="24"/>
                <w:szCs w:val="24"/>
              </w:rPr>
            </w:pPr>
          </w:p>
        </w:tc>
      </w:tr>
      <w:tr w14:paraId="0AA9B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C8D2304">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6875039F">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3B0E9232">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7DFFC44D">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780E478B">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2CCCAECE">
            <w:pPr>
              <w:pageBreakBefore w:val="0"/>
              <w:overflowPunct/>
              <w:topLinePunct w:val="0"/>
              <w:bidi w:val="0"/>
              <w:snapToGrid w:val="0"/>
              <w:spacing w:after="0" w:line="276" w:lineRule="auto"/>
              <w:rPr>
                <w:rFonts w:hint="eastAsia" w:ascii="宋体" w:hAnsi="宋体" w:eastAsia="宋体"/>
                <w:color w:val="auto"/>
                <w:sz w:val="24"/>
                <w:szCs w:val="24"/>
              </w:rPr>
            </w:pPr>
          </w:p>
        </w:tc>
      </w:tr>
      <w:tr w14:paraId="34C91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AB956E4">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2D1D8873">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6B6A1FF8">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17A09346">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76E142E8">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54B64CE3">
            <w:pPr>
              <w:pageBreakBefore w:val="0"/>
              <w:overflowPunct/>
              <w:topLinePunct w:val="0"/>
              <w:bidi w:val="0"/>
              <w:snapToGrid w:val="0"/>
              <w:spacing w:after="0" w:line="276" w:lineRule="auto"/>
              <w:rPr>
                <w:rFonts w:hint="eastAsia" w:ascii="宋体" w:hAnsi="宋体" w:eastAsia="宋体"/>
                <w:color w:val="auto"/>
                <w:sz w:val="24"/>
                <w:szCs w:val="24"/>
              </w:rPr>
            </w:pPr>
          </w:p>
        </w:tc>
      </w:tr>
      <w:tr w14:paraId="050BB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1A918313">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5367E6B2">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454766B5">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4264D894">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1A094EF2">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2E66CC1C">
            <w:pPr>
              <w:pageBreakBefore w:val="0"/>
              <w:overflowPunct/>
              <w:topLinePunct w:val="0"/>
              <w:bidi w:val="0"/>
              <w:snapToGrid w:val="0"/>
              <w:spacing w:after="0" w:line="276" w:lineRule="auto"/>
              <w:rPr>
                <w:rFonts w:hint="eastAsia" w:ascii="宋体" w:hAnsi="宋体" w:eastAsia="宋体"/>
                <w:color w:val="auto"/>
                <w:sz w:val="24"/>
                <w:szCs w:val="24"/>
              </w:rPr>
            </w:pPr>
          </w:p>
        </w:tc>
      </w:tr>
      <w:tr w14:paraId="567A4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29FD6FEB">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07D90106">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1FEE458D">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482C62AB">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596D8F2F">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1D810D47">
            <w:pPr>
              <w:pageBreakBefore w:val="0"/>
              <w:overflowPunct/>
              <w:topLinePunct w:val="0"/>
              <w:bidi w:val="0"/>
              <w:snapToGrid w:val="0"/>
              <w:spacing w:after="0" w:line="276" w:lineRule="auto"/>
              <w:rPr>
                <w:rFonts w:hint="eastAsia" w:ascii="宋体" w:hAnsi="宋体" w:eastAsia="宋体"/>
                <w:color w:val="auto"/>
                <w:sz w:val="24"/>
                <w:szCs w:val="24"/>
              </w:rPr>
            </w:pPr>
          </w:p>
        </w:tc>
      </w:tr>
      <w:tr w14:paraId="1D02E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088705D4">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483BBEF7">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74A8EA12">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1843025D">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2F6BD672">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1AC83F22">
            <w:pPr>
              <w:pageBreakBefore w:val="0"/>
              <w:overflowPunct/>
              <w:topLinePunct w:val="0"/>
              <w:bidi w:val="0"/>
              <w:snapToGrid w:val="0"/>
              <w:spacing w:after="0" w:line="276" w:lineRule="auto"/>
              <w:rPr>
                <w:rFonts w:hint="eastAsia" w:ascii="宋体" w:hAnsi="宋体" w:eastAsia="宋体"/>
                <w:color w:val="auto"/>
                <w:sz w:val="24"/>
                <w:szCs w:val="24"/>
              </w:rPr>
            </w:pPr>
          </w:p>
        </w:tc>
      </w:tr>
    </w:tbl>
    <w:p w14:paraId="078475E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3D6E3F5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1.对招标文件中的所有商务、技术要求，除本表所列明的所有偏离外，均视作供应商已对之理解和响应。此表中若无任何文字说明，内容为空白的，投标无效。 </w:t>
      </w:r>
    </w:p>
    <w:p w14:paraId="51729F0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14:paraId="60789A20">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7F78115F">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62B8F80F">
      <w:pPr>
        <w:pStyle w:val="6"/>
        <w:pageBreakBefore w:val="0"/>
        <w:overflowPunct/>
        <w:topLinePunct w:val="0"/>
        <w:bidi w:val="0"/>
        <w:snapToGrid w:val="0"/>
        <w:spacing w:after="0"/>
        <w:rPr>
          <w:rFonts w:hint="eastAsia" w:hAnsi="宋体"/>
        </w:rPr>
      </w:pPr>
    </w:p>
    <w:p w14:paraId="3D6E4316">
      <w:pPr>
        <w:pStyle w:val="6"/>
        <w:pageBreakBefore w:val="0"/>
        <w:overflowPunct/>
        <w:topLinePunct w:val="0"/>
        <w:bidi w:val="0"/>
        <w:snapToGrid w:val="0"/>
        <w:spacing w:after="0"/>
      </w:pPr>
      <w:r>
        <w:br w:type="page"/>
      </w:r>
    </w:p>
    <w:p w14:paraId="70DD26CA">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z w:val="24"/>
          <w:szCs w:val="24"/>
        </w:rPr>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olor w:val="auto"/>
          <w:spacing w:val="1"/>
          <w:sz w:val="24"/>
          <w:szCs w:val="24"/>
        </w:rPr>
        <w:t>7</w:t>
      </w:r>
      <w:r>
        <w:rPr>
          <w:rFonts w:ascii="宋体" w:hAnsi="宋体" w:eastAsia="宋体"/>
          <w:color w:val="auto"/>
          <w:spacing w:val="1"/>
          <w:sz w:val="24"/>
          <w:szCs w:val="24"/>
        </w:rPr>
        <w:t xml:space="preserve"> </w:t>
      </w:r>
      <w:r>
        <w:rPr>
          <w:rFonts w:ascii="宋体" w:hAnsi="宋体" w:eastAsia="宋体" w:cs="宋体"/>
          <w:color w:val="auto"/>
          <w:spacing w:val="1"/>
          <w:sz w:val="24"/>
          <w:szCs w:val="24"/>
        </w:rPr>
        <w:t>招标文件要求提供</w:t>
      </w:r>
      <w:r>
        <w:rPr>
          <w:rFonts w:ascii="宋体" w:hAnsi="宋体" w:eastAsia="宋体" w:cs="宋体"/>
          <w:color w:val="auto"/>
          <w:sz w:val="24"/>
          <w:szCs w:val="24"/>
        </w:rPr>
        <w:t>或投标人认为应附的其他材料</w:t>
      </w:r>
    </w:p>
    <w:p w14:paraId="7038A03B">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8 技术部分</w:t>
      </w:r>
    </w:p>
    <w:p w14:paraId="1CFC0C9B">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z w:val="24"/>
          <w:szCs w:val="24"/>
        </w:rPr>
      </w:pPr>
    </w:p>
    <w:p w14:paraId="0EE5EFCC">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说明：请根据本项目的需求，参照评审打分要求，自行编写实施（服务）方案。</w:t>
      </w:r>
    </w:p>
    <w:p w14:paraId="1FB423D1">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（格式自拟）</w:t>
      </w:r>
    </w:p>
    <w:p w14:paraId="598878B5">
      <w:pPr>
        <w:pStyle w:val="6"/>
        <w:pageBreakBefore w:val="0"/>
        <w:overflowPunct/>
        <w:topLinePunct w:val="0"/>
        <w:bidi w:val="0"/>
        <w:snapToGrid w:val="0"/>
        <w:spacing w:after="0"/>
        <w:rPr>
          <w:rFonts w:hint="eastAsia" w:hAnsi="宋体"/>
        </w:rPr>
      </w:pPr>
    </w:p>
    <w:p w14:paraId="1FC58BA6">
      <w:pPr>
        <w:pageBreakBefore w:val="0"/>
        <w:overflowPunct/>
        <w:topLinePunct w:val="0"/>
        <w:bidi w:val="0"/>
        <w:snapToGrid w:val="0"/>
        <w:spacing w:after="0" w:line="360" w:lineRule="auto"/>
        <w:ind w:firstLine="480" w:firstLineChars="200"/>
        <w:rPr>
          <w:color w:val="auto"/>
        </w:rPr>
      </w:pPr>
      <w:r>
        <w:rPr>
          <w:rFonts w:hint="eastAsia" w:ascii="宋体" w:hAnsi="宋体" w:eastAsia="宋体"/>
          <w:color w:val="auto"/>
          <w:sz w:val="24"/>
          <w:szCs w:val="24"/>
        </w:rPr>
        <w:t xml:space="preserve">                                               </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0CEC95E-8772-480A-9345-F4B93BA19CD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0765E72-0ABC-4E6B-A19B-43C78B0D4C52}"/>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7AF935C3-C92E-43FA-8A4E-998378937749}"/>
  </w:font>
  <w:font w:name="方正仿宋_GBK">
    <w:altName w:val="微软雅黑"/>
    <w:panose1 w:val="02000000000000000000"/>
    <w:charset w:val="86"/>
    <w:family w:val="auto"/>
    <w:pitch w:val="default"/>
    <w:sig w:usb0="00000000" w:usb1="00000000" w:usb2="00000000" w:usb3="00000000" w:csb0="00040000" w:csb1="00000000"/>
    <w:embedRegular r:id="rId4" w:fontKey="{DE78A902-0EA2-457A-ACFB-B8C74423DB75}"/>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5" w:fontKey="{8ECDA77C-EA48-4ADD-8216-D5B078879A7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F87F8">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CE85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43B95">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BA69E">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E5BA69E">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B8689">
    <w:pPr>
      <w:pStyle w:val="10"/>
      <w:jc w:val="center"/>
      <w:rPr>
        <w:rFonts w:hint="eastAsia" w:ascii="宋体" w:hAnsi="宋体" w:eastAsia="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6A7A7">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AF6A7A7">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3539C">
    <w:pPr>
      <w:pStyle w:val="10"/>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1AC04">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D11AC04">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15918">
    <w:pPr>
      <w:pStyle w:val="1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4E713">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5C4E713">
                    <w:pPr>
                      <w:pStyle w:val="10"/>
                    </w:pPr>
                    <w:r>
                      <w:fldChar w:fldCharType="begin"/>
                    </w:r>
                    <w:r>
                      <w:instrText xml:space="preserve"> PAGE  \* MERGEFORMAT </w:instrText>
                    </w:r>
                    <w:r>
                      <w:fldChar w:fldCharType="separate"/>
                    </w:r>
                    <w:r>
                      <w:t>44</w:t>
                    </w:r>
                    <w:r>
                      <w:fldChar w:fldCharType="end"/>
                    </w:r>
                  </w:p>
                </w:txbxContent>
              </v:textbox>
            </v:shape>
          </w:pict>
        </mc:Fallback>
      </mc:AlternateContent>
    </w:r>
  </w:p>
  <w:p w14:paraId="0358C215">
    <w:pPr>
      <w:spacing w:line="198" w:lineRule="auto"/>
      <w:ind w:left="4430"/>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9145B">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C13D1">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EC13D1">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99445">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85503">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D1AA7">
    <w:pPr>
      <w:pStyle w:val="11"/>
      <w:widowControl w:val="0"/>
      <w:pBdr>
        <w:top w:val="none" w:color="auto" w:sz="0" w:space="1"/>
        <w:left w:val="none" w:color="auto" w:sz="0" w:space="4"/>
        <w:bottom w:val="none" w:color="auto" w:sz="0" w:space="1"/>
        <w:right w:val="none" w:color="auto" w:sz="0" w:space="4"/>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61764">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B84C"/>
    <w:multiLevelType w:val="singleLevel"/>
    <w:tmpl w:val="BDFAB84C"/>
    <w:lvl w:ilvl="0" w:tentative="0">
      <w:start w:val="1"/>
      <w:numFmt w:val="chineseCounting"/>
      <w:suff w:val="nothing"/>
      <w:lvlText w:val="（%1）"/>
      <w:lvlJc w:val="left"/>
      <w:rPr>
        <w:rFonts w:hint="eastAsia"/>
      </w:rPr>
    </w:lvl>
  </w:abstractNum>
  <w:abstractNum w:abstractNumId="1">
    <w:nsid w:val="D77E59E9"/>
    <w:multiLevelType w:val="singleLevel"/>
    <w:tmpl w:val="D77E59E9"/>
    <w:lvl w:ilvl="0" w:tentative="0">
      <w:start w:val="1"/>
      <w:numFmt w:val="decimal"/>
      <w:suff w:val="nothing"/>
      <w:lvlText w:val="%1、"/>
      <w:lvlJc w:val="left"/>
    </w:lvl>
  </w:abstractNum>
  <w:abstractNum w:abstractNumId="2">
    <w:nsid w:val="DF7FEC5B"/>
    <w:multiLevelType w:val="singleLevel"/>
    <w:tmpl w:val="DF7FEC5B"/>
    <w:lvl w:ilvl="0" w:tentative="0">
      <w:start w:val="2"/>
      <w:numFmt w:val="chineseCounting"/>
      <w:suff w:val="nothing"/>
      <w:lvlText w:val="（%1）"/>
      <w:lvlJc w:val="left"/>
      <w:rPr>
        <w:rFonts w:hint="eastAsia"/>
      </w:rPr>
    </w:lvl>
  </w:abstractNum>
  <w:abstractNum w:abstractNumId="3">
    <w:nsid w:val="E77E20AC"/>
    <w:multiLevelType w:val="singleLevel"/>
    <w:tmpl w:val="E77E20AC"/>
    <w:lvl w:ilvl="0" w:tentative="0">
      <w:start w:val="2"/>
      <w:numFmt w:val="chineseCounting"/>
      <w:suff w:val="nothing"/>
      <w:lvlText w:val="（%1）"/>
      <w:lvlJc w:val="left"/>
      <w:rPr>
        <w:rFonts w:hint="eastAsia"/>
      </w:rPr>
    </w:lvl>
  </w:abstractNum>
  <w:abstractNum w:abstractNumId="4">
    <w:nsid w:val="F07777FA"/>
    <w:multiLevelType w:val="singleLevel"/>
    <w:tmpl w:val="F07777FA"/>
    <w:lvl w:ilvl="0" w:tentative="0">
      <w:start w:val="2"/>
      <w:numFmt w:val="decimal"/>
      <w:suff w:val="nothing"/>
      <w:lvlText w:val="（%1）"/>
      <w:lvlJc w:val="left"/>
    </w:lvl>
  </w:abstractNum>
  <w:abstractNum w:abstractNumId="5">
    <w:nsid w:val="FE7D2AA4"/>
    <w:multiLevelType w:val="singleLevel"/>
    <w:tmpl w:val="FE7D2AA4"/>
    <w:lvl w:ilvl="0" w:tentative="0">
      <w:start w:val="1"/>
      <w:numFmt w:val="decimal"/>
      <w:suff w:val="nothing"/>
      <w:lvlText w:val="%1、"/>
      <w:lvlJc w:val="left"/>
    </w:lvl>
  </w:abstractNum>
  <w:abstractNum w:abstractNumId="6">
    <w:nsid w:val="FFEF1C4D"/>
    <w:multiLevelType w:val="singleLevel"/>
    <w:tmpl w:val="FFEF1C4D"/>
    <w:lvl w:ilvl="0" w:tentative="0">
      <w:start w:val="2"/>
      <w:numFmt w:val="decimal"/>
      <w:suff w:val="nothing"/>
      <w:lvlText w:val="（%1）"/>
      <w:lvlJc w:val="left"/>
    </w:lvl>
  </w:abstractNum>
  <w:abstractNum w:abstractNumId="7">
    <w:nsid w:val="3E6EC7C9"/>
    <w:multiLevelType w:val="singleLevel"/>
    <w:tmpl w:val="3E6EC7C9"/>
    <w:lvl w:ilvl="0" w:tentative="0">
      <w:start w:val="3"/>
      <w:numFmt w:val="chineseCounting"/>
      <w:suff w:val="nothing"/>
      <w:lvlText w:val="（%1）"/>
      <w:lvlJc w:val="left"/>
      <w:rPr>
        <w:rFonts w:hint="eastAsia"/>
      </w:rPr>
    </w:lvl>
  </w:abstractNum>
  <w:abstractNum w:abstractNumId="8">
    <w:nsid w:val="4169629B"/>
    <w:multiLevelType w:val="singleLevel"/>
    <w:tmpl w:val="4169629B"/>
    <w:lvl w:ilvl="0" w:tentative="0">
      <w:start w:val="2"/>
      <w:numFmt w:val="decimal"/>
      <w:lvlText w:val="%1."/>
      <w:lvlJc w:val="left"/>
      <w:pPr>
        <w:tabs>
          <w:tab w:val="left" w:pos="312"/>
        </w:tabs>
      </w:pPr>
    </w:lvl>
  </w:abstractNum>
  <w:abstractNum w:abstractNumId="9">
    <w:nsid w:val="7FB73837"/>
    <w:multiLevelType w:val="singleLevel"/>
    <w:tmpl w:val="7FB73837"/>
    <w:lvl w:ilvl="0" w:tentative="0">
      <w:start w:val="2"/>
      <w:numFmt w:val="decimal"/>
      <w:suff w:val="nothing"/>
      <w:lvlText w:val="%1、"/>
      <w:lvlJc w:val="left"/>
    </w:lvl>
  </w:abstractNum>
  <w:num w:numId="1">
    <w:abstractNumId w:val="4"/>
  </w:num>
  <w:num w:numId="2">
    <w:abstractNumId w:val="6"/>
  </w:num>
  <w:num w:numId="3">
    <w:abstractNumId w:val="2"/>
  </w:num>
  <w:num w:numId="4">
    <w:abstractNumId w:val="7"/>
  </w:num>
  <w:num w:numId="5">
    <w:abstractNumId w:val="5"/>
  </w:num>
  <w:num w:numId="6">
    <w:abstractNumId w:val="0"/>
  </w:num>
  <w:num w:numId="7">
    <w:abstractNumId w:val="3"/>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lZmM2ZDFiN2MyODI0MWE3ZDZkZmIxMzExOWYzYjAifQ=="/>
  </w:docVars>
  <w:rsids>
    <w:rsidRoot w:val="001F27B0"/>
    <w:rsid w:val="000155BD"/>
    <w:rsid w:val="00016D48"/>
    <w:rsid w:val="000C222B"/>
    <w:rsid w:val="001D1DF3"/>
    <w:rsid w:val="001F27B0"/>
    <w:rsid w:val="00207848"/>
    <w:rsid w:val="002A1A92"/>
    <w:rsid w:val="003664D5"/>
    <w:rsid w:val="003833FD"/>
    <w:rsid w:val="003B594A"/>
    <w:rsid w:val="003C216F"/>
    <w:rsid w:val="00400004"/>
    <w:rsid w:val="00430AE0"/>
    <w:rsid w:val="00453795"/>
    <w:rsid w:val="004F680F"/>
    <w:rsid w:val="00521D5F"/>
    <w:rsid w:val="00524291"/>
    <w:rsid w:val="0056349A"/>
    <w:rsid w:val="005C3F17"/>
    <w:rsid w:val="005D7C0C"/>
    <w:rsid w:val="005F2BF6"/>
    <w:rsid w:val="00631128"/>
    <w:rsid w:val="0067672D"/>
    <w:rsid w:val="006C2E26"/>
    <w:rsid w:val="006D3E81"/>
    <w:rsid w:val="00767F9F"/>
    <w:rsid w:val="007F77CC"/>
    <w:rsid w:val="008453BA"/>
    <w:rsid w:val="0086188A"/>
    <w:rsid w:val="008727FA"/>
    <w:rsid w:val="008E745A"/>
    <w:rsid w:val="00924C5E"/>
    <w:rsid w:val="00936C21"/>
    <w:rsid w:val="009F6EC1"/>
    <w:rsid w:val="00A06E09"/>
    <w:rsid w:val="00A108E5"/>
    <w:rsid w:val="00AE5DBF"/>
    <w:rsid w:val="00B25DEC"/>
    <w:rsid w:val="00B310CE"/>
    <w:rsid w:val="00B3174B"/>
    <w:rsid w:val="00B638ED"/>
    <w:rsid w:val="00B75109"/>
    <w:rsid w:val="00BE63F8"/>
    <w:rsid w:val="00C235A6"/>
    <w:rsid w:val="00D24846"/>
    <w:rsid w:val="00D33B55"/>
    <w:rsid w:val="00D76130"/>
    <w:rsid w:val="00DC7DFE"/>
    <w:rsid w:val="00E40459"/>
    <w:rsid w:val="00E72D64"/>
    <w:rsid w:val="00EC326C"/>
    <w:rsid w:val="00ED1B1E"/>
    <w:rsid w:val="00F22092"/>
    <w:rsid w:val="00F55072"/>
    <w:rsid w:val="00FA5DA9"/>
    <w:rsid w:val="00FF6469"/>
    <w:rsid w:val="028C11CF"/>
    <w:rsid w:val="098A577A"/>
    <w:rsid w:val="12843C71"/>
    <w:rsid w:val="14E53D99"/>
    <w:rsid w:val="16AE532F"/>
    <w:rsid w:val="174D5736"/>
    <w:rsid w:val="1878225E"/>
    <w:rsid w:val="1CF061F6"/>
    <w:rsid w:val="22F84302"/>
    <w:rsid w:val="25AB17E9"/>
    <w:rsid w:val="281F723A"/>
    <w:rsid w:val="29183D21"/>
    <w:rsid w:val="2EBE79F8"/>
    <w:rsid w:val="2F302D5E"/>
    <w:rsid w:val="34B666B1"/>
    <w:rsid w:val="34FB6867"/>
    <w:rsid w:val="351EC55F"/>
    <w:rsid w:val="35643762"/>
    <w:rsid w:val="36721507"/>
    <w:rsid w:val="367F05DA"/>
    <w:rsid w:val="3AA12CFA"/>
    <w:rsid w:val="3C631823"/>
    <w:rsid w:val="40EF5B97"/>
    <w:rsid w:val="48325BB0"/>
    <w:rsid w:val="49954585"/>
    <w:rsid w:val="4A446800"/>
    <w:rsid w:val="513E7E12"/>
    <w:rsid w:val="5194473B"/>
    <w:rsid w:val="564D7E16"/>
    <w:rsid w:val="570F0CE3"/>
    <w:rsid w:val="58245814"/>
    <w:rsid w:val="59A0209D"/>
    <w:rsid w:val="5D027239"/>
    <w:rsid w:val="5E086952"/>
    <w:rsid w:val="5F2F4C82"/>
    <w:rsid w:val="5FFC2050"/>
    <w:rsid w:val="6186668A"/>
    <w:rsid w:val="649C269E"/>
    <w:rsid w:val="66286BD6"/>
    <w:rsid w:val="66327BF7"/>
    <w:rsid w:val="66F73062"/>
    <w:rsid w:val="68A721B1"/>
    <w:rsid w:val="6CB26A0A"/>
    <w:rsid w:val="6D9E5328"/>
    <w:rsid w:val="6E6B7E36"/>
    <w:rsid w:val="6FAA3E8C"/>
    <w:rsid w:val="734F50C5"/>
    <w:rsid w:val="76B550F6"/>
    <w:rsid w:val="770B33AC"/>
    <w:rsid w:val="79B745A4"/>
    <w:rsid w:val="7A5501B5"/>
    <w:rsid w:val="7AF20495"/>
    <w:rsid w:val="7AF54301"/>
    <w:rsid w:val="7BDFBE1A"/>
    <w:rsid w:val="7BF3536A"/>
    <w:rsid w:val="9DB712A9"/>
    <w:rsid w:val="BBFF9607"/>
    <w:rsid w:val="D9F97976"/>
    <w:rsid w:val="DF35ED20"/>
    <w:rsid w:val="EEFFB97B"/>
    <w:rsid w:val="FD97FE86"/>
    <w:rsid w:val="FDE799BC"/>
    <w:rsid w:val="FE762454"/>
    <w:rsid w:val="FEFFB995"/>
    <w:rsid w:val="FF7E4C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zh-CN" w:bidi="ar-SA"/>
    </w:rPr>
  </w:style>
  <w:style w:type="paragraph" w:styleId="3">
    <w:name w:val="heading 1"/>
    <w:basedOn w:val="1"/>
    <w:next w:val="1"/>
    <w:qFormat/>
    <w:uiPriority w:val="9"/>
    <w:pPr>
      <w:keepNext/>
      <w:keepLines/>
      <w:spacing w:before="340" w:after="330" w:line="576" w:lineRule="auto"/>
      <w:outlineLvl w:val="0"/>
    </w:pPr>
    <w:rPr>
      <w:b/>
      <w:kern w:val="44"/>
      <w:sz w:val="44"/>
    </w:rPr>
  </w:style>
  <w:style w:type="paragraph" w:styleId="4">
    <w:name w:val="heading 2"/>
    <w:basedOn w:val="1"/>
    <w:next w:val="1"/>
    <w:link w:val="24"/>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5">
    <w:name w:val="heading 3"/>
    <w:basedOn w:val="1"/>
    <w:next w:val="6"/>
    <w:link w:val="25"/>
    <w:unhideWhenUsed/>
    <w:qFormat/>
    <w:uiPriority w:val="9"/>
    <w:pPr>
      <w:keepNext/>
      <w:keepLines/>
      <w:spacing w:before="120" w:after="120" w:line="416" w:lineRule="auto"/>
      <w:outlineLvl w:val="2"/>
    </w:pPr>
    <w:rPr>
      <w:rFonts w:eastAsia="宋体"/>
      <w:b/>
      <w:bCs/>
      <w:sz w:val="24"/>
      <w:szCs w:val="32"/>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6"/>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6">
    <w:name w:val="Normal Indent"/>
    <w:basedOn w:val="1"/>
    <w:link w:val="21"/>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7">
    <w:name w:val="Body Text"/>
    <w:basedOn w:val="1"/>
    <w:qFormat/>
    <w:uiPriority w:val="0"/>
    <w:rPr>
      <w:rFonts w:ascii="宋体" w:hAnsi="宋体" w:eastAsia="宋体" w:cs="宋体"/>
      <w:sz w:val="30"/>
      <w:szCs w:val="30"/>
      <w:lang w:eastAsia="en-US"/>
    </w:rPr>
  </w:style>
  <w:style w:type="paragraph" w:styleId="8">
    <w:name w:val="Body Text Indent"/>
    <w:basedOn w:val="1"/>
    <w:link w:val="37"/>
    <w:semiHidden/>
    <w:unhideWhenUsed/>
    <w:qFormat/>
    <w:uiPriority w:val="99"/>
    <w:pPr>
      <w:spacing w:after="120"/>
      <w:ind w:left="420" w:leftChars="200"/>
    </w:pPr>
  </w:style>
  <w:style w:type="paragraph" w:styleId="9">
    <w:name w:val="Balloon Text"/>
    <w:basedOn w:val="1"/>
    <w:link w:val="35"/>
    <w:semiHidden/>
    <w:unhideWhenUsed/>
    <w:qFormat/>
    <w:uiPriority w:val="99"/>
    <w:pPr>
      <w:spacing w:after="0" w:line="240" w:lineRule="auto"/>
    </w:pPr>
    <w:rPr>
      <w:sz w:val="18"/>
      <w:szCs w:val="18"/>
    </w:rPr>
  </w:style>
  <w:style w:type="paragraph" w:styleId="10">
    <w:name w:val="footer"/>
    <w:basedOn w:val="1"/>
    <w:next w:val="1"/>
    <w:link w:val="23"/>
    <w:unhideWhenUsed/>
    <w:qFormat/>
    <w:uiPriority w:val="99"/>
    <w:pPr>
      <w:tabs>
        <w:tab w:val="center" w:pos="4153"/>
        <w:tab w:val="right" w:pos="8306"/>
      </w:tabs>
      <w:spacing w:line="240" w:lineRule="auto"/>
    </w:pPr>
    <w:rPr>
      <w:sz w:val="18"/>
      <w:szCs w:val="18"/>
    </w:rPr>
  </w:style>
  <w:style w:type="paragraph" w:styleId="11">
    <w:name w:val="header"/>
    <w:basedOn w:val="1"/>
    <w:link w:val="22"/>
    <w:unhideWhenUsed/>
    <w:qFormat/>
    <w:uiPriority w:val="0"/>
    <w:pPr>
      <w:tabs>
        <w:tab w:val="center" w:pos="4153"/>
        <w:tab w:val="right" w:pos="8306"/>
      </w:tabs>
      <w:spacing w:line="240" w:lineRule="auto"/>
      <w:jc w:val="center"/>
    </w:pPr>
    <w:rPr>
      <w:sz w:val="18"/>
      <w:szCs w:val="18"/>
    </w:rPr>
  </w:style>
  <w:style w:type="paragraph" w:styleId="12">
    <w:name w:val="toc 1"/>
    <w:basedOn w:val="1"/>
    <w:next w:val="1"/>
    <w:unhideWhenUsed/>
    <w:qFormat/>
    <w:uiPriority w:val="39"/>
  </w:style>
  <w:style w:type="paragraph" w:styleId="13">
    <w:name w:val="Title"/>
    <w:basedOn w:val="1"/>
    <w:next w:val="1"/>
    <w:qFormat/>
    <w:uiPriority w:val="0"/>
    <w:pPr>
      <w:widowControl w:val="0"/>
      <w:kinsoku/>
      <w:autoSpaceDE/>
      <w:autoSpaceDN/>
      <w:adjustRightInd/>
      <w:snapToGrid/>
      <w:spacing w:after="0"/>
      <w:jc w:val="center"/>
      <w:textAlignment w:val="auto"/>
      <w:outlineLvl w:val="0"/>
    </w:pPr>
    <w:rPr>
      <w:rFonts w:ascii="Times New Roman" w:hAnsi="Times New Roman" w:eastAsia="宋体" w:cs="Times New Roman"/>
      <w:b/>
      <w:snapToGrid/>
      <w:color w:val="auto"/>
      <w:kern w:val="2"/>
      <w:sz w:val="32"/>
      <w:szCs w:val="20"/>
    </w:rPr>
  </w:style>
  <w:style w:type="paragraph" w:styleId="14">
    <w:name w:val="annotation subject"/>
    <w:basedOn w:val="2"/>
    <w:next w:val="2"/>
    <w:link w:val="36"/>
    <w:semiHidden/>
    <w:unhideWhenUsed/>
    <w:qFormat/>
    <w:uiPriority w:val="99"/>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15">
    <w:name w:val="Body Text First Indent 2"/>
    <w:basedOn w:val="8"/>
    <w:link w:val="38"/>
    <w:semiHidden/>
    <w:unhideWhenUsed/>
    <w:qFormat/>
    <w:uiPriority w:val="99"/>
    <w:pPr>
      <w:ind w:firstLine="420" w:firstLineChars="200"/>
    </w:pPr>
  </w:style>
  <w:style w:type="table" w:styleId="17">
    <w:name w:val="Table Grid"/>
    <w:basedOn w:val="1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467886" w:themeColor="hyperlink"/>
      <w:u w:val="single"/>
      <w14:textFill>
        <w14:solidFill>
          <w14:schemeClr w14:val="hlink"/>
        </w14:solidFill>
      </w14:textFill>
    </w:rPr>
  </w:style>
  <w:style w:type="character" w:styleId="20">
    <w:name w:val="annotation reference"/>
    <w:basedOn w:val="18"/>
    <w:unhideWhenUsed/>
    <w:qFormat/>
    <w:uiPriority w:val="0"/>
    <w:rPr>
      <w:sz w:val="21"/>
      <w:szCs w:val="21"/>
    </w:rPr>
  </w:style>
  <w:style w:type="character" w:customStyle="1" w:styleId="21">
    <w:name w:val="正文缩进 字符"/>
    <w:link w:val="6"/>
    <w:qFormat/>
    <w:uiPriority w:val="0"/>
    <w:rPr>
      <w:rFonts w:ascii="宋体" w:hAnsi="Times New Roman" w:eastAsia="宋体" w:cs="Times New Roman"/>
      <w:kern w:val="0"/>
      <w:sz w:val="24"/>
      <w:szCs w:val="20"/>
      <w14:ligatures w14:val="none"/>
    </w:rPr>
  </w:style>
  <w:style w:type="character" w:customStyle="1" w:styleId="22">
    <w:name w:val="页眉 字符"/>
    <w:basedOn w:val="18"/>
    <w:link w:val="11"/>
    <w:qFormat/>
    <w:uiPriority w:val="0"/>
    <w:rPr>
      <w:rFonts w:ascii="Arial" w:hAnsi="Arial" w:cs="Arial"/>
      <w:snapToGrid w:val="0"/>
      <w:color w:val="000000"/>
      <w:kern w:val="0"/>
      <w:sz w:val="18"/>
      <w:szCs w:val="18"/>
      <w14:ligatures w14:val="none"/>
    </w:rPr>
  </w:style>
  <w:style w:type="character" w:customStyle="1" w:styleId="23">
    <w:name w:val="页脚 字符"/>
    <w:basedOn w:val="18"/>
    <w:link w:val="10"/>
    <w:qFormat/>
    <w:uiPriority w:val="99"/>
    <w:rPr>
      <w:rFonts w:ascii="Arial" w:hAnsi="Arial" w:cs="Arial"/>
      <w:snapToGrid w:val="0"/>
      <w:color w:val="000000"/>
      <w:kern w:val="0"/>
      <w:sz w:val="18"/>
      <w:szCs w:val="18"/>
      <w14:ligatures w14:val="none"/>
    </w:rPr>
  </w:style>
  <w:style w:type="character" w:customStyle="1" w:styleId="24">
    <w:name w:val="标题 2 字符"/>
    <w:basedOn w:val="18"/>
    <w:link w:val="4"/>
    <w:qFormat/>
    <w:uiPriority w:val="0"/>
    <w:rPr>
      <w:rFonts w:asciiTheme="majorHAnsi" w:hAnsiTheme="majorHAnsi" w:eastAsiaTheme="majorEastAsia" w:cstheme="majorBidi"/>
      <w:b/>
      <w:bCs/>
      <w:snapToGrid w:val="0"/>
      <w:color w:val="000000"/>
      <w:kern w:val="0"/>
      <w:sz w:val="32"/>
      <w:szCs w:val="32"/>
      <w14:ligatures w14:val="none"/>
    </w:rPr>
  </w:style>
  <w:style w:type="character" w:customStyle="1" w:styleId="25">
    <w:name w:val="标题 3 字符"/>
    <w:basedOn w:val="18"/>
    <w:link w:val="5"/>
    <w:qFormat/>
    <w:uiPriority w:val="0"/>
    <w:rPr>
      <w:rFonts w:ascii="Arial" w:hAnsi="Arial" w:eastAsia="宋体" w:cs="Arial"/>
      <w:b/>
      <w:bCs/>
      <w:snapToGrid w:val="0"/>
      <w:color w:val="000000"/>
      <w:kern w:val="0"/>
      <w:sz w:val="24"/>
      <w:szCs w:val="32"/>
      <w14:ligatures w14:val="none"/>
    </w:rPr>
  </w:style>
  <w:style w:type="character" w:customStyle="1" w:styleId="26">
    <w:name w:val="批注文字 字符"/>
    <w:basedOn w:val="18"/>
    <w:link w:val="2"/>
    <w:qFormat/>
    <w:uiPriority w:val="0"/>
    <w:rPr>
      <w:rFonts w:ascii="Times New Roman" w:hAnsi="Times New Roman" w:eastAsia="宋体" w:cs="Times New Roman"/>
      <w:szCs w:val="24"/>
      <w14:ligatures w14:val="none"/>
    </w:rPr>
  </w:style>
  <w:style w:type="table" w:customStyle="1" w:styleId="27">
    <w:name w:val="Table Normal"/>
    <w:semiHidden/>
    <w:unhideWhenUsed/>
    <w:qFormat/>
    <w:uiPriority w:val="2"/>
    <w:pPr>
      <w:spacing w:after="160" w:line="278" w:lineRule="auto"/>
    </w:pPr>
    <w:tblPr>
      <w:tblCellMar>
        <w:top w:w="0" w:type="dxa"/>
        <w:left w:w="0" w:type="dxa"/>
        <w:bottom w:w="0" w:type="dxa"/>
        <w:right w:w="0" w:type="dxa"/>
      </w:tblCellMar>
    </w:tblPr>
  </w:style>
  <w:style w:type="paragraph" w:styleId="28">
    <w:name w:val="List Paragraph"/>
    <w:basedOn w:val="1"/>
    <w:link w:val="30"/>
    <w:unhideWhenUsed/>
    <w:qFormat/>
    <w:uiPriority w:val="34"/>
    <w:pPr>
      <w:ind w:firstLine="420" w:firstLineChars="200"/>
    </w:pPr>
  </w:style>
  <w:style w:type="table" w:customStyle="1" w:styleId="29">
    <w:name w:val="网格型1"/>
    <w:basedOn w:val="16"/>
    <w:qFormat/>
    <w:uiPriority w:val="99"/>
    <w:pPr>
      <w:widowControl w:val="0"/>
      <w:spacing w:after="160" w:line="278"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列表段落 字符"/>
    <w:link w:val="28"/>
    <w:qFormat/>
    <w:uiPriority w:val="34"/>
    <w:rPr>
      <w:rFonts w:ascii="Arial" w:hAnsi="Arial" w:cs="Arial"/>
      <w:snapToGrid w:val="0"/>
      <w:color w:val="000000"/>
      <w:kern w:val="0"/>
      <w:szCs w:val="21"/>
      <w14:ligatures w14:val="none"/>
    </w:rPr>
  </w:style>
  <w:style w:type="paragraph" w:customStyle="1" w:styleId="31">
    <w:name w:val="Table Text"/>
    <w:basedOn w:val="1"/>
    <w:semiHidden/>
    <w:qFormat/>
    <w:uiPriority w:val="0"/>
    <w:rPr>
      <w:rFonts w:ascii="宋体" w:hAnsi="宋体" w:eastAsia="宋体" w:cs="宋体"/>
      <w:sz w:val="23"/>
      <w:szCs w:val="23"/>
      <w:lang w:eastAsia="en-US"/>
    </w:rPr>
  </w:style>
  <w:style w:type="paragraph" w:customStyle="1" w:styleId="32">
    <w:name w:val="图例"/>
    <w:basedOn w:val="1"/>
    <w:qFormat/>
    <w:uiPriority w:val="0"/>
    <w:pPr>
      <w:spacing w:before="120" w:after="120" w:line="360" w:lineRule="auto"/>
      <w:jc w:val="center"/>
    </w:pPr>
    <w:rPr>
      <w:rFonts w:eastAsia="仿宋_GB2312"/>
      <w:b/>
      <w:sz w:val="24"/>
      <w:szCs w:val="20"/>
    </w:rPr>
  </w:style>
  <w:style w:type="table" w:customStyle="1" w:styleId="33">
    <w:name w:val="Table Normal1"/>
    <w:semiHidden/>
    <w:qFormat/>
    <w:uiPriority w:val="2"/>
    <w:pPr>
      <w:spacing w:after="160" w:line="276" w:lineRule="auto"/>
    </w:pPr>
    <w:tblPr>
      <w:tblCellMar>
        <w:top w:w="0" w:type="dxa"/>
        <w:left w:w="0" w:type="dxa"/>
        <w:bottom w:w="0" w:type="dxa"/>
        <w:right w:w="0" w:type="dxa"/>
      </w:tblCellMar>
    </w:tblPr>
  </w:style>
  <w:style w:type="character" w:customStyle="1" w:styleId="34">
    <w:name w:val="未处理的提及1"/>
    <w:basedOn w:val="18"/>
    <w:semiHidden/>
    <w:unhideWhenUsed/>
    <w:qFormat/>
    <w:uiPriority w:val="99"/>
    <w:rPr>
      <w:color w:val="605E5C"/>
      <w:shd w:val="clear" w:color="auto" w:fill="E1DFDD"/>
    </w:rPr>
  </w:style>
  <w:style w:type="character" w:customStyle="1" w:styleId="35">
    <w:name w:val="批注框文本 字符"/>
    <w:basedOn w:val="18"/>
    <w:link w:val="9"/>
    <w:semiHidden/>
    <w:qFormat/>
    <w:uiPriority w:val="99"/>
    <w:rPr>
      <w:rFonts w:ascii="Arial" w:hAnsi="Arial" w:cs="Arial"/>
      <w:snapToGrid w:val="0"/>
      <w:color w:val="000000"/>
      <w:sz w:val="18"/>
      <w:szCs w:val="18"/>
    </w:rPr>
  </w:style>
  <w:style w:type="character" w:customStyle="1" w:styleId="36">
    <w:name w:val="批注主题 字符"/>
    <w:basedOn w:val="26"/>
    <w:link w:val="14"/>
    <w:semiHidden/>
    <w:qFormat/>
    <w:uiPriority w:val="99"/>
    <w:rPr>
      <w:rFonts w:ascii="Arial" w:hAnsi="Arial" w:cs="Arial" w:eastAsiaTheme="minorEastAsia"/>
      <w:b/>
      <w:bCs/>
      <w:snapToGrid w:val="0"/>
      <w:color w:val="000000"/>
      <w:sz w:val="21"/>
      <w:szCs w:val="21"/>
      <w14:ligatures w14:val="none"/>
    </w:rPr>
  </w:style>
  <w:style w:type="character" w:customStyle="1" w:styleId="37">
    <w:name w:val="正文文本缩进 字符"/>
    <w:basedOn w:val="18"/>
    <w:link w:val="8"/>
    <w:semiHidden/>
    <w:qFormat/>
    <w:uiPriority w:val="99"/>
    <w:rPr>
      <w:rFonts w:ascii="Arial" w:hAnsi="Arial" w:cs="Arial" w:eastAsiaTheme="minorEastAsia"/>
      <w:snapToGrid w:val="0"/>
      <w:color w:val="000000"/>
      <w:sz w:val="21"/>
      <w:szCs w:val="21"/>
    </w:rPr>
  </w:style>
  <w:style w:type="character" w:customStyle="1" w:styleId="38">
    <w:name w:val="正文文本首行缩进 2 字符"/>
    <w:basedOn w:val="37"/>
    <w:link w:val="15"/>
    <w:semiHidden/>
    <w:qFormat/>
    <w:uiPriority w:val="99"/>
    <w:rPr>
      <w:rFonts w:ascii="Arial" w:hAnsi="Arial" w:cs="Arial" w:eastAsiaTheme="minorEastAsia"/>
      <w:snapToGrid w:val="0"/>
      <w:color w:val="000000"/>
      <w:sz w:val="21"/>
      <w:szCs w:val="21"/>
    </w:rPr>
  </w:style>
  <w:style w:type="paragraph" w:customStyle="1" w:styleId="39">
    <w:name w:val="Table Paragraph"/>
    <w:basedOn w:val="1"/>
    <w:qFormat/>
    <w:uiPriority w:val="1"/>
    <w:pPr>
      <w:widowControl w:val="0"/>
      <w:kinsoku/>
      <w:adjustRightInd/>
      <w:snapToGrid/>
      <w:spacing w:after="0" w:line="240" w:lineRule="auto"/>
      <w:textAlignment w:val="auto"/>
    </w:pPr>
    <w:rPr>
      <w:rFonts w:ascii="宋体" w:hAnsi="宋体" w:eastAsia="宋体" w:cs="宋体"/>
      <w:snapToGrid/>
      <w:color w:val="auto"/>
      <w:sz w:val="22"/>
      <w:szCs w:val="22"/>
      <w:lang w:eastAsia="en-US"/>
    </w:rPr>
  </w:style>
  <w:style w:type="paragraph" w:customStyle="1" w:styleId="40">
    <w:name w:val="正文 缩进2字符"/>
    <w:basedOn w:val="1"/>
    <w:qFormat/>
    <w:uiPriority w:val="0"/>
    <w:pPr>
      <w:spacing w:after="0" w:line="288" w:lineRule="auto"/>
    </w:pPr>
    <w:rPr>
      <w:rFonts w:ascii="宋体" w:hAnsi="宋体"/>
      <w:sz w:val="28"/>
      <w:szCs w:val="28"/>
    </w:rPr>
  </w:style>
  <w:style w:type="paragraph" w:customStyle="1" w:styleId="41">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paragraph" w:customStyle="1" w:styleId="42">
    <w:name w:val="样式 四号 首行缩进:  0.99 厘米 行距: 最小值 25 磅"/>
    <w:basedOn w:val="1"/>
    <w:link w:val="43"/>
    <w:qFormat/>
    <w:uiPriority w:val="0"/>
    <w:pPr>
      <w:spacing w:after="0" w:line="500" w:lineRule="atLeast"/>
      <w:ind w:firstLine="561"/>
    </w:pPr>
    <w:rPr>
      <w:sz w:val="28"/>
      <w:szCs w:val="28"/>
    </w:rPr>
  </w:style>
  <w:style w:type="character" w:customStyle="1" w:styleId="43">
    <w:name w:val="样式 四号 首行缩进:  0.99 厘米 行距: 最小值 25 磅 Char"/>
    <w:link w:val="42"/>
    <w:qFormat/>
    <w:uiPriority w:val="0"/>
    <w:rPr>
      <w:rFonts w:ascii="Arial" w:hAnsi="Arial" w:cs="Arial" w:eastAsiaTheme="minorEastAsia"/>
      <w:snapToGrid w:val="0"/>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13464</Words>
  <Characters>14588</Characters>
  <Lines>291</Lines>
  <Paragraphs>82</Paragraphs>
  <TotalTime>7</TotalTime>
  <ScaleCrop>false</ScaleCrop>
  <LinksUpToDate>false</LinksUpToDate>
  <CharactersWithSpaces>15036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2025-02-15T09:42:00Z</dcterms:created>
  <dc:creator>静静 张</dc:creator>
  <cp:lastModifiedBy>SnowKiss</cp:lastModifiedBy>
  <dcterms:modified xsi:type="dcterms:W3CDTF">2025-03-14T09:35:10Z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A4CBCA0E1CAD44B29CC4D1D3AA411955_13</vt:lpwstr>
  </property>
  <property fmtid="{D5CDD505-2E9C-101B-9397-08002B2CF9AE}" pid="4" name="KSOTemplateDocerSaveRecord">
    <vt:lpwstr>eyJoZGlkIjoiOGE3MGMyYzY4NTcxZTZjNjVhZWM4Y2VhZjU4YjYxNzAiLCJ1c2VySWQiOiIxMjEzNjE3NTQzIn0=</vt:lpwstr>
  </property>
</Properties>
</file>