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CESI黑体-GB2312" w:hAnsi="CESI黑体-GB2312" w:eastAsia="CESI黑体-GB2312" w:cs="CESI黑体-GB2312"/>
          <w:color w:val="000000" w:themeColor="text1"/>
          <w:sz w:val="32"/>
          <w:szCs w:val="32"/>
          <w14:textFill>
            <w14:solidFill>
              <w14:schemeClr w14:val="tx1"/>
            </w14:solidFill>
          </w14:textFill>
        </w:rPr>
      </w:pPr>
    </w:p>
    <w:p>
      <w:pPr>
        <w:spacing w:line="360" w:lineRule="auto"/>
        <w:ind w:firstLine="160" w:firstLineChars="50"/>
        <w:rPr>
          <w:rFonts w:ascii="CESI黑体-GB2312" w:hAnsi="CESI黑体-GB2312" w:eastAsia="CESI黑体-GB2312" w:cs="CESI黑体-GB2312"/>
          <w:color w:val="000000" w:themeColor="text1"/>
          <w:sz w:val="32"/>
          <w:szCs w:val="32"/>
          <w14:textFill>
            <w14:solidFill>
              <w14:schemeClr w14:val="tx1"/>
            </w14:solidFill>
          </w14:textFill>
        </w:rPr>
      </w:pPr>
    </w:p>
    <w:p>
      <w:pPr>
        <w:spacing w:line="360" w:lineRule="auto"/>
        <w:ind w:firstLine="300" w:firstLineChars="50"/>
        <w:rPr>
          <w:rFonts w:eastAsiaTheme="minorEastAsia"/>
          <w:color w:val="000000" w:themeColor="text1"/>
          <w:sz w:val="60"/>
          <w:szCs w:val="60"/>
          <w14:textFill>
            <w14:solidFill>
              <w14:schemeClr w14:val="tx1"/>
            </w14:solidFill>
          </w14:textFill>
        </w:rPr>
      </w:pPr>
    </w:p>
    <w:p>
      <w:pPr>
        <w:jc w:val="center"/>
        <w:rPr>
          <w:rFonts w:eastAsiaTheme="minorEastAsia"/>
          <w:b/>
          <w:bCs/>
          <w:color w:val="000000" w:themeColor="text1"/>
          <w:sz w:val="60"/>
          <w:szCs w:val="60"/>
          <w14:textFill>
            <w14:solidFill>
              <w14:schemeClr w14:val="tx1"/>
            </w14:solidFill>
          </w14:textFill>
        </w:rPr>
      </w:pPr>
      <w:r>
        <w:rPr>
          <w:rFonts w:eastAsiaTheme="minorEastAsia"/>
          <w:b/>
          <w:bCs/>
          <w:color w:val="000000" w:themeColor="text1"/>
          <w:sz w:val="60"/>
          <w:szCs w:val="60"/>
          <w14:textFill>
            <w14:solidFill>
              <w14:schemeClr w14:val="tx1"/>
            </w14:solidFill>
          </w14:textFill>
        </w:rPr>
        <w:t>北京市政府采购项目</w:t>
      </w:r>
    </w:p>
    <w:p>
      <w:pPr>
        <w:jc w:val="center"/>
        <w:rPr>
          <w:rFonts w:asciiTheme="majorEastAsia" w:hAnsiTheme="majorEastAsia" w:eastAsiaTheme="majorEastAsia"/>
          <w:b/>
          <w:bCs/>
          <w:color w:val="000000" w:themeColor="text1"/>
          <w:sz w:val="60"/>
          <w:szCs w:val="60"/>
          <w14:textFill>
            <w14:solidFill>
              <w14:schemeClr w14:val="tx1"/>
            </w14:solidFill>
          </w14:textFill>
        </w:rPr>
      </w:pPr>
      <w:r>
        <w:rPr>
          <w:rFonts w:eastAsiaTheme="minorEastAsia"/>
          <w:b/>
          <w:bCs/>
          <w:color w:val="000000" w:themeColor="text1"/>
          <w:sz w:val="60"/>
          <w:szCs w:val="60"/>
          <w14:textFill>
            <w14:solidFill>
              <w14:schemeClr w14:val="tx1"/>
            </w14:solidFill>
          </w14:textFill>
        </w:rPr>
        <w:t>竞争性磋商文件</w:t>
      </w:r>
    </w:p>
    <w:p>
      <w:pPr>
        <w:spacing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spacing w:line="360" w:lineRule="auto"/>
        <w:jc w:val="center"/>
        <w:rPr>
          <w:rFonts w:asciiTheme="majorEastAsia" w:hAnsiTheme="majorEastAsia" w:eastAsiaTheme="majorEastAsia"/>
          <w:b/>
          <w:bCs/>
          <w:color w:val="000000" w:themeColor="text1"/>
          <w:sz w:val="60"/>
          <w:szCs w:val="60"/>
          <w14:textFill>
            <w14:solidFill>
              <w14:schemeClr w14:val="tx1"/>
            </w14:solidFill>
          </w14:textFill>
        </w:rPr>
      </w:pPr>
    </w:p>
    <w:p>
      <w:pPr>
        <w:tabs>
          <w:tab w:val="left" w:pos="5609"/>
        </w:tabs>
        <w:spacing w:line="360" w:lineRule="auto"/>
        <w:ind w:left="2628" w:leftChars="444" w:hanging="1696" w:hangingChars="528"/>
        <w:jc w:val="left"/>
        <w:rPr>
          <w:rFonts w:eastAsiaTheme="minorEastAsia"/>
          <w:b/>
          <w:bCs/>
          <w:color w:val="000000" w:themeColor="text1"/>
          <w:sz w:val="32"/>
          <w:szCs w:val="32"/>
          <w14:textFill>
            <w14:solidFill>
              <w14:schemeClr w14:val="tx1"/>
            </w14:solidFill>
          </w14:textFill>
        </w:rPr>
      </w:pPr>
      <w:r>
        <w:rPr>
          <w:rFonts w:eastAsiaTheme="minorEastAsia"/>
          <w:b/>
          <w:bCs/>
          <w:color w:val="000000" w:themeColor="text1"/>
          <w:sz w:val="32"/>
          <w:szCs w:val="32"/>
          <w14:textFill>
            <w14:solidFill>
              <w14:schemeClr w14:val="tx1"/>
            </w14:solidFill>
          </w14:textFill>
        </w:rPr>
        <w:t>项目名称：</w:t>
      </w:r>
      <w:r>
        <w:rPr>
          <w:rFonts w:hint="eastAsia" w:eastAsiaTheme="minorEastAsia"/>
          <w:b/>
          <w:bCs/>
          <w:color w:val="000000" w:themeColor="text1"/>
          <w:sz w:val="32"/>
          <w:szCs w:val="32"/>
          <w:lang w:eastAsia="zh-CN"/>
          <w14:textFill>
            <w14:solidFill>
              <w14:schemeClr w14:val="tx1"/>
            </w14:solidFill>
          </w14:textFill>
        </w:rPr>
        <w:t>西城区地震应急避难场所项目</w:t>
      </w:r>
      <w:r>
        <w:rPr>
          <w:rFonts w:hint="eastAsia" w:eastAsiaTheme="minorEastAsia"/>
          <w:b/>
          <w:bCs/>
          <w:color w:val="000000" w:themeColor="text1"/>
          <w:sz w:val="32"/>
          <w:szCs w:val="32"/>
          <w14:textFill>
            <w14:solidFill>
              <w14:schemeClr w14:val="tx1"/>
            </w14:solidFill>
          </w14:textFill>
        </w:rPr>
        <w:t xml:space="preserve">  </w:t>
      </w:r>
    </w:p>
    <w:p>
      <w:pPr>
        <w:tabs>
          <w:tab w:val="left" w:pos="5609"/>
        </w:tabs>
        <w:spacing w:line="360" w:lineRule="auto"/>
        <w:ind w:left="2628" w:leftChars="444" w:hanging="1696" w:hangingChars="528"/>
        <w:jc w:val="left"/>
        <w:rPr>
          <w:rFonts w:hint="default" w:eastAsiaTheme="minorEastAsia"/>
          <w:b/>
          <w:bCs/>
          <w:color w:val="000000" w:themeColor="text1"/>
          <w:sz w:val="32"/>
          <w:szCs w:val="32"/>
          <w:lang w:val="en-US" w:eastAsia="zh-CN"/>
          <w14:textFill>
            <w14:solidFill>
              <w14:schemeClr w14:val="tx1"/>
            </w14:solidFill>
          </w14:textFill>
        </w:rPr>
      </w:pPr>
      <w:r>
        <w:rPr>
          <w:rFonts w:eastAsiaTheme="minorEastAsia"/>
          <w:b/>
          <w:bCs/>
          <w:color w:val="000000" w:themeColor="text1"/>
          <w:sz w:val="32"/>
          <w:szCs w:val="32"/>
          <w14:textFill>
            <w14:solidFill>
              <w14:schemeClr w14:val="tx1"/>
            </w14:solidFill>
          </w14:textFill>
        </w:rPr>
        <w:t>项目编号：</w:t>
      </w:r>
      <w:r>
        <w:rPr>
          <w:rFonts w:hint="eastAsia" w:eastAsiaTheme="minorEastAsia"/>
          <w:b/>
          <w:bCs/>
          <w:color w:val="000000" w:themeColor="text1"/>
          <w:sz w:val="32"/>
          <w:szCs w:val="32"/>
          <w14:textFill>
            <w14:solidFill>
              <w14:schemeClr w14:val="tx1"/>
            </w14:solidFill>
          </w14:textFill>
        </w:rPr>
        <w:t>11010224210200013161-XM001</w:t>
      </w:r>
    </w:p>
    <w:p>
      <w:pPr>
        <w:tabs>
          <w:tab w:val="left" w:pos="5609"/>
        </w:tabs>
        <w:spacing w:line="360" w:lineRule="auto"/>
        <w:ind w:left="2628" w:leftChars="444" w:hanging="1696" w:hangingChars="528"/>
        <w:jc w:val="left"/>
        <w:rPr>
          <w:rFonts w:eastAsiaTheme="minorEastAsia"/>
          <w:b/>
          <w:bCs/>
          <w:color w:val="000000" w:themeColor="text1"/>
          <w:sz w:val="32"/>
          <w:szCs w:val="32"/>
          <w14:textFill>
            <w14:solidFill>
              <w14:schemeClr w14:val="tx1"/>
            </w14:solidFill>
          </w14:textFill>
        </w:rPr>
      </w:pPr>
      <w:r>
        <w:rPr>
          <w:rFonts w:eastAsiaTheme="minorEastAsia"/>
          <w:b/>
          <w:bCs/>
          <w:color w:val="000000" w:themeColor="text1"/>
          <w:sz w:val="32"/>
          <w:szCs w:val="32"/>
          <w14:textFill>
            <w14:solidFill>
              <w14:schemeClr w14:val="tx1"/>
            </w14:solidFill>
          </w14:textFill>
        </w:rPr>
        <w:t>采 购 人：</w:t>
      </w:r>
      <w:r>
        <w:rPr>
          <w:rFonts w:hint="eastAsia" w:eastAsiaTheme="minorEastAsia"/>
          <w:b/>
          <w:bCs/>
          <w:color w:val="000000" w:themeColor="text1"/>
          <w:sz w:val="32"/>
          <w:szCs w:val="32"/>
          <w14:textFill>
            <w14:solidFill>
              <w14:schemeClr w14:val="tx1"/>
            </w14:solidFill>
          </w14:textFill>
        </w:rPr>
        <w:t>北京市西城区应急管理局</w:t>
      </w:r>
    </w:p>
    <w:p>
      <w:pPr>
        <w:tabs>
          <w:tab w:val="left" w:pos="5609"/>
        </w:tabs>
        <w:spacing w:line="360" w:lineRule="auto"/>
        <w:ind w:left="2628" w:leftChars="444" w:hanging="1696" w:hangingChars="528"/>
        <w:jc w:val="left"/>
        <w:rPr>
          <w:rFonts w:eastAsiaTheme="minorEastAsia"/>
          <w:bCs/>
          <w:color w:val="000000" w:themeColor="text1"/>
          <w:sz w:val="36"/>
          <w:szCs w:val="36"/>
          <w14:textFill>
            <w14:solidFill>
              <w14:schemeClr w14:val="tx1"/>
            </w14:solidFill>
          </w14:textFill>
        </w:rPr>
        <w:sectPr>
          <w:type w:val="nextColumn"/>
          <w:pgSz w:w="11906" w:h="16838"/>
          <w:pgMar w:top="1911" w:right="1474" w:bottom="1882" w:left="1587" w:header="851" w:footer="992" w:gutter="0"/>
          <w:cols w:space="425" w:num="1"/>
          <w:docGrid w:linePitch="312" w:charSpace="0"/>
        </w:sectPr>
      </w:pPr>
      <w:r>
        <w:rPr>
          <w:rFonts w:hint="eastAsia" w:eastAsiaTheme="minorEastAsia"/>
          <w:b/>
          <w:bCs/>
          <w:color w:val="000000" w:themeColor="text1"/>
          <w:sz w:val="32"/>
          <w:szCs w:val="32"/>
          <w14:textFill>
            <w14:solidFill>
              <w14:schemeClr w14:val="tx1"/>
            </w14:solidFill>
          </w14:textFill>
        </w:rPr>
        <w:t>采购</w:t>
      </w:r>
      <w:r>
        <w:rPr>
          <w:rFonts w:eastAsiaTheme="minorEastAsia"/>
          <w:b/>
          <w:bCs/>
          <w:color w:val="000000" w:themeColor="text1"/>
          <w:sz w:val="32"/>
          <w:szCs w:val="32"/>
          <w14:textFill>
            <w14:solidFill>
              <w14:schemeClr w14:val="tx1"/>
            </w14:solidFill>
          </w14:textFill>
        </w:rPr>
        <w:t>代理机构：</w:t>
      </w:r>
      <w:r>
        <w:rPr>
          <w:rFonts w:hint="eastAsia" w:eastAsiaTheme="minorEastAsia"/>
          <w:b/>
          <w:bCs/>
          <w:color w:val="000000" w:themeColor="text1"/>
          <w:sz w:val="32"/>
          <w:szCs w:val="32"/>
          <w14:textFill>
            <w14:solidFill>
              <w14:schemeClr w14:val="tx1"/>
            </w14:solidFill>
          </w14:textFill>
        </w:rPr>
        <w:t>北京中建华兴集团有限公司</w:t>
      </w:r>
      <w:r>
        <w:rPr>
          <w:rFonts w:eastAsiaTheme="minorEastAsia"/>
          <w:bCs/>
          <w:color w:val="000000" w:themeColor="text1"/>
          <w:sz w:val="36"/>
          <w:szCs w:val="36"/>
          <w14:textFill>
            <w14:solidFill>
              <w14:schemeClr w14:val="tx1"/>
            </w14:solidFill>
          </w14:textFill>
        </w:rPr>
        <w:br w:type="page"/>
      </w:r>
    </w:p>
    <w:p>
      <w:pPr>
        <w:spacing w:line="360" w:lineRule="auto"/>
        <w:jc w:val="center"/>
        <w:outlineLvl w:val="0"/>
        <w:rPr>
          <w:rFonts w:eastAsiaTheme="minorEastAsia"/>
          <w:color w:val="000000" w:themeColor="text1"/>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目</w:t>
      </w:r>
      <w:r>
        <w:rPr>
          <w:rFonts w:eastAsiaTheme="minorEastAsia"/>
          <w:b/>
          <w:color w:val="000000" w:themeColor="text1"/>
          <w:sz w:val="36"/>
          <w:szCs w:val="36"/>
          <w14:textFill>
            <w14:solidFill>
              <w14:schemeClr w14:val="tx1"/>
            </w14:solidFill>
          </w14:textFill>
        </w:rPr>
        <w:t xml:space="preserve">      </w:t>
      </w:r>
      <w:r>
        <w:rPr>
          <w:rFonts w:hint="eastAsia" w:eastAsiaTheme="minorEastAsia"/>
          <w:b/>
          <w:color w:val="000000" w:themeColor="text1"/>
          <w:sz w:val="36"/>
          <w:szCs w:val="36"/>
          <w14:textFill>
            <w14:solidFill>
              <w14:schemeClr w14:val="tx1"/>
            </w14:solidFill>
          </w14:textFill>
        </w:rPr>
        <w:t>录</w:t>
      </w:r>
    </w:p>
    <w:p>
      <w:pPr>
        <w:rPr>
          <w:rFonts w:eastAsiaTheme="minorEastAsia"/>
          <w:color w:val="000000" w:themeColor="text1"/>
          <w14:textFill>
            <w14:solidFill>
              <w14:schemeClr w14:val="tx1"/>
            </w14:solidFill>
          </w14:textFill>
        </w:rPr>
      </w:pPr>
    </w:p>
    <w:p>
      <w:pPr>
        <w:rPr>
          <w:rFonts w:eastAsiaTheme="minorEastAsia"/>
          <w:color w:val="000000" w:themeColor="text1"/>
          <w14:textFill>
            <w14:solidFill>
              <w14:schemeClr w14:val="tx1"/>
            </w14:solidFill>
          </w14:textFill>
        </w:rPr>
      </w:pPr>
    </w:p>
    <w:p>
      <w:pPr>
        <w:pStyle w:val="30"/>
        <w:spacing w:line="360" w:lineRule="auto"/>
        <w:rPr>
          <w:rFonts w:ascii="Times New Roman" w:hAnsi="Times New Roman" w:eastAsiaTheme="minorEastAsia"/>
          <w:b w:val="0"/>
          <w:color w:val="000000" w:themeColor="text1"/>
          <w:sz w:val="21"/>
          <w:szCs w:val="22"/>
          <w14:textFill>
            <w14:solidFill>
              <w14:schemeClr w14:val="tx1"/>
            </w14:solidFill>
          </w14:textFill>
        </w:rPr>
      </w:pPr>
      <w:r>
        <w:rPr>
          <w:rFonts w:ascii="Times New Roman" w:hAnsi="Times New Roman" w:eastAsiaTheme="minorEastAsia"/>
          <w:b w:val="0"/>
          <w:color w:val="000000" w:themeColor="text1"/>
          <w14:textFill>
            <w14:solidFill>
              <w14:schemeClr w14:val="tx1"/>
            </w14:solidFill>
          </w14:textFill>
        </w:rPr>
        <w:fldChar w:fldCharType="begin"/>
      </w:r>
      <w:r>
        <w:rPr>
          <w:rFonts w:ascii="Times New Roman" w:hAnsi="Times New Roman" w:eastAsiaTheme="minorEastAsia"/>
          <w:b w:val="0"/>
          <w:color w:val="000000" w:themeColor="text1"/>
          <w14:textFill>
            <w14:solidFill>
              <w14:schemeClr w14:val="tx1"/>
            </w14:solidFill>
          </w14:textFill>
        </w:rPr>
        <w:instrText xml:space="preserve"> TOC \o "1-1" \h \z \u </w:instrText>
      </w:r>
      <w:r>
        <w:rPr>
          <w:rFonts w:ascii="Times New Roman" w:hAnsi="Times New Roman" w:eastAsiaTheme="minorEastAsia"/>
          <w:b w:val="0"/>
          <w:color w:val="000000" w:themeColor="text1"/>
          <w14:textFill>
            <w14:solidFill>
              <w14:schemeClr w14:val="tx1"/>
            </w14:solidFill>
          </w14:textFill>
        </w:rPr>
        <w:fldChar w:fldCharType="separate"/>
      </w:r>
      <w:r>
        <w:fldChar w:fldCharType="begin"/>
      </w:r>
      <w:r>
        <w:instrText xml:space="preserve"> HYPERLINK \l "_Toc97371941" </w:instrText>
      </w:r>
      <w:r>
        <w:fldChar w:fldCharType="separate"/>
      </w:r>
      <w:r>
        <w:rPr>
          <w:rStyle w:val="52"/>
          <w:rFonts w:ascii="Times New Roman" w:hAnsi="Times New Roman" w:eastAsiaTheme="minorEastAsia"/>
          <w:color w:val="000000" w:themeColor="text1"/>
          <w14:textFill>
            <w14:solidFill>
              <w14:schemeClr w14:val="tx1"/>
            </w14:solidFill>
          </w14:textFill>
        </w:rPr>
        <w:t>第一章   采购邀请</w:t>
      </w:r>
      <w:r>
        <w:rPr>
          <w:rFonts w:ascii="Times New Roman" w:hAnsi="Times New Roman" w:eastAsiaTheme="minorEastAsia"/>
          <w:color w:val="000000" w:themeColor="text1"/>
          <w14:textFill>
            <w14:solidFill>
              <w14:schemeClr w14:val="tx1"/>
            </w14:solidFill>
          </w14:textFill>
        </w:rPr>
        <w:tab/>
      </w:r>
      <w:r>
        <w:rPr>
          <w:rFonts w:ascii="Times New Roman" w:hAnsi="Times New Roman" w:eastAsiaTheme="minorEastAsia"/>
          <w:color w:val="000000" w:themeColor="text1"/>
          <w14:textFill>
            <w14:solidFill>
              <w14:schemeClr w14:val="tx1"/>
            </w14:solidFill>
          </w14:textFill>
        </w:rPr>
        <w:fldChar w:fldCharType="begin"/>
      </w:r>
      <w:r>
        <w:rPr>
          <w:rFonts w:ascii="Times New Roman" w:hAnsi="Times New Roman" w:eastAsiaTheme="minorEastAsia"/>
          <w:color w:val="000000" w:themeColor="text1"/>
          <w14:textFill>
            <w14:solidFill>
              <w14:schemeClr w14:val="tx1"/>
            </w14:solidFill>
          </w14:textFill>
        </w:rPr>
        <w:instrText xml:space="preserve"> PAGEREF _Toc97371941 \h </w:instrText>
      </w:r>
      <w:r>
        <w:rPr>
          <w:rFonts w:ascii="Times New Roman" w:hAnsi="Times New Roman" w:eastAsiaTheme="minorEastAsia"/>
          <w:color w:val="000000" w:themeColor="text1"/>
          <w14:textFill>
            <w14:solidFill>
              <w14:schemeClr w14:val="tx1"/>
            </w14:solidFill>
          </w14:textFill>
        </w:rPr>
        <w:fldChar w:fldCharType="separate"/>
      </w:r>
      <w:r>
        <w:rPr>
          <w:rFonts w:ascii="Times New Roman" w:hAnsi="Times New Roman" w:eastAsiaTheme="minorEastAsia"/>
          <w:color w:val="000000" w:themeColor="text1"/>
          <w14:textFill>
            <w14:solidFill>
              <w14:schemeClr w14:val="tx1"/>
            </w14:solidFill>
          </w14:textFill>
        </w:rPr>
        <w:t>1</w:t>
      </w:r>
      <w:r>
        <w:rPr>
          <w:rFonts w:ascii="Times New Roman" w:hAnsi="Times New Roman" w:eastAsiaTheme="minorEastAsia"/>
          <w:color w:val="000000" w:themeColor="text1"/>
          <w14:textFill>
            <w14:solidFill>
              <w14:schemeClr w14:val="tx1"/>
            </w14:solidFill>
          </w14:textFill>
        </w:rPr>
        <w:fldChar w:fldCharType="end"/>
      </w:r>
      <w:r>
        <w:rPr>
          <w:rFonts w:ascii="Times New Roman" w:hAnsi="Times New Roman" w:eastAsiaTheme="minorEastAsia"/>
          <w:color w:val="000000" w:themeColor="text1"/>
          <w14:textFill>
            <w14:solidFill>
              <w14:schemeClr w14:val="tx1"/>
            </w14:solidFill>
          </w14:textFill>
        </w:rPr>
        <w:fldChar w:fldCharType="end"/>
      </w:r>
    </w:p>
    <w:p>
      <w:pPr>
        <w:pStyle w:val="30"/>
        <w:spacing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"_Toc97371942" </w:instrText>
      </w:r>
      <w:r>
        <w:fldChar w:fldCharType="separate"/>
      </w:r>
      <w:r>
        <w:rPr>
          <w:rStyle w:val="52"/>
          <w:rFonts w:ascii="Times New Roman" w:hAnsi="Times New Roman" w:eastAsiaTheme="minorEastAsia"/>
          <w:color w:val="000000" w:themeColor="text1"/>
          <w14:textFill>
            <w14:solidFill>
              <w14:schemeClr w14:val="tx1"/>
            </w14:solidFill>
          </w14:textFill>
        </w:rPr>
        <w:t>第二章   供应商须知</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lang w:val="en-US" w:eastAsia="zh-CN"/>
          <w14:textFill>
            <w14:solidFill>
              <w14:schemeClr w14:val="tx1"/>
            </w14:solidFill>
          </w14:textFill>
        </w:rPr>
        <w:t>5</w:t>
      </w:r>
      <w:r>
        <w:rPr>
          <w:rFonts w:ascii="Times New Roman" w:hAnsi="Times New Roman" w:eastAsiaTheme="minorEastAsia"/>
          <w:color w:val="000000" w:themeColor="text1"/>
          <w14:textFill>
            <w14:solidFill>
              <w14:schemeClr w14:val="tx1"/>
            </w14:solidFill>
          </w14:textFill>
        </w:rPr>
        <w:fldChar w:fldCharType="end"/>
      </w:r>
    </w:p>
    <w:p>
      <w:pPr>
        <w:pStyle w:val="30"/>
        <w:spacing w:line="360" w:lineRule="auto"/>
        <w:rPr>
          <w:rFonts w:hint="eastAsia" w:ascii="Times New Roman" w:hAnsi="Times New Roman" w:eastAsiaTheme="minorEastAsia"/>
          <w:b w:val="0"/>
          <w:color w:val="000000" w:themeColor="text1"/>
          <w:sz w:val="21"/>
          <w:szCs w:val="22"/>
          <w:lang w:val="en-US" w:eastAsia="zh-CN"/>
          <w14:textFill>
            <w14:solidFill>
              <w14:schemeClr w14:val="tx1"/>
            </w14:solidFill>
          </w14:textFill>
        </w:rPr>
      </w:pPr>
      <w:r>
        <w:fldChar w:fldCharType="begin"/>
      </w:r>
      <w:r>
        <w:instrText xml:space="preserve"> HYPERLINK \l "_Toc97371943" </w:instrText>
      </w:r>
      <w:r>
        <w:fldChar w:fldCharType="separate"/>
      </w:r>
      <w:r>
        <w:rPr>
          <w:rStyle w:val="52"/>
          <w:rFonts w:ascii="Times New Roman" w:hAnsi="Times New Roman" w:eastAsiaTheme="minorEastAsia"/>
          <w:color w:val="000000" w:themeColor="text1"/>
          <w14:textFill>
            <w14:solidFill>
              <w14:schemeClr w14:val="tx1"/>
            </w14:solidFill>
          </w14:textFill>
        </w:rPr>
        <w:t>第三章   评审方法和评审标准</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lang w:val="en-US" w:eastAsia="zh-CN"/>
          <w14:textFill>
            <w14:solidFill>
              <w14:schemeClr w14:val="tx1"/>
            </w14:solidFill>
          </w14:textFill>
        </w:rPr>
        <w:t>2</w:t>
      </w:r>
      <w:r>
        <w:rPr>
          <w:rFonts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lang w:val="en-US" w:eastAsia="zh-CN"/>
          <w14:textFill>
            <w14:solidFill>
              <w14:schemeClr w14:val="tx1"/>
            </w14:solidFill>
          </w14:textFill>
        </w:rPr>
        <w:t>0</w:t>
      </w:r>
    </w:p>
    <w:p>
      <w:pPr>
        <w:pStyle w:val="30"/>
        <w:spacing w:line="360" w:lineRule="auto"/>
        <w:rPr>
          <w:rFonts w:hint="eastAsia" w:ascii="Times New Roman" w:hAnsi="Times New Roman" w:eastAsiaTheme="minorEastAsia"/>
          <w:b w:val="0"/>
          <w:color w:val="000000" w:themeColor="text1"/>
          <w:sz w:val="21"/>
          <w:szCs w:val="22"/>
          <w:lang w:val="en-US" w:eastAsia="zh-CN"/>
          <w14:textFill>
            <w14:solidFill>
              <w14:schemeClr w14:val="tx1"/>
            </w14:solidFill>
          </w14:textFill>
        </w:rPr>
      </w:pPr>
      <w:r>
        <w:fldChar w:fldCharType="begin"/>
      </w:r>
      <w:r>
        <w:instrText xml:space="preserve"> HYPERLINK \l "_Toc97371945" </w:instrText>
      </w:r>
      <w:r>
        <w:fldChar w:fldCharType="separate"/>
      </w:r>
      <w:r>
        <w:rPr>
          <w:rStyle w:val="52"/>
          <w:rFonts w:ascii="Times New Roman" w:hAnsi="Times New Roman" w:eastAsiaTheme="minorEastAsia"/>
          <w:color w:val="000000" w:themeColor="text1"/>
          <w14:textFill>
            <w14:solidFill>
              <w14:schemeClr w14:val="tx1"/>
            </w14:solidFill>
          </w14:textFill>
        </w:rPr>
        <w:t xml:space="preserve">第四章  </w:t>
      </w:r>
      <w:r>
        <w:rPr>
          <w:rStyle w:val="52"/>
          <w:rFonts w:hint="eastAsia" w:ascii="Times New Roman" w:hAnsi="Times New Roman" w:eastAsiaTheme="minorEastAsia"/>
          <w:color w:val="000000" w:themeColor="text1"/>
          <w14:textFill>
            <w14:solidFill>
              <w14:schemeClr w14:val="tx1"/>
            </w14:solidFill>
          </w14:textFill>
        </w:rPr>
        <w:t xml:space="preserve"> 技术</w:t>
      </w:r>
      <w:r>
        <w:rPr>
          <w:rStyle w:val="52"/>
          <w:rFonts w:ascii="Times New Roman" w:hAnsi="Times New Roman" w:eastAsiaTheme="minorEastAsia"/>
          <w:color w:val="000000" w:themeColor="text1"/>
          <w14:textFill>
            <w14:solidFill>
              <w14:schemeClr w14:val="tx1"/>
            </w14:solidFill>
          </w14:textFill>
        </w:rPr>
        <w:t>需求</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lang w:val="en-US" w:eastAsia="zh-CN"/>
          <w14:textFill>
            <w14:solidFill>
              <w14:schemeClr w14:val="tx1"/>
            </w14:solidFill>
          </w14:textFill>
        </w:rPr>
        <w:t>3</w:t>
      </w:r>
      <w:r>
        <w:rPr>
          <w:rFonts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lang w:val="en-US" w:eastAsia="zh-CN"/>
          <w14:textFill>
            <w14:solidFill>
              <w14:schemeClr w14:val="tx1"/>
            </w14:solidFill>
          </w14:textFill>
        </w:rPr>
        <w:t>0</w:t>
      </w:r>
    </w:p>
    <w:p>
      <w:pPr>
        <w:pStyle w:val="30"/>
        <w:spacing w:line="360" w:lineRule="auto"/>
        <w:rPr>
          <w:rFonts w:eastAsiaTheme="minorEastAsia"/>
        </w:rPr>
      </w:pPr>
      <w:r>
        <w:fldChar w:fldCharType="begin"/>
      </w:r>
      <w:r>
        <w:instrText xml:space="preserve"> HYPERLINK \l "_Toc97371945"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五</w:t>
      </w:r>
      <w:r>
        <w:rPr>
          <w:rStyle w:val="52"/>
          <w:rFonts w:ascii="Times New Roman" w:hAnsi="Times New Roman" w:eastAsiaTheme="minorEastAsia"/>
          <w:color w:val="000000" w:themeColor="text1"/>
          <w14:textFill>
            <w14:solidFill>
              <w14:schemeClr w14:val="tx1"/>
            </w14:solidFill>
          </w14:textFill>
        </w:rPr>
        <w:t xml:space="preserve">章  </w:t>
      </w:r>
      <w:r>
        <w:rPr>
          <w:rStyle w:val="52"/>
          <w:rFonts w:hint="eastAsia" w:ascii="Times New Roman" w:hAnsi="Times New Roman" w:eastAsiaTheme="minorEastAsia"/>
          <w:color w:val="000000" w:themeColor="text1"/>
          <w14:textFill>
            <w14:solidFill>
              <w14:schemeClr w14:val="tx1"/>
            </w14:solidFill>
          </w14:textFill>
        </w:rPr>
        <w:t xml:space="preserve"> 工程量清单</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3</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5</w:t>
      </w:r>
    </w:p>
    <w:p>
      <w:pPr>
        <w:pStyle w:val="30"/>
        <w:spacing w:line="360" w:lineRule="auto"/>
        <w:rPr>
          <w:rFonts w:ascii="Times New Roman" w:hAnsi="Times New Roman" w:eastAsiaTheme="minorEastAsia"/>
          <w:b w:val="0"/>
          <w:color w:val="000000" w:themeColor="text1"/>
          <w:sz w:val="21"/>
          <w:szCs w:val="22"/>
          <w14:textFill>
            <w14:solidFill>
              <w14:schemeClr w14:val="tx1"/>
            </w14:solidFill>
          </w14:textFill>
        </w:rPr>
      </w:pPr>
      <w:r>
        <w:fldChar w:fldCharType="begin"/>
      </w:r>
      <w:r>
        <w:instrText xml:space="preserve"> HYPERLINK \l "_Toc97371946"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六</w:t>
      </w:r>
      <w:r>
        <w:rPr>
          <w:rStyle w:val="52"/>
          <w:rFonts w:ascii="Times New Roman" w:hAnsi="Times New Roman" w:eastAsiaTheme="minorEastAsia"/>
          <w:color w:val="000000" w:themeColor="text1"/>
          <w14:textFill>
            <w14:solidFill>
              <w14:schemeClr w14:val="tx1"/>
            </w14:solidFill>
          </w14:textFill>
        </w:rPr>
        <w:t>章   合同草案条款</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3</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14:textFill>
            <w14:solidFill>
              <w14:schemeClr w14:val="tx1"/>
            </w14:solidFill>
          </w14:textFill>
        </w:rPr>
        <w:t>6</w:t>
      </w:r>
    </w:p>
    <w:p>
      <w:pPr>
        <w:pStyle w:val="30"/>
        <w:spacing w:line="360" w:lineRule="auto"/>
        <w:rPr>
          <w:rFonts w:hint="default" w:ascii="Times New Roman" w:hAnsi="Times New Roman" w:eastAsiaTheme="minorEastAsia"/>
          <w:b w:val="0"/>
          <w:color w:val="000000" w:themeColor="text1"/>
          <w:sz w:val="21"/>
          <w:szCs w:val="22"/>
          <w:lang w:val="en-US" w:eastAsia="zh-CN"/>
          <w14:textFill>
            <w14:solidFill>
              <w14:schemeClr w14:val="tx1"/>
            </w14:solidFill>
          </w14:textFill>
        </w:rPr>
      </w:pPr>
      <w:r>
        <w:fldChar w:fldCharType="begin"/>
      </w:r>
      <w:r>
        <w:instrText xml:space="preserve"> HYPERLINK \l "_Toc97371947" </w:instrText>
      </w:r>
      <w:r>
        <w:fldChar w:fldCharType="separate"/>
      </w:r>
      <w:r>
        <w:rPr>
          <w:rStyle w:val="52"/>
          <w:rFonts w:ascii="Times New Roman" w:hAnsi="Times New Roman" w:eastAsiaTheme="minorEastAsia"/>
          <w:color w:val="000000" w:themeColor="text1"/>
          <w14:textFill>
            <w14:solidFill>
              <w14:schemeClr w14:val="tx1"/>
            </w14:solidFill>
          </w14:textFill>
        </w:rPr>
        <w:t>第</w:t>
      </w:r>
      <w:r>
        <w:rPr>
          <w:rStyle w:val="52"/>
          <w:rFonts w:hint="eastAsia" w:ascii="Times New Roman" w:hAnsi="Times New Roman" w:eastAsiaTheme="minorEastAsia"/>
          <w:color w:val="000000" w:themeColor="text1"/>
          <w14:textFill>
            <w14:solidFill>
              <w14:schemeClr w14:val="tx1"/>
            </w14:solidFill>
          </w14:textFill>
        </w:rPr>
        <w:t>七</w:t>
      </w:r>
      <w:r>
        <w:rPr>
          <w:rStyle w:val="52"/>
          <w:rFonts w:ascii="Times New Roman" w:hAnsi="Times New Roman" w:eastAsiaTheme="minorEastAsia"/>
          <w:color w:val="000000" w:themeColor="text1"/>
          <w14:textFill>
            <w14:solidFill>
              <w14:schemeClr w14:val="tx1"/>
            </w14:solidFill>
          </w14:textFill>
        </w:rPr>
        <w:t>章   响应文件格式</w:t>
      </w:r>
      <w:r>
        <w:rPr>
          <w:rFonts w:ascii="Times New Roman" w:hAnsi="Times New Roman" w:eastAsiaTheme="minorEastAsia"/>
          <w:color w:val="000000" w:themeColor="text1"/>
          <w14:textFill>
            <w14:solidFill>
              <w14:schemeClr w14:val="tx1"/>
            </w14:solidFill>
          </w14:textFill>
        </w:rPr>
        <w:tab/>
      </w:r>
      <w:r>
        <w:rPr>
          <w:rFonts w:hint="eastAsia" w:ascii="Times New Roman" w:hAnsi="Times New Roman" w:eastAsiaTheme="minorEastAsia"/>
          <w:color w:val="000000" w:themeColor="text1"/>
          <w14:textFill>
            <w14:solidFill>
              <w14:schemeClr w14:val="tx1"/>
            </w14:solidFill>
          </w14:textFill>
        </w:rPr>
        <w:t>1</w:t>
      </w:r>
      <w:r>
        <w:rPr>
          <w:rFonts w:hint="eastAsia" w:ascii="Times New Roman" w:hAnsi="Times New Roman" w:eastAsiaTheme="minorEastAsia"/>
          <w:color w:val="000000" w:themeColor="text1"/>
          <w14:textFill>
            <w14:solidFill>
              <w14:schemeClr w14:val="tx1"/>
            </w14:solidFill>
          </w14:textFill>
        </w:rPr>
        <w:fldChar w:fldCharType="end"/>
      </w:r>
      <w:r>
        <w:rPr>
          <w:rFonts w:hint="eastAsia" w:ascii="Times New Roman" w:hAnsi="Times New Roman" w:eastAsiaTheme="minorEastAsia"/>
          <w:color w:val="000000" w:themeColor="text1"/>
          <w:lang w:val="en-US" w:eastAsia="zh-CN"/>
          <w14:textFill>
            <w14:solidFill>
              <w14:schemeClr w14:val="tx1"/>
            </w14:solidFill>
          </w14:textFill>
        </w:rPr>
        <w:t>22</w:t>
      </w:r>
    </w:p>
    <w:p>
      <w:pPr>
        <w:pStyle w:val="30"/>
        <w:spacing w:line="360" w:lineRule="auto"/>
        <w:rPr>
          <w:rFonts w:ascii="Times New Roman" w:hAnsi="Times New Roman" w:eastAsiaTheme="minorEastAsia"/>
          <w:b w:val="0"/>
          <w:color w:val="000000" w:themeColor="text1"/>
          <w14:textFill>
            <w14:solidFill>
              <w14:schemeClr w14:val="tx1"/>
            </w14:solidFill>
          </w14:textFill>
        </w:rPr>
      </w:pPr>
      <w:r>
        <w:rPr>
          <w:rFonts w:ascii="Times New Roman" w:hAnsi="Times New Roman" w:eastAsiaTheme="minorEastAsia"/>
          <w:b w:val="0"/>
          <w:color w:val="000000" w:themeColor="text1"/>
          <w14:textFill>
            <w14:solidFill>
              <w14:schemeClr w14:val="tx1"/>
            </w14:solidFill>
          </w14:textFill>
        </w:rPr>
        <w:fldChar w:fldCharType="end"/>
      </w:r>
    </w:p>
    <w:p>
      <w:pPr>
        <w:pStyle w:val="30"/>
        <w:spacing w:line="360" w:lineRule="auto"/>
        <w:rPr>
          <w:rFonts w:eastAsiaTheme="minorEastAsia"/>
          <w:b w:val="0"/>
          <w:color w:val="000000" w:themeColor="text1"/>
          <w:sz w:val="36"/>
          <w:szCs w:val="36"/>
          <w14:textFill>
            <w14:solidFill>
              <w14:schemeClr w14:val="tx1"/>
            </w14:solidFill>
          </w14:textFill>
        </w:rPr>
      </w:pPr>
      <w:bookmarkStart w:id="0" w:name="_Toc97371941"/>
    </w:p>
    <w:p>
      <w:pPr>
        <w:spacing w:line="360" w:lineRule="auto"/>
        <w:jc w:val="center"/>
        <w:outlineLvl w:val="0"/>
        <w:rPr>
          <w:rFonts w:eastAsiaTheme="minorEastAsia"/>
          <w:b/>
          <w:color w:val="000000" w:themeColor="text1"/>
          <w:sz w:val="36"/>
          <w:szCs w:val="36"/>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第一章   采购邀请</w:t>
      </w:r>
      <w:bookmarkEnd w:id="0"/>
      <w:bookmarkStart w:id="1" w:name="_Toc28359079"/>
      <w:bookmarkStart w:id="2" w:name="_Toc35393621"/>
      <w:bookmarkStart w:id="3" w:name="_Toc28359002"/>
      <w:bookmarkStart w:id="4" w:name="_Toc35393790"/>
      <w:bookmarkStart w:id="5" w:name="_Hlk24379207"/>
    </w:p>
    <w:p>
      <w:pPr>
        <w:spacing w:line="360" w:lineRule="auto"/>
        <w:ind w:firstLine="480" w:firstLineChars="200"/>
        <w:rPr>
          <w:rFonts w:eastAsiaTheme="minorEastAsia"/>
          <w:color w:val="000000" w:themeColor="text1"/>
          <w:sz w:val="24"/>
          <w14:textFill>
            <w14:solidFill>
              <w14:schemeClr w14:val="tx1"/>
            </w14:solidFill>
          </w14:textFill>
        </w:rPr>
      </w:pP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一、项目基本情况</w:t>
      </w:r>
      <w:bookmarkEnd w:id="1"/>
      <w:bookmarkEnd w:id="2"/>
      <w:bookmarkEnd w:id="3"/>
      <w:bookmarkEnd w:id="4"/>
    </w:p>
    <w:p>
      <w:pPr>
        <w:spacing w:line="360" w:lineRule="auto"/>
        <w:ind w:firstLine="480" w:firstLineChars="200"/>
        <w:rPr>
          <w:rFonts w:hint="default" w:eastAsiaTheme="minorEastAsia"/>
          <w:color w:val="000000" w:themeColor="text1"/>
          <w:sz w:val="24"/>
          <w:u w:val="single"/>
          <w:lang w:val="en-US" w:eastAsia="zh-CN"/>
          <w14:textFill>
            <w14:solidFill>
              <w14:schemeClr w14:val="tx1"/>
            </w14:solidFill>
          </w14:textFill>
        </w:rPr>
      </w:pPr>
      <w:r>
        <w:rPr>
          <w:rFonts w:eastAsiaTheme="minorEastAsia"/>
          <w:color w:val="000000" w:themeColor="text1"/>
          <w:sz w:val="24"/>
          <w14:textFill>
            <w14:solidFill>
              <w14:schemeClr w14:val="tx1"/>
            </w14:solidFill>
          </w14:textFill>
        </w:rPr>
        <w:t>1.项目编号：</w:t>
      </w:r>
      <w:r>
        <w:rPr>
          <w:rFonts w:hint="eastAsia" w:eastAsiaTheme="minorEastAsia"/>
          <w:color w:val="000000" w:themeColor="text1"/>
          <w:sz w:val="24"/>
          <w:u w:val="single"/>
          <w14:textFill>
            <w14:solidFill>
              <w14:schemeClr w14:val="tx1"/>
            </w14:solidFill>
          </w14:textFill>
        </w:rPr>
        <w:t>11010224210200013161-XM001</w:t>
      </w:r>
    </w:p>
    <w:p>
      <w:pPr>
        <w:spacing w:line="360" w:lineRule="auto"/>
        <w:ind w:firstLine="480" w:firstLineChars="200"/>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2.项目名称：</w:t>
      </w:r>
      <w:r>
        <w:rPr>
          <w:rFonts w:hint="eastAsia" w:eastAsiaTheme="minorEastAsia"/>
          <w:color w:val="000000" w:themeColor="text1"/>
          <w:sz w:val="24"/>
          <w:u w:val="single"/>
          <w:lang w:eastAsia="zh-CN"/>
          <w14:textFill>
            <w14:solidFill>
              <w14:schemeClr w14:val="tx1"/>
            </w14:solidFill>
          </w14:textFill>
        </w:rPr>
        <w:t>西城区地震应急避难场所项目</w:t>
      </w:r>
      <w:r>
        <w:rPr>
          <w:rFonts w:hint="eastAsia" w:eastAsiaTheme="minorEastAsia"/>
          <w:color w:val="000000" w:themeColor="text1"/>
          <w:sz w:val="24"/>
          <w:u w:val="single"/>
          <w14:textFill>
            <w14:solidFill>
              <w14:schemeClr w14:val="tx1"/>
            </w14:solidFill>
          </w14:textFill>
        </w:rPr>
        <w:t xml:space="preserve"> </w:t>
      </w:r>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3.采购方式：竞争性磋商</w:t>
      </w:r>
    </w:p>
    <w:bookmarkEnd w:id="5"/>
    <w:p>
      <w:pPr>
        <w:spacing w:line="360" w:lineRule="auto"/>
        <w:ind w:firstLine="480" w:firstLineChars="200"/>
        <w:rPr>
          <w:rFonts w:ascii="宋体" w:hAnsi="宋体" w:cs="宋体"/>
          <w:color w:val="000000" w:themeColor="text1"/>
          <w:sz w:val="24"/>
          <w:highlight w:val="green"/>
          <w14:textFill>
            <w14:solidFill>
              <w14:schemeClr w14:val="tx1"/>
            </w14:solidFill>
          </w14:textFill>
        </w:rPr>
      </w:pPr>
      <w:r>
        <w:rPr>
          <w:rFonts w:eastAsiaTheme="minorEastAsia"/>
          <w:color w:val="000000" w:themeColor="text1"/>
          <w:sz w:val="24"/>
          <w14:textFill>
            <w14:solidFill>
              <w14:schemeClr w14:val="tx1"/>
            </w14:solidFill>
          </w14:textFill>
        </w:rPr>
        <w:t>4.项目预算金额：</w:t>
      </w:r>
      <w:r>
        <w:rPr>
          <w:rFonts w:hint="eastAsia" w:eastAsiaTheme="minorEastAsia"/>
          <w:color w:val="000000" w:themeColor="text1"/>
          <w:sz w:val="24"/>
          <w14:textFill>
            <w14:solidFill>
              <w14:schemeClr w14:val="tx1"/>
            </w14:solidFill>
          </w14:textFill>
        </w:rPr>
        <w:t>274</w:t>
      </w:r>
      <w:r>
        <w:rPr>
          <w:rFonts w:hint="eastAsia" w:eastAsiaTheme="minorEastAsia"/>
          <w:color w:val="000000" w:themeColor="text1"/>
          <w:sz w:val="24"/>
          <w:lang w:val="en-US" w:eastAsia="zh-CN"/>
          <w14:textFill>
            <w14:solidFill>
              <w14:schemeClr w14:val="tx1"/>
            </w14:solidFill>
          </w14:textFill>
        </w:rPr>
        <w:t>.</w:t>
      </w:r>
      <w:r>
        <w:rPr>
          <w:rFonts w:hint="eastAsia" w:eastAsiaTheme="minorEastAsia"/>
          <w:color w:val="000000" w:themeColor="text1"/>
          <w:sz w:val="24"/>
          <w14:textFill>
            <w14:solidFill>
              <w14:schemeClr w14:val="tx1"/>
            </w14:solidFill>
          </w14:textFill>
        </w:rPr>
        <w:t>085537</w:t>
      </w:r>
      <w:r>
        <w:rPr>
          <w:rFonts w:hint="eastAsia" w:ascii="宋体" w:hAnsi="宋体" w:cs="宋体"/>
          <w:color w:val="000000" w:themeColor="text1"/>
          <w:sz w:val="24"/>
          <w:highlight w:val="none"/>
          <w14:textFill>
            <w14:solidFill>
              <w14:schemeClr w14:val="tx1"/>
            </w14:solidFill>
          </w14:textFill>
        </w:rPr>
        <w:t>万元、项目最高限价：</w:t>
      </w:r>
      <w:r>
        <w:rPr>
          <w:rFonts w:hint="eastAsia" w:eastAsiaTheme="minorEastAsia"/>
          <w:color w:val="000000" w:themeColor="text1"/>
          <w:sz w:val="24"/>
          <w:highlight w:val="none"/>
          <w14:textFill>
            <w14:solidFill>
              <w14:schemeClr w14:val="tx1"/>
            </w14:solidFill>
          </w14:textFill>
        </w:rPr>
        <w:t>274</w:t>
      </w:r>
      <w:r>
        <w:rPr>
          <w:rFonts w:hint="eastAsia" w:eastAsiaTheme="minorEastAsia"/>
          <w:color w:val="000000" w:themeColor="text1"/>
          <w:sz w:val="24"/>
          <w:highlight w:val="none"/>
          <w:lang w:val="en-US" w:eastAsia="zh-CN"/>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085537</w:t>
      </w:r>
      <w:r>
        <w:rPr>
          <w:rFonts w:hint="eastAsia" w:ascii="宋体" w:hAnsi="宋体" w:cs="宋体"/>
          <w:color w:val="000000" w:themeColor="text1"/>
          <w:sz w:val="24"/>
          <w:highlight w:val="none"/>
          <w14:textFill>
            <w14:solidFill>
              <w14:schemeClr w14:val="tx1"/>
            </w14:solidFill>
          </w14:textFill>
        </w:rPr>
        <w:t>万元</w:t>
      </w:r>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5.采购需求：</w:t>
      </w:r>
    </w:p>
    <w:tbl>
      <w:tblPr>
        <w:tblStyle w:val="4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2283"/>
        <w:gridCol w:w="1843"/>
        <w:gridCol w:w="1457"/>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82" w:type="pct"/>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包号</w:t>
            </w:r>
          </w:p>
        </w:tc>
        <w:tc>
          <w:tcPr>
            <w:tcW w:w="1235" w:type="pct"/>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标的名称</w:t>
            </w:r>
          </w:p>
        </w:tc>
        <w:tc>
          <w:tcPr>
            <w:tcW w:w="997" w:type="pct"/>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采购包预算金额（万元）</w:t>
            </w:r>
          </w:p>
        </w:tc>
        <w:tc>
          <w:tcPr>
            <w:tcW w:w="788" w:type="pct"/>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数量</w:t>
            </w:r>
          </w:p>
        </w:tc>
        <w:tc>
          <w:tcPr>
            <w:tcW w:w="1595" w:type="pct"/>
            <w:vAlign w:val="center"/>
          </w:tcPr>
          <w:p>
            <w:pPr>
              <w:jc w:val="center"/>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382" w:type="pct"/>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01</w:t>
            </w:r>
          </w:p>
        </w:tc>
        <w:tc>
          <w:tcPr>
            <w:tcW w:w="1235" w:type="pct"/>
            <w:vAlign w:val="center"/>
          </w:tcPr>
          <w:p>
            <w:pPr>
              <w:jc w:val="center"/>
              <w:rPr>
                <w:rFonts w:eastAsiaTheme="minorEastAsia"/>
                <w:bCs/>
                <w:color w:val="000000" w:themeColor="text1"/>
                <w:sz w:val="24"/>
                <w14:textFill>
                  <w14:solidFill>
                    <w14:schemeClr w14:val="tx1"/>
                  </w14:solidFill>
                </w14:textFill>
              </w:rPr>
            </w:pPr>
            <w:r>
              <w:rPr>
                <w:rFonts w:hint="eastAsia" w:eastAsiaTheme="minorEastAsia"/>
                <w:color w:val="000000" w:themeColor="text1"/>
                <w:sz w:val="24"/>
                <w:lang w:eastAsia="zh-CN"/>
                <w14:textFill>
                  <w14:solidFill>
                    <w14:schemeClr w14:val="tx1"/>
                  </w14:solidFill>
                </w14:textFill>
              </w:rPr>
              <w:t>西城区地震应急避难场所项目</w:t>
            </w:r>
            <w:r>
              <w:rPr>
                <w:rFonts w:hint="eastAsia" w:eastAsiaTheme="minorEastAsia"/>
                <w:color w:val="000000" w:themeColor="text1"/>
                <w:sz w:val="24"/>
                <w14:textFill>
                  <w14:solidFill>
                    <w14:schemeClr w14:val="tx1"/>
                  </w14:solidFill>
                </w14:textFill>
              </w:rPr>
              <w:t xml:space="preserve">  </w:t>
            </w:r>
          </w:p>
        </w:tc>
        <w:tc>
          <w:tcPr>
            <w:tcW w:w="997" w:type="pct"/>
            <w:vAlign w:val="center"/>
          </w:tcPr>
          <w:p>
            <w:pPr>
              <w:jc w:val="center"/>
              <w:rPr>
                <w:rFonts w:eastAsiaTheme="minorEastAsia"/>
                <w:bCs/>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274</w:t>
            </w:r>
            <w:r>
              <w:rPr>
                <w:rFonts w:hint="eastAsia" w:eastAsiaTheme="minorEastAsia"/>
                <w:color w:val="000000" w:themeColor="text1"/>
                <w:sz w:val="24"/>
                <w:lang w:val="en-US" w:eastAsia="zh-CN"/>
                <w14:textFill>
                  <w14:solidFill>
                    <w14:schemeClr w14:val="tx1"/>
                  </w14:solidFill>
                </w14:textFill>
              </w:rPr>
              <w:t>.</w:t>
            </w:r>
            <w:r>
              <w:rPr>
                <w:rFonts w:hint="eastAsia" w:eastAsiaTheme="minorEastAsia"/>
                <w:color w:val="000000" w:themeColor="text1"/>
                <w:sz w:val="24"/>
                <w14:textFill>
                  <w14:solidFill>
                    <w14:schemeClr w14:val="tx1"/>
                  </w14:solidFill>
                </w14:textFill>
              </w:rPr>
              <w:t>085537</w:t>
            </w:r>
          </w:p>
        </w:tc>
        <w:tc>
          <w:tcPr>
            <w:tcW w:w="788" w:type="pct"/>
            <w:vAlign w:val="center"/>
          </w:tcPr>
          <w:p>
            <w:pPr>
              <w:jc w:val="center"/>
              <w:rPr>
                <w:rFonts w:eastAsiaTheme="minorEastAsia"/>
                <w:bCs/>
                <w:color w:val="000000" w:themeColor="text1"/>
                <w:sz w:val="24"/>
                <w14:textFill>
                  <w14:solidFill>
                    <w14:schemeClr w14:val="tx1"/>
                  </w14:solidFill>
                </w14:textFill>
              </w:rPr>
            </w:pPr>
            <w:r>
              <w:rPr>
                <w:rFonts w:hint="eastAsia" w:eastAsiaTheme="minorEastAsia"/>
                <w:bCs/>
                <w:color w:val="000000" w:themeColor="text1"/>
                <w:sz w:val="24"/>
                <w14:textFill>
                  <w14:solidFill>
                    <w14:schemeClr w14:val="tx1"/>
                  </w14:solidFill>
                </w14:textFill>
              </w:rPr>
              <w:t>1</w:t>
            </w:r>
          </w:p>
        </w:tc>
        <w:tc>
          <w:tcPr>
            <w:tcW w:w="1595" w:type="pct"/>
            <w:vAlign w:val="center"/>
          </w:tcPr>
          <w:p>
            <w:pPr>
              <w:jc w:val="center"/>
              <w:rPr>
                <w:rFonts w:hint="default" w:eastAsiaTheme="minorEastAsia"/>
                <w:color w:val="000000" w:themeColor="text1"/>
                <w:kern w:val="0"/>
                <w:sz w:val="24"/>
                <w:lang w:val="en-US" w:eastAsia="zh-CN"/>
                <w14:textFill>
                  <w14:solidFill>
                    <w14:schemeClr w14:val="tx1"/>
                  </w14:solidFill>
                </w14:textFill>
              </w:rPr>
            </w:pPr>
            <w:r>
              <w:rPr>
                <w:rFonts w:hint="eastAsia" w:eastAsiaTheme="minorEastAsia"/>
                <w:color w:val="000000" w:themeColor="text1"/>
                <w:kern w:val="0"/>
                <w:sz w:val="22"/>
                <w:szCs w:val="22"/>
                <w:lang w:val="en-US" w:eastAsia="zh-CN"/>
                <w14:textFill>
                  <w14:solidFill>
                    <w14:schemeClr w14:val="tx1"/>
                  </w14:solidFill>
                </w14:textFill>
              </w:rPr>
              <w:t>包括但不限于</w:t>
            </w:r>
            <w:r>
              <w:rPr>
                <w:rFonts w:hint="eastAsia" w:eastAsiaTheme="minorEastAsia"/>
                <w:color w:val="000000" w:themeColor="text1"/>
                <w:kern w:val="0"/>
                <w:sz w:val="22"/>
                <w:szCs w:val="22"/>
                <w14:textFill>
                  <w14:solidFill>
                    <w14:schemeClr w14:val="tx1"/>
                  </w14:solidFill>
                </w14:textFill>
              </w:rPr>
              <w:t>应急标志标牌新做、应急配电箱(柜)、盘制作、安装等工作</w:t>
            </w:r>
            <w:r>
              <w:rPr>
                <w:rFonts w:hint="eastAsia" w:eastAsiaTheme="minorEastAsia"/>
                <w:color w:val="000000" w:themeColor="text1"/>
                <w:kern w:val="0"/>
                <w:sz w:val="22"/>
                <w:szCs w:val="22"/>
                <w:lang w:eastAsia="zh-CN"/>
                <w14:textFill>
                  <w14:solidFill>
                    <w14:schemeClr w14:val="tx1"/>
                  </w14:solidFill>
                </w14:textFill>
              </w:rPr>
              <w:t>，</w:t>
            </w:r>
            <w:r>
              <w:rPr>
                <w:rFonts w:hint="eastAsia" w:eastAsiaTheme="minorEastAsia"/>
                <w:color w:val="000000" w:themeColor="text1"/>
                <w:kern w:val="0"/>
                <w:sz w:val="22"/>
                <w:szCs w:val="22"/>
                <w:lang w:val="en-US" w:eastAsia="zh-CN"/>
                <w14:textFill>
                  <w14:solidFill>
                    <w14:schemeClr w14:val="tx1"/>
                  </w14:solidFill>
                </w14:textFill>
              </w:rPr>
              <w:t>详见图纸及工程量清单。</w:t>
            </w:r>
          </w:p>
        </w:tc>
      </w:tr>
    </w:tbl>
    <w:p>
      <w:pPr>
        <w:spacing w:line="360" w:lineRule="auto"/>
        <w:ind w:firstLine="480" w:firstLineChars="200"/>
        <w:rPr>
          <w:rFonts w:eastAsiaTheme="minorEastAsia"/>
          <w:color w:val="000000" w:themeColor="text1"/>
          <w:sz w:val="24"/>
          <w:highlight w:val="green"/>
          <w:u w:val="single"/>
          <w14:textFill>
            <w14:solidFill>
              <w14:schemeClr w14:val="tx1"/>
            </w14:solidFill>
          </w14:textFill>
        </w:rPr>
      </w:pPr>
      <w:r>
        <w:rPr>
          <w:rFonts w:eastAsiaTheme="minorEastAsia"/>
          <w:color w:val="000000" w:themeColor="text1"/>
          <w:sz w:val="24"/>
          <w:highlight w:val="none"/>
          <w14:textFill>
            <w14:solidFill>
              <w14:schemeClr w14:val="tx1"/>
            </w14:solidFill>
          </w14:textFill>
        </w:rPr>
        <w:t>6.合同履行期限</w:t>
      </w:r>
      <w:r>
        <w:rPr>
          <w:rFonts w:hint="eastAsia" w:eastAsiaTheme="minorEastAsia"/>
          <w:color w:val="000000" w:themeColor="text1"/>
          <w:sz w:val="24"/>
          <w:highlight w:val="none"/>
          <w:lang w:eastAsia="zh-CN"/>
          <w14:textFill>
            <w14:solidFill>
              <w14:schemeClr w14:val="tx1"/>
            </w14:solidFill>
          </w14:textFill>
        </w:rPr>
        <w:t>（</w:t>
      </w:r>
      <w:r>
        <w:rPr>
          <w:rFonts w:hint="eastAsia" w:eastAsiaTheme="minorEastAsia"/>
          <w:color w:val="000000" w:themeColor="text1"/>
          <w:sz w:val="24"/>
          <w:highlight w:val="none"/>
          <w:lang w:val="en-US" w:eastAsia="zh-CN"/>
          <w14:textFill>
            <w14:solidFill>
              <w14:schemeClr w14:val="tx1"/>
            </w14:solidFill>
          </w14:textFill>
        </w:rPr>
        <w:t>工期</w:t>
      </w:r>
      <w:r>
        <w:rPr>
          <w:rFonts w:hint="eastAsia" w:eastAsiaTheme="minorEastAsia"/>
          <w:color w:val="000000" w:themeColor="text1"/>
          <w:sz w:val="24"/>
          <w:highlight w:val="none"/>
          <w:lang w:eastAsia="zh-CN"/>
          <w14:textFill>
            <w14:solidFill>
              <w14:schemeClr w14:val="tx1"/>
            </w14:solidFill>
          </w14:textFill>
        </w:rPr>
        <w:t>）</w:t>
      </w:r>
      <w:r>
        <w:rPr>
          <w:rFonts w:eastAsiaTheme="minorEastAsia"/>
          <w:color w:val="000000" w:themeColor="text1"/>
          <w:sz w:val="24"/>
          <w:highlight w:val="none"/>
          <w14:textFill>
            <w14:solidFill>
              <w14:schemeClr w14:val="tx1"/>
            </w14:solidFill>
          </w14:textFill>
        </w:rPr>
        <w:t>：</w:t>
      </w:r>
      <w:r>
        <w:rPr>
          <w:rFonts w:hint="eastAsia" w:eastAsiaTheme="minorEastAsia"/>
          <w:sz w:val="24"/>
          <w:highlight w:val="none"/>
          <w:u w:val="single"/>
        </w:rPr>
        <w:t xml:space="preserve"> </w:t>
      </w:r>
      <w:r>
        <w:rPr>
          <w:rFonts w:hint="eastAsia" w:eastAsiaTheme="minorEastAsia"/>
          <w:sz w:val="24"/>
          <w:highlight w:val="none"/>
          <w:u w:val="single"/>
          <w:lang w:val="en-US" w:eastAsia="zh-CN"/>
        </w:rPr>
        <w:t>7</w:t>
      </w:r>
      <w:r>
        <w:rPr>
          <w:rFonts w:hint="eastAsia" w:eastAsiaTheme="minorEastAsia"/>
          <w:sz w:val="24"/>
          <w:highlight w:val="none"/>
          <w:u w:val="single"/>
        </w:rPr>
        <w:t>0日历天</w:t>
      </w:r>
      <w:r>
        <w:rPr>
          <w:rFonts w:hint="eastAsia" w:eastAsiaTheme="minorEastAsia"/>
          <w:sz w:val="24"/>
          <w:highlight w:val="none"/>
          <w:u w:val="single"/>
          <w:lang w:val="en-US" w:eastAsia="zh-CN"/>
        </w:rPr>
        <w:t>,其中14处校区50日历天内完成</w:t>
      </w:r>
      <w:r>
        <w:rPr>
          <w:rFonts w:hint="eastAsia" w:eastAsiaTheme="minorEastAsia"/>
          <w:sz w:val="24"/>
          <w:highlight w:val="none"/>
          <w:u w:val="single"/>
        </w:rPr>
        <w:t xml:space="preserve"> </w:t>
      </w:r>
      <w:r>
        <w:rPr>
          <w:rFonts w:hint="eastAsia"/>
          <w:color w:val="000000" w:themeColor="text1"/>
          <w:sz w:val="24"/>
          <w:highlight w:val="none"/>
          <w14:textFill>
            <w14:solidFill>
              <w14:schemeClr w14:val="tx1"/>
            </w14:solidFill>
          </w14:textFill>
        </w:rPr>
        <w:t>。</w:t>
      </w:r>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7.本项目是否接受联合体：</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 xml:space="preserve">是  </w:t>
      </w: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否。</w:t>
      </w: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6" w:name="_Toc35393791"/>
      <w:bookmarkStart w:id="7" w:name="_Toc28359003"/>
      <w:bookmarkStart w:id="8" w:name="_Toc35393622"/>
      <w:bookmarkStart w:id="9" w:name="_Toc28359080"/>
      <w:r>
        <w:rPr>
          <w:rFonts w:ascii="Times New Roman" w:hAnsi="Times New Roman" w:eastAsiaTheme="minorEastAsia"/>
          <w:color w:val="000000" w:themeColor="text1"/>
          <w:sz w:val="24"/>
          <w:szCs w:val="24"/>
          <w14:textFill>
            <w14:solidFill>
              <w14:schemeClr w14:val="tx1"/>
            </w14:solidFill>
          </w14:textFill>
        </w:rPr>
        <w:t>二、申请人的资格要求（须同时满足）</w:t>
      </w:r>
      <w:bookmarkEnd w:id="6"/>
      <w:bookmarkEnd w:id="7"/>
      <w:bookmarkEnd w:id="8"/>
      <w:bookmarkEnd w:id="9"/>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rFonts w:eastAsiaTheme="minorEastAsia"/>
          <w:color w:val="000000" w:themeColor="text1"/>
          <w:sz w:val="24"/>
          <w14:textFill>
            <w14:solidFill>
              <w14:schemeClr w14:val="tx1"/>
            </w14:solidFill>
          </w14:textFill>
        </w:rPr>
      </w:pPr>
      <w:bookmarkStart w:id="10" w:name="_Toc28359004"/>
      <w:bookmarkStart w:id="11" w:name="_Toc28359081"/>
      <w:r>
        <w:rPr>
          <w:rFonts w:eastAsiaTheme="minorEastAsia"/>
          <w:color w:val="000000" w:themeColor="text1"/>
          <w:sz w:val="24"/>
          <w14:textFill>
            <w14:solidFill>
              <w14:schemeClr w14:val="tx1"/>
            </w14:solidFill>
          </w14:textFill>
        </w:rPr>
        <w:t>2.落实政府采购政策需满足的资格要求：</w:t>
      </w:r>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2.1 中小企业政策</w:t>
      </w:r>
    </w:p>
    <w:p>
      <w:pPr>
        <w:spacing w:line="360" w:lineRule="auto"/>
        <w:ind w:firstLine="420" w:firstLineChars="200"/>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本项目不专门面向中小企业预留采购份额。</w:t>
      </w:r>
    </w:p>
    <w:p>
      <w:pPr>
        <w:spacing w:line="360" w:lineRule="auto"/>
        <w:ind w:firstLine="480" w:firstLineChars="20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 xml:space="preserve">本项目专门面向  </w:t>
      </w: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 xml:space="preserve">中小 </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小微企业  采购。即：提供的货物全部由符合政策要求的中小/小微企业制造、服务全部由符合政策要求的中小/小微企业承接。</w:t>
      </w:r>
    </w:p>
    <w:p>
      <w:pPr>
        <w:spacing w:line="360" w:lineRule="auto"/>
        <w:ind w:firstLine="480" w:firstLineChars="20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themeColor="text1"/>
          <w:sz w:val="24"/>
          <w:u w:val="single"/>
          <w14:textFill>
            <w14:solidFill>
              <w14:schemeClr w14:val="tx1"/>
            </w14:solidFill>
          </w14:textFill>
        </w:rPr>
        <w:t>整体预留</w:t>
      </w:r>
      <w:r>
        <w:rPr>
          <w:rFonts w:hint="eastAsia" w:eastAsiaTheme="minorEastAsia"/>
          <w:color w:val="000000" w:themeColor="text1"/>
          <w:sz w:val="24"/>
          <w14:textFill>
            <w14:solidFill>
              <w14:schemeClr w14:val="tx1"/>
            </w14:solidFill>
          </w14:textFill>
        </w:rPr>
        <w:t>。</w:t>
      </w:r>
    </w:p>
    <w:p>
      <w:pPr>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2.2 其它落实政府采购政策的资格要求（如有）：</w:t>
      </w:r>
      <w:r>
        <w:rPr>
          <w:color w:val="000000" w:themeColor="text1"/>
          <w:sz w:val="24"/>
          <w:u w:val="single"/>
          <w14:textFill>
            <w14:solidFill>
              <w14:schemeClr w14:val="tx1"/>
            </w14:solidFill>
          </w14:textFill>
        </w:rPr>
        <w:t>无</w:t>
      </w:r>
      <w:r>
        <w:rPr>
          <w:rFonts w:hint="eastAsia" w:eastAsiaTheme="minorEastAsia"/>
          <w:color w:val="000000" w:themeColor="text1"/>
          <w:sz w:val="24"/>
          <w14:textFill>
            <w14:solidFill>
              <w14:schemeClr w14:val="tx1"/>
            </w14:solidFill>
          </w14:textFill>
        </w:rPr>
        <w:t>。</w:t>
      </w:r>
    </w:p>
    <w:p>
      <w:pPr>
        <w:spacing w:line="360" w:lineRule="auto"/>
        <w:ind w:firstLine="480" w:firstLineChars="200"/>
        <w:rPr>
          <w:rFonts w:eastAsiaTheme="minorEastAsia"/>
          <w:i/>
          <w:iCs/>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3.1本项目是否接受分支机构参与响应：</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 xml:space="preserve">是   </w:t>
      </w: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firstLine="480" w:firstLineChars="20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3.2 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是，公益一类事业单位、使用事业编制且由财政拨款保障的群团组织，不得作为承接主体；</w:t>
      </w:r>
      <w:r>
        <w:rPr>
          <w:rFonts w:hint="eastAsia" w:eastAsiaTheme="minorEastAsia"/>
          <w:color w:val="000000" w:themeColor="text1"/>
          <w:sz w:val="24"/>
          <w14:textFill>
            <w14:solidFill>
              <w14:schemeClr w14:val="tx1"/>
            </w14:solidFill>
          </w14:textFill>
        </w:rPr>
        <w:t xml:space="preserve"> </w:t>
      </w:r>
    </w:p>
    <w:p>
      <w:pPr>
        <w:pStyle w:val="251"/>
        <w:spacing w:line="360" w:lineRule="auto"/>
        <w:ind w:firstLine="600" w:firstLineChars="250"/>
        <w:rPr>
          <w:rFonts w:eastAsiaTheme="minorEastAsia"/>
          <w:color w:val="000000" w:themeColor="text1"/>
          <w:sz w:val="24"/>
          <w14:textFill>
            <w14:solidFill>
              <w14:schemeClr w14:val="tx1"/>
            </w14:solidFill>
          </w14:textFill>
        </w:rPr>
      </w:pPr>
      <w:r>
        <w:rPr>
          <w:rFonts w:hint="eastAsia" w:eastAsiaTheme="minorEastAsia"/>
          <w:color w:val="000000" w:themeColor="text1"/>
          <w:sz w:val="24"/>
          <w:lang w:val="en-US" w:eastAsia="zh-CN"/>
          <w14:textFill>
            <w14:solidFill>
              <w14:schemeClr w14:val="tx1"/>
            </w14:solidFill>
          </w14:textFill>
        </w:rPr>
        <w:t>4</w:t>
      </w:r>
      <w:r>
        <w:rPr>
          <w:rFonts w:eastAsiaTheme="minorEastAsia"/>
          <w:color w:val="000000" w:themeColor="text1"/>
          <w:sz w:val="24"/>
          <w14:textFill>
            <w14:solidFill>
              <w14:schemeClr w14:val="tx1"/>
            </w14:solidFill>
          </w14:textFill>
        </w:rPr>
        <w:t>.其他特定资格要求：</w:t>
      </w:r>
    </w:p>
    <w:p>
      <w:pPr>
        <w:pStyle w:val="251"/>
        <w:spacing w:line="360" w:lineRule="auto"/>
        <w:ind w:firstLine="600" w:firstLineChars="250"/>
        <w:rPr>
          <w:rFonts w:cs="Times New Roman"/>
          <w:kern w:val="2"/>
          <w:sz w:val="24"/>
          <w:szCs w:val="20"/>
          <w:u w:val="none"/>
          <w:lang w:val="en-US" w:eastAsia="zh-CN" w:bidi="ar-SA"/>
        </w:rPr>
      </w:pPr>
      <w:r>
        <w:rPr>
          <w:rFonts w:hint="eastAsia"/>
          <w:color w:val="000000" w:themeColor="text1"/>
          <w:sz w:val="24"/>
          <w:szCs w:val="24"/>
          <w:u w:val="none"/>
          <w14:textFill>
            <w14:solidFill>
              <w14:schemeClr w14:val="tx1"/>
            </w14:solidFill>
          </w14:textFill>
        </w:rPr>
        <w:t>1）</w:t>
      </w:r>
      <w:r>
        <w:rPr>
          <w:rFonts w:hint="eastAsia" w:cs="Times New Roman"/>
          <w:kern w:val="2"/>
          <w:sz w:val="24"/>
          <w:szCs w:val="20"/>
          <w:u w:val="none"/>
          <w:lang w:val="en-US" w:eastAsia="zh-CN" w:bidi="ar-SA"/>
        </w:rPr>
        <w:t>供应商须具有建筑工程施工总承包叁级（含）以上资质；</w:t>
      </w:r>
    </w:p>
    <w:p>
      <w:pPr>
        <w:pStyle w:val="251"/>
        <w:numPr>
          <w:ilvl w:val="0"/>
          <w:numId w:val="8"/>
        </w:numPr>
        <w:spacing w:line="360" w:lineRule="auto"/>
        <w:ind w:firstLine="600"/>
        <w:rPr>
          <w:color w:val="000000" w:themeColor="text1"/>
          <w:sz w:val="24"/>
          <w:szCs w:val="24"/>
          <w:u w:val="none"/>
          <w14:textFill>
            <w14:solidFill>
              <w14:schemeClr w14:val="tx1"/>
            </w14:solidFill>
          </w14:textFill>
        </w:rPr>
      </w:pPr>
      <w:r>
        <w:rPr>
          <w:rFonts w:hint="eastAsia" w:cs="Times New Roman"/>
          <w:kern w:val="2"/>
          <w:sz w:val="24"/>
          <w:szCs w:val="20"/>
          <w:u w:val="none"/>
          <w:lang w:val="en-US" w:eastAsia="zh-CN" w:bidi="ar-SA"/>
        </w:rPr>
        <w:t>拟派项目经理须具备建筑工程专业二级及以上资格且同时具有安全生产考核合格证书(简称安全“B”本)；</w:t>
      </w:r>
    </w:p>
    <w:p>
      <w:pPr>
        <w:pStyle w:val="251"/>
        <w:numPr>
          <w:ilvl w:val="0"/>
          <w:numId w:val="8"/>
        </w:numPr>
        <w:spacing w:line="360" w:lineRule="auto"/>
        <w:ind w:firstLine="600"/>
        <w:rPr>
          <w:color w:val="000000" w:themeColor="text1"/>
          <w:sz w:val="24"/>
          <w:szCs w:val="24"/>
          <w:u w:val="none"/>
          <w14:textFill>
            <w14:solidFill>
              <w14:schemeClr w14:val="tx1"/>
            </w14:solidFill>
          </w14:textFill>
        </w:rPr>
      </w:pPr>
      <w:r>
        <w:rPr>
          <w:rFonts w:hint="eastAsia" w:cs="Times New Roman"/>
          <w:kern w:val="2"/>
          <w:sz w:val="24"/>
          <w:szCs w:val="20"/>
          <w:u w:val="none"/>
          <w:lang w:val="en-US" w:eastAsia="zh-CN" w:bidi="ar-SA"/>
        </w:rPr>
        <w:t>具有建设行政主管部门核发的《建设施工安全生产许可证》</w:t>
      </w:r>
    </w:p>
    <w:p>
      <w:pPr>
        <w:pStyle w:val="251"/>
        <w:spacing w:line="360" w:lineRule="auto"/>
        <w:ind w:firstLine="600" w:firstLineChars="250"/>
        <w:rPr>
          <w:color w:val="000000" w:themeColor="text1"/>
          <w:sz w:val="24"/>
          <w:szCs w:val="24"/>
          <w:u w:val="none"/>
          <w14:textFill>
            <w14:solidFill>
              <w14:schemeClr w14:val="tx1"/>
            </w14:solidFill>
          </w14:textFill>
        </w:rPr>
      </w:pPr>
      <w:r>
        <w:rPr>
          <w:rFonts w:hint="eastAsia"/>
          <w:color w:val="000000" w:themeColor="text1"/>
          <w:sz w:val="24"/>
          <w:szCs w:val="24"/>
          <w:u w:val="none"/>
          <w:lang w:val="en-US" w:eastAsia="zh-CN"/>
          <w14:textFill>
            <w14:solidFill>
              <w14:schemeClr w14:val="tx1"/>
            </w14:solidFill>
          </w14:textFill>
        </w:rPr>
        <w:t>4</w:t>
      </w:r>
      <w:r>
        <w:rPr>
          <w:rFonts w:hint="eastAsia"/>
          <w:color w:val="000000" w:themeColor="text1"/>
          <w:sz w:val="24"/>
          <w:szCs w:val="24"/>
          <w:u w:val="none"/>
          <w:lang w:val="en-US"/>
          <w14:textFill>
            <w14:solidFill>
              <w14:schemeClr w14:val="tx1"/>
            </w14:solidFill>
          </w14:textFill>
        </w:rPr>
        <w:t>）</w:t>
      </w:r>
      <w:r>
        <w:rPr>
          <w:rFonts w:hint="eastAsia"/>
          <w:color w:val="000000" w:themeColor="text1"/>
          <w:sz w:val="24"/>
          <w:szCs w:val="24"/>
          <w:u w:val="none"/>
          <w14:textFill>
            <w14:solidFill>
              <w14:schemeClr w14:val="tx1"/>
            </w14:solidFill>
          </w14:textFill>
        </w:rPr>
        <w:t>供应商不得为“信用中国”网站（www.creditchina.gov.cn）中列入失信被执行人</w:t>
      </w:r>
      <w:r>
        <w:rPr>
          <w:rFonts w:hint="eastAsia"/>
          <w:color w:val="000000" w:themeColor="text1"/>
          <w:sz w:val="24"/>
          <w:szCs w:val="24"/>
          <w:u w:val="none"/>
          <w:lang w:val="en-US"/>
          <w14:textFill>
            <w14:solidFill>
              <w14:schemeClr w14:val="tx1"/>
            </w14:solidFill>
          </w14:textFill>
        </w:rPr>
        <w:t>或</w:t>
      </w:r>
      <w:r>
        <w:rPr>
          <w:rFonts w:hint="eastAsia"/>
          <w:color w:val="000000" w:themeColor="text1"/>
          <w:sz w:val="24"/>
          <w:szCs w:val="24"/>
          <w:u w:val="none"/>
          <w14:textFill>
            <w14:solidFill>
              <w14:schemeClr w14:val="tx1"/>
            </w14:solidFill>
          </w14:textFill>
        </w:rPr>
        <w:t>重大税收违法案件当事人名单的供应商，不得为中国政府采购网（www.ccgp.gov.cn）政府采购严重违法失信行为记录名单中被财政部门禁止参加政府采购活动的供应商（处罚决定规定的时间和地域范围内）；</w:t>
      </w:r>
    </w:p>
    <w:p>
      <w:pPr>
        <w:tabs>
          <w:tab w:val="left" w:pos="900"/>
          <w:tab w:val="left" w:pos="1134"/>
          <w:tab w:val="left" w:pos="1589"/>
          <w:tab w:val="left" w:pos="5521"/>
        </w:tabs>
        <w:snapToGrid w:val="0"/>
        <w:spacing w:line="360" w:lineRule="auto"/>
        <w:ind w:firstLine="480" w:firstLineChars="200"/>
        <w:rPr>
          <w:rFonts w:eastAsiaTheme="minorEastAsia"/>
          <w:color w:val="000000" w:themeColor="text1"/>
          <w:sz w:val="24"/>
          <w:u w:val="none"/>
          <w14:textFill>
            <w14:solidFill>
              <w14:schemeClr w14:val="tx1"/>
            </w14:solidFill>
          </w14:textFill>
        </w:rPr>
      </w:pPr>
      <w:r>
        <w:rPr>
          <w:rFonts w:hint="eastAsia"/>
          <w:color w:val="000000" w:themeColor="text1"/>
          <w:sz w:val="24"/>
          <w:u w:val="none"/>
          <w:lang w:val="en-US" w:eastAsia="zh-CN"/>
          <w14:textFill>
            <w14:solidFill>
              <w14:schemeClr w14:val="tx1"/>
            </w14:solidFill>
          </w14:textFill>
        </w:rPr>
        <w:t>5</w:t>
      </w:r>
      <w:r>
        <w:rPr>
          <w:rFonts w:hint="eastAsia"/>
          <w:color w:val="000000" w:themeColor="text1"/>
          <w:sz w:val="24"/>
          <w:u w:val="none"/>
          <w14:textFill>
            <w14:solidFill>
              <w14:schemeClr w14:val="tx1"/>
            </w14:solidFill>
          </w14:textFill>
        </w:rPr>
        <w:t>）单位负责人为同一人或者存在控股、管理关系的不同单位，不得同时参加竞争性磋商</w:t>
      </w:r>
      <w:r>
        <w:rPr>
          <w:rFonts w:eastAsiaTheme="minorEastAsia"/>
          <w:color w:val="000000" w:themeColor="text1"/>
          <w:sz w:val="24"/>
          <w:u w:val="none"/>
          <w14:textFill>
            <w14:solidFill>
              <w14:schemeClr w14:val="tx1"/>
            </w14:solidFill>
          </w14:textFill>
        </w:rPr>
        <w:t>。</w:t>
      </w:r>
    </w:p>
    <w:bookmarkEnd w:id="10"/>
    <w:bookmarkEnd w:id="11"/>
    <w:p>
      <w:pPr>
        <w:pStyle w:val="3"/>
        <w:widowControl/>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2" w:name="_Toc35393623"/>
      <w:bookmarkStart w:id="13" w:name="_Toc35393792"/>
      <w:r>
        <w:rPr>
          <w:rFonts w:ascii="Times New Roman" w:hAnsi="Times New Roman" w:eastAsiaTheme="minorEastAsia"/>
          <w:color w:val="000000" w:themeColor="text1"/>
          <w:sz w:val="24"/>
          <w:szCs w:val="24"/>
          <w14:textFill>
            <w14:solidFill>
              <w14:schemeClr w14:val="tx1"/>
            </w14:solidFill>
          </w14:textFill>
        </w:rPr>
        <w:t>三、获取采购文件</w:t>
      </w:r>
      <w:bookmarkEnd w:id="12"/>
      <w:bookmarkEnd w:id="13"/>
    </w:p>
    <w:p>
      <w:pPr>
        <w:adjustRightInd w:val="0"/>
        <w:snapToGrid w:val="0"/>
        <w:spacing w:line="360" w:lineRule="auto"/>
        <w:ind w:firstLine="480" w:firstLineChars="200"/>
        <w:rPr>
          <w:sz w:val="24"/>
        </w:rPr>
      </w:pPr>
      <w:r>
        <w:rPr>
          <w:sz w:val="24"/>
        </w:rPr>
        <w:t>1.时间：20</w:t>
      </w:r>
      <w:r>
        <w:rPr>
          <w:rFonts w:hint="eastAsia"/>
          <w:sz w:val="24"/>
        </w:rPr>
        <w:t>24</w:t>
      </w:r>
      <w:r>
        <w:rPr>
          <w:sz w:val="24"/>
        </w:rPr>
        <w:t>年</w:t>
      </w:r>
      <w:r>
        <w:rPr>
          <w:rFonts w:hint="eastAsia"/>
          <w:sz w:val="24"/>
        </w:rPr>
        <w:t>0</w:t>
      </w:r>
      <w:r>
        <w:rPr>
          <w:rFonts w:hint="eastAsia"/>
          <w:sz w:val="24"/>
          <w:lang w:val="en-US" w:eastAsia="zh-CN"/>
        </w:rPr>
        <w:t>4</w:t>
      </w:r>
      <w:r>
        <w:rPr>
          <w:sz w:val="24"/>
        </w:rPr>
        <w:t>月</w:t>
      </w:r>
      <w:r>
        <w:rPr>
          <w:rFonts w:hint="eastAsia"/>
          <w:sz w:val="24"/>
          <w:lang w:val="en-US" w:eastAsia="zh-CN"/>
        </w:rPr>
        <w:t>22</w:t>
      </w:r>
      <w:r>
        <w:rPr>
          <w:sz w:val="24"/>
        </w:rPr>
        <w:t>日至202</w:t>
      </w:r>
      <w:r>
        <w:rPr>
          <w:rFonts w:hint="eastAsia"/>
          <w:sz w:val="24"/>
        </w:rPr>
        <w:t>4</w:t>
      </w:r>
      <w:r>
        <w:rPr>
          <w:sz w:val="24"/>
        </w:rPr>
        <w:t>年</w:t>
      </w:r>
      <w:r>
        <w:rPr>
          <w:rFonts w:hint="eastAsia"/>
          <w:sz w:val="24"/>
        </w:rPr>
        <w:t>0</w:t>
      </w:r>
      <w:r>
        <w:rPr>
          <w:rFonts w:hint="eastAsia"/>
          <w:sz w:val="24"/>
          <w:lang w:val="en-US" w:eastAsia="zh-CN"/>
        </w:rPr>
        <w:t>4</w:t>
      </w:r>
      <w:r>
        <w:rPr>
          <w:sz w:val="24"/>
        </w:rPr>
        <w:t>月</w:t>
      </w:r>
      <w:r>
        <w:rPr>
          <w:rFonts w:hint="eastAsia"/>
          <w:sz w:val="24"/>
          <w:lang w:val="en-US" w:eastAsia="zh-CN"/>
        </w:rPr>
        <w:t>26</w:t>
      </w:r>
      <w:r>
        <w:rPr>
          <w:sz w:val="24"/>
        </w:rPr>
        <w:t>日，每天上午09:00至1</w:t>
      </w:r>
      <w:r>
        <w:rPr>
          <w:rFonts w:hint="eastAsia"/>
          <w:sz w:val="24"/>
          <w:lang w:val="en-US" w:eastAsia="zh-CN"/>
        </w:rPr>
        <w:t>1</w:t>
      </w:r>
      <w:r>
        <w:rPr>
          <w:sz w:val="24"/>
        </w:rPr>
        <w:t>:</w:t>
      </w:r>
      <w:r>
        <w:rPr>
          <w:rFonts w:hint="eastAsia"/>
          <w:sz w:val="24"/>
          <w:lang w:val="en-US" w:eastAsia="zh-CN"/>
        </w:rPr>
        <w:t>3</w:t>
      </w:r>
      <w:r>
        <w:rPr>
          <w:sz w:val="24"/>
        </w:rPr>
        <w:t>0，</w:t>
      </w:r>
      <w:r>
        <w:rPr>
          <w:rFonts w:eastAsiaTheme="minorEastAsia"/>
          <w:sz w:val="24"/>
        </w:rPr>
        <w:t>下午1</w:t>
      </w:r>
      <w:r>
        <w:rPr>
          <w:rFonts w:hint="eastAsia" w:eastAsiaTheme="minorEastAsia"/>
          <w:sz w:val="24"/>
          <w:lang w:val="en-US" w:eastAsia="zh-CN"/>
        </w:rPr>
        <w:t>3</w:t>
      </w:r>
      <w:r>
        <w:rPr>
          <w:rFonts w:eastAsiaTheme="minorEastAsia"/>
          <w:sz w:val="24"/>
        </w:rPr>
        <w:t>:</w:t>
      </w:r>
      <w:r>
        <w:rPr>
          <w:rFonts w:hint="eastAsia" w:eastAsiaTheme="minorEastAsia"/>
          <w:sz w:val="24"/>
          <w:lang w:val="en-US" w:eastAsia="zh-CN"/>
        </w:rPr>
        <w:t>3</w:t>
      </w:r>
      <w:r>
        <w:rPr>
          <w:rFonts w:eastAsiaTheme="minorEastAsia"/>
          <w:sz w:val="24"/>
        </w:rPr>
        <w:t>0至1</w:t>
      </w:r>
      <w:r>
        <w:rPr>
          <w:rFonts w:hint="eastAsia" w:eastAsiaTheme="minorEastAsia"/>
          <w:sz w:val="24"/>
        </w:rPr>
        <w:t>6</w:t>
      </w:r>
      <w:r>
        <w:rPr>
          <w:rFonts w:eastAsiaTheme="minorEastAsia"/>
          <w:sz w:val="24"/>
        </w:rPr>
        <w:t>:</w:t>
      </w:r>
      <w:r>
        <w:rPr>
          <w:rFonts w:hint="eastAsia" w:eastAsiaTheme="minorEastAsia"/>
          <w:sz w:val="24"/>
          <w:lang w:val="en-US" w:eastAsia="zh-CN"/>
        </w:rPr>
        <w:t>3</w:t>
      </w:r>
      <w:r>
        <w:rPr>
          <w:rFonts w:eastAsiaTheme="minorEastAsia"/>
          <w:sz w:val="24"/>
        </w:rPr>
        <w:t>0（北京时间，法定节假日除外）。</w:t>
      </w:r>
    </w:p>
    <w:p>
      <w:pPr>
        <w:adjustRightInd w:val="0"/>
        <w:snapToGrid w:val="0"/>
        <w:spacing w:line="360" w:lineRule="auto"/>
        <w:ind w:firstLine="480" w:firstLineChars="200"/>
        <w:rPr>
          <w:sz w:val="24"/>
        </w:rPr>
      </w:pPr>
      <w:r>
        <w:rPr>
          <w:sz w:val="24"/>
        </w:rPr>
        <w:t>2.地点：北京市政府采购电子交易平台</w:t>
      </w:r>
    </w:p>
    <w:p>
      <w:pPr>
        <w:widowControl/>
        <w:adjustRightInd w:val="0"/>
        <w:snapToGrid w:val="0"/>
        <w:spacing w:line="360" w:lineRule="auto"/>
        <w:ind w:firstLine="480" w:firstLineChars="200"/>
        <w:jc w:val="left"/>
        <w:rPr>
          <w:sz w:val="24"/>
        </w:rPr>
      </w:pPr>
      <w:r>
        <w:rPr>
          <w:sz w:val="24"/>
        </w:rPr>
        <w:t>3.方式：</w:t>
      </w:r>
      <w:r>
        <w:rPr>
          <w:rFonts w:hint="eastAsia"/>
          <w:sz w:val="24"/>
        </w:rPr>
        <w:t>供应商</w:t>
      </w:r>
      <w:r>
        <w:rPr>
          <w:sz w:val="24"/>
        </w:rPr>
        <w:t>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eastAsiaTheme="minorEastAsia"/>
          <w:color w:val="000000" w:themeColor="text1"/>
          <w:sz w:val="24"/>
          <w:lang w:bidi="ar"/>
          <w14:textFill>
            <w14:solidFill>
              <w14:schemeClr w14:val="tx1"/>
            </w14:solidFill>
          </w14:textFill>
        </w:rPr>
      </w:pPr>
      <w:r>
        <w:rPr>
          <w:sz w:val="24"/>
        </w:rPr>
        <w:t>4.售价：0元。</w:t>
      </w:r>
    </w:p>
    <w:p>
      <w:pPr>
        <w:pStyle w:val="3"/>
        <w:widowControl/>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4" w:name="_Toc35393624"/>
      <w:bookmarkStart w:id="15" w:name="_Toc28359082"/>
      <w:bookmarkStart w:id="16" w:name="_Toc28359005"/>
      <w:bookmarkStart w:id="17" w:name="_Toc35393793"/>
      <w:r>
        <w:rPr>
          <w:rFonts w:ascii="Times New Roman" w:hAnsi="Times New Roman" w:eastAsiaTheme="minorEastAsia"/>
          <w:color w:val="000000" w:themeColor="text1"/>
          <w:sz w:val="24"/>
          <w:szCs w:val="24"/>
          <w14:textFill>
            <w14:solidFill>
              <w14:schemeClr w14:val="tx1"/>
            </w14:solidFill>
          </w14:textFill>
        </w:rPr>
        <w:t>四、</w:t>
      </w:r>
      <w:bookmarkEnd w:id="14"/>
      <w:bookmarkEnd w:id="15"/>
      <w:bookmarkEnd w:id="16"/>
      <w:bookmarkEnd w:id="17"/>
      <w:r>
        <w:rPr>
          <w:rFonts w:ascii="Times New Roman" w:hAnsi="Times New Roman" w:eastAsiaTheme="minorEastAsia"/>
          <w:color w:val="000000" w:themeColor="text1"/>
          <w:sz w:val="24"/>
          <w:szCs w:val="24"/>
          <w14:textFill>
            <w14:solidFill>
              <w14:schemeClr w14:val="tx1"/>
            </w14:solidFill>
          </w14:textFill>
        </w:rPr>
        <w:t>响应文件提交</w:t>
      </w:r>
    </w:p>
    <w:p>
      <w:pPr>
        <w:spacing w:line="360" w:lineRule="auto"/>
        <w:ind w:firstLine="480" w:firstLineChars="200"/>
        <w:rPr>
          <w:rFonts w:eastAsiaTheme="minorEastAsia"/>
          <w:bCs/>
          <w:color w:val="000000" w:themeColor="text1"/>
          <w:sz w:val="24"/>
          <w:u w:val="single"/>
          <w14:textFill>
            <w14:solidFill>
              <w14:schemeClr w14:val="tx1"/>
            </w14:solidFill>
          </w14:textFill>
        </w:rPr>
      </w:pPr>
      <w:r>
        <w:rPr>
          <w:rFonts w:eastAsiaTheme="minorEastAsia"/>
          <w:color w:val="000000" w:themeColor="text1"/>
          <w:sz w:val="24"/>
          <w:lang w:bidi="ar"/>
          <w14:textFill>
            <w14:solidFill>
              <w14:schemeClr w14:val="tx1"/>
            </w14:solidFill>
          </w14:textFill>
        </w:rPr>
        <w:t>截止时间</w:t>
      </w:r>
      <w:r>
        <w:rPr>
          <w:rFonts w:hint="eastAsia" w:eastAsiaTheme="minorEastAsia"/>
          <w:color w:val="000000" w:themeColor="text1"/>
          <w:sz w:val="24"/>
          <w:lang w:bidi="ar"/>
          <w14:textFill>
            <w14:solidFill>
              <w14:schemeClr w14:val="tx1"/>
            </w14:solidFill>
          </w14:textFill>
        </w:rPr>
        <w:t>：</w:t>
      </w:r>
      <w:r>
        <w:rPr>
          <w:color w:val="000000" w:themeColor="text1"/>
          <w:sz w:val="24"/>
          <w:u w:val="single"/>
          <w:lang w:bidi="ar"/>
          <w14:textFill>
            <w14:solidFill>
              <w14:schemeClr w14:val="tx1"/>
            </w14:solidFill>
          </w14:textFill>
        </w:rPr>
        <w:t>202</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05</w:t>
      </w:r>
      <w:r>
        <w:rPr>
          <w:rFonts w:hint="eastAsia"/>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月</w:t>
      </w:r>
      <w:r>
        <w:rPr>
          <w:rFonts w:hint="eastAsia"/>
          <w:color w:val="000000" w:themeColor="text1"/>
          <w:sz w:val="24"/>
          <w:u w:val="single"/>
          <w:lang w:val="en-US" w:eastAsia="zh-CN" w:bidi="ar"/>
          <w14:textFill>
            <w14:solidFill>
              <w14:schemeClr w14:val="tx1"/>
            </w14:solidFill>
          </w14:textFill>
        </w:rPr>
        <w:t>07</w:t>
      </w:r>
      <w:r>
        <w:rPr>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日</w:t>
      </w:r>
      <w:r>
        <w:rPr>
          <w:rFonts w:hint="eastAsia"/>
          <w:color w:val="000000" w:themeColor="text1"/>
          <w:sz w:val="24"/>
          <w:u w:val="single"/>
          <w:lang w:bidi="ar"/>
          <w14:textFill>
            <w14:solidFill>
              <w14:schemeClr w14:val="tx1"/>
            </w14:solidFill>
          </w14:textFill>
        </w:rPr>
        <w:t>09</w:t>
      </w:r>
      <w:r>
        <w:rPr>
          <w:color w:val="000000" w:themeColor="text1"/>
          <w:sz w:val="24"/>
          <w:lang w:bidi="ar"/>
          <w14:textFill>
            <w14:solidFill>
              <w14:schemeClr w14:val="tx1"/>
            </w14:solidFill>
          </w14:textFill>
        </w:rPr>
        <w:t>点</w:t>
      </w:r>
      <w:r>
        <w:rPr>
          <w:rFonts w:hint="eastAsia"/>
          <w:color w:val="000000" w:themeColor="text1"/>
          <w:sz w:val="24"/>
          <w:u w:val="single"/>
          <w:lang w:bidi="ar"/>
          <w14:textFill>
            <w14:solidFill>
              <w14:schemeClr w14:val="tx1"/>
            </w14:solidFill>
          </w14:textFill>
        </w:rPr>
        <w:t>30</w:t>
      </w:r>
      <w:r>
        <w:rPr>
          <w:color w:val="000000" w:themeColor="text1"/>
          <w:sz w:val="24"/>
          <w:lang w:bidi="ar"/>
          <w14:textFill>
            <w14:solidFill>
              <w14:schemeClr w14:val="tx1"/>
            </w14:solidFill>
          </w14:textFill>
        </w:rPr>
        <w:t>分</w:t>
      </w:r>
      <w:r>
        <w:rPr>
          <w:rFonts w:eastAsiaTheme="minorEastAsia"/>
          <w:bCs/>
          <w:color w:val="000000" w:themeColor="text1"/>
          <w:sz w:val="24"/>
          <w:lang w:bidi="ar"/>
          <w14:textFill>
            <w14:solidFill>
              <w14:schemeClr w14:val="tx1"/>
            </w14:solidFill>
          </w14:textFill>
        </w:rPr>
        <w:t>（北京时间）</w:t>
      </w:r>
      <w:r>
        <w:rPr>
          <w:rFonts w:eastAsiaTheme="minorEastAsia"/>
          <w:iCs/>
          <w:color w:val="000000" w:themeColor="text1"/>
          <w:sz w:val="24"/>
          <w:lang w:bidi="ar"/>
          <w14:textFill>
            <w14:solidFill>
              <w14:schemeClr w14:val="tx1"/>
            </w14:solidFill>
          </w14:textFill>
        </w:rPr>
        <w:t>。</w:t>
      </w:r>
    </w:p>
    <w:p>
      <w:pPr>
        <w:spacing w:line="360" w:lineRule="auto"/>
        <w:ind w:firstLine="480" w:firstLineChars="200"/>
        <w:rPr>
          <w:rFonts w:eastAsiaTheme="minorEastAsia"/>
          <w:color w:val="000000" w:themeColor="text1"/>
          <w:sz w:val="24"/>
          <w:lang w:val="zh-TW" w:bidi="ar"/>
          <w14:textFill>
            <w14:solidFill>
              <w14:schemeClr w14:val="tx1"/>
            </w14:solidFill>
          </w14:textFill>
        </w:rPr>
      </w:pPr>
      <w:r>
        <w:rPr>
          <w:rFonts w:eastAsiaTheme="minorEastAsia"/>
          <w:color w:val="000000" w:themeColor="text1"/>
          <w:sz w:val="24"/>
          <w:lang w:bidi="ar"/>
          <w14:textFill>
            <w14:solidFill>
              <w14:schemeClr w14:val="tx1"/>
            </w14:solidFill>
          </w14:textFill>
        </w:rPr>
        <w:t>地点：</w:t>
      </w:r>
      <w:r>
        <w:rPr>
          <w:rFonts w:hint="eastAsia" w:eastAsiaTheme="minorEastAsia"/>
          <w:sz w:val="24"/>
          <w:u w:val="single"/>
          <w:lang w:bidi="ar"/>
        </w:rPr>
        <w:t>北京市西城区宣武门外大街8号D座5层西城区公共资源交易中心（具体开标室以大屏显示为准）</w:t>
      </w:r>
      <w:r>
        <w:rPr>
          <w:rFonts w:eastAsiaTheme="minorEastAsia"/>
          <w:color w:val="000000" w:themeColor="text1"/>
          <w:sz w:val="24"/>
          <w:lang w:val="zh-TW" w:bidi="ar"/>
          <w14:textFill>
            <w14:solidFill>
              <w14:schemeClr w14:val="tx1"/>
            </w14:solidFill>
          </w14:textFill>
        </w:rPr>
        <w:t>。</w:t>
      </w: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五、开启</w:t>
      </w:r>
    </w:p>
    <w:p>
      <w:pPr>
        <w:spacing w:line="360" w:lineRule="auto"/>
        <w:ind w:firstLine="480" w:firstLineChars="200"/>
        <w:rPr>
          <w:rFonts w:eastAsiaTheme="minorEastAsia"/>
          <w:bCs/>
          <w:color w:val="000000" w:themeColor="text1"/>
          <w:sz w:val="24"/>
          <w:u w:val="single"/>
          <w14:textFill>
            <w14:solidFill>
              <w14:schemeClr w14:val="tx1"/>
            </w14:solidFill>
          </w14:textFill>
        </w:rPr>
      </w:pPr>
      <w:r>
        <w:rPr>
          <w:rFonts w:eastAsiaTheme="minorEastAsia"/>
          <w:color w:val="000000" w:themeColor="text1"/>
          <w:sz w:val="24"/>
          <w:lang w:bidi="ar"/>
          <w14:textFill>
            <w14:solidFill>
              <w14:schemeClr w14:val="tx1"/>
            </w14:solidFill>
          </w14:textFill>
        </w:rPr>
        <w:t>时间：</w:t>
      </w:r>
      <w:r>
        <w:rPr>
          <w:color w:val="000000" w:themeColor="text1"/>
          <w:sz w:val="24"/>
          <w:u w:val="single"/>
          <w:lang w:bidi="ar"/>
          <w14:textFill>
            <w14:solidFill>
              <w14:schemeClr w14:val="tx1"/>
            </w14:solidFill>
          </w14:textFill>
        </w:rPr>
        <w:t>202</w:t>
      </w:r>
      <w:r>
        <w:rPr>
          <w:rFonts w:hint="eastAsia"/>
          <w:color w:val="000000" w:themeColor="text1"/>
          <w:sz w:val="24"/>
          <w:u w:val="single"/>
          <w:lang w:val="en-US" w:eastAsia="zh-CN" w:bidi="ar"/>
          <w14:textFill>
            <w14:solidFill>
              <w14:schemeClr w14:val="tx1"/>
            </w14:solidFill>
          </w14:textFill>
        </w:rPr>
        <w:t>4</w:t>
      </w:r>
      <w:r>
        <w:rPr>
          <w:color w:val="000000" w:themeColor="text1"/>
          <w:sz w:val="24"/>
          <w:lang w:bidi="ar"/>
          <w14:textFill>
            <w14:solidFill>
              <w14:schemeClr w14:val="tx1"/>
            </w14:solidFill>
          </w14:textFill>
        </w:rPr>
        <w:t>年</w:t>
      </w:r>
      <w:r>
        <w:rPr>
          <w:rFonts w:hint="eastAsia"/>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05</w:t>
      </w:r>
      <w:r>
        <w:rPr>
          <w:rFonts w:hint="eastAsia"/>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月</w:t>
      </w:r>
      <w:r>
        <w:rPr>
          <w:color w:val="000000" w:themeColor="text1"/>
          <w:sz w:val="24"/>
          <w:u w:val="single"/>
          <w:lang w:bidi="ar"/>
          <w14:textFill>
            <w14:solidFill>
              <w14:schemeClr w14:val="tx1"/>
            </w14:solidFill>
          </w14:textFill>
        </w:rPr>
        <w:t xml:space="preserve"> </w:t>
      </w:r>
      <w:r>
        <w:rPr>
          <w:rFonts w:hint="eastAsia"/>
          <w:color w:val="000000" w:themeColor="text1"/>
          <w:sz w:val="24"/>
          <w:u w:val="single"/>
          <w:lang w:val="en-US" w:eastAsia="zh-CN" w:bidi="ar"/>
          <w14:textFill>
            <w14:solidFill>
              <w14:schemeClr w14:val="tx1"/>
            </w14:solidFill>
          </w14:textFill>
        </w:rPr>
        <w:t>07</w:t>
      </w:r>
      <w:r>
        <w:rPr>
          <w:color w:val="000000" w:themeColor="text1"/>
          <w:sz w:val="24"/>
          <w:u w:val="single"/>
          <w:lang w:bidi="ar"/>
          <w14:textFill>
            <w14:solidFill>
              <w14:schemeClr w14:val="tx1"/>
            </w14:solidFill>
          </w14:textFill>
        </w:rPr>
        <w:t xml:space="preserve"> </w:t>
      </w:r>
      <w:r>
        <w:rPr>
          <w:color w:val="000000" w:themeColor="text1"/>
          <w:sz w:val="24"/>
          <w:lang w:bidi="ar"/>
          <w14:textFill>
            <w14:solidFill>
              <w14:schemeClr w14:val="tx1"/>
            </w14:solidFill>
          </w14:textFill>
        </w:rPr>
        <w:t>日</w:t>
      </w:r>
      <w:r>
        <w:rPr>
          <w:rFonts w:hint="eastAsia"/>
          <w:color w:val="000000" w:themeColor="text1"/>
          <w:sz w:val="24"/>
          <w:u w:val="single"/>
          <w:lang w:bidi="ar"/>
          <w14:textFill>
            <w14:solidFill>
              <w14:schemeClr w14:val="tx1"/>
            </w14:solidFill>
          </w14:textFill>
        </w:rPr>
        <w:t>09</w:t>
      </w:r>
      <w:r>
        <w:rPr>
          <w:color w:val="000000" w:themeColor="text1"/>
          <w:sz w:val="24"/>
          <w:lang w:bidi="ar"/>
          <w14:textFill>
            <w14:solidFill>
              <w14:schemeClr w14:val="tx1"/>
            </w14:solidFill>
          </w14:textFill>
        </w:rPr>
        <w:t>点</w:t>
      </w:r>
      <w:r>
        <w:rPr>
          <w:rFonts w:hint="eastAsia"/>
          <w:color w:val="000000" w:themeColor="text1"/>
          <w:sz w:val="24"/>
          <w:u w:val="single"/>
          <w:lang w:bidi="ar"/>
          <w14:textFill>
            <w14:solidFill>
              <w14:schemeClr w14:val="tx1"/>
            </w14:solidFill>
          </w14:textFill>
        </w:rPr>
        <w:t>30</w:t>
      </w:r>
      <w:r>
        <w:rPr>
          <w:color w:val="000000" w:themeColor="text1"/>
          <w:sz w:val="24"/>
          <w:lang w:bidi="ar"/>
          <w14:textFill>
            <w14:solidFill>
              <w14:schemeClr w14:val="tx1"/>
            </w14:solidFill>
          </w14:textFill>
        </w:rPr>
        <w:t>分</w:t>
      </w:r>
      <w:r>
        <w:rPr>
          <w:rFonts w:eastAsiaTheme="minorEastAsia"/>
          <w:bCs/>
          <w:color w:val="000000" w:themeColor="text1"/>
          <w:sz w:val="24"/>
          <w:lang w:bidi="ar"/>
          <w14:textFill>
            <w14:solidFill>
              <w14:schemeClr w14:val="tx1"/>
            </w14:solidFill>
          </w14:textFill>
        </w:rPr>
        <w:t>（北京时间）</w:t>
      </w:r>
      <w:r>
        <w:rPr>
          <w:rFonts w:eastAsiaTheme="minorEastAsia"/>
          <w:iCs/>
          <w:color w:val="000000" w:themeColor="text1"/>
          <w:sz w:val="24"/>
          <w:lang w:bidi="ar"/>
          <w14:textFill>
            <w14:solidFill>
              <w14:schemeClr w14:val="tx1"/>
            </w14:solidFill>
          </w14:textFill>
        </w:rPr>
        <w:t>。</w:t>
      </w:r>
    </w:p>
    <w:p>
      <w:pPr>
        <w:spacing w:line="360" w:lineRule="auto"/>
        <w:ind w:firstLine="480" w:firstLineChars="200"/>
        <w:rPr>
          <w:rFonts w:eastAsiaTheme="minorEastAsia"/>
          <w:bCs/>
          <w:color w:val="000000" w:themeColor="text1"/>
          <w:sz w:val="24"/>
          <w:u w:val="single"/>
          <w:lang w:eastAsia="zh-TW"/>
          <w14:textFill>
            <w14:solidFill>
              <w14:schemeClr w14:val="tx1"/>
            </w14:solidFill>
          </w14:textFill>
        </w:rPr>
      </w:pPr>
      <w:r>
        <w:rPr>
          <w:rFonts w:eastAsiaTheme="minorEastAsia"/>
          <w:color w:val="000000" w:themeColor="text1"/>
          <w:sz w:val="24"/>
          <w:lang w:bidi="ar"/>
          <w14:textFill>
            <w14:solidFill>
              <w14:schemeClr w14:val="tx1"/>
            </w14:solidFill>
          </w14:textFill>
        </w:rPr>
        <w:t>地点：</w:t>
      </w:r>
      <w:r>
        <w:rPr>
          <w:rFonts w:hint="eastAsia" w:eastAsiaTheme="minorEastAsia"/>
          <w:sz w:val="24"/>
          <w:u w:val="single"/>
          <w:lang w:bidi="ar"/>
        </w:rPr>
        <w:t>北京市西城区宣武门外大街8号D座5层西城区公共资源交易中心（具体开标室以大屏显示为准）</w:t>
      </w:r>
      <w:r>
        <w:rPr>
          <w:rFonts w:eastAsiaTheme="minorEastAsia"/>
          <w:color w:val="000000" w:themeColor="text1"/>
          <w:sz w:val="24"/>
          <w14:textFill>
            <w14:solidFill>
              <w14:schemeClr w14:val="tx1"/>
            </w14:solidFill>
          </w14:textFill>
        </w:rPr>
        <w:t>_</w:t>
      </w:r>
      <w:r>
        <w:rPr>
          <w:rFonts w:eastAsiaTheme="minorEastAsia"/>
          <w:color w:val="000000" w:themeColor="text1"/>
          <w:sz w:val="24"/>
          <w:lang w:val="zh-TW" w:bidi="ar"/>
          <w14:textFill>
            <w14:solidFill>
              <w14:schemeClr w14:val="tx1"/>
            </w14:solidFill>
          </w14:textFill>
        </w:rPr>
        <w:t>。</w:t>
      </w: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18" w:name="_Toc35393625"/>
      <w:bookmarkStart w:id="19" w:name="_Toc28359007"/>
      <w:bookmarkStart w:id="20" w:name="_Toc35393794"/>
      <w:bookmarkStart w:id="21" w:name="_Toc28359084"/>
      <w:r>
        <w:rPr>
          <w:rFonts w:ascii="Times New Roman" w:hAnsi="Times New Roman" w:eastAsiaTheme="minorEastAsia"/>
          <w:color w:val="000000" w:themeColor="text1"/>
          <w:sz w:val="24"/>
          <w:szCs w:val="24"/>
          <w14:textFill>
            <w14:solidFill>
              <w14:schemeClr w14:val="tx1"/>
            </w14:solidFill>
          </w14:textFill>
        </w:rPr>
        <w:t>六、公告期限</w:t>
      </w:r>
      <w:bookmarkEnd w:id="18"/>
      <w:bookmarkEnd w:id="19"/>
      <w:bookmarkEnd w:id="20"/>
      <w:bookmarkEnd w:id="21"/>
    </w:p>
    <w:p>
      <w:pPr>
        <w:spacing w:line="360" w:lineRule="auto"/>
        <w:ind w:firstLine="480" w:firstLineChars="20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自本公告发布之日起</w:t>
      </w:r>
      <w:r>
        <w:rPr>
          <w:rFonts w:hint="eastAsia" w:eastAsiaTheme="minorEastAsia"/>
          <w:color w:val="000000" w:themeColor="text1"/>
          <w:kern w:val="0"/>
          <w:sz w:val="24"/>
          <w:lang w:val="en-US" w:eastAsia="zh-CN"/>
          <w14:textFill>
            <w14:solidFill>
              <w14:schemeClr w14:val="tx1"/>
            </w14:solidFill>
          </w14:textFill>
        </w:rPr>
        <w:t>3</w:t>
      </w:r>
      <w:r>
        <w:rPr>
          <w:rFonts w:eastAsiaTheme="minorEastAsia"/>
          <w:color w:val="000000" w:themeColor="text1"/>
          <w:kern w:val="0"/>
          <w:sz w:val="24"/>
          <w14:textFill>
            <w14:solidFill>
              <w14:schemeClr w14:val="tx1"/>
            </w14:solidFill>
          </w14:textFill>
        </w:rPr>
        <w:t>个工作日。</w:t>
      </w: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bookmarkStart w:id="22" w:name="_Toc35393626"/>
      <w:bookmarkStart w:id="23" w:name="_Toc35393795"/>
      <w:r>
        <w:rPr>
          <w:rFonts w:ascii="Times New Roman" w:hAnsi="Times New Roman" w:eastAsiaTheme="minorEastAsia"/>
          <w:color w:val="000000" w:themeColor="text1"/>
          <w:sz w:val="24"/>
          <w:szCs w:val="24"/>
          <w14:textFill>
            <w14:solidFill>
              <w14:schemeClr w14:val="tx1"/>
            </w14:solidFill>
          </w14:textFill>
        </w:rPr>
        <w:t>七、其他补充事宜</w:t>
      </w:r>
      <w:bookmarkEnd w:id="22"/>
      <w:bookmarkEnd w:id="23"/>
    </w:p>
    <w:p>
      <w:pPr>
        <w:widowControl/>
        <w:adjustRightInd w:val="0"/>
        <w:snapToGrid w:val="0"/>
        <w:spacing w:line="360" w:lineRule="auto"/>
        <w:ind w:firstLine="480" w:firstLineChars="200"/>
        <w:jc w:val="left"/>
        <w:rPr>
          <w:rFonts w:hint="eastAsia"/>
          <w:sz w:val="24"/>
        </w:rPr>
      </w:pPr>
      <w:bookmarkStart w:id="24" w:name="_Toc28359085"/>
      <w:bookmarkStart w:id="25" w:name="_Toc28359008"/>
      <w:bookmarkStart w:id="26" w:name="_Toc35393796"/>
      <w:bookmarkStart w:id="27" w:name="_Toc35393627"/>
      <w:r>
        <w:rPr>
          <w:rFonts w:hint="eastAsia"/>
          <w:sz w:val="24"/>
        </w:rPr>
        <w:t>本项目采用电子化与线下流程结合招标方式，相关操作如下：</w:t>
      </w:r>
      <w:r>
        <w:rPr>
          <w:rFonts w:hint="eastAsia"/>
          <w:sz w:val="24"/>
        </w:rPr>
        <w:cr/>
      </w:r>
      <w:r>
        <w:rPr>
          <w:rFonts w:hint="eastAsia"/>
          <w:sz w:val="24"/>
        </w:rPr>
        <w:t>（1）办理 CA 认证证书(北京一证通数字证书)，详见北京市政府采购电子交易平台 (http：//zbcg-bjzc.zhongcy.com/bjczj-portal-site/index.html#/home)查阅“用户指 南”→“操作指南”→“市场主体 CA 办理操作流程指引”，按照程序要求办理。</w:t>
      </w:r>
      <w:r>
        <w:rPr>
          <w:rFonts w:hint="eastAsia"/>
          <w:sz w:val="24"/>
        </w:rPr>
        <w:cr/>
      </w:r>
      <w:r>
        <w:rPr>
          <w:rFonts w:hint="eastAsia"/>
          <w:sz w:val="24"/>
        </w:rPr>
        <w:t>（2）于北京市政府采购电子交易平台“用户指南”→“操作指南”→“市场主体注册入库操作流程指引”进行自助注册绑定。</w:t>
      </w:r>
      <w:r>
        <w:rPr>
          <w:rFonts w:hint="eastAsia"/>
          <w:sz w:val="24"/>
        </w:rPr>
        <w:cr/>
      </w:r>
      <w:r>
        <w:rPr>
          <w:rFonts w:hint="eastAsia"/>
          <w:sz w:val="24"/>
        </w:rPr>
        <w:t>（3）招标文件获取方式：供应商按照规定办理 CA 数字认证证书(北京一证通数字证书)后，自招标公告发布之日起持供应商自身数字证书登录北京市政府采购电子交易平台免费获取电子版招标文件（未按上述获取方式和期限下载招标文件的投标无效。）。</w:t>
      </w:r>
      <w:r>
        <w:rPr>
          <w:rFonts w:hint="eastAsia"/>
          <w:sz w:val="24"/>
        </w:rPr>
        <w:cr/>
      </w:r>
      <w:r>
        <w:rPr>
          <w:rFonts w:hint="eastAsia"/>
          <w:sz w:val="24"/>
        </w:rPr>
        <w:t>（4）证书驱动下载：于北京市政府采购电子交易平台“用户指南”→“工具下载”→“招标采购系统文件驱动安装包”下载相关驱动。</w:t>
      </w:r>
      <w:r>
        <w:rPr>
          <w:rFonts w:hint="eastAsia"/>
          <w:sz w:val="24"/>
        </w:rPr>
        <w:cr/>
      </w:r>
      <w:r>
        <w:rPr>
          <w:rFonts w:hint="eastAsia"/>
          <w:sz w:val="24"/>
        </w:rPr>
        <w:t>（5）CA 认证证书服务热线 010-58511086；技术支持服务热线 010-86483801</w:t>
      </w:r>
      <w:r>
        <w:rPr>
          <w:rFonts w:hint="eastAsia"/>
          <w:sz w:val="24"/>
        </w:rPr>
        <w:cr/>
      </w:r>
      <w:r>
        <w:rPr>
          <w:rFonts w:hint="eastAsia"/>
          <w:sz w:val="24"/>
        </w:rPr>
        <w:t>13669922829。</w:t>
      </w:r>
    </w:p>
    <w:p>
      <w:pPr>
        <w:widowControl/>
        <w:adjustRightInd w:val="0"/>
        <w:snapToGrid w:val="0"/>
        <w:spacing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hint="eastAsia"/>
          <w:sz w:val="24"/>
        </w:rPr>
        <w:t>(6)本项目名称请以“西城区地震应急避难场所项目”为准。</w:t>
      </w:r>
      <w:r>
        <w:rPr>
          <w:rFonts w:hint="eastAsia"/>
          <w:sz w:val="24"/>
        </w:rPr>
        <w:cr/>
      </w:r>
      <w:r>
        <w:rPr>
          <w:rFonts w:hint="eastAsia"/>
          <w:sz w:val="24"/>
        </w:rPr>
        <w:t>注意：请供应商认真学习北京市政府采购电子交易平台发布的相关操作手册。</w:t>
      </w:r>
    </w:p>
    <w:p>
      <w:pPr>
        <w:pStyle w:val="3"/>
        <w:spacing w:before="0" w:line="360" w:lineRule="auto"/>
        <w:jc w:val="left"/>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八、对本项目提出询问，请按以下方式联系。</w:t>
      </w:r>
      <w:bookmarkEnd w:id="24"/>
      <w:bookmarkEnd w:id="25"/>
      <w:bookmarkEnd w:id="26"/>
      <w:bookmarkEnd w:id="27"/>
    </w:p>
    <w:p>
      <w:pPr>
        <w:widowControl/>
        <w:spacing w:line="360" w:lineRule="auto"/>
        <w:jc w:val="left"/>
        <w:rPr>
          <w:rFonts w:eastAsiaTheme="minorEastAsia"/>
          <w:b/>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w:t>
      </w:r>
      <w:r>
        <w:rPr>
          <w:rFonts w:eastAsiaTheme="minorEastAsia"/>
          <w:b/>
          <w:color w:val="000000" w:themeColor="text1"/>
          <w:sz w:val="24"/>
          <w14:textFill>
            <w14:solidFill>
              <w14:schemeClr w14:val="tx1"/>
            </w14:solidFill>
          </w14:textFill>
        </w:rPr>
        <w:t>1.采购人信息</w:t>
      </w:r>
    </w:p>
    <w:p>
      <w:pPr>
        <w:spacing w:line="360" w:lineRule="auto"/>
        <w:ind w:left="1079" w:leftChars="371" w:hanging="300" w:hangingChars="125"/>
        <w:jc w:val="left"/>
        <w:rPr>
          <w:color w:val="000000" w:themeColor="text1"/>
          <w:sz w:val="24"/>
          <w:u w:val="single"/>
          <w14:textFill>
            <w14:solidFill>
              <w14:schemeClr w14:val="tx1"/>
            </w14:solidFill>
          </w14:textFill>
        </w:rPr>
      </w:pPr>
      <w:bookmarkStart w:id="28" w:name="_Toc28359009"/>
      <w:bookmarkStart w:id="29" w:name="_Toc28359086"/>
      <w:r>
        <w:rPr>
          <w:color w:val="000000" w:themeColor="text1"/>
          <w:sz w:val="24"/>
          <w14:textFill>
            <w14:solidFill>
              <w14:schemeClr w14:val="tx1"/>
            </w14:solidFill>
          </w14:textFill>
        </w:rPr>
        <w:t>名    称：</w:t>
      </w:r>
      <w:r>
        <w:rPr>
          <w:rFonts w:hint="eastAsia"/>
          <w:color w:val="000000" w:themeColor="text1"/>
          <w:sz w:val="24"/>
          <w:u w:val="single"/>
          <w14:textFill>
            <w14:solidFill>
              <w14:schemeClr w14:val="tx1"/>
            </w14:solidFill>
          </w14:textFill>
        </w:rPr>
        <w:t>北京市西城区应急管理局</w:t>
      </w:r>
    </w:p>
    <w:p>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地    址：</w:t>
      </w:r>
      <w:r>
        <w:rPr>
          <w:rFonts w:hint="eastAsia" w:ascii="宋体" w:hAnsi="宋体" w:cs="宋体"/>
          <w:sz w:val="24"/>
          <w:u w:val="single"/>
        </w:rPr>
        <w:t>北京市西城区二龙路27号</w:t>
      </w:r>
    </w:p>
    <w:p>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u w:val="single"/>
          <w:lang w:val="en-US" w:eastAsia="zh-CN"/>
          <w14:textFill>
            <w14:solidFill>
              <w14:schemeClr w14:val="tx1"/>
            </w14:solidFill>
          </w14:textFill>
        </w:rPr>
        <w:t>李老师</w:t>
      </w:r>
      <w:r>
        <w:rPr>
          <w:rFonts w:hint="eastAsia"/>
          <w:color w:val="000000" w:themeColor="text1"/>
          <w:sz w:val="24"/>
          <w:u w:val="single"/>
          <w14:textFill>
            <w14:solidFill>
              <w14:schemeClr w14:val="tx1"/>
            </w14:solidFill>
          </w14:textFill>
        </w:rPr>
        <w:t>、88064670</w:t>
      </w:r>
    </w:p>
    <w:p>
      <w:pPr>
        <w:spacing w:line="360" w:lineRule="auto"/>
        <w:ind w:left="1080" w:leftChars="371" w:hanging="301" w:hangingChars="125"/>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2.采购代理机构信息</w:t>
      </w:r>
      <w:bookmarkEnd w:id="28"/>
      <w:bookmarkEnd w:id="29"/>
    </w:p>
    <w:p>
      <w:pPr>
        <w:spacing w:line="360" w:lineRule="auto"/>
        <w:ind w:left="1079" w:leftChars="371" w:hanging="300" w:hangingChars="125"/>
        <w:jc w:val="left"/>
        <w:rPr>
          <w:color w:val="000000" w:themeColor="text1"/>
          <w:sz w:val="24"/>
          <w:u w:val="single"/>
          <w14:textFill>
            <w14:solidFill>
              <w14:schemeClr w14:val="tx1"/>
            </w14:solidFill>
          </w14:textFill>
        </w:rPr>
      </w:pPr>
      <w:bookmarkStart w:id="30" w:name="_Toc28359010"/>
      <w:bookmarkStart w:id="31" w:name="_Toc28359087"/>
      <w:r>
        <w:rPr>
          <w:color w:val="000000" w:themeColor="text1"/>
          <w:sz w:val="24"/>
          <w14:textFill>
            <w14:solidFill>
              <w14:schemeClr w14:val="tx1"/>
            </w14:solidFill>
          </w14:textFill>
        </w:rPr>
        <w:t>名    称：</w:t>
      </w:r>
      <w:r>
        <w:rPr>
          <w:rFonts w:hint="eastAsia"/>
          <w:color w:val="000000" w:themeColor="text1"/>
          <w:sz w:val="24"/>
          <w:u w:val="single"/>
          <w14:textFill>
            <w14:solidFill>
              <w14:schemeClr w14:val="tx1"/>
            </w14:solidFill>
          </w14:textFill>
        </w:rPr>
        <w:t>北京中建华兴集团有限公司</w:t>
      </w:r>
    </w:p>
    <w:p>
      <w:pPr>
        <w:spacing w:line="360" w:lineRule="auto"/>
        <w:ind w:left="1079" w:leftChars="371" w:hanging="300" w:hangingChars="125"/>
        <w:jc w:val="left"/>
        <w:rPr>
          <w:rFonts w:hint="eastAsia" w:eastAsia="宋体"/>
          <w:color w:val="000000" w:themeColor="text1"/>
          <w:sz w:val="24"/>
          <w:u w:val="single"/>
          <w:lang w:val="en-US" w:eastAsia="zh-CN"/>
          <w14:textFill>
            <w14:solidFill>
              <w14:schemeClr w14:val="tx1"/>
            </w14:solidFill>
          </w14:textFill>
        </w:rPr>
      </w:pPr>
      <w:r>
        <w:rPr>
          <w:color w:val="000000" w:themeColor="text1"/>
          <w:sz w:val="24"/>
          <w14:textFill>
            <w14:solidFill>
              <w14:schemeClr w14:val="tx1"/>
            </w14:solidFill>
          </w14:textFill>
        </w:rPr>
        <w:t>地    址：</w:t>
      </w:r>
      <w:r>
        <w:rPr>
          <w:rFonts w:hint="eastAsia"/>
          <w:color w:val="000000" w:themeColor="text1"/>
          <w:sz w:val="24"/>
          <w:highlight w:val="none"/>
          <w:u w:val="single"/>
          <w:lang w:eastAsia="zh-CN"/>
          <w14:textFill>
            <w14:solidFill>
              <w14:schemeClr w14:val="tx1"/>
            </w14:solidFill>
          </w14:textFill>
        </w:rPr>
        <w:t>北京市通州区口子村东1号院163号楼（经略天则南区1-02）</w:t>
      </w:r>
    </w:p>
    <w:p>
      <w:pPr>
        <w:spacing w:line="360" w:lineRule="auto"/>
        <w:ind w:left="1079" w:leftChars="371" w:hanging="300" w:hangingChars="125"/>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联系方式：</w:t>
      </w:r>
      <w:r>
        <w:rPr>
          <w:rFonts w:hint="eastAsia"/>
          <w:color w:val="000000" w:themeColor="text1"/>
          <w:sz w:val="24"/>
          <w:u w:val="single"/>
          <w:lang w:val="en-US" w:eastAsia="zh-CN"/>
          <w14:textFill>
            <w14:solidFill>
              <w14:schemeClr w14:val="tx1"/>
            </w14:solidFill>
          </w14:textFill>
        </w:rPr>
        <w:t>杨爱国</w:t>
      </w:r>
      <w:r>
        <w:rPr>
          <w:rFonts w:hint="eastAsia"/>
          <w:color w:val="000000" w:themeColor="text1"/>
          <w:sz w:val="24"/>
          <w:u w:val="single"/>
          <w14:textFill>
            <w14:solidFill>
              <w14:schemeClr w14:val="tx1"/>
            </w14:solidFill>
          </w14:textFill>
        </w:rPr>
        <w:t xml:space="preserve"> 18233296727　</w:t>
      </w:r>
    </w:p>
    <w:p>
      <w:pPr>
        <w:spacing w:line="360" w:lineRule="auto"/>
        <w:ind w:firstLine="723" w:firstLineChars="300"/>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3.项目联系方式</w:t>
      </w:r>
      <w:bookmarkEnd w:id="30"/>
      <w:bookmarkEnd w:id="31"/>
    </w:p>
    <w:p>
      <w:pPr>
        <w:pStyle w:val="23"/>
        <w:spacing w:line="360" w:lineRule="auto"/>
        <w:ind w:firstLine="720" w:firstLineChars="300"/>
        <w:rPr>
          <w:rFonts w:hint="default" w:ascii="Times New Roman" w:hAnsi="Times New Roman"/>
          <w:color w:val="000000" w:themeColor="text1"/>
          <w:sz w:val="24"/>
          <w:szCs w:val="24"/>
          <w:u w:val="single"/>
          <w14:textFill>
            <w14:solidFill>
              <w14:schemeClr w14:val="tx1"/>
            </w14:solidFill>
          </w14:textFill>
        </w:rPr>
      </w:pPr>
      <w:r>
        <w:rPr>
          <w:rFonts w:hint="default" w:ascii="Times New Roman" w:hAnsi="Times New Roman"/>
          <w:color w:val="000000" w:themeColor="text1"/>
          <w:sz w:val="24"/>
          <w:szCs w:val="24"/>
          <w14:textFill>
            <w14:solidFill>
              <w14:schemeClr w14:val="tx1"/>
            </w14:solidFill>
          </w14:textFill>
        </w:rPr>
        <w:t>项目联系人：</w:t>
      </w:r>
      <w:r>
        <w:rPr>
          <w:rFonts w:hint="eastAsia"/>
          <w:color w:val="000000" w:themeColor="text1"/>
          <w:sz w:val="24"/>
          <w:u w:val="single"/>
          <w:lang w:val="en-US" w:eastAsia="zh-CN"/>
          <w14:textFill>
            <w14:solidFill>
              <w14:schemeClr w14:val="tx1"/>
            </w14:solidFill>
          </w14:textFill>
        </w:rPr>
        <w:t>杨爱国</w:t>
      </w:r>
    </w:p>
    <w:p>
      <w:pPr>
        <w:pStyle w:val="23"/>
        <w:spacing w:line="360" w:lineRule="auto"/>
        <w:ind w:firstLine="720" w:firstLineChars="300"/>
        <w:rPr>
          <w:rFonts w:hint="default" w:ascii="Times New Roman" w:hAnsi="Times New Roman"/>
          <w:color w:val="000000" w:themeColor="text1"/>
          <w:sz w:val="24"/>
          <w:szCs w:val="24"/>
          <w:u w:val="single"/>
          <w14:textFill>
            <w14:solidFill>
              <w14:schemeClr w14:val="tx1"/>
            </w14:solidFill>
          </w14:textFill>
        </w:rPr>
      </w:pPr>
      <w:r>
        <w:rPr>
          <w:rFonts w:hint="default" w:ascii="Times New Roman" w:hAnsi="Times New Roman"/>
          <w:color w:val="000000" w:themeColor="text1"/>
          <w:sz w:val="24"/>
          <w14:textFill>
            <w14:solidFill>
              <w14:schemeClr w14:val="tx1"/>
            </w14:solidFill>
          </w14:textFill>
        </w:rPr>
        <w:t>电      话：</w:t>
      </w:r>
      <w:r>
        <w:rPr>
          <w:rFonts w:ascii="Times New Roman" w:hAnsi="Times New Roman"/>
          <w:color w:val="000000" w:themeColor="text1"/>
          <w:sz w:val="24"/>
          <w:u w:val="single"/>
          <w14:textFill>
            <w14:solidFill>
              <w14:schemeClr w14:val="tx1"/>
            </w14:solidFill>
          </w14:textFill>
        </w:rPr>
        <w:t>18233296727</w:t>
      </w:r>
    </w:p>
    <w:p>
      <w:pPr>
        <w:spacing w:line="360" w:lineRule="auto"/>
        <w:jc w:val="center"/>
        <w:outlineLvl w:val="0"/>
        <w:rPr>
          <w:rFonts w:eastAsiaTheme="minorEastAsia"/>
          <w:b/>
          <w:color w:val="000000" w:themeColor="text1"/>
          <w:sz w:val="32"/>
          <w:szCs w:val="32"/>
          <w14:textFill>
            <w14:solidFill>
              <w14:schemeClr w14:val="tx1"/>
            </w14:solidFill>
          </w14:textFill>
        </w:rPr>
      </w:pPr>
      <w:r>
        <w:rPr>
          <w:rFonts w:eastAsiaTheme="minorEastAsia"/>
          <w:color w:val="000000" w:themeColor="text1"/>
          <w:sz w:val="24"/>
          <w14:textFill>
            <w14:solidFill>
              <w14:schemeClr w14:val="tx1"/>
            </w14:solidFill>
          </w14:textFill>
        </w:rPr>
        <w:br w:type="page"/>
      </w:r>
      <w:bookmarkStart w:id="32" w:name="_Toc150774783"/>
      <w:bookmarkStart w:id="33" w:name="_Toc97371942"/>
      <w:bookmarkStart w:id="34" w:name="_Toc305158854"/>
      <w:bookmarkStart w:id="35" w:name="_Toc353825548"/>
      <w:bookmarkStart w:id="36" w:name="_Toc226965856"/>
      <w:bookmarkStart w:id="37" w:name="_Toc264969275"/>
      <w:bookmarkStart w:id="38" w:name="_Toc265228423"/>
      <w:bookmarkStart w:id="39" w:name="_Toc195842950"/>
      <w:bookmarkStart w:id="40" w:name="_Toc127161488"/>
      <w:bookmarkStart w:id="41" w:name="_Toc353873938"/>
      <w:bookmarkStart w:id="42" w:name="_Toc127151777"/>
      <w:bookmarkStart w:id="43" w:name="_Toc305158928"/>
      <w:bookmarkStart w:id="44" w:name="_Toc512937850"/>
      <w:r>
        <w:rPr>
          <w:rFonts w:eastAsiaTheme="minorEastAsia"/>
          <w:b/>
          <w:color w:val="000000" w:themeColor="text1"/>
          <w:sz w:val="36"/>
          <w:szCs w:val="36"/>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3"/>
        <w:tabs>
          <w:tab w:val="center" w:pos="4592"/>
          <w:tab w:val="left" w:pos="7860"/>
        </w:tabs>
        <w:spacing w:before="0" w:line="360" w:lineRule="auto"/>
        <w:rPr>
          <w:rFonts w:ascii="Times New Roman" w:hAnsi="Times New Roman" w:eastAsiaTheme="minorEastAsia"/>
          <w:b w:val="0"/>
          <w:color w:val="000000" w:themeColor="text1"/>
          <w:sz w:val="28"/>
          <w14:textFill>
            <w14:solidFill>
              <w14:schemeClr w14:val="tx1"/>
            </w14:solidFill>
          </w14:textFill>
        </w:rPr>
      </w:pPr>
      <w:bookmarkStart w:id="45" w:name="_Toc226965792"/>
      <w:bookmarkStart w:id="46" w:name="_Toc226965709"/>
      <w:bookmarkStart w:id="47" w:name="_Toc149720812"/>
      <w:bookmarkStart w:id="48" w:name="_Toc226337215"/>
      <w:bookmarkStart w:id="49" w:name="_Toc127151519"/>
      <w:bookmarkStart w:id="50" w:name="_Toc226309763"/>
      <w:bookmarkStart w:id="51" w:name="_Toc151193833"/>
      <w:bookmarkStart w:id="52" w:name="_Toc151193689"/>
      <w:bookmarkStart w:id="53" w:name="_Toc164351613"/>
      <w:bookmarkStart w:id="54" w:name="_Toc127161433"/>
      <w:bookmarkStart w:id="55" w:name="_Toc127151720"/>
      <w:bookmarkStart w:id="56" w:name="_Toc195842884"/>
      <w:bookmarkStart w:id="57" w:name="_Toc151193761"/>
      <w:bookmarkStart w:id="58" w:name="_Toc150480757"/>
      <w:bookmarkStart w:id="59" w:name="_Toc151193617"/>
      <w:bookmarkStart w:id="60" w:name="_Toc164229360"/>
      <w:bookmarkStart w:id="61" w:name="_Toc520356144"/>
      <w:bookmarkStart w:id="62" w:name="_Toc150774619"/>
      <w:bookmarkStart w:id="63" w:name="_Toc151193907"/>
      <w:bookmarkStart w:id="64" w:name="_Toc142311021"/>
      <w:bookmarkStart w:id="65" w:name="_Toc150774724"/>
      <w:bookmarkStart w:id="66" w:name="_Toc164229214"/>
      <w:bookmarkStart w:id="67" w:name="_Toc150509270"/>
      <w:bookmarkStart w:id="68" w:name="_Toc164608788"/>
      <w:bookmarkStart w:id="69" w:name="_Toc164608633"/>
      <w:bookmarkStart w:id="70" w:name="_Toc151190146"/>
      <w:r>
        <w:rPr>
          <w:rFonts w:ascii="Times New Roman" w:hAnsi="Times New Roman" w:eastAsiaTheme="minorEastAsia"/>
          <w:color w:val="000000" w:themeColor="text1"/>
          <w:sz w:val="28"/>
          <w14:textFill>
            <w14:solidFill>
              <w14:schemeClr w14:val="tx1"/>
            </w14:solidFill>
          </w14:textFill>
        </w:rPr>
        <w:t>供应商须知资料表</w:t>
      </w:r>
    </w:p>
    <w:p>
      <w:pPr>
        <w:jc w:val="center"/>
        <w:rPr>
          <w:rFonts w:eastAsiaTheme="minorEastAsia"/>
          <w:b/>
          <w:color w:val="000000" w:themeColor="text1"/>
          <w:sz w:val="28"/>
          <w:szCs w:val="28"/>
          <w14:textFill>
            <w14:solidFill>
              <w14:schemeClr w14:val="tx1"/>
            </w14:solidFill>
          </w14:textFill>
        </w:rPr>
      </w:pPr>
    </w:p>
    <w:p>
      <w:pPr>
        <w:spacing w:line="360" w:lineRule="auto"/>
        <w:ind w:firstLine="48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本表是对供应商须知的具体补充和修改，如有矛盾，均以本资料表为准。标记“</w:t>
      </w:r>
      <w:r>
        <w:rPr>
          <w:rFonts w:eastAsiaTheme="minorEastAsia"/>
          <w:b/>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”的选项意为适用于本项目，标记“</w:t>
      </w: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”的选项意为不适用于本项目。</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eastAsiaTheme="minorEastAsia"/>
                <w:b/>
                <w:bCs/>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条款号</w:t>
            </w:r>
          </w:p>
        </w:tc>
        <w:tc>
          <w:tcPr>
            <w:tcW w:w="1701" w:type="dxa"/>
            <w:vAlign w:val="center"/>
          </w:tcPr>
          <w:p>
            <w:pPr>
              <w:jc w:val="center"/>
              <w:rPr>
                <w:rFonts w:eastAsiaTheme="minorEastAsia"/>
                <w:b/>
                <w:bCs/>
                <w:color w:val="000000" w:themeColor="text1"/>
                <w:sz w:val="24"/>
                <w14:textFill>
                  <w14:solidFill>
                    <w14:schemeClr w14:val="tx1"/>
                  </w14:solidFill>
                </w14:textFill>
              </w:rPr>
            </w:pPr>
            <w:r>
              <w:rPr>
                <w:rFonts w:eastAsiaTheme="minorEastAsia"/>
                <w:b/>
                <w:bCs/>
                <w:color w:val="000000" w:themeColor="text1"/>
                <w:sz w:val="24"/>
                <w14:textFill>
                  <w14:solidFill>
                    <w14:schemeClr w14:val="tx1"/>
                  </w14:solidFill>
                </w14:textFill>
              </w:rPr>
              <w:t>条目</w:t>
            </w:r>
          </w:p>
        </w:tc>
        <w:tc>
          <w:tcPr>
            <w:tcW w:w="7253" w:type="dxa"/>
            <w:vAlign w:val="center"/>
          </w:tcPr>
          <w:p>
            <w:pPr>
              <w:jc w:val="center"/>
              <w:rPr>
                <w:rFonts w:eastAsiaTheme="minorEastAsia"/>
                <w:b/>
                <w:bCs/>
                <w:color w:val="000000" w:themeColor="text1"/>
                <w:sz w:val="24"/>
                <w14:textFill>
                  <w14:solidFill>
                    <w14:schemeClr w14:val="tx1"/>
                  </w14:solidFill>
                </w14:textFill>
              </w:rPr>
            </w:pPr>
            <w:r>
              <w:rPr>
                <w:rFonts w:eastAsiaTheme="minorEastAsia"/>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2.2</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w:t>
            </w:r>
          </w:p>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服务</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货物</w:t>
            </w:r>
          </w:p>
          <w:p>
            <w:pPr>
              <w:jc w:val="left"/>
              <w:rPr>
                <w:rFonts w:eastAsiaTheme="minorEastAsia"/>
                <w:color w:val="000000" w:themeColor="text1"/>
                <w:sz w:val="24"/>
                <w:u w:val="single"/>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2.3</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科研仪器设备</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是否属于科研仪器设备采购项目：</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是</w:t>
            </w:r>
          </w:p>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3.1</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现场考察</w:t>
            </w:r>
          </w:p>
        </w:tc>
        <w:tc>
          <w:tcPr>
            <w:tcW w:w="7253" w:type="dxa"/>
            <w:vAlign w:val="center"/>
          </w:tcPr>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不组织</w:t>
            </w:r>
          </w:p>
          <w:p>
            <w:pPr>
              <w:jc w:val="left"/>
              <w:rPr>
                <w:rFonts w:eastAsiaTheme="minorEastAsia"/>
                <w:bCs/>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组织，考察时间：___</w:t>
            </w:r>
            <w:r>
              <w:rPr>
                <w:rFonts w:eastAsiaTheme="minorEastAsia"/>
                <w:color w:val="000000" w:themeColor="text1"/>
                <w:sz w:val="24"/>
                <w:lang w:bidi="ar"/>
                <w14:textFill>
                  <w14:solidFill>
                    <w14:schemeClr w14:val="tx1"/>
                  </w14:solidFill>
                </w14:textFill>
              </w:rPr>
              <w:t>年</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月</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日</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点</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分</w:t>
            </w:r>
          </w:p>
          <w:p>
            <w:pPr>
              <w:pStyle w:val="23"/>
              <w:adjustRightInd w:val="0"/>
              <w:snapToGrid w:val="0"/>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14:textFill>
                  <w14:solidFill>
                    <w14:schemeClr w14:val="tx1"/>
                  </w14:solidFill>
                </w14:textFill>
              </w:rPr>
              <w:t>考察地点：___________</w:t>
            </w:r>
            <w:r>
              <w:rPr>
                <w:rFonts w:ascii="Times New Roman" w:hAnsi="Times New Roman" w:eastAsiaTheme="minorEastAsia"/>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磋商前答疑会</w:t>
            </w:r>
          </w:p>
        </w:tc>
        <w:tc>
          <w:tcPr>
            <w:tcW w:w="7253" w:type="dxa"/>
            <w:vAlign w:val="center"/>
          </w:tcPr>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不召开</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召开，召开时间：___</w:t>
            </w:r>
            <w:r>
              <w:rPr>
                <w:rFonts w:eastAsiaTheme="minorEastAsia"/>
                <w:color w:val="000000" w:themeColor="text1"/>
                <w:sz w:val="24"/>
                <w:lang w:bidi="ar"/>
                <w14:textFill>
                  <w14:solidFill>
                    <w14:schemeClr w14:val="tx1"/>
                  </w14:solidFill>
                </w14:textFill>
              </w:rPr>
              <w:t>年</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月</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日</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点</w:t>
            </w:r>
            <w:r>
              <w:rPr>
                <w:rFonts w:eastAsiaTheme="minorEastAsia"/>
                <w:color w:val="000000" w:themeColor="text1"/>
                <w:sz w:val="24"/>
                <w14:textFill>
                  <w14:solidFill>
                    <w14:schemeClr w14:val="tx1"/>
                  </w14:solidFill>
                </w14:textFill>
              </w:rPr>
              <w:t>___</w:t>
            </w:r>
            <w:r>
              <w:rPr>
                <w:rFonts w:eastAsiaTheme="minorEastAsia"/>
                <w:color w:val="000000" w:themeColor="text1"/>
                <w:sz w:val="24"/>
                <w:lang w:bidi="ar"/>
                <w14:textFill>
                  <w14:solidFill>
                    <w14:schemeClr w14:val="tx1"/>
                  </w14:solidFill>
                </w14:textFill>
              </w:rPr>
              <w:t>分</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召开地点：___________</w:t>
            </w:r>
            <w:r>
              <w:rPr>
                <w:rFonts w:hint="eastAsia" w:eastAsiaTheme="minorEastAsia"/>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4.2.5</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标的所属行业</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7"/>
              <w:gridCol w:w="3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15"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标的名称</w:t>
                  </w:r>
                </w:p>
              </w:tc>
              <w:tc>
                <w:tcPr>
                  <w:tcW w:w="2384"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15"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color w:val="000000" w:themeColor="text1"/>
                      <w:sz w:val="24"/>
                      <w:lang w:eastAsia="zh-CN"/>
                      <w14:textFill>
                        <w14:solidFill>
                          <w14:schemeClr w14:val="tx1"/>
                        </w14:solidFill>
                      </w14:textFill>
                    </w:rPr>
                  </w:pPr>
                  <w:r>
                    <w:rPr>
                      <w:rFonts w:hint="eastAsia" w:eastAsiaTheme="minorEastAsia"/>
                      <w:bCs/>
                      <w:color w:val="000000" w:themeColor="text1"/>
                      <w:sz w:val="24"/>
                      <w:lang w:eastAsia="zh-CN"/>
                      <w14:textFill>
                        <w14:solidFill>
                          <w14:schemeClr w14:val="tx1"/>
                        </w14:solidFill>
                      </w14:textFill>
                    </w:rPr>
                    <w:t>西城区地震应急避难场所项目</w:t>
                  </w:r>
                </w:p>
              </w:tc>
              <w:tc>
                <w:tcPr>
                  <w:tcW w:w="2384"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000000" w:themeColor="text1"/>
                      <w:sz w:val="24"/>
                      <w14:textFill>
                        <w14:solidFill>
                          <w14:schemeClr w14:val="tx1"/>
                        </w14:solidFill>
                      </w14:textFill>
                    </w:rPr>
                  </w:pPr>
                  <w:r>
                    <w:rPr>
                      <w:rFonts w:eastAsiaTheme="minorEastAsia"/>
                      <w:bCs/>
                      <w:color w:val="000000" w:themeColor="text1"/>
                      <w:sz w:val="24"/>
                      <w14:textFill>
                        <w14:solidFill>
                          <w14:schemeClr w14:val="tx1"/>
                        </w14:solidFill>
                      </w14:textFill>
                    </w:rPr>
                    <w:t>建筑业</w:t>
                  </w:r>
                </w:p>
              </w:tc>
            </w:tr>
          </w:tbl>
          <w:p>
            <w:pPr>
              <w:jc w:val="left"/>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10.2</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报价</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报价的特殊规定：</w:t>
            </w:r>
          </w:p>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无</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11.1</w:t>
            </w:r>
          </w:p>
        </w:tc>
        <w:tc>
          <w:tcPr>
            <w:tcW w:w="1701" w:type="dxa"/>
            <w:vMerge w:val="restart"/>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w:t>
            </w:r>
          </w:p>
        </w:tc>
        <w:tc>
          <w:tcPr>
            <w:tcW w:w="7253" w:type="dxa"/>
            <w:vAlign w:val="center"/>
          </w:tcPr>
          <w:p>
            <w:pPr>
              <w:tabs>
                <w:tab w:val="left" w:pos="1560"/>
              </w:tabs>
              <w:rPr>
                <w:rFonts w:ascii="宋体" w:hAnsi="宋体" w:cs="宋体"/>
                <w:color w:val="000000" w:themeColor="text1"/>
                <w:sz w:val="24"/>
                <w:highlight w:val="none"/>
                <w:u w:val="single"/>
                <w:shd w:val="clear" w:color="auto" w:fill="FFFFFF"/>
                <w14:textFill>
                  <w14:solidFill>
                    <w14:schemeClr w14:val="tx1"/>
                  </w14:solidFill>
                </w14:textFill>
              </w:rPr>
            </w:pPr>
            <w:r>
              <w:rPr>
                <w:rFonts w:eastAsiaTheme="minorEastAsia"/>
                <w:color w:val="000000" w:themeColor="text1"/>
                <w:sz w:val="24"/>
                <w:highlight w:val="none"/>
                <w14:textFill>
                  <w14:solidFill>
                    <w14:schemeClr w14:val="tx1"/>
                  </w14:solidFill>
                </w14:textFill>
              </w:rPr>
              <w:t>磋商</w:t>
            </w:r>
            <w:r>
              <w:rPr>
                <w:rFonts w:hint="eastAsia" w:ascii="宋体" w:hAnsi="宋体" w:cs="宋体"/>
                <w:color w:val="000000" w:themeColor="text1"/>
                <w:sz w:val="24"/>
                <w:highlight w:val="none"/>
                <w:shd w:val="clear" w:color="auto" w:fill="FFFFFF"/>
                <w14:textFill>
                  <w14:solidFill>
                    <w14:schemeClr w14:val="tx1"/>
                  </w14:solidFill>
                </w14:textFill>
              </w:rPr>
              <w:t>保证金的形式：</w:t>
            </w:r>
            <w:r>
              <w:rPr>
                <w:rFonts w:hint="eastAsia" w:ascii="宋体" w:hAnsi="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highlight w:val="none"/>
                <w:u w:val="single"/>
                <w:shd w:val="clear" w:color="auto" w:fill="FFFFFF"/>
                <w:lang w:val="en-US" w:eastAsia="zh-CN"/>
                <w14:textFill>
                  <w14:solidFill>
                    <w14:schemeClr w14:val="tx1"/>
                  </w14:solidFill>
                </w14:textFill>
              </w:rPr>
              <w:t>电汇、银行保函</w:t>
            </w:r>
            <w:r>
              <w:rPr>
                <w:rFonts w:hint="eastAsia" w:ascii="宋体" w:hAnsi="宋体" w:cs="宋体"/>
                <w:color w:val="000000" w:themeColor="text1"/>
                <w:sz w:val="24"/>
                <w:highlight w:val="none"/>
                <w:u w:val="single"/>
                <w:shd w:val="clear" w:color="auto" w:fill="FFFFFF"/>
                <w14:textFill>
                  <w14:solidFill>
                    <w14:schemeClr w14:val="tx1"/>
                  </w14:solidFill>
                </w14:textFill>
              </w:rPr>
              <w:t xml:space="preserve">    </w:t>
            </w:r>
          </w:p>
          <w:p>
            <w:pPr>
              <w:rPr>
                <w:rFonts w:ascii="宋体" w:hAnsi="宋体" w:cs="宋体"/>
                <w:color w:val="000000" w:themeColor="text1"/>
                <w:sz w:val="24"/>
                <w:highlight w:val="none"/>
                <w:u w:val="single"/>
                <w:shd w:val="clear" w:color="auto" w:fill="FFFFFF"/>
                <w14:textFill>
                  <w14:solidFill>
                    <w14:schemeClr w14:val="tx1"/>
                  </w14:solidFill>
                </w14:textFill>
              </w:rPr>
            </w:pPr>
            <w:r>
              <w:rPr>
                <w:rFonts w:eastAsiaTheme="minorEastAsia"/>
                <w:color w:val="000000" w:themeColor="text1"/>
                <w:sz w:val="24"/>
                <w:highlight w:val="none"/>
                <w14:textFill>
                  <w14:solidFill>
                    <w14:schemeClr w14:val="tx1"/>
                  </w14:solidFill>
                </w14:textFill>
              </w:rPr>
              <w:t>磋商</w:t>
            </w:r>
            <w:r>
              <w:rPr>
                <w:rFonts w:hint="eastAsia" w:ascii="宋体" w:hAnsi="宋体" w:cs="宋体"/>
                <w:color w:val="000000" w:themeColor="text1"/>
                <w:sz w:val="24"/>
                <w:highlight w:val="none"/>
                <w:shd w:val="clear" w:color="auto" w:fill="FFFFFF"/>
                <w14:textFill>
                  <w14:solidFill>
                    <w14:schemeClr w14:val="tx1"/>
                  </w14:solidFill>
                </w14:textFill>
              </w:rPr>
              <w:t>保证金的金额：</w:t>
            </w:r>
            <w:r>
              <w:rPr>
                <w:rFonts w:hint="eastAsia" w:ascii="宋体" w:hAnsi="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sz w:val="24"/>
                <w:highlight w:val="none"/>
                <w:u w:val="single"/>
                <w:shd w:val="clear" w:color="auto" w:fill="FFFFFF"/>
                <w:lang w:val="en-US" w:eastAsia="zh-CN"/>
                <w14:textFill>
                  <w14:solidFill>
                    <w14:schemeClr w14:val="tx1"/>
                  </w14:solidFill>
                </w14:textFill>
              </w:rPr>
              <w:t>伍万元整（50000元整）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shd w:val="clear" w:color="auto" w:fill="FFFFFF"/>
                <w14:textFill>
                  <w14:solidFill>
                    <w14:schemeClr w14:val="tx1"/>
                  </w14:solidFill>
                </w14:textFill>
              </w:rPr>
              <w:t xml:space="preserve">  </w:t>
            </w:r>
          </w:p>
          <w:p>
            <w:pPr>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递交方式：/，应当在提交响应文件截止时间以前到达下列采购人指定账户：</w:t>
            </w:r>
          </w:p>
          <w:p>
            <w:pPr>
              <w:rPr>
                <w:rFonts w:hint="eastAsia" w:ascii="宋体" w:hAnsi="宋体" w:eastAsia="宋体" w:cs="宋体"/>
                <w:b/>
                <w:bCs/>
                <w:color w:val="000000" w:themeColor="text1"/>
                <w:sz w:val="24"/>
                <w:u w:val="single"/>
                <w:shd w:val="clear" w:color="auto" w:fill="FFFFFF"/>
                <w:lang w:val="en-US" w:eastAsia="zh-CN"/>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账户名称：</w:t>
            </w:r>
            <w:r>
              <w:rPr>
                <w:rFonts w:hint="eastAsia" w:ascii="宋体" w:hAnsi="宋体" w:cs="宋体"/>
                <w:color w:val="000000" w:themeColor="text1"/>
                <w:sz w:val="24"/>
                <w:u w:val="single"/>
                <w:shd w:val="clear" w:color="auto" w:fill="FFFFFF"/>
                <w14:textFill>
                  <w14:solidFill>
                    <w14:schemeClr w14:val="tx1"/>
                  </w14:solidFill>
                </w14:textFill>
              </w:rPr>
              <w:t xml:space="preserve">北京中建华兴工程管理有限公司 </w:t>
            </w:r>
            <w:r>
              <w:rPr>
                <w:rFonts w:hint="eastAsia" w:ascii="宋体" w:hAnsi="宋体" w:cs="宋体"/>
                <w:b/>
                <w:bCs/>
                <w:color w:val="000000" w:themeColor="text1"/>
                <w:sz w:val="24"/>
                <w:u w:val="single"/>
                <w:shd w:val="clear" w:color="auto" w:fill="FFFFFF"/>
                <w:lang w:eastAsia="zh-CN"/>
                <w14:textFill>
                  <w14:solidFill>
                    <w14:schemeClr w14:val="tx1"/>
                  </w14:solidFill>
                </w14:textFill>
              </w:rPr>
              <w:t>（</w:t>
            </w:r>
            <w:r>
              <w:rPr>
                <w:rFonts w:hint="eastAsia" w:ascii="宋体" w:hAnsi="宋体" w:cs="宋体"/>
                <w:b/>
                <w:bCs/>
                <w:color w:val="000000" w:themeColor="text1"/>
                <w:sz w:val="24"/>
                <w:u w:val="single"/>
                <w:shd w:val="clear" w:color="auto" w:fill="FFFFFF"/>
                <w:lang w:val="en-US" w:eastAsia="zh-CN"/>
                <w14:textFill>
                  <w14:solidFill>
                    <w14:schemeClr w14:val="tx1"/>
                  </w14:solidFill>
                </w14:textFill>
              </w:rPr>
              <w:t>请仔细核对账户名称，我单位正在变更，如电汇遇到问题请联系招标代理机构工作人员）</w:t>
            </w:r>
          </w:p>
          <w:p>
            <w:pPr>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开户行：</w:t>
            </w:r>
            <w:r>
              <w:rPr>
                <w:rFonts w:hint="eastAsia" w:ascii="宋体" w:hAnsi="宋体" w:cs="宋体"/>
                <w:color w:val="000000" w:themeColor="text1"/>
                <w:sz w:val="24"/>
                <w:u w:val="single"/>
                <w:shd w:val="clear" w:color="auto" w:fill="FFFFFF"/>
                <w14:textFill>
                  <w14:solidFill>
                    <w14:schemeClr w14:val="tx1"/>
                  </w14:solidFill>
                </w14:textFill>
              </w:rPr>
              <w:t xml:space="preserve">  招商银行北京立水桥支行</w:t>
            </w:r>
          </w:p>
          <w:p>
            <w:pPr>
              <w:rPr>
                <w:rFonts w:ascii="宋体" w:hAnsi="宋体" w:cs="宋体"/>
                <w:color w:val="000000" w:themeColor="text1"/>
                <w:sz w:val="24"/>
                <w:u w:val="single"/>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账号：</w:t>
            </w:r>
            <w:r>
              <w:rPr>
                <w:rFonts w:hint="eastAsia" w:ascii="宋体" w:hAnsi="宋体" w:cs="宋体"/>
                <w:color w:val="000000" w:themeColor="text1"/>
                <w:sz w:val="24"/>
                <w:shd w:val="clear" w:color="auto" w:fill="FFFFFF"/>
                <w:lang w:val="en-US" w:eastAsia="zh-CN"/>
                <w14:textFill>
                  <w14:solidFill>
                    <w14:schemeClr w14:val="tx1"/>
                  </w14:solidFill>
                </w14:textFill>
              </w:rPr>
              <w:t xml:space="preserve">   </w:t>
            </w:r>
            <w:r>
              <w:rPr>
                <w:rFonts w:hint="eastAsia" w:ascii="宋体" w:hAnsi="宋体" w:cs="宋体"/>
                <w:color w:val="000000" w:themeColor="text1"/>
                <w:sz w:val="24"/>
                <w:u w:val="single"/>
                <w:shd w:val="clear" w:color="auto" w:fill="FFFFFF"/>
                <w:lang w:val="en-US" w:eastAsia="zh-CN"/>
                <w14:textFill>
                  <w14:solidFill>
                    <w14:schemeClr w14:val="tx1"/>
                  </w14:solidFill>
                </w14:textFill>
              </w:rPr>
              <w:t xml:space="preserve"> </w:t>
            </w:r>
            <w:r>
              <w:rPr>
                <w:rFonts w:hint="eastAsia" w:ascii="宋体" w:hAnsi="宋体" w:cs="宋体"/>
                <w:color w:val="000000" w:themeColor="text1"/>
                <w:sz w:val="24"/>
                <w:u w:val="single"/>
                <w:shd w:val="clear" w:color="auto" w:fill="FFFFFF"/>
                <w14:textFill>
                  <w14:solidFill>
                    <w14:schemeClr w14:val="tx1"/>
                  </w14:solidFill>
                </w14:textFill>
              </w:rPr>
              <w:t xml:space="preserve">1109 3611 3210 102          </w:t>
            </w:r>
          </w:p>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（电汇时，请在电汇底单中注明项目名称）</w:t>
            </w:r>
          </w:p>
          <w:p>
            <w:pPr>
              <w:jc w:val="left"/>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11.7.5</w:t>
            </w:r>
          </w:p>
        </w:tc>
        <w:tc>
          <w:tcPr>
            <w:tcW w:w="1701" w:type="dxa"/>
            <w:vMerge w:val="continue"/>
            <w:vAlign w:val="center"/>
          </w:tcPr>
          <w:p>
            <w:pPr>
              <w:jc w:val="center"/>
              <w:rPr>
                <w:rFonts w:eastAsiaTheme="minorEastAsia"/>
                <w:color w:val="000000" w:themeColor="text1"/>
                <w:sz w:val="24"/>
                <w14:textFill>
                  <w14:solidFill>
                    <w14:schemeClr w14:val="tx1"/>
                  </w14:solidFill>
                </w14:textFill>
              </w:rPr>
            </w:pP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磋商保证金不予退还的其他情形：</w:t>
            </w:r>
          </w:p>
          <w:p>
            <w:pPr>
              <w:jc w:val="left"/>
              <w:rPr>
                <w:rFonts w:eastAsiaTheme="minorEastAsia"/>
                <w:color w:val="000000" w:themeColor="text1"/>
                <w:sz w:val="24"/>
                <w14:textFill>
                  <w14:solidFill>
                    <w14:schemeClr w14:val="tx1"/>
                  </w14:solidFill>
                </w14:textFill>
              </w:rPr>
            </w:pPr>
            <w:r>
              <w:rPr>
                <w:rFonts w:hint="default" w:ascii="Times New Roman" w:hAnsi="Times New Roman"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无</w:t>
            </w:r>
          </w:p>
          <w:p>
            <w:pPr>
              <w:pStyle w:val="23"/>
              <w:adjustRightInd w:val="0"/>
              <w:snapToGrid w:val="0"/>
              <w:rPr>
                <w:rFonts w:hint="default" w:ascii="Times New Roman" w:hAnsi="Times New Roman"/>
                <w:sz w:val="24"/>
                <w:highlight w:val="none"/>
                <w:u w:val="single"/>
              </w:rPr>
            </w:pPr>
            <w:r>
              <w:rPr>
                <w:rFonts w:hint="default" w:ascii="Times New Roman" w:hAnsi="Times New Roman" w:eastAsiaTheme="minorEastAsia"/>
                <w:color w:val="000000" w:themeColor="text1"/>
                <w:sz w:val="24"/>
                <w14:textFill>
                  <w14:solidFill>
                    <w14:schemeClr w14:val="tx1"/>
                  </w14:solidFill>
                </w14:textFill>
              </w:rPr>
              <w:t>■有，具体情形：</w:t>
            </w:r>
            <w:r>
              <w:rPr>
                <w:rFonts w:hint="default" w:ascii="Times New Roman" w:hAnsi="Times New Roman"/>
                <w:sz w:val="24"/>
                <w:highlight w:val="none"/>
                <w:u w:val="single"/>
              </w:rPr>
              <w:t>（</w:t>
            </w:r>
            <w:r>
              <w:rPr>
                <w:rFonts w:ascii="Times New Roman" w:hAnsi="Times New Roman"/>
                <w:sz w:val="24"/>
                <w:highlight w:val="none"/>
                <w:u w:val="single"/>
              </w:rPr>
              <w:t>1</w:t>
            </w:r>
            <w:r>
              <w:rPr>
                <w:rFonts w:hint="default" w:ascii="Times New Roman" w:hAnsi="Times New Roman"/>
                <w:sz w:val="24"/>
                <w:highlight w:val="none"/>
                <w:u w:val="single"/>
              </w:rPr>
              <w:t>）供应商在提交响应文件截止时间后撤回响应文件的；</w:t>
            </w:r>
          </w:p>
          <w:p>
            <w:pPr>
              <w:pStyle w:val="23"/>
              <w:adjustRightInd w:val="0"/>
              <w:snapToGrid w:val="0"/>
              <w:rPr>
                <w:rFonts w:hint="default" w:ascii="Times New Roman" w:hAnsi="Times New Roman"/>
                <w:sz w:val="24"/>
                <w:highlight w:val="none"/>
                <w:u w:val="single"/>
              </w:rPr>
            </w:pPr>
            <w:r>
              <w:rPr>
                <w:rFonts w:hint="default" w:ascii="Times New Roman" w:hAnsi="Times New Roman"/>
                <w:sz w:val="24"/>
                <w:highlight w:val="none"/>
                <w:u w:val="single"/>
              </w:rPr>
              <w:t>（</w:t>
            </w:r>
            <w:r>
              <w:rPr>
                <w:rFonts w:ascii="Times New Roman" w:hAnsi="Times New Roman"/>
                <w:sz w:val="24"/>
                <w:highlight w:val="none"/>
                <w:u w:val="single"/>
              </w:rPr>
              <w:t>2</w:t>
            </w:r>
            <w:r>
              <w:rPr>
                <w:rFonts w:hint="default" w:ascii="Times New Roman" w:hAnsi="Times New Roman"/>
                <w:sz w:val="24"/>
                <w:highlight w:val="none"/>
                <w:u w:val="single"/>
              </w:rPr>
              <w:t>）供应商在响应文件中提供虚假材料的；</w:t>
            </w:r>
          </w:p>
          <w:p>
            <w:pPr>
              <w:pStyle w:val="23"/>
              <w:adjustRightInd w:val="0"/>
              <w:snapToGrid w:val="0"/>
              <w:rPr>
                <w:rFonts w:hint="default" w:ascii="Times New Roman" w:hAnsi="Times New Roman"/>
                <w:sz w:val="24"/>
                <w:highlight w:val="none"/>
                <w:u w:val="single"/>
              </w:rPr>
            </w:pPr>
            <w:r>
              <w:rPr>
                <w:rFonts w:hint="default" w:ascii="Times New Roman" w:hAnsi="Times New Roman"/>
                <w:sz w:val="24"/>
                <w:highlight w:val="none"/>
                <w:u w:val="single"/>
              </w:rPr>
              <w:t>（</w:t>
            </w:r>
            <w:r>
              <w:rPr>
                <w:rFonts w:ascii="Times New Roman" w:hAnsi="Times New Roman"/>
                <w:sz w:val="24"/>
                <w:highlight w:val="none"/>
                <w:u w:val="single"/>
              </w:rPr>
              <w:t>3</w:t>
            </w:r>
            <w:r>
              <w:rPr>
                <w:rFonts w:hint="default" w:ascii="Times New Roman" w:hAnsi="Times New Roman"/>
                <w:sz w:val="24"/>
                <w:highlight w:val="none"/>
                <w:u w:val="single"/>
              </w:rPr>
              <w:t>）除因不可抗力或磋商文件认可的情形以外，成交供应商不与采购人签订合同的；</w:t>
            </w:r>
          </w:p>
          <w:p>
            <w:pPr>
              <w:pStyle w:val="23"/>
              <w:adjustRightInd w:val="0"/>
              <w:snapToGrid w:val="0"/>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sz w:val="24"/>
                <w:highlight w:val="none"/>
                <w:u w:val="single"/>
              </w:rPr>
              <w:t>（</w:t>
            </w:r>
            <w:r>
              <w:rPr>
                <w:rFonts w:ascii="Times New Roman" w:hAnsi="Times New Roman"/>
                <w:sz w:val="24"/>
                <w:highlight w:val="none"/>
                <w:u w:val="single"/>
              </w:rPr>
              <w:t>4</w:t>
            </w:r>
            <w:r>
              <w:rPr>
                <w:rFonts w:hint="default" w:ascii="Times New Roman" w:hAnsi="Times New Roman"/>
                <w:sz w:val="24"/>
                <w:highlight w:val="none"/>
                <w:u w:val="single"/>
              </w:rPr>
              <w:t>）供应商与采购人、其他供应商或者采购代理机构恶意串通的</w:t>
            </w:r>
            <w:r>
              <w:rPr>
                <w:rFonts w:hint="eastAsia" w:ascii="Times New Roman" w:hAnsi="Times New Roman"/>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12.1</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响应有效期</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自提交响应文件的截止之日起算</w:t>
            </w:r>
            <w:r>
              <w:rPr>
                <w:color w:val="000000" w:themeColor="text1"/>
                <w:sz w:val="24"/>
                <w:u w:val="single"/>
                <w14:textFill>
                  <w14:solidFill>
                    <w14:schemeClr w14:val="tx1"/>
                  </w14:solidFill>
                </w14:textFill>
              </w:rPr>
              <w:t>90</w:t>
            </w:r>
            <w:r>
              <w:rPr>
                <w:rFonts w:eastAsiaTheme="minorEastAsia"/>
                <w:color w:val="000000" w:themeColor="text1"/>
                <w:sz w:val="24"/>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20.1</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成交供应商的确认</w:t>
            </w:r>
          </w:p>
        </w:tc>
        <w:tc>
          <w:tcPr>
            <w:tcW w:w="7253" w:type="dxa"/>
            <w:vAlign w:val="center"/>
          </w:tcPr>
          <w:p>
            <w:pPr>
              <w:pStyle w:val="23"/>
              <w:adjustRightInd w:val="0"/>
              <w:snapToGrid w:val="0"/>
              <w:rPr>
                <w:rFonts w:hint="default" w:ascii="Times New Roman" w:hAnsi="Times New Roman" w:eastAsiaTheme="minorEastAsia"/>
                <w:color w:val="000000" w:themeColor="text1"/>
                <w:sz w:val="24"/>
                <w14:textFill>
                  <w14:solidFill>
                    <w14:schemeClr w14:val="tx1"/>
                  </w14:solidFill>
                </w14:textFill>
              </w:rPr>
            </w:pPr>
            <w:r>
              <w:rPr>
                <w:rFonts w:hint="default" w:ascii="Times New Roman" w:hAnsi="Times New Roman" w:eastAsiaTheme="minorEastAsia"/>
                <w:color w:val="000000" w:themeColor="text1"/>
                <w:sz w:val="24"/>
                <w14:textFill>
                  <w14:solidFill>
                    <w14:schemeClr w14:val="tx1"/>
                  </w14:solidFill>
                </w14:textFill>
              </w:rPr>
              <w:t>采购人是否授权磋商小组直接确定成交供应商：</w:t>
            </w:r>
          </w:p>
          <w:p>
            <w:pPr>
              <w:pStyle w:val="23"/>
              <w:adjustRightInd w:val="0"/>
              <w:snapToGrid w:val="0"/>
              <w:rPr>
                <w:rFonts w:hint="default" w:ascii="Times New Roman" w:hAnsi="Times New Roman" w:eastAsiaTheme="minorEastAsia"/>
                <w:color w:val="000000" w:themeColor="text1"/>
                <w:sz w:val="24"/>
                <w14:textFill>
                  <w14:solidFill>
                    <w14:schemeClr w14:val="tx1"/>
                  </w14:solidFill>
                </w14:textFill>
              </w:rPr>
            </w:pPr>
            <w:r>
              <w:rPr>
                <w:color w:val="000000" w:themeColor="text1"/>
                <w:sz w:val="15"/>
                <w:szCs w:val="15"/>
                <w14:textFill>
                  <w14:solidFill>
                    <w14:schemeClr w14:val="tx1"/>
                  </w14:solidFill>
                </w14:textFill>
              </w:rPr>
              <w:t>■</w:t>
            </w:r>
            <w:r>
              <w:rPr>
                <w:rFonts w:hint="default" w:ascii="Times New Roman" w:hAnsi="Times New Roman" w:eastAsiaTheme="minorEastAsia"/>
                <w:color w:val="000000" w:themeColor="text1"/>
                <w:sz w:val="24"/>
                <w14:textFill>
                  <w14:solidFill>
                    <w14:schemeClr w14:val="tx1"/>
                  </w14:solidFill>
                </w14:textFill>
              </w:rPr>
              <w:t>否</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是</w:t>
            </w:r>
          </w:p>
          <w:p>
            <w:pPr>
              <w:jc w:val="left"/>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成交候选人并列的，按照以下方式确定成交供应商：</w:t>
            </w:r>
            <w:r>
              <w:rPr>
                <w:sz w:val="24"/>
                <w:highlight w:val="none"/>
                <w:u w:val="single"/>
              </w:rPr>
              <w:t>评审得分相同的，按照最后报价由低到高的顺序推荐</w:t>
            </w:r>
            <w:r>
              <w:rPr>
                <w:rFonts w:hint="eastAsia"/>
                <w:sz w:val="24"/>
                <w:highlight w:val="none"/>
                <w:u w:val="single"/>
                <w:lang w:eastAsia="zh-CN"/>
              </w:rPr>
              <w:t>。</w:t>
            </w:r>
            <w:r>
              <w:rPr>
                <w:sz w:val="24"/>
                <w:highlight w:val="none"/>
                <w:u w:val="single"/>
              </w:rPr>
              <w:t>评审得分且最后报价相同的，按照技术指标优劣顺序推荐</w:t>
            </w:r>
            <w:r>
              <w:rPr>
                <w:rFonts w:hint="eastAsia"/>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23.5</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分包</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本项目是否允许分包： </w:t>
            </w:r>
          </w:p>
          <w:p>
            <w:pPr>
              <w:jc w:val="left"/>
              <w:rPr>
                <w:rFonts w:eastAsiaTheme="minorEastAsia"/>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eastAsiaTheme="minorEastAsia"/>
                <w:color w:val="000000" w:themeColor="text1"/>
                <w:sz w:val="24"/>
                <w14:textFill>
                  <w14:solidFill>
                    <w14:schemeClr w14:val="tx1"/>
                  </w14:solidFill>
                </w14:textFill>
              </w:rPr>
              <w:t>不允许</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14:textFill>
                  <w14:solidFill>
                    <w14:schemeClr w14:val="tx1"/>
                  </w14:solidFill>
                </w14:textFill>
              </w:rPr>
              <w:t>□</w:t>
            </w:r>
            <w:r>
              <w:rPr>
                <w:rFonts w:eastAsiaTheme="minorEastAsia"/>
                <w:color w:val="000000" w:themeColor="text1"/>
                <w:sz w:val="24"/>
                <w14:textFill>
                  <w14:solidFill>
                    <w14:schemeClr w14:val="tx1"/>
                  </w14:solidFill>
                </w14:textFill>
              </w:rPr>
              <w:t>允许，具体要求：_______。</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（1）可以分包履行的具体内容：_______；</w:t>
            </w:r>
          </w:p>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（2）允许分包的金额或者比例：_______；</w:t>
            </w:r>
          </w:p>
          <w:p>
            <w:pPr>
              <w:jc w:val="left"/>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24.1.1</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w:t>
            </w:r>
          </w:p>
        </w:tc>
        <w:tc>
          <w:tcPr>
            <w:tcW w:w="7253" w:type="dxa"/>
            <w:vAlign w:val="center"/>
          </w:tcPr>
          <w:p>
            <w:pPr>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询问送达形式：</w:t>
            </w:r>
            <w:r>
              <w:rPr>
                <w:rFonts w:hint="eastAsia"/>
                <w:color w:val="000000" w:themeColor="text1"/>
                <w:sz w:val="24"/>
                <w:u w:val="single"/>
                <w14:textFill>
                  <w14:solidFill>
                    <w14:schemeClr w14:val="tx1"/>
                  </w14:solidFill>
                </w14:textFill>
              </w:rPr>
              <w:t>对本项目如有异议，请在公示期内以书面形式（请对异议事项作出明确说明并加盖异议提出单位的企业公章、法人章）向代理机构提出，以书面质疑送达代理机构的日期为受理日期。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24.3</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联系方式</w:t>
            </w:r>
          </w:p>
        </w:tc>
        <w:tc>
          <w:tcPr>
            <w:tcW w:w="7253"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接收询问和质疑的联系方式</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联系部门：</w:t>
            </w:r>
            <w:r>
              <w:rPr>
                <w:rFonts w:hint="eastAsia"/>
                <w:color w:val="000000" w:themeColor="text1"/>
                <w:sz w:val="24"/>
                <w:u w:val="single"/>
                <w14:textFill>
                  <w14:solidFill>
                    <w14:schemeClr w14:val="tx1"/>
                  </w14:solidFill>
                </w14:textFill>
              </w:rPr>
              <w:t>招标部</w:t>
            </w:r>
            <w:r>
              <w:rPr>
                <w:color w:val="000000" w:themeColor="text1"/>
                <w:sz w:val="24"/>
                <w:u w:val="single"/>
                <w14:textFill>
                  <w14:solidFill>
                    <w14:schemeClr w14:val="tx1"/>
                  </w14:solidFill>
                </w14:textFill>
              </w:rPr>
              <w:t>；</w:t>
            </w:r>
          </w:p>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r>
              <w:rPr>
                <w:rFonts w:hint="eastAsia"/>
                <w:color w:val="000000" w:themeColor="text1"/>
                <w:sz w:val="24"/>
                <w:u w:val="single"/>
                <w:lang w:val="en-US" w:eastAsia="zh-CN"/>
                <w14:textFill>
                  <w14:solidFill>
                    <w14:schemeClr w14:val="tx1"/>
                  </w14:solidFill>
                </w14:textFill>
              </w:rPr>
              <w:t>杨爱国</w:t>
            </w:r>
            <w:r>
              <w:rPr>
                <w:rFonts w:hint="eastAsia"/>
                <w:color w:val="000000" w:themeColor="text1"/>
                <w:sz w:val="24"/>
                <w:u w:val="single"/>
                <w14:textFill>
                  <w14:solidFill>
                    <w14:schemeClr w14:val="tx1"/>
                  </w14:solidFill>
                </w14:textFill>
              </w:rPr>
              <w:t xml:space="preserve"> 18233296727</w:t>
            </w:r>
            <w:r>
              <w:rPr>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988" w:type="dxa"/>
            <w:vAlign w:val="center"/>
          </w:tcPr>
          <w:p>
            <w:pPr>
              <w:pStyle w:val="23"/>
              <w:adjustRightInd w:val="0"/>
              <w:snapToGrid w:val="0"/>
              <w:jc w:val="center"/>
              <w:rPr>
                <w:rFonts w:hint="default" w:ascii="Times New Roman" w:hAnsi="Times New Roman" w:eastAsiaTheme="minorEastAsia"/>
                <w:color w:val="000000" w:themeColor="text1"/>
                <w:sz w:val="24"/>
                <w:szCs w:val="24"/>
                <w14:textFill>
                  <w14:solidFill>
                    <w14:schemeClr w14:val="tx1"/>
                  </w14:solidFill>
                </w14:textFill>
              </w:rPr>
            </w:pPr>
            <w:r>
              <w:rPr>
                <w:rFonts w:hint="default" w:ascii="Times New Roman" w:hAnsi="Times New Roman" w:eastAsiaTheme="minorEastAsia"/>
                <w:color w:val="000000" w:themeColor="text1"/>
                <w:sz w:val="24"/>
                <w:szCs w:val="24"/>
                <w14:textFill>
                  <w14:solidFill>
                    <w14:schemeClr w14:val="tx1"/>
                  </w14:solidFill>
                </w14:textFill>
              </w:rPr>
              <w:t>25</w:t>
            </w:r>
          </w:p>
        </w:tc>
        <w:tc>
          <w:tcPr>
            <w:tcW w:w="1701" w:type="dxa"/>
            <w:vAlign w:val="center"/>
          </w:tcPr>
          <w:p>
            <w:pPr>
              <w:jc w:val="center"/>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代理费</w:t>
            </w:r>
          </w:p>
        </w:tc>
        <w:tc>
          <w:tcPr>
            <w:tcW w:w="7253" w:type="dxa"/>
            <w:vAlign w:val="center"/>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收费对象：</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□采购人</w:t>
            </w:r>
          </w:p>
          <w:p>
            <w:pPr>
              <w:jc w:val="left"/>
              <w:rPr>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hint="eastAsia"/>
                <w:color w:val="000000" w:themeColor="text1"/>
                <w:sz w:val="24"/>
                <w14:textFill>
                  <w14:solidFill>
                    <w14:schemeClr w14:val="tx1"/>
                  </w14:solidFill>
                </w14:textFill>
              </w:rPr>
              <w:t>成交供应商</w:t>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收费标准：</w:t>
            </w:r>
            <w:r>
              <w:rPr>
                <w:rFonts w:hint="eastAsia"/>
                <w:color w:val="000000" w:themeColor="text1"/>
                <w:sz w:val="24"/>
                <w:u w:val="single"/>
                <w14:textFill>
                  <w14:solidFill>
                    <w14:schemeClr w14:val="tx1"/>
                  </w14:solidFill>
                </w14:textFill>
              </w:rPr>
              <w:t>以成交金额为基数，参照计价格【</w:t>
            </w:r>
            <w:r>
              <w:rPr>
                <w:color w:val="000000" w:themeColor="text1"/>
                <w:sz w:val="24"/>
                <w:u w:val="single"/>
                <w14:textFill>
                  <w14:solidFill>
                    <w14:schemeClr w14:val="tx1"/>
                  </w14:solidFill>
                </w14:textFill>
              </w:rPr>
              <w:t>2002】1980号文《招标代理</w:t>
            </w:r>
            <w:r>
              <w:rPr>
                <w:color w:val="000000" w:themeColor="text1"/>
                <w:sz w:val="24"/>
                <w:highlight w:val="none"/>
                <w:u w:val="single"/>
                <w14:textFill>
                  <w14:solidFill>
                    <w14:schemeClr w14:val="tx1"/>
                  </w14:solidFill>
                </w14:textFill>
              </w:rPr>
              <w:t>服务收费管理暂行办法》采用“差额定率累进法”按照“</w:t>
            </w:r>
            <w:r>
              <w:rPr>
                <w:rFonts w:hint="eastAsia"/>
                <w:color w:val="000000" w:themeColor="text1"/>
                <w:sz w:val="24"/>
                <w:highlight w:val="none"/>
                <w:u w:val="single"/>
                <w:lang w:val="en-US" w:eastAsia="zh-CN"/>
                <w14:textFill>
                  <w14:solidFill>
                    <w14:schemeClr w14:val="tx1"/>
                  </w14:solidFill>
                </w14:textFill>
              </w:rPr>
              <w:t>工程类</w:t>
            </w:r>
            <w:r>
              <w:rPr>
                <w:color w:val="000000" w:themeColor="text1"/>
                <w:sz w:val="24"/>
                <w:highlight w:val="none"/>
                <w:u w:val="single"/>
                <w14:textFill>
                  <w14:solidFill>
                    <w14:schemeClr w14:val="tx1"/>
                  </w14:solidFill>
                </w14:textFill>
              </w:rPr>
              <w:t>”计取。</w:t>
            </w:r>
          </w:p>
          <w:p>
            <w:pPr>
              <w:jc w:val="left"/>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缴纳时间：</w:t>
            </w:r>
            <w:r>
              <w:rPr>
                <w:rFonts w:hint="eastAsia"/>
                <w:color w:val="000000" w:themeColor="text1"/>
                <w:sz w:val="24"/>
                <w:u w:val="single"/>
                <w14:textFill>
                  <w14:solidFill>
                    <w14:schemeClr w14:val="tx1"/>
                  </w14:solidFill>
                </w14:textFill>
              </w:rPr>
              <w:t>成交供应商</w:t>
            </w:r>
            <w:r>
              <w:rPr>
                <w:color w:val="000000" w:themeColor="text1"/>
                <w:sz w:val="24"/>
                <w:u w:val="single"/>
                <w14:textFill>
                  <w14:solidFill>
                    <w14:schemeClr w14:val="tx1"/>
                  </w14:solidFill>
                </w14:textFill>
              </w:rPr>
              <w:t>领取</w:t>
            </w:r>
            <w:r>
              <w:rPr>
                <w:rFonts w:hint="eastAsia"/>
                <w:color w:val="000000" w:themeColor="text1"/>
                <w:sz w:val="24"/>
                <w:u w:val="single"/>
                <w14:textFill>
                  <w14:solidFill>
                    <w14:schemeClr w14:val="tx1"/>
                  </w14:solidFill>
                </w14:textFill>
              </w:rPr>
              <w:t>成交</w:t>
            </w:r>
            <w:r>
              <w:rPr>
                <w:color w:val="000000" w:themeColor="text1"/>
                <w:sz w:val="24"/>
                <w:u w:val="single"/>
                <w14:textFill>
                  <w14:solidFill>
                    <w14:schemeClr w14:val="tx1"/>
                  </w14:solidFill>
                </w14:textFill>
              </w:rPr>
              <w:t>通知书时一次性支付</w:t>
            </w:r>
            <w:r>
              <w:rPr>
                <w:rFonts w:hint="eastAsia"/>
                <w:color w:val="000000" w:themeColor="text1"/>
                <w:sz w:val="24"/>
                <w:u w:val="single"/>
                <w14:textFill>
                  <w14:solidFill>
                    <w14:schemeClr w14:val="tx1"/>
                  </w14:solidFill>
                </w14:textFill>
              </w:rPr>
              <w:t>采购</w:t>
            </w:r>
            <w:r>
              <w:rPr>
                <w:color w:val="000000" w:themeColor="text1"/>
                <w:sz w:val="24"/>
                <w:u w:val="single"/>
                <w14:textFill>
                  <w14:solidFill>
                    <w14:schemeClr w14:val="tx1"/>
                  </w14:solidFill>
                </w14:textFill>
              </w:rPr>
              <w:t>代理服务费</w:t>
            </w:r>
            <w:r>
              <w:rPr>
                <w:rFonts w:hint="eastAsia"/>
                <w:color w:val="000000" w:themeColor="text1"/>
                <w:sz w:val="24"/>
                <w:u w:val="single"/>
                <w14:textFill>
                  <w14:solidFill>
                    <w14:schemeClr w14:val="tx1"/>
                  </w14:solidFill>
                </w14:textFill>
              </w:rPr>
              <w:t>。</w:t>
            </w:r>
          </w:p>
        </w:tc>
      </w:tr>
    </w:tbl>
    <w:p>
      <w:pPr>
        <w:tabs>
          <w:tab w:val="left" w:pos="5580"/>
        </w:tabs>
        <w:adjustRightInd w:val="0"/>
        <w:spacing w:line="360" w:lineRule="auto"/>
        <w:jc w:val="distribute"/>
        <w:rPr>
          <w:rFonts w:eastAsiaTheme="minorEastAsia"/>
          <w:color w:val="000000" w:themeColor="text1"/>
          <w:sz w:val="24"/>
          <w14:textFill>
            <w14:solidFill>
              <w14:schemeClr w14:val="tx1"/>
            </w14:solidFill>
          </w14:textFill>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312" w:beforeLines="100" w:after="312" w:afterLines="100"/>
        <w:jc w:val="center"/>
        <w:rPr>
          <w:rFonts w:eastAsiaTheme="minorEastAsia"/>
          <w:b/>
          <w:color w:val="000000" w:themeColor="text1"/>
          <w:sz w:val="28"/>
          <w:szCs w:val="28"/>
          <w14:textFill>
            <w14:solidFill>
              <w14:schemeClr w14:val="tx1"/>
            </w14:solidFill>
          </w14:textFill>
        </w:rPr>
      </w:pPr>
      <w:r>
        <w:rPr>
          <w:rFonts w:eastAsiaTheme="minorEastAsia"/>
          <w:b/>
          <w:color w:val="000000" w:themeColor="text1"/>
          <w:sz w:val="28"/>
          <w:szCs w:val="28"/>
          <w14:textFill>
            <w14:solidFill>
              <w14:schemeClr w14:val="tx1"/>
            </w14:solidFill>
          </w14:textFill>
        </w:rPr>
        <w:t>供应商须知</w:t>
      </w:r>
    </w:p>
    <w:p>
      <w:pPr>
        <w:pStyle w:val="3"/>
        <w:tabs>
          <w:tab w:val="center" w:pos="4592"/>
          <w:tab w:val="left" w:pos="7860"/>
        </w:tabs>
        <w:spacing w:before="0" w:line="360" w:lineRule="auto"/>
        <w:jc w:val="left"/>
        <w:rPr>
          <w:rFonts w:ascii="Times New Roman" w:hAnsi="Times New Roman" w:eastAsiaTheme="minorEastAsia"/>
          <w:color w:val="000000" w:themeColor="text1"/>
          <w:sz w:val="28"/>
          <w14:textFill>
            <w14:solidFill>
              <w14:schemeClr w14:val="tx1"/>
            </w14:solidFill>
          </w14:textFill>
        </w:rPr>
      </w:pPr>
      <w:bookmarkStart w:id="71" w:name="_Toc520356143"/>
      <w:bookmarkStart w:id="72" w:name="_Toc127151518"/>
      <w:r>
        <w:rPr>
          <w:rFonts w:ascii="Times New Roman" w:hAnsi="Times New Roman" w:eastAsiaTheme="minorEastAsia"/>
          <w:color w:val="000000" w:themeColor="text1"/>
          <w:sz w:val="28"/>
          <w14:textFill>
            <w14:solidFill>
              <w14:schemeClr w14:val="tx1"/>
            </w14:solidFill>
          </w14:textFill>
        </w:rPr>
        <w:tab/>
      </w:r>
      <w:bookmarkStart w:id="73" w:name="_Toc265228356"/>
      <w:bookmarkStart w:id="74" w:name="_Toc150774723"/>
      <w:bookmarkStart w:id="75" w:name="_Toc151193688"/>
      <w:bookmarkStart w:id="76" w:name="_Toc151193760"/>
      <w:bookmarkStart w:id="77" w:name="_Toc305158786"/>
      <w:bookmarkStart w:id="78" w:name="_Toc264969208"/>
      <w:bookmarkStart w:id="79" w:name="_Toc151193616"/>
      <w:bookmarkStart w:id="80" w:name="_Toc150480756"/>
      <w:bookmarkStart w:id="81" w:name="_Toc226309762"/>
      <w:bookmarkStart w:id="82" w:name="_Toc226965708"/>
      <w:bookmarkStart w:id="83" w:name="_Toc195842883"/>
      <w:bookmarkStart w:id="84" w:name="_Toc151193832"/>
      <w:bookmarkStart w:id="85" w:name="_Toc151193906"/>
      <w:bookmarkStart w:id="86" w:name="_Toc226965791"/>
      <w:bookmarkStart w:id="87" w:name="_Toc142311020"/>
      <w:bookmarkStart w:id="88" w:name="_Toc151190145"/>
      <w:bookmarkStart w:id="89" w:name="_Toc226337214"/>
      <w:bookmarkStart w:id="90" w:name="_Toc305158860"/>
      <w:bookmarkStart w:id="91" w:name="_Toc150509269"/>
      <w:bookmarkStart w:id="92" w:name="_Toc150774618"/>
      <w:r>
        <w:rPr>
          <w:rFonts w:ascii="Times New Roman" w:hAnsi="Times New Roman" w:eastAsiaTheme="minorEastAsia"/>
          <w:color w:val="000000" w:themeColor="text1"/>
          <w:sz w:val="28"/>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color w:val="000000" w:themeColor="text1"/>
          <w:sz w:val="28"/>
          <w14:textFill>
            <w14:solidFill>
              <w14:schemeClr w14:val="tx1"/>
            </w14:solidFill>
          </w14:textFill>
        </w:rPr>
        <w:tab/>
      </w:r>
    </w:p>
    <w:p>
      <w:pPr>
        <w:numPr>
          <w:ilvl w:val="0"/>
          <w:numId w:val="9"/>
        </w:numPr>
        <w:tabs>
          <w:tab w:val="left" w:pos="360"/>
          <w:tab w:val="clear" w:pos="90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93" w:name="_Toc264969209"/>
      <w:bookmarkStart w:id="94" w:name="_Toc265228357"/>
      <w:bookmarkStart w:id="95" w:name="_Toc305158861"/>
      <w:bookmarkStart w:id="96" w:name="_Toc305158787"/>
      <w:r>
        <w:rPr>
          <w:rFonts w:eastAsiaTheme="minorEastAsia"/>
          <w:color w:val="000000" w:themeColor="text1"/>
          <w:sz w:val="24"/>
          <w14:textFill>
            <w14:solidFill>
              <w14:schemeClr w14:val="tx1"/>
            </w14:solidFill>
          </w14:textFill>
        </w:rPr>
        <w:t>采购人、采购代理机构、供应商</w:t>
      </w:r>
      <w:bookmarkEnd w:id="93"/>
      <w:bookmarkEnd w:id="94"/>
      <w:bookmarkEnd w:id="95"/>
      <w:bookmarkEnd w:id="96"/>
      <w:r>
        <w:rPr>
          <w:rFonts w:eastAsiaTheme="minorEastAsia"/>
          <w:color w:val="000000" w:themeColor="text1"/>
          <w:sz w:val="24"/>
          <w14:textFill>
            <w14:solidFill>
              <w14:schemeClr w14:val="tx1"/>
            </w14:solidFill>
          </w14:textFill>
        </w:rPr>
        <w:t>、联合体</w:t>
      </w:r>
    </w:p>
    <w:p>
      <w:pPr>
        <w:numPr>
          <w:ilvl w:val="1"/>
          <w:numId w:val="9"/>
        </w:numPr>
        <w:tabs>
          <w:tab w:val="left" w:pos="1080"/>
          <w:tab w:val="left" w:pos="2014"/>
          <w:tab w:val="left" w:pos="5521"/>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pPr>
        <w:numPr>
          <w:ilvl w:val="1"/>
          <w:numId w:val="9"/>
        </w:numPr>
        <w:tabs>
          <w:tab w:val="left" w:pos="1080"/>
          <w:tab w:val="left" w:pos="2014"/>
          <w:tab w:val="left" w:pos="5521"/>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供应商（也称“申请人”）：指向采购人提供货物、工程或者服务的法人、其他组织或者自然人。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97" w:name="_Toc151193690"/>
      <w:bookmarkStart w:id="98" w:name="_Toc150509271"/>
      <w:bookmarkStart w:id="99" w:name="_Toc151193618"/>
      <w:bookmarkStart w:id="100" w:name="_Toc127161434"/>
      <w:bookmarkStart w:id="101" w:name="_Toc150774725"/>
      <w:bookmarkStart w:id="102" w:name="_Toc164608789"/>
      <w:bookmarkStart w:id="103" w:name="_Toc305158788"/>
      <w:bookmarkStart w:id="104" w:name="_Toc151193908"/>
      <w:bookmarkStart w:id="105" w:name="_Toc150480758"/>
      <w:bookmarkStart w:id="106" w:name="_Toc195842885"/>
      <w:bookmarkStart w:id="107" w:name="_Toc149720813"/>
      <w:bookmarkStart w:id="108" w:name="_Toc226965793"/>
      <w:bookmarkStart w:id="109" w:name="_Toc151193762"/>
      <w:bookmarkStart w:id="110" w:name="_Toc164351614"/>
      <w:bookmarkStart w:id="111" w:name="_Toc127151520"/>
      <w:bookmarkStart w:id="112" w:name="_Toc265228358"/>
      <w:bookmarkStart w:id="113" w:name="_Toc150774620"/>
      <w:bookmarkStart w:id="114" w:name="_Toc164229361"/>
      <w:bookmarkStart w:id="115" w:name="_Toc164229215"/>
      <w:bookmarkStart w:id="116" w:name="_Toc226965710"/>
      <w:bookmarkStart w:id="117" w:name="_Toc151190147"/>
      <w:bookmarkStart w:id="118" w:name="_Toc151193834"/>
      <w:bookmarkStart w:id="119" w:name="_Toc226337216"/>
      <w:bookmarkStart w:id="120" w:name="_Toc127151721"/>
      <w:bookmarkStart w:id="121" w:name="_Toc305158862"/>
      <w:bookmarkStart w:id="122" w:name="_Toc142311022"/>
      <w:bookmarkStart w:id="123" w:name="_Toc226309764"/>
      <w:bookmarkStart w:id="124" w:name="_Toc264969210"/>
      <w:bookmarkStart w:id="125" w:name="_Toc164608634"/>
      <w:r>
        <w:rPr>
          <w:rFonts w:eastAsiaTheme="minorEastAsia"/>
          <w:color w:val="000000" w:themeColor="text1"/>
          <w:sz w:val="24"/>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color w:val="000000" w:themeColor="text1"/>
          <w:sz w:val="24"/>
          <w14:textFill>
            <w14:solidFill>
              <w14:schemeClr w14:val="tx1"/>
            </w14:solidFill>
          </w14:textFill>
        </w:rPr>
        <w:t>、项目属性、科研仪器设备采购</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项目属性见《供应商须知资料表》。</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是否属于科研仪器设备采购见《供应商须知资料表》。</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现场考察、磋商前答疑会</w:t>
      </w:r>
    </w:p>
    <w:p>
      <w:pPr>
        <w:numPr>
          <w:ilvl w:val="1"/>
          <w:numId w:val="9"/>
        </w:numPr>
        <w:tabs>
          <w:tab w:val="left" w:pos="1080"/>
          <w:tab w:val="left" w:pos="2014"/>
        </w:tabs>
        <w:snapToGrid w:val="0"/>
        <w:spacing w:line="360" w:lineRule="auto"/>
        <w:ind w:left="1080" w:hanging="720"/>
        <w:rPr>
          <w:rFonts w:eastAsiaTheme="minorEastAsia"/>
          <w:color w:val="000000" w:themeColor="text1"/>
          <w:sz w:val="28"/>
          <w14:textFill>
            <w14:solidFill>
              <w14:schemeClr w14:val="tx1"/>
            </w14:solidFill>
          </w14:textFill>
        </w:rPr>
      </w:pPr>
      <w:r>
        <w:rPr>
          <w:rFonts w:eastAsiaTheme="minorEastAsia"/>
          <w:color w:val="000000" w:themeColor="text1"/>
          <w:sz w:val="24"/>
          <w14:textFill>
            <w14:solidFill>
              <w14:schemeClr w14:val="tx1"/>
            </w14:solidFill>
          </w14:textFill>
        </w:rPr>
        <w:t>若《供应商须知资料表》中规定了组织现场考察、召开磋商前答疑会，则供应商应按要求在规定的时间和地点参加。</w:t>
      </w:r>
      <w:bookmarkStart w:id="126" w:name="_Toc226965712"/>
      <w:bookmarkStart w:id="127" w:name="_Toc520356146"/>
      <w:bookmarkStart w:id="128" w:name="_Toc150774622"/>
      <w:bookmarkStart w:id="129" w:name="_Toc151193620"/>
      <w:bookmarkStart w:id="130" w:name="_Toc195842887"/>
      <w:bookmarkStart w:id="131" w:name="_Toc150480760"/>
      <w:bookmarkStart w:id="132" w:name="_Toc265228360"/>
      <w:bookmarkStart w:id="133" w:name="_Toc142311024"/>
      <w:bookmarkStart w:id="134" w:name="_Toc305158790"/>
      <w:bookmarkStart w:id="135" w:name="_Toc264969212"/>
      <w:bookmarkStart w:id="136" w:name="_Toc226337218"/>
      <w:bookmarkStart w:id="137" w:name="_Toc150774727"/>
      <w:bookmarkStart w:id="138" w:name="_Toc151193692"/>
      <w:bookmarkStart w:id="139" w:name="_Toc305158864"/>
      <w:bookmarkStart w:id="140" w:name="_Toc151193836"/>
      <w:bookmarkStart w:id="141" w:name="_Toc151193910"/>
      <w:bookmarkStart w:id="142" w:name="_Toc151193764"/>
      <w:bookmarkStart w:id="143" w:name="_Toc151190149"/>
      <w:bookmarkStart w:id="144" w:name="_Toc127151522"/>
      <w:bookmarkStart w:id="145" w:name="_Toc150509273"/>
      <w:bookmarkStart w:id="146" w:name="_Toc226965795"/>
      <w:bookmarkStart w:id="147" w:name="_Toc226309766"/>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pPr>
        <w:numPr>
          <w:ilvl w:val="0"/>
          <w:numId w:val="9"/>
        </w:numPr>
        <w:tabs>
          <w:tab w:val="left" w:pos="360"/>
          <w:tab w:val="clear" w:pos="90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政府采购政策（包括但不限于下列具体政策要求）</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进口产品</w:t>
      </w:r>
    </w:p>
    <w:p>
      <w:pPr>
        <w:numPr>
          <w:ilvl w:val="2"/>
          <w:numId w:val="9"/>
        </w:numPr>
        <w:tabs>
          <w:tab w:val="left" w:pos="2014"/>
        </w:tabs>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w:t>
      </w:r>
      <w:r>
        <w:rPr>
          <w:rFonts w:hint="eastAsia" w:eastAsiaTheme="minorEastAsia"/>
          <w:color w:val="000000" w:themeColor="text1"/>
          <w:sz w:val="24"/>
          <w14:textFill>
            <w14:solidFill>
              <w14:schemeClr w14:val="tx1"/>
            </w14:solidFill>
          </w14:textFill>
        </w:rPr>
        <w:t>财政部办公厅</w:t>
      </w:r>
      <w:r>
        <w:rPr>
          <w:rFonts w:eastAsiaTheme="minorEastAsia"/>
          <w:color w:val="000000" w:themeColor="text1"/>
          <w:sz w:val="24"/>
          <w14:textFill>
            <w14:solidFill>
              <w14:schemeClr w14:val="tx1"/>
            </w14:solidFill>
          </w14:textFill>
        </w:rPr>
        <w:t>关于政府采购进口产品管理有关问题的通知》（财办库〔2008〕248号文）。</w:t>
      </w:r>
    </w:p>
    <w:p>
      <w:pPr>
        <w:numPr>
          <w:ilvl w:val="2"/>
          <w:numId w:val="9"/>
        </w:numPr>
        <w:tabs>
          <w:tab w:val="left" w:pos="2014"/>
        </w:tabs>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本项目是否接受进口产品见第四章《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中小企业、监狱企业及残疾人福利性单位</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中小企业定义：</w:t>
      </w:r>
    </w:p>
    <w:p>
      <w:pPr>
        <w:pStyle w:val="74"/>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工业和信息化部、国家统计局、国家发展和改革委员会、财政部关于印发中小企业划型标准规定的通知》（工信部联企业〔2011〕300 号）、《国务院关于进一步促进中小企业发展的若干意见》（国发〔2009〕36 号）。</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残疾人福利单位定义：享受政府采购支持政策的残疾人福利性单位应当同时满足以下条件：</w:t>
      </w:r>
    </w:p>
    <w:p>
      <w:pPr>
        <w:pStyle w:val="74"/>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pStyle w:val="74"/>
        <w:numPr>
          <w:ilvl w:val="2"/>
          <w:numId w:val="10"/>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本项目是否专门面向中小企业预留采购份额见第一章《采购邀请》。</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采购标的对应的中小企业划分标准所属行业见《供应商须知资料表》。</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小微企业价格评审优惠的政策调整：见第三章《评审方法和评审标准》。</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政府采购节能产品、环境标志产品</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w:t>
      </w:r>
      <w:r>
        <w:rPr>
          <w:rFonts w:hint="eastAsia" w:eastAsiaTheme="minorEastAsia"/>
          <w:color w:val="000000" w:themeColor="text1"/>
          <w:sz w:val="24"/>
          <w14:textFill>
            <w14:solidFill>
              <w14:schemeClr w14:val="tx1"/>
            </w14:solidFill>
          </w14:textFill>
        </w:rPr>
        <w:t>财政部、发展改革委、生态环境部、市场监管总局</w:t>
      </w:r>
      <w:r>
        <w:rPr>
          <w:rFonts w:eastAsiaTheme="minorEastAsia"/>
          <w:color w:val="000000" w:themeColor="text1"/>
          <w:sz w:val="24"/>
          <w14:textFill>
            <w14:solidFill>
              <w14:schemeClr w14:val="tx1"/>
            </w14:solidFill>
          </w14:textFill>
        </w:rPr>
        <w:t xml:space="preserve">关于调整优化节能产品、环境标志产品政府采购执行机制的通知》（财库〔2019〕9号）。 </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支持乡村产业振兴管理</w:t>
      </w:r>
    </w:p>
    <w:p>
      <w:pPr>
        <w:numPr>
          <w:ilvl w:val="2"/>
          <w:numId w:val="9"/>
        </w:numPr>
        <w:tabs>
          <w:tab w:val="left" w:pos="2014"/>
        </w:tabs>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为落实《</w:t>
      </w:r>
      <w:r>
        <w:rPr>
          <w:rFonts w:hint="eastAsia" w:eastAsiaTheme="minorEastAsia"/>
          <w:color w:val="000000" w:themeColor="text1"/>
          <w:sz w:val="24"/>
          <w14:textFill>
            <w14:solidFill>
              <w14:schemeClr w14:val="tx1"/>
            </w14:solidFill>
          </w14:textFill>
        </w:rPr>
        <w:t>财政部、农业农村部、国家乡村振兴局</w:t>
      </w:r>
      <w:r>
        <w:rPr>
          <w:rFonts w:eastAsiaTheme="minorEastAsia"/>
          <w:color w:val="000000" w:themeColor="text1"/>
          <w:sz w:val="24"/>
          <w14:textFill>
            <w14:solidFill>
              <w14:schemeClr w14:val="tx1"/>
            </w14:solidFill>
          </w14:textFill>
        </w:rPr>
        <w:t>关于运用政府采购政策支持乡村产业振兴的通知》（财库〔2021〕19号）有关要求，做好支持脱贫攻坚工作，本项目采购活动中对于支持乡村振兴管理的相关要求见第四章《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需求》（如涉及）。</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正版软件</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信息安全产品</w:t>
      </w:r>
    </w:p>
    <w:p>
      <w:pPr>
        <w:numPr>
          <w:ilvl w:val="2"/>
          <w:numId w:val="9"/>
        </w:numPr>
        <w:tabs>
          <w:tab w:val="left" w:pos="2014"/>
        </w:tabs>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所投产品属于《关于调整信息安全产品强制性认证实施要求的公告》（2009 年第33 号）范围的，采购经国家认证的信息安全产品，</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。关于信息安全相关规定依据《</w:t>
      </w:r>
      <w:r>
        <w:rPr>
          <w:rFonts w:hint="eastAsia" w:eastAsiaTheme="minorEastAsia"/>
          <w:color w:val="000000" w:themeColor="text1"/>
          <w:sz w:val="24"/>
          <w14:textFill>
            <w14:solidFill>
              <w14:schemeClr w14:val="tx1"/>
            </w14:solidFill>
          </w14:textFill>
        </w:rPr>
        <w:t>财政部、工业和信息化部、质检总局、认监委</w:t>
      </w:r>
      <w:r>
        <w:rPr>
          <w:rFonts w:eastAsiaTheme="minorEastAsia"/>
          <w:color w:val="000000" w:themeColor="text1"/>
          <w:sz w:val="24"/>
          <w14:textFill>
            <w14:solidFill>
              <w14:schemeClr w14:val="tx1"/>
            </w14:solidFill>
          </w14:textFill>
        </w:rPr>
        <w:t>关于信息安全产品实施政府采购的通知》（财库〔2010〕48 号）。</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推广使用低挥发性有机化合物（VOCs）</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r>
        <w:rPr>
          <w:rFonts w:eastAsiaTheme="minorEastAsia"/>
          <w:color w:val="000000" w:themeColor="text1"/>
          <w:kern w:val="0"/>
          <w:sz w:val="24"/>
          <w14:textFill>
            <w14:solidFill>
              <w14:schemeClr w14:val="tx1"/>
            </w14:solidFill>
          </w14:textFill>
        </w:rPr>
        <w:t>否则</w:t>
      </w:r>
      <w:r>
        <w:rPr>
          <w:rFonts w:eastAsiaTheme="minorEastAsia"/>
          <w:b/>
          <w:color w:val="000000" w:themeColor="text1"/>
          <w:kern w:val="0"/>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；属于推荐性标准的，优先采购，具体见第三章《评审方法和评审标准》。</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响应费用</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color w:val="000000" w:themeColor="text1"/>
          <w:sz w:val="28"/>
          <w14:textFill>
            <w14:solidFill>
              <w14:schemeClr w14:val="tx1"/>
            </w14:solidFill>
          </w14:textFill>
        </w:rPr>
      </w:pPr>
      <w:bookmarkStart w:id="148" w:name="_1.8_计量单位"/>
      <w:bookmarkEnd w:id="148"/>
    </w:p>
    <w:p>
      <w:pPr>
        <w:pStyle w:val="3"/>
        <w:spacing w:before="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149" w:name="_Toc151193765"/>
      <w:bookmarkStart w:id="150" w:name="_Toc164229218"/>
      <w:bookmarkStart w:id="151" w:name="_Toc305158791"/>
      <w:bookmarkStart w:id="152" w:name="_Toc151193693"/>
      <w:bookmarkStart w:id="153" w:name="_Toc150774623"/>
      <w:bookmarkStart w:id="154" w:name="_Toc151190150"/>
      <w:bookmarkStart w:id="155" w:name="_Toc164351617"/>
      <w:bookmarkStart w:id="156" w:name="_Toc164608637"/>
      <w:bookmarkStart w:id="157" w:name="_Toc164229364"/>
      <w:bookmarkStart w:id="158" w:name="_Toc226965713"/>
      <w:bookmarkStart w:id="159" w:name="_Toc226309767"/>
      <w:bookmarkStart w:id="160" w:name="_Toc150509274"/>
      <w:bookmarkStart w:id="161" w:name="_Toc127151724"/>
      <w:bookmarkStart w:id="162" w:name="_Toc127161437"/>
      <w:bookmarkStart w:id="163" w:name="_Toc226965796"/>
      <w:bookmarkStart w:id="164" w:name="_Toc305158865"/>
      <w:bookmarkStart w:id="165" w:name="_Toc226337219"/>
      <w:bookmarkStart w:id="166" w:name="_Toc195842888"/>
      <w:bookmarkStart w:id="167" w:name="_Toc142311025"/>
      <w:bookmarkStart w:id="168" w:name="_Toc151193911"/>
      <w:bookmarkStart w:id="169" w:name="_Toc151193837"/>
      <w:bookmarkStart w:id="170" w:name="_Toc150480761"/>
      <w:bookmarkStart w:id="171" w:name="_Toc520356147"/>
      <w:bookmarkStart w:id="172" w:name="_Toc265228361"/>
      <w:bookmarkStart w:id="173" w:name="_Toc164608792"/>
      <w:bookmarkStart w:id="174" w:name="_Toc127151523"/>
      <w:bookmarkStart w:id="175" w:name="_Toc149720816"/>
      <w:bookmarkStart w:id="176" w:name="_Toc151193621"/>
      <w:bookmarkStart w:id="177" w:name="_Toc264969213"/>
      <w:bookmarkStart w:id="178" w:name="_Toc150774728"/>
      <w:r>
        <w:rPr>
          <w:rFonts w:eastAsiaTheme="minorEastAsia"/>
          <w:color w:val="000000" w:themeColor="text1"/>
          <w:sz w:val="24"/>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color w:val="000000" w:themeColor="text1"/>
          <w:sz w:val="24"/>
          <w14:textFill>
            <w14:solidFill>
              <w14:schemeClr w14:val="tx1"/>
            </w14:solidFill>
          </w14:textFill>
        </w:rPr>
        <w:t>成</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竞争性磋商文件包括以下部分：</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采购邀请</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供应商须知</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工程量清单</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合同草案条款</w:t>
      </w:r>
    </w:p>
    <w:p>
      <w:pPr>
        <w:numPr>
          <w:ilvl w:val="0"/>
          <w:numId w:val="11"/>
        </w:numPr>
        <w:tabs>
          <w:tab w:val="left" w:pos="1980"/>
          <w:tab w:val="left" w:pos="2520"/>
        </w:tabs>
        <w:snapToGrid w:val="0"/>
        <w:spacing w:line="360" w:lineRule="auto"/>
        <w:ind w:left="1440" w:firstLine="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响应文件格式</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9"/>
        </w:numPr>
        <w:tabs>
          <w:tab w:val="left" w:pos="1080"/>
          <w:tab w:val="left" w:pos="2014"/>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对竞争性磋商文件的澄清或修改</w:t>
      </w:r>
    </w:p>
    <w:p>
      <w:pPr>
        <w:numPr>
          <w:ilvl w:val="1"/>
          <w:numId w:val="9"/>
        </w:numPr>
        <w:tabs>
          <w:tab w:val="left" w:pos="1080"/>
          <w:tab w:val="left" w:pos="1561"/>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采购人或采购代理机构对已发出的竞争性磋商文件进行必要澄清或者修改的，</w:t>
      </w:r>
      <w:r>
        <w:rPr>
          <w:rFonts w:hint="eastAsia" w:eastAsiaTheme="minorEastAsia"/>
          <w:color w:val="000000" w:themeColor="text1"/>
          <w:sz w:val="24"/>
          <w14:textFill>
            <w14:solidFill>
              <w14:schemeClr w14:val="tx1"/>
            </w14:solidFill>
          </w14:textFill>
        </w:rPr>
        <w:t>将</w:t>
      </w:r>
      <w:r>
        <w:rPr>
          <w:rFonts w:eastAsiaTheme="minorEastAsia"/>
          <w:color w:val="000000" w:themeColor="text1"/>
          <w:sz w:val="24"/>
          <w14:textFill>
            <w14:solidFill>
              <w14:schemeClr w14:val="tx1"/>
            </w14:solidFill>
          </w14:textFill>
        </w:rPr>
        <w:t>以书面形式通知所有获取竞争性磋商文件的潜在供应商。</w:t>
      </w:r>
      <w:r>
        <w:rPr>
          <w:rFonts w:hint="eastAsia" w:eastAsiaTheme="minorEastAsia"/>
          <w:color w:val="000000" w:themeColor="text1"/>
          <w:sz w:val="24"/>
          <w14:textFill>
            <w14:solidFill>
              <w14:schemeClr w14:val="tx1"/>
            </w14:solidFill>
          </w14:textFill>
        </w:rPr>
        <w:t>采用公告方式邀请供应商参与的，还将</w:t>
      </w:r>
      <w:r>
        <w:rPr>
          <w:rFonts w:eastAsiaTheme="minorEastAsia"/>
          <w:color w:val="000000" w:themeColor="text1"/>
          <w:sz w:val="24"/>
          <w14:textFill>
            <w14:solidFill>
              <w14:schemeClr w14:val="tx1"/>
            </w14:solidFill>
          </w14:textFill>
        </w:rPr>
        <w:t>在原公告发布媒体上发布更正公告</w:t>
      </w:r>
      <w:r>
        <w:rPr>
          <w:rFonts w:hint="eastAsia" w:eastAsiaTheme="minorEastAsia"/>
          <w:color w:val="000000" w:themeColor="text1"/>
          <w:sz w:val="24"/>
          <w14:textFill>
            <w14:solidFill>
              <w14:schemeClr w14:val="tx1"/>
            </w14:solidFill>
          </w14:textFill>
        </w:rPr>
        <w:t>。</w:t>
      </w:r>
    </w:p>
    <w:p>
      <w:pPr>
        <w:numPr>
          <w:ilvl w:val="1"/>
          <w:numId w:val="9"/>
        </w:numPr>
        <w:tabs>
          <w:tab w:val="left" w:pos="1080"/>
          <w:tab w:val="left" w:pos="1561"/>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上述书面通知，按照获取竞争性磋商文件的潜在供应商提供的联系方式发出，因提供的信息有误导致通知延迟或无法通知的，采购人或采购代理机构不承担责任。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rFonts w:eastAsiaTheme="minorEastAsia"/>
          <w:color w:val="000000" w:themeColor="text1"/>
          <w:sz w:val="28"/>
          <w14:textFill>
            <w14:solidFill>
              <w14:schemeClr w14:val="tx1"/>
            </w14:solidFill>
          </w14:textFill>
        </w:rPr>
      </w:pPr>
      <w:r>
        <w:rPr>
          <w:rFonts w:eastAsiaTheme="minorEastAsia"/>
          <w:color w:val="000000" w:themeColor="text1"/>
          <w:sz w:val="24"/>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eastAsiaTheme="minorEastAsia"/>
          <w:color w:val="000000" w:themeColor="text1"/>
          <w:sz w:val="24"/>
          <w14:textFill>
            <w14:solidFill>
              <w14:schemeClr w14:val="tx1"/>
            </w14:solidFill>
          </w14:textFill>
        </w:rPr>
        <w:t>5</w:t>
      </w:r>
      <w:r>
        <w:rPr>
          <w:rFonts w:eastAsiaTheme="minorEastAsia"/>
          <w:color w:val="000000" w:themeColor="text1"/>
          <w:sz w:val="24"/>
          <w14:textFill>
            <w14:solidFill>
              <w14:schemeClr w14:val="tx1"/>
            </w14:solidFill>
          </w14:textFill>
        </w:rPr>
        <w:t>日前以书面形式通知所有获取竞争性磋商文件的供应商；不足上述时间的，将顺延提交响应文件的截止时间。</w:t>
      </w:r>
      <w:bookmarkStart w:id="179" w:name="_Toc516367020"/>
      <w:bookmarkStart w:id="180" w:name="_Toc264969216"/>
      <w:bookmarkStart w:id="181" w:name="_Toc226965716"/>
      <w:bookmarkStart w:id="182" w:name="_Toc150480764"/>
      <w:bookmarkStart w:id="183" w:name="_Toc151193696"/>
      <w:bookmarkStart w:id="184" w:name="_Toc150774626"/>
      <w:bookmarkStart w:id="185" w:name="_Toc151190153"/>
      <w:bookmarkStart w:id="186" w:name="_Toc305158794"/>
      <w:bookmarkStart w:id="187" w:name="_Toc151193840"/>
      <w:bookmarkStart w:id="188" w:name="_Toc151193914"/>
      <w:bookmarkStart w:id="189" w:name="_Toc226965799"/>
      <w:bookmarkStart w:id="190" w:name="_Toc265228364"/>
      <w:bookmarkStart w:id="191" w:name="_Toc520356150"/>
      <w:bookmarkStart w:id="192" w:name="_Toc127151526"/>
      <w:bookmarkStart w:id="193" w:name="_Toc305158868"/>
      <w:bookmarkStart w:id="194" w:name="_Toc150774731"/>
      <w:bookmarkStart w:id="195" w:name="_Toc151193624"/>
      <w:bookmarkStart w:id="196" w:name="_Toc226309770"/>
      <w:bookmarkStart w:id="197" w:name="_Toc151193768"/>
      <w:bookmarkStart w:id="198" w:name="_Toc150509277"/>
      <w:bookmarkStart w:id="199" w:name="_Toc226337222"/>
      <w:bookmarkStart w:id="200" w:name="_Toc142311028"/>
      <w:bookmarkStart w:id="201" w:name="_Toc195842891"/>
    </w:p>
    <w:p>
      <w:pPr>
        <w:pStyle w:val="3"/>
        <w:spacing w:before="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三   响应文件</w:t>
      </w:r>
      <w:bookmarkEnd w:id="179"/>
      <w:r>
        <w:rPr>
          <w:rFonts w:ascii="Times New Roman" w:hAnsi="Times New Roman" w:eastAsiaTheme="minorEastAsia"/>
          <w:color w:val="000000" w:themeColor="text1"/>
          <w:sz w:val="28"/>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202" w:name="_Toc150774732"/>
      <w:bookmarkStart w:id="203" w:name="_Toc226965717"/>
      <w:bookmarkStart w:id="204" w:name="_Toc149720820"/>
      <w:bookmarkStart w:id="205" w:name="_Toc164229222"/>
      <w:bookmarkStart w:id="206" w:name="_Toc226309771"/>
      <w:bookmarkStart w:id="207" w:name="_Toc226337223"/>
      <w:bookmarkStart w:id="208" w:name="_Toc226965800"/>
      <w:bookmarkStart w:id="209" w:name="_Toc151193625"/>
      <w:bookmarkStart w:id="210" w:name="_Toc305158869"/>
      <w:bookmarkStart w:id="211" w:name="_Toc151193915"/>
      <w:bookmarkStart w:id="212" w:name="_Toc305158795"/>
      <w:bookmarkStart w:id="213" w:name="_Toc164608641"/>
      <w:bookmarkStart w:id="214" w:name="_Toc151193769"/>
      <w:bookmarkStart w:id="215" w:name="_Toc520356151"/>
      <w:bookmarkStart w:id="216" w:name="_Toc164608796"/>
      <w:bookmarkStart w:id="217" w:name="_Toc142311029"/>
      <w:bookmarkStart w:id="218" w:name="_Toc127161441"/>
      <w:bookmarkStart w:id="219" w:name="_Toc151190154"/>
      <w:bookmarkStart w:id="220" w:name="_Toc150774627"/>
      <w:bookmarkStart w:id="221" w:name="_Toc127151728"/>
      <w:bookmarkStart w:id="222" w:name="_Toc264969217"/>
      <w:bookmarkStart w:id="223" w:name="_Toc151193697"/>
      <w:bookmarkStart w:id="224" w:name="_Toc516367021"/>
      <w:bookmarkStart w:id="225" w:name="_Toc164229368"/>
      <w:bookmarkStart w:id="226" w:name="_Toc127151527"/>
      <w:bookmarkStart w:id="227" w:name="_Toc150480765"/>
      <w:bookmarkStart w:id="228" w:name="_Toc195842892"/>
      <w:bookmarkStart w:id="229" w:name="_Toc151193841"/>
      <w:bookmarkStart w:id="230" w:name="_Toc150509278"/>
      <w:bookmarkStart w:id="231" w:name="_Toc164351621"/>
      <w:bookmarkStart w:id="232" w:name="_Toc265228365"/>
      <w:r>
        <w:rPr>
          <w:rFonts w:eastAsiaTheme="minorEastAsia"/>
          <w:color w:val="000000" w:themeColor="text1"/>
          <w:sz w:val="24"/>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color w:val="000000" w:themeColor="text1"/>
          <w:sz w:val="24"/>
          <w14:textFill>
            <w14:solidFill>
              <w14:schemeClr w14:val="tx1"/>
            </w14:solidFill>
          </w14:textFill>
        </w:rPr>
        <w:t>及磋商语言</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本项目如划分采购包，供应商可以对本项目的其中一个采购包进行响应，也可同时对多个采购包进行响应。供应商应当对所报采购包对应第四章《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需求》所列的全部内容进行响应，不得将一个采购包中的内容拆开响应，否则其对该采购包</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除竞争性磋商文件有特殊要求外，本项目磋商所使用的计量单位，应采用中华人民共和国法定计量单位。</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233" w:name="_Ref467306195"/>
      <w:bookmarkStart w:id="234" w:name="_Ref467306676"/>
      <w:bookmarkStart w:id="235" w:name="_Toc516367022"/>
      <w:bookmarkStart w:id="236" w:name="_Toc164229223"/>
      <w:bookmarkStart w:id="237" w:name="_Toc151193916"/>
      <w:bookmarkStart w:id="238" w:name="_Toc305158796"/>
      <w:bookmarkStart w:id="239" w:name="_Toc127161442"/>
      <w:bookmarkStart w:id="240" w:name="_Toc164608797"/>
      <w:bookmarkStart w:id="241" w:name="_Toc305158870"/>
      <w:bookmarkStart w:id="242" w:name="_Toc151193626"/>
      <w:bookmarkStart w:id="243" w:name="_Toc195842893"/>
      <w:bookmarkStart w:id="244" w:name="_Toc150509279"/>
      <w:bookmarkStart w:id="245" w:name="_Toc520356152"/>
      <w:bookmarkStart w:id="246" w:name="_Toc150480766"/>
      <w:bookmarkStart w:id="247" w:name="_Toc265228366"/>
      <w:bookmarkStart w:id="248" w:name="_Toc226337224"/>
      <w:bookmarkStart w:id="249" w:name="_Toc151193698"/>
      <w:bookmarkStart w:id="250" w:name="_Toc264969218"/>
      <w:bookmarkStart w:id="251" w:name="_Toc151193770"/>
      <w:bookmarkStart w:id="252" w:name="_Toc164608642"/>
      <w:bookmarkStart w:id="253" w:name="_Toc151190155"/>
      <w:bookmarkStart w:id="254" w:name="_Toc226309772"/>
      <w:bookmarkStart w:id="255" w:name="_Toc127151729"/>
      <w:bookmarkStart w:id="256" w:name="_Toc226965801"/>
      <w:bookmarkStart w:id="257" w:name="_Toc150774733"/>
      <w:bookmarkStart w:id="258" w:name="_Toc164351622"/>
      <w:bookmarkStart w:id="259" w:name="_Toc149720821"/>
      <w:bookmarkStart w:id="260" w:name="_Toc151193842"/>
      <w:bookmarkStart w:id="261" w:name="_Toc226965718"/>
      <w:bookmarkStart w:id="262" w:name="_Toc164229369"/>
      <w:bookmarkStart w:id="263" w:name="_Toc150774628"/>
      <w:bookmarkStart w:id="264" w:name="_Toc127151528"/>
      <w:bookmarkStart w:id="265" w:name="_Toc142311030"/>
      <w:r>
        <w:rPr>
          <w:rFonts w:eastAsiaTheme="minorEastAsia"/>
          <w:color w:val="000000" w:themeColor="text1"/>
          <w:sz w:val="24"/>
          <w14:textFill>
            <w14:solidFill>
              <w14:schemeClr w14:val="tx1"/>
            </w14:solidFill>
          </w14:textFill>
        </w:rPr>
        <w:t>响应文件</w:t>
      </w:r>
      <w:bookmarkEnd w:id="233"/>
      <w:bookmarkEnd w:id="234"/>
      <w:bookmarkEnd w:id="235"/>
      <w:r>
        <w:rPr>
          <w:rFonts w:eastAsiaTheme="minorEastAsia"/>
          <w:color w:val="000000" w:themeColor="text1"/>
          <w:sz w:val="24"/>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bookmarkStart w:id="266" w:name="_Ref467052588"/>
      <w:r>
        <w:rPr>
          <w:rFonts w:eastAsiaTheme="minorEastAsia"/>
          <w:color w:val="000000" w:themeColor="text1"/>
          <w:sz w:val="24"/>
          <w14:textFill>
            <w14:solidFill>
              <w14:schemeClr w14:val="tx1"/>
            </w14:solidFill>
          </w14:textFill>
        </w:rPr>
        <w:t>供应商应当按照竞争性磋商文件的要求编制响应文件，</w:t>
      </w:r>
      <w:r>
        <w:rPr>
          <w:rFonts w:eastAsiaTheme="minorEastAsia"/>
          <w:color w:val="000000" w:themeColor="text1"/>
          <w:kern w:val="0"/>
          <w:sz w:val="24"/>
          <w14:textFill>
            <w14:solidFill>
              <w14:schemeClr w14:val="tx1"/>
            </w14:solidFill>
          </w14:textFill>
        </w:rPr>
        <w:t>并对其提交的响应文件的真实性、合法性承担法律责任</w:t>
      </w:r>
      <w:r>
        <w:rPr>
          <w:rFonts w:eastAsiaTheme="minorEastAsia"/>
          <w:color w:val="000000" w:themeColor="text1"/>
          <w:sz w:val="24"/>
          <w14:textFill>
            <w14:solidFill>
              <w14:schemeClr w14:val="tx1"/>
            </w14:solidFill>
          </w14:textFill>
        </w:rPr>
        <w:t>。响应文件的部分格式要求，见第</w:t>
      </w:r>
      <w:r>
        <w:rPr>
          <w:rFonts w:hint="eastAsia" w:eastAsiaTheme="minorEastAsia"/>
          <w:color w:val="000000" w:themeColor="text1"/>
          <w:sz w:val="24"/>
          <w14:textFill>
            <w14:solidFill>
              <w14:schemeClr w14:val="tx1"/>
            </w14:solidFill>
          </w14:textFill>
        </w:rPr>
        <w:t>七</w:t>
      </w:r>
      <w:r>
        <w:rPr>
          <w:rFonts w:eastAsiaTheme="minorEastAsia"/>
          <w:color w:val="000000" w:themeColor="text1"/>
          <w:sz w:val="24"/>
          <w14:textFill>
            <w14:solidFill>
              <w14:schemeClr w14:val="tx1"/>
            </w14:solidFill>
          </w14:textFill>
        </w:rPr>
        <w:t>章《响应文件格式》。</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14:textFill>
            <w14:solidFill>
              <w14:schemeClr w14:val="tx1"/>
            </w14:solidFill>
          </w14:textFill>
        </w:rPr>
        <w:t>对于竞争性磋商文件中标记了“实质性格式”文件的，</w:t>
      </w:r>
      <w:r>
        <w:rPr>
          <w:rFonts w:eastAsiaTheme="minorEastAsia"/>
          <w:color w:val="000000" w:themeColor="text1"/>
          <w:sz w:val="24"/>
          <w14:textFill>
            <w14:solidFill>
              <w14:schemeClr w14:val="tx1"/>
            </w14:solidFill>
          </w14:textFill>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 w:val="24"/>
          <w14:textFill>
            <w14:solidFill>
              <w14:schemeClr w14:val="tx1"/>
            </w14:solidFill>
          </w14:textFill>
        </w:rPr>
        <w:t>否则响应无效</w:t>
      </w:r>
      <w:r>
        <w:rPr>
          <w:rFonts w:eastAsiaTheme="minorEastAsia"/>
          <w:color w:val="000000" w:themeColor="text1"/>
          <w:kern w:val="0"/>
          <w:sz w:val="24"/>
          <w14:textFill>
            <w14:solidFill>
              <w14:schemeClr w14:val="tx1"/>
            </w14:solidFill>
          </w14:textFill>
        </w:rPr>
        <w:t>。未标记“实质性格式”的文件和竞争性磋商文件未提供格式的内容，可由供应商自行编写。</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第三章《评审方法和评审标准》中涉及的证明文件。</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对照第四章《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需求》，说明所提供</w:t>
      </w:r>
      <w:r>
        <w:rPr>
          <w:rFonts w:hint="eastAsia" w:eastAsiaTheme="minorEastAsia"/>
          <w:color w:val="000000" w:themeColor="text1"/>
          <w:sz w:val="24"/>
          <w14:textFill>
            <w14:solidFill>
              <w14:schemeClr w14:val="tx1"/>
            </w14:solidFill>
          </w14:textFill>
        </w:rPr>
        <w:t>的工程（含材料、设备、工期等）</w:t>
      </w:r>
      <w:r>
        <w:rPr>
          <w:rFonts w:eastAsiaTheme="minorEastAsia"/>
          <w:color w:val="000000" w:themeColor="text1"/>
          <w:sz w:val="24"/>
          <w14:textFill>
            <w14:solidFill>
              <w14:schemeClr w14:val="tx1"/>
            </w14:solidFill>
          </w14:textFill>
        </w:rPr>
        <w:t>已对第四章《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需求》做出了响应，或申明与第四章《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需求》的偏差和例外。如第四章《</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需求》中要求提供证明文件的，供应商应当按具体要求提供证明文件。</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供应商认为应附的其他材料。</w:t>
      </w:r>
      <w:bookmarkEnd w:id="266"/>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267" w:name="_Toc151193700"/>
      <w:bookmarkStart w:id="268" w:name="_Toc151193918"/>
      <w:bookmarkStart w:id="269" w:name="_Toc150509281"/>
      <w:bookmarkStart w:id="270" w:name="_Toc151190157"/>
      <w:bookmarkStart w:id="271" w:name="_Toc127151731"/>
      <w:bookmarkStart w:id="272" w:name="_Toc149720823"/>
      <w:bookmarkStart w:id="273" w:name="_Toc164608799"/>
      <w:bookmarkStart w:id="274" w:name="_Toc151193772"/>
      <w:bookmarkStart w:id="275" w:name="_Toc150774630"/>
      <w:bookmarkStart w:id="276" w:name="_Toc520356155"/>
      <w:bookmarkStart w:id="277" w:name="_Toc127161444"/>
      <w:bookmarkStart w:id="278" w:name="_Toc127151530"/>
      <w:bookmarkStart w:id="279" w:name="_Toc151193844"/>
      <w:bookmarkStart w:id="280" w:name="_Toc142311032"/>
      <w:bookmarkStart w:id="281" w:name="_Toc164229225"/>
      <w:bookmarkStart w:id="282" w:name="_Toc164608644"/>
      <w:bookmarkStart w:id="283" w:name="_Toc164229371"/>
      <w:bookmarkStart w:id="284" w:name="_Toc195842895"/>
      <w:bookmarkStart w:id="285" w:name="_Toc151193628"/>
      <w:bookmarkStart w:id="286" w:name="_Toc150774735"/>
      <w:bookmarkStart w:id="287" w:name="_Toc150480768"/>
      <w:bookmarkStart w:id="288" w:name="_Toc164351624"/>
      <w:r>
        <w:rPr>
          <w:rFonts w:eastAsiaTheme="minorEastAsia"/>
          <w:color w:val="000000" w:themeColor="text1"/>
          <w:sz w:val="24"/>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所有响应均以人民币报价。</w:t>
      </w:r>
    </w:p>
    <w:p>
      <w:pPr>
        <w:numPr>
          <w:ilvl w:val="1"/>
          <w:numId w:val="9"/>
        </w:numPr>
        <w:tabs>
          <w:tab w:val="left" w:pos="1080"/>
        </w:tabs>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供应商的报价应包括为完成本项目所发生的一切费用和税费，采购人将不再支付报价以外的任何费用。</w:t>
      </w:r>
      <w:r>
        <w:rPr>
          <w:rFonts w:hint="eastAsia" w:eastAsiaTheme="minorEastAsia"/>
          <w:color w:val="000000" w:themeColor="text1"/>
          <w:sz w:val="24"/>
          <w14:textFill>
            <w14:solidFill>
              <w14:schemeClr w14:val="tx1"/>
            </w14:solidFill>
          </w14:textFill>
        </w:rPr>
        <w:t>供应商的报价应包括但不限于下列内容，《供应商须知资料表》中有特殊规定的，从其规定。</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按照竞争性磋商文件要求完成本项</w:t>
      </w:r>
      <w:r>
        <w:rPr>
          <w:rFonts w:hint="eastAsia" w:eastAsiaTheme="minorEastAsia"/>
          <w:color w:val="000000" w:themeColor="text1"/>
          <w:sz w:val="24"/>
          <w14:textFill>
            <w14:solidFill>
              <w14:schemeClr w14:val="tx1"/>
            </w14:solidFill>
          </w14:textFill>
        </w:rPr>
        <w:t>目的全部相关工程或服务费用。</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供应商不能提供任何有选择性或可调整的最后报价（</w:t>
      </w:r>
      <w:r>
        <w:rPr>
          <w:rFonts w:eastAsiaTheme="minorEastAsia"/>
          <w:color w:val="000000" w:themeColor="text1"/>
          <w:kern w:val="0"/>
          <w:sz w:val="24"/>
          <w14:textFill>
            <w14:solidFill>
              <w14:schemeClr w14:val="tx1"/>
            </w14:solidFill>
          </w14:textFill>
        </w:rPr>
        <w:t>竞争性磋商文件</w:t>
      </w:r>
      <w:r>
        <w:rPr>
          <w:rFonts w:eastAsiaTheme="minorEastAsia"/>
          <w:color w:val="000000" w:themeColor="text1"/>
          <w:sz w:val="24"/>
          <w14:textFill>
            <w14:solidFill>
              <w14:schemeClr w14:val="tx1"/>
            </w14:solidFill>
          </w14:textFill>
        </w:rPr>
        <w:t>另有规定的除外），否则其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bookmarkStart w:id="289" w:name="_Ref467306302"/>
      <w:r>
        <w:rPr>
          <w:rFonts w:eastAsiaTheme="minorEastAsia"/>
          <w:color w:val="000000" w:themeColor="text1"/>
          <w:sz w:val="24"/>
          <w14:textFill>
            <w14:solidFill>
              <w14:schemeClr w14:val="tx1"/>
            </w14:solidFill>
          </w14:textFill>
        </w:rPr>
        <w:t>供应商应按《供应商须知资料表》中规定的金额及要求交纳磋商保证金</w:t>
      </w:r>
      <w:bookmarkEnd w:id="289"/>
      <w:r>
        <w:rPr>
          <w:rFonts w:eastAsiaTheme="minorEastAsia"/>
          <w:color w:val="000000" w:themeColor="text1"/>
          <w:sz w:val="24"/>
          <w14:textFill>
            <w14:solidFill>
              <w14:schemeClr w14:val="tx1"/>
            </w14:solidFill>
          </w14:textFill>
        </w:rPr>
        <w:t>，并作为其响应文件的一部分。</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交纳磋商保证金可采用的形式：政府采购法律法规接受的支票、汇票、本票、网上银行支付或者金融机构、担保机构出具的保函等非现金形式。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磋商保证金到账（保函提交）截止时间同首次响应文件提交截止时间。以支票、汇票、本票、</w:t>
      </w:r>
      <w:r>
        <w:rPr>
          <w:color w:val="000000" w:themeColor="text1"/>
          <w:sz w:val="24"/>
          <w14:textFill>
            <w14:solidFill>
              <w14:schemeClr w14:val="tx1"/>
            </w14:solidFill>
          </w14:textFill>
        </w:rPr>
        <w:t>网上银行支付</w:t>
      </w:r>
      <w:r>
        <w:rPr>
          <w:rFonts w:eastAsiaTheme="minorEastAsia"/>
          <w:color w:val="000000" w:themeColor="text1"/>
          <w:sz w:val="24"/>
          <w14:textFill>
            <w14:solidFill>
              <w14:schemeClr w14:val="tx1"/>
            </w14:solidFill>
          </w14:textFill>
        </w:rPr>
        <w:t>等形式提交磋商保证金的，应在首次响应文件提交截止时间前</w:t>
      </w:r>
      <w:r>
        <w:rPr>
          <w:rFonts w:hint="eastAsia" w:eastAsiaTheme="minorEastAsia"/>
          <w:color w:val="000000" w:themeColor="text1"/>
          <w:sz w:val="24"/>
          <w14:textFill>
            <w14:solidFill>
              <w14:schemeClr w14:val="tx1"/>
            </w14:solidFill>
          </w14:textFill>
        </w:rPr>
        <w:t>到账</w:t>
      </w:r>
      <w:r>
        <w:rPr>
          <w:rFonts w:eastAsiaTheme="minorEastAsia"/>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以</w:t>
      </w:r>
      <w:r>
        <w:rPr>
          <w:color w:val="000000" w:themeColor="text1"/>
          <w:sz w:val="24"/>
          <w14:textFill>
            <w14:solidFill>
              <w14:schemeClr w14:val="tx1"/>
            </w14:solidFill>
          </w14:textFill>
        </w:rPr>
        <w:t>金融机构、担保机构出具的保函等形式提交</w:t>
      </w:r>
      <w:r>
        <w:rPr>
          <w:rFonts w:hint="eastAsia"/>
          <w:color w:val="000000" w:themeColor="text1"/>
          <w:sz w:val="24"/>
          <w14:textFill>
            <w14:solidFill>
              <w14:schemeClr w14:val="tx1"/>
            </w14:solidFill>
          </w14:textFill>
        </w:rPr>
        <w:t>磋商</w:t>
      </w:r>
      <w:r>
        <w:rPr>
          <w:color w:val="000000" w:themeColor="text1"/>
          <w:sz w:val="24"/>
          <w14:textFill>
            <w14:solidFill>
              <w14:schemeClr w14:val="tx1"/>
            </w14:solidFill>
          </w14:textFill>
        </w:rPr>
        <w:t>保证金的，应在</w:t>
      </w:r>
      <w:r>
        <w:rPr>
          <w:rFonts w:eastAsiaTheme="minorEastAsia"/>
          <w:color w:val="000000" w:themeColor="text1"/>
          <w:sz w:val="24"/>
          <w14:textFill>
            <w14:solidFill>
              <w14:schemeClr w14:val="tx1"/>
            </w14:solidFill>
          </w14:textFill>
        </w:rPr>
        <w:t>首次响应文件</w:t>
      </w:r>
      <w:r>
        <w:rPr>
          <w:rFonts w:hint="eastAsia" w:eastAsiaTheme="minorEastAsia"/>
          <w:color w:val="000000" w:themeColor="text1"/>
          <w:sz w:val="24"/>
          <w14:textFill>
            <w14:solidFill>
              <w14:schemeClr w14:val="tx1"/>
            </w14:solidFill>
          </w14:textFill>
        </w:rPr>
        <w:t>提交</w:t>
      </w:r>
      <w:r>
        <w:rPr>
          <w:color w:val="000000" w:themeColor="text1"/>
          <w:sz w:val="24"/>
          <w14:textFill>
            <w14:solidFill>
              <w14:schemeClr w14:val="tx1"/>
            </w14:solidFill>
          </w14:textFill>
        </w:rPr>
        <w:t>截止时间前</w:t>
      </w:r>
      <w:r>
        <w:rPr>
          <w:rFonts w:eastAsiaTheme="minorEastAsia"/>
          <w:color w:val="000000" w:themeColor="text1"/>
          <w:sz w:val="24"/>
          <w14:textFill>
            <w14:solidFill>
              <w14:schemeClr w14:val="tx1"/>
            </w14:solidFill>
          </w14:textFill>
        </w:rPr>
        <w:t>将原件提交至采购代理机构；由于</w:t>
      </w:r>
      <w:r>
        <w:rPr>
          <w:rFonts w:hint="eastAsia"/>
          <w:color w:val="000000" w:themeColor="text1"/>
          <w:sz w:val="24"/>
          <w14:textFill>
            <w14:solidFill>
              <w14:schemeClr w14:val="tx1"/>
            </w14:solidFill>
          </w14:textFill>
        </w:rPr>
        <w:t>到账时间</w:t>
      </w:r>
      <w:r>
        <w:rPr>
          <w:color w:val="000000" w:themeColor="text1"/>
          <w:sz w:val="24"/>
          <w14:textFill>
            <w14:solidFill>
              <w14:schemeClr w14:val="tx1"/>
            </w14:solidFill>
          </w14:textFill>
        </w:rPr>
        <w:t>晚于</w:t>
      </w:r>
      <w:r>
        <w:rPr>
          <w:rFonts w:eastAsiaTheme="minorEastAsia"/>
          <w:color w:val="000000" w:themeColor="text1"/>
          <w:sz w:val="24"/>
          <w14:textFill>
            <w14:solidFill>
              <w14:schemeClr w14:val="tx1"/>
            </w14:solidFill>
          </w14:textFill>
        </w:rPr>
        <w:t>首次响应文件提交</w:t>
      </w:r>
      <w:r>
        <w:rPr>
          <w:color w:val="000000" w:themeColor="text1"/>
          <w:sz w:val="24"/>
          <w14:textFill>
            <w14:solidFill>
              <w14:schemeClr w14:val="tx1"/>
            </w14:solidFill>
          </w14:textFill>
        </w:rPr>
        <w:t>截止时间的，或者</w:t>
      </w:r>
      <w:r>
        <w:rPr>
          <w:rFonts w:eastAsiaTheme="minorEastAsia"/>
          <w:color w:val="000000" w:themeColor="text1"/>
          <w:sz w:val="24"/>
          <w14:textFill>
            <w14:solidFill>
              <w14:schemeClr w14:val="tx1"/>
            </w14:solidFill>
          </w14:textFill>
        </w:rPr>
        <w:t>票据错误、印鉴不清等原因导致不能到账的，其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磋商保证金（保函）有效期同响应有效期。</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供应商为联合体的，可以由联合体中的一方或者多方共同交纳磋商保证金，其交纳的保证金对联合体各方均具有约束力。</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snapToGrid w:val="0"/>
          <w:color w:val="000000" w:themeColor="text1"/>
          <w:kern w:val="0"/>
          <w:sz w:val="24"/>
          <w14:textFill>
            <w14:solidFill>
              <w14:schemeClr w14:val="tx1"/>
            </w14:solidFill>
          </w14:textFill>
        </w:rPr>
        <w:t>已提交响应文件的供应商，在提交最后报价之前，可以根据磋商情况退出磋商。采购人、采购代理机构将退还退出磋商的供应商的磋商保证金</w:t>
      </w:r>
      <w:r>
        <w:rPr>
          <w:rFonts w:hint="eastAsia" w:eastAsiaTheme="minorEastAsia"/>
          <w:snapToGrid w:val="0"/>
          <w:color w:val="000000" w:themeColor="text1"/>
          <w:kern w:val="0"/>
          <w:sz w:val="24"/>
          <w14:textFill>
            <w14:solidFill>
              <w14:schemeClr w14:val="tx1"/>
            </w14:solidFill>
          </w14:textFill>
        </w:rPr>
        <w:t>；</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成交供应商的磋商保证金，在采购合同签订后5个工作日内退还成交供应商；</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未成交供应商的磋商保证金，在成交通知书发出后5个工作日内退还</w:t>
      </w:r>
      <w:r>
        <w:rPr>
          <w:rFonts w:hint="eastAsia" w:eastAsiaTheme="minorEastAsia"/>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有下列情形之一的，采购人或采购代理机构不予退还磋商保证金：</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供应商在提交响应文件截止时间后撤回响应文件的；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供应商在响应文件中提供虚假材料的；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除因不可抗力或磋商文件认可的情形以外，成交供应商不与采购人签订合同的；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供应商与采购人、其他供应商或者采购代理机构恶意串通的；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《供应商须知资料表》规定的其他情形。</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响应有效期</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响应文件应在本竞争性磋商文件《供应商须知资料表》中规定的响应有效期内保持有效，响应有效期少于竞争性磋商文件规定期限的，其</w:t>
      </w:r>
      <w:r>
        <w:rPr>
          <w:rFonts w:eastAsiaTheme="minorEastAsia"/>
          <w:b/>
          <w:color w:val="000000" w:themeColor="text1"/>
          <w:sz w:val="24"/>
          <w14:textFill>
            <w14:solidFill>
              <w14:schemeClr w14:val="tx1"/>
            </w14:solidFill>
          </w14:textFill>
        </w:rPr>
        <w:t>响应无效</w:t>
      </w:r>
      <w:r>
        <w:rPr>
          <w:rFonts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290" w:name="_Toc151193921"/>
      <w:bookmarkStart w:id="291" w:name="_Toc264969223"/>
      <w:bookmarkStart w:id="292" w:name="_Toc164229374"/>
      <w:bookmarkStart w:id="293" w:name="_Toc151190160"/>
      <w:bookmarkStart w:id="294" w:name="_Toc151193847"/>
      <w:bookmarkStart w:id="295" w:name="_Toc195842898"/>
      <w:bookmarkStart w:id="296" w:name="_Toc265228371"/>
      <w:bookmarkStart w:id="297" w:name="_Toc127151533"/>
      <w:bookmarkStart w:id="298" w:name="_Toc127151734"/>
      <w:bookmarkStart w:id="299" w:name="_Toc226309777"/>
      <w:bookmarkStart w:id="300" w:name="_Toc142311035"/>
      <w:bookmarkStart w:id="301" w:name="_Toc151193775"/>
      <w:bookmarkStart w:id="302" w:name="_Toc127161447"/>
      <w:bookmarkStart w:id="303" w:name="_Toc226337229"/>
      <w:bookmarkStart w:id="304" w:name="_Toc164608647"/>
      <w:bookmarkStart w:id="305" w:name="_Toc164608802"/>
      <w:bookmarkStart w:id="306" w:name="_Toc226965723"/>
      <w:bookmarkStart w:id="307" w:name="_Toc164229228"/>
      <w:bookmarkStart w:id="308" w:name="_Toc149720826"/>
      <w:bookmarkStart w:id="309" w:name="_Toc164351627"/>
      <w:bookmarkStart w:id="310" w:name="_Toc150774738"/>
      <w:bookmarkStart w:id="311" w:name="_Toc305158875"/>
      <w:bookmarkStart w:id="312" w:name="_Toc150509284"/>
      <w:bookmarkStart w:id="313" w:name="_Toc150480771"/>
      <w:bookmarkStart w:id="314" w:name="_Toc150774633"/>
      <w:bookmarkStart w:id="315" w:name="_Toc151193703"/>
      <w:bookmarkStart w:id="316" w:name="_Toc151193631"/>
      <w:bookmarkStart w:id="317" w:name="_Toc226965806"/>
      <w:bookmarkStart w:id="318" w:name="_Toc305158801"/>
      <w:bookmarkStart w:id="319" w:name="_Toc520356158"/>
      <w:r>
        <w:rPr>
          <w:rFonts w:eastAsiaTheme="minorEastAsia"/>
          <w:color w:val="000000" w:themeColor="text1"/>
          <w:sz w:val="24"/>
          <w14:textFill>
            <w14:solidFill>
              <w14:schemeClr w14:val="tx1"/>
            </w14:solidFill>
          </w14:textFill>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color w:val="000000" w:themeColor="text1"/>
          <w:sz w:val="24"/>
          <w14:textFill>
            <w14:solidFill>
              <w14:schemeClr w14:val="tx1"/>
            </w14:solidFill>
          </w14:textFill>
        </w:rPr>
        <w:t>、盖章</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bookmarkStart w:id="320" w:name="_Toc151193704"/>
      <w:bookmarkStart w:id="321" w:name="_Toc151193632"/>
      <w:bookmarkStart w:id="322" w:name="_Toc151193922"/>
      <w:bookmarkStart w:id="323" w:name="_Toc226965724"/>
      <w:bookmarkStart w:id="324" w:name="_Toc264969224"/>
      <w:bookmarkStart w:id="325" w:name="_Toc195842899"/>
      <w:bookmarkStart w:id="326" w:name="_Toc151193848"/>
      <w:bookmarkStart w:id="327" w:name="_Toc150509285"/>
      <w:bookmarkStart w:id="328" w:name="_Toc151193776"/>
      <w:bookmarkStart w:id="329" w:name="_Toc150774634"/>
      <w:bookmarkStart w:id="330" w:name="_Toc151190161"/>
      <w:bookmarkStart w:id="331" w:name="_Toc265228372"/>
      <w:bookmarkStart w:id="332" w:name="_Toc305158876"/>
      <w:bookmarkStart w:id="333" w:name="_Toc226309778"/>
      <w:bookmarkStart w:id="334" w:name="_Toc226965807"/>
      <w:bookmarkStart w:id="335" w:name="_Toc127151534"/>
      <w:bookmarkStart w:id="336" w:name="_Toc150480772"/>
      <w:bookmarkStart w:id="337" w:name="_Toc150774739"/>
      <w:bookmarkStart w:id="338" w:name="_Toc226337230"/>
      <w:bookmarkStart w:id="339" w:name="_Toc142311036"/>
      <w:bookmarkStart w:id="340" w:name="_Toc520356159"/>
      <w:bookmarkStart w:id="341" w:name="_Toc305158802"/>
      <w:r>
        <w:rPr>
          <w:color w:val="000000" w:themeColor="text1"/>
          <w:sz w:val="24"/>
          <w14:textFill>
            <w14:solidFill>
              <w14:schemeClr w14:val="tx1"/>
            </w14:solidFill>
          </w14:textFill>
        </w:rPr>
        <w:t>竞争性磋商文件要求签字的内容（如授权委托书等），</w:t>
      </w:r>
      <w:r>
        <w:rPr>
          <w:rFonts w:hint="eastAsia"/>
          <w:color w:val="000000" w:themeColor="text1"/>
          <w:sz w:val="24"/>
          <w14:textFill>
            <w14:solidFill>
              <w14:schemeClr w14:val="tx1"/>
            </w14:solidFill>
          </w14:textFill>
        </w:rPr>
        <w:t>由供应商的法定代表人或其委托代理人签字。委托代理人签字的，响应文件应附法定代表人签署的授权委托书。响应文件应尽量避免涂改、行间插字或删除。如果出现上述情况，改动之处应加盖单位章或由供应商的法定代表人或其授权的代理人签字确认</w:t>
      </w:r>
      <w:r>
        <w:rPr>
          <w:rFonts w:hint="eastAsia" w:eastAsiaTheme="minorEastAsia"/>
          <w:color w:val="000000" w:themeColor="text1"/>
          <w:sz w:val="24"/>
          <w14:textFill>
            <w14:solidFill>
              <w14:schemeClr w14:val="tx1"/>
            </w14:solidFill>
          </w14:textFill>
        </w:rPr>
        <w:t>；要求</w:t>
      </w:r>
      <w:r>
        <w:rPr>
          <w:color w:val="000000" w:themeColor="text1"/>
          <w:sz w:val="24"/>
          <w14:textFill>
            <w14:solidFill>
              <w14:schemeClr w14:val="tx1"/>
            </w14:solidFill>
          </w14:textFill>
        </w:rPr>
        <w:t>第三方出具的盖章件原件（如联合协议、分包意向协议、制造商授权书等），响应文件中应使用原件的</w:t>
      </w:r>
      <w:r>
        <w:rPr>
          <w:rFonts w:hint="eastAsia"/>
          <w:color w:val="000000" w:themeColor="text1"/>
          <w:sz w:val="24"/>
          <w14:textFill>
            <w14:solidFill>
              <w14:schemeClr w14:val="tx1"/>
            </w14:solidFill>
          </w14:textFill>
        </w:rPr>
        <w:t>复印件或扫描件</w:t>
      </w:r>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竞争性磋商文件要求盖章的内容，</w:t>
      </w:r>
      <w:r>
        <w:rPr>
          <w:rFonts w:hint="eastAsia"/>
          <w:color w:val="000000" w:themeColor="text1"/>
          <w:sz w:val="24"/>
          <w14:textFill>
            <w14:solidFill>
              <w14:schemeClr w14:val="tx1"/>
            </w14:solidFill>
          </w14:textFill>
        </w:rPr>
        <w:t>需加盖供应商单位公章</w:t>
      </w:r>
      <w:r>
        <w:rPr>
          <w:color w:val="000000" w:themeColor="text1"/>
          <w:sz w:val="24"/>
          <w14:textFill>
            <w14:solidFill>
              <w14:schemeClr w14:val="tx1"/>
            </w14:solidFill>
          </w14:textFill>
        </w:rPr>
        <w:t>。</w:t>
      </w:r>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color w:val="000000" w:themeColor="text1"/>
          <w:sz w:val="24"/>
          <w14:textFill>
            <w14:solidFill>
              <w14:schemeClr w14:val="tx1"/>
            </w14:solidFill>
          </w14:textFill>
        </w:rPr>
        <w:t>响应文件的密封</w:t>
      </w:r>
      <w:r>
        <w:rPr>
          <w:rFonts w:hint="eastAsia"/>
          <w:color w:val="000000" w:themeColor="text1"/>
          <w:sz w:val="24"/>
          <w14:textFill>
            <w14:solidFill>
              <w14:schemeClr w14:val="tx1"/>
            </w14:solidFill>
          </w14:textFill>
        </w:rPr>
        <w:t>：</w:t>
      </w:r>
    </w:p>
    <w:p>
      <w:pPr>
        <w:tabs>
          <w:tab w:val="left" w:pos="900"/>
          <w:tab w:val="left" w:pos="1080"/>
          <w:tab w:val="left" w:pos="1589"/>
          <w:tab w:val="left" w:pos="2014"/>
        </w:tabs>
        <w:snapToGrid w:val="0"/>
        <w:spacing w:line="360" w:lineRule="auto"/>
        <w:ind w:left="1077"/>
        <w:rPr>
          <w:color w:val="000000" w:themeColor="text1"/>
          <w:sz w:val="24"/>
          <w14:textFill>
            <w14:solidFill>
              <w14:schemeClr w14:val="tx1"/>
            </w14:solidFill>
          </w14:textFill>
        </w:rPr>
      </w:pPr>
      <w:r>
        <w:rPr>
          <w:color w:val="000000" w:themeColor="text1"/>
          <w:sz w:val="24"/>
          <w14:textFill>
            <w14:solidFill>
              <w14:schemeClr w14:val="tx1"/>
            </w14:solidFill>
          </w14:textFill>
        </w:rPr>
        <w:t>响应文件的正本、副本、电子文件均须</w:t>
      </w:r>
      <w:r>
        <w:rPr>
          <w:rFonts w:hint="eastAsia"/>
          <w:color w:val="000000" w:themeColor="text1"/>
          <w:sz w:val="24"/>
          <w14:textFill>
            <w14:solidFill>
              <w14:schemeClr w14:val="tx1"/>
            </w14:solidFill>
          </w14:textFill>
        </w:rPr>
        <w:t>单独</w:t>
      </w:r>
      <w:r>
        <w:rPr>
          <w:color w:val="000000" w:themeColor="text1"/>
          <w:sz w:val="24"/>
          <w14:textFill>
            <w14:solidFill>
              <w14:schemeClr w14:val="tx1"/>
            </w14:solidFill>
          </w14:textFill>
        </w:rPr>
        <w:t>密封提交，封袋密封口加盖单位公章。封袋面上应标明“正本”或“副本”或“电子文件”字样，并写明：</w:t>
      </w:r>
    </w:p>
    <w:p>
      <w:pPr>
        <w:pStyle w:val="74"/>
        <w:spacing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（1）采购人的名称；</w:t>
      </w:r>
    </w:p>
    <w:p>
      <w:pPr>
        <w:pStyle w:val="74"/>
        <w:spacing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r>
        <w:rPr>
          <w:rFonts w:hint="eastAsia" w:ascii="Times New Roman" w:hAnsi="Times New Roman"/>
          <w:color w:val="000000" w:themeColor="text1"/>
          <w:sz w:val="24"/>
          <w:szCs w:val="24"/>
          <w14:textFill>
            <w14:solidFill>
              <w14:schemeClr w14:val="tx1"/>
            </w14:solidFill>
          </w14:textFill>
        </w:rPr>
        <w:t>项目</w:t>
      </w:r>
      <w:r>
        <w:rPr>
          <w:rFonts w:ascii="Times New Roman" w:hAnsi="Times New Roman"/>
          <w:color w:val="000000" w:themeColor="text1"/>
          <w:sz w:val="24"/>
          <w:szCs w:val="24"/>
          <w14:textFill>
            <w14:solidFill>
              <w14:schemeClr w14:val="tx1"/>
            </w14:solidFill>
          </w14:textFill>
        </w:rPr>
        <w:t>名称及其编号；</w:t>
      </w:r>
    </w:p>
    <w:p>
      <w:pPr>
        <w:pStyle w:val="74"/>
        <w:spacing w:line="336" w:lineRule="auto"/>
        <w:ind w:left="900" w:firstLine="0" w:firstLineChars="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（3）在</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时前（</w:t>
      </w:r>
      <w:r>
        <w:rPr>
          <w:rFonts w:hint="eastAsia" w:ascii="Times New Roman" w:hAnsi="Times New Roman"/>
          <w:color w:val="000000" w:themeColor="text1"/>
          <w:sz w:val="24"/>
          <w:szCs w:val="24"/>
          <w14:textFill>
            <w14:solidFill>
              <w14:schemeClr w14:val="tx1"/>
            </w14:solidFill>
          </w14:textFill>
        </w:rPr>
        <w:t>响应文件提交</w:t>
      </w:r>
      <w:r>
        <w:rPr>
          <w:rFonts w:ascii="Times New Roman" w:hAnsi="Times New Roman"/>
          <w:color w:val="000000" w:themeColor="text1"/>
          <w:sz w:val="24"/>
          <w:szCs w:val="24"/>
          <w14:textFill>
            <w14:solidFill>
              <w14:schemeClr w14:val="tx1"/>
            </w14:solidFill>
          </w14:textFill>
        </w:rPr>
        <w:t>截止时间）不准启封；</w:t>
      </w:r>
    </w:p>
    <w:p>
      <w:pPr>
        <w:tabs>
          <w:tab w:val="left" w:pos="900"/>
          <w:tab w:val="left" w:pos="1080"/>
        </w:tabs>
        <w:snapToGrid w:val="0"/>
        <w:spacing w:line="360" w:lineRule="auto"/>
        <w:ind w:left="35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ab/>
      </w:r>
      <w:r>
        <w:rPr>
          <w:color w:val="000000" w:themeColor="text1"/>
          <w:sz w:val="24"/>
          <w14:textFill>
            <w14:solidFill>
              <w14:schemeClr w14:val="tx1"/>
            </w14:solidFill>
          </w14:textFill>
        </w:rPr>
        <w:t>（4）供应商的名称、地址和联系方式。（加盖公章）</w:t>
      </w:r>
    </w:p>
    <w:p>
      <w:pPr>
        <w:tabs>
          <w:tab w:val="left" w:pos="900"/>
          <w:tab w:val="left" w:pos="1080"/>
        </w:tabs>
        <w:snapToGrid w:val="0"/>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 xml:space="preserve">  对封装材料及样式不作特别规定，但供应商应当保证其封装的可靠性，不致因搬运、堆放等原因散开。响应文件未按上述规定进行密封的，采购人（采购代理机构）将拒收其响应文件，并不承担与此有关的责任。</w:t>
      </w:r>
    </w:p>
    <w:p>
      <w:pPr>
        <w:tabs>
          <w:tab w:val="left" w:pos="900"/>
          <w:tab w:val="left" w:pos="1080"/>
        </w:tabs>
        <w:snapToGrid w:val="0"/>
        <w:spacing w:line="360" w:lineRule="auto"/>
        <w:ind w:firstLine="480" w:firstLineChars="200"/>
        <w:rPr>
          <w:rFonts w:eastAsiaTheme="minorEastAsia"/>
          <w:color w:val="000000" w:themeColor="text1"/>
          <w14:textFill>
            <w14:solidFill>
              <w14:schemeClr w14:val="tx1"/>
            </w14:solidFill>
          </w14:textFill>
        </w:rPr>
      </w:pP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磋商</w:t>
      </w:r>
      <w:r>
        <w:rPr>
          <w:color w:val="000000" w:themeColor="text1"/>
          <w:sz w:val="24"/>
          <w14:textFill>
            <w14:solidFill>
              <w14:schemeClr w14:val="tx1"/>
            </w14:solidFill>
          </w14:textFill>
        </w:rPr>
        <w:t>保证金电汇底单应随响应文件单独提交，响应文件正副本中装订复印件。</w:t>
      </w:r>
    </w:p>
    <w:p>
      <w:pPr>
        <w:pStyle w:val="3"/>
        <w:spacing w:before="0" w:line="360" w:lineRule="auto"/>
        <w:rPr>
          <w:rFonts w:ascii="Times New Roman" w:hAnsi="Times New Roman" w:eastAsiaTheme="minorEastAsia"/>
          <w:color w:val="000000" w:themeColor="text1"/>
          <w:sz w:val="28"/>
          <w14:textFill>
            <w14:solidFill>
              <w14:schemeClr w14:val="tx1"/>
            </w14:solidFill>
          </w14:textFill>
        </w:rPr>
      </w:pPr>
      <w:r>
        <w:rPr>
          <w:rFonts w:ascii="Times New Roman" w:hAnsi="Times New Roman" w:eastAsiaTheme="minorEastAsia"/>
          <w:color w:val="000000" w:themeColor="text1"/>
          <w:sz w:val="28"/>
          <w14:textFill>
            <w14:solidFill>
              <w14:schemeClr w14:val="tx1"/>
            </w14:solidFill>
          </w14:textFill>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342" w:name="_Toc164351629"/>
      <w:bookmarkStart w:id="343" w:name="_Toc226337231"/>
      <w:bookmarkStart w:id="344" w:name="_Toc151193633"/>
      <w:bookmarkStart w:id="345" w:name="_Toc305158803"/>
      <w:bookmarkStart w:id="346" w:name="_Toc127161449"/>
      <w:bookmarkStart w:id="347" w:name="_Toc195842900"/>
      <w:bookmarkStart w:id="348" w:name="_Toc150774635"/>
      <w:bookmarkStart w:id="349" w:name="_Toc151193849"/>
      <w:bookmarkStart w:id="350" w:name="_Toc305158877"/>
      <w:bookmarkStart w:id="351" w:name="_Toc226965808"/>
      <w:bookmarkStart w:id="352" w:name="_Toc151193923"/>
      <w:bookmarkStart w:id="353" w:name="_Toc264969225"/>
      <w:bookmarkStart w:id="354" w:name="_Toc164608649"/>
      <w:bookmarkStart w:id="355" w:name="_Toc520356160"/>
      <w:bookmarkStart w:id="356" w:name="_Toc127151535"/>
      <w:bookmarkStart w:id="357" w:name="_Toc265228373"/>
      <w:bookmarkStart w:id="358" w:name="_Toc150509286"/>
      <w:bookmarkStart w:id="359" w:name="_Toc142311037"/>
      <w:bookmarkStart w:id="360" w:name="_Toc149720828"/>
      <w:bookmarkStart w:id="361" w:name="_Toc164608804"/>
      <w:bookmarkStart w:id="362" w:name="_Toc127151736"/>
      <w:bookmarkStart w:id="363" w:name="_Toc151193705"/>
      <w:bookmarkStart w:id="364" w:name="_Toc226309779"/>
      <w:bookmarkStart w:id="365" w:name="_Toc151193777"/>
      <w:bookmarkStart w:id="366" w:name="_Toc226965725"/>
      <w:bookmarkStart w:id="367" w:name="_Toc164229230"/>
      <w:bookmarkStart w:id="368" w:name="_Toc150774740"/>
      <w:bookmarkStart w:id="369" w:name="_Toc151190162"/>
      <w:bookmarkStart w:id="370" w:name="_Toc150480773"/>
      <w:bookmarkStart w:id="371" w:name="_Toc164229376"/>
      <w:r>
        <w:rPr>
          <w:rFonts w:eastAsiaTheme="minorEastAsia"/>
          <w:color w:val="000000" w:themeColor="text1"/>
          <w:sz w:val="24"/>
          <w14:textFill>
            <w14:solidFill>
              <w14:schemeClr w14:val="tx1"/>
            </w14:solidFill>
          </w14:textFill>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color w:val="000000" w:themeColor="text1"/>
          <w:sz w:val="24"/>
          <w14:textFill>
            <w14:solidFill>
              <w14:schemeClr w14:val="tx1"/>
            </w14:solidFill>
          </w14:textFill>
        </w:rPr>
        <w:t>提交</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响应文件份数：正本一份，副本</w:t>
      </w:r>
      <w:r>
        <w:rPr>
          <w:rFonts w:hint="eastAsia"/>
          <w:color w:val="000000" w:themeColor="text1"/>
          <w:sz w:val="24"/>
          <w14:textFill>
            <w14:solidFill>
              <w14:schemeClr w14:val="tx1"/>
            </w14:solidFill>
          </w14:textFill>
        </w:rPr>
        <w:t>二</w:t>
      </w:r>
      <w:r>
        <w:rPr>
          <w:color w:val="000000" w:themeColor="text1"/>
          <w:sz w:val="24"/>
          <w14:textFill>
            <w14:solidFill>
              <w14:schemeClr w14:val="tx1"/>
            </w14:solidFill>
          </w14:textFill>
        </w:rPr>
        <w:t>份；电子文件一份。</w:t>
      </w:r>
    </w:p>
    <w:p>
      <w:pPr>
        <w:pStyle w:val="74"/>
        <w:tabs>
          <w:tab w:val="left" w:pos="900"/>
          <w:tab w:val="left" w:pos="1080"/>
          <w:tab w:val="left" w:pos="1589"/>
          <w:tab w:val="left" w:pos="2014"/>
        </w:tabs>
        <w:snapToGrid w:val="0"/>
        <w:spacing w:line="360" w:lineRule="auto"/>
        <w:ind w:left="900"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其中</w:t>
      </w:r>
      <w:r>
        <w:rPr>
          <w:rFonts w:hint="eastAsia"/>
          <w:color w:val="000000" w:themeColor="text1"/>
          <w:sz w:val="24"/>
          <w14:textFill>
            <w14:solidFill>
              <w14:schemeClr w14:val="tx1"/>
            </w14:solidFill>
          </w14:textFill>
        </w:rPr>
        <w:t>：①</w:t>
      </w:r>
      <w:r>
        <w:rPr>
          <w:color w:val="000000" w:themeColor="text1"/>
          <w:sz w:val="24"/>
          <w14:textFill>
            <w14:solidFill>
              <w14:schemeClr w14:val="tx1"/>
            </w14:solidFill>
          </w14:textFill>
        </w:rPr>
        <w:t>封面上应分别标明“正本”和“副本”字样。副本可为正本的复印件</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投标文件建议双面打印</w:t>
      </w:r>
      <w:r>
        <w:rPr>
          <w:color w:val="000000" w:themeColor="text1"/>
          <w:sz w:val="24"/>
          <w14:textFill>
            <w14:solidFill>
              <w14:schemeClr w14:val="tx1"/>
            </w14:solidFill>
          </w14:textFill>
        </w:rPr>
        <w:t>。正本与副本不一致时以正本为准。响应文件正副本均须用A4纸装订成册（图页可除外）。</w:t>
      </w:r>
      <w:r>
        <w:rPr>
          <w:rFonts w:hint="eastAsia"/>
          <w:color w:val="000000" w:themeColor="text1"/>
          <w:sz w:val="24"/>
          <w14:textFill>
            <w14:solidFill>
              <w14:schemeClr w14:val="tx1"/>
            </w14:solidFill>
          </w14:textFill>
        </w:rPr>
        <w:t>响应文件份数不满足竞争性磋商文件要求的，将按无效响应被否决。</w:t>
      </w:r>
    </w:p>
    <w:p>
      <w:pPr>
        <w:pStyle w:val="74"/>
        <w:tabs>
          <w:tab w:val="left" w:pos="900"/>
          <w:tab w:val="left" w:pos="1080"/>
          <w:tab w:val="left" w:pos="1589"/>
          <w:tab w:val="left" w:pos="2014"/>
        </w:tabs>
        <w:snapToGrid w:val="0"/>
        <w:spacing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②</w:t>
      </w:r>
      <w:r>
        <w:rPr>
          <w:color w:val="000000" w:themeColor="text1"/>
          <w:sz w:val="24"/>
          <w14:textFill>
            <w14:solidFill>
              <w14:schemeClr w14:val="tx1"/>
            </w14:solidFill>
          </w14:textFill>
        </w:rPr>
        <w:t>电子文件应采用word、excel、Autocad等常用软件制作，并使用U盘</w:t>
      </w:r>
      <w:r>
        <w:rPr>
          <w:rFonts w:hint="eastAsia"/>
          <w:color w:val="000000" w:themeColor="text1"/>
          <w:sz w:val="24"/>
          <w14:textFill>
            <w14:solidFill>
              <w14:schemeClr w14:val="tx1"/>
            </w14:solidFill>
          </w14:textFill>
        </w:rPr>
        <w:t>、光盘</w:t>
      </w:r>
      <w:r>
        <w:rPr>
          <w:color w:val="000000" w:themeColor="text1"/>
          <w:sz w:val="24"/>
          <w14:textFill>
            <w14:solidFill>
              <w14:schemeClr w14:val="tx1"/>
            </w14:solidFill>
          </w14:textFill>
        </w:rPr>
        <w:t>等作为载体，运行环境为Windows。电子版文件可随正本密封或单独密封。</w:t>
      </w:r>
    </w:p>
    <w:p>
      <w:pPr>
        <w:pStyle w:val="74"/>
        <w:tabs>
          <w:tab w:val="left" w:pos="900"/>
          <w:tab w:val="left" w:pos="1080"/>
          <w:tab w:val="left" w:pos="1589"/>
          <w:tab w:val="left" w:pos="2014"/>
        </w:tabs>
        <w:snapToGrid w:val="0"/>
        <w:spacing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③</w:t>
      </w:r>
      <w:r>
        <w:rPr>
          <w:color w:val="000000" w:themeColor="text1"/>
          <w:sz w:val="24"/>
          <w14:textFill>
            <w14:solidFill>
              <w14:schemeClr w14:val="tx1"/>
            </w14:solidFill>
          </w14:textFill>
        </w:rPr>
        <w:t>响应文件应使用打印或不能擦去的墨水书写，文字要清晰，语意要明确，并按照竞争性磋商文件的要求加盖单位公章和由法定代表人（或授权委托人）签名（或盖章）。响应文件由法定代表人的授权委托人签署时，须提供有效的授权委托书。</w:t>
      </w:r>
    </w:p>
    <w:p>
      <w:pPr>
        <w:pStyle w:val="74"/>
        <w:tabs>
          <w:tab w:val="left" w:pos="900"/>
          <w:tab w:val="left" w:pos="1080"/>
          <w:tab w:val="left" w:pos="1589"/>
          <w:tab w:val="left" w:pos="2014"/>
        </w:tabs>
        <w:snapToGrid w:val="0"/>
        <w:spacing w:line="360" w:lineRule="auto"/>
        <w:ind w:left="900"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④</w:t>
      </w:r>
      <w:r>
        <w:rPr>
          <w:color w:val="000000" w:themeColor="text1"/>
          <w:sz w:val="24"/>
          <w14:textFill>
            <w14:solidFill>
              <w14:schemeClr w14:val="tx1"/>
            </w14:solidFill>
          </w14:textFill>
        </w:rPr>
        <w:t>响应文件应尽量避免涂改和插字或删除，涂改和插字或删除处均须由法定代表人（或授权委托人）签名（或盖章）确认。</w:t>
      </w:r>
    </w:p>
    <w:p>
      <w:pPr>
        <w:pStyle w:val="74"/>
        <w:tabs>
          <w:tab w:val="left" w:pos="900"/>
          <w:tab w:val="left" w:pos="1080"/>
          <w:tab w:val="left" w:pos="1589"/>
          <w:tab w:val="left" w:pos="2014"/>
        </w:tabs>
        <w:snapToGrid w:val="0"/>
        <w:spacing w:line="360" w:lineRule="auto"/>
        <w:ind w:left="900" w:firstLine="0" w:firstLineChars="0"/>
        <w:rPr>
          <w:rFonts w:eastAsiaTheme="minor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⑤</w:t>
      </w:r>
      <w:r>
        <w:rPr>
          <w:color w:val="000000" w:themeColor="text1"/>
          <w:sz w:val="24"/>
          <w14:textFill>
            <w14:solidFill>
              <w14:schemeClr w14:val="tx1"/>
            </w14:solidFill>
          </w14:textFill>
        </w:rPr>
        <w:t>响应文件因字迹潦草、表达不清或装订不当所引起的后果由供应商负责。</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372" w:name="_Toc164351630"/>
      <w:bookmarkStart w:id="373" w:name="_Toc151193778"/>
      <w:bookmarkStart w:id="374" w:name="_Toc151193924"/>
      <w:bookmarkStart w:id="375" w:name="_Toc226337232"/>
      <w:bookmarkStart w:id="376" w:name="_Toc127161450"/>
      <w:bookmarkStart w:id="377" w:name="_Toc164229377"/>
      <w:bookmarkStart w:id="378" w:name="_Toc226309780"/>
      <w:bookmarkStart w:id="379" w:name="_Toc520356161"/>
      <w:bookmarkStart w:id="380" w:name="_Toc142311038"/>
      <w:bookmarkStart w:id="381" w:name="_Toc151193706"/>
      <w:bookmarkStart w:id="382" w:name="_Toc151190163"/>
      <w:bookmarkStart w:id="383" w:name="_Toc150509287"/>
      <w:bookmarkStart w:id="384" w:name="_Toc195842901"/>
      <w:bookmarkStart w:id="385" w:name="_Toc264969226"/>
      <w:bookmarkStart w:id="386" w:name="_Toc127151737"/>
      <w:bookmarkStart w:id="387" w:name="_Toc164608805"/>
      <w:bookmarkStart w:id="388" w:name="_Toc265228374"/>
      <w:bookmarkStart w:id="389" w:name="_Toc164608650"/>
      <w:bookmarkStart w:id="390" w:name="_Toc226965809"/>
      <w:bookmarkStart w:id="391" w:name="_Toc149720829"/>
      <w:bookmarkStart w:id="392" w:name="_Toc150480774"/>
      <w:bookmarkStart w:id="393" w:name="_Toc150774741"/>
      <w:bookmarkStart w:id="394" w:name="_Toc151193634"/>
      <w:bookmarkStart w:id="395" w:name="_Toc305158804"/>
      <w:bookmarkStart w:id="396" w:name="_Toc127151536"/>
      <w:bookmarkStart w:id="397" w:name="_Toc226965726"/>
      <w:bookmarkStart w:id="398" w:name="_Toc164229231"/>
      <w:bookmarkStart w:id="399" w:name="_Toc151193850"/>
      <w:bookmarkStart w:id="400" w:name="_Toc305158878"/>
      <w:bookmarkStart w:id="401" w:name="_Toc150774636"/>
      <w:r>
        <w:rPr>
          <w:rFonts w:eastAsiaTheme="minorEastAsia"/>
          <w:color w:val="000000" w:themeColor="text1"/>
          <w:sz w:val="24"/>
          <w14:textFill>
            <w14:solidFill>
              <w14:schemeClr w14:val="tx1"/>
            </w14:solidFill>
          </w14:textFill>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color w:val="000000" w:themeColor="text1"/>
          <w:sz w:val="24"/>
          <w14:textFill>
            <w14:solidFill>
              <w14:schemeClr w14:val="tx1"/>
            </w14:solidFill>
          </w14:textFill>
        </w:rPr>
        <w:t>时间</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color w:val="000000" w:themeColor="text1"/>
          <w:sz w:val="24"/>
          <w14:textFill>
            <w14:solidFill>
              <w14:schemeClr w14:val="tx1"/>
            </w14:solidFill>
          </w14:textFill>
        </w:rPr>
        <w:t>供应商应在竞争性磋商文件要求提交响应文件截止时间前，将</w:t>
      </w:r>
      <w:r>
        <w:rPr>
          <w:rFonts w:hint="eastAsia"/>
          <w:color w:val="000000" w:themeColor="text1"/>
          <w:sz w:val="24"/>
          <w14:textFill>
            <w14:solidFill>
              <w14:schemeClr w14:val="tx1"/>
            </w14:solidFill>
          </w14:textFill>
        </w:rPr>
        <w:t>纸质</w:t>
      </w:r>
      <w:r>
        <w:rPr>
          <w:color w:val="000000" w:themeColor="text1"/>
          <w:sz w:val="24"/>
          <w14:textFill>
            <w14:solidFill>
              <w14:schemeClr w14:val="tx1"/>
            </w14:solidFill>
          </w14:textFill>
        </w:rPr>
        <w:t>响应文件</w:t>
      </w:r>
      <w:r>
        <w:rPr>
          <w:rFonts w:hint="eastAsia"/>
          <w:color w:val="000000" w:themeColor="text1"/>
          <w:sz w:val="24"/>
          <w14:textFill>
            <w14:solidFill>
              <w14:schemeClr w14:val="tx1"/>
            </w14:solidFill>
          </w14:textFill>
        </w:rPr>
        <w:t>递交至：</w:t>
      </w:r>
      <w:r>
        <w:rPr>
          <w:rFonts w:hint="eastAsia" w:eastAsiaTheme="minorEastAsia"/>
          <w:sz w:val="24"/>
          <w:u w:val="single"/>
          <w:lang w:bidi="ar"/>
        </w:rPr>
        <w:t>北京市西城区宣武门外大街8号D座5层西城区公共资源交易中心</w:t>
      </w:r>
      <w:r>
        <w:rPr>
          <w:rFonts w:hint="eastAsia"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402" w:name="_Toc150774637"/>
      <w:bookmarkStart w:id="403" w:name="_Toc127151738"/>
      <w:bookmarkStart w:id="404" w:name="_Toc164229232"/>
      <w:bookmarkStart w:id="405" w:name="_Toc164608651"/>
      <w:bookmarkStart w:id="406" w:name="_Toc151190164"/>
      <w:bookmarkStart w:id="407" w:name="_Toc127151537"/>
      <w:bookmarkStart w:id="408" w:name="_Toc195842902"/>
      <w:bookmarkStart w:id="409" w:name="_Toc150480775"/>
      <w:bookmarkStart w:id="410" w:name="_Toc226309781"/>
      <w:bookmarkStart w:id="411" w:name="_Toc127161451"/>
      <w:bookmarkStart w:id="412" w:name="_Toc150774742"/>
      <w:bookmarkStart w:id="413" w:name="_Toc520356162"/>
      <w:bookmarkStart w:id="414" w:name="_Toc164229378"/>
      <w:bookmarkStart w:id="415" w:name="_Toc226337233"/>
      <w:bookmarkStart w:id="416" w:name="_Toc264969227"/>
      <w:bookmarkStart w:id="417" w:name="_Toc164351631"/>
      <w:bookmarkStart w:id="418" w:name="_Toc226965810"/>
      <w:bookmarkStart w:id="419" w:name="_Toc142311039"/>
      <w:bookmarkStart w:id="420" w:name="_Toc151193925"/>
      <w:bookmarkStart w:id="421" w:name="_Toc149720830"/>
      <w:bookmarkStart w:id="422" w:name="_Toc151193635"/>
      <w:bookmarkStart w:id="423" w:name="_Toc151193851"/>
      <w:bookmarkStart w:id="424" w:name="_Toc164608806"/>
      <w:bookmarkStart w:id="425" w:name="_Toc265228375"/>
      <w:bookmarkStart w:id="426" w:name="_Toc305158879"/>
      <w:bookmarkStart w:id="427" w:name="_Toc151193779"/>
      <w:bookmarkStart w:id="428" w:name="_Toc150509288"/>
      <w:bookmarkStart w:id="429" w:name="_Toc151193707"/>
      <w:bookmarkStart w:id="430" w:name="_Toc226965727"/>
      <w:bookmarkStart w:id="431" w:name="_Toc305158805"/>
      <w:r>
        <w:rPr>
          <w:rFonts w:eastAsiaTheme="minorEastAsia"/>
          <w:color w:val="000000" w:themeColor="text1"/>
          <w:sz w:val="24"/>
          <w14:textFill>
            <w14:solidFill>
              <w14:schemeClr w14:val="tx1"/>
            </w14:solidFill>
          </w14:textFill>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numPr>
          <w:ilvl w:val="1"/>
          <w:numId w:val="9"/>
        </w:numPr>
        <w:tabs>
          <w:tab w:val="left" w:pos="1080"/>
          <w:tab w:val="left" w:pos="2014"/>
        </w:tabs>
        <w:snapToGrid w:val="0"/>
        <w:spacing w:line="360" w:lineRule="auto"/>
        <w:ind w:left="1077" w:hanging="720"/>
        <w:rPr>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提交响应文件截止时间前，供应商可以通过</w:t>
      </w:r>
      <w:r>
        <w:rPr>
          <w:rFonts w:hint="eastAsia" w:eastAsiaTheme="minorEastAsia"/>
          <w:color w:val="000000" w:themeColor="text1"/>
          <w:sz w:val="24"/>
          <w14:textFill>
            <w14:solidFill>
              <w14:schemeClr w14:val="tx1"/>
            </w14:solidFill>
          </w14:textFill>
        </w:rPr>
        <w:t>书面形式</w:t>
      </w:r>
      <w:r>
        <w:rPr>
          <w:rFonts w:eastAsiaTheme="minorEastAsia"/>
          <w:color w:val="000000" w:themeColor="text1"/>
          <w:sz w:val="24"/>
          <w14:textFill>
            <w14:solidFill>
              <w14:schemeClr w14:val="tx1"/>
            </w14:solidFill>
          </w14:textFill>
        </w:rPr>
        <w:t>对所提交的响应文件进行补充、修改或者撤回。</w:t>
      </w:r>
    </w:p>
    <w:p>
      <w:pPr>
        <w:numPr>
          <w:ilvl w:val="1"/>
          <w:numId w:val="9"/>
        </w:numPr>
        <w:tabs>
          <w:tab w:val="left" w:pos="1080"/>
          <w:tab w:val="left" w:pos="2014"/>
        </w:tabs>
        <w:snapToGrid w:val="0"/>
        <w:spacing w:line="360" w:lineRule="auto"/>
        <w:ind w:left="1077" w:hanging="720"/>
      </w:pPr>
      <w:r>
        <w:rPr>
          <w:rFonts w:eastAsiaTheme="minorEastAsia"/>
          <w:color w:val="000000" w:themeColor="text1"/>
          <w:sz w:val="24"/>
          <w14:textFill>
            <w14:solidFill>
              <w14:schemeClr w14:val="tx1"/>
            </w14:solidFill>
          </w14:textFill>
        </w:rPr>
        <w:t>供应商对响应文件的补充、修改的内容应当按照竞争性磋商文件要求签署、盖章，作为响应文件的组成部分。</w:t>
      </w:r>
      <w:r>
        <w:rPr>
          <w:rFonts w:eastAsiaTheme="minorEastAsia"/>
          <w:color w:val="000000" w:themeColor="text1"/>
          <w:kern w:val="0"/>
          <w:sz w:val="24"/>
          <w14:textFill>
            <w14:solidFill>
              <w14:schemeClr w14:val="tx1"/>
            </w14:solidFill>
          </w14:textFill>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color w:val="000000" w:themeColor="text1"/>
          <w:sz w:val="24"/>
          <w14:textFill>
            <w14:solidFill>
              <w14:schemeClr w14:val="tx1"/>
            </w14:solidFill>
          </w14:textFill>
        </w:rPr>
      </w:pPr>
    </w:p>
    <w:p>
      <w:pPr>
        <w:pStyle w:val="3"/>
        <w:spacing w:before="0" w:line="360" w:lineRule="auto"/>
        <w:rPr>
          <w:rFonts w:ascii="Times New Roman" w:hAnsi="Times New Roman" w:eastAsiaTheme="minorEastAsia"/>
          <w:color w:val="000000" w:themeColor="text1"/>
          <w:sz w:val="28"/>
          <w14:textFill>
            <w14:solidFill>
              <w14:schemeClr w14:val="tx1"/>
            </w14:solidFill>
          </w14:textFill>
        </w:rPr>
      </w:pPr>
      <w:bookmarkStart w:id="432" w:name="_Toc150509289"/>
      <w:bookmarkStart w:id="433" w:name="_Toc151190165"/>
      <w:bookmarkStart w:id="434" w:name="_Toc151193708"/>
      <w:bookmarkStart w:id="435" w:name="_Toc151193852"/>
      <w:bookmarkStart w:id="436" w:name="_Toc151193636"/>
      <w:bookmarkStart w:id="437" w:name="_Toc226337234"/>
      <w:bookmarkStart w:id="438" w:name="_Toc226309782"/>
      <w:bookmarkStart w:id="439" w:name="_Toc226965811"/>
      <w:bookmarkStart w:id="440" w:name="_Toc305158806"/>
      <w:bookmarkStart w:id="441" w:name="_Toc151193926"/>
      <w:bookmarkStart w:id="442" w:name="_Toc142311040"/>
      <w:bookmarkStart w:id="443" w:name="_Toc264969228"/>
      <w:bookmarkStart w:id="444" w:name="_Toc305158880"/>
      <w:bookmarkStart w:id="445" w:name="_Toc265228376"/>
      <w:bookmarkStart w:id="446" w:name="_Toc151193780"/>
      <w:bookmarkStart w:id="447" w:name="_Toc127151538"/>
      <w:bookmarkStart w:id="448" w:name="_Toc195842903"/>
      <w:bookmarkStart w:id="449" w:name="_Toc150774743"/>
      <w:bookmarkStart w:id="450" w:name="_Toc520356163"/>
      <w:bookmarkStart w:id="451" w:name="_Toc150774638"/>
      <w:bookmarkStart w:id="452" w:name="_Toc150480776"/>
      <w:bookmarkStart w:id="453" w:name="_Toc226965728"/>
      <w:r>
        <w:rPr>
          <w:rFonts w:ascii="Times New Roman" w:hAnsi="Times New Roman" w:eastAsiaTheme="minorEastAsia"/>
          <w:color w:val="000000" w:themeColor="text1"/>
          <w:sz w:val="28"/>
          <w14:textFill>
            <w14:solidFill>
              <w14:schemeClr w14:val="tx1"/>
            </w14:solidFill>
          </w14:textFill>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color w:val="000000" w:themeColor="text1"/>
          <w:sz w:val="28"/>
          <w14:textFill>
            <w14:solidFill>
              <w14:schemeClr w14:val="tx1"/>
            </w14:solidFill>
          </w14:textFill>
        </w:rPr>
        <w:t>评审</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响应文件的</w:t>
      </w:r>
      <w:r>
        <w:rPr>
          <w:rFonts w:hint="eastAsia" w:eastAsiaTheme="minorEastAsia"/>
          <w:color w:val="000000" w:themeColor="text1"/>
          <w:sz w:val="24"/>
          <w14:textFill>
            <w14:solidFill>
              <w14:schemeClr w14:val="tx1"/>
            </w14:solidFill>
          </w14:textFill>
        </w:rPr>
        <w:t>解密与</w:t>
      </w:r>
      <w:r>
        <w:rPr>
          <w:rFonts w:eastAsiaTheme="minorEastAsia"/>
          <w:color w:val="000000" w:themeColor="text1"/>
          <w:sz w:val="24"/>
          <w14:textFill>
            <w14:solidFill>
              <w14:schemeClr w14:val="tx1"/>
            </w14:solidFill>
          </w14:textFill>
        </w:rPr>
        <w:t>开启</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采购人或采购代理机构将按竞争性磋商文件的规定，在响应文件提交截止时间的同一时间和竞争性磋商文件预先确定的地点开启响应文件。</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供应商不足3家的，不予</w:t>
      </w:r>
      <w:r>
        <w:rPr>
          <w:rFonts w:hint="eastAsia" w:eastAsiaTheme="minorEastAsia"/>
          <w:color w:val="000000" w:themeColor="text1"/>
          <w:sz w:val="24"/>
          <w14:textFill>
            <w14:solidFill>
              <w14:schemeClr w14:val="tx1"/>
            </w14:solidFill>
          </w14:textFill>
        </w:rPr>
        <w:t>评审。</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bookmarkStart w:id="454" w:name="_Toc520356165"/>
      <w:r>
        <w:rPr>
          <w:rFonts w:eastAsiaTheme="minorEastAsia"/>
          <w:color w:val="000000" w:themeColor="text1"/>
          <w:sz w:val="24"/>
          <w14:textFill>
            <w14:solidFill>
              <w14:schemeClr w14:val="tx1"/>
            </w14:solidFill>
          </w14:textFill>
        </w:rPr>
        <w:t>本项目不公开报价。</w:t>
      </w:r>
    </w:p>
    <w:bookmarkEnd w:id="454"/>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磋商小组根据政府采购有关规定和本次采购项目的特点进行组建，并负责具体评审事务，独立履行职责。</w:t>
      </w:r>
      <w:bookmarkStart w:id="455" w:name="_Toc520356166"/>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9"/>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见第三章《评审方法和评审标准》。</w:t>
      </w:r>
    </w:p>
    <w:p>
      <w:pPr>
        <w:tabs>
          <w:tab w:val="left" w:pos="360"/>
          <w:tab w:val="left" w:pos="1080"/>
        </w:tabs>
        <w:snapToGrid w:val="0"/>
        <w:spacing w:line="360" w:lineRule="auto"/>
        <w:ind w:left="1080"/>
        <w:rPr>
          <w:rFonts w:eastAsiaTheme="minorEastAsia"/>
          <w:color w:val="000000" w:themeColor="text1"/>
          <w:sz w:val="24"/>
          <w14:textFill>
            <w14:solidFill>
              <w14:schemeClr w14:val="tx1"/>
            </w14:solidFill>
          </w14:textFill>
        </w:rPr>
      </w:pPr>
    </w:p>
    <w:p>
      <w:pPr>
        <w:pStyle w:val="3"/>
        <w:spacing w:before="0" w:line="360" w:lineRule="auto"/>
        <w:rPr>
          <w:rFonts w:ascii="Times New Roman" w:hAnsi="Times New Roman" w:eastAsiaTheme="minorEastAsia"/>
          <w:color w:val="000000" w:themeColor="text1"/>
          <w:sz w:val="28"/>
          <w14:textFill>
            <w14:solidFill>
              <w14:schemeClr w14:val="tx1"/>
            </w14:solidFill>
          </w14:textFill>
        </w:rPr>
      </w:pPr>
      <w:bookmarkStart w:id="457" w:name="_Toc264969235"/>
      <w:bookmarkStart w:id="458" w:name="_Toc305158887"/>
      <w:bookmarkStart w:id="459" w:name="_Toc150480783"/>
      <w:bookmarkStart w:id="460" w:name="_Toc265228383"/>
      <w:bookmarkStart w:id="461" w:name="_Toc305158813"/>
      <w:bookmarkStart w:id="462" w:name="_Toc127151545"/>
      <w:bookmarkStart w:id="463" w:name="_Toc150774750"/>
      <w:bookmarkStart w:id="464" w:name="_Toc151193643"/>
      <w:bookmarkStart w:id="465" w:name="_Toc151193715"/>
      <w:bookmarkStart w:id="466" w:name="_Toc150774645"/>
      <w:bookmarkStart w:id="467" w:name="_Toc151193787"/>
      <w:bookmarkStart w:id="468" w:name="_Toc195842910"/>
      <w:bookmarkStart w:id="469" w:name="_Toc150509296"/>
      <w:bookmarkStart w:id="470" w:name="_Toc226965735"/>
      <w:bookmarkStart w:id="471" w:name="_Toc226309789"/>
      <w:bookmarkStart w:id="472" w:name="_Toc151193933"/>
      <w:bookmarkStart w:id="473" w:name="_Toc226965818"/>
      <w:bookmarkStart w:id="474" w:name="_Toc142311047"/>
      <w:bookmarkStart w:id="475" w:name="_Toc151193859"/>
      <w:bookmarkStart w:id="476" w:name="_Toc151190172"/>
      <w:bookmarkStart w:id="477" w:name="_Toc226337241"/>
      <w:r>
        <w:rPr>
          <w:rFonts w:ascii="Times New Roman" w:hAnsi="Times New Roman" w:eastAsiaTheme="minorEastAsia"/>
          <w:color w:val="000000" w:themeColor="text1"/>
          <w:sz w:val="28"/>
          <w14:textFill>
            <w14:solidFill>
              <w14:schemeClr w14:val="tx1"/>
            </w14:solidFill>
          </w14:textFill>
        </w:rPr>
        <w:t xml:space="preserve">六   </w:t>
      </w:r>
      <w:bookmarkEnd w:id="456"/>
      <w:r>
        <w:rPr>
          <w:rFonts w:ascii="Times New Roman" w:hAnsi="Times New Roman" w:eastAsiaTheme="minorEastAsia"/>
          <w:color w:val="000000" w:themeColor="text1"/>
          <w:sz w:val="28"/>
          <w14:textFill>
            <w14:solidFill>
              <w14:schemeClr w14:val="tx1"/>
            </w14:solidFill>
          </w14:textFill>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color w:val="000000" w:themeColor="text1"/>
          <w:sz w:val="28"/>
          <w14:textFill>
            <w14:solidFill>
              <w14:schemeClr w14:val="tx1"/>
            </w14:solidFill>
          </w14:textFill>
        </w:rPr>
        <w:t>成交</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478" w:name="_Toc264969237"/>
      <w:bookmarkStart w:id="479" w:name="_Toc164351641"/>
      <w:bookmarkStart w:id="480" w:name="_Toc151193717"/>
      <w:bookmarkStart w:id="481" w:name="_Toc226309791"/>
      <w:bookmarkStart w:id="482" w:name="_Toc164229388"/>
      <w:bookmarkStart w:id="483" w:name="_Toc226965820"/>
      <w:bookmarkStart w:id="484" w:name="_Toc164608816"/>
      <w:bookmarkStart w:id="485" w:name="_Toc265228385"/>
      <w:bookmarkStart w:id="486" w:name="_Toc164229242"/>
      <w:bookmarkStart w:id="487" w:name="_Toc164608661"/>
      <w:bookmarkStart w:id="488" w:name="_Toc151193861"/>
      <w:bookmarkStart w:id="489" w:name="_Toc305158889"/>
      <w:bookmarkStart w:id="490" w:name="_Toc150774752"/>
      <w:bookmarkStart w:id="491" w:name="_Toc151193935"/>
      <w:bookmarkStart w:id="492" w:name="_Toc151193789"/>
      <w:bookmarkStart w:id="493" w:name="_Toc127151748"/>
      <w:bookmarkStart w:id="494" w:name="_Toc151193645"/>
      <w:bookmarkStart w:id="495" w:name="_Toc150774647"/>
      <w:bookmarkStart w:id="496" w:name="_Toc226965737"/>
      <w:bookmarkStart w:id="497" w:name="_Toc149720840"/>
      <w:bookmarkStart w:id="498" w:name="_Toc150480785"/>
      <w:bookmarkStart w:id="499" w:name="_Toc226337243"/>
      <w:bookmarkStart w:id="500" w:name="_Toc195842912"/>
      <w:bookmarkStart w:id="501" w:name="_Toc305158815"/>
      <w:bookmarkStart w:id="502" w:name="_Toc151190174"/>
      <w:bookmarkStart w:id="503" w:name="_Toc127161461"/>
      <w:bookmarkStart w:id="504" w:name="_Toc127151547"/>
      <w:bookmarkStart w:id="505" w:name="_Toc142311049"/>
      <w:bookmarkStart w:id="506" w:name="_Toc150509298"/>
      <w:r>
        <w:rPr>
          <w:rFonts w:eastAsiaTheme="minorEastAsia"/>
          <w:color w:val="000000" w:themeColor="text1"/>
          <w:sz w:val="24"/>
          <w14:textFill>
            <w14:solidFill>
              <w14:schemeClr w14:val="tx1"/>
            </w14:solidFill>
          </w14:textFill>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采购人将在收到评审报告后，从评审报告提出的成交候选供应商中，按照排序由高到低的原则确定成交供应商</w:t>
      </w:r>
      <w:r>
        <w:rPr>
          <w:rFonts w:hint="eastAsia"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采购人是否授权</w:t>
      </w:r>
      <w:r>
        <w:rPr>
          <w:rFonts w:hint="eastAsia" w:eastAsiaTheme="minorEastAsia"/>
          <w:color w:val="000000" w:themeColor="text1"/>
          <w:sz w:val="24"/>
          <w14:textFill>
            <w14:solidFill>
              <w14:schemeClr w14:val="tx1"/>
            </w14:solidFill>
          </w14:textFill>
        </w:rPr>
        <w:t>磋商</w:t>
      </w:r>
      <w:r>
        <w:rPr>
          <w:rFonts w:eastAsiaTheme="minorEastAsia"/>
          <w:color w:val="000000" w:themeColor="text1"/>
          <w:sz w:val="24"/>
          <w14:textFill>
            <w14:solidFill>
              <w14:schemeClr w14:val="tx1"/>
            </w14:solidFill>
          </w14:textFill>
        </w:rPr>
        <w:t>小组直接确定成交供应商，见《供应商须知资料表》。成交候选人并列的，按照《供应商须知资料表》要求确定成交供应商。</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507" w:name="_Toc305158817"/>
      <w:bookmarkStart w:id="508" w:name="_Toc305158891"/>
      <w:bookmarkStart w:id="509" w:name="_Toc149720842"/>
      <w:bookmarkStart w:id="510" w:name="_Toc265228387"/>
      <w:bookmarkStart w:id="511" w:name="_Toc151193791"/>
      <w:bookmarkStart w:id="512" w:name="_Toc164229244"/>
      <w:bookmarkStart w:id="513" w:name="_Toc164608663"/>
      <w:bookmarkStart w:id="514" w:name="_Toc164608818"/>
      <w:bookmarkStart w:id="515" w:name="_Toc150774754"/>
      <w:bookmarkStart w:id="516" w:name="_Toc151193863"/>
      <w:bookmarkStart w:id="517" w:name="_Toc127151750"/>
      <w:bookmarkStart w:id="518" w:name="_Toc127161463"/>
      <w:bookmarkStart w:id="519" w:name="_Toc150480787"/>
      <w:bookmarkStart w:id="520" w:name="_Toc226337245"/>
      <w:bookmarkStart w:id="521" w:name="_Toc164229390"/>
      <w:bookmarkStart w:id="522" w:name="_Toc150509300"/>
      <w:bookmarkStart w:id="523" w:name="_Toc226965822"/>
      <w:bookmarkStart w:id="524" w:name="_Toc226965739"/>
      <w:bookmarkStart w:id="525" w:name="_Toc195842914"/>
      <w:bookmarkStart w:id="526" w:name="_Toc151190176"/>
      <w:bookmarkStart w:id="527" w:name="_Toc164351643"/>
      <w:bookmarkStart w:id="528" w:name="_Toc150774649"/>
      <w:bookmarkStart w:id="529" w:name="_Toc264969239"/>
      <w:bookmarkStart w:id="530" w:name="_Toc127151549"/>
      <w:bookmarkStart w:id="531" w:name="_Toc151193937"/>
      <w:bookmarkStart w:id="532" w:name="_Toc151193719"/>
      <w:bookmarkStart w:id="533" w:name="_Toc151193647"/>
      <w:bookmarkStart w:id="534" w:name="_Toc142311051"/>
      <w:bookmarkStart w:id="535" w:name="_Toc226309793"/>
      <w:bookmarkStart w:id="536" w:name="_Ref467307090"/>
      <w:bookmarkStart w:id="537" w:name="_Ref467306425"/>
      <w:bookmarkStart w:id="538" w:name="_Toc520356176"/>
      <w:r>
        <w:rPr>
          <w:rFonts w:eastAsiaTheme="minorEastAsia"/>
          <w:color w:val="000000" w:themeColor="text1"/>
          <w:sz w:val="24"/>
          <w14:textFill>
            <w14:solidFill>
              <w14:schemeClr w14:val="tx1"/>
            </w14:solidFill>
          </w14:textFill>
        </w:rPr>
        <w:t>成交公告与成交通知书</w:t>
      </w:r>
      <w:bookmarkEnd w:id="507"/>
      <w:bookmarkEnd w:id="508"/>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采购人或采购代理机构将</w:t>
      </w:r>
      <w:r>
        <w:rPr>
          <w:rFonts w:eastAsiaTheme="minorEastAsia"/>
          <w:color w:val="000000" w:themeColor="text1"/>
          <w:kern w:val="0"/>
          <w:sz w:val="24"/>
          <w14:textFill>
            <w14:solidFill>
              <w14:schemeClr w14:val="tx1"/>
            </w14:solidFill>
          </w14:textFill>
        </w:rPr>
        <w:t>在成交供应商确定后2个工作日内，在</w:t>
      </w:r>
      <w:r>
        <w:rPr>
          <w:rFonts w:hint="eastAsia" w:eastAsiaTheme="minorEastAsia"/>
          <w:color w:val="000000" w:themeColor="text1"/>
          <w:sz w:val="24"/>
          <w14:textFill>
            <w14:solidFill>
              <w14:schemeClr w14:val="tx1"/>
            </w14:solidFill>
          </w14:textFill>
        </w:rPr>
        <w:t>北京市政府采购网</w:t>
      </w:r>
      <w:r>
        <w:rPr>
          <w:rFonts w:eastAsiaTheme="minorEastAsia"/>
          <w:color w:val="000000" w:themeColor="text1"/>
          <w:kern w:val="0"/>
          <w:sz w:val="24"/>
          <w14:textFill>
            <w14:solidFill>
              <w14:schemeClr w14:val="tx1"/>
            </w14:solidFill>
          </w14:textFill>
        </w:rPr>
        <w:t>公告成交结果，同时向成交供应商发出成交通知书，</w:t>
      </w:r>
      <w:r>
        <w:rPr>
          <w:rFonts w:eastAsiaTheme="minorEastAsia"/>
          <w:color w:val="000000" w:themeColor="text1"/>
          <w:sz w:val="24"/>
          <w14:textFill>
            <w14:solidFill>
              <w14:schemeClr w14:val="tx1"/>
            </w14:solidFill>
          </w14:textFill>
        </w:rPr>
        <w:t>成交公告期限为1个工作日。</w:t>
      </w:r>
    </w:p>
    <w:p>
      <w:pPr>
        <w:numPr>
          <w:ilvl w:val="1"/>
          <w:numId w:val="9"/>
        </w:numPr>
        <w:tabs>
          <w:tab w:val="left" w:pos="1080"/>
          <w:tab w:val="left" w:pos="2014"/>
        </w:tabs>
        <w:snapToGrid w:val="0"/>
        <w:spacing w:line="360" w:lineRule="auto"/>
        <w:ind w:left="1080"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终止</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在采购中，出现下列情形之一的，采购人或采购代理机构将终止竞争性磋商采购活动，发布项目终止公告并说明原因，重新开展采购活动：</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因情况变化，不再符合规定的竞争性磋商采购方式适用情形的；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出现影响采购公正的违法、违规行为的；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snapToGrid w:val="0"/>
          <w:color w:val="000000" w:themeColor="text1"/>
          <w:kern w:val="0"/>
          <w:sz w:val="24"/>
          <w:szCs w:val="20"/>
          <w14:textFill>
            <w14:solidFill>
              <w14:schemeClr w14:val="tx1"/>
            </w14:solidFill>
          </w14:textFill>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bookmarkStart w:id="539" w:name="_Toc164608664"/>
      <w:bookmarkStart w:id="540" w:name="_Toc520356175"/>
      <w:bookmarkStart w:id="541" w:name="_Toc265228388"/>
      <w:bookmarkStart w:id="542" w:name="_Toc151193792"/>
      <w:bookmarkStart w:id="543" w:name="_Toc226965740"/>
      <w:bookmarkStart w:id="544" w:name="_Toc264969240"/>
      <w:bookmarkStart w:id="545" w:name="_Toc149720843"/>
      <w:bookmarkStart w:id="546" w:name="_Toc226965823"/>
      <w:bookmarkStart w:id="547" w:name="_Ref467306377"/>
      <w:bookmarkStart w:id="548" w:name="_Toc150774755"/>
      <w:bookmarkStart w:id="549" w:name="_Toc150509301"/>
      <w:bookmarkStart w:id="550" w:name="_Toc150480788"/>
      <w:bookmarkStart w:id="551" w:name="_Toc164229391"/>
      <w:bookmarkStart w:id="552" w:name="_Ref467307062"/>
      <w:bookmarkStart w:id="553" w:name="_Toc226337246"/>
      <w:bookmarkStart w:id="554" w:name="_Toc151193864"/>
      <w:bookmarkStart w:id="555" w:name="_Toc127161464"/>
      <w:bookmarkStart w:id="556" w:name="_Toc305158818"/>
      <w:bookmarkStart w:id="557" w:name="_Toc305158892"/>
      <w:bookmarkStart w:id="558" w:name="_Ref467306978"/>
      <w:bookmarkStart w:id="559" w:name="_Toc195842915"/>
      <w:bookmarkStart w:id="560" w:name="_Toc164229245"/>
      <w:bookmarkStart w:id="561" w:name="_Toc151193938"/>
      <w:bookmarkStart w:id="562" w:name="_Ref467307204"/>
      <w:bookmarkStart w:id="563" w:name="_Toc127151751"/>
      <w:bookmarkStart w:id="564" w:name="_Toc127151550"/>
      <w:bookmarkStart w:id="565" w:name="_Toc164351644"/>
      <w:bookmarkStart w:id="566" w:name="_Toc226309794"/>
      <w:bookmarkStart w:id="567" w:name="_Toc151193720"/>
      <w:bookmarkStart w:id="568" w:name="_Toc164608819"/>
      <w:bookmarkStart w:id="569" w:name="_Toc150774650"/>
      <w:bookmarkStart w:id="570" w:name="_Toc151193648"/>
      <w:bookmarkStart w:id="571" w:name="_Toc142311052"/>
      <w:bookmarkStart w:id="572" w:name="_Toc151190177"/>
      <w:r>
        <w:rPr>
          <w:rFonts w:eastAsiaTheme="minorEastAsia"/>
          <w:color w:val="000000" w:themeColor="text1"/>
          <w:sz w:val="24"/>
          <w14:textFill>
            <w14:solidFill>
              <w14:schemeClr w14:val="tx1"/>
            </w14:solidFill>
          </w14:textFill>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联合体获得成交资格的，联合体各方应当共同与采购人签订合同，就成交项目向采购人承担连带责任。</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政府采购合同不能转包。</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采购人允许采用分包方式履行合同的，成交供应商可以依法采取分包方式履行合同。本项目</w:t>
      </w:r>
      <w:r>
        <w:rPr>
          <w:rFonts w:hint="eastAsia" w:eastAsiaTheme="minorEastAsia"/>
          <w:color w:val="000000" w:themeColor="text1"/>
          <w:sz w:val="24"/>
          <w14:textFill>
            <w14:solidFill>
              <w14:schemeClr w14:val="tx1"/>
            </w14:solidFill>
          </w14:textFill>
        </w:rPr>
        <w:t>是</w:t>
      </w:r>
      <w:r>
        <w:rPr>
          <w:rFonts w:eastAsiaTheme="minorEastAsia"/>
          <w:color w:val="000000" w:themeColor="text1"/>
          <w:sz w:val="24"/>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rFonts w:eastAsiaTheme="minorEastAsia"/>
          <w:b/>
          <w:color w:val="000000" w:themeColor="text1"/>
          <w:sz w:val="24"/>
          <w14:textFill>
            <w14:solidFill>
              <w14:schemeClr w14:val="tx1"/>
            </w14:solidFill>
          </w14:textFill>
        </w:rPr>
        <w:t>否则响应无效</w:t>
      </w:r>
      <w:r>
        <w:rPr>
          <w:rFonts w:eastAsiaTheme="minorEastAsia"/>
          <w:color w:val="000000" w:themeColor="text1"/>
          <w:sz w:val="24"/>
          <w14:textFill>
            <w14:solidFill>
              <w14:schemeClr w14:val="tx1"/>
            </w14:solidFill>
          </w14:textFill>
        </w:rPr>
        <w:t>。成交供应商就采购项目和分包项目向采购人负责，分包供应商就分包项目承担责任。</w:t>
      </w:r>
    </w:p>
    <w:bookmarkEnd w:id="536"/>
    <w:bookmarkEnd w:id="537"/>
    <w:bookmarkEnd w:id="538"/>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询问与质疑</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询问</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供应商对政府采购活动事项有疑问的，可依法提出询问，并按《供应商须知资料表》载明的形式送达采购人或采购代理机构。</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质疑</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质疑函须使用财政部制定的范本文件。</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供应商为自然人的，应当由本人签字；供应商为法人或者其他组织的，应当由法定代表人、主要负责人，或者其授权代表签字或者盖章，并加盖公章。</w:t>
      </w:r>
    </w:p>
    <w:p>
      <w:pPr>
        <w:numPr>
          <w:ilvl w:val="2"/>
          <w:numId w:val="9"/>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接收询问和质疑的联系部门、联系电话和通讯地址见《供应商须知资料表》</w:t>
      </w:r>
      <w:r>
        <w:rPr>
          <w:rFonts w:hint="eastAsia" w:eastAsiaTheme="minorEastAsia"/>
          <w:color w:val="000000" w:themeColor="text1"/>
          <w:sz w:val="24"/>
          <w14:textFill>
            <w14:solidFill>
              <w14:schemeClr w14:val="tx1"/>
            </w14:solidFill>
          </w14:textFill>
        </w:rPr>
        <w:t>。</w:t>
      </w:r>
    </w:p>
    <w:p>
      <w:pPr>
        <w:numPr>
          <w:ilvl w:val="0"/>
          <w:numId w:val="9"/>
        </w:numPr>
        <w:tabs>
          <w:tab w:val="left" w:pos="360"/>
        </w:tabs>
        <w:snapToGrid w:val="0"/>
        <w:spacing w:line="360" w:lineRule="auto"/>
        <w:ind w:left="357" w:hanging="357"/>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代理费</w:t>
      </w:r>
    </w:p>
    <w:p>
      <w:pPr>
        <w:numPr>
          <w:ilvl w:val="1"/>
          <w:numId w:val="9"/>
        </w:numPr>
        <w:tabs>
          <w:tab w:val="left" w:pos="1080"/>
          <w:tab w:val="left" w:pos="2014"/>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rFonts w:eastAsiaTheme="minorEastAsia"/>
          <w:color w:val="000000" w:themeColor="text1"/>
          <w:sz w:val="24"/>
          <w14:textFill>
            <w14:solidFill>
              <w14:schemeClr w14:val="tx1"/>
            </w14:solidFill>
          </w14:textFill>
        </w:rPr>
      </w:pPr>
    </w:p>
    <w:p>
      <w:pPr>
        <w:spacing w:line="360" w:lineRule="auto"/>
        <w:jc w:val="center"/>
        <w:outlineLvl w:val="0"/>
        <w:rPr>
          <w:rFonts w:eastAsiaTheme="minorEastAsia"/>
          <w:b/>
          <w:color w:val="000000" w:themeColor="text1"/>
          <w:sz w:val="36"/>
          <w:szCs w:val="36"/>
          <w14:textFill>
            <w14:solidFill>
              <w14:schemeClr w14:val="tx1"/>
            </w14:solidFill>
          </w14:textFill>
        </w:rPr>
      </w:pPr>
      <w:bookmarkStart w:id="573" w:name="_Toc150480792"/>
      <w:bookmarkStart w:id="574" w:name="_Toc305158896"/>
      <w:bookmarkStart w:id="575" w:name="_Toc150774759"/>
      <w:bookmarkStart w:id="576" w:name="_Toc226337250"/>
      <w:bookmarkStart w:id="577" w:name="_Toc264969244"/>
      <w:bookmarkStart w:id="578" w:name="_Toc353825544"/>
      <w:bookmarkStart w:id="579" w:name="_Toc226965827"/>
      <w:bookmarkStart w:id="580" w:name="_Toc353873664"/>
      <w:bookmarkStart w:id="581" w:name="_Toc265228392"/>
      <w:bookmarkStart w:id="582" w:name="_Toc305158822"/>
      <w:bookmarkStart w:id="583" w:name="_Toc142311056"/>
      <w:bookmarkStart w:id="584" w:name="_Toc127151554"/>
      <w:bookmarkStart w:id="585" w:name="_Toc353873934"/>
      <w:r>
        <w:rPr>
          <w:rFonts w:eastAsiaTheme="minorEastAsia"/>
          <w:color w:val="000000" w:themeColor="text1"/>
          <w:sz w:val="24"/>
          <w14:textFill>
            <w14:solidFill>
              <w14:schemeClr w14:val="tx1"/>
            </w14:solidFill>
          </w14:textFill>
        </w:rPr>
        <w:br w:type="page"/>
      </w:r>
      <w:bookmarkStart w:id="586" w:name="_Toc97371943"/>
      <w:r>
        <w:rPr>
          <w:rFonts w:eastAsiaTheme="minorEastAsia"/>
          <w:b/>
          <w:color w:val="000000" w:themeColor="text1"/>
          <w:sz w:val="36"/>
          <w:szCs w:val="36"/>
          <w14:textFill>
            <w14:solidFill>
              <w14:schemeClr w14:val="tx1"/>
            </w14:solidFill>
          </w14:textFill>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color w:val="000000" w:themeColor="text1"/>
          <w:sz w:val="36"/>
          <w:szCs w:val="36"/>
          <w14:textFill>
            <w14:solidFill>
              <w14:schemeClr w14:val="tx1"/>
            </w14:solidFill>
          </w14:textFill>
        </w:rPr>
        <w:t>评审方法和评审标准</w:t>
      </w:r>
      <w:bookmarkEnd w:id="586"/>
      <w:bookmarkStart w:id="587" w:name="_Toc487900382"/>
    </w:p>
    <w:p>
      <w:pPr>
        <w:pStyle w:val="3"/>
        <w:spacing w:before="0" w:line="360" w:lineRule="auto"/>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一、资格审查程序</w:t>
      </w:r>
    </w:p>
    <w:p>
      <w:pPr>
        <w:tabs>
          <w:tab w:val="left" w:pos="1080"/>
        </w:tabs>
        <w:snapToGrid w:val="0"/>
        <w:jc w:val="left"/>
        <w:rPr>
          <w:rFonts w:eastAsiaTheme="minorEastAsia"/>
          <w:b/>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bookmarkStart w:id="588" w:name="_Toc150774641"/>
      <w:bookmarkStart w:id="589" w:name="_Toc151193711"/>
      <w:bookmarkStart w:id="590" w:name="_Toc305158883"/>
      <w:bookmarkStart w:id="591" w:name="_Toc226309785"/>
      <w:bookmarkStart w:id="592" w:name="_Toc151193929"/>
      <w:bookmarkStart w:id="593" w:name="_Toc151193639"/>
      <w:bookmarkStart w:id="594" w:name="_Toc149720834"/>
      <w:bookmarkStart w:id="595" w:name="_Toc150774746"/>
      <w:bookmarkStart w:id="596" w:name="_Toc127151742"/>
      <w:bookmarkStart w:id="597" w:name="_Toc151193855"/>
      <w:bookmarkStart w:id="598" w:name="_Toc150509292"/>
      <w:bookmarkStart w:id="599" w:name="_Toc164229382"/>
      <w:bookmarkStart w:id="600" w:name="_Toc164608810"/>
      <w:bookmarkStart w:id="601" w:name="_Toc164229236"/>
      <w:bookmarkStart w:id="602" w:name="_Toc195842906"/>
      <w:bookmarkStart w:id="603" w:name="_Toc142311043"/>
      <w:bookmarkStart w:id="604" w:name="_Toc265228379"/>
      <w:bookmarkStart w:id="605" w:name="_Toc150480779"/>
      <w:bookmarkStart w:id="606" w:name="_Toc226965814"/>
      <w:bookmarkStart w:id="607" w:name="_Toc305158809"/>
      <w:bookmarkStart w:id="608" w:name="_Toc127161455"/>
      <w:bookmarkStart w:id="609" w:name="_Toc226337237"/>
      <w:bookmarkStart w:id="610" w:name="_Toc127151541"/>
      <w:bookmarkStart w:id="611" w:name="_Toc151190168"/>
      <w:bookmarkStart w:id="612" w:name="_Toc226965731"/>
      <w:bookmarkStart w:id="613" w:name="_Toc164608655"/>
      <w:bookmarkStart w:id="614" w:name="_Toc164351635"/>
      <w:bookmarkStart w:id="615" w:name="_Toc264969231"/>
      <w:bookmarkStart w:id="616" w:name="_Toc151193783"/>
      <w:bookmarkStart w:id="617" w:name="_Toc353825551"/>
      <w:bookmarkStart w:id="618" w:name="_Toc353873941"/>
      <w:bookmarkStart w:id="619" w:name="_Toc127151555"/>
      <w:bookmarkStart w:id="620" w:name="_Toc305158897"/>
      <w:bookmarkStart w:id="621" w:name="_Toc305158823"/>
      <w:bookmarkStart w:id="622" w:name="_Toc150480793"/>
      <w:bookmarkStart w:id="623" w:name="_Toc353873665"/>
      <w:bookmarkStart w:id="624" w:name="_Toc265228393"/>
      <w:bookmarkStart w:id="625" w:name="_Toc226965828"/>
      <w:bookmarkStart w:id="626" w:name="_Toc353825545"/>
      <w:bookmarkStart w:id="627" w:name="_Toc195842920"/>
      <w:bookmarkStart w:id="628" w:name="_Toc226337251"/>
      <w:bookmarkStart w:id="629" w:name="_Toc353873935"/>
      <w:bookmarkStart w:id="630" w:name="_Toc150774760"/>
      <w:bookmarkStart w:id="631" w:name="_Toc264969245"/>
      <w:bookmarkStart w:id="632" w:name="_Toc142311057"/>
      <w:r>
        <w:rPr>
          <w:rFonts w:eastAsiaTheme="minorEastAsia"/>
          <w:color w:val="000000" w:themeColor="text1"/>
          <w:sz w:val="24"/>
          <w14:textFill>
            <w14:solidFill>
              <w14:schemeClr w14:val="tx1"/>
            </w14:solidFill>
          </w14:textFill>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color w:val="000000" w:themeColor="text1"/>
          <w:sz w:val="24"/>
          <w14:textFill>
            <w14:solidFill>
              <w14:schemeClr w14:val="tx1"/>
            </w14:solidFill>
          </w14:textFill>
        </w:rPr>
        <w:t>资格性检查和符合性审查</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color w:val="000000" w:themeColor="text1"/>
          <w:sz w:val="24"/>
          <w14:textFill>
            <w14:solidFill>
              <w14:schemeClr w14:val="tx1"/>
            </w14:solidFill>
          </w14:textFill>
        </w:rPr>
        <w:t>无效响应</w:t>
      </w:r>
      <w:r>
        <w:rPr>
          <w:rFonts w:eastAsiaTheme="minorEastAsia"/>
          <w:color w:val="000000" w:themeColor="text1"/>
          <w:sz w:val="24"/>
          <w14:textFill>
            <w14:solidFill>
              <w14:schemeClr w14:val="tx1"/>
            </w14:solidFill>
          </w14:textFill>
        </w:rPr>
        <w:t>处理，磋商小组应当告知提交响应文件的供应商。</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《资格性检查要求》中对格式有要求的，除竞争性磋商文件另有规定外，均为“实质性格式”文件。</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《资格性检查要求》见下表：</w:t>
      </w:r>
    </w:p>
    <w:p>
      <w:pPr>
        <w:tabs>
          <w:tab w:val="left" w:pos="900"/>
          <w:tab w:val="left" w:pos="1080"/>
        </w:tabs>
        <w:snapToGrid w:val="0"/>
        <w:spacing w:line="360" w:lineRule="auto"/>
        <w:ind w:left="1077" w:firstLine="2650" w:firstLineChars="1100"/>
        <w:rPr>
          <w:rFonts w:eastAsiaTheme="minorEastAsia"/>
          <w:b/>
          <w:color w:val="000000" w:themeColor="text1"/>
          <w:sz w:val="24"/>
          <w14:textFill>
            <w14:solidFill>
              <w14:schemeClr w14:val="tx1"/>
            </w14:solidFill>
          </w14:textFill>
        </w:rPr>
      </w:pPr>
      <w:r>
        <w:rPr>
          <w:rFonts w:eastAsiaTheme="minorEastAsia"/>
          <w:b/>
          <w:color w:val="000000" w:themeColor="text1"/>
          <w:sz w:val="24"/>
          <w14:textFill>
            <w14:solidFill>
              <w14:schemeClr w14:val="tx1"/>
            </w14:solidFill>
          </w14:textFill>
        </w:rPr>
        <w:t>资格性检查要求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733"/>
        <w:gridCol w:w="4769"/>
        <w:gridCol w:w="1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color w:val="000000" w:themeColor="text1"/>
                <w:sz w:val="21"/>
                <w:szCs w:val="21"/>
                <w14:textFill>
                  <w14:solidFill>
                    <w14:schemeClr w14:val="tx1"/>
                  </w14:solidFill>
                </w14:textFill>
              </w:rPr>
            </w:pPr>
            <w:bookmarkStart w:id="633" w:name="_Hlt487972895"/>
            <w:bookmarkEnd w:id="633"/>
            <w:r>
              <w:rPr>
                <w:rFonts w:eastAsiaTheme="minorEastAsia"/>
                <w:b/>
                <w:color w:val="000000" w:themeColor="text1"/>
                <w:sz w:val="21"/>
                <w:szCs w:val="21"/>
                <w14:textFill>
                  <w14:solidFill>
                    <w14:schemeClr w14:val="tx1"/>
                  </w14:solidFill>
                </w14:textFill>
              </w:rPr>
              <w:t>序号</w:t>
            </w:r>
          </w:p>
        </w:tc>
        <w:tc>
          <w:tcPr>
            <w:tcW w:w="937" w:type="pct"/>
            <w:vAlign w:val="center"/>
          </w:tcPr>
          <w:p>
            <w:pPr>
              <w:tabs>
                <w:tab w:val="left" w:pos="1080"/>
              </w:tabs>
              <w:snapToGrid w:val="0"/>
              <w:jc w:val="center"/>
              <w:rPr>
                <w:rFonts w:eastAsiaTheme="minorEastAsia"/>
                <w:b/>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检查因素</w:t>
            </w:r>
          </w:p>
        </w:tc>
        <w:tc>
          <w:tcPr>
            <w:tcW w:w="2578" w:type="pct"/>
            <w:vAlign w:val="center"/>
          </w:tcPr>
          <w:p>
            <w:pPr>
              <w:tabs>
                <w:tab w:val="left" w:pos="1080"/>
              </w:tabs>
              <w:snapToGrid w:val="0"/>
              <w:jc w:val="center"/>
              <w:rPr>
                <w:rFonts w:eastAsiaTheme="minorEastAsia"/>
                <w:b/>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检查内容</w:t>
            </w:r>
          </w:p>
        </w:tc>
        <w:tc>
          <w:tcPr>
            <w:tcW w:w="1027" w:type="pct"/>
            <w:vAlign w:val="center"/>
          </w:tcPr>
          <w:p>
            <w:pPr>
              <w:tabs>
                <w:tab w:val="left" w:pos="1080"/>
              </w:tabs>
              <w:snapToGrid w:val="0"/>
              <w:jc w:val="center"/>
              <w:rPr>
                <w:rFonts w:eastAsiaTheme="minorEastAsia"/>
                <w:b/>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满足《中华人民共和国政府采购法》第二十二条规定及法律法规的其他规定</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具体规定见第一章《采购邀请》</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1-1</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营业执照等证明文件</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供应商为企业（包括合伙企业）的，应提供有效的“营业执照”；</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供应商为事业单位的，应提供有效的“事业单位法人证书”；</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w:t>
            </w:r>
            <w:r>
              <w:rPr>
                <w:rFonts w:hint="eastAsia"/>
                <w:color w:val="000000" w:themeColor="text1"/>
                <w:sz w:val="21"/>
                <w:szCs w:val="21"/>
                <w14:textFill>
                  <w14:solidFill>
                    <w14:schemeClr w14:val="tx1"/>
                  </w14:solidFill>
                </w14:textFill>
              </w:rPr>
              <w:t>是非企业机构的，应提供有效的“执业许可证”、“登记证书”等证明文件</w:t>
            </w:r>
            <w:r>
              <w:rPr>
                <w:rFonts w:eastAsiaTheme="minorEastAsia"/>
                <w:color w:val="000000" w:themeColor="text1"/>
                <w:sz w:val="21"/>
                <w:szCs w:val="21"/>
                <w14:textFill>
                  <w14:solidFill>
                    <w14:schemeClr w14:val="tx1"/>
                  </w14:solidFill>
                </w14:textFill>
              </w:rPr>
              <w:t>；</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供应商是个体工商户的，应提供有效的“个体工商户营业执照”；</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供应商是自然人的，应提供有效的自然人身份证明。</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若本项目允许分支机构参加响应，则分支机构参加</w:t>
            </w:r>
            <w:r>
              <w:rPr>
                <w:rFonts w:eastAsiaTheme="minorEastAsia"/>
                <w:color w:val="000000" w:themeColor="text1"/>
                <w:kern w:val="0"/>
                <w:sz w:val="21"/>
                <w:szCs w:val="21"/>
                <w14:textFill>
                  <w14:solidFill>
                    <w14:schemeClr w14:val="tx1"/>
                  </w14:solidFill>
                </w14:textFill>
              </w:rPr>
              <w:t>响应</w:t>
            </w:r>
            <w:r>
              <w:rPr>
                <w:rFonts w:eastAsiaTheme="minorEastAsia"/>
                <w:color w:val="000000" w:themeColor="text1"/>
                <w:sz w:val="21"/>
                <w:szCs w:val="21"/>
                <w14:textFill>
                  <w14:solidFill>
                    <w14:schemeClr w14:val="tx1"/>
                  </w14:solidFill>
                </w14:textFill>
              </w:rPr>
              <w:t>的，此处可提供该分支机构或其所属法人或其他组织的相应证明文件。</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提供证明文件</w:t>
            </w:r>
            <w:r>
              <w:rPr>
                <w:rFonts w:hint="eastAsia" w:eastAsiaTheme="minorEastAsia"/>
                <w:color w:val="000000" w:themeColor="text1"/>
                <w:sz w:val="21"/>
                <w:szCs w:val="21"/>
                <w14:textFill>
                  <w14:solidFill>
                    <w14:schemeClr w14:val="tx1"/>
                  </w14:solidFill>
                </w14:textFill>
              </w:rPr>
              <w:t>（加盖公章）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1-2</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供应商资格声明书</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提供了符合竞争性磋商文件要求的《供应商资格声明书》。</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1-3</w:t>
            </w:r>
          </w:p>
        </w:tc>
        <w:tc>
          <w:tcPr>
            <w:tcW w:w="937"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供应商信用记录</w:t>
            </w:r>
          </w:p>
        </w:tc>
        <w:tc>
          <w:tcPr>
            <w:tcW w:w="2578"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查询渠道：信用中国网站和中国政府采购网（www.creditchina.gov.cn、www.ccgp.gov.cn）；</w:t>
            </w:r>
          </w:p>
          <w:p>
            <w:pPr>
              <w:tabs>
                <w:tab w:val="left" w:pos="900"/>
                <w:tab w:val="left" w:pos="19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截止时点：</w:t>
            </w:r>
            <w:r>
              <w:rPr>
                <w:rFonts w:eastAsiaTheme="minorEastAsia"/>
                <w:color w:val="000000" w:themeColor="text1"/>
                <w:kern w:val="0"/>
                <w:sz w:val="21"/>
                <w:szCs w:val="21"/>
                <w14:textFill>
                  <w14:solidFill>
                    <w14:schemeClr w14:val="tx1"/>
                  </w14:solidFill>
                </w14:textFill>
              </w:rPr>
              <w:t>首次响应文件提交截止时间以后</w:t>
            </w:r>
            <w:r>
              <w:rPr>
                <w:rFonts w:eastAsiaTheme="minorEastAsia"/>
                <w:color w:val="000000" w:themeColor="text1"/>
                <w:sz w:val="21"/>
                <w:szCs w:val="21"/>
                <w14:textFill>
                  <w14:solidFill>
                    <w14:schemeClr w14:val="tx1"/>
                  </w14:solidFill>
                </w14:textFill>
              </w:rPr>
              <w:t>、资格性检查阶段采购人或采购代理机构的实际查询时间为准；</w:t>
            </w:r>
          </w:p>
          <w:p>
            <w:pPr>
              <w:tabs>
                <w:tab w:val="left" w:pos="900"/>
                <w:tab w:val="left" w:pos="19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信用信息查询记录和证据留存具体方式：查询结果网页打印页作为查询记录和证据，与其他竞争性磋商文件一并保存；</w:t>
            </w:r>
          </w:p>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信用信息的使用原则：经认定的被列入失信被执行人、重大税收违法案件当事人名单、政府采购严重违法失信行为记录名单的供应商，其</w:t>
            </w:r>
            <w:r>
              <w:rPr>
                <w:rFonts w:eastAsiaTheme="minorEastAsia"/>
                <w:b/>
                <w:color w:val="000000" w:themeColor="text1"/>
                <w:sz w:val="21"/>
                <w:szCs w:val="21"/>
                <w14:textFill>
                  <w14:solidFill>
                    <w14:schemeClr w14:val="tx1"/>
                  </w14:solidFill>
                </w14:textFill>
              </w:rPr>
              <w:t>响应无效</w:t>
            </w:r>
            <w:r>
              <w:rPr>
                <w:rFonts w:eastAsiaTheme="minorEastAsia"/>
                <w:color w:val="000000" w:themeColor="text1"/>
                <w:sz w:val="21"/>
                <w:szCs w:val="21"/>
                <w14:textFill>
                  <w14:solidFill>
                    <w14:schemeClr w14:val="tx1"/>
                  </w14:solidFill>
                </w14:textFill>
              </w:rPr>
              <w:t>。联合体形式磋商的，联合体成员存在不良信用记录，视同联合体存在不良信用记录。</w:t>
            </w:r>
          </w:p>
        </w:tc>
        <w:tc>
          <w:tcPr>
            <w:tcW w:w="1027"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落实政府采购政策需满足的资格要求</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具体要求见第一章《采购邀请》</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出具加盖</w:t>
            </w:r>
            <w:r>
              <w:rPr>
                <w:rFonts w:hint="eastAsia" w:eastAsiaTheme="minorEastAsia"/>
                <w:color w:val="000000" w:themeColor="text1"/>
                <w:sz w:val="21"/>
                <w:szCs w:val="21"/>
                <w14:textFill>
                  <w14:solidFill>
                    <w14:schemeClr w14:val="tx1"/>
                  </w14:solidFill>
                </w14:textFill>
              </w:rPr>
              <w:t>供应商</w:t>
            </w:r>
            <w:r>
              <w:rPr>
                <w:rFonts w:eastAsiaTheme="minorEastAsia"/>
                <w:color w:val="000000" w:themeColor="text1"/>
                <w:sz w:val="21"/>
                <w:szCs w:val="21"/>
                <w14:textFill>
                  <w14:solidFill>
                    <w14:schemeClr w14:val="tx1"/>
                  </w14:solidFill>
                </w14:textFill>
              </w:rPr>
              <w:t>单位公章的承诺证明书</w:t>
            </w:r>
            <w:r>
              <w:rPr>
                <w:rFonts w:hint="eastAsia" w:eastAsiaTheme="minorEastAsia"/>
                <w:color w:val="000000" w:themeColor="text1"/>
                <w:sz w:val="21"/>
                <w:szCs w:val="21"/>
                <w14:textFill>
                  <w14:solidFill>
                    <w14:schemeClr w14:val="tx1"/>
                  </w14:solidFill>
                </w14:textFill>
              </w:rPr>
              <w:t>（格式自制）。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2-1</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中小企业声明函</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当本项目（包）涉及预留份额专门面向中小企业采购，提供如下资料： </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1、供应商单独响应的，应提供中小企业声明函；如为监狱企业或残疾人福利性单位，不必提供中小企业声明函，但须按注1或注2要求提供证明材料。</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eastAsiaTheme="minorEastAsia"/>
                <w:color w:val="000000" w:themeColor="text1"/>
                <w:sz w:val="21"/>
                <w:szCs w:val="21"/>
                <w14:textFill>
                  <w14:solidFill>
                    <w14:schemeClr w14:val="tx1"/>
                  </w14:solidFill>
                </w14:textFill>
              </w:rPr>
            </w:pP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注1：监狱企业须提供由省级以上监狱管理局（北京市含教育矫治局）、戒毒管理局（含新疆生产建设兵团）出具的属于监狱企业的证明文件。</w:t>
            </w:r>
          </w:p>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注2：残疾人福利性单位须按磋商文件要求提供《残疾人福利性单位声明函》。</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5"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w:t>
            </w:r>
          </w:p>
        </w:tc>
        <w:tc>
          <w:tcPr>
            <w:tcW w:w="93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本项目的特定资格要求</w:t>
            </w:r>
          </w:p>
        </w:tc>
        <w:tc>
          <w:tcPr>
            <w:tcW w:w="2578"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见第一章《采购邀请》</w:t>
            </w:r>
          </w:p>
        </w:tc>
        <w:tc>
          <w:tcPr>
            <w:tcW w:w="1027" w:type="pct"/>
            <w:vAlign w:val="center"/>
          </w:tcPr>
          <w:p>
            <w:pPr>
              <w:tabs>
                <w:tab w:val="left" w:pos="1080"/>
              </w:tabs>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提供证明文件</w:t>
            </w:r>
            <w:r>
              <w:rPr>
                <w:rFonts w:hint="eastAsia" w:eastAsiaTheme="minorEastAsia"/>
                <w:color w:val="000000" w:themeColor="text1"/>
                <w:sz w:val="21"/>
                <w:szCs w:val="21"/>
                <w14:textFill>
                  <w14:solidFill>
                    <w14:schemeClr w14:val="tx1"/>
                  </w14:solidFill>
                </w14:textFill>
              </w:rPr>
              <w:t>（加盖公章）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5" w:hRule="atLeast"/>
        </w:trPr>
        <w:tc>
          <w:tcPr>
            <w:tcW w:w="455" w:type="pct"/>
            <w:vAlign w:val="center"/>
          </w:tcPr>
          <w:p>
            <w:pPr>
              <w:tabs>
                <w:tab w:val="left" w:pos="1080"/>
              </w:tabs>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w:t>
            </w:r>
            <w:r>
              <w:rPr>
                <w:rFonts w:hint="eastAsia" w:eastAsiaTheme="minorEastAsia"/>
                <w:color w:val="000000" w:themeColor="text1"/>
                <w:sz w:val="21"/>
                <w:szCs w:val="21"/>
                <w14:textFill>
                  <w14:solidFill>
                    <w14:schemeClr w14:val="tx1"/>
                  </w14:solidFill>
                </w14:textFill>
              </w:rPr>
              <w:t>1</w:t>
            </w:r>
          </w:p>
        </w:tc>
        <w:tc>
          <w:tcPr>
            <w:tcW w:w="937"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其他特定资格要求</w:t>
            </w:r>
          </w:p>
        </w:tc>
        <w:tc>
          <w:tcPr>
            <w:tcW w:w="2578"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见第一章《采购邀请》</w:t>
            </w:r>
          </w:p>
        </w:tc>
        <w:tc>
          <w:tcPr>
            <w:tcW w:w="1027" w:type="pct"/>
            <w:vAlign w:val="center"/>
          </w:tcPr>
          <w:p>
            <w:pPr>
              <w:tabs>
                <w:tab w:val="left" w:pos="1080"/>
              </w:tabs>
              <w:snapToGrid w:val="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提供证明文件</w:t>
            </w:r>
            <w:r>
              <w:rPr>
                <w:rFonts w:hint="eastAsia" w:eastAsiaTheme="minorEastAsia"/>
                <w:color w:val="000000" w:themeColor="text1"/>
                <w:sz w:val="21"/>
                <w:szCs w:val="21"/>
                <w14:textFill>
                  <w14:solidFill>
                    <w14:schemeClr w14:val="tx1"/>
                  </w14:solidFill>
                </w14:textFill>
              </w:rPr>
              <w:t>（加盖公章）</w:t>
            </w:r>
          </w:p>
        </w:tc>
      </w:tr>
    </w:tbl>
    <w:p>
      <w:pPr>
        <w:numPr>
          <w:ilvl w:val="1"/>
          <w:numId w:val="12"/>
        </w:numPr>
        <w:tabs>
          <w:tab w:val="left" w:pos="1080"/>
        </w:tabs>
        <w:snapToGrid w:val="0"/>
        <w:spacing w:line="360" w:lineRule="auto"/>
        <w:ind w:left="1077" w:hanging="720"/>
        <w:rPr>
          <w:rFonts w:eastAsiaTheme="minorEastAsia"/>
          <w:b/>
          <w:color w:val="000000" w:themeColor="text1"/>
          <w:kern w:val="0"/>
          <w:sz w:val="24"/>
          <w14:textFill>
            <w14:solidFill>
              <w14:schemeClr w14:val="tx1"/>
            </w14:solidFill>
          </w14:textFill>
        </w:rPr>
      </w:pPr>
      <w:r>
        <w:rPr>
          <w:rFonts w:eastAsiaTheme="minorEastAsia"/>
          <w:color w:val="000000" w:themeColor="text1"/>
          <w:sz w:val="24"/>
          <w14:textFill>
            <w14:solidFill>
              <w14:schemeClr w14:val="tx1"/>
            </w14:solidFill>
          </w14:textFill>
        </w:rPr>
        <w:t>《符合性审查要求》见下表：</w:t>
      </w:r>
    </w:p>
    <w:p>
      <w:pPr>
        <w:widowControl/>
        <w:spacing w:line="360" w:lineRule="auto"/>
        <w:jc w:val="center"/>
        <w:rPr>
          <w:rFonts w:eastAsiaTheme="minorEastAsia"/>
          <w:b/>
          <w:color w:val="000000" w:themeColor="text1"/>
          <w:kern w:val="0"/>
          <w:sz w:val="24"/>
          <w14:textFill>
            <w14:solidFill>
              <w14:schemeClr w14:val="tx1"/>
            </w14:solidFill>
          </w14:textFill>
        </w:rPr>
      </w:pPr>
      <w:r>
        <w:rPr>
          <w:rFonts w:eastAsiaTheme="minorEastAsia"/>
          <w:b/>
          <w:color w:val="000000" w:themeColor="text1"/>
          <w:kern w:val="0"/>
          <w:sz w:val="24"/>
          <w14:textFill>
            <w14:solidFill>
              <w14:schemeClr w14:val="tx1"/>
            </w14:solidFill>
          </w14:textFill>
        </w:rPr>
        <w:t>符合性审查要求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812"/>
        <w:gridCol w:w="6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4" w:type="dxa"/>
            <w:noWrap w:val="0"/>
            <w:vAlign w:val="center"/>
          </w:tcPr>
          <w:p>
            <w:pPr>
              <w:widowControl/>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序号</w:t>
            </w:r>
          </w:p>
        </w:tc>
        <w:tc>
          <w:tcPr>
            <w:tcW w:w="1812" w:type="dxa"/>
            <w:noWrap w:val="0"/>
            <w:vAlign w:val="center"/>
          </w:tcPr>
          <w:p>
            <w:pPr>
              <w:widowControl/>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审查因素</w:t>
            </w:r>
          </w:p>
        </w:tc>
        <w:tc>
          <w:tcPr>
            <w:tcW w:w="6742" w:type="dxa"/>
            <w:noWrap w:val="0"/>
            <w:vAlign w:val="center"/>
          </w:tcPr>
          <w:p>
            <w:pPr>
              <w:widowControl/>
              <w:jc w:val="center"/>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812"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授权委托书</w:t>
            </w:r>
          </w:p>
        </w:tc>
        <w:tc>
          <w:tcPr>
            <w:tcW w:w="6742" w:type="dxa"/>
            <w:noWrap w:val="0"/>
            <w:vAlign w:val="center"/>
          </w:tcPr>
          <w:p>
            <w:pPr>
              <w:widowControl/>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按</w:t>
            </w:r>
            <w:r>
              <w:rPr>
                <w:rFonts w:hint="eastAsia" w:ascii="宋体" w:hAnsi="宋体" w:cs="宋体"/>
                <w:color w:val="000000"/>
                <w:kern w:val="0"/>
                <w:sz w:val="21"/>
                <w:szCs w:val="21"/>
                <w:highlight w:val="none"/>
                <w:lang w:val="en-US" w:eastAsia="zh-CN"/>
              </w:rPr>
              <w:t>竞争性磋商</w:t>
            </w:r>
            <w:r>
              <w:rPr>
                <w:rFonts w:hint="eastAsia" w:ascii="宋体" w:hAnsi="宋体" w:eastAsia="宋体" w:cs="宋体"/>
                <w:color w:val="000000"/>
                <w:kern w:val="0"/>
                <w:sz w:val="21"/>
                <w:szCs w:val="21"/>
                <w:highlight w:val="none"/>
              </w:rPr>
              <w:t>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投标报价</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投标报价未</w:t>
            </w:r>
            <w:r>
              <w:rPr>
                <w:rFonts w:hint="eastAsia" w:ascii="宋体" w:hAnsi="宋体" w:eastAsia="宋体" w:cs="宋体"/>
                <w:color w:val="000000"/>
                <w:sz w:val="21"/>
                <w:szCs w:val="21"/>
                <w:highlight w:val="none"/>
              </w:rPr>
              <w:t>超过</w:t>
            </w:r>
            <w:r>
              <w:rPr>
                <w:rFonts w:hint="eastAsia" w:ascii="宋体" w:hAnsi="宋体" w:cs="宋体"/>
                <w:color w:val="000000"/>
                <w:sz w:val="21"/>
                <w:szCs w:val="21"/>
                <w:highlight w:val="none"/>
                <w:lang w:val="en-US" w:eastAsia="zh-CN"/>
              </w:rPr>
              <w:t>竞争性磋商</w:t>
            </w:r>
            <w:r>
              <w:rPr>
                <w:rFonts w:hint="eastAsia" w:ascii="宋体" w:hAnsi="宋体" w:eastAsia="宋体" w:cs="宋体"/>
                <w:color w:val="000000"/>
                <w:sz w:val="21"/>
                <w:szCs w:val="21"/>
                <w:highlight w:val="none"/>
              </w:rPr>
              <w:t>文件中规定的项目/采购包预算金额或者项目/采购包最高限价</w:t>
            </w:r>
            <w:r>
              <w:rPr>
                <w:rFonts w:hint="eastAsia" w:ascii="宋体" w:hAnsi="宋体" w:eastAsia="宋体" w:cs="宋体"/>
                <w:color w:val="000000"/>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投标有效期</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供应商应答</w:t>
            </w:r>
            <w:r>
              <w:rPr>
                <w:rFonts w:hint="eastAsia" w:ascii="宋体" w:hAnsi="宋体" w:eastAsia="宋体" w:cs="宋体"/>
                <w:color w:val="000000"/>
                <w:kern w:val="0"/>
                <w:sz w:val="21"/>
                <w:szCs w:val="21"/>
                <w:highlight w:val="none"/>
              </w:rPr>
              <w:t>文件中承诺的投标有效期满足</w:t>
            </w:r>
            <w:r>
              <w:rPr>
                <w:rFonts w:hint="eastAsia" w:ascii="宋体" w:hAnsi="宋体" w:cs="宋体"/>
                <w:color w:val="000000"/>
                <w:kern w:val="0"/>
                <w:sz w:val="21"/>
                <w:szCs w:val="21"/>
                <w:highlight w:val="none"/>
                <w:lang w:val="en-US" w:eastAsia="zh-CN"/>
              </w:rPr>
              <w:t>竞争性磋商</w:t>
            </w:r>
            <w:r>
              <w:rPr>
                <w:rFonts w:hint="eastAsia" w:ascii="宋体" w:hAnsi="宋体" w:eastAsia="宋体" w:cs="宋体"/>
                <w:color w:val="000000"/>
                <w:kern w:val="0"/>
                <w:sz w:val="21"/>
                <w:szCs w:val="21"/>
                <w:highlight w:val="none"/>
              </w:rPr>
              <w:t>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4</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合同履行期限</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sz w:val="21"/>
                <w:szCs w:val="21"/>
                <w:highlight w:val="none"/>
              </w:rPr>
              <w:t>满足</w:t>
            </w:r>
            <w:r>
              <w:rPr>
                <w:rFonts w:hint="eastAsia" w:ascii="宋体" w:hAnsi="宋体" w:cs="宋体"/>
                <w:sz w:val="21"/>
                <w:szCs w:val="21"/>
                <w:highlight w:val="none"/>
                <w:lang w:val="en-US" w:eastAsia="zh-CN"/>
              </w:rPr>
              <w:t>竞争性磋商</w:t>
            </w:r>
            <w:r>
              <w:rPr>
                <w:rFonts w:hint="eastAsia" w:ascii="宋体" w:hAnsi="宋体" w:eastAsia="宋体" w:cs="宋体"/>
                <w:sz w:val="21"/>
                <w:szCs w:val="21"/>
                <w:highlight w:val="none"/>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5</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签署、盖章</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按照</w:t>
            </w:r>
            <w:r>
              <w:rPr>
                <w:rFonts w:hint="eastAsia" w:ascii="宋体" w:hAnsi="宋体" w:cs="宋体"/>
                <w:color w:val="000000"/>
                <w:kern w:val="0"/>
                <w:sz w:val="21"/>
                <w:szCs w:val="21"/>
                <w:highlight w:val="none"/>
                <w:lang w:val="en-US" w:eastAsia="zh-CN"/>
              </w:rPr>
              <w:t>竞争性磋商</w:t>
            </w:r>
            <w:r>
              <w:rPr>
                <w:rFonts w:hint="eastAsia" w:ascii="宋体" w:hAnsi="宋体" w:eastAsia="宋体" w:cs="宋体"/>
                <w:color w:val="000000"/>
                <w:kern w:val="0"/>
                <w:sz w:val="21"/>
                <w:szCs w:val="21"/>
                <w:highlight w:val="none"/>
              </w:rPr>
              <w:t>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6</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报价合理性</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报价合理，或</w:t>
            </w:r>
            <w:r>
              <w:rPr>
                <w:rFonts w:hint="eastAsia" w:ascii="宋体" w:hAnsi="宋体" w:cs="宋体"/>
                <w:color w:val="000000"/>
                <w:kern w:val="0"/>
                <w:sz w:val="21"/>
                <w:szCs w:val="21"/>
                <w:highlight w:val="none"/>
                <w:lang w:val="en-US" w:eastAsia="zh-CN"/>
              </w:rPr>
              <w:t>供应商</w:t>
            </w:r>
            <w:r>
              <w:rPr>
                <w:rFonts w:hint="eastAsia" w:ascii="宋体" w:hAnsi="宋体" w:eastAsia="宋体" w:cs="宋体"/>
                <w:sz w:val="21"/>
                <w:szCs w:val="21"/>
                <w:highlight w:val="none"/>
              </w:rPr>
              <w:t>的报价明显低于其他通过符合性审查</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rPr>
              <w:t>的报价，有可能影响产品或服务质量或者不能诚信履约的，能够应评标委员会要求在规定时间内证明其报价合理性的</w:t>
            </w:r>
            <w:r>
              <w:rPr>
                <w:rFonts w:hint="eastAsia" w:ascii="宋体" w:hAnsi="宋体" w:eastAsia="宋体" w:cs="宋体"/>
                <w:color w:val="000000"/>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7</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报价的修正（如有）</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不涉及报价修正，或</w:t>
            </w:r>
            <w:r>
              <w:rPr>
                <w:rFonts w:hint="eastAsia" w:ascii="宋体" w:hAnsi="宋体" w:cs="宋体"/>
                <w:color w:val="000000"/>
                <w:kern w:val="0"/>
                <w:sz w:val="21"/>
                <w:szCs w:val="21"/>
                <w:highlight w:val="none"/>
                <w:lang w:val="en-US" w:eastAsia="zh-CN"/>
              </w:rPr>
              <w:t>供应商应答</w:t>
            </w:r>
            <w:r>
              <w:rPr>
                <w:rFonts w:hint="eastAsia" w:ascii="宋体" w:hAnsi="宋体" w:eastAsia="宋体" w:cs="宋体"/>
                <w:color w:val="000000"/>
                <w:kern w:val="0"/>
                <w:sz w:val="21"/>
                <w:szCs w:val="21"/>
                <w:highlight w:val="none"/>
              </w:rPr>
              <w:t>文件报价出现前后不一致时，</w:t>
            </w:r>
            <w:r>
              <w:rPr>
                <w:rFonts w:hint="eastAsia" w:ascii="宋体" w:hAnsi="宋体" w:cs="宋体"/>
                <w:color w:val="000000"/>
                <w:kern w:val="0"/>
                <w:sz w:val="21"/>
                <w:szCs w:val="21"/>
                <w:highlight w:val="none"/>
                <w:lang w:val="en-US" w:eastAsia="zh-CN"/>
              </w:rPr>
              <w:t>供应商</w:t>
            </w:r>
            <w:r>
              <w:rPr>
                <w:rFonts w:hint="eastAsia" w:ascii="宋体" w:hAnsi="宋体" w:eastAsia="宋体" w:cs="宋体"/>
                <w:color w:val="000000"/>
                <w:kern w:val="0"/>
                <w:sz w:val="21"/>
                <w:szCs w:val="21"/>
                <w:highlight w:val="none"/>
              </w:rPr>
              <w:t>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公平竞争</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sz w:val="21"/>
                <w:szCs w:val="21"/>
                <w:highlight w:val="none"/>
                <w:lang w:val="en-US" w:eastAsia="zh-CN"/>
              </w:rPr>
              <w:t>供应商应</w:t>
            </w:r>
            <w:r>
              <w:rPr>
                <w:rFonts w:hint="eastAsia" w:ascii="宋体" w:hAnsi="宋体" w:eastAsia="宋体" w:cs="宋体"/>
                <w:color w:val="000000"/>
                <w:sz w:val="21"/>
                <w:szCs w:val="21"/>
                <w:highlight w:val="none"/>
              </w:rPr>
              <w:t>遵循公平竞争的原则，不存在恶意串通，妨碍其他</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的竞争行为，不存在损害采购人或者其他</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串通投标</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sz w:val="21"/>
                <w:szCs w:val="21"/>
                <w:highlight w:val="none"/>
              </w:rPr>
              <w:t>不存在《政府采购货物和服务招标投标管理办法》视为</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串通投标的情形：（一）不同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的投标文件由同一单位或者个人编制；（二）不同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委托同一单位或者个人办理投标事宜；（三）不同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w:t>
            </w:r>
            <w:r>
              <w:rPr>
                <w:rFonts w:hint="eastAsia" w:ascii="宋体" w:hAnsi="宋体" w:cs="宋体"/>
                <w:color w:val="000000"/>
                <w:sz w:val="21"/>
                <w:szCs w:val="21"/>
                <w:highlight w:val="none"/>
                <w:lang w:val="en-US" w:eastAsia="zh-CN"/>
              </w:rPr>
              <w:t>投标应答</w:t>
            </w:r>
            <w:r>
              <w:rPr>
                <w:rFonts w:hint="eastAsia" w:ascii="宋体" w:hAnsi="宋体" w:eastAsia="宋体" w:cs="宋体"/>
                <w:color w:val="000000"/>
                <w:sz w:val="21"/>
                <w:szCs w:val="21"/>
                <w:highlight w:val="none"/>
              </w:rPr>
              <w:t>文件载明的项目管理成员或者联系人员为同一人；（四）不同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w:t>
            </w:r>
            <w:r>
              <w:rPr>
                <w:rFonts w:hint="eastAsia" w:ascii="宋体" w:hAnsi="宋体" w:cs="宋体"/>
                <w:color w:val="000000"/>
                <w:sz w:val="21"/>
                <w:szCs w:val="21"/>
                <w:highlight w:val="none"/>
                <w:lang w:val="en-US" w:eastAsia="zh-CN"/>
              </w:rPr>
              <w:t>应答</w:t>
            </w:r>
            <w:r>
              <w:rPr>
                <w:rFonts w:hint="eastAsia" w:ascii="宋体" w:hAnsi="宋体" w:eastAsia="宋体" w:cs="宋体"/>
                <w:color w:val="000000"/>
                <w:sz w:val="21"/>
                <w:szCs w:val="21"/>
                <w:highlight w:val="none"/>
              </w:rPr>
              <w:t>文件异常一致或者投标报价呈规律 性差异；（五）不同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w:t>
            </w:r>
            <w:r>
              <w:rPr>
                <w:rFonts w:hint="eastAsia" w:ascii="宋体" w:hAnsi="宋体" w:cs="宋体"/>
                <w:color w:val="000000"/>
                <w:sz w:val="21"/>
                <w:szCs w:val="21"/>
                <w:highlight w:val="none"/>
                <w:lang w:val="en-US" w:eastAsia="zh-CN"/>
              </w:rPr>
              <w:t>应答</w:t>
            </w:r>
            <w:r>
              <w:rPr>
                <w:rFonts w:hint="eastAsia" w:ascii="宋体" w:hAnsi="宋体" w:eastAsia="宋体" w:cs="宋体"/>
                <w:color w:val="000000"/>
                <w:sz w:val="21"/>
                <w:szCs w:val="21"/>
                <w:highlight w:val="none"/>
              </w:rPr>
              <w:t>文件相互混装；（六）不同</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附加条件</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应答</w:t>
            </w:r>
            <w:r>
              <w:rPr>
                <w:rFonts w:hint="eastAsia" w:ascii="宋体" w:hAnsi="宋体" w:eastAsia="宋体" w:cs="宋体"/>
                <w:color w:val="000000"/>
                <w:kern w:val="0"/>
                <w:sz w:val="21"/>
                <w:szCs w:val="21"/>
                <w:highlight w:val="none"/>
              </w:rPr>
              <w:t>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w:t>
            </w:r>
          </w:p>
        </w:tc>
        <w:tc>
          <w:tcPr>
            <w:tcW w:w="1812" w:type="dxa"/>
            <w:noWrap w:val="0"/>
            <w:vAlign w:val="center"/>
          </w:tcPr>
          <w:p>
            <w:pPr>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sz w:val="21"/>
                <w:szCs w:val="21"/>
                <w:highlight w:val="none"/>
              </w:rPr>
              <w:t>施工现场安全生产标准化管理目标等级</w:t>
            </w:r>
          </w:p>
        </w:tc>
        <w:tc>
          <w:tcPr>
            <w:tcW w:w="6742" w:type="dxa"/>
            <w:noWrap w:val="0"/>
            <w:vAlign w:val="center"/>
          </w:tcPr>
          <w:p>
            <w:pP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sz w:val="21"/>
                <w:szCs w:val="21"/>
                <w:highlight w:val="none"/>
              </w:rPr>
              <w:t>等级满足</w:t>
            </w:r>
            <w:r>
              <w:rPr>
                <w:rFonts w:hint="eastAsia" w:ascii="宋体" w:hAnsi="宋体" w:cs="宋体"/>
                <w:sz w:val="21"/>
                <w:szCs w:val="21"/>
                <w:highlight w:val="none"/>
                <w:lang w:val="en-US" w:eastAsia="zh-CN"/>
              </w:rPr>
              <w:t>竞争性磋商</w:t>
            </w:r>
            <w:r>
              <w:rPr>
                <w:rFonts w:hint="eastAsia" w:ascii="宋体" w:hAnsi="宋体" w:eastAsia="宋体" w:cs="宋体"/>
                <w:sz w:val="21"/>
                <w:szCs w:val="21"/>
                <w:highlight w:val="none"/>
              </w:rPr>
              <w:t>文件要求的等级标准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12</w:t>
            </w:r>
          </w:p>
        </w:tc>
        <w:tc>
          <w:tcPr>
            <w:tcW w:w="1812" w:type="dxa"/>
            <w:noWrap w:val="0"/>
            <w:vAlign w:val="center"/>
          </w:tcPr>
          <w:p>
            <w:pPr>
              <w:pStyle w:val="248"/>
              <w:spacing w:before="31"/>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sz w:val="21"/>
                <w:szCs w:val="21"/>
                <w:highlight w:val="none"/>
              </w:rPr>
              <w:t>质量</w:t>
            </w:r>
          </w:p>
        </w:tc>
        <w:tc>
          <w:tcPr>
            <w:tcW w:w="6742" w:type="dxa"/>
            <w:noWrap w:val="0"/>
            <w:vAlign w:val="center"/>
          </w:tcPr>
          <w:p>
            <w:pPr>
              <w:pStyle w:val="248"/>
              <w:spacing w:before="31"/>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eastAsia="zh-CN"/>
              </w:rPr>
              <w:t>质量标准满足</w:t>
            </w:r>
            <w:r>
              <w:rPr>
                <w:rFonts w:hint="eastAsia" w:cs="宋体"/>
                <w:sz w:val="21"/>
                <w:szCs w:val="21"/>
                <w:highlight w:val="none"/>
                <w:lang w:val="en-US" w:eastAsia="zh-CN"/>
              </w:rPr>
              <w:t>竞争性磋商</w:t>
            </w:r>
            <w:r>
              <w:rPr>
                <w:rFonts w:hint="eastAsia" w:ascii="宋体" w:hAnsi="宋体" w:eastAsia="宋体" w:cs="宋体"/>
                <w:sz w:val="21"/>
                <w:szCs w:val="21"/>
                <w:highlight w:val="none"/>
                <w:lang w:eastAsia="zh-CN"/>
              </w:rPr>
              <w:t>文件要求的质量标准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4" w:type="dxa"/>
            <w:noWrap w:val="0"/>
            <w:vAlign w:val="center"/>
          </w:tcPr>
          <w:p>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w:t>
            </w:r>
          </w:p>
        </w:tc>
        <w:tc>
          <w:tcPr>
            <w:tcW w:w="1812" w:type="dxa"/>
            <w:noWrap w:val="0"/>
            <w:vAlign w:val="center"/>
          </w:tcPr>
          <w:p>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其他无效情形</w:t>
            </w:r>
          </w:p>
        </w:tc>
        <w:tc>
          <w:tcPr>
            <w:tcW w:w="6742" w:type="dxa"/>
            <w:noWrap w:val="0"/>
            <w:vAlign w:val="center"/>
          </w:tcPr>
          <w:p>
            <w:pPr>
              <w:widowControl/>
              <w:jc w:val="left"/>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供应商应答</w:t>
            </w:r>
            <w:r>
              <w:rPr>
                <w:rFonts w:hint="eastAsia" w:ascii="宋体" w:hAnsi="宋体" w:eastAsia="宋体" w:cs="宋体"/>
                <w:color w:val="000000"/>
                <w:sz w:val="21"/>
                <w:szCs w:val="21"/>
                <w:highlight w:val="none"/>
              </w:rPr>
              <w:t>文件不存在不符合法律、法规和</w:t>
            </w:r>
            <w:r>
              <w:rPr>
                <w:rFonts w:hint="eastAsia" w:ascii="宋体" w:hAnsi="宋体" w:cs="宋体"/>
                <w:color w:val="000000"/>
                <w:sz w:val="21"/>
                <w:szCs w:val="21"/>
                <w:highlight w:val="none"/>
                <w:lang w:val="en-US" w:eastAsia="zh-CN"/>
              </w:rPr>
              <w:t>竞争性磋商</w:t>
            </w:r>
            <w:r>
              <w:rPr>
                <w:rFonts w:hint="eastAsia" w:ascii="宋体" w:hAnsi="宋体" w:eastAsia="宋体" w:cs="宋体"/>
                <w:color w:val="000000"/>
                <w:sz w:val="21"/>
                <w:szCs w:val="21"/>
                <w:highlight w:val="none"/>
              </w:rPr>
              <w:t>文件规定的其他无效情形</w:t>
            </w:r>
            <w:r>
              <w:rPr>
                <w:rFonts w:hint="eastAsia" w:ascii="宋体" w:hAnsi="宋体" w:eastAsia="宋体" w:cs="宋体"/>
                <w:color w:val="000000"/>
                <w:sz w:val="21"/>
                <w:szCs w:val="21"/>
                <w:highlight w:val="none"/>
                <w:lang w:eastAsia="zh-CN"/>
              </w:rPr>
              <w:t>。</w:t>
            </w:r>
          </w:p>
        </w:tc>
      </w:tr>
    </w:tbl>
    <w:p>
      <w:pPr>
        <w:tabs>
          <w:tab w:val="left" w:pos="900"/>
          <w:tab w:val="left" w:pos="1080"/>
          <w:tab w:val="left" w:pos="1589"/>
        </w:tabs>
        <w:snapToGrid w:val="0"/>
        <w:spacing w:line="360" w:lineRule="auto"/>
        <w:rPr>
          <w:rFonts w:eastAsiaTheme="minorEastAsia"/>
          <w:color w:val="000000" w:themeColor="text1"/>
          <w:sz w:val="24"/>
          <w14:textFill>
            <w14:solidFill>
              <w14:schemeClr w14:val="tx1"/>
            </w14:solidFill>
          </w14:textFill>
        </w:rPr>
      </w:pPr>
    </w:p>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磋商、响应文件有关事项的澄清、说明或者更正和最后报价</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磋商小组所有成员应当集中与单一供应商分别进行磋商，并给予所有参加磋商的供应商平等的磋商机会。</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2"/>
        </w:numPr>
        <w:tabs>
          <w:tab w:val="left" w:pos="1080"/>
          <w:tab w:val="left" w:pos="1872"/>
        </w:tabs>
        <w:snapToGrid w:val="0"/>
        <w:spacing w:line="360" w:lineRule="auto"/>
        <w:ind w:left="1077" w:hanging="72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对磋商文件作出的实质性变动是磋商文件的有效组成部分，磋商小组应当及时以书面形式同时通知所有参加磋商的供应商。</w:t>
      </w:r>
    </w:p>
    <w:p>
      <w:pPr>
        <w:numPr>
          <w:ilvl w:val="1"/>
          <w:numId w:val="12"/>
        </w:numPr>
        <w:tabs>
          <w:tab w:val="left" w:pos="1080"/>
          <w:tab w:val="left" w:pos="1872"/>
        </w:tabs>
        <w:snapToGrid w:val="0"/>
        <w:spacing w:line="360" w:lineRule="auto"/>
        <w:ind w:left="1077" w:hanging="720"/>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响应文件的澄清、说明或者更正</w:t>
      </w:r>
      <w:r>
        <w:rPr>
          <w:rFonts w:hint="eastAsia" w:eastAsiaTheme="minorEastAsia"/>
          <w:color w:val="000000" w:themeColor="text1"/>
          <w:sz w:val="24"/>
          <w14:textFill>
            <w14:solidFill>
              <w14:schemeClr w14:val="tx1"/>
            </w14:solidFill>
          </w14:textFill>
        </w:rPr>
        <w:t>：</w:t>
      </w:r>
    </w:p>
    <w:p>
      <w:pPr>
        <w:numPr>
          <w:ilvl w:val="2"/>
          <w:numId w:val="12"/>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2"/>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磋商小组对响应文件进行审查，如发现供应商提交的响应文件存在不满足《符合性审查要求》的内容，如属于表中“不允许”澄清、说明或者更正的内容，则供应商响应文件按</w:t>
      </w:r>
      <w:r>
        <w:rPr>
          <w:rFonts w:eastAsiaTheme="minorEastAsia"/>
          <w:b/>
          <w:color w:val="000000" w:themeColor="text1"/>
          <w:sz w:val="24"/>
          <w14:textFill>
            <w14:solidFill>
              <w14:schemeClr w14:val="tx1"/>
            </w14:solidFill>
          </w14:textFill>
        </w:rPr>
        <w:t>无效处理</w:t>
      </w:r>
      <w:r>
        <w:rPr>
          <w:rFonts w:eastAsiaTheme="minorEastAsia"/>
          <w:color w:val="000000" w:themeColor="text1"/>
          <w:sz w:val="24"/>
          <w14:textFill>
            <w14:solidFill>
              <w14:schemeClr w14:val="tx1"/>
            </w14:solidFill>
          </w14:textFill>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color w:val="000000" w:themeColor="text1"/>
          <w:sz w:val="24"/>
          <w14:textFill>
            <w14:solidFill>
              <w14:schemeClr w14:val="tx1"/>
            </w14:solidFill>
          </w14:textFill>
        </w:rPr>
        <w:t>无效处理</w:t>
      </w:r>
      <w:r>
        <w:rPr>
          <w:rFonts w:eastAsiaTheme="minorEastAsia"/>
          <w:color w:val="000000" w:themeColor="text1"/>
          <w:sz w:val="24"/>
          <w14:textFill>
            <w14:solidFill>
              <w14:schemeClr w14:val="tx1"/>
            </w14:solidFill>
          </w14:textFill>
        </w:rPr>
        <w:t>。</w:t>
      </w:r>
    </w:p>
    <w:p>
      <w:pPr>
        <w:numPr>
          <w:ilvl w:val="2"/>
          <w:numId w:val="12"/>
        </w:numPr>
        <w:snapToGrid w:val="0"/>
        <w:spacing w:line="360" w:lineRule="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磋商结束后，磋商小组将要求所有实质性响应的供应商在规定时间内提交最后报价。最后报价时间为磋商小组指定的时间，具体时间根据磋商进度另行通知。</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snapToGrid w:val="0"/>
          <w:color w:val="000000" w:themeColor="text1"/>
          <w:sz w:val="24"/>
          <w14:textFill>
            <w14:solidFill>
              <w14:schemeClr w14:val="tx1"/>
            </w14:solidFill>
          </w14:textFill>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color w:val="000000" w:themeColor="text1"/>
          <w:sz w:val="24"/>
          <w14:textFill>
            <w14:solidFill>
              <w14:schemeClr w14:val="tx1"/>
            </w14:solidFill>
          </w14:textFill>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最后报价是供应商响应文件的有效组成部分。</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已提交响应文件的供应商，在提交最后报价之前，可以根据磋商情况退出磋商。</w:t>
      </w:r>
    </w:p>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最后报价的算术修正及政策调整</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最后报价须包含竞争性磋商文件全部内容，</w:t>
      </w:r>
      <w:r>
        <w:rPr>
          <w:color w:val="000000" w:themeColor="text1"/>
          <w:sz w:val="24"/>
          <w14:textFill>
            <w14:solidFill>
              <w14:schemeClr w14:val="tx1"/>
            </w14:solidFill>
          </w14:textFill>
        </w:rPr>
        <w:t>如</w:t>
      </w:r>
      <w:r>
        <w:rPr>
          <w:rFonts w:hint="eastAsia"/>
          <w:color w:val="000000" w:themeColor="text1"/>
          <w:sz w:val="24"/>
          <w14:textFill>
            <w14:solidFill>
              <w14:schemeClr w14:val="tx1"/>
            </w14:solidFill>
          </w14:textFill>
        </w:rPr>
        <w:t>最后</w:t>
      </w:r>
      <w:r>
        <w:rPr>
          <w:color w:val="000000" w:themeColor="text1"/>
          <w:sz w:val="24"/>
          <w14:textFill>
            <w14:solidFill>
              <w14:schemeClr w14:val="tx1"/>
            </w14:solidFill>
          </w14:textFill>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themeColor="text1"/>
          <w:sz w:val="24"/>
          <w14:textFill>
            <w14:solidFill>
              <w14:schemeClr w14:val="tx1"/>
            </w14:solidFill>
          </w14:textFill>
        </w:rPr>
        <w:t>响应无效</w:t>
      </w:r>
      <w:r>
        <w:rPr>
          <w:color w:val="000000" w:themeColor="text1"/>
          <w:sz w:val="24"/>
          <w14:textFill>
            <w14:solidFill>
              <w14:schemeClr w14:val="tx1"/>
            </w14:solidFill>
          </w14:textFill>
        </w:rPr>
        <w:t>。</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color w:val="000000" w:themeColor="text1"/>
          <w:sz w:val="24"/>
          <w:u w:val="single"/>
          <w14:textFill>
            <w14:solidFill>
              <w14:schemeClr w14:val="tx1"/>
            </w14:solidFill>
          </w14:textFill>
        </w:rPr>
      </w:pPr>
      <w:r>
        <w:rPr>
          <w:rFonts w:eastAsiaTheme="minorEastAsia"/>
          <w:color w:val="000000" w:themeColor="text1"/>
          <w:sz w:val="24"/>
          <w14:textFill>
            <w14:solidFill>
              <w14:schemeClr w14:val="tx1"/>
            </w14:solidFill>
          </w14:textFill>
        </w:rPr>
        <w:t>□有，具体规定为：___________</w:t>
      </w:r>
    </w:p>
    <w:p>
      <w:pPr>
        <w:tabs>
          <w:tab w:val="left" w:pos="1080"/>
          <w:tab w:val="left" w:pos="1589"/>
          <w:tab w:val="left" w:pos="2035"/>
          <w:tab w:val="left" w:pos="2114"/>
        </w:tabs>
        <w:snapToGrid w:val="0"/>
        <w:spacing w:line="360" w:lineRule="auto"/>
        <w:ind w:left="2035"/>
        <w:rPr>
          <w:rFonts w:eastAsiaTheme="minorEastAsia"/>
          <w:color w:val="000000" w:themeColor="text1"/>
          <w:sz w:val="24"/>
          <w14:textFill>
            <w14:solidFill>
              <w14:schemeClr w14:val="tx1"/>
            </w14:solidFill>
          </w14:textFill>
        </w:rPr>
      </w:pPr>
      <w:r>
        <w:rPr>
          <w:color w:val="000000" w:themeColor="text1"/>
          <w:szCs w:val="21"/>
          <w14:textFill>
            <w14:solidFill>
              <w14:schemeClr w14:val="tx1"/>
            </w14:solidFill>
          </w14:textFill>
        </w:rPr>
        <w:t>■</w:t>
      </w:r>
      <w:r>
        <w:rPr>
          <w:rFonts w:eastAsiaTheme="minorEastAsia"/>
          <w:color w:val="000000" w:themeColor="text1"/>
          <w:sz w:val="24"/>
          <w14:textFill>
            <w14:solidFill>
              <w14:schemeClr w14:val="tx1"/>
            </w14:solidFill>
          </w14:textFill>
        </w:rPr>
        <w:t>无，按下述3.2.2-3.2.5项规定修正。</w:t>
      </w:r>
    </w:p>
    <w:p>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单价金额小数点或者百分比有明显错位的，以最后报价一览表的总价为准，并修改单价；</w:t>
      </w:r>
    </w:p>
    <w:p>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同时出现两种以上不一致的，按照前款规定的顺序修正。修正后的报价经供应商书面确认后产生约束力，供应商不确认的，</w:t>
      </w:r>
      <w:r>
        <w:rPr>
          <w:rFonts w:eastAsiaTheme="minorEastAsia"/>
          <w:b/>
          <w:color w:val="000000" w:themeColor="text1"/>
          <w:sz w:val="24"/>
          <w14:textFill>
            <w14:solidFill>
              <w14:schemeClr w14:val="tx1"/>
            </w14:solidFill>
          </w14:textFill>
        </w:rPr>
        <w:t>其响应无效</w:t>
      </w:r>
      <w:r>
        <w:rPr>
          <w:rFonts w:eastAsiaTheme="minorEastAsia"/>
          <w:color w:val="000000" w:themeColor="text1"/>
          <w:sz w:val="24"/>
          <w14:textFill>
            <w14:solidFill>
              <w14:schemeClr w14:val="tx1"/>
            </w14:solidFill>
          </w14:textFill>
        </w:rPr>
        <w:t>。</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对于未预留份额专门面向中小企业采购的采购项目，以及预留份额项目中的非预留部分采购包，对小微企业报价给予</w:t>
      </w:r>
      <w:r>
        <w:rPr>
          <w:rFonts w:hint="eastAsia" w:eastAsiaTheme="minorEastAsia"/>
          <w:color w:val="000000" w:themeColor="text1"/>
          <w:sz w:val="24"/>
          <w:u w:val="single"/>
          <w14:textFill>
            <w14:solidFill>
              <w14:schemeClr w14:val="tx1"/>
            </w14:solidFill>
          </w14:textFill>
        </w:rPr>
        <w:t>5</w:t>
      </w:r>
      <w:r>
        <w:rPr>
          <w:rFonts w:eastAsiaTheme="minorEastAsia"/>
          <w:color w:val="000000" w:themeColor="text1"/>
          <w:sz w:val="24"/>
          <w14:textFill>
            <w14:solidFill>
              <w14:schemeClr w14:val="tx1"/>
            </w14:solidFill>
          </w14:textFill>
        </w:rPr>
        <w:t>%的扣除，用扣除后的价格参加评审。</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color w:val="000000" w:themeColor="text1"/>
          <w:sz w:val="24"/>
          <w:u w:val="single"/>
          <w14:textFill>
            <w14:solidFill>
              <w14:schemeClr w14:val="tx1"/>
            </w14:solidFill>
          </w14:textFill>
        </w:rPr>
        <w:t>3</w:t>
      </w:r>
      <w:r>
        <w:rPr>
          <w:rFonts w:eastAsiaTheme="minorEastAsia"/>
          <w:color w:val="000000" w:themeColor="text1"/>
          <w:sz w:val="24"/>
          <w14:textFill>
            <w14:solidFill>
              <w14:schemeClr w14:val="tx1"/>
            </w14:solidFill>
          </w14:textFill>
        </w:rPr>
        <w:t>%的扣除，用扣除后的价格参加评审。</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残疾人福利性单位按竞争性磋商文件要求提供了《残疾人福利性单位声明函》（见附件）的，视同小微企业。</w:t>
      </w:r>
    </w:p>
    <w:p>
      <w:pPr>
        <w:numPr>
          <w:ilvl w:val="2"/>
          <w:numId w:val="12"/>
        </w:numPr>
        <w:tabs>
          <w:tab w:val="left" w:pos="1080"/>
          <w:tab w:val="left" w:pos="1589"/>
          <w:tab w:val="left" w:pos="2014"/>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若供应商同时属于小型或微型企业、监狱企业、残疾人福利性单位中的两种及以上，将不重复享受小微企业价格扣减的优惠政策。</w:t>
      </w:r>
    </w:p>
    <w:p>
      <w:pPr>
        <w:numPr>
          <w:ilvl w:val="2"/>
          <w:numId w:val="12"/>
        </w:numPr>
        <w:tabs>
          <w:tab w:val="left" w:pos="1080"/>
          <w:tab w:val="left" w:pos="1589"/>
          <w:tab w:val="left" w:pos="2014"/>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其他为落实政府采购政策实施的优先采购：</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磋商环节及提交最后报价后如出现以下情况的，供应商的</w:t>
      </w:r>
      <w:r>
        <w:rPr>
          <w:rFonts w:eastAsiaTheme="minorEastAsia"/>
          <w:b/>
          <w:color w:val="000000" w:themeColor="text1"/>
          <w:sz w:val="24"/>
          <w14:textFill>
            <w14:solidFill>
              <w14:schemeClr w14:val="tx1"/>
            </w14:solidFill>
          </w14:textFill>
        </w:rPr>
        <w:t>响应文件无效</w:t>
      </w:r>
      <w:r>
        <w:rPr>
          <w:rFonts w:eastAsiaTheme="minorEastAsia"/>
          <w:color w:val="000000" w:themeColor="text1"/>
          <w:sz w:val="24"/>
          <w14:textFill>
            <w14:solidFill>
              <w14:schemeClr w14:val="tx1"/>
            </w14:solidFill>
          </w14:textFill>
        </w:rPr>
        <w:t>：</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供应商对实质性变动不予确认的；</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不满足磋商文件</w:t>
      </w:r>
      <w:r>
        <w:rPr>
          <w:rFonts w:ascii="Segoe UI Symbol" w:hAnsi="Segoe UI Symbol" w:cs="Segoe UI Symbol"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号条款或磋商文件技术指标超出磋商文件</w:t>
      </w:r>
      <w:r>
        <w:rPr>
          <w:rFonts w:hint="eastAsia" w:eastAsiaTheme="minorEastAsia"/>
          <w:color w:val="000000" w:themeColor="text1"/>
          <w:sz w:val="24"/>
          <w14:textFill>
            <w14:solidFill>
              <w14:schemeClr w14:val="tx1"/>
            </w14:solidFill>
          </w14:textFill>
        </w:rPr>
        <w:t>《技术</w:t>
      </w:r>
      <w:r>
        <w:rPr>
          <w:rFonts w:eastAsiaTheme="minorEastAsia"/>
          <w:color w:val="000000" w:themeColor="text1"/>
          <w:sz w:val="24"/>
          <w14:textFill>
            <w14:solidFill>
              <w14:schemeClr w14:val="tx1"/>
            </w14:solidFill>
          </w14:textFill>
        </w:rPr>
        <w:t>需求</w:t>
      </w:r>
      <w:r>
        <w:rPr>
          <w:rFonts w:hint="eastAsia" w:eastAsiaTheme="minorEastAsia"/>
          <w:color w:val="000000" w:themeColor="text1"/>
          <w:sz w:val="24"/>
          <w14:textFill>
            <w14:solidFill>
              <w14:schemeClr w14:val="tx1"/>
            </w14:solidFill>
          </w14:textFill>
        </w:rPr>
        <w:t>》</w:t>
      </w:r>
      <w:r>
        <w:rPr>
          <w:rFonts w:eastAsiaTheme="minorEastAsia"/>
          <w:color w:val="000000" w:themeColor="text1"/>
          <w:sz w:val="24"/>
          <w14:textFill>
            <w14:solidFill>
              <w14:schemeClr w14:val="tx1"/>
            </w14:solidFill>
          </w14:textFill>
        </w:rPr>
        <w:t>中主要技术参数允许偏差的最大范围的（如有）；</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未按照磋商小组规定的时间、逾期提交最后报价的；</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如供应商的最后报价超过竞争性磋商文件中规定的项目/采购包预算金额或者项目/采购包最高限价的；</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响应文件中出现可选择性或可调整的报价的（竞争性磋商文件另有规定的除外）；</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最后报价出现前后不一致，供应商对修正后的报价不予确认的；</w:t>
      </w:r>
    </w:p>
    <w:p>
      <w:pPr>
        <w:numPr>
          <w:ilvl w:val="1"/>
          <w:numId w:val="12"/>
        </w:numPr>
        <w:tabs>
          <w:tab w:val="left" w:pos="1080"/>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其他：</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bookmarkEnd w:id="617"/>
    <w:bookmarkEnd w:id="618"/>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评审方法和评审标准</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竞争性磋商文件中没有规定的评审标准不得作为评审依据。</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非政府强制采购的节能产品或环境标志产品，依据品目清单和认证证书实施政府优先采购。优先采购的具体规定（如涉及）</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关于无线局域网认证产品政府采购清单中的产品，优先采购的具体规定（如涉及）</w:t>
      </w:r>
      <w:r>
        <w:rPr>
          <w:rFonts w:hint="eastAsia" w:eastAsiaTheme="minorEastAsia"/>
          <w:color w:val="000000" w:themeColor="text1"/>
          <w:sz w:val="24"/>
          <w:u w:val="single"/>
          <w14:textFill>
            <w14:solidFill>
              <w14:schemeClr w14:val="tx1"/>
            </w14:solidFill>
          </w14:textFill>
        </w:rPr>
        <w:t>无</w:t>
      </w:r>
      <w:r>
        <w:rPr>
          <w:rFonts w:eastAsiaTheme="minorEastAsia"/>
          <w:color w:val="000000" w:themeColor="text1"/>
          <w:sz w:val="24"/>
          <w14:textFill>
            <w14:solidFill>
              <w14:schemeClr w14:val="tx1"/>
            </w14:solidFill>
          </w14:textFill>
        </w:rPr>
        <w:t>。</w:t>
      </w:r>
    </w:p>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确定</w:t>
      </w:r>
      <w:bookmarkStart w:id="634" w:name="_Toc150480784"/>
      <w:bookmarkStart w:id="635" w:name="_Toc226965819"/>
      <w:bookmarkStart w:id="636" w:name="_Toc151193644"/>
      <w:bookmarkStart w:id="637" w:name="_Toc265228384"/>
      <w:bookmarkStart w:id="638" w:name="_Toc164608660"/>
      <w:bookmarkStart w:id="639" w:name="_Toc164608815"/>
      <w:bookmarkStart w:id="640" w:name="_Toc164351640"/>
      <w:bookmarkStart w:id="641" w:name="_Toc151193934"/>
      <w:bookmarkStart w:id="642" w:name="_Toc142311048"/>
      <w:bookmarkStart w:id="643" w:name="_Toc264969236"/>
      <w:bookmarkStart w:id="644" w:name="_Toc127151546"/>
      <w:bookmarkStart w:id="645" w:name="_Toc226309790"/>
      <w:bookmarkStart w:id="646" w:name="_Toc305158814"/>
      <w:bookmarkStart w:id="647" w:name="_Toc164229241"/>
      <w:bookmarkStart w:id="648" w:name="_Toc150774646"/>
      <w:bookmarkStart w:id="649" w:name="_Toc150509297"/>
      <w:bookmarkStart w:id="650" w:name="_Toc305158888"/>
      <w:bookmarkStart w:id="651" w:name="_Toc149720839"/>
      <w:bookmarkStart w:id="652" w:name="_Toc226965736"/>
      <w:bookmarkStart w:id="653" w:name="_Toc127161460"/>
      <w:bookmarkStart w:id="654" w:name="_Toc151193716"/>
      <w:bookmarkStart w:id="655" w:name="_Toc151193788"/>
      <w:bookmarkStart w:id="656" w:name="_Toc127151747"/>
      <w:bookmarkStart w:id="657" w:name="_Toc150774751"/>
      <w:bookmarkStart w:id="658" w:name="_Toc164229387"/>
      <w:bookmarkStart w:id="659" w:name="_Toc226337242"/>
      <w:bookmarkStart w:id="660" w:name="_Toc151190173"/>
      <w:bookmarkStart w:id="661" w:name="_Toc520356170"/>
      <w:bookmarkStart w:id="662" w:name="_Toc195842911"/>
      <w:bookmarkStart w:id="663" w:name="_Ref467307010"/>
      <w:bookmarkStart w:id="664" w:name="_Toc151193860"/>
      <w:r>
        <w:rPr>
          <w:rFonts w:eastAsiaTheme="minorEastAsia"/>
          <w:color w:val="000000" w:themeColor="text1"/>
          <w:sz w:val="24"/>
          <w14:textFill>
            <w14:solidFill>
              <w14:schemeClr w14:val="tx1"/>
            </w14:solidFill>
          </w14:textFill>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kern w:val="0"/>
          <w:sz w:val="24"/>
          <w:szCs w:val="20"/>
          <w14:textFill>
            <w14:solidFill>
              <w14:schemeClr w14:val="tx1"/>
            </w14:solidFill>
          </w14:textFill>
        </w:rPr>
        <w:t>磋商小组根据上述供应商排序，依次推荐排序前</w:t>
      </w:r>
      <w:r>
        <w:rPr>
          <w:color w:val="000000" w:themeColor="text1"/>
          <w:sz w:val="24"/>
          <w:u w:val="single"/>
          <w14:textFill>
            <w14:solidFill>
              <w14:schemeClr w14:val="tx1"/>
            </w14:solidFill>
          </w14:textFill>
        </w:rPr>
        <w:t xml:space="preserve">3 </w:t>
      </w:r>
      <w:r>
        <w:rPr>
          <w:color w:val="000000" w:themeColor="text1"/>
          <w:sz w:val="24"/>
          <w14:textFill>
            <w14:solidFill>
              <w14:schemeClr w14:val="tx1"/>
            </w14:solidFill>
          </w14:textFill>
        </w:rPr>
        <w:t>名</w:t>
      </w:r>
      <w:r>
        <w:rPr>
          <w:rFonts w:eastAsiaTheme="minorEastAsia"/>
          <w:color w:val="000000" w:themeColor="text1"/>
          <w:kern w:val="0"/>
          <w:sz w:val="24"/>
          <w:szCs w:val="20"/>
          <w14:textFill>
            <w14:solidFill>
              <w14:schemeClr w14:val="tx1"/>
            </w14:solidFill>
          </w14:textFill>
        </w:rPr>
        <w:t>的供应商为</w:t>
      </w:r>
      <w:r>
        <w:rPr>
          <w:rFonts w:eastAsiaTheme="minorEastAsia"/>
          <w:snapToGrid w:val="0"/>
          <w:color w:val="000000" w:themeColor="text1"/>
          <w:kern w:val="0"/>
          <w:sz w:val="24"/>
          <w:szCs w:val="21"/>
          <w14:textFill>
            <w14:solidFill>
              <w14:schemeClr w14:val="tx1"/>
            </w14:solidFill>
          </w14:textFill>
        </w:rPr>
        <w:t>成交候选供应商</w:t>
      </w:r>
      <w:r>
        <w:rPr>
          <w:rFonts w:eastAsiaTheme="minorEastAsia"/>
          <w:color w:val="000000" w:themeColor="text1"/>
          <w:kern w:val="0"/>
          <w:sz w:val="24"/>
          <w:szCs w:val="20"/>
          <w14:textFill>
            <w14:solidFill>
              <w14:schemeClr w14:val="tx1"/>
            </w14:solidFill>
          </w14:textFill>
        </w:rPr>
        <w:t>（若在磋商文件允许的情形下提交最后报价的供应商为二家，则依次推荐二名供应商为成交候选供应商），并编写评审报告。</w:t>
      </w:r>
    </w:p>
    <w:p>
      <w:pPr>
        <w:numPr>
          <w:ilvl w:val="1"/>
          <w:numId w:val="12"/>
        </w:numPr>
        <w:tabs>
          <w:tab w:val="left" w:pos="1080"/>
          <w:tab w:val="left" w:pos="1872"/>
        </w:tabs>
        <w:snapToGrid w:val="0"/>
        <w:spacing w:line="360" w:lineRule="auto"/>
        <w:ind w:left="1077" w:hanging="72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磋商小组要对评分汇总情况进行复核，特别是对排名第一的、报价最低的、响应文件被认定为无效的情形进行重点复核。</w:t>
      </w:r>
    </w:p>
    <w:p>
      <w:pPr>
        <w:numPr>
          <w:ilvl w:val="0"/>
          <w:numId w:val="12"/>
        </w:num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报告违法行为</w:t>
      </w:r>
    </w:p>
    <w:p>
      <w:pPr>
        <w:widowControl/>
        <w:numPr>
          <w:ilvl w:val="1"/>
          <w:numId w:val="12"/>
        </w:numPr>
        <w:tabs>
          <w:tab w:val="left" w:pos="1080"/>
          <w:tab w:val="left" w:pos="1872"/>
        </w:tabs>
        <w:snapToGrid w:val="0"/>
        <w:spacing w:line="360" w:lineRule="auto"/>
        <w:ind w:left="1077" w:hanging="720"/>
        <w:jc w:val="left"/>
        <w:rPr>
          <w:rFonts w:eastAsiaTheme="minorEastAsia"/>
          <w:b/>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磋商小组在评审过程中发现供应商有行贿、提供虚假材料或者串通等违法行为时，有向采购人、采购代理机构或者有关部门报告的职责。</w:t>
      </w:r>
      <w:r>
        <w:rPr>
          <w:rFonts w:eastAsiaTheme="minorEastAsia"/>
          <w:b/>
          <w:color w:val="000000" w:themeColor="text1"/>
          <w:sz w:val="24"/>
          <w14:textFill>
            <w14:solidFill>
              <w14:schemeClr w14:val="tx1"/>
            </w14:solidFill>
          </w14:textFill>
        </w:rPr>
        <w:br w:type="page"/>
      </w:r>
    </w:p>
    <w:p>
      <w:pPr>
        <w:pStyle w:val="3"/>
        <w:spacing w:before="0" w:line="360" w:lineRule="auto"/>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二、评</w:t>
      </w:r>
      <w:r>
        <w:rPr>
          <w:rFonts w:hint="eastAsia" w:ascii="Times New Roman" w:hAnsi="Times New Roman" w:eastAsiaTheme="minorEastAsia"/>
          <w:color w:val="000000" w:themeColor="text1"/>
          <w:sz w:val="24"/>
          <w:szCs w:val="24"/>
          <w14:textFill>
            <w14:solidFill>
              <w14:schemeClr w14:val="tx1"/>
            </w14:solidFill>
          </w14:textFill>
        </w:rPr>
        <w:t>审</w:t>
      </w:r>
      <w:r>
        <w:rPr>
          <w:rFonts w:ascii="Times New Roman" w:hAnsi="Times New Roman" w:eastAsiaTheme="minorEastAsia"/>
          <w:color w:val="000000" w:themeColor="text1"/>
          <w:sz w:val="24"/>
          <w:szCs w:val="24"/>
          <w14:textFill>
            <w14:solidFill>
              <w14:schemeClr w14:val="tx1"/>
            </w14:solidFill>
          </w14:textFill>
        </w:rPr>
        <w:t>标准</w:t>
      </w:r>
    </w:p>
    <w:p>
      <w:pPr>
        <w:tabs>
          <w:tab w:val="left" w:pos="360"/>
          <w:tab w:val="left" w:pos="900"/>
          <w:tab w:val="left" w:pos="1080"/>
          <w:tab w:val="left" w:pos="2014"/>
        </w:tabs>
        <w:snapToGrid w:val="0"/>
        <w:spacing w:line="360" w:lineRule="auto"/>
        <w:rPr>
          <w:rFonts w:eastAsiaTheme="minorEastAsia"/>
          <w:color w:val="000000" w:themeColor="text1"/>
          <w:sz w:val="24"/>
          <w14:textFill>
            <w14:solidFill>
              <w14:schemeClr w14:val="tx1"/>
            </w14:solidFill>
          </w14:textFill>
        </w:rPr>
      </w:pPr>
    </w:p>
    <w:tbl>
      <w:tblPr>
        <w:tblStyle w:val="4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36"/>
        <w:gridCol w:w="911"/>
        <w:gridCol w:w="4104"/>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35" w:type="dxa"/>
            <w:vAlign w:val="center"/>
          </w:tcPr>
          <w:p>
            <w:pPr>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536" w:type="dxa"/>
            <w:vAlign w:val="center"/>
          </w:tcPr>
          <w:p>
            <w:pPr>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评分因素</w:t>
            </w:r>
          </w:p>
        </w:tc>
        <w:tc>
          <w:tcPr>
            <w:tcW w:w="911" w:type="dxa"/>
            <w:vAlign w:val="center"/>
          </w:tcPr>
          <w:p>
            <w:pPr>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分值</w:t>
            </w:r>
          </w:p>
        </w:tc>
        <w:tc>
          <w:tcPr>
            <w:tcW w:w="4104" w:type="dxa"/>
            <w:vAlign w:val="center"/>
          </w:tcPr>
          <w:p>
            <w:pPr>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评分标准</w:t>
            </w:r>
          </w:p>
        </w:tc>
        <w:tc>
          <w:tcPr>
            <w:tcW w:w="2242" w:type="dxa"/>
            <w:vAlign w:val="center"/>
          </w:tcPr>
          <w:p>
            <w:pPr>
              <w:pStyle w:val="247"/>
              <w:spacing w:before="0" w:after="0" w:line="24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9628" w:type="dxa"/>
            <w:gridSpan w:val="5"/>
            <w:vAlign w:val="center"/>
          </w:tcPr>
          <w:p>
            <w:pPr>
              <w:pStyle w:val="247"/>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第一阶段 商务部分评分标准（</w:t>
            </w:r>
            <w:r>
              <w:rPr>
                <w:rFonts w:hint="eastAsia" w:ascii="宋体" w:hAnsi="宋体" w:eastAsia="宋体" w:cs="宋体"/>
                <w:b w:val="0"/>
                <w:bCs/>
                <w:color w:val="000000" w:themeColor="text1"/>
                <w:szCs w:val="21"/>
                <w:lang w:val="en-US" w:eastAsia="zh-CN" w:bidi="ar"/>
                <w14:textFill>
                  <w14:solidFill>
                    <w14:schemeClr w14:val="tx1"/>
                  </w14:solidFill>
                </w14:textFill>
              </w:rPr>
              <w:t>1</w:t>
            </w:r>
            <w:r>
              <w:rPr>
                <w:rFonts w:ascii="宋体" w:hAnsi="宋体" w:eastAsia="宋体" w:cs="宋体"/>
                <w:b w:val="0"/>
                <w:bCs/>
                <w:color w:val="000000" w:themeColor="text1"/>
                <w:szCs w:val="21"/>
                <w:lang w:bidi="ar"/>
                <w14:textFill>
                  <w14:solidFill>
                    <w14:schemeClr w14:val="tx1"/>
                  </w14:solidFill>
                </w14:textFill>
              </w:rPr>
              <w:t>0</w:t>
            </w:r>
            <w:r>
              <w:rPr>
                <w:rFonts w:hint="eastAsia" w:ascii="宋体" w:hAnsi="宋体" w:eastAsia="宋体" w:cs="宋体"/>
                <w:b w:val="0"/>
                <w:bCs/>
                <w:color w:val="000000" w:themeColor="text1"/>
                <w:szCs w:val="21"/>
                <w:lang w:bidi="ar"/>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835"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1</w:t>
            </w:r>
          </w:p>
        </w:tc>
        <w:tc>
          <w:tcPr>
            <w:tcW w:w="1536" w:type="dxa"/>
            <w:vAlign w:val="center"/>
          </w:tcPr>
          <w:p>
            <w:pPr>
              <w:ind w:firstLine="28"/>
              <w:jc w:val="center"/>
              <w:rPr>
                <w:rFonts w:ascii="宋体" w:hAnsi="宋体" w:cs="宋体"/>
                <w:color w:val="000000" w:themeColor="text1"/>
                <w:sz w:val="21"/>
                <w:szCs w:val="21"/>
                <w14:textFill>
                  <w14:solidFill>
                    <w14:schemeClr w14:val="tx1"/>
                  </w14:solidFill>
                </w14:textFill>
              </w:rPr>
            </w:pPr>
            <w:r>
              <w:rPr>
                <w:rFonts w:hint="eastAsia" w:ascii="宋体" w:hAnsi="宋体" w:eastAsia="宋体" w:cs="宋体"/>
                <w:sz w:val="21"/>
                <w:szCs w:val="21"/>
                <w:highlight w:val="none"/>
              </w:rPr>
              <w:t>企业业绩及经验</w:t>
            </w:r>
          </w:p>
        </w:tc>
        <w:tc>
          <w:tcPr>
            <w:tcW w:w="911"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cs="宋体"/>
                <w:color w:val="000000" w:themeColor="text1"/>
                <w:sz w:val="21"/>
                <w:szCs w:val="21"/>
                <w14:textFill>
                  <w14:solidFill>
                    <w14:schemeClr w14:val="tx1"/>
                  </w14:solidFill>
                </w14:textFill>
              </w:rPr>
              <w:t>分</w:t>
            </w:r>
          </w:p>
        </w:tc>
        <w:tc>
          <w:tcPr>
            <w:tcW w:w="4104" w:type="dxa"/>
            <w:vAlign w:val="center"/>
          </w:tcPr>
          <w:p>
            <w:pPr>
              <w:ind w:firstLine="28"/>
              <w:jc w:val="left"/>
              <w:rPr>
                <w:rFonts w:ascii="宋体" w:hAnsi="宋体" w:cs="宋体"/>
                <w:b/>
                <w:color w:val="000000" w:themeColor="text1"/>
                <w:sz w:val="21"/>
                <w:szCs w:val="21"/>
                <w14:textFill>
                  <w14:solidFill>
                    <w14:schemeClr w14:val="tx1"/>
                  </w14:solidFill>
                </w14:textFill>
              </w:rPr>
            </w:pP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近3年（202</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年</w:t>
            </w:r>
            <w:r>
              <w:rPr>
                <w:rFonts w:hint="eastAsia" w:ascii="宋体" w:hAnsi="宋体" w:cs="宋体"/>
                <w:sz w:val="21"/>
                <w:szCs w:val="21"/>
                <w:highlight w:val="none"/>
                <w:lang w:val="en-US" w:eastAsia="zh-CN"/>
              </w:rPr>
              <w:t>1</w:t>
            </w:r>
            <w:bookmarkStart w:id="3592" w:name="_GoBack"/>
            <w:bookmarkEnd w:id="3592"/>
            <w:r>
              <w:rPr>
                <w:rFonts w:hint="eastAsia" w:ascii="宋体" w:hAnsi="宋体" w:eastAsia="宋体" w:cs="宋体"/>
                <w:sz w:val="21"/>
                <w:szCs w:val="21"/>
                <w:highlight w:val="none"/>
              </w:rPr>
              <w:t>月1日起至今）做过的类似项目业绩，每提供一个项目合同得2分，最多得6分（附合同首页、金额页、内容页、签字页等合同关键页复印件或扫描件，须加盖</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rPr>
              <w:t>公章）</w:t>
            </w:r>
            <w:r>
              <w:rPr>
                <w:rFonts w:hint="eastAsia" w:ascii="宋体" w:hAnsi="宋体" w:eastAsia="宋体" w:cs="宋体"/>
                <w:sz w:val="21"/>
                <w:szCs w:val="21"/>
                <w:highlight w:val="none"/>
                <w:lang w:eastAsia="zh-CN"/>
              </w:rPr>
              <w:t>。</w:t>
            </w:r>
          </w:p>
        </w:tc>
        <w:tc>
          <w:tcPr>
            <w:tcW w:w="2242" w:type="dxa"/>
            <w:vAlign w:val="center"/>
          </w:tcPr>
          <w:p>
            <w:pPr>
              <w:pStyle w:val="247"/>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2</w:t>
            </w:r>
          </w:p>
        </w:tc>
        <w:tc>
          <w:tcPr>
            <w:tcW w:w="1536" w:type="dxa"/>
            <w:vAlign w:val="center"/>
          </w:tcPr>
          <w:p>
            <w:pPr>
              <w:ind w:firstLine="28"/>
              <w:jc w:val="center"/>
              <w:rPr>
                <w:rFonts w:ascii="宋体" w:hAnsi="宋体" w:cs="宋体"/>
                <w:color w:val="000000" w:themeColor="text1"/>
                <w:sz w:val="21"/>
                <w:szCs w:val="21"/>
                <w14:textFill>
                  <w14:solidFill>
                    <w14:schemeClr w14:val="tx1"/>
                  </w14:solidFill>
                </w14:textFill>
              </w:rPr>
            </w:pPr>
            <w:r>
              <w:rPr>
                <w:rFonts w:hint="eastAsia" w:ascii="宋体" w:hAnsi="宋体" w:eastAsia="宋体" w:cs="宋体"/>
                <w:sz w:val="21"/>
                <w:szCs w:val="21"/>
                <w:highlight w:val="none"/>
              </w:rPr>
              <w:t>企业管理体系（质量、环境、职业健康</w:t>
            </w:r>
          </w:p>
        </w:tc>
        <w:tc>
          <w:tcPr>
            <w:tcW w:w="911"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分</w:t>
            </w:r>
          </w:p>
        </w:tc>
        <w:tc>
          <w:tcPr>
            <w:tcW w:w="4104" w:type="dxa"/>
            <w:vAlign w:val="center"/>
          </w:tcPr>
          <w:p>
            <w:pPr>
              <w:ind w:firstLine="28"/>
              <w:jc w:val="left"/>
              <w:rPr>
                <w:rFonts w:ascii="宋体" w:hAnsi="宋体" w:cs="宋体"/>
                <w:b/>
                <w:color w:val="000000" w:themeColor="text1"/>
                <w:sz w:val="21"/>
                <w:szCs w:val="21"/>
                <w14:textFill>
                  <w14:solidFill>
                    <w14:schemeClr w14:val="tx1"/>
                  </w14:solidFill>
                </w14:textFill>
              </w:rPr>
            </w:pPr>
            <w:r>
              <w:rPr>
                <w:rFonts w:hint="eastAsia" w:ascii="宋体" w:hAnsi="宋体" w:eastAsia="宋体" w:cs="宋体"/>
                <w:sz w:val="21"/>
                <w:szCs w:val="21"/>
                <w:highlight w:val="none"/>
              </w:rPr>
              <w:t>每提供一个管理体系认证得1分，本项最多得3分。（提供体系证书复印件或扫描件加盖公章）</w:t>
            </w:r>
          </w:p>
        </w:tc>
        <w:tc>
          <w:tcPr>
            <w:tcW w:w="2242" w:type="dxa"/>
            <w:vAlign w:val="center"/>
          </w:tcPr>
          <w:p>
            <w:pPr>
              <w:pStyle w:val="247"/>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35"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3</w:t>
            </w:r>
          </w:p>
        </w:tc>
        <w:tc>
          <w:tcPr>
            <w:tcW w:w="1536" w:type="dxa"/>
            <w:vAlign w:val="center"/>
          </w:tcPr>
          <w:p>
            <w:pPr>
              <w:ind w:firstLine="28"/>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项目经理实力</w:t>
            </w:r>
          </w:p>
        </w:tc>
        <w:tc>
          <w:tcPr>
            <w:tcW w:w="911" w:type="dxa"/>
            <w:vAlign w:val="center"/>
          </w:tcPr>
          <w:p>
            <w:pPr>
              <w:ind w:firstLine="28"/>
              <w:jc w:val="center"/>
              <w:rPr>
                <w:rFonts w:ascii="宋体" w:hAnsi="宋体" w:cs="宋体"/>
                <w:b/>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14:textFill>
                  <w14:solidFill>
                    <w14:schemeClr w14:val="tx1"/>
                  </w14:solidFill>
                </w14:textFill>
              </w:rPr>
              <w:t>分</w:t>
            </w:r>
          </w:p>
        </w:tc>
        <w:tc>
          <w:tcPr>
            <w:tcW w:w="4104" w:type="dxa"/>
            <w:vAlign w:val="center"/>
          </w:tcPr>
          <w:p>
            <w:pPr>
              <w:ind w:firstLine="28"/>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项目经理具备高级职称得0.5分</w:t>
            </w:r>
            <w:r>
              <w:rPr>
                <w:rFonts w:hint="eastAsia" w:ascii="宋体" w:hAnsi="宋体" w:eastAsia="宋体" w:cs="宋体"/>
                <w:sz w:val="21"/>
                <w:szCs w:val="21"/>
                <w:highlight w:val="none"/>
                <w:lang w:eastAsia="zh-CN"/>
              </w:rPr>
              <w:t>。</w:t>
            </w:r>
          </w:p>
          <w:p>
            <w:pPr>
              <w:ind w:firstLine="28"/>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项目经理具备本科及以上学历得0.5分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本项最多得1分</w:t>
            </w:r>
            <w:r>
              <w:rPr>
                <w:rFonts w:hint="eastAsia" w:ascii="宋体" w:hAnsi="宋体" w:eastAsia="宋体" w:cs="宋体"/>
                <w:sz w:val="21"/>
                <w:szCs w:val="21"/>
                <w:highlight w:val="none"/>
                <w:lang w:eastAsia="zh-CN"/>
              </w:rPr>
              <w:t>。</w:t>
            </w:r>
          </w:p>
          <w:p>
            <w:pPr>
              <w:ind w:firstLine="28"/>
              <w:jc w:val="left"/>
              <w:rPr>
                <w:rFonts w:ascii="宋体" w:hAnsi="宋体" w:cs="宋体"/>
                <w:b/>
                <w:color w:val="000000" w:themeColor="text1"/>
                <w:sz w:val="21"/>
                <w:szCs w:val="21"/>
                <w14:textFill>
                  <w14:solidFill>
                    <w14:schemeClr w14:val="tx1"/>
                  </w14:solidFill>
                </w14:textFill>
              </w:rPr>
            </w:pPr>
            <w:r>
              <w:rPr>
                <w:rFonts w:hint="eastAsia" w:ascii="宋体" w:hAnsi="宋体" w:eastAsia="宋体" w:cs="宋体"/>
                <w:sz w:val="21"/>
                <w:szCs w:val="21"/>
                <w:highlight w:val="none"/>
              </w:rPr>
              <w:t>（提供证明材料复印件或扫描件加盖公章）</w:t>
            </w:r>
          </w:p>
        </w:tc>
        <w:tc>
          <w:tcPr>
            <w:tcW w:w="2242" w:type="dxa"/>
            <w:vAlign w:val="center"/>
          </w:tcPr>
          <w:p>
            <w:pPr>
              <w:pStyle w:val="247"/>
              <w:spacing w:before="0" w:after="0" w:line="240" w:lineRule="auto"/>
              <w:rPr>
                <w:rFonts w:ascii="宋体" w:hAnsi="宋体" w:eastAsia="宋体" w:cs="宋体"/>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628" w:type="dxa"/>
            <w:gridSpan w:val="5"/>
            <w:vAlign w:val="center"/>
          </w:tcPr>
          <w:p>
            <w:pPr>
              <w:pStyle w:val="247"/>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 xml:space="preserve">第二阶段 </w:t>
            </w:r>
            <w:r>
              <w:rPr>
                <w:rFonts w:hint="eastAsia" w:ascii="宋体" w:hAnsi="宋体" w:eastAsia="宋体" w:cs="宋体"/>
                <w:b w:val="0"/>
                <w:bCs/>
                <w:color w:val="000000" w:themeColor="text1"/>
                <w:szCs w:val="21"/>
                <w:lang w:val="en-US" w:eastAsia="zh-CN" w:bidi="ar"/>
                <w14:textFill>
                  <w14:solidFill>
                    <w14:schemeClr w14:val="tx1"/>
                  </w14:solidFill>
                </w14:textFill>
              </w:rPr>
              <w:t>报价</w:t>
            </w:r>
            <w:r>
              <w:rPr>
                <w:rFonts w:hint="eastAsia" w:ascii="宋体" w:hAnsi="宋体" w:eastAsia="宋体" w:cs="宋体"/>
                <w:b w:val="0"/>
                <w:bCs/>
                <w:color w:val="000000" w:themeColor="text1"/>
                <w:szCs w:val="21"/>
                <w:lang w:bidi="ar"/>
                <w14:textFill>
                  <w14:solidFill>
                    <w14:schemeClr w14:val="tx1"/>
                  </w14:solidFill>
                </w14:textFill>
              </w:rPr>
              <w:t>部分评分标准（</w:t>
            </w:r>
            <w:r>
              <w:rPr>
                <w:rFonts w:hint="eastAsia" w:ascii="宋体" w:hAnsi="宋体" w:eastAsia="宋体" w:cs="宋体"/>
                <w:b w:val="0"/>
                <w:bCs/>
                <w:color w:val="000000" w:themeColor="text1"/>
                <w:szCs w:val="21"/>
                <w:lang w:val="en-US" w:eastAsia="zh-CN" w:bidi="ar"/>
                <w14:textFill>
                  <w14:solidFill>
                    <w14:schemeClr w14:val="tx1"/>
                  </w14:solidFill>
                </w14:textFill>
              </w:rPr>
              <w:t>3</w:t>
            </w:r>
            <w:r>
              <w:rPr>
                <w:rFonts w:hint="eastAsia" w:ascii="宋体" w:hAnsi="宋体" w:eastAsia="宋体" w:cs="宋体"/>
                <w:b w:val="0"/>
                <w:bCs/>
                <w:color w:val="000000" w:themeColor="text1"/>
                <w:szCs w:val="21"/>
                <w:lang w:bidi="ar"/>
                <w14:textFill>
                  <w14:solidFill>
                    <w14:schemeClr w14:val="tx1"/>
                  </w14:solidFill>
                </w14:textFill>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pPr>
              <w:ind w:firstLine="28"/>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p>
        </w:tc>
        <w:tc>
          <w:tcPr>
            <w:tcW w:w="1536" w:type="dxa"/>
            <w:vAlign w:val="center"/>
          </w:tcPr>
          <w:p>
            <w:pPr>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911" w:type="dxa"/>
            <w:vAlign w:val="center"/>
          </w:tcPr>
          <w:p>
            <w:pPr>
              <w:ind w:firstLine="28"/>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30分</w:t>
            </w:r>
          </w:p>
        </w:tc>
        <w:tc>
          <w:tcPr>
            <w:tcW w:w="4104" w:type="dxa"/>
            <w:vAlign w:val="center"/>
          </w:tcPr>
          <w:p>
            <w:pPr>
              <w:ind w:firstLine="28"/>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满足磋商文件要求的最后报价最低的供应商的价格为磋商基准价，其价格分为满分。其他供应商的价格分统一按照下列公式计算：</w:t>
            </w:r>
          </w:p>
          <w:p>
            <w:pPr>
              <w:ind w:firstLine="28"/>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磋商报价得分=（磋商基准价/最后报价）×分值</w:t>
            </w:r>
          </w:p>
        </w:tc>
        <w:tc>
          <w:tcPr>
            <w:tcW w:w="2242" w:type="dxa"/>
            <w:vAlign w:val="center"/>
          </w:tcPr>
          <w:p>
            <w:pPr>
              <w:pStyle w:val="247"/>
              <w:spacing w:before="0" w:after="0" w:line="240" w:lineRule="auto"/>
              <w:rPr>
                <w:rFonts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 w:val="0"/>
                <w:color w:val="000000" w:themeColor="text1"/>
                <w:sz w:val="21"/>
                <w:szCs w:val="21"/>
                <w14:textFill>
                  <w14:solidFill>
                    <w14:schemeClr w14:val="tx1"/>
                  </w14:solidFill>
                </w14:textFill>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vAlign w:val="center"/>
          </w:tcPr>
          <w:p>
            <w:pPr>
              <w:pStyle w:val="247"/>
              <w:spacing w:before="0" w:after="0" w:line="240" w:lineRule="auto"/>
              <w:jc w:val="left"/>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b w:val="0"/>
                <w:bCs/>
                <w:color w:val="000000" w:themeColor="text1"/>
                <w:szCs w:val="21"/>
                <w:lang w:bidi="ar"/>
                <w14:textFill>
                  <w14:solidFill>
                    <w14:schemeClr w14:val="tx1"/>
                  </w14:solidFill>
                </w14:textFill>
              </w:rPr>
              <w:t>第</w:t>
            </w:r>
            <w:r>
              <w:rPr>
                <w:rFonts w:hint="eastAsia" w:ascii="宋体" w:hAnsi="宋体" w:eastAsia="宋体" w:cs="宋体"/>
                <w:b w:val="0"/>
                <w:bCs/>
                <w:color w:val="000000" w:themeColor="text1"/>
                <w:szCs w:val="21"/>
                <w:lang w:val="en-US" w:eastAsia="zh-CN" w:bidi="ar"/>
                <w14:textFill>
                  <w14:solidFill>
                    <w14:schemeClr w14:val="tx1"/>
                  </w14:solidFill>
                </w14:textFill>
              </w:rPr>
              <w:t>三</w:t>
            </w:r>
            <w:r>
              <w:rPr>
                <w:rFonts w:hint="eastAsia" w:ascii="宋体" w:hAnsi="宋体" w:eastAsia="宋体" w:cs="宋体"/>
                <w:b w:val="0"/>
                <w:bCs/>
                <w:color w:val="000000" w:themeColor="text1"/>
                <w:szCs w:val="21"/>
                <w:lang w:bidi="ar"/>
                <w14:textFill>
                  <w14:solidFill>
                    <w14:schemeClr w14:val="tx1"/>
                  </w14:solidFill>
                </w14:textFill>
              </w:rPr>
              <w:t>阶段 技术部分评分标准（60分）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35" w:type="dxa"/>
            <w:vAlign w:val="center"/>
          </w:tcPr>
          <w:p>
            <w:pPr>
              <w:ind w:firstLine="28"/>
              <w:jc w:val="center"/>
              <w:rPr>
                <w:rFonts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5</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施工方案与技术措施</w:t>
            </w:r>
          </w:p>
        </w:tc>
        <w:tc>
          <w:tcPr>
            <w:tcW w:w="911"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方案及措施针对</w:t>
            </w:r>
            <w:r>
              <w:rPr>
                <w:rFonts w:hint="eastAsia" w:ascii="宋体" w:hAnsi="宋体" w:cs="宋体"/>
                <w:color w:val="000000" w:themeColor="text1"/>
                <w:szCs w:val="21"/>
                <w:lang w:val="en-US" w:eastAsia="zh-CN"/>
                <w14:textFill>
                  <w14:solidFill>
                    <w14:schemeClr w14:val="tx1"/>
                  </w14:solidFill>
                </w14:textFill>
              </w:rPr>
              <w:t>本</w:t>
            </w:r>
            <w:r>
              <w:rPr>
                <w:rFonts w:hint="eastAsia" w:ascii="宋体" w:hAnsi="宋体" w:cs="宋体"/>
                <w:color w:val="000000" w:themeColor="text1"/>
                <w:szCs w:val="21"/>
                <w14:textFill>
                  <w14:solidFill>
                    <w14:schemeClr w14:val="tx1"/>
                  </w14:solidFill>
                </w14:textFill>
              </w:rPr>
              <w:t>项目，内容完整，全方位为</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cs="宋体"/>
                <w:color w:val="000000" w:themeColor="text1"/>
                <w:szCs w:val="21"/>
                <w14:textFill>
                  <w14:solidFill>
                    <w14:schemeClr w14:val="tx1"/>
                  </w14:solidFill>
                </w14:textFill>
              </w:rPr>
              <w:t>考虑，预见可能出现的问题并提出合理的解决方案，得</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0分；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方案及措施具有针对性，内容完整，完全满足采购内容及工程量清单内容，得</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方案及措施无针对性，内容不完整，无法满足采购内容及工程量清单内容，得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w:t>
            </w:r>
            <w:r>
              <w:rPr>
                <w:rFonts w:hint="eastAsia" w:ascii="宋体" w:hAnsi="宋体" w:cs="宋体"/>
                <w:color w:val="000000" w:themeColor="text1"/>
                <w:szCs w:val="21"/>
                <w:lang w:val="en-US" w:eastAsia="zh-CN"/>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835" w:type="dxa"/>
            <w:vAlign w:val="center"/>
          </w:tcPr>
          <w:p>
            <w:pPr>
              <w:ind w:firstLine="28"/>
              <w:jc w:val="center"/>
              <w:rPr>
                <w:rFonts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6</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质量管理体系与保证措施</w:t>
            </w:r>
          </w:p>
        </w:tc>
        <w:tc>
          <w:tcPr>
            <w:tcW w:w="911"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质量管理体系完整、可行，保证措施针对性强的得10 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质量管理体系较合理、可行性一般、保证措施一般的得6分；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质量管理体系一般、可行性一般、保证措施一般的得3分；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未提供质量管理体系、保证措施的得0分。</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hint="eastAsia" w:ascii="宋体" w:hAnsi="宋体" w:eastAsia="宋体" w:cs="宋体"/>
                <w:b/>
                <w:color w:val="000000" w:themeColor="text1"/>
                <w:sz w:val="18"/>
                <w:szCs w:val="18"/>
                <w:lang w:val="en-US" w:eastAsia="zh-CN"/>
                <w14:textFill>
                  <w14:solidFill>
                    <w14:schemeClr w14:val="tx1"/>
                  </w14:solidFill>
                </w14:textFill>
              </w:rPr>
            </w:pPr>
            <w:r>
              <w:rPr>
                <w:rFonts w:hint="eastAsia" w:ascii="宋体" w:hAnsi="宋体" w:cs="宋体"/>
                <w:b/>
                <w:color w:val="000000" w:themeColor="text1"/>
                <w:sz w:val="18"/>
                <w:szCs w:val="18"/>
                <w:lang w:val="en-US" w:eastAsia="zh-CN"/>
                <w14:textFill>
                  <w14:solidFill>
                    <w14:schemeClr w14:val="tx1"/>
                  </w14:solidFill>
                </w14:textFill>
              </w:rPr>
              <w:t>7</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拟投入施工机械</w:t>
            </w:r>
          </w:p>
        </w:tc>
        <w:tc>
          <w:tcPr>
            <w:tcW w:w="911" w:type="dxa"/>
            <w:vAlign w:val="center"/>
          </w:tcPr>
          <w:p>
            <w:pPr>
              <w:ind w:firstLine="28"/>
              <w:jc w:val="left"/>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投入设备品种齐全，考虑合理，且大部分为自有设备，完全满足采购内容，充分满足突发或应急使用，得</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投入设备品种齐全，考虑合理，完全满足采购内容，得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投入设备品种较齐全，考虑较合理，部分满足采购内容，得</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hint="eastAsia" w:ascii="宋体" w:hAnsi="宋体" w:eastAsia="宋体" w:cs="宋体"/>
                <w:b/>
                <w:color w:val="000000" w:themeColor="text1"/>
                <w:sz w:val="18"/>
                <w:szCs w:val="18"/>
                <w:lang w:val="en-US" w:eastAsia="zh-CN"/>
                <w14:textFill>
                  <w14:solidFill>
                    <w14:schemeClr w14:val="tx1"/>
                  </w14:solidFill>
                </w14:textFill>
              </w:rPr>
            </w:pPr>
            <w:r>
              <w:rPr>
                <w:rFonts w:hint="eastAsia" w:ascii="宋体" w:hAnsi="宋体" w:cs="宋体"/>
                <w:b/>
                <w:color w:val="000000" w:themeColor="text1"/>
                <w:sz w:val="18"/>
                <w:szCs w:val="18"/>
                <w:lang w:val="en-US" w:eastAsia="zh-CN"/>
                <w14:textFill>
                  <w14:solidFill>
                    <w14:schemeClr w14:val="tx1"/>
                  </w14:solidFill>
                </w14:textFill>
              </w:rPr>
              <w:t>8</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项目组织机构及人员配置</w:t>
            </w:r>
          </w:p>
        </w:tc>
        <w:tc>
          <w:tcPr>
            <w:tcW w:w="911" w:type="dxa"/>
            <w:vAlign w:val="center"/>
          </w:tcPr>
          <w:p>
            <w:pPr>
              <w:ind w:firstLine="28"/>
              <w:jc w:val="left"/>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组织机构针对性强、岗位齐全、合理，管理岗位分工明确，施工工种齐全，配备人员数量充足、专业性强，优于项目需求，得</w:t>
            </w: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组织机构岗位齐全，管理岗位分工明确，施工工种齐全，配备人员数量、专业性一般，基本满足项目需求，得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组织机构岗位一般，配备人员数量、专业性欠缺，无法满足项目需求，得</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03" w:firstLineChars="113"/>
              <w:jc w:val="lef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9</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工程进度计划与保证措施</w:t>
            </w:r>
          </w:p>
        </w:tc>
        <w:tc>
          <w:tcPr>
            <w:tcW w:w="911"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施工进场、实施、验收等关键节点完整明确，并针对关键节点有完整的保障措施，且措施科学合理，可行性强，得</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施工进场、实施、验收等关键节点完整明确，并针对关键节点有完整的保障措施，得</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施工进场、实施、验收等关键节点完整明确，并针对关键节点有保障措施，得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未提供得0分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835" w:type="dxa"/>
            <w:vAlign w:val="center"/>
          </w:tcPr>
          <w:p>
            <w:pPr>
              <w:ind w:firstLine="203" w:firstLineChars="113"/>
              <w:jc w:val="left"/>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10</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对本工程重点、难点的认识、分析及应对措施；对紧急情况预案以及抵抗风险的措施</w:t>
            </w:r>
          </w:p>
        </w:tc>
        <w:tc>
          <w:tcPr>
            <w:tcW w:w="911" w:type="dxa"/>
            <w:vAlign w:val="center"/>
          </w:tcPr>
          <w:p>
            <w:pPr>
              <w:ind w:firstLine="28"/>
              <w:jc w:val="lef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r>
              <w:rPr>
                <w:rFonts w:hint="eastAsia" w:ascii="宋体" w:hAnsi="宋体" w:cs="宋体"/>
                <w:color w:val="000000" w:themeColor="text1"/>
                <w:szCs w:val="21"/>
                <w:lang w:val="en-US" w:eastAsia="zh-CN"/>
                <w14:textFill>
                  <w14:solidFill>
                    <w14:schemeClr w14:val="tx1"/>
                  </w14:solidFill>
                </w14:textFill>
              </w:rPr>
              <w:t>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重点难点分析突出，与本工程实际相符、对工程重点、难点应对措施完善，对紧急情况预案以及抵抗风险措施完善的得10分；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重点难点分析一般，对工程重点、难点应对措施一般，对紧急情况预案以及抵抗风险措施一般的得6分；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重点难点分析较差，对工程重点、难点应对措施较差，对紧急情况预案以及抵抗风险措施较差的得3分；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未提供对本工程重点、难点的认识、分析及应对措施及对紧急情况预案以及抵抗风险的措施的得0分。</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03" w:firstLineChars="113"/>
              <w:jc w:val="left"/>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11</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成品保护和工程保修工作措施承诺</w:t>
            </w:r>
          </w:p>
        </w:tc>
        <w:tc>
          <w:tcPr>
            <w:tcW w:w="911" w:type="dxa"/>
            <w:vAlign w:val="center"/>
          </w:tcPr>
          <w:p>
            <w:pPr>
              <w:ind w:firstLine="28"/>
              <w:jc w:val="lef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管理措施合理、有力，有针对性，承诺内容可行性强，得5分；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管理措施欠合理，欠针对性，承诺内容可行性一般，得3分；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管理措施不合理，无针对性，承诺内容可行性差，得1分；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未提供此项内容得0分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03" w:firstLineChars="113"/>
              <w:jc w:val="left"/>
              <w:rPr>
                <w:rFonts w:hint="default" w:ascii="宋体" w:hAnsi="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12</w:t>
            </w:r>
          </w:p>
        </w:tc>
        <w:tc>
          <w:tcPr>
            <w:tcW w:w="1536"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环境管理保证措施</w:t>
            </w:r>
          </w:p>
        </w:tc>
        <w:tc>
          <w:tcPr>
            <w:tcW w:w="911" w:type="dxa"/>
            <w:vAlign w:val="center"/>
          </w:tcPr>
          <w:p>
            <w:pPr>
              <w:ind w:firstLine="28"/>
              <w:jc w:val="left"/>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5分</w:t>
            </w:r>
          </w:p>
        </w:tc>
        <w:tc>
          <w:tcPr>
            <w:tcW w:w="4104"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保证措施考虑合理，内容完整，完全满足各项采购内容及采购需求，得5分；</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保证措施考虑较全面，内容较完整，基本满足采购内容及采购需求，得3分；</w:t>
            </w:r>
          </w:p>
          <w:p>
            <w:pPr>
              <w:ind w:firstLine="28"/>
              <w:jc w:val="left"/>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保证措施内容欠缺，部分满足采购需求，得1分</w:t>
            </w:r>
            <w:r>
              <w:rPr>
                <w:rFonts w:hint="eastAsia" w:ascii="宋体" w:hAnsi="宋体" w:cs="宋体"/>
                <w:color w:val="000000" w:themeColor="text1"/>
                <w:szCs w:val="21"/>
                <w:lang w:eastAsia="zh-CN"/>
                <w14:textFill>
                  <w14:solidFill>
                    <w14:schemeClr w14:val="tx1"/>
                  </w14:solidFill>
                </w14:textFill>
              </w:rPr>
              <w:t>；</w:t>
            </w:r>
          </w:p>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未提供保证措施得0分</w:t>
            </w:r>
            <w:r>
              <w:rPr>
                <w:rFonts w:hint="eastAsia" w:ascii="宋体" w:hAnsi="宋体" w:cs="宋体"/>
                <w:color w:val="000000" w:themeColor="text1"/>
                <w:szCs w:val="21"/>
                <w:lang w:eastAsia="zh-CN"/>
                <w14:textFill>
                  <w14:solidFill>
                    <w14:schemeClr w14:val="tx1"/>
                  </w14:solidFill>
                </w14:textFill>
              </w:rPr>
              <w:t>。</w:t>
            </w:r>
          </w:p>
        </w:tc>
        <w:tc>
          <w:tcPr>
            <w:tcW w:w="2242" w:type="dxa"/>
            <w:vAlign w:val="center"/>
          </w:tcPr>
          <w:p>
            <w:pPr>
              <w:pStyle w:val="247"/>
              <w:spacing w:before="0" w:after="0" w:line="240" w:lineRule="auto"/>
              <w:rPr>
                <w:rFonts w:ascii="宋体" w:hAnsi="宋体" w:eastAsia="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1" w:type="dxa"/>
            <w:gridSpan w:val="2"/>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合计</w:t>
            </w:r>
          </w:p>
        </w:tc>
        <w:tc>
          <w:tcPr>
            <w:tcW w:w="911" w:type="dxa"/>
            <w:vAlign w:val="center"/>
          </w:tcPr>
          <w:p>
            <w:pPr>
              <w:ind w:firstLine="28"/>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100</w:t>
            </w:r>
          </w:p>
        </w:tc>
        <w:tc>
          <w:tcPr>
            <w:tcW w:w="6346" w:type="dxa"/>
            <w:gridSpan w:val="2"/>
            <w:vAlign w:val="center"/>
          </w:tcPr>
          <w:p>
            <w:pPr>
              <w:ind w:firstLine="28"/>
              <w:jc w:val="left"/>
              <w:rPr>
                <w:rFonts w:hint="eastAsia" w:ascii="宋体" w:hAnsi="宋体" w:cs="宋体"/>
                <w:color w:val="000000" w:themeColor="text1"/>
                <w:szCs w:val="21"/>
                <w14:textFill>
                  <w14:solidFill>
                    <w14:schemeClr w14:val="tx1"/>
                  </w14:solidFill>
                </w14:textFill>
              </w:rPr>
            </w:pPr>
          </w:p>
        </w:tc>
      </w:tr>
    </w:tbl>
    <w:p>
      <w:pPr>
        <w:tabs>
          <w:tab w:val="left" w:pos="360"/>
          <w:tab w:val="left" w:pos="1080"/>
        </w:tabs>
        <w:snapToGrid w:val="0"/>
        <w:spacing w:line="360" w:lineRule="auto"/>
        <w:ind w:left="1080"/>
        <w:rPr>
          <w:rFonts w:eastAsiaTheme="minorEastAsia"/>
          <w:color w:val="000000" w:themeColor="text1"/>
          <w:sz w:val="24"/>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spacing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br w:type="page"/>
      </w:r>
      <w:bookmarkStart w:id="665" w:name="_Toc97371945"/>
      <w:r>
        <w:rPr>
          <w:rFonts w:eastAsiaTheme="minorEastAsia"/>
          <w:b/>
          <w:color w:val="000000" w:themeColor="text1"/>
          <w:sz w:val="36"/>
          <w:szCs w:val="36"/>
          <w14:textFill>
            <w14:solidFill>
              <w14:schemeClr w14:val="tx1"/>
            </w14:solidFill>
          </w14:textFill>
        </w:rPr>
        <w:t xml:space="preserve">第四章   </w:t>
      </w:r>
      <w:r>
        <w:rPr>
          <w:rFonts w:hint="eastAsia" w:eastAsiaTheme="minorEastAsia"/>
          <w:b/>
          <w:color w:val="000000" w:themeColor="text1"/>
          <w:sz w:val="36"/>
          <w:szCs w:val="36"/>
          <w14:textFill>
            <w14:solidFill>
              <w14:schemeClr w14:val="tx1"/>
            </w14:solidFill>
          </w14:textFill>
        </w:rPr>
        <w:t>技术</w:t>
      </w:r>
      <w:r>
        <w:rPr>
          <w:rFonts w:eastAsiaTheme="minorEastAsia"/>
          <w:b/>
          <w:color w:val="000000" w:themeColor="text1"/>
          <w:sz w:val="36"/>
          <w:szCs w:val="36"/>
          <w14:textFill>
            <w14:solidFill>
              <w14:schemeClr w14:val="tx1"/>
            </w14:solidFill>
          </w14:textFill>
        </w:rPr>
        <w:t>需求</w:t>
      </w:r>
      <w:bookmarkEnd w:id="665"/>
    </w:p>
    <w:p>
      <w:pPr>
        <w:keepNext/>
        <w:keepLines/>
        <w:spacing w:before="156" w:beforeLines="50" w:after="156" w:afterLines="50" w:line="360" w:lineRule="auto"/>
        <w:outlineLvl w:val="1"/>
        <w:rPr>
          <w:rFonts w:ascii="宋体" w:hAnsi="宋体" w:cs="宋体"/>
          <w:sz w:val="28"/>
          <w:szCs w:val="20"/>
        </w:rPr>
      </w:pPr>
      <w:bookmarkStart w:id="666" w:name="_Toc486580463"/>
      <w:bookmarkStart w:id="667" w:name="_Toc497214130"/>
      <w:bookmarkStart w:id="668" w:name="_Toc497584121"/>
      <w:bookmarkStart w:id="669" w:name="_Toc489280268"/>
      <w:bookmarkStart w:id="670" w:name="_Toc10235730"/>
      <w:bookmarkStart w:id="671" w:name="_Toc490331746"/>
      <w:r>
        <w:rPr>
          <w:rFonts w:ascii="宋体" w:hAnsi="宋体" w:cs="宋体"/>
          <w:sz w:val="28"/>
          <w:szCs w:val="20"/>
        </w:rPr>
        <w:t>1.</w:t>
      </w:r>
      <w:r>
        <w:rPr>
          <w:rFonts w:hint="eastAsia" w:ascii="宋体" w:hAnsi="宋体" w:cs="宋体"/>
          <w:sz w:val="28"/>
          <w:szCs w:val="20"/>
        </w:rPr>
        <w:t>工程说明</w:t>
      </w:r>
      <w:bookmarkEnd w:id="666"/>
      <w:bookmarkEnd w:id="667"/>
      <w:bookmarkEnd w:id="668"/>
      <w:bookmarkEnd w:id="669"/>
      <w:bookmarkEnd w:id="670"/>
      <w:bookmarkEnd w:id="671"/>
    </w:p>
    <w:p>
      <w:pPr>
        <w:keepNext/>
        <w:keepLines/>
        <w:spacing w:before="156" w:beforeLines="50" w:after="156" w:afterLines="50" w:line="360" w:lineRule="auto"/>
        <w:outlineLvl w:val="2"/>
        <w:rPr>
          <w:rFonts w:ascii="宋体" w:hAnsi="宋体"/>
          <w:kern w:val="0"/>
          <w:sz w:val="24"/>
        </w:rPr>
      </w:pPr>
      <w:bookmarkStart w:id="672" w:name="_Toc489280269"/>
      <w:bookmarkStart w:id="673" w:name="_Toc10235731"/>
      <w:bookmarkStart w:id="674" w:name="_Toc486580464"/>
      <w:bookmarkStart w:id="675" w:name="_Toc497214131"/>
      <w:bookmarkStart w:id="676" w:name="_Toc497584122"/>
      <w:r>
        <w:rPr>
          <w:rFonts w:ascii="宋体" w:hAnsi="宋体"/>
          <w:kern w:val="0"/>
          <w:sz w:val="24"/>
        </w:rPr>
        <w:t xml:space="preserve">1.1  </w:t>
      </w:r>
      <w:r>
        <w:rPr>
          <w:rFonts w:hint="eastAsia" w:ascii="宋体" w:hAnsi="宋体"/>
          <w:kern w:val="0"/>
          <w:sz w:val="24"/>
        </w:rPr>
        <w:t>工程概况</w:t>
      </w:r>
      <w:bookmarkEnd w:id="672"/>
      <w:bookmarkEnd w:id="673"/>
      <w:bookmarkEnd w:id="674"/>
      <w:bookmarkEnd w:id="675"/>
      <w:bookmarkEnd w:id="676"/>
    </w:p>
    <w:p>
      <w:pPr>
        <w:spacing w:line="360" w:lineRule="auto"/>
        <w:rPr>
          <w:rFonts w:ascii="宋体" w:hAnsi="宋体" w:cs="Arial"/>
          <w:bCs/>
          <w:sz w:val="24"/>
        </w:rPr>
      </w:pPr>
      <w:r>
        <w:rPr>
          <w:rFonts w:ascii="宋体" w:hAnsi="宋体" w:cs="Arial"/>
          <w:sz w:val="24"/>
        </w:rPr>
        <w:t xml:space="preserve">1.1.1  </w:t>
      </w:r>
      <w:r>
        <w:rPr>
          <w:rFonts w:hint="eastAsia" w:ascii="宋体" w:hAnsi="宋体" w:cs="Arial"/>
          <w:sz w:val="24"/>
        </w:rPr>
        <w:t>本工程基本情况</w:t>
      </w:r>
      <w:r>
        <w:rPr>
          <w:rFonts w:hint="eastAsia" w:ascii="宋体" w:hAnsi="宋体" w:cs="Arial"/>
          <w:bCs/>
          <w:sz w:val="24"/>
        </w:rPr>
        <w:t>：</w:t>
      </w:r>
    </w:p>
    <w:p>
      <w:pPr>
        <w:spacing w:line="360" w:lineRule="auto"/>
        <w:ind w:firstLine="480" w:firstLineChars="200"/>
        <w:rPr>
          <w:rFonts w:ascii="宋体" w:hAnsi="宋体"/>
          <w:sz w:val="24"/>
          <w:u w:val="single"/>
        </w:rPr>
      </w:pPr>
      <w:r>
        <w:rPr>
          <w:rFonts w:ascii="宋体" w:hAnsi="宋体"/>
          <w:sz w:val="24"/>
          <w:u w:val="single"/>
        </w:rPr>
        <w:t>（1）</w:t>
      </w:r>
      <w:r>
        <w:rPr>
          <w:rFonts w:hint="eastAsia" w:ascii="宋体" w:hAnsi="宋体"/>
          <w:sz w:val="24"/>
          <w:u w:val="single"/>
        </w:rPr>
        <w:t>项目名称</w:t>
      </w:r>
      <w:r>
        <w:rPr>
          <w:rFonts w:ascii="宋体" w:hAnsi="宋体"/>
          <w:sz w:val="24"/>
          <w:u w:val="single"/>
        </w:rPr>
        <w:t>：</w:t>
      </w:r>
      <w:r>
        <w:rPr>
          <w:rFonts w:hint="eastAsia" w:ascii="宋体" w:hAnsi="宋体"/>
          <w:sz w:val="24"/>
          <w:u w:val="single"/>
          <w:lang w:eastAsia="zh-CN"/>
        </w:rPr>
        <w:t>西城区地震应急避难场所项目</w:t>
      </w:r>
      <w:r>
        <w:rPr>
          <w:rFonts w:hint="eastAsia"/>
          <w:sz w:val="24"/>
        </w:rPr>
        <w:t xml:space="preserve"> </w:t>
      </w:r>
    </w:p>
    <w:p>
      <w:pPr>
        <w:spacing w:line="360" w:lineRule="auto"/>
        <w:ind w:firstLine="480" w:firstLineChars="200"/>
        <w:rPr>
          <w:rFonts w:ascii="宋体" w:hAnsi="宋体"/>
          <w:sz w:val="24"/>
          <w:u w:val="single"/>
        </w:rPr>
      </w:pPr>
      <w:r>
        <w:rPr>
          <w:rFonts w:hint="eastAsia" w:ascii="宋体" w:hAnsi="宋体"/>
          <w:sz w:val="24"/>
          <w:u w:val="single"/>
        </w:rPr>
        <w:t>（</w:t>
      </w:r>
      <w:r>
        <w:rPr>
          <w:rFonts w:ascii="宋体" w:hAnsi="宋体"/>
          <w:sz w:val="24"/>
          <w:u w:val="single"/>
        </w:rPr>
        <w:t>2）</w:t>
      </w:r>
      <w:r>
        <w:rPr>
          <w:rFonts w:hint="eastAsia" w:ascii="宋体" w:hAnsi="宋体"/>
          <w:sz w:val="24"/>
          <w:u w:val="single"/>
        </w:rPr>
        <w:t>项目内容</w:t>
      </w:r>
      <w:r>
        <w:rPr>
          <w:rFonts w:ascii="宋体" w:hAnsi="宋体"/>
          <w:sz w:val="24"/>
          <w:u w:val="single"/>
        </w:rPr>
        <w:t>：</w:t>
      </w:r>
      <w:r>
        <w:rPr>
          <w:rFonts w:hint="eastAsia" w:ascii="宋体" w:hAnsi="宋体"/>
          <w:sz w:val="24"/>
          <w:u w:val="single"/>
        </w:rPr>
        <w:t>本项目范围包括</w:t>
      </w:r>
      <w:r>
        <w:rPr>
          <w:rFonts w:hint="eastAsia" w:ascii="宋体" w:hAnsi="宋体"/>
          <w:sz w:val="24"/>
          <w:u w:val="single"/>
          <w:lang w:val="en-US" w:eastAsia="zh-CN"/>
        </w:rPr>
        <w:t>应急</w:t>
      </w:r>
      <w:r>
        <w:rPr>
          <w:rFonts w:hint="eastAsia" w:ascii="宋体" w:hAnsi="宋体"/>
          <w:sz w:val="24"/>
          <w:u w:val="single"/>
        </w:rPr>
        <w:t>标志标牌新做、应急避难厕所新做、应急照明系统及室外广播系统新做、应急给水系统新做</w:t>
      </w:r>
      <w:r>
        <w:rPr>
          <w:rFonts w:hint="eastAsia" w:ascii="宋体" w:hAnsi="宋体"/>
          <w:sz w:val="24"/>
          <w:u w:val="single"/>
          <w:lang w:eastAsia="zh-CN"/>
        </w:rPr>
        <w:t>、配电箱(柜)、盘制作、安装</w:t>
      </w:r>
      <w:r>
        <w:rPr>
          <w:rFonts w:hint="eastAsia" w:ascii="宋体" w:hAnsi="宋体"/>
          <w:sz w:val="24"/>
          <w:u w:val="single"/>
          <w:lang w:val="en-US" w:eastAsia="zh-CN"/>
        </w:rPr>
        <w:t>等及清单控制价和图纸上的全部内容。</w:t>
      </w:r>
    </w:p>
    <w:p>
      <w:pPr>
        <w:spacing w:line="360" w:lineRule="auto"/>
        <w:ind w:firstLine="480" w:firstLineChars="200"/>
        <w:rPr>
          <w:rFonts w:hint="eastAsia" w:ascii="宋体" w:hAnsi="宋体"/>
          <w:sz w:val="24"/>
          <w:u w:val="single"/>
        </w:rPr>
      </w:pPr>
      <w:r>
        <w:rPr>
          <w:rFonts w:ascii="宋体" w:hAnsi="宋体"/>
          <w:sz w:val="24"/>
          <w:u w:val="single"/>
        </w:rPr>
        <w:t>（</w:t>
      </w:r>
      <w:r>
        <w:rPr>
          <w:rFonts w:hint="eastAsia" w:ascii="宋体" w:hAnsi="宋体"/>
          <w:sz w:val="24"/>
          <w:u w:val="single"/>
        </w:rPr>
        <w:t>3</w:t>
      </w:r>
      <w:r>
        <w:rPr>
          <w:rFonts w:ascii="宋体" w:hAnsi="宋体"/>
          <w:sz w:val="24"/>
          <w:u w:val="single"/>
        </w:rPr>
        <w:t>）</w:t>
      </w:r>
      <w:r>
        <w:rPr>
          <w:rFonts w:hint="eastAsia" w:ascii="宋体" w:hAnsi="宋体"/>
          <w:sz w:val="24"/>
          <w:u w:val="single"/>
        </w:rPr>
        <w:t>工</w:t>
      </w:r>
      <w:r>
        <w:rPr>
          <w:rFonts w:hint="eastAsia" w:ascii="宋体" w:hAnsi="宋体"/>
          <w:sz w:val="24"/>
          <w:highlight w:val="none"/>
          <w:u w:val="single"/>
        </w:rPr>
        <w:t>期</w:t>
      </w:r>
      <w:r>
        <w:rPr>
          <w:rFonts w:ascii="宋体" w:hAnsi="宋体"/>
          <w:sz w:val="24"/>
          <w:highlight w:val="none"/>
          <w:u w:val="single"/>
        </w:rPr>
        <w:t>：</w:t>
      </w:r>
      <w:r>
        <w:rPr>
          <w:rFonts w:hint="eastAsia" w:ascii="宋体" w:hAnsi="宋体"/>
          <w:sz w:val="24"/>
          <w:highlight w:val="none"/>
          <w:u w:val="single"/>
          <w:lang w:val="en-US" w:eastAsia="zh-CN"/>
        </w:rPr>
        <w:t>7</w:t>
      </w:r>
      <w:r>
        <w:rPr>
          <w:rFonts w:hint="eastAsia" w:ascii="宋体" w:hAnsi="宋体"/>
          <w:sz w:val="24"/>
          <w:highlight w:val="none"/>
          <w:u w:val="single"/>
        </w:rPr>
        <w:t>0日历天。</w:t>
      </w:r>
    </w:p>
    <w:p>
      <w:pPr>
        <w:spacing w:line="360" w:lineRule="auto"/>
        <w:ind w:firstLine="480" w:firstLineChars="200"/>
        <w:rPr>
          <w:rFonts w:ascii="宋体" w:hAnsi="宋体"/>
          <w:sz w:val="24"/>
          <w:u w:val="single"/>
        </w:rPr>
      </w:pPr>
      <w:r>
        <w:rPr>
          <w:rFonts w:ascii="宋体" w:hAnsi="宋体"/>
          <w:sz w:val="24"/>
          <w:u w:val="single"/>
        </w:rPr>
        <w:t>（</w:t>
      </w:r>
      <w:r>
        <w:rPr>
          <w:rFonts w:hint="eastAsia" w:ascii="宋体" w:hAnsi="宋体"/>
          <w:sz w:val="24"/>
          <w:u w:val="single"/>
        </w:rPr>
        <w:t>4</w:t>
      </w:r>
      <w:r>
        <w:rPr>
          <w:rFonts w:ascii="宋体" w:hAnsi="宋体"/>
          <w:sz w:val="24"/>
          <w:u w:val="single"/>
        </w:rPr>
        <w:t>）资金来源：</w:t>
      </w:r>
      <w:r>
        <w:rPr>
          <w:rFonts w:hint="eastAsia" w:ascii="宋体" w:hAnsi="宋体"/>
          <w:sz w:val="24"/>
          <w:u w:val="single"/>
        </w:rPr>
        <w:t>财政资金</w:t>
      </w:r>
    </w:p>
    <w:p>
      <w:pPr>
        <w:spacing w:line="360" w:lineRule="auto"/>
        <w:rPr>
          <w:rFonts w:ascii="宋体"/>
          <w:sz w:val="24"/>
          <w:u w:val="single"/>
        </w:rPr>
      </w:pPr>
      <w:r>
        <w:rPr>
          <w:rFonts w:ascii="宋体" w:hAnsi="宋体" w:cs="Arial"/>
          <w:sz w:val="24"/>
        </w:rPr>
        <w:t xml:space="preserve">1.1.2  </w:t>
      </w:r>
      <w:r>
        <w:rPr>
          <w:rFonts w:hint="eastAsia" w:ascii="宋体" w:hAnsi="宋体" w:cs="Arial"/>
          <w:sz w:val="24"/>
        </w:rPr>
        <w:t>施工场地（现场）具体地理位置</w:t>
      </w:r>
      <w:r>
        <w:rPr>
          <w:rFonts w:hint="eastAsia" w:ascii="宋体" w:hAnsi="宋体" w:cs="Arial"/>
          <w:bCs/>
          <w:sz w:val="24"/>
        </w:rPr>
        <w:t>：</w:t>
      </w:r>
      <w:r>
        <w:rPr>
          <w:rFonts w:hint="eastAsia" w:ascii="宋体" w:hAnsi="宋体" w:cs="Arial"/>
          <w:bCs/>
          <w:sz w:val="24"/>
          <w:u w:val="single"/>
        </w:rPr>
        <w:t>包含12所学校14个校区和一处公园,北京教育学院附属中学操场、北京市第三十五中学、北京市第四十四中学、北京市第一六一中学分校、北京市铁路第二中学（北校区）、北京市铁路第二中学（南校区）、北京外事职业学校操场、北京小学天宁寺分校、北京小学天宁寺分校（东区）、第一实验小学（虎坊桥校区）、第一实验小学（广外校区）、三义里小学、五路通小学、中古友谊小学和广阳谷城市公园）</w:t>
      </w:r>
      <w:r>
        <w:rPr>
          <w:rFonts w:hint="eastAsia" w:ascii="宋体" w:hAnsi="宋体" w:cs="Arial"/>
          <w:bCs/>
          <w:sz w:val="24"/>
          <w:u w:val="single"/>
          <w:lang w:val="en-US" w:eastAsia="zh-CN"/>
        </w:rPr>
        <w:t>。</w:t>
      </w:r>
      <w:r>
        <w:rPr>
          <w:rFonts w:ascii="宋体" w:hAnsi="宋体"/>
          <w:sz w:val="24"/>
          <w:u w:val="single"/>
        </w:rPr>
        <w:t xml:space="preserve">  </w:t>
      </w:r>
    </w:p>
    <w:p>
      <w:pPr>
        <w:keepNext/>
        <w:keepLines/>
        <w:spacing w:before="156" w:beforeLines="50" w:after="156" w:afterLines="50" w:line="360" w:lineRule="auto"/>
        <w:outlineLvl w:val="2"/>
        <w:rPr>
          <w:rFonts w:hint="eastAsia" w:ascii="宋体" w:hAnsi="宋体" w:eastAsia="宋体"/>
          <w:kern w:val="0"/>
          <w:sz w:val="24"/>
          <w:lang w:eastAsia="zh-CN"/>
        </w:rPr>
      </w:pPr>
      <w:bookmarkStart w:id="677" w:name="_Toc486580465"/>
      <w:bookmarkStart w:id="678" w:name="_Toc489280270"/>
      <w:bookmarkStart w:id="679" w:name="_Toc497584123"/>
      <w:bookmarkStart w:id="680" w:name="_Toc497214132"/>
      <w:bookmarkStart w:id="681" w:name="_Toc10235732"/>
      <w:r>
        <w:rPr>
          <w:rFonts w:ascii="宋体" w:hAnsi="宋体"/>
          <w:kern w:val="0"/>
          <w:sz w:val="24"/>
        </w:rPr>
        <w:t xml:space="preserve">1.2  </w:t>
      </w:r>
      <w:r>
        <w:rPr>
          <w:rFonts w:hint="eastAsia" w:ascii="宋体" w:hAnsi="宋体"/>
          <w:kern w:val="0"/>
          <w:sz w:val="24"/>
        </w:rPr>
        <w:t>现场条件和周围环境</w:t>
      </w:r>
      <w:bookmarkEnd w:id="677"/>
      <w:bookmarkEnd w:id="678"/>
      <w:bookmarkEnd w:id="679"/>
      <w:bookmarkEnd w:id="680"/>
      <w:bookmarkEnd w:id="681"/>
      <w:r>
        <w:rPr>
          <w:rFonts w:hint="eastAsia" w:ascii="宋体" w:hAnsi="宋体"/>
          <w:kern w:val="0"/>
          <w:sz w:val="24"/>
          <w:lang w:eastAsia="zh-CN"/>
        </w:rPr>
        <w:t>、</w:t>
      </w:r>
    </w:p>
    <w:p>
      <w:pPr>
        <w:spacing w:line="360" w:lineRule="auto"/>
        <w:ind w:left="424" w:leftChars="202" w:firstLine="240" w:firstLineChars="100"/>
        <w:rPr>
          <w:rFonts w:ascii="宋体" w:cs="Arial"/>
          <w:bCs/>
          <w:sz w:val="24"/>
        </w:rPr>
      </w:pPr>
      <w:r>
        <w:rPr>
          <w:rFonts w:ascii="宋体" w:hAnsi="宋体" w:cs="Arial"/>
          <w:sz w:val="24"/>
        </w:rPr>
        <w:t xml:space="preserve">1.2.2  </w:t>
      </w:r>
      <w:r>
        <w:rPr>
          <w:rFonts w:hint="eastAsia" w:ascii="宋体" w:hAnsi="宋体" w:cs="Arial"/>
          <w:bCs/>
          <w:sz w:val="24"/>
        </w:rPr>
        <w:t>施工场地（现场）临时供水管径：</w:t>
      </w:r>
      <w:r>
        <w:rPr>
          <w:rFonts w:ascii="宋体" w:hAnsi="宋体" w:cs="Arial"/>
          <w:bCs/>
          <w:sz w:val="24"/>
          <w:u w:val="single"/>
        </w:rPr>
        <w:t xml:space="preserve">  </w:t>
      </w:r>
      <w:r>
        <w:rPr>
          <w:rFonts w:hint="eastAsia" w:ascii="宋体" w:hAnsi="宋体" w:cs="Arial"/>
          <w:bCs/>
          <w:sz w:val="24"/>
          <w:u w:val="single"/>
        </w:rPr>
        <w:t>不提供</w:t>
      </w:r>
      <w:r>
        <w:rPr>
          <w:rFonts w:ascii="宋体" w:hAnsi="宋体" w:cs="Arial"/>
          <w:bCs/>
          <w:sz w:val="24"/>
          <w:u w:val="single"/>
        </w:rPr>
        <w:t xml:space="preserve">               </w:t>
      </w:r>
    </w:p>
    <w:p>
      <w:pPr>
        <w:spacing w:line="360" w:lineRule="auto"/>
        <w:ind w:left="424" w:leftChars="202" w:firstLine="240" w:firstLineChars="100"/>
        <w:rPr>
          <w:rFonts w:ascii="宋体" w:cs="Arial"/>
          <w:bCs/>
          <w:sz w:val="24"/>
        </w:rPr>
      </w:pPr>
      <w:r>
        <w:rPr>
          <w:rFonts w:hint="eastAsia" w:ascii="宋体" w:hAnsi="宋体" w:cs="Arial"/>
          <w:bCs/>
          <w:sz w:val="24"/>
        </w:rPr>
        <w:t>施工场地（现场）临时排污管径：</w:t>
      </w:r>
      <w:r>
        <w:rPr>
          <w:rFonts w:ascii="宋体" w:hAnsi="宋体" w:cs="Arial"/>
          <w:bCs/>
          <w:sz w:val="24"/>
          <w:u w:val="single"/>
        </w:rPr>
        <w:t xml:space="preserve">  </w:t>
      </w:r>
      <w:r>
        <w:rPr>
          <w:rFonts w:hint="eastAsia" w:ascii="宋体" w:hAnsi="宋体" w:cs="Arial"/>
          <w:bCs/>
          <w:sz w:val="24"/>
          <w:u w:val="single"/>
        </w:rPr>
        <w:t>不提供</w:t>
      </w:r>
      <w:r>
        <w:rPr>
          <w:rFonts w:ascii="宋体" w:hAnsi="宋体" w:cs="Arial"/>
          <w:bCs/>
          <w:sz w:val="24"/>
          <w:u w:val="single"/>
        </w:rPr>
        <w:t xml:space="preserve">                      </w:t>
      </w:r>
    </w:p>
    <w:p>
      <w:pPr>
        <w:spacing w:line="360" w:lineRule="auto"/>
        <w:ind w:left="424" w:leftChars="202" w:firstLine="240" w:firstLineChars="100"/>
        <w:rPr>
          <w:rFonts w:ascii="宋体" w:cs="Arial"/>
          <w:bCs/>
          <w:sz w:val="24"/>
        </w:rPr>
      </w:pPr>
      <w:r>
        <w:rPr>
          <w:rFonts w:hint="eastAsia" w:ascii="宋体" w:hAnsi="宋体" w:cs="Arial"/>
          <w:bCs/>
          <w:sz w:val="24"/>
        </w:rPr>
        <w:t>施工场地（现场）临时雨水管径：</w:t>
      </w:r>
      <w:r>
        <w:rPr>
          <w:rFonts w:ascii="宋体" w:hAnsi="宋体" w:cs="Arial"/>
          <w:bCs/>
          <w:sz w:val="24"/>
          <w:u w:val="single"/>
        </w:rPr>
        <w:t xml:space="preserve">  </w:t>
      </w:r>
      <w:r>
        <w:rPr>
          <w:rFonts w:hint="eastAsia" w:ascii="宋体" w:hAnsi="宋体" w:cs="Arial"/>
          <w:bCs/>
          <w:sz w:val="24"/>
          <w:u w:val="single"/>
        </w:rPr>
        <w:t>不提供</w:t>
      </w:r>
      <w:r>
        <w:rPr>
          <w:rFonts w:ascii="宋体" w:hAnsi="宋体" w:cs="Arial"/>
          <w:bCs/>
          <w:sz w:val="24"/>
          <w:u w:val="single"/>
        </w:rPr>
        <w:t xml:space="preserve">                      </w:t>
      </w:r>
    </w:p>
    <w:p>
      <w:pPr>
        <w:spacing w:line="360" w:lineRule="auto"/>
        <w:ind w:left="424" w:leftChars="202" w:firstLine="240" w:firstLineChars="100"/>
        <w:rPr>
          <w:rFonts w:ascii="宋体" w:cs="Arial"/>
          <w:bCs/>
          <w:sz w:val="24"/>
        </w:rPr>
      </w:pPr>
      <w:r>
        <w:rPr>
          <w:rFonts w:hint="eastAsia" w:ascii="宋体" w:hAnsi="宋体" w:cs="Arial"/>
          <w:bCs/>
          <w:sz w:val="24"/>
        </w:rPr>
        <w:t>施工场地（现场）临时供电容量（变压器输出功率）：</w:t>
      </w:r>
      <w:r>
        <w:rPr>
          <w:rFonts w:ascii="宋体" w:hAnsi="宋体" w:cs="Arial"/>
          <w:bCs/>
          <w:sz w:val="24"/>
          <w:u w:val="single"/>
        </w:rPr>
        <w:t xml:space="preserve">  </w:t>
      </w:r>
      <w:r>
        <w:rPr>
          <w:rFonts w:hint="eastAsia" w:ascii="宋体" w:hAnsi="宋体" w:cs="Arial"/>
          <w:bCs/>
          <w:sz w:val="24"/>
          <w:u w:val="single"/>
        </w:rPr>
        <w:t>不提供</w:t>
      </w:r>
      <w:r>
        <w:rPr>
          <w:rFonts w:ascii="宋体" w:hAnsi="宋体" w:cs="Arial"/>
          <w:bCs/>
          <w:sz w:val="24"/>
          <w:u w:val="single"/>
        </w:rPr>
        <w:t xml:space="preserve">     </w:t>
      </w:r>
    </w:p>
    <w:p>
      <w:pPr>
        <w:spacing w:line="360" w:lineRule="auto"/>
        <w:ind w:firstLine="720" w:firstLineChars="300"/>
        <w:rPr>
          <w:rFonts w:ascii="宋体"/>
          <w:sz w:val="24"/>
          <w:u w:val="single"/>
        </w:rPr>
      </w:pPr>
      <w:r>
        <w:rPr>
          <w:rFonts w:ascii="宋体" w:hAnsi="宋体" w:cs="Arial"/>
          <w:sz w:val="24"/>
        </w:rPr>
        <w:t xml:space="preserve">1.2.3  </w:t>
      </w:r>
      <w:r>
        <w:rPr>
          <w:rFonts w:hint="eastAsia" w:ascii="宋体" w:hAnsi="宋体" w:cs="Arial"/>
          <w:sz w:val="24"/>
        </w:rPr>
        <w:t>现场条件和周围环境的其他资料和信息数据</w:t>
      </w:r>
      <w:r>
        <w:rPr>
          <w:rFonts w:hint="eastAsia" w:ascii="宋体" w:hAnsi="宋体" w:cs="Arial"/>
          <w:bCs/>
          <w:sz w:val="24"/>
        </w:rPr>
        <w:t>：</w:t>
      </w:r>
      <w:r>
        <w:rPr>
          <w:rFonts w:ascii="宋体" w:hAnsi="宋体"/>
          <w:sz w:val="24"/>
          <w:u w:val="single"/>
        </w:rPr>
        <w:t xml:space="preserve">  </w:t>
      </w:r>
      <w:r>
        <w:rPr>
          <w:rFonts w:hint="eastAsia" w:ascii="宋体" w:hAnsi="宋体" w:cs="Arial"/>
          <w:bCs/>
          <w:sz w:val="24"/>
          <w:u w:val="single"/>
        </w:rPr>
        <w:t>不提供</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rPr>
      </w:pPr>
      <w:bookmarkStart w:id="682" w:name="_Toc489280271"/>
      <w:bookmarkStart w:id="683" w:name="_Toc497214133"/>
      <w:bookmarkStart w:id="684" w:name="_Toc10235733"/>
      <w:bookmarkStart w:id="685" w:name="_Toc497584124"/>
      <w:r>
        <w:rPr>
          <w:rFonts w:ascii="宋体" w:hAnsi="宋体"/>
          <w:kern w:val="0"/>
          <w:sz w:val="24"/>
        </w:rPr>
        <w:t xml:space="preserve">1.3  </w:t>
      </w:r>
      <w:r>
        <w:rPr>
          <w:rFonts w:hint="eastAsia" w:ascii="宋体" w:hAnsi="宋体"/>
          <w:kern w:val="0"/>
          <w:sz w:val="24"/>
        </w:rPr>
        <w:t>地质及水文资料</w:t>
      </w:r>
      <w:bookmarkEnd w:id="682"/>
      <w:bookmarkEnd w:id="683"/>
      <w:bookmarkEnd w:id="684"/>
      <w:bookmarkEnd w:id="685"/>
    </w:p>
    <w:p>
      <w:pPr>
        <w:spacing w:line="360" w:lineRule="auto"/>
        <w:ind w:firstLine="480" w:firstLineChars="200"/>
        <w:rPr>
          <w:rFonts w:ascii="宋体"/>
          <w:sz w:val="24"/>
          <w:u w:val="single"/>
        </w:rPr>
      </w:pPr>
      <w:r>
        <w:rPr>
          <w:rFonts w:hint="eastAsia" w:ascii="宋体" w:hAnsi="宋体" w:cs="Arial"/>
          <w:sz w:val="24"/>
        </w:rPr>
        <w:t>现场地质及水文资料和信息数据：</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686" w:name="_Toc497214134"/>
      <w:bookmarkStart w:id="687" w:name="_Toc10235734"/>
      <w:bookmarkStart w:id="688" w:name="_Toc489280272"/>
      <w:bookmarkStart w:id="689" w:name="_Toc486580466"/>
      <w:bookmarkStart w:id="690" w:name="_Toc497584125"/>
      <w:bookmarkStart w:id="691" w:name="_Toc490331747"/>
      <w:r>
        <w:rPr>
          <w:rFonts w:ascii="宋体" w:hAnsi="宋体" w:cs="宋体"/>
          <w:sz w:val="28"/>
          <w:szCs w:val="20"/>
        </w:rPr>
        <w:t>2.</w:t>
      </w:r>
      <w:r>
        <w:rPr>
          <w:rFonts w:hint="eastAsia" w:ascii="宋体" w:hAnsi="宋体" w:cs="宋体"/>
          <w:sz w:val="28"/>
          <w:szCs w:val="20"/>
        </w:rPr>
        <w:t>承包范围</w:t>
      </w:r>
      <w:bookmarkEnd w:id="686"/>
      <w:bookmarkEnd w:id="687"/>
      <w:bookmarkEnd w:id="688"/>
      <w:bookmarkEnd w:id="689"/>
      <w:bookmarkEnd w:id="690"/>
      <w:bookmarkEnd w:id="691"/>
    </w:p>
    <w:p>
      <w:pPr>
        <w:keepNext/>
        <w:keepLines/>
        <w:spacing w:before="156" w:beforeLines="50" w:after="156" w:afterLines="50" w:line="360" w:lineRule="auto"/>
        <w:outlineLvl w:val="2"/>
        <w:rPr>
          <w:rFonts w:ascii="宋体" w:hAnsi="宋体"/>
          <w:kern w:val="0"/>
          <w:sz w:val="24"/>
          <w:szCs w:val="20"/>
        </w:rPr>
      </w:pPr>
      <w:bookmarkStart w:id="692" w:name="_Toc486580467"/>
      <w:bookmarkStart w:id="693" w:name="_Toc497214135"/>
      <w:bookmarkStart w:id="694" w:name="_Toc10235735"/>
      <w:bookmarkStart w:id="695" w:name="_Toc489280273"/>
      <w:bookmarkStart w:id="696" w:name="_Toc497584126"/>
      <w:r>
        <w:rPr>
          <w:rFonts w:ascii="宋体" w:hAnsi="宋体"/>
          <w:kern w:val="0"/>
          <w:sz w:val="24"/>
          <w:szCs w:val="20"/>
        </w:rPr>
        <w:t xml:space="preserve">2.1  </w:t>
      </w:r>
      <w:r>
        <w:rPr>
          <w:rFonts w:hint="eastAsia" w:ascii="宋体" w:hAnsi="宋体"/>
          <w:kern w:val="0"/>
          <w:sz w:val="24"/>
          <w:szCs w:val="20"/>
        </w:rPr>
        <w:t>承包范围</w:t>
      </w:r>
      <w:bookmarkEnd w:id="692"/>
      <w:bookmarkEnd w:id="693"/>
      <w:bookmarkEnd w:id="694"/>
      <w:bookmarkEnd w:id="695"/>
      <w:bookmarkEnd w:id="696"/>
    </w:p>
    <w:p>
      <w:pPr>
        <w:spacing w:line="360" w:lineRule="auto"/>
        <w:ind w:left="424" w:leftChars="202" w:firstLine="240" w:firstLineChars="100"/>
        <w:rPr>
          <w:rFonts w:ascii="宋体" w:cs="Arial"/>
          <w:sz w:val="24"/>
        </w:rPr>
      </w:pPr>
      <w:r>
        <w:rPr>
          <w:rFonts w:ascii="宋体" w:hAnsi="宋体" w:cs="Arial"/>
          <w:sz w:val="24"/>
        </w:rPr>
        <w:t xml:space="preserve">2.1.1  </w:t>
      </w:r>
      <w:r>
        <w:rPr>
          <w:rFonts w:hint="eastAsia" w:ascii="宋体" w:hAnsi="宋体" w:cs="Arial"/>
          <w:sz w:val="24"/>
        </w:rPr>
        <w:t>承包人自行施工范围</w:t>
      </w:r>
    </w:p>
    <w:p>
      <w:pPr>
        <w:spacing w:line="360" w:lineRule="auto"/>
        <w:ind w:firstLine="720" w:firstLineChars="300"/>
        <w:rPr>
          <w:rFonts w:ascii="宋体" w:cs="Arial"/>
          <w:sz w:val="24"/>
        </w:rPr>
      </w:pPr>
      <w:r>
        <w:rPr>
          <w:rFonts w:hint="eastAsia" w:ascii="宋体" w:hAnsi="宋体" w:cs="Arial"/>
          <w:sz w:val="24"/>
        </w:rPr>
        <w:t>本工程承包人自行施工的工程范围：</w:t>
      </w:r>
      <w:r>
        <w:rPr>
          <w:rFonts w:ascii="宋体" w:hAnsi="宋体"/>
          <w:sz w:val="24"/>
          <w:u w:val="single"/>
        </w:rPr>
        <w:t xml:space="preserve"> </w:t>
      </w:r>
      <w:r>
        <w:rPr>
          <w:rFonts w:hint="eastAsia" w:ascii="宋体" w:hAnsi="宋体"/>
          <w:sz w:val="24"/>
          <w:u w:val="single"/>
        </w:rPr>
        <w:t xml:space="preserve">按照发包人通知要求。   </w:t>
      </w:r>
    </w:p>
    <w:p>
      <w:pPr>
        <w:spacing w:line="360" w:lineRule="auto"/>
        <w:ind w:left="424" w:leftChars="202" w:firstLine="240" w:firstLineChars="100"/>
        <w:rPr>
          <w:rFonts w:ascii="宋体" w:cs="Arial"/>
          <w:sz w:val="24"/>
        </w:rPr>
      </w:pPr>
      <w:r>
        <w:rPr>
          <w:rFonts w:ascii="宋体" w:hAnsi="宋体" w:cs="Arial"/>
          <w:sz w:val="24"/>
        </w:rPr>
        <w:t xml:space="preserve">2.1.2  </w:t>
      </w:r>
      <w:r>
        <w:rPr>
          <w:rFonts w:hint="eastAsia" w:ascii="宋体" w:hAnsi="宋体" w:cs="Arial"/>
          <w:sz w:val="24"/>
        </w:rPr>
        <w:t>承包范围内的暂估价项目</w:t>
      </w:r>
    </w:p>
    <w:p>
      <w:pPr>
        <w:spacing w:line="360" w:lineRule="auto"/>
        <w:ind w:firstLine="960" w:firstLineChars="400"/>
        <w:rPr>
          <w:rFonts w:ascii="宋体"/>
          <w:sz w:val="24"/>
          <w:u w:val="single"/>
        </w:rPr>
      </w:pPr>
      <w:r>
        <w:rPr>
          <w:rFonts w:ascii="宋体" w:hAnsi="宋体" w:cs="Arial"/>
          <w:sz w:val="24"/>
        </w:rPr>
        <w:t xml:space="preserve">2.1.2.3  </w:t>
      </w:r>
      <w:r>
        <w:rPr>
          <w:rFonts w:hint="eastAsia" w:ascii="宋体" w:hAnsi="宋体" w:cs="Arial"/>
          <w:sz w:val="24"/>
        </w:rPr>
        <w:t>上述暂估价项目与第</w:t>
      </w:r>
      <w:r>
        <w:rPr>
          <w:rFonts w:ascii="宋体" w:hAnsi="宋体" w:cs="Arial"/>
          <w:sz w:val="24"/>
        </w:rPr>
        <w:t>2.1.1</w:t>
      </w:r>
      <w:r>
        <w:rPr>
          <w:rFonts w:hint="eastAsia" w:ascii="宋体" w:hAnsi="宋体" w:cs="Arial"/>
          <w:sz w:val="24"/>
        </w:rPr>
        <w:t>项承包人自行施工范围的工作界面划分：</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spacing w:line="360" w:lineRule="auto"/>
        <w:ind w:left="424" w:leftChars="202" w:firstLine="240" w:firstLineChars="100"/>
        <w:rPr>
          <w:rFonts w:ascii="宋体" w:cs="Arial"/>
          <w:sz w:val="24"/>
        </w:rPr>
      </w:pPr>
      <w:r>
        <w:rPr>
          <w:rFonts w:ascii="宋体" w:hAnsi="宋体" w:cs="Arial"/>
          <w:sz w:val="24"/>
        </w:rPr>
        <w:t xml:space="preserve">2.1.3  </w:t>
      </w:r>
      <w:r>
        <w:rPr>
          <w:rFonts w:hint="eastAsia" w:ascii="宋体" w:hAnsi="宋体" w:cs="Arial"/>
          <w:sz w:val="24"/>
        </w:rPr>
        <w:t>承包范围内的暂列金额项目</w:t>
      </w:r>
    </w:p>
    <w:p>
      <w:pPr>
        <w:spacing w:line="360" w:lineRule="auto"/>
        <w:ind w:firstLine="960" w:firstLineChars="400"/>
        <w:rPr>
          <w:rFonts w:ascii="宋体"/>
          <w:sz w:val="24"/>
          <w:u w:val="single"/>
        </w:rPr>
      </w:pPr>
      <w:r>
        <w:rPr>
          <w:rFonts w:ascii="宋体" w:hAnsi="宋体" w:cs="Arial"/>
          <w:sz w:val="24"/>
        </w:rPr>
        <w:t xml:space="preserve">2.1.3.4  </w:t>
      </w:r>
      <w:r>
        <w:rPr>
          <w:rFonts w:hint="eastAsia" w:ascii="宋体" w:hAnsi="宋体" w:cs="Arial"/>
          <w:sz w:val="24"/>
        </w:rPr>
        <w:t>关于暂列金额的其他说明：</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697" w:name="_Toc497584127"/>
      <w:bookmarkStart w:id="698" w:name="_Toc10235736"/>
      <w:bookmarkStart w:id="699" w:name="_Toc497214136"/>
      <w:bookmarkStart w:id="700" w:name="_Toc489280274"/>
      <w:bookmarkStart w:id="701" w:name="_Toc486580468"/>
      <w:r>
        <w:rPr>
          <w:rFonts w:ascii="宋体" w:hAnsi="宋体"/>
          <w:kern w:val="0"/>
          <w:sz w:val="24"/>
          <w:szCs w:val="20"/>
        </w:rPr>
        <w:t xml:space="preserve">2.2  </w:t>
      </w:r>
      <w:r>
        <w:rPr>
          <w:rFonts w:hint="eastAsia" w:ascii="宋体" w:hAnsi="宋体"/>
          <w:kern w:val="0"/>
          <w:sz w:val="24"/>
          <w:szCs w:val="20"/>
        </w:rPr>
        <w:t>发包人发包专业工程和发包人供应的材料和工程设备</w:t>
      </w:r>
      <w:bookmarkEnd w:id="697"/>
      <w:bookmarkEnd w:id="698"/>
      <w:bookmarkEnd w:id="699"/>
      <w:bookmarkEnd w:id="700"/>
      <w:bookmarkEnd w:id="701"/>
    </w:p>
    <w:p>
      <w:pPr>
        <w:spacing w:line="360" w:lineRule="auto"/>
        <w:ind w:firstLine="720" w:firstLineChars="300"/>
        <w:rPr>
          <w:rFonts w:ascii="宋体"/>
          <w:sz w:val="24"/>
          <w:u w:val="single"/>
        </w:rPr>
      </w:pPr>
      <w:r>
        <w:rPr>
          <w:rFonts w:ascii="宋体" w:hAnsi="宋体" w:cs="Arial"/>
          <w:sz w:val="24"/>
        </w:rPr>
        <w:t xml:space="preserve">2.2.1  </w:t>
      </w:r>
      <w:r>
        <w:rPr>
          <w:rFonts w:hint="eastAsia" w:ascii="宋体" w:hAnsi="宋体"/>
          <w:sz w:val="24"/>
        </w:rPr>
        <w:t>由发包人发包的专业工程属于与本工程有关的其他工程，不属于承包人的承包范围。</w:t>
      </w:r>
      <w:r>
        <w:rPr>
          <w:rFonts w:hint="eastAsia" w:ascii="宋体" w:hAnsi="宋体" w:cs="Arial"/>
          <w:sz w:val="24"/>
        </w:rPr>
        <w:t>发包人发包的专业工程：</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702" w:name="_Toc10235737"/>
      <w:bookmarkStart w:id="703" w:name="_Toc497214137"/>
      <w:bookmarkStart w:id="704" w:name="_Toc489280275"/>
      <w:bookmarkStart w:id="705" w:name="_Toc497584128"/>
      <w:bookmarkStart w:id="706" w:name="_Toc486580469"/>
      <w:r>
        <w:rPr>
          <w:rFonts w:ascii="宋体" w:hAnsi="宋体"/>
          <w:kern w:val="0"/>
          <w:sz w:val="24"/>
          <w:szCs w:val="20"/>
        </w:rPr>
        <w:t xml:space="preserve">2.3  </w:t>
      </w:r>
      <w:r>
        <w:rPr>
          <w:rFonts w:hint="eastAsia" w:ascii="宋体" w:hAnsi="宋体"/>
          <w:kern w:val="0"/>
          <w:sz w:val="24"/>
          <w:szCs w:val="20"/>
        </w:rPr>
        <w:t>承包人与发包人发包专业工程承包人的工作界面</w:t>
      </w:r>
      <w:bookmarkEnd w:id="702"/>
      <w:bookmarkEnd w:id="703"/>
      <w:bookmarkEnd w:id="704"/>
      <w:bookmarkEnd w:id="705"/>
      <w:bookmarkEnd w:id="706"/>
    </w:p>
    <w:p>
      <w:pPr>
        <w:spacing w:line="360" w:lineRule="auto"/>
        <w:ind w:firstLine="480" w:firstLineChars="200"/>
        <w:rPr>
          <w:rFonts w:ascii="宋体"/>
          <w:sz w:val="24"/>
          <w:u w:val="single"/>
        </w:rPr>
      </w:pPr>
      <w:r>
        <w:rPr>
          <w:rFonts w:hint="eastAsia" w:ascii="宋体" w:hAnsi="宋体" w:cs="Arial"/>
          <w:sz w:val="24"/>
        </w:rPr>
        <w:t>承包人与发包人发包专业工程承包人以及与发包人供应的材料和设备的供应商之间的工作界面划分：</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szCs w:val="20"/>
        </w:rPr>
      </w:pPr>
      <w:bookmarkStart w:id="707" w:name="_Toc10235738"/>
      <w:bookmarkStart w:id="708" w:name="_Toc489280276"/>
      <w:bookmarkStart w:id="709" w:name="_Toc497584129"/>
      <w:bookmarkStart w:id="710" w:name="_Toc497214138"/>
      <w:bookmarkStart w:id="711" w:name="_Toc486580470"/>
      <w:r>
        <w:rPr>
          <w:rFonts w:ascii="宋体" w:hAnsi="宋体"/>
          <w:kern w:val="0"/>
          <w:sz w:val="24"/>
          <w:szCs w:val="20"/>
        </w:rPr>
        <w:t xml:space="preserve">2.4  </w:t>
      </w:r>
      <w:r>
        <w:rPr>
          <w:rFonts w:hint="eastAsia" w:ascii="宋体" w:hAnsi="宋体"/>
          <w:kern w:val="0"/>
          <w:sz w:val="24"/>
          <w:szCs w:val="20"/>
        </w:rPr>
        <w:t>承包人需要为发包人和监理人提供的现场办公条件和设施</w:t>
      </w:r>
      <w:bookmarkEnd w:id="707"/>
      <w:bookmarkEnd w:id="708"/>
      <w:bookmarkEnd w:id="709"/>
      <w:bookmarkEnd w:id="710"/>
      <w:bookmarkEnd w:id="711"/>
    </w:p>
    <w:p>
      <w:pPr>
        <w:spacing w:line="360" w:lineRule="auto"/>
        <w:ind w:firstLine="480" w:firstLineChars="200"/>
        <w:rPr>
          <w:rFonts w:ascii="宋体" w:hAnsi="宋体"/>
          <w:sz w:val="24"/>
          <w:u w:val="single"/>
        </w:rPr>
      </w:pPr>
      <w:r>
        <w:rPr>
          <w:rFonts w:hint="eastAsia" w:ascii="宋体" w:hAnsi="宋体" w:cs="Arial"/>
          <w:sz w:val="24"/>
        </w:rPr>
        <w:t>承包人需要为发包人和监理人提供的现场办公条件和设施及其详细要求：</w:t>
      </w:r>
      <w:r>
        <w:rPr>
          <w:rFonts w:hint="eastAsia" w:ascii="宋体" w:hAnsi="宋体"/>
          <w:sz w:val="24"/>
          <w:u w:val="single"/>
        </w:rPr>
        <w:t xml:space="preserve">     /     </w:t>
      </w:r>
    </w:p>
    <w:p>
      <w:pPr>
        <w:keepNext/>
        <w:keepLines/>
        <w:numPr>
          <w:ilvl w:val="0"/>
          <w:numId w:val="13"/>
        </w:numPr>
        <w:spacing w:before="156" w:beforeLines="50" w:after="156" w:afterLines="50" w:line="360" w:lineRule="auto"/>
        <w:outlineLvl w:val="1"/>
        <w:rPr>
          <w:rFonts w:ascii="宋体" w:hAnsi="宋体" w:cs="宋体"/>
          <w:sz w:val="28"/>
          <w:szCs w:val="20"/>
        </w:rPr>
      </w:pPr>
      <w:bookmarkStart w:id="712" w:name="_Toc489280277"/>
      <w:bookmarkStart w:id="713" w:name="_Toc497214139"/>
      <w:bookmarkStart w:id="714" w:name="_Toc486580471"/>
      <w:bookmarkStart w:id="715" w:name="_Toc497584130"/>
      <w:bookmarkStart w:id="716" w:name="_Toc490331748"/>
      <w:bookmarkStart w:id="717" w:name="_Toc10235739"/>
      <w:r>
        <w:rPr>
          <w:rFonts w:hint="eastAsia" w:ascii="宋体" w:hAnsi="宋体" w:cs="宋体"/>
          <w:sz w:val="28"/>
          <w:szCs w:val="20"/>
        </w:rPr>
        <w:t>质量要求</w:t>
      </w:r>
      <w:bookmarkEnd w:id="712"/>
      <w:bookmarkEnd w:id="713"/>
      <w:bookmarkEnd w:id="714"/>
      <w:bookmarkEnd w:id="715"/>
      <w:bookmarkEnd w:id="716"/>
      <w:bookmarkEnd w:id="717"/>
    </w:p>
    <w:p>
      <w:pPr>
        <w:keepNext/>
        <w:keepLines/>
        <w:spacing w:before="156" w:beforeLines="50" w:after="156" w:afterLines="50" w:line="360" w:lineRule="auto"/>
        <w:outlineLvl w:val="2"/>
        <w:rPr>
          <w:sz w:val="24"/>
        </w:rPr>
      </w:pPr>
      <w:r>
        <w:rPr>
          <w:rFonts w:hint="eastAsia" w:ascii="宋体" w:hAnsi="宋体"/>
          <w:kern w:val="0"/>
          <w:sz w:val="24"/>
        </w:rPr>
        <w:t>4.1 质量标准</w:t>
      </w:r>
    </w:p>
    <w:p>
      <w:pPr>
        <w:widowControl/>
        <w:jc w:val="left"/>
        <w:rPr>
          <w:sz w:val="24"/>
          <w:u w:val="single"/>
        </w:rPr>
      </w:pPr>
      <w:r>
        <w:rPr>
          <w:rFonts w:hint="eastAsia" w:ascii="宋体" w:hAnsi="宋体" w:cs="宋体"/>
          <w:color w:val="000000"/>
          <w:kern w:val="0"/>
          <w:sz w:val="24"/>
          <w:lang w:bidi="ar"/>
        </w:rPr>
        <w:t>本工程要求的质量标准为符合现行国家有关工程施工验收规范和标准的要求</w:t>
      </w:r>
      <w:r>
        <w:rPr>
          <w:rFonts w:hint="eastAsia" w:ascii="宋体" w:hAnsi="宋体" w:cs="宋体"/>
          <w:color w:val="000000"/>
          <w:kern w:val="0"/>
          <w:sz w:val="24"/>
          <w:u w:val="single"/>
          <w:lang w:bidi="ar"/>
        </w:rPr>
        <w:t xml:space="preserve"> 合格 </w:t>
      </w:r>
    </w:p>
    <w:p>
      <w:pPr>
        <w:keepNext/>
        <w:keepLines/>
        <w:spacing w:before="156" w:beforeLines="50" w:after="156" w:afterLines="50" w:line="360" w:lineRule="auto"/>
        <w:outlineLvl w:val="2"/>
        <w:rPr>
          <w:rFonts w:ascii="宋体" w:hAnsi="宋体"/>
          <w:kern w:val="0"/>
          <w:sz w:val="24"/>
        </w:rPr>
      </w:pPr>
      <w:bookmarkStart w:id="718" w:name="_Toc489280278"/>
      <w:bookmarkStart w:id="719" w:name="_Toc10235740"/>
      <w:bookmarkStart w:id="720" w:name="_Toc497214140"/>
      <w:bookmarkStart w:id="721" w:name="_Toc497584131"/>
      <w:bookmarkStart w:id="722" w:name="_Toc486580472"/>
      <w:r>
        <w:rPr>
          <w:rFonts w:ascii="宋体" w:hAnsi="宋体"/>
          <w:kern w:val="0"/>
          <w:sz w:val="24"/>
        </w:rPr>
        <w:t xml:space="preserve">4.2  </w:t>
      </w:r>
      <w:r>
        <w:rPr>
          <w:rFonts w:hint="eastAsia" w:ascii="宋体" w:hAnsi="宋体"/>
          <w:kern w:val="0"/>
          <w:sz w:val="24"/>
        </w:rPr>
        <w:t>特殊质量要求</w:t>
      </w:r>
      <w:bookmarkEnd w:id="718"/>
      <w:bookmarkEnd w:id="719"/>
      <w:bookmarkEnd w:id="720"/>
      <w:bookmarkEnd w:id="721"/>
      <w:bookmarkEnd w:id="722"/>
    </w:p>
    <w:p>
      <w:pPr>
        <w:spacing w:line="360" w:lineRule="auto"/>
        <w:rPr>
          <w:rFonts w:ascii="宋体" w:cs="Arial"/>
          <w:sz w:val="24"/>
        </w:rPr>
      </w:pPr>
      <w:r>
        <w:rPr>
          <w:rFonts w:hint="eastAsia" w:ascii="宋体" w:hAnsi="宋体" w:cs="Arial"/>
          <w:sz w:val="24"/>
        </w:rPr>
        <w:t xml:space="preserve">有关本工程质量方面的特殊要求：  </w:t>
      </w:r>
      <w:r>
        <w:rPr>
          <w:rFonts w:hint="eastAsia" w:ascii="宋体" w:hAnsi="宋体" w:cs="Arial"/>
          <w:sz w:val="24"/>
          <w:u w:val="single"/>
        </w:rPr>
        <w:t xml:space="preserve">   /</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723" w:name="_Toc490331749"/>
      <w:bookmarkStart w:id="724" w:name="_Toc10235741"/>
      <w:bookmarkStart w:id="725" w:name="_Toc497584132"/>
      <w:bookmarkStart w:id="726" w:name="_Toc497214141"/>
      <w:bookmarkStart w:id="727" w:name="_Toc486580473"/>
      <w:bookmarkStart w:id="728" w:name="_Toc489280279"/>
      <w:r>
        <w:rPr>
          <w:rFonts w:ascii="宋体" w:hAnsi="宋体" w:cs="宋体"/>
          <w:sz w:val="28"/>
          <w:szCs w:val="20"/>
        </w:rPr>
        <w:t>5.</w:t>
      </w:r>
      <w:r>
        <w:rPr>
          <w:rFonts w:hint="eastAsia" w:ascii="宋体" w:hAnsi="宋体" w:cs="宋体"/>
          <w:sz w:val="28"/>
          <w:szCs w:val="20"/>
        </w:rPr>
        <w:t>适用规范和标准</w:t>
      </w:r>
      <w:bookmarkEnd w:id="723"/>
      <w:bookmarkEnd w:id="724"/>
      <w:bookmarkEnd w:id="725"/>
      <w:bookmarkEnd w:id="726"/>
      <w:bookmarkEnd w:id="727"/>
      <w:bookmarkEnd w:id="728"/>
    </w:p>
    <w:p>
      <w:pPr>
        <w:spacing w:line="360" w:lineRule="auto"/>
        <w:ind w:firstLine="720" w:firstLineChars="300"/>
        <w:outlineLvl w:val="3"/>
        <w:rPr>
          <w:rFonts w:ascii="宋体" w:cs="Arial"/>
          <w:sz w:val="24"/>
          <w:u w:val="single"/>
        </w:rPr>
      </w:pPr>
      <w:r>
        <w:rPr>
          <w:rFonts w:ascii="宋体" w:hAnsi="宋体" w:cs="Arial"/>
          <w:sz w:val="24"/>
        </w:rPr>
        <w:t xml:space="preserve">5.1  </w:t>
      </w:r>
      <w:r>
        <w:rPr>
          <w:rFonts w:hint="eastAsia" w:ascii="宋体" w:hAnsi="宋体"/>
          <w:sz w:val="24"/>
        </w:rPr>
        <w:t>适用本工程的国家、行业和地方规范、标准和规程</w:t>
      </w:r>
      <w:r>
        <w:rPr>
          <w:rFonts w:ascii="宋体" w:hAnsi="宋体"/>
          <w:sz w:val="24"/>
        </w:rPr>
        <w:t>:</w:t>
      </w:r>
      <w:r>
        <w:rPr>
          <w:rFonts w:ascii="宋体" w:hAnsi="宋体" w:cs="Arial"/>
          <w:sz w:val="24"/>
          <w:u w:val="single"/>
        </w:rPr>
        <w:t xml:space="preserve">  除合同另有约定外，本工程适用现行国家、行业和地方规范、标准和规程。</w:t>
      </w:r>
    </w:p>
    <w:p>
      <w:pPr>
        <w:keepNext/>
        <w:keepLines/>
        <w:spacing w:before="156" w:beforeLines="50" w:after="156" w:afterLines="50" w:line="360" w:lineRule="auto"/>
        <w:outlineLvl w:val="1"/>
        <w:rPr>
          <w:rFonts w:ascii="宋体" w:hAnsi="宋体" w:cs="宋体"/>
          <w:sz w:val="28"/>
          <w:szCs w:val="20"/>
        </w:rPr>
      </w:pPr>
      <w:bookmarkStart w:id="729" w:name="_Toc486580474"/>
      <w:bookmarkStart w:id="730" w:name="_Toc497584133"/>
      <w:bookmarkStart w:id="731" w:name="_Toc490331750"/>
      <w:bookmarkStart w:id="732" w:name="_Toc10235742"/>
      <w:bookmarkStart w:id="733" w:name="_Toc497214142"/>
      <w:bookmarkStart w:id="734" w:name="_Toc489280280"/>
      <w:r>
        <w:rPr>
          <w:rFonts w:ascii="宋体" w:hAnsi="宋体" w:cs="宋体"/>
          <w:sz w:val="28"/>
          <w:szCs w:val="20"/>
        </w:rPr>
        <w:t>6.</w:t>
      </w:r>
      <w:r>
        <w:rPr>
          <w:rFonts w:hint="eastAsia" w:ascii="宋体" w:hAnsi="宋体" w:cs="宋体"/>
          <w:sz w:val="28"/>
          <w:szCs w:val="20"/>
        </w:rPr>
        <w:t>安全文明施工</w:t>
      </w:r>
      <w:bookmarkEnd w:id="729"/>
      <w:bookmarkEnd w:id="730"/>
      <w:bookmarkEnd w:id="731"/>
      <w:bookmarkEnd w:id="732"/>
      <w:bookmarkEnd w:id="733"/>
      <w:bookmarkEnd w:id="734"/>
    </w:p>
    <w:p>
      <w:pPr>
        <w:keepNext/>
        <w:keepLines/>
        <w:spacing w:before="156" w:beforeLines="50" w:after="156" w:afterLines="50" w:line="360" w:lineRule="auto"/>
        <w:outlineLvl w:val="2"/>
        <w:rPr>
          <w:rFonts w:ascii="宋体" w:hAnsi="宋体"/>
          <w:kern w:val="0"/>
          <w:sz w:val="24"/>
        </w:rPr>
      </w:pPr>
      <w:bookmarkStart w:id="735" w:name="_Toc486580475"/>
      <w:bookmarkStart w:id="736" w:name="_Toc489280281"/>
      <w:bookmarkStart w:id="737" w:name="_Toc497214143"/>
      <w:bookmarkStart w:id="738" w:name="_Toc10235743"/>
      <w:bookmarkStart w:id="739" w:name="_Toc497584134"/>
      <w:r>
        <w:rPr>
          <w:rFonts w:ascii="宋体" w:hAnsi="宋体"/>
          <w:kern w:val="0"/>
          <w:sz w:val="24"/>
        </w:rPr>
        <w:t xml:space="preserve">6.1  </w:t>
      </w:r>
      <w:r>
        <w:rPr>
          <w:rFonts w:hint="eastAsia" w:ascii="宋体" w:hAnsi="宋体"/>
          <w:kern w:val="0"/>
          <w:sz w:val="24"/>
        </w:rPr>
        <w:t>安全防护</w:t>
      </w:r>
      <w:bookmarkEnd w:id="735"/>
      <w:bookmarkEnd w:id="736"/>
      <w:bookmarkEnd w:id="737"/>
      <w:bookmarkEnd w:id="738"/>
      <w:bookmarkEnd w:id="739"/>
    </w:p>
    <w:p>
      <w:pPr>
        <w:spacing w:line="360" w:lineRule="auto"/>
        <w:ind w:firstLine="480" w:firstLineChars="200"/>
        <w:rPr>
          <w:rFonts w:ascii="宋体"/>
          <w:sz w:val="24"/>
          <w:u w:val="single"/>
        </w:rPr>
      </w:pPr>
      <w:r>
        <w:rPr>
          <w:rFonts w:hint="eastAsia" w:ascii="宋体" w:hAnsi="宋体" w:cs="Arial"/>
          <w:sz w:val="24"/>
        </w:rPr>
        <w:t>安全防护方面的其他要求：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r>
        <w:rPr>
          <w:rFonts w:ascii="宋体" w:hAnsi="宋体"/>
          <w:sz w:val="24"/>
          <w:u w:val="single"/>
        </w:rPr>
        <w:t xml:space="preserve"> </w:t>
      </w:r>
      <w:r>
        <w:rPr>
          <w:rFonts w:hint="eastAsia" w:ascii="宋体" w:hAnsi="宋体"/>
          <w:sz w:val="24"/>
          <w:u w:val="single"/>
        </w:rPr>
        <w:t>。</w:t>
      </w:r>
    </w:p>
    <w:p>
      <w:pPr>
        <w:keepNext/>
        <w:keepLines/>
        <w:spacing w:before="156" w:beforeLines="50" w:after="156" w:afterLines="50" w:line="360" w:lineRule="auto"/>
        <w:outlineLvl w:val="2"/>
        <w:rPr>
          <w:rFonts w:ascii="宋体" w:hAnsi="宋体"/>
          <w:kern w:val="0"/>
          <w:sz w:val="24"/>
        </w:rPr>
      </w:pPr>
      <w:bookmarkStart w:id="740" w:name="_Toc486580476"/>
      <w:bookmarkStart w:id="741" w:name="_Toc10235744"/>
      <w:bookmarkStart w:id="742" w:name="_Toc497584135"/>
      <w:bookmarkStart w:id="743" w:name="_Toc497214144"/>
      <w:bookmarkStart w:id="744" w:name="_Toc489280282"/>
      <w:r>
        <w:rPr>
          <w:rFonts w:ascii="宋体" w:hAnsi="宋体"/>
          <w:kern w:val="0"/>
          <w:sz w:val="24"/>
        </w:rPr>
        <w:t xml:space="preserve">6.2  </w:t>
      </w:r>
      <w:r>
        <w:rPr>
          <w:rFonts w:hint="eastAsia" w:ascii="宋体" w:hAnsi="宋体"/>
          <w:kern w:val="0"/>
          <w:sz w:val="24"/>
        </w:rPr>
        <w:t>临时消防</w:t>
      </w:r>
      <w:bookmarkEnd w:id="740"/>
      <w:bookmarkEnd w:id="741"/>
      <w:bookmarkEnd w:id="742"/>
      <w:bookmarkEnd w:id="743"/>
      <w:bookmarkEnd w:id="744"/>
    </w:p>
    <w:p>
      <w:pPr>
        <w:spacing w:line="360" w:lineRule="auto"/>
        <w:ind w:firstLine="480" w:firstLineChars="200"/>
        <w:rPr>
          <w:rFonts w:ascii="宋体"/>
          <w:sz w:val="24"/>
          <w:u w:val="single"/>
        </w:rPr>
      </w:pPr>
      <w:r>
        <w:rPr>
          <w:rFonts w:hint="eastAsia" w:ascii="宋体" w:hAnsi="宋体" w:cs="Arial"/>
          <w:sz w:val="24"/>
        </w:rPr>
        <w:t>临时消防方面的其他要求：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r>
        <w:rPr>
          <w:rFonts w:ascii="宋体" w:hAnsi="宋体"/>
          <w:sz w:val="24"/>
          <w:u w:val="single"/>
        </w:rPr>
        <w:t xml:space="preserve"> </w:t>
      </w:r>
      <w:r>
        <w:rPr>
          <w:rFonts w:hint="eastAsia" w:ascii="宋体" w:hAnsi="宋体"/>
          <w:sz w:val="24"/>
          <w:u w:val="single"/>
        </w:rPr>
        <w:t>。</w:t>
      </w:r>
    </w:p>
    <w:p>
      <w:pPr>
        <w:keepNext/>
        <w:keepLines/>
        <w:spacing w:before="156" w:beforeLines="50" w:after="156" w:afterLines="50" w:line="360" w:lineRule="auto"/>
        <w:outlineLvl w:val="2"/>
        <w:rPr>
          <w:rFonts w:ascii="宋体" w:hAnsi="宋体"/>
          <w:kern w:val="0"/>
          <w:sz w:val="24"/>
          <w:szCs w:val="20"/>
        </w:rPr>
      </w:pPr>
      <w:bookmarkStart w:id="745" w:name="_Toc497584136"/>
      <w:bookmarkStart w:id="746" w:name="_Toc10235745"/>
      <w:bookmarkStart w:id="747" w:name="_Toc489280283"/>
      <w:bookmarkStart w:id="748" w:name="_Toc486580477"/>
      <w:bookmarkStart w:id="749" w:name="_Toc497214145"/>
      <w:r>
        <w:rPr>
          <w:rFonts w:ascii="宋体" w:hAnsi="宋体"/>
          <w:kern w:val="0"/>
          <w:sz w:val="24"/>
          <w:szCs w:val="20"/>
        </w:rPr>
        <w:t xml:space="preserve">6.3  </w:t>
      </w:r>
      <w:r>
        <w:rPr>
          <w:rFonts w:hint="eastAsia" w:ascii="宋体" w:hAnsi="宋体"/>
          <w:kern w:val="0"/>
          <w:sz w:val="24"/>
          <w:szCs w:val="20"/>
        </w:rPr>
        <w:t>临时供电</w:t>
      </w:r>
      <w:bookmarkEnd w:id="745"/>
      <w:bookmarkEnd w:id="746"/>
      <w:bookmarkEnd w:id="747"/>
      <w:bookmarkEnd w:id="748"/>
      <w:bookmarkEnd w:id="749"/>
    </w:p>
    <w:p>
      <w:pPr>
        <w:spacing w:line="360" w:lineRule="auto"/>
        <w:ind w:firstLine="480" w:firstLineChars="200"/>
        <w:rPr>
          <w:rFonts w:ascii="宋体"/>
          <w:sz w:val="24"/>
          <w:u w:val="single"/>
        </w:rPr>
      </w:pPr>
      <w:r>
        <w:rPr>
          <w:rFonts w:hint="eastAsia" w:ascii="宋体" w:hAnsi="宋体" w:cs="Arial"/>
          <w:sz w:val="24"/>
        </w:rPr>
        <w:t>临时用电方面的其他要求：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p>
    <w:p>
      <w:pPr>
        <w:keepNext/>
        <w:keepLines/>
        <w:spacing w:before="156" w:beforeLines="50" w:after="156" w:afterLines="50" w:line="360" w:lineRule="auto"/>
        <w:outlineLvl w:val="2"/>
        <w:rPr>
          <w:rFonts w:ascii="宋体" w:hAnsi="宋体"/>
          <w:kern w:val="0"/>
          <w:sz w:val="24"/>
        </w:rPr>
      </w:pPr>
      <w:bookmarkStart w:id="750" w:name="_Toc497584137"/>
      <w:bookmarkStart w:id="751" w:name="_Toc489280284"/>
      <w:bookmarkStart w:id="752" w:name="_Toc10235746"/>
      <w:bookmarkStart w:id="753" w:name="_Toc486580478"/>
      <w:bookmarkStart w:id="754" w:name="_Toc497214146"/>
      <w:r>
        <w:rPr>
          <w:rFonts w:ascii="宋体" w:hAnsi="宋体"/>
          <w:kern w:val="0"/>
          <w:sz w:val="24"/>
        </w:rPr>
        <w:t xml:space="preserve">6.4  </w:t>
      </w:r>
      <w:r>
        <w:rPr>
          <w:rFonts w:hint="eastAsia" w:ascii="宋体" w:hAnsi="宋体"/>
          <w:kern w:val="0"/>
          <w:sz w:val="24"/>
        </w:rPr>
        <w:t>劳动保护</w:t>
      </w:r>
      <w:bookmarkEnd w:id="750"/>
      <w:bookmarkEnd w:id="751"/>
      <w:bookmarkEnd w:id="752"/>
      <w:bookmarkEnd w:id="753"/>
      <w:bookmarkEnd w:id="754"/>
    </w:p>
    <w:p>
      <w:pPr>
        <w:spacing w:line="360" w:lineRule="auto"/>
        <w:ind w:firstLine="480" w:firstLineChars="200"/>
        <w:rPr>
          <w:rFonts w:ascii="宋体"/>
          <w:sz w:val="24"/>
          <w:u w:val="single"/>
        </w:rPr>
      </w:pPr>
      <w:r>
        <w:rPr>
          <w:rFonts w:hint="eastAsia" w:ascii="宋体" w:hAnsi="宋体" w:cs="Arial"/>
          <w:sz w:val="24"/>
        </w:rPr>
        <w:t>劳动保护方面的其他要求：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r>
        <w:rPr>
          <w:rFonts w:ascii="宋体" w:hAnsi="宋体"/>
          <w:sz w:val="24"/>
          <w:u w:val="single"/>
        </w:rPr>
        <w:t xml:space="preserve"> </w:t>
      </w:r>
      <w:r>
        <w:rPr>
          <w:rFonts w:hint="eastAsia" w:ascii="宋体" w:hAnsi="宋体"/>
          <w:sz w:val="24"/>
          <w:u w:val="single"/>
        </w:rPr>
        <w:t>。</w:t>
      </w:r>
    </w:p>
    <w:p>
      <w:pPr>
        <w:keepNext/>
        <w:keepLines/>
        <w:spacing w:before="156" w:beforeLines="50" w:after="156" w:afterLines="50" w:line="360" w:lineRule="auto"/>
        <w:outlineLvl w:val="2"/>
        <w:rPr>
          <w:rFonts w:ascii="宋体" w:hAnsi="宋体"/>
          <w:kern w:val="0"/>
          <w:sz w:val="24"/>
        </w:rPr>
      </w:pPr>
      <w:bookmarkStart w:id="755" w:name="_Toc489280285"/>
      <w:bookmarkStart w:id="756" w:name="_Toc10235747"/>
      <w:bookmarkStart w:id="757" w:name="_Toc497214147"/>
      <w:bookmarkStart w:id="758" w:name="_Toc497584138"/>
      <w:bookmarkStart w:id="759" w:name="_Toc486580479"/>
      <w:r>
        <w:rPr>
          <w:rFonts w:ascii="宋体" w:hAnsi="宋体"/>
          <w:kern w:val="0"/>
          <w:sz w:val="24"/>
        </w:rPr>
        <w:t xml:space="preserve">6.5  </w:t>
      </w:r>
      <w:r>
        <w:rPr>
          <w:rFonts w:hint="eastAsia" w:ascii="宋体" w:hAnsi="宋体"/>
          <w:kern w:val="0"/>
          <w:sz w:val="24"/>
        </w:rPr>
        <w:t>脚手架</w:t>
      </w:r>
      <w:bookmarkEnd w:id="755"/>
      <w:bookmarkEnd w:id="756"/>
      <w:bookmarkEnd w:id="757"/>
      <w:bookmarkEnd w:id="758"/>
      <w:bookmarkEnd w:id="759"/>
    </w:p>
    <w:p>
      <w:pPr>
        <w:spacing w:line="360" w:lineRule="auto"/>
        <w:ind w:firstLine="480" w:firstLineChars="200"/>
        <w:rPr>
          <w:rFonts w:ascii="宋体"/>
          <w:sz w:val="24"/>
          <w:u w:val="single"/>
        </w:rPr>
      </w:pPr>
      <w:r>
        <w:rPr>
          <w:rFonts w:hint="eastAsia" w:ascii="宋体" w:hAnsi="宋体" w:cs="Arial"/>
          <w:sz w:val="24"/>
        </w:rPr>
        <w:t>脚手架的其他要求：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p>
    <w:p>
      <w:pPr>
        <w:keepNext/>
        <w:keepLines/>
        <w:spacing w:before="156" w:beforeLines="50" w:after="156" w:afterLines="50" w:line="360" w:lineRule="auto"/>
        <w:outlineLvl w:val="2"/>
        <w:rPr>
          <w:rFonts w:ascii="宋体" w:hAnsi="宋体"/>
          <w:kern w:val="0"/>
          <w:sz w:val="24"/>
        </w:rPr>
      </w:pPr>
      <w:bookmarkStart w:id="760" w:name="_Toc486580480"/>
      <w:bookmarkStart w:id="761" w:name="_Toc497584139"/>
      <w:bookmarkStart w:id="762" w:name="_Toc10235748"/>
      <w:bookmarkStart w:id="763" w:name="_Toc497214148"/>
      <w:bookmarkStart w:id="764" w:name="_Toc489280286"/>
      <w:r>
        <w:rPr>
          <w:rFonts w:ascii="宋体" w:hAnsi="宋体"/>
          <w:kern w:val="0"/>
          <w:sz w:val="24"/>
        </w:rPr>
        <w:t xml:space="preserve">6.6  </w:t>
      </w:r>
      <w:r>
        <w:rPr>
          <w:rFonts w:hint="eastAsia" w:ascii="宋体" w:hAnsi="宋体"/>
          <w:kern w:val="0"/>
          <w:sz w:val="24"/>
        </w:rPr>
        <w:t>施工安全措施计划</w:t>
      </w:r>
      <w:bookmarkEnd w:id="760"/>
      <w:bookmarkEnd w:id="761"/>
      <w:bookmarkEnd w:id="762"/>
      <w:bookmarkEnd w:id="763"/>
      <w:bookmarkEnd w:id="764"/>
    </w:p>
    <w:p>
      <w:pPr>
        <w:spacing w:line="360" w:lineRule="auto"/>
        <w:ind w:firstLine="480" w:firstLineChars="200"/>
        <w:rPr>
          <w:rFonts w:ascii="宋体"/>
          <w:sz w:val="24"/>
        </w:rPr>
      </w:pPr>
      <w:r>
        <w:rPr>
          <w:rFonts w:hint="eastAsia" w:ascii="宋体" w:hAnsi="宋体"/>
          <w:sz w:val="24"/>
        </w:rPr>
        <w:t>其他要求：</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r>
        <w:rPr>
          <w:rFonts w:ascii="宋体" w:hAnsi="宋体"/>
          <w:sz w:val="24"/>
        </w:rPr>
        <w:t xml:space="preserve">               </w:t>
      </w:r>
    </w:p>
    <w:p>
      <w:pPr>
        <w:keepNext/>
        <w:keepLines/>
        <w:spacing w:before="156" w:beforeLines="50" w:after="156" w:afterLines="50" w:line="360" w:lineRule="auto"/>
        <w:outlineLvl w:val="2"/>
        <w:rPr>
          <w:rFonts w:ascii="宋体" w:hAnsi="宋体"/>
          <w:kern w:val="0"/>
          <w:sz w:val="24"/>
        </w:rPr>
      </w:pPr>
      <w:bookmarkStart w:id="765" w:name="_Toc486580481"/>
      <w:bookmarkStart w:id="766" w:name="_Toc10235749"/>
      <w:bookmarkStart w:id="767" w:name="_Toc497214149"/>
      <w:bookmarkStart w:id="768" w:name="_Toc497584140"/>
      <w:bookmarkStart w:id="769" w:name="_Toc489280287"/>
      <w:r>
        <w:rPr>
          <w:rFonts w:ascii="宋体" w:hAnsi="宋体"/>
          <w:kern w:val="0"/>
          <w:sz w:val="24"/>
        </w:rPr>
        <w:t xml:space="preserve">6.7  </w:t>
      </w:r>
      <w:r>
        <w:rPr>
          <w:rFonts w:hint="eastAsia" w:ascii="宋体" w:hAnsi="宋体"/>
          <w:kern w:val="0"/>
          <w:sz w:val="24"/>
        </w:rPr>
        <w:t>文明施工</w:t>
      </w:r>
      <w:bookmarkEnd w:id="765"/>
      <w:bookmarkEnd w:id="766"/>
      <w:bookmarkEnd w:id="767"/>
      <w:bookmarkEnd w:id="768"/>
      <w:bookmarkEnd w:id="769"/>
    </w:p>
    <w:p>
      <w:pPr>
        <w:spacing w:line="360" w:lineRule="auto"/>
        <w:ind w:firstLine="480" w:firstLineChars="200"/>
        <w:rPr>
          <w:rFonts w:ascii="宋体"/>
          <w:sz w:val="24"/>
          <w:u w:val="single"/>
        </w:rPr>
      </w:pPr>
      <w:r>
        <w:rPr>
          <w:rFonts w:hint="eastAsia" w:ascii="宋体" w:hAnsi="宋体" w:cs="Arial"/>
          <w:sz w:val="24"/>
        </w:rPr>
        <w:t>文明施工方面的其他要求：</w:t>
      </w:r>
      <w:r>
        <w:rPr>
          <w:rFonts w:ascii="宋体" w:hAnsi="宋体"/>
          <w:sz w:val="24"/>
          <w:u w:val="single"/>
        </w:rPr>
        <w:t xml:space="preserve">  </w:t>
      </w:r>
      <w:r>
        <w:rPr>
          <w:rFonts w:hint="eastAsia" w:ascii="宋体" w:hAnsi="宋体"/>
          <w:sz w:val="24"/>
          <w:u w:val="single"/>
        </w:rPr>
        <w:t>满足《北京市建设工程施工现场安全生产标准化管理图集》（202</w:t>
      </w:r>
      <w:r>
        <w:rPr>
          <w:rFonts w:hint="eastAsia" w:ascii="宋体" w:hAnsi="宋体"/>
          <w:sz w:val="24"/>
          <w:u w:val="single"/>
          <w:lang w:val="en-US" w:eastAsia="zh-CN"/>
        </w:rPr>
        <w:t>2</w:t>
      </w:r>
      <w:r>
        <w:rPr>
          <w:rFonts w:hint="eastAsia" w:ascii="宋体" w:hAnsi="宋体"/>
          <w:sz w:val="24"/>
          <w:u w:val="single"/>
        </w:rPr>
        <w:t>版）相关要求</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rPr>
      </w:pPr>
      <w:bookmarkStart w:id="770" w:name="_Toc497584141"/>
      <w:bookmarkStart w:id="771" w:name="_Toc10235750"/>
      <w:bookmarkStart w:id="772" w:name="_Toc489280288"/>
      <w:bookmarkStart w:id="773" w:name="_Toc486580482"/>
      <w:bookmarkStart w:id="774" w:name="_Toc497214150"/>
      <w:r>
        <w:rPr>
          <w:rFonts w:ascii="宋体" w:hAnsi="宋体"/>
          <w:kern w:val="0"/>
          <w:sz w:val="24"/>
        </w:rPr>
        <w:t xml:space="preserve">6.8  </w:t>
      </w:r>
      <w:r>
        <w:rPr>
          <w:rFonts w:hint="eastAsia" w:ascii="宋体" w:hAnsi="宋体"/>
          <w:kern w:val="0"/>
          <w:sz w:val="24"/>
        </w:rPr>
        <w:t>环境保护</w:t>
      </w:r>
      <w:bookmarkEnd w:id="770"/>
      <w:bookmarkEnd w:id="771"/>
      <w:bookmarkEnd w:id="772"/>
      <w:bookmarkEnd w:id="773"/>
      <w:bookmarkEnd w:id="774"/>
    </w:p>
    <w:p>
      <w:pPr>
        <w:spacing w:line="360" w:lineRule="auto"/>
        <w:ind w:firstLine="480" w:firstLineChars="200"/>
        <w:rPr>
          <w:rFonts w:hint="eastAsia" w:ascii="宋体" w:eastAsia="宋体"/>
          <w:sz w:val="24"/>
          <w:u w:val="single"/>
          <w:lang w:eastAsia="zh-CN"/>
        </w:rPr>
      </w:pPr>
      <w:r>
        <w:rPr>
          <w:rFonts w:hint="eastAsia" w:ascii="宋体" w:hAnsi="宋体" w:cs="Arial"/>
          <w:sz w:val="24"/>
        </w:rPr>
        <w:t>环境保护方面的其他要求：</w:t>
      </w:r>
      <w:r>
        <w:rPr>
          <w:rFonts w:hint="eastAsia" w:ascii="宋体" w:hAnsi="宋体"/>
          <w:kern w:val="0"/>
          <w:sz w:val="24"/>
          <w:u w:val="single"/>
        </w:rPr>
        <w:t>/</w:t>
      </w:r>
      <w:r>
        <w:rPr>
          <w:rFonts w:ascii="宋体" w:hAnsi="宋体"/>
          <w:kern w:val="0"/>
          <w:sz w:val="24"/>
          <w:u w:val="single"/>
        </w:rPr>
        <w:t xml:space="preserve"> </w:t>
      </w:r>
    </w:p>
    <w:p>
      <w:pPr>
        <w:keepNext/>
        <w:keepLines/>
        <w:spacing w:before="156" w:beforeLines="50" w:after="156" w:afterLines="50" w:line="360" w:lineRule="auto"/>
        <w:outlineLvl w:val="2"/>
        <w:rPr>
          <w:rFonts w:ascii="宋体" w:hAnsi="宋体"/>
          <w:kern w:val="0"/>
          <w:sz w:val="24"/>
        </w:rPr>
      </w:pPr>
      <w:bookmarkStart w:id="775" w:name="_Toc497584142"/>
      <w:bookmarkStart w:id="776" w:name="_Toc10235751"/>
      <w:bookmarkStart w:id="777" w:name="_Toc497214151"/>
      <w:bookmarkStart w:id="778" w:name="_Toc486580483"/>
      <w:bookmarkStart w:id="779" w:name="_Toc489280289"/>
      <w:r>
        <w:rPr>
          <w:rFonts w:ascii="宋体" w:hAnsi="宋体"/>
          <w:kern w:val="0"/>
          <w:sz w:val="24"/>
        </w:rPr>
        <w:t xml:space="preserve">6.9  </w:t>
      </w:r>
      <w:r>
        <w:rPr>
          <w:rFonts w:hint="eastAsia" w:ascii="宋体" w:hAnsi="宋体"/>
          <w:kern w:val="0"/>
          <w:sz w:val="24"/>
        </w:rPr>
        <w:t>施工环保措施计划</w:t>
      </w:r>
      <w:bookmarkEnd w:id="775"/>
      <w:bookmarkEnd w:id="776"/>
      <w:bookmarkEnd w:id="777"/>
      <w:bookmarkEnd w:id="778"/>
      <w:bookmarkEnd w:id="779"/>
    </w:p>
    <w:p>
      <w:pPr>
        <w:adjustRightInd w:val="0"/>
        <w:spacing w:line="360" w:lineRule="auto"/>
        <w:ind w:firstLine="720" w:firstLineChars="300"/>
        <w:jc w:val="left"/>
        <w:rPr>
          <w:rFonts w:ascii="宋体" w:hAnsi="宋体"/>
          <w:kern w:val="0"/>
          <w:sz w:val="24"/>
          <w:u w:val="single"/>
        </w:rPr>
      </w:pPr>
      <w:r>
        <w:rPr>
          <w:rFonts w:hint="eastAsia" w:ascii="宋体" w:hAnsi="宋体"/>
          <w:kern w:val="0"/>
          <w:sz w:val="24"/>
        </w:rPr>
        <w:t>其他要求：</w:t>
      </w:r>
      <w:r>
        <w:rPr>
          <w:rFonts w:ascii="宋体" w:hAnsi="宋体"/>
          <w:kern w:val="0"/>
          <w:sz w:val="24"/>
          <w:u w:val="single"/>
        </w:rPr>
        <w:t xml:space="preserve">  </w:t>
      </w:r>
      <w:r>
        <w:rPr>
          <w:rFonts w:hint="eastAsia" w:ascii="宋体" w:hAnsi="宋体"/>
          <w:kern w:val="0"/>
          <w:sz w:val="24"/>
          <w:u w:val="single"/>
        </w:rPr>
        <w:t>/</w:t>
      </w:r>
      <w:r>
        <w:rPr>
          <w:rFonts w:ascii="宋体" w:hAnsi="宋体"/>
          <w:kern w:val="0"/>
          <w:sz w:val="24"/>
          <w:u w:val="single"/>
        </w:rPr>
        <w:t xml:space="preserve">                                                        </w:t>
      </w:r>
    </w:p>
    <w:p>
      <w:pPr>
        <w:pStyle w:val="253"/>
        <w:spacing w:before="156" w:after="156"/>
        <w:rPr>
          <w:rFonts w:hAnsi="宋体"/>
          <w:szCs w:val="24"/>
        </w:rPr>
      </w:pPr>
      <w:bookmarkStart w:id="780" w:name="_Toc10235752"/>
      <w:bookmarkStart w:id="781" w:name="_Hlk8723790"/>
      <w:r>
        <w:rPr>
          <w:rFonts w:hAnsi="宋体"/>
          <w:szCs w:val="24"/>
        </w:rPr>
        <w:t xml:space="preserve">6.10  </w:t>
      </w:r>
      <w:r>
        <w:rPr>
          <w:rFonts w:hint="eastAsia" w:hAnsi="宋体"/>
          <w:szCs w:val="24"/>
        </w:rPr>
        <w:t>施工现场安全生产标准化要求</w:t>
      </w:r>
      <w:bookmarkEnd w:id="780"/>
    </w:p>
    <w:p>
      <w:pPr>
        <w:spacing w:line="360" w:lineRule="auto"/>
        <w:ind w:left="630" w:leftChars="300"/>
        <w:rPr>
          <w:rFonts w:ascii="黑体" w:hAnsi="黑体" w:eastAsia="黑体"/>
          <w:sz w:val="24"/>
        </w:rPr>
      </w:pPr>
      <w:r>
        <w:rPr>
          <w:rFonts w:ascii="宋体" w:hAnsi="宋体" w:cs="Arial"/>
          <w:sz w:val="24"/>
        </w:rPr>
        <w:t xml:space="preserve">6.10.1  </w:t>
      </w:r>
      <w:r>
        <w:rPr>
          <w:rFonts w:hint="eastAsia" w:ascii="宋体" w:hAnsi="宋体" w:cs="Arial"/>
          <w:sz w:val="24"/>
        </w:rPr>
        <w:t>施工现场安全生产标准化管理目标等级</w:t>
      </w:r>
      <w:r>
        <w:rPr>
          <w:rFonts w:ascii="黑体" w:hAnsi="黑体" w:eastAsia="黑体"/>
          <w:sz w:val="24"/>
          <w:u w:val="single"/>
        </w:rPr>
        <w:t xml:space="preserve">  </w:t>
      </w:r>
      <w:r>
        <w:rPr>
          <w:rFonts w:hint="eastAsia" w:ascii="宋体" w:hAnsi="宋体" w:cs="宋体"/>
          <w:sz w:val="24"/>
          <w:u w:val="single"/>
        </w:rPr>
        <w:t>北京市绿色安全达标工地</w:t>
      </w:r>
      <w:r>
        <w:rPr>
          <w:rFonts w:ascii="黑体" w:hAnsi="黑体" w:eastAsia="黑体"/>
          <w:sz w:val="24"/>
          <w:u w:val="single"/>
        </w:rPr>
        <w:t xml:space="preserve">   </w:t>
      </w:r>
      <w:r>
        <w:rPr>
          <w:rFonts w:hint="eastAsia" w:ascii="黑体" w:hAnsi="黑体" w:eastAsia="黑体"/>
          <w:sz w:val="24"/>
        </w:rPr>
        <w:t>。</w:t>
      </w:r>
    </w:p>
    <w:p>
      <w:pPr>
        <w:spacing w:line="360" w:lineRule="auto"/>
        <w:ind w:left="630" w:leftChars="300"/>
        <w:rPr>
          <w:rFonts w:ascii="宋体" w:hAnsi="宋体" w:cs="Arial"/>
          <w:sz w:val="24"/>
          <w:u w:val="single"/>
        </w:rPr>
      </w:pPr>
      <w:r>
        <w:rPr>
          <w:rFonts w:ascii="宋体" w:hAnsi="宋体" w:cs="Arial"/>
          <w:sz w:val="24"/>
        </w:rPr>
        <w:t xml:space="preserve">6.10.3  </w:t>
      </w:r>
      <w:r>
        <w:rPr>
          <w:rFonts w:hint="eastAsia" w:ascii="宋体" w:hAnsi="宋体" w:cs="Arial"/>
          <w:sz w:val="24"/>
        </w:rPr>
        <w:t>现行施工现场安全生产标准化分级管理标准：</w:t>
      </w:r>
      <w:r>
        <w:rPr>
          <w:rFonts w:hint="eastAsia" w:ascii="宋体" w:hAnsi="宋体" w:cs="Arial"/>
          <w:sz w:val="24"/>
          <w:u w:val="single"/>
        </w:rPr>
        <w:t>《北京市建设工程施工现场安全生产标准化管理图集》（202</w:t>
      </w:r>
      <w:r>
        <w:rPr>
          <w:rFonts w:hint="eastAsia" w:ascii="宋体" w:hAnsi="宋体" w:cs="Arial"/>
          <w:sz w:val="24"/>
          <w:u w:val="single"/>
          <w:lang w:val="en-US" w:eastAsia="zh-CN"/>
        </w:rPr>
        <w:t>2</w:t>
      </w:r>
      <w:r>
        <w:rPr>
          <w:rFonts w:hint="eastAsia" w:ascii="宋体" w:hAnsi="宋体" w:cs="Arial"/>
          <w:sz w:val="24"/>
          <w:u w:val="single"/>
        </w:rPr>
        <w:t>版）。</w:t>
      </w:r>
    </w:p>
    <w:p>
      <w:pPr>
        <w:spacing w:line="360" w:lineRule="auto"/>
        <w:ind w:firstLine="720" w:firstLineChars="300"/>
        <w:rPr>
          <w:rFonts w:ascii="宋体" w:hAnsi="宋体" w:cs="Arial"/>
          <w:sz w:val="24"/>
          <w:u w:val="single"/>
        </w:rPr>
      </w:pPr>
      <w:r>
        <w:rPr>
          <w:rFonts w:ascii="宋体" w:hAnsi="宋体" w:cs="Arial"/>
          <w:sz w:val="24"/>
        </w:rPr>
        <w:t xml:space="preserve">6.10.4  </w:t>
      </w:r>
      <w:r>
        <w:rPr>
          <w:rFonts w:hint="eastAsia" w:ascii="宋体" w:hAnsi="宋体" w:cs="Arial"/>
          <w:sz w:val="24"/>
        </w:rPr>
        <w:t>特殊安全文明施工措施要求：</w:t>
      </w:r>
      <w:r>
        <w:rPr>
          <w:rFonts w:ascii="宋体" w:hAnsi="宋体" w:cs="Arial"/>
          <w:sz w:val="24"/>
          <w:u w:val="single"/>
        </w:rPr>
        <w:t xml:space="preserve">  </w:t>
      </w:r>
      <w:r>
        <w:rPr>
          <w:rFonts w:hint="eastAsia" w:ascii="宋体" w:hAnsi="宋体" w:cs="Arial"/>
          <w:sz w:val="24"/>
          <w:u w:val="single"/>
        </w:rPr>
        <w:t>/</w:t>
      </w:r>
      <w:r>
        <w:rPr>
          <w:rFonts w:ascii="宋体" w:hAnsi="宋体" w:cs="Arial"/>
          <w:sz w:val="24"/>
          <w:u w:val="single"/>
        </w:rPr>
        <w:t xml:space="preserve">                 </w:t>
      </w:r>
    </w:p>
    <w:bookmarkEnd w:id="781"/>
    <w:p>
      <w:pPr>
        <w:keepNext/>
        <w:keepLines/>
        <w:spacing w:before="156" w:beforeLines="50" w:after="156" w:afterLines="50" w:line="360" w:lineRule="auto"/>
        <w:outlineLvl w:val="1"/>
        <w:rPr>
          <w:rFonts w:ascii="宋体" w:hAnsi="宋体" w:cs="宋体"/>
          <w:sz w:val="28"/>
          <w:szCs w:val="20"/>
        </w:rPr>
      </w:pPr>
      <w:bookmarkStart w:id="782" w:name="_Toc490331751"/>
      <w:bookmarkStart w:id="783" w:name="_Toc486580484"/>
      <w:bookmarkStart w:id="784" w:name="_Toc489280290"/>
      <w:bookmarkStart w:id="785" w:name="_Toc10235753"/>
      <w:bookmarkStart w:id="786" w:name="_Toc497214152"/>
      <w:bookmarkStart w:id="787" w:name="_Toc497584143"/>
      <w:r>
        <w:rPr>
          <w:rFonts w:ascii="宋体" w:hAnsi="宋体" w:cs="宋体"/>
          <w:sz w:val="28"/>
          <w:szCs w:val="20"/>
        </w:rPr>
        <w:t>7.</w:t>
      </w:r>
      <w:r>
        <w:rPr>
          <w:rFonts w:hint="eastAsia" w:ascii="宋体" w:hAnsi="宋体" w:cs="宋体"/>
          <w:sz w:val="28"/>
          <w:szCs w:val="20"/>
        </w:rPr>
        <w:t>治安保卫</w:t>
      </w:r>
      <w:bookmarkEnd w:id="782"/>
      <w:bookmarkEnd w:id="783"/>
      <w:bookmarkEnd w:id="784"/>
      <w:bookmarkEnd w:id="785"/>
      <w:bookmarkEnd w:id="786"/>
      <w:bookmarkEnd w:id="787"/>
    </w:p>
    <w:p>
      <w:pPr>
        <w:spacing w:line="360" w:lineRule="auto"/>
        <w:ind w:firstLine="480" w:firstLineChars="200"/>
        <w:rPr>
          <w:rFonts w:ascii="宋体" w:hAnsi="宋体"/>
          <w:sz w:val="24"/>
          <w:u w:val="single"/>
        </w:rPr>
      </w:pPr>
      <w:r>
        <w:rPr>
          <w:rFonts w:hint="eastAsia" w:ascii="宋体" w:hAnsi="宋体" w:cs="Arial"/>
          <w:sz w:val="24"/>
        </w:rPr>
        <w:t>突发治安事件紧急预案的要求：</w:t>
      </w:r>
    </w:p>
    <w:p>
      <w:pPr>
        <w:spacing w:line="360" w:lineRule="auto"/>
        <w:ind w:firstLine="420"/>
        <w:rPr>
          <w:rFonts w:ascii="宋体" w:hAnsi="宋体" w:cs="Arial"/>
          <w:sz w:val="24"/>
          <w:u w:val="single"/>
        </w:rPr>
      </w:pPr>
      <w:r>
        <w:rPr>
          <w:rFonts w:hint="eastAsia" w:ascii="宋体" w:hAnsi="宋体"/>
          <w:sz w:val="24"/>
          <w:u w:val="single"/>
        </w:rPr>
        <w:t>1）</w:t>
      </w:r>
      <w:r>
        <w:rPr>
          <w:rFonts w:ascii="宋体" w:hAnsi="宋体"/>
          <w:sz w:val="24"/>
          <w:u w:val="single"/>
        </w:rPr>
        <w:t>施工现场发生或发现突发治安事件后，必须在5分钟内向上级部门报告，并及时向所在地政府、公安、交警、卫生、消防等相关部门报案请求援助</w:t>
      </w:r>
      <w:r>
        <w:rPr>
          <w:rFonts w:hint="eastAsia" w:ascii="宋体" w:hAnsi="宋体"/>
          <w:sz w:val="24"/>
          <w:u w:val="single"/>
        </w:rPr>
        <w:t>；</w:t>
      </w:r>
    </w:p>
    <w:p>
      <w:pPr>
        <w:spacing w:line="360" w:lineRule="auto"/>
        <w:ind w:firstLine="480" w:firstLineChars="200"/>
        <w:rPr>
          <w:rFonts w:ascii="宋体" w:hAnsi="宋体"/>
          <w:sz w:val="24"/>
          <w:u w:val="single"/>
        </w:rPr>
      </w:pPr>
      <w:r>
        <w:rPr>
          <w:rFonts w:hint="eastAsia" w:ascii="宋体" w:hAnsi="宋体"/>
          <w:sz w:val="24"/>
          <w:u w:val="single"/>
        </w:rPr>
        <w:t>2）</w:t>
      </w:r>
      <w:r>
        <w:rPr>
          <w:rFonts w:ascii="宋体" w:hAnsi="宋体"/>
          <w:sz w:val="24"/>
          <w:u w:val="single"/>
        </w:rPr>
        <w:t>组织项目部成立施工现场突发治安事件应急领导小组，统一指挥和组织施工现场突发治安事件的应急</w:t>
      </w:r>
      <w:r>
        <w:rPr>
          <w:rFonts w:hint="eastAsia" w:ascii="宋体" w:hAnsi="宋体"/>
          <w:sz w:val="24"/>
          <w:u w:val="single"/>
        </w:rPr>
        <w:t>；</w:t>
      </w:r>
    </w:p>
    <w:p>
      <w:pPr>
        <w:spacing w:line="360" w:lineRule="auto"/>
        <w:ind w:firstLine="480" w:firstLineChars="200"/>
        <w:rPr>
          <w:sz w:val="24"/>
        </w:rPr>
      </w:pPr>
      <w:r>
        <w:rPr>
          <w:rFonts w:hint="eastAsia" w:ascii="宋体" w:hAnsi="宋体"/>
          <w:sz w:val="24"/>
          <w:u w:val="single"/>
        </w:rPr>
        <w:t>3）</w:t>
      </w:r>
      <w:r>
        <w:rPr>
          <w:rFonts w:ascii="宋体" w:hAnsi="宋体"/>
          <w:sz w:val="24"/>
          <w:u w:val="single"/>
        </w:rPr>
        <w:t>制定应急预案做到切实可行</w:t>
      </w:r>
      <w:r>
        <w:rPr>
          <w:rFonts w:hint="eastAsia" w:ascii="宋体" w:hAnsi="宋体"/>
          <w:sz w:val="24"/>
          <w:u w:val="single"/>
        </w:rPr>
        <w:t>；</w:t>
      </w:r>
    </w:p>
    <w:p>
      <w:pPr>
        <w:pStyle w:val="19"/>
        <w:spacing w:line="360" w:lineRule="auto"/>
        <w:ind w:left="900" w:hanging="480"/>
        <w:rPr>
          <w:rFonts w:ascii="宋体" w:hAnsi="宋体"/>
          <w:sz w:val="24"/>
          <w:u w:val="single"/>
        </w:rPr>
      </w:pPr>
      <w:r>
        <w:rPr>
          <w:rFonts w:hint="eastAsia" w:ascii="宋体" w:hAnsi="宋体" w:cs="Arial"/>
          <w:sz w:val="24"/>
          <w:u w:val="single"/>
        </w:rPr>
        <w:t>4）</w:t>
      </w:r>
      <w:r>
        <w:rPr>
          <w:rFonts w:ascii="宋体" w:hAnsi="宋体"/>
          <w:sz w:val="24"/>
          <w:u w:val="single"/>
        </w:rPr>
        <w:t>应符合国家及北京市有关文件规定。</w:t>
      </w:r>
      <w:bookmarkStart w:id="788" w:name="_Toc10235754"/>
      <w:bookmarkStart w:id="789" w:name="_Toc497214153"/>
      <w:bookmarkStart w:id="790" w:name="_Toc497584144"/>
      <w:bookmarkStart w:id="791" w:name="_Toc486580485"/>
      <w:bookmarkStart w:id="792" w:name="_Toc490331752"/>
      <w:bookmarkStart w:id="793" w:name="_Toc489280291"/>
    </w:p>
    <w:p>
      <w:pPr>
        <w:pStyle w:val="19"/>
        <w:spacing w:line="360" w:lineRule="auto"/>
        <w:ind w:left="900" w:hanging="480"/>
        <w:rPr>
          <w:rFonts w:ascii="宋体" w:hAnsi="宋体" w:cs="宋体"/>
          <w:sz w:val="28"/>
          <w:szCs w:val="20"/>
        </w:rPr>
      </w:pPr>
      <w:r>
        <w:rPr>
          <w:rFonts w:ascii="宋体" w:hAnsi="宋体" w:cs="宋体"/>
          <w:sz w:val="28"/>
          <w:szCs w:val="20"/>
        </w:rPr>
        <w:t>8.</w:t>
      </w:r>
      <w:r>
        <w:rPr>
          <w:rFonts w:hint="eastAsia" w:ascii="宋体" w:hAnsi="宋体" w:cs="宋体"/>
          <w:sz w:val="28"/>
          <w:szCs w:val="20"/>
        </w:rPr>
        <w:t>地上、地下设施和周边建筑物的临时保护</w:t>
      </w:r>
      <w:bookmarkEnd w:id="788"/>
      <w:bookmarkEnd w:id="789"/>
      <w:bookmarkEnd w:id="790"/>
      <w:bookmarkEnd w:id="791"/>
      <w:bookmarkEnd w:id="792"/>
      <w:bookmarkEnd w:id="793"/>
    </w:p>
    <w:p>
      <w:pPr>
        <w:keepNext/>
        <w:keepLines/>
        <w:spacing w:before="156" w:beforeLines="50" w:after="156" w:afterLines="50" w:line="360" w:lineRule="auto"/>
        <w:ind w:firstLine="480" w:firstLineChars="200"/>
        <w:outlineLvl w:val="1"/>
        <w:rPr>
          <w:rFonts w:ascii="宋体" w:hAnsi="宋体"/>
          <w:sz w:val="24"/>
          <w:u w:val="single"/>
        </w:rPr>
      </w:pPr>
      <w:r>
        <w:rPr>
          <w:rFonts w:ascii="宋体" w:hAnsi="宋体" w:cs="Arial"/>
          <w:sz w:val="24"/>
        </w:rPr>
        <w:t xml:space="preserve">8.3 </w:t>
      </w:r>
      <w:r>
        <w:rPr>
          <w:rFonts w:hint="eastAsia" w:ascii="宋体" w:hAnsi="宋体" w:cs="Arial"/>
          <w:sz w:val="24"/>
        </w:rPr>
        <w:t>发包人特别提醒承包人注意以下地上、地下设施和周边建筑物的保护：</w:t>
      </w:r>
      <w:r>
        <w:rPr>
          <w:rFonts w:ascii="宋体" w:hAnsi="宋体"/>
          <w:sz w:val="24"/>
          <w:u w:val="single"/>
        </w:rPr>
        <w:t xml:space="preserve"> </w:t>
      </w:r>
      <w:r>
        <w:rPr>
          <w:rFonts w:hint="eastAsia" w:ascii="宋体" w:hAnsi="宋体"/>
          <w:sz w:val="24"/>
          <w:u w:val="single"/>
        </w:rPr>
        <w:t>承包人必须保护所有场地、临近建筑物、道路、护墙、电缆、污水管及其它工程等在施工过程中不受到干扰或损坏，如果不可避免会发生干扰和损坏，</w:t>
      </w:r>
      <w:bookmarkStart w:id="794" w:name="_Toc486580486"/>
      <w:bookmarkStart w:id="795" w:name="_Toc490331753"/>
      <w:bookmarkStart w:id="796" w:name="_Toc489280292"/>
      <w:bookmarkStart w:id="797" w:name="_Toc497584145"/>
      <w:bookmarkStart w:id="798" w:name="_Toc10235755"/>
      <w:bookmarkStart w:id="799" w:name="_Toc497214154"/>
      <w:r>
        <w:rPr>
          <w:rFonts w:hint="eastAsia" w:ascii="宋体" w:hAnsi="宋体"/>
          <w:sz w:val="24"/>
          <w:u w:val="single"/>
        </w:rPr>
        <w:t xml:space="preserve">须符合发包人以及政府部门之要求。   </w:t>
      </w:r>
    </w:p>
    <w:p>
      <w:pPr>
        <w:keepNext/>
        <w:keepLines/>
        <w:spacing w:before="156" w:beforeLines="50" w:after="156" w:afterLines="50" w:line="360" w:lineRule="auto"/>
        <w:outlineLvl w:val="1"/>
        <w:rPr>
          <w:rFonts w:ascii="宋体" w:hAnsi="宋体" w:cs="宋体"/>
          <w:sz w:val="28"/>
          <w:szCs w:val="20"/>
        </w:rPr>
      </w:pPr>
      <w:r>
        <w:rPr>
          <w:rFonts w:ascii="宋体" w:hAnsi="宋体" w:cs="宋体"/>
          <w:sz w:val="28"/>
          <w:szCs w:val="20"/>
        </w:rPr>
        <w:t>9.</w:t>
      </w:r>
      <w:r>
        <w:rPr>
          <w:rFonts w:hint="eastAsia" w:ascii="宋体" w:hAnsi="宋体" w:cs="宋体"/>
          <w:sz w:val="28"/>
          <w:szCs w:val="20"/>
        </w:rPr>
        <w:t>样品和材料代换</w:t>
      </w:r>
      <w:bookmarkEnd w:id="794"/>
      <w:bookmarkEnd w:id="795"/>
      <w:bookmarkEnd w:id="796"/>
      <w:bookmarkEnd w:id="797"/>
      <w:bookmarkEnd w:id="798"/>
      <w:bookmarkEnd w:id="799"/>
    </w:p>
    <w:p>
      <w:pPr>
        <w:keepNext/>
        <w:keepLines/>
        <w:spacing w:before="156" w:beforeLines="50" w:after="156" w:afterLines="50" w:line="360" w:lineRule="auto"/>
        <w:outlineLvl w:val="2"/>
        <w:rPr>
          <w:rFonts w:ascii="宋体" w:hAnsi="宋体"/>
          <w:kern w:val="0"/>
          <w:sz w:val="24"/>
          <w:szCs w:val="20"/>
        </w:rPr>
      </w:pPr>
      <w:bookmarkStart w:id="800" w:name="_Toc489280293"/>
      <w:bookmarkStart w:id="801" w:name="_Toc497584146"/>
      <w:bookmarkStart w:id="802" w:name="_Toc497214155"/>
      <w:bookmarkStart w:id="803" w:name="_Toc486580487"/>
      <w:bookmarkStart w:id="804" w:name="_Toc10235756"/>
      <w:r>
        <w:rPr>
          <w:rFonts w:ascii="宋体" w:hAnsi="宋体"/>
          <w:kern w:val="0"/>
          <w:sz w:val="24"/>
          <w:szCs w:val="20"/>
        </w:rPr>
        <w:t xml:space="preserve">9.1  </w:t>
      </w:r>
      <w:r>
        <w:rPr>
          <w:rFonts w:hint="eastAsia" w:ascii="宋体" w:hAnsi="宋体"/>
          <w:kern w:val="0"/>
          <w:sz w:val="24"/>
          <w:szCs w:val="20"/>
        </w:rPr>
        <w:t>样品</w:t>
      </w:r>
      <w:bookmarkEnd w:id="800"/>
      <w:bookmarkEnd w:id="801"/>
      <w:bookmarkEnd w:id="802"/>
      <w:bookmarkEnd w:id="803"/>
      <w:bookmarkEnd w:id="804"/>
    </w:p>
    <w:p>
      <w:pPr>
        <w:spacing w:line="360" w:lineRule="auto"/>
        <w:ind w:firstLine="720" w:firstLineChars="300"/>
        <w:rPr>
          <w:rFonts w:ascii="宋体"/>
          <w:sz w:val="24"/>
          <w:u w:val="single"/>
        </w:rPr>
      </w:pPr>
      <w:r>
        <w:rPr>
          <w:rFonts w:ascii="宋体" w:hAnsi="宋体" w:cs="Arial"/>
          <w:sz w:val="24"/>
        </w:rPr>
        <w:t xml:space="preserve">9.1.1  </w:t>
      </w:r>
      <w:r>
        <w:rPr>
          <w:rFonts w:hint="eastAsia" w:ascii="宋体" w:hAnsi="宋体" w:cs="Arial"/>
          <w:sz w:val="24"/>
        </w:rPr>
        <w:t>本工程需要承包人提供样品的材料和工程设备：</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05" w:name="_Toc489280294"/>
      <w:bookmarkStart w:id="806" w:name="_Toc490331754"/>
      <w:bookmarkStart w:id="807" w:name="_Toc497214156"/>
      <w:bookmarkStart w:id="808" w:name="_Toc10235757"/>
      <w:bookmarkStart w:id="809" w:name="_Toc497584147"/>
      <w:bookmarkStart w:id="810" w:name="_Toc486580488"/>
      <w:r>
        <w:rPr>
          <w:rFonts w:ascii="宋体" w:hAnsi="宋体" w:cs="宋体"/>
          <w:sz w:val="28"/>
          <w:szCs w:val="20"/>
        </w:rPr>
        <w:t>10.</w:t>
      </w:r>
      <w:r>
        <w:rPr>
          <w:rFonts w:hint="eastAsia" w:ascii="宋体" w:hAnsi="宋体" w:cs="宋体"/>
          <w:sz w:val="28"/>
          <w:szCs w:val="20"/>
        </w:rPr>
        <w:t>特殊技术标准和要求</w:t>
      </w:r>
      <w:bookmarkEnd w:id="805"/>
      <w:bookmarkEnd w:id="806"/>
      <w:bookmarkEnd w:id="807"/>
      <w:bookmarkEnd w:id="808"/>
      <w:bookmarkEnd w:id="809"/>
      <w:bookmarkEnd w:id="810"/>
    </w:p>
    <w:p>
      <w:pPr>
        <w:keepNext/>
        <w:keepLines/>
        <w:spacing w:before="156" w:beforeLines="50" w:after="156" w:afterLines="50" w:line="360" w:lineRule="auto"/>
        <w:outlineLvl w:val="2"/>
        <w:rPr>
          <w:rFonts w:ascii="宋体" w:hAnsi="宋体"/>
          <w:kern w:val="0"/>
          <w:sz w:val="24"/>
        </w:rPr>
      </w:pPr>
      <w:bookmarkStart w:id="811" w:name="_Toc10235758"/>
      <w:bookmarkStart w:id="812" w:name="_Toc486580489"/>
      <w:bookmarkStart w:id="813" w:name="_Toc497584148"/>
      <w:bookmarkStart w:id="814" w:name="_Toc489280295"/>
      <w:bookmarkStart w:id="815" w:name="_Toc497214157"/>
      <w:r>
        <w:rPr>
          <w:rFonts w:ascii="宋体" w:hAnsi="宋体"/>
          <w:kern w:val="0"/>
          <w:sz w:val="24"/>
        </w:rPr>
        <w:t xml:space="preserve">10.1  </w:t>
      </w:r>
      <w:r>
        <w:rPr>
          <w:rFonts w:hint="eastAsia" w:ascii="宋体" w:hAnsi="宋体"/>
          <w:kern w:val="0"/>
          <w:sz w:val="24"/>
        </w:rPr>
        <w:t>部分材料和工程设备特殊技术要求</w:t>
      </w:r>
      <w:bookmarkEnd w:id="811"/>
      <w:bookmarkEnd w:id="812"/>
      <w:bookmarkEnd w:id="813"/>
      <w:bookmarkEnd w:id="814"/>
      <w:bookmarkEnd w:id="815"/>
    </w:p>
    <w:p>
      <w:pPr>
        <w:spacing w:line="360" w:lineRule="auto"/>
        <w:ind w:firstLine="720" w:firstLineChars="300"/>
        <w:rPr>
          <w:rFonts w:ascii="宋体" w:cs="Arial"/>
          <w:sz w:val="24"/>
          <w:u w:val="single"/>
        </w:rPr>
      </w:pPr>
      <w:r>
        <w:rPr>
          <w:rFonts w:ascii="宋体" w:hAnsi="宋体" w:cs="Arial"/>
          <w:sz w:val="24"/>
        </w:rPr>
        <w:t>10</w:t>
      </w:r>
      <w:r>
        <w:rPr>
          <w:rFonts w:ascii="宋体" w:cs="Arial"/>
          <w:sz w:val="24"/>
        </w:rPr>
        <w:t>.</w:t>
      </w:r>
      <w:r>
        <w:rPr>
          <w:rFonts w:ascii="宋体" w:hAnsi="宋体" w:cs="Arial"/>
          <w:sz w:val="24"/>
        </w:rPr>
        <w:t xml:space="preserve">1.1 </w:t>
      </w:r>
      <w:r>
        <w:rPr>
          <w:rFonts w:hint="eastAsia" w:ascii="宋体" w:hAnsi="宋体" w:cs="Arial"/>
          <w:sz w:val="24"/>
        </w:rPr>
        <w:t>承包人自行施工范围内的部分材料和工程设备相关技术要求：</w:t>
      </w:r>
      <w:r>
        <w:rPr>
          <w:rFonts w:ascii="宋体" w:hAnsi="宋体" w:cs="Arial"/>
          <w:sz w:val="24"/>
          <w:u w:val="single"/>
        </w:rPr>
        <w:t xml:space="preserve">    </w:t>
      </w:r>
      <w:r>
        <w:rPr>
          <w:rFonts w:hint="eastAsia" w:ascii="宋体" w:hAnsi="宋体" w:cs="Arial"/>
          <w:sz w:val="24"/>
          <w:u w:val="single"/>
        </w:rPr>
        <w:t>/</w:t>
      </w:r>
      <w:r>
        <w:rPr>
          <w:rFonts w:ascii="宋体" w:hAnsi="宋体" w:cs="Arial"/>
          <w:sz w:val="24"/>
          <w:u w:val="single"/>
        </w:rPr>
        <w:t xml:space="preserve">         </w:t>
      </w:r>
    </w:p>
    <w:p>
      <w:pPr>
        <w:spacing w:line="360" w:lineRule="auto"/>
        <w:ind w:firstLine="720" w:firstLineChars="300"/>
        <w:rPr>
          <w:rFonts w:ascii="宋体"/>
          <w:sz w:val="24"/>
        </w:rPr>
      </w:pPr>
      <w:r>
        <w:rPr>
          <w:rFonts w:ascii="宋体" w:hAnsi="宋体"/>
          <w:sz w:val="24"/>
        </w:rPr>
        <w:t xml:space="preserve">10.1.2  </w:t>
      </w:r>
      <w:r>
        <w:rPr>
          <w:rFonts w:hint="eastAsia" w:ascii="宋体" w:hAnsi="宋体"/>
          <w:sz w:val="24"/>
        </w:rPr>
        <w:t>承包人自行施工范围内的材料和工程设备选型允许的偏离：</w:t>
      </w:r>
    </w:p>
    <w:tbl>
      <w:tblPr>
        <w:tblStyle w:val="4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91"/>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360" w:lineRule="auto"/>
              <w:jc w:val="center"/>
              <w:rPr>
                <w:rFonts w:ascii="宋体"/>
                <w:sz w:val="24"/>
              </w:rPr>
            </w:pPr>
            <w:r>
              <w:rPr>
                <w:rFonts w:hint="eastAsia" w:ascii="宋体" w:hAnsi="宋体"/>
                <w:sz w:val="24"/>
              </w:rPr>
              <w:t>序号</w:t>
            </w:r>
          </w:p>
        </w:tc>
        <w:tc>
          <w:tcPr>
            <w:tcW w:w="2591" w:type="dxa"/>
          </w:tcPr>
          <w:p>
            <w:pPr>
              <w:spacing w:line="360" w:lineRule="auto"/>
              <w:jc w:val="center"/>
              <w:rPr>
                <w:rFonts w:ascii="宋体"/>
                <w:sz w:val="24"/>
              </w:rPr>
            </w:pPr>
            <w:r>
              <w:rPr>
                <w:rFonts w:hint="eastAsia" w:ascii="宋体" w:hAnsi="宋体"/>
                <w:sz w:val="24"/>
              </w:rPr>
              <w:t>材料和工程设备名称</w:t>
            </w:r>
          </w:p>
        </w:tc>
        <w:tc>
          <w:tcPr>
            <w:tcW w:w="1704" w:type="dxa"/>
          </w:tcPr>
          <w:p>
            <w:pPr>
              <w:spacing w:line="360" w:lineRule="auto"/>
              <w:jc w:val="center"/>
              <w:rPr>
                <w:rFonts w:ascii="宋体"/>
                <w:sz w:val="24"/>
              </w:rPr>
            </w:pPr>
            <w:r>
              <w:rPr>
                <w:rFonts w:hint="eastAsia" w:ascii="宋体" w:hAnsi="宋体"/>
                <w:sz w:val="24"/>
              </w:rPr>
              <w:t>技术指标</w:t>
            </w:r>
          </w:p>
        </w:tc>
        <w:tc>
          <w:tcPr>
            <w:tcW w:w="1705" w:type="dxa"/>
          </w:tcPr>
          <w:p>
            <w:pPr>
              <w:spacing w:line="360" w:lineRule="auto"/>
              <w:jc w:val="center"/>
              <w:rPr>
                <w:rFonts w:ascii="宋体"/>
                <w:sz w:val="24"/>
              </w:rPr>
            </w:pPr>
            <w:r>
              <w:rPr>
                <w:rFonts w:hint="eastAsia" w:ascii="宋体" w:hAnsi="宋体"/>
                <w:sz w:val="24"/>
              </w:rPr>
              <w:t>允许偏离范围</w:t>
            </w:r>
          </w:p>
        </w:tc>
        <w:tc>
          <w:tcPr>
            <w:tcW w:w="1705" w:type="dxa"/>
          </w:tcPr>
          <w:p>
            <w:pPr>
              <w:spacing w:line="360" w:lineRule="auto"/>
              <w:jc w:val="center"/>
              <w:rPr>
                <w:rFonts w:ascii="宋体"/>
                <w:sz w:val="24"/>
              </w:rPr>
            </w:pPr>
            <w:r>
              <w:rPr>
                <w:rFonts w:hint="eastAsia" w:ascii="宋体" w:hAnsi="宋体"/>
                <w:sz w:val="24"/>
              </w:rPr>
              <w:t>备</w:t>
            </w:r>
            <w:r>
              <w:rPr>
                <w:rFonts w:ascii="宋体" w:hAnsi="宋体"/>
                <w:sz w:val="24"/>
              </w:rPr>
              <w:t xml:space="preserve">  </w:t>
            </w:r>
            <w:r>
              <w:rPr>
                <w:rFonts w:hint="eastAsia" w:ascii="宋体" w:hAnsi="宋体"/>
                <w:sz w:val="24"/>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360" w:lineRule="auto"/>
              <w:jc w:val="center"/>
              <w:rPr>
                <w:rFonts w:ascii="宋体" w:cs="Arial"/>
                <w:sz w:val="24"/>
              </w:rPr>
            </w:pPr>
            <w:r>
              <w:rPr>
                <w:rFonts w:ascii="宋体" w:hAnsi="宋体" w:cs="Arial"/>
                <w:sz w:val="24"/>
              </w:rPr>
              <w:t>1</w:t>
            </w:r>
          </w:p>
        </w:tc>
        <w:tc>
          <w:tcPr>
            <w:tcW w:w="2591" w:type="dxa"/>
          </w:tcPr>
          <w:p>
            <w:pPr>
              <w:spacing w:line="360" w:lineRule="auto"/>
              <w:rPr>
                <w:rFonts w:ascii="宋体"/>
                <w:b/>
                <w:sz w:val="24"/>
              </w:rPr>
            </w:pPr>
          </w:p>
        </w:tc>
        <w:tc>
          <w:tcPr>
            <w:tcW w:w="1704" w:type="dxa"/>
          </w:tcPr>
          <w:p>
            <w:pPr>
              <w:spacing w:line="360" w:lineRule="auto"/>
              <w:rPr>
                <w:rFonts w:ascii="宋体"/>
                <w:b/>
                <w:sz w:val="24"/>
              </w:rPr>
            </w:pPr>
          </w:p>
        </w:tc>
        <w:tc>
          <w:tcPr>
            <w:tcW w:w="1705" w:type="dxa"/>
          </w:tcPr>
          <w:p>
            <w:pPr>
              <w:spacing w:line="360" w:lineRule="auto"/>
              <w:rPr>
                <w:rFonts w:ascii="宋体"/>
                <w:b/>
                <w:sz w:val="24"/>
              </w:rPr>
            </w:pPr>
          </w:p>
        </w:tc>
        <w:tc>
          <w:tcPr>
            <w:tcW w:w="1705" w:type="dxa"/>
          </w:tcPr>
          <w:p>
            <w:pPr>
              <w:spacing w:line="360" w:lineRule="auto"/>
              <w:rPr>
                <w:rFonts w:asci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360" w:lineRule="auto"/>
              <w:jc w:val="center"/>
              <w:rPr>
                <w:rFonts w:ascii="宋体" w:cs="Arial"/>
                <w:sz w:val="24"/>
              </w:rPr>
            </w:pPr>
            <w:r>
              <w:rPr>
                <w:rFonts w:ascii="宋体" w:hAnsi="宋体" w:cs="Arial"/>
                <w:sz w:val="24"/>
              </w:rPr>
              <w:t>2</w:t>
            </w:r>
          </w:p>
        </w:tc>
        <w:tc>
          <w:tcPr>
            <w:tcW w:w="2591" w:type="dxa"/>
          </w:tcPr>
          <w:p>
            <w:pPr>
              <w:spacing w:line="360" w:lineRule="auto"/>
              <w:rPr>
                <w:rFonts w:ascii="宋体"/>
                <w:b/>
                <w:sz w:val="24"/>
              </w:rPr>
            </w:pPr>
          </w:p>
        </w:tc>
        <w:tc>
          <w:tcPr>
            <w:tcW w:w="1704" w:type="dxa"/>
          </w:tcPr>
          <w:p>
            <w:pPr>
              <w:spacing w:line="360" w:lineRule="auto"/>
              <w:rPr>
                <w:rFonts w:ascii="宋体"/>
                <w:b/>
                <w:sz w:val="24"/>
              </w:rPr>
            </w:pPr>
          </w:p>
        </w:tc>
        <w:tc>
          <w:tcPr>
            <w:tcW w:w="1705" w:type="dxa"/>
          </w:tcPr>
          <w:p>
            <w:pPr>
              <w:spacing w:line="360" w:lineRule="auto"/>
              <w:rPr>
                <w:rFonts w:ascii="宋体"/>
                <w:b/>
                <w:sz w:val="24"/>
              </w:rPr>
            </w:pPr>
          </w:p>
        </w:tc>
        <w:tc>
          <w:tcPr>
            <w:tcW w:w="1705" w:type="dxa"/>
          </w:tcPr>
          <w:p>
            <w:pPr>
              <w:spacing w:line="360" w:lineRule="auto"/>
              <w:rPr>
                <w:rFonts w:asci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360" w:lineRule="auto"/>
              <w:jc w:val="center"/>
              <w:rPr>
                <w:rFonts w:ascii="宋体" w:cs="Arial"/>
                <w:sz w:val="24"/>
              </w:rPr>
            </w:pPr>
            <w:r>
              <w:rPr>
                <w:rFonts w:hint="eastAsia" w:ascii="宋体" w:hAnsi="宋体" w:cs="Arial"/>
                <w:sz w:val="24"/>
              </w:rPr>
              <w:t>……</w:t>
            </w:r>
          </w:p>
        </w:tc>
        <w:tc>
          <w:tcPr>
            <w:tcW w:w="2591" w:type="dxa"/>
          </w:tcPr>
          <w:p>
            <w:pPr>
              <w:spacing w:line="360" w:lineRule="auto"/>
              <w:rPr>
                <w:rFonts w:ascii="宋体"/>
                <w:b/>
                <w:sz w:val="24"/>
              </w:rPr>
            </w:pPr>
          </w:p>
        </w:tc>
        <w:tc>
          <w:tcPr>
            <w:tcW w:w="1704" w:type="dxa"/>
          </w:tcPr>
          <w:p>
            <w:pPr>
              <w:spacing w:line="360" w:lineRule="auto"/>
              <w:rPr>
                <w:rFonts w:ascii="宋体"/>
                <w:b/>
                <w:sz w:val="24"/>
              </w:rPr>
            </w:pPr>
          </w:p>
        </w:tc>
        <w:tc>
          <w:tcPr>
            <w:tcW w:w="1705" w:type="dxa"/>
          </w:tcPr>
          <w:p>
            <w:pPr>
              <w:spacing w:line="360" w:lineRule="auto"/>
              <w:rPr>
                <w:rFonts w:ascii="宋体"/>
                <w:b/>
                <w:sz w:val="24"/>
              </w:rPr>
            </w:pPr>
          </w:p>
        </w:tc>
        <w:tc>
          <w:tcPr>
            <w:tcW w:w="1705" w:type="dxa"/>
          </w:tcPr>
          <w:p>
            <w:pPr>
              <w:spacing w:line="360" w:lineRule="auto"/>
              <w:rPr>
                <w:rFonts w:asci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spacing w:line="360" w:lineRule="auto"/>
              <w:jc w:val="center"/>
              <w:rPr>
                <w:rFonts w:ascii="宋体" w:cs="Arial"/>
                <w:sz w:val="24"/>
              </w:rPr>
            </w:pPr>
          </w:p>
        </w:tc>
        <w:tc>
          <w:tcPr>
            <w:tcW w:w="2591" w:type="dxa"/>
          </w:tcPr>
          <w:p>
            <w:pPr>
              <w:spacing w:line="360" w:lineRule="auto"/>
              <w:rPr>
                <w:rFonts w:ascii="宋体"/>
                <w:b/>
                <w:sz w:val="24"/>
              </w:rPr>
            </w:pPr>
          </w:p>
        </w:tc>
        <w:tc>
          <w:tcPr>
            <w:tcW w:w="1704" w:type="dxa"/>
          </w:tcPr>
          <w:p>
            <w:pPr>
              <w:spacing w:line="360" w:lineRule="auto"/>
              <w:rPr>
                <w:rFonts w:ascii="宋体"/>
                <w:b/>
                <w:sz w:val="24"/>
              </w:rPr>
            </w:pPr>
          </w:p>
        </w:tc>
        <w:tc>
          <w:tcPr>
            <w:tcW w:w="1705" w:type="dxa"/>
          </w:tcPr>
          <w:p>
            <w:pPr>
              <w:spacing w:line="360" w:lineRule="auto"/>
              <w:rPr>
                <w:rFonts w:ascii="宋体"/>
                <w:b/>
                <w:sz w:val="24"/>
              </w:rPr>
            </w:pPr>
          </w:p>
        </w:tc>
        <w:tc>
          <w:tcPr>
            <w:tcW w:w="1705" w:type="dxa"/>
          </w:tcPr>
          <w:p>
            <w:pPr>
              <w:spacing w:line="360" w:lineRule="auto"/>
              <w:rPr>
                <w:rFonts w:ascii="宋体"/>
                <w:b/>
                <w:sz w:val="24"/>
              </w:rPr>
            </w:pPr>
          </w:p>
        </w:tc>
      </w:tr>
    </w:tbl>
    <w:p>
      <w:pPr>
        <w:spacing w:before="312" w:beforeLines="100" w:line="360" w:lineRule="auto"/>
        <w:ind w:firstLine="720" w:firstLineChars="300"/>
        <w:rPr>
          <w:rFonts w:ascii="宋体" w:cs="Arial"/>
          <w:sz w:val="24"/>
          <w:u w:val="single"/>
        </w:rPr>
      </w:pPr>
      <w:r>
        <w:rPr>
          <w:rFonts w:ascii="宋体" w:hAnsi="宋体" w:cs="Arial"/>
          <w:sz w:val="24"/>
        </w:rPr>
        <w:t>10</w:t>
      </w:r>
      <w:r>
        <w:rPr>
          <w:rFonts w:ascii="宋体" w:cs="Arial"/>
          <w:sz w:val="24"/>
        </w:rPr>
        <w:t>.</w:t>
      </w:r>
      <w:r>
        <w:rPr>
          <w:rFonts w:ascii="宋体" w:hAnsi="宋体" w:cs="Arial"/>
          <w:sz w:val="24"/>
        </w:rPr>
        <w:t xml:space="preserve">1.3  </w:t>
      </w:r>
      <w:r>
        <w:rPr>
          <w:rFonts w:hint="eastAsia" w:ascii="宋体" w:hAnsi="宋体" w:cs="Arial"/>
          <w:sz w:val="24"/>
        </w:rPr>
        <w:t>本工程施工现场所用混凝土或砂浆的供应方式为</w:t>
      </w:r>
      <w:r>
        <w:rPr>
          <w:rFonts w:ascii="宋体" w:hAnsi="宋体" w:cs="Arial"/>
          <w:sz w:val="24"/>
          <w:u w:val="single"/>
        </w:rPr>
        <w:t xml:space="preserve">   </w:t>
      </w:r>
      <w:r>
        <w:rPr>
          <w:rFonts w:hint="eastAsia" w:ascii="宋体" w:hAnsi="宋体" w:cs="Arial"/>
          <w:sz w:val="24"/>
          <w:u w:val="single"/>
        </w:rPr>
        <w:t>预拌</w:t>
      </w:r>
      <w:r>
        <w:rPr>
          <w:rFonts w:ascii="宋体" w:hAnsi="宋体" w:cs="Arial"/>
          <w:sz w:val="24"/>
          <w:u w:val="single"/>
        </w:rPr>
        <w:t xml:space="preserve">                   </w:t>
      </w:r>
    </w:p>
    <w:p>
      <w:pPr>
        <w:keepNext/>
        <w:keepLines/>
        <w:spacing w:before="156" w:beforeLines="50" w:after="156" w:afterLines="50" w:line="360" w:lineRule="auto"/>
        <w:outlineLvl w:val="2"/>
        <w:rPr>
          <w:rFonts w:ascii="宋体" w:hAnsi="宋体"/>
          <w:kern w:val="0"/>
          <w:sz w:val="24"/>
        </w:rPr>
      </w:pPr>
      <w:bookmarkStart w:id="816" w:name="_Toc497584149"/>
      <w:bookmarkStart w:id="817" w:name="_Toc497214158"/>
      <w:bookmarkStart w:id="818" w:name="_Toc486580490"/>
      <w:bookmarkStart w:id="819" w:name="_Toc10235759"/>
      <w:bookmarkStart w:id="820" w:name="_Toc489280296"/>
      <w:r>
        <w:rPr>
          <w:rFonts w:ascii="宋体" w:hAnsi="宋体"/>
          <w:kern w:val="0"/>
          <w:sz w:val="24"/>
        </w:rPr>
        <w:t xml:space="preserve">10.2  </w:t>
      </w:r>
      <w:r>
        <w:rPr>
          <w:rFonts w:hint="eastAsia" w:ascii="宋体" w:hAnsi="宋体"/>
          <w:kern w:val="0"/>
          <w:sz w:val="24"/>
        </w:rPr>
        <w:t>进口材料和工程设备</w:t>
      </w:r>
      <w:bookmarkEnd w:id="816"/>
      <w:bookmarkEnd w:id="817"/>
      <w:bookmarkEnd w:id="818"/>
      <w:bookmarkEnd w:id="819"/>
      <w:bookmarkEnd w:id="820"/>
    </w:p>
    <w:p>
      <w:pPr>
        <w:spacing w:line="360" w:lineRule="auto"/>
        <w:ind w:firstLine="720" w:firstLineChars="300"/>
        <w:rPr>
          <w:rFonts w:ascii="宋体"/>
          <w:sz w:val="24"/>
          <w:u w:val="single"/>
        </w:rPr>
      </w:pPr>
      <w:r>
        <w:rPr>
          <w:rFonts w:ascii="宋体" w:hAnsi="宋体" w:cs="Arial"/>
          <w:sz w:val="24"/>
        </w:rPr>
        <w:t>10</w:t>
      </w:r>
      <w:r>
        <w:rPr>
          <w:rFonts w:ascii="宋体" w:cs="Arial"/>
          <w:sz w:val="24"/>
        </w:rPr>
        <w:t>.</w:t>
      </w:r>
      <w:r>
        <w:rPr>
          <w:rFonts w:ascii="宋体" w:hAnsi="宋体" w:cs="Arial"/>
          <w:sz w:val="24"/>
        </w:rPr>
        <w:t xml:space="preserve">2.1  </w:t>
      </w:r>
      <w:r>
        <w:rPr>
          <w:rFonts w:hint="eastAsia" w:ascii="宋体" w:hAnsi="宋体" w:cs="Arial"/>
          <w:sz w:val="24"/>
        </w:rPr>
        <w:t>本工程需要进口的材料和工程设备：</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spacing w:line="360" w:lineRule="auto"/>
        <w:ind w:firstLine="720" w:firstLineChars="300"/>
        <w:rPr>
          <w:rFonts w:ascii="宋体"/>
          <w:sz w:val="24"/>
          <w:u w:val="single"/>
        </w:rPr>
      </w:pPr>
      <w:r>
        <w:rPr>
          <w:rFonts w:ascii="宋体" w:hAnsi="宋体" w:cs="Arial"/>
          <w:sz w:val="24"/>
        </w:rPr>
        <w:t>10</w:t>
      </w:r>
      <w:r>
        <w:rPr>
          <w:rFonts w:ascii="宋体" w:cs="Arial"/>
          <w:sz w:val="24"/>
        </w:rPr>
        <w:t>.</w:t>
      </w:r>
      <w:r>
        <w:rPr>
          <w:rFonts w:ascii="宋体" w:hAnsi="宋体" w:cs="Arial"/>
          <w:sz w:val="24"/>
        </w:rPr>
        <w:t xml:space="preserve">2.2  </w:t>
      </w:r>
      <w:r>
        <w:rPr>
          <w:rFonts w:hint="eastAsia" w:ascii="宋体" w:hAnsi="宋体" w:cs="Arial"/>
          <w:sz w:val="24"/>
        </w:rPr>
        <w:t>上述进口材料和工程设备采购、进口、报关、清关、商检、境内运输（包括保险）、保管的责任以及费用承担方式划分：</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rPr>
      </w:pPr>
      <w:bookmarkStart w:id="821" w:name="_Toc497584150"/>
      <w:bookmarkStart w:id="822" w:name="_Toc489280297"/>
      <w:bookmarkStart w:id="823" w:name="_Toc486580491"/>
      <w:bookmarkStart w:id="824" w:name="_Toc10235760"/>
      <w:bookmarkStart w:id="825" w:name="_Toc497214159"/>
      <w:r>
        <w:rPr>
          <w:rFonts w:ascii="宋体" w:hAnsi="宋体"/>
          <w:kern w:val="0"/>
          <w:sz w:val="24"/>
        </w:rPr>
        <w:t xml:space="preserve">10.3  </w:t>
      </w:r>
      <w:r>
        <w:rPr>
          <w:rFonts w:hint="eastAsia" w:ascii="宋体" w:hAnsi="宋体"/>
          <w:kern w:val="0"/>
          <w:sz w:val="24"/>
        </w:rPr>
        <w:t>新技术、新工艺和新材料</w:t>
      </w:r>
      <w:bookmarkEnd w:id="821"/>
      <w:bookmarkEnd w:id="822"/>
      <w:bookmarkEnd w:id="823"/>
      <w:bookmarkEnd w:id="824"/>
      <w:bookmarkEnd w:id="825"/>
    </w:p>
    <w:p>
      <w:pPr>
        <w:spacing w:line="360" w:lineRule="auto"/>
        <w:ind w:firstLine="480" w:firstLineChars="200"/>
        <w:outlineLvl w:val="3"/>
        <w:rPr>
          <w:rFonts w:ascii="宋体"/>
          <w:sz w:val="24"/>
          <w:u w:val="single"/>
        </w:rPr>
      </w:pPr>
      <w:r>
        <w:rPr>
          <w:rFonts w:hint="eastAsia" w:ascii="宋体" w:hAnsi="宋体" w:cs="Arial"/>
          <w:sz w:val="24"/>
        </w:rPr>
        <w:t>本工程涉及的新技术、新工艺和新材料及相应使用和操作说明：</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26" w:name="_Toc489280299"/>
      <w:bookmarkStart w:id="827" w:name="_Toc10235762"/>
      <w:bookmarkStart w:id="828" w:name="_Toc497214161"/>
      <w:bookmarkStart w:id="829" w:name="_Toc497584152"/>
      <w:bookmarkStart w:id="830" w:name="_Toc490331755"/>
      <w:bookmarkStart w:id="831" w:name="_Toc486580493"/>
      <w:r>
        <w:rPr>
          <w:rFonts w:ascii="宋体" w:hAnsi="宋体" w:cs="宋体"/>
          <w:sz w:val="28"/>
          <w:szCs w:val="20"/>
        </w:rPr>
        <w:t>11.</w:t>
      </w:r>
      <w:r>
        <w:rPr>
          <w:rFonts w:hint="eastAsia" w:ascii="宋体" w:hAnsi="宋体" w:cs="宋体"/>
          <w:sz w:val="28"/>
          <w:szCs w:val="20"/>
        </w:rPr>
        <w:t>进度报告和进度例会</w:t>
      </w:r>
      <w:bookmarkEnd w:id="826"/>
      <w:bookmarkEnd w:id="827"/>
      <w:bookmarkEnd w:id="828"/>
      <w:bookmarkEnd w:id="829"/>
      <w:bookmarkEnd w:id="830"/>
      <w:bookmarkEnd w:id="831"/>
    </w:p>
    <w:p>
      <w:pPr>
        <w:keepNext/>
        <w:keepLines/>
        <w:spacing w:before="156" w:beforeLines="50" w:after="156" w:afterLines="50" w:line="360" w:lineRule="auto"/>
        <w:outlineLvl w:val="2"/>
        <w:rPr>
          <w:rFonts w:ascii="宋体" w:hAnsi="宋体"/>
          <w:kern w:val="0"/>
          <w:sz w:val="24"/>
        </w:rPr>
      </w:pPr>
      <w:bookmarkStart w:id="832" w:name="_Toc489280300"/>
      <w:bookmarkStart w:id="833" w:name="_Toc497214162"/>
      <w:bookmarkStart w:id="834" w:name="_Toc486580494"/>
      <w:bookmarkStart w:id="835" w:name="_Toc497584153"/>
      <w:bookmarkStart w:id="836" w:name="_Toc10235763"/>
      <w:r>
        <w:rPr>
          <w:rFonts w:ascii="宋体" w:hAnsi="宋体"/>
          <w:kern w:val="0"/>
          <w:sz w:val="24"/>
        </w:rPr>
        <w:t xml:space="preserve">11.1  </w:t>
      </w:r>
      <w:r>
        <w:rPr>
          <w:rFonts w:hint="eastAsia" w:ascii="宋体" w:hAnsi="宋体"/>
          <w:kern w:val="0"/>
          <w:sz w:val="24"/>
        </w:rPr>
        <w:t>进度报告</w:t>
      </w:r>
      <w:bookmarkEnd w:id="832"/>
      <w:bookmarkEnd w:id="833"/>
      <w:bookmarkEnd w:id="834"/>
      <w:bookmarkEnd w:id="835"/>
      <w:bookmarkEnd w:id="836"/>
    </w:p>
    <w:p>
      <w:pPr>
        <w:spacing w:line="360" w:lineRule="auto"/>
        <w:ind w:firstLine="720" w:firstLineChars="300"/>
        <w:rPr>
          <w:rFonts w:ascii="宋体"/>
          <w:sz w:val="24"/>
          <w:u w:val="single"/>
        </w:rPr>
      </w:pPr>
      <w:r>
        <w:rPr>
          <w:rFonts w:ascii="宋体" w:hAnsi="宋体" w:cs="Arial"/>
          <w:sz w:val="24"/>
        </w:rPr>
        <w:t>11</w:t>
      </w:r>
      <w:r>
        <w:rPr>
          <w:rFonts w:ascii="宋体" w:cs="Arial"/>
          <w:sz w:val="24"/>
        </w:rPr>
        <w:t>.</w:t>
      </w:r>
      <w:r>
        <w:rPr>
          <w:rFonts w:ascii="宋体" w:hAnsi="宋体" w:cs="Arial"/>
          <w:sz w:val="24"/>
        </w:rPr>
        <w:t xml:space="preserve">1.7  </w:t>
      </w:r>
      <w:r>
        <w:rPr>
          <w:rFonts w:hint="eastAsia" w:ascii="宋体" w:hAnsi="宋体" w:cs="Arial"/>
          <w:sz w:val="24"/>
        </w:rPr>
        <w:t>有关进度报告的其他要求：</w:t>
      </w:r>
      <w:r>
        <w:rPr>
          <w:rFonts w:ascii="宋体" w:hAnsi="宋体"/>
          <w:sz w:val="24"/>
          <w:u w:val="single"/>
        </w:rPr>
        <w:t xml:space="preserve">  </w:t>
      </w:r>
      <w:r>
        <w:rPr>
          <w:rFonts w:hint="eastAsia" w:ascii="宋体" w:hAnsi="宋体"/>
          <w:sz w:val="24"/>
          <w:u w:val="single"/>
        </w:rPr>
        <w:t>发包人通知</w:t>
      </w:r>
      <w:r>
        <w:rPr>
          <w:rFonts w:ascii="宋体" w:hAnsi="宋体"/>
          <w:sz w:val="24"/>
          <w:u w:val="single"/>
        </w:rPr>
        <w:t xml:space="preserve">     </w:t>
      </w:r>
    </w:p>
    <w:p>
      <w:pPr>
        <w:keepNext/>
        <w:keepLines/>
        <w:spacing w:before="156" w:beforeLines="50" w:after="156" w:afterLines="50" w:line="360" w:lineRule="auto"/>
        <w:outlineLvl w:val="2"/>
        <w:rPr>
          <w:rFonts w:ascii="宋体" w:hAnsi="宋体"/>
          <w:kern w:val="0"/>
          <w:sz w:val="24"/>
        </w:rPr>
      </w:pPr>
      <w:bookmarkStart w:id="837" w:name="_Toc489280301"/>
      <w:bookmarkStart w:id="838" w:name="_Toc497214163"/>
      <w:bookmarkStart w:id="839" w:name="_Toc497584154"/>
      <w:bookmarkStart w:id="840" w:name="_Toc486580495"/>
      <w:bookmarkStart w:id="841" w:name="_Toc10235764"/>
      <w:r>
        <w:rPr>
          <w:rFonts w:ascii="宋体" w:hAnsi="宋体"/>
          <w:kern w:val="0"/>
          <w:sz w:val="24"/>
        </w:rPr>
        <w:t xml:space="preserve">11.2  </w:t>
      </w:r>
      <w:r>
        <w:rPr>
          <w:rFonts w:hint="eastAsia" w:ascii="宋体" w:hAnsi="宋体"/>
          <w:kern w:val="0"/>
          <w:sz w:val="24"/>
        </w:rPr>
        <w:t>进度例会</w:t>
      </w:r>
      <w:bookmarkEnd w:id="837"/>
      <w:bookmarkEnd w:id="838"/>
      <w:bookmarkEnd w:id="839"/>
      <w:bookmarkEnd w:id="840"/>
      <w:bookmarkEnd w:id="841"/>
    </w:p>
    <w:p>
      <w:pPr>
        <w:spacing w:line="360" w:lineRule="auto"/>
        <w:ind w:firstLine="720" w:firstLineChars="300"/>
        <w:rPr>
          <w:rFonts w:ascii="宋体"/>
          <w:sz w:val="24"/>
          <w:u w:val="single"/>
        </w:rPr>
      </w:pPr>
      <w:r>
        <w:rPr>
          <w:rFonts w:ascii="宋体" w:hAnsi="宋体" w:cs="Arial"/>
          <w:sz w:val="24"/>
        </w:rPr>
        <w:t>11</w:t>
      </w:r>
      <w:r>
        <w:rPr>
          <w:rFonts w:ascii="宋体" w:cs="Arial"/>
          <w:sz w:val="24"/>
        </w:rPr>
        <w:t>.</w:t>
      </w:r>
      <w:r>
        <w:rPr>
          <w:rFonts w:ascii="宋体" w:hAnsi="宋体" w:cs="Arial"/>
          <w:sz w:val="24"/>
        </w:rPr>
        <w:t xml:space="preserve">2.4  </w:t>
      </w:r>
      <w:r>
        <w:rPr>
          <w:rFonts w:hint="eastAsia" w:ascii="宋体" w:hAnsi="宋体" w:cs="Arial"/>
          <w:sz w:val="24"/>
        </w:rPr>
        <w:t>有关进度例会的其他要求：</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42" w:name="_Toc489280302"/>
      <w:bookmarkStart w:id="843" w:name="_Toc486580496"/>
      <w:bookmarkStart w:id="844" w:name="_Toc497584155"/>
      <w:bookmarkStart w:id="845" w:name="_Toc490331756"/>
      <w:bookmarkStart w:id="846" w:name="_Toc10235765"/>
      <w:bookmarkStart w:id="847" w:name="_Toc497214164"/>
      <w:r>
        <w:rPr>
          <w:rFonts w:ascii="宋体" w:hAnsi="宋体" w:cs="宋体"/>
          <w:sz w:val="28"/>
          <w:szCs w:val="20"/>
        </w:rPr>
        <w:t>12.</w:t>
      </w:r>
      <w:r>
        <w:rPr>
          <w:rFonts w:hint="eastAsia" w:ascii="宋体" w:hAnsi="宋体" w:cs="宋体"/>
          <w:sz w:val="28"/>
          <w:szCs w:val="20"/>
        </w:rPr>
        <w:t>试验和检验</w:t>
      </w:r>
      <w:bookmarkEnd w:id="842"/>
      <w:bookmarkEnd w:id="843"/>
      <w:bookmarkEnd w:id="844"/>
      <w:bookmarkEnd w:id="845"/>
      <w:bookmarkEnd w:id="846"/>
      <w:bookmarkEnd w:id="847"/>
    </w:p>
    <w:p>
      <w:pPr>
        <w:snapToGrid w:val="0"/>
        <w:spacing w:line="360" w:lineRule="auto"/>
        <w:ind w:firstLine="480" w:firstLineChars="200"/>
        <w:rPr>
          <w:rFonts w:ascii="宋体" w:cs="Arial"/>
          <w:sz w:val="24"/>
        </w:rPr>
      </w:pPr>
      <w:bookmarkStart w:id="848" w:name="_Toc486580497"/>
      <w:r>
        <w:rPr>
          <w:rFonts w:ascii="宋体" w:hAnsi="宋体" w:cs="Arial"/>
          <w:sz w:val="24"/>
        </w:rPr>
        <w:t xml:space="preserve">12.1  </w:t>
      </w:r>
      <w:r>
        <w:rPr>
          <w:rFonts w:hint="eastAsia" w:ascii="宋体" w:hAnsi="宋体" w:cs="Arial"/>
          <w:sz w:val="24"/>
        </w:rPr>
        <w:t>本工程发包人委托检测单位进行试验和检验的其他材料、工程设备和工艺：</w:t>
      </w:r>
      <w:r>
        <w:rPr>
          <w:rFonts w:ascii="宋体" w:hAnsi="宋体"/>
          <w:sz w:val="24"/>
          <w:u w:val="single"/>
        </w:rPr>
        <w:t xml:space="preserve">   </w:t>
      </w:r>
    </w:p>
    <w:p>
      <w:pPr>
        <w:snapToGrid w:val="0"/>
        <w:spacing w:line="360" w:lineRule="auto"/>
        <w:rPr>
          <w:rFonts w:ascii="宋体" w:cs="Arial"/>
          <w:sz w:val="24"/>
        </w:rPr>
      </w:pPr>
      <w:r>
        <w:rPr>
          <w:rFonts w:ascii="宋体" w:hAnsi="宋体"/>
          <w:sz w:val="24"/>
          <w:u w:val="single"/>
        </w:rPr>
        <w:t xml:space="preserve"> </w:t>
      </w:r>
      <w:r>
        <w:rPr>
          <w:rFonts w:hint="eastAsia" w:ascii="宋体" w:hAnsi="宋体"/>
          <w:sz w:val="24"/>
          <w:u w:val="single"/>
        </w:rPr>
        <w:t>国家和北京市现行规范标准规定必须进行试验和检验的材料、工程设备和工艺</w:t>
      </w:r>
      <w:r>
        <w:rPr>
          <w:rFonts w:ascii="宋体" w:hAnsi="宋体"/>
          <w:sz w:val="24"/>
          <w:u w:val="single"/>
        </w:rPr>
        <w:t xml:space="preserve">          </w:t>
      </w:r>
    </w:p>
    <w:p>
      <w:pPr>
        <w:snapToGrid w:val="0"/>
        <w:spacing w:line="360" w:lineRule="auto"/>
        <w:ind w:firstLine="480" w:firstLineChars="200"/>
        <w:rPr>
          <w:rFonts w:ascii="宋体"/>
          <w:sz w:val="24"/>
          <w:u w:val="single"/>
        </w:rPr>
      </w:pPr>
      <w:r>
        <w:rPr>
          <w:rFonts w:ascii="宋体" w:hAnsi="宋体" w:cs="Arial"/>
          <w:sz w:val="24"/>
        </w:rPr>
        <w:t xml:space="preserve">12.3  </w:t>
      </w:r>
      <w:r>
        <w:rPr>
          <w:rFonts w:hint="eastAsia" w:ascii="宋体" w:hAnsi="宋体" w:cs="Arial"/>
          <w:sz w:val="24"/>
        </w:rPr>
        <w:t>本工程需要承包人进行试验和检验的材料、工程设备和工艺：</w:t>
      </w:r>
      <w:r>
        <w:rPr>
          <w:rFonts w:ascii="宋体" w:hAnsi="宋体"/>
          <w:sz w:val="24"/>
          <w:u w:val="single"/>
        </w:rPr>
        <w:t xml:space="preserve">               </w:t>
      </w:r>
    </w:p>
    <w:p>
      <w:pPr>
        <w:snapToGrid w:val="0"/>
        <w:spacing w:line="360" w:lineRule="auto"/>
        <w:rPr>
          <w:rFonts w:ascii="宋体" w:cs="Arial"/>
          <w:sz w:val="24"/>
        </w:rPr>
      </w:pPr>
      <w:r>
        <w:rPr>
          <w:rFonts w:ascii="宋体" w:hAnsi="宋体"/>
          <w:sz w:val="24"/>
          <w:u w:val="single"/>
        </w:rPr>
        <w:t xml:space="preserve"> </w:t>
      </w:r>
      <w:r>
        <w:rPr>
          <w:rFonts w:hint="eastAsia" w:ascii="宋体" w:hAnsi="宋体"/>
          <w:sz w:val="24"/>
          <w:u w:val="single"/>
        </w:rPr>
        <w:t>国家和北京市现行规范标准规定必须进行试验和检验的材料、工程设备和工艺</w:t>
      </w:r>
      <w:r>
        <w:rPr>
          <w:rFonts w:ascii="宋体" w:hAnsi="宋体"/>
          <w:sz w:val="24"/>
          <w:u w:val="single"/>
        </w:rPr>
        <w:t xml:space="preserve">          </w:t>
      </w:r>
    </w:p>
    <w:p>
      <w:pPr>
        <w:adjustRightInd w:val="0"/>
        <w:snapToGrid w:val="0"/>
        <w:spacing w:line="360" w:lineRule="auto"/>
        <w:ind w:firstLine="480" w:firstLineChars="200"/>
        <w:rPr>
          <w:rFonts w:ascii="宋体" w:hAnsi="宋体"/>
          <w:kern w:val="0"/>
          <w:sz w:val="24"/>
          <w:u w:val="single"/>
        </w:rPr>
      </w:pPr>
      <w:r>
        <w:rPr>
          <w:rFonts w:ascii="宋体" w:hAnsi="宋体" w:cs="Arial"/>
          <w:kern w:val="0"/>
          <w:sz w:val="24"/>
        </w:rPr>
        <w:t xml:space="preserve">12.4  </w:t>
      </w:r>
      <w:r>
        <w:rPr>
          <w:rFonts w:hint="eastAsia" w:ascii="宋体" w:hAnsi="宋体" w:cs="Arial"/>
          <w:kern w:val="0"/>
          <w:sz w:val="24"/>
        </w:rPr>
        <w:t>本工程需要由监理人和承包人共同进行试验和检验的材料、工程设备和工艺：</w:t>
      </w:r>
      <w:r>
        <w:rPr>
          <w:rFonts w:ascii="宋体" w:hAnsi="宋体"/>
          <w:kern w:val="0"/>
          <w:sz w:val="24"/>
          <w:u w:val="single"/>
        </w:rPr>
        <w:t xml:space="preserve"> </w:t>
      </w:r>
    </w:p>
    <w:p>
      <w:pPr>
        <w:snapToGrid w:val="0"/>
        <w:spacing w:line="360" w:lineRule="auto"/>
        <w:rPr>
          <w:rFonts w:ascii="宋体" w:cs="Arial"/>
          <w:sz w:val="24"/>
        </w:rPr>
      </w:pPr>
      <w:r>
        <w:rPr>
          <w:rFonts w:ascii="宋体" w:hAnsi="宋体"/>
          <w:sz w:val="24"/>
          <w:u w:val="single"/>
        </w:rPr>
        <w:t xml:space="preserve"> </w:t>
      </w:r>
      <w:r>
        <w:rPr>
          <w:rFonts w:hint="eastAsia" w:ascii="宋体" w:hAnsi="宋体"/>
          <w:sz w:val="24"/>
          <w:u w:val="single"/>
        </w:rPr>
        <w:t>国家和北京市现行规范标准规定必须进行试验和检验的材料、工程设备和工艺</w:t>
      </w:r>
      <w:r>
        <w:rPr>
          <w:rFonts w:ascii="宋体" w:hAnsi="宋体"/>
          <w:sz w:val="24"/>
          <w:u w:val="single"/>
        </w:rPr>
        <w:t xml:space="preserve">          </w:t>
      </w:r>
    </w:p>
    <w:p>
      <w:pPr>
        <w:snapToGrid w:val="0"/>
        <w:spacing w:line="360" w:lineRule="auto"/>
        <w:ind w:firstLine="480" w:firstLineChars="200"/>
        <w:rPr>
          <w:rFonts w:ascii="宋体" w:hAnsi="宋体" w:cs="Arial"/>
          <w:sz w:val="24"/>
          <w:u w:val="single"/>
        </w:rPr>
      </w:pPr>
      <w:r>
        <w:rPr>
          <w:rFonts w:ascii="宋体" w:hAnsi="宋体" w:cs="Arial"/>
          <w:sz w:val="24"/>
        </w:rPr>
        <w:t xml:space="preserve">12.8  </w:t>
      </w:r>
      <w:r>
        <w:rPr>
          <w:rFonts w:hint="eastAsia" w:ascii="宋体" w:hAnsi="宋体" w:cs="Arial"/>
          <w:sz w:val="24"/>
        </w:rPr>
        <w:t>涉及结构安全的试块、试件以及有关材料检测的质量检测单位：</w:t>
      </w:r>
      <w:r>
        <w:rPr>
          <w:rFonts w:ascii="宋体" w:hAnsi="宋体" w:cs="Arial"/>
          <w:sz w:val="24"/>
          <w:u w:val="single"/>
        </w:rPr>
        <w:t xml:space="preserve">    </w:t>
      </w:r>
      <w:r>
        <w:rPr>
          <w:rFonts w:hint="eastAsia" w:ascii="宋体" w:hAnsi="宋体" w:cs="Arial"/>
          <w:sz w:val="24"/>
          <w:u w:val="single"/>
        </w:rPr>
        <w:t>/</w:t>
      </w:r>
      <w:r>
        <w:rPr>
          <w:rFonts w:ascii="宋体" w:hAnsi="宋体" w:cs="Arial"/>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49" w:name="_Toc497584156"/>
      <w:bookmarkStart w:id="850" w:name="_Toc497214165"/>
      <w:bookmarkStart w:id="851" w:name="_Toc10235766"/>
      <w:bookmarkStart w:id="852" w:name="_Toc490331757"/>
      <w:bookmarkStart w:id="853" w:name="_Toc489280303"/>
      <w:r>
        <w:rPr>
          <w:rFonts w:ascii="宋体" w:hAnsi="宋体" w:cs="宋体"/>
          <w:sz w:val="28"/>
          <w:szCs w:val="20"/>
        </w:rPr>
        <w:t>13.</w:t>
      </w:r>
      <w:r>
        <w:rPr>
          <w:rFonts w:hint="eastAsia" w:ascii="宋体" w:hAnsi="宋体" w:cs="宋体"/>
          <w:sz w:val="28"/>
          <w:szCs w:val="20"/>
        </w:rPr>
        <w:t>计日工</w:t>
      </w:r>
      <w:bookmarkEnd w:id="848"/>
      <w:bookmarkEnd w:id="849"/>
      <w:bookmarkEnd w:id="850"/>
      <w:bookmarkEnd w:id="851"/>
      <w:bookmarkEnd w:id="852"/>
      <w:bookmarkEnd w:id="853"/>
    </w:p>
    <w:p>
      <w:pPr>
        <w:spacing w:line="360" w:lineRule="auto"/>
        <w:ind w:firstLine="480" w:firstLineChars="200"/>
        <w:rPr>
          <w:rFonts w:ascii="宋体" w:cs="Arial"/>
          <w:sz w:val="24"/>
        </w:rPr>
      </w:pPr>
      <w:r>
        <w:rPr>
          <w:rFonts w:ascii="宋体" w:hAnsi="宋体" w:cs="Arial"/>
          <w:sz w:val="24"/>
        </w:rPr>
        <w:t xml:space="preserve">13.7  </w:t>
      </w:r>
      <w:r>
        <w:rPr>
          <w:rFonts w:hint="eastAsia" w:ascii="宋体" w:hAnsi="宋体" w:cs="Arial"/>
          <w:sz w:val="24"/>
        </w:rPr>
        <w:t>关于计日工的其他约定：</w:t>
      </w:r>
      <w:r>
        <w:rPr>
          <w:rFonts w:ascii="宋体" w:hAnsi="宋体" w:cs="Arial"/>
          <w:sz w:val="24"/>
          <w:u w:val="single"/>
        </w:rPr>
        <w:t xml:space="preserve">   </w:t>
      </w:r>
      <w:r>
        <w:rPr>
          <w:rFonts w:hint="eastAsia" w:ascii="宋体" w:hAnsi="宋体" w:cs="Arial"/>
          <w:sz w:val="24"/>
          <w:u w:val="single"/>
        </w:rPr>
        <w:t>/</w:t>
      </w:r>
      <w:r>
        <w:rPr>
          <w:rFonts w:ascii="宋体" w:hAnsi="宋体" w:cs="Arial"/>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54" w:name="_Toc10235767"/>
      <w:bookmarkStart w:id="855" w:name="_Toc490331758"/>
      <w:bookmarkStart w:id="856" w:name="_Toc489280304"/>
      <w:bookmarkStart w:id="857" w:name="_Toc497584157"/>
      <w:bookmarkStart w:id="858" w:name="_Toc486580498"/>
      <w:bookmarkStart w:id="859" w:name="_Toc497214166"/>
      <w:r>
        <w:rPr>
          <w:rFonts w:ascii="宋体" w:hAnsi="宋体" w:cs="宋体"/>
          <w:sz w:val="28"/>
          <w:szCs w:val="20"/>
        </w:rPr>
        <w:t>14.</w:t>
      </w:r>
      <w:r>
        <w:rPr>
          <w:rFonts w:hint="eastAsia" w:ascii="宋体" w:hAnsi="宋体" w:cs="宋体"/>
          <w:sz w:val="28"/>
          <w:szCs w:val="20"/>
        </w:rPr>
        <w:t>计量与支付</w:t>
      </w:r>
      <w:bookmarkEnd w:id="854"/>
      <w:bookmarkEnd w:id="855"/>
      <w:bookmarkEnd w:id="856"/>
      <w:bookmarkEnd w:id="857"/>
      <w:bookmarkEnd w:id="858"/>
      <w:bookmarkEnd w:id="859"/>
    </w:p>
    <w:p>
      <w:pPr>
        <w:keepNext/>
        <w:keepLines/>
        <w:spacing w:before="156" w:beforeLines="50" w:after="156" w:afterLines="50" w:line="360" w:lineRule="auto"/>
        <w:outlineLvl w:val="2"/>
        <w:rPr>
          <w:rFonts w:ascii="宋体" w:hAnsi="宋体"/>
          <w:kern w:val="0"/>
          <w:sz w:val="24"/>
          <w:szCs w:val="20"/>
        </w:rPr>
      </w:pPr>
      <w:bookmarkStart w:id="860" w:name="_Toc497584158"/>
      <w:bookmarkStart w:id="861" w:name="_Toc489280305"/>
      <w:bookmarkStart w:id="862" w:name="_Toc486580499"/>
      <w:bookmarkStart w:id="863" w:name="_Toc497214167"/>
      <w:bookmarkStart w:id="864" w:name="_Toc10235768"/>
      <w:r>
        <w:rPr>
          <w:rFonts w:ascii="宋体" w:hAnsi="宋体"/>
          <w:kern w:val="0"/>
          <w:sz w:val="24"/>
          <w:szCs w:val="20"/>
        </w:rPr>
        <w:t xml:space="preserve">14.2  </w:t>
      </w:r>
      <w:r>
        <w:rPr>
          <w:rFonts w:hint="eastAsia" w:ascii="宋体" w:hAnsi="宋体"/>
          <w:kern w:val="0"/>
          <w:sz w:val="24"/>
          <w:szCs w:val="20"/>
        </w:rPr>
        <w:t>其他约定</w:t>
      </w:r>
      <w:bookmarkEnd w:id="860"/>
      <w:bookmarkEnd w:id="861"/>
      <w:bookmarkEnd w:id="862"/>
      <w:bookmarkEnd w:id="863"/>
      <w:bookmarkEnd w:id="864"/>
    </w:p>
    <w:p>
      <w:pPr>
        <w:spacing w:line="360" w:lineRule="auto"/>
        <w:rPr>
          <w:rFonts w:ascii="宋体" w:cs="Arial"/>
          <w:sz w:val="24"/>
        </w:rPr>
      </w:pPr>
      <w:r>
        <w:rPr>
          <w:rFonts w:hint="eastAsia" w:ascii="宋体" w:hAnsi="宋体" w:cs="Arial"/>
          <w:sz w:val="24"/>
        </w:rPr>
        <w:t>其他约定内容：</w:t>
      </w:r>
      <w:r>
        <w:rPr>
          <w:rFonts w:ascii="宋体" w:hAnsi="宋体"/>
          <w:sz w:val="24"/>
          <w:u w:val="single"/>
        </w:rPr>
        <w:t xml:space="preserve">     </w:t>
      </w:r>
      <w:r>
        <w:rPr>
          <w:rFonts w:hint="eastAsia" w:ascii="宋体" w:hAnsi="宋体"/>
          <w:sz w:val="24"/>
          <w:u w:val="single"/>
        </w:rPr>
        <w:t>/</w:t>
      </w:r>
      <w:r>
        <w:rPr>
          <w:rFonts w:ascii="宋体" w:hAnsi="宋体"/>
          <w:sz w:val="24"/>
          <w:u w:val="single"/>
        </w:rPr>
        <w:t xml:space="preserve">                 </w:t>
      </w:r>
    </w:p>
    <w:p>
      <w:pPr>
        <w:keepNext/>
        <w:keepLines/>
        <w:spacing w:before="156" w:beforeLines="50" w:after="156" w:afterLines="50" w:line="360" w:lineRule="auto"/>
        <w:outlineLvl w:val="1"/>
        <w:rPr>
          <w:rFonts w:ascii="宋体" w:hAnsi="宋体" w:cs="宋体"/>
          <w:sz w:val="28"/>
          <w:szCs w:val="20"/>
        </w:rPr>
      </w:pPr>
      <w:bookmarkStart w:id="865" w:name="_Toc490331759"/>
      <w:bookmarkStart w:id="866" w:name="_Toc497214168"/>
      <w:bookmarkStart w:id="867" w:name="_Toc486580500"/>
      <w:bookmarkStart w:id="868" w:name="_Toc497584159"/>
      <w:bookmarkStart w:id="869" w:name="_Toc10235769"/>
      <w:bookmarkStart w:id="870" w:name="_Toc489280306"/>
      <w:r>
        <w:rPr>
          <w:rFonts w:ascii="宋体" w:hAnsi="宋体" w:cs="宋体"/>
          <w:sz w:val="28"/>
          <w:szCs w:val="20"/>
        </w:rPr>
        <w:t>15.</w:t>
      </w:r>
      <w:r>
        <w:rPr>
          <w:rFonts w:hint="eastAsia" w:ascii="宋体" w:hAnsi="宋体" w:cs="宋体"/>
          <w:sz w:val="28"/>
          <w:szCs w:val="20"/>
        </w:rPr>
        <w:t>竣工验收和工程移交</w:t>
      </w:r>
      <w:bookmarkEnd w:id="865"/>
      <w:bookmarkEnd w:id="866"/>
      <w:bookmarkEnd w:id="867"/>
      <w:bookmarkEnd w:id="868"/>
      <w:bookmarkEnd w:id="869"/>
      <w:bookmarkEnd w:id="870"/>
    </w:p>
    <w:p>
      <w:pPr>
        <w:keepNext/>
        <w:keepLines/>
        <w:spacing w:before="156" w:beforeLines="50" w:after="156" w:afterLines="50" w:line="360" w:lineRule="auto"/>
        <w:outlineLvl w:val="2"/>
        <w:rPr>
          <w:rFonts w:ascii="宋体" w:hAnsi="宋体"/>
          <w:kern w:val="0"/>
          <w:sz w:val="24"/>
        </w:rPr>
      </w:pPr>
      <w:bookmarkStart w:id="871" w:name="_Toc489280307"/>
      <w:bookmarkStart w:id="872" w:name="_Toc486580501"/>
      <w:bookmarkStart w:id="873" w:name="_Toc10235770"/>
      <w:bookmarkStart w:id="874" w:name="_Toc497584160"/>
      <w:bookmarkStart w:id="875" w:name="_Toc497214169"/>
      <w:r>
        <w:rPr>
          <w:rFonts w:hint="eastAsia" w:ascii="宋体" w:hAnsi="宋体"/>
          <w:kern w:val="0"/>
          <w:sz w:val="24"/>
        </w:rPr>
        <w:t>15.1 竣工验收前的清理</w:t>
      </w:r>
    </w:p>
    <w:p>
      <w:pPr>
        <w:widowControl/>
        <w:ind w:firstLine="480" w:firstLineChars="200"/>
        <w:jc w:val="left"/>
        <w:rPr>
          <w:rFonts w:ascii="宋体" w:hAnsi="宋体" w:cs="宋体"/>
          <w:color w:val="000000"/>
          <w:kern w:val="0"/>
          <w:sz w:val="24"/>
          <w:u w:val="single"/>
          <w:lang w:bidi="ar"/>
        </w:rPr>
      </w:pPr>
      <w:r>
        <w:rPr>
          <w:rFonts w:hint="eastAsia" w:ascii="宋体" w:hAnsi="宋体" w:cs="宋体"/>
          <w:color w:val="000000"/>
          <w:kern w:val="0"/>
          <w:sz w:val="24"/>
          <w:u w:val="single"/>
          <w:lang w:bidi="ar"/>
        </w:rPr>
        <w:t xml:space="preserve">从施工场地（现场）清除所有杂物和垃圾等  </w:t>
      </w:r>
    </w:p>
    <w:p>
      <w:pPr>
        <w:keepNext/>
        <w:keepLines/>
        <w:spacing w:before="156" w:beforeLines="50" w:after="156" w:afterLines="50" w:line="360" w:lineRule="auto"/>
        <w:outlineLvl w:val="2"/>
        <w:rPr>
          <w:rFonts w:ascii="宋体" w:hAnsi="宋体"/>
          <w:kern w:val="0"/>
          <w:sz w:val="24"/>
        </w:rPr>
      </w:pPr>
      <w:r>
        <w:rPr>
          <w:rFonts w:hint="eastAsia" w:ascii="宋体" w:hAnsi="宋体"/>
          <w:kern w:val="0"/>
          <w:sz w:val="24"/>
        </w:rPr>
        <w:t>15.2 竣工验收申请报告</w:t>
      </w:r>
      <w:bookmarkEnd w:id="871"/>
      <w:bookmarkEnd w:id="872"/>
      <w:bookmarkEnd w:id="873"/>
      <w:bookmarkEnd w:id="874"/>
      <w:bookmarkEnd w:id="875"/>
    </w:p>
    <w:p>
      <w:pPr>
        <w:keepNext/>
        <w:keepLines/>
        <w:spacing w:before="156" w:beforeLines="50" w:after="156" w:afterLines="50" w:line="360" w:lineRule="auto"/>
        <w:outlineLvl w:val="2"/>
        <w:rPr>
          <w:rFonts w:ascii="宋体" w:hAnsi="宋体"/>
          <w:kern w:val="0"/>
          <w:sz w:val="24"/>
        </w:rPr>
      </w:pPr>
      <w:r>
        <w:rPr>
          <w:rFonts w:ascii="宋体" w:hAnsi="宋体"/>
          <w:kern w:val="0"/>
          <w:sz w:val="24"/>
        </w:rPr>
        <w:t>15.3 竣工清场</w:t>
      </w:r>
    </w:p>
    <w:p>
      <w:pPr>
        <w:pStyle w:val="19"/>
        <w:ind w:left="109" w:leftChars="52" w:firstLine="484" w:firstLineChars="202"/>
        <w:rPr>
          <w:sz w:val="24"/>
        </w:rPr>
      </w:pPr>
      <w:r>
        <w:rPr>
          <w:rFonts w:hint="eastAsia" w:ascii="宋体" w:hAnsi="宋体" w:cs="宋体"/>
          <w:color w:val="000000"/>
          <w:kern w:val="0"/>
          <w:sz w:val="24"/>
          <w:u w:val="single"/>
          <w:lang w:bidi="ar"/>
        </w:rPr>
        <w:t>撤离所有承包人施工设备和剩余材料。</w:t>
      </w:r>
    </w:p>
    <w:p>
      <w:pPr>
        <w:keepNext/>
        <w:keepLines/>
        <w:spacing w:before="156" w:beforeLines="50" w:after="156" w:afterLines="50" w:line="360" w:lineRule="auto"/>
        <w:ind w:left="3360" w:hanging="3360" w:hangingChars="1200"/>
        <w:outlineLvl w:val="1"/>
        <w:rPr>
          <w:rFonts w:hint="eastAsia" w:ascii="宋体" w:hAnsi="宋体" w:eastAsia="宋体" w:cs="宋体"/>
          <w:sz w:val="28"/>
          <w:szCs w:val="20"/>
          <w:lang w:eastAsia="zh-CN"/>
        </w:rPr>
      </w:pPr>
      <w:r>
        <w:rPr>
          <w:rFonts w:ascii="宋体" w:hAnsi="宋体" w:cs="宋体"/>
          <w:sz w:val="28"/>
          <w:szCs w:val="20"/>
        </w:rPr>
        <w:t>16.</w:t>
      </w:r>
      <w:r>
        <w:rPr>
          <w:rFonts w:hint="eastAsia" w:ascii="宋体" w:hAnsi="宋体" w:cs="宋体"/>
          <w:sz w:val="28"/>
          <w:szCs w:val="20"/>
        </w:rPr>
        <w:t>需要补充的其他要求</w:t>
      </w:r>
      <w:r>
        <w:rPr>
          <w:rFonts w:hint="eastAsia" w:ascii="宋体" w:hAnsi="宋体" w:cs="宋体"/>
          <w:sz w:val="28"/>
          <w:szCs w:val="20"/>
          <w:lang w:eastAsia="zh-CN"/>
        </w:rPr>
        <w:t>：因学校场所的特殊性，施工单位必须保证能同时进行多个校区同时施工。并保证14个校区在2024年9月1日前完工。</w:t>
      </w:r>
    </w:p>
    <w:p>
      <w:pPr>
        <w:widowControl/>
        <w:jc w:val="both"/>
        <w:outlineLvl w:val="0"/>
        <w:rPr>
          <w:rFonts w:eastAsiaTheme="minorEastAsia"/>
          <w:b/>
          <w:color w:val="000000" w:themeColor="text1"/>
          <w:sz w:val="36"/>
          <w:szCs w:val="36"/>
          <w14:textFill>
            <w14:solidFill>
              <w14:schemeClr w14:val="tx1"/>
            </w14:solidFill>
          </w14:textFill>
        </w:rPr>
      </w:pPr>
    </w:p>
    <w:p>
      <w:pPr>
        <w:widowControl/>
        <w:jc w:val="both"/>
        <w:outlineLvl w:val="0"/>
        <w:rPr>
          <w:rFonts w:eastAsiaTheme="minorEastAsia"/>
          <w:b/>
          <w:color w:val="000000" w:themeColor="text1"/>
          <w:sz w:val="36"/>
          <w:szCs w:val="36"/>
          <w14:textFill>
            <w14:solidFill>
              <w14:schemeClr w14:val="tx1"/>
            </w14:solidFill>
          </w14:textFill>
        </w:rPr>
      </w:pPr>
    </w:p>
    <w:p>
      <w:pPr>
        <w:widowControl/>
        <w:jc w:val="both"/>
        <w:outlineLvl w:val="0"/>
        <w:rPr>
          <w:rFonts w:eastAsiaTheme="minorEastAsia"/>
          <w:b/>
          <w:color w:val="000000" w:themeColor="text1"/>
          <w:sz w:val="36"/>
          <w:szCs w:val="36"/>
          <w14:textFill>
            <w14:solidFill>
              <w14:schemeClr w14:val="tx1"/>
            </w14:solidFill>
          </w14:textFill>
        </w:rPr>
      </w:pPr>
    </w:p>
    <w:p>
      <w:pPr>
        <w:widowControl/>
        <w:jc w:val="both"/>
        <w:outlineLvl w:val="0"/>
        <w:rPr>
          <w:rFonts w:eastAsiaTheme="minorEastAsia"/>
          <w:b/>
          <w:color w:val="000000" w:themeColor="text1"/>
          <w:sz w:val="36"/>
          <w:szCs w:val="36"/>
          <w14:textFill>
            <w14:solidFill>
              <w14:schemeClr w14:val="tx1"/>
            </w14:solidFill>
          </w14:textFill>
        </w:rPr>
      </w:pPr>
    </w:p>
    <w:p>
      <w:pPr>
        <w:widowControl/>
        <w:jc w:val="both"/>
        <w:outlineLvl w:val="0"/>
        <w:rPr>
          <w:rFonts w:eastAsiaTheme="minorEastAsia"/>
          <w:b/>
          <w:color w:val="000000" w:themeColor="text1"/>
          <w:sz w:val="36"/>
          <w:szCs w:val="36"/>
          <w14:textFill>
            <w14:solidFill>
              <w14:schemeClr w14:val="tx1"/>
            </w14:solidFill>
          </w14:textFill>
        </w:rPr>
      </w:pPr>
    </w:p>
    <w:p>
      <w:pPr>
        <w:widowControl/>
        <w:ind w:firstLine="2891" w:firstLineChars="800"/>
        <w:jc w:val="both"/>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 xml:space="preserve"> </w:t>
      </w:r>
      <w:r>
        <w:rPr>
          <w:rFonts w:hint="eastAsia" w:eastAsiaTheme="minorEastAsia"/>
          <w:b/>
          <w:color w:val="000000" w:themeColor="text1"/>
          <w:sz w:val="36"/>
          <w:szCs w:val="36"/>
          <w14:textFill>
            <w14:solidFill>
              <w14:schemeClr w14:val="tx1"/>
            </w14:solidFill>
          </w14:textFill>
        </w:rPr>
        <w:t>第五章 工程量清单</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一、工程概况</w:t>
      </w:r>
    </w:p>
    <w:p>
      <w:pPr>
        <w:pStyle w:val="38"/>
        <w:spacing w:beforeAutospacing="0" w:afterAutospacing="0" w:line="360" w:lineRule="auto"/>
        <w:ind w:firstLine="480" w:firstLineChars="200"/>
        <w:jc w:val="both"/>
        <w:rPr>
          <w:rFonts w:hint="eastAsia" w:eastAsia="宋体"/>
          <w:sz w:val="24"/>
          <w:szCs w:val="24"/>
          <w:lang w:eastAsia="zh-CN"/>
        </w:rPr>
      </w:pPr>
      <w:r>
        <w:rPr>
          <w:rFonts w:hint="eastAsia"/>
          <w:sz w:val="24"/>
          <w:szCs w:val="24"/>
        </w:rPr>
        <w:t>1.工程名称：</w:t>
      </w:r>
      <w:r>
        <w:rPr>
          <w:rFonts w:hint="eastAsia"/>
          <w:sz w:val="24"/>
          <w:szCs w:val="24"/>
          <w:lang w:eastAsia="zh-CN"/>
        </w:rPr>
        <w:t>西城区地震应急避难场所项目</w:t>
      </w:r>
    </w:p>
    <w:p>
      <w:pPr>
        <w:pStyle w:val="38"/>
        <w:spacing w:beforeAutospacing="0" w:afterAutospacing="0" w:line="480" w:lineRule="auto"/>
        <w:ind w:firstLine="480" w:firstLineChars="200"/>
        <w:jc w:val="both"/>
        <w:rPr>
          <w:sz w:val="24"/>
          <w:szCs w:val="24"/>
        </w:rPr>
      </w:pPr>
      <w:r>
        <w:rPr>
          <w:rFonts w:hint="eastAsia"/>
          <w:sz w:val="24"/>
          <w:szCs w:val="24"/>
        </w:rPr>
        <w:t>2.本工程建于北京市西城区。</w:t>
      </w:r>
    </w:p>
    <w:p>
      <w:pPr>
        <w:pStyle w:val="38"/>
        <w:spacing w:beforeAutospacing="0" w:afterAutospacing="0" w:line="480" w:lineRule="auto"/>
        <w:ind w:firstLine="480" w:firstLineChars="200"/>
        <w:jc w:val="both"/>
        <w:rPr>
          <w:sz w:val="24"/>
          <w:szCs w:val="24"/>
        </w:rPr>
      </w:pPr>
      <w:r>
        <w:rPr>
          <w:rFonts w:hint="eastAsia"/>
          <w:sz w:val="24"/>
          <w:szCs w:val="24"/>
        </w:rPr>
        <w:t>3. 主要内容:</w:t>
      </w:r>
    </w:p>
    <w:p>
      <w:pPr>
        <w:pStyle w:val="38"/>
        <w:spacing w:beforeAutospacing="0" w:afterAutospacing="0" w:line="480" w:lineRule="auto"/>
        <w:ind w:firstLine="480" w:firstLineChars="200"/>
        <w:jc w:val="both"/>
        <w:rPr>
          <w:sz w:val="24"/>
          <w:szCs w:val="24"/>
        </w:rPr>
      </w:pPr>
      <w:r>
        <w:rPr>
          <w:rFonts w:hint="eastAsia"/>
          <w:sz w:val="24"/>
          <w:szCs w:val="24"/>
        </w:rPr>
        <w:t>A.</w:t>
      </w:r>
      <w:r>
        <w:rPr>
          <w:rFonts w:hint="eastAsia"/>
          <w:sz w:val="24"/>
          <w:szCs w:val="24"/>
          <w:lang w:val="en-US" w:eastAsia="zh-CN"/>
        </w:rPr>
        <w:t>应急</w:t>
      </w:r>
      <w:r>
        <w:rPr>
          <w:rFonts w:hint="eastAsia"/>
          <w:sz w:val="24"/>
          <w:szCs w:val="24"/>
        </w:rPr>
        <w:t>标志标牌新做；</w:t>
      </w:r>
    </w:p>
    <w:p>
      <w:pPr>
        <w:pStyle w:val="38"/>
        <w:spacing w:beforeAutospacing="0" w:afterAutospacing="0" w:line="480" w:lineRule="auto"/>
        <w:ind w:firstLine="480" w:firstLineChars="200"/>
        <w:jc w:val="both"/>
        <w:rPr>
          <w:sz w:val="24"/>
          <w:szCs w:val="24"/>
        </w:rPr>
      </w:pPr>
      <w:r>
        <w:rPr>
          <w:rFonts w:hint="eastAsia"/>
          <w:sz w:val="24"/>
          <w:szCs w:val="24"/>
        </w:rPr>
        <w:t>B.应急配电箱(柜)、盘制作、安装；</w:t>
      </w:r>
    </w:p>
    <w:p>
      <w:pPr>
        <w:pStyle w:val="38"/>
        <w:spacing w:beforeAutospacing="0" w:afterAutospacing="0" w:line="480" w:lineRule="auto"/>
        <w:ind w:firstLine="480" w:firstLineChars="200"/>
        <w:jc w:val="both"/>
        <w:rPr>
          <w:sz w:val="24"/>
          <w:szCs w:val="24"/>
        </w:rPr>
      </w:pPr>
      <w:r>
        <w:rPr>
          <w:rFonts w:hint="eastAsia"/>
          <w:sz w:val="24"/>
          <w:szCs w:val="24"/>
        </w:rPr>
        <w:t>C.包含但不限于以上工作，完成全部设计范围涉及的新做、拆除及消纳工作的费用均需包含在报价内；</w:t>
      </w:r>
    </w:p>
    <w:p>
      <w:pPr>
        <w:pStyle w:val="38"/>
        <w:spacing w:beforeAutospacing="0" w:afterAutospacing="0" w:line="480" w:lineRule="auto"/>
        <w:ind w:firstLine="480" w:firstLineChars="200"/>
        <w:jc w:val="both"/>
        <w:rPr>
          <w:sz w:val="24"/>
          <w:szCs w:val="24"/>
        </w:rPr>
      </w:pPr>
      <w:r>
        <w:rPr>
          <w:rFonts w:hint="eastAsia"/>
          <w:sz w:val="24"/>
          <w:szCs w:val="24"/>
        </w:rPr>
        <w:t>二、编制范围</w:t>
      </w:r>
    </w:p>
    <w:p>
      <w:pPr>
        <w:widowControl/>
        <w:spacing w:line="480" w:lineRule="auto"/>
        <w:ind w:firstLine="480" w:firstLineChars="200"/>
        <w:jc w:val="left"/>
        <w:rPr>
          <w:rFonts w:hint="default" w:ascii="宋体" w:hAnsi="宋体" w:eastAsia="宋体" w:cs="宋体"/>
          <w:sz w:val="24"/>
          <w:szCs w:val="24"/>
          <w:lang w:val="en-US" w:eastAsia="zh-CN"/>
        </w:rPr>
      </w:pPr>
      <w:r>
        <w:rPr>
          <w:rFonts w:hint="eastAsia" w:ascii="宋体" w:hAnsi="宋体" w:cs="宋体"/>
          <w:sz w:val="24"/>
          <w:szCs w:val="24"/>
        </w:rPr>
        <w:t>1.本项目范围包括</w:t>
      </w:r>
      <w:r>
        <w:rPr>
          <w:rFonts w:hint="eastAsia" w:ascii="宋体" w:hAnsi="宋体" w:cs="宋体"/>
          <w:sz w:val="24"/>
          <w:szCs w:val="24"/>
          <w:lang w:val="en-US" w:eastAsia="zh-CN"/>
        </w:rPr>
        <w:t>但不限于</w:t>
      </w:r>
      <w:r>
        <w:rPr>
          <w:rFonts w:hint="eastAsia"/>
          <w:sz w:val="24"/>
          <w:szCs w:val="24"/>
          <w:lang w:val="en-US" w:eastAsia="zh-CN"/>
        </w:rPr>
        <w:t>应急</w:t>
      </w:r>
      <w:r>
        <w:rPr>
          <w:rFonts w:hint="eastAsia"/>
          <w:sz w:val="24"/>
          <w:szCs w:val="24"/>
        </w:rPr>
        <w:t>标志标牌新做</w:t>
      </w:r>
      <w:r>
        <w:rPr>
          <w:rFonts w:hint="eastAsia"/>
          <w:sz w:val="24"/>
          <w:szCs w:val="24"/>
          <w:lang w:eastAsia="zh-CN"/>
        </w:rPr>
        <w:t>、</w:t>
      </w:r>
      <w:r>
        <w:rPr>
          <w:rFonts w:hint="eastAsia"/>
          <w:sz w:val="24"/>
          <w:szCs w:val="24"/>
        </w:rPr>
        <w:t>应急配电箱(柜)、盘制作、安装</w:t>
      </w:r>
      <w:r>
        <w:rPr>
          <w:rFonts w:hint="eastAsia"/>
          <w:sz w:val="24"/>
          <w:szCs w:val="24"/>
          <w:lang w:val="en-US" w:eastAsia="zh-CN"/>
        </w:rPr>
        <w:t>等工作。</w:t>
      </w:r>
    </w:p>
    <w:p>
      <w:pPr>
        <w:widowControl/>
        <w:spacing w:line="480" w:lineRule="auto"/>
        <w:ind w:firstLine="480" w:firstLineChars="200"/>
        <w:jc w:val="left"/>
        <w:rPr>
          <w:rFonts w:ascii="宋体" w:hAnsi="宋体" w:cs="宋体"/>
          <w:sz w:val="24"/>
          <w:szCs w:val="24"/>
        </w:rPr>
      </w:pPr>
      <w:r>
        <w:rPr>
          <w:rFonts w:hint="eastAsia" w:ascii="宋体" w:hAnsi="宋体" w:cs="宋体"/>
          <w:sz w:val="24"/>
          <w:szCs w:val="24"/>
        </w:rPr>
        <w:t>三、编制依据</w:t>
      </w:r>
    </w:p>
    <w:p>
      <w:pPr>
        <w:pStyle w:val="38"/>
        <w:spacing w:beforeAutospacing="0" w:afterAutospacing="0" w:line="480" w:lineRule="auto"/>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1.设计图纸</w:t>
      </w:r>
      <w:r>
        <w:rPr>
          <w:rFonts w:hint="eastAsia" w:asciiTheme="minorEastAsia" w:hAnsiTheme="minorEastAsia" w:cstheme="minorEastAsia"/>
          <w:sz w:val="24"/>
          <w:szCs w:val="24"/>
        </w:rPr>
        <w:t>及答疑</w:t>
      </w:r>
      <w:r>
        <w:rPr>
          <w:rFonts w:hint="eastAsia" w:asciiTheme="minorEastAsia" w:hAnsiTheme="minorEastAsia" w:eastAsiaTheme="minorEastAsia" w:cstheme="minorEastAsia"/>
          <w:sz w:val="24"/>
          <w:szCs w:val="24"/>
        </w:rPr>
        <w:t>；</w:t>
      </w:r>
    </w:p>
    <w:p>
      <w:pPr>
        <w:pStyle w:val="38"/>
        <w:spacing w:beforeAutospacing="0" w:afterAutospacing="0" w:line="480" w:lineRule="auto"/>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rPr>
        <w:t>工程量清单项目计量规范</w:t>
      </w:r>
      <w:r>
        <w:rPr>
          <w:rFonts w:hint="eastAsia" w:asciiTheme="minorEastAsia" w:hAnsiTheme="minorEastAsia" w:eastAsiaTheme="minorEastAsia" w:cstheme="minorEastAsia"/>
          <w:sz w:val="24"/>
          <w:szCs w:val="24"/>
        </w:rPr>
        <w:t>(201</w:t>
      </w:r>
      <w:r>
        <w:rPr>
          <w:rFonts w:hint="eastAsia" w:asciiTheme="minorEastAsia" w:hAnsiTheme="minorEastAsia" w:cstheme="minorEastAsia"/>
          <w:sz w:val="24"/>
          <w:szCs w:val="24"/>
        </w:rPr>
        <w:t>3</w:t>
      </w:r>
      <w:r>
        <w:rPr>
          <w:rFonts w:hint="eastAsia" w:asciiTheme="minorEastAsia" w:hAnsiTheme="minorEastAsia" w:eastAsiaTheme="minorEastAsia" w:cstheme="minorEastAsia"/>
          <w:sz w:val="24"/>
          <w:szCs w:val="24"/>
        </w:rPr>
        <w:t>-北京)</w:t>
      </w:r>
      <w:r>
        <w:rPr>
          <w:rFonts w:hint="eastAsia" w:asciiTheme="minorEastAsia" w:hAnsiTheme="minorEastAsia" w:cstheme="minorEastAsia"/>
          <w:sz w:val="24"/>
          <w:szCs w:val="24"/>
        </w:rPr>
        <w:t>；</w:t>
      </w:r>
    </w:p>
    <w:p>
      <w:pPr>
        <w:widowControl/>
        <w:spacing w:line="480" w:lineRule="auto"/>
        <w:ind w:firstLine="480" w:firstLineChars="200"/>
        <w:jc w:val="left"/>
        <w:rPr>
          <w:rFonts w:ascii="宋体" w:hAnsi="宋体" w:cs="宋体"/>
          <w:sz w:val="24"/>
          <w:szCs w:val="24"/>
        </w:rPr>
      </w:pPr>
      <w:r>
        <w:rPr>
          <w:rFonts w:hint="eastAsia" w:ascii="宋体" w:hAnsi="宋体" w:cs="宋体"/>
          <w:sz w:val="24"/>
          <w:szCs w:val="24"/>
        </w:rPr>
        <w:t>3.施工现场情况、工程特点及常规施工方案等；</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四、需说明问题</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1.清单项目特征中描述规格尺寸的，未标注的单位以mm计；</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 xml:space="preserve">2.项目清单特征描述为项目所需主要内容，实施应包含但不限于描述内容，为完成该清单项的全部工作内容。对特征描述有异议需在竞争性磋商答疑过程中提出，以采购人复核后的清单进行报价，不支持以清单描述不全引起的费用变更；   </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 xml:space="preserve">3.供应商需自行踏勘确定材料堆放、垃圾堆放、加工场地等事项，因施工对场地造成的影响需进行恢复（如对绿地、小品、场坪、设备、设施等造成损坏）。以上费用不单独列项，包含在报价中； </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4.施工过程中需要对施工区域内及周边的场地和设备、设施做好防护和保护，如有损伤需自行修复至原状，以上费用不单独列项，包含在报价中；因施工原因引起的扰民或民扰由供应商自行解决，费用不单独列项，包含在报价内；</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5.施工水电需供应商按要求挂表计量，所报水电费与表读数如有差异，供应商自负盈亏；</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6.供应商必须严格按照北京市疫情防护要求管理，防疫费用包含在报价内，如因管理不善发生疫情传播，采购人有权追索造成的直接损失和对采购人造成的间接损失；</w:t>
      </w:r>
    </w:p>
    <w:p>
      <w:pPr>
        <w:snapToGrid w:val="0"/>
        <w:spacing w:line="480" w:lineRule="auto"/>
        <w:ind w:left="420"/>
        <w:rPr>
          <w:rFonts w:ascii="宋体" w:hAnsi="宋体" w:cs="宋体"/>
          <w:sz w:val="24"/>
          <w:szCs w:val="24"/>
        </w:rPr>
      </w:pPr>
      <w:r>
        <w:rPr>
          <w:rFonts w:hint="eastAsia" w:ascii="宋体" w:hAnsi="宋体" w:cs="宋体"/>
          <w:sz w:val="24"/>
          <w:szCs w:val="24"/>
        </w:rPr>
        <w:t xml:space="preserve">（另附清单） </w:t>
      </w:r>
    </w:p>
    <w:p>
      <w:pPr>
        <w:snapToGrid w:val="0"/>
        <w:spacing w:line="480" w:lineRule="auto"/>
        <w:ind w:firstLine="480" w:firstLineChars="200"/>
        <w:rPr>
          <w:rFonts w:ascii="宋体" w:hAnsi="宋体" w:cs="宋体"/>
          <w:sz w:val="24"/>
        </w:rPr>
      </w:pPr>
      <w:r>
        <w:rPr>
          <w:rFonts w:hint="eastAsia" w:ascii="宋体" w:hAnsi="宋体" w:cs="宋体"/>
          <w:sz w:val="24"/>
        </w:rPr>
        <w:t xml:space="preserve"> </w:t>
      </w:r>
    </w:p>
    <w:p>
      <w:pPr>
        <w:pStyle w:val="19"/>
        <w:ind w:left="840" w:hanging="420"/>
      </w:pPr>
    </w:p>
    <w:p>
      <w:pPr>
        <w:rPr>
          <w:rFonts w:eastAsiaTheme="minorEastAsia"/>
          <w:b/>
          <w:color w:val="000000" w:themeColor="text1"/>
          <w:sz w:val="36"/>
          <w:szCs w:val="36"/>
          <w14:textFill>
            <w14:solidFill>
              <w14:schemeClr w14:val="tx1"/>
            </w14:solidFill>
          </w14:textFill>
        </w:rPr>
      </w:pPr>
      <w:bookmarkStart w:id="876" w:name="_Toc97371946"/>
      <w:r>
        <w:rPr>
          <w:rFonts w:eastAsiaTheme="minorEastAsia"/>
          <w:b/>
          <w:color w:val="000000" w:themeColor="text1"/>
          <w:sz w:val="36"/>
          <w:szCs w:val="36"/>
          <w14:textFill>
            <w14:solidFill>
              <w14:schemeClr w14:val="tx1"/>
            </w14:solidFill>
          </w14:textFill>
        </w:rPr>
        <w:br w:type="page"/>
      </w:r>
    </w:p>
    <w:p>
      <w:pPr>
        <w:spacing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第五章   合同草案条款</w:t>
      </w:r>
      <w:bookmarkEnd w:id="876"/>
    </w:p>
    <w:p>
      <w:pPr>
        <w:tabs>
          <w:tab w:val="left" w:pos="900"/>
          <w:tab w:val="left" w:pos="1080"/>
        </w:tabs>
        <w:snapToGrid w:val="0"/>
        <w:spacing w:line="360" w:lineRule="auto"/>
        <w:rPr>
          <w:rFonts w:eastAsiaTheme="minorEastAsia"/>
          <w:color w:val="000000" w:themeColor="text1"/>
          <w:kern w:val="0"/>
          <w:sz w:val="18"/>
          <w:szCs w:val="18"/>
          <w14:textFill>
            <w14:solidFill>
              <w14:schemeClr w14:val="tx1"/>
            </w14:solidFill>
          </w14:textFill>
        </w:rPr>
      </w:pPr>
    </w:p>
    <w:p>
      <w:pPr>
        <w:adjustRightInd w:val="0"/>
        <w:snapToGrid w:val="0"/>
        <w:spacing w:line="360" w:lineRule="auto"/>
        <w:jc w:val="center"/>
        <w:rPr>
          <w:rFonts w:ascii="宋体"/>
          <w:b/>
          <w:bCs/>
          <w:sz w:val="72"/>
          <w:szCs w:val="72"/>
        </w:rPr>
      </w:pPr>
      <w:bookmarkStart w:id="877" w:name="_Toc486580453"/>
      <w:bookmarkStart w:id="878" w:name="_Toc497584112"/>
      <w:bookmarkStart w:id="879" w:name="_Toc485323227"/>
      <w:bookmarkStart w:id="880" w:name="_Toc10235721"/>
      <w:bookmarkStart w:id="881" w:name="_Toc489280259"/>
      <w:bookmarkStart w:id="882" w:name="_Toc497214121"/>
      <w:bookmarkStart w:id="883" w:name="_Toc497235273"/>
      <w:bookmarkStart w:id="884" w:name="_Toc486580041"/>
      <w:bookmarkStart w:id="885" w:name="_Toc490222486"/>
    </w:p>
    <w:p>
      <w:pPr>
        <w:adjustRightInd w:val="0"/>
        <w:snapToGrid w:val="0"/>
        <w:spacing w:line="360" w:lineRule="auto"/>
        <w:jc w:val="center"/>
        <w:rPr>
          <w:rFonts w:ascii="宋体"/>
          <w:b/>
          <w:bCs/>
          <w:sz w:val="72"/>
          <w:szCs w:val="72"/>
        </w:rPr>
      </w:pPr>
    </w:p>
    <w:p>
      <w:pPr>
        <w:adjustRightInd w:val="0"/>
        <w:snapToGrid w:val="0"/>
        <w:spacing w:line="360" w:lineRule="auto"/>
        <w:jc w:val="center"/>
        <w:rPr>
          <w:rFonts w:ascii="宋体"/>
          <w:b/>
          <w:bCs/>
          <w:sz w:val="48"/>
          <w:szCs w:val="48"/>
        </w:rPr>
      </w:pPr>
      <w:r>
        <w:rPr>
          <w:rFonts w:hint="eastAsia" w:ascii="宋体"/>
          <w:b/>
          <w:bCs/>
          <w:sz w:val="48"/>
          <w:szCs w:val="48"/>
        </w:rPr>
        <w:t>北京市建设工程施工合同</w:t>
      </w:r>
    </w:p>
    <w:p>
      <w:pPr>
        <w:adjustRightInd w:val="0"/>
        <w:snapToGrid w:val="0"/>
        <w:spacing w:line="480" w:lineRule="auto"/>
        <w:rPr>
          <w:rFonts w:ascii="宋体"/>
          <w:b/>
          <w:bCs/>
          <w:sz w:val="28"/>
          <w:szCs w:val="28"/>
        </w:rPr>
      </w:pPr>
    </w:p>
    <w:p>
      <w:pPr>
        <w:adjustRightInd w:val="0"/>
        <w:snapToGrid w:val="0"/>
        <w:spacing w:line="480" w:lineRule="auto"/>
        <w:rPr>
          <w:rFonts w:ascii="宋体"/>
          <w:b/>
          <w:bCs/>
          <w:sz w:val="28"/>
          <w:szCs w:val="28"/>
        </w:rPr>
      </w:pPr>
    </w:p>
    <w:p>
      <w:pPr>
        <w:adjustRightInd w:val="0"/>
        <w:snapToGrid w:val="0"/>
        <w:spacing w:line="480" w:lineRule="auto"/>
        <w:rPr>
          <w:rFonts w:ascii="宋体"/>
          <w:b/>
          <w:bCs/>
          <w:sz w:val="28"/>
          <w:szCs w:val="28"/>
        </w:rPr>
      </w:pPr>
    </w:p>
    <w:p>
      <w:pPr>
        <w:adjustRightInd w:val="0"/>
        <w:snapToGrid w:val="0"/>
        <w:spacing w:line="480" w:lineRule="auto"/>
        <w:rPr>
          <w:rFonts w:ascii="宋体"/>
          <w:sz w:val="30"/>
          <w:szCs w:val="30"/>
          <w:u w:val="single"/>
        </w:rPr>
      </w:pPr>
      <w:r>
        <w:rPr>
          <w:rFonts w:hint="eastAsia" w:ascii="宋体"/>
          <w:sz w:val="30"/>
          <w:szCs w:val="30"/>
        </w:rPr>
        <w:t>项目名称：</w:t>
      </w:r>
      <w:r>
        <w:rPr>
          <w:rFonts w:hint="eastAsia" w:ascii="宋体"/>
          <w:sz w:val="30"/>
          <w:szCs w:val="30"/>
          <w:u w:val="single"/>
          <w:lang w:eastAsia="zh-CN"/>
        </w:rPr>
        <w:t>西城区地震应急避难场所项目</w:t>
      </w:r>
      <w:r>
        <w:rPr>
          <w:rFonts w:hint="eastAsia" w:ascii="宋体"/>
          <w:sz w:val="30"/>
          <w:szCs w:val="30"/>
          <w:u w:val="single"/>
        </w:rPr>
        <w:t xml:space="preserve"> </w:t>
      </w:r>
    </w:p>
    <w:p>
      <w:pPr>
        <w:adjustRightInd w:val="0"/>
        <w:snapToGrid w:val="0"/>
        <w:spacing w:line="480" w:lineRule="auto"/>
        <w:rPr>
          <w:rFonts w:ascii="宋体"/>
          <w:sz w:val="30"/>
          <w:szCs w:val="30"/>
          <w:u w:val="single"/>
        </w:rPr>
      </w:pPr>
      <w:r>
        <w:rPr>
          <w:rFonts w:hint="eastAsia" w:ascii="宋体"/>
          <w:sz w:val="30"/>
          <w:szCs w:val="30"/>
        </w:rPr>
        <w:t>发包方（甲方）：</w:t>
      </w:r>
      <w:r>
        <w:rPr>
          <w:rFonts w:hint="eastAsia" w:ascii="宋体"/>
          <w:sz w:val="30"/>
          <w:szCs w:val="30"/>
          <w:u w:val="single"/>
        </w:rPr>
        <w:t xml:space="preserve">北京市西城区应急管理局       </w:t>
      </w:r>
    </w:p>
    <w:p>
      <w:pPr>
        <w:adjustRightInd w:val="0"/>
        <w:snapToGrid w:val="0"/>
        <w:spacing w:line="480" w:lineRule="auto"/>
        <w:rPr>
          <w:rFonts w:ascii="宋体"/>
          <w:sz w:val="30"/>
          <w:szCs w:val="30"/>
          <w:u w:val="single"/>
        </w:rPr>
      </w:pPr>
      <w:r>
        <w:rPr>
          <w:rFonts w:hint="eastAsia" w:ascii="宋体"/>
          <w:sz w:val="30"/>
          <w:szCs w:val="30"/>
        </w:rPr>
        <w:t>承包方（乙方）：</w:t>
      </w:r>
      <w:r>
        <w:rPr>
          <w:rFonts w:hint="eastAsia" w:ascii="宋体"/>
          <w:sz w:val="30"/>
          <w:szCs w:val="30"/>
          <w:u w:val="single"/>
        </w:rPr>
        <w:t xml:space="preserve">                                   </w:t>
      </w:r>
    </w:p>
    <w:p>
      <w:pPr>
        <w:adjustRightInd w:val="0"/>
        <w:snapToGrid w:val="0"/>
        <w:spacing w:line="480" w:lineRule="auto"/>
        <w:rPr>
          <w:rFonts w:ascii="宋体"/>
          <w:sz w:val="30"/>
          <w:szCs w:val="30"/>
          <w:u w:val="single"/>
        </w:rPr>
      </w:pPr>
      <w:r>
        <w:rPr>
          <w:rFonts w:hint="eastAsia" w:ascii="宋体"/>
          <w:sz w:val="30"/>
          <w:szCs w:val="30"/>
        </w:rPr>
        <w:t>合同签订日期：</w:t>
      </w:r>
      <w:r>
        <w:rPr>
          <w:rFonts w:hint="eastAsia" w:ascii="宋体"/>
          <w:sz w:val="30"/>
          <w:szCs w:val="30"/>
          <w:u w:val="single"/>
        </w:rPr>
        <w:t xml:space="preserve">                                    </w:t>
      </w:r>
    </w:p>
    <w:p>
      <w:pPr>
        <w:adjustRightInd w:val="0"/>
        <w:snapToGrid w:val="0"/>
        <w:spacing w:line="360" w:lineRule="auto"/>
        <w:rPr>
          <w:rFonts w:ascii="宋体"/>
          <w:sz w:val="24"/>
        </w:rPr>
        <w:sectPr>
          <w:pgSz w:w="11906" w:h="16838"/>
          <w:pgMar w:top="1440" w:right="1440" w:bottom="1440" w:left="1440" w:header="851" w:footer="992" w:gutter="0"/>
          <w:cols w:space="720" w:num="1"/>
          <w:docGrid w:type="lines" w:linePitch="312" w:charSpace="0"/>
        </w:sectPr>
      </w:pPr>
    </w:p>
    <w:bookmarkEnd w:id="877"/>
    <w:bookmarkEnd w:id="878"/>
    <w:bookmarkEnd w:id="879"/>
    <w:bookmarkEnd w:id="880"/>
    <w:bookmarkEnd w:id="881"/>
    <w:bookmarkEnd w:id="882"/>
    <w:p>
      <w:pPr>
        <w:keepNext/>
        <w:keepLines/>
        <w:spacing w:before="120" w:beforeLines="50" w:after="120" w:afterLines="50" w:line="360" w:lineRule="auto"/>
        <w:outlineLvl w:val="1"/>
        <w:rPr>
          <w:rFonts w:ascii="宋体" w:hAnsi="宋体"/>
          <w:kern w:val="0"/>
          <w:sz w:val="24"/>
          <w:szCs w:val="20"/>
        </w:rPr>
      </w:pPr>
    </w:p>
    <w:p>
      <w:pPr>
        <w:spacing w:line="360" w:lineRule="auto"/>
        <w:jc w:val="center"/>
        <w:rPr>
          <w:rFonts w:ascii="宋体"/>
          <w:b/>
          <w:sz w:val="28"/>
          <w:szCs w:val="28"/>
        </w:rPr>
      </w:pPr>
      <w:r>
        <w:rPr>
          <w:rFonts w:hint="eastAsia" w:ascii="宋体" w:hAnsi="宋体"/>
          <w:b/>
          <w:sz w:val="28"/>
          <w:szCs w:val="28"/>
        </w:rPr>
        <w:t>第一部分 合同协议书</w:t>
      </w:r>
    </w:p>
    <w:p>
      <w:pPr>
        <w:spacing w:line="360" w:lineRule="auto"/>
        <w:rPr>
          <w:rFonts w:ascii="宋体"/>
          <w:szCs w:val="21"/>
        </w:rPr>
      </w:pPr>
      <w:r>
        <w:rPr>
          <w:rFonts w:ascii="宋体" w:hAnsi="宋体"/>
          <w:szCs w:val="21"/>
        </w:rPr>
        <w:t xml:space="preserve">                                                    </w:t>
      </w:r>
      <w:r>
        <w:rPr>
          <w:rFonts w:hint="eastAsia" w:ascii="宋体" w:hAnsi="宋体"/>
          <w:szCs w:val="21"/>
        </w:rPr>
        <w:t>编号：</w:t>
      </w:r>
      <w:r>
        <w:rPr>
          <w:rFonts w:ascii="宋体" w:hAnsi="宋体"/>
          <w:szCs w:val="21"/>
          <w:u w:val="single"/>
        </w:rPr>
        <w:t xml:space="preserve">                   </w:t>
      </w:r>
    </w:p>
    <w:p>
      <w:pPr>
        <w:spacing w:line="360" w:lineRule="auto"/>
        <w:rPr>
          <w:rFonts w:ascii="宋体" w:cs="Arial"/>
          <w:szCs w:val="21"/>
        </w:rPr>
      </w:pPr>
      <w:r>
        <w:rPr>
          <w:rFonts w:hint="eastAsia" w:ascii="宋体" w:hAnsi="宋体" w:cs="Arial"/>
          <w:szCs w:val="21"/>
        </w:rPr>
        <w:t>发包人（全称）：</w:t>
      </w:r>
      <w:r>
        <w:rPr>
          <w:rFonts w:ascii="宋体" w:hAnsi="宋体" w:cs="Arial"/>
          <w:szCs w:val="21"/>
          <w:u w:val="single"/>
        </w:rPr>
        <w:t xml:space="preserve">  </w:t>
      </w:r>
      <w:r>
        <w:rPr>
          <w:rFonts w:hint="eastAsia" w:ascii="宋体" w:hAnsi="宋体" w:cs="Arial"/>
          <w:szCs w:val="21"/>
          <w:u w:val="single"/>
        </w:rPr>
        <w:t>北京市西城区应急管理局</w:t>
      </w:r>
      <w:r>
        <w:rPr>
          <w:rFonts w:ascii="宋体" w:hAnsi="宋体" w:cs="Arial"/>
          <w:szCs w:val="21"/>
          <w:u w:val="single"/>
        </w:rPr>
        <w:t xml:space="preserve">       </w:t>
      </w:r>
    </w:p>
    <w:p>
      <w:pPr>
        <w:spacing w:line="360" w:lineRule="auto"/>
        <w:rPr>
          <w:rFonts w:asci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pPr>
        <w:spacing w:line="360" w:lineRule="auto"/>
        <w:rPr>
          <w:rFonts w:ascii="宋体"/>
          <w:szCs w:val="21"/>
          <w:u w:val="single"/>
        </w:rPr>
      </w:pPr>
      <w:r>
        <w:rPr>
          <w:rFonts w:hint="eastAsia" w:ascii="宋体" w:hAnsi="宋体"/>
          <w:szCs w:val="21"/>
        </w:rPr>
        <w:t>法定注册地址：</w:t>
      </w:r>
      <w:r>
        <w:rPr>
          <w:rFonts w:ascii="宋体" w:hAnsi="宋体"/>
          <w:szCs w:val="21"/>
          <w:u w:val="single"/>
        </w:rPr>
        <w:t xml:space="preserve">                                                               </w:t>
      </w:r>
    </w:p>
    <w:p>
      <w:pPr>
        <w:spacing w:line="360" w:lineRule="auto"/>
        <w:rPr>
          <w:rFonts w:ascii="宋体"/>
          <w:szCs w:val="21"/>
        </w:rPr>
      </w:pPr>
      <w:r>
        <w:rPr>
          <w:rFonts w:hint="eastAsia" w:ascii="宋体" w:hAnsi="宋体"/>
          <w:szCs w:val="21"/>
        </w:rPr>
        <w:t>承包人（全称）：</w:t>
      </w:r>
      <w:r>
        <w:rPr>
          <w:rFonts w:ascii="宋体" w:hAnsi="宋体"/>
          <w:szCs w:val="21"/>
          <w:u w:val="single"/>
        </w:rPr>
        <w:t xml:space="preserve">  </w:t>
      </w:r>
      <w:r>
        <w:rPr>
          <w:rFonts w:hint="eastAsia" w:ascii="华文中宋" w:hAnsi="华文中宋" w:eastAsia="华文中宋" w:cs="Arial"/>
          <w:u w:val="single"/>
        </w:rPr>
        <w:t xml:space="preserve">              </w:t>
      </w:r>
      <w:r>
        <w:rPr>
          <w:rFonts w:ascii="宋体" w:hAnsi="宋体"/>
          <w:szCs w:val="21"/>
          <w:u w:val="single"/>
        </w:rPr>
        <w:t xml:space="preserve">                      </w:t>
      </w:r>
    </w:p>
    <w:p>
      <w:pPr>
        <w:spacing w:line="360" w:lineRule="auto"/>
        <w:rPr>
          <w:rFonts w:asci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pPr>
        <w:spacing w:line="360" w:lineRule="auto"/>
        <w:rPr>
          <w:rFonts w:ascii="宋体"/>
          <w:b/>
        </w:rPr>
      </w:pPr>
      <w:r>
        <w:rPr>
          <w:rFonts w:hint="eastAsia" w:ascii="宋体" w:hAnsi="宋体"/>
          <w:szCs w:val="21"/>
        </w:rPr>
        <w:t>法定注册地址</w:t>
      </w:r>
      <w:r>
        <w:rPr>
          <w:rFonts w:hint="eastAsia" w:ascii="宋体" w:hAnsi="宋体"/>
          <w:b/>
          <w:szCs w:val="21"/>
        </w:rPr>
        <w:t>：</w:t>
      </w:r>
      <w:r>
        <w:rPr>
          <w:rFonts w:ascii="宋体" w:hAnsi="宋体"/>
          <w:szCs w:val="21"/>
          <w:u w:val="single"/>
        </w:rPr>
        <w:t xml:space="preserve">                                                               </w:t>
      </w:r>
    </w:p>
    <w:p>
      <w:pPr>
        <w:spacing w:line="360" w:lineRule="auto"/>
        <w:ind w:firstLine="490"/>
        <w:rPr>
          <w:rFonts w:ascii="宋体"/>
        </w:rPr>
      </w:pPr>
    </w:p>
    <w:p>
      <w:pPr>
        <w:spacing w:line="360" w:lineRule="auto"/>
        <w:ind w:firstLine="420" w:firstLineChars="200"/>
        <w:rPr>
          <w:rFonts w:ascii="宋体"/>
        </w:rPr>
      </w:pPr>
      <w:r>
        <w:rPr>
          <w:rFonts w:hint="eastAsia" w:ascii="宋体" w:hAnsi="宋体"/>
          <w:szCs w:val="21"/>
        </w:rPr>
        <w:t>根据</w:t>
      </w:r>
      <w:r>
        <w:rPr>
          <w:rFonts w:hint="eastAsia" w:ascii="宋体" w:hAnsi="宋体"/>
        </w:rPr>
        <w:t>《中华人民共和国民法典》、《中华人民共和国建筑法》及其他有关法律、行政法规，遵循平等、自愿、公平和诚实信用的原则，双方就</w:t>
      </w:r>
      <w:r>
        <w:rPr>
          <w:rFonts w:hint="eastAsia" w:ascii="宋体" w:hAnsi="宋体"/>
          <w:u w:val="single"/>
          <w:lang w:val="en-US" w:eastAsia="zh-CN"/>
        </w:rPr>
        <w:t xml:space="preserve">        </w:t>
      </w:r>
      <w:r>
        <w:rPr>
          <w:rFonts w:hint="eastAsia" w:ascii="宋体" w:hAnsi="宋体"/>
        </w:rPr>
        <w:t>及有关事项协商一致，共同达成如下协议。</w:t>
      </w:r>
    </w:p>
    <w:p>
      <w:pPr>
        <w:spacing w:line="360" w:lineRule="auto"/>
        <w:ind w:firstLine="420" w:firstLineChars="200"/>
        <w:rPr>
          <w:rFonts w:ascii="宋体"/>
        </w:rPr>
      </w:pPr>
      <w:r>
        <w:rPr>
          <w:rFonts w:hint="eastAsia" w:ascii="宋体" w:hAnsi="宋体"/>
        </w:rPr>
        <w:t>一、工程概况</w:t>
      </w:r>
    </w:p>
    <w:p>
      <w:pPr>
        <w:spacing w:line="360" w:lineRule="auto"/>
        <w:ind w:firstLine="420" w:firstLineChars="200"/>
        <w:rPr>
          <w:rFonts w:ascii="宋体"/>
          <w:u w:val="single"/>
        </w:rPr>
      </w:pPr>
      <w:r>
        <w:rPr>
          <w:rFonts w:hint="eastAsia" w:ascii="宋体" w:hAnsi="宋体"/>
        </w:rPr>
        <w:t>工程名称：</w:t>
      </w:r>
      <w:r>
        <w:rPr>
          <w:rFonts w:ascii="宋体" w:hAnsi="宋体"/>
          <w:u w:val="single"/>
        </w:rPr>
        <w:t xml:space="preserve"> </w:t>
      </w:r>
      <w:r>
        <w:rPr>
          <w:rFonts w:hint="eastAsia" w:ascii="宋体" w:hAnsi="宋体"/>
          <w:u w:val="single"/>
          <w:lang w:eastAsia="zh-CN"/>
        </w:rPr>
        <w:t>西城区地震应急避难场所项目</w:t>
      </w:r>
      <w:r>
        <w:rPr>
          <w:rFonts w:ascii="宋体" w:hAnsi="宋体"/>
          <w:u w:val="single"/>
        </w:rPr>
        <w:t xml:space="preserve">          </w:t>
      </w:r>
    </w:p>
    <w:p>
      <w:pPr>
        <w:spacing w:line="360" w:lineRule="auto"/>
        <w:ind w:firstLine="420" w:firstLineChars="200"/>
        <w:rPr>
          <w:rFonts w:ascii="宋体" w:hAnsi="宋体"/>
          <w:u w:val="single"/>
        </w:rPr>
      </w:pPr>
      <w:r>
        <w:rPr>
          <w:rFonts w:hint="eastAsia" w:ascii="宋体" w:hAnsi="宋体"/>
        </w:rPr>
        <w:t>工程地点：</w:t>
      </w:r>
      <w:r>
        <w:rPr>
          <w:rFonts w:ascii="宋体" w:hAnsi="宋体"/>
          <w:u w:val="single"/>
        </w:rPr>
        <w:t xml:space="preserve">  </w:t>
      </w:r>
      <w:r>
        <w:rPr>
          <w:rFonts w:hint="eastAsia" w:ascii="宋体" w:hAnsi="宋体"/>
          <w:u w:val="single"/>
        </w:rPr>
        <w:t>包含12所学校14个校区和一处公园,北京教育学院附属中学操场、北京市第三十五中学、北京市第四十四中学、北京市第一六一中学分校、北京市铁路第二中学（北校区）、北京市铁路第二中学（南校区）、北京外事职业学校操场、北京小学天宁寺分校、北京小学天宁寺分校（东区）、第一实验小学（虎坊桥校区）、第一实验小学（广外校区）、三义里小学、五路通小学、中古友谊小学和广阳谷城市公园）</w:t>
      </w:r>
      <w:r>
        <w:rPr>
          <w:rFonts w:hint="eastAsia" w:ascii="宋体" w:hAnsi="宋体"/>
          <w:u w:val="single"/>
          <w:lang w:val="en-US" w:eastAsia="zh-CN"/>
        </w:rPr>
        <w:t>。</w:t>
      </w:r>
      <w:r>
        <w:rPr>
          <w:rFonts w:ascii="宋体" w:hAnsi="宋体"/>
          <w:u w:val="single"/>
        </w:rPr>
        <w:t xml:space="preserve">  </w:t>
      </w:r>
    </w:p>
    <w:p>
      <w:pPr>
        <w:spacing w:line="360" w:lineRule="auto"/>
        <w:ind w:firstLine="420" w:firstLineChars="200"/>
        <w:rPr>
          <w:rFonts w:ascii="宋体"/>
        </w:rPr>
      </w:pPr>
      <w:r>
        <w:rPr>
          <w:rFonts w:hint="eastAsia" w:ascii="宋体" w:hAnsi="宋体"/>
        </w:rPr>
        <w:t>工程内容：</w:t>
      </w:r>
      <w:r>
        <w:rPr>
          <w:rFonts w:ascii="宋体" w:hAnsi="宋体"/>
          <w:u w:val="single"/>
        </w:rPr>
        <w:t xml:space="preserve"> </w:t>
      </w:r>
      <w:r>
        <w:rPr>
          <w:rFonts w:hint="eastAsia" w:ascii="宋体" w:hAnsi="宋体"/>
          <w:u w:val="single"/>
        </w:rPr>
        <w:t>包含清单范围内的全部内容，包含但不限于</w:t>
      </w:r>
      <w:r>
        <w:rPr>
          <w:rFonts w:hint="eastAsia" w:ascii="宋体" w:hAnsi="宋体"/>
          <w:u w:val="single"/>
          <w:lang w:val="en-US" w:eastAsia="zh-CN"/>
        </w:rPr>
        <w:t>应急</w:t>
      </w:r>
      <w:r>
        <w:rPr>
          <w:rFonts w:hint="eastAsia" w:ascii="宋体" w:hAnsi="宋体"/>
          <w:u w:val="single"/>
        </w:rPr>
        <w:t>标志标牌新做</w:t>
      </w:r>
      <w:r>
        <w:rPr>
          <w:rFonts w:hint="eastAsia" w:ascii="宋体" w:hAnsi="宋体"/>
          <w:u w:val="single"/>
          <w:lang w:eastAsia="zh-CN"/>
        </w:rPr>
        <w:t>、</w:t>
      </w:r>
      <w:r>
        <w:rPr>
          <w:rFonts w:hint="eastAsia" w:ascii="宋体" w:hAnsi="宋体"/>
          <w:u w:val="single"/>
        </w:rPr>
        <w:t>应急配电箱(柜)、盘制作、安装</w:t>
      </w:r>
      <w:r>
        <w:rPr>
          <w:rFonts w:hint="eastAsia" w:ascii="宋体" w:hAnsi="宋体"/>
          <w:u w:val="single"/>
          <w:lang w:val="en-US" w:eastAsia="zh-CN"/>
        </w:rPr>
        <w:t>等工作。</w:t>
      </w:r>
      <w:r>
        <w:rPr>
          <w:rFonts w:hint="eastAsia" w:ascii="宋体" w:hAnsi="宋体"/>
          <w:u w:val="single"/>
        </w:rPr>
        <w:t xml:space="preserve">  </w:t>
      </w:r>
    </w:p>
    <w:p>
      <w:pPr>
        <w:spacing w:line="360" w:lineRule="auto"/>
        <w:ind w:firstLine="420" w:firstLineChars="200"/>
        <w:rPr>
          <w:rFonts w:ascii="宋体" w:hAnsi="宋体"/>
          <w:u w:val="single"/>
        </w:rPr>
      </w:pPr>
      <w:r>
        <w:rPr>
          <w:rFonts w:hint="eastAsia" w:ascii="宋体" w:hAnsi="宋体"/>
        </w:rPr>
        <w:t>资金来源：</w:t>
      </w:r>
      <w:r>
        <w:rPr>
          <w:rFonts w:ascii="宋体" w:hAnsi="宋体"/>
          <w:u w:val="single"/>
        </w:rPr>
        <w:t xml:space="preserve">   </w:t>
      </w:r>
      <w:r>
        <w:rPr>
          <w:rFonts w:hint="eastAsia" w:ascii="宋体" w:hAnsi="宋体"/>
          <w:u w:val="single"/>
          <w:lang w:val="en-US" w:eastAsia="zh-CN"/>
        </w:rPr>
        <w:t>财政资金</w:t>
      </w:r>
      <w:r>
        <w:rPr>
          <w:rFonts w:hint="eastAsia" w:ascii="宋体" w:hAnsi="宋体"/>
          <w:u w:val="single"/>
        </w:rPr>
        <w:t xml:space="preserve">             </w:t>
      </w:r>
    </w:p>
    <w:p>
      <w:pPr>
        <w:spacing w:line="360" w:lineRule="auto"/>
        <w:ind w:firstLine="420" w:firstLineChars="200"/>
        <w:rPr>
          <w:rFonts w:ascii="宋体"/>
        </w:rPr>
      </w:pPr>
      <w:r>
        <w:rPr>
          <w:rFonts w:hint="eastAsia" w:ascii="宋体" w:hAnsi="宋体"/>
        </w:rPr>
        <w:t>二、工程承包范围</w:t>
      </w:r>
    </w:p>
    <w:p>
      <w:pPr>
        <w:spacing w:line="360" w:lineRule="auto"/>
        <w:ind w:firstLine="420" w:firstLineChars="200"/>
        <w:rPr>
          <w:rFonts w:ascii="宋体"/>
        </w:rPr>
      </w:pPr>
      <w:r>
        <w:rPr>
          <w:rFonts w:hint="eastAsia" w:ascii="宋体" w:hAnsi="宋体"/>
        </w:rPr>
        <w:t>承包范围：本项目范围包括但不限于应急标志标牌新做、应急配电箱(柜)、盘制作、安装等工作。</w:t>
      </w:r>
    </w:p>
    <w:p>
      <w:pPr>
        <w:spacing w:line="360" w:lineRule="auto"/>
        <w:ind w:firstLine="420" w:firstLineChars="200"/>
        <w:rPr>
          <w:rFonts w:ascii="宋体"/>
          <w:b/>
          <w:u w:val="single"/>
        </w:rPr>
      </w:pPr>
      <w:r>
        <w:rPr>
          <w:rFonts w:hint="eastAsia" w:ascii="宋体" w:hAnsi="宋体"/>
        </w:rPr>
        <w:t>详细承包范围见第五章“工程量清单”。</w:t>
      </w:r>
    </w:p>
    <w:p>
      <w:pPr>
        <w:spacing w:line="360" w:lineRule="auto"/>
        <w:ind w:firstLine="420" w:firstLineChars="200"/>
        <w:rPr>
          <w:rFonts w:ascii="宋体"/>
        </w:rPr>
      </w:pPr>
      <w:r>
        <w:rPr>
          <w:rFonts w:hint="eastAsia" w:ascii="宋体" w:hAnsi="宋体"/>
        </w:rPr>
        <w:t>三、合同工期</w:t>
      </w:r>
    </w:p>
    <w:p>
      <w:pPr>
        <w:spacing w:line="360" w:lineRule="auto"/>
        <w:ind w:firstLine="420" w:firstLineChars="200"/>
        <w:rPr>
          <w:rFonts w:ascii="宋体"/>
          <w:u w:val="single"/>
        </w:rPr>
      </w:pPr>
      <w:r>
        <w:rPr>
          <w:rFonts w:hint="eastAsia" w:ascii="宋体" w:hAnsi="宋体"/>
        </w:rPr>
        <w:t>计划开工日期：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pPr>
        <w:spacing w:line="360" w:lineRule="auto"/>
        <w:ind w:firstLine="420" w:firstLineChars="200"/>
        <w:rPr>
          <w:rFonts w:ascii="宋体"/>
          <w:u w:val="single"/>
        </w:rPr>
      </w:pPr>
      <w:r>
        <w:rPr>
          <w:rFonts w:hint="eastAsia" w:ascii="宋体" w:hAnsi="宋体"/>
        </w:rPr>
        <w:t>计划竣工日期：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pPr>
        <w:spacing w:line="360" w:lineRule="auto"/>
        <w:ind w:firstLine="420" w:firstLineChars="200"/>
        <w:rPr>
          <w:rFonts w:ascii="宋体"/>
        </w:rPr>
      </w:pPr>
      <w:r>
        <w:rPr>
          <w:rFonts w:hint="eastAsia" w:ascii="宋体" w:hAnsi="宋体"/>
        </w:rPr>
        <w:t>工期总日历天数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天，自监理人发出的开工通知中载明的开工日期起算。</w:t>
      </w:r>
    </w:p>
    <w:p>
      <w:pPr>
        <w:spacing w:line="360" w:lineRule="auto"/>
        <w:ind w:firstLine="420" w:firstLineChars="200"/>
        <w:rPr>
          <w:rFonts w:ascii="宋体"/>
        </w:rPr>
      </w:pPr>
      <w:r>
        <w:rPr>
          <w:rFonts w:hint="eastAsia" w:ascii="宋体" w:hAnsi="宋体"/>
        </w:rPr>
        <w:t>四、质量标准</w:t>
      </w:r>
    </w:p>
    <w:p>
      <w:pPr>
        <w:spacing w:line="360" w:lineRule="auto"/>
        <w:ind w:firstLine="420" w:firstLineChars="200"/>
        <w:rPr>
          <w:rFonts w:ascii="宋体" w:hAnsi="宋体"/>
          <w:u w:val="single"/>
        </w:rPr>
      </w:pPr>
      <w:r>
        <w:rPr>
          <w:rFonts w:hint="eastAsia" w:ascii="宋体" w:hAnsi="宋体"/>
        </w:rPr>
        <w:t>工程质量标准：</w:t>
      </w:r>
      <w:r>
        <w:rPr>
          <w:rFonts w:ascii="宋体" w:hAnsi="宋体"/>
          <w:u w:val="single"/>
        </w:rPr>
        <w:t xml:space="preserve">   </w:t>
      </w:r>
      <w:r>
        <w:rPr>
          <w:rFonts w:hint="eastAsia" w:ascii="宋体" w:hAnsi="宋体"/>
          <w:u w:val="single"/>
        </w:rPr>
        <w:t>合格</w:t>
      </w:r>
      <w:r>
        <w:rPr>
          <w:rFonts w:ascii="宋体" w:hAnsi="宋体"/>
          <w:u w:val="single"/>
        </w:rPr>
        <w:t xml:space="preserve">     </w:t>
      </w:r>
    </w:p>
    <w:p>
      <w:pPr>
        <w:spacing w:line="360" w:lineRule="auto"/>
        <w:ind w:firstLine="420" w:firstLineChars="200"/>
        <w:rPr>
          <w:rFonts w:ascii="宋体" w:hAnsi="宋体"/>
        </w:rPr>
      </w:pPr>
      <w:bookmarkStart w:id="886" w:name="_Hlk8723675"/>
      <w:r>
        <w:rPr>
          <w:rFonts w:hint="eastAsia" w:ascii="宋体" w:hAnsi="宋体"/>
        </w:rPr>
        <w:t>五、施工现场安全生产标准化管理目标等级要求</w:t>
      </w:r>
    </w:p>
    <w:p>
      <w:pPr>
        <w:spacing w:line="360" w:lineRule="auto"/>
        <w:ind w:firstLine="420" w:firstLineChars="200"/>
        <w:rPr>
          <w:rFonts w:ascii="宋体" w:hAnsi="宋体"/>
          <w:u w:val="single"/>
        </w:rPr>
      </w:pPr>
      <w:r>
        <w:rPr>
          <w:rFonts w:hint="eastAsia" w:ascii="宋体" w:hAnsi="宋体"/>
        </w:rPr>
        <w:t>施工现场安全生产标准化管理目标等级：</w:t>
      </w:r>
      <w:r>
        <w:rPr>
          <w:rFonts w:ascii="宋体" w:hAnsi="宋体"/>
          <w:u w:val="single"/>
        </w:rPr>
        <w:t xml:space="preserve">  </w:t>
      </w:r>
      <w:r>
        <w:rPr>
          <w:rFonts w:hint="eastAsia" w:ascii="宋体" w:hAnsi="宋体" w:cs="Arial"/>
          <w:szCs w:val="21"/>
          <w:u w:val="single"/>
        </w:rPr>
        <w:t xml:space="preserve">达标     </w:t>
      </w:r>
      <w:r>
        <w:rPr>
          <w:rFonts w:ascii="宋体" w:hAnsi="宋体"/>
          <w:u w:val="single"/>
        </w:rPr>
        <w:t xml:space="preserve">      </w:t>
      </w:r>
      <w:bookmarkEnd w:id="886"/>
    </w:p>
    <w:p>
      <w:pPr>
        <w:spacing w:line="360" w:lineRule="auto"/>
        <w:ind w:firstLine="420" w:firstLineChars="200"/>
        <w:rPr>
          <w:rFonts w:ascii="宋体"/>
        </w:rPr>
      </w:pPr>
      <w:r>
        <w:rPr>
          <w:rFonts w:hint="eastAsia" w:ascii="宋体" w:hAnsi="宋体"/>
        </w:rPr>
        <w:t>六、合同形式</w:t>
      </w:r>
    </w:p>
    <w:p>
      <w:pPr>
        <w:spacing w:line="360" w:lineRule="auto"/>
        <w:ind w:firstLine="420" w:firstLineChars="200"/>
        <w:rPr>
          <w:rFonts w:ascii="宋体"/>
          <w:b/>
          <w:u w:val="single"/>
        </w:rPr>
      </w:pPr>
      <w:r>
        <w:rPr>
          <w:rFonts w:hint="eastAsia" w:ascii="宋体" w:hAnsi="宋体"/>
        </w:rPr>
        <w:t>本合同采用</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u w:val="single"/>
        </w:rPr>
        <w:t>固定单价合同</w:t>
      </w:r>
      <w:r>
        <w:rPr>
          <w:rFonts w:ascii="宋体" w:hAnsi="宋体"/>
          <w:highlight w:val="none"/>
          <w:u w:val="single"/>
        </w:rPr>
        <w:t xml:space="preserve">    </w:t>
      </w:r>
      <w:r>
        <w:rPr>
          <w:rFonts w:ascii="宋体" w:hAnsi="宋体"/>
          <w:u w:val="single"/>
        </w:rPr>
        <w:t xml:space="preserve"> </w:t>
      </w:r>
      <w:r>
        <w:rPr>
          <w:rFonts w:hint="eastAsia" w:ascii="宋体" w:hAnsi="宋体"/>
        </w:rPr>
        <w:t>合同形式。</w:t>
      </w:r>
    </w:p>
    <w:p>
      <w:pPr>
        <w:spacing w:line="360" w:lineRule="auto"/>
        <w:ind w:firstLine="420" w:firstLineChars="200"/>
        <w:rPr>
          <w:rFonts w:ascii="宋体"/>
          <w:bCs/>
        </w:rPr>
      </w:pPr>
      <w:r>
        <w:rPr>
          <w:rFonts w:hint="eastAsia" w:ascii="宋体" w:hAnsi="宋体"/>
          <w:bCs/>
        </w:rPr>
        <w:t>七、签约合同价</w:t>
      </w:r>
    </w:p>
    <w:p>
      <w:pPr>
        <w:spacing w:line="360" w:lineRule="auto"/>
        <w:ind w:firstLine="420" w:firstLineChars="200"/>
        <w:rPr>
          <w:rFonts w:ascii="宋体"/>
        </w:rPr>
      </w:pPr>
      <w:r>
        <w:rPr>
          <w:rFonts w:hint="eastAsia" w:ascii="宋体" w:hAnsi="宋体"/>
        </w:rPr>
        <w:t>金额（大写）：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（人民币）</w:t>
      </w:r>
    </w:p>
    <w:p>
      <w:pPr>
        <w:spacing w:line="360" w:lineRule="auto"/>
        <w:ind w:firstLine="420" w:firstLineChars="200"/>
        <w:rPr>
          <w:rFonts w:ascii="宋体"/>
        </w:rPr>
      </w:pPr>
      <w:r>
        <w:rPr>
          <w:rFonts w:hint="eastAsia" w:ascii="宋体" w:hAnsi="宋体"/>
        </w:rPr>
        <w:t>（小写）￥：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spacing w:line="360" w:lineRule="auto"/>
        <w:ind w:firstLine="630" w:firstLineChars="300"/>
        <w:rPr>
          <w:rFonts w:ascii="宋体" w:hAnsi="宋体"/>
        </w:rPr>
      </w:pPr>
      <w:r>
        <w:rPr>
          <w:rFonts w:hint="eastAsia" w:ascii="宋体" w:hAnsi="宋体"/>
        </w:rPr>
        <w:t>其中：安全文明施工费</w:t>
      </w:r>
      <w:bookmarkStart w:id="887" w:name="_Hlk8292053"/>
      <w:r>
        <w:rPr>
          <w:rFonts w:hint="eastAsia" w:ascii="宋体" w:hAnsi="宋体"/>
        </w:rPr>
        <w:t>（含税）：</w:t>
      </w:r>
      <w:r>
        <w:rPr>
          <w:rFonts w:ascii="宋体" w:hAnsi="宋体"/>
          <w:u w:val="single"/>
        </w:rPr>
        <w:t xml:space="preserve">   </w:t>
      </w:r>
      <w:r>
        <w:rPr>
          <w:rFonts w:hint="eastAsia" w:ascii="华文中宋" w:hAnsi="华文中宋" w:eastAsia="华文中宋" w:cs="Arial"/>
          <w:szCs w:val="21"/>
          <w:u w:val="single"/>
        </w:rPr>
        <w:t xml:space="preserve"> </w:t>
      </w:r>
      <w:r>
        <w:rPr>
          <w:rFonts w:ascii="华文中宋" w:hAnsi="华文中宋" w:eastAsia="华文中宋" w:cs="Arial"/>
          <w:szCs w:val="21"/>
          <w:u w:val="single"/>
        </w:rPr>
        <w:t xml:space="preserve"> </w:t>
      </w:r>
      <w:r>
        <w:rPr>
          <w:rFonts w:ascii="宋体" w:hAnsi="宋体"/>
          <w:u w:val="single"/>
        </w:rPr>
        <w:t xml:space="preserve">            </w:t>
      </w:r>
      <w:r>
        <w:rPr>
          <w:rFonts w:hint="eastAsia" w:ascii="宋体" w:hAnsi="宋体"/>
        </w:rPr>
        <w:t>元</w:t>
      </w:r>
      <w:bookmarkEnd w:id="887"/>
    </w:p>
    <w:p>
      <w:pPr>
        <w:wordWrap w:val="0"/>
        <w:spacing w:line="360" w:lineRule="auto"/>
        <w:ind w:left="1260" w:leftChars="600"/>
        <w:rPr>
          <w:rFonts w:ascii="宋体"/>
        </w:rPr>
      </w:pPr>
      <w:r>
        <w:rPr>
          <w:rFonts w:hint="eastAsia" w:ascii="宋体" w:hAnsi="宋体"/>
        </w:rPr>
        <w:t>建筑垃圾运输处置费（含税）：</w:t>
      </w:r>
      <w:r>
        <w:rPr>
          <w:rFonts w:ascii="宋体" w:hAnsi="宋体"/>
          <w:u w:val="single"/>
        </w:rPr>
        <w:t xml:space="preserve">   </w:t>
      </w:r>
      <w:r>
        <w:rPr>
          <w:rFonts w:hint="eastAsia" w:ascii="华文中宋" w:hAnsi="华文中宋" w:eastAsia="华文中宋" w:cs="Arial"/>
          <w:szCs w:val="21"/>
          <w:u w:val="single"/>
        </w:rPr>
        <w:t xml:space="preserve"> </w:t>
      </w:r>
      <w:r>
        <w:rPr>
          <w:rFonts w:ascii="宋体" w:hAnsi="宋体"/>
          <w:u w:val="single"/>
        </w:rPr>
        <w:t xml:space="preserve">          </w:t>
      </w:r>
      <w:r>
        <w:rPr>
          <w:rFonts w:hint="eastAsia" w:ascii="宋体" w:hAnsi="宋体"/>
        </w:rPr>
        <w:t>元</w:t>
      </w:r>
    </w:p>
    <w:p>
      <w:pPr>
        <w:spacing w:line="360" w:lineRule="auto"/>
        <w:ind w:firstLine="1260" w:firstLineChars="600"/>
        <w:rPr>
          <w:rFonts w:ascii="宋体"/>
        </w:rPr>
      </w:pPr>
      <w:r>
        <w:rPr>
          <w:rFonts w:hint="eastAsia" w:ascii="宋体" w:hAnsi="宋体"/>
        </w:rPr>
        <w:t>暂列金额（</w:t>
      </w:r>
      <w:r>
        <w:rPr>
          <w:rFonts w:hint="eastAsia" w:ascii="宋体" w:hAnsi="宋体"/>
          <w:szCs w:val="21"/>
        </w:rPr>
        <w:t>含税</w:t>
      </w:r>
      <w:r>
        <w:rPr>
          <w:rFonts w:hint="eastAsia" w:ascii="宋体" w:hAnsi="宋体"/>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元</w:t>
      </w:r>
    </w:p>
    <w:p>
      <w:pPr>
        <w:spacing w:line="360" w:lineRule="auto"/>
        <w:ind w:firstLine="1260" w:firstLineChars="600"/>
        <w:jc w:val="left"/>
        <w:rPr>
          <w:rFonts w:ascii="宋体"/>
        </w:rPr>
      </w:pPr>
      <w:r>
        <w:rPr>
          <w:rFonts w:hint="eastAsia" w:ascii="宋体" w:hAnsi="宋体"/>
          <w:bCs/>
        </w:rPr>
        <w:t>专业工程暂估价</w:t>
      </w:r>
      <w:r>
        <w:rPr>
          <w:rFonts w:hint="eastAsia" w:ascii="宋体" w:hAnsi="宋体"/>
        </w:rPr>
        <w:t>（</w:t>
      </w:r>
      <w:r>
        <w:rPr>
          <w:rFonts w:hint="eastAsia" w:ascii="宋体" w:hAnsi="宋体"/>
          <w:szCs w:val="21"/>
        </w:rPr>
        <w:t>含税</w:t>
      </w:r>
      <w:r>
        <w:rPr>
          <w:rFonts w:hint="eastAsia" w:ascii="宋体" w:hAnsi="宋体"/>
        </w:rPr>
        <w:t>）</w:t>
      </w:r>
      <w:r>
        <w:rPr>
          <w:rFonts w:hint="eastAsia" w:ascii="宋体" w:hAnsi="宋体"/>
          <w:bCs/>
        </w:rPr>
        <w:t>：</w:t>
      </w:r>
      <w:r>
        <w:rPr>
          <w:rFonts w:ascii="宋体" w:hAnsi="宋体"/>
          <w:u w:val="single"/>
        </w:rPr>
        <w:t xml:space="preserve">      </w:t>
      </w:r>
      <w:r>
        <w:rPr>
          <w:rFonts w:ascii="宋体" w:hAnsi="宋体"/>
          <w:sz w:val="24"/>
          <w:u w:val="single"/>
        </w:rPr>
        <w:t xml:space="preserve"> </w:t>
      </w:r>
      <w:r>
        <w:rPr>
          <w:rFonts w:hint="eastAsia" w:ascii="宋体" w:hAnsi="宋体"/>
          <w:u w:val="single"/>
        </w:rPr>
        <w:t xml:space="preserve"> </w:t>
      </w:r>
      <w:r>
        <w:rPr>
          <w:rFonts w:ascii="宋体" w:hAnsi="宋体"/>
          <w:szCs w:val="21"/>
          <w:u w:val="single"/>
        </w:rPr>
        <w:t xml:space="preserve">      </w:t>
      </w:r>
      <w:r>
        <w:rPr>
          <w:rFonts w:ascii="宋体" w:hAnsi="宋体"/>
          <w:u w:val="single"/>
        </w:rPr>
        <w:t xml:space="preserve">       </w:t>
      </w:r>
      <w:r>
        <w:rPr>
          <w:rFonts w:hint="eastAsia" w:ascii="宋体" w:hAnsi="宋体"/>
        </w:rPr>
        <w:t>元</w:t>
      </w:r>
    </w:p>
    <w:p>
      <w:pPr>
        <w:spacing w:line="360" w:lineRule="auto"/>
        <w:ind w:firstLine="1274" w:firstLineChars="607"/>
        <w:rPr>
          <w:rFonts w:ascii="宋体"/>
          <w:b/>
        </w:rPr>
      </w:pPr>
      <w:r>
        <w:rPr>
          <w:rFonts w:hint="eastAsia" w:ascii="宋体"/>
        </w:rPr>
        <w:t>……</w:t>
      </w:r>
    </w:p>
    <w:p>
      <w:pPr>
        <w:spacing w:line="360" w:lineRule="auto"/>
        <w:ind w:firstLine="420" w:firstLineChars="200"/>
        <w:rPr>
          <w:rFonts w:ascii="宋体"/>
          <w:bCs/>
        </w:rPr>
      </w:pPr>
      <w:r>
        <w:rPr>
          <w:rFonts w:hint="eastAsia" w:ascii="宋体" w:hAnsi="宋体"/>
          <w:bCs/>
        </w:rPr>
        <w:t>八、承包人项目经理：</w:t>
      </w:r>
    </w:p>
    <w:p>
      <w:pPr>
        <w:spacing w:line="360" w:lineRule="auto"/>
        <w:ind w:firstLine="420" w:firstLineChars="200"/>
        <w:rPr>
          <w:rFonts w:ascii="宋体"/>
          <w:szCs w:val="21"/>
        </w:rPr>
      </w:pPr>
      <w:r>
        <w:rPr>
          <w:rFonts w:hint="eastAsia" w:ascii="宋体" w:hAnsi="宋体"/>
          <w:szCs w:val="21"/>
        </w:rPr>
        <w:t>姓名：</w:t>
      </w:r>
      <w:r>
        <w:rPr>
          <w:rFonts w:ascii="宋体" w:hAnsi="宋体"/>
          <w:szCs w:val="21"/>
          <w:u w:val="single"/>
        </w:rPr>
        <w:t xml:space="preserve">                          </w:t>
      </w:r>
      <w:r>
        <w:rPr>
          <w:rFonts w:ascii="宋体" w:hAnsi="宋体"/>
          <w:szCs w:val="21"/>
        </w:rPr>
        <w:t xml:space="preserve"> </w:t>
      </w:r>
      <w:r>
        <w:rPr>
          <w:rFonts w:hint="eastAsia" w:ascii="宋体" w:hAnsi="宋体"/>
          <w:szCs w:val="21"/>
        </w:rPr>
        <w:t>；</w:t>
      </w:r>
      <w:r>
        <w:rPr>
          <w:rFonts w:ascii="宋体" w:hAnsi="宋体"/>
          <w:szCs w:val="21"/>
        </w:rPr>
        <w:t xml:space="preserve">      </w:t>
      </w:r>
      <w:r>
        <w:rPr>
          <w:rFonts w:hint="eastAsia" w:ascii="宋体" w:hAnsi="宋体"/>
          <w:szCs w:val="21"/>
        </w:rPr>
        <w:t>职称：</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身份证号：</w:t>
      </w:r>
      <w:r>
        <w:rPr>
          <w:rFonts w:ascii="宋体" w:hAnsi="宋体"/>
          <w:szCs w:val="21"/>
          <w:u w:val="single"/>
        </w:rPr>
        <w:t xml:space="preserve">                       </w:t>
      </w:r>
      <w:r>
        <w:rPr>
          <w:rFonts w:hint="eastAsia" w:ascii="宋体" w:hAnsi="宋体"/>
          <w:szCs w:val="21"/>
        </w:rPr>
        <w:t>；</w:t>
      </w:r>
      <w:r>
        <w:rPr>
          <w:rFonts w:ascii="宋体" w:hAnsi="宋体"/>
          <w:szCs w:val="21"/>
        </w:rPr>
        <w:t xml:space="preserve">      </w:t>
      </w:r>
      <w:r>
        <w:rPr>
          <w:rFonts w:hint="eastAsia" w:ascii="宋体" w:hAnsi="宋体"/>
          <w:szCs w:val="21"/>
        </w:rPr>
        <w:t>建造师执业资格证书号：</w:t>
      </w:r>
      <w:r>
        <w:rPr>
          <w:rFonts w:ascii="宋体" w:hAnsi="宋体"/>
          <w:szCs w:val="21"/>
          <w:u w:val="single"/>
        </w:rPr>
        <w:t xml:space="preserve">            </w:t>
      </w:r>
      <w:r>
        <w:rPr>
          <w:rFonts w:ascii="宋体" w:hAnsi="宋体"/>
          <w:szCs w:val="21"/>
        </w:rPr>
        <w:t xml:space="preserve"> </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建造师注册证书号：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建造师执业印章号：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安全生产考核合格证书号：</w:t>
      </w:r>
      <w:r>
        <w:rPr>
          <w:rFonts w:ascii="宋体" w:hAnsi="宋体"/>
          <w:szCs w:val="21"/>
          <w:u w:val="single"/>
        </w:rPr>
        <w:t xml:space="preserve">                                                   </w:t>
      </w:r>
      <w:r>
        <w:rPr>
          <w:rFonts w:hint="eastAsia" w:ascii="宋体" w:hAnsi="宋体"/>
          <w:szCs w:val="21"/>
        </w:rPr>
        <w:t>。</w:t>
      </w:r>
    </w:p>
    <w:p>
      <w:pPr>
        <w:spacing w:line="360" w:lineRule="auto"/>
        <w:ind w:firstLine="420" w:firstLineChars="200"/>
        <w:rPr>
          <w:rFonts w:ascii="宋体"/>
        </w:rPr>
      </w:pPr>
      <w:r>
        <w:rPr>
          <w:rFonts w:hint="eastAsia" w:ascii="宋体" w:hAnsi="宋体"/>
        </w:rPr>
        <w:t>九、合同文件的组成</w:t>
      </w:r>
    </w:p>
    <w:p>
      <w:pPr>
        <w:spacing w:line="360" w:lineRule="auto"/>
        <w:ind w:firstLine="420" w:firstLineChars="200"/>
        <w:rPr>
          <w:rFonts w:ascii="宋体"/>
          <w:szCs w:val="21"/>
        </w:rPr>
      </w:pPr>
      <w:r>
        <w:rPr>
          <w:rFonts w:hint="eastAsia" w:ascii="宋体" w:hAnsi="宋体"/>
          <w:szCs w:val="21"/>
        </w:rPr>
        <w:t>下列文件共同构成合同文件：</w:t>
      </w:r>
    </w:p>
    <w:p>
      <w:pPr>
        <w:spacing w:line="360" w:lineRule="auto"/>
        <w:ind w:firstLine="420" w:firstLineChars="200"/>
        <w:rPr>
          <w:rFonts w:ascii="宋体"/>
        </w:rPr>
      </w:pPr>
      <w:r>
        <w:rPr>
          <w:rFonts w:ascii="宋体" w:hAnsi="宋体"/>
        </w:rPr>
        <w:t>1</w:t>
      </w:r>
      <w:r>
        <w:rPr>
          <w:rFonts w:hint="eastAsia" w:ascii="宋体" w:hAnsi="宋体"/>
        </w:rPr>
        <w:t>、本协议书；</w:t>
      </w:r>
    </w:p>
    <w:p>
      <w:pPr>
        <w:spacing w:line="360" w:lineRule="auto"/>
        <w:ind w:firstLine="420" w:firstLineChars="200"/>
        <w:rPr>
          <w:rFonts w:ascii="宋体"/>
        </w:rPr>
      </w:pPr>
      <w:r>
        <w:rPr>
          <w:rFonts w:ascii="宋体" w:hAnsi="宋体"/>
        </w:rPr>
        <w:t>2</w:t>
      </w:r>
      <w:r>
        <w:rPr>
          <w:rFonts w:hint="eastAsia" w:ascii="宋体" w:hAnsi="宋体"/>
        </w:rPr>
        <w:t>、成交通知书；</w:t>
      </w:r>
    </w:p>
    <w:p>
      <w:pPr>
        <w:spacing w:line="360" w:lineRule="auto"/>
        <w:ind w:firstLine="420" w:firstLineChars="200"/>
        <w:rPr>
          <w:rFonts w:ascii="宋体"/>
        </w:rPr>
      </w:pPr>
      <w:r>
        <w:rPr>
          <w:rFonts w:ascii="宋体" w:hAnsi="宋体"/>
        </w:rPr>
        <w:t>3</w:t>
      </w:r>
      <w:r>
        <w:rPr>
          <w:rFonts w:hint="eastAsia" w:ascii="宋体" w:hAnsi="宋体"/>
        </w:rPr>
        <w:t>、</w:t>
      </w:r>
      <w:r>
        <w:rPr>
          <w:rFonts w:hint="eastAsia" w:ascii="宋体" w:hAnsi="宋体"/>
          <w:szCs w:val="21"/>
          <w:lang w:eastAsia="zh-CN"/>
        </w:rPr>
        <w:t>响应书</w:t>
      </w:r>
      <w:r>
        <w:rPr>
          <w:rFonts w:hint="eastAsia" w:ascii="宋体" w:hAnsi="宋体"/>
        </w:rPr>
        <w:t>；</w:t>
      </w:r>
    </w:p>
    <w:p>
      <w:pPr>
        <w:spacing w:line="360" w:lineRule="auto"/>
        <w:ind w:firstLine="420" w:firstLineChars="200"/>
        <w:rPr>
          <w:rFonts w:ascii="宋体"/>
        </w:rPr>
      </w:pPr>
      <w:r>
        <w:rPr>
          <w:rFonts w:ascii="宋体" w:hAnsi="宋体"/>
        </w:rPr>
        <w:t>4</w:t>
      </w:r>
      <w:r>
        <w:rPr>
          <w:rFonts w:hint="eastAsia" w:ascii="宋体" w:hAnsi="宋体"/>
        </w:rPr>
        <w:t>、合同条款专用部分；</w:t>
      </w:r>
    </w:p>
    <w:p>
      <w:pPr>
        <w:spacing w:line="360" w:lineRule="auto"/>
        <w:ind w:firstLine="420" w:firstLineChars="200"/>
        <w:rPr>
          <w:rFonts w:ascii="宋体"/>
        </w:rPr>
      </w:pPr>
      <w:r>
        <w:rPr>
          <w:rFonts w:ascii="宋体" w:hAnsi="宋体"/>
        </w:rPr>
        <w:t>5</w:t>
      </w:r>
      <w:r>
        <w:rPr>
          <w:rFonts w:hint="eastAsia" w:ascii="宋体" w:hAnsi="宋体"/>
        </w:rPr>
        <w:t>、合同条款通用部分；</w:t>
      </w:r>
    </w:p>
    <w:p>
      <w:pPr>
        <w:spacing w:line="360" w:lineRule="auto"/>
        <w:ind w:firstLine="420" w:firstLineChars="200"/>
        <w:rPr>
          <w:rFonts w:ascii="宋体"/>
        </w:rPr>
      </w:pPr>
      <w:r>
        <w:rPr>
          <w:rFonts w:ascii="宋体" w:hAnsi="宋体"/>
        </w:rPr>
        <w:t>6</w:t>
      </w:r>
      <w:r>
        <w:rPr>
          <w:rFonts w:hint="eastAsia" w:ascii="宋体" w:hAnsi="宋体"/>
        </w:rPr>
        <w:t>、</w:t>
      </w:r>
      <w:r>
        <w:rPr>
          <w:rFonts w:hint="eastAsia" w:ascii="宋体" w:hAnsi="宋体"/>
          <w:szCs w:val="21"/>
        </w:rPr>
        <w:t>技术标准和要求；</w:t>
      </w:r>
    </w:p>
    <w:p>
      <w:pPr>
        <w:spacing w:line="360" w:lineRule="auto"/>
        <w:ind w:firstLine="420" w:firstLineChars="200"/>
        <w:rPr>
          <w:rFonts w:ascii="宋体"/>
        </w:rPr>
      </w:pPr>
      <w:r>
        <w:rPr>
          <w:rFonts w:ascii="宋体" w:hAnsi="宋体"/>
        </w:rPr>
        <w:t>7</w:t>
      </w:r>
      <w:r>
        <w:rPr>
          <w:rFonts w:hint="eastAsia" w:ascii="宋体" w:hAnsi="宋体"/>
        </w:rPr>
        <w:t>、图纸；</w:t>
      </w:r>
    </w:p>
    <w:p>
      <w:pPr>
        <w:spacing w:line="360" w:lineRule="auto"/>
        <w:ind w:firstLine="420" w:firstLineChars="200"/>
        <w:rPr>
          <w:rFonts w:ascii="宋体"/>
        </w:rPr>
      </w:pPr>
      <w:r>
        <w:rPr>
          <w:rFonts w:ascii="宋体" w:hAnsi="宋体"/>
        </w:rPr>
        <w:t>8</w:t>
      </w:r>
      <w:r>
        <w:rPr>
          <w:rFonts w:hint="eastAsia" w:ascii="宋体" w:hAnsi="宋体"/>
        </w:rPr>
        <w:t>、已标价工程量清单；</w:t>
      </w:r>
    </w:p>
    <w:p>
      <w:pPr>
        <w:spacing w:line="360" w:lineRule="auto"/>
        <w:ind w:firstLine="420" w:firstLineChars="200"/>
        <w:rPr>
          <w:rFonts w:ascii="宋体"/>
        </w:rPr>
      </w:pPr>
      <w:r>
        <w:rPr>
          <w:rFonts w:ascii="宋体" w:hAnsi="宋体"/>
        </w:rPr>
        <w:t>9</w:t>
      </w:r>
      <w:r>
        <w:rPr>
          <w:rFonts w:hint="eastAsia" w:ascii="宋体" w:hAnsi="宋体"/>
        </w:rPr>
        <w:t>、其他合同文件。</w:t>
      </w:r>
    </w:p>
    <w:p>
      <w:pPr>
        <w:spacing w:line="360" w:lineRule="auto"/>
        <w:ind w:firstLine="420" w:firstLineChars="200"/>
        <w:rPr>
          <w:rFonts w:ascii="宋体"/>
          <w:szCs w:val="21"/>
        </w:rPr>
      </w:pPr>
      <w:r>
        <w:rPr>
          <w:rFonts w:hint="eastAsia" w:ascii="宋体" w:hAnsi="宋体"/>
          <w:szCs w:val="21"/>
        </w:rPr>
        <w:t>上述文件互相补充和解释，如有不明确或不一致之处，以合同约定次序在先者为准。</w:t>
      </w:r>
    </w:p>
    <w:p>
      <w:pPr>
        <w:spacing w:line="360" w:lineRule="auto"/>
        <w:ind w:firstLine="420" w:firstLineChars="200"/>
        <w:rPr>
          <w:rFonts w:ascii="宋体"/>
        </w:rPr>
      </w:pPr>
      <w:r>
        <w:rPr>
          <w:rFonts w:hint="eastAsia" w:ascii="宋体" w:hAnsi="宋体"/>
        </w:rPr>
        <w:t>十、本协议书中有关词语定义与合同条款中的定义相同。</w:t>
      </w:r>
    </w:p>
    <w:p>
      <w:pPr>
        <w:spacing w:line="360" w:lineRule="auto"/>
        <w:ind w:firstLine="420" w:firstLineChars="200"/>
        <w:rPr>
          <w:rFonts w:ascii="宋体"/>
        </w:rPr>
      </w:pPr>
      <w:r>
        <w:rPr>
          <w:rFonts w:hint="eastAsia" w:ascii="宋体" w:hAnsi="宋体"/>
        </w:rPr>
        <w:t>十一、承包人承诺按照合同约定进行施工、竣工、交付并承担质量缺陷保修责任。</w:t>
      </w:r>
    </w:p>
    <w:p>
      <w:pPr>
        <w:spacing w:line="360" w:lineRule="auto"/>
        <w:ind w:firstLine="420" w:firstLineChars="200"/>
        <w:rPr>
          <w:rFonts w:ascii="宋体"/>
        </w:rPr>
      </w:pPr>
      <w:r>
        <w:rPr>
          <w:rFonts w:hint="eastAsia" w:ascii="宋体" w:hAnsi="宋体"/>
        </w:rPr>
        <w:t>十二、发包人承诺按照合同约定的条件、期限和方式向承包人支付合同价款。</w:t>
      </w:r>
    </w:p>
    <w:p>
      <w:pPr>
        <w:spacing w:line="360" w:lineRule="auto"/>
        <w:rPr>
          <w:rFonts w:ascii="宋体"/>
        </w:rPr>
      </w:pPr>
      <w:r>
        <w:rPr>
          <w:rFonts w:hint="eastAsia" w:ascii="宋体" w:hAnsi="宋体"/>
        </w:rPr>
        <w:t>十三、本协议书连同其他合同一式</w:t>
      </w:r>
      <w:r>
        <w:rPr>
          <w:rFonts w:hint="eastAsia" w:ascii="宋体" w:hAnsi="宋体"/>
          <w:u w:val="single"/>
          <w:lang w:val="en-US" w:eastAsia="zh-CN"/>
        </w:rPr>
        <w:t xml:space="preserve">       </w:t>
      </w:r>
      <w:r>
        <w:rPr>
          <w:rFonts w:hint="eastAsia" w:ascii="宋体" w:hAnsi="宋体"/>
        </w:rPr>
        <w:t>份，</w:t>
      </w:r>
      <w:r>
        <w:rPr>
          <w:rFonts w:hint="eastAsia" w:ascii="宋体" w:hAnsi="宋体"/>
          <w:lang w:val="en-US" w:eastAsia="zh-CN"/>
        </w:rPr>
        <w:t>甲</w:t>
      </w:r>
      <w:r>
        <w:rPr>
          <w:rFonts w:hint="eastAsia" w:ascii="宋体" w:hAnsi="宋体"/>
        </w:rPr>
        <w:t>方各执</w:t>
      </w:r>
      <w:r>
        <w:rPr>
          <w:rFonts w:hint="eastAsia" w:ascii="宋体" w:hAnsi="宋体"/>
          <w:u w:val="single"/>
          <w:lang w:val="en-US" w:eastAsia="zh-CN"/>
        </w:rPr>
        <w:t xml:space="preserve">    </w:t>
      </w:r>
      <w:r>
        <w:rPr>
          <w:rFonts w:hint="eastAsia" w:ascii="宋体" w:hAnsi="宋体"/>
        </w:rPr>
        <w:t>份</w:t>
      </w:r>
      <w:r>
        <w:rPr>
          <w:rFonts w:hint="eastAsia" w:ascii="宋体" w:hAnsi="宋体"/>
          <w:lang w:eastAsia="zh-CN"/>
        </w:rPr>
        <w:t>，</w:t>
      </w:r>
      <w:r>
        <w:rPr>
          <w:rFonts w:hint="eastAsia" w:ascii="宋体" w:hAnsi="宋体"/>
          <w:lang w:val="en-US" w:eastAsia="zh-CN"/>
        </w:rPr>
        <w:t>乙方执</w:t>
      </w:r>
      <w:r>
        <w:rPr>
          <w:rFonts w:hint="eastAsia" w:ascii="宋体" w:hAnsi="宋体"/>
          <w:u w:val="single"/>
          <w:lang w:val="en-US" w:eastAsia="zh-CN"/>
        </w:rPr>
        <w:t xml:space="preserve">    </w:t>
      </w:r>
      <w:r>
        <w:rPr>
          <w:rFonts w:hint="eastAsia" w:ascii="宋体" w:hAnsi="宋体"/>
          <w:lang w:val="en-US" w:eastAsia="zh-CN"/>
        </w:rPr>
        <w:t>份</w:t>
      </w:r>
      <w:r>
        <w:rPr>
          <w:rFonts w:hint="eastAsia" w:ascii="宋体" w:hAnsi="宋体"/>
        </w:rPr>
        <w:t>。</w:t>
      </w:r>
    </w:p>
    <w:p>
      <w:pPr>
        <w:spacing w:line="360" w:lineRule="auto"/>
        <w:ind w:firstLine="420" w:firstLineChars="200"/>
        <w:rPr>
          <w:rFonts w:ascii="宋体"/>
        </w:rPr>
      </w:pPr>
      <w:r>
        <w:rPr>
          <w:rFonts w:hint="eastAsia" w:ascii="宋体" w:hAnsi="宋体"/>
        </w:rPr>
        <w:t>十四、合同未尽事宜，双方另行签订补充协议，但不得背离本协议第九条所约定的合同文件的实质性内容。补充协议是合同文件的组成部分。</w:t>
      </w:r>
    </w:p>
    <w:p>
      <w:pPr>
        <w:spacing w:line="360" w:lineRule="auto"/>
        <w:rPr>
          <w:rFonts w:ascii="宋体"/>
          <w:szCs w:val="21"/>
          <w:u w:val="single"/>
        </w:rPr>
      </w:pPr>
    </w:p>
    <w:p>
      <w:pPr>
        <w:spacing w:line="360" w:lineRule="auto"/>
        <w:rPr>
          <w:rFonts w:ascii="宋体"/>
          <w:b/>
          <w:bCs/>
          <w:szCs w:val="21"/>
        </w:rPr>
      </w:pPr>
    </w:p>
    <w:p>
      <w:pPr>
        <w:spacing w:line="360" w:lineRule="auto"/>
        <w:rPr>
          <w:rFonts w:ascii="宋体"/>
          <w:szCs w:val="21"/>
        </w:rPr>
      </w:pPr>
      <w:r>
        <w:rPr>
          <w:rFonts w:hint="eastAsia" w:ascii="宋体" w:hAnsi="宋体"/>
          <w:bCs/>
          <w:szCs w:val="21"/>
        </w:rPr>
        <w:t>发包人：</w:t>
      </w:r>
      <w:r>
        <w:rPr>
          <w:rFonts w:ascii="宋体" w:hAnsi="宋体"/>
          <w:szCs w:val="21"/>
          <w:u w:val="single"/>
        </w:rPr>
        <w:t xml:space="preserve">                    </w:t>
      </w:r>
      <w:r>
        <w:rPr>
          <w:rFonts w:hint="eastAsia" w:ascii="宋体" w:hAnsi="宋体"/>
          <w:szCs w:val="21"/>
        </w:rPr>
        <w:t>（盖单位章）</w:t>
      </w:r>
      <w:r>
        <w:rPr>
          <w:rFonts w:ascii="宋体" w:hAnsi="宋体"/>
          <w:bCs/>
          <w:szCs w:val="21"/>
        </w:rPr>
        <w:t xml:space="preserve"> </w:t>
      </w:r>
      <w:r>
        <w:rPr>
          <w:rFonts w:hint="eastAsia" w:ascii="宋体" w:hAnsi="宋体"/>
          <w:bCs/>
          <w:szCs w:val="21"/>
        </w:rPr>
        <w:t>承包人：</w:t>
      </w:r>
      <w:r>
        <w:rPr>
          <w:rFonts w:ascii="宋体" w:hAnsi="宋体"/>
          <w:szCs w:val="21"/>
          <w:u w:val="single"/>
        </w:rPr>
        <w:t xml:space="preserve">                   </w:t>
      </w:r>
      <w:r>
        <w:rPr>
          <w:rFonts w:hint="eastAsia" w:ascii="宋体" w:hAnsi="宋体"/>
          <w:szCs w:val="21"/>
        </w:rPr>
        <w:t>（盖单位章）</w:t>
      </w:r>
    </w:p>
    <w:p>
      <w:pPr>
        <w:spacing w:line="360" w:lineRule="auto"/>
        <w:rPr>
          <w:rFonts w:ascii="宋体"/>
          <w:szCs w:val="21"/>
        </w:rPr>
      </w:pPr>
    </w:p>
    <w:p>
      <w:pPr>
        <w:spacing w:line="360" w:lineRule="auto"/>
        <w:rPr>
          <w:rFonts w:ascii="宋体"/>
          <w:szCs w:val="21"/>
        </w:rPr>
      </w:pPr>
      <w:r>
        <w:rPr>
          <w:rFonts w:hint="eastAsia" w:ascii="宋体" w:hAnsi="宋体"/>
          <w:bCs/>
          <w:szCs w:val="21"/>
        </w:rPr>
        <w:t>法定代表人或其</w:t>
      </w:r>
      <w:r>
        <w:rPr>
          <w:rFonts w:ascii="宋体" w:hAnsi="宋体"/>
          <w:szCs w:val="21"/>
        </w:rPr>
        <w:t xml:space="preserve">                           </w:t>
      </w:r>
      <w:r>
        <w:rPr>
          <w:rFonts w:hint="eastAsia" w:ascii="宋体" w:hAnsi="宋体"/>
          <w:bCs/>
          <w:szCs w:val="21"/>
        </w:rPr>
        <w:t>法定代表人或其</w:t>
      </w:r>
    </w:p>
    <w:p>
      <w:pPr>
        <w:spacing w:line="360" w:lineRule="auto"/>
        <w:rPr>
          <w:rFonts w:ascii="宋体"/>
          <w:szCs w:val="21"/>
        </w:rPr>
      </w:pP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r>
        <w:rPr>
          <w:rFonts w:ascii="宋体" w:hAnsi="宋体"/>
          <w:szCs w:val="21"/>
        </w:rPr>
        <w:t xml:space="preserve"> </w:t>
      </w:r>
      <w:r>
        <w:rPr>
          <w:rFonts w:ascii="宋体" w:hAnsi="宋体"/>
          <w:bCs/>
          <w:szCs w:val="21"/>
        </w:rPr>
        <w:t xml:space="preserve"> </w:t>
      </w: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p>
    <w:p>
      <w:pPr>
        <w:spacing w:line="360" w:lineRule="auto"/>
        <w:rPr>
          <w:rFonts w:ascii="宋体"/>
          <w:szCs w:val="21"/>
          <w:u w:val="single"/>
        </w:rPr>
      </w:pPr>
    </w:p>
    <w:p>
      <w:pPr>
        <w:spacing w:line="360" w:lineRule="auto"/>
        <w:rPr>
          <w:rFonts w:asci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日</w:t>
      </w:r>
      <w:r>
        <w:rPr>
          <w:rFonts w:ascii="宋体" w:hAnsi="宋体"/>
          <w:szCs w:val="21"/>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hint="eastAsia" w:ascii="宋体" w:hAnsi="宋体"/>
          <w:szCs w:val="21"/>
        </w:rPr>
        <w:t>日</w:t>
      </w:r>
    </w:p>
    <w:p>
      <w:pPr>
        <w:spacing w:line="360" w:lineRule="auto"/>
        <w:rPr>
          <w:rFonts w:ascii="宋体"/>
          <w:szCs w:val="21"/>
        </w:rPr>
      </w:pPr>
    </w:p>
    <w:p>
      <w:pPr>
        <w:spacing w:line="360" w:lineRule="auto"/>
        <w:rPr>
          <w:rFonts w:ascii="宋体"/>
          <w:b/>
          <w:szCs w:val="21"/>
        </w:rPr>
      </w:pPr>
      <w:r>
        <w:rPr>
          <w:rFonts w:hint="eastAsia" w:ascii="宋体" w:hAnsi="宋体"/>
          <w:szCs w:val="21"/>
        </w:rPr>
        <w:t>签约地点：</w:t>
      </w:r>
      <w:r>
        <w:rPr>
          <w:rFonts w:ascii="宋体" w:hAnsi="宋体"/>
          <w:szCs w:val="21"/>
          <w:u w:val="single"/>
        </w:rPr>
        <w:t xml:space="preserve">                                                                   </w:t>
      </w:r>
      <w:r>
        <w:rPr>
          <w:rFonts w:ascii="宋体" w:hAnsi="宋体"/>
          <w:b/>
          <w:szCs w:val="21"/>
          <w:u w:val="single"/>
        </w:rPr>
        <w:t xml:space="preserve"> </w:t>
      </w:r>
    </w:p>
    <w:p>
      <w:pPr>
        <w:jc w:val="center"/>
        <w:rPr>
          <w:b/>
          <w:sz w:val="32"/>
          <w:szCs w:val="32"/>
        </w:rPr>
      </w:pPr>
      <w:r>
        <w:rPr>
          <w:rFonts w:ascii="宋体" w:hAnsi="宋体"/>
          <w:kern w:val="0"/>
          <w:sz w:val="24"/>
          <w:szCs w:val="21"/>
        </w:rPr>
        <w:br w:type="page"/>
      </w:r>
      <w:r>
        <w:rPr>
          <w:rFonts w:hint="eastAsia"/>
          <w:b/>
          <w:sz w:val="32"/>
          <w:szCs w:val="32"/>
        </w:rPr>
        <w:t>合同条款通用部分</w:t>
      </w:r>
      <w:bookmarkEnd w:id="883"/>
      <w:bookmarkEnd w:id="884"/>
      <w:bookmarkEnd w:id="885"/>
    </w:p>
    <w:p>
      <w:pPr>
        <w:spacing w:line="360" w:lineRule="auto"/>
        <w:jc w:val="center"/>
        <w:rPr>
          <w:rFonts w:ascii="黑体" w:hAnsi="黑体" w:eastAsia="黑体"/>
          <w:sz w:val="28"/>
          <w:szCs w:val="28"/>
        </w:rPr>
      </w:pPr>
    </w:p>
    <w:p>
      <w:pPr>
        <w:pStyle w:val="43"/>
        <w:spacing w:after="120"/>
      </w:pPr>
      <w:bookmarkStart w:id="888" w:name="_Toc483668071"/>
      <w:bookmarkStart w:id="889" w:name="_Toc342296262"/>
      <w:bookmarkStart w:id="890" w:name="_Toc480486724"/>
      <w:bookmarkStart w:id="891" w:name="_Toc480486894"/>
      <w:bookmarkStart w:id="892" w:name="_Toc490222487"/>
      <w:bookmarkStart w:id="893" w:name="_Toc489279853"/>
      <w:bookmarkStart w:id="894" w:name="_Toc10233476"/>
      <w:bookmarkStart w:id="895" w:name="_Toc338944704"/>
      <w:bookmarkStart w:id="896" w:name="_Toc486580042"/>
      <w:r>
        <w:t>1.</w:t>
      </w:r>
      <w:r>
        <w:rPr>
          <w:rFonts w:hint="eastAsia"/>
        </w:rPr>
        <w:t>一般约定</w:t>
      </w:r>
      <w:bookmarkEnd w:id="888"/>
      <w:bookmarkEnd w:id="889"/>
      <w:bookmarkEnd w:id="890"/>
      <w:bookmarkEnd w:id="891"/>
      <w:bookmarkEnd w:id="892"/>
      <w:bookmarkEnd w:id="893"/>
      <w:bookmarkEnd w:id="894"/>
      <w:bookmarkEnd w:id="895"/>
      <w:bookmarkEnd w:id="896"/>
    </w:p>
    <w:p>
      <w:pPr>
        <w:pStyle w:val="253"/>
        <w:spacing w:before="120"/>
      </w:pPr>
      <w:bookmarkStart w:id="897" w:name="_Toc480486725"/>
      <w:bookmarkStart w:id="898" w:name="_Toc490222488"/>
      <w:bookmarkStart w:id="899" w:name="_Toc486580043"/>
      <w:bookmarkStart w:id="900" w:name="_Toc342296263"/>
      <w:bookmarkStart w:id="901" w:name="_Toc483668072"/>
      <w:bookmarkStart w:id="902" w:name="_Toc338944705"/>
      <w:bookmarkStart w:id="903" w:name="_Toc489279854"/>
      <w:bookmarkStart w:id="904" w:name="_Toc10233477"/>
      <w:bookmarkStart w:id="905" w:name="_Toc480486895"/>
      <w:r>
        <w:t xml:space="preserve">1.1  </w:t>
      </w:r>
      <w:r>
        <w:rPr>
          <w:rFonts w:hint="eastAsia"/>
        </w:rPr>
        <w:t>词语定义</w:t>
      </w:r>
      <w:bookmarkEnd w:id="897"/>
      <w:bookmarkEnd w:id="898"/>
      <w:bookmarkEnd w:id="899"/>
      <w:bookmarkEnd w:id="900"/>
      <w:bookmarkEnd w:id="901"/>
      <w:bookmarkEnd w:id="902"/>
      <w:bookmarkEnd w:id="903"/>
      <w:bookmarkEnd w:id="904"/>
      <w:bookmarkEnd w:id="905"/>
    </w:p>
    <w:p>
      <w:pPr>
        <w:spacing w:line="360" w:lineRule="auto"/>
        <w:ind w:firstLine="420" w:firstLineChars="200"/>
        <w:rPr>
          <w:rFonts w:ascii="宋体"/>
        </w:rPr>
      </w:pPr>
      <w:r>
        <w:rPr>
          <w:rFonts w:hint="eastAsia" w:ascii="宋体" w:hAnsi="宋体"/>
        </w:rPr>
        <w:t>合同条款通用部分、合同条款专用部分中的下列词语应具有本款所赋予的含义。</w:t>
      </w:r>
    </w:p>
    <w:p>
      <w:pPr>
        <w:spacing w:line="360" w:lineRule="auto"/>
        <w:ind w:firstLine="420" w:firstLineChars="200"/>
        <w:rPr>
          <w:rFonts w:ascii="宋体"/>
        </w:rPr>
      </w:pPr>
      <w:bookmarkStart w:id="906" w:name="_Toc480486896"/>
      <w:r>
        <w:rPr>
          <w:rFonts w:ascii="宋体" w:hAnsi="宋体"/>
        </w:rPr>
        <w:t xml:space="preserve">1.1.1  </w:t>
      </w:r>
      <w:r>
        <w:rPr>
          <w:rFonts w:hint="eastAsia" w:ascii="宋体" w:hAnsi="宋体"/>
        </w:rPr>
        <w:t>合同</w:t>
      </w:r>
      <w:bookmarkEnd w:id="906"/>
    </w:p>
    <w:p>
      <w:pPr>
        <w:spacing w:line="360" w:lineRule="auto"/>
        <w:ind w:firstLine="630" w:firstLineChars="300"/>
        <w:rPr>
          <w:rFonts w:ascii="宋体"/>
        </w:rPr>
      </w:pPr>
      <w:r>
        <w:rPr>
          <w:rFonts w:ascii="宋体" w:hAnsi="宋体"/>
        </w:rPr>
        <w:t xml:space="preserve">1.1.1.1  </w:t>
      </w:r>
      <w:r>
        <w:rPr>
          <w:rFonts w:hint="eastAsia" w:ascii="宋体" w:hAnsi="宋体"/>
        </w:rPr>
        <w:t>合同文件（或称合同）：指合同协议书、成交通知书、</w:t>
      </w:r>
      <w:r>
        <w:rPr>
          <w:rFonts w:hint="eastAsia" w:ascii="宋体" w:hAnsi="宋体"/>
          <w:lang w:eastAsia="zh-CN"/>
        </w:rPr>
        <w:t>响应书</w:t>
      </w:r>
      <w:r>
        <w:rPr>
          <w:rFonts w:hint="eastAsia" w:ascii="宋体" w:hAnsi="宋体"/>
        </w:rPr>
        <w:t>、合同条款专用部分、合同条款通用部分、技术标准和要求、图纸、已标价工程量清单，以及其他合同文件。</w:t>
      </w:r>
    </w:p>
    <w:p>
      <w:pPr>
        <w:spacing w:line="360" w:lineRule="auto"/>
        <w:ind w:firstLine="630" w:firstLineChars="300"/>
        <w:rPr>
          <w:rFonts w:ascii="宋体"/>
        </w:rPr>
      </w:pPr>
      <w:r>
        <w:rPr>
          <w:rFonts w:ascii="宋体" w:hAnsi="宋体"/>
        </w:rPr>
        <w:t xml:space="preserve">1.1.1.2  </w:t>
      </w:r>
      <w:r>
        <w:rPr>
          <w:rFonts w:hint="eastAsia" w:ascii="宋体" w:hAnsi="宋体"/>
        </w:rPr>
        <w:t>合同协议书：指第</w:t>
      </w:r>
      <w:r>
        <w:rPr>
          <w:rFonts w:ascii="宋体" w:hAnsi="宋体"/>
        </w:rPr>
        <w:t>1.5</w:t>
      </w:r>
      <w:r>
        <w:rPr>
          <w:rFonts w:hint="eastAsia" w:ascii="宋体" w:hAnsi="宋体"/>
        </w:rPr>
        <w:t>款所指的合同协议书。</w:t>
      </w:r>
    </w:p>
    <w:p>
      <w:pPr>
        <w:spacing w:line="360" w:lineRule="auto"/>
        <w:ind w:firstLine="630" w:firstLineChars="300"/>
        <w:rPr>
          <w:rFonts w:ascii="宋体"/>
        </w:rPr>
      </w:pPr>
      <w:r>
        <w:rPr>
          <w:rFonts w:ascii="宋体" w:hAnsi="宋体"/>
        </w:rPr>
        <w:t xml:space="preserve">1.1.1.3  </w:t>
      </w:r>
      <w:r>
        <w:rPr>
          <w:rFonts w:hint="eastAsia" w:ascii="宋体" w:hAnsi="宋体"/>
        </w:rPr>
        <w:t>成交通知书：指发包人通知承包人成交的函件。</w:t>
      </w:r>
    </w:p>
    <w:p>
      <w:pPr>
        <w:spacing w:line="360" w:lineRule="auto"/>
        <w:ind w:firstLine="630" w:firstLineChars="300"/>
        <w:rPr>
          <w:rFonts w:ascii="宋体"/>
        </w:rPr>
      </w:pPr>
      <w:r>
        <w:rPr>
          <w:rFonts w:ascii="宋体" w:hAnsi="宋体"/>
        </w:rPr>
        <w:t xml:space="preserve">1.1.1.4  </w:t>
      </w:r>
      <w:r>
        <w:rPr>
          <w:rFonts w:hint="eastAsia" w:ascii="宋体" w:hAnsi="宋体"/>
          <w:lang w:eastAsia="zh-CN"/>
        </w:rPr>
        <w:t>响应书</w:t>
      </w:r>
      <w:r>
        <w:rPr>
          <w:rFonts w:hint="eastAsia" w:ascii="宋体" w:hAnsi="宋体"/>
        </w:rPr>
        <w:t>：指构成合同文件组成部分的由承包人填写并签署的</w:t>
      </w:r>
      <w:r>
        <w:rPr>
          <w:rFonts w:hint="eastAsia" w:ascii="宋体" w:hAnsi="宋体"/>
          <w:lang w:eastAsia="zh-CN"/>
        </w:rPr>
        <w:t>响应书</w:t>
      </w:r>
      <w:r>
        <w:rPr>
          <w:rFonts w:hint="eastAsia" w:ascii="宋体" w:hAnsi="宋体"/>
        </w:rPr>
        <w:t>。</w:t>
      </w:r>
    </w:p>
    <w:p>
      <w:pPr>
        <w:spacing w:line="360" w:lineRule="auto"/>
        <w:ind w:firstLine="630" w:firstLineChars="300"/>
        <w:rPr>
          <w:rFonts w:ascii="宋体"/>
        </w:rPr>
      </w:pPr>
      <w:r>
        <w:rPr>
          <w:rFonts w:ascii="宋体" w:hAnsi="宋体"/>
        </w:rPr>
        <w:t>1.1.1.</w:t>
      </w:r>
      <w:r>
        <w:rPr>
          <w:rFonts w:hint="eastAsia" w:ascii="宋体" w:hAnsi="宋体"/>
          <w:lang w:val="en-US" w:eastAsia="zh-CN"/>
        </w:rPr>
        <w:t>5</w:t>
      </w:r>
      <w:r>
        <w:rPr>
          <w:rFonts w:ascii="宋体" w:hAnsi="宋体"/>
        </w:rPr>
        <w:t xml:space="preserve"> </w:t>
      </w:r>
      <w:r>
        <w:rPr>
          <w:rFonts w:hint="eastAsia" w:ascii="宋体" w:hAnsi="宋体"/>
        </w:rPr>
        <w:t>合同条款：指构成合同文件组成部分的合同条款通用部分和（或）合同条款专用部分。</w:t>
      </w:r>
    </w:p>
    <w:p>
      <w:pPr>
        <w:spacing w:line="360" w:lineRule="auto"/>
        <w:ind w:firstLine="630" w:firstLineChars="300"/>
        <w:rPr>
          <w:rFonts w:ascii="宋体"/>
        </w:rPr>
      </w:pPr>
      <w:r>
        <w:rPr>
          <w:rFonts w:ascii="宋体" w:hAnsi="宋体"/>
        </w:rPr>
        <w:t>1.1.1.</w:t>
      </w:r>
      <w:r>
        <w:rPr>
          <w:rFonts w:hint="eastAsia" w:ascii="宋体" w:hAnsi="宋体"/>
          <w:lang w:val="en-US" w:eastAsia="zh-CN"/>
        </w:rPr>
        <w:t>6</w:t>
      </w:r>
      <w:r>
        <w:rPr>
          <w:rFonts w:ascii="宋体" w:hAnsi="宋体"/>
        </w:rPr>
        <w:t xml:space="preserve"> </w:t>
      </w:r>
      <w:r>
        <w:rPr>
          <w:rFonts w:hint="eastAsia" w:ascii="宋体" w:hAnsi="宋体"/>
        </w:rPr>
        <w:t>技术标准和要求：指构成合同文件组成部分的名为技术标准和要求的文件，包括合同双方当事人约定对其所作的修改或补充。</w:t>
      </w:r>
    </w:p>
    <w:p>
      <w:pPr>
        <w:spacing w:line="360" w:lineRule="auto"/>
        <w:ind w:firstLine="630" w:firstLineChars="300"/>
        <w:rPr>
          <w:rFonts w:ascii="宋体"/>
        </w:rPr>
      </w:pPr>
      <w:r>
        <w:rPr>
          <w:rFonts w:ascii="宋体" w:hAnsi="宋体"/>
        </w:rPr>
        <w:t>1.1.1.</w:t>
      </w:r>
      <w:r>
        <w:rPr>
          <w:rFonts w:hint="eastAsia" w:ascii="宋体" w:hAnsi="宋体"/>
          <w:lang w:val="en-US" w:eastAsia="zh-CN"/>
        </w:rPr>
        <w:t>7</w:t>
      </w:r>
      <w:r>
        <w:rPr>
          <w:rFonts w:ascii="宋体" w:hAnsi="宋体"/>
        </w:rPr>
        <w:t xml:space="preserve">  </w:t>
      </w:r>
      <w:r>
        <w:rPr>
          <w:rFonts w:hint="eastAsia" w:ascii="宋体" w:hAnsi="宋体"/>
        </w:rPr>
        <w:t>图纸：指包含在合同中的工程图纸，以及由发包人按合同约定提供的任何补充和修改的图纸，包括配套的说明。</w:t>
      </w:r>
    </w:p>
    <w:p>
      <w:pPr>
        <w:spacing w:line="360" w:lineRule="auto"/>
        <w:ind w:firstLine="630" w:firstLineChars="300"/>
        <w:rPr>
          <w:rFonts w:ascii="宋体"/>
        </w:rPr>
      </w:pPr>
      <w:r>
        <w:rPr>
          <w:rFonts w:ascii="宋体" w:hAnsi="宋体"/>
        </w:rPr>
        <w:t>1.1.1.</w:t>
      </w:r>
      <w:r>
        <w:rPr>
          <w:rFonts w:hint="eastAsia" w:ascii="宋体" w:hAnsi="宋体"/>
          <w:lang w:val="en-US" w:eastAsia="zh-CN"/>
        </w:rPr>
        <w:t>8</w:t>
      </w:r>
      <w:r>
        <w:rPr>
          <w:rFonts w:ascii="宋体" w:hAnsi="宋体"/>
        </w:rPr>
        <w:t xml:space="preserve"> </w:t>
      </w:r>
      <w:r>
        <w:rPr>
          <w:rFonts w:hint="eastAsia" w:ascii="宋体" w:hAnsi="宋体"/>
        </w:rPr>
        <w:t>已标价工程量清单：指构成合同文件组成部分的由承包人按照规定的格式和要求填写并标明价格的工程量清单。</w:t>
      </w:r>
    </w:p>
    <w:p>
      <w:pPr>
        <w:spacing w:line="360" w:lineRule="auto"/>
        <w:ind w:firstLine="630" w:firstLineChars="300"/>
        <w:rPr>
          <w:rFonts w:ascii="宋体"/>
        </w:rPr>
      </w:pPr>
      <w:r>
        <w:rPr>
          <w:rFonts w:ascii="宋体" w:hAnsi="宋体"/>
        </w:rPr>
        <w:t>1.1.1.</w:t>
      </w:r>
      <w:r>
        <w:rPr>
          <w:rFonts w:hint="eastAsia" w:ascii="宋体" w:hAnsi="宋体"/>
          <w:lang w:val="en-US" w:eastAsia="zh-CN"/>
        </w:rPr>
        <w:t>9</w:t>
      </w:r>
      <w:r>
        <w:rPr>
          <w:rFonts w:ascii="宋体" w:hAnsi="宋体"/>
        </w:rPr>
        <w:t xml:space="preserve"> </w:t>
      </w:r>
      <w:r>
        <w:rPr>
          <w:rFonts w:hint="eastAsia" w:ascii="宋体" w:hAnsi="宋体"/>
        </w:rPr>
        <w:t>其他合同文件：指经合同双方当事人确认构成合同文件的其他文件。</w:t>
      </w:r>
    </w:p>
    <w:p>
      <w:pPr>
        <w:spacing w:line="360" w:lineRule="auto"/>
        <w:ind w:firstLine="420" w:firstLineChars="200"/>
        <w:rPr>
          <w:rFonts w:ascii="宋体"/>
        </w:rPr>
      </w:pPr>
      <w:bookmarkStart w:id="907" w:name="_Toc480486897"/>
      <w:r>
        <w:rPr>
          <w:rFonts w:ascii="宋体" w:hAnsi="宋体"/>
        </w:rPr>
        <w:t xml:space="preserve">1.1.2  </w:t>
      </w:r>
      <w:r>
        <w:rPr>
          <w:rFonts w:hint="eastAsia" w:ascii="宋体" w:hAnsi="宋体"/>
        </w:rPr>
        <w:t>合同当事人和人员</w:t>
      </w:r>
      <w:bookmarkEnd w:id="907"/>
    </w:p>
    <w:p>
      <w:pPr>
        <w:spacing w:line="360" w:lineRule="auto"/>
        <w:ind w:firstLine="630" w:firstLineChars="300"/>
        <w:rPr>
          <w:rFonts w:ascii="宋体"/>
        </w:rPr>
      </w:pPr>
      <w:r>
        <w:rPr>
          <w:rFonts w:ascii="宋体" w:hAnsi="宋体"/>
        </w:rPr>
        <w:t xml:space="preserve">1.1.2.1  </w:t>
      </w:r>
      <w:r>
        <w:rPr>
          <w:rFonts w:hint="eastAsia" w:ascii="宋体" w:hAnsi="宋体"/>
        </w:rPr>
        <w:t>合同当事人：指发包人和（或）承包人。</w:t>
      </w:r>
    </w:p>
    <w:p>
      <w:pPr>
        <w:spacing w:line="360" w:lineRule="auto"/>
        <w:ind w:firstLine="630" w:firstLineChars="300"/>
        <w:rPr>
          <w:rFonts w:ascii="宋体"/>
        </w:rPr>
      </w:pPr>
      <w:r>
        <w:rPr>
          <w:rFonts w:ascii="宋体" w:hAnsi="宋体"/>
        </w:rPr>
        <w:t xml:space="preserve">1.1.2.2  </w:t>
      </w:r>
      <w:r>
        <w:rPr>
          <w:rFonts w:hint="eastAsia" w:ascii="宋体" w:hAnsi="宋体"/>
        </w:rPr>
        <w:t>发包人：指合同协议书中约定，具有工程发包主体资格和承诺按照合同约定的条件、期限和方式向承包人支付工程价款的当事人，以及取得该当事人资格的合法继承人。发包人名称</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1.1.2.3  </w:t>
      </w:r>
      <w:r>
        <w:rPr>
          <w:rFonts w:hint="eastAsia" w:ascii="宋体" w:hAnsi="宋体"/>
        </w:rPr>
        <w:t>承包人：指合同协议书中约定，具有合同工程承包主体资格，并承诺按照合同约定进行施工、竣工、交付并承担质量缺陷保修责任的当事人，以及取得该当事人资格的合法继承人。承包人名称</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1.1.2.4  </w:t>
      </w:r>
      <w:r>
        <w:rPr>
          <w:rFonts w:hint="eastAsia" w:ascii="宋体" w:hAnsi="宋体"/>
        </w:rPr>
        <w:t>承包人项目经理：指承包人派驻施工场地的全权负责人。</w:t>
      </w:r>
    </w:p>
    <w:p>
      <w:pPr>
        <w:spacing w:line="360" w:lineRule="auto"/>
        <w:ind w:firstLine="630" w:firstLineChars="300"/>
        <w:rPr>
          <w:rFonts w:ascii="宋体"/>
        </w:rPr>
      </w:pPr>
      <w:r>
        <w:rPr>
          <w:rFonts w:ascii="宋体" w:hAnsi="宋体"/>
        </w:rPr>
        <w:t xml:space="preserve">1.1.2.5  </w:t>
      </w:r>
      <w:r>
        <w:rPr>
          <w:rFonts w:hint="eastAsia" w:ascii="宋体" w:hAnsi="宋体"/>
        </w:rPr>
        <w:t>分包人：指从承包人处分包合同中某一部分工程，并与其签订分包合同的分包人。</w:t>
      </w:r>
    </w:p>
    <w:p>
      <w:pPr>
        <w:spacing w:line="360" w:lineRule="auto"/>
        <w:ind w:firstLine="630" w:firstLineChars="300"/>
        <w:rPr>
          <w:rFonts w:ascii="宋体"/>
        </w:rPr>
      </w:pPr>
      <w:r>
        <w:rPr>
          <w:rFonts w:ascii="宋体" w:hAnsi="宋体"/>
        </w:rPr>
        <w:t xml:space="preserve">1.1.2.6  </w:t>
      </w:r>
      <w:r>
        <w:rPr>
          <w:rFonts w:hint="eastAsia" w:ascii="宋体" w:hAnsi="宋体"/>
        </w:rPr>
        <w:t>监理人：指发包人委托的对合同履行实施管理的法人或其他组织。监理人名称</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1.1.2.7  </w:t>
      </w:r>
      <w:r>
        <w:rPr>
          <w:rFonts w:hint="eastAsia" w:ascii="宋体" w:hAnsi="宋体"/>
        </w:rPr>
        <w:t>总监理工程师（总监）：指由监理人委派常驻施工场地对合同履行实施管理的全权负责人。</w:t>
      </w:r>
    </w:p>
    <w:p>
      <w:pPr>
        <w:spacing w:line="360" w:lineRule="auto"/>
        <w:ind w:firstLine="630" w:firstLineChars="300"/>
        <w:rPr>
          <w:rFonts w:ascii="宋体"/>
        </w:rPr>
      </w:pPr>
      <w:r>
        <w:rPr>
          <w:rFonts w:ascii="宋体" w:hAnsi="宋体"/>
        </w:rPr>
        <w:t xml:space="preserve">1.1.2.8  </w:t>
      </w:r>
      <w:r>
        <w:rPr>
          <w:rFonts w:hint="eastAsia" w:ascii="宋体" w:hAnsi="宋体"/>
        </w:rPr>
        <w:t>发包人代表：指由发包人指定的派驻施工场地（现场）的全权代表。发包人代表相关信息</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1.1.2.9  </w:t>
      </w:r>
      <w:r>
        <w:rPr>
          <w:rFonts w:hint="eastAsia" w:ascii="宋体" w:hAnsi="宋体"/>
        </w:rPr>
        <w:t>专业分包人：指根据合同条款第</w:t>
      </w:r>
      <w:r>
        <w:rPr>
          <w:rFonts w:ascii="宋体" w:hAnsi="宋体"/>
        </w:rPr>
        <w:t>15.8.1</w:t>
      </w:r>
      <w:r>
        <w:rPr>
          <w:rFonts w:hint="eastAsia" w:ascii="宋体" w:hAnsi="宋体"/>
        </w:rPr>
        <w:t>项的约定，由发包人和承包人以招标方式选择的分包人。</w:t>
      </w:r>
    </w:p>
    <w:p>
      <w:pPr>
        <w:spacing w:line="360" w:lineRule="auto"/>
        <w:ind w:firstLine="630" w:firstLineChars="300"/>
        <w:rPr>
          <w:rFonts w:ascii="宋体"/>
        </w:rPr>
      </w:pPr>
      <w:r>
        <w:rPr>
          <w:rFonts w:ascii="宋体" w:hAnsi="宋体"/>
        </w:rPr>
        <w:t xml:space="preserve">1.1.2.10  </w:t>
      </w:r>
      <w:r>
        <w:rPr>
          <w:rFonts w:hint="eastAsia" w:ascii="宋体" w:hAnsi="宋体"/>
        </w:rPr>
        <w:t>专项供应商：指根据合同条款第</w:t>
      </w:r>
      <w:r>
        <w:rPr>
          <w:rFonts w:ascii="宋体" w:hAnsi="宋体"/>
        </w:rPr>
        <w:t>15.8.1</w:t>
      </w:r>
      <w:r>
        <w:rPr>
          <w:rFonts w:hint="eastAsia" w:ascii="宋体" w:hAnsi="宋体"/>
        </w:rPr>
        <w:t>项的约定，由发包人和承包人以招标方式选择的供应商。</w:t>
      </w:r>
    </w:p>
    <w:p>
      <w:pPr>
        <w:spacing w:line="360" w:lineRule="auto"/>
        <w:ind w:firstLine="630" w:firstLineChars="300"/>
        <w:rPr>
          <w:rFonts w:ascii="宋体"/>
        </w:rPr>
      </w:pPr>
      <w:r>
        <w:rPr>
          <w:rFonts w:ascii="宋体" w:hAnsi="宋体"/>
        </w:rPr>
        <w:t xml:space="preserve">1.1.2.11  </w:t>
      </w:r>
      <w:r>
        <w:rPr>
          <w:rFonts w:hint="eastAsia" w:ascii="宋体" w:hAnsi="宋体"/>
        </w:rPr>
        <w:t>独立承包人：指与发包人直接订立工程承包合同，负责实施与工程有关的其他工作的当事人。</w:t>
      </w:r>
    </w:p>
    <w:p>
      <w:pPr>
        <w:spacing w:line="360" w:lineRule="auto"/>
        <w:ind w:firstLine="420" w:firstLineChars="200"/>
        <w:rPr>
          <w:rFonts w:ascii="宋体"/>
        </w:rPr>
      </w:pPr>
      <w:r>
        <w:rPr>
          <w:rFonts w:ascii="宋体" w:hAnsi="宋体"/>
        </w:rPr>
        <w:t xml:space="preserve">1.1.3  </w:t>
      </w:r>
      <w:r>
        <w:rPr>
          <w:rFonts w:hint="eastAsia" w:ascii="宋体" w:hAnsi="宋体"/>
        </w:rPr>
        <w:t>工程和设备</w:t>
      </w:r>
    </w:p>
    <w:p>
      <w:pPr>
        <w:spacing w:line="360" w:lineRule="auto"/>
        <w:ind w:firstLine="630" w:firstLineChars="300"/>
        <w:rPr>
          <w:rFonts w:ascii="宋体"/>
        </w:rPr>
      </w:pPr>
      <w:r>
        <w:rPr>
          <w:rFonts w:ascii="宋体" w:hAnsi="宋体"/>
        </w:rPr>
        <w:t xml:space="preserve">1.1.3.1  </w:t>
      </w:r>
      <w:r>
        <w:rPr>
          <w:rFonts w:hint="eastAsia" w:ascii="宋体" w:hAnsi="宋体"/>
        </w:rPr>
        <w:t>工程：指永久工程和（或）临时工程。</w:t>
      </w:r>
    </w:p>
    <w:p>
      <w:pPr>
        <w:spacing w:line="360" w:lineRule="auto"/>
        <w:ind w:firstLine="630" w:firstLineChars="300"/>
        <w:rPr>
          <w:rFonts w:ascii="宋体"/>
        </w:rPr>
      </w:pPr>
      <w:r>
        <w:rPr>
          <w:rFonts w:ascii="宋体" w:hAnsi="宋体"/>
        </w:rPr>
        <w:t xml:space="preserve">1.1.3.2  </w:t>
      </w:r>
      <w:r>
        <w:rPr>
          <w:rFonts w:hint="eastAsia" w:ascii="宋体" w:hAnsi="宋体"/>
        </w:rPr>
        <w:t>永久工程：指按照合同约定所需建造、完成并移交给发包人的工程，包括工程设备。永久工程的约定</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1.1.3.3  </w:t>
      </w:r>
      <w:r>
        <w:rPr>
          <w:rFonts w:hint="eastAsia" w:ascii="宋体" w:hAnsi="宋体"/>
        </w:rPr>
        <w:t>临时工程：指为完成合同约定的永久工程所修建的各类临时性工程，不包括施工设备。临时工程的约定</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1.1.3.4  </w:t>
      </w:r>
      <w:r>
        <w:rPr>
          <w:rFonts w:hint="eastAsia" w:ascii="宋体" w:hAnsi="宋体"/>
        </w:rPr>
        <w:t>单位工程：指具有相对独立的设计文件，能够独立组织施工并能形成独立使用功能的永久工程的组成部分。</w:t>
      </w:r>
    </w:p>
    <w:p>
      <w:pPr>
        <w:spacing w:line="360" w:lineRule="auto"/>
        <w:ind w:firstLine="630" w:firstLineChars="300"/>
        <w:rPr>
          <w:rFonts w:ascii="宋体"/>
        </w:rPr>
      </w:pPr>
      <w:r>
        <w:rPr>
          <w:rFonts w:ascii="宋体" w:hAnsi="宋体"/>
        </w:rPr>
        <w:t xml:space="preserve">1.1.3.5  </w:t>
      </w:r>
      <w:r>
        <w:rPr>
          <w:rFonts w:hint="eastAsia" w:ascii="宋体" w:hAnsi="宋体"/>
        </w:rPr>
        <w:t>工程设备：指构成或计划构成永久工程一部分的机电设备、金属结构设备、仪器装置及其他类似的设备和装置。</w:t>
      </w:r>
    </w:p>
    <w:p>
      <w:pPr>
        <w:spacing w:line="360" w:lineRule="auto"/>
        <w:ind w:firstLine="630" w:firstLineChars="300"/>
        <w:rPr>
          <w:rFonts w:ascii="宋体"/>
        </w:rPr>
      </w:pPr>
      <w:r>
        <w:rPr>
          <w:rFonts w:ascii="宋体" w:hAnsi="宋体"/>
        </w:rPr>
        <w:t xml:space="preserve">1.1.3.6  </w:t>
      </w:r>
      <w:r>
        <w:rPr>
          <w:rFonts w:hint="eastAsia" w:ascii="宋体" w:hAnsi="宋体"/>
        </w:rPr>
        <w:t>施工设备：指为完成合同约定的各项工作所需的设备、器具和其他物品，不包括临时工程和材料。</w:t>
      </w:r>
    </w:p>
    <w:p>
      <w:pPr>
        <w:spacing w:line="360" w:lineRule="auto"/>
        <w:ind w:firstLine="630" w:firstLineChars="300"/>
        <w:rPr>
          <w:rFonts w:ascii="宋体"/>
        </w:rPr>
      </w:pPr>
      <w:r>
        <w:rPr>
          <w:rFonts w:ascii="宋体" w:hAnsi="宋体"/>
        </w:rPr>
        <w:t xml:space="preserve">1.1.3.7  </w:t>
      </w:r>
      <w:r>
        <w:rPr>
          <w:rFonts w:hint="eastAsia" w:ascii="宋体" w:hAnsi="宋体"/>
        </w:rPr>
        <w:t>临时设施：指为完成合同约定的各项工作所服务的临时性生产和生活设施。</w:t>
      </w:r>
    </w:p>
    <w:p>
      <w:pPr>
        <w:spacing w:line="360" w:lineRule="auto"/>
        <w:ind w:firstLine="630" w:firstLineChars="300"/>
        <w:rPr>
          <w:rFonts w:ascii="宋体"/>
        </w:rPr>
      </w:pPr>
      <w:r>
        <w:rPr>
          <w:rFonts w:ascii="宋体" w:hAnsi="宋体"/>
        </w:rPr>
        <w:t xml:space="preserve">1.1.3.8  </w:t>
      </w:r>
      <w:r>
        <w:rPr>
          <w:rFonts w:hint="eastAsia" w:ascii="宋体" w:hAnsi="宋体"/>
        </w:rPr>
        <w:t>承包人设备：指承包人自带的施工设备。</w:t>
      </w:r>
    </w:p>
    <w:p>
      <w:pPr>
        <w:spacing w:line="360" w:lineRule="auto"/>
        <w:ind w:firstLine="630" w:firstLineChars="300"/>
        <w:rPr>
          <w:rFonts w:ascii="宋体"/>
        </w:rPr>
      </w:pPr>
      <w:r>
        <w:rPr>
          <w:rFonts w:ascii="宋体" w:hAnsi="宋体"/>
        </w:rPr>
        <w:t xml:space="preserve">1.1.3.9  </w:t>
      </w:r>
      <w:r>
        <w:rPr>
          <w:rFonts w:hint="eastAsia" w:ascii="宋体" w:hAnsi="宋体"/>
        </w:rPr>
        <w:t>施工场地（或称工地、现场）：指用于合同工程施工的场所，以及在合同中指定作为施工场地组成部分的其他场所，包括永久占地和临时占地。</w:t>
      </w:r>
    </w:p>
    <w:p>
      <w:pPr>
        <w:spacing w:line="360" w:lineRule="auto"/>
        <w:ind w:firstLine="630" w:firstLineChars="300"/>
        <w:rPr>
          <w:rFonts w:ascii="宋体"/>
        </w:rPr>
      </w:pPr>
      <w:r>
        <w:rPr>
          <w:rFonts w:ascii="宋体" w:hAnsi="宋体"/>
        </w:rPr>
        <w:t xml:space="preserve">1.1.3.10  </w:t>
      </w:r>
      <w:r>
        <w:rPr>
          <w:rFonts w:hint="eastAsia" w:ascii="宋体" w:hAnsi="宋体"/>
        </w:rPr>
        <w:t>永久占地：指为实施合同工程需永久占用的土地。永久占地的约定</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1.1.3.11  </w:t>
      </w:r>
      <w:r>
        <w:rPr>
          <w:rFonts w:hint="eastAsia" w:ascii="宋体" w:hAnsi="宋体"/>
        </w:rPr>
        <w:t>临时占地：指为实施合同工程需临时占用的土地。临时占地的约定</w:t>
      </w:r>
      <w:r>
        <w:rPr>
          <w:rFonts w:hint="eastAsia" w:ascii="黑体" w:hAnsi="黑体" w:eastAsia="黑体"/>
        </w:rPr>
        <w:t>见合同条款专用部分。</w:t>
      </w:r>
    </w:p>
    <w:p>
      <w:pPr>
        <w:spacing w:line="360" w:lineRule="auto"/>
        <w:ind w:firstLine="630" w:firstLineChars="300"/>
        <w:rPr>
          <w:rFonts w:ascii="宋体"/>
        </w:rPr>
      </w:pPr>
      <w:r>
        <w:rPr>
          <w:rFonts w:ascii="宋体" w:hAnsi="宋体"/>
        </w:rPr>
        <w:t xml:space="preserve">1.1.3.12  </w:t>
      </w:r>
      <w:r>
        <w:rPr>
          <w:rFonts w:hint="eastAsia" w:ascii="宋体" w:hAnsi="宋体"/>
        </w:rPr>
        <w:t>材料：指构成或将构成永久工程组成部分的各类物品</w:t>
      </w:r>
      <w:r>
        <w:rPr>
          <w:rFonts w:ascii="宋体" w:hAnsi="宋体"/>
        </w:rPr>
        <w:t>(</w:t>
      </w:r>
      <w:r>
        <w:rPr>
          <w:rFonts w:hint="eastAsia" w:ascii="宋体" w:hAnsi="宋体"/>
        </w:rPr>
        <w:t>工程设备除外</w:t>
      </w:r>
      <w:r>
        <w:rPr>
          <w:rFonts w:ascii="宋体" w:hAnsi="宋体"/>
        </w:rPr>
        <w:t>)</w:t>
      </w:r>
      <w:r>
        <w:rPr>
          <w:rFonts w:hint="eastAsia" w:ascii="宋体" w:hAnsi="宋体"/>
        </w:rPr>
        <w:t>，包括合同中可能约定的承包人仅负责供应的材料。</w:t>
      </w:r>
    </w:p>
    <w:p>
      <w:pPr>
        <w:spacing w:line="360" w:lineRule="auto"/>
        <w:ind w:firstLine="420" w:firstLineChars="200"/>
        <w:rPr>
          <w:rFonts w:ascii="宋体"/>
        </w:rPr>
      </w:pPr>
      <w:r>
        <w:rPr>
          <w:rFonts w:ascii="宋体" w:hAnsi="宋体"/>
        </w:rPr>
        <w:t xml:space="preserve">1.1.4  </w:t>
      </w:r>
      <w:r>
        <w:rPr>
          <w:rFonts w:hint="eastAsia" w:ascii="宋体" w:hAnsi="宋体"/>
        </w:rPr>
        <w:t>日期</w:t>
      </w:r>
    </w:p>
    <w:p>
      <w:pPr>
        <w:spacing w:line="360" w:lineRule="auto"/>
        <w:ind w:firstLine="630" w:firstLineChars="300"/>
        <w:rPr>
          <w:rFonts w:ascii="宋体"/>
        </w:rPr>
      </w:pPr>
      <w:r>
        <w:rPr>
          <w:rFonts w:ascii="宋体" w:hAnsi="宋体"/>
        </w:rPr>
        <w:t xml:space="preserve">1.1.4.1  </w:t>
      </w:r>
      <w:r>
        <w:rPr>
          <w:rFonts w:hint="eastAsia" w:ascii="宋体" w:hAnsi="宋体"/>
        </w:rPr>
        <w:t>开工通知：指监理人按第</w:t>
      </w:r>
      <w:r>
        <w:rPr>
          <w:rFonts w:ascii="宋体" w:hAnsi="宋体"/>
        </w:rPr>
        <w:t>11.1</w:t>
      </w:r>
      <w:r>
        <w:rPr>
          <w:rFonts w:hint="eastAsia" w:ascii="宋体" w:hAnsi="宋体"/>
        </w:rPr>
        <w:t>款通知承包人开工的函件。</w:t>
      </w:r>
    </w:p>
    <w:p>
      <w:pPr>
        <w:spacing w:line="360" w:lineRule="auto"/>
        <w:ind w:firstLine="630" w:firstLineChars="300"/>
        <w:rPr>
          <w:rFonts w:ascii="宋体"/>
        </w:rPr>
      </w:pPr>
      <w:r>
        <w:rPr>
          <w:rFonts w:ascii="宋体" w:hAnsi="宋体"/>
        </w:rPr>
        <w:t xml:space="preserve">1.1.4.2  </w:t>
      </w:r>
      <w:r>
        <w:rPr>
          <w:rFonts w:hint="eastAsia" w:ascii="宋体" w:hAnsi="宋体"/>
        </w:rPr>
        <w:t>开工日期：指监理人按第</w:t>
      </w:r>
      <w:r>
        <w:rPr>
          <w:rFonts w:ascii="宋体" w:hAnsi="宋体"/>
        </w:rPr>
        <w:t>11.1</w:t>
      </w:r>
      <w:r>
        <w:rPr>
          <w:rFonts w:hint="eastAsia" w:ascii="宋体" w:hAnsi="宋体"/>
        </w:rPr>
        <w:t>款发出的开工通知中写明的开工日期。</w:t>
      </w:r>
    </w:p>
    <w:p>
      <w:pPr>
        <w:spacing w:line="360" w:lineRule="auto"/>
        <w:ind w:firstLine="630" w:firstLineChars="300"/>
        <w:rPr>
          <w:rFonts w:ascii="宋体"/>
        </w:rPr>
      </w:pPr>
      <w:r>
        <w:rPr>
          <w:rFonts w:ascii="宋体" w:hAnsi="宋体"/>
        </w:rPr>
        <w:t xml:space="preserve">1.1.4.3  </w:t>
      </w:r>
      <w:r>
        <w:rPr>
          <w:rFonts w:hint="eastAsia" w:ascii="宋体" w:hAnsi="宋体"/>
        </w:rPr>
        <w:t>工期：指承包人在</w:t>
      </w:r>
      <w:r>
        <w:rPr>
          <w:rFonts w:hint="eastAsia" w:ascii="宋体" w:hAnsi="宋体"/>
          <w:lang w:eastAsia="zh-CN"/>
        </w:rPr>
        <w:t>响应</w:t>
      </w:r>
      <w:r>
        <w:rPr>
          <w:rFonts w:hint="eastAsia" w:ascii="宋体" w:hAnsi="宋体"/>
          <w:lang w:val="en-US" w:eastAsia="zh-CN"/>
        </w:rPr>
        <w:t>文件</w:t>
      </w:r>
      <w:r>
        <w:rPr>
          <w:rFonts w:hint="eastAsia" w:ascii="宋体" w:hAnsi="宋体"/>
        </w:rPr>
        <w:t>中承诺的完成合同工程所需的期限，包括按第</w:t>
      </w:r>
      <w:r>
        <w:rPr>
          <w:rFonts w:ascii="宋体" w:hAnsi="宋体"/>
        </w:rPr>
        <w:t>11.3</w:t>
      </w:r>
      <w:r>
        <w:rPr>
          <w:rFonts w:hint="eastAsia" w:ascii="宋体" w:hAnsi="宋体"/>
        </w:rPr>
        <w:t>款、第</w:t>
      </w:r>
      <w:r>
        <w:rPr>
          <w:rFonts w:ascii="宋体" w:hAnsi="宋体"/>
        </w:rPr>
        <w:t>11.4</w:t>
      </w:r>
      <w:r>
        <w:rPr>
          <w:rFonts w:hint="eastAsia" w:ascii="宋体" w:hAnsi="宋体"/>
        </w:rPr>
        <w:t>款和第</w:t>
      </w:r>
      <w:r>
        <w:rPr>
          <w:rFonts w:ascii="宋体" w:hAnsi="宋体"/>
        </w:rPr>
        <w:t>11.6</w:t>
      </w:r>
      <w:r>
        <w:rPr>
          <w:rFonts w:hint="eastAsia" w:ascii="宋体" w:hAnsi="宋体"/>
        </w:rPr>
        <w:t>款约定所作的变更。</w:t>
      </w:r>
    </w:p>
    <w:p>
      <w:pPr>
        <w:spacing w:line="360" w:lineRule="auto"/>
        <w:ind w:firstLine="630" w:firstLineChars="300"/>
        <w:rPr>
          <w:rFonts w:ascii="宋体"/>
        </w:rPr>
      </w:pPr>
      <w:r>
        <w:rPr>
          <w:rFonts w:ascii="宋体" w:hAnsi="宋体"/>
        </w:rPr>
        <w:t xml:space="preserve">1.1.4.4  </w:t>
      </w:r>
      <w:r>
        <w:rPr>
          <w:rFonts w:hint="eastAsia" w:ascii="宋体" w:hAnsi="宋体"/>
        </w:rPr>
        <w:t>竣工日期：指第</w:t>
      </w:r>
      <w:r>
        <w:rPr>
          <w:rFonts w:ascii="宋体" w:hAnsi="宋体"/>
        </w:rPr>
        <w:t>1.1.4.3</w:t>
      </w:r>
      <w:r>
        <w:rPr>
          <w:rFonts w:hint="eastAsia" w:ascii="宋体" w:hAnsi="宋体"/>
        </w:rPr>
        <w:t>目约定工期届满时的日期。实际竣工日期以工程接收证书中写明的日期为准。</w:t>
      </w:r>
    </w:p>
    <w:p>
      <w:pPr>
        <w:spacing w:line="360" w:lineRule="auto"/>
        <w:ind w:firstLine="630" w:firstLineChars="300"/>
        <w:rPr>
          <w:rFonts w:ascii="宋体"/>
        </w:rPr>
      </w:pPr>
      <w:r>
        <w:rPr>
          <w:rFonts w:ascii="宋体" w:hAnsi="宋体"/>
        </w:rPr>
        <w:t xml:space="preserve">1.1.4.5  </w:t>
      </w:r>
      <w:r>
        <w:rPr>
          <w:rFonts w:hint="eastAsia" w:ascii="宋体" w:hAnsi="宋体"/>
        </w:rPr>
        <w:t>缺陷责任期：指履行第</w:t>
      </w:r>
      <w:r>
        <w:rPr>
          <w:rFonts w:ascii="宋体" w:hAnsi="宋体"/>
        </w:rPr>
        <w:t>19.2</w:t>
      </w:r>
      <w:r>
        <w:rPr>
          <w:rFonts w:hint="eastAsia" w:ascii="宋体" w:hAnsi="宋体"/>
        </w:rPr>
        <w:t>款约定的缺陷责任的期限，包括根据第</w:t>
      </w:r>
      <w:r>
        <w:rPr>
          <w:rFonts w:ascii="宋体" w:hAnsi="宋体"/>
        </w:rPr>
        <w:t>19.3</w:t>
      </w:r>
      <w:r>
        <w:rPr>
          <w:rFonts w:hint="eastAsia" w:ascii="宋体" w:hAnsi="宋体"/>
        </w:rPr>
        <w:t>款约定所作的延长。缺陷责任期的具体期限</w:t>
      </w:r>
      <w:r>
        <w:rPr>
          <w:rFonts w:hint="eastAsia" w:ascii="黑体" w:hAnsi="黑体" w:eastAsia="黑体"/>
        </w:rPr>
        <w:t>见合同条款专用部分</w:t>
      </w:r>
      <w:r>
        <w:rPr>
          <w:rFonts w:hint="eastAsia" w:ascii="宋体" w:hAnsi="宋体"/>
        </w:rPr>
        <w:t>。</w:t>
      </w:r>
    </w:p>
    <w:p>
      <w:pPr>
        <w:spacing w:line="360" w:lineRule="auto"/>
        <w:ind w:firstLine="630" w:firstLineChars="300"/>
        <w:rPr>
          <w:rFonts w:ascii="宋体"/>
        </w:rPr>
      </w:pPr>
      <w:r>
        <w:rPr>
          <w:rFonts w:ascii="宋体" w:hAnsi="宋体"/>
        </w:rPr>
        <w:t xml:space="preserve">1.1.4.6  </w:t>
      </w:r>
      <w:r>
        <w:rPr>
          <w:rFonts w:hint="eastAsia" w:ascii="宋体" w:hAnsi="宋体"/>
        </w:rPr>
        <w:t>基准日期：指竞争性磋商截止时间前</w:t>
      </w:r>
      <w:r>
        <w:rPr>
          <w:rFonts w:ascii="宋体" w:hAnsi="宋体"/>
        </w:rPr>
        <w:t>28</w:t>
      </w:r>
      <w:r>
        <w:rPr>
          <w:rFonts w:hint="eastAsia" w:ascii="宋体" w:hAnsi="宋体"/>
        </w:rPr>
        <w:t>天的日期。</w:t>
      </w:r>
    </w:p>
    <w:p>
      <w:pPr>
        <w:spacing w:line="360" w:lineRule="auto"/>
        <w:ind w:firstLine="630" w:firstLineChars="300"/>
        <w:rPr>
          <w:rFonts w:ascii="宋体"/>
        </w:rPr>
      </w:pPr>
      <w:r>
        <w:rPr>
          <w:rFonts w:ascii="宋体" w:hAnsi="宋体"/>
        </w:rPr>
        <w:t xml:space="preserve">1.1.4.7  </w:t>
      </w:r>
      <w:r>
        <w:rPr>
          <w:rFonts w:hint="eastAsia" w:ascii="宋体" w:hAnsi="宋体"/>
        </w:rPr>
        <w:t>天：除特别指明外，指日历天。合同中按天计算时间的，开始当天不计入，从次日开始计算。期限最后一天的截止时间为当天</w:t>
      </w:r>
      <w:r>
        <w:rPr>
          <w:rFonts w:ascii="宋体" w:hAnsi="宋体"/>
        </w:rPr>
        <w:t>24:00</w:t>
      </w:r>
      <w:r>
        <w:rPr>
          <w:rFonts w:hint="eastAsia" w:ascii="宋体" w:hAnsi="宋体"/>
        </w:rPr>
        <w:t>。</w:t>
      </w:r>
    </w:p>
    <w:p>
      <w:pPr>
        <w:spacing w:line="360" w:lineRule="auto"/>
        <w:ind w:firstLine="630" w:firstLineChars="300"/>
        <w:rPr>
          <w:rFonts w:ascii="宋体"/>
        </w:rPr>
      </w:pPr>
      <w:r>
        <w:rPr>
          <w:rFonts w:ascii="宋体" w:hAnsi="宋体"/>
        </w:rPr>
        <w:t xml:space="preserve">1.1.4.8  </w:t>
      </w:r>
      <w:r>
        <w:rPr>
          <w:rFonts w:hint="eastAsia" w:ascii="宋体" w:hAnsi="宋体"/>
        </w:rPr>
        <w:t>保修期：是根据现行有关法律规定，在合同条款第</w:t>
      </w:r>
      <w:r>
        <w:rPr>
          <w:rFonts w:ascii="宋体" w:hAnsi="宋体"/>
        </w:rPr>
        <w:t>19.7</w:t>
      </w:r>
      <w:r>
        <w:rPr>
          <w:rFonts w:hint="eastAsia" w:ascii="宋体" w:hAnsi="宋体"/>
        </w:rPr>
        <w:t>款中约定的由承包人负责对合同约定的保修范围内发生的质量问题履行保修义务并对造成的损失承担赔偿责任的期限。</w:t>
      </w:r>
    </w:p>
    <w:p>
      <w:pPr>
        <w:spacing w:line="360" w:lineRule="auto"/>
        <w:ind w:firstLine="420" w:firstLineChars="200"/>
        <w:rPr>
          <w:rFonts w:ascii="宋体"/>
        </w:rPr>
      </w:pPr>
      <w:r>
        <w:rPr>
          <w:rFonts w:ascii="宋体" w:hAnsi="宋体"/>
        </w:rPr>
        <w:t xml:space="preserve">1.1.5  </w:t>
      </w:r>
      <w:r>
        <w:rPr>
          <w:rFonts w:hint="eastAsia" w:ascii="宋体" w:hAnsi="宋体"/>
        </w:rPr>
        <w:t>合同价格和费用</w:t>
      </w:r>
    </w:p>
    <w:p>
      <w:pPr>
        <w:spacing w:line="360" w:lineRule="auto"/>
        <w:ind w:firstLine="630" w:firstLineChars="300"/>
        <w:rPr>
          <w:rFonts w:ascii="宋体"/>
        </w:rPr>
      </w:pPr>
      <w:r>
        <w:rPr>
          <w:rFonts w:ascii="宋体" w:hAnsi="宋体"/>
        </w:rPr>
        <w:t xml:space="preserve">1.1.5.1  </w:t>
      </w:r>
      <w:r>
        <w:rPr>
          <w:rFonts w:hint="eastAsia" w:ascii="宋体" w:hAnsi="宋体"/>
        </w:rPr>
        <w:t>签约合同价：指签订合同时合同协议书中写明的，包括了暂列金额、暂估价的合同总金额。</w:t>
      </w:r>
    </w:p>
    <w:p>
      <w:pPr>
        <w:spacing w:line="360" w:lineRule="auto"/>
        <w:ind w:firstLine="630" w:firstLineChars="300"/>
        <w:rPr>
          <w:rFonts w:ascii="宋体"/>
        </w:rPr>
      </w:pPr>
      <w:r>
        <w:rPr>
          <w:rFonts w:ascii="宋体" w:hAnsi="宋体"/>
        </w:rPr>
        <w:t xml:space="preserve">1.1.5.2  </w:t>
      </w:r>
      <w:r>
        <w:rPr>
          <w:rFonts w:hint="eastAsia" w:ascii="宋体" w:hAnsi="宋体"/>
        </w:rPr>
        <w:t>合同价格：指承包人按合同约定完成了包括缺陷责任期内的全部承包工作后，发包人应付给承包人的金额，包括在履行合同过程中按合同约定进行的变更和调整。</w:t>
      </w:r>
    </w:p>
    <w:p>
      <w:pPr>
        <w:spacing w:line="360" w:lineRule="auto"/>
        <w:ind w:firstLine="630" w:firstLineChars="300"/>
        <w:rPr>
          <w:rFonts w:ascii="宋体"/>
        </w:rPr>
      </w:pPr>
      <w:r>
        <w:rPr>
          <w:rFonts w:ascii="宋体" w:hAnsi="宋体"/>
        </w:rPr>
        <w:t xml:space="preserve">1.1.5.3  </w:t>
      </w:r>
      <w:r>
        <w:rPr>
          <w:rFonts w:hint="eastAsia" w:ascii="宋体" w:hAnsi="宋体"/>
        </w:rPr>
        <w:t>费用：指为履行合同所发生的或将要发生的所有合理开支，包括管理费和应分摊的其他费用，但不包括利润。</w:t>
      </w:r>
    </w:p>
    <w:p>
      <w:pPr>
        <w:spacing w:line="360" w:lineRule="auto"/>
        <w:ind w:firstLine="630" w:firstLineChars="300"/>
        <w:rPr>
          <w:rFonts w:ascii="宋体"/>
        </w:rPr>
      </w:pPr>
      <w:r>
        <w:rPr>
          <w:rFonts w:ascii="宋体" w:hAnsi="宋体"/>
        </w:rPr>
        <w:t xml:space="preserve">1.1.5.4  </w:t>
      </w:r>
      <w:r>
        <w:rPr>
          <w:rFonts w:hint="eastAsia" w:ascii="宋体" w:hAnsi="宋体"/>
        </w:rPr>
        <w:t>暂列金额：指已标价工程量清单中所列的暂列金额，用于在签订协议书时尚未确定或不可预见变更的施工及其所需材料、工程设备、服务等的金额，包括以计日工方式支付的金额。</w:t>
      </w:r>
    </w:p>
    <w:p>
      <w:pPr>
        <w:spacing w:line="360" w:lineRule="auto"/>
        <w:ind w:firstLine="630" w:firstLineChars="300"/>
        <w:rPr>
          <w:rFonts w:ascii="宋体"/>
        </w:rPr>
      </w:pPr>
      <w:r>
        <w:rPr>
          <w:rFonts w:ascii="宋体" w:hAnsi="宋体"/>
        </w:rPr>
        <w:t xml:space="preserve">1.1.5.5  </w:t>
      </w:r>
      <w:r>
        <w:rPr>
          <w:rFonts w:hint="eastAsia" w:ascii="宋体" w:hAnsi="宋体"/>
        </w:rPr>
        <w:t>暂估价：指发包人在工程量清单中给定的用于支付必然发生但暂时不能确定价格的材料、设备以及专业工程的金额。</w:t>
      </w:r>
    </w:p>
    <w:p>
      <w:pPr>
        <w:spacing w:line="360" w:lineRule="auto"/>
        <w:ind w:firstLine="630" w:firstLineChars="300"/>
        <w:rPr>
          <w:rFonts w:ascii="宋体"/>
        </w:rPr>
      </w:pPr>
      <w:r>
        <w:rPr>
          <w:rFonts w:ascii="宋体" w:hAnsi="宋体"/>
        </w:rPr>
        <w:t xml:space="preserve">1.1.5.6  </w:t>
      </w:r>
      <w:r>
        <w:rPr>
          <w:rFonts w:hint="eastAsia" w:ascii="宋体" w:hAnsi="宋体"/>
        </w:rPr>
        <w:t>计日工：指对零星工作采取的一种计价方式，按合同中的计日工子目及其单价计价付款。</w:t>
      </w:r>
    </w:p>
    <w:p>
      <w:pPr>
        <w:spacing w:line="360" w:lineRule="auto"/>
        <w:ind w:firstLine="630" w:firstLineChars="300"/>
        <w:rPr>
          <w:rFonts w:ascii="宋体"/>
        </w:rPr>
      </w:pPr>
      <w:r>
        <w:rPr>
          <w:rFonts w:ascii="宋体" w:hAnsi="宋体"/>
        </w:rPr>
        <w:t xml:space="preserve">1.1.5.7  </w:t>
      </w:r>
      <w:r>
        <w:rPr>
          <w:rFonts w:hint="eastAsia" w:ascii="宋体" w:hAnsi="宋体"/>
        </w:rPr>
        <w:t>质量保证金（或称保留金）：指按第</w:t>
      </w:r>
      <w:r>
        <w:rPr>
          <w:rFonts w:ascii="宋体" w:hAnsi="宋体"/>
        </w:rPr>
        <w:t>17.4.1</w:t>
      </w:r>
      <w:r>
        <w:rPr>
          <w:rFonts w:hint="eastAsia" w:ascii="宋体" w:hAnsi="宋体"/>
        </w:rPr>
        <w:t>项约定用于保证在缺陷责任期内履行缺陷修复义务的金额。</w:t>
      </w:r>
    </w:p>
    <w:p>
      <w:pPr>
        <w:spacing w:line="360" w:lineRule="auto"/>
        <w:ind w:firstLine="420" w:firstLineChars="200"/>
        <w:rPr>
          <w:rFonts w:ascii="宋体"/>
        </w:rPr>
      </w:pPr>
      <w:r>
        <w:rPr>
          <w:rFonts w:ascii="宋体" w:hAnsi="宋体"/>
        </w:rPr>
        <w:t xml:space="preserve">1.1.6  </w:t>
      </w:r>
      <w:r>
        <w:rPr>
          <w:rFonts w:hint="eastAsia" w:ascii="宋体" w:hAnsi="宋体"/>
        </w:rPr>
        <w:t>书面形式</w:t>
      </w:r>
    </w:p>
    <w:p>
      <w:pPr>
        <w:spacing w:line="360" w:lineRule="auto"/>
        <w:ind w:firstLine="420" w:firstLineChars="200"/>
        <w:jc w:val="left"/>
        <w:rPr>
          <w:rFonts w:ascii="宋体"/>
        </w:rPr>
      </w:pPr>
      <w:r>
        <w:rPr>
          <w:rFonts w:hint="eastAsia" w:ascii="宋体" w:hAnsi="宋体"/>
        </w:rPr>
        <w:t>书面形式：指合同文件、信函、电报、传真等可以有形地表现所载内容的形式。</w:t>
      </w:r>
    </w:p>
    <w:p>
      <w:pPr>
        <w:spacing w:line="360" w:lineRule="auto"/>
        <w:ind w:firstLine="420" w:firstLineChars="200"/>
        <w:rPr>
          <w:rFonts w:ascii="宋体"/>
        </w:rPr>
      </w:pPr>
      <w:r>
        <w:rPr>
          <w:rFonts w:ascii="宋体" w:hAnsi="宋体"/>
        </w:rPr>
        <w:t xml:space="preserve">1.1.7  </w:t>
      </w:r>
      <w:r>
        <w:rPr>
          <w:rFonts w:hint="eastAsia" w:ascii="宋体" w:hAnsi="宋体"/>
        </w:rPr>
        <w:t>争议评审组</w:t>
      </w:r>
    </w:p>
    <w:p>
      <w:pPr>
        <w:spacing w:line="360" w:lineRule="auto"/>
        <w:ind w:firstLine="420" w:firstLineChars="200"/>
        <w:jc w:val="left"/>
        <w:rPr>
          <w:rFonts w:ascii="宋体"/>
        </w:rPr>
      </w:pPr>
      <w:r>
        <w:rPr>
          <w:rFonts w:hint="eastAsia" w:ascii="宋体" w:hAnsi="宋体"/>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pPr>
        <w:spacing w:line="360" w:lineRule="auto"/>
        <w:ind w:firstLine="420" w:firstLineChars="200"/>
        <w:rPr>
          <w:rFonts w:ascii="宋体"/>
        </w:rPr>
      </w:pPr>
      <w:r>
        <w:rPr>
          <w:rFonts w:ascii="宋体" w:hAnsi="宋体"/>
        </w:rPr>
        <w:t xml:space="preserve">1.1.8  </w:t>
      </w:r>
      <w:r>
        <w:rPr>
          <w:rFonts w:hint="eastAsia" w:ascii="宋体" w:hAnsi="宋体"/>
        </w:rPr>
        <w:t>其他需要补充的内容</w:t>
      </w:r>
    </w:p>
    <w:p>
      <w:pPr>
        <w:spacing w:line="360" w:lineRule="auto"/>
        <w:ind w:firstLine="420" w:firstLineChars="200"/>
        <w:jc w:val="left"/>
        <w:rPr>
          <w:rFonts w:ascii="宋体"/>
        </w:rPr>
      </w:pPr>
      <w:r>
        <w:rPr>
          <w:rFonts w:hint="eastAsia" w:ascii="宋体" w:hAnsi="宋体"/>
        </w:rPr>
        <w:t>其他需要补充的内容</w:t>
      </w:r>
      <w:r>
        <w:rPr>
          <w:rFonts w:hint="eastAsia" w:ascii="黑体" w:hAnsi="黑体" w:eastAsia="黑体"/>
        </w:rPr>
        <w:t>见合同条款专用部分</w:t>
      </w:r>
      <w:r>
        <w:rPr>
          <w:rFonts w:hint="eastAsia" w:ascii="宋体" w:hAnsi="宋体"/>
        </w:rPr>
        <w:t>。</w:t>
      </w:r>
    </w:p>
    <w:p>
      <w:pPr>
        <w:pStyle w:val="253"/>
        <w:spacing w:before="120"/>
      </w:pPr>
      <w:bookmarkStart w:id="908" w:name="_Toc480486898"/>
      <w:bookmarkStart w:id="909" w:name="_Toc10233478"/>
      <w:bookmarkStart w:id="910" w:name="_Toc486580044"/>
      <w:bookmarkStart w:id="911" w:name="_Toc144974581"/>
      <w:bookmarkStart w:id="912" w:name="_Toc342296264"/>
      <w:bookmarkStart w:id="913" w:name="_Toc480486726"/>
      <w:bookmarkStart w:id="914" w:name="_Toc179632631"/>
      <w:bookmarkStart w:id="915" w:name="_Toc152042391"/>
      <w:bookmarkStart w:id="916" w:name="_Toc490222489"/>
      <w:bookmarkStart w:id="917" w:name="_Toc152045613"/>
      <w:bookmarkStart w:id="918" w:name="_Toc483668073"/>
      <w:bookmarkStart w:id="919" w:name="_Toc489279855"/>
      <w:bookmarkStart w:id="920" w:name="_Toc338944706"/>
      <w:r>
        <w:t xml:space="preserve">1.2  </w:t>
      </w:r>
      <w:r>
        <w:rPr>
          <w:rFonts w:hint="eastAsia"/>
        </w:rPr>
        <w:t>语言文字</w:t>
      </w:r>
      <w:bookmarkEnd w:id="908"/>
      <w:bookmarkEnd w:id="909"/>
      <w:bookmarkEnd w:id="910"/>
      <w:bookmarkEnd w:id="911"/>
      <w:bookmarkEnd w:id="912"/>
      <w:bookmarkEnd w:id="913"/>
      <w:bookmarkEnd w:id="914"/>
      <w:bookmarkEnd w:id="915"/>
      <w:bookmarkEnd w:id="916"/>
      <w:bookmarkEnd w:id="917"/>
      <w:bookmarkEnd w:id="918"/>
      <w:bookmarkEnd w:id="919"/>
      <w:bookmarkEnd w:id="920"/>
    </w:p>
    <w:p>
      <w:pPr>
        <w:spacing w:line="360" w:lineRule="auto"/>
        <w:ind w:firstLine="420" w:firstLineChars="200"/>
        <w:jc w:val="left"/>
        <w:rPr>
          <w:rFonts w:ascii="宋体"/>
        </w:rPr>
      </w:pPr>
      <w:r>
        <w:rPr>
          <w:rFonts w:hint="eastAsia" w:ascii="宋体" w:hAnsi="宋体"/>
        </w:rPr>
        <w:t>除专用术语外，合同使用的语言文字为中文。必要时专用术语应附有中文注释。</w:t>
      </w:r>
    </w:p>
    <w:p>
      <w:pPr>
        <w:pStyle w:val="253"/>
        <w:spacing w:before="120"/>
      </w:pPr>
      <w:bookmarkStart w:id="921" w:name="_Toc152045614"/>
      <w:bookmarkStart w:id="922" w:name="_Toc342296265"/>
      <w:bookmarkStart w:id="923" w:name="_Toc480486727"/>
      <w:bookmarkStart w:id="924" w:name="_Toc483668074"/>
      <w:bookmarkStart w:id="925" w:name="_Toc144974582"/>
      <w:bookmarkStart w:id="926" w:name="_Toc489279856"/>
      <w:bookmarkStart w:id="927" w:name="_Toc480486899"/>
      <w:bookmarkStart w:id="928" w:name="_Toc179632632"/>
      <w:bookmarkStart w:id="929" w:name="_Toc338944707"/>
      <w:bookmarkStart w:id="930" w:name="_Toc486580045"/>
      <w:bookmarkStart w:id="931" w:name="_Toc10233479"/>
      <w:bookmarkStart w:id="932" w:name="_Toc490222490"/>
      <w:bookmarkStart w:id="933" w:name="_Toc152042392"/>
      <w:r>
        <w:t xml:space="preserve">1.3  </w:t>
      </w:r>
      <w:r>
        <w:rPr>
          <w:rFonts w:hint="eastAsia"/>
        </w:rPr>
        <w:t>法律</w:t>
      </w:r>
      <w:bookmarkEnd w:id="921"/>
      <w:bookmarkEnd w:id="922"/>
      <w:bookmarkEnd w:id="923"/>
      <w:bookmarkEnd w:id="924"/>
      <w:bookmarkEnd w:id="925"/>
      <w:bookmarkEnd w:id="926"/>
      <w:bookmarkEnd w:id="927"/>
      <w:bookmarkEnd w:id="928"/>
      <w:bookmarkEnd w:id="929"/>
      <w:bookmarkEnd w:id="930"/>
      <w:bookmarkEnd w:id="931"/>
      <w:bookmarkEnd w:id="932"/>
      <w:bookmarkEnd w:id="933"/>
    </w:p>
    <w:p>
      <w:pPr>
        <w:spacing w:line="360" w:lineRule="auto"/>
        <w:ind w:firstLine="420" w:firstLineChars="200"/>
        <w:jc w:val="left"/>
        <w:rPr>
          <w:rFonts w:ascii="宋体"/>
        </w:rPr>
      </w:pPr>
      <w:r>
        <w:rPr>
          <w:rFonts w:hint="eastAsia" w:ascii="宋体" w:hAnsi="宋体"/>
        </w:rPr>
        <w:t>适用于合同的法律包括中华人民共和国法律、行政法规、部门规章，以及工程所在地的地方法规、自治条例、单行条例和地方政府规章。</w:t>
      </w:r>
    </w:p>
    <w:p>
      <w:pPr>
        <w:pStyle w:val="253"/>
        <w:spacing w:before="120"/>
      </w:pPr>
      <w:bookmarkStart w:id="934" w:name="_Toc480486728"/>
      <w:bookmarkStart w:id="935" w:name="_Toc483668075"/>
      <w:bookmarkStart w:id="936" w:name="_Toc480486900"/>
      <w:bookmarkStart w:id="937" w:name="_Toc10233480"/>
      <w:bookmarkStart w:id="938" w:name="_Toc489279857"/>
      <w:bookmarkStart w:id="939" w:name="_Toc338944708"/>
      <w:bookmarkStart w:id="940" w:name="_Toc486580046"/>
      <w:bookmarkStart w:id="941" w:name="_Toc342296266"/>
      <w:bookmarkStart w:id="942" w:name="_Toc490222491"/>
      <w:r>
        <w:t xml:space="preserve">1.4  </w:t>
      </w:r>
      <w:r>
        <w:rPr>
          <w:rFonts w:hint="eastAsia"/>
        </w:rPr>
        <w:t>合同文件的优先顺序</w:t>
      </w:r>
      <w:bookmarkEnd w:id="934"/>
      <w:bookmarkEnd w:id="935"/>
      <w:bookmarkEnd w:id="936"/>
      <w:bookmarkEnd w:id="937"/>
      <w:bookmarkEnd w:id="938"/>
      <w:bookmarkEnd w:id="939"/>
      <w:bookmarkEnd w:id="940"/>
      <w:bookmarkEnd w:id="941"/>
      <w:bookmarkEnd w:id="942"/>
    </w:p>
    <w:p>
      <w:pPr>
        <w:spacing w:line="360" w:lineRule="auto"/>
        <w:ind w:firstLine="420" w:firstLineChars="200"/>
        <w:rPr>
          <w:rFonts w:ascii="宋体"/>
        </w:rPr>
      </w:pPr>
      <w:r>
        <w:rPr>
          <w:rFonts w:hint="eastAsia" w:ascii="宋体" w:hAnsi="宋体"/>
        </w:rPr>
        <w:t>组成合同的各项文件应互相解释，互为说明。除合同条款专用部分另有约定外，解释合同文件的优先顺序如下：</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）合同协议书；</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）成交通知书；</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w:t>
      </w:r>
      <w:r>
        <w:rPr>
          <w:rFonts w:hint="eastAsia" w:ascii="宋体" w:hAnsi="宋体"/>
          <w:lang w:eastAsia="zh-CN"/>
        </w:rPr>
        <w:t>响应书</w:t>
      </w:r>
      <w:r>
        <w:rPr>
          <w:rFonts w:hint="eastAsia" w:ascii="宋体" w:hAnsi="宋体"/>
        </w:rPr>
        <w:t>；</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）合同条款专用部分；</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）合同条款通用部分；</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）技术标准和要求；</w:t>
      </w:r>
    </w:p>
    <w:p>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）图纸；</w:t>
      </w:r>
    </w:p>
    <w:p>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）已标价工程量清单；</w:t>
      </w:r>
    </w:p>
    <w:p>
      <w:pPr>
        <w:spacing w:line="360" w:lineRule="auto"/>
        <w:ind w:firstLine="315" w:firstLineChars="150"/>
        <w:rPr>
          <w:rFonts w:ascii="宋体"/>
        </w:rPr>
      </w:pPr>
      <w:r>
        <w:rPr>
          <w:rFonts w:hint="eastAsia" w:ascii="宋体" w:hAnsi="宋体"/>
        </w:rPr>
        <w:t>（</w:t>
      </w:r>
      <w:r>
        <w:rPr>
          <w:rFonts w:ascii="宋体" w:hAnsi="宋体"/>
        </w:rPr>
        <w:t>9</w:t>
      </w:r>
      <w:r>
        <w:rPr>
          <w:rFonts w:hint="eastAsia" w:ascii="宋体" w:hAnsi="宋体"/>
        </w:rPr>
        <w:t>）其他合同文件。</w:t>
      </w:r>
    </w:p>
    <w:p>
      <w:pPr>
        <w:spacing w:line="360" w:lineRule="auto"/>
        <w:ind w:firstLine="420" w:firstLineChars="200"/>
        <w:rPr>
          <w:rFonts w:ascii="宋体" w:cs="Arial"/>
        </w:rPr>
      </w:pPr>
      <w:r>
        <w:rPr>
          <w:rFonts w:hint="eastAsia" w:ascii="宋体" w:hAnsi="宋体" w:cs="Arial"/>
        </w:rPr>
        <w:t>附注：</w:t>
      </w:r>
      <w:r>
        <w:rPr>
          <w:rFonts w:hint="eastAsia" w:ascii="宋体" w:hAnsi="宋体"/>
        </w:rPr>
        <w:t>构成合同文件的</w:t>
      </w:r>
      <w:r>
        <w:rPr>
          <w:rFonts w:hint="eastAsia" w:ascii="宋体" w:hAnsi="宋体" w:cs="Arial"/>
        </w:rPr>
        <w:t>图纸与技术标准和要求之间有矛盾或者不一致的，应以其中要求较严格的标准为准。</w:t>
      </w:r>
    </w:p>
    <w:p>
      <w:pPr>
        <w:spacing w:line="360" w:lineRule="auto"/>
        <w:ind w:firstLine="420" w:firstLineChars="200"/>
        <w:rPr>
          <w:rFonts w:ascii="宋体"/>
        </w:rPr>
      </w:pPr>
      <w:r>
        <w:rPr>
          <w:rFonts w:hint="eastAsia" w:ascii="宋体" w:hAnsi="宋体" w:cs="Arial"/>
        </w:rPr>
        <w:t>合同双方在合同履行过程中签署的不背离合同实质性内容的补充协议，应当视为合同文件的有效组成部分，其解释顺序视其内容与其他合同文件的相互关系而定。</w:t>
      </w:r>
    </w:p>
    <w:p>
      <w:pPr>
        <w:pStyle w:val="253"/>
        <w:spacing w:before="120"/>
      </w:pPr>
      <w:bookmarkStart w:id="943" w:name="_Toc483668076"/>
      <w:bookmarkStart w:id="944" w:name="_Toc490222492"/>
      <w:bookmarkStart w:id="945" w:name="_Toc480486729"/>
      <w:bookmarkStart w:id="946" w:name="_Toc489279858"/>
      <w:bookmarkStart w:id="947" w:name="_Toc10233481"/>
      <w:bookmarkStart w:id="948" w:name="_Toc338944709"/>
      <w:bookmarkStart w:id="949" w:name="_Toc342296267"/>
      <w:bookmarkStart w:id="950" w:name="_Toc480486901"/>
      <w:bookmarkStart w:id="951" w:name="_Toc486580047"/>
      <w:r>
        <w:t xml:space="preserve">1.5  </w:t>
      </w:r>
      <w:r>
        <w:rPr>
          <w:rFonts w:hint="eastAsia"/>
        </w:rPr>
        <w:t>合同协议书</w:t>
      </w:r>
      <w:bookmarkEnd w:id="943"/>
      <w:bookmarkEnd w:id="944"/>
      <w:bookmarkEnd w:id="945"/>
      <w:bookmarkEnd w:id="946"/>
      <w:bookmarkEnd w:id="947"/>
      <w:bookmarkEnd w:id="948"/>
      <w:bookmarkEnd w:id="949"/>
      <w:bookmarkEnd w:id="950"/>
      <w:bookmarkEnd w:id="951"/>
    </w:p>
    <w:p>
      <w:pPr>
        <w:spacing w:line="360" w:lineRule="auto"/>
        <w:ind w:firstLine="420" w:firstLineChars="200"/>
        <w:jc w:val="left"/>
        <w:rPr>
          <w:rFonts w:ascii="宋体"/>
        </w:rPr>
      </w:pPr>
      <w:r>
        <w:rPr>
          <w:rFonts w:hint="eastAsia" w:ascii="宋体" w:hAnsi="宋体"/>
        </w:rPr>
        <w:t>指由发包人与承包人共同签署的用于明确当事人合同关系的文件。承包人按照成交通知书规定的时间与发包人签订的合同协议书，除法律另有规定或合同条款专用部分另有约定外，发包人和承包人的法定代表人或其委托代理人在合同协议书上签字并盖单位章后，合同生效。合同生效的条件</w:t>
      </w:r>
      <w:r>
        <w:rPr>
          <w:rFonts w:hint="eastAsia" w:ascii="黑体" w:hAnsi="黑体" w:eastAsia="黑体"/>
        </w:rPr>
        <w:t>见合同条款专用部分</w:t>
      </w:r>
      <w:r>
        <w:rPr>
          <w:rFonts w:hint="eastAsia" w:ascii="宋体" w:hAnsi="宋体"/>
        </w:rPr>
        <w:t>。</w:t>
      </w:r>
    </w:p>
    <w:p>
      <w:pPr>
        <w:pStyle w:val="253"/>
        <w:spacing w:before="120"/>
      </w:pPr>
      <w:bookmarkStart w:id="952" w:name="_Toc10233482"/>
      <w:bookmarkStart w:id="953" w:name="_Toc490222493"/>
      <w:bookmarkStart w:id="954" w:name="_Toc489279859"/>
      <w:bookmarkStart w:id="955" w:name="_Toc342296268"/>
      <w:bookmarkStart w:id="956" w:name="_Toc480486902"/>
      <w:bookmarkStart w:id="957" w:name="_Toc486580048"/>
      <w:bookmarkStart w:id="958" w:name="_Toc483668077"/>
      <w:bookmarkStart w:id="959" w:name="_Toc338944710"/>
      <w:bookmarkStart w:id="960" w:name="_Toc480486730"/>
      <w:r>
        <w:t xml:space="preserve">1.6  </w:t>
      </w:r>
      <w:r>
        <w:rPr>
          <w:rFonts w:hint="eastAsia"/>
        </w:rPr>
        <w:t>图纸和承包人文件</w:t>
      </w:r>
      <w:bookmarkEnd w:id="952"/>
      <w:bookmarkEnd w:id="953"/>
      <w:bookmarkEnd w:id="954"/>
      <w:bookmarkEnd w:id="955"/>
      <w:bookmarkEnd w:id="956"/>
      <w:bookmarkEnd w:id="957"/>
      <w:bookmarkEnd w:id="958"/>
      <w:bookmarkEnd w:id="959"/>
      <w:bookmarkEnd w:id="960"/>
    </w:p>
    <w:p>
      <w:pPr>
        <w:spacing w:line="360" w:lineRule="auto"/>
        <w:ind w:firstLine="420" w:firstLineChars="200"/>
        <w:jc w:val="left"/>
        <w:rPr>
          <w:rFonts w:ascii="宋体"/>
        </w:rPr>
      </w:pPr>
      <w:r>
        <w:rPr>
          <w:rFonts w:ascii="宋体" w:hAnsi="宋体"/>
        </w:rPr>
        <w:t xml:space="preserve">1.6.1  </w:t>
      </w:r>
      <w:r>
        <w:rPr>
          <w:rFonts w:hint="eastAsia" w:ascii="宋体" w:hAnsi="宋体"/>
        </w:rPr>
        <w:t>图纸的提供</w:t>
      </w:r>
    </w:p>
    <w:p>
      <w:pPr>
        <w:spacing w:line="360" w:lineRule="auto"/>
        <w:ind w:firstLine="420" w:firstLineChars="200"/>
        <w:jc w:val="left"/>
        <w:rPr>
          <w:rFonts w:ascii="宋体"/>
        </w:rPr>
      </w:pPr>
      <w:r>
        <w:rPr>
          <w:rFonts w:hint="eastAsia" w:ascii="宋体" w:hAnsi="宋体"/>
        </w:rPr>
        <w:t>（</w:t>
      </w:r>
      <w:r>
        <w:rPr>
          <w:rFonts w:ascii="宋体" w:hAnsi="宋体"/>
        </w:rPr>
        <w:t>1</w:t>
      </w:r>
      <w:r>
        <w:rPr>
          <w:rFonts w:hint="eastAsia" w:ascii="宋体" w:hAnsi="宋体"/>
        </w:rPr>
        <w:t>）发包人按照合同约定向承包人提供图纸。发包人未按时提供图纸造成工期延误的，按第</w:t>
      </w:r>
      <w:r>
        <w:rPr>
          <w:rFonts w:ascii="宋体" w:hAnsi="宋体"/>
        </w:rPr>
        <w:t>11.3</w:t>
      </w:r>
      <w:r>
        <w:rPr>
          <w:rFonts w:hint="eastAsia" w:ascii="宋体" w:hAnsi="宋体"/>
        </w:rPr>
        <w:t>款的约定办理。承包人需要增加图纸套数的，发包人应代为复制，复制费用由承包人承担。</w:t>
      </w:r>
    </w:p>
    <w:p>
      <w:pPr>
        <w:spacing w:line="360" w:lineRule="auto"/>
        <w:ind w:firstLine="420" w:firstLineChars="200"/>
        <w:jc w:val="left"/>
        <w:rPr>
          <w:rFonts w:ascii="宋体"/>
        </w:rPr>
      </w:pPr>
      <w:r>
        <w:rPr>
          <w:rFonts w:hint="eastAsia" w:ascii="宋体" w:hAnsi="宋体"/>
        </w:rPr>
        <w:t>（</w:t>
      </w:r>
      <w:r>
        <w:rPr>
          <w:rFonts w:ascii="宋体" w:hAnsi="宋体"/>
        </w:rPr>
        <w:t>2</w:t>
      </w:r>
      <w:r>
        <w:rPr>
          <w:rFonts w:hint="eastAsia" w:ascii="宋体" w:hAnsi="宋体"/>
        </w:rPr>
        <w:t>）依据合同条款专用部分第</w:t>
      </w:r>
      <w:r>
        <w:rPr>
          <w:rFonts w:ascii="宋体" w:hAnsi="宋体"/>
        </w:rPr>
        <w:t>10.1</w:t>
      </w:r>
      <w:r>
        <w:rPr>
          <w:rFonts w:hint="eastAsia" w:ascii="宋体" w:hAnsi="宋体"/>
        </w:rPr>
        <w:t>款约定制定的合同进度计划，或依据合同条款专用部分第</w:t>
      </w:r>
      <w:r>
        <w:rPr>
          <w:rFonts w:ascii="宋体" w:hAnsi="宋体"/>
        </w:rPr>
        <w:t>10.2</w:t>
      </w:r>
      <w:r>
        <w:rPr>
          <w:rFonts w:hint="eastAsia" w:ascii="宋体" w:hAnsi="宋体"/>
        </w:rPr>
        <w:t>款约定修订的合同进度计划，经监理人批准后</w:t>
      </w:r>
      <w:r>
        <w:rPr>
          <w:rFonts w:ascii="宋体" w:hAnsi="宋体"/>
        </w:rPr>
        <w:t>7</w:t>
      </w:r>
      <w:r>
        <w:rPr>
          <w:rFonts w:hint="eastAsia" w:ascii="宋体" w:hAnsi="宋体"/>
        </w:rPr>
        <w:t>日内，承包人应当根据合同进度计划或合同进度计划修订和本项约定的图纸提供期限和数量，编制或者修改图纸供应计划并报送监理人，其中应当载明承包人对各最新版本图纸</w:t>
      </w:r>
      <w:r>
        <w:rPr>
          <w:rFonts w:ascii="宋体" w:hAnsi="宋体"/>
        </w:rPr>
        <w:t>(</w:t>
      </w:r>
      <w:r>
        <w:rPr>
          <w:rFonts w:hint="eastAsia" w:ascii="宋体" w:hAnsi="宋体"/>
        </w:rPr>
        <w:t>包括第</w:t>
      </w:r>
      <w:r>
        <w:rPr>
          <w:rFonts w:ascii="宋体" w:hAnsi="宋体"/>
        </w:rPr>
        <w:t>1.6.3</w:t>
      </w:r>
      <w:r>
        <w:rPr>
          <w:rFonts w:hint="eastAsia" w:ascii="宋体" w:hAnsi="宋体"/>
        </w:rPr>
        <w:t>项约定的图纸修改图</w:t>
      </w:r>
      <w:r>
        <w:rPr>
          <w:rFonts w:ascii="宋体" w:hAnsi="宋体"/>
        </w:rPr>
        <w:t>)</w:t>
      </w:r>
      <w:r>
        <w:rPr>
          <w:rFonts w:hint="eastAsia" w:ascii="宋体" w:hAnsi="宋体"/>
        </w:rPr>
        <w:t>的最迟需求时间，监理人应当在收到图纸供应计划后</w:t>
      </w:r>
      <w:r>
        <w:rPr>
          <w:rFonts w:ascii="宋体" w:hAnsi="宋体"/>
        </w:rPr>
        <w:t>7</w:t>
      </w:r>
      <w:r>
        <w:rPr>
          <w:rFonts w:hint="eastAsia" w:ascii="宋体" w:hAnsi="宋体"/>
        </w:rPr>
        <w:t>天内批复或提出修改意见，否则该图纸供应计划视为得到批准。</w:t>
      </w:r>
    </w:p>
    <w:p>
      <w:pPr>
        <w:spacing w:line="360" w:lineRule="auto"/>
        <w:ind w:firstLine="420" w:firstLineChars="200"/>
        <w:jc w:val="left"/>
        <w:rPr>
          <w:rFonts w:ascii="宋体"/>
        </w:rPr>
      </w:pPr>
      <w:r>
        <w:rPr>
          <w:rFonts w:hint="eastAsia" w:ascii="宋体" w:hAnsi="宋体"/>
        </w:rPr>
        <w:t>（</w:t>
      </w:r>
      <w:r>
        <w:rPr>
          <w:rFonts w:ascii="宋体" w:hAnsi="宋体"/>
        </w:rPr>
        <w:t>3</w:t>
      </w:r>
      <w:r>
        <w:rPr>
          <w:rFonts w:hint="eastAsia" w:ascii="宋体" w:hAnsi="宋体"/>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pPr>
        <w:spacing w:line="360" w:lineRule="auto"/>
        <w:ind w:firstLine="420" w:firstLineChars="200"/>
        <w:jc w:val="left"/>
        <w:rPr>
          <w:rFonts w:ascii="宋体"/>
        </w:rPr>
      </w:pPr>
      <w:r>
        <w:rPr>
          <w:rFonts w:hint="eastAsia" w:ascii="宋体" w:hAnsi="宋体"/>
        </w:rPr>
        <w:t>（</w:t>
      </w:r>
      <w:r>
        <w:rPr>
          <w:rFonts w:ascii="宋体" w:hAnsi="宋体"/>
        </w:rPr>
        <w:t>4</w:t>
      </w:r>
      <w:r>
        <w:rPr>
          <w:rFonts w:hint="eastAsia" w:ascii="宋体" w:hAnsi="宋体"/>
        </w:rPr>
        <w:t>）承包人未按照约定的时间向监理人提交图纸供应计划</w:t>
      </w:r>
      <w:r>
        <w:rPr>
          <w:rFonts w:ascii="宋体"/>
        </w:rPr>
        <w:t>,</w:t>
      </w:r>
      <w:r>
        <w:rPr>
          <w:rFonts w:hint="eastAsia" w:ascii="宋体" w:hAnsi="宋体"/>
        </w:rPr>
        <w:t>致使发包人或者监理人未能在约定的时间内提供相应图纸或者承包人未按照图纸供应计划组织施工所造成的费用增加和（或）工期延误由承包人承担。</w:t>
      </w:r>
    </w:p>
    <w:p>
      <w:pPr>
        <w:spacing w:line="360" w:lineRule="auto"/>
        <w:ind w:firstLine="420" w:firstLineChars="200"/>
        <w:jc w:val="left"/>
        <w:rPr>
          <w:rFonts w:ascii="宋体"/>
        </w:rPr>
      </w:pPr>
      <w:r>
        <w:rPr>
          <w:rFonts w:hint="eastAsia" w:ascii="宋体" w:hAnsi="宋体"/>
        </w:rPr>
        <w:t>（</w:t>
      </w:r>
      <w:r>
        <w:rPr>
          <w:rFonts w:ascii="宋体" w:hAnsi="宋体"/>
        </w:rPr>
        <w:t>5</w:t>
      </w:r>
      <w:r>
        <w:rPr>
          <w:rFonts w:hint="eastAsia" w:ascii="宋体" w:hAnsi="宋体"/>
        </w:rPr>
        <w:t>）发包人提供图纸的期限、数量和其他约定</w:t>
      </w:r>
      <w:r>
        <w:rPr>
          <w:rFonts w:hint="eastAsia" w:ascii="黑体" w:hAnsi="黑体" w:eastAsia="黑体"/>
        </w:rPr>
        <w:t>见合同条款专用部分</w:t>
      </w:r>
      <w:r>
        <w:rPr>
          <w:rFonts w:hint="eastAsia" w:ascii="宋体" w:hAnsi="宋体"/>
        </w:rPr>
        <w:t>。</w:t>
      </w:r>
    </w:p>
    <w:p>
      <w:pPr>
        <w:spacing w:line="360" w:lineRule="auto"/>
        <w:ind w:firstLine="420" w:firstLineChars="200"/>
        <w:rPr>
          <w:rFonts w:ascii="宋体"/>
        </w:rPr>
      </w:pPr>
      <w:r>
        <w:rPr>
          <w:rFonts w:ascii="宋体" w:hAnsi="宋体"/>
        </w:rPr>
        <w:t xml:space="preserve">1.6.2  </w:t>
      </w:r>
      <w:r>
        <w:rPr>
          <w:rFonts w:hint="eastAsia" w:ascii="宋体" w:hAnsi="宋体"/>
        </w:rPr>
        <w:t>承包人提供的文件</w:t>
      </w:r>
    </w:p>
    <w:p>
      <w:pPr>
        <w:spacing w:line="360" w:lineRule="auto"/>
        <w:ind w:firstLine="420" w:firstLineChars="200"/>
        <w:jc w:val="left"/>
        <w:rPr>
          <w:rFonts w:ascii="宋体"/>
        </w:rPr>
      </w:pPr>
      <w:r>
        <w:rPr>
          <w:rFonts w:hint="eastAsia" w:ascii="宋体" w:hAnsi="宋体"/>
        </w:rPr>
        <w:t>（</w:t>
      </w:r>
      <w:r>
        <w:rPr>
          <w:rFonts w:ascii="宋体" w:hAnsi="宋体"/>
        </w:rPr>
        <w:t>1</w:t>
      </w:r>
      <w:r>
        <w:rPr>
          <w:rFonts w:hint="eastAsia" w:ascii="宋体" w:hAnsi="宋体"/>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Pr>
          <w:rFonts w:hint="eastAsia" w:ascii="黑体" w:hAnsi="黑体" w:eastAsia="黑体"/>
        </w:rPr>
        <w:t>见合同条款专用部分</w:t>
      </w:r>
      <w:r>
        <w:rPr>
          <w:rFonts w:hint="eastAsia" w:ascii="宋体" w:hAnsi="宋体"/>
        </w:rPr>
        <w:t>。</w:t>
      </w:r>
    </w:p>
    <w:p>
      <w:pPr>
        <w:spacing w:line="360" w:lineRule="auto"/>
        <w:ind w:firstLine="420" w:firstLineChars="200"/>
        <w:jc w:val="left"/>
        <w:rPr>
          <w:rFonts w:ascii="宋体"/>
        </w:rPr>
      </w:pPr>
      <w:r>
        <w:rPr>
          <w:rFonts w:hint="eastAsia" w:ascii="宋体" w:hAnsi="宋体"/>
        </w:rPr>
        <w:t>（</w:t>
      </w:r>
      <w:r>
        <w:rPr>
          <w:rFonts w:ascii="宋体" w:hAnsi="宋体"/>
        </w:rPr>
        <w:t>2</w:t>
      </w:r>
      <w:r>
        <w:rPr>
          <w:rFonts w:hint="eastAsia" w:ascii="宋体" w:hAnsi="宋体"/>
        </w:rPr>
        <w:t>）除合同条款第</w:t>
      </w:r>
      <w:r>
        <w:rPr>
          <w:rFonts w:ascii="宋体" w:hAnsi="宋体"/>
        </w:rPr>
        <w:t>4.1.10</w:t>
      </w:r>
      <w:r>
        <w:rPr>
          <w:rFonts w:hint="eastAsia" w:ascii="宋体" w:hAnsi="宋体"/>
        </w:rPr>
        <w:t>项约定的由承包人提供的设计文件外，本项约定的其他应由承包人提供的文件，包括必要的加工图和大样图，均不能作为合同计量与支付的依据文件。</w:t>
      </w:r>
    </w:p>
    <w:p>
      <w:pPr>
        <w:spacing w:line="360" w:lineRule="auto"/>
        <w:ind w:firstLine="420" w:firstLineChars="200"/>
        <w:jc w:val="left"/>
        <w:rPr>
          <w:rFonts w:ascii="宋体"/>
        </w:rPr>
      </w:pPr>
      <w:r>
        <w:rPr>
          <w:rFonts w:ascii="宋体" w:hAnsi="宋体"/>
        </w:rPr>
        <w:t xml:space="preserve">1.6.3  </w:t>
      </w:r>
      <w:r>
        <w:rPr>
          <w:rFonts w:hint="eastAsia" w:ascii="宋体" w:hAnsi="宋体"/>
        </w:rPr>
        <w:t>图纸的修改</w:t>
      </w:r>
    </w:p>
    <w:p>
      <w:pPr>
        <w:spacing w:line="360" w:lineRule="auto"/>
        <w:ind w:firstLine="420" w:firstLineChars="200"/>
        <w:jc w:val="left"/>
        <w:rPr>
          <w:rFonts w:ascii="宋体"/>
        </w:rPr>
      </w:pPr>
      <w:r>
        <w:rPr>
          <w:rFonts w:hint="eastAsia" w:ascii="宋体" w:hAnsi="宋体"/>
        </w:rPr>
        <w:t>图纸需要修改和补充的，监理人应当按照合同条款第</w:t>
      </w:r>
      <w:r>
        <w:rPr>
          <w:rFonts w:ascii="宋体" w:hAnsi="宋体"/>
        </w:rPr>
        <w:t>1.6.1</w:t>
      </w:r>
      <w:r>
        <w:rPr>
          <w:rFonts w:hint="eastAsia" w:ascii="宋体" w:hAnsi="宋体"/>
        </w:rPr>
        <w:t>（</w:t>
      </w:r>
      <w:r>
        <w:rPr>
          <w:rFonts w:ascii="宋体" w:hAnsi="宋体"/>
        </w:rPr>
        <w:t>2</w:t>
      </w:r>
      <w:r>
        <w:rPr>
          <w:rFonts w:hint="eastAsia" w:ascii="宋体" w:hAnsi="宋体"/>
        </w:rPr>
        <w:t>）目约定的有合同约束力的图纸供应计划，签发图纸修改图给承包人。承包人应按修改后的图纸施工。</w:t>
      </w:r>
    </w:p>
    <w:p>
      <w:pPr>
        <w:spacing w:line="360" w:lineRule="auto"/>
        <w:ind w:firstLine="420" w:firstLineChars="200"/>
        <w:jc w:val="left"/>
        <w:rPr>
          <w:rFonts w:ascii="宋体"/>
        </w:rPr>
      </w:pPr>
      <w:r>
        <w:rPr>
          <w:rFonts w:ascii="宋体" w:hAnsi="宋体"/>
        </w:rPr>
        <w:t xml:space="preserve">1.6.4  </w:t>
      </w:r>
      <w:r>
        <w:rPr>
          <w:rFonts w:hint="eastAsia" w:ascii="宋体" w:hAnsi="宋体"/>
        </w:rPr>
        <w:t>图纸的错误</w:t>
      </w:r>
    </w:p>
    <w:p>
      <w:pPr>
        <w:spacing w:line="360" w:lineRule="auto"/>
        <w:ind w:firstLine="420" w:firstLineChars="200"/>
        <w:jc w:val="left"/>
        <w:rPr>
          <w:rFonts w:ascii="宋体"/>
        </w:rPr>
      </w:pPr>
      <w:r>
        <w:rPr>
          <w:rFonts w:hint="eastAsia" w:ascii="宋体" w:hAnsi="宋体"/>
        </w:rPr>
        <w:t>承包人发现发包人提供的图纸存在明显错误或疏忽，应及时通知监理人。</w:t>
      </w:r>
    </w:p>
    <w:p>
      <w:pPr>
        <w:spacing w:line="360" w:lineRule="auto"/>
        <w:ind w:firstLine="420" w:firstLineChars="200"/>
        <w:jc w:val="left"/>
        <w:rPr>
          <w:rFonts w:ascii="宋体"/>
        </w:rPr>
      </w:pPr>
      <w:r>
        <w:rPr>
          <w:rFonts w:ascii="宋体" w:hAnsi="宋体"/>
        </w:rPr>
        <w:t xml:space="preserve">1.6.5  </w:t>
      </w:r>
      <w:r>
        <w:rPr>
          <w:rFonts w:hint="eastAsia" w:ascii="宋体" w:hAnsi="宋体"/>
        </w:rPr>
        <w:t>图纸和承包人文件的保管</w:t>
      </w:r>
    </w:p>
    <w:p>
      <w:pPr>
        <w:spacing w:line="360" w:lineRule="auto"/>
        <w:ind w:firstLine="420" w:firstLineChars="200"/>
        <w:jc w:val="left"/>
        <w:rPr>
          <w:rFonts w:ascii="宋体"/>
        </w:rPr>
      </w:pPr>
      <w:r>
        <w:rPr>
          <w:rFonts w:hint="eastAsia" w:ascii="宋体" w:hAnsi="宋体"/>
        </w:rPr>
        <w:t>监理人和承包人均应在施工场地各保存一套完整的包含第</w:t>
      </w:r>
      <w:r>
        <w:rPr>
          <w:rFonts w:ascii="宋体" w:hAnsi="宋体"/>
        </w:rPr>
        <w:t>1.6.1</w:t>
      </w:r>
      <w:r>
        <w:rPr>
          <w:rFonts w:hint="eastAsia" w:ascii="宋体" w:hAnsi="宋体"/>
        </w:rPr>
        <w:t>项、第</w:t>
      </w:r>
      <w:r>
        <w:rPr>
          <w:rFonts w:ascii="宋体" w:hAnsi="宋体"/>
        </w:rPr>
        <w:t>1.6.2</w:t>
      </w:r>
      <w:r>
        <w:rPr>
          <w:rFonts w:hint="eastAsia" w:ascii="宋体" w:hAnsi="宋体"/>
        </w:rPr>
        <w:t>项、第</w:t>
      </w:r>
      <w:r>
        <w:rPr>
          <w:rFonts w:ascii="宋体" w:hAnsi="宋体"/>
        </w:rPr>
        <w:t>1.6.3</w:t>
      </w:r>
      <w:r>
        <w:rPr>
          <w:rFonts w:hint="eastAsia" w:ascii="宋体" w:hAnsi="宋体"/>
        </w:rPr>
        <w:t>项约定内容的图纸和承包人文件。</w:t>
      </w:r>
    </w:p>
    <w:p>
      <w:pPr>
        <w:pStyle w:val="253"/>
        <w:spacing w:before="120"/>
      </w:pPr>
      <w:bookmarkStart w:id="961" w:name="_Toc489279860"/>
      <w:bookmarkStart w:id="962" w:name="_Toc486580049"/>
      <w:bookmarkStart w:id="963" w:name="_Toc338944711"/>
      <w:bookmarkStart w:id="964" w:name="_Toc480486903"/>
      <w:bookmarkStart w:id="965" w:name="_Toc490222494"/>
      <w:bookmarkStart w:id="966" w:name="_Toc10233483"/>
      <w:bookmarkStart w:id="967" w:name="_Toc480486731"/>
      <w:bookmarkStart w:id="968" w:name="_Toc342296269"/>
      <w:bookmarkStart w:id="969" w:name="_Toc483668078"/>
      <w:r>
        <w:t xml:space="preserve">1.7  </w:t>
      </w:r>
      <w:r>
        <w:rPr>
          <w:rFonts w:hint="eastAsia"/>
        </w:rPr>
        <w:t>联络</w:t>
      </w:r>
      <w:bookmarkEnd w:id="961"/>
      <w:bookmarkEnd w:id="962"/>
      <w:bookmarkEnd w:id="963"/>
      <w:bookmarkEnd w:id="964"/>
      <w:bookmarkEnd w:id="965"/>
      <w:bookmarkEnd w:id="966"/>
      <w:bookmarkEnd w:id="967"/>
      <w:bookmarkEnd w:id="968"/>
      <w:bookmarkEnd w:id="969"/>
    </w:p>
    <w:p>
      <w:pPr>
        <w:spacing w:line="360" w:lineRule="auto"/>
        <w:ind w:firstLine="420" w:firstLineChars="200"/>
        <w:jc w:val="left"/>
        <w:rPr>
          <w:rFonts w:ascii="宋体"/>
        </w:rPr>
      </w:pPr>
      <w:r>
        <w:rPr>
          <w:rFonts w:ascii="宋体" w:hAnsi="宋体"/>
        </w:rPr>
        <w:t xml:space="preserve">1.7.1  </w:t>
      </w:r>
      <w:r>
        <w:rPr>
          <w:rFonts w:hint="eastAsia" w:ascii="宋体" w:hAnsi="宋体"/>
        </w:rPr>
        <w:t>与合同有关的通知、批准、证明、证书、指示、要求、请求、同意、意见、确定和决定等，均应采用书面形式。</w:t>
      </w:r>
    </w:p>
    <w:p>
      <w:pPr>
        <w:spacing w:line="360" w:lineRule="auto"/>
        <w:ind w:firstLine="420" w:firstLineChars="200"/>
        <w:jc w:val="left"/>
        <w:rPr>
          <w:rFonts w:ascii="宋体"/>
        </w:rPr>
      </w:pPr>
      <w:r>
        <w:rPr>
          <w:rFonts w:ascii="宋体" w:hAnsi="宋体"/>
        </w:rPr>
        <w:t xml:space="preserve">1.7.2  </w:t>
      </w:r>
      <w:r>
        <w:rPr>
          <w:rFonts w:hint="eastAsia" w:ascii="宋体" w:hAnsi="宋体"/>
        </w:rPr>
        <w:t>第</w:t>
      </w:r>
      <w:r>
        <w:rPr>
          <w:rFonts w:ascii="宋体" w:hAnsi="宋体"/>
        </w:rPr>
        <w:t>1.7.1</w:t>
      </w:r>
      <w:r>
        <w:rPr>
          <w:rFonts w:hint="eastAsia" w:ascii="宋体" w:hAnsi="宋体"/>
        </w:rPr>
        <w:t>项中的通知、批准、证明、证书、指示、要求、请求、同意、意见、确定和决定等来往函件，均应在合同约定的期限内送达指定地点和接收人，并办理签收手续。</w:t>
      </w:r>
    </w:p>
    <w:p>
      <w:pPr>
        <w:spacing w:line="360" w:lineRule="auto"/>
        <w:ind w:firstLine="420" w:firstLineChars="200"/>
        <w:jc w:val="left"/>
        <w:rPr>
          <w:rFonts w:ascii="宋体"/>
        </w:rPr>
      </w:pPr>
      <w:r>
        <w:rPr>
          <w:rFonts w:hint="eastAsia" w:ascii="宋体" w:hAnsi="宋体"/>
        </w:rPr>
        <w:t>（</w:t>
      </w:r>
      <w:r>
        <w:rPr>
          <w:rFonts w:ascii="宋体" w:hAnsi="宋体"/>
        </w:rPr>
        <w:t>1</w:t>
      </w:r>
      <w:r>
        <w:rPr>
          <w:rFonts w:hint="eastAsia" w:ascii="宋体" w:hAnsi="宋体"/>
        </w:rPr>
        <w:t>）联络来往信函的送达期限：合同约定了发出期限的，送达期限为合同约定的发出期限后的</w:t>
      </w:r>
      <w:r>
        <w:rPr>
          <w:rFonts w:ascii="宋体" w:hAnsi="宋体"/>
        </w:rPr>
        <w:t>24</w:t>
      </w:r>
      <w:r>
        <w:rPr>
          <w:rFonts w:hint="eastAsia" w:ascii="宋体" w:hAnsi="宋体"/>
        </w:rPr>
        <w:t>小时内；合同约定了通知、提供或者报送期限的，通知、提供或者报送期限即为送达期限。</w:t>
      </w:r>
    </w:p>
    <w:p>
      <w:pPr>
        <w:spacing w:line="360" w:lineRule="auto"/>
        <w:ind w:firstLine="420" w:firstLineChars="200"/>
        <w:jc w:val="left"/>
        <w:rPr>
          <w:rFonts w:ascii="宋体"/>
        </w:rPr>
      </w:pPr>
      <w:r>
        <w:rPr>
          <w:rFonts w:hint="eastAsia" w:ascii="宋体" w:hAnsi="宋体"/>
        </w:rPr>
        <w:t>（</w:t>
      </w:r>
      <w:r>
        <w:rPr>
          <w:rFonts w:ascii="宋体" w:hAnsi="宋体"/>
        </w:rPr>
        <w:t>2</w:t>
      </w:r>
      <w:r>
        <w:rPr>
          <w:rFonts w:hint="eastAsia" w:ascii="宋体" w:hAnsi="宋体"/>
        </w:rPr>
        <w:t>）发包人指定的接收人和接收地点</w:t>
      </w:r>
      <w:r>
        <w:rPr>
          <w:rFonts w:hint="eastAsia" w:ascii="黑体" w:hAnsi="黑体" w:eastAsia="黑体"/>
        </w:rPr>
        <w:t>见合同条款专用部分</w:t>
      </w:r>
      <w:r>
        <w:rPr>
          <w:rFonts w:hint="eastAsia" w:ascii="宋体" w:hAnsi="宋体"/>
        </w:rPr>
        <w:t>。</w:t>
      </w:r>
    </w:p>
    <w:p>
      <w:pPr>
        <w:spacing w:line="360" w:lineRule="auto"/>
        <w:ind w:firstLine="420" w:firstLineChars="200"/>
        <w:jc w:val="left"/>
        <w:rPr>
          <w:rFonts w:ascii="宋体"/>
        </w:rPr>
      </w:pPr>
      <w:r>
        <w:rPr>
          <w:rFonts w:hint="eastAsia" w:ascii="宋体" w:hAnsi="宋体"/>
        </w:rPr>
        <w:t>（</w:t>
      </w:r>
      <w:r>
        <w:rPr>
          <w:rFonts w:ascii="宋体" w:hAnsi="宋体"/>
        </w:rPr>
        <w:t>3</w:t>
      </w:r>
      <w:r>
        <w:rPr>
          <w:rFonts w:hint="eastAsia" w:ascii="宋体" w:hAnsi="宋体"/>
        </w:rPr>
        <w:t>）监理人指定的接收人和接收地点</w:t>
      </w:r>
      <w:r>
        <w:rPr>
          <w:rFonts w:hint="eastAsia" w:ascii="黑体" w:hAnsi="黑体" w:eastAsia="黑体"/>
        </w:rPr>
        <w:t>见合同条款专用部分</w:t>
      </w:r>
      <w:r>
        <w:rPr>
          <w:rFonts w:hint="eastAsia" w:ascii="宋体" w:hAnsi="宋体"/>
        </w:rPr>
        <w:t>。</w:t>
      </w:r>
    </w:p>
    <w:p>
      <w:pPr>
        <w:spacing w:line="360" w:lineRule="auto"/>
        <w:ind w:firstLine="420" w:firstLineChars="200"/>
        <w:jc w:val="left"/>
        <w:rPr>
          <w:rFonts w:ascii="宋体"/>
        </w:rPr>
      </w:pPr>
      <w:r>
        <w:rPr>
          <w:rFonts w:hint="eastAsia" w:ascii="宋体" w:hAnsi="宋体"/>
        </w:rPr>
        <w:t>（</w:t>
      </w:r>
      <w:r>
        <w:rPr>
          <w:rFonts w:ascii="宋体" w:hAnsi="宋体"/>
        </w:rPr>
        <w:t>4</w:t>
      </w:r>
      <w:r>
        <w:rPr>
          <w:rFonts w:hint="eastAsia" w:ascii="宋体" w:hAnsi="宋体"/>
        </w:rPr>
        <w:t>）承包人指定的接收人为合同协议书中载明的承包人项目经理本人或者项目经理的授权代表。承包人应在收到开工通知后</w:t>
      </w:r>
      <w:r>
        <w:rPr>
          <w:rFonts w:ascii="宋体" w:hAnsi="宋体"/>
        </w:rPr>
        <w:t>7</w:t>
      </w:r>
      <w:r>
        <w:rPr>
          <w:rFonts w:hint="eastAsia" w:ascii="宋体" w:hAnsi="宋体"/>
        </w:rPr>
        <w:t>天内，按照合同条款第</w:t>
      </w:r>
      <w:r>
        <w:rPr>
          <w:rFonts w:ascii="宋体" w:hAnsi="宋体"/>
        </w:rPr>
        <w:t>4.5.4</w:t>
      </w:r>
      <w:r>
        <w:rPr>
          <w:rFonts w:hint="eastAsia" w:ascii="宋体" w:hAnsi="宋体"/>
        </w:rPr>
        <w:t>项的约定，将授权代表其接收来往信函的项目经理的授权代表姓名和授权范围通知监理人。除合同另有约定外，承包人施工场地管理机构的办公地点即为承包人指定的接收地点。</w:t>
      </w:r>
    </w:p>
    <w:p>
      <w:pPr>
        <w:spacing w:line="360" w:lineRule="auto"/>
        <w:ind w:firstLine="420" w:firstLineChars="200"/>
        <w:jc w:val="left"/>
        <w:rPr>
          <w:rFonts w:ascii="宋体"/>
        </w:rPr>
      </w:pPr>
      <w:r>
        <w:rPr>
          <w:rFonts w:hint="eastAsia" w:ascii="宋体" w:hAnsi="宋体"/>
        </w:rPr>
        <w:t>（</w:t>
      </w:r>
      <w:r>
        <w:rPr>
          <w:rFonts w:ascii="宋体" w:hAnsi="宋体"/>
        </w:rPr>
        <w:t>5</w:t>
      </w:r>
      <w:r>
        <w:rPr>
          <w:rFonts w:hint="eastAsia" w:ascii="宋体" w:hAnsi="宋体"/>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pPr>
        <w:spacing w:line="360" w:lineRule="auto"/>
        <w:ind w:firstLine="420" w:firstLineChars="200"/>
        <w:jc w:val="left"/>
        <w:rPr>
          <w:rFonts w:ascii="宋体"/>
        </w:rPr>
      </w:pPr>
      <w:r>
        <w:rPr>
          <w:rFonts w:hint="eastAsia" w:ascii="宋体" w:hAnsi="宋体"/>
        </w:rPr>
        <w:t>（</w:t>
      </w:r>
      <w:r>
        <w:rPr>
          <w:rFonts w:ascii="宋体" w:hAnsi="宋体"/>
        </w:rPr>
        <w:t>6</w:t>
      </w:r>
      <w:r>
        <w:rPr>
          <w:rFonts w:hint="eastAsia" w:ascii="宋体" w:hAnsi="宋体"/>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pStyle w:val="253"/>
        <w:spacing w:before="120"/>
      </w:pPr>
      <w:bookmarkStart w:id="970" w:name="_Toc10233484"/>
      <w:bookmarkStart w:id="971" w:name="_Toc152045619"/>
      <w:bookmarkStart w:id="972" w:name="_Toc489279861"/>
      <w:bookmarkStart w:id="973" w:name="_Toc490222495"/>
      <w:bookmarkStart w:id="974" w:name="_Toc179632637"/>
      <w:bookmarkStart w:id="975" w:name="_Toc152042397"/>
      <w:bookmarkStart w:id="976" w:name="_Toc486580050"/>
      <w:bookmarkStart w:id="977" w:name="_Toc480486732"/>
      <w:bookmarkStart w:id="978" w:name="_Toc483668079"/>
      <w:bookmarkStart w:id="979" w:name="_Toc144974587"/>
      <w:bookmarkStart w:id="980" w:name="_Toc338944712"/>
      <w:bookmarkStart w:id="981" w:name="_Toc342296270"/>
      <w:bookmarkStart w:id="982" w:name="_Toc480486904"/>
      <w:r>
        <w:t xml:space="preserve">1.8  </w:t>
      </w:r>
      <w:r>
        <w:rPr>
          <w:rFonts w:hint="eastAsia"/>
        </w:rPr>
        <w:t>转让</w:t>
      </w:r>
      <w:bookmarkEnd w:id="970"/>
      <w:bookmarkEnd w:id="971"/>
      <w:bookmarkEnd w:id="972"/>
      <w:bookmarkEnd w:id="973"/>
      <w:bookmarkEnd w:id="974"/>
      <w:bookmarkEnd w:id="975"/>
      <w:bookmarkEnd w:id="976"/>
      <w:bookmarkEnd w:id="977"/>
      <w:bookmarkEnd w:id="978"/>
      <w:bookmarkEnd w:id="979"/>
      <w:bookmarkEnd w:id="980"/>
      <w:bookmarkEnd w:id="981"/>
      <w:bookmarkEnd w:id="982"/>
    </w:p>
    <w:p>
      <w:pPr>
        <w:spacing w:line="360" w:lineRule="auto"/>
        <w:ind w:firstLine="420" w:firstLineChars="200"/>
        <w:jc w:val="left"/>
        <w:rPr>
          <w:rFonts w:ascii="宋体"/>
        </w:rPr>
      </w:pPr>
      <w:r>
        <w:rPr>
          <w:rFonts w:hint="eastAsia" w:ascii="宋体" w:hAnsi="宋体"/>
        </w:rPr>
        <w:t>除合同另有约定外，未经对方当事人同意，一方当事人不得将合同权利全部或部分转让给第三人，也不得全部或部分转移合同义务。</w:t>
      </w:r>
    </w:p>
    <w:p>
      <w:pPr>
        <w:pStyle w:val="253"/>
        <w:spacing w:before="120"/>
      </w:pPr>
      <w:bookmarkStart w:id="983" w:name="_Toc486580051"/>
      <w:bookmarkStart w:id="984" w:name="_Toc480486905"/>
      <w:bookmarkStart w:id="985" w:name="_Toc179632638"/>
      <w:bookmarkStart w:id="986" w:name="_Toc483668080"/>
      <w:bookmarkStart w:id="987" w:name="_Toc489279862"/>
      <w:bookmarkStart w:id="988" w:name="_Toc338944713"/>
      <w:bookmarkStart w:id="989" w:name="_Toc480486733"/>
      <w:bookmarkStart w:id="990" w:name="_Toc10233485"/>
      <w:bookmarkStart w:id="991" w:name="_Toc490222496"/>
      <w:bookmarkStart w:id="992" w:name="_Toc144974588"/>
      <w:bookmarkStart w:id="993" w:name="_Toc152045620"/>
      <w:bookmarkStart w:id="994" w:name="_Toc342296271"/>
      <w:bookmarkStart w:id="995" w:name="_Toc152042398"/>
      <w:r>
        <w:t xml:space="preserve">1.9  </w:t>
      </w:r>
      <w:r>
        <w:rPr>
          <w:rFonts w:hint="eastAsia"/>
        </w:rPr>
        <w:t>严禁贿赂</w:t>
      </w:r>
      <w:bookmarkEnd w:id="983"/>
      <w:bookmarkEnd w:id="984"/>
      <w:bookmarkEnd w:id="985"/>
      <w:bookmarkEnd w:id="986"/>
      <w:bookmarkEnd w:id="987"/>
      <w:bookmarkEnd w:id="988"/>
      <w:bookmarkEnd w:id="989"/>
      <w:bookmarkEnd w:id="990"/>
      <w:bookmarkEnd w:id="991"/>
      <w:bookmarkEnd w:id="992"/>
      <w:bookmarkEnd w:id="993"/>
      <w:bookmarkEnd w:id="994"/>
      <w:bookmarkEnd w:id="995"/>
    </w:p>
    <w:p>
      <w:pPr>
        <w:spacing w:line="360" w:lineRule="auto"/>
        <w:ind w:firstLine="420" w:firstLineChars="200"/>
        <w:jc w:val="left"/>
        <w:rPr>
          <w:rFonts w:ascii="宋体"/>
        </w:rPr>
      </w:pPr>
      <w:r>
        <w:rPr>
          <w:rFonts w:hint="eastAsia" w:ascii="宋体" w:hAnsi="宋体"/>
        </w:rPr>
        <w:t>合同双方当事人不得以贿赂或变相贿赂的方式，谋取不当利益或损害对方权益。因贿赂造成对方损失的，行为人应赔偿损失，并承担相应的法律责任。</w:t>
      </w:r>
    </w:p>
    <w:p>
      <w:pPr>
        <w:pStyle w:val="253"/>
        <w:spacing w:before="120"/>
      </w:pPr>
      <w:bookmarkStart w:id="996" w:name="_Toc144974589"/>
      <w:bookmarkStart w:id="997" w:name="_Toc342296272"/>
      <w:bookmarkStart w:id="998" w:name="_Toc179632639"/>
      <w:bookmarkStart w:id="999" w:name="_Toc480486734"/>
      <w:bookmarkStart w:id="1000" w:name="_Toc338944714"/>
      <w:bookmarkStart w:id="1001" w:name="_Toc489279863"/>
      <w:bookmarkStart w:id="1002" w:name="_Toc152042399"/>
      <w:bookmarkStart w:id="1003" w:name="_Toc486580052"/>
      <w:bookmarkStart w:id="1004" w:name="_Toc152045621"/>
      <w:bookmarkStart w:id="1005" w:name="_Toc10233486"/>
      <w:bookmarkStart w:id="1006" w:name="_Toc490222497"/>
      <w:bookmarkStart w:id="1007" w:name="_Toc480486906"/>
      <w:bookmarkStart w:id="1008" w:name="_Toc483668081"/>
      <w:r>
        <w:t xml:space="preserve">1.10  </w:t>
      </w:r>
      <w:r>
        <w:rPr>
          <w:rFonts w:hint="eastAsia"/>
        </w:rPr>
        <w:t>化石、文物</w:t>
      </w:r>
      <w:bookmarkEnd w:id="996"/>
      <w:bookmarkEnd w:id="997"/>
      <w:bookmarkEnd w:id="998"/>
      <w:bookmarkEnd w:id="999"/>
      <w:bookmarkEnd w:id="1000"/>
      <w:bookmarkEnd w:id="1001"/>
      <w:bookmarkEnd w:id="1002"/>
      <w:bookmarkEnd w:id="1003"/>
      <w:bookmarkEnd w:id="1004"/>
      <w:bookmarkEnd w:id="1005"/>
      <w:bookmarkEnd w:id="1006"/>
      <w:bookmarkEnd w:id="1007"/>
      <w:bookmarkEnd w:id="1008"/>
    </w:p>
    <w:p>
      <w:pPr>
        <w:spacing w:line="360" w:lineRule="auto"/>
        <w:ind w:firstLine="420" w:firstLineChars="200"/>
        <w:jc w:val="left"/>
        <w:rPr>
          <w:rFonts w:ascii="宋体"/>
        </w:rPr>
      </w:pPr>
      <w:r>
        <w:rPr>
          <w:rFonts w:ascii="宋体" w:hAnsi="宋体"/>
        </w:rPr>
        <w:t xml:space="preserve">1.10.1  </w:t>
      </w:r>
      <w:r>
        <w:rPr>
          <w:rFonts w:hint="eastAsia" w:ascii="宋体" w:hAnsi="宋体"/>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spacing w:line="360" w:lineRule="auto"/>
        <w:ind w:firstLine="420" w:firstLineChars="200"/>
        <w:jc w:val="left"/>
        <w:rPr>
          <w:rFonts w:ascii="宋体"/>
        </w:rPr>
      </w:pPr>
      <w:r>
        <w:rPr>
          <w:rFonts w:ascii="宋体" w:hAnsi="宋体"/>
        </w:rPr>
        <w:t xml:space="preserve">1.10.2  </w:t>
      </w:r>
      <w:r>
        <w:rPr>
          <w:rFonts w:hint="eastAsia" w:ascii="宋体" w:hAnsi="宋体"/>
        </w:rPr>
        <w:t>承包人发现文物后不及时报告或隐瞒不报，致使文物丢失或损坏的，应赔偿损失，并承担相应的法律责任。</w:t>
      </w:r>
    </w:p>
    <w:p>
      <w:pPr>
        <w:pStyle w:val="253"/>
        <w:spacing w:before="120"/>
      </w:pPr>
      <w:bookmarkStart w:id="1009" w:name="_Toc342296273"/>
      <w:bookmarkStart w:id="1010" w:name="_Toc10233487"/>
      <w:bookmarkStart w:id="1011" w:name="_Toc480486907"/>
      <w:bookmarkStart w:id="1012" w:name="_Toc486580053"/>
      <w:bookmarkStart w:id="1013" w:name="_Toc179632640"/>
      <w:bookmarkStart w:id="1014" w:name="_Toc490222498"/>
      <w:bookmarkStart w:id="1015" w:name="_Toc152042400"/>
      <w:bookmarkStart w:id="1016" w:name="_Toc338944715"/>
      <w:bookmarkStart w:id="1017" w:name="_Toc144974590"/>
      <w:bookmarkStart w:id="1018" w:name="_Toc489279864"/>
      <w:bookmarkStart w:id="1019" w:name="_Toc152045622"/>
      <w:bookmarkStart w:id="1020" w:name="_Toc483668082"/>
      <w:bookmarkStart w:id="1021" w:name="_Toc480486735"/>
      <w:r>
        <w:t xml:space="preserve">1.11  </w:t>
      </w:r>
      <w:r>
        <w:rPr>
          <w:rFonts w:hint="eastAsia"/>
        </w:rPr>
        <w:t>专利技术</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pPr>
        <w:spacing w:line="360" w:lineRule="auto"/>
        <w:ind w:firstLine="420" w:firstLineChars="200"/>
        <w:jc w:val="left"/>
        <w:rPr>
          <w:rFonts w:ascii="宋体"/>
        </w:rPr>
      </w:pPr>
      <w:r>
        <w:rPr>
          <w:rFonts w:ascii="宋体" w:hAnsi="宋体"/>
        </w:rPr>
        <w:t xml:space="preserve">1.11.1  </w:t>
      </w:r>
      <w:r>
        <w:rPr>
          <w:rFonts w:hint="eastAsia" w:ascii="宋体" w:hAnsi="宋体"/>
        </w:rPr>
        <w:t>承包人在使用任何材料、承包人设备、工程设备或采用施工工艺时，因侵犯专利权或其他知识产权所引起的责任，由承包人承担。</w:t>
      </w:r>
    </w:p>
    <w:p>
      <w:pPr>
        <w:spacing w:line="360" w:lineRule="auto"/>
        <w:ind w:firstLine="420" w:firstLineChars="200"/>
        <w:jc w:val="left"/>
        <w:rPr>
          <w:rFonts w:ascii="宋体"/>
        </w:rPr>
      </w:pPr>
      <w:r>
        <w:rPr>
          <w:rFonts w:ascii="宋体" w:hAnsi="宋体"/>
        </w:rPr>
        <w:t xml:space="preserve">1.11.2  </w:t>
      </w:r>
      <w:r>
        <w:rPr>
          <w:rFonts w:hint="eastAsia" w:ascii="宋体" w:hAnsi="宋体"/>
        </w:rPr>
        <w:t>承包人在响应文件中采用专利技术的，专利技术的使用费包含在报价内。</w:t>
      </w:r>
    </w:p>
    <w:p>
      <w:pPr>
        <w:spacing w:line="360" w:lineRule="auto"/>
        <w:ind w:firstLine="420" w:firstLineChars="200"/>
        <w:jc w:val="left"/>
        <w:rPr>
          <w:rFonts w:ascii="宋体"/>
        </w:rPr>
      </w:pPr>
      <w:r>
        <w:rPr>
          <w:rFonts w:ascii="宋体" w:hAnsi="宋体"/>
        </w:rPr>
        <w:t xml:space="preserve">1.11.3  </w:t>
      </w:r>
      <w:r>
        <w:rPr>
          <w:rFonts w:hint="eastAsia" w:ascii="宋体" w:hAnsi="宋体"/>
        </w:rPr>
        <w:t>承包人的技术秘密和声明需要保密的资料和信息，发包人和监理人不得为合同以外的目的泄露给他人。</w:t>
      </w:r>
    </w:p>
    <w:p>
      <w:pPr>
        <w:pStyle w:val="253"/>
        <w:spacing w:before="120"/>
      </w:pPr>
      <w:bookmarkStart w:id="1022" w:name="_Toc179632641"/>
      <w:bookmarkStart w:id="1023" w:name="_Toc342296274"/>
      <w:bookmarkStart w:id="1024" w:name="_Toc490222499"/>
      <w:bookmarkStart w:id="1025" w:name="_Toc144974591"/>
      <w:bookmarkStart w:id="1026" w:name="_Toc480486736"/>
      <w:bookmarkStart w:id="1027" w:name="_Toc486580054"/>
      <w:bookmarkStart w:id="1028" w:name="_Toc483668083"/>
      <w:bookmarkStart w:id="1029" w:name="_Toc338944716"/>
      <w:bookmarkStart w:id="1030" w:name="_Toc152045623"/>
      <w:bookmarkStart w:id="1031" w:name="_Toc480486908"/>
      <w:bookmarkStart w:id="1032" w:name="_Toc152042401"/>
      <w:bookmarkStart w:id="1033" w:name="_Toc489279865"/>
      <w:bookmarkStart w:id="1034" w:name="_Toc10233488"/>
      <w:r>
        <w:t xml:space="preserve">1.12  </w:t>
      </w:r>
      <w:r>
        <w:rPr>
          <w:rFonts w:hint="eastAsia"/>
        </w:rPr>
        <w:t>图纸和文件的保密</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p>
    <w:p>
      <w:pPr>
        <w:spacing w:line="360" w:lineRule="auto"/>
        <w:ind w:firstLine="420" w:firstLineChars="200"/>
        <w:jc w:val="left"/>
        <w:rPr>
          <w:rFonts w:ascii="宋体"/>
        </w:rPr>
      </w:pPr>
      <w:r>
        <w:rPr>
          <w:rFonts w:ascii="宋体" w:hAnsi="宋体"/>
        </w:rPr>
        <w:t xml:space="preserve">1.12.1  </w:t>
      </w:r>
      <w:r>
        <w:rPr>
          <w:rFonts w:hint="eastAsia" w:ascii="宋体" w:hAnsi="宋体"/>
        </w:rPr>
        <w:t>发包人提供的图纸和文件，未经发包人同意，承包人不得为合同以外的目的泄露给他人或公开发表与引用。</w:t>
      </w:r>
    </w:p>
    <w:p>
      <w:pPr>
        <w:spacing w:line="360" w:lineRule="auto"/>
        <w:ind w:firstLine="420" w:firstLineChars="200"/>
        <w:jc w:val="left"/>
        <w:rPr>
          <w:rFonts w:ascii="宋体"/>
        </w:rPr>
      </w:pPr>
      <w:r>
        <w:rPr>
          <w:rFonts w:ascii="宋体" w:hAnsi="宋体"/>
        </w:rPr>
        <w:t xml:space="preserve">1.12.2  </w:t>
      </w:r>
      <w:r>
        <w:rPr>
          <w:rFonts w:hint="eastAsia" w:ascii="宋体" w:hAnsi="宋体"/>
        </w:rPr>
        <w:t>承包人提供的文件，未经承包人同意，发包人和监理人不得为合同以外的目的泄露给他人或公开发表与引用。</w:t>
      </w:r>
    </w:p>
    <w:p>
      <w:pPr>
        <w:pStyle w:val="43"/>
        <w:spacing w:after="120"/>
      </w:pPr>
      <w:bookmarkStart w:id="1035" w:name="_Toc480486909"/>
      <w:bookmarkStart w:id="1036" w:name="_Toc10233489"/>
      <w:bookmarkStart w:id="1037" w:name="_Toc486580055"/>
      <w:bookmarkStart w:id="1038" w:name="_Toc490222500"/>
      <w:bookmarkStart w:id="1039" w:name="_Toc338944717"/>
      <w:bookmarkStart w:id="1040" w:name="_Toc342296275"/>
      <w:bookmarkStart w:id="1041" w:name="_Toc489279866"/>
      <w:bookmarkStart w:id="1042" w:name="_Toc480486737"/>
      <w:bookmarkStart w:id="1043" w:name="_Toc483668084"/>
      <w:r>
        <w:t>2.</w:t>
      </w:r>
      <w:r>
        <w:rPr>
          <w:rFonts w:hint="eastAsia"/>
        </w:rPr>
        <w:t>发包人义务</w:t>
      </w:r>
      <w:bookmarkEnd w:id="1035"/>
      <w:bookmarkEnd w:id="1036"/>
      <w:bookmarkEnd w:id="1037"/>
      <w:bookmarkEnd w:id="1038"/>
      <w:bookmarkEnd w:id="1039"/>
      <w:bookmarkEnd w:id="1040"/>
      <w:bookmarkEnd w:id="1041"/>
      <w:bookmarkEnd w:id="1042"/>
      <w:bookmarkEnd w:id="1043"/>
    </w:p>
    <w:p>
      <w:pPr>
        <w:pStyle w:val="253"/>
        <w:spacing w:before="120"/>
      </w:pPr>
      <w:bookmarkStart w:id="1044" w:name="_Toc152045625"/>
      <w:bookmarkStart w:id="1045" w:name="_Toc10233490"/>
      <w:bookmarkStart w:id="1046" w:name="_Toc152042403"/>
      <w:bookmarkStart w:id="1047" w:name="_Toc486580056"/>
      <w:bookmarkStart w:id="1048" w:name="_Toc483668085"/>
      <w:bookmarkStart w:id="1049" w:name="_Toc144974593"/>
      <w:bookmarkStart w:id="1050" w:name="_Toc490222501"/>
      <w:bookmarkStart w:id="1051" w:name="_Toc480486738"/>
      <w:bookmarkStart w:id="1052" w:name="_Toc342296276"/>
      <w:bookmarkStart w:id="1053" w:name="_Toc179632643"/>
      <w:bookmarkStart w:id="1054" w:name="_Toc338944718"/>
      <w:bookmarkStart w:id="1055" w:name="_Toc489279867"/>
      <w:bookmarkStart w:id="1056" w:name="_Toc480486910"/>
      <w:r>
        <w:t xml:space="preserve">2.1  </w:t>
      </w:r>
      <w:r>
        <w:rPr>
          <w:rFonts w:hint="eastAsia"/>
        </w:rPr>
        <w:t>遵守法律</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pPr>
        <w:spacing w:line="360" w:lineRule="auto"/>
        <w:ind w:firstLine="420" w:firstLineChars="200"/>
        <w:jc w:val="left"/>
        <w:rPr>
          <w:rFonts w:ascii="宋体"/>
        </w:rPr>
      </w:pPr>
      <w:r>
        <w:rPr>
          <w:rFonts w:hint="eastAsia" w:ascii="宋体" w:hAnsi="宋体"/>
        </w:rPr>
        <w:t>发包人在履行合同过程中应遵守法律，并保证承包人免于承担因发包人违反法律而引起的任何责任。</w:t>
      </w:r>
    </w:p>
    <w:p>
      <w:pPr>
        <w:pStyle w:val="253"/>
        <w:spacing w:before="120"/>
      </w:pPr>
      <w:bookmarkStart w:id="1057" w:name="_Toc152045626"/>
      <w:bookmarkStart w:id="1058" w:name="_Toc489279868"/>
      <w:bookmarkStart w:id="1059" w:name="_Toc483668086"/>
      <w:bookmarkStart w:id="1060" w:name="_Toc10233491"/>
      <w:bookmarkStart w:id="1061" w:name="_Toc338944719"/>
      <w:bookmarkStart w:id="1062" w:name="_Toc480486739"/>
      <w:bookmarkStart w:id="1063" w:name="_Toc486580057"/>
      <w:bookmarkStart w:id="1064" w:name="_Toc342296277"/>
      <w:bookmarkStart w:id="1065" w:name="_Toc144974594"/>
      <w:bookmarkStart w:id="1066" w:name="_Toc490222502"/>
      <w:bookmarkStart w:id="1067" w:name="_Toc152042404"/>
      <w:bookmarkStart w:id="1068" w:name="_Toc480486911"/>
      <w:bookmarkStart w:id="1069" w:name="_Toc179632644"/>
      <w:r>
        <w:t xml:space="preserve">2.2  </w:t>
      </w:r>
      <w:r>
        <w:rPr>
          <w:rFonts w:hint="eastAsia"/>
        </w:rPr>
        <w:t>发出开工通知</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p>
    <w:p>
      <w:pPr>
        <w:spacing w:line="360" w:lineRule="auto"/>
        <w:ind w:firstLine="420" w:firstLineChars="200"/>
        <w:jc w:val="left"/>
        <w:rPr>
          <w:rFonts w:ascii="宋体"/>
        </w:rPr>
      </w:pPr>
      <w:r>
        <w:rPr>
          <w:rFonts w:hint="eastAsia" w:ascii="宋体" w:hAnsi="宋体"/>
        </w:rPr>
        <w:t>发包人应委托监理人按第</w:t>
      </w:r>
      <w:r>
        <w:rPr>
          <w:rFonts w:ascii="宋体" w:hAnsi="宋体"/>
        </w:rPr>
        <w:t>11.1</w:t>
      </w:r>
      <w:r>
        <w:rPr>
          <w:rFonts w:hint="eastAsia" w:ascii="宋体" w:hAnsi="宋体"/>
        </w:rPr>
        <w:t>款的约定向承包人发出开工通知。</w:t>
      </w:r>
    </w:p>
    <w:p>
      <w:pPr>
        <w:pStyle w:val="253"/>
        <w:spacing w:before="120"/>
      </w:pPr>
      <w:bookmarkStart w:id="1070" w:name="_Toc483668087"/>
      <w:bookmarkStart w:id="1071" w:name="_Toc486580058"/>
      <w:bookmarkStart w:id="1072" w:name="_Toc480486912"/>
      <w:bookmarkStart w:id="1073" w:name="_Toc480486740"/>
      <w:bookmarkStart w:id="1074" w:name="_Toc338944720"/>
      <w:bookmarkStart w:id="1075" w:name="_Toc489279869"/>
      <w:bookmarkStart w:id="1076" w:name="_Toc490222503"/>
      <w:bookmarkStart w:id="1077" w:name="_Toc342296278"/>
      <w:bookmarkStart w:id="1078" w:name="_Toc10233492"/>
      <w:r>
        <w:t xml:space="preserve">2.3  </w:t>
      </w:r>
      <w:r>
        <w:rPr>
          <w:rFonts w:hint="eastAsia"/>
        </w:rPr>
        <w:t>提供施工场地</w:t>
      </w:r>
      <w:bookmarkEnd w:id="1070"/>
      <w:bookmarkEnd w:id="1071"/>
      <w:bookmarkEnd w:id="1072"/>
      <w:bookmarkEnd w:id="1073"/>
      <w:bookmarkEnd w:id="1074"/>
      <w:bookmarkEnd w:id="1075"/>
      <w:bookmarkEnd w:id="1076"/>
      <w:bookmarkEnd w:id="1077"/>
      <w:bookmarkEnd w:id="1078"/>
    </w:p>
    <w:p>
      <w:pPr>
        <w:spacing w:line="360" w:lineRule="auto"/>
        <w:ind w:firstLine="420" w:firstLineChars="200"/>
        <w:jc w:val="left"/>
        <w:rPr>
          <w:rFonts w:ascii="宋体"/>
        </w:rPr>
      </w:pPr>
      <w:r>
        <w:rPr>
          <w:rFonts w:hint="eastAsia" w:ascii="宋体" w:hAnsi="宋体"/>
        </w:rPr>
        <w:t>发包人应在约定期限前确保施工场地具备施工条件并移交给承包人，具体施工条件在</w:t>
      </w:r>
      <w:r>
        <w:rPr>
          <w:rFonts w:ascii="宋体" w:hAnsi="宋体"/>
        </w:rPr>
        <w:t xml:space="preserve"> </w:t>
      </w:r>
      <w:r>
        <w:rPr>
          <w:rFonts w:hint="eastAsia" w:ascii="宋体" w:hAnsi="宋体"/>
        </w:rPr>
        <w:t>“技术标准和要求”第一节“一般要求”中约定。发包人最迟应当在移交施工场地的同时向承包人提供施工场地内地下管线和地下设施等有关资料，并保证资料的真实、准确和完整。发包人移交施工场地的期限</w:t>
      </w:r>
      <w:r>
        <w:rPr>
          <w:rFonts w:hint="eastAsia" w:ascii="黑体" w:hAnsi="黑体" w:eastAsia="黑体"/>
        </w:rPr>
        <w:t>见合同条款专用部分</w:t>
      </w:r>
      <w:r>
        <w:rPr>
          <w:rFonts w:hint="eastAsia" w:ascii="宋体" w:hAnsi="宋体"/>
        </w:rPr>
        <w:t>。</w:t>
      </w:r>
    </w:p>
    <w:p>
      <w:pPr>
        <w:pStyle w:val="253"/>
        <w:spacing w:before="120"/>
      </w:pPr>
      <w:bookmarkStart w:id="1079" w:name="_Toc483668088"/>
      <w:bookmarkStart w:id="1080" w:name="_Toc342296279"/>
      <w:bookmarkStart w:id="1081" w:name="_Toc486580059"/>
      <w:bookmarkStart w:id="1082" w:name="_Toc144974596"/>
      <w:bookmarkStart w:id="1083" w:name="_Toc480486913"/>
      <w:bookmarkStart w:id="1084" w:name="_Toc338944721"/>
      <w:bookmarkStart w:id="1085" w:name="_Toc152042406"/>
      <w:bookmarkStart w:id="1086" w:name="_Toc152045628"/>
      <w:bookmarkStart w:id="1087" w:name="_Toc10233493"/>
      <w:bookmarkStart w:id="1088" w:name="_Toc179632646"/>
      <w:bookmarkStart w:id="1089" w:name="_Toc480486741"/>
      <w:bookmarkStart w:id="1090" w:name="_Toc489279870"/>
      <w:bookmarkStart w:id="1091" w:name="_Toc490222504"/>
      <w:r>
        <w:t xml:space="preserve">2.4  </w:t>
      </w:r>
      <w:r>
        <w:rPr>
          <w:rFonts w:hint="eastAsia"/>
        </w:rPr>
        <w:t>协助承包人办理证件和批件</w:t>
      </w:r>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pPr>
        <w:spacing w:line="360" w:lineRule="auto"/>
        <w:ind w:firstLine="420" w:firstLineChars="200"/>
        <w:jc w:val="left"/>
        <w:rPr>
          <w:rFonts w:ascii="宋体"/>
        </w:rPr>
      </w:pPr>
      <w:r>
        <w:rPr>
          <w:rFonts w:hint="eastAsia" w:ascii="宋体" w:hAnsi="宋体"/>
        </w:rPr>
        <w:t>发包人应协助承包人办理法律规定的有关施工证件和批件。</w:t>
      </w:r>
    </w:p>
    <w:p>
      <w:pPr>
        <w:pStyle w:val="253"/>
        <w:spacing w:before="120"/>
      </w:pPr>
      <w:bookmarkStart w:id="1092" w:name="_Toc10233494"/>
      <w:bookmarkStart w:id="1093" w:name="_Toc486580060"/>
      <w:bookmarkStart w:id="1094" w:name="_Toc489279871"/>
      <w:bookmarkStart w:id="1095" w:name="_Toc480486914"/>
      <w:bookmarkStart w:id="1096" w:name="_Toc338944722"/>
      <w:bookmarkStart w:id="1097" w:name="_Toc480486742"/>
      <w:bookmarkStart w:id="1098" w:name="_Toc483668089"/>
      <w:bookmarkStart w:id="1099" w:name="_Toc342296280"/>
      <w:bookmarkStart w:id="1100" w:name="_Toc490222505"/>
      <w:r>
        <w:t xml:space="preserve">2.5  </w:t>
      </w:r>
      <w:r>
        <w:rPr>
          <w:rFonts w:hint="eastAsia"/>
        </w:rPr>
        <w:t>组织设计交底</w:t>
      </w:r>
      <w:bookmarkEnd w:id="1092"/>
      <w:bookmarkEnd w:id="1093"/>
      <w:bookmarkEnd w:id="1094"/>
      <w:bookmarkEnd w:id="1095"/>
      <w:bookmarkEnd w:id="1096"/>
      <w:bookmarkEnd w:id="1097"/>
      <w:bookmarkEnd w:id="1098"/>
      <w:bookmarkEnd w:id="1099"/>
      <w:bookmarkEnd w:id="1100"/>
    </w:p>
    <w:p>
      <w:pPr>
        <w:spacing w:line="360" w:lineRule="auto"/>
        <w:ind w:firstLine="420" w:firstLineChars="200"/>
        <w:jc w:val="left"/>
        <w:rPr>
          <w:rFonts w:ascii="宋体"/>
        </w:rPr>
      </w:pPr>
      <w:r>
        <w:rPr>
          <w:rFonts w:hint="eastAsia" w:ascii="宋体" w:hAnsi="宋体"/>
        </w:rPr>
        <w:t>发包人应根据批准的合同进度计划，组织设计单位向承包人进行设计交底。</w:t>
      </w:r>
    </w:p>
    <w:p>
      <w:pPr>
        <w:spacing w:line="360" w:lineRule="auto"/>
        <w:ind w:firstLine="420" w:firstLineChars="200"/>
        <w:jc w:val="left"/>
        <w:rPr>
          <w:rFonts w:ascii="宋体"/>
        </w:rPr>
      </w:pPr>
      <w:r>
        <w:rPr>
          <w:rFonts w:hint="eastAsia" w:ascii="宋体" w:hAnsi="宋体"/>
        </w:rPr>
        <w:t>发包人应在第</w:t>
      </w:r>
      <w:r>
        <w:rPr>
          <w:rFonts w:ascii="宋体" w:hAnsi="宋体"/>
        </w:rPr>
        <w:t>11.1.1</w:t>
      </w:r>
      <w:r>
        <w:rPr>
          <w:rFonts w:hint="eastAsia" w:ascii="宋体" w:hAnsi="宋体"/>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pPr>
        <w:pStyle w:val="253"/>
        <w:spacing w:before="120"/>
      </w:pPr>
      <w:bookmarkStart w:id="1101" w:name="_Toc490222506"/>
      <w:bookmarkStart w:id="1102" w:name="_Toc483668090"/>
      <w:bookmarkStart w:id="1103" w:name="_Toc10233495"/>
      <w:bookmarkStart w:id="1104" w:name="_Toc489279872"/>
      <w:bookmarkStart w:id="1105" w:name="_Toc338944723"/>
      <w:bookmarkStart w:id="1106" w:name="_Toc480486743"/>
      <w:bookmarkStart w:id="1107" w:name="_Toc486580061"/>
      <w:bookmarkStart w:id="1108" w:name="_Toc480486915"/>
      <w:bookmarkStart w:id="1109" w:name="_Toc342296281"/>
      <w:r>
        <w:t xml:space="preserve">2.6  </w:t>
      </w:r>
      <w:r>
        <w:rPr>
          <w:rFonts w:hint="eastAsia"/>
        </w:rPr>
        <w:t>支付合同价款</w:t>
      </w:r>
      <w:bookmarkEnd w:id="1101"/>
      <w:bookmarkEnd w:id="1102"/>
      <w:bookmarkEnd w:id="1103"/>
      <w:bookmarkEnd w:id="1104"/>
      <w:bookmarkEnd w:id="1105"/>
      <w:bookmarkEnd w:id="1106"/>
      <w:bookmarkEnd w:id="1107"/>
      <w:bookmarkEnd w:id="1108"/>
      <w:bookmarkEnd w:id="1109"/>
    </w:p>
    <w:p>
      <w:pPr>
        <w:spacing w:line="360" w:lineRule="auto"/>
        <w:ind w:firstLine="420" w:firstLineChars="200"/>
        <w:jc w:val="left"/>
        <w:rPr>
          <w:rFonts w:ascii="宋体"/>
        </w:rPr>
      </w:pPr>
      <w:r>
        <w:rPr>
          <w:rFonts w:hint="eastAsia" w:ascii="宋体" w:hAnsi="宋体"/>
        </w:rPr>
        <w:t>发包人应按合同约定向承包人及时支付合同价款。</w:t>
      </w:r>
    </w:p>
    <w:p>
      <w:pPr>
        <w:pStyle w:val="253"/>
        <w:spacing w:before="120"/>
      </w:pPr>
      <w:bookmarkStart w:id="1110" w:name="_Toc342296282"/>
      <w:bookmarkStart w:id="1111" w:name="_Toc144974599"/>
      <w:bookmarkStart w:id="1112" w:name="_Toc179632649"/>
      <w:bookmarkStart w:id="1113" w:name="_Toc483668091"/>
      <w:bookmarkStart w:id="1114" w:name="_Toc10233496"/>
      <w:bookmarkStart w:id="1115" w:name="_Toc486580062"/>
      <w:bookmarkStart w:id="1116" w:name="_Toc152042409"/>
      <w:bookmarkStart w:id="1117" w:name="_Toc490222507"/>
      <w:bookmarkStart w:id="1118" w:name="_Toc489279873"/>
      <w:bookmarkStart w:id="1119" w:name="_Toc152045631"/>
      <w:bookmarkStart w:id="1120" w:name="_Toc480486916"/>
      <w:bookmarkStart w:id="1121" w:name="_Toc338944724"/>
      <w:bookmarkStart w:id="1122" w:name="_Toc480486744"/>
      <w:r>
        <w:t xml:space="preserve">2.7  </w:t>
      </w:r>
      <w:r>
        <w:rPr>
          <w:rFonts w:hint="eastAsia"/>
        </w:rPr>
        <w:t>组织竣工验收</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pPr>
        <w:spacing w:line="360" w:lineRule="auto"/>
        <w:ind w:firstLine="420" w:firstLineChars="200"/>
        <w:jc w:val="left"/>
        <w:rPr>
          <w:rFonts w:ascii="宋体"/>
        </w:rPr>
      </w:pPr>
      <w:r>
        <w:rPr>
          <w:rFonts w:hint="eastAsia" w:ascii="宋体" w:hAnsi="宋体"/>
        </w:rPr>
        <w:t>发包人应按合同约定及时组织竣工验收。</w:t>
      </w:r>
    </w:p>
    <w:p>
      <w:pPr>
        <w:pStyle w:val="253"/>
        <w:spacing w:before="120"/>
      </w:pPr>
      <w:bookmarkStart w:id="1123" w:name="_Toc10233497"/>
      <w:bookmarkStart w:id="1124" w:name="_Toc490222508"/>
      <w:bookmarkStart w:id="1125" w:name="_Toc486580063"/>
      <w:bookmarkStart w:id="1126" w:name="_Toc483668092"/>
      <w:bookmarkStart w:id="1127" w:name="_Toc480486745"/>
      <w:bookmarkStart w:id="1128" w:name="_Toc489279874"/>
      <w:bookmarkStart w:id="1129" w:name="_Toc480486917"/>
      <w:r>
        <w:t xml:space="preserve">2.8  </w:t>
      </w:r>
      <w:r>
        <w:rPr>
          <w:rFonts w:hint="eastAsia"/>
        </w:rPr>
        <w:t>向承包人提交支付担保</w:t>
      </w:r>
      <w:bookmarkEnd w:id="1123"/>
      <w:bookmarkEnd w:id="1124"/>
      <w:bookmarkEnd w:id="1125"/>
      <w:bookmarkEnd w:id="1126"/>
      <w:bookmarkEnd w:id="1127"/>
      <w:bookmarkEnd w:id="1128"/>
      <w:bookmarkEnd w:id="1129"/>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）发包人要求承包人提交履约担保的，除合同条款专用部分另有约定的，在承包人按合同条款第</w:t>
      </w:r>
      <w:r>
        <w:rPr>
          <w:rFonts w:ascii="宋体" w:hAnsi="宋体"/>
          <w:szCs w:val="21"/>
        </w:rPr>
        <w:t>4.2</w:t>
      </w:r>
      <w:r>
        <w:rPr>
          <w:rFonts w:hint="eastAsia" w:ascii="宋体" w:hAnsi="宋体"/>
          <w:szCs w:val="21"/>
        </w:rPr>
        <w:t>款向发包人递交符合合同约定的履约担保的同时，发包人应当按照金额和条件对等的原则和合同文件中规定的格式或者其他经过承包人事先认可的格式向承包人递交一份支付担保。发包人提供支付担保格式</w:t>
      </w:r>
      <w:r>
        <w:rPr>
          <w:rFonts w:hint="eastAsia" w:ascii="黑体" w:hAnsi="黑体" w:eastAsia="黑体"/>
          <w:szCs w:val="21"/>
        </w:rPr>
        <w:t>见合同条款专用部分附件六</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）支付担保的有效期应当自本合同生效之日起至发包人实际支付竣工付款之日止。</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）发包人无法获得一份不带具体截止日期的履约担保，支付担保中应当约定有“变更工程竣工付款支付日期的，保证期间按照变更后的竣工付款支付日期做相应调整”或类似约定的条款。</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）支付担保应当在发包人付清竣工付款之日后</w:t>
      </w:r>
      <w:r>
        <w:rPr>
          <w:rFonts w:ascii="宋体" w:hAnsi="宋体"/>
          <w:szCs w:val="21"/>
        </w:rPr>
        <w:t>28</w:t>
      </w:r>
      <w:r>
        <w:rPr>
          <w:rFonts w:hint="eastAsia" w:ascii="宋体" w:hAnsi="宋体"/>
          <w:szCs w:val="21"/>
        </w:rPr>
        <w:t>天内退还给发包人；承包人不承担发包人与支付担保有关的任何利息或其它类似的费用或者收益。</w:t>
      </w:r>
    </w:p>
    <w:p>
      <w:pPr>
        <w:pStyle w:val="253"/>
        <w:spacing w:before="120"/>
      </w:pPr>
      <w:bookmarkStart w:id="1130" w:name="_Toc483668093"/>
      <w:bookmarkStart w:id="1131" w:name="_Toc480486746"/>
      <w:bookmarkStart w:id="1132" w:name="_Toc10233498"/>
      <w:bookmarkStart w:id="1133" w:name="_Toc480486918"/>
      <w:bookmarkStart w:id="1134" w:name="_Toc489279875"/>
      <w:bookmarkStart w:id="1135" w:name="_Toc490222509"/>
      <w:bookmarkStart w:id="1136" w:name="_Toc486580064"/>
      <w:r>
        <w:t xml:space="preserve">2.9  </w:t>
      </w:r>
      <w:r>
        <w:rPr>
          <w:rFonts w:hint="eastAsia"/>
        </w:rPr>
        <w:t>办理工程质量监督手续</w:t>
      </w:r>
      <w:bookmarkEnd w:id="1130"/>
      <w:bookmarkEnd w:id="1131"/>
      <w:bookmarkEnd w:id="1132"/>
      <w:bookmarkEnd w:id="1133"/>
      <w:bookmarkEnd w:id="1134"/>
      <w:bookmarkEnd w:id="1135"/>
      <w:bookmarkEnd w:id="1136"/>
    </w:p>
    <w:p>
      <w:pPr>
        <w:spacing w:line="360" w:lineRule="auto"/>
        <w:ind w:firstLine="420" w:firstLineChars="200"/>
        <w:jc w:val="left"/>
        <w:rPr>
          <w:rFonts w:ascii="宋体"/>
        </w:rPr>
      </w:pPr>
      <w:r>
        <w:rPr>
          <w:rFonts w:hint="eastAsia" w:ascii="宋体" w:hAnsi="宋体"/>
        </w:rPr>
        <w:t>发包人应按有关规定及时办理工程质量监督手续。</w:t>
      </w:r>
    </w:p>
    <w:p>
      <w:pPr>
        <w:pStyle w:val="253"/>
        <w:spacing w:before="120"/>
      </w:pPr>
      <w:bookmarkStart w:id="1137" w:name="_Toc489279876"/>
      <w:bookmarkStart w:id="1138" w:name="_Toc483668094"/>
      <w:bookmarkStart w:id="1139" w:name="_Toc10233499"/>
      <w:bookmarkStart w:id="1140" w:name="_Toc486580065"/>
      <w:bookmarkStart w:id="1141" w:name="_Toc480486919"/>
      <w:bookmarkStart w:id="1142" w:name="_Toc490222510"/>
      <w:bookmarkStart w:id="1143" w:name="_Toc480486747"/>
      <w:r>
        <w:t xml:space="preserve">2.10 </w:t>
      </w:r>
      <w:r>
        <w:rPr>
          <w:rFonts w:hint="eastAsia"/>
        </w:rPr>
        <w:t xml:space="preserve"> 环境保护责任</w:t>
      </w:r>
      <w:bookmarkEnd w:id="1137"/>
      <w:bookmarkEnd w:id="1138"/>
      <w:bookmarkEnd w:id="1139"/>
      <w:bookmarkEnd w:id="1140"/>
      <w:bookmarkEnd w:id="1141"/>
      <w:bookmarkEnd w:id="1142"/>
      <w:bookmarkEnd w:id="1143"/>
    </w:p>
    <w:p>
      <w:pPr>
        <w:spacing w:line="360" w:lineRule="auto"/>
        <w:ind w:firstLine="315" w:firstLineChars="150"/>
        <w:rPr>
          <w:rFonts w:ascii="宋体"/>
          <w:szCs w:val="21"/>
        </w:rPr>
      </w:pPr>
      <w:r>
        <w:rPr>
          <w:rFonts w:ascii="宋体" w:hAnsi="宋体"/>
          <w:szCs w:val="20"/>
        </w:rPr>
        <w:t xml:space="preserve"> </w:t>
      </w:r>
      <w:r>
        <w:rPr>
          <w:rFonts w:hint="eastAsia" w:ascii="宋体" w:hAnsi="宋体"/>
          <w:szCs w:val="20"/>
        </w:rPr>
        <w:t>发包人对建筑垃圾处理、施工扬尘治理负总责。</w:t>
      </w:r>
    </w:p>
    <w:p>
      <w:pPr>
        <w:pStyle w:val="253"/>
        <w:spacing w:before="120"/>
      </w:pPr>
      <w:bookmarkStart w:id="1144" w:name="_Toc480486748"/>
      <w:bookmarkStart w:id="1145" w:name="_Toc10233500"/>
      <w:bookmarkStart w:id="1146" w:name="_Toc480486920"/>
      <w:bookmarkStart w:id="1147" w:name="_Toc483668095"/>
      <w:bookmarkStart w:id="1148" w:name="_Toc490222511"/>
      <w:bookmarkStart w:id="1149" w:name="_Toc489279877"/>
      <w:bookmarkStart w:id="1150" w:name="_Toc486580066"/>
      <w:r>
        <w:t xml:space="preserve">2.11  </w:t>
      </w:r>
      <w:r>
        <w:rPr>
          <w:rFonts w:hint="eastAsia"/>
        </w:rPr>
        <w:t>移交工程档案</w:t>
      </w:r>
      <w:bookmarkEnd w:id="1144"/>
      <w:bookmarkEnd w:id="1145"/>
      <w:bookmarkEnd w:id="1146"/>
      <w:bookmarkEnd w:id="1147"/>
      <w:bookmarkEnd w:id="1148"/>
      <w:bookmarkEnd w:id="1149"/>
      <w:bookmarkEnd w:id="1150"/>
    </w:p>
    <w:p>
      <w:pPr>
        <w:spacing w:line="360" w:lineRule="auto"/>
        <w:ind w:firstLine="420" w:firstLineChars="200"/>
        <w:rPr>
          <w:rFonts w:ascii="宋体"/>
          <w:szCs w:val="20"/>
        </w:rPr>
      </w:pPr>
      <w:r>
        <w:rPr>
          <w:rFonts w:hint="eastAsia" w:ascii="宋体" w:hAnsi="宋体"/>
          <w:szCs w:val="20"/>
        </w:rPr>
        <w:t>发包人应根据建设行政主管部门和（或）城市建设档案管理机构的规定，收集、整理、立卷、归档工程资料，并按规定时间向建设行政主管部门或者城市建设档案管理机构移交规定的工程档案。</w:t>
      </w:r>
    </w:p>
    <w:p>
      <w:pPr>
        <w:pStyle w:val="253"/>
        <w:spacing w:before="120"/>
      </w:pPr>
      <w:bookmarkStart w:id="1151" w:name="_Toc480486921"/>
      <w:bookmarkStart w:id="1152" w:name="_Toc489279878"/>
      <w:bookmarkStart w:id="1153" w:name="_Toc480486749"/>
      <w:bookmarkStart w:id="1154" w:name="_Toc483668096"/>
      <w:bookmarkStart w:id="1155" w:name="_Toc10233501"/>
      <w:bookmarkStart w:id="1156" w:name="_Toc486580067"/>
      <w:bookmarkStart w:id="1157" w:name="_Toc490222512"/>
      <w:r>
        <w:t xml:space="preserve">2.12  </w:t>
      </w:r>
      <w:r>
        <w:rPr>
          <w:rFonts w:hint="eastAsia"/>
        </w:rPr>
        <w:t>批准和确认</w:t>
      </w:r>
      <w:bookmarkEnd w:id="1151"/>
      <w:bookmarkEnd w:id="1152"/>
      <w:bookmarkEnd w:id="1153"/>
      <w:bookmarkEnd w:id="1154"/>
      <w:bookmarkEnd w:id="1155"/>
      <w:bookmarkEnd w:id="1156"/>
      <w:bookmarkEnd w:id="1157"/>
    </w:p>
    <w:p>
      <w:pPr>
        <w:spacing w:line="360" w:lineRule="auto"/>
        <w:ind w:firstLine="420" w:firstLineChars="200"/>
        <w:rPr>
          <w:rFonts w:ascii="宋体"/>
        </w:rPr>
      </w:pPr>
      <w:r>
        <w:rPr>
          <w:rFonts w:hint="eastAsia" w:ascii="宋体" w:hAnsi="宋体"/>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pStyle w:val="253"/>
        <w:spacing w:before="120"/>
      </w:pPr>
      <w:bookmarkStart w:id="1158" w:name="_Toc342296283"/>
      <w:bookmarkStart w:id="1159" w:name="_Toc489279879"/>
      <w:bookmarkStart w:id="1160" w:name="_Toc10233502"/>
      <w:bookmarkStart w:id="1161" w:name="_Toc480486750"/>
      <w:bookmarkStart w:id="1162" w:name="_Toc480486922"/>
      <w:bookmarkStart w:id="1163" w:name="_Toc483668097"/>
      <w:bookmarkStart w:id="1164" w:name="_Toc486580068"/>
      <w:bookmarkStart w:id="1165" w:name="_Toc338944725"/>
      <w:bookmarkStart w:id="1166" w:name="_Toc490222513"/>
      <w:r>
        <w:t xml:space="preserve">2.13  </w:t>
      </w:r>
      <w:r>
        <w:rPr>
          <w:rFonts w:hint="eastAsia"/>
        </w:rPr>
        <w:t>其他义务</w:t>
      </w:r>
      <w:bookmarkEnd w:id="1158"/>
      <w:bookmarkEnd w:id="1159"/>
      <w:bookmarkEnd w:id="1160"/>
      <w:bookmarkEnd w:id="1161"/>
      <w:bookmarkEnd w:id="1162"/>
      <w:bookmarkEnd w:id="1163"/>
      <w:bookmarkEnd w:id="1164"/>
      <w:bookmarkEnd w:id="1165"/>
      <w:bookmarkEnd w:id="1166"/>
    </w:p>
    <w:p>
      <w:pPr>
        <w:spacing w:line="360" w:lineRule="auto"/>
        <w:ind w:firstLine="420" w:firstLineChars="200"/>
        <w:rPr>
          <w:rFonts w:ascii="黑体" w:hAnsi="黑体" w:eastAsia="黑体"/>
          <w:b/>
        </w:rPr>
      </w:pPr>
      <w:r>
        <w:rPr>
          <w:rFonts w:hint="eastAsia" w:ascii="宋体" w:hAnsi="宋体"/>
        </w:rPr>
        <w:t>发包人应履行的其他义务</w:t>
      </w:r>
      <w:r>
        <w:rPr>
          <w:rFonts w:hint="eastAsia" w:ascii="黑体" w:hAnsi="黑体" w:eastAsia="黑体"/>
        </w:rPr>
        <w:t>见合同条款专用部分。</w:t>
      </w:r>
    </w:p>
    <w:p>
      <w:pPr>
        <w:pStyle w:val="43"/>
        <w:spacing w:after="120"/>
      </w:pPr>
      <w:bookmarkStart w:id="1167" w:name="_Toc489279880"/>
      <w:bookmarkStart w:id="1168" w:name="_Toc338944726"/>
      <w:bookmarkStart w:id="1169" w:name="_Toc486580069"/>
      <w:bookmarkStart w:id="1170" w:name="_Toc480486923"/>
      <w:bookmarkStart w:id="1171" w:name="_Toc342296284"/>
      <w:bookmarkStart w:id="1172" w:name="_Toc490222514"/>
      <w:bookmarkStart w:id="1173" w:name="_Toc10233503"/>
      <w:bookmarkStart w:id="1174" w:name="_Toc483668098"/>
      <w:bookmarkStart w:id="1175" w:name="_Toc480486751"/>
      <w:r>
        <w:t>3.</w:t>
      </w:r>
      <w:r>
        <w:rPr>
          <w:rFonts w:hint="eastAsia"/>
        </w:rPr>
        <w:t>监理人</w:t>
      </w:r>
      <w:bookmarkEnd w:id="1167"/>
      <w:bookmarkEnd w:id="1168"/>
      <w:bookmarkEnd w:id="1169"/>
      <w:bookmarkEnd w:id="1170"/>
      <w:bookmarkEnd w:id="1171"/>
      <w:bookmarkEnd w:id="1172"/>
      <w:bookmarkEnd w:id="1173"/>
      <w:bookmarkEnd w:id="1174"/>
      <w:bookmarkEnd w:id="1175"/>
    </w:p>
    <w:p>
      <w:pPr>
        <w:pStyle w:val="253"/>
        <w:spacing w:before="120"/>
      </w:pPr>
      <w:bookmarkStart w:id="1176" w:name="_Toc486580070"/>
      <w:bookmarkStart w:id="1177" w:name="_Toc480486924"/>
      <w:bookmarkStart w:id="1178" w:name="_Toc483668099"/>
      <w:bookmarkStart w:id="1179" w:name="_Toc490222515"/>
      <w:bookmarkStart w:id="1180" w:name="_Toc480486752"/>
      <w:bookmarkStart w:id="1181" w:name="_Toc10233504"/>
      <w:bookmarkStart w:id="1182" w:name="_Toc489279881"/>
      <w:bookmarkStart w:id="1183" w:name="_Toc342296285"/>
      <w:bookmarkStart w:id="1184" w:name="_Toc338944727"/>
      <w:r>
        <w:t xml:space="preserve">3.1  </w:t>
      </w:r>
      <w:r>
        <w:rPr>
          <w:rFonts w:hint="eastAsia"/>
        </w:rPr>
        <w:t>监理人的职责和权力</w:t>
      </w:r>
      <w:bookmarkEnd w:id="1176"/>
      <w:bookmarkEnd w:id="1177"/>
      <w:bookmarkEnd w:id="1178"/>
      <w:bookmarkEnd w:id="1179"/>
      <w:bookmarkEnd w:id="1180"/>
      <w:bookmarkEnd w:id="1181"/>
      <w:bookmarkEnd w:id="1182"/>
      <w:bookmarkEnd w:id="1183"/>
      <w:bookmarkEnd w:id="1184"/>
    </w:p>
    <w:p>
      <w:pPr>
        <w:spacing w:line="360" w:lineRule="auto"/>
        <w:ind w:firstLine="420" w:firstLineChars="200"/>
        <w:rPr>
          <w:rFonts w:ascii="宋体"/>
        </w:rPr>
      </w:pPr>
      <w:r>
        <w:rPr>
          <w:rFonts w:ascii="宋体" w:hAnsi="宋体"/>
        </w:rPr>
        <w:t xml:space="preserve">3.1.1  </w:t>
      </w:r>
      <w:r>
        <w:rPr>
          <w:rFonts w:hint="eastAsia" w:ascii="宋体" w:hAnsi="宋体"/>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w:t>
      </w:r>
      <w:r>
        <w:rPr>
          <w:rFonts w:hint="eastAsia" w:ascii="宋体" w:hAnsi="宋体"/>
          <w:szCs w:val="21"/>
        </w:rPr>
        <w:t>。发包人需批准明确行使的权力</w:t>
      </w:r>
      <w:r>
        <w:rPr>
          <w:rFonts w:hint="eastAsia" w:ascii="黑体" w:hAnsi="黑体" w:eastAsia="黑体"/>
          <w:szCs w:val="21"/>
        </w:rPr>
        <w:t>见</w:t>
      </w:r>
      <w:r>
        <w:rPr>
          <w:rFonts w:hint="eastAsia" w:ascii="黑体" w:hAnsi="黑体" w:eastAsia="黑体"/>
        </w:rPr>
        <w:t>合同条款专用部分。</w:t>
      </w:r>
    </w:p>
    <w:p>
      <w:pPr>
        <w:spacing w:line="360" w:lineRule="auto"/>
        <w:ind w:firstLine="420" w:firstLineChars="200"/>
        <w:rPr>
          <w:rFonts w:ascii="宋体"/>
        </w:rPr>
      </w:pPr>
      <w:r>
        <w:rPr>
          <w:rFonts w:ascii="宋体" w:hAnsi="宋体"/>
        </w:rPr>
        <w:t xml:space="preserve">3.1.2  </w:t>
      </w:r>
      <w:r>
        <w:rPr>
          <w:rFonts w:hint="eastAsia" w:ascii="宋体" w:hAnsi="宋体"/>
        </w:rPr>
        <w:t>监理人发出的任何指示应视为已得到发包人的批准，但监理人无权免除或变更合同约定的发包人和承包人的权利、义务和责任。</w:t>
      </w:r>
    </w:p>
    <w:p>
      <w:pPr>
        <w:spacing w:line="360" w:lineRule="auto"/>
        <w:ind w:firstLine="420" w:firstLineChars="200"/>
        <w:rPr>
          <w:rFonts w:ascii="宋体"/>
        </w:rPr>
      </w:pPr>
      <w:r>
        <w:rPr>
          <w:rFonts w:ascii="宋体" w:hAnsi="宋体"/>
        </w:rPr>
        <w:t xml:space="preserve">3.1.3  </w:t>
      </w:r>
      <w:r>
        <w:rPr>
          <w:rFonts w:hint="eastAsia" w:ascii="宋体" w:hAnsi="宋体"/>
        </w:rPr>
        <w:t>合同约定应由承包人承担的义务和责任，不因监理人对承包人提交文件的审查或批准，对工程、材料和设备的检查和检验，以及为实施监理作出的指示等职务行为而减轻或解除。</w:t>
      </w:r>
    </w:p>
    <w:p>
      <w:pPr>
        <w:pStyle w:val="253"/>
        <w:spacing w:before="120"/>
      </w:pPr>
      <w:bookmarkStart w:id="1185" w:name="_Toc10233505"/>
      <w:bookmarkStart w:id="1186" w:name="_Toc486580071"/>
      <w:bookmarkStart w:id="1187" w:name="_Toc152045635"/>
      <w:bookmarkStart w:id="1188" w:name="_Toc144974603"/>
      <w:bookmarkStart w:id="1189" w:name="_Toc342296286"/>
      <w:bookmarkStart w:id="1190" w:name="_Toc480486753"/>
      <w:bookmarkStart w:id="1191" w:name="_Toc338944728"/>
      <w:bookmarkStart w:id="1192" w:name="_Toc152042413"/>
      <w:bookmarkStart w:id="1193" w:name="_Toc179632653"/>
      <w:bookmarkStart w:id="1194" w:name="_Toc480486925"/>
      <w:bookmarkStart w:id="1195" w:name="_Toc489279882"/>
      <w:bookmarkStart w:id="1196" w:name="_Toc483668100"/>
      <w:bookmarkStart w:id="1197" w:name="_Toc490222516"/>
      <w:r>
        <w:t xml:space="preserve">3.2  </w:t>
      </w:r>
      <w:r>
        <w:rPr>
          <w:rFonts w:hint="eastAsia"/>
        </w:rPr>
        <w:t>总监理工程师</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pPr>
        <w:spacing w:line="360" w:lineRule="auto"/>
        <w:ind w:firstLine="420" w:firstLineChars="200"/>
        <w:rPr>
          <w:rFonts w:ascii="宋体"/>
        </w:rPr>
      </w:pPr>
      <w:r>
        <w:rPr>
          <w:rFonts w:hint="eastAsia" w:ascii="宋体" w:hAnsi="宋体"/>
        </w:rPr>
        <w:t>发包人应在发出开工通知前将总监理工程师的任命通知承包人。总监理工程师更换时，应在调离</w:t>
      </w:r>
      <w:r>
        <w:rPr>
          <w:rFonts w:ascii="宋体" w:hAnsi="宋体"/>
        </w:rPr>
        <w:t>14</w:t>
      </w:r>
      <w:r>
        <w:rPr>
          <w:rFonts w:hint="eastAsia" w:ascii="宋体" w:hAnsi="宋体"/>
        </w:rPr>
        <w:t>天前通知承包人。总监理工程师短期离开施工场地的，应委派代表代行其职责，并通知承包人。</w:t>
      </w:r>
    </w:p>
    <w:p>
      <w:pPr>
        <w:pStyle w:val="253"/>
        <w:spacing w:before="120"/>
      </w:pPr>
      <w:bookmarkStart w:id="1198" w:name="_Toc342296287"/>
      <w:bookmarkStart w:id="1199" w:name="_Toc486580072"/>
      <w:bookmarkStart w:id="1200" w:name="_Toc490222517"/>
      <w:bookmarkStart w:id="1201" w:name="_Toc480486926"/>
      <w:bookmarkStart w:id="1202" w:name="_Toc480486754"/>
      <w:bookmarkStart w:id="1203" w:name="_Toc338944729"/>
      <w:bookmarkStart w:id="1204" w:name="_Toc483668101"/>
      <w:bookmarkStart w:id="1205" w:name="_Toc489279883"/>
      <w:bookmarkStart w:id="1206" w:name="_Toc10233506"/>
      <w:r>
        <w:t xml:space="preserve">3.3  </w:t>
      </w:r>
      <w:r>
        <w:rPr>
          <w:rFonts w:hint="eastAsia"/>
        </w:rPr>
        <w:t>监理人员</w:t>
      </w:r>
      <w:bookmarkEnd w:id="1198"/>
      <w:bookmarkEnd w:id="1199"/>
      <w:bookmarkEnd w:id="1200"/>
      <w:bookmarkEnd w:id="1201"/>
      <w:bookmarkEnd w:id="1202"/>
      <w:bookmarkEnd w:id="1203"/>
      <w:bookmarkEnd w:id="1204"/>
      <w:bookmarkEnd w:id="1205"/>
      <w:bookmarkEnd w:id="1206"/>
    </w:p>
    <w:p>
      <w:pPr>
        <w:spacing w:line="360" w:lineRule="auto"/>
        <w:ind w:firstLine="420" w:firstLineChars="200"/>
        <w:rPr>
          <w:rFonts w:ascii="宋体"/>
        </w:rPr>
      </w:pPr>
      <w:r>
        <w:rPr>
          <w:rFonts w:ascii="宋体" w:hAnsi="宋体"/>
        </w:rPr>
        <w:t xml:space="preserve">3.3.1  </w:t>
      </w:r>
      <w:r>
        <w:rPr>
          <w:rFonts w:hint="eastAsia" w:ascii="宋体" w:hAnsi="宋体"/>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pPr>
        <w:spacing w:line="360" w:lineRule="auto"/>
        <w:ind w:firstLine="420" w:firstLineChars="200"/>
        <w:rPr>
          <w:rFonts w:ascii="宋体"/>
        </w:rPr>
      </w:pPr>
      <w:r>
        <w:rPr>
          <w:rFonts w:ascii="宋体" w:hAnsi="宋体"/>
        </w:rPr>
        <w:t xml:space="preserve">3.3.2  </w:t>
      </w:r>
      <w:r>
        <w:rPr>
          <w:rFonts w:hint="eastAsia" w:ascii="宋体" w:hAnsi="宋体"/>
        </w:rPr>
        <w:t>监理人员对承包人的任何工作、工程或其采用的材料和工程设备未在约定的或合理的期限内提出否定意见的，视为已获批准，但不影响监理人在以后拒绝该项工作、工程、材料或工程设备的权利。</w:t>
      </w:r>
    </w:p>
    <w:p>
      <w:pPr>
        <w:spacing w:line="360" w:lineRule="auto"/>
        <w:ind w:firstLine="420" w:firstLineChars="200"/>
        <w:rPr>
          <w:rFonts w:ascii="宋体"/>
        </w:rPr>
      </w:pPr>
      <w:r>
        <w:rPr>
          <w:rFonts w:ascii="宋体" w:hAnsi="宋体"/>
        </w:rPr>
        <w:t xml:space="preserve">3.3.3  </w:t>
      </w:r>
      <w:r>
        <w:rPr>
          <w:rFonts w:hint="eastAsia" w:ascii="宋体" w:hAnsi="宋体"/>
        </w:rPr>
        <w:t>承包人对总监理工程师授权的监理人员发出的指示有疑问的，可向总监理工程师提出书面异议，总监理工程师应在</w:t>
      </w:r>
      <w:r>
        <w:rPr>
          <w:rFonts w:ascii="宋体" w:hAnsi="宋体"/>
        </w:rPr>
        <w:t>48</w:t>
      </w:r>
      <w:r>
        <w:rPr>
          <w:rFonts w:hint="eastAsia" w:ascii="宋体" w:hAnsi="宋体"/>
        </w:rPr>
        <w:t>小时内对该指示予以确认、更改或撤销。</w:t>
      </w:r>
    </w:p>
    <w:p>
      <w:pPr>
        <w:spacing w:line="360" w:lineRule="auto"/>
        <w:ind w:firstLine="420" w:firstLineChars="200"/>
        <w:rPr>
          <w:rFonts w:ascii="宋体"/>
        </w:rPr>
      </w:pPr>
      <w:r>
        <w:rPr>
          <w:rFonts w:ascii="宋体" w:hAnsi="宋体"/>
        </w:rPr>
        <w:t xml:space="preserve">3.3.4  </w:t>
      </w:r>
      <w:r>
        <w:rPr>
          <w:rFonts w:hint="eastAsia" w:ascii="宋体" w:hAnsi="宋体"/>
          <w:szCs w:val="21"/>
        </w:rPr>
        <w:t>总监理工程师不应将合同条款通用部分第</w:t>
      </w:r>
      <w:r>
        <w:rPr>
          <w:rFonts w:ascii="宋体" w:hAnsi="宋体"/>
          <w:szCs w:val="21"/>
        </w:rPr>
        <w:t>3.5</w:t>
      </w:r>
      <w:r>
        <w:rPr>
          <w:rFonts w:hint="eastAsia" w:ascii="宋体" w:hAnsi="宋体"/>
          <w:szCs w:val="21"/>
        </w:rPr>
        <w:t>款约定应由总监理工程师作出确定的权力授权或者委托给其他监理人员。</w:t>
      </w:r>
    </w:p>
    <w:p>
      <w:pPr>
        <w:pStyle w:val="253"/>
        <w:spacing w:before="120"/>
      </w:pPr>
      <w:bookmarkStart w:id="1207" w:name="_Toc490222518"/>
      <w:bookmarkStart w:id="1208" w:name="_Toc338944730"/>
      <w:bookmarkStart w:id="1209" w:name="_Toc480486927"/>
      <w:bookmarkStart w:id="1210" w:name="_Toc483668102"/>
      <w:bookmarkStart w:id="1211" w:name="_Toc489279884"/>
      <w:bookmarkStart w:id="1212" w:name="_Toc10233507"/>
      <w:bookmarkStart w:id="1213" w:name="_Toc486580073"/>
      <w:bookmarkStart w:id="1214" w:name="_Toc480486755"/>
      <w:bookmarkStart w:id="1215" w:name="_Toc342296288"/>
      <w:r>
        <w:t xml:space="preserve">3.4  </w:t>
      </w:r>
      <w:r>
        <w:rPr>
          <w:rFonts w:hint="eastAsia"/>
        </w:rPr>
        <w:t>监理人的指示</w:t>
      </w:r>
      <w:bookmarkEnd w:id="1207"/>
      <w:bookmarkEnd w:id="1208"/>
      <w:bookmarkEnd w:id="1209"/>
      <w:bookmarkEnd w:id="1210"/>
      <w:bookmarkEnd w:id="1211"/>
      <w:bookmarkEnd w:id="1212"/>
      <w:bookmarkEnd w:id="1213"/>
      <w:bookmarkEnd w:id="1214"/>
      <w:bookmarkEnd w:id="1215"/>
    </w:p>
    <w:p>
      <w:pPr>
        <w:spacing w:line="360" w:lineRule="auto"/>
        <w:ind w:firstLine="420" w:firstLineChars="200"/>
        <w:rPr>
          <w:rFonts w:ascii="宋体"/>
        </w:rPr>
      </w:pPr>
      <w:r>
        <w:rPr>
          <w:rFonts w:ascii="宋体" w:hAnsi="宋体"/>
        </w:rPr>
        <w:t xml:space="preserve">3.4.1  </w:t>
      </w:r>
      <w:r>
        <w:rPr>
          <w:rFonts w:hint="eastAsia" w:ascii="宋体" w:hAnsi="宋体"/>
        </w:rPr>
        <w:t>监理人应按第</w:t>
      </w:r>
      <w:r>
        <w:rPr>
          <w:rFonts w:ascii="宋体" w:hAnsi="宋体"/>
        </w:rPr>
        <w:t>3.1</w:t>
      </w:r>
      <w:r>
        <w:rPr>
          <w:rFonts w:hint="eastAsia" w:ascii="宋体" w:hAnsi="宋体"/>
        </w:rPr>
        <w:t>款的约定向承包人发出指示，监理人的指示应加盖监理人授权的施工场地机构章，并由总监理工程师或总监理工程师按第</w:t>
      </w:r>
      <w:r>
        <w:rPr>
          <w:rFonts w:ascii="宋体" w:hAnsi="宋体"/>
        </w:rPr>
        <w:t>3.3.1</w:t>
      </w:r>
      <w:r>
        <w:rPr>
          <w:rFonts w:hint="eastAsia" w:ascii="宋体" w:hAnsi="宋体"/>
        </w:rPr>
        <w:t>项约定授权的监理人员签字。</w:t>
      </w:r>
    </w:p>
    <w:p>
      <w:pPr>
        <w:spacing w:line="360" w:lineRule="auto"/>
        <w:ind w:firstLine="420" w:firstLineChars="200"/>
        <w:rPr>
          <w:rFonts w:ascii="宋体"/>
        </w:rPr>
      </w:pPr>
      <w:r>
        <w:rPr>
          <w:rFonts w:ascii="宋体" w:hAnsi="宋体"/>
        </w:rPr>
        <w:t xml:space="preserve">3.4.2  </w:t>
      </w:r>
      <w:r>
        <w:rPr>
          <w:rFonts w:hint="eastAsia" w:ascii="宋体" w:hAnsi="宋体"/>
        </w:rPr>
        <w:t>承包人收到监理人按第</w:t>
      </w:r>
      <w:r>
        <w:rPr>
          <w:rFonts w:ascii="宋体" w:hAnsi="宋体"/>
        </w:rPr>
        <w:t>3.4.1</w:t>
      </w:r>
      <w:r>
        <w:rPr>
          <w:rFonts w:hint="eastAsia" w:ascii="宋体" w:hAnsi="宋体"/>
        </w:rPr>
        <w:t>项作出的指示后，应遵照执行。指示构成变更的，应按第</w:t>
      </w:r>
      <w:r>
        <w:rPr>
          <w:rFonts w:ascii="宋体" w:hAnsi="宋体"/>
        </w:rPr>
        <w:t>15</w:t>
      </w:r>
      <w:r>
        <w:rPr>
          <w:rFonts w:hint="eastAsia" w:ascii="宋体" w:hAnsi="宋体"/>
        </w:rPr>
        <w:t>条处理。</w:t>
      </w:r>
    </w:p>
    <w:p>
      <w:pPr>
        <w:spacing w:line="360" w:lineRule="auto"/>
        <w:ind w:firstLine="420" w:firstLineChars="200"/>
        <w:rPr>
          <w:rFonts w:ascii="宋体"/>
        </w:rPr>
      </w:pPr>
      <w:r>
        <w:rPr>
          <w:rFonts w:ascii="宋体" w:hAnsi="宋体"/>
        </w:rPr>
        <w:t xml:space="preserve">3.4.3  </w:t>
      </w:r>
      <w:r>
        <w:rPr>
          <w:rFonts w:hint="eastAsia" w:ascii="宋体" w:hAnsi="宋体"/>
        </w:rPr>
        <w:t>在紧急情况下，总监理工程师或被授权的监理人员可以当场签发临时书面指示，承包人应遵照执行。承包人应在收到上述临时书面指示后</w:t>
      </w:r>
      <w:r>
        <w:rPr>
          <w:rFonts w:ascii="宋体" w:hAnsi="宋体"/>
        </w:rPr>
        <w:t>24</w:t>
      </w:r>
      <w:r>
        <w:rPr>
          <w:rFonts w:hint="eastAsia" w:ascii="宋体" w:hAnsi="宋体"/>
        </w:rPr>
        <w:t>小时内，向监理人发出书面确认函。监理人在收到书面确认函后</w:t>
      </w:r>
      <w:r>
        <w:rPr>
          <w:rFonts w:ascii="宋体" w:hAnsi="宋体"/>
        </w:rPr>
        <w:t>24</w:t>
      </w:r>
      <w:r>
        <w:rPr>
          <w:rFonts w:hint="eastAsia" w:ascii="宋体" w:hAnsi="宋体"/>
        </w:rPr>
        <w:t>小时内未予答复的，该书面确认函应被视为监理人的正式指示。</w:t>
      </w:r>
    </w:p>
    <w:p>
      <w:pPr>
        <w:spacing w:line="360" w:lineRule="auto"/>
        <w:ind w:firstLine="420" w:firstLineChars="200"/>
        <w:rPr>
          <w:rFonts w:ascii="宋体"/>
        </w:rPr>
      </w:pPr>
      <w:r>
        <w:rPr>
          <w:rFonts w:ascii="宋体" w:hAnsi="宋体"/>
        </w:rPr>
        <w:t xml:space="preserve">3.4.4  </w:t>
      </w:r>
      <w:r>
        <w:rPr>
          <w:rFonts w:hint="eastAsia" w:ascii="宋体" w:hAnsi="宋体"/>
        </w:rPr>
        <w:t>除合同另有约定外，承包人只从总监理工程师或按第</w:t>
      </w:r>
      <w:r>
        <w:rPr>
          <w:rFonts w:ascii="宋体" w:hAnsi="宋体"/>
        </w:rPr>
        <w:t>3.3.1</w:t>
      </w:r>
      <w:r>
        <w:rPr>
          <w:rFonts w:hint="eastAsia" w:ascii="宋体" w:hAnsi="宋体"/>
        </w:rPr>
        <w:t>项被授权的监理人员处取得指示。</w:t>
      </w:r>
    </w:p>
    <w:p>
      <w:pPr>
        <w:spacing w:line="360" w:lineRule="auto"/>
        <w:ind w:firstLine="420" w:firstLineChars="200"/>
        <w:rPr>
          <w:rFonts w:ascii="宋体"/>
        </w:rPr>
      </w:pPr>
      <w:r>
        <w:rPr>
          <w:rFonts w:ascii="宋体" w:hAnsi="宋体"/>
        </w:rPr>
        <w:t xml:space="preserve">3.4.5  </w:t>
      </w:r>
      <w:r>
        <w:rPr>
          <w:rFonts w:hint="eastAsia" w:ascii="宋体" w:hAnsi="宋体"/>
        </w:rPr>
        <w:t>由于监理人未能按合同约定发出指示、指示延误或指示错误而导致承包人费用增加和（或）工期延误的，由发包人承担赔偿责任。</w:t>
      </w:r>
      <w:r>
        <w:rPr>
          <w:rFonts w:ascii="宋体" w:hAnsi="宋体"/>
        </w:rPr>
        <w:t xml:space="preserve"> </w:t>
      </w:r>
    </w:p>
    <w:p>
      <w:pPr>
        <w:pStyle w:val="253"/>
        <w:spacing w:before="120"/>
      </w:pPr>
      <w:bookmarkStart w:id="1216" w:name="_Toc342296289"/>
      <w:bookmarkStart w:id="1217" w:name="_Toc338944731"/>
      <w:bookmarkStart w:id="1218" w:name="_Toc480486756"/>
      <w:bookmarkStart w:id="1219" w:name="_Toc152045638"/>
      <w:bookmarkStart w:id="1220" w:name="_Toc490222519"/>
      <w:bookmarkStart w:id="1221" w:name="_Toc179632656"/>
      <w:bookmarkStart w:id="1222" w:name="_Toc483668103"/>
      <w:bookmarkStart w:id="1223" w:name="_Toc480486928"/>
      <w:bookmarkStart w:id="1224" w:name="_Toc10233508"/>
      <w:bookmarkStart w:id="1225" w:name="_Toc486580074"/>
      <w:bookmarkStart w:id="1226" w:name="_Toc152042416"/>
      <w:bookmarkStart w:id="1227" w:name="_Toc144974606"/>
      <w:bookmarkStart w:id="1228" w:name="_Toc489279885"/>
      <w:r>
        <w:t xml:space="preserve">3.5  </w:t>
      </w:r>
      <w:r>
        <w:rPr>
          <w:rFonts w:hint="eastAsia"/>
        </w:rPr>
        <w:t>商定或确定</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pPr>
        <w:spacing w:line="360" w:lineRule="auto"/>
        <w:ind w:firstLine="420" w:firstLineChars="200"/>
        <w:rPr>
          <w:rFonts w:ascii="宋体"/>
        </w:rPr>
      </w:pPr>
      <w:r>
        <w:rPr>
          <w:rFonts w:ascii="宋体" w:hAnsi="宋体"/>
        </w:rPr>
        <w:t xml:space="preserve">3.5.1  </w:t>
      </w:r>
      <w:r>
        <w:rPr>
          <w:rFonts w:hint="eastAsia" w:ascii="宋体" w:hAnsi="宋体"/>
        </w:rPr>
        <w:t>总监理工程师应按照本款对任何事项进行商定或确定时，总监理工程师应与合同当事人协商，尽量达成一致。不能达成一致的，总监理工程师应认真研究后审慎确定。</w:t>
      </w:r>
    </w:p>
    <w:p>
      <w:pPr>
        <w:spacing w:line="360" w:lineRule="auto"/>
        <w:ind w:firstLine="420" w:firstLineChars="200"/>
        <w:rPr>
          <w:rFonts w:ascii="宋体"/>
        </w:rPr>
      </w:pPr>
      <w:r>
        <w:rPr>
          <w:rFonts w:ascii="宋体" w:hAnsi="宋体"/>
        </w:rPr>
        <w:t xml:space="preserve">3.5.2  </w:t>
      </w:r>
      <w:r>
        <w:rPr>
          <w:rFonts w:hint="eastAsia" w:ascii="宋体" w:hAnsi="宋体"/>
        </w:rPr>
        <w:t>总监理工程师应将商定或确定的事项通知合同当事人，并附详细依据。对总监理工程师的确定有异议的，构成争议，按照第</w:t>
      </w:r>
      <w:r>
        <w:rPr>
          <w:rFonts w:ascii="宋体" w:hAnsi="宋体"/>
        </w:rPr>
        <w:t>24</w:t>
      </w:r>
      <w:r>
        <w:rPr>
          <w:rFonts w:hint="eastAsia" w:ascii="宋体" w:hAnsi="宋体"/>
        </w:rPr>
        <w:t>条的约定处理。在争议解决前，双方应暂按总监理工程师的确定执行；按照第</w:t>
      </w:r>
      <w:r>
        <w:rPr>
          <w:rFonts w:ascii="宋体" w:hAnsi="宋体"/>
        </w:rPr>
        <w:t>24</w:t>
      </w:r>
      <w:r>
        <w:rPr>
          <w:rFonts w:hint="eastAsia" w:ascii="宋体" w:hAnsi="宋体"/>
        </w:rPr>
        <w:t>条的约定对总监理工程师的确定需要作出修改的，按修改后的结果执行。</w:t>
      </w:r>
    </w:p>
    <w:p>
      <w:pPr>
        <w:pStyle w:val="253"/>
        <w:spacing w:before="120"/>
      </w:pPr>
      <w:bookmarkStart w:id="1229" w:name="_Toc489279886"/>
      <w:bookmarkStart w:id="1230" w:name="_Toc486580075"/>
      <w:bookmarkStart w:id="1231" w:name="_Toc480486757"/>
      <w:bookmarkStart w:id="1232" w:name="_Toc342296432"/>
      <w:bookmarkStart w:id="1233" w:name="_Toc490222520"/>
      <w:bookmarkStart w:id="1234" w:name="_Toc241459673"/>
      <w:bookmarkStart w:id="1235" w:name="_Toc476479320"/>
      <w:bookmarkStart w:id="1236" w:name="_Toc483668104"/>
      <w:bookmarkStart w:id="1237" w:name="_Toc10233509"/>
      <w:bookmarkStart w:id="1238" w:name="_Toc480486929"/>
      <w:r>
        <w:t xml:space="preserve">3.6  </w:t>
      </w:r>
      <w:r>
        <w:rPr>
          <w:rFonts w:hint="eastAsia"/>
        </w:rPr>
        <w:t>监理人的宽恕</w:t>
      </w:r>
      <w:bookmarkEnd w:id="1229"/>
      <w:bookmarkEnd w:id="1230"/>
      <w:bookmarkEnd w:id="1231"/>
      <w:bookmarkEnd w:id="1232"/>
      <w:bookmarkEnd w:id="1233"/>
      <w:bookmarkEnd w:id="1234"/>
      <w:bookmarkEnd w:id="1235"/>
      <w:bookmarkEnd w:id="1236"/>
      <w:bookmarkEnd w:id="1237"/>
      <w:bookmarkEnd w:id="1238"/>
    </w:p>
    <w:p>
      <w:pPr>
        <w:spacing w:line="360" w:lineRule="auto"/>
        <w:ind w:firstLine="420" w:firstLineChars="200"/>
        <w:rPr>
          <w:rFonts w:ascii="宋体"/>
        </w:rPr>
      </w:pPr>
      <w:r>
        <w:rPr>
          <w:rFonts w:hint="eastAsia" w:ascii="宋体" w:hAnsi="宋体"/>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pPr>
        <w:pStyle w:val="43"/>
        <w:spacing w:after="120"/>
      </w:pPr>
      <w:bookmarkStart w:id="1239" w:name="_Toc480486758"/>
      <w:bookmarkStart w:id="1240" w:name="_Toc483668105"/>
      <w:bookmarkStart w:id="1241" w:name="_Toc338944732"/>
      <w:bookmarkStart w:id="1242" w:name="_Toc10233510"/>
      <w:bookmarkStart w:id="1243" w:name="_Toc490222521"/>
      <w:bookmarkStart w:id="1244" w:name="_Toc342296290"/>
      <w:bookmarkStart w:id="1245" w:name="_Toc486580076"/>
      <w:bookmarkStart w:id="1246" w:name="_Toc489279887"/>
      <w:bookmarkStart w:id="1247" w:name="_Toc480486930"/>
      <w:r>
        <w:t>4.</w:t>
      </w:r>
      <w:r>
        <w:rPr>
          <w:rFonts w:hint="eastAsia"/>
        </w:rPr>
        <w:t>承包人</w:t>
      </w:r>
      <w:bookmarkEnd w:id="1239"/>
      <w:bookmarkEnd w:id="1240"/>
      <w:bookmarkEnd w:id="1241"/>
      <w:bookmarkEnd w:id="1242"/>
      <w:bookmarkEnd w:id="1243"/>
      <w:bookmarkEnd w:id="1244"/>
      <w:bookmarkEnd w:id="1245"/>
      <w:bookmarkEnd w:id="1246"/>
      <w:bookmarkEnd w:id="1247"/>
    </w:p>
    <w:p>
      <w:pPr>
        <w:pStyle w:val="253"/>
        <w:spacing w:before="120"/>
      </w:pPr>
      <w:bookmarkStart w:id="1248" w:name="_Toc490222522"/>
      <w:bookmarkStart w:id="1249" w:name="_Toc338944733"/>
      <w:bookmarkStart w:id="1250" w:name="_Toc486580077"/>
      <w:bookmarkStart w:id="1251" w:name="_Toc489279888"/>
      <w:bookmarkStart w:id="1252" w:name="_Toc342296291"/>
      <w:bookmarkStart w:id="1253" w:name="_Toc483668106"/>
      <w:bookmarkStart w:id="1254" w:name="_Toc480486759"/>
      <w:bookmarkStart w:id="1255" w:name="_Toc10233511"/>
      <w:bookmarkStart w:id="1256" w:name="_Toc480486931"/>
      <w:r>
        <w:t xml:space="preserve">4.1  </w:t>
      </w:r>
      <w:r>
        <w:rPr>
          <w:rFonts w:hint="eastAsia"/>
        </w:rPr>
        <w:t>承包人的一般义务</w:t>
      </w:r>
      <w:bookmarkEnd w:id="1248"/>
      <w:bookmarkEnd w:id="1249"/>
      <w:bookmarkEnd w:id="1250"/>
      <w:bookmarkEnd w:id="1251"/>
      <w:bookmarkEnd w:id="1252"/>
      <w:bookmarkEnd w:id="1253"/>
      <w:bookmarkEnd w:id="1254"/>
      <w:bookmarkEnd w:id="1255"/>
      <w:bookmarkEnd w:id="1256"/>
    </w:p>
    <w:p>
      <w:pPr>
        <w:spacing w:line="360" w:lineRule="auto"/>
        <w:ind w:firstLine="420" w:firstLineChars="200"/>
        <w:rPr>
          <w:rFonts w:ascii="宋体"/>
        </w:rPr>
      </w:pPr>
      <w:r>
        <w:rPr>
          <w:rFonts w:ascii="宋体" w:hAnsi="宋体"/>
        </w:rPr>
        <w:t xml:space="preserve">4.1.1  </w:t>
      </w:r>
      <w:r>
        <w:rPr>
          <w:rFonts w:hint="eastAsia" w:ascii="宋体" w:hAnsi="宋体"/>
        </w:rPr>
        <w:t>遵守法律</w:t>
      </w:r>
    </w:p>
    <w:p>
      <w:pPr>
        <w:spacing w:line="360" w:lineRule="auto"/>
        <w:ind w:firstLine="420" w:firstLineChars="200"/>
        <w:rPr>
          <w:rFonts w:ascii="宋体"/>
        </w:rPr>
      </w:pPr>
      <w:r>
        <w:rPr>
          <w:rFonts w:hint="eastAsia" w:ascii="宋体" w:hAnsi="宋体"/>
        </w:rPr>
        <w:t>承包人在履行合同过程中应遵守法律，并保证发包人免于承担因承包人违反法律而引起的任何责任。</w:t>
      </w:r>
    </w:p>
    <w:p>
      <w:pPr>
        <w:spacing w:line="360" w:lineRule="auto"/>
        <w:ind w:firstLine="420" w:firstLineChars="200"/>
        <w:rPr>
          <w:rFonts w:ascii="宋体"/>
        </w:rPr>
      </w:pPr>
      <w:r>
        <w:rPr>
          <w:rFonts w:ascii="宋体" w:hAnsi="宋体"/>
        </w:rPr>
        <w:t xml:space="preserve">4.1.2  </w:t>
      </w:r>
      <w:r>
        <w:rPr>
          <w:rFonts w:hint="eastAsia" w:ascii="宋体" w:hAnsi="宋体"/>
        </w:rPr>
        <w:t>依法纳税</w:t>
      </w:r>
    </w:p>
    <w:p>
      <w:pPr>
        <w:spacing w:line="360" w:lineRule="auto"/>
        <w:ind w:firstLine="420" w:firstLineChars="200"/>
        <w:rPr>
          <w:rFonts w:ascii="宋体"/>
        </w:rPr>
      </w:pPr>
      <w:r>
        <w:rPr>
          <w:rFonts w:hint="eastAsia" w:ascii="宋体" w:hAnsi="宋体"/>
        </w:rPr>
        <w:t>承包人应按有关法律规定纳税，应缴纳的税金包括在合同价格内。</w:t>
      </w:r>
    </w:p>
    <w:p>
      <w:pPr>
        <w:spacing w:line="360" w:lineRule="auto"/>
        <w:ind w:firstLine="420" w:firstLineChars="200"/>
        <w:rPr>
          <w:rFonts w:ascii="宋体"/>
        </w:rPr>
      </w:pPr>
      <w:r>
        <w:rPr>
          <w:rFonts w:ascii="宋体" w:hAnsi="宋体"/>
        </w:rPr>
        <w:t xml:space="preserve">4.1.3  </w:t>
      </w:r>
      <w:r>
        <w:rPr>
          <w:rFonts w:hint="eastAsia" w:ascii="宋体" w:hAnsi="宋体"/>
        </w:rPr>
        <w:t>完成各项承包工作</w:t>
      </w:r>
    </w:p>
    <w:p>
      <w:pPr>
        <w:spacing w:line="360" w:lineRule="auto"/>
        <w:ind w:firstLine="420" w:firstLineChars="200"/>
        <w:rPr>
          <w:rFonts w:ascii="宋体"/>
          <w:szCs w:val="21"/>
        </w:rPr>
      </w:pPr>
      <w:r>
        <w:rPr>
          <w:rFonts w:hint="eastAsia" w:ascii="宋体" w:hAnsi="宋体"/>
        </w:rPr>
        <w:t>（</w:t>
      </w:r>
      <w:r>
        <w:rPr>
          <w:rFonts w:ascii="宋体" w:hAnsi="宋体"/>
        </w:rPr>
        <w:t>1</w:t>
      </w:r>
      <w:r>
        <w:rPr>
          <w:rFonts w:hint="eastAsia" w:ascii="宋体" w:hAnsi="宋体"/>
        </w:rPr>
        <w:t>）承包人应按合同约定以及监理人根据第</w:t>
      </w:r>
      <w:r>
        <w:rPr>
          <w:rFonts w:ascii="宋体" w:hAnsi="宋体"/>
        </w:rPr>
        <w:t>3.4</w:t>
      </w:r>
      <w:r>
        <w:rPr>
          <w:rFonts w:hint="eastAsia" w:ascii="宋体" w:hAnsi="宋体"/>
        </w:rPr>
        <w:t>款作出的指示，实施、完成全部工程，并修补工程中的任何缺陷。</w:t>
      </w:r>
      <w:r>
        <w:rPr>
          <w:rFonts w:hint="eastAsia" w:ascii="宋体" w:hAnsi="宋体"/>
          <w:szCs w:val="21"/>
        </w:rPr>
        <w:t>除第</w:t>
      </w:r>
      <w:r>
        <w:rPr>
          <w:rFonts w:ascii="宋体" w:hAnsi="宋体"/>
          <w:szCs w:val="21"/>
        </w:rPr>
        <w:t>5.2</w:t>
      </w:r>
      <w:r>
        <w:rPr>
          <w:rFonts w:hint="eastAsia" w:ascii="宋体" w:hAnsi="宋体"/>
          <w:szCs w:val="21"/>
        </w:rPr>
        <w:t>款约定由发包人提供的材料和工程设备和第</w:t>
      </w:r>
      <w:r>
        <w:rPr>
          <w:rFonts w:ascii="宋体" w:hAnsi="宋体"/>
          <w:szCs w:val="21"/>
        </w:rPr>
        <w:t>6.2</w:t>
      </w:r>
      <w:r>
        <w:rPr>
          <w:rFonts w:hint="eastAsia" w:ascii="宋体" w:hAnsi="宋体"/>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p>
    <w:p>
      <w:pPr>
        <w:spacing w:line="360" w:lineRule="auto"/>
        <w:ind w:firstLine="420" w:firstLineChars="200"/>
        <w:rPr>
          <w:rFonts w:ascii="宋体"/>
        </w:rPr>
      </w:pPr>
      <w:r>
        <w:rPr>
          <w:rFonts w:hint="eastAsia" w:ascii="宋体" w:hAnsi="宋体"/>
          <w:szCs w:val="21"/>
        </w:rPr>
        <w:t>（</w:t>
      </w:r>
      <w:r>
        <w:rPr>
          <w:rFonts w:ascii="宋体" w:hAnsi="宋体"/>
          <w:szCs w:val="21"/>
        </w:rPr>
        <w:t>2</w:t>
      </w:r>
      <w:r>
        <w:rPr>
          <w:rFonts w:hint="eastAsia" w:ascii="宋体" w:hAnsi="宋体"/>
          <w:szCs w:val="21"/>
        </w:rPr>
        <w:t>）承包人还应当依法合规建立施工扬尘综合治理、建筑垃圾、土方和砂石清运与消纳、严禁使用高排放非道路移动机械和行业挥发性有机物治理</w:t>
      </w:r>
      <w:r>
        <w:rPr>
          <w:rFonts w:hint="eastAsia" w:ascii="宋体" w:hAnsi="宋体"/>
          <w:kern w:val="0"/>
          <w:szCs w:val="21"/>
        </w:rPr>
        <w:t>（如</w:t>
      </w:r>
      <w:r>
        <w:rPr>
          <w:rFonts w:hint="eastAsia" w:ascii="宋体" w:hAnsi="宋体"/>
          <w:kern w:val="0"/>
        </w:rPr>
        <w:t>建筑外墙涂装、钢结构等鼓励使用水性漆替代油性漆</w:t>
      </w:r>
      <w:r>
        <w:rPr>
          <w:rFonts w:hint="eastAsia" w:ascii="宋体" w:hAnsi="宋体"/>
          <w:kern w:val="0"/>
          <w:szCs w:val="21"/>
        </w:rPr>
        <w:t>）</w:t>
      </w:r>
      <w:r>
        <w:rPr>
          <w:rFonts w:hint="eastAsia" w:ascii="宋体" w:hAnsi="宋体"/>
          <w:szCs w:val="21"/>
        </w:rPr>
        <w:t>等责任制，制定具体的管控机制和实施方案，严格落实。</w:t>
      </w:r>
    </w:p>
    <w:p>
      <w:pPr>
        <w:spacing w:line="360" w:lineRule="auto"/>
        <w:ind w:firstLine="420" w:firstLineChars="200"/>
        <w:rPr>
          <w:rFonts w:ascii="宋体"/>
        </w:rPr>
      </w:pPr>
      <w:r>
        <w:rPr>
          <w:rFonts w:ascii="宋体" w:hAnsi="宋体"/>
        </w:rPr>
        <w:t xml:space="preserve">4.1.4  </w:t>
      </w:r>
      <w:r>
        <w:rPr>
          <w:rFonts w:hint="eastAsia" w:ascii="宋体" w:hAnsi="宋体"/>
        </w:rPr>
        <w:t>对施工作业和施工方法的完备性负责</w:t>
      </w:r>
    </w:p>
    <w:p>
      <w:pPr>
        <w:spacing w:line="360" w:lineRule="auto"/>
        <w:ind w:firstLine="420" w:firstLineChars="200"/>
        <w:rPr>
          <w:rFonts w:ascii="宋体"/>
        </w:rPr>
      </w:pPr>
      <w:r>
        <w:rPr>
          <w:rFonts w:hint="eastAsia" w:ascii="宋体" w:hAnsi="宋体"/>
        </w:rPr>
        <w:t>承包人应按合同约定的工作内容和施工进度要求，编制施工组织设计和施工措施计划，并对所有施工作业和施工方法的完备性和安全可靠性负责。</w:t>
      </w:r>
    </w:p>
    <w:p>
      <w:pPr>
        <w:spacing w:line="360" w:lineRule="auto"/>
        <w:ind w:firstLine="420" w:firstLineChars="200"/>
        <w:rPr>
          <w:rFonts w:ascii="宋体"/>
        </w:rPr>
      </w:pPr>
      <w:r>
        <w:rPr>
          <w:rFonts w:ascii="宋体" w:hAnsi="宋体"/>
        </w:rPr>
        <w:t xml:space="preserve">4.1.5  </w:t>
      </w:r>
      <w:r>
        <w:rPr>
          <w:rFonts w:hint="eastAsia" w:ascii="宋体" w:hAnsi="宋体"/>
        </w:rPr>
        <w:t>保证工程施工和人员的安全</w:t>
      </w:r>
    </w:p>
    <w:p>
      <w:pPr>
        <w:spacing w:line="360" w:lineRule="auto"/>
        <w:ind w:firstLine="420" w:firstLineChars="200"/>
        <w:rPr>
          <w:rFonts w:ascii="宋体"/>
        </w:rPr>
      </w:pPr>
      <w:r>
        <w:rPr>
          <w:rFonts w:hint="eastAsia" w:ascii="宋体" w:hAnsi="宋体"/>
        </w:rPr>
        <w:t>承包人应按照第</w:t>
      </w:r>
      <w:r>
        <w:rPr>
          <w:rFonts w:ascii="宋体" w:hAnsi="宋体"/>
        </w:rPr>
        <w:t>9.2</w:t>
      </w:r>
      <w:r>
        <w:rPr>
          <w:rFonts w:hint="eastAsia" w:ascii="宋体" w:hAnsi="宋体"/>
        </w:rPr>
        <w:t>款约定采取施工安全措施，确保工程及其人员、材料、设备和设施的安全，防止因工程施工造成的人身伤害和财产损失。</w:t>
      </w:r>
    </w:p>
    <w:p>
      <w:pPr>
        <w:spacing w:line="360" w:lineRule="auto"/>
        <w:ind w:firstLine="420" w:firstLineChars="200"/>
        <w:rPr>
          <w:rFonts w:ascii="宋体"/>
        </w:rPr>
      </w:pPr>
      <w:r>
        <w:rPr>
          <w:rFonts w:ascii="宋体" w:hAnsi="宋体"/>
        </w:rPr>
        <w:t xml:space="preserve">4.1.6  </w:t>
      </w:r>
      <w:r>
        <w:rPr>
          <w:rFonts w:hint="eastAsia" w:ascii="宋体" w:hAnsi="宋体"/>
        </w:rPr>
        <w:t>负责施工场地及其周边环境与生态的保护工作</w:t>
      </w:r>
    </w:p>
    <w:p>
      <w:pPr>
        <w:spacing w:line="360" w:lineRule="auto"/>
        <w:ind w:firstLine="420" w:firstLineChars="200"/>
        <w:rPr>
          <w:rFonts w:ascii="宋体"/>
        </w:rPr>
      </w:pPr>
      <w:r>
        <w:rPr>
          <w:rFonts w:hint="eastAsia" w:ascii="宋体" w:hAnsi="宋体"/>
        </w:rPr>
        <w:t>承包人应按照第</w:t>
      </w:r>
      <w:r>
        <w:rPr>
          <w:rFonts w:ascii="宋体" w:hAnsi="宋体"/>
        </w:rPr>
        <w:t>9.4</w:t>
      </w:r>
      <w:r>
        <w:rPr>
          <w:rFonts w:hint="eastAsia" w:ascii="宋体" w:hAnsi="宋体"/>
        </w:rPr>
        <w:t>款约定负责施工场地及其周边环境与生态的保护工作。</w:t>
      </w:r>
    </w:p>
    <w:p>
      <w:pPr>
        <w:spacing w:line="360" w:lineRule="auto"/>
        <w:ind w:firstLine="420" w:firstLineChars="200"/>
        <w:rPr>
          <w:rFonts w:ascii="宋体"/>
        </w:rPr>
      </w:pPr>
      <w:r>
        <w:rPr>
          <w:rFonts w:ascii="宋体" w:hAnsi="宋体"/>
        </w:rPr>
        <w:t xml:space="preserve">4.1.7  </w:t>
      </w:r>
      <w:r>
        <w:rPr>
          <w:rFonts w:hint="eastAsia" w:ascii="宋体" w:hAnsi="宋体"/>
        </w:rPr>
        <w:t>避免施工对公众与他人的利益造成损害</w:t>
      </w:r>
    </w:p>
    <w:p>
      <w:pPr>
        <w:spacing w:line="360" w:lineRule="auto"/>
        <w:ind w:firstLine="420" w:firstLineChars="200"/>
        <w:rPr>
          <w:rFonts w:ascii="宋体"/>
        </w:rPr>
      </w:pPr>
      <w:r>
        <w:rPr>
          <w:rFonts w:hint="eastAsia" w:ascii="宋体" w:hAnsi="宋体"/>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20" w:firstLineChars="200"/>
        <w:rPr>
          <w:rFonts w:ascii="宋体"/>
        </w:rPr>
      </w:pPr>
      <w:r>
        <w:rPr>
          <w:rFonts w:ascii="宋体" w:hAnsi="宋体"/>
        </w:rPr>
        <w:t xml:space="preserve">4.1.8  </w:t>
      </w:r>
      <w:r>
        <w:rPr>
          <w:rFonts w:hint="eastAsia" w:ascii="宋体" w:hAnsi="宋体"/>
        </w:rPr>
        <w:t>为他人提供方便</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应当对在施工场地或者附近实施与合同工程有关的其他工作的独立承包人履行管理、协调、配合、照管和服务义务，由此发生的费用被认为已经包括在承包人的签约合同价（竞争性磋商总报价）中，具体工作内容和要求</w:t>
      </w:r>
      <w:r>
        <w:rPr>
          <w:rFonts w:hint="eastAsia" w:ascii="黑体" w:hAnsi="黑体" w:eastAsia="黑体"/>
          <w:szCs w:val="21"/>
        </w:rPr>
        <w:t>见合同条款专用部分。</w:t>
      </w:r>
    </w:p>
    <w:p>
      <w:pPr>
        <w:spacing w:line="360" w:lineRule="auto"/>
        <w:ind w:firstLine="420" w:firstLineChars="200"/>
        <w:rPr>
          <w:rFonts w:ascii="宋体"/>
        </w:rPr>
      </w:pPr>
      <w:r>
        <w:rPr>
          <w:rFonts w:hint="eastAsia" w:ascii="宋体" w:hAnsi="宋体"/>
          <w:szCs w:val="21"/>
        </w:rPr>
        <w:t>（</w:t>
      </w:r>
      <w:r>
        <w:rPr>
          <w:rFonts w:ascii="宋体" w:hAnsi="宋体"/>
          <w:szCs w:val="21"/>
        </w:rPr>
        <w:t>2</w:t>
      </w:r>
      <w:r>
        <w:rPr>
          <w:rFonts w:hint="eastAsia" w:ascii="宋体" w:hAnsi="宋体"/>
          <w:szCs w:val="21"/>
        </w:rPr>
        <w:t>）承包人还应按照监理人指示为独立承包人以外的他人在施工场地或者附近实施与合同工程有关的其他工作提供可能的条件，可能发生费用由监理人按合同条款通用部分第</w:t>
      </w:r>
      <w:r>
        <w:rPr>
          <w:rFonts w:ascii="宋体" w:hAnsi="宋体"/>
          <w:szCs w:val="21"/>
        </w:rPr>
        <w:t>3.5</w:t>
      </w:r>
      <w:r>
        <w:rPr>
          <w:rFonts w:hint="eastAsia" w:ascii="宋体" w:hAnsi="宋体"/>
          <w:szCs w:val="21"/>
        </w:rPr>
        <w:t>款商定或者确定。</w:t>
      </w:r>
    </w:p>
    <w:p>
      <w:pPr>
        <w:spacing w:line="360" w:lineRule="auto"/>
        <w:ind w:firstLine="420" w:firstLineChars="200"/>
        <w:rPr>
          <w:rFonts w:ascii="宋体"/>
        </w:rPr>
      </w:pPr>
      <w:r>
        <w:rPr>
          <w:rFonts w:ascii="宋体" w:hAnsi="宋体"/>
        </w:rPr>
        <w:t xml:space="preserve">4.1.9  </w:t>
      </w:r>
      <w:r>
        <w:rPr>
          <w:rFonts w:hint="eastAsia" w:ascii="宋体" w:hAnsi="宋体"/>
        </w:rPr>
        <w:t>工程的维护和照管</w:t>
      </w:r>
    </w:p>
    <w:p>
      <w:pPr>
        <w:spacing w:line="360" w:lineRule="auto"/>
        <w:ind w:firstLine="420" w:firstLineChars="200"/>
        <w:rPr>
          <w:rFonts w:ascii="宋体"/>
        </w:rPr>
      </w:pPr>
      <w:r>
        <w:rPr>
          <w:rFonts w:hint="eastAsia" w:ascii="宋体" w:hAnsi="宋体"/>
        </w:rPr>
        <w:t>工程接收证书颁发前，承包人应负责照管和维护工程。工程接收证书颁发时尚有部分未竣工工程的，承包人还应负责该未竣工工程的照管和维护工作，直至竣工后移交给发包人为止。</w:t>
      </w:r>
    </w:p>
    <w:p>
      <w:pPr>
        <w:spacing w:line="360" w:lineRule="auto"/>
        <w:ind w:firstLine="420" w:firstLineChars="200"/>
        <w:rPr>
          <w:rFonts w:ascii="宋体"/>
          <w:szCs w:val="21"/>
        </w:rPr>
      </w:pPr>
      <w:r>
        <w:rPr>
          <w:rFonts w:ascii="宋体" w:hAnsi="宋体"/>
          <w:szCs w:val="21"/>
        </w:rPr>
        <w:t xml:space="preserve">4.1.10  </w:t>
      </w:r>
      <w:r>
        <w:rPr>
          <w:rFonts w:hint="eastAsia" w:ascii="宋体" w:hAnsi="宋体"/>
          <w:szCs w:val="21"/>
        </w:rPr>
        <w:t>承包人的设计工作</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szCs w:val="21"/>
        </w:rPr>
        <w:t>1.6.2</w:t>
      </w:r>
      <w:r>
        <w:rPr>
          <w:rFonts w:hint="eastAsia" w:ascii="宋体" w:hAnsi="宋体"/>
          <w:szCs w:val="21"/>
        </w:rPr>
        <w:t>项约定的承包人提供的文件，承包人应按照合同条款专用部分第</w:t>
      </w:r>
      <w:r>
        <w:rPr>
          <w:rFonts w:ascii="宋体" w:hAnsi="宋体"/>
          <w:szCs w:val="21"/>
        </w:rPr>
        <w:t>1.6.2</w:t>
      </w:r>
      <w:r>
        <w:rPr>
          <w:rFonts w:hint="eastAsia" w:ascii="宋体" w:hAnsi="宋体"/>
          <w:szCs w:val="21"/>
        </w:rPr>
        <w:t>项约定的期限和数量提交，由此发生的费用被认为已经包括在承包人的签约合同价（总报价）中。承包人承担的施工图设计或与工程配套的设计工作内容</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 xml:space="preserve">4.1.11  </w:t>
      </w:r>
      <w:r>
        <w:rPr>
          <w:rFonts w:hint="eastAsia" w:ascii="宋体" w:hAnsi="宋体"/>
        </w:rPr>
        <w:t>农民工工资保证金</w:t>
      </w:r>
    </w:p>
    <w:p>
      <w:pPr>
        <w:spacing w:line="360" w:lineRule="auto"/>
        <w:ind w:firstLine="420" w:firstLineChars="200"/>
        <w:rPr>
          <w:rFonts w:ascii="宋体"/>
          <w:szCs w:val="21"/>
        </w:rPr>
      </w:pPr>
      <w:r>
        <w:rPr>
          <w:rFonts w:hint="eastAsia" w:ascii="宋体" w:hAnsi="宋体"/>
        </w:rPr>
        <w:t>承包人应在银行设立工资保证金专用账户，专项用于发生欠薪时支付农民工工资的应急保障。账户内资金启用应当经建设主管部门和劳动保障行政部门批准。</w:t>
      </w:r>
    </w:p>
    <w:p>
      <w:pPr>
        <w:spacing w:line="360" w:lineRule="auto"/>
        <w:ind w:firstLine="420" w:firstLineChars="200"/>
        <w:rPr>
          <w:rFonts w:ascii="宋体"/>
        </w:rPr>
      </w:pPr>
      <w:r>
        <w:rPr>
          <w:rFonts w:ascii="宋体" w:hAnsi="宋体"/>
        </w:rPr>
        <w:t xml:space="preserve">4.1.12  </w:t>
      </w:r>
      <w:r>
        <w:rPr>
          <w:rFonts w:hint="eastAsia" w:ascii="宋体" w:hAnsi="宋体"/>
        </w:rPr>
        <w:t>其他义务</w:t>
      </w:r>
    </w:p>
    <w:p>
      <w:pPr>
        <w:spacing w:line="360" w:lineRule="auto"/>
        <w:ind w:firstLine="420" w:firstLineChars="200"/>
        <w:rPr>
          <w:rFonts w:ascii="宋体"/>
        </w:rPr>
      </w:pPr>
      <w:r>
        <w:rPr>
          <w:rFonts w:hint="eastAsia" w:ascii="宋体" w:hAnsi="宋体"/>
        </w:rPr>
        <w:t>承包人应履行的其他义务</w:t>
      </w:r>
      <w:r>
        <w:rPr>
          <w:rFonts w:hint="eastAsia" w:ascii="黑体" w:hAnsi="黑体" w:eastAsia="黑体"/>
        </w:rPr>
        <w:t>见合同条款专用部分。</w:t>
      </w:r>
    </w:p>
    <w:p>
      <w:pPr>
        <w:pStyle w:val="253"/>
        <w:spacing w:before="120"/>
      </w:pPr>
      <w:bookmarkStart w:id="1257" w:name="_Toc179632659"/>
      <w:bookmarkStart w:id="1258" w:name="_Toc338944734"/>
      <w:bookmarkStart w:id="1259" w:name="_Toc152042419"/>
      <w:bookmarkStart w:id="1260" w:name="_Toc342296292"/>
      <w:bookmarkStart w:id="1261" w:name="_Toc152045641"/>
      <w:bookmarkStart w:id="1262" w:name="_Toc144974609"/>
      <w:bookmarkStart w:id="1263" w:name="_Toc490222523"/>
      <w:bookmarkStart w:id="1264" w:name="_Toc483668107"/>
      <w:bookmarkStart w:id="1265" w:name="_Toc480486932"/>
      <w:bookmarkStart w:id="1266" w:name="_Toc489279889"/>
      <w:bookmarkStart w:id="1267" w:name="_Toc486580078"/>
      <w:bookmarkStart w:id="1268" w:name="_Toc10233512"/>
      <w:bookmarkStart w:id="1269" w:name="_Toc480486760"/>
      <w:r>
        <w:t xml:space="preserve">4.2 </w:t>
      </w:r>
      <w:bookmarkEnd w:id="1257"/>
      <w:bookmarkEnd w:id="1258"/>
      <w:bookmarkEnd w:id="1259"/>
      <w:bookmarkEnd w:id="1260"/>
      <w:bookmarkEnd w:id="1261"/>
      <w:bookmarkEnd w:id="1262"/>
      <w:r>
        <w:t xml:space="preserve"> </w:t>
      </w:r>
      <w:r>
        <w:rPr>
          <w:rFonts w:hint="eastAsia"/>
        </w:rPr>
        <w:t>履约担保</w:t>
      </w:r>
      <w:bookmarkEnd w:id="1263"/>
      <w:bookmarkEnd w:id="1264"/>
      <w:bookmarkEnd w:id="1265"/>
      <w:bookmarkEnd w:id="1266"/>
      <w:bookmarkEnd w:id="1267"/>
      <w:bookmarkEnd w:id="1268"/>
      <w:bookmarkEnd w:id="1269"/>
    </w:p>
    <w:p>
      <w:pPr>
        <w:spacing w:line="360" w:lineRule="auto"/>
        <w:ind w:firstLine="420" w:firstLineChars="200"/>
        <w:rPr>
          <w:rFonts w:ascii="宋体"/>
          <w:szCs w:val="21"/>
        </w:rPr>
      </w:pPr>
      <w:r>
        <w:rPr>
          <w:rFonts w:ascii="宋体" w:hAnsi="宋体"/>
          <w:szCs w:val="21"/>
        </w:rPr>
        <w:t xml:space="preserve">4.2.1  </w:t>
      </w:r>
      <w:r>
        <w:rPr>
          <w:rFonts w:hint="eastAsia" w:ascii="宋体" w:hAnsi="宋体"/>
          <w:szCs w:val="21"/>
        </w:rPr>
        <w:t>履约担保的格式和金额</w:t>
      </w:r>
    </w:p>
    <w:p>
      <w:pPr>
        <w:spacing w:line="360" w:lineRule="auto"/>
        <w:ind w:firstLine="420" w:firstLineChars="200"/>
        <w:rPr>
          <w:rFonts w:ascii="宋体"/>
          <w:szCs w:val="21"/>
        </w:rPr>
      </w:pPr>
      <w:r>
        <w:rPr>
          <w:rFonts w:hint="eastAsia" w:ascii="宋体" w:hAnsi="宋体"/>
        </w:rPr>
        <w:t>合同约定承包人提交履约担保的，</w:t>
      </w:r>
      <w:r>
        <w:rPr>
          <w:rFonts w:hint="eastAsia" w:ascii="宋体" w:hAnsi="宋体"/>
          <w:szCs w:val="21"/>
        </w:rPr>
        <w:t>承包人应在签订合同前，按照发包人约定的格式或者其他经过发包人认可的格式向发包人递交一份履约担保。</w:t>
      </w:r>
      <w:r>
        <w:rPr>
          <w:rFonts w:hint="eastAsia" w:ascii="宋体" w:hAnsi="宋体" w:cs="Arial"/>
          <w:szCs w:val="21"/>
        </w:rPr>
        <w:t>经过发包人事先书面认可的其他格式的履约担保，其担保条款的实质性内容应当与发包人合同文件约定的格式内容保持一致。</w:t>
      </w:r>
      <w:r>
        <w:rPr>
          <w:rFonts w:hint="eastAsia" w:ascii="宋体" w:hAnsi="宋体"/>
          <w:szCs w:val="21"/>
        </w:rPr>
        <w:t>承包人是否提交履约担保及需要提交履约担保的金额</w:t>
      </w:r>
      <w:r>
        <w:rPr>
          <w:rFonts w:hint="eastAsia" w:ascii="黑体" w:hAnsi="黑体" w:eastAsia="黑体"/>
        </w:rPr>
        <w:t>见合同条款专用部分。</w:t>
      </w:r>
      <w:r>
        <w:rPr>
          <w:rFonts w:hint="eastAsia" w:ascii="宋体" w:hAnsi="宋体" w:cs="Arial"/>
          <w:szCs w:val="21"/>
        </w:rPr>
        <w:t>承包人</w:t>
      </w:r>
      <w:r>
        <w:rPr>
          <w:rFonts w:hint="eastAsia" w:ascii="宋体" w:hAnsi="宋体"/>
          <w:szCs w:val="21"/>
        </w:rPr>
        <w:t>履约担保格式</w:t>
      </w:r>
      <w:r>
        <w:rPr>
          <w:rFonts w:hint="eastAsia" w:ascii="黑体" w:hAnsi="黑体" w:eastAsia="黑体"/>
          <w:szCs w:val="21"/>
        </w:rPr>
        <w:t>见合同条款专用部分附件五。</w:t>
      </w:r>
    </w:p>
    <w:p>
      <w:pPr>
        <w:spacing w:line="360" w:lineRule="auto"/>
        <w:ind w:firstLine="420" w:firstLineChars="200"/>
        <w:rPr>
          <w:rFonts w:ascii="宋体"/>
          <w:szCs w:val="21"/>
        </w:rPr>
      </w:pPr>
      <w:r>
        <w:rPr>
          <w:rFonts w:ascii="宋体" w:hAnsi="宋体"/>
          <w:szCs w:val="21"/>
        </w:rPr>
        <w:t xml:space="preserve">4.2.2  </w:t>
      </w:r>
      <w:r>
        <w:rPr>
          <w:rFonts w:hint="eastAsia" w:ascii="宋体" w:hAnsi="宋体"/>
          <w:szCs w:val="21"/>
        </w:rPr>
        <w:t>履约担保的有效期</w:t>
      </w:r>
    </w:p>
    <w:p>
      <w:pPr>
        <w:spacing w:line="360" w:lineRule="auto"/>
        <w:ind w:firstLine="420" w:firstLineChars="200"/>
        <w:rPr>
          <w:rFonts w:ascii="宋体"/>
          <w:szCs w:val="21"/>
        </w:rPr>
      </w:pPr>
      <w:r>
        <w:rPr>
          <w:rFonts w:hint="eastAsia" w:ascii="宋体" w:hAnsi="宋体" w:cs="Arial"/>
          <w:szCs w:val="21"/>
        </w:rPr>
        <w:t>履约担保的有效期应当自本合同生效之日起至发包人签认并由监理人向承包人出具工程接收证书之日止。</w:t>
      </w:r>
      <w:r>
        <w:rPr>
          <w:rFonts w:hint="eastAsia" w:ascii="宋体" w:hAnsi="宋体"/>
          <w:szCs w:val="21"/>
        </w:rPr>
        <w:t>如果承包人无法获得一份不带具体截止日期的担保，</w:t>
      </w:r>
      <w:r>
        <w:rPr>
          <w:rFonts w:hint="eastAsia" w:ascii="宋体" w:hAnsi="宋体" w:cs="Arial"/>
          <w:szCs w:val="21"/>
        </w:rPr>
        <w:t>履约担保中就应当约定有</w:t>
      </w:r>
      <w:r>
        <w:rPr>
          <w:rFonts w:hint="eastAsia" w:ascii="宋体" w:hAnsi="宋体"/>
          <w:szCs w:val="21"/>
        </w:rPr>
        <w:t>“变更工程竣工日期的，保证期间按照变更后的竣工日期做相应调整”或类似约定的条款。</w:t>
      </w:r>
    </w:p>
    <w:p>
      <w:pPr>
        <w:spacing w:line="360" w:lineRule="auto"/>
        <w:ind w:firstLine="420" w:firstLineChars="200"/>
        <w:rPr>
          <w:rFonts w:ascii="宋体"/>
          <w:szCs w:val="21"/>
        </w:rPr>
      </w:pPr>
      <w:r>
        <w:rPr>
          <w:rFonts w:ascii="宋体" w:hAnsi="宋体"/>
          <w:szCs w:val="21"/>
        </w:rPr>
        <w:t xml:space="preserve">4.2.3  </w:t>
      </w:r>
      <w:r>
        <w:rPr>
          <w:rFonts w:hint="eastAsia" w:ascii="宋体" w:hAnsi="宋体"/>
          <w:szCs w:val="21"/>
        </w:rPr>
        <w:t>履约担保的退还</w:t>
      </w:r>
    </w:p>
    <w:p>
      <w:pPr>
        <w:spacing w:line="360" w:lineRule="auto"/>
        <w:ind w:firstLine="420" w:firstLineChars="200"/>
        <w:rPr>
          <w:rFonts w:ascii="宋体"/>
          <w:szCs w:val="21"/>
        </w:rPr>
      </w:pPr>
      <w:r>
        <w:rPr>
          <w:rFonts w:hint="eastAsia" w:ascii="宋体" w:hAnsi="宋体"/>
          <w:szCs w:val="21"/>
        </w:rPr>
        <w:t>履约担保应在监理人向承包人颁发（出具）工程接收证书之日后</w:t>
      </w:r>
      <w:r>
        <w:rPr>
          <w:rFonts w:ascii="宋体" w:hAnsi="宋体"/>
          <w:szCs w:val="21"/>
        </w:rPr>
        <w:t>28</w:t>
      </w:r>
      <w:r>
        <w:rPr>
          <w:rFonts w:hint="eastAsia" w:ascii="宋体" w:hAnsi="宋体"/>
          <w:szCs w:val="21"/>
        </w:rPr>
        <w:t>天内退还给承包人。发包人不承担承包人与履约担保有关的任何利息或其它类似的费用或者收益。</w:t>
      </w:r>
    </w:p>
    <w:p>
      <w:pPr>
        <w:spacing w:line="360" w:lineRule="auto"/>
        <w:ind w:firstLine="420" w:firstLineChars="200"/>
        <w:rPr>
          <w:rFonts w:ascii="宋体"/>
          <w:szCs w:val="21"/>
        </w:rPr>
      </w:pPr>
      <w:r>
        <w:rPr>
          <w:rFonts w:ascii="宋体" w:hAnsi="宋体"/>
          <w:szCs w:val="21"/>
        </w:rPr>
        <w:t xml:space="preserve">4.2.4  </w:t>
      </w:r>
      <w:r>
        <w:rPr>
          <w:rFonts w:hint="eastAsia" w:ascii="宋体" w:hAnsi="宋体"/>
          <w:szCs w:val="21"/>
        </w:rPr>
        <w:t>通知义务</w:t>
      </w:r>
    </w:p>
    <w:p>
      <w:pPr>
        <w:spacing w:line="360" w:lineRule="auto"/>
        <w:ind w:firstLine="420" w:firstLineChars="200"/>
        <w:rPr>
          <w:rFonts w:ascii="宋体"/>
        </w:rPr>
      </w:pPr>
      <w:r>
        <w:rPr>
          <w:rFonts w:hint="eastAsia" w:ascii="宋体" w:hAnsi="宋体"/>
          <w:szCs w:val="21"/>
        </w:rPr>
        <w:t>不管履约担保条款中如何约定，发包人根据担保条款提出索赔或兑现要求</w:t>
      </w:r>
      <w:r>
        <w:rPr>
          <w:rFonts w:ascii="宋体" w:hAnsi="宋体"/>
          <w:szCs w:val="21"/>
        </w:rPr>
        <w:t>28</w:t>
      </w:r>
      <w:r>
        <w:rPr>
          <w:rFonts w:hint="eastAsia" w:ascii="宋体" w:hAnsi="宋体"/>
          <w:szCs w:val="21"/>
        </w:rPr>
        <w:t>天前，应通知承包人并说明导致此类索赔或兑现的违约性质或原因。相应地，不管第</w:t>
      </w:r>
      <w:r>
        <w:rPr>
          <w:rFonts w:ascii="宋体" w:hAnsi="宋体"/>
          <w:szCs w:val="21"/>
        </w:rPr>
        <w:t>2.8</w:t>
      </w:r>
      <w:r>
        <w:rPr>
          <w:rFonts w:hint="eastAsia" w:ascii="宋体" w:hAnsi="宋体"/>
          <w:szCs w:val="21"/>
        </w:rPr>
        <w:t>款约定的支付担保条款中如何约定，承包人根据担保条款提出索赔或兑现要求</w:t>
      </w:r>
      <w:r>
        <w:rPr>
          <w:rFonts w:ascii="宋体" w:hAnsi="宋体"/>
          <w:szCs w:val="21"/>
        </w:rPr>
        <w:t>28</w:t>
      </w:r>
      <w:r>
        <w:rPr>
          <w:rFonts w:hint="eastAsia" w:ascii="宋体" w:hAnsi="宋体"/>
          <w:szCs w:val="21"/>
        </w:rPr>
        <w:t>天前，也应通知发包人并说明导致此类索赔或兑现的违约性质或原因。但是，本项约定的通知不应理解为是在任何意义上寻求承包人或者发包人的同意。</w:t>
      </w:r>
    </w:p>
    <w:p>
      <w:pPr>
        <w:pStyle w:val="253"/>
        <w:spacing w:before="120"/>
      </w:pPr>
      <w:bookmarkStart w:id="1270" w:name="_Toc490222524"/>
      <w:bookmarkStart w:id="1271" w:name="_Toc10233513"/>
      <w:bookmarkStart w:id="1272" w:name="_Toc342296293"/>
      <w:bookmarkStart w:id="1273" w:name="_Toc480486761"/>
      <w:bookmarkStart w:id="1274" w:name="_Toc483668108"/>
      <w:bookmarkStart w:id="1275" w:name="_Toc489279890"/>
      <w:bookmarkStart w:id="1276" w:name="_Toc480486933"/>
      <w:bookmarkStart w:id="1277" w:name="_Toc486580079"/>
      <w:bookmarkStart w:id="1278" w:name="_Toc338944735"/>
      <w:r>
        <w:t xml:space="preserve">4.3  </w:t>
      </w:r>
      <w:r>
        <w:rPr>
          <w:rFonts w:hint="eastAsia"/>
        </w:rPr>
        <w:t>分包</w:t>
      </w:r>
      <w:bookmarkEnd w:id="1270"/>
      <w:bookmarkEnd w:id="1271"/>
      <w:bookmarkEnd w:id="1272"/>
      <w:bookmarkEnd w:id="1273"/>
      <w:bookmarkEnd w:id="1274"/>
      <w:bookmarkEnd w:id="1275"/>
      <w:bookmarkEnd w:id="1276"/>
      <w:bookmarkEnd w:id="1277"/>
      <w:bookmarkEnd w:id="1278"/>
    </w:p>
    <w:p>
      <w:pPr>
        <w:spacing w:line="360" w:lineRule="auto"/>
        <w:ind w:firstLine="420" w:firstLineChars="200"/>
        <w:rPr>
          <w:rFonts w:ascii="宋体"/>
        </w:rPr>
      </w:pPr>
      <w:r>
        <w:rPr>
          <w:rFonts w:ascii="宋体" w:hAnsi="宋体"/>
        </w:rPr>
        <w:t xml:space="preserve">4.3.1  </w:t>
      </w:r>
      <w:r>
        <w:rPr>
          <w:rFonts w:hint="eastAsia" w:ascii="宋体" w:hAnsi="宋体"/>
        </w:rPr>
        <w:t>承包人不得将其承包的全部工程转包给第三人，或将其承包的全部工程肢解后以分包的名义转包给第三人。</w:t>
      </w:r>
    </w:p>
    <w:p>
      <w:pPr>
        <w:spacing w:line="360" w:lineRule="auto"/>
        <w:ind w:firstLine="420" w:firstLineChars="200"/>
        <w:rPr>
          <w:rFonts w:ascii="宋体"/>
        </w:rPr>
      </w:pPr>
      <w:r>
        <w:rPr>
          <w:rFonts w:ascii="宋体" w:hAnsi="宋体"/>
        </w:rPr>
        <w:t xml:space="preserve">4.3.2  </w:t>
      </w:r>
      <w:r>
        <w:rPr>
          <w:rFonts w:hint="eastAsia" w:ascii="宋体" w:hAnsi="宋体"/>
        </w:rPr>
        <w:t>承包人不得将工程主体、关键性工作分包给第三人。</w:t>
      </w:r>
    </w:p>
    <w:p>
      <w:pPr>
        <w:spacing w:line="360" w:lineRule="auto"/>
        <w:ind w:firstLine="420" w:firstLineChars="200"/>
        <w:rPr>
          <w:rFonts w:ascii="宋体"/>
          <w:szCs w:val="21"/>
        </w:rPr>
      </w:pPr>
      <w:r>
        <w:rPr>
          <w:rFonts w:ascii="宋体" w:hAnsi="宋体"/>
        </w:rPr>
        <w:t xml:space="preserve">4.3.3  </w:t>
      </w:r>
      <w:r>
        <w:rPr>
          <w:rFonts w:hint="eastAsia" w:ascii="宋体" w:hAnsi="宋体"/>
        </w:rPr>
        <w:t>未经发包人同意，承包人不得将其自行施工范围工程的其他部分或工作分包给第三人。</w:t>
      </w:r>
    </w:p>
    <w:p>
      <w:pPr>
        <w:spacing w:line="360" w:lineRule="auto"/>
        <w:ind w:firstLine="420" w:firstLineChars="200"/>
        <w:rPr>
          <w:rFonts w:ascii="宋体"/>
        </w:rPr>
      </w:pPr>
      <w:r>
        <w:rPr>
          <w:rFonts w:ascii="宋体" w:hAnsi="宋体"/>
        </w:rPr>
        <w:t xml:space="preserve">4.3.4  </w:t>
      </w:r>
      <w:r>
        <w:rPr>
          <w:rFonts w:hint="eastAsia" w:ascii="宋体" w:hAnsi="宋体"/>
        </w:rPr>
        <w:t>发包人在工程量清单中给定暂估价的专业工程，包括从暂列金额开支的专业工程，达到依法应当招标的规模标准的，以及虽未达到规定的规模标准但合同中约定采用招标方式实施的，应当按第</w:t>
      </w:r>
      <w:r>
        <w:rPr>
          <w:rFonts w:ascii="宋体" w:hAnsi="宋体"/>
        </w:rPr>
        <w:t>15.8.1</w:t>
      </w:r>
      <w:r>
        <w:rPr>
          <w:rFonts w:hint="eastAsia" w:ascii="宋体" w:hAnsi="宋体"/>
        </w:rPr>
        <w:t>项的约定，由发包人和承包人以招标方式确定专业分包人。除项目审批部门有特别核准外，暂估价的专业工程的招标应当采用与施工总承包同样的招标方式。</w:t>
      </w:r>
    </w:p>
    <w:p>
      <w:pPr>
        <w:spacing w:line="360" w:lineRule="auto"/>
        <w:ind w:firstLine="420" w:firstLineChars="200"/>
        <w:rPr>
          <w:rFonts w:ascii="宋体"/>
        </w:rPr>
      </w:pPr>
      <w:r>
        <w:rPr>
          <w:rFonts w:ascii="宋体" w:hAnsi="宋体"/>
        </w:rPr>
        <w:t xml:space="preserve">4.3.5  </w:t>
      </w:r>
      <w:r>
        <w:rPr>
          <w:rFonts w:hint="eastAsia" w:ascii="宋体" w:hAnsi="宋体"/>
        </w:rPr>
        <w:t>在相关分包合同签订并报送有关建设行政主管部门备案后</w:t>
      </w:r>
      <w:r>
        <w:rPr>
          <w:rFonts w:ascii="宋体" w:hAnsi="宋体"/>
        </w:rPr>
        <w:t>7</w:t>
      </w:r>
      <w:r>
        <w:rPr>
          <w:rFonts w:hint="eastAsia" w:ascii="宋体" w:hAnsi="宋体"/>
        </w:rPr>
        <w:t>天内，承包人应当将一份副本提交给监理人，承包人应保障分包工作不得再次分包。</w:t>
      </w:r>
    </w:p>
    <w:p>
      <w:pPr>
        <w:spacing w:line="360" w:lineRule="auto"/>
        <w:ind w:firstLine="420" w:firstLineChars="200"/>
        <w:rPr>
          <w:rFonts w:ascii="宋体"/>
        </w:rPr>
      </w:pPr>
      <w:r>
        <w:rPr>
          <w:rFonts w:ascii="宋体" w:hAnsi="宋体"/>
        </w:rPr>
        <w:t xml:space="preserve">4.3.6  </w:t>
      </w:r>
      <w:r>
        <w:rPr>
          <w:rFonts w:hint="eastAsia" w:ascii="宋体" w:hAnsi="宋体"/>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pPr>
        <w:spacing w:line="360" w:lineRule="auto"/>
        <w:ind w:firstLine="420" w:firstLineChars="200"/>
        <w:rPr>
          <w:rFonts w:ascii="宋体"/>
        </w:rPr>
      </w:pPr>
      <w:r>
        <w:rPr>
          <w:rFonts w:ascii="宋体" w:hAnsi="宋体"/>
        </w:rPr>
        <w:t xml:space="preserve">4.3.7  </w:t>
      </w:r>
      <w:r>
        <w:rPr>
          <w:rFonts w:hint="eastAsia" w:ascii="宋体" w:hAnsi="宋体"/>
        </w:rPr>
        <w:t>未经发包人和监理人审批同意的分包工程和分包人，发包人有权拒绝验收分包工程和支付相应款项，由此引起的承包人费用增加和（或）延误的工期由承包人承担。</w:t>
      </w:r>
    </w:p>
    <w:p>
      <w:pPr>
        <w:spacing w:line="360" w:lineRule="auto"/>
        <w:ind w:firstLine="420" w:firstLineChars="200"/>
        <w:rPr>
          <w:rFonts w:ascii="宋体"/>
        </w:rPr>
      </w:pPr>
      <w:r>
        <w:rPr>
          <w:rFonts w:ascii="宋体" w:hAnsi="宋体"/>
        </w:rPr>
        <w:t xml:space="preserve">4.3.8  </w:t>
      </w:r>
      <w:r>
        <w:rPr>
          <w:rFonts w:hint="eastAsia" w:ascii="宋体" w:hAnsi="宋体"/>
        </w:rPr>
        <w:t>分包人的资格能力应与其分包工程的标准和规模相适应。</w:t>
      </w:r>
    </w:p>
    <w:p>
      <w:pPr>
        <w:spacing w:line="360" w:lineRule="auto"/>
        <w:ind w:firstLine="420" w:firstLineChars="200"/>
        <w:rPr>
          <w:rFonts w:ascii="宋体"/>
        </w:rPr>
      </w:pPr>
      <w:r>
        <w:rPr>
          <w:rFonts w:ascii="宋体" w:hAnsi="宋体"/>
        </w:rPr>
        <w:t xml:space="preserve">4.3.9  </w:t>
      </w:r>
      <w:r>
        <w:rPr>
          <w:rFonts w:hint="eastAsia" w:ascii="宋体" w:hAnsi="宋体"/>
        </w:rPr>
        <w:t>发包人同意的分包工程，承包人应向发包人和监理人提供合同副本。</w:t>
      </w:r>
    </w:p>
    <w:p>
      <w:pPr>
        <w:spacing w:line="360" w:lineRule="auto"/>
        <w:ind w:firstLine="420" w:firstLineChars="200"/>
        <w:rPr>
          <w:rFonts w:ascii="宋体"/>
        </w:rPr>
      </w:pPr>
      <w:r>
        <w:rPr>
          <w:rFonts w:ascii="宋体" w:hAnsi="宋体"/>
        </w:rPr>
        <w:t xml:space="preserve">4.3.10  </w:t>
      </w:r>
      <w:r>
        <w:rPr>
          <w:rFonts w:hint="eastAsia" w:ascii="宋体" w:hAnsi="宋体"/>
        </w:rPr>
        <w:t>承包人应与分包人就分包工程向发包人承担连带责任。</w:t>
      </w:r>
    </w:p>
    <w:p>
      <w:pPr>
        <w:pStyle w:val="253"/>
        <w:spacing w:before="120"/>
      </w:pPr>
      <w:bookmarkStart w:id="1279" w:name="_Toc483668109"/>
      <w:bookmarkStart w:id="1280" w:name="_Toc144974611"/>
      <w:bookmarkStart w:id="1281" w:name="_Toc490222525"/>
      <w:bookmarkStart w:id="1282" w:name="_Toc480486934"/>
      <w:bookmarkStart w:id="1283" w:name="_Toc338944736"/>
      <w:bookmarkStart w:id="1284" w:name="_Toc10233514"/>
      <w:bookmarkStart w:id="1285" w:name="_Toc480486762"/>
      <w:bookmarkStart w:id="1286" w:name="_Toc179632661"/>
      <w:bookmarkStart w:id="1287" w:name="_Toc152045643"/>
      <w:bookmarkStart w:id="1288" w:name="_Toc152042421"/>
      <w:bookmarkStart w:id="1289" w:name="_Toc486580080"/>
      <w:bookmarkStart w:id="1290" w:name="_Toc489279891"/>
      <w:bookmarkStart w:id="1291" w:name="_Toc342296294"/>
      <w:r>
        <w:t xml:space="preserve">4.4  </w:t>
      </w:r>
      <w:r>
        <w:rPr>
          <w:rFonts w:hint="eastAsia"/>
        </w:rPr>
        <w:t>联合体</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p>
    <w:p>
      <w:pPr>
        <w:spacing w:line="360" w:lineRule="auto"/>
        <w:ind w:firstLine="420" w:firstLineChars="200"/>
        <w:rPr>
          <w:rFonts w:ascii="宋体"/>
        </w:rPr>
      </w:pPr>
      <w:r>
        <w:rPr>
          <w:rFonts w:ascii="宋体" w:hAnsi="宋体"/>
        </w:rPr>
        <w:t xml:space="preserve">4.4.1  </w:t>
      </w:r>
      <w:r>
        <w:rPr>
          <w:rFonts w:hint="eastAsia" w:ascii="宋体" w:hAnsi="宋体"/>
        </w:rPr>
        <w:t>联合体各方应共同与发包人签订合同协议书。联合体各方应为履行合同承担连带责任。</w:t>
      </w:r>
    </w:p>
    <w:p>
      <w:pPr>
        <w:spacing w:line="360" w:lineRule="auto"/>
        <w:ind w:firstLine="420" w:firstLineChars="200"/>
        <w:rPr>
          <w:rFonts w:ascii="宋体"/>
        </w:rPr>
      </w:pPr>
      <w:r>
        <w:rPr>
          <w:rFonts w:ascii="宋体" w:hAnsi="宋体"/>
        </w:rPr>
        <w:t xml:space="preserve">4.4.2  </w:t>
      </w:r>
      <w:r>
        <w:rPr>
          <w:rFonts w:hint="eastAsia" w:ascii="宋体" w:hAnsi="宋体"/>
        </w:rPr>
        <w:t>联合体协议经发包人确认后作为合同附件。在履行合同过程中，未经发包人同意，不得修改联合体协议。</w:t>
      </w:r>
    </w:p>
    <w:p>
      <w:pPr>
        <w:spacing w:line="360" w:lineRule="auto"/>
        <w:ind w:firstLine="420" w:firstLineChars="200"/>
        <w:rPr>
          <w:rFonts w:ascii="宋体"/>
        </w:rPr>
      </w:pPr>
      <w:r>
        <w:rPr>
          <w:rFonts w:ascii="宋体" w:hAnsi="宋体"/>
        </w:rPr>
        <w:t xml:space="preserve">4.4.3  </w:t>
      </w:r>
      <w:r>
        <w:rPr>
          <w:rFonts w:hint="eastAsia" w:ascii="宋体" w:hAnsi="宋体"/>
        </w:rPr>
        <w:t>联合体牵头人负责与发包人和监理人联系，并接受指示，负责组织联合体各成员全面履行合同。</w:t>
      </w:r>
    </w:p>
    <w:p>
      <w:pPr>
        <w:pStyle w:val="253"/>
        <w:spacing w:before="120"/>
      </w:pPr>
      <w:bookmarkStart w:id="1292" w:name="_Toc480486763"/>
      <w:bookmarkStart w:id="1293" w:name="_Toc490222526"/>
      <w:bookmarkStart w:id="1294" w:name="_Toc483668110"/>
      <w:bookmarkStart w:id="1295" w:name="_Toc338944737"/>
      <w:bookmarkStart w:id="1296" w:name="_Toc486580081"/>
      <w:bookmarkStart w:id="1297" w:name="_Toc489279892"/>
      <w:bookmarkStart w:id="1298" w:name="_Toc342296295"/>
      <w:bookmarkStart w:id="1299" w:name="_Toc10233515"/>
      <w:bookmarkStart w:id="1300" w:name="_Toc480486935"/>
      <w:r>
        <w:t xml:space="preserve">4.5  </w:t>
      </w:r>
      <w:r>
        <w:rPr>
          <w:rFonts w:hint="eastAsia"/>
        </w:rPr>
        <w:t>承包人项目经理</w:t>
      </w:r>
      <w:bookmarkEnd w:id="1292"/>
      <w:bookmarkEnd w:id="1293"/>
      <w:bookmarkEnd w:id="1294"/>
      <w:bookmarkEnd w:id="1295"/>
      <w:bookmarkEnd w:id="1296"/>
      <w:bookmarkEnd w:id="1297"/>
      <w:bookmarkEnd w:id="1298"/>
      <w:bookmarkEnd w:id="1299"/>
      <w:bookmarkEnd w:id="1300"/>
    </w:p>
    <w:p>
      <w:pPr>
        <w:spacing w:line="360" w:lineRule="auto"/>
        <w:ind w:firstLine="420" w:firstLineChars="200"/>
        <w:rPr>
          <w:rFonts w:ascii="宋体"/>
        </w:rPr>
      </w:pPr>
      <w:r>
        <w:rPr>
          <w:rFonts w:ascii="宋体" w:hAnsi="宋体"/>
        </w:rPr>
        <w:t xml:space="preserve">4.5.1  </w:t>
      </w:r>
      <w:r>
        <w:rPr>
          <w:rFonts w:hint="eastAsia" w:ascii="宋体" w:hAnsi="宋体"/>
          <w:szCs w:val="21"/>
        </w:rPr>
        <w:t>承包人项目经理必须与承包人递交响应文件时所承诺的人员一致，并在根据第</w:t>
      </w:r>
      <w:r>
        <w:rPr>
          <w:rFonts w:ascii="宋体" w:hAnsi="宋体"/>
          <w:szCs w:val="21"/>
        </w:rPr>
        <w:t>11.1.1</w:t>
      </w:r>
      <w:r>
        <w:rPr>
          <w:rFonts w:hint="eastAsia" w:ascii="宋体" w:hAnsi="宋体"/>
          <w:szCs w:val="21"/>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hint="eastAsia" w:ascii="宋体" w:hAnsi="宋体"/>
        </w:rPr>
        <w:t>承包人更换项目经理应事先征得发包人同意，并应在更换</w:t>
      </w:r>
      <w:r>
        <w:rPr>
          <w:rFonts w:ascii="宋体" w:hAnsi="宋体"/>
        </w:rPr>
        <w:t>14</w:t>
      </w:r>
      <w:r>
        <w:rPr>
          <w:rFonts w:hint="eastAsia" w:ascii="宋体" w:hAnsi="宋体"/>
        </w:rPr>
        <w:t>天前通知发包人和监理人。承包人项目经理短期离开施工场地，应事先征得监理人同意，并委派代表代行其职责。</w:t>
      </w:r>
    </w:p>
    <w:p>
      <w:pPr>
        <w:spacing w:line="360" w:lineRule="auto"/>
        <w:ind w:firstLine="420" w:firstLineChars="200"/>
        <w:rPr>
          <w:rFonts w:ascii="宋体"/>
        </w:rPr>
      </w:pPr>
      <w:r>
        <w:rPr>
          <w:rFonts w:ascii="宋体" w:hAnsi="宋体"/>
        </w:rPr>
        <w:t xml:space="preserve">4.5.2  </w:t>
      </w:r>
      <w:r>
        <w:rPr>
          <w:rFonts w:hint="eastAsia" w:ascii="宋体" w:hAnsi="宋体"/>
        </w:rPr>
        <w:t>承包人项目经理应按合同约定以及监理人按第</w:t>
      </w:r>
      <w:r>
        <w:rPr>
          <w:rFonts w:ascii="宋体" w:hAnsi="宋体"/>
        </w:rPr>
        <w:t>3.4</w:t>
      </w:r>
      <w:r>
        <w:rPr>
          <w:rFonts w:hint="eastAsia" w:ascii="宋体" w:hAnsi="宋体"/>
        </w:rPr>
        <w:t>款作出的指示，负责组织合同工程的实施。在情况紧急且无法与监理人取得联系时，可采取保证工程和人员生命财产安全的紧急措施，并在采取措施后</w:t>
      </w:r>
      <w:r>
        <w:rPr>
          <w:rFonts w:ascii="宋体" w:hAnsi="宋体"/>
        </w:rPr>
        <w:t>24</w:t>
      </w:r>
      <w:r>
        <w:rPr>
          <w:rFonts w:hint="eastAsia" w:ascii="宋体" w:hAnsi="宋体"/>
        </w:rPr>
        <w:t>小时内向监理人提交书面报告。</w:t>
      </w:r>
    </w:p>
    <w:p>
      <w:pPr>
        <w:spacing w:line="360" w:lineRule="auto"/>
        <w:ind w:firstLine="420" w:firstLineChars="200"/>
        <w:rPr>
          <w:rFonts w:ascii="宋体"/>
        </w:rPr>
      </w:pPr>
      <w:r>
        <w:rPr>
          <w:rFonts w:ascii="宋体" w:hAnsi="宋体"/>
        </w:rPr>
        <w:t xml:space="preserve">4.5.3  </w:t>
      </w:r>
      <w:r>
        <w:rPr>
          <w:rFonts w:hint="eastAsia" w:ascii="宋体" w:hAnsi="宋体"/>
        </w:rPr>
        <w:t>承包人为履行合同发出的一切函件均应盖有承包人授权的施工场地管理机构章，并由承包人项目经理或其授权代表签字。</w:t>
      </w:r>
    </w:p>
    <w:p>
      <w:pPr>
        <w:spacing w:line="360" w:lineRule="auto"/>
        <w:ind w:firstLine="420" w:firstLineChars="200"/>
        <w:rPr>
          <w:rFonts w:ascii="宋体"/>
        </w:rPr>
      </w:pPr>
      <w:r>
        <w:rPr>
          <w:rFonts w:ascii="宋体" w:hAnsi="宋体"/>
        </w:rPr>
        <w:t xml:space="preserve">4.5.4  </w:t>
      </w:r>
      <w:r>
        <w:rPr>
          <w:rFonts w:hint="eastAsia" w:ascii="宋体" w:hAnsi="宋体"/>
        </w:rPr>
        <w:t>承包人项目经理可以授权其下属人员履行其某项职责，但事先应将这些人员的姓名和授权范围通知监理人。</w:t>
      </w:r>
    </w:p>
    <w:p>
      <w:pPr>
        <w:pStyle w:val="253"/>
        <w:spacing w:before="120"/>
      </w:pPr>
      <w:bookmarkStart w:id="1301" w:name="_Toc480486936"/>
      <w:bookmarkStart w:id="1302" w:name="_Toc144974613"/>
      <w:bookmarkStart w:id="1303" w:name="_Toc338944738"/>
      <w:bookmarkStart w:id="1304" w:name="_Toc480486764"/>
      <w:bookmarkStart w:id="1305" w:name="_Toc152045645"/>
      <w:bookmarkStart w:id="1306" w:name="_Toc152042423"/>
      <w:bookmarkStart w:id="1307" w:name="_Toc10233516"/>
      <w:bookmarkStart w:id="1308" w:name="_Toc489279893"/>
      <w:bookmarkStart w:id="1309" w:name="_Toc342296296"/>
      <w:bookmarkStart w:id="1310" w:name="_Toc490222527"/>
      <w:bookmarkStart w:id="1311" w:name="_Toc486580082"/>
      <w:bookmarkStart w:id="1312" w:name="_Toc179632663"/>
      <w:bookmarkStart w:id="1313" w:name="_Toc483668111"/>
      <w:r>
        <w:t xml:space="preserve">4.6  </w:t>
      </w:r>
      <w:r>
        <w:rPr>
          <w:rFonts w:hint="eastAsia"/>
        </w:rPr>
        <w:t>承包人人员的管理</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pPr>
        <w:spacing w:line="360" w:lineRule="auto"/>
        <w:ind w:firstLine="420" w:firstLineChars="200"/>
        <w:rPr>
          <w:rFonts w:ascii="宋体"/>
        </w:rPr>
      </w:pPr>
      <w:r>
        <w:rPr>
          <w:rFonts w:ascii="宋体" w:hAnsi="宋体"/>
        </w:rPr>
        <w:t xml:space="preserve">4.6.1  </w:t>
      </w:r>
      <w:r>
        <w:rPr>
          <w:rFonts w:hint="eastAsia" w:ascii="宋体" w:hAnsi="宋体"/>
        </w:rPr>
        <w:t>承包人应在接到开工通知后</w:t>
      </w:r>
      <w:r>
        <w:rPr>
          <w:rFonts w:ascii="宋体" w:hAnsi="宋体"/>
        </w:rPr>
        <w:t>28</w:t>
      </w:r>
      <w:r>
        <w:rPr>
          <w:rFonts w:hint="eastAsia" w:ascii="宋体" w:hAnsi="宋体"/>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spacing w:line="360" w:lineRule="auto"/>
        <w:ind w:firstLine="420" w:firstLineChars="200"/>
        <w:rPr>
          <w:rFonts w:ascii="宋体"/>
        </w:rPr>
      </w:pPr>
      <w:r>
        <w:rPr>
          <w:rFonts w:ascii="宋体" w:hAnsi="宋体"/>
        </w:rPr>
        <w:t xml:space="preserve">4.6.2  </w:t>
      </w:r>
      <w:r>
        <w:rPr>
          <w:rFonts w:hint="eastAsia" w:ascii="宋体" w:hAnsi="宋体"/>
        </w:rPr>
        <w:t>为完成合同约定的各项工作，承包人应向施工场地派遣或雇佣足够数量的下列人员：</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）具有相应资格的专业技工和合格的普工；</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）具有相应施工经验的技术人员；</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）具有相应岗位资格的各级管理人员。</w:t>
      </w:r>
    </w:p>
    <w:p>
      <w:pPr>
        <w:spacing w:line="360" w:lineRule="auto"/>
        <w:ind w:firstLine="420" w:firstLineChars="200"/>
        <w:rPr>
          <w:rFonts w:ascii="宋体"/>
        </w:rPr>
      </w:pPr>
      <w:r>
        <w:rPr>
          <w:rFonts w:ascii="宋体" w:hAnsi="宋体"/>
        </w:rPr>
        <w:t xml:space="preserve">4.6.3  </w:t>
      </w:r>
      <w:r>
        <w:rPr>
          <w:rFonts w:hint="eastAsia" w:ascii="宋体" w:hAnsi="宋体"/>
        </w:rPr>
        <w:t>承包人安排在施工场地的主要管理人员和技术骨干应相对稳定。承包人更换主要管理人员和技术骨干时，应取得监理人的同意。</w:t>
      </w:r>
    </w:p>
    <w:p>
      <w:pPr>
        <w:spacing w:line="360" w:lineRule="auto"/>
        <w:ind w:firstLine="420" w:firstLineChars="200"/>
        <w:rPr>
          <w:rFonts w:ascii="宋体"/>
        </w:rPr>
      </w:pPr>
      <w:r>
        <w:rPr>
          <w:rFonts w:ascii="宋体" w:hAnsi="宋体"/>
        </w:rPr>
        <w:t xml:space="preserve">4.6.4  </w:t>
      </w:r>
      <w:r>
        <w:rPr>
          <w:rFonts w:hint="eastAsia" w:ascii="宋体" w:hAnsi="宋体"/>
        </w:rPr>
        <w:t>特殊岗位的工作人员均应持有相应的资格证明，监理人有权随时检查。监理人认为有必要时，可进行现场考核。</w:t>
      </w:r>
    </w:p>
    <w:p>
      <w:pPr>
        <w:pStyle w:val="253"/>
        <w:spacing w:before="120"/>
      </w:pPr>
      <w:bookmarkStart w:id="1314" w:name="_Toc483668112"/>
      <w:bookmarkStart w:id="1315" w:name="_Toc489279894"/>
      <w:bookmarkStart w:id="1316" w:name="_Toc480486765"/>
      <w:bookmarkStart w:id="1317" w:name="_Toc338944739"/>
      <w:bookmarkStart w:id="1318" w:name="_Toc152042424"/>
      <w:bookmarkStart w:id="1319" w:name="_Toc152045646"/>
      <w:bookmarkStart w:id="1320" w:name="_Toc486580083"/>
      <w:bookmarkStart w:id="1321" w:name="_Toc480486937"/>
      <w:bookmarkStart w:id="1322" w:name="_Toc342296297"/>
      <w:bookmarkStart w:id="1323" w:name="_Toc144974614"/>
      <w:bookmarkStart w:id="1324" w:name="_Toc179632664"/>
      <w:bookmarkStart w:id="1325" w:name="_Toc10233517"/>
      <w:bookmarkStart w:id="1326" w:name="_Toc490222528"/>
      <w:r>
        <w:t xml:space="preserve">4.7  </w:t>
      </w:r>
      <w:r>
        <w:rPr>
          <w:rFonts w:hint="eastAsia"/>
        </w:rPr>
        <w:t>撤换承包人项目经理和其他人员</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p>
    <w:p>
      <w:pPr>
        <w:spacing w:line="360" w:lineRule="auto"/>
        <w:ind w:firstLine="420" w:firstLineChars="200"/>
        <w:rPr>
          <w:rFonts w:ascii="宋体"/>
        </w:rPr>
      </w:pPr>
      <w:r>
        <w:rPr>
          <w:rFonts w:hint="eastAsia" w:ascii="宋体" w:hAnsi="宋体"/>
        </w:rPr>
        <w:t>承包人应对其项目经理和其他人员进行有效管理。监理人要求撤换不能胜任本职工作、行为不端或玩忽职守的承包人项目经理和其他人员的，承包人应予以撤换。</w:t>
      </w:r>
    </w:p>
    <w:p>
      <w:pPr>
        <w:pStyle w:val="253"/>
        <w:spacing w:before="120"/>
      </w:pPr>
      <w:bookmarkStart w:id="1327" w:name="_Toc480486766"/>
      <w:bookmarkStart w:id="1328" w:name="_Toc152042425"/>
      <w:bookmarkStart w:id="1329" w:name="_Toc179632665"/>
      <w:bookmarkStart w:id="1330" w:name="_Toc342296298"/>
      <w:bookmarkStart w:id="1331" w:name="_Toc490222529"/>
      <w:bookmarkStart w:id="1332" w:name="_Toc480486938"/>
      <w:bookmarkStart w:id="1333" w:name="_Toc489279895"/>
      <w:bookmarkStart w:id="1334" w:name="_Toc144974615"/>
      <w:bookmarkStart w:id="1335" w:name="_Toc10233518"/>
      <w:bookmarkStart w:id="1336" w:name="_Toc486580084"/>
      <w:bookmarkStart w:id="1337" w:name="_Toc152045647"/>
      <w:bookmarkStart w:id="1338" w:name="_Toc483668113"/>
      <w:bookmarkStart w:id="1339" w:name="_Toc338944740"/>
      <w:r>
        <w:t xml:space="preserve">4.8  </w:t>
      </w:r>
      <w:r>
        <w:rPr>
          <w:rFonts w:hint="eastAsia"/>
        </w:rPr>
        <w:t>保障承包人人员的合法权益</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p>
    <w:p>
      <w:pPr>
        <w:spacing w:line="360" w:lineRule="auto"/>
        <w:ind w:firstLine="420" w:firstLineChars="200"/>
        <w:rPr>
          <w:rFonts w:ascii="宋体"/>
        </w:rPr>
      </w:pPr>
      <w:r>
        <w:rPr>
          <w:rFonts w:ascii="宋体" w:hAnsi="宋体"/>
        </w:rPr>
        <w:t xml:space="preserve">4.8.1  </w:t>
      </w:r>
      <w:r>
        <w:rPr>
          <w:rFonts w:hint="eastAsia" w:ascii="宋体" w:hAnsi="宋体"/>
        </w:rPr>
        <w:t>承包人应与其雇佣的人员签订劳动合同，并按时发放工资。</w:t>
      </w:r>
    </w:p>
    <w:p>
      <w:pPr>
        <w:spacing w:line="360" w:lineRule="auto"/>
        <w:ind w:firstLine="420" w:firstLineChars="200"/>
        <w:rPr>
          <w:rFonts w:ascii="宋体"/>
        </w:rPr>
      </w:pPr>
      <w:r>
        <w:rPr>
          <w:rFonts w:ascii="宋体" w:hAnsi="宋体"/>
        </w:rPr>
        <w:t xml:space="preserve">4.8.2  </w:t>
      </w:r>
      <w:r>
        <w:rPr>
          <w:rFonts w:hint="eastAsia" w:ascii="宋体" w:hAnsi="宋体"/>
        </w:rPr>
        <w:t>承包人应按劳动法的规定安排工作时间，保证其雇佣人员享有休息和休假的权利。因工程施工的特殊需要占用休假日或延长工作时间的，应不超过法律规定的限度，并按法律规定给予补休或付酬。</w:t>
      </w:r>
    </w:p>
    <w:p>
      <w:pPr>
        <w:spacing w:line="360" w:lineRule="auto"/>
        <w:ind w:firstLine="420" w:firstLineChars="200"/>
        <w:rPr>
          <w:rFonts w:ascii="宋体"/>
        </w:rPr>
      </w:pPr>
      <w:r>
        <w:rPr>
          <w:rFonts w:ascii="宋体" w:hAnsi="宋体"/>
        </w:rPr>
        <w:t xml:space="preserve">4.8.3  </w:t>
      </w:r>
      <w:r>
        <w:rPr>
          <w:rFonts w:hint="eastAsia" w:ascii="宋体" w:hAnsi="宋体"/>
        </w:rPr>
        <w:t>承包人应为其雇佣人员提供必要的食宿条件，以及符合环境保护和卫生要求的生活环境，在远离城镇的施工场地，还应配备必要的伤病防治和急救的医务人员与医疗设施。</w:t>
      </w:r>
    </w:p>
    <w:p>
      <w:pPr>
        <w:spacing w:line="360" w:lineRule="auto"/>
        <w:ind w:firstLine="420" w:firstLineChars="200"/>
        <w:rPr>
          <w:rFonts w:ascii="宋体"/>
        </w:rPr>
      </w:pPr>
      <w:r>
        <w:rPr>
          <w:rFonts w:ascii="宋体" w:hAnsi="宋体"/>
        </w:rPr>
        <w:t xml:space="preserve">4.8.4  </w:t>
      </w:r>
      <w:r>
        <w:rPr>
          <w:rFonts w:hint="eastAsia" w:ascii="宋体" w:hAnsi="宋体"/>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spacing w:line="360" w:lineRule="auto"/>
        <w:ind w:firstLine="420" w:firstLineChars="200"/>
        <w:rPr>
          <w:rFonts w:ascii="宋体"/>
        </w:rPr>
      </w:pPr>
      <w:r>
        <w:rPr>
          <w:rFonts w:ascii="宋体" w:hAnsi="宋体"/>
        </w:rPr>
        <w:t xml:space="preserve">4.8.5  </w:t>
      </w:r>
      <w:r>
        <w:rPr>
          <w:rFonts w:hint="eastAsia" w:ascii="宋体" w:hAnsi="宋体"/>
        </w:rPr>
        <w:t>承包人应按有关法律规定和合同约定，为其雇佣人员办理保险。</w:t>
      </w:r>
    </w:p>
    <w:p>
      <w:pPr>
        <w:spacing w:line="360" w:lineRule="auto"/>
        <w:ind w:firstLine="420" w:firstLineChars="200"/>
        <w:rPr>
          <w:rFonts w:ascii="宋体"/>
        </w:rPr>
      </w:pPr>
      <w:r>
        <w:rPr>
          <w:rFonts w:ascii="宋体" w:hAnsi="宋体"/>
        </w:rPr>
        <w:t xml:space="preserve">4.8.6  </w:t>
      </w:r>
      <w:r>
        <w:rPr>
          <w:rFonts w:hint="eastAsia" w:ascii="宋体" w:hAnsi="宋体"/>
        </w:rPr>
        <w:t>承包人应负责处理其雇佣人员因工伤亡事故的善后事宜。</w:t>
      </w:r>
    </w:p>
    <w:p>
      <w:pPr>
        <w:pStyle w:val="253"/>
        <w:spacing w:before="120"/>
      </w:pPr>
      <w:bookmarkStart w:id="1340" w:name="_Toc490222530"/>
      <w:bookmarkStart w:id="1341" w:name="_Toc480486939"/>
      <w:bookmarkStart w:id="1342" w:name="_Toc486580085"/>
      <w:bookmarkStart w:id="1343" w:name="_Toc480486767"/>
      <w:bookmarkStart w:id="1344" w:name="_Toc152042426"/>
      <w:bookmarkStart w:id="1345" w:name="_Toc152045648"/>
      <w:bookmarkStart w:id="1346" w:name="_Toc483668114"/>
      <w:bookmarkStart w:id="1347" w:name="_Toc10233519"/>
      <w:bookmarkStart w:id="1348" w:name="_Toc338944741"/>
      <w:bookmarkStart w:id="1349" w:name="_Toc144974616"/>
      <w:bookmarkStart w:id="1350" w:name="_Toc489279896"/>
      <w:bookmarkStart w:id="1351" w:name="_Toc342296299"/>
      <w:bookmarkStart w:id="1352" w:name="_Toc179632666"/>
      <w:r>
        <w:t xml:space="preserve">4.9  </w:t>
      </w:r>
      <w:r>
        <w:rPr>
          <w:rFonts w:hint="eastAsia"/>
        </w:rPr>
        <w:t>工程价款应专款专用</w:t>
      </w:r>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pPr>
        <w:spacing w:line="360" w:lineRule="auto"/>
        <w:ind w:firstLine="420" w:firstLineChars="200"/>
        <w:rPr>
          <w:rFonts w:ascii="宋体"/>
        </w:rPr>
      </w:pPr>
      <w:r>
        <w:rPr>
          <w:rFonts w:hint="eastAsia" w:ascii="宋体" w:hAnsi="宋体"/>
        </w:rPr>
        <w:t>发包人按合同约定支付给承包人的各项价款应专用于合同工程。</w:t>
      </w:r>
    </w:p>
    <w:p>
      <w:pPr>
        <w:pStyle w:val="253"/>
        <w:spacing w:before="120"/>
      </w:pPr>
      <w:bookmarkStart w:id="1353" w:name="_Toc152045649"/>
      <w:bookmarkStart w:id="1354" w:name="_Toc10233520"/>
      <w:bookmarkStart w:id="1355" w:name="_Toc486580086"/>
      <w:bookmarkStart w:id="1356" w:name="_Toc152042427"/>
      <w:bookmarkStart w:id="1357" w:name="_Toc144974617"/>
      <w:bookmarkStart w:id="1358" w:name="_Toc480486940"/>
      <w:bookmarkStart w:id="1359" w:name="_Toc480486768"/>
      <w:bookmarkStart w:id="1360" w:name="_Toc489279897"/>
      <w:bookmarkStart w:id="1361" w:name="_Toc483668115"/>
      <w:bookmarkStart w:id="1362" w:name="_Toc179632667"/>
      <w:bookmarkStart w:id="1363" w:name="_Toc490222531"/>
      <w:bookmarkStart w:id="1364" w:name="_Toc342296300"/>
      <w:bookmarkStart w:id="1365" w:name="_Toc338944742"/>
      <w:r>
        <w:t xml:space="preserve">4.10  </w:t>
      </w:r>
      <w:r>
        <w:rPr>
          <w:rFonts w:hint="eastAsia"/>
        </w:rPr>
        <w:t>承包人现场查勘</w:t>
      </w:r>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pPr>
        <w:spacing w:line="360" w:lineRule="auto"/>
        <w:ind w:firstLine="420" w:firstLineChars="200"/>
        <w:rPr>
          <w:rFonts w:ascii="宋体"/>
        </w:rPr>
      </w:pPr>
      <w:r>
        <w:rPr>
          <w:rFonts w:ascii="宋体" w:hAnsi="宋体"/>
        </w:rPr>
        <w:t xml:space="preserve">4.10.1  </w:t>
      </w:r>
      <w:r>
        <w:rPr>
          <w:rFonts w:hint="eastAsia" w:ascii="宋体" w:hAnsi="宋体"/>
        </w:rPr>
        <w:t>发包人应将其持有的现场地质勘探资料、水文气象资料提供给承包人，并对其准确性负责。但承包人应对其阅读上述有关资料后所作出的解释和推断负责。</w:t>
      </w:r>
    </w:p>
    <w:p>
      <w:pPr>
        <w:spacing w:line="360" w:lineRule="auto"/>
        <w:ind w:firstLine="420" w:firstLineChars="200"/>
        <w:rPr>
          <w:rFonts w:ascii="宋体"/>
        </w:rPr>
      </w:pPr>
      <w:r>
        <w:rPr>
          <w:rFonts w:ascii="宋体" w:hAnsi="宋体"/>
        </w:rPr>
        <w:t xml:space="preserve">4.10.2  </w:t>
      </w:r>
      <w:r>
        <w:rPr>
          <w:rFonts w:hint="eastAsia" w:ascii="宋体" w:hAnsi="宋体"/>
        </w:rPr>
        <w:t>承包人应对施工场地和周围环境进行查勘，并收集有关地质、水文、气象条件、交通条件、风俗习惯以及其他为完成合同工作有关的当地资料。在全部合同工作中，应视为承包人已充分估计了应承担的责任和风险。</w:t>
      </w:r>
    </w:p>
    <w:p>
      <w:pPr>
        <w:pStyle w:val="253"/>
        <w:spacing w:before="120"/>
      </w:pPr>
      <w:bookmarkStart w:id="1366" w:name="_Toc480486941"/>
      <w:bookmarkStart w:id="1367" w:name="_Toc483668116"/>
      <w:bookmarkStart w:id="1368" w:name="_Toc342296301"/>
      <w:bookmarkStart w:id="1369" w:name="_Toc486580087"/>
      <w:bookmarkStart w:id="1370" w:name="_Toc338944743"/>
      <w:bookmarkStart w:id="1371" w:name="_Toc480486769"/>
      <w:bookmarkStart w:id="1372" w:name="_Toc10233521"/>
      <w:bookmarkStart w:id="1373" w:name="_Toc489279898"/>
      <w:bookmarkStart w:id="1374" w:name="_Toc490222532"/>
      <w:r>
        <w:t xml:space="preserve">4.11  </w:t>
      </w:r>
      <w:r>
        <w:rPr>
          <w:rFonts w:hint="eastAsia"/>
        </w:rPr>
        <w:t>不利物质条件</w:t>
      </w:r>
      <w:bookmarkEnd w:id="1366"/>
      <w:bookmarkEnd w:id="1367"/>
      <w:bookmarkEnd w:id="1368"/>
      <w:bookmarkEnd w:id="1369"/>
      <w:bookmarkEnd w:id="1370"/>
      <w:bookmarkEnd w:id="1371"/>
      <w:bookmarkEnd w:id="1372"/>
      <w:bookmarkEnd w:id="1373"/>
      <w:bookmarkEnd w:id="1374"/>
    </w:p>
    <w:p>
      <w:pPr>
        <w:spacing w:line="360" w:lineRule="auto"/>
        <w:ind w:firstLine="420" w:firstLineChars="200"/>
        <w:rPr>
          <w:rFonts w:ascii="宋体"/>
          <w:szCs w:val="21"/>
        </w:rPr>
      </w:pPr>
      <w:r>
        <w:rPr>
          <w:rFonts w:ascii="宋体" w:hAnsi="宋体"/>
        </w:rPr>
        <w:t xml:space="preserve">4.11.1  </w:t>
      </w:r>
      <w:r>
        <w:rPr>
          <w:rFonts w:hint="eastAsia" w:ascii="宋体" w:hAnsi="宋体"/>
        </w:rPr>
        <w:t>不利物质条件一般是指承包人在施工场地遇到的不可预见的自然物质条件、非自然的物质障碍和污染物，包括地下和水文条件，但不包括气候条件。不利物质条件的具体范围</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 xml:space="preserve">4.11.2  </w:t>
      </w:r>
      <w:r>
        <w:rPr>
          <w:rFonts w:hint="eastAsia" w:ascii="宋体" w:hAnsi="宋体"/>
        </w:rPr>
        <w:t>承包人遇到不利物质条件时，应采取适应不利物质条件的合理措施继续施工，并及时通知监理人。监理人应当及时发出指示，指示构成变更的，按第</w:t>
      </w:r>
      <w:r>
        <w:rPr>
          <w:rFonts w:ascii="宋体" w:hAnsi="宋体"/>
        </w:rPr>
        <w:t>15</w:t>
      </w:r>
      <w:r>
        <w:rPr>
          <w:rFonts w:hint="eastAsia" w:ascii="宋体" w:hAnsi="宋体"/>
        </w:rPr>
        <w:t>条约定办理。监理人没有发出指示的，承包人因采取合理措施增加的费用和（或）工期延误，由发包人承担。</w:t>
      </w:r>
    </w:p>
    <w:p>
      <w:pPr>
        <w:pStyle w:val="43"/>
        <w:spacing w:after="120"/>
      </w:pPr>
      <w:bookmarkStart w:id="1375" w:name="_Toc480486942"/>
      <w:bookmarkStart w:id="1376" w:name="_Toc338944744"/>
      <w:bookmarkStart w:id="1377" w:name="_Toc490222533"/>
      <w:bookmarkStart w:id="1378" w:name="_Toc10233522"/>
      <w:bookmarkStart w:id="1379" w:name="_Toc486580088"/>
      <w:bookmarkStart w:id="1380" w:name="_Toc483668117"/>
      <w:bookmarkStart w:id="1381" w:name="_Toc480486770"/>
      <w:bookmarkStart w:id="1382" w:name="_Toc489279899"/>
      <w:bookmarkStart w:id="1383" w:name="_Toc342296302"/>
      <w:r>
        <w:t>5.</w:t>
      </w:r>
      <w:r>
        <w:rPr>
          <w:rFonts w:hint="eastAsia"/>
        </w:rPr>
        <w:t>材料和工程设备</w:t>
      </w:r>
      <w:bookmarkEnd w:id="1375"/>
      <w:bookmarkEnd w:id="1376"/>
      <w:bookmarkEnd w:id="1377"/>
      <w:bookmarkEnd w:id="1378"/>
      <w:bookmarkEnd w:id="1379"/>
      <w:bookmarkEnd w:id="1380"/>
      <w:bookmarkEnd w:id="1381"/>
      <w:bookmarkEnd w:id="1382"/>
      <w:bookmarkEnd w:id="1383"/>
    </w:p>
    <w:p>
      <w:pPr>
        <w:pStyle w:val="253"/>
        <w:spacing w:before="120"/>
      </w:pPr>
      <w:bookmarkStart w:id="1384" w:name="_Toc486580089"/>
      <w:bookmarkStart w:id="1385" w:name="_Toc489279900"/>
      <w:bookmarkStart w:id="1386" w:name="_Toc483668118"/>
      <w:bookmarkStart w:id="1387" w:name="_Toc490222534"/>
      <w:bookmarkStart w:id="1388" w:name="_Toc10233523"/>
      <w:bookmarkStart w:id="1389" w:name="_Toc480486771"/>
      <w:bookmarkStart w:id="1390" w:name="_Toc338944745"/>
      <w:bookmarkStart w:id="1391" w:name="_Toc480486943"/>
      <w:bookmarkStart w:id="1392" w:name="_Toc342296303"/>
      <w:r>
        <w:t xml:space="preserve">5.1  </w:t>
      </w:r>
      <w:r>
        <w:rPr>
          <w:rFonts w:hint="eastAsia"/>
        </w:rPr>
        <w:t>承包人提供的材料和工程设备</w:t>
      </w:r>
      <w:bookmarkEnd w:id="1384"/>
      <w:bookmarkEnd w:id="1385"/>
      <w:bookmarkEnd w:id="1386"/>
      <w:bookmarkEnd w:id="1387"/>
      <w:bookmarkEnd w:id="1388"/>
      <w:bookmarkEnd w:id="1389"/>
      <w:bookmarkEnd w:id="1390"/>
      <w:bookmarkEnd w:id="1391"/>
      <w:bookmarkEnd w:id="1392"/>
    </w:p>
    <w:p>
      <w:pPr>
        <w:spacing w:line="360" w:lineRule="auto"/>
        <w:ind w:firstLine="420" w:firstLineChars="200"/>
        <w:rPr>
          <w:rFonts w:ascii="黑体" w:hAnsi="黑体" w:eastAsia="黑体"/>
        </w:rPr>
      </w:pPr>
      <w:r>
        <w:rPr>
          <w:rFonts w:ascii="宋体" w:hAnsi="宋体"/>
        </w:rPr>
        <w:t xml:space="preserve">5.1.1  </w:t>
      </w:r>
      <w:r>
        <w:rPr>
          <w:rFonts w:hint="eastAsia" w:ascii="宋体" w:hAnsi="宋体"/>
          <w:szCs w:val="21"/>
        </w:rPr>
        <w:t>除第</w:t>
      </w:r>
      <w:r>
        <w:rPr>
          <w:rFonts w:ascii="宋体" w:hAnsi="宋体"/>
          <w:szCs w:val="21"/>
        </w:rPr>
        <w:t>5.2</w:t>
      </w:r>
      <w:r>
        <w:rPr>
          <w:rFonts w:hint="eastAsia" w:ascii="宋体" w:hAnsi="宋体"/>
          <w:szCs w:val="21"/>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hint="eastAsia" w:ascii="宋体" w:hAnsi="宋体" w:cs="Arial"/>
        </w:rPr>
        <w:t>达到规定的规模标准的，以及虽不属于依法必须招标的范围但合同中约定采用招标方式采购的，应当按第</w:t>
      </w:r>
      <w:r>
        <w:rPr>
          <w:rFonts w:ascii="宋体" w:hAnsi="宋体" w:cs="Arial"/>
        </w:rPr>
        <w:t>15.8.1</w:t>
      </w:r>
      <w:r>
        <w:rPr>
          <w:rFonts w:hint="eastAsia" w:ascii="宋体" w:hAnsi="宋体" w:cs="Arial"/>
        </w:rPr>
        <w:t>项的约定，</w:t>
      </w:r>
      <w:r>
        <w:rPr>
          <w:rFonts w:hint="eastAsia" w:ascii="宋体" w:hAnsi="宋体"/>
          <w:szCs w:val="21"/>
        </w:rPr>
        <w:t>由发包人和承包人以招标方式确定专项供应商。承包人负责提供的主要材料和工程设备清单</w:t>
      </w:r>
      <w:r>
        <w:rPr>
          <w:rFonts w:hint="eastAsia" w:ascii="黑体" w:hAnsi="黑体" w:eastAsia="黑体"/>
          <w:szCs w:val="21"/>
        </w:rPr>
        <w:t>见合同条款专用部分“附件三：承包人提供的材料和工程设备一览表”。</w:t>
      </w:r>
    </w:p>
    <w:p>
      <w:pPr>
        <w:spacing w:line="360" w:lineRule="auto"/>
        <w:ind w:firstLine="420" w:firstLineChars="200"/>
        <w:rPr>
          <w:rFonts w:ascii="黑体" w:hAnsi="黑体" w:eastAsia="黑体"/>
        </w:rPr>
      </w:pPr>
      <w:r>
        <w:rPr>
          <w:rFonts w:ascii="宋体" w:hAnsi="宋体"/>
        </w:rPr>
        <w:t xml:space="preserve">5.1.2  </w:t>
      </w:r>
      <w:r>
        <w:rPr>
          <w:rFonts w:hint="eastAsia" w:ascii="宋体" w:hAnsi="宋体"/>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 xml:space="preserve">5.1.3  </w:t>
      </w:r>
      <w:r>
        <w:rPr>
          <w:rFonts w:hint="eastAsia" w:ascii="宋体" w:hAnsi="宋体"/>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pPr>
        <w:pStyle w:val="253"/>
        <w:spacing w:before="120"/>
      </w:pPr>
      <w:bookmarkStart w:id="1393" w:name="_Toc490222535"/>
      <w:bookmarkStart w:id="1394" w:name="_Toc486580090"/>
      <w:bookmarkStart w:id="1395" w:name="_Toc342296304"/>
      <w:bookmarkStart w:id="1396" w:name="_Toc480486772"/>
      <w:bookmarkStart w:id="1397" w:name="_Toc489279901"/>
      <w:bookmarkStart w:id="1398" w:name="_Toc338944746"/>
      <w:bookmarkStart w:id="1399" w:name="_Toc480486944"/>
      <w:bookmarkStart w:id="1400" w:name="_Toc483668119"/>
      <w:bookmarkStart w:id="1401" w:name="_Toc10233524"/>
      <w:r>
        <w:t xml:space="preserve">5.2  </w:t>
      </w:r>
      <w:r>
        <w:rPr>
          <w:rFonts w:hint="eastAsia"/>
        </w:rPr>
        <w:t>发包人提供的材料和工程设备</w:t>
      </w:r>
      <w:bookmarkEnd w:id="1393"/>
      <w:bookmarkEnd w:id="1394"/>
      <w:bookmarkEnd w:id="1395"/>
      <w:bookmarkEnd w:id="1396"/>
      <w:bookmarkEnd w:id="1397"/>
      <w:bookmarkEnd w:id="1398"/>
      <w:bookmarkEnd w:id="1399"/>
      <w:bookmarkEnd w:id="1400"/>
      <w:bookmarkEnd w:id="1401"/>
    </w:p>
    <w:p>
      <w:pPr>
        <w:spacing w:line="360" w:lineRule="auto"/>
        <w:ind w:firstLine="420" w:firstLineChars="200"/>
        <w:rPr>
          <w:rFonts w:ascii="宋体"/>
        </w:rPr>
      </w:pPr>
      <w:r>
        <w:rPr>
          <w:rFonts w:ascii="宋体" w:hAnsi="宋体"/>
        </w:rPr>
        <w:t xml:space="preserve">5.2.1  </w:t>
      </w:r>
      <w:r>
        <w:rPr>
          <w:rFonts w:hint="eastAsia" w:ascii="宋体" w:hAnsi="宋体"/>
          <w:szCs w:val="21"/>
        </w:rPr>
        <w:t>发包人负责提供的材料和工程设备的名称、规格、数量、价格、交货方式、交货地点和计划交货日期等</w:t>
      </w:r>
      <w:r>
        <w:rPr>
          <w:rFonts w:hint="eastAsia" w:ascii="黑体" w:hAnsi="黑体" w:eastAsia="黑体"/>
          <w:szCs w:val="21"/>
        </w:rPr>
        <w:t>见合同条款专用部分“附件四：发包人提供的材料和工程设备一览表”。</w:t>
      </w:r>
    </w:p>
    <w:p>
      <w:pPr>
        <w:spacing w:line="360" w:lineRule="auto"/>
        <w:ind w:firstLine="420" w:firstLineChars="200"/>
        <w:rPr>
          <w:rFonts w:ascii="宋体"/>
        </w:rPr>
      </w:pPr>
      <w:r>
        <w:rPr>
          <w:rFonts w:ascii="宋体" w:hAnsi="宋体"/>
        </w:rPr>
        <w:t xml:space="preserve">5.2.2  </w:t>
      </w:r>
      <w:r>
        <w:rPr>
          <w:rFonts w:hint="eastAsia" w:ascii="宋体" w:hAnsi="宋体"/>
        </w:rPr>
        <w:t>承包人应根据合同进度计划的安排，向监理人报送要求发包人交货的日期计划。发包人应按照监理人与合同双方当事人商定的交货日期，向承包人提交材料和工程设备。</w:t>
      </w:r>
    </w:p>
    <w:p>
      <w:pPr>
        <w:spacing w:line="360" w:lineRule="auto"/>
        <w:ind w:firstLine="420" w:firstLineChars="200"/>
        <w:rPr>
          <w:rFonts w:ascii="宋体"/>
        </w:rPr>
      </w:pPr>
      <w:r>
        <w:rPr>
          <w:rFonts w:ascii="宋体" w:hAnsi="宋体"/>
        </w:rPr>
        <w:t xml:space="preserve">5.2.3  </w:t>
      </w:r>
      <w:r>
        <w:rPr>
          <w:rFonts w:hint="eastAsia" w:ascii="宋体" w:hAnsi="宋体"/>
        </w:rPr>
        <w:t>发包人应在材料和工程设备到货</w:t>
      </w:r>
      <w:r>
        <w:rPr>
          <w:rFonts w:ascii="宋体" w:hAnsi="宋体"/>
        </w:rPr>
        <w:t>7</w:t>
      </w:r>
      <w:r>
        <w:rPr>
          <w:rFonts w:hint="eastAsia" w:ascii="宋体" w:hAnsi="宋体"/>
        </w:rPr>
        <w:t>天前通知承包人，承包人应会同监理人在约定的时间内，赴交货地点共同进行验收。</w:t>
      </w:r>
      <w:r>
        <w:rPr>
          <w:rFonts w:hint="eastAsia" w:ascii="宋体" w:hAnsi="宋体"/>
          <w:szCs w:val="21"/>
        </w:rPr>
        <w:t>由发包人提供的材料和工程设备验收后，由承包人负责接收、运输和保管。</w:t>
      </w:r>
    </w:p>
    <w:p>
      <w:pPr>
        <w:spacing w:line="360" w:lineRule="auto"/>
        <w:ind w:firstLine="420" w:firstLineChars="200"/>
        <w:rPr>
          <w:rFonts w:ascii="宋体"/>
        </w:rPr>
      </w:pPr>
      <w:r>
        <w:rPr>
          <w:rFonts w:ascii="宋体" w:hAnsi="宋体"/>
        </w:rPr>
        <w:t xml:space="preserve">5.2.4  </w:t>
      </w:r>
      <w:r>
        <w:rPr>
          <w:rFonts w:hint="eastAsia" w:ascii="宋体" w:hAnsi="宋体"/>
        </w:rPr>
        <w:t>发包人要求向承包人提前交货的，承包人不得拒绝，但发包人应承担承包人由此增加的费用。</w:t>
      </w:r>
      <w:r>
        <w:rPr>
          <w:rFonts w:ascii="宋体" w:hAnsi="宋体"/>
        </w:rPr>
        <w:t xml:space="preserve"> </w:t>
      </w:r>
    </w:p>
    <w:p>
      <w:pPr>
        <w:spacing w:line="360" w:lineRule="auto"/>
        <w:ind w:firstLine="420" w:firstLineChars="200"/>
        <w:rPr>
          <w:rFonts w:ascii="宋体"/>
        </w:rPr>
      </w:pPr>
      <w:r>
        <w:rPr>
          <w:rFonts w:ascii="宋体" w:hAnsi="宋体"/>
        </w:rPr>
        <w:t xml:space="preserve">5.2.5  </w:t>
      </w:r>
      <w:r>
        <w:rPr>
          <w:rFonts w:hint="eastAsia" w:ascii="宋体" w:hAnsi="宋体"/>
        </w:rPr>
        <w:t>承包人要求更改交货日期或地点的，应事先报请监理人批准。由于承包人要求更改交货时间或地点所增加的费用和（或）工期延误由承包人承担。</w:t>
      </w:r>
      <w:r>
        <w:rPr>
          <w:rFonts w:ascii="宋体" w:hAnsi="宋体"/>
        </w:rPr>
        <w:t xml:space="preserve"> </w:t>
      </w:r>
    </w:p>
    <w:p>
      <w:pPr>
        <w:spacing w:line="360" w:lineRule="auto"/>
        <w:ind w:firstLine="420" w:firstLineChars="200"/>
        <w:rPr>
          <w:rFonts w:ascii="宋体"/>
        </w:rPr>
      </w:pPr>
      <w:r>
        <w:rPr>
          <w:rFonts w:ascii="宋体" w:hAnsi="宋体"/>
        </w:rPr>
        <w:t xml:space="preserve">5.2.6  </w:t>
      </w:r>
      <w:r>
        <w:rPr>
          <w:rFonts w:hint="eastAsia" w:ascii="宋体" w:hAnsi="宋体"/>
        </w:rPr>
        <w:t>发包人提供的材料和工程设备的规格、数量或质量不符合合同要求，或由于发包人原因发生交货日期延误及交货地点变更等情况的，发包人应承担由此增加的费用和（或）工期延误，并向承包人支付合理利润。</w:t>
      </w:r>
    </w:p>
    <w:p>
      <w:pPr>
        <w:pStyle w:val="253"/>
        <w:spacing w:before="120"/>
      </w:pPr>
      <w:bookmarkStart w:id="1402" w:name="_Toc489279902"/>
      <w:bookmarkStart w:id="1403" w:name="_Toc483668120"/>
      <w:bookmarkStart w:id="1404" w:name="_Toc10233525"/>
      <w:bookmarkStart w:id="1405" w:name="_Toc480486773"/>
      <w:bookmarkStart w:id="1406" w:name="_Toc480486945"/>
      <w:bookmarkStart w:id="1407" w:name="_Toc486580091"/>
      <w:bookmarkStart w:id="1408" w:name="_Toc179632672"/>
      <w:bookmarkStart w:id="1409" w:name="_Toc152045654"/>
      <w:bookmarkStart w:id="1410" w:name="_Toc342296305"/>
      <w:bookmarkStart w:id="1411" w:name="_Toc490222536"/>
      <w:bookmarkStart w:id="1412" w:name="_Toc144974622"/>
      <w:bookmarkStart w:id="1413" w:name="_Toc152042432"/>
      <w:bookmarkStart w:id="1414" w:name="_Toc338944747"/>
      <w:r>
        <w:t xml:space="preserve">5.3  </w:t>
      </w:r>
      <w:r>
        <w:rPr>
          <w:rFonts w:hint="eastAsia"/>
        </w:rPr>
        <w:t>材料和工程设备专用于合同工程</w:t>
      </w:r>
      <w:bookmarkEnd w:id="1402"/>
      <w:bookmarkEnd w:id="1403"/>
      <w:bookmarkEnd w:id="1404"/>
      <w:bookmarkEnd w:id="1405"/>
      <w:bookmarkEnd w:id="1406"/>
      <w:bookmarkEnd w:id="1407"/>
      <w:bookmarkEnd w:id="1408"/>
      <w:bookmarkEnd w:id="1409"/>
      <w:bookmarkEnd w:id="1410"/>
      <w:bookmarkEnd w:id="1411"/>
      <w:bookmarkEnd w:id="1412"/>
      <w:bookmarkEnd w:id="1413"/>
      <w:bookmarkEnd w:id="1414"/>
    </w:p>
    <w:p>
      <w:pPr>
        <w:spacing w:line="360" w:lineRule="auto"/>
        <w:ind w:firstLine="420" w:firstLineChars="200"/>
        <w:rPr>
          <w:rFonts w:ascii="宋体"/>
        </w:rPr>
      </w:pPr>
      <w:r>
        <w:rPr>
          <w:rFonts w:ascii="宋体" w:hAnsi="宋体"/>
        </w:rPr>
        <w:t xml:space="preserve">5.3.1  </w:t>
      </w:r>
      <w:r>
        <w:rPr>
          <w:rFonts w:hint="eastAsia" w:ascii="宋体" w:hAnsi="宋体"/>
        </w:rPr>
        <w:t>运入施工场地的材料、工程设备，包括备品备件、安装专用工器具与随机资料，必须专用于合同工程，未经监理人同意，承包人不得运出施工场地或挪作他用。</w:t>
      </w:r>
    </w:p>
    <w:p>
      <w:pPr>
        <w:spacing w:line="360" w:lineRule="auto"/>
        <w:ind w:firstLine="420" w:firstLineChars="200"/>
        <w:rPr>
          <w:rFonts w:ascii="宋体"/>
        </w:rPr>
      </w:pPr>
      <w:r>
        <w:rPr>
          <w:rFonts w:ascii="宋体" w:hAnsi="宋体"/>
        </w:rPr>
        <w:t xml:space="preserve">5.3.2  </w:t>
      </w:r>
      <w:r>
        <w:rPr>
          <w:rFonts w:hint="eastAsia" w:ascii="宋体" w:hAnsi="宋体"/>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pStyle w:val="253"/>
        <w:spacing w:before="120"/>
      </w:pPr>
      <w:bookmarkStart w:id="1415" w:name="_Toc489279903"/>
      <w:bookmarkStart w:id="1416" w:name="_Toc10233526"/>
      <w:bookmarkStart w:id="1417" w:name="_Toc486580092"/>
      <w:bookmarkStart w:id="1418" w:name="_Toc152042433"/>
      <w:bookmarkStart w:id="1419" w:name="_Toc480486946"/>
      <w:bookmarkStart w:id="1420" w:name="_Toc179632673"/>
      <w:bookmarkStart w:id="1421" w:name="_Toc490222537"/>
      <w:bookmarkStart w:id="1422" w:name="_Toc483668121"/>
      <w:bookmarkStart w:id="1423" w:name="_Toc342296306"/>
      <w:bookmarkStart w:id="1424" w:name="_Toc152045655"/>
      <w:bookmarkStart w:id="1425" w:name="_Toc338944748"/>
      <w:bookmarkStart w:id="1426" w:name="_Toc144974623"/>
      <w:bookmarkStart w:id="1427" w:name="_Toc480486774"/>
      <w:r>
        <w:t xml:space="preserve">5.4  </w:t>
      </w:r>
      <w:r>
        <w:rPr>
          <w:rFonts w:hint="eastAsia"/>
        </w:rPr>
        <w:t>禁止使用不合格的材料和工程设备</w:t>
      </w:r>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pPr>
        <w:spacing w:line="360" w:lineRule="auto"/>
        <w:ind w:firstLine="420" w:firstLineChars="200"/>
        <w:rPr>
          <w:rFonts w:ascii="宋体"/>
        </w:rPr>
      </w:pPr>
      <w:r>
        <w:rPr>
          <w:rFonts w:ascii="宋体" w:hAnsi="宋体"/>
        </w:rPr>
        <w:t xml:space="preserve">5.4.1  </w:t>
      </w:r>
      <w:r>
        <w:rPr>
          <w:rFonts w:hint="eastAsia" w:ascii="宋体" w:hAnsi="宋体"/>
        </w:rPr>
        <w:t>监理人有权拒绝承包人提供的不合格材料或工程设备，并要求承包人立即进行更换。监理人应在更换后再次进行检查和检验，由此增加的费用和（或）工期延误由承包人承担。</w:t>
      </w:r>
    </w:p>
    <w:p>
      <w:pPr>
        <w:spacing w:line="360" w:lineRule="auto"/>
        <w:ind w:firstLine="420" w:firstLineChars="200"/>
        <w:rPr>
          <w:rFonts w:ascii="宋体"/>
        </w:rPr>
      </w:pPr>
      <w:r>
        <w:rPr>
          <w:rFonts w:ascii="宋体" w:hAnsi="宋体"/>
        </w:rPr>
        <w:t xml:space="preserve">5.4.2  </w:t>
      </w:r>
      <w:r>
        <w:rPr>
          <w:rFonts w:hint="eastAsia" w:ascii="宋体" w:hAnsi="宋体"/>
        </w:rPr>
        <w:t>监理人发现承包人使用了不合格的材料和工程设备，应即时发出指示要求承包人立即改正，并禁止在工程中继续使用不合格的材料和工程设备。</w:t>
      </w:r>
    </w:p>
    <w:p>
      <w:pPr>
        <w:spacing w:line="360" w:lineRule="auto"/>
        <w:ind w:firstLine="420" w:firstLineChars="200"/>
        <w:rPr>
          <w:rFonts w:ascii="宋体"/>
        </w:rPr>
      </w:pPr>
      <w:r>
        <w:rPr>
          <w:rFonts w:ascii="宋体" w:hAnsi="宋体"/>
        </w:rPr>
        <w:t xml:space="preserve">5.4.3  </w:t>
      </w:r>
      <w:r>
        <w:rPr>
          <w:rFonts w:hint="eastAsia" w:ascii="宋体" w:hAnsi="宋体"/>
        </w:rPr>
        <w:t>发包人提供的材料或工程设备不符合合同要求的，承包人有权拒绝，并可要求发包人更换，由此增加的费用和（或）工期延误由发包人承担。</w:t>
      </w:r>
    </w:p>
    <w:p>
      <w:pPr>
        <w:pStyle w:val="43"/>
        <w:spacing w:after="120"/>
      </w:pPr>
      <w:bookmarkStart w:id="1428" w:name="_Toc480486947"/>
      <w:bookmarkStart w:id="1429" w:name="_Toc483668122"/>
      <w:bookmarkStart w:id="1430" w:name="_Toc490222538"/>
      <w:bookmarkStart w:id="1431" w:name="_Toc10233527"/>
      <w:bookmarkStart w:id="1432" w:name="_Toc338944749"/>
      <w:bookmarkStart w:id="1433" w:name="_Toc486580093"/>
      <w:bookmarkStart w:id="1434" w:name="_Toc489279904"/>
      <w:bookmarkStart w:id="1435" w:name="_Toc480486775"/>
      <w:bookmarkStart w:id="1436" w:name="_Toc342296307"/>
      <w:r>
        <w:t>6.</w:t>
      </w:r>
      <w:r>
        <w:rPr>
          <w:rFonts w:hint="eastAsia"/>
        </w:rPr>
        <w:t>施工设备和临时设施</w:t>
      </w:r>
      <w:bookmarkEnd w:id="1428"/>
      <w:bookmarkEnd w:id="1429"/>
      <w:bookmarkEnd w:id="1430"/>
      <w:bookmarkEnd w:id="1431"/>
      <w:bookmarkEnd w:id="1432"/>
      <w:bookmarkEnd w:id="1433"/>
      <w:bookmarkEnd w:id="1434"/>
      <w:bookmarkEnd w:id="1435"/>
      <w:bookmarkEnd w:id="1436"/>
    </w:p>
    <w:p>
      <w:pPr>
        <w:pStyle w:val="253"/>
        <w:spacing w:before="120"/>
      </w:pPr>
      <w:bookmarkStart w:id="1437" w:name="_Toc480486776"/>
      <w:bookmarkStart w:id="1438" w:name="_Toc480486948"/>
      <w:bookmarkStart w:id="1439" w:name="_Toc490222539"/>
      <w:bookmarkStart w:id="1440" w:name="_Toc486580094"/>
      <w:bookmarkStart w:id="1441" w:name="_Toc483668123"/>
      <w:bookmarkStart w:id="1442" w:name="_Toc338944750"/>
      <w:bookmarkStart w:id="1443" w:name="_Toc489279905"/>
      <w:bookmarkStart w:id="1444" w:name="_Toc10233528"/>
      <w:bookmarkStart w:id="1445" w:name="_Toc342296308"/>
      <w:r>
        <w:t xml:space="preserve">6.1  </w:t>
      </w:r>
      <w:r>
        <w:rPr>
          <w:rFonts w:hint="eastAsia"/>
        </w:rPr>
        <w:t>承包人提供的施工设备和临时设施</w:t>
      </w:r>
      <w:bookmarkEnd w:id="1437"/>
      <w:bookmarkEnd w:id="1438"/>
      <w:bookmarkEnd w:id="1439"/>
      <w:bookmarkEnd w:id="1440"/>
      <w:bookmarkEnd w:id="1441"/>
      <w:bookmarkEnd w:id="1442"/>
      <w:bookmarkEnd w:id="1443"/>
      <w:bookmarkEnd w:id="1444"/>
      <w:bookmarkEnd w:id="1445"/>
    </w:p>
    <w:p>
      <w:pPr>
        <w:spacing w:line="360" w:lineRule="auto"/>
        <w:ind w:firstLine="420" w:firstLineChars="200"/>
        <w:rPr>
          <w:rFonts w:ascii="宋体"/>
        </w:rPr>
      </w:pPr>
      <w:r>
        <w:rPr>
          <w:rFonts w:ascii="宋体" w:hAnsi="宋体"/>
        </w:rPr>
        <w:t xml:space="preserve">6.1.1  </w:t>
      </w:r>
      <w:r>
        <w:rPr>
          <w:rFonts w:hint="eastAsia" w:ascii="宋体" w:hAnsi="宋体"/>
        </w:rPr>
        <w:t>承包人应按合同进度计划的要求，及时配置施工设备和修建临时设施。进入施工场地的承包人设备需经监理人核查后才能投入使用。承包人更换合同约定的承包人设备的，应报监理人批准。</w:t>
      </w:r>
    </w:p>
    <w:p>
      <w:pPr>
        <w:spacing w:line="360" w:lineRule="auto"/>
        <w:ind w:firstLine="420" w:firstLineChars="200"/>
        <w:rPr>
          <w:rFonts w:ascii="宋体"/>
        </w:rPr>
      </w:pPr>
      <w:r>
        <w:rPr>
          <w:rFonts w:ascii="宋体" w:hAnsi="宋体"/>
        </w:rPr>
        <w:t xml:space="preserve">6.1.2  </w:t>
      </w:r>
      <w:r>
        <w:rPr>
          <w:rFonts w:hint="eastAsia" w:ascii="宋体" w:hAnsi="宋体"/>
        </w:rPr>
        <w:t>除合同另有约定外，承包人应承担自行修建临时设施的费用。需要临时占地的，应由发包人办理申请手续并承担相应费用。承包人自行修建临时设施的范围以及所需临时占地</w:t>
      </w:r>
      <w:r>
        <w:rPr>
          <w:rFonts w:hint="eastAsia" w:ascii="黑体" w:hAnsi="黑体" w:eastAsia="黑体"/>
        </w:rPr>
        <w:t>见合同条款专用部分。</w:t>
      </w:r>
    </w:p>
    <w:p>
      <w:pPr>
        <w:pStyle w:val="253"/>
        <w:spacing w:before="120"/>
      </w:pPr>
      <w:bookmarkStart w:id="1446" w:name="_Toc483668124"/>
      <w:bookmarkStart w:id="1447" w:name="_Toc489279906"/>
      <w:bookmarkStart w:id="1448" w:name="_Toc338944751"/>
      <w:bookmarkStart w:id="1449" w:name="_Toc342296309"/>
      <w:bookmarkStart w:id="1450" w:name="_Toc10233529"/>
      <w:bookmarkStart w:id="1451" w:name="_Toc480486777"/>
      <w:bookmarkStart w:id="1452" w:name="_Toc480486949"/>
      <w:bookmarkStart w:id="1453" w:name="_Toc486580095"/>
      <w:bookmarkStart w:id="1454" w:name="_Toc490222540"/>
      <w:r>
        <w:t xml:space="preserve">6.2  </w:t>
      </w:r>
      <w:r>
        <w:rPr>
          <w:rFonts w:hint="eastAsia"/>
        </w:rPr>
        <w:t>发包人提供的施工设备和临时设施</w:t>
      </w:r>
      <w:bookmarkEnd w:id="1446"/>
      <w:bookmarkEnd w:id="1447"/>
      <w:bookmarkEnd w:id="1448"/>
      <w:bookmarkEnd w:id="1449"/>
      <w:bookmarkEnd w:id="1450"/>
      <w:bookmarkEnd w:id="1451"/>
      <w:bookmarkEnd w:id="1452"/>
      <w:bookmarkEnd w:id="1453"/>
      <w:bookmarkEnd w:id="1454"/>
    </w:p>
    <w:p>
      <w:pPr>
        <w:spacing w:line="360" w:lineRule="auto"/>
        <w:ind w:firstLine="420" w:firstLineChars="200"/>
        <w:rPr>
          <w:rFonts w:ascii="宋体"/>
        </w:rPr>
      </w:pPr>
      <w:r>
        <w:rPr>
          <w:rFonts w:hint="eastAsia" w:ascii="宋体" w:hAnsi="宋体"/>
        </w:rPr>
        <w:t>发包人提供的施工设备或临时设施，以及相关</w:t>
      </w:r>
      <w:r>
        <w:rPr>
          <w:rFonts w:hint="eastAsia" w:ascii="宋体" w:hAnsi="宋体"/>
          <w:szCs w:val="21"/>
        </w:rPr>
        <w:t>运行、维护、拆除、清运费用的承担人</w:t>
      </w:r>
      <w:r>
        <w:rPr>
          <w:rFonts w:hint="eastAsia" w:ascii="黑体" w:hAnsi="黑体" w:eastAsia="黑体"/>
          <w:szCs w:val="21"/>
        </w:rPr>
        <w:t>见</w:t>
      </w:r>
      <w:r>
        <w:rPr>
          <w:rFonts w:hint="eastAsia" w:ascii="黑体" w:hAnsi="黑体" w:eastAsia="黑体"/>
        </w:rPr>
        <w:t>合同条款专用部分。</w:t>
      </w:r>
    </w:p>
    <w:p>
      <w:pPr>
        <w:pStyle w:val="253"/>
        <w:spacing w:before="120"/>
      </w:pPr>
      <w:bookmarkStart w:id="1455" w:name="_Toc152042437"/>
      <w:bookmarkStart w:id="1456" w:name="_Toc179632677"/>
      <w:bookmarkStart w:id="1457" w:name="_Toc480486950"/>
      <w:bookmarkStart w:id="1458" w:name="_Toc483668125"/>
      <w:bookmarkStart w:id="1459" w:name="_Toc490222541"/>
      <w:bookmarkStart w:id="1460" w:name="_Toc338944752"/>
      <w:bookmarkStart w:id="1461" w:name="_Toc10233530"/>
      <w:bookmarkStart w:id="1462" w:name="_Toc486580096"/>
      <w:bookmarkStart w:id="1463" w:name="_Toc342296310"/>
      <w:bookmarkStart w:id="1464" w:name="_Toc480486778"/>
      <w:bookmarkStart w:id="1465" w:name="_Toc489279907"/>
      <w:bookmarkStart w:id="1466" w:name="_Toc152045659"/>
      <w:bookmarkStart w:id="1467" w:name="_Toc144974627"/>
      <w:r>
        <w:t xml:space="preserve">6.3  </w:t>
      </w:r>
      <w:r>
        <w:rPr>
          <w:rFonts w:hint="eastAsia"/>
        </w:rPr>
        <w:t>要求承包人增加或更换施工设备</w:t>
      </w:r>
      <w:bookmarkEnd w:id="1455"/>
      <w:bookmarkEnd w:id="1456"/>
      <w:bookmarkEnd w:id="1457"/>
      <w:bookmarkEnd w:id="1458"/>
      <w:bookmarkEnd w:id="1459"/>
      <w:bookmarkEnd w:id="1460"/>
      <w:bookmarkEnd w:id="1461"/>
      <w:bookmarkEnd w:id="1462"/>
      <w:bookmarkEnd w:id="1463"/>
      <w:bookmarkEnd w:id="1464"/>
      <w:bookmarkEnd w:id="1465"/>
      <w:bookmarkEnd w:id="1466"/>
      <w:bookmarkEnd w:id="1467"/>
    </w:p>
    <w:p>
      <w:pPr>
        <w:spacing w:line="360" w:lineRule="auto"/>
        <w:ind w:firstLine="420" w:firstLineChars="200"/>
        <w:rPr>
          <w:rFonts w:ascii="宋体"/>
        </w:rPr>
      </w:pPr>
      <w:r>
        <w:rPr>
          <w:rFonts w:hint="eastAsia" w:ascii="宋体" w:hAnsi="宋体"/>
        </w:rPr>
        <w:t>承包人使用的施工设备不能满足合同进度计划和（或）质量要求时，监理人有权要求承包人增加或更换施工设备，承包人应及时增加或更换，由此增加的费用和（或）工期延误由承包人承担。</w:t>
      </w:r>
    </w:p>
    <w:p>
      <w:pPr>
        <w:pStyle w:val="253"/>
        <w:spacing w:before="120"/>
      </w:pPr>
      <w:bookmarkStart w:id="1468" w:name="_Toc480486779"/>
      <w:bookmarkStart w:id="1469" w:name="_Toc490222542"/>
      <w:bookmarkStart w:id="1470" w:name="_Toc489279908"/>
      <w:bookmarkStart w:id="1471" w:name="_Toc10233531"/>
      <w:bookmarkStart w:id="1472" w:name="_Toc486580097"/>
      <w:bookmarkStart w:id="1473" w:name="_Toc480486951"/>
      <w:bookmarkStart w:id="1474" w:name="_Toc342296311"/>
      <w:bookmarkStart w:id="1475" w:name="_Toc483668126"/>
      <w:bookmarkStart w:id="1476" w:name="_Toc338944753"/>
      <w:r>
        <w:t xml:space="preserve">6.4  </w:t>
      </w:r>
      <w:r>
        <w:rPr>
          <w:rFonts w:hint="eastAsia"/>
        </w:rPr>
        <w:t>施工设备和临时设施专用于合同工程</w:t>
      </w:r>
      <w:bookmarkEnd w:id="1468"/>
      <w:bookmarkEnd w:id="1469"/>
      <w:bookmarkEnd w:id="1470"/>
      <w:bookmarkEnd w:id="1471"/>
      <w:bookmarkEnd w:id="1472"/>
      <w:bookmarkEnd w:id="1473"/>
      <w:bookmarkEnd w:id="1474"/>
      <w:bookmarkEnd w:id="1475"/>
      <w:bookmarkEnd w:id="1476"/>
    </w:p>
    <w:p>
      <w:pPr>
        <w:spacing w:line="360" w:lineRule="auto"/>
        <w:ind w:firstLine="420" w:firstLineChars="200"/>
        <w:rPr>
          <w:rFonts w:ascii="宋体"/>
        </w:rPr>
      </w:pPr>
      <w:r>
        <w:rPr>
          <w:rFonts w:ascii="宋体" w:hAnsi="宋体"/>
        </w:rPr>
        <w:t xml:space="preserve">6.4.1  </w:t>
      </w:r>
      <w:r>
        <w:rPr>
          <w:rFonts w:hint="eastAsia" w:ascii="宋体" w:hAnsi="宋体"/>
          <w:szCs w:val="21"/>
        </w:rPr>
        <w:t>除为第</w:t>
      </w:r>
      <w:r>
        <w:rPr>
          <w:rFonts w:ascii="宋体" w:hAnsi="宋体"/>
          <w:szCs w:val="21"/>
        </w:rPr>
        <w:t>4.1.8</w:t>
      </w:r>
      <w:r>
        <w:rPr>
          <w:rFonts w:hint="eastAsia" w:ascii="宋体" w:hAnsi="宋体"/>
          <w:szCs w:val="21"/>
        </w:rPr>
        <w:t>项约定的其他独立承包人和监理人指示的他人提供条件外</w:t>
      </w:r>
      <w:r>
        <w:rPr>
          <w:rFonts w:ascii="宋体"/>
          <w:szCs w:val="21"/>
        </w:rPr>
        <w:t>,</w:t>
      </w:r>
      <w:r>
        <w:rPr>
          <w:rFonts w:hint="eastAsia" w:ascii="宋体" w:hAnsi="宋体"/>
          <w:szCs w:val="21"/>
        </w:rPr>
        <w:t>承包人运入施工场地的所有施工设备以及在施工场地建设的临时设施仅限于用于合同工程。</w:t>
      </w:r>
      <w:r>
        <w:rPr>
          <w:rFonts w:hint="eastAsia" w:ascii="宋体" w:hAnsi="宋体"/>
        </w:rPr>
        <w:t>未经监理人同意，不得将上述施工设备和临时设施中的任何部分运出施工场地或挪作他用。</w:t>
      </w:r>
    </w:p>
    <w:p>
      <w:pPr>
        <w:spacing w:line="360" w:lineRule="auto"/>
        <w:ind w:firstLine="420" w:firstLineChars="200"/>
        <w:rPr>
          <w:rFonts w:ascii="宋体"/>
        </w:rPr>
      </w:pPr>
      <w:r>
        <w:rPr>
          <w:rFonts w:ascii="宋体" w:hAnsi="宋体"/>
        </w:rPr>
        <w:t xml:space="preserve">6.4.2  </w:t>
      </w:r>
      <w:r>
        <w:rPr>
          <w:rFonts w:hint="eastAsia" w:ascii="宋体" w:hAnsi="宋体"/>
        </w:rPr>
        <w:t>经监理人同意，承包人可根据合同进度计划撤走闲置的施工设备。</w:t>
      </w:r>
    </w:p>
    <w:p>
      <w:pPr>
        <w:pStyle w:val="43"/>
        <w:spacing w:after="120"/>
      </w:pPr>
      <w:bookmarkStart w:id="1477" w:name="_Toc483668127"/>
      <w:bookmarkStart w:id="1478" w:name="_Toc10233532"/>
      <w:bookmarkStart w:id="1479" w:name="_Toc480486780"/>
      <w:bookmarkStart w:id="1480" w:name="_Toc338944754"/>
      <w:bookmarkStart w:id="1481" w:name="_Toc490222543"/>
      <w:bookmarkStart w:id="1482" w:name="_Toc342296312"/>
      <w:bookmarkStart w:id="1483" w:name="_Toc486580098"/>
      <w:bookmarkStart w:id="1484" w:name="_Toc480486952"/>
      <w:bookmarkStart w:id="1485" w:name="_Toc489279909"/>
      <w:r>
        <w:t>7.</w:t>
      </w:r>
      <w:r>
        <w:rPr>
          <w:rFonts w:hint="eastAsia"/>
        </w:rPr>
        <w:t>交通运输</w:t>
      </w:r>
      <w:bookmarkEnd w:id="1477"/>
      <w:bookmarkEnd w:id="1478"/>
      <w:bookmarkEnd w:id="1479"/>
      <w:bookmarkEnd w:id="1480"/>
      <w:bookmarkEnd w:id="1481"/>
      <w:bookmarkEnd w:id="1482"/>
      <w:bookmarkEnd w:id="1483"/>
      <w:bookmarkEnd w:id="1484"/>
      <w:bookmarkEnd w:id="1485"/>
    </w:p>
    <w:p>
      <w:pPr>
        <w:pStyle w:val="253"/>
        <w:spacing w:before="120"/>
      </w:pPr>
      <w:bookmarkStart w:id="1486" w:name="_Toc489279910"/>
      <w:bookmarkStart w:id="1487" w:name="_Toc490222544"/>
      <w:bookmarkStart w:id="1488" w:name="_Toc338944755"/>
      <w:bookmarkStart w:id="1489" w:name="_Toc480486781"/>
      <w:bookmarkStart w:id="1490" w:name="_Toc342296313"/>
      <w:bookmarkStart w:id="1491" w:name="_Toc483668128"/>
      <w:bookmarkStart w:id="1492" w:name="_Toc486580099"/>
      <w:bookmarkStart w:id="1493" w:name="_Toc480486953"/>
      <w:bookmarkStart w:id="1494" w:name="_Toc10233533"/>
      <w:r>
        <w:t xml:space="preserve">7.1  </w:t>
      </w:r>
      <w:r>
        <w:rPr>
          <w:rFonts w:hint="eastAsia"/>
        </w:rPr>
        <w:t>道路通行权和场外设施</w:t>
      </w:r>
      <w:bookmarkEnd w:id="1486"/>
      <w:bookmarkEnd w:id="1487"/>
      <w:bookmarkEnd w:id="1488"/>
      <w:bookmarkEnd w:id="1489"/>
      <w:bookmarkEnd w:id="1490"/>
      <w:bookmarkEnd w:id="1491"/>
      <w:bookmarkEnd w:id="1492"/>
      <w:bookmarkEnd w:id="1493"/>
      <w:bookmarkEnd w:id="1494"/>
    </w:p>
    <w:p>
      <w:pPr>
        <w:spacing w:line="360" w:lineRule="auto"/>
        <w:ind w:firstLine="420" w:firstLineChars="200"/>
        <w:rPr>
          <w:rFonts w:ascii="宋体"/>
        </w:rPr>
      </w:pPr>
      <w:r>
        <w:rPr>
          <w:rFonts w:hint="eastAsia" w:ascii="宋体" w:hAnsi="宋体"/>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pPr>
        <w:pStyle w:val="253"/>
        <w:spacing w:before="120"/>
      </w:pPr>
      <w:bookmarkStart w:id="1495" w:name="_Toc489279911"/>
      <w:bookmarkStart w:id="1496" w:name="_Toc480486782"/>
      <w:bookmarkStart w:id="1497" w:name="_Toc480486954"/>
      <w:bookmarkStart w:id="1498" w:name="_Toc486580100"/>
      <w:bookmarkStart w:id="1499" w:name="_Toc338944756"/>
      <w:bookmarkStart w:id="1500" w:name="_Toc10233534"/>
      <w:bookmarkStart w:id="1501" w:name="_Toc490222545"/>
      <w:bookmarkStart w:id="1502" w:name="_Toc483668129"/>
      <w:bookmarkStart w:id="1503" w:name="_Toc342296314"/>
      <w:r>
        <w:t xml:space="preserve">7.2  </w:t>
      </w:r>
      <w:r>
        <w:rPr>
          <w:rFonts w:hint="eastAsia"/>
        </w:rPr>
        <w:t>场内施工道路</w:t>
      </w:r>
      <w:bookmarkEnd w:id="1495"/>
      <w:bookmarkEnd w:id="1496"/>
      <w:bookmarkEnd w:id="1497"/>
      <w:bookmarkEnd w:id="1498"/>
      <w:bookmarkEnd w:id="1499"/>
      <w:bookmarkEnd w:id="1500"/>
      <w:bookmarkEnd w:id="1501"/>
      <w:bookmarkEnd w:id="1502"/>
      <w:bookmarkEnd w:id="1503"/>
    </w:p>
    <w:p>
      <w:pPr>
        <w:spacing w:line="360" w:lineRule="auto"/>
        <w:ind w:firstLine="420" w:firstLineChars="200"/>
        <w:rPr>
          <w:rFonts w:ascii="宋体"/>
        </w:rPr>
      </w:pPr>
      <w:r>
        <w:rPr>
          <w:rFonts w:ascii="宋体" w:hAnsi="宋体"/>
        </w:rPr>
        <w:t xml:space="preserve">7.2.1  </w:t>
      </w:r>
      <w:r>
        <w:rPr>
          <w:rFonts w:hint="eastAsia" w:ascii="宋体" w:hAnsi="宋体"/>
        </w:rPr>
        <w:t>除合同条款专用部分另有约定外，承包人应负责修建、维修、养护和管理施工所需的临时道路和交通设施，包括维修、养护和管理发包人提供的道路和交通设施，并承担相应费用。</w:t>
      </w:r>
    </w:p>
    <w:p>
      <w:pPr>
        <w:spacing w:line="360" w:lineRule="auto"/>
        <w:ind w:firstLine="420" w:firstLineChars="200"/>
        <w:rPr>
          <w:rFonts w:ascii="宋体"/>
        </w:rPr>
      </w:pPr>
      <w:r>
        <w:rPr>
          <w:rFonts w:ascii="宋体" w:hAnsi="宋体"/>
        </w:rPr>
        <w:t xml:space="preserve">7.2.2  </w:t>
      </w:r>
      <w:r>
        <w:rPr>
          <w:rFonts w:hint="eastAsia" w:ascii="宋体" w:hAnsi="宋体"/>
          <w:szCs w:val="21"/>
        </w:rPr>
        <w:t>发包人和监理人有权无偿使用承包人修建的临时道路和交通设施，不需要交纳任何费用。</w:t>
      </w:r>
    </w:p>
    <w:p>
      <w:pPr>
        <w:pStyle w:val="253"/>
        <w:spacing w:before="120"/>
      </w:pPr>
      <w:bookmarkStart w:id="1504" w:name="_Toc480486955"/>
      <w:bookmarkStart w:id="1505" w:name="_Toc489279912"/>
      <w:bookmarkStart w:id="1506" w:name="_Toc483668130"/>
      <w:bookmarkStart w:id="1507" w:name="_Toc152045664"/>
      <w:bookmarkStart w:id="1508" w:name="_Toc152042442"/>
      <w:bookmarkStart w:id="1509" w:name="_Toc144974632"/>
      <w:bookmarkStart w:id="1510" w:name="_Toc486580101"/>
      <w:bookmarkStart w:id="1511" w:name="_Toc338944757"/>
      <w:bookmarkStart w:id="1512" w:name="_Toc342296315"/>
      <w:bookmarkStart w:id="1513" w:name="_Toc10233535"/>
      <w:bookmarkStart w:id="1514" w:name="_Toc179632682"/>
      <w:bookmarkStart w:id="1515" w:name="_Toc490222546"/>
      <w:bookmarkStart w:id="1516" w:name="_Toc480486783"/>
      <w:r>
        <w:t xml:space="preserve">7.3  </w:t>
      </w:r>
      <w:r>
        <w:rPr>
          <w:rFonts w:hint="eastAsia"/>
        </w:rPr>
        <w:t>场外交通</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p>
    <w:p>
      <w:pPr>
        <w:spacing w:line="360" w:lineRule="auto"/>
        <w:ind w:firstLine="420" w:firstLineChars="200"/>
        <w:rPr>
          <w:rFonts w:ascii="宋体"/>
        </w:rPr>
      </w:pPr>
      <w:r>
        <w:rPr>
          <w:rFonts w:ascii="宋体" w:hAnsi="宋体"/>
        </w:rPr>
        <w:t xml:space="preserve">7.3.1  </w:t>
      </w:r>
      <w:r>
        <w:rPr>
          <w:rFonts w:hint="eastAsia" w:ascii="宋体" w:hAnsi="宋体"/>
        </w:rPr>
        <w:t>承包人车辆外出行驶所需的场外公共道路的通行费、养路费和税款等由承包人承担。</w:t>
      </w:r>
    </w:p>
    <w:p>
      <w:pPr>
        <w:spacing w:line="360" w:lineRule="auto"/>
        <w:ind w:firstLine="420" w:firstLineChars="200"/>
        <w:rPr>
          <w:rFonts w:ascii="宋体"/>
        </w:rPr>
      </w:pPr>
      <w:r>
        <w:rPr>
          <w:rFonts w:ascii="宋体" w:hAnsi="宋体"/>
        </w:rPr>
        <w:t xml:space="preserve">7.3.2  </w:t>
      </w:r>
      <w:r>
        <w:rPr>
          <w:rFonts w:hint="eastAsia" w:ascii="宋体" w:hAnsi="宋体"/>
        </w:rPr>
        <w:t>承包人应遵守有关交通法规，严格按照道路和桥梁的限制荷重安全行驶，并服从交通管理部门的检查和监督。</w:t>
      </w:r>
    </w:p>
    <w:p>
      <w:pPr>
        <w:pStyle w:val="253"/>
        <w:spacing w:before="120"/>
      </w:pPr>
      <w:bookmarkStart w:id="1517" w:name="_Toc342296316"/>
      <w:bookmarkStart w:id="1518" w:name="_Toc480486784"/>
      <w:bookmarkStart w:id="1519" w:name="_Toc486580102"/>
      <w:bookmarkStart w:id="1520" w:name="_Toc10233536"/>
      <w:bookmarkStart w:id="1521" w:name="_Toc338944758"/>
      <w:bookmarkStart w:id="1522" w:name="_Toc480486956"/>
      <w:bookmarkStart w:id="1523" w:name="_Toc490222547"/>
      <w:bookmarkStart w:id="1524" w:name="_Toc483668131"/>
      <w:bookmarkStart w:id="1525" w:name="_Toc489279913"/>
      <w:r>
        <w:t xml:space="preserve">7.4  </w:t>
      </w:r>
      <w:r>
        <w:rPr>
          <w:rFonts w:hint="eastAsia"/>
        </w:rPr>
        <w:t>超大件和超重件的运输</w:t>
      </w:r>
      <w:bookmarkEnd w:id="1517"/>
      <w:bookmarkEnd w:id="1518"/>
      <w:bookmarkEnd w:id="1519"/>
      <w:bookmarkEnd w:id="1520"/>
      <w:bookmarkEnd w:id="1521"/>
      <w:bookmarkEnd w:id="1522"/>
      <w:bookmarkEnd w:id="1523"/>
      <w:bookmarkEnd w:id="1524"/>
      <w:bookmarkEnd w:id="1525"/>
    </w:p>
    <w:p>
      <w:pPr>
        <w:spacing w:line="360" w:lineRule="auto"/>
        <w:ind w:firstLine="420" w:firstLineChars="200"/>
        <w:rPr>
          <w:rFonts w:ascii="宋体"/>
        </w:rPr>
      </w:pPr>
      <w:r>
        <w:rPr>
          <w:rFonts w:hint="eastAsia" w:ascii="宋体" w:hAnsi="宋体"/>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pPr>
        <w:pStyle w:val="253"/>
        <w:spacing w:before="120"/>
      </w:pPr>
      <w:bookmarkStart w:id="1526" w:name="_Toc483668132"/>
      <w:bookmarkStart w:id="1527" w:name="_Toc480486957"/>
      <w:bookmarkStart w:id="1528" w:name="_Toc480486785"/>
      <w:bookmarkStart w:id="1529" w:name="_Toc489279914"/>
      <w:bookmarkStart w:id="1530" w:name="_Toc10233537"/>
      <w:bookmarkStart w:id="1531" w:name="_Toc342296317"/>
      <w:bookmarkStart w:id="1532" w:name="_Toc490222548"/>
      <w:bookmarkStart w:id="1533" w:name="_Toc486580103"/>
      <w:bookmarkStart w:id="1534" w:name="_Toc338944759"/>
      <w:r>
        <w:t xml:space="preserve">7.5  </w:t>
      </w:r>
      <w:r>
        <w:rPr>
          <w:rFonts w:hint="eastAsia"/>
        </w:rPr>
        <w:t>道路和桥梁的损坏责任</w:t>
      </w:r>
      <w:bookmarkEnd w:id="1526"/>
      <w:bookmarkEnd w:id="1527"/>
      <w:bookmarkEnd w:id="1528"/>
      <w:bookmarkEnd w:id="1529"/>
      <w:bookmarkEnd w:id="1530"/>
      <w:bookmarkEnd w:id="1531"/>
      <w:bookmarkEnd w:id="1532"/>
      <w:bookmarkEnd w:id="1533"/>
      <w:bookmarkEnd w:id="1534"/>
    </w:p>
    <w:p>
      <w:pPr>
        <w:spacing w:line="360" w:lineRule="auto"/>
        <w:ind w:firstLine="420" w:firstLineChars="200"/>
        <w:rPr>
          <w:rFonts w:ascii="宋体"/>
        </w:rPr>
      </w:pPr>
      <w:r>
        <w:rPr>
          <w:rFonts w:hint="eastAsia" w:ascii="宋体" w:hAnsi="宋体"/>
        </w:rPr>
        <w:t>因承包人运输造成施工场地内外公共道路和桥梁损坏的，由承包人承担修复损坏的全部费用和可能引起的赔偿。</w:t>
      </w:r>
    </w:p>
    <w:p>
      <w:pPr>
        <w:pStyle w:val="253"/>
        <w:spacing w:before="120"/>
      </w:pPr>
      <w:bookmarkStart w:id="1535" w:name="_Toc483668133"/>
      <w:bookmarkStart w:id="1536" w:name="_Toc10233538"/>
      <w:bookmarkStart w:id="1537" w:name="_Toc480486786"/>
      <w:bookmarkStart w:id="1538" w:name="_Toc342296318"/>
      <w:bookmarkStart w:id="1539" w:name="_Toc489279915"/>
      <w:bookmarkStart w:id="1540" w:name="_Toc338944760"/>
      <w:bookmarkStart w:id="1541" w:name="_Toc152045667"/>
      <w:bookmarkStart w:id="1542" w:name="_Toc144974635"/>
      <w:bookmarkStart w:id="1543" w:name="_Toc179632685"/>
      <w:bookmarkStart w:id="1544" w:name="_Toc490222549"/>
      <w:bookmarkStart w:id="1545" w:name="_Toc152042445"/>
      <w:bookmarkStart w:id="1546" w:name="_Toc486580104"/>
      <w:bookmarkStart w:id="1547" w:name="_Toc480486958"/>
      <w:r>
        <w:t xml:space="preserve">7.6  </w:t>
      </w:r>
      <w:r>
        <w:rPr>
          <w:rFonts w:hint="eastAsia"/>
        </w:rPr>
        <w:t>水路和航空运输</w:t>
      </w:r>
      <w:bookmarkEnd w:id="1535"/>
      <w:bookmarkEnd w:id="1536"/>
      <w:bookmarkEnd w:id="1537"/>
      <w:bookmarkEnd w:id="1538"/>
      <w:bookmarkEnd w:id="1539"/>
      <w:bookmarkEnd w:id="1540"/>
      <w:bookmarkEnd w:id="1541"/>
      <w:bookmarkEnd w:id="1542"/>
      <w:bookmarkEnd w:id="1543"/>
      <w:bookmarkEnd w:id="1544"/>
      <w:bookmarkEnd w:id="1545"/>
      <w:bookmarkEnd w:id="1546"/>
      <w:bookmarkEnd w:id="1547"/>
    </w:p>
    <w:p>
      <w:pPr>
        <w:spacing w:line="360" w:lineRule="auto"/>
        <w:ind w:firstLine="420" w:firstLineChars="200"/>
        <w:rPr>
          <w:rFonts w:ascii="宋体"/>
        </w:rPr>
      </w:pPr>
      <w:r>
        <w:rPr>
          <w:rFonts w:hint="eastAsia" w:ascii="宋体" w:hAnsi="宋体"/>
        </w:rPr>
        <w:t>本条上述各款的内容适用于水路运输和航空运输，其中“道路”一词的涵义包括河道、航线、船闸、机场、码头、堤防以及水路或航空运输中其他相似结构物；“车辆”一词的涵义包括船舶和飞机等。</w:t>
      </w:r>
    </w:p>
    <w:p>
      <w:pPr>
        <w:pStyle w:val="43"/>
        <w:spacing w:after="120"/>
      </w:pPr>
      <w:bookmarkStart w:id="1548" w:name="_Toc10233539"/>
      <w:bookmarkStart w:id="1549" w:name="_Toc483668134"/>
      <w:bookmarkStart w:id="1550" w:name="_Toc338944761"/>
      <w:bookmarkStart w:id="1551" w:name="_Toc489279916"/>
      <w:bookmarkStart w:id="1552" w:name="_Toc490222550"/>
      <w:bookmarkStart w:id="1553" w:name="_Toc486580105"/>
      <w:bookmarkStart w:id="1554" w:name="_Toc480486787"/>
      <w:bookmarkStart w:id="1555" w:name="_Toc342296319"/>
      <w:bookmarkStart w:id="1556" w:name="_Toc480486959"/>
      <w:r>
        <w:t>8.</w:t>
      </w:r>
      <w:r>
        <w:rPr>
          <w:rFonts w:hint="eastAsia"/>
        </w:rPr>
        <w:t>测量放线</w:t>
      </w:r>
      <w:bookmarkEnd w:id="1548"/>
      <w:bookmarkEnd w:id="1549"/>
      <w:bookmarkEnd w:id="1550"/>
      <w:bookmarkEnd w:id="1551"/>
      <w:bookmarkEnd w:id="1552"/>
      <w:bookmarkEnd w:id="1553"/>
      <w:bookmarkEnd w:id="1554"/>
      <w:bookmarkEnd w:id="1555"/>
      <w:bookmarkEnd w:id="1556"/>
    </w:p>
    <w:p>
      <w:pPr>
        <w:pStyle w:val="253"/>
        <w:spacing w:before="120"/>
      </w:pPr>
      <w:bookmarkStart w:id="1557" w:name="_Toc480486788"/>
      <w:bookmarkStart w:id="1558" w:name="_Toc486580106"/>
      <w:bookmarkStart w:id="1559" w:name="_Toc342296320"/>
      <w:bookmarkStart w:id="1560" w:name="_Toc480486960"/>
      <w:bookmarkStart w:id="1561" w:name="_Toc490222551"/>
      <w:bookmarkStart w:id="1562" w:name="_Toc10233540"/>
      <w:bookmarkStart w:id="1563" w:name="_Toc338944762"/>
      <w:bookmarkStart w:id="1564" w:name="_Toc483668135"/>
      <w:bookmarkStart w:id="1565" w:name="_Toc489279917"/>
      <w:r>
        <w:t xml:space="preserve">8.1  </w:t>
      </w:r>
      <w:r>
        <w:rPr>
          <w:rFonts w:hint="eastAsia"/>
        </w:rPr>
        <w:t>施工控制网</w:t>
      </w:r>
      <w:bookmarkEnd w:id="1557"/>
      <w:bookmarkEnd w:id="1558"/>
      <w:bookmarkEnd w:id="1559"/>
      <w:bookmarkEnd w:id="1560"/>
      <w:bookmarkEnd w:id="1561"/>
      <w:bookmarkEnd w:id="1562"/>
      <w:bookmarkEnd w:id="1563"/>
      <w:bookmarkEnd w:id="1564"/>
      <w:bookmarkEnd w:id="1565"/>
    </w:p>
    <w:p>
      <w:pPr>
        <w:spacing w:line="360" w:lineRule="auto"/>
        <w:ind w:firstLine="420" w:firstLineChars="200"/>
        <w:rPr>
          <w:rFonts w:ascii="宋体"/>
        </w:rPr>
      </w:pPr>
      <w:r>
        <w:rPr>
          <w:rFonts w:ascii="宋体" w:hAnsi="宋体"/>
        </w:rPr>
        <w:t xml:space="preserve">8.1.1  </w:t>
      </w:r>
      <w:r>
        <w:rPr>
          <w:rFonts w:hint="eastAsia" w:ascii="宋体" w:hAnsi="宋体"/>
        </w:rPr>
        <w:t>发包人应在合同约定的期限内，通过监理人向承包人提供测量基准点、基准线和水准点及其书面资料。向承包人提供测量基准点、基准线和水准点及其书面资料的期限</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8.1.2</w:t>
      </w:r>
      <w:r>
        <w:rPr>
          <w:rFonts w:hint="eastAsia" w:ascii="宋体" w:hAnsi="宋体"/>
        </w:rPr>
        <w:t xml:space="preserve">  承包人应根据国家测绘基准、测绘系统和工程测量技术规范，按上述基准点（线）以及合同工程精度要求，测设施工控制网，承包人测设施工控制网的其他要求</w:t>
      </w:r>
      <w:r>
        <w:rPr>
          <w:rFonts w:hint="eastAsia" w:ascii="黑体" w:hAnsi="黑体" w:eastAsia="黑体"/>
        </w:rPr>
        <w:t>见合同条款专用部分。</w:t>
      </w:r>
      <w:r>
        <w:rPr>
          <w:rFonts w:hint="eastAsia" w:ascii="宋体" w:hAnsi="宋体"/>
        </w:rPr>
        <w:t>并将施工控制网资料在约定期限内报送监理人审批，其报送监理人审批的期限</w:t>
      </w:r>
      <w:r>
        <w:rPr>
          <w:rFonts w:hint="eastAsia" w:ascii="黑体" w:hAnsi="黑体" w:eastAsia="黑体"/>
        </w:rPr>
        <w:t>见合同条款专用部分</w:t>
      </w:r>
      <w:r>
        <w:rPr>
          <w:rFonts w:hint="eastAsia" w:ascii="宋体" w:hAnsi="宋体"/>
        </w:rPr>
        <w:t>。</w:t>
      </w:r>
    </w:p>
    <w:p>
      <w:pPr>
        <w:spacing w:line="360" w:lineRule="auto"/>
        <w:ind w:firstLine="420" w:firstLineChars="200"/>
        <w:rPr>
          <w:rFonts w:ascii="宋体"/>
        </w:rPr>
      </w:pPr>
      <w:r>
        <w:rPr>
          <w:rFonts w:ascii="宋体" w:hAnsi="宋体"/>
        </w:rPr>
        <w:t xml:space="preserve">8.1.3  </w:t>
      </w:r>
      <w:r>
        <w:rPr>
          <w:rFonts w:hint="eastAsia" w:ascii="宋体" w:hAnsi="宋体"/>
        </w:rPr>
        <w:t>承包人应负责管理施工控制网点。施工控制网点丢失或损坏的，承包人应及时修复，并承担施工控制网点的管理与修复费用。工程竣工后将施工控制网点移交发包人。</w:t>
      </w:r>
    </w:p>
    <w:p>
      <w:pPr>
        <w:pStyle w:val="253"/>
        <w:spacing w:before="120"/>
      </w:pPr>
      <w:bookmarkStart w:id="1566" w:name="_Toc490222552"/>
      <w:bookmarkStart w:id="1567" w:name="_Toc486580107"/>
      <w:bookmarkStart w:id="1568" w:name="_Toc152042448"/>
      <w:bookmarkStart w:id="1569" w:name="_Toc483668136"/>
      <w:bookmarkStart w:id="1570" w:name="_Toc152045670"/>
      <w:bookmarkStart w:id="1571" w:name="_Toc342296321"/>
      <w:bookmarkStart w:id="1572" w:name="_Toc480486961"/>
      <w:bookmarkStart w:id="1573" w:name="_Toc480486789"/>
      <w:bookmarkStart w:id="1574" w:name="_Toc144974638"/>
      <w:bookmarkStart w:id="1575" w:name="_Toc10233541"/>
      <w:bookmarkStart w:id="1576" w:name="_Toc338944763"/>
      <w:bookmarkStart w:id="1577" w:name="_Toc489279918"/>
      <w:bookmarkStart w:id="1578" w:name="_Toc179632688"/>
      <w:r>
        <w:t xml:space="preserve">8.2  </w:t>
      </w:r>
      <w:r>
        <w:rPr>
          <w:rFonts w:hint="eastAsia"/>
        </w:rPr>
        <w:t>施工测量</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pPr>
        <w:spacing w:line="360" w:lineRule="auto"/>
        <w:ind w:firstLine="420" w:firstLineChars="200"/>
        <w:rPr>
          <w:rFonts w:ascii="宋体"/>
        </w:rPr>
      </w:pPr>
      <w:r>
        <w:rPr>
          <w:rFonts w:ascii="宋体" w:hAnsi="宋体"/>
        </w:rPr>
        <w:t xml:space="preserve">8.2.1  </w:t>
      </w:r>
      <w:r>
        <w:rPr>
          <w:rFonts w:hint="eastAsia" w:ascii="宋体" w:hAnsi="宋体"/>
        </w:rPr>
        <w:t>承包人应负责施工过程中的全部施工测量放线工作，并配置合格的人员、仪器、设备和其他物品。</w:t>
      </w:r>
    </w:p>
    <w:p>
      <w:pPr>
        <w:spacing w:line="360" w:lineRule="auto"/>
        <w:ind w:firstLine="420" w:firstLineChars="200"/>
        <w:rPr>
          <w:rFonts w:ascii="宋体"/>
        </w:rPr>
      </w:pPr>
      <w:r>
        <w:rPr>
          <w:rFonts w:ascii="宋体" w:hAnsi="宋体"/>
        </w:rPr>
        <w:t xml:space="preserve">8.2.2  </w:t>
      </w:r>
      <w:r>
        <w:rPr>
          <w:rFonts w:hint="eastAsia" w:ascii="宋体" w:hAnsi="宋体"/>
        </w:rPr>
        <w:t>监理人可以指示承包人进行抽样复测，当复测中发现错误或出现超过合同约定的误差时，承包人应按监理人指示进行修正或补测，并承担相应的复测费用。</w:t>
      </w:r>
    </w:p>
    <w:p>
      <w:pPr>
        <w:pStyle w:val="253"/>
        <w:spacing w:before="120"/>
      </w:pPr>
      <w:bookmarkStart w:id="1579" w:name="_Toc480486790"/>
      <w:bookmarkStart w:id="1580" w:name="_Toc489279919"/>
      <w:bookmarkStart w:id="1581" w:name="_Toc486580108"/>
      <w:bookmarkStart w:id="1582" w:name="_Toc179632689"/>
      <w:bookmarkStart w:id="1583" w:name="_Toc10233542"/>
      <w:bookmarkStart w:id="1584" w:name="_Toc152045671"/>
      <w:bookmarkStart w:id="1585" w:name="_Toc338944764"/>
      <w:bookmarkStart w:id="1586" w:name="_Toc152042449"/>
      <w:bookmarkStart w:id="1587" w:name="_Toc480486962"/>
      <w:bookmarkStart w:id="1588" w:name="_Toc490222553"/>
      <w:bookmarkStart w:id="1589" w:name="_Toc144974639"/>
      <w:bookmarkStart w:id="1590" w:name="_Toc342296322"/>
      <w:bookmarkStart w:id="1591" w:name="_Toc483668137"/>
      <w:r>
        <w:t xml:space="preserve">8.3  </w:t>
      </w:r>
      <w:r>
        <w:rPr>
          <w:rFonts w:hint="eastAsia"/>
        </w:rPr>
        <w:t>基准资料错误的责任</w:t>
      </w:r>
      <w:bookmarkEnd w:id="1579"/>
      <w:bookmarkEnd w:id="1580"/>
      <w:bookmarkEnd w:id="1581"/>
      <w:bookmarkEnd w:id="1582"/>
      <w:bookmarkEnd w:id="1583"/>
      <w:bookmarkEnd w:id="1584"/>
      <w:bookmarkEnd w:id="1585"/>
      <w:bookmarkEnd w:id="1586"/>
      <w:bookmarkEnd w:id="1587"/>
      <w:bookmarkEnd w:id="1588"/>
      <w:bookmarkEnd w:id="1589"/>
      <w:bookmarkEnd w:id="1590"/>
      <w:bookmarkEnd w:id="1591"/>
    </w:p>
    <w:p>
      <w:pPr>
        <w:spacing w:line="360" w:lineRule="auto"/>
        <w:ind w:firstLine="420" w:firstLineChars="200"/>
        <w:rPr>
          <w:rFonts w:ascii="宋体"/>
        </w:rPr>
      </w:pPr>
      <w:r>
        <w:rPr>
          <w:rFonts w:hint="eastAsia" w:ascii="宋体" w:hAnsi="宋体"/>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pStyle w:val="253"/>
        <w:spacing w:before="120"/>
      </w:pPr>
      <w:bookmarkStart w:id="1592" w:name="_Toc486580109"/>
      <w:bookmarkStart w:id="1593" w:name="_Toc489279920"/>
      <w:bookmarkStart w:id="1594" w:name="_Toc480486791"/>
      <w:bookmarkStart w:id="1595" w:name="_Toc152045672"/>
      <w:bookmarkStart w:id="1596" w:name="_Toc10233543"/>
      <w:bookmarkStart w:id="1597" w:name="_Toc179632690"/>
      <w:bookmarkStart w:id="1598" w:name="_Toc480486963"/>
      <w:bookmarkStart w:id="1599" w:name="_Toc144974640"/>
      <w:bookmarkStart w:id="1600" w:name="_Toc342296323"/>
      <w:bookmarkStart w:id="1601" w:name="_Toc338944765"/>
      <w:bookmarkStart w:id="1602" w:name="_Toc483668138"/>
      <w:bookmarkStart w:id="1603" w:name="_Toc152042450"/>
      <w:bookmarkStart w:id="1604" w:name="_Toc490222554"/>
      <w:r>
        <w:t xml:space="preserve">8.4  </w:t>
      </w:r>
      <w:r>
        <w:rPr>
          <w:rFonts w:hint="eastAsia"/>
        </w:rPr>
        <w:t>监理人使用施工控制网</w:t>
      </w:r>
      <w:bookmarkEnd w:id="1592"/>
      <w:bookmarkEnd w:id="1593"/>
      <w:bookmarkEnd w:id="1594"/>
      <w:bookmarkEnd w:id="1595"/>
      <w:bookmarkEnd w:id="1596"/>
      <w:bookmarkEnd w:id="1597"/>
      <w:bookmarkEnd w:id="1598"/>
      <w:bookmarkEnd w:id="1599"/>
      <w:bookmarkEnd w:id="1600"/>
      <w:bookmarkEnd w:id="1601"/>
      <w:bookmarkEnd w:id="1602"/>
      <w:bookmarkEnd w:id="1603"/>
      <w:bookmarkEnd w:id="1604"/>
    </w:p>
    <w:p>
      <w:pPr>
        <w:spacing w:line="360" w:lineRule="auto"/>
        <w:ind w:firstLine="420" w:firstLineChars="200"/>
        <w:rPr>
          <w:rFonts w:ascii="宋体"/>
          <w:dstrike/>
          <w:szCs w:val="21"/>
        </w:rPr>
      </w:pPr>
      <w:r>
        <w:rPr>
          <w:rFonts w:hint="eastAsia" w:ascii="宋体" w:hAnsi="宋体"/>
        </w:rPr>
        <w:t>监理人需要使用施工控制网的，承包人应提供必要的协助，发包人不再为此支付费用。</w:t>
      </w:r>
    </w:p>
    <w:p>
      <w:pPr>
        <w:pStyle w:val="43"/>
        <w:spacing w:after="120"/>
      </w:pPr>
      <w:bookmarkStart w:id="1605" w:name="_Toc10233544"/>
      <w:bookmarkStart w:id="1606" w:name="_Toc480486792"/>
      <w:bookmarkStart w:id="1607" w:name="_Toc489279921"/>
      <w:bookmarkStart w:id="1608" w:name="_Toc483668139"/>
      <w:bookmarkStart w:id="1609" w:name="_Toc480486964"/>
      <w:bookmarkStart w:id="1610" w:name="_Toc486580110"/>
      <w:bookmarkStart w:id="1611" w:name="_Toc490222555"/>
      <w:bookmarkStart w:id="1612" w:name="_Toc338944766"/>
      <w:bookmarkStart w:id="1613" w:name="_Toc342296324"/>
      <w:r>
        <w:t>9.</w:t>
      </w:r>
      <w:r>
        <w:rPr>
          <w:rFonts w:hint="eastAsia"/>
        </w:rPr>
        <w:t>施工安全、治安保卫和环境保护</w:t>
      </w:r>
      <w:bookmarkEnd w:id="1605"/>
      <w:bookmarkEnd w:id="1606"/>
      <w:bookmarkEnd w:id="1607"/>
      <w:bookmarkEnd w:id="1608"/>
      <w:bookmarkEnd w:id="1609"/>
      <w:bookmarkEnd w:id="1610"/>
      <w:bookmarkEnd w:id="1611"/>
      <w:bookmarkEnd w:id="1612"/>
      <w:bookmarkEnd w:id="1613"/>
    </w:p>
    <w:p>
      <w:pPr>
        <w:pStyle w:val="253"/>
        <w:spacing w:before="120"/>
      </w:pPr>
      <w:bookmarkStart w:id="1614" w:name="_Toc144974642"/>
      <w:bookmarkStart w:id="1615" w:name="_Toc338944767"/>
      <w:bookmarkStart w:id="1616" w:name="_Toc483668140"/>
      <w:bookmarkStart w:id="1617" w:name="_Toc179632692"/>
      <w:bookmarkStart w:id="1618" w:name="_Toc490222556"/>
      <w:bookmarkStart w:id="1619" w:name="_Toc342296325"/>
      <w:bookmarkStart w:id="1620" w:name="_Toc486580111"/>
      <w:bookmarkStart w:id="1621" w:name="_Toc10233545"/>
      <w:bookmarkStart w:id="1622" w:name="_Toc152042452"/>
      <w:bookmarkStart w:id="1623" w:name="_Toc152045674"/>
      <w:bookmarkStart w:id="1624" w:name="_Toc480486793"/>
      <w:bookmarkStart w:id="1625" w:name="_Toc480486965"/>
      <w:bookmarkStart w:id="1626" w:name="_Toc489279922"/>
      <w:r>
        <w:t xml:space="preserve">9.1  </w:t>
      </w:r>
      <w:r>
        <w:rPr>
          <w:rFonts w:hint="eastAsia"/>
        </w:rPr>
        <w:t>发包人的施工安全责任</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pPr>
        <w:spacing w:line="360" w:lineRule="auto"/>
        <w:ind w:firstLine="420" w:firstLineChars="200"/>
        <w:rPr>
          <w:rFonts w:ascii="宋体"/>
        </w:rPr>
      </w:pPr>
      <w:r>
        <w:rPr>
          <w:rFonts w:ascii="宋体" w:hAnsi="宋体"/>
        </w:rPr>
        <w:t xml:space="preserve">9.1.1  </w:t>
      </w:r>
      <w:r>
        <w:rPr>
          <w:rFonts w:hint="eastAsia" w:ascii="宋体" w:hAnsi="宋体"/>
        </w:rPr>
        <w:t>发包人应按合同约定履行安全职责，授权监理人按合同约定的安全工作内容监督、检查承包人安全工作的实施，组织承包人和有关单位进行安全检查。</w:t>
      </w:r>
    </w:p>
    <w:p>
      <w:pPr>
        <w:spacing w:line="360" w:lineRule="auto"/>
        <w:ind w:firstLine="420" w:firstLineChars="200"/>
        <w:rPr>
          <w:rFonts w:ascii="宋体"/>
        </w:rPr>
      </w:pPr>
      <w:r>
        <w:rPr>
          <w:rFonts w:ascii="宋体" w:hAnsi="宋体"/>
        </w:rPr>
        <w:t xml:space="preserve">9.1.2  </w:t>
      </w:r>
      <w:r>
        <w:rPr>
          <w:rFonts w:hint="eastAsia" w:ascii="宋体" w:hAnsi="宋体"/>
        </w:rPr>
        <w:t>发包人应对其现场机构雇佣的全部人员的工伤事故承担责任，但由于承包人原因造成发包人人员工伤的，应由承包人承担责任。</w:t>
      </w:r>
    </w:p>
    <w:p>
      <w:pPr>
        <w:spacing w:line="360" w:lineRule="auto"/>
        <w:ind w:firstLine="420" w:firstLineChars="200"/>
        <w:rPr>
          <w:rFonts w:ascii="宋体"/>
        </w:rPr>
      </w:pPr>
      <w:r>
        <w:rPr>
          <w:rFonts w:ascii="宋体" w:hAnsi="宋体"/>
        </w:rPr>
        <w:t xml:space="preserve">9.1.3  </w:t>
      </w:r>
      <w:r>
        <w:rPr>
          <w:rFonts w:hint="eastAsia" w:ascii="宋体" w:hAnsi="宋体"/>
        </w:rPr>
        <w:t>发包人应负责赔偿以下各种情况造成的第三者人身伤亡和财产损失：</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）工程或工程的任何部分对土地的占用所造成的第三者财产损失；</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）由于发包人原因在施工场地及其毗邻地带造成的第三者人身伤亡和财产损失。</w:t>
      </w:r>
    </w:p>
    <w:p>
      <w:pPr>
        <w:pStyle w:val="253"/>
        <w:spacing w:before="120"/>
      </w:pPr>
      <w:bookmarkStart w:id="1627" w:name="_Toc338944768"/>
      <w:bookmarkStart w:id="1628" w:name="_Toc489279923"/>
      <w:bookmarkStart w:id="1629" w:name="_Toc486580112"/>
      <w:bookmarkStart w:id="1630" w:name="_Toc342296326"/>
      <w:bookmarkStart w:id="1631" w:name="_Toc480486966"/>
      <w:bookmarkStart w:id="1632" w:name="_Toc10233546"/>
      <w:bookmarkStart w:id="1633" w:name="_Toc490222557"/>
      <w:bookmarkStart w:id="1634" w:name="_Toc480486794"/>
      <w:bookmarkStart w:id="1635" w:name="_Toc483668141"/>
      <w:r>
        <w:t xml:space="preserve">9.2  </w:t>
      </w:r>
      <w:r>
        <w:rPr>
          <w:rFonts w:hint="eastAsia"/>
        </w:rPr>
        <w:t>承包人的施工安全责任</w:t>
      </w:r>
      <w:bookmarkEnd w:id="1627"/>
      <w:bookmarkEnd w:id="1628"/>
      <w:bookmarkEnd w:id="1629"/>
      <w:bookmarkEnd w:id="1630"/>
      <w:bookmarkEnd w:id="1631"/>
      <w:bookmarkEnd w:id="1632"/>
      <w:bookmarkEnd w:id="1633"/>
      <w:bookmarkEnd w:id="1634"/>
      <w:bookmarkEnd w:id="1635"/>
    </w:p>
    <w:p>
      <w:pPr>
        <w:spacing w:line="360" w:lineRule="auto"/>
        <w:ind w:firstLine="420" w:firstLineChars="200"/>
        <w:rPr>
          <w:rFonts w:ascii="宋体"/>
        </w:rPr>
      </w:pPr>
      <w:r>
        <w:rPr>
          <w:rFonts w:ascii="宋体" w:hAnsi="宋体"/>
        </w:rPr>
        <w:t xml:space="preserve">9.2.1  </w:t>
      </w:r>
      <w:r>
        <w:rPr>
          <w:rFonts w:hint="eastAsia" w:ascii="宋体" w:hAnsi="宋体"/>
        </w:rPr>
        <w:t>承包人应按合同约定履行安全职责</w:t>
      </w:r>
      <w:r>
        <w:rPr>
          <w:rFonts w:ascii="宋体"/>
        </w:rPr>
        <w:t>,</w:t>
      </w:r>
      <w:r>
        <w:rPr>
          <w:rFonts w:hint="eastAsia" w:ascii="宋体" w:hAnsi="宋体"/>
        </w:rPr>
        <w:t>执行监理人有关安全工作的指示</w:t>
      </w:r>
      <w:r>
        <w:rPr>
          <w:rFonts w:ascii="宋体"/>
        </w:rPr>
        <w:t>,</w:t>
      </w:r>
      <w:r>
        <w:rPr>
          <w:rFonts w:hint="eastAsia" w:ascii="宋体" w:hAnsi="宋体"/>
        </w:rPr>
        <w:t>并在合同条款专用部分约定的期限内，按合同约定的安全工作内容，编制施工安全措施计划报送监理人审批。监理人应在合同条款专用部分约定的期限内完成批复。</w:t>
      </w:r>
    </w:p>
    <w:p>
      <w:pPr>
        <w:spacing w:line="360" w:lineRule="auto"/>
        <w:ind w:firstLine="420" w:firstLineChars="200"/>
        <w:rPr>
          <w:rFonts w:ascii="宋体"/>
        </w:rPr>
      </w:pPr>
      <w:r>
        <w:rPr>
          <w:rFonts w:ascii="宋体" w:hAnsi="宋体"/>
        </w:rPr>
        <w:t xml:space="preserve">9.2.2  </w:t>
      </w:r>
      <w:r>
        <w:rPr>
          <w:rFonts w:hint="eastAsia" w:ascii="宋体" w:hAnsi="宋体"/>
        </w:rPr>
        <w:t>承包人应加强施工作业安全管理，特别应加强易燃、易爆材料、火工器材、有毒与腐蚀性材料、行业挥发性有机物和其他危险品的管理，以及对爆破作业和地下工程施工等危险作业的管理。</w:t>
      </w:r>
    </w:p>
    <w:p>
      <w:pPr>
        <w:spacing w:line="360" w:lineRule="auto"/>
        <w:ind w:firstLine="420" w:firstLineChars="200"/>
        <w:rPr>
          <w:rFonts w:ascii="宋体"/>
        </w:rPr>
      </w:pPr>
      <w:r>
        <w:rPr>
          <w:rFonts w:ascii="宋体" w:hAnsi="宋体"/>
        </w:rPr>
        <w:t xml:space="preserve">9.2.3  </w:t>
      </w:r>
      <w:r>
        <w:rPr>
          <w:rFonts w:hint="eastAsia" w:ascii="宋体" w:hAnsi="宋体"/>
        </w:rPr>
        <w:t>承包人应严格按照国家安全标准制定施工安全操作规程，配备必要的安全生产和劳动保护设施，加强对承包人人员的安全教育，并发放安全工作手册和劳动保护用具。</w:t>
      </w:r>
    </w:p>
    <w:p>
      <w:pPr>
        <w:spacing w:line="360" w:lineRule="auto"/>
        <w:ind w:firstLine="420" w:firstLineChars="200"/>
        <w:rPr>
          <w:rFonts w:ascii="宋体"/>
        </w:rPr>
      </w:pPr>
      <w:r>
        <w:rPr>
          <w:rFonts w:ascii="宋体" w:hAnsi="宋体"/>
        </w:rPr>
        <w:t xml:space="preserve">9.2.4  </w:t>
      </w:r>
      <w:r>
        <w:rPr>
          <w:rFonts w:hint="eastAsia" w:ascii="宋体" w:hAnsi="宋体"/>
        </w:rPr>
        <w:t>承包人应按监理人的指示制定应对灾害的紧急预案，报送监理人审批。承包人还应按预案做好安全检查，配置必要的救助物资和器材，切实保护好有关人员的人身和财产安全。</w:t>
      </w:r>
    </w:p>
    <w:p>
      <w:pPr>
        <w:spacing w:line="360" w:lineRule="auto"/>
        <w:ind w:firstLine="420" w:firstLineChars="200"/>
        <w:rPr>
          <w:rFonts w:ascii="宋体"/>
        </w:rPr>
      </w:pPr>
      <w:r>
        <w:rPr>
          <w:rFonts w:ascii="宋体" w:hAnsi="宋体"/>
        </w:rPr>
        <w:t xml:space="preserve">9.2.5  </w:t>
      </w:r>
      <w:r>
        <w:rPr>
          <w:rFonts w:hint="eastAsia" w:ascii="宋体" w:hAnsi="宋体"/>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rPr>
        <w:t>3.5</w:t>
      </w:r>
      <w:r>
        <w:rPr>
          <w:rFonts w:hint="eastAsia" w:ascii="宋体" w:hAnsi="宋体"/>
        </w:rPr>
        <w:t>款商定或确定。</w:t>
      </w:r>
    </w:p>
    <w:p>
      <w:pPr>
        <w:spacing w:line="360" w:lineRule="auto"/>
        <w:ind w:firstLine="420" w:firstLineChars="200"/>
        <w:rPr>
          <w:rFonts w:ascii="宋体"/>
        </w:rPr>
      </w:pPr>
      <w:r>
        <w:rPr>
          <w:rFonts w:ascii="宋体" w:hAnsi="宋体"/>
        </w:rPr>
        <w:t xml:space="preserve">9.2.6  </w:t>
      </w:r>
      <w:r>
        <w:rPr>
          <w:rFonts w:hint="eastAsia" w:ascii="宋体" w:hAnsi="宋体"/>
        </w:rPr>
        <w:t>承包人应对其履行合同所雇佣的全部人员，包括分包人人员的工伤事故承担责任，但由于发包人原因造成承包人人员工伤事故的，应由发包人承担责任。</w:t>
      </w:r>
    </w:p>
    <w:p>
      <w:pPr>
        <w:spacing w:line="360" w:lineRule="auto"/>
        <w:ind w:firstLine="420" w:firstLineChars="200"/>
        <w:rPr>
          <w:rFonts w:ascii="宋体"/>
        </w:rPr>
      </w:pPr>
      <w:r>
        <w:rPr>
          <w:rFonts w:ascii="宋体" w:hAnsi="宋体"/>
        </w:rPr>
        <w:t xml:space="preserve">9.2.7  </w:t>
      </w:r>
      <w:r>
        <w:rPr>
          <w:rFonts w:hint="eastAsia" w:ascii="宋体" w:hAnsi="宋体"/>
        </w:rPr>
        <w:t>由于承包人原因在施工场地内及其毗邻地带造成的第三者人员伤亡和财产损失，由承包人负责赔偿。</w:t>
      </w:r>
    </w:p>
    <w:p>
      <w:pPr>
        <w:pStyle w:val="253"/>
        <w:spacing w:before="120"/>
      </w:pPr>
      <w:bookmarkStart w:id="1636" w:name="_Toc480486795"/>
      <w:bookmarkStart w:id="1637" w:name="_Toc10233547"/>
      <w:bookmarkStart w:id="1638" w:name="_Toc489279924"/>
      <w:bookmarkStart w:id="1639" w:name="_Toc486580113"/>
      <w:bookmarkStart w:id="1640" w:name="_Toc338944769"/>
      <w:bookmarkStart w:id="1641" w:name="_Toc480486967"/>
      <w:bookmarkStart w:id="1642" w:name="_Toc342296327"/>
      <w:bookmarkStart w:id="1643" w:name="_Toc483668142"/>
      <w:bookmarkStart w:id="1644" w:name="_Toc490222558"/>
      <w:r>
        <w:t xml:space="preserve">9.3  </w:t>
      </w:r>
      <w:r>
        <w:rPr>
          <w:rFonts w:hint="eastAsia"/>
        </w:rPr>
        <w:t>治安保卫</w:t>
      </w:r>
      <w:bookmarkEnd w:id="1636"/>
      <w:bookmarkEnd w:id="1637"/>
      <w:bookmarkEnd w:id="1638"/>
      <w:bookmarkEnd w:id="1639"/>
      <w:bookmarkEnd w:id="1640"/>
      <w:bookmarkEnd w:id="1641"/>
      <w:bookmarkEnd w:id="1642"/>
      <w:bookmarkEnd w:id="1643"/>
      <w:bookmarkEnd w:id="1644"/>
    </w:p>
    <w:p>
      <w:pPr>
        <w:spacing w:line="360" w:lineRule="auto"/>
        <w:ind w:firstLine="420" w:firstLineChars="200"/>
        <w:rPr>
          <w:rFonts w:ascii="宋体"/>
        </w:rPr>
      </w:pPr>
      <w:r>
        <w:rPr>
          <w:rFonts w:ascii="宋体" w:hAnsi="宋体"/>
        </w:rPr>
        <w:t xml:space="preserve">9.3.1  </w:t>
      </w:r>
      <w:r>
        <w:rPr>
          <w:rFonts w:hint="eastAsia" w:ascii="宋体" w:hAnsi="宋体"/>
        </w:rPr>
        <w:t>发包人应与当地公安部门协商，在现场建立治安管理机构或联防组织，负责统一管理施工场地的治安保卫事项，履行合同工程的治安保卫职责。</w:t>
      </w:r>
    </w:p>
    <w:p>
      <w:pPr>
        <w:spacing w:line="360" w:lineRule="auto"/>
        <w:ind w:firstLine="420" w:firstLineChars="200"/>
        <w:rPr>
          <w:rFonts w:ascii="宋体"/>
        </w:rPr>
      </w:pPr>
      <w:r>
        <w:rPr>
          <w:rFonts w:ascii="宋体" w:hAnsi="宋体"/>
        </w:rPr>
        <w:t xml:space="preserve">9.3.2  </w:t>
      </w:r>
      <w:r>
        <w:rPr>
          <w:rFonts w:hint="eastAsia" w:ascii="宋体" w:hAnsi="宋体"/>
        </w:rPr>
        <w:t>发包人和承包人除应协助现场治安管理机构或联防组织维护施工场地的社会治安外，还应做好包括生活区在内的各自管辖区的治安保卫工作。</w:t>
      </w:r>
    </w:p>
    <w:p>
      <w:pPr>
        <w:spacing w:line="360" w:lineRule="auto"/>
        <w:ind w:firstLine="420" w:firstLineChars="200"/>
        <w:rPr>
          <w:rFonts w:ascii="宋体"/>
        </w:rPr>
      </w:pPr>
      <w:r>
        <w:rPr>
          <w:rFonts w:ascii="宋体" w:hAnsi="宋体"/>
        </w:rPr>
        <w:t xml:space="preserve">9.3.3  </w:t>
      </w:r>
      <w:r>
        <w:rPr>
          <w:rFonts w:hint="eastAsia" w:ascii="宋体" w:hAnsi="宋体"/>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hint="eastAsia" w:ascii="宋体" w:hAnsi="宋体"/>
          <w:szCs w:val="21"/>
        </w:rPr>
        <w:t>施工场地治安管理计划和突发治安事件紧急预案的责任人</w:t>
      </w:r>
      <w:r>
        <w:rPr>
          <w:rFonts w:hint="eastAsia" w:ascii="黑体" w:hAnsi="黑体" w:eastAsia="黑体"/>
        </w:rPr>
        <w:t>见合同条款专用部分。</w:t>
      </w:r>
    </w:p>
    <w:p>
      <w:pPr>
        <w:pStyle w:val="253"/>
        <w:spacing w:before="120"/>
      </w:pPr>
      <w:bookmarkStart w:id="1645" w:name="_Toc342296328"/>
      <w:bookmarkStart w:id="1646" w:name="_Toc489279925"/>
      <w:bookmarkStart w:id="1647" w:name="_Toc480486968"/>
      <w:bookmarkStart w:id="1648" w:name="_Toc483668143"/>
      <w:bookmarkStart w:id="1649" w:name="_Toc480486796"/>
      <w:bookmarkStart w:id="1650" w:name="_Toc486580114"/>
      <w:bookmarkStart w:id="1651" w:name="_Toc10233548"/>
      <w:bookmarkStart w:id="1652" w:name="_Toc490222559"/>
      <w:bookmarkStart w:id="1653" w:name="_Toc338944770"/>
      <w:r>
        <w:t xml:space="preserve">9.4  </w:t>
      </w:r>
      <w:r>
        <w:rPr>
          <w:rFonts w:hint="eastAsia"/>
        </w:rPr>
        <w:t>环境保护</w:t>
      </w:r>
      <w:bookmarkEnd w:id="1645"/>
      <w:bookmarkEnd w:id="1646"/>
      <w:bookmarkEnd w:id="1647"/>
      <w:bookmarkEnd w:id="1648"/>
      <w:bookmarkEnd w:id="1649"/>
      <w:bookmarkEnd w:id="1650"/>
      <w:bookmarkEnd w:id="1651"/>
      <w:bookmarkEnd w:id="1652"/>
      <w:bookmarkEnd w:id="1653"/>
    </w:p>
    <w:p>
      <w:pPr>
        <w:spacing w:line="360" w:lineRule="auto"/>
        <w:ind w:firstLine="420" w:firstLineChars="200"/>
        <w:rPr>
          <w:rFonts w:ascii="宋体"/>
        </w:rPr>
      </w:pPr>
      <w:r>
        <w:rPr>
          <w:rFonts w:ascii="宋体" w:hAnsi="宋体"/>
        </w:rPr>
        <w:t xml:space="preserve">9.4.1  </w:t>
      </w:r>
      <w:r>
        <w:rPr>
          <w:rFonts w:hint="eastAsia" w:ascii="宋体" w:hAnsi="宋体"/>
        </w:rPr>
        <w:t>承包人在施工过程中，应遵守有关环境保护的法律，履行合同约定的环境保护义务，并对违反法律和合同约定义务所造成的环境破坏、人身伤害和财产损失负责。</w:t>
      </w:r>
    </w:p>
    <w:p>
      <w:pPr>
        <w:spacing w:line="360" w:lineRule="auto"/>
        <w:ind w:firstLine="420" w:firstLineChars="200"/>
        <w:rPr>
          <w:rFonts w:ascii="宋体"/>
        </w:rPr>
      </w:pPr>
      <w:r>
        <w:rPr>
          <w:rFonts w:ascii="宋体" w:hAnsi="宋体"/>
        </w:rPr>
        <w:t xml:space="preserve">9.4.2  </w:t>
      </w:r>
      <w:r>
        <w:rPr>
          <w:rFonts w:hint="eastAsia" w:ascii="宋体" w:hAnsi="宋体"/>
        </w:rPr>
        <w:t>承包人应建立</w:t>
      </w:r>
      <w:r>
        <w:rPr>
          <w:rFonts w:hint="eastAsia" w:ascii="宋体" w:hAnsi="宋体"/>
          <w:szCs w:val="21"/>
        </w:rPr>
        <w:t>施工扬尘治理、建筑垃圾、土方和砂石清运与消纳、严禁使用高排放非道路移动机械和行业挥发性有机物治理</w:t>
      </w:r>
      <w:r>
        <w:rPr>
          <w:rFonts w:hint="eastAsia" w:ascii="宋体" w:hAnsi="宋体"/>
          <w:kern w:val="0"/>
          <w:szCs w:val="21"/>
        </w:rPr>
        <w:t>（如</w:t>
      </w:r>
      <w:r>
        <w:rPr>
          <w:rFonts w:hint="eastAsia" w:ascii="宋体" w:hAnsi="宋体"/>
          <w:kern w:val="0"/>
        </w:rPr>
        <w:t>建筑外墙涂装、钢结构等鼓励使用水性漆替代油性漆</w:t>
      </w:r>
      <w:r>
        <w:rPr>
          <w:rFonts w:hint="eastAsia" w:ascii="宋体" w:hAnsi="宋体"/>
          <w:kern w:val="0"/>
          <w:szCs w:val="21"/>
        </w:rPr>
        <w:t>）</w:t>
      </w:r>
      <w:r>
        <w:rPr>
          <w:rFonts w:hint="eastAsia" w:ascii="宋体" w:hAnsi="宋体"/>
          <w:szCs w:val="21"/>
        </w:rPr>
        <w:t>等</w:t>
      </w:r>
      <w:r>
        <w:rPr>
          <w:rFonts w:hint="eastAsia" w:ascii="宋体" w:hAnsi="宋体"/>
        </w:rPr>
        <w:t>责任制，针对工程项目特点制定具体的实施方案，并严格实施。如扬尘治理，承包人应在建筑工地公示施工扬尘治理措施、责任人、主管部门等信息，并及时向当地主管部门报送施工扬尘治理措施落实情况。</w:t>
      </w:r>
    </w:p>
    <w:p>
      <w:pPr>
        <w:spacing w:line="360" w:lineRule="auto"/>
        <w:ind w:firstLine="420" w:firstLineChars="200"/>
        <w:rPr>
          <w:rFonts w:ascii="宋体"/>
        </w:rPr>
      </w:pPr>
      <w:r>
        <w:rPr>
          <w:rFonts w:ascii="宋体" w:hAnsi="宋体"/>
        </w:rPr>
        <w:t xml:space="preserve">9.4.3  </w:t>
      </w:r>
      <w:r>
        <w:rPr>
          <w:rFonts w:hint="eastAsia" w:ascii="宋体" w:hAnsi="宋体"/>
        </w:rPr>
        <w:t>承包人应在合同条款专用部分约定的时限内，按合同约定的环保工作内容，编制施工环保措施计划（包含第</w:t>
      </w:r>
      <w:r>
        <w:rPr>
          <w:rFonts w:ascii="宋体" w:hAnsi="宋体"/>
        </w:rPr>
        <w:t>9.4.2</w:t>
      </w:r>
      <w:r>
        <w:rPr>
          <w:rFonts w:hint="eastAsia" w:ascii="宋体" w:hAnsi="宋体"/>
        </w:rPr>
        <w:t>项约定的实施方案内容），报送监理人审批。监理人在合同条款专用部分约定的期限内给予批复。</w:t>
      </w:r>
    </w:p>
    <w:p>
      <w:pPr>
        <w:spacing w:line="360" w:lineRule="auto"/>
        <w:ind w:firstLine="420" w:firstLineChars="200"/>
        <w:rPr>
          <w:rFonts w:ascii="宋体"/>
        </w:rPr>
      </w:pPr>
      <w:r>
        <w:rPr>
          <w:rFonts w:ascii="宋体" w:hAnsi="宋体"/>
        </w:rPr>
        <w:t xml:space="preserve">9.4.4  </w:t>
      </w:r>
      <w:r>
        <w:rPr>
          <w:rFonts w:hint="eastAsia" w:ascii="宋体" w:hAnsi="宋体"/>
        </w:rPr>
        <w:t>承包人应按照批准的施工环保措施计划有序地堆放和处理施工废弃物</w:t>
      </w:r>
      <w:r>
        <w:rPr>
          <w:rFonts w:hint="eastAsia" w:ascii="宋体" w:hAnsi="宋体"/>
          <w:szCs w:val="21"/>
        </w:rPr>
        <w:t>，</w:t>
      </w:r>
      <w:r>
        <w:rPr>
          <w:rFonts w:hint="eastAsia" w:ascii="宋体" w:hAnsi="宋体"/>
        </w:rPr>
        <w:t>避免对环境造成破坏。因承包人任意堆放或弃置施工废弃物造成妨碍公共交通、影响城镇居民生活、降低河流行洪能力、危及居民安全、破坏和污染环境，或者影响其他承包人施工等后果的，承包人应承担责任。</w:t>
      </w:r>
    </w:p>
    <w:p>
      <w:pPr>
        <w:spacing w:line="360" w:lineRule="auto"/>
        <w:ind w:firstLine="420" w:firstLineChars="200"/>
        <w:rPr>
          <w:rFonts w:ascii="宋体"/>
        </w:rPr>
      </w:pPr>
      <w:r>
        <w:rPr>
          <w:rFonts w:ascii="宋体" w:hAnsi="宋体"/>
        </w:rPr>
        <w:t xml:space="preserve">9.4.5  </w:t>
      </w:r>
      <w:r>
        <w:rPr>
          <w:rFonts w:hint="eastAsia" w:ascii="宋体" w:hAnsi="宋体"/>
        </w:rPr>
        <w:t>承包人应按合同约定采取有效措施，对施工开挖的边坡及时进行支护</w:t>
      </w:r>
      <w:r>
        <w:rPr>
          <w:rFonts w:ascii="宋体"/>
        </w:rPr>
        <w:t>,</w:t>
      </w:r>
      <w:r>
        <w:rPr>
          <w:rFonts w:hint="eastAsia" w:ascii="宋体" w:hAnsi="宋体"/>
        </w:rPr>
        <w:t>维护排水设施，并进行水土保护，避免因施工造成的地质灾害。</w:t>
      </w:r>
    </w:p>
    <w:p>
      <w:pPr>
        <w:spacing w:line="360" w:lineRule="auto"/>
        <w:ind w:firstLine="420" w:firstLineChars="200"/>
        <w:rPr>
          <w:rFonts w:ascii="宋体"/>
        </w:rPr>
      </w:pPr>
      <w:r>
        <w:rPr>
          <w:rFonts w:ascii="宋体" w:hAnsi="宋体"/>
        </w:rPr>
        <w:t xml:space="preserve">9.4.6  </w:t>
      </w:r>
      <w:r>
        <w:rPr>
          <w:rFonts w:hint="eastAsia" w:ascii="宋体" w:hAnsi="宋体"/>
        </w:rPr>
        <w:t>承包人应按国家饮用水管理标准定期对饮用水源进行监测，防止施工活动污染饮用水源。</w:t>
      </w:r>
    </w:p>
    <w:p>
      <w:pPr>
        <w:spacing w:line="360" w:lineRule="auto"/>
        <w:ind w:firstLine="424" w:firstLineChars="202"/>
        <w:rPr>
          <w:rFonts w:ascii="宋体"/>
        </w:rPr>
      </w:pPr>
      <w:r>
        <w:rPr>
          <w:rFonts w:ascii="宋体" w:hAnsi="宋体"/>
        </w:rPr>
        <w:t xml:space="preserve">9.4.7  </w:t>
      </w:r>
      <w:r>
        <w:rPr>
          <w:rFonts w:hint="eastAsia" w:ascii="宋体" w:hAnsi="宋体"/>
        </w:rPr>
        <w:t>承包人应按合同约定，加强对噪声、粉尘、废气、废水和废油的控制，努力降低噪声，控制粉尘和废气浓度，做好废水和废油的治理和排放。</w:t>
      </w:r>
    </w:p>
    <w:p>
      <w:pPr>
        <w:pStyle w:val="253"/>
        <w:spacing w:before="120"/>
      </w:pPr>
      <w:bookmarkStart w:id="1654" w:name="_Toc490222560"/>
      <w:bookmarkStart w:id="1655" w:name="_Toc489279926"/>
      <w:bookmarkStart w:id="1656" w:name="_Toc338944771"/>
      <w:bookmarkStart w:id="1657" w:name="_Toc480486797"/>
      <w:bookmarkStart w:id="1658" w:name="_Toc480486969"/>
      <w:bookmarkStart w:id="1659" w:name="_Toc179632696"/>
      <w:bookmarkStart w:id="1660" w:name="_Toc10233549"/>
      <w:bookmarkStart w:id="1661" w:name="_Toc144974646"/>
      <w:bookmarkStart w:id="1662" w:name="_Toc152042456"/>
      <w:bookmarkStart w:id="1663" w:name="_Toc152045678"/>
      <w:bookmarkStart w:id="1664" w:name="_Toc483668144"/>
      <w:bookmarkStart w:id="1665" w:name="_Toc342296329"/>
      <w:bookmarkStart w:id="1666" w:name="_Toc486580115"/>
      <w:r>
        <w:t xml:space="preserve">9.5  </w:t>
      </w:r>
      <w:r>
        <w:rPr>
          <w:rFonts w:hint="eastAsia"/>
        </w:rPr>
        <w:t>事故处理</w:t>
      </w:r>
      <w:bookmarkEnd w:id="1654"/>
      <w:bookmarkEnd w:id="1655"/>
      <w:bookmarkEnd w:id="1656"/>
      <w:bookmarkEnd w:id="1657"/>
      <w:bookmarkEnd w:id="1658"/>
      <w:bookmarkEnd w:id="1659"/>
      <w:bookmarkEnd w:id="1660"/>
      <w:bookmarkEnd w:id="1661"/>
      <w:bookmarkEnd w:id="1662"/>
      <w:bookmarkEnd w:id="1663"/>
      <w:bookmarkEnd w:id="1664"/>
      <w:bookmarkEnd w:id="1665"/>
      <w:bookmarkEnd w:id="1666"/>
    </w:p>
    <w:p>
      <w:pPr>
        <w:spacing w:line="360" w:lineRule="auto"/>
        <w:ind w:firstLine="420" w:firstLineChars="200"/>
        <w:rPr>
          <w:rFonts w:ascii="宋体" w:hAnsi="宋体"/>
        </w:rPr>
      </w:pPr>
      <w:r>
        <w:rPr>
          <w:rFonts w:hint="eastAsia" w:ascii="宋体" w:hAnsi="宋体"/>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pStyle w:val="253"/>
        <w:spacing w:before="120"/>
      </w:pPr>
      <w:bookmarkStart w:id="1667" w:name="_Toc10233550"/>
      <w:r>
        <w:rPr>
          <w:rFonts w:hint="eastAsia"/>
        </w:rPr>
        <w:t xml:space="preserve">9.6 </w:t>
      </w:r>
      <w:r>
        <w:t xml:space="preserve"> </w:t>
      </w:r>
      <w:r>
        <w:rPr>
          <w:rFonts w:hint="eastAsia"/>
        </w:rPr>
        <w:t>施工现场安全生产标准化管理目标</w:t>
      </w:r>
      <w:bookmarkEnd w:id="1667"/>
    </w:p>
    <w:p>
      <w:pPr>
        <w:spacing w:line="360" w:lineRule="auto"/>
        <w:ind w:firstLine="420" w:firstLineChars="200"/>
        <w:rPr>
          <w:rFonts w:ascii="宋体" w:hAnsi="宋体"/>
        </w:rPr>
      </w:pPr>
      <w:r>
        <w:rPr>
          <w:rFonts w:hint="eastAsia" w:ascii="宋体" w:hAnsi="宋体"/>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r>
        <w:rPr>
          <w:rFonts w:hint="eastAsia" w:ascii="黑体" w:hAnsi="黑体" w:eastAsia="黑体"/>
        </w:rPr>
        <w:t>见合同条款专用部分。</w:t>
      </w:r>
    </w:p>
    <w:p>
      <w:pPr>
        <w:spacing w:line="360" w:lineRule="auto"/>
        <w:ind w:firstLine="420" w:firstLineChars="200"/>
        <w:rPr>
          <w:rFonts w:ascii="黑体" w:hAnsi="黑体" w:eastAsia="黑体"/>
        </w:rPr>
      </w:pPr>
      <w:r>
        <w:rPr>
          <w:rFonts w:hint="eastAsia" w:ascii="宋体" w:hAnsi="宋体"/>
        </w:rPr>
        <w:t>9.6.</w:t>
      </w:r>
      <w:r>
        <w:rPr>
          <w:rFonts w:ascii="宋体" w:hAnsi="宋体"/>
        </w:rPr>
        <w:t>2</w:t>
      </w:r>
      <w:r>
        <w:rPr>
          <w:rFonts w:hint="eastAsia" w:ascii="宋体" w:hAnsi="宋体"/>
        </w:rPr>
        <w:t xml:space="preserve">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r>
        <w:rPr>
          <w:rFonts w:hint="eastAsia" w:ascii="黑体" w:hAnsi="黑体" w:eastAsia="黑体"/>
        </w:rPr>
        <w:t>见合同条款专用部分。</w:t>
      </w:r>
    </w:p>
    <w:p>
      <w:pPr>
        <w:pStyle w:val="253"/>
        <w:tabs>
          <w:tab w:val="left" w:pos="567"/>
        </w:tabs>
        <w:spacing w:before="120"/>
      </w:pPr>
      <w:bookmarkStart w:id="1668" w:name="_Toc10233551"/>
      <w:r>
        <w:rPr>
          <w:rFonts w:hint="eastAsia"/>
        </w:rPr>
        <w:t>9</w:t>
      </w:r>
      <w:r>
        <w:t xml:space="preserve">.7  </w:t>
      </w:r>
      <w:r>
        <w:rPr>
          <w:rFonts w:hint="eastAsia"/>
        </w:rPr>
        <w:t>特殊安全文明施工</w:t>
      </w:r>
      <w:bookmarkEnd w:id="1668"/>
    </w:p>
    <w:p>
      <w:pPr>
        <w:spacing w:line="360" w:lineRule="auto"/>
        <w:ind w:firstLine="420" w:firstLineChars="200"/>
        <w:rPr>
          <w:rFonts w:ascii="宋体" w:hAnsi="宋体"/>
        </w:rPr>
      </w:pPr>
      <w:r>
        <w:rPr>
          <w:rFonts w:hint="eastAsia" w:ascii="宋体" w:hAnsi="宋体"/>
        </w:rPr>
        <w:t>9.</w:t>
      </w:r>
      <w:r>
        <w:rPr>
          <w:rFonts w:ascii="宋体" w:hAnsi="宋体"/>
        </w:rPr>
        <w:t>7</w:t>
      </w:r>
      <w:r>
        <w:rPr>
          <w:rFonts w:hint="eastAsia" w:ascii="宋体" w:hAnsi="宋体"/>
        </w:rPr>
        <w:t>.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r>
        <w:rPr>
          <w:rFonts w:hint="eastAsia" w:ascii="黑体" w:hAnsi="黑体" w:eastAsia="黑体"/>
        </w:rPr>
        <w:t>见合同条款专用部分。</w:t>
      </w:r>
    </w:p>
    <w:p>
      <w:pPr>
        <w:spacing w:line="360" w:lineRule="auto"/>
        <w:ind w:firstLine="420" w:firstLineChars="200"/>
        <w:rPr>
          <w:rFonts w:ascii="黑体" w:hAnsi="黑体" w:eastAsia="黑体"/>
        </w:rPr>
      </w:pPr>
      <w:r>
        <w:rPr>
          <w:rFonts w:hint="eastAsia" w:ascii="宋体" w:hAnsi="宋体"/>
        </w:rPr>
        <w:t>9.</w:t>
      </w:r>
      <w:r>
        <w:rPr>
          <w:rFonts w:ascii="宋体" w:hAnsi="宋体"/>
        </w:rPr>
        <w:t>7</w:t>
      </w:r>
      <w:r>
        <w:rPr>
          <w:rFonts w:hint="eastAsia" w:ascii="宋体" w:hAnsi="宋体"/>
        </w:rPr>
        <w:t>.</w:t>
      </w:r>
      <w:r>
        <w:rPr>
          <w:rFonts w:ascii="宋体" w:hAnsi="宋体"/>
        </w:rPr>
        <w:t>2</w:t>
      </w:r>
      <w:r>
        <w:rPr>
          <w:rFonts w:hint="eastAsia" w:ascii="宋体" w:hAnsi="宋体"/>
        </w:rPr>
        <w:t xml:space="preserve"> 发包人鼓励承包人提高特殊安全文明施工要求。特殊安全文明施工要求高于合同约定的要求，发包人可给予承包人创优奖励。发包人是否给予承包人创优奖励及创优奖励金额或者计算方法</w:t>
      </w:r>
      <w:r>
        <w:rPr>
          <w:rFonts w:hint="eastAsia" w:ascii="黑体" w:hAnsi="黑体" w:eastAsia="黑体"/>
        </w:rPr>
        <w:t>见合同条款专用部分。</w:t>
      </w:r>
    </w:p>
    <w:p>
      <w:pPr>
        <w:pStyle w:val="43"/>
        <w:spacing w:after="120"/>
      </w:pPr>
      <w:bookmarkStart w:id="1669" w:name="_Toc489279927"/>
      <w:bookmarkStart w:id="1670" w:name="_Toc342296330"/>
      <w:bookmarkStart w:id="1671" w:name="_Toc480486970"/>
      <w:bookmarkStart w:id="1672" w:name="_Toc490222561"/>
      <w:bookmarkStart w:id="1673" w:name="_Toc483668145"/>
      <w:bookmarkStart w:id="1674" w:name="_Toc486580116"/>
      <w:bookmarkStart w:id="1675" w:name="_Toc10233552"/>
      <w:bookmarkStart w:id="1676" w:name="_Toc480486798"/>
      <w:bookmarkStart w:id="1677" w:name="_Toc338944772"/>
      <w:r>
        <w:t>10.</w:t>
      </w:r>
      <w:r>
        <w:rPr>
          <w:rFonts w:hint="eastAsia"/>
        </w:rPr>
        <w:t>进度计划</w:t>
      </w:r>
      <w:bookmarkEnd w:id="1669"/>
      <w:bookmarkEnd w:id="1670"/>
      <w:bookmarkEnd w:id="1671"/>
      <w:bookmarkEnd w:id="1672"/>
      <w:bookmarkEnd w:id="1673"/>
      <w:bookmarkEnd w:id="1674"/>
      <w:bookmarkEnd w:id="1675"/>
      <w:bookmarkEnd w:id="1676"/>
      <w:bookmarkEnd w:id="1677"/>
    </w:p>
    <w:p>
      <w:pPr>
        <w:pStyle w:val="253"/>
        <w:spacing w:before="120"/>
      </w:pPr>
      <w:bookmarkStart w:id="1678" w:name="_Toc480486799"/>
      <w:bookmarkStart w:id="1679" w:name="_Toc480486971"/>
      <w:bookmarkStart w:id="1680" w:name="_Toc10233553"/>
      <w:bookmarkStart w:id="1681" w:name="_Toc338944773"/>
      <w:bookmarkStart w:id="1682" w:name="_Toc483668146"/>
      <w:bookmarkStart w:id="1683" w:name="_Toc489279928"/>
      <w:bookmarkStart w:id="1684" w:name="_Toc342296331"/>
      <w:bookmarkStart w:id="1685" w:name="_Toc486580117"/>
      <w:bookmarkStart w:id="1686" w:name="_Toc490222562"/>
      <w:r>
        <w:t xml:space="preserve">10.1  </w:t>
      </w:r>
      <w:r>
        <w:rPr>
          <w:rFonts w:hint="eastAsia"/>
        </w:rPr>
        <w:t>合同进度计划</w:t>
      </w:r>
      <w:bookmarkEnd w:id="1678"/>
      <w:bookmarkEnd w:id="1679"/>
      <w:bookmarkEnd w:id="1680"/>
      <w:bookmarkEnd w:id="1681"/>
      <w:bookmarkEnd w:id="1682"/>
      <w:bookmarkEnd w:id="1683"/>
      <w:bookmarkEnd w:id="1684"/>
      <w:bookmarkEnd w:id="1685"/>
      <w:bookmarkEnd w:id="1686"/>
    </w:p>
    <w:p>
      <w:pPr>
        <w:spacing w:line="360" w:lineRule="auto"/>
        <w:ind w:firstLine="420" w:firstLineChars="200"/>
        <w:rPr>
          <w:rFonts w:ascii="宋体"/>
        </w:rPr>
      </w:pPr>
      <w:r>
        <w:rPr>
          <w:rFonts w:ascii="宋体" w:hAnsi="宋体"/>
        </w:rPr>
        <w:t xml:space="preserve">10.1.1  </w:t>
      </w:r>
      <w:r>
        <w:rPr>
          <w:rFonts w:hint="eastAsia" w:ascii="宋体" w:hAnsi="宋体"/>
        </w:rPr>
        <w:t>承包人应</w:t>
      </w:r>
      <w:r>
        <w:rPr>
          <w:rFonts w:hint="eastAsia" w:ascii="宋体" w:hAnsi="宋体"/>
          <w:szCs w:val="21"/>
        </w:rPr>
        <w:t>当在收到监理人按照第</w:t>
      </w:r>
      <w:r>
        <w:rPr>
          <w:rFonts w:ascii="宋体" w:hAnsi="宋体"/>
          <w:szCs w:val="21"/>
        </w:rPr>
        <w:t>11.1.1</w:t>
      </w:r>
      <w:r>
        <w:rPr>
          <w:rFonts w:hint="eastAsia" w:ascii="宋体" w:hAnsi="宋体"/>
          <w:szCs w:val="21"/>
        </w:rPr>
        <w:t>项发出的开工通知后</w:t>
      </w:r>
      <w:r>
        <w:rPr>
          <w:rFonts w:ascii="宋体" w:hAnsi="宋体"/>
          <w:szCs w:val="21"/>
        </w:rPr>
        <w:t>7</w:t>
      </w:r>
      <w:r>
        <w:rPr>
          <w:rFonts w:hint="eastAsia" w:ascii="宋体" w:hAnsi="宋体"/>
          <w:szCs w:val="21"/>
        </w:rPr>
        <w:t>天内，</w:t>
      </w:r>
      <w:r>
        <w:rPr>
          <w:rFonts w:hint="eastAsia" w:ascii="宋体" w:hAnsi="宋体"/>
        </w:rPr>
        <w:t>编制详细的施工进度计划和施工方案说明报送监理人，</w:t>
      </w:r>
      <w:r>
        <w:rPr>
          <w:rFonts w:hint="eastAsia" w:ascii="宋体" w:hAnsi="宋体"/>
          <w:szCs w:val="21"/>
        </w:rPr>
        <w:t>施工进度计划中应载明要求发包人组织设计人进行阶段性工程设计交底的时间。</w:t>
      </w:r>
      <w:r>
        <w:rPr>
          <w:rFonts w:hint="eastAsia" w:ascii="宋体" w:hAnsi="宋体"/>
        </w:rPr>
        <w:t>监理人应在</w:t>
      </w:r>
      <w:r>
        <w:rPr>
          <w:rFonts w:hint="eastAsia" w:ascii="宋体" w:hAnsi="宋体"/>
          <w:szCs w:val="21"/>
        </w:rPr>
        <w:t>收到承包人报送的相关进度计划和施工方案说明后</w:t>
      </w:r>
      <w:r>
        <w:rPr>
          <w:rFonts w:ascii="宋体" w:hAnsi="宋体"/>
          <w:szCs w:val="21"/>
        </w:rPr>
        <w:t>14</w:t>
      </w:r>
      <w:r>
        <w:rPr>
          <w:rFonts w:hint="eastAsia" w:ascii="宋体" w:hAnsi="宋体"/>
          <w:szCs w:val="21"/>
        </w:rPr>
        <w:t>天内</w:t>
      </w:r>
      <w:r>
        <w:rPr>
          <w:rFonts w:hint="eastAsia" w:ascii="宋体" w:hAnsi="宋体"/>
        </w:rPr>
        <w:t>批复或提出修改意见，否则该进度计划视为已得到批准。经监理人批准的施工进度计划称合同进度计划，是控制合同工程进度的依据。</w:t>
      </w:r>
      <w:r>
        <w:rPr>
          <w:rFonts w:hint="eastAsia" w:ascii="宋体" w:hAnsi="宋体"/>
          <w:szCs w:val="21"/>
        </w:rPr>
        <w:t>承包人编制施工进度计划和施工方案说明的内容</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 xml:space="preserve">10.1.2  </w:t>
      </w:r>
      <w:r>
        <w:rPr>
          <w:rFonts w:hint="eastAsia" w:ascii="宋体" w:hAnsi="宋体"/>
        </w:rPr>
        <w:t>承包人还应根据合同进度计划，按照第</w:t>
      </w:r>
      <w:r>
        <w:rPr>
          <w:rFonts w:ascii="宋体" w:hAnsi="宋体"/>
        </w:rPr>
        <w:t>10.1.1</w:t>
      </w:r>
      <w:r>
        <w:rPr>
          <w:rFonts w:hint="eastAsia" w:ascii="宋体" w:hAnsi="宋体"/>
        </w:rPr>
        <w:t>项相关约定编制更为详细的分阶段或分项进度计划，报监理人审批。</w:t>
      </w:r>
      <w:r>
        <w:rPr>
          <w:rFonts w:hint="eastAsia" w:ascii="宋体" w:hAnsi="宋体"/>
          <w:szCs w:val="21"/>
        </w:rPr>
        <w:t>承包人编制分阶段或分项施工进度计划和施工方案说明的内容及时限要求</w:t>
      </w:r>
      <w:r>
        <w:rPr>
          <w:rFonts w:hint="eastAsia" w:ascii="黑体" w:hAnsi="黑体" w:eastAsia="黑体"/>
        </w:rPr>
        <w:t>见合同条款专用部分。</w:t>
      </w:r>
    </w:p>
    <w:p>
      <w:pPr>
        <w:spacing w:line="360" w:lineRule="auto"/>
        <w:ind w:firstLine="420" w:firstLineChars="200"/>
        <w:rPr>
          <w:rFonts w:ascii="宋体"/>
        </w:rPr>
      </w:pPr>
      <w:r>
        <w:rPr>
          <w:rFonts w:ascii="宋体" w:hAnsi="宋体"/>
          <w:szCs w:val="21"/>
        </w:rPr>
        <w:t xml:space="preserve">10.1.3  </w:t>
      </w:r>
      <w:r>
        <w:rPr>
          <w:rFonts w:hint="eastAsia" w:ascii="宋体" w:hAnsi="宋体"/>
          <w:szCs w:val="21"/>
        </w:rPr>
        <w:t>群体工程中单位工程分期进行施工的，承包人</w:t>
      </w:r>
      <w:r>
        <w:rPr>
          <w:rFonts w:hint="eastAsia" w:ascii="宋体" w:hAnsi="宋体"/>
        </w:rPr>
        <w:t>应当</w:t>
      </w:r>
      <w:r>
        <w:rPr>
          <w:rFonts w:hint="eastAsia" w:ascii="宋体" w:hAnsi="宋体"/>
          <w:szCs w:val="21"/>
        </w:rPr>
        <w:t>按照发包人提供图纸及有关资料的时间要求，编制单位工程进度计划和施工方案说明。群体工程中有关编制进度计划和施工方案说明的要求</w:t>
      </w:r>
      <w:r>
        <w:rPr>
          <w:rFonts w:hint="eastAsia" w:ascii="黑体" w:hAnsi="黑体" w:eastAsia="黑体"/>
        </w:rPr>
        <w:t>见合同条款专用部分。</w:t>
      </w:r>
    </w:p>
    <w:p>
      <w:pPr>
        <w:pStyle w:val="253"/>
        <w:spacing w:before="120"/>
      </w:pPr>
      <w:bookmarkStart w:id="1687" w:name="_Toc480486800"/>
      <w:bookmarkStart w:id="1688" w:name="_Toc489279929"/>
      <w:bookmarkStart w:id="1689" w:name="_Toc10233554"/>
      <w:bookmarkStart w:id="1690" w:name="_Toc342296332"/>
      <w:bookmarkStart w:id="1691" w:name="_Toc483668147"/>
      <w:bookmarkStart w:id="1692" w:name="_Toc338944774"/>
      <w:bookmarkStart w:id="1693" w:name="_Toc490222563"/>
      <w:bookmarkStart w:id="1694" w:name="_Toc480486972"/>
      <w:bookmarkStart w:id="1695" w:name="_Toc486580118"/>
      <w:r>
        <w:t xml:space="preserve">10.2  </w:t>
      </w:r>
      <w:r>
        <w:rPr>
          <w:rFonts w:hint="eastAsia"/>
        </w:rPr>
        <w:t>合同进度计划的修订</w:t>
      </w:r>
      <w:bookmarkEnd w:id="1687"/>
      <w:bookmarkEnd w:id="1688"/>
      <w:bookmarkEnd w:id="1689"/>
      <w:bookmarkEnd w:id="1690"/>
      <w:bookmarkEnd w:id="1691"/>
      <w:bookmarkEnd w:id="1692"/>
      <w:bookmarkEnd w:id="1693"/>
      <w:bookmarkEnd w:id="1694"/>
      <w:bookmarkEnd w:id="1695"/>
    </w:p>
    <w:p>
      <w:pPr>
        <w:spacing w:line="360" w:lineRule="auto"/>
        <w:ind w:firstLine="420" w:firstLineChars="200"/>
        <w:rPr>
          <w:rFonts w:ascii="宋体"/>
        </w:rPr>
      </w:pPr>
      <w:r>
        <w:rPr>
          <w:rFonts w:ascii="宋体" w:hAnsi="宋体"/>
        </w:rPr>
        <w:t xml:space="preserve">10.2.1  </w:t>
      </w:r>
      <w:r>
        <w:rPr>
          <w:rFonts w:hint="eastAsia" w:ascii="宋体" w:hAnsi="宋体"/>
        </w:rPr>
        <w:t>不论何种原因造成工程的实际进度与第</w:t>
      </w:r>
      <w:r>
        <w:rPr>
          <w:rFonts w:ascii="宋体" w:hAnsi="宋体"/>
        </w:rPr>
        <w:t>10.1</w:t>
      </w:r>
      <w:r>
        <w:rPr>
          <w:rFonts w:hint="eastAsia" w:ascii="宋体" w:hAnsi="宋体"/>
        </w:rPr>
        <w:t>款的合同进度计划不符时，承包人可以在合同条款专用部分约定的期限内向监理人提交修订合同进度计划的申请报告，并附有关措施和相关资料，报监理人审批；</w:t>
      </w:r>
    </w:p>
    <w:p>
      <w:pPr>
        <w:spacing w:line="360" w:lineRule="auto"/>
        <w:ind w:firstLine="420" w:firstLineChars="200"/>
        <w:rPr>
          <w:rFonts w:ascii="宋体"/>
        </w:rPr>
      </w:pPr>
      <w:r>
        <w:rPr>
          <w:rFonts w:ascii="宋体" w:hAnsi="宋体"/>
        </w:rPr>
        <w:t xml:space="preserve">10.2.2  </w:t>
      </w:r>
      <w:r>
        <w:rPr>
          <w:rFonts w:hint="eastAsia" w:ascii="宋体" w:hAnsi="宋体"/>
        </w:rPr>
        <w:t>监理人也可以直接向承包人作出修订合同进度计划的指示，承包人应按该指示修订合同进度计划，报监理人审批。监理人应在合同条款专用部分约定的期限内完成批复。监理人在批复前应获得发包人同意。</w:t>
      </w:r>
    </w:p>
    <w:p>
      <w:pPr>
        <w:pStyle w:val="43"/>
        <w:spacing w:after="120"/>
      </w:pPr>
      <w:bookmarkStart w:id="1696" w:name="_Toc342296333"/>
      <w:bookmarkStart w:id="1697" w:name="_Toc480486801"/>
      <w:bookmarkStart w:id="1698" w:name="_Toc10233555"/>
      <w:bookmarkStart w:id="1699" w:name="_Toc486580119"/>
      <w:bookmarkStart w:id="1700" w:name="_Toc338944775"/>
      <w:bookmarkStart w:id="1701" w:name="_Toc490222564"/>
      <w:bookmarkStart w:id="1702" w:name="_Toc489279930"/>
      <w:bookmarkStart w:id="1703" w:name="_Toc480486973"/>
      <w:bookmarkStart w:id="1704" w:name="_Toc483668148"/>
      <w:r>
        <w:t>11.</w:t>
      </w:r>
      <w:r>
        <w:rPr>
          <w:rFonts w:hint="eastAsia"/>
        </w:rPr>
        <w:t>开工和竣工</w:t>
      </w:r>
      <w:bookmarkEnd w:id="1696"/>
      <w:bookmarkEnd w:id="1697"/>
      <w:bookmarkEnd w:id="1698"/>
      <w:bookmarkEnd w:id="1699"/>
      <w:bookmarkEnd w:id="1700"/>
      <w:bookmarkEnd w:id="1701"/>
      <w:bookmarkEnd w:id="1702"/>
      <w:bookmarkEnd w:id="1703"/>
      <w:bookmarkEnd w:id="1704"/>
    </w:p>
    <w:p>
      <w:pPr>
        <w:pStyle w:val="253"/>
        <w:spacing w:before="120"/>
      </w:pPr>
      <w:bookmarkStart w:id="1705" w:name="_Toc152045683"/>
      <w:bookmarkStart w:id="1706" w:name="_Toc10233556"/>
      <w:bookmarkStart w:id="1707" w:name="_Toc490222565"/>
      <w:bookmarkStart w:id="1708" w:name="_Toc179632701"/>
      <w:bookmarkStart w:id="1709" w:name="_Toc342296334"/>
      <w:bookmarkStart w:id="1710" w:name="_Toc486580120"/>
      <w:bookmarkStart w:id="1711" w:name="_Toc152042461"/>
      <w:bookmarkStart w:id="1712" w:name="_Toc480486974"/>
      <w:bookmarkStart w:id="1713" w:name="_Toc480486802"/>
      <w:bookmarkStart w:id="1714" w:name="_Toc489279931"/>
      <w:bookmarkStart w:id="1715" w:name="_Toc338944776"/>
      <w:bookmarkStart w:id="1716" w:name="_Toc483668149"/>
      <w:bookmarkStart w:id="1717" w:name="_Toc144974651"/>
      <w:r>
        <w:t xml:space="preserve">11.1  </w:t>
      </w:r>
      <w:r>
        <w:rPr>
          <w:rFonts w:hint="eastAsia"/>
        </w:rPr>
        <w:t>开工</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p>
    <w:p>
      <w:pPr>
        <w:spacing w:line="360" w:lineRule="auto"/>
        <w:ind w:firstLine="420" w:firstLineChars="200"/>
        <w:rPr>
          <w:rFonts w:ascii="宋体"/>
        </w:rPr>
      </w:pPr>
      <w:r>
        <w:rPr>
          <w:rFonts w:ascii="宋体" w:hAnsi="宋体"/>
        </w:rPr>
        <w:t xml:space="preserve">11.1.1  </w:t>
      </w:r>
      <w:r>
        <w:rPr>
          <w:rFonts w:hint="eastAsia" w:ascii="宋体" w:hAnsi="宋体"/>
        </w:rPr>
        <w:t>监理人应在开工日期</w:t>
      </w:r>
      <w:r>
        <w:rPr>
          <w:rFonts w:ascii="宋体" w:hAnsi="宋体"/>
        </w:rPr>
        <w:t>7</w:t>
      </w:r>
      <w:r>
        <w:rPr>
          <w:rFonts w:hint="eastAsia" w:ascii="宋体" w:hAnsi="宋体"/>
        </w:rPr>
        <w:t>天前向承包人发出开工通知。监理人在发出开工通知前应获得发包人同意。工期自监理人发出的开工通知中载明的开工日期起计算。承包人应在开工日期后尽快施工。</w:t>
      </w:r>
    </w:p>
    <w:p>
      <w:pPr>
        <w:spacing w:line="360" w:lineRule="auto"/>
        <w:ind w:firstLine="420" w:firstLineChars="200"/>
        <w:rPr>
          <w:rFonts w:ascii="宋体"/>
          <w:shd w:val="pct10" w:color="auto" w:fill="FFFFFF"/>
        </w:rPr>
      </w:pPr>
      <w:r>
        <w:rPr>
          <w:rFonts w:ascii="宋体" w:hAnsi="宋体"/>
        </w:rPr>
        <w:t xml:space="preserve">11.1.2  </w:t>
      </w:r>
      <w:r>
        <w:rPr>
          <w:rFonts w:hint="eastAsia" w:ascii="宋体" w:hAnsi="宋体"/>
        </w:rPr>
        <w:t>承包人应按第</w:t>
      </w:r>
      <w:r>
        <w:rPr>
          <w:rFonts w:ascii="宋体" w:hAnsi="宋体"/>
        </w:rPr>
        <w:t>10.1</w:t>
      </w:r>
      <w:r>
        <w:rPr>
          <w:rFonts w:hint="eastAsia" w:ascii="宋体" w:hAnsi="宋体"/>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pStyle w:val="253"/>
        <w:spacing w:before="120"/>
      </w:pPr>
      <w:bookmarkStart w:id="1718" w:name="_Toc480486803"/>
      <w:bookmarkStart w:id="1719" w:name="_Toc489279932"/>
      <w:bookmarkStart w:id="1720" w:name="_Toc490222566"/>
      <w:bookmarkStart w:id="1721" w:name="_Toc480486975"/>
      <w:bookmarkStart w:id="1722" w:name="_Toc144974652"/>
      <w:bookmarkStart w:id="1723" w:name="_Toc342296335"/>
      <w:bookmarkStart w:id="1724" w:name="_Toc338944777"/>
      <w:bookmarkStart w:id="1725" w:name="_Toc10233557"/>
      <w:bookmarkStart w:id="1726" w:name="_Toc486580121"/>
      <w:bookmarkStart w:id="1727" w:name="_Toc152042462"/>
      <w:bookmarkStart w:id="1728" w:name="_Toc152045684"/>
      <w:bookmarkStart w:id="1729" w:name="_Toc179632702"/>
      <w:bookmarkStart w:id="1730" w:name="_Toc483668150"/>
      <w:r>
        <w:t xml:space="preserve">11.2  </w:t>
      </w:r>
      <w:r>
        <w:rPr>
          <w:rFonts w:hint="eastAsia"/>
        </w:rPr>
        <w:t>竣工</w:t>
      </w:r>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pPr>
        <w:spacing w:line="360" w:lineRule="auto"/>
        <w:ind w:firstLine="420" w:firstLineChars="200"/>
        <w:rPr>
          <w:rFonts w:ascii="宋体"/>
        </w:rPr>
      </w:pPr>
      <w:r>
        <w:rPr>
          <w:rFonts w:hint="eastAsia" w:ascii="宋体" w:hAnsi="宋体"/>
        </w:rPr>
        <w:t>承包人应在第</w:t>
      </w:r>
      <w:r>
        <w:rPr>
          <w:rFonts w:ascii="宋体" w:hAnsi="宋体"/>
        </w:rPr>
        <w:t>1.1.4.3</w:t>
      </w:r>
      <w:r>
        <w:rPr>
          <w:rFonts w:hint="eastAsia" w:ascii="宋体" w:hAnsi="宋体"/>
        </w:rPr>
        <w:t>目约定的期限内完成合同工程。实际竣工日期在接收证书中写明。</w:t>
      </w:r>
    </w:p>
    <w:p>
      <w:pPr>
        <w:pStyle w:val="253"/>
        <w:spacing w:before="120"/>
      </w:pPr>
      <w:bookmarkStart w:id="1731" w:name="_Toc338944778"/>
      <w:bookmarkStart w:id="1732" w:name="_Toc342296336"/>
      <w:bookmarkStart w:id="1733" w:name="_Toc480486804"/>
      <w:bookmarkStart w:id="1734" w:name="_Toc490222567"/>
      <w:bookmarkStart w:id="1735" w:name="_Toc480486976"/>
      <w:bookmarkStart w:id="1736" w:name="_Toc489279933"/>
      <w:bookmarkStart w:id="1737" w:name="_Toc483668151"/>
      <w:bookmarkStart w:id="1738" w:name="_Toc486580122"/>
      <w:bookmarkStart w:id="1739" w:name="_Toc10233558"/>
      <w:r>
        <w:t xml:space="preserve">11.3  </w:t>
      </w:r>
      <w:r>
        <w:rPr>
          <w:rFonts w:hint="eastAsia"/>
        </w:rPr>
        <w:t>发包人的工期延误</w:t>
      </w:r>
      <w:bookmarkEnd w:id="1731"/>
      <w:bookmarkEnd w:id="1732"/>
      <w:bookmarkEnd w:id="1733"/>
      <w:bookmarkEnd w:id="1734"/>
      <w:bookmarkEnd w:id="1735"/>
      <w:bookmarkEnd w:id="1736"/>
      <w:bookmarkEnd w:id="1737"/>
      <w:bookmarkEnd w:id="1738"/>
      <w:bookmarkEnd w:id="1739"/>
    </w:p>
    <w:p>
      <w:pPr>
        <w:spacing w:line="360" w:lineRule="auto"/>
        <w:ind w:firstLine="420" w:firstLineChars="200"/>
        <w:rPr>
          <w:rFonts w:ascii="宋体"/>
        </w:rPr>
      </w:pPr>
      <w:r>
        <w:rPr>
          <w:rFonts w:hint="eastAsia" w:ascii="宋体" w:hAnsi="宋体"/>
        </w:rPr>
        <w:t>在履行合同过程中，由于发包人的下列原因造成承包人关键线路工期延误的，承包人有权要求发包人延长工期和（或）增加费用，并支付合理利润。需要修订合同进度计划的，按照第</w:t>
      </w:r>
      <w:r>
        <w:rPr>
          <w:rFonts w:ascii="宋体" w:hAnsi="宋体"/>
        </w:rPr>
        <w:t>10.2</w:t>
      </w:r>
      <w:r>
        <w:rPr>
          <w:rFonts w:hint="eastAsia" w:ascii="宋体" w:hAnsi="宋体"/>
        </w:rPr>
        <w:t>款的约定办理。</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）增加合同工作内容；</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）改变合同中任何一项工作的质量要求或其他特性；</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）发包人迟延提供材料、工程设备或变更交货地点的；</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）因发包人原因导致的暂停施工；</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）提供图纸延误；</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）未按合同约定及时支付预付款、进度款；</w:t>
      </w:r>
    </w:p>
    <w:p>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w:t>
      </w:r>
      <w:r>
        <w:rPr>
          <w:rFonts w:hint="eastAsia" w:ascii="宋体" w:hAnsi="宋体"/>
          <w:szCs w:val="21"/>
        </w:rPr>
        <w:t>因发包人原因不能按照监理人发出的开工通知中载明的开工日期开工；</w:t>
      </w:r>
      <w:r>
        <w:rPr>
          <w:rFonts w:ascii="宋体" w:hAnsi="宋体"/>
          <w:szCs w:val="21"/>
        </w:rPr>
        <w:t xml:space="preserve"> </w:t>
      </w:r>
    </w:p>
    <w:p>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）发包人造成工期延误的其他原因</w:t>
      </w:r>
      <w:r>
        <w:rPr>
          <w:rFonts w:hint="eastAsia" w:ascii="黑体" w:hAnsi="黑体" w:eastAsia="黑体"/>
        </w:rPr>
        <w:t>见合同条款专用部分。</w:t>
      </w:r>
    </w:p>
    <w:p>
      <w:pPr>
        <w:pStyle w:val="253"/>
        <w:spacing w:before="120"/>
      </w:pPr>
      <w:bookmarkStart w:id="1740" w:name="_Toc489279934"/>
      <w:bookmarkStart w:id="1741" w:name="_Toc480486977"/>
      <w:bookmarkStart w:id="1742" w:name="_Toc10233559"/>
      <w:bookmarkStart w:id="1743" w:name="_Toc338944779"/>
      <w:bookmarkStart w:id="1744" w:name="_Toc490222568"/>
      <w:bookmarkStart w:id="1745" w:name="_Toc480486805"/>
      <w:bookmarkStart w:id="1746" w:name="_Toc483668152"/>
      <w:bookmarkStart w:id="1747" w:name="_Toc342296337"/>
      <w:bookmarkStart w:id="1748" w:name="_Toc486580123"/>
      <w:r>
        <w:t xml:space="preserve">11.4  </w:t>
      </w:r>
      <w:r>
        <w:rPr>
          <w:rFonts w:hint="eastAsia"/>
        </w:rPr>
        <w:t>异常恶劣的气候条件</w:t>
      </w:r>
      <w:bookmarkEnd w:id="1740"/>
      <w:bookmarkEnd w:id="1741"/>
      <w:bookmarkEnd w:id="1742"/>
      <w:bookmarkEnd w:id="1743"/>
      <w:bookmarkEnd w:id="1744"/>
      <w:bookmarkEnd w:id="1745"/>
      <w:bookmarkEnd w:id="1746"/>
      <w:bookmarkEnd w:id="1747"/>
      <w:bookmarkEnd w:id="1748"/>
    </w:p>
    <w:p>
      <w:pPr>
        <w:spacing w:line="360" w:lineRule="auto"/>
        <w:ind w:firstLine="420" w:firstLineChars="200"/>
        <w:rPr>
          <w:rFonts w:ascii="黑体" w:hAnsi="黑体" w:eastAsia="黑体"/>
        </w:rPr>
      </w:pPr>
      <w:r>
        <w:rPr>
          <w:rFonts w:hint="eastAsia" w:ascii="宋体" w:hAnsi="宋体"/>
        </w:rPr>
        <w:t>由于出现异常恶劣气候的条件导致工期延误的，承包人有权要求发包人延长工期。</w:t>
      </w:r>
      <w:r>
        <w:rPr>
          <w:rFonts w:hint="eastAsia" w:ascii="宋体" w:hAnsi="宋体"/>
          <w:szCs w:val="21"/>
        </w:rPr>
        <w:t>异常恶劣的气候条件的范围和标准</w:t>
      </w:r>
      <w:r>
        <w:rPr>
          <w:rFonts w:hint="eastAsia" w:ascii="黑体" w:hAnsi="黑体" w:eastAsia="黑体"/>
        </w:rPr>
        <w:t>见合同条款专用部分。</w:t>
      </w:r>
    </w:p>
    <w:p>
      <w:pPr>
        <w:pStyle w:val="253"/>
        <w:spacing w:before="120"/>
      </w:pPr>
      <w:bookmarkStart w:id="1749" w:name="_Toc338944780"/>
      <w:bookmarkStart w:id="1750" w:name="_Toc10233560"/>
      <w:bookmarkStart w:id="1751" w:name="_Toc342296338"/>
      <w:bookmarkStart w:id="1752" w:name="_Toc490222569"/>
      <w:bookmarkStart w:id="1753" w:name="_Toc486580124"/>
      <w:bookmarkStart w:id="1754" w:name="_Toc480486978"/>
      <w:bookmarkStart w:id="1755" w:name="_Toc489279935"/>
      <w:bookmarkStart w:id="1756" w:name="_Toc483668153"/>
      <w:bookmarkStart w:id="1757" w:name="_Toc480486806"/>
      <w:r>
        <w:t xml:space="preserve">11.5  </w:t>
      </w:r>
      <w:r>
        <w:rPr>
          <w:rFonts w:hint="eastAsia"/>
        </w:rPr>
        <w:t>承包人的工期延误</w:t>
      </w:r>
      <w:bookmarkEnd w:id="1749"/>
      <w:bookmarkEnd w:id="1750"/>
      <w:bookmarkEnd w:id="1751"/>
      <w:bookmarkEnd w:id="1752"/>
      <w:bookmarkEnd w:id="1753"/>
      <w:bookmarkEnd w:id="1754"/>
      <w:bookmarkEnd w:id="1755"/>
      <w:bookmarkEnd w:id="1756"/>
      <w:bookmarkEnd w:id="1757"/>
    </w:p>
    <w:p>
      <w:pPr>
        <w:spacing w:line="360" w:lineRule="auto"/>
        <w:ind w:firstLine="420" w:firstLineChars="200"/>
        <w:rPr>
          <w:rFonts w:ascii="宋体"/>
        </w:rPr>
      </w:pPr>
      <w:r>
        <w:rPr>
          <w:rFonts w:ascii="宋体" w:hAnsi="宋体"/>
          <w:szCs w:val="21"/>
        </w:rPr>
        <w:t xml:space="preserve">11.5.1  </w:t>
      </w:r>
      <w:r>
        <w:rPr>
          <w:rFonts w:hint="eastAsia" w:ascii="宋体" w:hAnsi="宋体"/>
        </w:rPr>
        <w:t>由于承包人原因，未能按合同进度计划完成工作，或监理人认为承包人施工进度不能满足合同工期要求的，承包人应采取措施加快进度，并承担加快进度所增加的费用。</w:t>
      </w:r>
    </w:p>
    <w:p>
      <w:pPr>
        <w:spacing w:line="360" w:lineRule="auto"/>
        <w:ind w:firstLine="420" w:firstLineChars="200"/>
        <w:rPr>
          <w:rFonts w:ascii="宋体"/>
          <w:szCs w:val="21"/>
        </w:rPr>
      </w:pPr>
      <w:r>
        <w:rPr>
          <w:rFonts w:ascii="宋体" w:hAnsi="宋体"/>
          <w:szCs w:val="21"/>
        </w:rPr>
        <w:t xml:space="preserve">11.5.2  </w:t>
      </w:r>
      <w:r>
        <w:rPr>
          <w:rFonts w:hint="eastAsia" w:ascii="宋体" w:hAnsi="宋体"/>
          <w:szCs w:val="21"/>
        </w:rPr>
        <w:t>由于承包人原因造成不能按期竣工的，按照合同约定的竣工日期（包括按合同工期延长）后</w:t>
      </w:r>
      <w:r>
        <w:rPr>
          <w:rFonts w:ascii="宋体" w:hAnsi="宋体"/>
          <w:szCs w:val="21"/>
        </w:rPr>
        <w:t>7</w:t>
      </w:r>
      <w:r>
        <w:rPr>
          <w:rFonts w:hint="eastAsia" w:ascii="宋体" w:hAnsi="宋体"/>
          <w:szCs w:val="21"/>
        </w:rPr>
        <w:t>天内，监理人应当按第</w:t>
      </w:r>
      <w:r>
        <w:rPr>
          <w:rFonts w:ascii="宋体" w:hAnsi="宋体"/>
          <w:szCs w:val="21"/>
        </w:rPr>
        <w:t>23.4.1</w:t>
      </w:r>
      <w:r>
        <w:rPr>
          <w:rFonts w:hint="eastAsia" w:ascii="宋体" w:hAnsi="宋体"/>
          <w:szCs w:val="21"/>
        </w:rPr>
        <w:t>项的约定书面通知承包人</w:t>
      </w:r>
      <w:r>
        <w:rPr>
          <w:rFonts w:ascii="宋体"/>
          <w:szCs w:val="21"/>
        </w:rPr>
        <w:t>,</w:t>
      </w:r>
      <w:r>
        <w:rPr>
          <w:rFonts w:hint="eastAsia" w:ascii="宋体" w:hAnsi="宋体"/>
          <w:szCs w:val="21"/>
        </w:rPr>
        <w:t>说明发包人有权得到逾期竣工违约金，逾期竣工违约金计算标准和计算方法</w:t>
      </w:r>
      <w:r>
        <w:rPr>
          <w:rFonts w:hint="eastAsia" w:ascii="黑体" w:hAnsi="黑体" w:eastAsia="黑体"/>
        </w:rPr>
        <w:t>见合同条款专用部分。</w:t>
      </w:r>
      <w:r>
        <w:rPr>
          <w:rFonts w:hint="eastAsia" w:ascii="宋体" w:hAnsi="宋体"/>
          <w:szCs w:val="21"/>
        </w:rPr>
        <w:t>但最终逾期竣工违约金的金额不应超过合同约定的逾期竣工违约金最高限额。逾期竣工违约金最高限额</w:t>
      </w:r>
      <w:r>
        <w:rPr>
          <w:rFonts w:hint="eastAsia" w:ascii="黑体" w:hAnsi="黑体" w:eastAsia="黑体"/>
        </w:rPr>
        <w:t>见合同条款专用部分</w:t>
      </w:r>
      <w:r>
        <w:rPr>
          <w:rFonts w:hint="eastAsia" w:ascii="黑体" w:hAnsi="黑体" w:eastAsia="黑体"/>
          <w:szCs w:val="21"/>
        </w:rPr>
        <w:t>。</w:t>
      </w:r>
    </w:p>
    <w:p>
      <w:pPr>
        <w:spacing w:line="360" w:lineRule="auto"/>
        <w:ind w:firstLine="420" w:firstLineChars="200"/>
        <w:rPr>
          <w:rFonts w:ascii="宋体"/>
          <w:szCs w:val="21"/>
        </w:rPr>
      </w:pPr>
      <w:r>
        <w:rPr>
          <w:rFonts w:hint="eastAsia" w:ascii="宋体" w:hAnsi="宋体"/>
          <w:szCs w:val="21"/>
        </w:rPr>
        <w:t>监理人未在规定的期限内发出本款约定的书面通知的，发包人丧失主张逾期竣工违约金的权利。</w:t>
      </w:r>
    </w:p>
    <w:p>
      <w:pPr>
        <w:spacing w:line="360" w:lineRule="auto"/>
        <w:ind w:firstLine="420" w:firstLineChars="200"/>
        <w:rPr>
          <w:rFonts w:ascii="宋体"/>
        </w:rPr>
      </w:pPr>
      <w:r>
        <w:rPr>
          <w:rFonts w:ascii="宋体" w:hAnsi="宋体"/>
          <w:szCs w:val="21"/>
        </w:rPr>
        <w:t xml:space="preserve">11.5.3  </w:t>
      </w:r>
      <w:r>
        <w:rPr>
          <w:rFonts w:hint="eastAsia" w:ascii="宋体" w:hAnsi="宋体"/>
        </w:rPr>
        <w:t>承包人支付逾期竣工违约金，不免除承包人完成工程及修补缺陷的义务。</w:t>
      </w:r>
    </w:p>
    <w:p>
      <w:pPr>
        <w:pStyle w:val="253"/>
        <w:spacing w:before="120"/>
      </w:pPr>
      <w:bookmarkStart w:id="1758" w:name="_Toc342296339"/>
      <w:bookmarkStart w:id="1759" w:name="_Toc338944781"/>
      <w:bookmarkStart w:id="1760" w:name="_Toc483668154"/>
      <w:bookmarkStart w:id="1761" w:name="_Toc489279936"/>
      <w:bookmarkStart w:id="1762" w:name="_Toc486580125"/>
      <w:bookmarkStart w:id="1763" w:name="_Toc480486807"/>
      <w:bookmarkStart w:id="1764" w:name="_Toc490222570"/>
      <w:bookmarkStart w:id="1765" w:name="_Toc480486979"/>
      <w:bookmarkStart w:id="1766" w:name="_Toc10233561"/>
      <w:r>
        <w:t xml:space="preserve">11.6  </w:t>
      </w:r>
      <w:r>
        <w:rPr>
          <w:rFonts w:hint="eastAsia"/>
        </w:rPr>
        <w:t>工期提前</w:t>
      </w:r>
      <w:bookmarkEnd w:id="1758"/>
      <w:bookmarkEnd w:id="1759"/>
      <w:bookmarkEnd w:id="1760"/>
      <w:bookmarkEnd w:id="1761"/>
      <w:bookmarkEnd w:id="1762"/>
      <w:bookmarkEnd w:id="1763"/>
      <w:bookmarkEnd w:id="1764"/>
      <w:bookmarkEnd w:id="1765"/>
      <w:bookmarkEnd w:id="1766"/>
    </w:p>
    <w:p>
      <w:pPr>
        <w:spacing w:line="360" w:lineRule="auto"/>
        <w:ind w:firstLine="420" w:firstLineChars="200"/>
        <w:rPr>
          <w:rFonts w:ascii="宋体"/>
        </w:rPr>
      </w:pPr>
      <w:r>
        <w:rPr>
          <w:rFonts w:hint="eastAsia" w:ascii="宋体" w:hAnsi="宋体"/>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hint="eastAsia" w:ascii="宋体" w:hAnsi="宋体"/>
          <w:szCs w:val="21"/>
        </w:rPr>
        <w:t>提前竣工的奖励办法</w:t>
      </w:r>
      <w:r>
        <w:rPr>
          <w:rFonts w:hint="eastAsia" w:ascii="黑体" w:hAnsi="黑体" w:eastAsia="黑体"/>
        </w:rPr>
        <w:t>见合同条款专用部分。</w:t>
      </w:r>
    </w:p>
    <w:p>
      <w:pPr>
        <w:pStyle w:val="43"/>
        <w:spacing w:after="120"/>
      </w:pPr>
      <w:bookmarkStart w:id="1767" w:name="_Toc480486980"/>
      <w:bookmarkStart w:id="1768" w:name="_Toc486580126"/>
      <w:bookmarkStart w:id="1769" w:name="_Toc489279937"/>
      <w:bookmarkStart w:id="1770" w:name="_Toc490222571"/>
      <w:bookmarkStart w:id="1771" w:name="_Toc483668155"/>
      <w:bookmarkStart w:id="1772" w:name="_Toc338944782"/>
      <w:bookmarkStart w:id="1773" w:name="_Toc480486808"/>
      <w:bookmarkStart w:id="1774" w:name="_Toc342296340"/>
      <w:bookmarkStart w:id="1775" w:name="_Toc10233562"/>
      <w:r>
        <w:t>12.</w:t>
      </w:r>
      <w:r>
        <w:rPr>
          <w:rFonts w:hint="eastAsia"/>
        </w:rPr>
        <w:t>暂停施工</w:t>
      </w:r>
      <w:bookmarkEnd w:id="1767"/>
      <w:bookmarkEnd w:id="1768"/>
      <w:bookmarkEnd w:id="1769"/>
      <w:bookmarkEnd w:id="1770"/>
      <w:bookmarkEnd w:id="1771"/>
      <w:bookmarkEnd w:id="1772"/>
      <w:bookmarkEnd w:id="1773"/>
      <w:bookmarkEnd w:id="1774"/>
      <w:bookmarkEnd w:id="1775"/>
    </w:p>
    <w:p>
      <w:pPr>
        <w:pStyle w:val="253"/>
        <w:spacing w:before="120"/>
      </w:pPr>
      <w:bookmarkStart w:id="1776" w:name="_Toc490222572"/>
      <w:bookmarkStart w:id="1777" w:name="_Toc486580127"/>
      <w:bookmarkStart w:id="1778" w:name="_Toc480486981"/>
      <w:bookmarkStart w:id="1779" w:name="_Toc10233563"/>
      <w:bookmarkStart w:id="1780" w:name="_Toc480486809"/>
      <w:bookmarkStart w:id="1781" w:name="_Toc483668156"/>
      <w:bookmarkStart w:id="1782" w:name="_Toc342296341"/>
      <w:bookmarkStart w:id="1783" w:name="_Toc489279938"/>
      <w:bookmarkStart w:id="1784" w:name="_Toc338944783"/>
      <w:r>
        <w:t xml:space="preserve">12.1  </w:t>
      </w:r>
      <w:r>
        <w:rPr>
          <w:rFonts w:hint="eastAsia"/>
        </w:rPr>
        <w:t>承包人暂停施工的责任</w:t>
      </w:r>
      <w:bookmarkEnd w:id="1776"/>
      <w:bookmarkEnd w:id="1777"/>
      <w:bookmarkEnd w:id="1778"/>
      <w:bookmarkEnd w:id="1779"/>
      <w:bookmarkEnd w:id="1780"/>
      <w:bookmarkEnd w:id="1781"/>
      <w:bookmarkEnd w:id="1782"/>
      <w:bookmarkEnd w:id="1783"/>
      <w:bookmarkEnd w:id="1784"/>
    </w:p>
    <w:p>
      <w:pPr>
        <w:spacing w:line="360" w:lineRule="auto"/>
        <w:ind w:firstLine="420" w:firstLineChars="200"/>
        <w:rPr>
          <w:rFonts w:ascii="宋体"/>
        </w:rPr>
      </w:pPr>
      <w:r>
        <w:rPr>
          <w:rFonts w:hint="eastAsia" w:ascii="宋体" w:hAnsi="宋体"/>
        </w:rPr>
        <w:t>因下列</w:t>
      </w:r>
      <w:r>
        <w:rPr>
          <w:rFonts w:hint="eastAsia" w:ascii="宋体" w:hAnsi="宋体"/>
          <w:szCs w:val="21"/>
        </w:rPr>
        <w:t>情形</w:t>
      </w:r>
      <w:r>
        <w:rPr>
          <w:rFonts w:hint="eastAsia" w:ascii="宋体" w:hAnsi="宋体"/>
        </w:rPr>
        <w:t>暂停施工增加的费用和（或）工期延误由承包人承担：</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）承包人违约引起的暂停施工；</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）由于承包人原因为工程合理施工和安全保障所必需的暂停施工；</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）承包人擅自暂停施工；</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w:t>
      </w:r>
      <w:r>
        <w:rPr>
          <w:rFonts w:hint="eastAsia" w:ascii="宋体" w:hAnsi="宋体"/>
          <w:szCs w:val="21"/>
        </w:rPr>
        <w:t>承包人承担暂停施工责任的其他情形</w:t>
      </w:r>
      <w:r>
        <w:rPr>
          <w:rFonts w:hint="eastAsia" w:ascii="黑体" w:hAnsi="黑体" w:eastAsia="黑体"/>
        </w:rPr>
        <w:t>见合同条款专用部分。</w:t>
      </w:r>
    </w:p>
    <w:p>
      <w:pPr>
        <w:pStyle w:val="253"/>
        <w:spacing w:before="120"/>
      </w:pPr>
      <w:bookmarkStart w:id="1785" w:name="_Toc152045691"/>
      <w:bookmarkStart w:id="1786" w:name="_Toc490222573"/>
      <w:bookmarkStart w:id="1787" w:name="_Toc480486810"/>
      <w:bookmarkStart w:id="1788" w:name="_Toc342296342"/>
      <w:bookmarkStart w:id="1789" w:name="_Toc152042469"/>
      <w:bookmarkStart w:id="1790" w:name="_Toc338944784"/>
      <w:bookmarkStart w:id="1791" w:name="_Toc486580128"/>
      <w:bookmarkStart w:id="1792" w:name="_Toc489279939"/>
      <w:bookmarkStart w:id="1793" w:name="_Toc144974660"/>
      <w:bookmarkStart w:id="1794" w:name="_Toc480486982"/>
      <w:bookmarkStart w:id="1795" w:name="_Toc179632709"/>
      <w:bookmarkStart w:id="1796" w:name="_Toc10233564"/>
      <w:bookmarkStart w:id="1797" w:name="_Toc483668157"/>
      <w:r>
        <w:t xml:space="preserve">12.2  </w:t>
      </w:r>
      <w:r>
        <w:rPr>
          <w:rFonts w:hint="eastAsia"/>
        </w:rPr>
        <w:t>发包人暂停施工的责任</w:t>
      </w:r>
      <w:bookmarkEnd w:id="1785"/>
      <w:bookmarkEnd w:id="1786"/>
      <w:bookmarkEnd w:id="1787"/>
      <w:bookmarkEnd w:id="1788"/>
      <w:bookmarkEnd w:id="1789"/>
      <w:bookmarkEnd w:id="1790"/>
      <w:bookmarkEnd w:id="1791"/>
      <w:bookmarkEnd w:id="1792"/>
      <w:bookmarkEnd w:id="1793"/>
      <w:bookmarkEnd w:id="1794"/>
      <w:bookmarkEnd w:id="1795"/>
      <w:bookmarkEnd w:id="1796"/>
      <w:bookmarkEnd w:id="1797"/>
    </w:p>
    <w:p>
      <w:pPr>
        <w:spacing w:line="360" w:lineRule="auto"/>
        <w:ind w:firstLine="420" w:firstLineChars="200"/>
        <w:rPr>
          <w:rFonts w:ascii="宋体"/>
        </w:rPr>
      </w:pPr>
      <w:r>
        <w:rPr>
          <w:rFonts w:hint="eastAsia" w:ascii="宋体" w:hAnsi="宋体"/>
        </w:rPr>
        <w:t>由于发包人原因引起的暂停施工造成工期延误的，承包人有权要求发包人延长工期和（或）增加费用，并支付合理利润。</w:t>
      </w:r>
    </w:p>
    <w:p>
      <w:pPr>
        <w:pStyle w:val="253"/>
        <w:spacing w:before="120"/>
      </w:pPr>
      <w:bookmarkStart w:id="1798" w:name="_Toc144974661"/>
      <w:bookmarkStart w:id="1799" w:name="_Toc179632710"/>
      <w:bookmarkStart w:id="1800" w:name="_Toc480486811"/>
      <w:bookmarkStart w:id="1801" w:name="_Toc152042470"/>
      <w:bookmarkStart w:id="1802" w:name="_Toc480486983"/>
      <w:bookmarkStart w:id="1803" w:name="_Toc486580129"/>
      <w:bookmarkStart w:id="1804" w:name="_Toc483668158"/>
      <w:bookmarkStart w:id="1805" w:name="_Toc342296343"/>
      <w:bookmarkStart w:id="1806" w:name="_Toc338944785"/>
      <w:bookmarkStart w:id="1807" w:name="_Toc152045692"/>
      <w:bookmarkStart w:id="1808" w:name="_Toc10233565"/>
      <w:bookmarkStart w:id="1809" w:name="_Toc490222574"/>
      <w:bookmarkStart w:id="1810" w:name="_Toc489279940"/>
      <w:r>
        <w:t xml:space="preserve">12.3  </w:t>
      </w:r>
      <w:r>
        <w:rPr>
          <w:rFonts w:hint="eastAsia"/>
        </w:rPr>
        <w:t>监理人暂停施工指示</w:t>
      </w:r>
      <w:bookmarkEnd w:id="1798"/>
      <w:bookmarkEnd w:id="1799"/>
      <w:bookmarkEnd w:id="1800"/>
      <w:bookmarkEnd w:id="1801"/>
      <w:bookmarkEnd w:id="1802"/>
      <w:bookmarkEnd w:id="1803"/>
      <w:bookmarkEnd w:id="1804"/>
      <w:bookmarkEnd w:id="1805"/>
      <w:bookmarkEnd w:id="1806"/>
      <w:bookmarkEnd w:id="1807"/>
      <w:bookmarkEnd w:id="1808"/>
      <w:bookmarkEnd w:id="1809"/>
      <w:bookmarkEnd w:id="1810"/>
    </w:p>
    <w:p>
      <w:pPr>
        <w:spacing w:line="360" w:lineRule="auto"/>
        <w:ind w:firstLine="420" w:firstLineChars="200"/>
        <w:rPr>
          <w:rFonts w:ascii="宋体"/>
        </w:rPr>
      </w:pPr>
      <w:r>
        <w:rPr>
          <w:rFonts w:ascii="宋体" w:hAnsi="宋体"/>
        </w:rPr>
        <w:t xml:space="preserve">12.3.1  </w:t>
      </w:r>
      <w:r>
        <w:rPr>
          <w:rFonts w:hint="eastAsia" w:ascii="宋体" w:hAnsi="宋体"/>
        </w:rPr>
        <w:t>监理人认为有必要时，可向承包人作出暂停施工的指示，承包人应按监理人指示暂停施工。不论由于何种原因引起的暂停施工，暂停施工期间承包人应负责妥善保护工程并提供安全保障。</w:t>
      </w:r>
    </w:p>
    <w:p>
      <w:pPr>
        <w:spacing w:line="360" w:lineRule="auto"/>
        <w:ind w:firstLine="420" w:firstLineChars="200"/>
        <w:rPr>
          <w:rFonts w:ascii="宋体"/>
        </w:rPr>
      </w:pPr>
      <w:r>
        <w:rPr>
          <w:rFonts w:ascii="宋体" w:hAnsi="宋体"/>
        </w:rPr>
        <w:t xml:space="preserve">12.3.2  </w:t>
      </w:r>
      <w:r>
        <w:rPr>
          <w:rFonts w:hint="eastAsia" w:ascii="宋体" w:hAnsi="宋体"/>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rPr>
        <w:t>24</w:t>
      </w:r>
      <w:r>
        <w:rPr>
          <w:rFonts w:hint="eastAsia" w:ascii="宋体" w:hAnsi="宋体"/>
        </w:rPr>
        <w:t>小时内予以答复，逾期未答复的，视为同意承包人的暂停施工请求。</w:t>
      </w:r>
    </w:p>
    <w:p>
      <w:pPr>
        <w:pStyle w:val="253"/>
        <w:spacing w:before="120"/>
      </w:pPr>
      <w:bookmarkStart w:id="1811" w:name="_Toc480486984"/>
      <w:bookmarkStart w:id="1812" w:name="_Toc338944786"/>
      <w:bookmarkStart w:id="1813" w:name="_Toc152042471"/>
      <w:bookmarkStart w:id="1814" w:name="_Toc486580130"/>
      <w:bookmarkStart w:id="1815" w:name="_Toc179632711"/>
      <w:bookmarkStart w:id="1816" w:name="_Toc152045693"/>
      <w:bookmarkStart w:id="1817" w:name="_Toc480486812"/>
      <w:bookmarkStart w:id="1818" w:name="_Toc490222575"/>
      <w:bookmarkStart w:id="1819" w:name="_Toc342296344"/>
      <w:bookmarkStart w:id="1820" w:name="_Toc483668159"/>
      <w:bookmarkStart w:id="1821" w:name="_Toc489279941"/>
      <w:bookmarkStart w:id="1822" w:name="_Toc144974662"/>
      <w:bookmarkStart w:id="1823" w:name="_Toc10233566"/>
      <w:r>
        <w:t xml:space="preserve">12.4  </w:t>
      </w:r>
      <w:r>
        <w:rPr>
          <w:rFonts w:hint="eastAsia"/>
        </w:rPr>
        <w:t>暂停施工后的复工</w:t>
      </w:r>
      <w:bookmarkEnd w:id="1811"/>
      <w:bookmarkEnd w:id="1812"/>
      <w:bookmarkEnd w:id="1813"/>
      <w:bookmarkEnd w:id="1814"/>
      <w:bookmarkEnd w:id="1815"/>
      <w:bookmarkEnd w:id="1816"/>
      <w:bookmarkEnd w:id="1817"/>
      <w:bookmarkEnd w:id="1818"/>
      <w:bookmarkEnd w:id="1819"/>
      <w:bookmarkEnd w:id="1820"/>
      <w:bookmarkEnd w:id="1821"/>
      <w:bookmarkEnd w:id="1822"/>
      <w:bookmarkEnd w:id="1823"/>
    </w:p>
    <w:p>
      <w:pPr>
        <w:spacing w:line="360" w:lineRule="auto"/>
        <w:ind w:firstLine="420" w:firstLineChars="200"/>
        <w:rPr>
          <w:rFonts w:ascii="宋体"/>
        </w:rPr>
      </w:pPr>
      <w:r>
        <w:rPr>
          <w:rFonts w:ascii="宋体" w:hAnsi="宋体"/>
        </w:rPr>
        <w:t xml:space="preserve">12.4.1  </w:t>
      </w:r>
      <w:r>
        <w:rPr>
          <w:rFonts w:hint="eastAsia" w:ascii="宋体" w:hAnsi="宋体"/>
        </w:rPr>
        <w:t>暂停施工后，监理人应与发包人和承包人协商，采取有效措施积极消除暂停施工的影响。当工程具备复工条件时，监理人应立即向承包人发出复工通知。承包人收到复工通知后，应在监理人指定的期限内复工。</w:t>
      </w:r>
    </w:p>
    <w:p>
      <w:pPr>
        <w:spacing w:line="360" w:lineRule="auto"/>
        <w:ind w:firstLine="420" w:firstLineChars="200"/>
        <w:rPr>
          <w:rFonts w:ascii="宋体"/>
        </w:rPr>
      </w:pPr>
      <w:r>
        <w:rPr>
          <w:rFonts w:ascii="宋体" w:hAnsi="宋体"/>
        </w:rPr>
        <w:t xml:space="preserve">12.4.2  </w:t>
      </w:r>
      <w:r>
        <w:rPr>
          <w:rFonts w:hint="eastAsia" w:ascii="宋体" w:hAnsi="宋体"/>
        </w:rPr>
        <w:t>承包人无故拖延和拒绝复工的，由此增加的费用和工期延误由承包人承担；因发包人原因无法按时复工的，承包人有权要求发包人延长工期和（或）增加费用，并支付合理利润。</w:t>
      </w:r>
    </w:p>
    <w:p>
      <w:pPr>
        <w:spacing w:line="360" w:lineRule="auto"/>
        <w:ind w:firstLine="420" w:firstLineChars="200"/>
        <w:rPr>
          <w:rFonts w:ascii="宋体"/>
          <w:szCs w:val="21"/>
        </w:rPr>
      </w:pPr>
      <w:r>
        <w:rPr>
          <w:rFonts w:ascii="宋体" w:hAnsi="宋体"/>
        </w:rPr>
        <w:t xml:space="preserve">12.4.3  </w:t>
      </w:r>
      <w:r>
        <w:rPr>
          <w:rFonts w:hint="eastAsia" w:ascii="宋体" w:hAnsi="宋体"/>
          <w:szCs w:val="21"/>
        </w:rPr>
        <w:t>根据第</w:t>
      </w:r>
      <w:r>
        <w:rPr>
          <w:rFonts w:ascii="宋体" w:hAnsi="宋体"/>
          <w:szCs w:val="21"/>
        </w:rPr>
        <w:t>12.4.1</w:t>
      </w:r>
      <w:r>
        <w:rPr>
          <w:rFonts w:hint="eastAsia" w:ascii="宋体" w:hAnsi="宋体"/>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pPr>
        <w:spacing w:line="360" w:lineRule="auto"/>
        <w:ind w:firstLine="420" w:firstLineChars="200"/>
        <w:rPr>
          <w:rFonts w:ascii="宋体"/>
        </w:rPr>
      </w:pPr>
      <w:r>
        <w:rPr>
          <w:rFonts w:ascii="宋体" w:hAnsi="宋体"/>
        </w:rPr>
        <w:t xml:space="preserve">12.4.4  </w:t>
      </w:r>
      <w:r>
        <w:rPr>
          <w:rFonts w:hint="eastAsia" w:ascii="宋体" w:hAnsi="宋体"/>
        </w:rPr>
        <w:t>暂停施工持续</w:t>
      </w:r>
      <w:r>
        <w:rPr>
          <w:rFonts w:ascii="宋体" w:hAnsi="宋体"/>
        </w:rPr>
        <w:t>56</w:t>
      </w:r>
      <w:r>
        <w:rPr>
          <w:rFonts w:hint="eastAsia" w:ascii="宋体" w:hAnsi="宋体"/>
        </w:rPr>
        <w:t>天以上，按合同约定由承包人提供的材料和工程设备，由于暂停施工原因导致承包人在暂停施工前已经订购但被暂停运至施工现场的，发包人应按照承包人订购合同的约定支付相应的订购款项。</w:t>
      </w:r>
    </w:p>
    <w:p>
      <w:pPr>
        <w:pStyle w:val="253"/>
        <w:spacing w:before="120"/>
      </w:pPr>
      <w:bookmarkStart w:id="1824" w:name="_Toc152045694"/>
      <w:bookmarkStart w:id="1825" w:name="_Toc10233567"/>
      <w:bookmarkStart w:id="1826" w:name="_Toc483668160"/>
      <w:bookmarkStart w:id="1827" w:name="_Toc480486813"/>
      <w:bookmarkStart w:id="1828" w:name="_Toc486580131"/>
      <w:bookmarkStart w:id="1829" w:name="_Toc144974663"/>
      <w:bookmarkStart w:id="1830" w:name="_Toc342296345"/>
      <w:bookmarkStart w:id="1831" w:name="_Toc338944787"/>
      <w:bookmarkStart w:id="1832" w:name="_Toc480486985"/>
      <w:bookmarkStart w:id="1833" w:name="_Toc489279942"/>
      <w:bookmarkStart w:id="1834" w:name="_Toc179632712"/>
      <w:bookmarkStart w:id="1835" w:name="_Toc490222576"/>
      <w:bookmarkStart w:id="1836" w:name="_Toc152042472"/>
      <w:r>
        <w:t xml:space="preserve">12.5  </w:t>
      </w:r>
      <w:r>
        <w:rPr>
          <w:rFonts w:hint="eastAsia"/>
        </w:rPr>
        <w:t>暂停施工持续</w:t>
      </w:r>
      <w:r>
        <w:t>56</w:t>
      </w:r>
      <w:r>
        <w:rPr>
          <w:rFonts w:hint="eastAsia"/>
        </w:rPr>
        <w:t>天以上</w:t>
      </w:r>
      <w:bookmarkEnd w:id="1824"/>
      <w:bookmarkEnd w:id="1825"/>
      <w:bookmarkEnd w:id="1826"/>
      <w:bookmarkEnd w:id="1827"/>
      <w:bookmarkEnd w:id="1828"/>
      <w:bookmarkEnd w:id="1829"/>
      <w:bookmarkEnd w:id="1830"/>
      <w:bookmarkEnd w:id="1831"/>
      <w:bookmarkEnd w:id="1832"/>
      <w:bookmarkEnd w:id="1833"/>
      <w:bookmarkEnd w:id="1834"/>
      <w:bookmarkEnd w:id="1835"/>
      <w:bookmarkEnd w:id="1836"/>
    </w:p>
    <w:p>
      <w:pPr>
        <w:spacing w:line="360" w:lineRule="auto"/>
        <w:ind w:firstLine="411" w:firstLineChars="196"/>
        <w:rPr>
          <w:rFonts w:ascii="宋体"/>
        </w:rPr>
      </w:pPr>
      <w:r>
        <w:rPr>
          <w:rFonts w:ascii="宋体" w:hAnsi="宋体"/>
        </w:rPr>
        <w:t xml:space="preserve">12.5.1  </w:t>
      </w:r>
      <w:r>
        <w:rPr>
          <w:rFonts w:hint="eastAsia" w:ascii="宋体" w:hAnsi="宋体"/>
        </w:rPr>
        <w:t>监理人发出暂停施工指示后</w:t>
      </w:r>
      <w:r>
        <w:rPr>
          <w:rFonts w:ascii="宋体" w:hAnsi="宋体"/>
        </w:rPr>
        <w:t>56</w:t>
      </w:r>
      <w:r>
        <w:rPr>
          <w:rFonts w:hint="eastAsia" w:ascii="宋体" w:hAnsi="宋体"/>
        </w:rPr>
        <w:t>天内未向承包人发出复工通知，除了该项停工属于第</w:t>
      </w:r>
      <w:r>
        <w:rPr>
          <w:rFonts w:ascii="宋体" w:hAnsi="宋体"/>
        </w:rPr>
        <w:t>12.1</w:t>
      </w:r>
      <w:r>
        <w:rPr>
          <w:rFonts w:hint="eastAsia" w:ascii="宋体" w:hAnsi="宋体"/>
        </w:rPr>
        <w:t>款的情况外，承包人可向监理人提交书面通知，要求监理人在收到书面通知后</w:t>
      </w:r>
      <w:r>
        <w:rPr>
          <w:rFonts w:ascii="宋体" w:hAnsi="宋体"/>
        </w:rPr>
        <w:t>28</w:t>
      </w:r>
      <w:r>
        <w:rPr>
          <w:rFonts w:hint="eastAsia" w:ascii="宋体" w:hAnsi="宋体"/>
        </w:rPr>
        <w:t>天内准许已暂停施工的工程或其中一部分工程继续施工。如监理人逾期不予批准，则承包人可以通知监理人，将工程受影响的部分视为按第</w:t>
      </w:r>
      <w:r>
        <w:rPr>
          <w:rFonts w:ascii="宋体" w:hAnsi="宋体"/>
        </w:rPr>
        <w:t>15.1</w:t>
      </w:r>
      <w:r>
        <w:rPr>
          <w:rFonts w:hint="eastAsia" w:ascii="宋体" w:hAnsi="宋体"/>
        </w:rPr>
        <w:t>（</w:t>
      </w:r>
      <w:r>
        <w:rPr>
          <w:rFonts w:ascii="宋体" w:hAnsi="宋体"/>
        </w:rPr>
        <w:t>1</w:t>
      </w:r>
      <w:r>
        <w:rPr>
          <w:rFonts w:hint="eastAsia" w:ascii="宋体" w:hAnsi="宋体"/>
        </w:rPr>
        <w:t>）项的可取消工作。如暂停施工影响到整个工程，可视为发包人违约，应按第</w:t>
      </w:r>
      <w:r>
        <w:rPr>
          <w:rFonts w:ascii="宋体" w:hAnsi="宋体"/>
        </w:rPr>
        <w:t>22.2</w:t>
      </w:r>
      <w:r>
        <w:rPr>
          <w:rFonts w:hint="eastAsia" w:ascii="宋体" w:hAnsi="宋体"/>
        </w:rPr>
        <w:t>款的规定办理。</w:t>
      </w:r>
    </w:p>
    <w:p>
      <w:pPr>
        <w:tabs>
          <w:tab w:val="left" w:pos="1560"/>
        </w:tabs>
        <w:spacing w:line="360" w:lineRule="auto"/>
        <w:ind w:firstLine="420" w:firstLineChars="200"/>
        <w:rPr>
          <w:rFonts w:ascii="宋体"/>
        </w:rPr>
      </w:pPr>
      <w:r>
        <w:rPr>
          <w:rFonts w:ascii="宋体" w:hAnsi="宋体"/>
        </w:rPr>
        <w:t xml:space="preserve">12.5.2  </w:t>
      </w:r>
      <w:r>
        <w:rPr>
          <w:rFonts w:hint="eastAsia" w:ascii="宋体" w:hAnsi="宋体"/>
        </w:rPr>
        <w:t>由于承包人责任引起的暂停施工，如承包人在收到监理人暂停施工指示后</w:t>
      </w:r>
      <w:r>
        <w:rPr>
          <w:rFonts w:ascii="宋体" w:hAnsi="宋体"/>
        </w:rPr>
        <w:t>56</w:t>
      </w:r>
      <w:r>
        <w:rPr>
          <w:rFonts w:hint="eastAsia" w:ascii="宋体" w:hAnsi="宋体"/>
        </w:rPr>
        <w:t>天内不认真采取有效的复工措施，造成工期延误，可视为承包人违约，应按第</w:t>
      </w:r>
      <w:r>
        <w:rPr>
          <w:rFonts w:ascii="宋体" w:hAnsi="宋体"/>
        </w:rPr>
        <w:t>22.1</w:t>
      </w:r>
      <w:r>
        <w:rPr>
          <w:rFonts w:hint="eastAsia" w:ascii="宋体" w:hAnsi="宋体"/>
        </w:rPr>
        <w:t>款的规定办理。</w:t>
      </w:r>
    </w:p>
    <w:p>
      <w:pPr>
        <w:pStyle w:val="43"/>
        <w:spacing w:after="120"/>
      </w:pPr>
      <w:bookmarkStart w:id="1837" w:name="_Toc338944788"/>
      <w:bookmarkStart w:id="1838" w:name="_Toc480486814"/>
      <w:bookmarkStart w:id="1839" w:name="_Toc480486986"/>
      <w:bookmarkStart w:id="1840" w:name="_Toc489279943"/>
      <w:bookmarkStart w:id="1841" w:name="_Toc486580132"/>
      <w:bookmarkStart w:id="1842" w:name="_Toc342296346"/>
      <w:bookmarkStart w:id="1843" w:name="_Toc490222577"/>
      <w:bookmarkStart w:id="1844" w:name="_Toc10233568"/>
      <w:bookmarkStart w:id="1845" w:name="_Toc483668161"/>
      <w:r>
        <w:t>13.</w:t>
      </w:r>
      <w:r>
        <w:rPr>
          <w:rFonts w:hint="eastAsia"/>
        </w:rPr>
        <w:t>工程质量</w:t>
      </w:r>
      <w:bookmarkEnd w:id="1837"/>
      <w:bookmarkEnd w:id="1838"/>
      <w:bookmarkEnd w:id="1839"/>
      <w:bookmarkEnd w:id="1840"/>
      <w:bookmarkEnd w:id="1841"/>
      <w:bookmarkEnd w:id="1842"/>
      <w:bookmarkEnd w:id="1843"/>
      <w:bookmarkEnd w:id="1844"/>
      <w:bookmarkEnd w:id="1845"/>
    </w:p>
    <w:p>
      <w:pPr>
        <w:pStyle w:val="253"/>
        <w:spacing w:before="120"/>
      </w:pPr>
      <w:bookmarkStart w:id="1846" w:name="_Toc152042474"/>
      <w:bookmarkStart w:id="1847" w:name="_Toc489279944"/>
      <w:bookmarkStart w:id="1848" w:name="_Toc152045696"/>
      <w:bookmarkStart w:id="1849" w:name="_Toc480486987"/>
      <w:bookmarkStart w:id="1850" w:name="_Toc10233569"/>
      <w:bookmarkStart w:id="1851" w:name="_Toc480486815"/>
      <w:bookmarkStart w:id="1852" w:name="_Toc342296347"/>
      <w:bookmarkStart w:id="1853" w:name="_Toc338944789"/>
      <w:bookmarkStart w:id="1854" w:name="_Toc483668162"/>
      <w:bookmarkStart w:id="1855" w:name="_Toc486580133"/>
      <w:bookmarkStart w:id="1856" w:name="_Toc179632714"/>
      <w:bookmarkStart w:id="1857" w:name="_Toc144974665"/>
      <w:bookmarkStart w:id="1858" w:name="_Toc490222578"/>
      <w:r>
        <w:t xml:space="preserve">13.1  </w:t>
      </w:r>
      <w:r>
        <w:rPr>
          <w:rFonts w:hint="eastAsia"/>
        </w:rPr>
        <w:t>工程质量要求</w:t>
      </w:r>
      <w:bookmarkEnd w:id="1846"/>
      <w:bookmarkEnd w:id="1847"/>
      <w:bookmarkEnd w:id="1848"/>
      <w:bookmarkEnd w:id="1849"/>
      <w:bookmarkEnd w:id="1850"/>
      <w:bookmarkEnd w:id="1851"/>
      <w:bookmarkEnd w:id="1852"/>
      <w:bookmarkEnd w:id="1853"/>
      <w:bookmarkEnd w:id="1854"/>
      <w:bookmarkEnd w:id="1855"/>
      <w:bookmarkEnd w:id="1856"/>
      <w:bookmarkEnd w:id="1857"/>
      <w:bookmarkEnd w:id="1858"/>
    </w:p>
    <w:p>
      <w:pPr>
        <w:spacing w:line="360" w:lineRule="auto"/>
        <w:ind w:firstLine="420" w:firstLineChars="200"/>
        <w:rPr>
          <w:rFonts w:ascii="宋体"/>
        </w:rPr>
      </w:pPr>
      <w:r>
        <w:rPr>
          <w:rFonts w:ascii="宋体" w:hAnsi="宋体"/>
        </w:rPr>
        <w:t xml:space="preserve">13.1.1  </w:t>
      </w:r>
      <w:r>
        <w:rPr>
          <w:rFonts w:hint="eastAsia" w:ascii="宋体" w:hAnsi="宋体"/>
        </w:rPr>
        <w:t>工程质量验收按合同约定验收标准执行。</w:t>
      </w:r>
    </w:p>
    <w:p>
      <w:pPr>
        <w:spacing w:line="360" w:lineRule="auto"/>
        <w:ind w:firstLine="420" w:firstLineChars="200"/>
        <w:rPr>
          <w:rFonts w:ascii="宋体"/>
        </w:rPr>
      </w:pPr>
      <w:r>
        <w:rPr>
          <w:rFonts w:ascii="宋体" w:hAnsi="宋体"/>
        </w:rPr>
        <w:t xml:space="preserve">13.1.2  </w:t>
      </w:r>
      <w:r>
        <w:rPr>
          <w:rFonts w:hint="eastAsia" w:ascii="宋体" w:hAnsi="宋体"/>
        </w:rPr>
        <w:t>因承包人原因造成工程质量达不到合同约定验收标准的，监理人有权要求承包人返工直至符合合同要求为止，由此造成的费用增加和（或）工期延误由承包人承担。</w:t>
      </w:r>
    </w:p>
    <w:p>
      <w:pPr>
        <w:spacing w:line="360" w:lineRule="auto"/>
        <w:ind w:firstLine="420" w:firstLineChars="200"/>
        <w:rPr>
          <w:rFonts w:ascii="宋体"/>
        </w:rPr>
      </w:pPr>
      <w:r>
        <w:rPr>
          <w:rFonts w:ascii="宋体" w:hAnsi="宋体"/>
        </w:rPr>
        <w:t xml:space="preserve">13.1.3  </w:t>
      </w:r>
      <w:r>
        <w:rPr>
          <w:rFonts w:hint="eastAsia" w:ascii="宋体" w:hAnsi="宋体"/>
        </w:rPr>
        <w:t>因发包人原因造成工程质量达不到合同约定验收标准的，发包人应承担由于承包人返工造成的费用增加和（或）工期延误，并支付承包人合理利润。</w:t>
      </w:r>
    </w:p>
    <w:p>
      <w:pPr>
        <w:pStyle w:val="253"/>
        <w:spacing w:before="120"/>
      </w:pPr>
      <w:bookmarkStart w:id="1859" w:name="_Toc338944790"/>
      <w:bookmarkStart w:id="1860" w:name="_Toc480486988"/>
      <w:bookmarkStart w:id="1861" w:name="_Toc489279945"/>
      <w:bookmarkStart w:id="1862" w:name="_Toc10233570"/>
      <w:bookmarkStart w:id="1863" w:name="_Toc483668163"/>
      <w:bookmarkStart w:id="1864" w:name="_Toc490222579"/>
      <w:bookmarkStart w:id="1865" w:name="_Toc486580134"/>
      <w:bookmarkStart w:id="1866" w:name="_Toc342296348"/>
      <w:bookmarkStart w:id="1867" w:name="_Toc480486816"/>
      <w:r>
        <w:t xml:space="preserve">13.2  </w:t>
      </w:r>
      <w:r>
        <w:rPr>
          <w:rFonts w:hint="eastAsia"/>
        </w:rPr>
        <w:t>承包人的质量管理</w:t>
      </w:r>
      <w:bookmarkEnd w:id="1859"/>
      <w:bookmarkEnd w:id="1860"/>
      <w:bookmarkEnd w:id="1861"/>
      <w:bookmarkEnd w:id="1862"/>
      <w:bookmarkEnd w:id="1863"/>
      <w:bookmarkEnd w:id="1864"/>
      <w:bookmarkEnd w:id="1865"/>
      <w:bookmarkEnd w:id="1866"/>
      <w:bookmarkEnd w:id="1867"/>
    </w:p>
    <w:p>
      <w:pPr>
        <w:spacing w:line="360" w:lineRule="auto"/>
        <w:ind w:firstLine="420" w:firstLineChars="200"/>
        <w:rPr>
          <w:rFonts w:ascii="宋体"/>
        </w:rPr>
      </w:pPr>
      <w:r>
        <w:rPr>
          <w:rFonts w:ascii="宋体" w:hAnsi="宋体"/>
        </w:rPr>
        <w:t xml:space="preserve">13.2.1  </w:t>
      </w:r>
      <w:r>
        <w:rPr>
          <w:rFonts w:hint="eastAsia" w:ascii="宋体" w:hAnsi="宋体"/>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pPr>
        <w:spacing w:line="360" w:lineRule="auto"/>
        <w:ind w:firstLine="420" w:firstLineChars="200"/>
        <w:rPr>
          <w:rFonts w:ascii="宋体"/>
        </w:rPr>
      </w:pPr>
      <w:r>
        <w:rPr>
          <w:rFonts w:ascii="宋体" w:hAnsi="宋体"/>
        </w:rPr>
        <w:t xml:space="preserve">13.2.2  </w:t>
      </w:r>
      <w:r>
        <w:rPr>
          <w:rFonts w:hint="eastAsia" w:ascii="宋体" w:hAnsi="宋体"/>
        </w:rPr>
        <w:t>承包人应加强对施工人员的质量教育和技术培训，定期考核施工人员的劳动技能，严格执行规范和操作规程。</w:t>
      </w:r>
    </w:p>
    <w:p>
      <w:pPr>
        <w:pStyle w:val="253"/>
        <w:spacing w:before="120"/>
      </w:pPr>
      <w:bookmarkStart w:id="1868" w:name="_Toc483668164"/>
      <w:bookmarkStart w:id="1869" w:name="_Toc486580135"/>
      <w:bookmarkStart w:id="1870" w:name="_Toc480486817"/>
      <w:bookmarkStart w:id="1871" w:name="_Toc342296349"/>
      <w:bookmarkStart w:id="1872" w:name="_Toc10233571"/>
      <w:bookmarkStart w:id="1873" w:name="_Toc338944791"/>
      <w:bookmarkStart w:id="1874" w:name="_Toc489279946"/>
      <w:bookmarkStart w:id="1875" w:name="_Toc490222580"/>
      <w:bookmarkStart w:id="1876" w:name="_Toc480486989"/>
      <w:r>
        <w:t xml:space="preserve">13.3  </w:t>
      </w:r>
      <w:r>
        <w:rPr>
          <w:rFonts w:hint="eastAsia"/>
        </w:rPr>
        <w:t>承包人的质量检查</w:t>
      </w:r>
      <w:bookmarkEnd w:id="1868"/>
      <w:bookmarkEnd w:id="1869"/>
      <w:bookmarkEnd w:id="1870"/>
      <w:bookmarkEnd w:id="1871"/>
      <w:bookmarkEnd w:id="1872"/>
      <w:bookmarkEnd w:id="1873"/>
      <w:bookmarkEnd w:id="1874"/>
      <w:bookmarkEnd w:id="1875"/>
      <w:bookmarkEnd w:id="1876"/>
    </w:p>
    <w:p>
      <w:pPr>
        <w:spacing w:line="360" w:lineRule="auto"/>
        <w:ind w:firstLine="420" w:firstLineChars="200"/>
        <w:rPr>
          <w:rFonts w:ascii="宋体"/>
        </w:rPr>
      </w:pPr>
      <w:r>
        <w:rPr>
          <w:rFonts w:hint="eastAsia" w:ascii="宋体" w:hAnsi="宋体"/>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pPr>
        <w:pStyle w:val="253"/>
        <w:spacing w:before="120"/>
      </w:pPr>
      <w:bookmarkStart w:id="1877" w:name="_Toc480486990"/>
      <w:bookmarkStart w:id="1878" w:name="_Toc483668165"/>
      <w:bookmarkStart w:id="1879" w:name="_Toc490222581"/>
      <w:bookmarkStart w:id="1880" w:name="_Toc338944792"/>
      <w:bookmarkStart w:id="1881" w:name="_Toc480486818"/>
      <w:bookmarkStart w:id="1882" w:name="_Toc486580136"/>
      <w:bookmarkStart w:id="1883" w:name="_Toc10233572"/>
      <w:bookmarkStart w:id="1884" w:name="_Toc342296350"/>
      <w:bookmarkStart w:id="1885" w:name="_Toc489279947"/>
      <w:r>
        <w:t xml:space="preserve">13.4  </w:t>
      </w:r>
      <w:r>
        <w:rPr>
          <w:rFonts w:hint="eastAsia"/>
        </w:rPr>
        <w:t>监理人的质量检查</w:t>
      </w:r>
      <w:bookmarkEnd w:id="1877"/>
      <w:bookmarkEnd w:id="1878"/>
      <w:bookmarkEnd w:id="1879"/>
      <w:bookmarkEnd w:id="1880"/>
      <w:bookmarkEnd w:id="1881"/>
      <w:bookmarkEnd w:id="1882"/>
      <w:bookmarkEnd w:id="1883"/>
      <w:bookmarkEnd w:id="1884"/>
      <w:bookmarkEnd w:id="1885"/>
    </w:p>
    <w:p>
      <w:pPr>
        <w:spacing w:line="360" w:lineRule="auto"/>
        <w:ind w:firstLine="420" w:firstLineChars="200"/>
        <w:rPr>
          <w:rFonts w:ascii="宋体"/>
        </w:rPr>
      </w:pPr>
      <w:r>
        <w:rPr>
          <w:rFonts w:hint="eastAsia" w:ascii="宋体" w:hAnsi="宋体"/>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w:t>
      </w:r>
      <w:r>
        <w:rPr>
          <w:rFonts w:hint="eastAsia" w:ascii="黑体" w:hAnsi="黑体" w:eastAsia="黑体"/>
        </w:rPr>
        <w:t>见合同条款专用部分</w:t>
      </w:r>
      <w:r>
        <w:rPr>
          <w:rFonts w:hint="eastAsia" w:ascii="宋体" w:hAnsi="宋体"/>
        </w:rPr>
        <w:t>。</w:t>
      </w:r>
    </w:p>
    <w:p>
      <w:pPr>
        <w:pStyle w:val="253"/>
        <w:spacing w:before="120"/>
      </w:pPr>
      <w:bookmarkStart w:id="1886" w:name="_Toc483668166"/>
      <w:bookmarkStart w:id="1887" w:name="_Toc480486991"/>
      <w:bookmarkStart w:id="1888" w:name="_Toc10233573"/>
      <w:bookmarkStart w:id="1889" w:name="_Toc486580137"/>
      <w:bookmarkStart w:id="1890" w:name="_Toc490222582"/>
      <w:bookmarkStart w:id="1891" w:name="_Toc338944793"/>
      <w:bookmarkStart w:id="1892" w:name="_Toc489279948"/>
      <w:bookmarkStart w:id="1893" w:name="_Toc480486819"/>
      <w:bookmarkStart w:id="1894" w:name="_Toc342296351"/>
      <w:r>
        <w:t xml:space="preserve">13.5  </w:t>
      </w:r>
      <w:r>
        <w:rPr>
          <w:rFonts w:hint="eastAsia"/>
        </w:rPr>
        <w:t>工程隐蔽部位覆盖前的检查</w:t>
      </w:r>
      <w:bookmarkEnd w:id="1886"/>
      <w:bookmarkEnd w:id="1887"/>
      <w:bookmarkEnd w:id="1888"/>
      <w:bookmarkEnd w:id="1889"/>
      <w:bookmarkEnd w:id="1890"/>
      <w:bookmarkEnd w:id="1891"/>
      <w:bookmarkEnd w:id="1892"/>
      <w:bookmarkEnd w:id="1893"/>
      <w:bookmarkEnd w:id="1894"/>
    </w:p>
    <w:p>
      <w:pPr>
        <w:spacing w:line="360" w:lineRule="auto"/>
        <w:ind w:firstLine="420" w:firstLineChars="200"/>
        <w:rPr>
          <w:rFonts w:ascii="宋体"/>
        </w:rPr>
      </w:pPr>
      <w:r>
        <w:rPr>
          <w:rFonts w:ascii="宋体" w:hAnsi="宋体"/>
        </w:rPr>
        <w:t xml:space="preserve">13.5.1  </w:t>
      </w:r>
      <w:r>
        <w:rPr>
          <w:rFonts w:hint="eastAsia" w:ascii="宋体" w:hAnsi="宋体"/>
        </w:rPr>
        <w:t>通知监理人检查</w:t>
      </w:r>
    </w:p>
    <w:p>
      <w:pPr>
        <w:spacing w:line="360" w:lineRule="auto"/>
        <w:ind w:firstLine="420" w:firstLineChars="200"/>
        <w:rPr>
          <w:rFonts w:ascii="宋体"/>
        </w:rPr>
      </w:pPr>
      <w:r>
        <w:rPr>
          <w:rFonts w:hint="eastAsia" w:ascii="宋体" w:hAnsi="宋体"/>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szCs w:val="21"/>
        </w:rPr>
        <w:t>监理人对工程隐蔽部位进行检查的期限</w:t>
      </w:r>
      <w:r>
        <w:rPr>
          <w:rFonts w:hint="eastAsia" w:ascii="黑体" w:hAnsi="黑体" w:eastAsia="黑体"/>
        </w:rPr>
        <w:t>见合同条款专用部分。</w:t>
      </w:r>
    </w:p>
    <w:p>
      <w:pPr>
        <w:spacing w:line="360" w:lineRule="auto"/>
        <w:ind w:firstLine="420" w:firstLineChars="200"/>
        <w:rPr>
          <w:rFonts w:ascii="宋体"/>
        </w:rPr>
      </w:pPr>
      <w:r>
        <w:rPr>
          <w:rFonts w:ascii="宋体" w:hAnsi="宋体"/>
        </w:rPr>
        <w:t xml:space="preserve">13.5.2  </w:t>
      </w:r>
      <w:r>
        <w:rPr>
          <w:rFonts w:hint="eastAsia" w:ascii="宋体" w:hAnsi="宋体"/>
        </w:rPr>
        <w:t>监理人未到场检查</w:t>
      </w:r>
    </w:p>
    <w:p>
      <w:pPr>
        <w:spacing w:line="360" w:lineRule="auto"/>
        <w:ind w:firstLine="420" w:firstLineChars="200"/>
        <w:rPr>
          <w:rFonts w:ascii="宋体"/>
        </w:rPr>
      </w:pPr>
      <w:r>
        <w:rPr>
          <w:rFonts w:hint="eastAsia" w:ascii="宋体" w:hAnsi="宋体"/>
        </w:rPr>
        <w:t>监理人未按第</w:t>
      </w:r>
      <w:r>
        <w:rPr>
          <w:rFonts w:ascii="宋体" w:hAnsi="宋体"/>
        </w:rPr>
        <w:t>13.5.1</w:t>
      </w:r>
      <w:r>
        <w:rPr>
          <w:rFonts w:hint="eastAsia" w:ascii="宋体" w:hAnsi="宋体"/>
        </w:rPr>
        <w:t>项约定的时间进行检查的，除监理人另有指示外，承包人可自行完成覆盖工作，并作相应记录报送监理人，监理人应签字确认。监理人事后对检查记录有疑问的，可按第</w:t>
      </w:r>
      <w:r>
        <w:rPr>
          <w:rFonts w:ascii="宋体" w:hAnsi="宋体"/>
        </w:rPr>
        <w:t>13.5.3</w:t>
      </w:r>
      <w:r>
        <w:rPr>
          <w:rFonts w:hint="eastAsia" w:ascii="宋体" w:hAnsi="宋体"/>
        </w:rPr>
        <w:t>项的约定重新检查。</w:t>
      </w:r>
    </w:p>
    <w:p>
      <w:pPr>
        <w:spacing w:line="360" w:lineRule="auto"/>
        <w:ind w:firstLine="420" w:firstLineChars="200"/>
        <w:rPr>
          <w:rFonts w:ascii="宋体"/>
        </w:rPr>
      </w:pPr>
      <w:r>
        <w:rPr>
          <w:rFonts w:ascii="宋体" w:hAnsi="宋体"/>
        </w:rPr>
        <w:t xml:space="preserve">13.5.3  </w:t>
      </w:r>
      <w:r>
        <w:rPr>
          <w:rFonts w:hint="eastAsia" w:ascii="宋体" w:hAnsi="宋体"/>
        </w:rPr>
        <w:t>监理人重新检查</w:t>
      </w:r>
    </w:p>
    <w:p>
      <w:pPr>
        <w:spacing w:line="360" w:lineRule="auto"/>
        <w:ind w:firstLine="420" w:firstLineChars="200"/>
        <w:rPr>
          <w:rFonts w:ascii="宋体"/>
        </w:rPr>
      </w:pPr>
      <w:r>
        <w:rPr>
          <w:rFonts w:hint="eastAsia" w:ascii="宋体" w:hAnsi="宋体"/>
        </w:rPr>
        <w:t>承包人按第</w:t>
      </w:r>
      <w:r>
        <w:rPr>
          <w:rFonts w:ascii="宋体" w:hAnsi="宋体"/>
        </w:rPr>
        <w:t>13.5.1</w:t>
      </w:r>
      <w:r>
        <w:rPr>
          <w:rFonts w:hint="eastAsia" w:ascii="宋体" w:hAnsi="宋体"/>
        </w:rPr>
        <w:t>项或第</w:t>
      </w:r>
      <w:r>
        <w:rPr>
          <w:rFonts w:ascii="宋体" w:hAnsi="宋体"/>
        </w:rPr>
        <w:t>13.5.2</w:t>
      </w:r>
      <w:r>
        <w:rPr>
          <w:rFonts w:hint="eastAsia" w:ascii="宋体" w:hAnsi="宋体"/>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spacing w:line="360" w:lineRule="auto"/>
        <w:ind w:firstLine="420" w:firstLineChars="200"/>
        <w:rPr>
          <w:rFonts w:ascii="宋体"/>
        </w:rPr>
      </w:pPr>
      <w:r>
        <w:rPr>
          <w:rFonts w:ascii="宋体" w:hAnsi="宋体"/>
        </w:rPr>
        <w:t xml:space="preserve">13.5.4  </w:t>
      </w:r>
      <w:r>
        <w:rPr>
          <w:rFonts w:hint="eastAsia" w:ascii="宋体" w:hAnsi="宋体"/>
        </w:rPr>
        <w:t>承包人私自覆盖</w:t>
      </w:r>
    </w:p>
    <w:p>
      <w:pPr>
        <w:spacing w:line="360" w:lineRule="auto"/>
        <w:ind w:firstLine="420" w:firstLineChars="200"/>
        <w:rPr>
          <w:rFonts w:ascii="宋体"/>
        </w:rPr>
      </w:pPr>
      <w:r>
        <w:rPr>
          <w:rFonts w:hint="eastAsia" w:ascii="宋体" w:hAnsi="宋体"/>
        </w:rPr>
        <w:t>承包人未通知监理人到场检查，私自将工程隐蔽部位覆盖的，监理人有权指示承包人钻孔探测或揭开检查，由此增加的费用和（或）工期延误由承包人承担。</w:t>
      </w:r>
    </w:p>
    <w:p>
      <w:pPr>
        <w:pStyle w:val="253"/>
        <w:spacing w:before="120"/>
      </w:pPr>
      <w:bookmarkStart w:id="1895" w:name="_Toc480486992"/>
      <w:bookmarkStart w:id="1896" w:name="_Toc342296352"/>
      <w:bookmarkStart w:id="1897" w:name="_Toc179632719"/>
      <w:bookmarkStart w:id="1898" w:name="_Toc486580138"/>
      <w:bookmarkStart w:id="1899" w:name="_Toc489279949"/>
      <w:bookmarkStart w:id="1900" w:name="_Toc480486820"/>
      <w:bookmarkStart w:id="1901" w:name="_Toc152045701"/>
      <w:bookmarkStart w:id="1902" w:name="_Toc152042479"/>
      <w:bookmarkStart w:id="1903" w:name="_Toc483668167"/>
      <w:bookmarkStart w:id="1904" w:name="_Toc338944794"/>
      <w:bookmarkStart w:id="1905" w:name="_Toc144974670"/>
      <w:bookmarkStart w:id="1906" w:name="_Toc490222583"/>
      <w:bookmarkStart w:id="1907" w:name="_Toc10233574"/>
      <w:r>
        <w:t xml:space="preserve">13.6  </w:t>
      </w:r>
      <w:r>
        <w:rPr>
          <w:rFonts w:hint="eastAsia"/>
        </w:rPr>
        <w:t>清除不合格工程</w:t>
      </w:r>
      <w:bookmarkEnd w:id="1895"/>
      <w:bookmarkEnd w:id="1896"/>
      <w:bookmarkEnd w:id="1897"/>
      <w:bookmarkEnd w:id="1898"/>
      <w:bookmarkEnd w:id="1899"/>
      <w:bookmarkEnd w:id="1900"/>
      <w:bookmarkEnd w:id="1901"/>
      <w:bookmarkEnd w:id="1902"/>
      <w:bookmarkEnd w:id="1903"/>
      <w:bookmarkEnd w:id="1904"/>
      <w:bookmarkEnd w:id="1905"/>
      <w:bookmarkEnd w:id="1906"/>
      <w:bookmarkEnd w:id="1907"/>
    </w:p>
    <w:p>
      <w:pPr>
        <w:spacing w:line="360" w:lineRule="auto"/>
        <w:ind w:firstLine="420" w:firstLineChars="200"/>
        <w:rPr>
          <w:rFonts w:ascii="宋体"/>
        </w:rPr>
      </w:pPr>
      <w:r>
        <w:rPr>
          <w:rFonts w:ascii="宋体" w:hAnsi="宋体"/>
        </w:rPr>
        <w:t xml:space="preserve">13.6.1  </w:t>
      </w:r>
      <w:r>
        <w:rPr>
          <w:rFonts w:hint="eastAsia" w:ascii="宋体" w:hAnsi="宋体"/>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spacing w:line="360" w:lineRule="auto"/>
        <w:ind w:firstLine="420" w:firstLineChars="200"/>
        <w:rPr>
          <w:rFonts w:ascii="宋体"/>
        </w:rPr>
      </w:pPr>
      <w:r>
        <w:rPr>
          <w:rFonts w:ascii="宋体" w:hAnsi="宋体"/>
        </w:rPr>
        <w:t xml:space="preserve">13.6.2  </w:t>
      </w:r>
      <w:r>
        <w:rPr>
          <w:rFonts w:hint="eastAsia" w:ascii="宋体" w:hAnsi="宋体"/>
        </w:rPr>
        <w:t>由于发包人提供的材料或工程设备不合格造成的工程不合格，需要承包人采取措施补救的，发包人应承担由此增加的费用和（或）工期延误，并支付承包人合理利润。</w:t>
      </w:r>
    </w:p>
    <w:p>
      <w:pPr>
        <w:pStyle w:val="253"/>
        <w:spacing w:before="120"/>
      </w:pPr>
      <w:bookmarkStart w:id="1908" w:name="_Toc486580139"/>
      <w:bookmarkStart w:id="1909" w:name="_Toc342296472"/>
      <w:bookmarkStart w:id="1910" w:name="_Toc10233575"/>
      <w:bookmarkStart w:id="1911" w:name="_Toc480486821"/>
      <w:bookmarkStart w:id="1912" w:name="_Toc476479360"/>
      <w:bookmarkStart w:id="1913" w:name="_Toc490222584"/>
      <w:bookmarkStart w:id="1914" w:name="_Toc483668168"/>
      <w:bookmarkStart w:id="1915" w:name="_Toc489279950"/>
      <w:bookmarkStart w:id="1916" w:name="_Toc241459713"/>
      <w:bookmarkStart w:id="1917" w:name="_Toc480486993"/>
      <w:r>
        <w:t xml:space="preserve">13.7  </w:t>
      </w:r>
      <w:r>
        <w:rPr>
          <w:rFonts w:hint="eastAsia"/>
        </w:rPr>
        <w:t>质量争议</w:t>
      </w:r>
      <w:bookmarkEnd w:id="1908"/>
      <w:bookmarkEnd w:id="1909"/>
      <w:bookmarkEnd w:id="1910"/>
      <w:bookmarkEnd w:id="1911"/>
      <w:bookmarkEnd w:id="1912"/>
      <w:bookmarkEnd w:id="1913"/>
      <w:bookmarkEnd w:id="1914"/>
      <w:bookmarkEnd w:id="1915"/>
      <w:bookmarkEnd w:id="1916"/>
      <w:bookmarkEnd w:id="1917"/>
    </w:p>
    <w:p>
      <w:pPr>
        <w:spacing w:line="360" w:lineRule="auto"/>
        <w:ind w:firstLine="420" w:firstLineChars="200"/>
        <w:rPr>
          <w:rFonts w:ascii="宋体"/>
        </w:rPr>
      </w:pPr>
      <w:r>
        <w:rPr>
          <w:rFonts w:hint="eastAsia" w:ascii="宋体" w:hAnsi="宋体"/>
          <w:szCs w:val="21"/>
        </w:rPr>
        <w:t>发包人和承包人对工程质量有争议的，除可按第</w:t>
      </w:r>
      <w:r>
        <w:rPr>
          <w:rFonts w:ascii="宋体" w:hAnsi="宋体"/>
          <w:szCs w:val="21"/>
        </w:rPr>
        <w:t>24</w:t>
      </w:r>
      <w:r>
        <w:rPr>
          <w:rFonts w:hint="eastAsia" w:ascii="宋体" w:hAnsi="宋体"/>
          <w:szCs w:val="21"/>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pPr>
        <w:pStyle w:val="43"/>
        <w:spacing w:after="120"/>
      </w:pPr>
      <w:bookmarkStart w:id="1918" w:name="_Toc480486822"/>
      <w:bookmarkStart w:id="1919" w:name="_Toc480486994"/>
      <w:bookmarkStart w:id="1920" w:name="_Toc342296353"/>
      <w:bookmarkStart w:id="1921" w:name="_Toc152042480"/>
      <w:bookmarkStart w:id="1922" w:name="_Toc10233576"/>
      <w:bookmarkStart w:id="1923" w:name="_Toc338944795"/>
      <w:bookmarkStart w:id="1924" w:name="_Toc490222585"/>
      <w:bookmarkStart w:id="1925" w:name="_Toc483668169"/>
      <w:bookmarkStart w:id="1926" w:name="_Toc489279951"/>
      <w:bookmarkStart w:id="1927" w:name="_Toc486580140"/>
      <w:bookmarkStart w:id="1928" w:name="_Toc152045702"/>
      <w:bookmarkStart w:id="1929" w:name="_Toc144974671"/>
      <w:bookmarkStart w:id="1930" w:name="_Toc179632720"/>
      <w:r>
        <w:t>14.</w:t>
      </w:r>
      <w:r>
        <w:rPr>
          <w:rFonts w:hint="eastAsia"/>
        </w:rPr>
        <w:t>试验和检验</w:t>
      </w:r>
      <w:bookmarkEnd w:id="1918"/>
      <w:bookmarkEnd w:id="1919"/>
      <w:bookmarkEnd w:id="1920"/>
      <w:bookmarkEnd w:id="1921"/>
      <w:bookmarkEnd w:id="1922"/>
      <w:bookmarkEnd w:id="1923"/>
      <w:bookmarkEnd w:id="1924"/>
      <w:bookmarkEnd w:id="1925"/>
      <w:bookmarkEnd w:id="1926"/>
      <w:bookmarkEnd w:id="1927"/>
      <w:bookmarkEnd w:id="1928"/>
      <w:bookmarkEnd w:id="1929"/>
      <w:bookmarkEnd w:id="1930"/>
    </w:p>
    <w:p>
      <w:pPr>
        <w:pStyle w:val="253"/>
        <w:spacing w:before="120"/>
      </w:pPr>
      <w:bookmarkStart w:id="1931" w:name="_Toc338944796"/>
      <w:bookmarkStart w:id="1932" w:name="_Toc480486995"/>
      <w:bookmarkStart w:id="1933" w:name="_Toc10233577"/>
      <w:bookmarkStart w:id="1934" w:name="_Toc144974672"/>
      <w:bookmarkStart w:id="1935" w:name="_Toc483668170"/>
      <w:bookmarkStart w:id="1936" w:name="_Toc179632721"/>
      <w:bookmarkStart w:id="1937" w:name="_Toc342296354"/>
      <w:bookmarkStart w:id="1938" w:name="_Toc480486823"/>
      <w:bookmarkStart w:id="1939" w:name="_Toc489279952"/>
      <w:bookmarkStart w:id="1940" w:name="_Toc152042481"/>
      <w:bookmarkStart w:id="1941" w:name="_Toc490222586"/>
      <w:bookmarkStart w:id="1942" w:name="_Toc486580141"/>
      <w:bookmarkStart w:id="1943" w:name="_Toc152045703"/>
      <w:r>
        <w:t xml:space="preserve">14.1  </w:t>
      </w:r>
      <w:r>
        <w:rPr>
          <w:rFonts w:hint="eastAsia"/>
        </w:rPr>
        <w:t>材料、工程设备和工程的试验和检验</w:t>
      </w:r>
      <w:bookmarkEnd w:id="1931"/>
      <w:bookmarkEnd w:id="1932"/>
      <w:bookmarkEnd w:id="1933"/>
      <w:bookmarkEnd w:id="1934"/>
      <w:bookmarkEnd w:id="1935"/>
      <w:bookmarkEnd w:id="1936"/>
      <w:bookmarkEnd w:id="1937"/>
      <w:bookmarkEnd w:id="1938"/>
      <w:bookmarkEnd w:id="1939"/>
      <w:bookmarkEnd w:id="1940"/>
      <w:bookmarkEnd w:id="1941"/>
      <w:bookmarkEnd w:id="1942"/>
      <w:bookmarkEnd w:id="1943"/>
    </w:p>
    <w:p>
      <w:pPr>
        <w:spacing w:line="360" w:lineRule="auto"/>
        <w:ind w:firstLine="420" w:firstLineChars="200"/>
        <w:rPr>
          <w:rFonts w:ascii="宋体"/>
        </w:rPr>
      </w:pPr>
      <w:r>
        <w:rPr>
          <w:rFonts w:ascii="宋体" w:hAnsi="宋体"/>
        </w:rPr>
        <w:t xml:space="preserve">14.1.1  </w:t>
      </w:r>
      <w:r>
        <w:rPr>
          <w:rFonts w:hint="eastAsia" w:ascii="宋体" w:hAnsi="宋体"/>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20" w:firstLineChars="200"/>
        <w:rPr>
          <w:rFonts w:ascii="宋体"/>
        </w:rPr>
      </w:pPr>
      <w:r>
        <w:rPr>
          <w:rFonts w:ascii="宋体" w:hAnsi="宋体"/>
        </w:rPr>
        <w:t xml:space="preserve">14.1.2  </w:t>
      </w:r>
      <w:r>
        <w:rPr>
          <w:rFonts w:hint="eastAsia" w:ascii="宋体" w:hAnsi="宋体"/>
        </w:rPr>
        <w:t>监理人未按合同约定派员参加试验和检验的，除监理人另有指示外，承包人可自行试验和检验，并应立即将试验和检验结果报送监理人，监理人应签字确认。</w:t>
      </w:r>
    </w:p>
    <w:p>
      <w:pPr>
        <w:spacing w:line="360" w:lineRule="auto"/>
        <w:ind w:firstLine="420" w:firstLineChars="200"/>
        <w:rPr>
          <w:rFonts w:ascii="宋体"/>
        </w:rPr>
      </w:pPr>
      <w:r>
        <w:rPr>
          <w:rFonts w:ascii="宋体" w:hAnsi="宋体"/>
        </w:rPr>
        <w:t xml:space="preserve">14.1.3  </w:t>
      </w:r>
      <w:r>
        <w:rPr>
          <w:rFonts w:hint="eastAsia" w:ascii="宋体" w:hAnsi="宋体"/>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pStyle w:val="253"/>
        <w:spacing w:before="120"/>
      </w:pPr>
      <w:bookmarkStart w:id="1944" w:name="_Toc486580142"/>
      <w:bookmarkStart w:id="1945" w:name="_Toc152042482"/>
      <w:bookmarkStart w:id="1946" w:name="_Toc480486824"/>
      <w:bookmarkStart w:id="1947" w:name="_Toc10233578"/>
      <w:bookmarkStart w:id="1948" w:name="_Toc480486996"/>
      <w:bookmarkStart w:id="1949" w:name="_Toc483668171"/>
      <w:bookmarkStart w:id="1950" w:name="_Toc490222587"/>
      <w:bookmarkStart w:id="1951" w:name="_Toc179632722"/>
      <w:bookmarkStart w:id="1952" w:name="_Toc489279953"/>
      <w:bookmarkStart w:id="1953" w:name="_Toc338944797"/>
      <w:bookmarkStart w:id="1954" w:name="_Toc342296355"/>
      <w:bookmarkStart w:id="1955" w:name="_Toc152045704"/>
      <w:bookmarkStart w:id="1956" w:name="_Toc144974673"/>
      <w:r>
        <w:t xml:space="preserve">14.2  </w:t>
      </w:r>
      <w:r>
        <w:rPr>
          <w:rFonts w:hint="eastAsia"/>
        </w:rPr>
        <w:t>现场材料试验</w:t>
      </w:r>
      <w:bookmarkEnd w:id="1944"/>
      <w:bookmarkEnd w:id="1945"/>
      <w:bookmarkEnd w:id="1946"/>
      <w:bookmarkEnd w:id="1947"/>
      <w:bookmarkEnd w:id="1948"/>
      <w:bookmarkEnd w:id="1949"/>
      <w:bookmarkEnd w:id="1950"/>
      <w:bookmarkEnd w:id="1951"/>
      <w:bookmarkEnd w:id="1952"/>
      <w:bookmarkEnd w:id="1953"/>
      <w:bookmarkEnd w:id="1954"/>
      <w:bookmarkEnd w:id="1955"/>
      <w:bookmarkEnd w:id="1956"/>
    </w:p>
    <w:p>
      <w:pPr>
        <w:spacing w:line="360" w:lineRule="auto"/>
        <w:ind w:firstLine="420" w:firstLineChars="200"/>
        <w:rPr>
          <w:rFonts w:ascii="宋体"/>
        </w:rPr>
      </w:pPr>
      <w:r>
        <w:rPr>
          <w:rFonts w:ascii="宋体" w:hAnsi="宋体"/>
        </w:rPr>
        <w:t xml:space="preserve">14.2.1  </w:t>
      </w:r>
      <w:r>
        <w:rPr>
          <w:rFonts w:hint="eastAsia" w:ascii="宋体" w:hAnsi="宋体"/>
        </w:rPr>
        <w:t>承包人根据合同约定或监理人指示进行的现场材料试验，应由承包人提供试验场所、试验人员、试验设备器材以及其他必要的试验条件。</w:t>
      </w:r>
    </w:p>
    <w:p>
      <w:pPr>
        <w:spacing w:line="360" w:lineRule="auto"/>
        <w:ind w:firstLine="420" w:firstLineChars="200"/>
        <w:rPr>
          <w:rFonts w:ascii="宋体"/>
        </w:rPr>
      </w:pPr>
      <w:r>
        <w:rPr>
          <w:rFonts w:ascii="宋体" w:hAnsi="宋体"/>
        </w:rPr>
        <w:t xml:space="preserve">14.2.2  </w:t>
      </w:r>
      <w:r>
        <w:rPr>
          <w:rFonts w:hint="eastAsia" w:ascii="宋体" w:hAnsi="宋体"/>
        </w:rPr>
        <w:t>监理人在必要时可以使用承包人的试验场所、试验设备器材以及其他试验条件，进行以工程质量检查为目的的复核性材料试验，承包人应予以协助。</w:t>
      </w:r>
    </w:p>
    <w:p>
      <w:pPr>
        <w:pStyle w:val="253"/>
        <w:spacing w:before="120"/>
      </w:pPr>
      <w:bookmarkStart w:id="1957" w:name="_Toc152042483"/>
      <w:bookmarkStart w:id="1958" w:name="_Toc144974674"/>
      <w:bookmarkStart w:id="1959" w:name="_Toc342296356"/>
      <w:bookmarkStart w:id="1960" w:name="_Toc489279954"/>
      <w:bookmarkStart w:id="1961" w:name="_Toc338944798"/>
      <w:bookmarkStart w:id="1962" w:name="_Toc490222588"/>
      <w:bookmarkStart w:id="1963" w:name="_Toc480486825"/>
      <w:bookmarkStart w:id="1964" w:name="_Toc483668172"/>
      <w:bookmarkStart w:id="1965" w:name="_Toc179632723"/>
      <w:bookmarkStart w:id="1966" w:name="_Toc10233579"/>
      <w:bookmarkStart w:id="1967" w:name="_Toc152045705"/>
      <w:bookmarkStart w:id="1968" w:name="_Toc486580143"/>
      <w:bookmarkStart w:id="1969" w:name="_Toc480486997"/>
      <w:r>
        <w:t xml:space="preserve">14.3  </w:t>
      </w:r>
      <w:r>
        <w:rPr>
          <w:rFonts w:hint="eastAsia"/>
        </w:rPr>
        <w:t>现场工艺试验</w:t>
      </w:r>
      <w:bookmarkEnd w:id="1957"/>
      <w:bookmarkEnd w:id="1958"/>
      <w:bookmarkEnd w:id="1959"/>
      <w:bookmarkEnd w:id="1960"/>
      <w:bookmarkEnd w:id="1961"/>
      <w:bookmarkEnd w:id="1962"/>
      <w:bookmarkEnd w:id="1963"/>
      <w:bookmarkEnd w:id="1964"/>
      <w:bookmarkEnd w:id="1965"/>
      <w:bookmarkEnd w:id="1966"/>
      <w:bookmarkEnd w:id="1967"/>
      <w:bookmarkEnd w:id="1968"/>
      <w:bookmarkEnd w:id="1969"/>
    </w:p>
    <w:p>
      <w:pPr>
        <w:spacing w:line="360" w:lineRule="auto"/>
        <w:ind w:firstLine="420" w:firstLineChars="200"/>
        <w:rPr>
          <w:rFonts w:ascii="宋体"/>
        </w:rPr>
      </w:pPr>
      <w:r>
        <w:rPr>
          <w:rFonts w:hint="eastAsia" w:ascii="宋体" w:hAnsi="宋体"/>
        </w:rPr>
        <w:t>承包人应按合同约定或监理人指示进行现场工艺试验。对大型的现场工艺试验，监理人认为必要时，应由承包人根据监理人提出的工艺试验要求，编制工艺试验措施计划，报送监理人审批。</w:t>
      </w:r>
    </w:p>
    <w:p>
      <w:pPr>
        <w:pStyle w:val="43"/>
        <w:spacing w:after="120"/>
      </w:pPr>
      <w:bookmarkStart w:id="1970" w:name="_Toc342296357"/>
      <w:bookmarkStart w:id="1971" w:name="_Toc489279955"/>
      <w:bookmarkStart w:id="1972" w:name="_Toc490222589"/>
      <w:bookmarkStart w:id="1973" w:name="_Toc10233580"/>
      <w:bookmarkStart w:id="1974" w:name="_Toc480486826"/>
      <w:bookmarkStart w:id="1975" w:name="_Toc486580144"/>
      <w:bookmarkStart w:id="1976" w:name="_Toc480486998"/>
      <w:bookmarkStart w:id="1977" w:name="_Toc338944799"/>
      <w:bookmarkStart w:id="1978" w:name="_Toc483668173"/>
      <w:r>
        <w:t>15.</w:t>
      </w:r>
      <w:r>
        <w:rPr>
          <w:rFonts w:hint="eastAsia"/>
        </w:rPr>
        <w:t>变更</w:t>
      </w:r>
      <w:bookmarkEnd w:id="1970"/>
      <w:bookmarkEnd w:id="1971"/>
      <w:bookmarkEnd w:id="1972"/>
      <w:bookmarkEnd w:id="1973"/>
      <w:bookmarkEnd w:id="1974"/>
      <w:bookmarkEnd w:id="1975"/>
      <w:bookmarkEnd w:id="1976"/>
      <w:bookmarkEnd w:id="1977"/>
      <w:bookmarkEnd w:id="1978"/>
    </w:p>
    <w:p>
      <w:pPr>
        <w:pStyle w:val="253"/>
        <w:spacing w:before="120"/>
      </w:pPr>
      <w:bookmarkStart w:id="1979" w:name="_Toc480486999"/>
      <w:bookmarkStart w:id="1980" w:name="_Toc342296358"/>
      <w:bookmarkStart w:id="1981" w:name="_Toc10233581"/>
      <w:bookmarkStart w:id="1982" w:name="_Toc483668174"/>
      <w:bookmarkStart w:id="1983" w:name="_Toc480486827"/>
      <w:bookmarkStart w:id="1984" w:name="_Toc490222590"/>
      <w:bookmarkStart w:id="1985" w:name="_Toc486580145"/>
      <w:bookmarkStart w:id="1986" w:name="_Toc489279956"/>
      <w:bookmarkStart w:id="1987" w:name="_Toc338944800"/>
      <w:r>
        <w:t xml:space="preserve">15.1  </w:t>
      </w:r>
      <w:r>
        <w:rPr>
          <w:rFonts w:hint="eastAsia"/>
        </w:rPr>
        <w:t>变更的范围和内容</w:t>
      </w:r>
      <w:bookmarkEnd w:id="1979"/>
      <w:bookmarkEnd w:id="1980"/>
      <w:bookmarkEnd w:id="1981"/>
      <w:bookmarkEnd w:id="1982"/>
      <w:bookmarkEnd w:id="1983"/>
      <w:bookmarkEnd w:id="1984"/>
      <w:bookmarkEnd w:id="1985"/>
      <w:bookmarkEnd w:id="1986"/>
      <w:bookmarkEnd w:id="1987"/>
    </w:p>
    <w:p>
      <w:pPr>
        <w:spacing w:line="360" w:lineRule="auto"/>
        <w:ind w:firstLine="420" w:firstLineChars="200"/>
        <w:rPr>
          <w:rFonts w:ascii="宋体"/>
        </w:rPr>
      </w:pPr>
      <w:r>
        <w:rPr>
          <w:rFonts w:ascii="宋体" w:hAnsi="宋体"/>
        </w:rPr>
        <w:t xml:space="preserve">15.1.1  </w:t>
      </w:r>
      <w:r>
        <w:rPr>
          <w:rFonts w:hint="eastAsia" w:ascii="宋体" w:hAnsi="宋体"/>
        </w:rPr>
        <w:t>在履行合同中发生以下情形之一，应按照本条规定进行变更。</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）取消合同中任何一项工作，但被取消的工作不能转由发包人或其他人实施；</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）改变合同中任何一项工作的质量或其他特性；</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）改变合同工程的基线、标高、位置或尺寸；</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）改变合同中任何一项工作的施工时间或改变已批准的施工工艺或顺序；</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）为完成工程需要追加的额外工作；</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w:t>
      </w:r>
      <w:r>
        <w:rPr>
          <w:rFonts w:hint="eastAsia" w:ascii="宋体" w:hAnsi="宋体"/>
          <w:szCs w:val="21"/>
        </w:rPr>
        <w:t>变更的其他情形</w:t>
      </w:r>
      <w:r>
        <w:rPr>
          <w:rFonts w:hint="eastAsia" w:ascii="黑体" w:hAnsi="黑体" w:eastAsia="黑体"/>
        </w:rPr>
        <w:t>见合同条款专用部分。</w:t>
      </w:r>
    </w:p>
    <w:p>
      <w:pPr>
        <w:spacing w:line="360" w:lineRule="auto"/>
        <w:ind w:firstLine="420" w:firstLineChars="200"/>
        <w:rPr>
          <w:rFonts w:ascii="宋体"/>
          <w:szCs w:val="21"/>
        </w:rPr>
      </w:pPr>
      <w:r>
        <w:rPr>
          <w:rFonts w:ascii="宋体" w:hAnsi="宋体"/>
          <w:szCs w:val="21"/>
        </w:rPr>
        <w:t xml:space="preserve">15.1.2  </w:t>
      </w:r>
      <w:r>
        <w:rPr>
          <w:rFonts w:hint="eastAsia" w:ascii="宋体" w:hAnsi="宋体"/>
          <w:szCs w:val="21"/>
        </w:rPr>
        <w:t>发包人违背第</w:t>
      </w:r>
      <w:r>
        <w:rPr>
          <w:rFonts w:ascii="宋体" w:hAnsi="宋体"/>
          <w:szCs w:val="21"/>
        </w:rPr>
        <w:t>15.1</w:t>
      </w:r>
      <w:r>
        <w:rPr>
          <w:rFonts w:hint="eastAsia" w:ascii="宋体" w:hAnsi="宋体"/>
          <w:szCs w:val="21"/>
        </w:rPr>
        <w:t>（</w:t>
      </w:r>
      <w:r>
        <w:rPr>
          <w:rFonts w:ascii="宋体" w:hAnsi="宋体"/>
          <w:szCs w:val="21"/>
        </w:rPr>
        <w:t>1</w:t>
      </w:r>
      <w:r>
        <w:rPr>
          <w:rFonts w:hint="eastAsia" w:ascii="宋体" w:hAnsi="宋体"/>
          <w:szCs w:val="21"/>
        </w:rPr>
        <w:t>）目的约定，将被取消的合同中的工作转由发包人或其他人实施的，承包人可向监理人发出通知，要求发包人采取有效措施纠正违约行为，发包人在监理人收到承包人通知后</w:t>
      </w:r>
      <w:r>
        <w:rPr>
          <w:rFonts w:ascii="宋体" w:hAnsi="宋体"/>
          <w:szCs w:val="21"/>
        </w:rPr>
        <w:t>28</w:t>
      </w:r>
      <w:r>
        <w:rPr>
          <w:rFonts w:hint="eastAsia" w:ascii="宋体" w:hAnsi="宋体"/>
          <w:szCs w:val="21"/>
        </w:rPr>
        <w:t>天内仍不纠正违约行为的，应当赔偿承包人损失（包括合理的利润）并承担由此引起的其他责任。承包人应当按第</w:t>
      </w:r>
      <w:r>
        <w:rPr>
          <w:rFonts w:ascii="宋体" w:hAnsi="宋体"/>
          <w:szCs w:val="21"/>
        </w:rPr>
        <w:t>23.1</w:t>
      </w:r>
      <w:r>
        <w:rPr>
          <w:rFonts w:hint="eastAsia" w:ascii="宋体" w:hAnsi="宋体"/>
          <w:szCs w:val="21"/>
        </w:rPr>
        <w:t>（</w:t>
      </w:r>
      <w:r>
        <w:rPr>
          <w:rFonts w:ascii="宋体" w:hAnsi="宋体"/>
          <w:szCs w:val="21"/>
        </w:rPr>
        <w:t>1</w:t>
      </w:r>
      <w:r>
        <w:rPr>
          <w:rFonts w:hint="eastAsia" w:ascii="宋体" w:hAnsi="宋体"/>
          <w:szCs w:val="21"/>
        </w:rPr>
        <w:t>）项的约定，在上述</w:t>
      </w:r>
      <w:r>
        <w:rPr>
          <w:rFonts w:ascii="宋体" w:hAnsi="宋体"/>
          <w:szCs w:val="21"/>
        </w:rPr>
        <w:t>28</w:t>
      </w:r>
      <w:r>
        <w:rPr>
          <w:rFonts w:hint="eastAsia" w:ascii="宋体" w:hAnsi="宋体"/>
          <w:szCs w:val="21"/>
        </w:rPr>
        <w:t>天期限到期后的</w:t>
      </w:r>
      <w:r>
        <w:rPr>
          <w:rFonts w:ascii="宋体" w:hAnsi="宋体"/>
          <w:szCs w:val="21"/>
        </w:rPr>
        <w:t>28</w:t>
      </w:r>
      <w:r>
        <w:rPr>
          <w:rFonts w:hint="eastAsia" w:ascii="宋体" w:hAnsi="宋体"/>
          <w:szCs w:val="21"/>
        </w:rPr>
        <w:t>天内，向监理人递交索赔意向通知书</w:t>
      </w:r>
      <w:r>
        <w:rPr>
          <w:rFonts w:ascii="宋体"/>
          <w:szCs w:val="21"/>
        </w:rPr>
        <w:t>,</w:t>
      </w:r>
      <w:r>
        <w:rPr>
          <w:rFonts w:hint="eastAsia" w:ascii="宋体" w:hAnsi="宋体"/>
          <w:szCs w:val="21"/>
        </w:rPr>
        <w:t>并按第</w:t>
      </w:r>
      <w:r>
        <w:rPr>
          <w:rFonts w:ascii="宋体" w:hAnsi="宋体"/>
          <w:szCs w:val="21"/>
        </w:rPr>
        <w:t>23.1</w:t>
      </w:r>
      <w:r>
        <w:rPr>
          <w:rFonts w:hint="eastAsia" w:ascii="宋体" w:hAnsi="宋体"/>
          <w:szCs w:val="21"/>
        </w:rPr>
        <w:t>（</w:t>
      </w:r>
      <w:r>
        <w:rPr>
          <w:rFonts w:ascii="宋体" w:hAnsi="宋体"/>
          <w:szCs w:val="21"/>
        </w:rPr>
        <w:t>2</w:t>
      </w:r>
      <w:r>
        <w:rPr>
          <w:rFonts w:hint="eastAsia" w:ascii="宋体" w:hAnsi="宋体"/>
          <w:szCs w:val="21"/>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pStyle w:val="253"/>
        <w:spacing w:before="120"/>
      </w:pPr>
      <w:bookmarkStart w:id="1988" w:name="_Toc179632726"/>
      <w:bookmarkStart w:id="1989" w:name="_Toc152042486"/>
      <w:bookmarkStart w:id="1990" w:name="_Toc338944801"/>
      <w:bookmarkStart w:id="1991" w:name="_Toc152045708"/>
      <w:bookmarkStart w:id="1992" w:name="_Toc480487000"/>
      <w:bookmarkStart w:id="1993" w:name="_Toc490222591"/>
      <w:bookmarkStart w:id="1994" w:name="_Toc480486828"/>
      <w:bookmarkStart w:id="1995" w:name="_Toc483668175"/>
      <w:bookmarkStart w:id="1996" w:name="_Toc10233582"/>
      <w:bookmarkStart w:id="1997" w:name="_Toc342296359"/>
      <w:bookmarkStart w:id="1998" w:name="_Toc144974677"/>
      <w:bookmarkStart w:id="1999" w:name="_Toc489279957"/>
      <w:bookmarkStart w:id="2000" w:name="_Toc486580146"/>
      <w:r>
        <w:t xml:space="preserve">15.2  </w:t>
      </w:r>
      <w:r>
        <w:rPr>
          <w:rFonts w:hint="eastAsia"/>
        </w:rPr>
        <w:t>变更权</w:t>
      </w:r>
      <w:bookmarkEnd w:id="1988"/>
      <w:bookmarkEnd w:id="1989"/>
      <w:bookmarkEnd w:id="1990"/>
      <w:bookmarkEnd w:id="1991"/>
      <w:bookmarkEnd w:id="1992"/>
      <w:bookmarkEnd w:id="1993"/>
      <w:bookmarkEnd w:id="1994"/>
      <w:bookmarkEnd w:id="1995"/>
      <w:bookmarkEnd w:id="1996"/>
      <w:bookmarkEnd w:id="1997"/>
      <w:bookmarkEnd w:id="1998"/>
      <w:bookmarkEnd w:id="1999"/>
      <w:bookmarkEnd w:id="2000"/>
    </w:p>
    <w:p>
      <w:pPr>
        <w:spacing w:line="360" w:lineRule="auto"/>
        <w:ind w:firstLine="420" w:firstLineChars="200"/>
        <w:rPr>
          <w:rFonts w:ascii="宋体"/>
        </w:rPr>
      </w:pPr>
      <w:r>
        <w:rPr>
          <w:rFonts w:hint="eastAsia" w:ascii="宋体" w:hAnsi="宋体"/>
        </w:rPr>
        <w:t>在履行合同过程中，经发包人同意，监理人可按第</w:t>
      </w:r>
      <w:r>
        <w:rPr>
          <w:rFonts w:ascii="宋体" w:hAnsi="宋体"/>
        </w:rPr>
        <w:t>15.3</w:t>
      </w:r>
      <w:r>
        <w:rPr>
          <w:rFonts w:hint="eastAsia" w:ascii="宋体" w:hAnsi="宋体"/>
        </w:rPr>
        <w:t>款约定的变更程序向承包人作出变更指示，承包人应遵照执行。没有监理人的变更指示，承包人不得擅自变更。</w:t>
      </w:r>
    </w:p>
    <w:p>
      <w:pPr>
        <w:pStyle w:val="253"/>
        <w:spacing w:before="120"/>
      </w:pPr>
      <w:bookmarkStart w:id="2001" w:name="_Toc490222592"/>
      <w:bookmarkStart w:id="2002" w:name="_Toc483668176"/>
      <w:bookmarkStart w:id="2003" w:name="_Toc10233583"/>
      <w:bookmarkStart w:id="2004" w:name="_Toc338944802"/>
      <w:bookmarkStart w:id="2005" w:name="_Toc480486829"/>
      <w:bookmarkStart w:id="2006" w:name="_Toc480487001"/>
      <w:bookmarkStart w:id="2007" w:name="_Toc486580147"/>
      <w:bookmarkStart w:id="2008" w:name="_Toc342296360"/>
      <w:bookmarkStart w:id="2009" w:name="_Toc489279958"/>
      <w:r>
        <w:t xml:space="preserve">15.3  </w:t>
      </w:r>
      <w:r>
        <w:rPr>
          <w:rFonts w:hint="eastAsia"/>
        </w:rPr>
        <w:t>变更程序</w:t>
      </w:r>
      <w:bookmarkEnd w:id="2001"/>
      <w:bookmarkEnd w:id="2002"/>
      <w:bookmarkEnd w:id="2003"/>
      <w:bookmarkEnd w:id="2004"/>
      <w:bookmarkEnd w:id="2005"/>
      <w:bookmarkEnd w:id="2006"/>
      <w:bookmarkEnd w:id="2007"/>
      <w:bookmarkEnd w:id="2008"/>
      <w:bookmarkEnd w:id="2009"/>
    </w:p>
    <w:p>
      <w:pPr>
        <w:spacing w:line="360" w:lineRule="auto"/>
        <w:ind w:firstLine="420" w:firstLineChars="200"/>
        <w:rPr>
          <w:rFonts w:ascii="宋体"/>
        </w:rPr>
      </w:pPr>
      <w:r>
        <w:rPr>
          <w:rFonts w:ascii="宋体" w:hAnsi="宋体"/>
        </w:rPr>
        <w:t xml:space="preserve">15.3.1  </w:t>
      </w:r>
      <w:r>
        <w:rPr>
          <w:rFonts w:hint="eastAsia" w:ascii="宋体" w:hAnsi="宋体"/>
        </w:rPr>
        <w:t>变更的提出</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）在合同履行过程中，可能发生第</w:t>
      </w:r>
      <w:r>
        <w:rPr>
          <w:rFonts w:ascii="宋体" w:hAnsi="宋体"/>
        </w:rPr>
        <w:t>15.1.1</w:t>
      </w:r>
      <w:r>
        <w:rPr>
          <w:rFonts w:hint="eastAsia" w:ascii="宋体" w:hAnsi="宋体"/>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rPr>
        <w:t>15.3.3</w:t>
      </w:r>
      <w:r>
        <w:rPr>
          <w:rFonts w:hint="eastAsia" w:ascii="宋体" w:hAnsi="宋体"/>
        </w:rPr>
        <w:t>项约定发出变更指示。</w:t>
      </w:r>
      <w:r>
        <w:rPr>
          <w:rFonts w:ascii="宋体" w:hAnsi="宋体"/>
        </w:rPr>
        <w:t xml:space="preserve"> </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）在合同履行过程中，发生第</w:t>
      </w:r>
      <w:r>
        <w:rPr>
          <w:rFonts w:ascii="宋体" w:hAnsi="宋体"/>
        </w:rPr>
        <w:t>15.1.1</w:t>
      </w:r>
      <w:r>
        <w:rPr>
          <w:rFonts w:hint="eastAsia" w:ascii="宋体" w:hAnsi="宋体"/>
        </w:rPr>
        <w:t>项约定情形的，监理人应按照第</w:t>
      </w:r>
      <w:r>
        <w:rPr>
          <w:rFonts w:ascii="宋体" w:hAnsi="宋体"/>
        </w:rPr>
        <w:t>15.3.3</w:t>
      </w:r>
      <w:r>
        <w:rPr>
          <w:rFonts w:hint="eastAsia" w:ascii="宋体" w:hAnsi="宋体"/>
        </w:rPr>
        <w:t>项约定向承包人发出变更指示。</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）承包人收到监理人按合同约定发出的图纸和文件，经检查认为其中存在第</w:t>
      </w:r>
      <w:r>
        <w:rPr>
          <w:rFonts w:ascii="宋体" w:hAnsi="宋体"/>
        </w:rPr>
        <w:t>15.1.1</w:t>
      </w:r>
      <w:r>
        <w:rPr>
          <w:rFonts w:hint="eastAsia" w:ascii="宋体" w:hAnsi="宋体"/>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rPr>
        <w:t>14</w:t>
      </w:r>
      <w:r>
        <w:rPr>
          <w:rFonts w:hint="eastAsia" w:ascii="宋体" w:hAnsi="宋体"/>
        </w:rPr>
        <w:t>天内作出变更指示。经研究后不同意作为变更的，应由监理人书面答复承包人。</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）若承包人收到监理人的变更意向书后认为难以实施此项变更，应立即通知监理人，说明原因并附详细依据。监理人与承包人和发包人协商后确定撤销、改变或不改变原变更意向书。</w:t>
      </w:r>
    </w:p>
    <w:p>
      <w:pPr>
        <w:spacing w:line="360" w:lineRule="auto"/>
        <w:ind w:firstLine="420" w:firstLineChars="200"/>
        <w:rPr>
          <w:rFonts w:ascii="宋体"/>
        </w:rPr>
      </w:pPr>
      <w:r>
        <w:rPr>
          <w:rFonts w:ascii="宋体" w:hAnsi="宋体"/>
        </w:rPr>
        <w:t xml:space="preserve">15.3.2  </w:t>
      </w:r>
      <w:r>
        <w:rPr>
          <w:rFonts w:hint="eastAsia" w:ascii="宋体" w:hAnsi="宋体"/>
        </w:rPr>
        <w:t>变更估价</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）除合同条款专用部分对期限另有约定外，承包人应在收到变更指示或变更意向书后的</w:t>
      </w:r>
      <w:r>
        <w:rPr>
          <w:rFonts w:ascii="宋体" w:hAnsi="宋体"/>
        </w:rPr>
        <w:t>14</w:t>
      </w:r>
      <w:r>
        <w:rPr>
          <w:rFonts w:hint="eastAsia" w:ascii="宋体" w:hAnsi="宋体"/>
        </w:rPr>
        <w:t>天内，向监理人提交变更报价书，报价内容应根据第</w:t>
      </w:r>
      <w:r>
        <w:rPr>
          <w:rFonts w:ascii="宋体" w:hAnsi="宋体"/>
        </w:rPr>
        <w:t>15.4</w:t>
      </w:r>
      <w:r>
        <w:rPr>
          <w:rFonts w:hint="eastAsia" w:ascii="宋体" w:hAnsi="宋体"/>
        </w:rPr>
        <w:t>款约定的估价原则，详细开列变更工作的价格组成及其依据，并附必要的施工方法说明和有关图纸。</w:t>
      </w:r>
      <w:r>
        <w:rPr>
          <w:rFonts w:hint="eastAsia" w:ascii="宋体" w:hAnsi="宋体"/>
          <w:szCs w:val="21"/>
        </w:rPr>
        <w:t>承包人提交变更报价书的期限</w:t>
      </w:r>
      <w:r>
        <w:rPr>
          <w:rFonts w:hint="eastAsia" w:ascii="黑体" w:hAnsi="黑体" w:eastAsia="黑体"/>
        </w:rPr>
        <w:t>见合同条款专用部分。</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）变更工作影响工期的，承包人应提出调整工期的具体细节。监理人认为有必要时，可要求承包人提交要求提前或延长工期的施工进度计划，及相应施工措施等详细资料。</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）除合同条款专用部分对期限另有约定外，监理人收到承包人变更报价书后的</w:t>
      </w:r>
      <w:r>
        <w:rPr>
          <w:rFonts w:ascii="宋体" w:hAnsi="宋体"/>
        </w:rPr>
        <w:t>14</w:t>
      </w:r>
      <w:r>
        <w:rPr>
          <w:rFonts w:hint="eastAsia" w:ascii="宋体" w:hAnsi="宋体"/>
        </w:rPr>
        <w:t>天内，根据第</w:t>
      </w:r>
      <w:r>
        <w:rPr>
          <w:rFonts w:ascii="宋体" w:hAnsi="宋体"/>
        </w:rPr>
        <w:t>15.4</w:t>
      </w:r>
      <w:r>
        <w:rPr>
          <w:rFonts w:hint="eastAsia" w:ascii="宋体" w:hAnsi="宋体"/>
        </w:rPr>
        <w:t>款约定的估价原则，按照第</w:t>
      </w:r>
      <w:r>
        <w:rPr>
          <w:rFonts w:ascii="宋体" w:hAnsi="宋体"/>
        </w:rPr>
        <w:t>3.5</w:t>
      </w:r>
      <w:r>
        <w:rPr>
          <w:rFonts w:hint="eastAsia" w:ascii="宋体" w:hAnsi="宋体"/>
        </w:rPr>
        <w:t>款商定或确定变更价格。</w:t>
      </w:r>
      <w:r>
        <w:rPr>
          <w:rFonts w:hint="eastAsia" w:ascii="宋体" w:hAnsi="宋体"/>
          <w:szCs w:val="21"/>
        </w:rPr>
        <w:t>监理人商定或确定变更价格的期限</w:t>
      </w:r>
      <w:r>
        <w:rPr>
          <w:rFonts w:hint="eastAsia" w:ascii="黑体" w:hAnsi="黑体" w:eastAsia="黑体"/>
        </w:rPr>
        <w:t>见合同条款专用部分。</w:t>
      </w:r>
    </w:p>
    <w:p>
      <w:pPr>
        <w:spacing w:line="360" w:lineRule="auto"/>
        <w:ind w:firstLine="315" w:firstLineChars="150"/>
        <w:rPr>
          <w:rFonts w:ascii="宋体"/>
        </w:rPr>
      </w:pPr>
      <w:r>
        <w:rPr>
          <w:rFonts w:hint="eastAsia" w:ascii="宋体" w:hAnsi="宋体"/>
          <w:szCs w:val="21"/>
        </w:rPr>
        <w:t>（</w:t>
      </w:r>
      <w:r>
        <w:rPr>
          <w:rFonts w:ascii="宋体" w:hAnsi="宋体"/>
          <w:szCs w:val="21"/>
        </w:rPr>
        <w:t>4</w:t>
      </w:r>
      <w:r>
        <w:rPr>
          <w:rFonts w:hint="eastAsia" w:ascii="宋体" w:hAnsi="宋体"/>
          <w:szCs w:val="21"/>
        </w:rPr>
        <w:t>）收到变更指示后，如承包人未在规定的期限内提交变更报价书的，监理人可自行决定是否调整合同价款以及如果监理人决定调整合同价款时，相应调整的具体金额。</w:t>
      </w:r>
    </w:p>
    <w:p>
      <w:pPr>
        <w:spacing w:line="360" w:lineRule="auto"/>
        <w:ind w:firstLine="420" w:firstLineChars="200"/>
        <w:rPr>
          <w:rFonts w:ascii="宋体"/>
        </w:rPr>
      </w:pPr>
      <w:r>
        <w:rPr>
          <w:rFonts w:ascii="宋体" w:hAnsi="宋体"/>
        </w:rPr>
        <w:t xml:space="preserve">15.3.3  </w:t>
      </w:r>
      <w:r>
        <w:rPr>
          <w:rFonts w:hint="eastAsia" w:ascii="宋体" w:hAnsi="宋体"/>
        </w:rPr>
        <w:t>变更指示</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）变更指示只能由监理人发出。</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）变更指示应说明变更的目的、范围、变更内容以及变更的工程量及其进度和技术要求，并附有关图纸和文件。承包人收到变更指示后，应按变更指示进行变更工作。</w:t>
      </w:r>
    </w:p>
    <w:p>
      <w:pPr>
        <w:pStyle w:val="253"/>
        <w:spacing w:before="120"/>
      </w:pPr>
      <w:bookmarkStart w:id="2010" w:name="_Toc483668177"/>
      <w:bookmarkStart w:id="2011" w:name="_Toc486580148"/>
      <w:bookmarkStart w:id="2012" w:name="_Toc338944803"/>
      <w:bookmarkStart w:id="2013" w:name="_Toc489279959"/>
      <w:bookmarkStart w:id="2014" w:name="_Toc490222593"/>
      <w:bookmarkStart w:id="2015" w:name="_Toc480487002"/>
      <w:bookmarkStart w:id="2016" w:name="_Toc342296361"/>
      <w:bookmarkStart w:id="2017" w:name="_Toc10233584"/>
      <w:bookmarkStart w:id="2018" w:name="_Toc480486830"/>
      <w:r>
        <w:t xml:space="preserve">15.4  </w:t>
      </w:r>
      <w:r>
        <w:rPr>
          <w:rFonts w:hint="eastAsia"/>
        </w:rPr>
        <w:t>变更的估价原则</w:t>
      </w:r>
      <w:bookmarkEnd w:id="2010"/>
      <w:bookmarkEnd w:id="2011"/>
      <w:bookmarkEnd w:id="2012"/>
      <w:bookmarkEnd w:id="2013"/>
      <w:bookmarkEnd w:id="2014"/>
      <w:bookmarkEnd w:id="2015"/>
      <w:bookmarkEnd w:id="2016"/>
      <w:bookmarkEnd w:id="2017"/>
      <w:bookmarkEnd w:id="2018"/>
    </w:p>
    <w:p>
      <w:pPr>
        <w:spacing w:line="360" w:lineRule="auto"/>
        <w:ind w:firstLine="420" w:firstLineChars="200"/>
        <w:rPr>
          <w:rFonts w:ascii="宋体"/>
        </w:rPr>
      </w:pPr>
      <w:r>
        <w:rPr>
          <w:rFonts w:hint="eastAsia" w:ascii="宋体" w:hAnsi="宋体"/>
        </w:rPr>
        <w:t>因</w:t>
      </w:r>
      <w:r>
        <w:rPr>
          <w:rFonts w:hint="eastAsia" w:ascii="宋体" w:hAnsi="宋体"/>
          <w:szCs w:val="21"/>
        </w:rPr>
        <w:t>工程量清单漏项（仅适用于合同协议书约定采用单价合同形式时）或</w:t>
      </w:r>
      <w:r>
        <w:rPr>
          <w:rFonts w:hint="eastAsia" w:ascii="宋体" w:hAnsi="宋体"/>
        </w:rPr>
        <w:t>变更引起的价格调整按照本款约定处理。</w:t>
      </w:r>
    </w:p>
    <w:p>
      <w:pPr>
        <w:spacing w:line="360" w:lineRule="auto"/>
        <w:ind w:firstLine="420" w:firstLineChars="200"/>
        <w:rPr>
          <w:rFonts w:ascii="宋体"/>
        </w:rPr>
      </w:pPr>
      <w:r>
        <w:rPr>
          <w:rFonts w:ascii="宋体" w:hAnsi="宋体"/>
        </w:rPr>
        <w:t xml:space="preserve">15.4.1  </w:t>
      </w:r>
      <w:r>
        <w:rPr>
          <w:rFonts w:hint="eastAsia" w:ascii="宋体" w:hAnsi="宋体"/>
        </w:rPr>
        <w:t>已标价工程量清单中有适用于变更工作的子目的，采用该子目的单价。</w:t>
      </w:r>
    </w:p>
    <w:p>
      <w:pPr>
        <w:spacing w:line="360" w:lineRule="auto"/>
        <w:ind w:firstLine="420" w:firstLineChars="200"/>
        <w:rPr>
          <w:rFonts w:ascii="宋体"/>
        </w:rPr>
      </w:pPr>
      <w:r>
        <w:rPr>
          <w:rFonts w:ascii="宋体" w:hAnsi="宋体"/>
        </w:rPr>
        <w:t xml:space="preserve">15.4.2  </w:t>
      </w:r>
      <w:r>
        <w:rPr>
          <w:rFonts w:hint="eastAsia" w:ascii="宋体" w:hAnsi="宋体"/>
        </w:rPr>
        <w:t>已标价工程量清单中无适用于变更工作的子目，但有类似子目的，可在合理范围内参照类似子目的单价，由监理人按第</w:t>
      </w:r>
      <w:r>
        <w:rPr>
          <w:rFonts w:ascii="宋体" w:hAnsi="宋体"/>
        </w:rPr>
        <w:t>3.5</w:t>
      </w:r>
      <w:r>
        <w:rPr>
          <w:rFonts w:hint="eastAsia" w:ascii="宋体" w:hAnsi="宋体"/>
        </w:rPr>
        <w:t>款商定或确定变更工作的单价。</w:t>
      </w:r>
    </w:p>
    <w:p>
      <w:pPr>
        <w:spacing w:line="360" w:lineRule="auto"/>
        <w:ind w:firstLine="420" w:firstLineChars="200"/>
        <w:rPr>
          <w:rFonts w:ascii="宋体"/>
        </w:rPr>
      </w:pPr>
      <w:r>
        <w:rPr>
          <w:rFonts w:ascii="宋体" w:hAnsi="宋体"/>
        </w:rPr>
        <w:t xml:space="preserve">15.4.3  </w:t>
      </w:r>
      <w:r>
        <w:rPr>
          <w:rFonts w:hint="eastAsia" w:ascii="宋体" w:hAnsi="宋体"/>
        </w:rPr>
        <w:t>已标价工程量清单中无适用或类似子目的单价，可按照成本加利润的原则，由监理人按第</w:t>
      </w:r>
      <w:r>
        <w:rPr>
          <w:rFonts w:ascii="宋体" w:hAnsi="宋体"/>
        </w:rPr>
        <w:t>3.5</w:t>
      </w:r>
      <w:r>
        <w:rPr>
          <w:rFonts w:hint="eastAsia" w:ascii="宋体" w:hAnsi="宋体"/>
        </w:rPr>
        <w:t>款商定或确定变更工作的单价。</w:t>
      </w:r>
    </w:p>
    <w:p>
      <w:pPr>
        <w:spacing w:line="360" w:lineRule="auto"/>
        <w:ind w:firstLine="420" w:firstLineChars="200"/>
        <w:rPr>
          <w:rFonts w:ascii="宋体"/>
          <w:szCs w:val="21"/>
        </w:rPr>
      </w:pPr>
      <w:r>
        <w:rPr>
          <w:rFonts w:ascii="宋体" w:hAnsi="宋体"/>
        </w:rPr>
        <w:t xml:space="preserve">15.4.4  </w:t>
      </w:r>
      <w:r>
        <w:rPr>
          <w:rFonts w:hint="eastAsia" w:ascii="宋体" w:hAnsi="宋体"/>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szCs w:val="21"/>
        </w:rPr>
        <w:t>3.5</w:t>
      </w:r>
      <w:r>
        <w:rPr>
          <w:rFonts w:hint="eastAsia" w:ascii="宋体" w:hAnsi="宋体"/>
          <w:szCs w:val="21"/>
        </w:rPr>
        <w:t>款商定或确定变更措施项目的费用。</w:t>
      </w:r>
    </w:p>
    <w:p>
      <w:pPr>
        <w:spacing w:line="360" w:lineRule="auto"/>
        <w:ind w:firstLine="420" w:firstLineChars="200"/>
        <w:rPr>
          <w:rFonts w:ascii="宋体"/>
        </w:rPr>
      </w:pPr>
      <w:r>
        <w:rPr>
          <w:rFonts w:ascii="宋体" w:hAnsi="宋体"/>
        </w:rPr>
        <w:t xml:space="preserve">15.4.5  </w:t>
      </w:r>
      <w:r>
        <w:rPr>
          <w:rFonts w:hint="eastAsia" w:ascii="宋体" w:hAnsi="宋体"/>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r>
        <w:rPr>
          <w:rFonts w:hint="eastAsia" w:ascii="黑体" w:hAnsi="黑体" w:eastAsia="黑体"/>
          <w:szCs w:val="21"/>
        </w:rPr>
        <w:t>见合同条款专用部分。</w:t>
      </w:r>
    </w:p>
    <w:p>
      <w:pPr>
        <w:spacing w:line="360" w:lineRule="auto"/>
        <w:ind w:firstLine="420" w:firstLineChars="200"/>
        <w:rPr>
          <w:rFonts w:ascii="宋体"/>
        </w:rPr>
      </w:pPr>
      <w:r>
        <w:rPr>
          <w:rFonts w:ascii="宋体" w:hAnsi="宋体"/>
        </w:rPr>
        <w:t xml:space="preserve">15.4.6  </w:t>
      </w:r>
      <w:r>
        <w:rPr>
          <w:rFonts w:hint="eastAsia" w:ascii="宋体" w:hAnsi="宋体"/>
          <w:szCs w:val="21"/>
        </w:rPr>
        <w:t>因变更引起价格调整的其他处理方式</w:t>
      </w:r>
      <w:r>
        <w:rPr>
          <w:rFonts w:hint="eastAsia" w:ascii="黑体" w:hAnsi="黑体" w:eastAsia="黑体"/>
          <w:szCs w:val="21"/>
        </w:rPr>
        <w:t>见合同条款专用部分。</w:t>
      </w:r>
    </w:p>
    <w:p>
      <w:pPr>
        <w:pStyle w:val="253"/>
        <w:spacing w:before="120"/>
      </w:pPr>
      <w:bookmarkStart w:id="2019" w:name="_Toc338944804"/>
      <w:bookmarkStart w:id="2020" w:name="_Toc483668178"/>
      <w:bookmarkStart w:id="2021" w:name="_Toc480486831"/>
      <w:bookmarkStart w:id="2022" w:name="_Toc490222594"/>
      <w:bookmarkStart w:id="2023" w:name="_Toc342296362"/>
      <w:bookmarkStart w:id="2024" w:name="_Toc10233585"/>
      <w:bookmarkStart w:id="2025" w:name="_Toc480487003"/>
      <w:bookmarkStart w:id="2026" w:name="_Toc486580149"/>
      <w:bookmarkStart w:id="2027" w:name="_Toc489279960"/>
      <w:r>
        <w:t xml:space="preserve">15.5  </w:t>
      </w:r>
      <w:r>
        <w:rPr>
          <w:rFonts w:hint="eastAsia"/>
        </w:rPr>
        <w:t>承包人的合理化建议</w:t>
      </w:r>
      <w:bookmarkEnd w:id="2019"/>
      <w:bookmarkEnd w:id="2020"/>
      <w:bookmarkEnd w:id="2021"/>
      <w:bookmarkEnd w:id="2022"/>
      <w:bookmarkEnd w:id="2023"/>
      <w:bookmarkEnd w:id="2024"/>
      <w:bookmarkEnd w:id="2025"/>
      <w:bookmarkEnd w:id="2026"/>
      <w:bookmarkEnd w:id="2027"/>
    </w:p>
    <w:p>
      <w:pPr>
        <w:spacing w:line="360" w:lineRule="auto"/>
        <w:ind w:firstLine="420" w:firstLineChars="200"/>
        <w:rPr>
          <w:rFonts w:ascii="宋体"/>
        </w:rPr>
      </w:pPr>
      <w:r>
        <w:rPr>
          <w:rFonts w:ascii="宋体" w:hAnsi="宋体"/>
        </w:rPr>
        <w:t xml:space="preserve">15.5.1  </w:t>
      </w:r>
      <w:r>
        <w:rPr>
          <w:rFonts w:hint="eastAsia" w:ascii="宋体" w:hAnsi="宋体"/>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15.3.3</w:t>
      </w:r>
      <w:r>
        <w:rPr>
          <w:rFonts w:hint="eastAsia" w:ascii="宋体" w:hAnsi="宋体"/>
        </w:rPr>
        <w:t>项约定向承包人发出变更指示。</w:t>
      </w:r>
    </w:p>
    <w:p>
      <w:pPr>
        <w:spacing w:line="360" w:lineRule="auto"/>
        <w:ind w:firstLine="420" w:firstLineChars="200"/>
        <w:rPr>
          <w:rFonts w:ascii="宋体"/>
        </w:rPr>
      </w:pPr>
      <w:r>
        <w:rPr>
          <w:rFonts w:ascii="宋体" w:hAnsi="宋体"/>
        </w:rPr>
        <w:t xml:space="preserve">15.5.2  </w:t>
      </w:r>
      <w:r>
        <w:rPr>
          <w:rFonts w:hint="eastAsia" w:ascii="宋体" w:hAnsi="宋体"/>
        </w:rPr>
        <w:t>承包人提出的合理化建议降低了合同价格、缩短了工期或者提高了工程经济效益的，发包人可按国家有关规定给予奖励。</w:t>
      </w:r>
      <w:r>
        <w:rPr>
          <w:rFonts w:hint="eastAsia" w:ascii="宋体" w:hAnsi="宋体"/>
          <w:szCs w:val="21"/>
        </w:rPr>
        <w:t>对承包人提出合理化建议的奖励方法</w:t>
      </w:r>
      <w:r>
        <w:rPr>
          <w:rFonts w:hint="eastAsia" w:ascii="黑体" w:hAnsi="黑体" w:eastAsia="黑体"/>
          <w:szCs w:val="21"/>
        </w:rPr>
        <w:t>见合同条款专用部分。</w:t>
      </w:r>
    </w:p>
    <w:p>
      <w:pPr>
        <w:pStyle w:val="253"/>
        <w:spacing w:before="120"/>
      </w:pPr>
      <w:bookmarkStart w:id="2028" w:name="_Toc10233586"/>
      <w:bookmarkStart w:id="2029" w:name="_Toc144974681"/>
      <w:bookmarkStart w:id="2030" w:name="_Toc338944805"/>
      <w:bookmarkStart w:id="2031" w:name="_Toc179632730"/>
      <w:bookmarkStart w:id="2032" w:name="_Toc152042490"/>
      <w:bookmarkStart w:id="2033" w:name="_Toc486580150"/>
      <w:bookmarkStart w:id="2034" w:name="_Toc483668179"/>
      <w:bookmarkStart w:id="2035" w:name="_Toc480487004"/>
      <w:bookmarkStart w:id="2036" w:name="_Toc152045712"/>
      <w:bookmarkStart w:id="2037" w:name="_Toc480486832"/>
      <w:bookmarkStart w:id="2038" w:name="_Toc489279961"/>
      <w:bookmarkStart w:id="2039" w:name="_Toc342296363"/>
      <w:bookmarkStart w:id="2040" w:name="_Toc490222595"/>
      <w:r>
        <w:t xml:space="preserve">15.6  </w:t>
      </w:r>
      <w:r>
        <w:rPr>
          <w:rFonts w:hint="eastAsia"/>
        </w:rPr>
        <w:t>暂列金额</w:t>
      </w:r>
      <w:bookmarkEnd w:id="2028"/>
      <w:bookmarkEnd w:id="2029"/>
      <w:bookmarkEnd w:id="2030"/>
      <w:bookmarkEnd w:id="2031"/>
      <w:bookmarkEnd w:id="2032"/>
      <w:bookmarkEnd w:id="2033"/>
      <w:bookmarkEnd w:id="2034"/>
      <w:bookmarkEnd w:id="2035"/>
      <w:bookmarkEnd w:id="2036"/>
      <w:bookmarkEnd w:id="2037"/>
      <w:bookmarkEnd w:id="2038"/>
      <w:bookmarkEnd w:id="2039"/>
      <w:bookmarkEnd w:id="2040"/>
    </w:p>
    <w:p>
      <w:pPr>
        <w:spacing w:line="360" w:lineRule="auto"/>
        <w:ind w:firstLine="420" w:firstLineChars="200"/>
        <w:rPr>
          <w:rFonts w:ascii="宋体"/>
        </w:rPr>
      </w:pPr>
      <w:r>
        <w:rPr>
          <w:rFonts w:hint="eastAsia" w:ascii="宋体" w:hAnsi="宋体"/>
        </w:rPr>
        <w:t>暂列金额只能按照监理人的指示使用，并对合同价格进行相应调整。</w:t>
      </w:r>
    </w:p>
    <w:p>
      <w:pPr>
        <w:pStyle w:val="253"/>
        <w:spacing w:before="120"/>
      </w:pPr>
      <w:bookmarkStart w:id="2041" w:name="_Toc152042491"/>
      <w:bookmarkStart w:id="2042" w:name="_Toc342296364"/>
      <w:bookmarkStart w:id="2043" w:name="_Toc338944806"/>
      <w:bookmarkStart w:id="2044" w:name="_Toc144974682"/>
      <w:bookmarkStart w:id="2045" w:name="_Toc152045713"/>
      <w:bookmarkStart w:id="2046" w:name="_Toc489279962"/>
      <w:bookmarkStart w:id="2047" w:name="_Toc486580151"/>
      <w:bookmarkStart w:id="2048" w:name="_Toc480486833"/>
      <w:bookmarkStart w:id="2049" w:name="_Toc480487005"/>
      <w:bookmarkStart w:id="2050" w:name="_Toc10233587"/>
      <w:bookmarkStart w:id="2051" w:name="_Toc179632731"/>
      <w:bookmarkStart w:id="2052" w:name="_Toc483668180"/>
      <w:bookmarkStart w:id="2053" w:name="_Toc490222596"/>
      <w:r>
        <w:t xml:space="preserve">15.7  </w:t>
      </w:r>
      <w:r>
        <w:rPr>
          <w:rFonts w:hint="eastAsia"/>
        </w:rPr>
        <w:t>计日工</w:t>
      </w:r>
      <w:bookmarkEnd w:id="2041"/>
      <w:bookmarkEnd w:id="2042"/>
      <w:bookmarkEnd w:id="2043"/>
      <w:bookmarkEnd w:id="2044"/>
      <w:bookmarkEnd w:id="2045"/>
      <w:bookmarkEnd w:id="2046"/>
      <w:bookmarkEnd w:id="2047"/>
      <w:bookmarkEnd w:id="2048"/>
      <w:bookmarkEnd w:id="2049"/>
      <w:bookmarkEnd w:id="2050"/>
      <w:bookmarkEnd w:id="2051"/>
      <w:bookmarkEnd w:id="2052"/>
      <w:bookmarkEnd w:id="2053"/>
    </w:p>
    <w:p>
      <w:pPr>
        <w:spacing w:line="360" w:lineRule="auto"/>
        <w:ind w:firstLine="420" w:firstLineChars="200"/>
        <w:rPr>
          <w:rFonts w:ascii="宋体"/>
          <w:shd w:val="pct10" w:color="auto" w:fill="FFFFFF"/>
        </w:rPr>
      </w:pPr>
      <w:r>
        <w:rPr>
          <w:rFonts w:ascii="宋体" w:hAnsi="宋体"/>
        </w:rPr>
        <w:t xml:space="preserve">15.7.1  </w:t>
      </w:r>
      <w:r>
        <w:rPr>
          <w:rFonts w:hint="eastAsia" w:ascii="宋体" w:hAnsi="宋体"/>
        </w:rPr>
        <w:t>发包人认为有必要时，</w:t>
      </w:r>
      <w:r>
        <w:rPr>
          <w:rFonts w:hint="eastAsia" w:ascii="宋体" w:hAnsi="宋体"/>
          <w:szCs w:val="21"/>
        </w:rPr>
        <w:t>由</w:t>
      </w:r>
      <w:r>
        <w:rPr>
          <w:rFonts w:hint="eastAsia" w:ascii="宋体" w:hAnsi="宋体"/>
        </w:rPr>
        <w:t>监理人通知承包人以计日工方式实施变更的零星工作。其价款按列入已标价工程量清单中的计日工计价子目及其单价进行计算。</w:t>
      </w:r>
    </w:p>
    <w:p>
      <w:pPr>
        <w:spacing w:line="360" w:lineRule="auto"/>
        <w:ind w:firstLine="420" w:firstLineChars="200"/>
        <w:rPr>
          <w:rFonts w:ascii="宋体"/>
        </w:rPr>
      </w:pPr>
      <w:r>
        <w:rPr>
          <w:rFonts w:ascii="宋体" w:hAnsi="宋体"/>
        </w:rPr>
        <w:t xml:space="preserve">15.7.2  </w:t>
      </w:r>
      <w:r>
        <w:rPr>
          <w:rFonts w:hint="eastAsia" w:ascii="宋体" w:hAnsi="宋体"/>
        </w:rPr>
        <w:t>采用计日工计价的任何一项变更工作，应从暂列金额中支付，承包人应在该项变更的实施过程中，每天提交以下报表和有关凭证报送监理人审批：</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）工作名称、内容和数量；</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）投入该工作所有人员的姓名、工种、级别和耗用工时；</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）投入该工作的材料类别和数量；</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）投入该工作的施工设备型号、台数和耗用台时；</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）监理人要求提交的其他资料和凭证。</w:t>
      </w:r>
    </w:p>
    <w:p>
      <w:pPr>
        <w:spacing w:line="360" w:lineRule="auto"/>
        <w:ind w:firstLine="420" w:firstLineChars="200"/>
        <w:rPr>
          <w:rFonts w:ascii="宋体"/>
        </w:rPr>
      </w:pPr>
      <w:r>
        <w:rPr>
          <w:rFonts w:ascii="宋体" w:hAnsi="宋体"/>
        </w:rPr>
        <w:t xml:space="preserve">15.7.3  </w:t>
      </w:r>
      <w:r>
        <w:rPr>
          <w:rFonts w:hint="eastAsia" w:ascii="宋体" w:hAnsi="宋体"/>
        </w:rPr>
        <w:t>计日工由承包人汇总后，按第</w:t>
      </w:r>
      <w:r>
        <w:rPr>
          <w:rFonts w:ascii="宋体" w:hAnsi="宋体"/>
        </w:rPr>
        <w:t>17.3.2</w:t>
      </w:r>
      <w:r>
        <w:rPr>
          <w:rFonts w:hint="eastAsia" w:ascii="宋体" w:hAnsi="宋体"/>
        </w:rPr>
        <w:t>项的约定列入进度付款申请单，由监理人复核并经发包人同意后列入进度付款。</w:t>
      </w:r>
    </w:p>
    <w:p>
      <w:pPr>
        <w:pStyle w:val="253"/>
        <w:spacing w:before="120"/>
      </w:pPr>
      <w:bookmarkStart w:id="2054" w:name="_Toc483668181"/>
      <w:bookmarkStart w:id="2055" w:name="_Toc338944807"/>
      <w:bookmarkStart w:id="2056" w:name="_Toc486580152"/>
      <w:bookmarkStart w:id="2057" w:name="_Toc480487006"/>
      <w:bookmarkStart w:id="2058" w:name="_Toc489279963"/>
      <w:bookmarkStart w:id="2059" w:name="_Toc480486834"/>
      <w:bookmarkStart w:id="2060" w:name="_Toc10233588"/>
      <w:bookmarkStart w:id="2061" w:name="_Toc342296365"/>
      <w:bookmarkStart w:id="2062" w:name="_Toc490222597"/>
      <w:r>
        <w:t xml:space="preserve">15.8  </w:t>
      </w:r>
      <w:r>
        <w:rPr>
          <w:rFonts w:hint="eastAsia"/>
        </w:rPr>
        <w:t>暂估价</w:t>
      </w:r>
      <w:bookmarkEnd w:id="2054"/>
      <w:bookmarkEnd w:id="2055"/>
      <w:bookmarkEnd w:id="2056"/>
      <w:bookmarkEnd w:id="2057"/>
      <w:bookmarkEnd w:id="2058"/>
      <w:bookmarkEnd w:id="2059"/>
      <w:bookmarkEnd w:id="2060"/>
      <w:bookmarkEnd w:id="2061"/>
      <w:bookmarkEnd w:id="2062"/>
    </w:p>
    <w:p>
      <w:pPr>
        <w:spacing w:line="360" w:lineRule="auto"/>
        <w:ind w:firstLine="420" w:firstLineChars="200"/>
        <w:rPr>
          <w:rFonts w:ascii="宋体"/>
        </w:rPr>
      </w:pPr>
      <w:r>
        <w:rPr>
          <w:rFonts w:ascii="宋体" w:hAnsi="宋体"/>
        </w:rPr>
        <w:t xml:space="preserve">15.8.1  </w:t>
      </w:r>
      <w:r>
        <w:rPr>
          <w:rFonts w:hint="eastAsia" w:ascii="宋体" w:hAnsi="宋体"/>
        </w:rPr>
        <w:t>发包人在工程量清单中给定暂估价的材料和工程设备及专业工程属于依法必须招标的范围并达到规定的规模标准的，由发包人和承包人</w:t>
      </w:r>
      <w:r>
        <w:rPr>
          <w:rFonts w:hint="eastAsia" w:ascii="宋体" w:hAnsi="宋体"/>
          <w:szCs w:val="21"/>
        </w:rPr>
        <w:t>采用招标方式选择专项供应商或专业分包人</w:t>
      </w:r>
      <w:r>
        <w:rPr>
          <w:rFonts w:hint="eastAsia" w:ascii="宋体" w:hAnsi="宋体"/>
        </w:rPr>
        <w:t>。发包人和承包人的权利义务关系约定如下：</w:t>
      </w:r>
      <w:r>
        <w:rPr>
          <w:rFonts w:ascii="宋体" w:hAnsi="宋体"/>
        </w:rPr>
        <w:t xml:space="preserve"> </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1</w:t>
      </w:r>
      <w:r>
        <w:rPr>
          <w:rFonts w:hint="eastAsia" w:ascii="宋体" w:hAnsi="宋体"/>
          <w:szCs w:val="21"/>
        </w:rPr>
        <w:t>）由承包人作为招标人，依法组织招标工作并接受有管辖权的建设工程招标投标行政监督部门的监督。</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2</w:t>
      </w:r>
      <w:r>
        <w:rPr>
          <w:rFonts w:hint="eastAsia" w:ascii="宋体" w:hAnsi="宋体"/>
          <w:szCs w:val="21"/>
        </w:rPr>
        <w:t>）与组织招标工作有关的费用应当被认为已经包括在承包人的签约合同价（投标总报价）中。</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3</w:t>
      </w:r>
      <w:r>
        <w:rPr>
          <w:rFonts w:hint="eastAsia" w:ascii="宋体" w:hAnsi="宋体"/>
          <w:szCs w:val="21"/>
        </w:rPr>
        <w:t>）中标金额与工程量清单中所列的暂估价的金额差以及相应的税金等其他费用列入合同价格。</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4</w:t>
      </w:r>
      <w:r>
        <w:rPr>
          <w:rFonts w:hint="eastAsia" w:ascii="宋体" w:hAnsi="宋体"/>
          <w:szCs w:val="21"/>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5</w:t>
      </w:r>
      <w:r>
        <w:rPr>
          <w:rFonts w:hint="eastAsia" w:ascii="宋体" w:hAnsi="宋体"/>
          <w:szCs w:val="21"/>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6</w:t>
      </w:r>
      <w:r>
        <w:rPr>
          <w:rFonts w:hint="eastAsia" w:ascii="宋体" w:hAnsi="宋体"/>
          <w:szCs w:val="21"/>
        </w:rPr>
        <w:t>）如果发、承包任何一方委派评标代表，评标委员会应当由七人以上单数构成。除发包人或者承包人自愿放弃委派评标代表的权利外，招标人评标代表应当分别由发包人和承包人等额委派。</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7</w:t>
      </w:r>
      <w:r>
        <w:rPr>
          <w:rFonts w:hint="eastAsia" w:ascii="宋体" w:hAnsi="宋体"/>
          <w:szCs w:val="21"/>
        </w:rPr>
        <w:t>）设有标底的，承包人应当在开标前提前</w:t>
      </w:r>
      <w:r>
        <w:rPr>
          <w:rFonts w:ascii="宋体" w:hAnsi="宋体"/>
          <w:szCs w:val="21"/>
        </w:rPr>
        <w:t>48</w:t>
      </w:r>
      <w:r>
        <w:rPr>
          <w:rFonts w:hint="eastAsia" w:ascii="宋体" w:hAnsi="宋体"/>
          <w:szCs w:val="21"/>
        </w:rPr>
        <w:t>小时将标底报发包人审核认可，发包人应当在收到承包人报送的标底后</w:t>
      </w:r>
      <w:r>
        <w:rPr>
          <w:rFonts w:ascii="宋体" w:hAnsi="宋体"/>
          <w:szCs w:val="21"/>
        </w:rPr>
        <w:t>24</w:t>
      </w:r>
      <w:r>
        <w:rPr>
          <w:rFonts w:hint="eastAsia" w:ascii="宋体" w:hAnsi="宋体"/>
          <w:szCs w:val="21"/>
        </w:rPr>
        <w:t>小时内给予批准或者提出修改意见。承包人和发包人应当共同制定标底保密措施，不得提前泄露标底。标底的最终审核和决定权属于发包人。</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8</w:t>
      </w:r>
      <w:r>
        <w:rPr>
          <w:rFonts w:hint="eastAsia" w:ascii="宋体" w:hAnsi="宋体"/>
          <w:szCs w:val="21"/>
        </w:rPr>
        <w:t>）设有招标控制价的，承包人应当在招标文件发出前提前</w:t>
      </w:r>
      <w:r>
        <w:rPr>
          <w:rFonts w:ascii="宋体" w:hAnsi="宋体"/>
          <w:szCs w:val="21"/>
        </w:rPr>
        <w:t>7</w:t>
      </w:r>
      <w:r>
        <w:rPr>
          <w:rFonts w:hint="eastAsia" w:ascii="宋体" w:hAnsi="宋体"/>
          <w:szCs w:val="21"/>
        </w:rPr>
        <w:t>天将招标控制价报发包人审核认可，发包人应当在收到承包人报送的招标控制价后</w:t>
      </w:r>
      <w:r>
        <w:rPr>
          <w:rFonts w:ascii="宋体" w:hAnsi="宋体"/>
          <w:szCs w:val="21"/>
        </w:rPr>
        <w:t>72</w:t>
      </w:r>
      <w:r>
        <w:rPr>
          <w:rFonts w:hint="eastAsia" w:ascii="宋体" w:hAnsi="宋体"/>
          <w:szCs w:val="21"/>
        </w:rPr>
        <w:t>小时内给予认可或者提出修改意见。招标控制价的最终审核和决定权属于发包人，未经发包人认可，承包人不得发出招标文件。</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9</w:t>
      </w:r>
      <w:r>
        <w:rPr>
          <w:rFonts w:hint="eastAsia" w:ascii="宋体" w:hAnsi="宋体"/>
          <w:szCs w:val="21"/>
        </w:rPr>
        <w:t>）承包人在收到相关招标项目评标委员会提交的评标报告后，应当在</w:t>
      </w:r>
      <w:r>
        <w:rPr>
          <w:rFonts w:ascii="宋体" w:hAnsi="宋体"/>
          <w:szCs w:val="21"/>
        </w:rPr>
        <w:t>24</w:t>
      </w:r>
      <w:r>
        <w:rPr>
          <w:rFonts w:hint="eastAsia" w:ascii="宋体" w:hAnsi="宋体"/>
          <w:szCs w:val="21"/>
        </w:rPr>
        <w:t>小时内通过监理人转报发包人核查，发包人应当在监理人收到承包人报送的评标报告后</w:t>
      </w:r>
      <w:r>
        <w:rPr>
          <w:rFonts w:ascii="宋体" w:hAnsi="宋体"/>
          <w:szCs w:val="21"/>
        </w:rPr>
        <w:t>48</w:t>
      </w:r>
      <w:r>
        <w:rPr>
          <w:rFonts w:hint="eastAsia" w:ascii="宋体" w:hAnsi="宋体"/>
          <w:szCs w:val="21"/>
        </w:rPr>
        <w:t>小时内核查完毕，评标报告经过发包人核查认可后，承包人才可以开始后续程序，依法确定中标人并发出中标通知书。</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10</w:t>
      </w:r>
      <w:r>
        <w:rPr>
          <w:rFonts w:hint="eastAsia" w:ascii="宋体" w:hAnsi="宋体"/>
          <w:szCs w:val="21"/>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spacing w:line="360" w:lineRule="auto"/>
        <w:ind w:firstLine="315" w:firstLineChars="150"/>
        <w:rPr>
          <w:rFonts w:ascii="宋体"/>
          <w:szCs w:val="21"/>
        </w:rPr>
      </w:pPr>
      <w:r>
        <w:rPr>
          <w:rFonts w:hint="eastAsia" w:ascii="宋体" w:hAnsi="宋体"/>
          <w:szCs w:val="21"/>
        </w:rPr>
        <w:t>（</w:t>
      </w:r>
      <w:r>
        <w:rPr>
          <w:rFonts w:ascii="宋体" w:hAnsi="宋体"/>
          <w:szCs w:val="21"/>
        </w:rPr>
        <w:t>11</w:t>
      </w:r>
      <w:r>
        <w:rPr>
          <w:rFonts w:hint="eastAsia" w:ascii="宋体" w:hAnsi="宋体"/>
          <w:szCs w:val="21"/>
        </w:rPr>
        <w:t>）发包人对承包人报送文件进行审批或提出的修改意见应当合理，并符合现行有关法律法规的规定。</w:t>
      </w:r>
    </w:p>
    <w:p>
      <w:pPr>
        <w:spacing w:line="360" w:lineRule="auto"/>
        <w:ind w:firstLine="315" w:firstLineChars="150"/>
        <w:rPr>
          <w:rFonts w:ascii="宋体"/>
        </w:rPr>
      </w:pPr>
      <w:r>
        <w:rPr>
          <w:rFonts w:hint="eastAsia" w:ascii="宋体" w:hAnsi="宋体"/>
          <w:szCs w:val="21"/>
        </w:rPr>
        <w:t>（</w:t>
      </w:r>
      <w:r>
        <w:rPr>
          <w:rFonts w:ascii="宋体" w:hAnsi="宋体"/>
          <w:szCs w:val="21"/>
        </w:rPr>
        <w:t>12</w:t>
      </w:r>
      <w:r>
        <w:rPr>
          <w:rFonts w:hint="eastAsia" w:ascii="宋体" w:hAnsi="宋体"/>
          <w:szCs w:val="21"/>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spacing w:line="360" w:lineRule="auto"/>
        <w:ind w:firstLine="420" w:firstLineChars="200"/>
        <w:rPr>
          <w:rFonts w:ascii="宋体"/>
        </w:rPr>
      </w:pPr>
      <w:r>
        <w:rPr>
          <w:rFonts w:ascii="宋体" w:hAnsi="宋体"/>
        </w:rPr>
        <w:t xml:space="preserve">15.8.2  </w:t>
      </w:r>
      <w:r>
        <w:rPr>
          <w:rFonts w:hint="eastAsia" w:ascii="宋体" w:hAnsi="宋体"/>
        </w:rPr>
        <w:t>发包人在工程量清单中给定暂估价的材料和工程设备不属于依法必须招标的范围或未达到规定的规模标准的，应由承包人按第</w:t>
      </w:r>
      <w:r>
        <w:rPr>
          <w:rFonts w:ascii="宋体" w:hAnsi="宋体"/>
        </w:rPr>
        <w:t>5.1</w:t>
      </w:r>
      <w:r>
        <w:rPr>
          <w:rFonts w:hint="eastAsia" w:ascii="宋体" w:hAnsi="宋体"/>
        </w:rPr>
        <w:t>款的约定提供。经监理人确认的材料、工程设备的价格与工程量清单中所列的暂估价的金额差以及相应的税金等其他费用列入合同价格。</w:t>
      </w:r>
    </w:p>
    <w:p>
      <w:pPr>
        <w:spacing w:line="360" w:lineRule="auto"/>
        <w:ind w:firstLine="420" w:firstLineChars="200"/>
        <w:rPr>
          <w:rFonts w:ascii="宋体"/>
        </w:rPr>
      </w:pPr>
      <w:r>
        <w:rPr>
          <w:rFonts w:ascii="宋体" w:hAnsi="宋体"/>
        </w:rPr>
        <w:t xml:space="preserve">15.8.3  </w:t>
      </w:r>
      <w:r>
        <w:rPr>
          <w:rFonts w:hint="eastAsia" w:ascii="宋体" w:hAnsi="宋体"/>
        </w:rPr>
        <w:t>发包人在工程量清单中给定暂估价的专业工程不属于依法必须招标的范围或未达到规定的规模标准的，由监理人按照第</w:t>
      </w:r>
      <w:r>
        <w:rPr>
          <w:rFonts w:ascii="宋体" w:hAnsi="宋体"/>
        </w:rPr>
        <w:t>15.4</w:t>
      </w:r>
      <w:r>
        <w:rPr>
          <w:rFonts w:hint="eastAsia" w:ascii="宋体" w:hAnsi="宋体"/>
        </w:rPr>
        <w:t>款进行估价，但合同条款专用部分另有约定的除外。经估价的专业工程与工程量清单中所列的暂估价的金额差以及相应的税金等其他费用列入合同价格。</w:t>
      </w:r>
    </w:p>
    <w:p>
      <w:pPr>
        <w:pStyle w:val="43"/>
        <w:spacing w:after="120"/>
      </w:pPr>
      <w:bookmarkStart w:id="2063" w:name="_Toc480487007"/>
      <w:bookmarkStart w:id="2064" w:name="_Toc338944808"/>
      <w:bookmarkStart w:id="2065" w:name="_Toc489279964"/>
      <w:bookmarkStart w:id="2066" w:name="_Toc10233589"/>
      <w:bookmarkStart w:id="2067" w:name="_Toc342296366"/>
      <w:bookmarkStart w:id="2068" w:name="_Toc480486835"/>
      <w:bookmarkStart w:id="2069" w:name="_Toc486580153"/>
      <w:bookmarkStart w:id="2070" w:name="_Toc483668182"/>
      <w:bookmarkStart w:id="2071" w:name="_Toc490222598"/>
      <w:r>
        <w:t>16.</w:t>
      </w:r>
      <w:r>
        <w:rPr>
          <w:rFonts w:hint="eastAsia"/>
        </w:rPr>
        <w:t>价格调整</w:t>
      </w:r>
      <w:bookmarkEnd w:id="2063"/>
      <w:bookmarkEnd w:id="2064"/>
      <w:bookmarkEnd w:id="2065"/>
      <w:bookmarkEnd w:id="2066"/>
      <w:bookmarkEnd w:id="2067"/>
      <w:bookmarkEnd w:id="2068"/>
      <w:bookmarkEnd w:id="2069"/>
      <w:bookmarkEnd w:id="2070"/>
      <w:bookmarkEnd w:id="2071"/>
    </w:p>
    <w:p>
      <w:pPr>
        <w:pStyle w:val="253"/>
        <w:spacing w:before="120"/>
      </w:pPr>
      <w:bookmarkStart w:id="2072" w:name="_Toc480487008"/>
      <w:bookmarkStart w:id="2073" w:name="_Toc490222599"/>
      <w:bookmarkStart w:id="2074" w:name="_Toc489279965"/>
      <w:bookmarkStart w:id="2075" w:name="_Toc338944809"/>
      <w:bookmarkStart w:id="2076" w:name="_Toc10233590"/>
      <w:bookmarkStart w:id="2077" w:name="_Toc342296367"/>
      <w:bookmarkStart w:id="2078" w:name="_Toc486580154"/>
      <w:bookmarkStart w:id="2079" w:name="_Toc480486836"/>
      <w:bookmarkStart w:id="2080" w:name="_Toc483668183"/>
      <w:r>
        <w:t xml:space="preserve">16.1  </w:t>
      </w:r>
      <w:r>
        <w:rPr>
          <w:rFonts w:hint="eastAsia"/>
        </w:rPr>
        <w:t>物价波动引起的价格调整</w:t>
      </w:r>
      <w:bookmarkEnd w:id="2072"/>
      <w:bookmarkEnd w:id="2073"/>
      <w:bookmarkEnd w:id="2074"/>
      <w:bookmarkEnd w:id="2075"/>
      <w:bookmarkEnd w:id="2076"/>
      <w:bookmarkEnd w:id="2077"/>
      <w:bookmarkEnd w:id="2078"/>
      <w:bookmarkEnd w:id="2079"/>
      <w:bookmarkEnd w:id="2080"/>
    </w:p>
    <w:p>
      <w:pPr>
        <w:spacing w:line="360" w:lineRule="auto"/>
        <w:ind w:firstLine="420" w:firstLineChars="200"/>
      </w:pPr>
      <w:r>
        <w:rPr>
          <w:rFonts w:hint="eastAsia"/>
        </w:rPr>
        <w:t>除合同条款专用部分另有约定外，因物价波动引起的价格调整按照本款约定处理。</w:t>
      </w:r>
    </w:p>
    <w:p>
      <w:pPr>
        <w:spacing w:line="360" w:lineRule="auto"/>
        <w:ind w:firstLine="420" w:firstLineChars="200"/>
        <w:rPr>
          <w:rFonts w:ascii="宋体"/>
        </w:rPr>
      </w:pPr>
      <w:r>
        <w:rPr>
          <w:rFonts w:ascii="宋体" w:hAnsi="宋体"/>
        </w:rPr>
        <w:t xml:space="preserve">16.1.1 </w:t>
      </w:r>
      <w:r>
        <w:rPr>
          <w:rFonts w:hint="eastAsia" w:ascii="宋体" w:hAnsi="宋体"/>
        </w:rPr>
        <w:t>采用价格指数调整价格差额</w:t>
      </w:r>
    </w:p>
    <w:p>
      <w:pPr>
        <w:spacing w:line="360" w:lineRule="auto"/>
        <w:ind w:firstLine="630" w:firstLineChars="300"/>
        <w:rPr>
          <w:rFonts w:ascii="宋体"/>
        </w:rPr>
      </w:pPr>
      <w:bookmarkStart w:id="2081" w:name="_Toc429569374"/>
      <w:r>
        <w:rPr>
          <w:rFonts w:ascii="宋体" w:hAnsi="宋体"/>
        </w:rPr>
        <w:t xml:space="preserve">16.1.1.1 </w:t>
      </w:r>
      <w:r>
        <w:rPr>
          <w:rFonts w:hint="eastAsia" w:ascii="宋体" w:hAnsi="宋体"/>
        </w:rPr>
        <w:t>价格调整公式</w:t>
      </w:r>
      <w:bookmarkEnd w:id="2081"/>
    </w:p>
    <w:p>
      <w:pPr>
        <w:spacing w:line="360" w:lineRule="auto"/>
        <w:ind w:firstLine="630" w:firstLineChars="300"/>
      </w:pPr>
      <w:r>
        <w:rPr>
          <w:rFonts w:hint="eastAsia"/>
        </w:rPr>
        <w:t>因人工、材料和设备等价格波动影响合同价格时，根据</w:t>
      </w:r>
      <w:r>
        <w:rPr>
          <w:rFonts w:hint="eastAsia"/>
          <w:lang w:eastAsia="zh-CN"/>
        </w:rPr>
        <w:t>响应</w:t>
      </w:r>
      <w:r>
        <w:rPr>
          <w:rFonts w:hint="eastAsia"/>
          <w:lang w:val="en-US" w:eastAsia="zh-CN"/>
        </w:rPr>
        <w:t>文件</w:t>
      </w:r>
      <w:r>
        <w:rPr>
          <w:rFonts w:hint="eastAsia"/>
        </w:rPr>
        <w:t>中的价格指数和权重表约定的数据，按以下公式计算差额并调整合同价格。</w:t>
      </w:r>
    </w:p>
    <w:p>
      <w:pPr>
        <w:autoSpaceDE w:val="0"/>
        <w:autoSpaceDN w:val="0"/>
        <w:adjustRightInd w:val="0"/>
        <w:spacing w:line="1200" w:lineRule="exact"/>
        <w:ind w:right="248" w:firstLine="759" w:firstLineChars="398"/>
      </w:pPr>
      <w:r>
        <w:rPr>
          <w:b/>
          <w:bCs/>
          <w:kern w:val="0"/>
          <w:sz w:val="19"/>
          <w:szCs w:val="19"/>
          <w:lang w:val="zh-CN"/>
        </w:rPr>
        <w:t xml:space="preserve">        </w:t>
      </w:r>
      <w:r>
        <w:rPr>
          <w:position w:val="-34"/>
        </w:rPr>
        <w:object>
          <v:shape id="_x0000_i1025" o:spt="75" type="#_x0000_t75" style="height:41.25pt;width:306pt;" o:ole="t" filled="f" o:preferrelative="t" stroked="f" coordsize="21600,21600">
            <v:path/>
            <v:fill on="f" focussize="0,0"/>
            <v:stroke on="f" joinstyle="miter"/>
            <v:imagedata r:id="rId26" o:title=""/>
            <o:lock v:ext="edit" aspectratio="t"/>
            <w10:wrap type="none"/>
            <w10:anchorlock/>
          </v:shape>
          <o:OLEObject Type="Embed" ProgID="Equations" ShapeID="_x0000_i1025" DrawAspect="Content" ObjectID="_1468075725" r:id="rId25">
            <o:LockedField>false</o:LockedField>
          </o:OLEObject>
        </w:object>
      </w:r>
    </w:p>
    <w:p>
      <w:pPr>
        <w:tabs>
          <w:tab w:val="left" w:pos="1260"/>
        </w:tabs>
        <w:spacing w:line="400" w:lineRule="exact"/>
        <w:ind w:firstLine="420" w:firstLineChars="200"/>
      </w:pPr>
      <w:r>
        <w:t xml:space="preserve"> </w:t>
      </w:r>
    </w:p>
    <w:p>
      <w:pPr>
        <w:tabs>
          <w:tab w:val="left" w:pos="1260"/>
        </w:tabs>
        <w:spacing w:line="360" w:lineRule="auto"/>
        <w:ind w:firstLine="420" w:firstLineChars="200"/>
      </w:pPr>
      <w:r>
        <w:rPr>
          <w:rFonts w:hint="eastAsia"/>
        </w:rPr>
        <w:t>式中：</w:t>
      </w:r>
      <w:r>
        <w:t xml:space="preserve"> </w:t>
      </w:r>
      <w:r>
        <w:rPr>
          <w:rFonts w:hint="eastAsia"/>
        </w:rPr>
        <w:t>△</w:t>
      </w:r>
      <w:r>
        <w:t xml:space="preserve">P -- </w:t>
      </w:r>
      <w:r>
        <w:rPr>
          <w:rFonts w:hint="eastAsia"/>
        </w:rPr>
        <w:t>需调整的价格差额；</w:t>
      </w:r>
    </w:p>
    <w:p>
      <w:pPr>
        <w:tabs>
          <w:tab w:val="left" w:pos="1260"/>
        </w:tabs>
        <w:spacing w:line="360" w:lineRule="auto"/>
      </w:pPr>
      <w:r>
        <w:tab/>
      </w:r>
      <w:r>
        <w:t>P</w:t>
      </w:r>
      <w:r>
        <w:rPr>
          <w:szCs w:val="21"/>
          <w:vertAlign w:val="subscript"/>
        </w:rPr>
        <w:t>0</w:t>
      </w:r>
      <w:r>
        <w:t xml:space="preserve"> -- </w:t>
      </w:r>
      <w:r>
        <w:rPr>
          <w:rFonts w:hint="eastAsia"/>
        </w:rPr>
        <w:t>第</w:t>
      </w:r>
      <w:r>
        <w:t>17.3.3</w:t>
      </w:r>
      <w:r>
        <w:rPr>
          <w:rFonts w:hint="eastAsia"/>
        </w:rPr>
        <w:t>项、第</w:t>
      </w:r>
      <w:r>
        <w:t>17.5.2</w:t>
      </w:r>
      <w:r>
        <w:rPr>
          <w:rFonts w:hint="eastAsia"/>
        </w:rPr>
        <w:t>项和第</w:t>
      </w:r>
      <w:r>
        <w:t>17.6.2</w:t>
      </w:r>
      <w:r>
        <w:rPr>
          <w:rFonts w:hint="eastAsia"/>
        </w:rPr>
        <w:t>项约定的付款证书中承包人应得到的已完成工程量的金额。此项金额应不包括价格调整、不计质量保证金的扣留和支付、预付款的支付和扣回。第</w:t>
      </w:r>
      <w:r>
        <w:t>15</w:t>
      </w:r>
      <w:r>
        <w:rPr>
          <w:rFonts w:hint="eastAsia"/>
        </w:rPr>
        <w:t>条约定的变更及其他金额已按现行价格计价的，也不计在内；</w:t>
      </w:r>
    </w:p>
    <w:p>
      <w:pPr>
        <w:tabs>
          <w:tab w:val="left" w:pos="1260"/>
        </w:tabs>
        <w:spacing w:line="360" w:lineRule="auto"/>
      </w:pPr>
      <w:r>
        <w:tab/>
      </w:r>
      <w:bookmarkStart w:id="2082" w:name="_Toc144974686"/>
      <w:bookmarkStart w:id="2083" w:name="_Toc152042495"/>
      <w:r>
        <w:t xml:space="preserve">A -- </w:t>
      </w:r>
      <w:r>
        <w:rPr>
          <w:rFonts w:hint="eastAsia"/>
        </w:rPr>
        <w:t>定值权重</w:t>
      </w:r>
      <w:r>
        <w:t>(</w:t>
      </w:r>
      <w:r>
        <w:rPr>
          <w:rFonts w:hint="eastAsia"/>
        </w:rPr>
        <w:t>即不调部分的权重</w:t>
      </w:r>
      <w:r>
        <w:t>)</w:t>
      </w:r>
      <w:r>
        <w:rPr>
          <w:rFonts w:hint="eastAsia"/>
        </w:rPr>
        <w:t>；</w:t>
      </w:r>
      <w:bookmarkEnd w:id="2082"/>
      <w:bookmarkEnd w:id="2083"/>
    </w:p>
    <w:p>
      <w:pPr>
        <w:tabs>
          <w:tab w:val="left" w:pos="1260"/>
        </w:tabs>
        <w:spacing w:line="360" w:lineRule="auto"/>
      </w:pPr>
      <w:r>
        <w:tab/>
      </w:r>
      <w:r>
        <w:t>B</w:t>
      </w:r>
      <w:r>
        <w:rPr>
          <w:szCs w:val="21"/>
          <w:vertAlign w:val="subscript"/>
        </w:rPr>
        <w:t>1</w:t>
      </w:r>
      <w:r>
        <w:rPr>
          <w:sz w:val="15"/>
          <w:szCs w:val="15"/>
        </w:rPr>
        <w:t>;</w:t>
      </w:r>
      <w:r>
        <w:t xml:space="preserve"> B</w:t>
      </w:r>
      <w:r>
        <w:rPr>
          <w:szCs w:val="21"/>
          <w:vertAlign w:val="subscript"/>
        </w:rPr>
        <w:t>2</w:t>
      </w:r>
      <w:r>
        <w:t xml:space="preserve"> ;B</w:t>
      </w:r>
      <w:r>
        <w:rPr>
          <w:szCs w:val="21"/>
          <w:vertAlign w:val="subscript"/>
        </w:rPr>
        <w:t>3</w:t>
      </w:r>
      <w:r>
        <w:rPr>
          <w:rFonts w:hint="eastAsia" w:ascii="宋体" w:hAnsi="宋体"/>
          <w:sz w:val="15"/>
          <w:szCs w:val="15"/>
        </w:rPr>
        <w:t>·····</w:t>
      </w:r>
      <w:r>
        <w:t>B</w:t>
      </w:r>
      <w:r>
        <w:rPr>
          <w:szCs w:val="21"/>
          <w:vertAlign w:val="subscript"/>
        </w:rPr>
        <w:t>n</w:t>
      </w:r>
      <w:r>
        <w:t xml:space="preserve"> -- </w:t>
      </w:r>
      <w:r>
        <w:rPr>
          <w:rFonts w:hint="eastAsia"/>
        </w:rPr>
        <w:t>各可调因子的变值权重</w:t>
      </w:r>
      <w:r>
        <w:t>(</w:t>
      </w:r>
      <w:r>
        <w:rPr>
          <w:rFonts w:hint="eastAsia"/>
        </w:rPr>
        <w:t>即可调部分的权重</w:t>
      </w:r>
      <w:r>
        <w:t>)</w:t>
      </w:r>
      <w:r>
        <w:rPr>
          <w:rFonts w:hint="eastAsia"/>
        </w:rPr>
        <w:t>为各可调因子在</w:t>
      </w:r>
      <w:r>
        <w:rPr>
          <w:rFonts w:hint="eastAsia"/>
          <w:lang w:eastAsia="zh-CN"/>
        </w:rPr>
        <w:t>响应书</w:t>
      </w:r>
      <w:r>
        <w:rPr>
          <w:rFonts w:hint="eastAsia"/>
        </w:rPr>
        <w:t>投标总报价中所占的比例；</w:t>
      </w:r>
    </w:p>
    <w:p>
      <w:pPr>
        <w:tabs>
          <w:tab w:val="left" w:pos="1260"/>
        </w:tabs>
        <w:spacing w:line="360" w:lineRule="auto"/>
      </w:pPr>
      <w:r>
        <w:tab/>
      </w:r>
      <w:r>
        <w:t>F</w:t>
      </w:r>
      <w:r>
        <w:rPr>
          <w:szCs w:val="21"/>
          <w:vertAlign w:val="subscript"/>
        </w:rPr>
        <w:t>t1</w:t>
      </w:r>
      <w:r>
        <w:t xml:space="preserve"> ;F</w:t>
      </w:r>
      <w:r>
        <w:rPr>
          <w:szCs w:val="21"/>
          <w:vertAlign w:val="subscript"/>
        </w:rPr>
        <w:t>t2</w:t>
      </w:r>
      <w:r>
        <w:t xml:space="preserve"> ;F</w:t>
      </w:r>
      <w:r>
        <w:rPr>
          <w:szCs w:val="21"/>
          <w:vertAlign w:val="subscript"/>
        </w:rPr>
        <w:t>t3</w:t>
      </w:r>
      <w:r>
        <w:rPr>
          <w:rFonts w:hint="eastAsia" w:ascii="宋体" w:hAnsi="宋体"/>
          <w:sz w:val="15"/>
          <w:szCs w:val="15"/>
        </w:rPr>
        <w:t>·····</w:t>
      </w:r>
      <w:r>
        <w:t>F</w:t>
      </w:r>
      <w:r>
        <w:rPr>
          <w:szCs w:val="21"/>
          <w:vertAlign w:val="subscript"/>
        </w:rPr>
        <w:t>tn</w:t>
      </w:r>
      <w:r>
        <w:t xml:space="preserve"> -- </w:t>
      </w:r>
      <w:r>
        <w:rPr>
          <w:rFonts w:hint="eastAsia"/>
        </w:rPr>
        <w:t>各可调因子的现行价格指数，指第</w:t>
      </w:r>
      <w:r>
        <w:t>17.3.3</w:t>
      </w:r>
      <w:r>
        <w:rPr>
          <w:rFonts w:hint="eastAsia"/>
        </w:rPr>
        <w:t>项、第</w:t>
      </w:r>
      <w:r>
        <w:t>17.5.2</w:t>
      </w:r>
      <w:r>
        <w:rPr>
          <w:rFonts w:hint="eastAsia"/>
        </w:rPr>
        <w:t>项和第</w:t>
      </w:r>
      <w:r>
        <w:t>17.6.2</w:t>
      </w:r>
      <w:r>
        <w:rPr>
          <w:rFonts w:hint="eastAsia"/>
        </w:rPr>
        <w:t>项约定的付款证书相关周期最后一天的前</w:t>
      </w:r>
      <w:r>
        <w:t>42</w:t>
      </w:r>
      <w:r>
        <w:rPr>
          <w:rFonts w:hint="eastAsia"/>
        </w:rPr>
        <w:t>天的各可调因子的价格指数；</w:t>
      </w:r>
    </w:p>
    <w:p>
      <w:pPr>
        <w:tabs>
          <w:tab w:val="left" w:pos="1260"/>
        </w:tabs>
        <w:spacing w:line="360" w:lineRule="auto"/>
      </w:pPr>
      <w:r>
        <w:tab/>
      </w:r>
      <w:r>
        <w:t>F</w:t>
      </w:r>
      <w:r>
        <w:rPr>
          <w:szCs w:val="21"/>
          <w:vertAlign w:val="subscript"/>
        </w:rPr>
        <w:t>o1</w:t>
      </w:r>
      <w:r>
        <w:t>; F</w:t>
      </w:r>
      <w:r>
        <w:rPr>
          <w:szCs w:val="21"/>
          <w:vertAlign w:val="subscript"/>
        </w:rPr>
        <w:t>o2</w:t>
      </w:r>
      <w:r>
        <w:rPr>
          <w:sz w:val="15"/>
          <w:szCs w:val="15"/>
        </w:rPr>
        <w:t>;</w:t>
      </w:r>
      <w:r>
        <w:t xml:space="preserve"> F</w:t>
      </w:r>
      <w:r>
        <w:rPr>
          <w:szCs w:val="21"/>
          <w:vertAlign w:val="subscript"/>
        </w:rPr>
        <w:t>o3</w:t>
      </w:r>
      <w:r>
        <w:rPr>
          <w:rFonts w:hint="eastAsia" w:ascii="宋体" w:hAnsi="宋体"/>
          <w:sz w:val="15"/>
          <w:szCs w:val="15"/>
        </w:rPr>
        <w:t>·····</w:t>
      </w:r>
      <w:r>
        <w:t>F</w:t>
      </w:r>
      <w:r>
        <w:rPr>
          <w:szCs w:val="21"/>
          <w:vertAlign w:val="subscript"/>
        </w:rPr>
        <w:t>on</w:t>
      </w:r>
      <w:r>
        <w:t xml:space="preserve"> -- </w:t>
      </w:r>
      <w:r>
        <w:rPr>
          <w:rFonts w:hint="eastAsia"/>
        </w:rPr>
        <w:t>各可调因子的基本价格指数，指基准日期的各可调因子的价格指数。</w:t>
      </w:r>
    </w:p>
    <w:p>
      <w:pPr>
        <w:spacing w:line="360" w:lineRule="auto"/>
        <w:ind w:firstLine="630" w:firstLineChars="300"/>
      </w:pPr>
      <w:r>
        <w:rPr>
          <w:rFonts w:hint="eastAsia"/>
        </w:rPr>
        <w:t>以上价格调整公式中的各可调因子、定值和变值权重，以及基本价格指数及其来源在</w:t>
      </w:r>
      <w:r>
        <w:rPr>
          <w:rFonts w:hint="eastAsia"/>
          <w:lang w:eastAsia="zh-CN"/>
        </w:rPr>
        <w:t>响应文件</w:t>
      </w:r>
      <w:r>
        <w:rPr>
          <w:rFonts w:hint="eastAsia"/>
        </w:rPr>
        <w:t>价格指数和权重表中约定。价格指数应首先采用有关部门提供的价格指数，缺乏上述价格指数时，可采用有关部门提供的价格代替。</w:t>
      </w:r>
    </w:p>
    <w:p>
      <w:pPr>
        <w:spacing w:line="360" w:lineRule="auto"/>
        <w:ind w:firstLine="630" w:firstLineChars="300"/>
        <w:rPr>
          <w:rFonts w:ascii="宋体" w:hAnsi="宋体"/>
        </w:rPr>
      </w:pPr>
      <w:r>
        <w:rPr>
          <w:rFonts w:ascii="宋体" w:hAnsi="宋体"/>
        </w:rPr>
        <w:t xml:space="preserve">16.1.1.2 </w:t>
      </w:r>
      <w:r>
        <w:rPr>
          <w:rFonts w:hint="eastAsia" w:ascii="宋体" w:hAnsi="宋体"/>
        </w:rPr>
        <w:t>暂时确定调整差额</w:t>
      </w:r>
    </w:p>
    <w:p>
      <w:pPr>
        <w:spacing w:line="360" w:lineRule="auto"/>
        <w:ind w:firstLine="630" w:firstLineChars="300"/>
      </w:pPr>
      <w:r>
        <w:rPr>
          <w:rFonts w:hint="eastAsia"/>
        </w:rPr>
        <w:t>在计算调整差额时得不到现行价格指数的，可暂用上一次价格指数计算，并在以后的付款中再按实际价格指数进行调整。</w:t>
      </w:r>
    </w:p>
    <w:p>
      <w:pPr>
        <w:spacing w:line="360" w:lineRule="auto"/>
        <w:ind w:firstLine="630" w:firstLineChars="300"/>
        <w:rPr>
          <w:rFonts w:ascii="宋体" w:hAnsi="宋体"/>
        </w:rPr>
      </w:pPr>
      <w:bookmarkStart w:id="2084" w:name="_Toc429569375"/>
      <w:r>
        <w:rPr>
          <w:rFonts w:ascii="宋体" w:hAnsi="宋体"/>
        </w:rPr>
        <w:t xml:space="preserve">16.1.1.3 </w:t>
      </w:r>
      <w:r>
        <w:rPr>
          <w:rFonts w:hint="eastAsia" w:ascii="宋体" w:hAnsi="宋体"/>
        </w:rPr>
        <w:t>权重的调整</w:t>
      </w:r>
      <w:bookmarkEnd w:id="2084"/>
    </w:p>
    <w:p>
      <w:pPr>
        <w:spacing w:line="360" w:lineRule="auto"/>
        <w:ind w:firstLine="630" w:firstLineChars="300"/>
      </w:pPr>
      <w:r>
        <w:rPr>
          <w:rFonts w:hint="eastAsia"/>
        </w:rPr>
        <w:t>按第</w:t>
      </w:r>
      <w:r>
        <w:t>15.1</w:t>
      </w:r>
      <w:r>
        <w:rPr>
          <w:rFonts w:hint="eastAsia"/>
        </w:rPr>
        <w:t>款约定的变更导致原定合同中的权重不合理时，由监理人与承包人和发包人协商后进行调整。</w:t>
      </w:r>
    </w:p>
    <w:p>
      <w:pPr>
        <w:spacing w:line="360" w:lineRule="auto"/>
        <w:ind w:firstLine="630" w:firstLineChars="300"/>
        <w:rPr>
          <w:rFonts w:ascii="宋体" w:hAnsi="宋体"/>
        </w:rPr>
      </w:pPr>
      <w:r>
        <w:rPr>
          <w:rFonts w:ascii="宋体" w:hAnsi="宋体"/>
        </w:rPr>
        <w:t xml:space="preserve">16.1.1.4 </w:t>
      </w:r>
      <w:r>
        <w:rPr>
          <w:rFonts w:hint="eastAsia" w:ascii="宋体" w:hAnsi="宋体"/>
        </w:rPr>
        <w:t>承包人工期延误后的价格调整</w:t>
      </w:r>
    </w:p>
    <w:p>
      <w:pPr>
        <w:spacing w:line="360" w:lineRule="auto"/>
        <w:ind w:firstLine="630" w:firstLineChars="300"/>
      </w:pPr>
      <w:r>
        <w:rPr>
          <w:rFonts w:hint="eastAsia"/>
        </w:rPr>
        <w:t>由于承包人原因未在约定的工期内竣工的，则对原约定竣工日期后继续施工的工程，在使用第</w:t>
      </w:r>
      <w:r>
        <w:t>16.1.1.1</w:t>
      </w:r>
      <w:r>
        <w:rPr>
          <w:rFonts w:hint="eastAsia"/>
        </w:rPr>
        <w:t>目价格调整公式时，应采用原约定竣工日期与实际竣工日期的两个价格指数中较低的一个作为现行价格指数。</w:t>
      </w:r>
    </w:p>
    <w:p>
      <w:pPr>
        <w:spacing w:line="360" w:lineRule="auto"/>
        <w:ind w:firstLine="420" w:firstLineChars="200"/>
        <w:rPr>
          <w:rFonts w:ascii="宋体"/>
        </w:rPr>
      </w:pPr>
      <w:r>
        <w:rPr>
          <w:rFonts w:ascii="宋体" w:hAnsi="宋体"/>
        </w:rPr>
        <w:t xml:space="preserve">16.1.2  </w:t>
      </w:r>
      <w:r>
        <w:rPr>
          <w:rFonts w:hint="eastAsia" w:ascii="宋体" w:hAnsi="宋体"/>
        </w:rPr>
        <w:t>采用造价信息调整价格差额</w:t>
      </w:r>
    </w:p>
    <w:p>
      <w:pPr>
        <w:spacing w:line="360" w:lineRule="auto"/>
        <w:ind w:firstLine="420" w:firstLineChars="200"/>
        <w:rPr>
          <w:rFonts w:ascii="宋体"/>
        </w:rPr>
      </w:pPr>
      <w:r>
        <w:rPr>
          <w:rFonts w:hint="eastAsia" w:ascii="宋体" w:hAnsi="宋体"/>
        </w:rPr>
        <w:t>施工期内，因人工、材料、设备和机械台班价格波动影响合同价格时，需要进行价格调整的，其价格和数量应由监理人审核，监理人确认需调整的内容、范围、价格和数量作为调整工程合同价格差额的依据。</w:t>
      </w:r>
    </w:p>
    <w:p>
      <w:pPr>
        <w:spacing w:line="360" w:lineRule="auto"/>
        <w:ind w:firstLine="630" w:firstLineChars="300"/>
        <w:rPr>
          <w:rFonts w:ascii="宋体"/>
        </w:rPr>
      </w:pPr>
      <w:r>
        <w:rPr>
          <w:rFonts w:ascii="宋体" w:hAnsi="宋体"/>
        </w:rPr>
        <w:t xml:space="preserve">16.1.2.1  </w:t>
      </w:r>
      <w:r>
        <w:rPr>
          <w:rFonts w:hint="eastAsia" w:ascii="宋体" w:hAnsi="宋体"/>
        </w:rPr>
        <w:t>引起价格调整的物价波动风险范围及幅度</w:t>
      </w:r>
    </w:p>
    <w:p>
      <w:pPr>
        <w:spacing w:line="360" w:lineRule="auto"/>
        <w:ind w:firstLine="630" w:firstLineChars="300"/>
        <w:rPr>
          <w:rFonts w:ascii="宋体"/>
        </w:rPr>
      </w:pPr>
      <w:r>
        <w:rPr>
          <w:rFonts w:hint="eastAsia" w:ascii="宋体" w:hAnsi="宋体"/>
        </w:rPr>
        <w:t>施工期内，因人工、材料、设备和机械台班发生物价波动变化幅度在合同约定的风险幅度范围以内的，由承包人承担或受益，不调整合同价格；其价格波动变化幅度在合同约定的风险幅度范围以外的，由发包人承担或受益。</w:t>
      </w:r>
      <w:r>
        <w:rPr>
          <w:rFonts w:hint="eastAsia" w:ascii="宋体" w:hAnsi="宋体"/>
          <w:szCs w:val="21"/>
        </w:rPr>
        <w:t>物价波动引起</w:t>
      </w:r>
      <w:r>
        <w:rPr>
          <w:rFonts w:hint="eastAsia" w:ascii="宋体" w:hAnsi="宋体"/>
        </w:rPr>
        <w:t>价格调整的风险范围以及调整的风险幅度</w:t>
      </w:r>
      <w:r>
        <w:rPr>
          <w:rFonts w:hint="eastAsia" w:ascii="黑体" w:hAnsi="黑体" w:eastAsia="黑体"/>
          <w:szCs w:val="21"/>
        </w:rPr>
        <w:t>见合同条款专用部分。</w:t>
      </w:r>
    </w:p>
    <w:p>
      <w:pPr>
        <w:spacing w:line="360" w:lineRule="auto"/>
        <w:ind w:firstLine="630" w:firstLineChars="300"/>
        <w:rPr>
          <w:rFonts w:ascii="宋体"/>
        </w:rPr>
      </w:pPr>
      <w:r>
        <w:rPr>
          <w:rFonts w:ascii="宋体" w:hAnsi="宋体"/>
        </w:rPr>
        <w:t xml:space="preserve">16.1.2.2  </w:t>
      </w:r>
      <w:r>
        <w:rPr>
          <w:rFonts w:hint="eastAsia" w:ascii="宋体" w:hAnsi="宋体"/>
        </w:rPr>
        <w:t>物价波动变化幅度的计算方法</w:t>
      </w:r>
    </w:p>
    <w:p>
      <w:pPr>
        <w:spacing w:line="360" w:lineRule="auto"/>
        <w:ind w:firstLine="525" w:firstLineChars="250"/>
        <w:rPr>
          <w:rFonts w:ascii="宋体"/>
        </w:rPr>
      </w:pPr>
      <w:r>
        <w:rPr>
          <w:rFonts w:hint="eastAsia" w:ascii="宋体" w:hAnsi="宋体"/>
        </w:rPr>
        <w:t>（</w:t>
      </w:r>
      <w:r>
        <w:rPr>
          <w:rFonts w:ascii="宋体" w:hAnsi="宋体"/>
        </w:rPr>
        <w:t>1</w:t>
      </w:r>
      <w:r>
        <w:rPr>
          <w:rFonts w:hint="eastAsia" w:ascii="宋体" w:hAnsi="宋体"/>
        </w:rPr>
        <w:t>）投标报价基准期确定的人工、材料、设备和机械台班的市场价格即为基准价。投标报价基准期</w:t>
      </w:r>
      <w:r>
        <w:rPr>
          <w:rFonts w:hint="eastAsia" w:ascii="黑体" w:hAnsi="黑体" w:eastAsia="黑体"/>
          <w:szCs w:val="21"/>
        </w:rPr>
        <w:t>见合同条款专用部分。</w:t>
      </w:r>
    </w:p>
    <w:p>
      <w:pPr>
        <w:spacing w:line="360" w:lineRule="auto"/>
        <w:ind w:firstLine="525" w:firstLineChars="250"/>
        <w:rPr>
          <w:rFonts w:ascii="宋体"/>
        </w:rPr>
      </w:pPr>
      <w:r>
        <w:rPr>
          <w:rFonts w:hint="eastAsia" w:ascii="宋体" w:hAnsi="宋体"/>
        </w:rPr>
        <w:t>（</w:t>
      </w:r>
      <w:r>
        <w:rPr>
          <w:rFonts w:ascii="宋体" w:hAnsi="宋体"/>
        </w:rPr>
        <w:t>2</w:t>
      </w:r>
      <w:r>
        <w:rPr>
          <w:rFonts w:hint="eastAsia" w:ascii="宋体" w:hAnsi="宋体"/>
        </w:rPr>
        <w:t>）《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w:t>
      </w:r>
      <w:r>
        <w:rPr>
          <w:rFonts w:hint="eastAsia" w:ascii="黑体" w:hAnsi="黑体" w:eastAsia="黑体"/>
          <w:szCs w:val="21"/>
        </w:rPr>
        <w:t>见合同条款专用部分。</w:t>
      </w:r>
    </w:p>
    <w:p>
      <w:pPr>
        <w:spacing w:line="360" w:lineRule="auto"/>
        <w:ind w:firstLine="525" w:firstLineChars="250"/>
        <w:rPr>
          <w:rFonts w:ascii="宋体"/>
        </w:rPr>
      </w:pPr>
      <w:r>
        <w:rPr>
          <w:rFonts w:hint="eastAsia" w:ascii="宋体" w:hAnsi="宋体"/>
        </w:rPr>
        <w:t>（</w:t>
      </w:r>
      <w:r>
        <w:rPr>
          <w:rFonts w:ascii="宋体" w:hAnsi="宋体"/>
        </w:rPr>
        <w:t>3</w:t>
      </w:r>
      <w:r>
        <w:rPr>
          <w:rFonts w:hint="eastAsia" w:ascii="宋体" w:hAnsi="宋体"/>
        </w:rPr>
        <w:t>）合同施工期市场价格的确定方法</w:t>
      </w:r>
      <w:r>
        <w:rPr>
          <w:rFonts w:hint="eastAsia" w:ascii="黑体" w:hAnsi="黑体" w:eastAsia="黑体"/>
          <w:szCs w:val="21"/>
        </w:rPr>
        <w:t>见合同条款专用部分。</w:t>
      </w:r>
    </w:p>
    <w:p>
      <w:pPr>
        <w:spacing w:line="360" w:lineRule="auto"/>
        <w:ind w:firstLine="525" w:firstLineChars="250"/>
        <w:rPr>
          <w:rFonts w:ascii="宋体"/>
          <w:szCs w:val="21"/>
        </w:rPr>
      </w:pPr>
      <w:r>
        <w:rPr>
          <w:rFonts w:hint="eastAsia" w:ascii="宋体" w:hAnsi="宋体"/>
        </w:rPr>
        <w:t>（</w:t>
      </w:r>
      <w:r>
        <w:rPr>
          <w:rFonts w:ascii="宋体" w:hAnsi="宋体"/>
        </w:rPr>
        <w:t>4</w:t>
      </w:r>
      <w:r>
        <w:rPr>
          <w:rFonts w:hint="eastAsia" w:ascii="宋体" w:hAnsi="宋体"/>
        </w:rPr>
        <w:t>）物价波动变化幅度</w:t>
      </w:r>
      <w:r>
        <w:rPr>
          <w:rFonts w:hint="eastAsia" w:ascii="宋体" w:hAnsi="宋体"/>
          <w:szCs w:val="21"/>
        </w:rPr>
        <w:t>的计算方法：</w:t>
      </w:r>
    </w:p>
    <w:p>
      <w:pPr>
        <w:spacing w:line="360" w:lineRule="auto"/>
        <w:ind w:left="993"/>
        <w:rPr>
          <w:rFonts w:ascii="宋体"/>
          <w:szCs w:val="21"/>
        </w:rPr>
      </w:pPr>
      <w:r>
        <w:rPr>
          <w:rFonts w:ascii="宋体" w:hAnsi="宋体"/>
          <w:szCs w:val="21"/>
        </w:rPr>
        <w:t>1</w:t>
      </w:r>
      <w:r>
        <w:rPr>
          <w:rFonts w:hint="eastAsia" w:ascii="宋体" w:hAnsi="宋体"/>
          <w:szCs w:val="21"/>
        </w:rPr>
        <w:t>）当承包人投标报价中的单价低于基准价时：</w:t>
      </w:r>
    </w:p>
    <w:p>
      <w:pPr>
        <w:spacing w:line="360" w:lineRule="auto"/>
        <w:ind w:left="1418" w:leftChars="675"/>
        <w:rPr>
          <w:rFonts w:ascii="宋体"/>
          <w:szCs w:val="21"/>
        </w:rPr>
      </w:pPr>
      <w:r>
        <w:rPr>
          <w:rFonts w:hint="eastAsia" w:ascii="宋体" w:hAnsi="宋体"/>
        </w:rPr>
        <w:t>物价波动变化幅度</w:t>
      </w:r>
      <w:r>
        <w:rPr>
          <w:rFonts w:hint="eastAsia" w:ascii="宋体" w:hAnsi="宋体"/>
          <w:szCs w:val="21"/>
        </w:rPr>
        <w:t>（涨幅）</w:t>
      </w:r>
      <w:r>
        <w:rPr>
          <w:rFonts w:ascii="宋体" w:hAnsi="宋体"/>
          <w:szCs w:val="21"/>
        </w:rPr>
        <w:t>=</w:t>
      </w:r>
      <w:r>
        <w:rPr>
          <w:rFonts w:hint="eastAsia" w:ascii="宋体" w:hAnsi="宋体"/>
          <w:szCs w:val="21"/>
        </w:rPr>
        <w:t>（施工期市场价</w:t>
      </w:r>
      <w:r>
        <w:rPr>
          <w:rFonts w:ascii="宋体"/>
          <w:szCs w:val="21"/>
        </w:rPr>
        <w:t>-</w:t>
      </w:r>
      <w:r>
        <w:rPr>
          <w:rFonts w:hint="eastAsia" w:ascii="宋体" w:hAnsi="宋体"/>
          <w:szCs w:val="21"/>
        </w:rPr>
        <w:t>基准价）</w:t>
      </w:r>
      <w:r>
        <w:rPr>
          <w:rFonts w:ascii="宋体" w:hAnsi="宋体"/>
          <w:szCs w:val="21"/>
        </w:rPr>
        <w:t>/</w:t>
      </w:r>
      <w:r>
        <w:rPr>
          <w:rFonts w:hint="eastAsia" w:ascii="宋体" w:hAnsi="宋体"/>
          <w:szCs w:val="21"/>
        </w:rPr>
        <w:t>基准价×</w:t>
      </w:r>
      <w:r>
        <w:rPr>
          <w:rFonts w:ascii="宋体" w:hAnsi="宋体"/>
          <w:szCs w:val="21"/>
        </w:rPr>
        <w:t>100%</w:t>
      </w:r>
    </w:p>
    <w:p>
      <w:pPr>
        <w:spacing w:line="360" w:lineRule="auto"/>
        <w:ind w:left="1418" w:leftChars="675"/>
        <w:rPr>
          <w:rFonts w:ascii="宋体"/>
          <w:szCs w:val="21"/>
        </w:rPr>
      </w:pPr>
      <w:r>
        <w:rPr>
          <w:rFonts w:hint="eastAsia" w:ascii="宋体" w:hAnsi="宋体"/>
        </w:rPr>
        <w:t>物价波动变化幅度</w:t>
      </w:r>
      <w:r>
        <w:rPr>
          <w:rFonts w:hint="eastAsia" w:ascii="宋体" w:hAnsi="宋体"/>
          <w:szCs w:val="21"/>
        </w:rPr>
        <w:t>（跌幅）</w:t>
      </w:r>
      <w:r>
        <w:rPr>
          <w:rFonts w:ascii="宋体" w:hAnsi="宋体"/>
          <w:szCs w:val="21"/>
        </w:rPr>
        <w:t>=</w:t>
      </w:r>
      <w:r>
        <w:rPr>
          <w:rFonts w:hint="eastAsia" w:ascii="宋体" w:hAnsi="宋体"/>
          <w:szCs w:val="21"/>
        </w:rPr>
        <w:t>（施工期市场价</w:t>
      </w:r>
      <w:r>
        <w:rPr>
          <w:rFonts w:ascii="宋体"/>
          <w:szCs w:val="21"/>
        </w:rPr>
        <w:t>-</w:t>
      </w:r>
      <w:r>
        <w:rPr>
          <w:rFonts w:hint="eastAsia" w:ascii="宋体" w:hAnsi="宋体"/>
          <w:szCs w:val="21"/>
        </w:rPr>
        <w:t>投标单价）</w:t>
      </w:r>
      <w:r>
        <w:rPr>
          <w:rFonts w:ascii="宋体" w:hAnsi="宋体"/>
          <w:szCs w:val="21"/>
        </w:rPr>
        <w:t>/</w:t>
      </w:r>
      <w:r>
        <w:rPr>
          <w:rFonts w:hint="eastAsia" w:ascii="宋体" w:hAnsi="宋体"/>
          <w:szCs w:val="21"/>
        </w:rPr>
        <w:t>投标单价×</w:t>
      </w:r>
      <w:r>
        <w:rPr>
          <w:rFonts w:ascii="宋体" w:hAnsi="宋体"/>
          <w:szCs w:val="21"/>
        </w:rPr>
        <w:t>100%</w:t>
      </w:r>
    </w:p>
    <w:p>
      <w:pPr>
        <w:spacing w:line="360" w:lineRule="auto"/>
        <w:ind w:left="993"/>
        <w:rPr>
          <w:rFonts w:ascii="宋体"/>
          <w:szCs w:val="21"/>
        </w:rPr>
      </w:pPr>
      <w:r>
        <w:rPr>
          <w:rFonts w:ascii="宋体" w:hAnsi="宋体"/>
          <w:szCs w:val="21"/>
        </w:rPr>
        <w:t>2</w:t>
      </w:r>
      <w:r>
        <w:rPr>
          <w:rFonts w:hint="eastAsia" w:ascii="宋体" w:hAnsi="宋体"/>
          <w:szCs w:val="21"/>
        </w:rPr>
        <w:t>）当承包人投标报价中的单价高于基准价时：</w:t>
      </w:r>
    </w:p>
    <w:p>
      <w:pPr>
        <w:spacing w:line="360" w:lineRule="auto"/>
        <w:ind w:left="1418" w:leftChars="675"/>
        <w:rPr>
          <w:rFonts w:ascii="宋体"/>
        </w:rPr>
      </w:pPr>
      <w:r>
        <w:rPr>
          <w:rFonts w:hint="eastAsia" w:ascii="宋体" w:hAnsi="宋体"/>
        </w:rPr>
        <w:t>物价波动变化幅度（涨幅）</w:t>
      </w:r>
      <w:r>
        <w:rPr>
          <w:rFonts w:ascii="宋体" w:hAnsi="宋体"/>
        </w:rPr>
        <w:t>=</w:t>
      </w:r>
      <w:r>
        <w:rPr>
          <w:rFonts w:hint="eastAsia" w:ascii="宋体" w:hAnsi="宋体"/>
        </w:rPr>
        <w:t>（施工期市场价</w:t>
      </w:r>
      <w:r>
        <w:rPr>
          <w:rFonts w:ascii="宋体"/>
        </w:rPr>
        <w:t>-</w:t>
      </w:r>
      <w:r>
        <w:rPr>
          <w:rFonts w:hint="eastAsia" w:ascii="宋体" w:hAnsi="宋体"/>
        </w:rPr>
        <w:t>投标单价）</w:t>
      </w:r>
      <w:r>
        <w:rPr>
          <w:rFonts w:ascii="宋体" w:hAnsi="宋体"/>
        </w:rPr>
        <w:t>/</w:t>
      </w:r>
      <w:r>
        <w:rPr>
          <w:rFonts w:hint="eastAsia" w:ascii="宋体" w:hAnsi="宋体"/>
        </w:rPr>
        <w:t>投标单价×</w:t>
      </w:r>
      <w:r>
        <w:rPr>
          <w:rFonts w:ascii="宋体" w:hAnsi="宋体"/>
        </w:rPr>
        <w:t>100%</w:t>
      </w:r>
    </w:p>
    <w:p>
      <w:pPr>
        <w:spacing w:line="360" w:lineRule="auto"/>
        <w:ind w:left="1418" w:leftChars="675"/>
        <w:rPr>
          <w:rFonts w:ascii="宋体"/>
        </w:rPr>
      </w:pPr>
      <w:r>
        <w:rPr>
          <w:rFonts w:hint="eastAsia" w:ascii="宋体" w:hAnsi="宋体"/>
        </w:rPr>
        <w:t>物价波动变化幅度（跌幅）</w:t>
      </w:r>
      <w:r>
        <w:rPr>
          <w:rFonts w:ascii="宋体" w:hAnsi="宋体"/>
        </w:rPr>
        <w:t>=</w:t>
      </w:r>
      <w:r>
        <w:rPr>
          <w:rFonts w:hint="eastAsia" w:ascii="宋体" w:hAnsi="宋体"/>
        </w:rPr>
        <w:t>（施工期市场价</w:t>
      </w:r>
      <w:r>
        <w:rPr>
          <w:rFonts w:ascii="宋体"/>
        </w:rPr>
        <w:t>-</w:t>
      </w:r>
      <w:r>
        <w:rPr>
          <w:rFonts w:hint="eastAsia" w:ascii="宋体" w:hAnsi="宋体"/>
        </w:rPr>
        <w:t>基准价）</w:t>
      </w:r>
      <w:r>
        <w:rPr>
          <w:rFonts w:ascii="宋体" w:hAnsi="宋体"/>
        </w:rPr>
        <w:t>/</w:t>
      </w:r>
      <w:r>
        <w:rPr>
          <w:rFonts w:hint="eastAsia" w:ascii="宋体" w:hAnsi="宋体"/>
        </w:rPr>
        <w:t>基准价×</w:t>
      </w:r>
      <w:r>
        <w:rPr>
          <w:rFonts w:ascii="宋体" w:hAnsi="宋体"/>
        </w:rPr>
        <w:t>100%</w:t>
      </w:r>
    </w:p>
    <w:p>
      <w:pPr>
        <w:spacing w:line="360" w:lineRule="auto"/>
        <w:ind w:left="993"/>
        <w:rPr>
          <w:rFonts w:ascii="宋体"/>
          <w:szCs w:val="21"/>
        </w:rPr>
      </w:pPr>
      <w:r>
        <w:rPr>
          <w:rFonts w:ascii="宋体" w:hAnsi="宋体"/>
          <w:szCs w:val="21"/>
        </w:rPr>
        <w:t>3</w:t>
      </w:r>
      <w:r>
        <w:rPr>
          <w:rFonts w:hint="eastAsia" w:ascii="宋体" w:hAnsi="宋体"/>
          <w:szCs w:val="21"/>
        </w:rPr>
        <w:t>）当承包人投标报价中的单价等于基准价时：</w:t>
      </w:r>
    </w:p>
    <w:p>
      <w:pPr>
        <w:spacing w:line="360" w:lineRule="auto"/>
        <w:ind w:left="1418" w:leftChars="675"/>
        <w:rPr>
          <w:rFonts w:ascii="宋体"/>
        </w:rPr>
      </w:pPr>
      <w:r>
        <w:rPr>
          <w:rFonts w:hint="eastAsia" w:ascii="宋体" w:hAnsi="宋体"/>
        </w:rPr>
        <w:t>物价波动变化幅度</w:t>
      </w:r>
      <w:r>
        <w:rPr>
          <w:rFonts w:ascii="宋体" w:hAnsi="宋体"/>
        </w:rPr>
        <w:t>=</w:t>
      </w:r>
      <w:r>
        <w:rPr>
          <w:rFonts w:hint="eastAsia" w:ascii="宋体" w:hAnsi="宋体"/>
        </w:rPr>
        <w:t>（施工期市场价</w:t>
      </w:r>
      <w:r>
        <w:rPr>
          <w:rFonts w:ascii="宋体"/>
        </w:rPr>
        <w:t>-</w:t>
      </w:r>
      <w:r>
        <w:rPr>
          <w:rFonts w:hint="eastAsia" w:ascii="宋体" w:hAnsi="宋体"/>
        </w:rPr>
        <w:t>基准价）</w:t>
      </w:r>
      <w:r>
        <w:rPr>
          <w:rFonts w:ascii="宋体" w:hAnsi="宋体"/>
        </w:rPr>
        <w:t>/</w:t>
      </w:r>
      <w:r>
        <w:rPr>
          <w:rFonts w:hint="eastAsia" w:ascii="宋体" w:hAnsi="宋体"/>
        </w:rPr>
        <w:t>基准价×</w:t>
      </w:r>
      <w:r>
        <w:rPr>
          <w:rFonts w:ascii="宋体" w:hAnsi="宋体"/>
        </w:rPr>
        <w:t>100%</w:t>
      </w:r>
    </w:p>
    <w:p>
      <w:pPr>
        <w:spacing w:line="360" w:lineRule="auto"/>
        <w:ind w:firstLine="630" w:firstLineChars="300"/>
        <w:rPr>
          <w:rFonts w:ascii="宋体"/>
        </w:rPr>
      </w:pPr>
      <w:r>
        <w:rPr>
          <w:rFonts w:ascii="宋体" w:hAnsi="宋体"/>
        </w:rPr>
        <w:t>16.1.2</w:t>
      </w:r>
      <w:r>
        <w:rPr>
          <w:rFonts w:ascii="宋体"/>
        </w:rPr>
        <w:t>.</w:t>
      </w:r>
      <w:r>
        <w:rPr>
          <w:rFonts w:ascii="宋体" w:hAnsi="宋体"/>
        </w:rPr>
        <w:t xml:space="preserve">3  </w:t>
      </w:r>
      <w:r>
        <w:rPr>
          <w:rFonts w:hint="eastAsia" w:ascii="宋体" w:hAnsi="宋体"/>
        </w:rPr>
        <w:t>物价波动引起价格调整的方法</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）第</w:t>
      </w:r>
      <w:r>
        <w:rPr>
          <w:rFonts w:ascii="宋体" w:hAnsi="宋体"/>
        </w:rPr>
        <w:t>16.1.2.1</w:t>
      </w:r>
      <w:r>
        <w:rPr>
          <w:rFonts w:hint="eastAsia" w:ascii="宋体" w:hAnsi="宋体"/>
        </w:rPr>
        <w:t>目中约定的人工、材料、设备和机械台班</w:t>
      </w:r>
      <w:r>
        <w:rPr>
          <w:rFonts w:hint="eastAsia" w:ascii="宋体" w:hAnsi="宋体"/>
          <w:szCs w:val="21"/>
        </w:rPr>
        <w:t>的</w:t>
      </w:r>
      <w:r>
        <w:rPr>
          <w:rFonts w:hint="eastAsia" w:ascii="宋体" w:hAnsi="宋体"/>
        </w:rPr>
        <w:t>物价波动变化幅度</w:t>
      </w:r>
      <w:r>
        <w:rPr>
          <w:rFonts w:hint="eastAsia" w:ascii="宋体" w:hAnsi="宋体"/>
          <w:szCs w:val="21"/>
        </w:rPr>
        <w:t>超过风险幅度时，其计算价格调整差额的方法</w:t>
      </w:r>
      <w:r>
        <w:rPr>
          <w:rFonts w:hint="eastAsia" w:ascii="黑体" w:hAnsi="黑体" w:eastAsia="黑体"/>
          <w:szCs w:val="21"/>
        </w:rPr>
        <w:t>见合同条款专用部分</w:t>
      </w:r>
      <w:r>
        <w:rPr>
          <w:rFonts w:hint="eastAsia" w:ascii="宋体" w:hAnsi="宋体"/>
          <w:szCs w:val="21"/>
        </w:rPr>
        <w:t>。</w:t>
      </w:r>
    </w:p>
    <w:p>
      <w:pPr>
        <w:widowControl/>
        <w:shd w:val="clear" w:color="auto" w:fill="FFFFFF"/>
        <w:spacing w:line="360" w:lineRule="auto"/>
        <w:ind w:firstLine="420" w:firstLineChars="200"/>
        <w:jc w:val="left"/>
        <w:rPr>
          <w:rFonts w:ascii="宋体"/>
          <w:szCs w:val="21"/>
        </w:rPr>
      </w:pPr>
      <w:r>
        <w:rPr>
          <w:rFonts w:hint="eastAsia" w:ascii="宋体" w:hAnsi="宋体"/>
        </w:rPr>
        <w:t>（</w:t>
      </w:r>
      <w:r>
        <w:rPr>
          <w:rFonts w:ascii="宋体" w:hAnsi="宋体"/>
        </w:rPr>
        <w:t>2</w:t>
      </w:r>
      <w:r>
        <w:rPr>
          <w:rFonts w:hint="eastAsia" w:ascii="宋体" w:hAnsi="宋体"/>
        </w:rPr>
        <w:t>）第</w:t>
      </w:r>
      <w:r>
        <w:rPr>
          <w:rFonts w:ascii="宋体" w:hAnsi="宋体"/>
        </w:rPr>
        <w:t>16.1.2.1</w:t>
      </w:r>
      <w:r>
        <w:rPr>
          <w:rFonts w:hint="eastAsia" w:ascii="宋体" w:hAnsi="宋体"/>
        </w:rPr>
        <w:t>目中约定的</w:t>
      </w:r>
      <w:r>
        <w:rPr>
          <w:rFonts w:hint="eastAsia" w:ascii="宋体" w:hAnsi="宋体"/>
          <w:szCs w:val="21"/>
        </w:rPr>
        <w:t>人工的</w:t>
      </w:r>
      <w:r>
        <w:rPr>
          <w:rFonts w:hint="eastAsia" w:ascii="宋体" w:hAnsi="宋体"/>
        </w:rPr>
        <w:t>物价波动变化幅度</w:t>
      </w:r>
      <w:r>
        <w:rPr>
          <w:rFonts w:hint="eastAsia" w:ascii="宋体" w:hAnsi="宋体"/>
          <w:szCs w:val="21"/>
        </w:rPr>
        <w:t>超过风险幅度时，应当计算全部价格差额，其价格差额由发包人承担或受益，其价格差额不计取规费，只计取税金。</w:t>
      </w:r>
    </w:p>
    <w:p>
      <w:pPr>
        <w:widowControl/>
        <w:shd w:val="clear" w:color="auto" w:fill="FFFFFF"/>
        <w:spacing w:line="360" w:lineRule="auto"/>
        <w:ind w:firstLine="420" w:firstLineChars="200"/>
        <w:jc w:val="left"/>
        <w:rPr>
          <w:rFonts w:ascii="宋体"/>
          <w:szCs w:val="21"/>
        </w:rPr>
      </w:pPr>
      <w:r>
        <w:rPr>
          <w:rFonts w:hint="eastAsia" w:ascii="宋体" w:hAnsi="宋体"/>
          <w:szCs w:val="21"/>
        </w:rPr>
        <w:t>（</w:t>
      </w:r>
      <w:r>
        <w:rPr>
          <w:rFonts w:ascii="宋体" w:hAnsi="宋体"/>
          <w:szCs w:val="21"/>
        </w:rPr>
        <w:t>3</w:t>
      </w:r>
      <w:r>
        <w:rPr>
          <w:rFonts w:hint="eastAsia" w:ascii="宋体" w:hAnsi="宋体"/>
          <w:szCs w:val="21"/>
        </w:rPr>
        <w:t>）</w:t>
      </w:r>
      <w:r>
        <w:rPr>
          <w:rFonts w:hint="eastAsia" w:ascii="宋体" w:hAnsi="宋体"/>
        </w:rPr>
        <w:t>第</w:t>
      </w:r>
      <w:r>
        <w:rPr>
          <w:rFonts w:ascii="宋体" w:hAnsi="宋体"/>
        </w:rPr>
        <w:t>16.1.2.1</w:t>
      </w:r>
      <w:r>
        <w:rPr>
          <w:rFonts w:hint="eastAsia" w:ascii="宋体" w:hAnsi="宋体"/>
        </w:rPr>
        <w:t>目中约定的材料、设备和机械台班</w:t>
      </w:r>
      <w:r>
        <w:rPr>
          <w:rFonts w:hint="eastAsia" w:ascii="宋体" w:hAnsi="宋体"/>
          <w:szCs w:val="21"/>
        </w:rPr>
        <w:t>的</w:t>
      </w:r>
      <w:r>
        <w:rPr>
          <w:rFonts w:hint="eastAsia" w:ascii="宋体" w:hAnsi="宋体"/>
        </w:rPr>
        <w:t>物价波动变化幅度</w:t>
      </w:r>
      <w:r>
        <w:rPr>
          <w:rFonts w:hint="eastAsia" w:ascii="宋体" w:hAnsi="宋体"/>
          <w:szCs w:val="21"/>
        </w:rPr>
        <w:t>超过风险幅度时，应当计算超过部分的价格差额，其价格差额由发包人承担或受益，其价格差额不计取规费，只计取税金。</w:t>
      </w:r>
    </w:p>
    <w:p>
      <w:pPr>
        <w:widowControl/>
        <w:shd w:val="clear" w:color="auto" w:fill="FFFFFF"/>
        <w:spacing w:line="360" w:lineRule="auto"/>
        <w:ind w:firstLine="630" w:firstLineChars="300"/>
        <w:jc w:val="left"/>
        <w:rPr>
          <w:rFonts w:ascii="宋体"/>
          <w:szCs w:val="21"/>
        </w:rPr>
      </w:pPr>
      <w:r>
        <w:rPr>
          <w:rFonts w:ascii="宋体" w:hAnsi="宋体"/>
        </w:rPr>
        <w:t>16.1.2</w:t>
      </w:r>
      <w:r>
        <w:rPr>
          <w:rFonts w:ascii="宋体"/>
        </w:rPr>
        <w:t>.</w:t>
      </w:r>
      <w:r>
        <w:rPr>
          <w:rFonts w:ascii="宋体" w:hAnsi="宋体"/>
        </w:rPr>
        <w:t xml:space="preserve">4  </w:t>
      </w:r>
      <w:r>
        <w:rPr>
          <w:rFonts w:hint="eastAsia" w:ascii="宋体" w:hAnsi="宋体"/>
          <w:szCs w:val="21"/>
        </w:rPr>
        <w:t>物</w:t>
      </w:r>
      <w:r>
        <w:rPr>
          <w:rFonts w:hint="eastAsia" w:ascii="宋体" w:hAnsi="宋体"/>
        </w:rPr>
        <w:t>价波动引起价格调整的</w:t>
      </w:r>
      <w:r>
        <w:rPr>
          <w:rFonts w:hint="eastAsia" w:ascii="宋体" w:hAnsi="宋体"/>
          <w:szCs w:val="21"/>
        </w:rPr>
        <w:t>其他约定</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rPr>
      </w:pPr>
      <w:r>
        <w:rPr>
          <w:rFonts w:ascii="宋体" w:hAnsi="宋体"/>
        </w:rPr>
        <w:t xml:space="preserve">16.1.3  </w:t>
      </w:r>
      <w:r>
        <w:rPr>
          <w:rFonts w:hint="eastAsia" w:ascii="宋体" w:hAnsi="宋体"/>
          <w:szCs w:val="21"/>
        </w:rPr>
        <w:t>物</w:t>
      </w:r>
      <w:r>
        <w:rPr>
          <w:rFonts w:hint="eastAsia" w:ascii="宋体" w:hAnsi="宋体"/>
        </w:rPr>
        <w:t>价波动引起价格调整的其他方法</w:t>
      </w:r>
      <w:r>
        <w:rPr>
          <w:rFonts w:hint="eastAsia" w:ascii="黑体" w:hAnsi="黑体" w:eastAsia="黑体"/>
          <w:szCs w:val="21"/>
        </w:rPr>
        <w:t>见合同条款专用部分</w:t>
      </w:r>
      <w:r>
        <w:rPr>
          <w:rFonts w:hint="eastAsia" w:ascii="宋体" w:hAnsi="宋体"/>
        </w:rPr>
        <w:t>。</w:t>
      </w:r>
    </w:p>
    <w:p>
      <w:pPr>
        <w:pStyle w:val="253"/>
        <w:spacing w:before="120"/>
      </w:pPr>
      <w:bookmarkStart w:id="2085" w:name="_Toc480487009"/>
      <w:bookmarkStart w:id="2086" w:name="_Toc10233591"/>
      <w:bookmarkStart w:id="2087" w:name="_Toc152045717"/>
      <w:bookmarkStart w:id="2088" w:name="_Toc489279966"/>
      <w:bookmarkStart w:id="2089" w:name="_Toc480486837"/>
      <w:bookmarkStart w:id="2090" w:name="_Toc152042496"/>
      <w:bookmarkStart w:id="2091" w:name="_Toc486580155"/>
      <w:bookmarkStart w:id="2092" w:name="_Toc490222600"/>
      <w:bookmarkStart w:id="2093" w:name="_Toc342296368"/>
      <w:bookmarkStart w:id="2094" w:name="_Toc338944810"/>
      <w:bookmarkStart w:id="2095" w:name="_Toc144974688"/>
      <w:bookmarkStart w:id="2096" w:name="_Toc483668184"/>
      <w:bookmarkStart w:id="2097" w:name="_Toc179632735"/>
      <w:r>
        <w:t xml:space="preserve">16.2  </w:t>
      </w:r>
      <w:r>
        <w:rPr>
          <w:rFonts w:hint="eastAsia"/>
        </w:rPr>
        <w:t>法律变化引起的价格调整</w:t>
      </w:r>
      <w:bookmarkEnd w:id="2085"/>
      <w:bookmarkEnd w:id="2086"/>
      <w:bookmarkEnd w:id="2087"/>
      <w:bookmarkEnd w:id="2088"/>
      <w:bookmarkEnd w:id="2089"/>
      <w:bookmarkEnd w:id="2090"/>
      <w:bookmarkEnd w:id="2091"/>
      <w:bookmarkEnd w:id="2092"/>
      <w:bookmarkEnd w:id="2093"/>
      <w:bookmarkEnd w:id="2094"/>
      <w:bookmarkEnd w:id="2095"/>
      <w:bookmarkEnd w:id="2096"/>
      <w:bookmarkEnd w:id="2097"/>
    </w:p>
    <w:p>
      <w:pPr>
        <w:spacing w:line="360" w:lineRule="auto"/>
        <w:ind w:firstLine="420" w:firstLineChars="200"/>
        <w:rPr>
          <w:rFonts w:ascii="宋体"/>
        </w:rPr>
      </w:pPr>
      <w:r>
        <w:rPr>
          <w:rFonts w:hint="eastAsia" w:ascii="宋体" w:hAnsi="宋体"/>
        </w:rPr>
        <w:t>在基准日后，因法律变化导致承包人在合同履行中所需要的工程费用发生除第</w:t>
      </w:r>
      <w:r>
        <w:rPr>
          <w:rFonts w:ascii="宋体" w:hAnsi="宋体"/>
        </w:rPr>
        <w:t>16.1</w:t>
      </w:r>
      <w:r>
        <w:rPr>
          <w:rFonts w:hint="eastAsia" w:ascii="宋体" w:hAnsi="宋体"/>
        </w:rPr>
        <w:t>款约定以外的增减时，监理人应根据法律、国家或省、自治区、直辖市有关部门的规定，按第</w:t>
      </w:r>
      <w:r>
        <w:rPr>
          <w:rFonts w:ascii="宋体" w:hAnsi="宋体"/>
        </w:rPr>
        <w:t>3.5</w:t>
      </w:r>
      <w:r>
        <w:rPr>
          <w:rFonts w:hint="eastAsia" w:ascii="宋体" w:hAnsi="宋体"/>
        </w:rPr>
        <w:t>款商定或确定需调整的合同价款。</w:t>
      </w:r>
    </w:p>
    <w:p>
      <w:pPr>
        <w:pStyle w:val="43"/>
        <w:spacing w:after="120"/>
      </w:pPr>
      <w:bookmarkStart w:id="2098" w:name="_Toc342296369"/>
      <w:bookmarkStart w:id="2099" w:name="_Toc480487010"/>
      <w:bookmarkStart w:id="2100" w:name="_Toc490222601"/>
      <w:bookmarkStart w:id="2101" w:name="_Toc483668185"/>
      <w:bookmarkStart w:id="2102" w:name="_Toc489279967"/>
      <w:bookmarkStart w:id="2103" w:name="_Toc480486838"/>
      <w:bookmarkStart w:id="2104" w:name="_Toc486580156"/>
      <w:bookmarkStart w:id="2105" w:name="_Toc10233592"/>
      <w:bookmarkStart w:id="2106" w:name="_Toc338944811"/>
      <w:r>
        <w:t>17.</w:t>
      </w:r>
      <w:r>
        <w:rPr>
          <w:rFonts w:hint="eastAsia"/>
        </w:rPr>
        <w:t>计量与支付</w:t>
      </w:r>
      <w:bookmarkEnd w:id="2098"/>
      <w:bookmarkEnd w:id="2099"/>
      <w:bookmarkEnd w:id="2100"/>
      <w:bookmarkEnd w:id="2101"/>
      <w:bookmarkEnd w:id="2102"/>
      <w:bookmarkEnd w:id="2103"/>
      <w:bookmarkEnd w:id="2104"/>
      <w:bookmarkEnd w:id="2105"/>
      <w:bookmarkEnd w:id="2106"/>
    </w:p>
    <w:p>
      <w:pPr>
        <w:pStyle w:val="253"/>
        <w:spacing w:before="120"/>
      </w:pPr>
      <w:bookmarkStart w:id="2107" w:name="_Toc342296370"/>
      <w:bookmarkStart w:id="2108" w:name="_Toc483668186"/>
      <w:bookmarkStart w:id="2109" w:name="_Toc10233593"/>
      <w:bookmarkStart w:id="2110" w:name="_Toc480486839"/>
      <w:bookmarkStart w:id="2111" w:name="_Toc486580157"/>
      <w:bookmarkStart w:id="2112" w:name="_Toc338944812"/>
      <w:bookmarkStart w:id="2113" w:name="_Toc490222602"/>
      <w:bookmarkStart w:id="2114" w:name="_Toc489279968"/>
      <w:bookmarkStart w:id="2115" w:name="_Toc480487011"/>
      <w:r>
        <w:t xml:space="preserve">17.1  </w:t>
      </w:r>
      <w:r>
        <w:rPr>
          <w:rFonts w:hint="eastAsia"/>
        </w:rPr>
        <w:t>计量</w:t>
      </w:r>
      <w:bookmarkEnd w:id="2107"/>
      <w:bookmarkEnd w:id="2108"/>
      <w:bookmarkEnd w:id="2109"/>
      <w:bookmarkEnd w:id="2110"/>
      <w:bookmarkEnd w:id="2111"/>
      <w:bookmarkEnd w:id="2112"/>
      <w:bookmarkEnd w:id="2113"/>
      <w:bookmarkEnd w:id="2114"/>
      <w:bookmarkEnd w:id="2115"/>
    </w:p>
    <w:p>
      <w:pPr>
        <w:spacing w:line="360" w:lineRule="auto"/>
        <w:ind w:firstLine="420" w:firstLineChars="200"/>
        <w:rPr>
          <w:rFonts w:ascii="宋体"/>
        </w:rPr>
      </w:pPr>
      <w:r>
        <w:rPr>
          <w:rFonts w:ascii="宋体" w:hAnsi="宋体"/>
        </w:rPr>
        <w:t xml:space="preserve">17.1.1  </w:t>
      </w:r>
      <w:r>
        <w:rPr>
          <w:rFonts w:hint="eastAsia" w:ascii="宋体" w:hAnsi="宋体"/>
        </w:rPr>
        <w:t>计量单位</w:t>
      </w:r>
    </w:p>
    <w:p>
      <w:pPr>
        <w:spacing w:line="360" w:lineRule="auto"/>
        <w:ind w:firstLine="420" w:firstLineChars="200"/>
        <w:rPr>
          <w:rFonts w:ascii="宋体"/>
        </w:rPr>
      </w:pPr>
      <w:r>
        <w:rPr>
          <w:rFonts w:hint="eastAsia" w:ascii="宋体" w:hAnsi="宋体"/>
        </w:rPr>
        <w:t>计量采用国家法定的计量单位。</w:t>
      </w:r>
    </w:p>
    <w:p>
      <w:pPr>
        <w:spacing w:line="360" w:lineRule="auto"/>
        <w:ind w:firstLine="420" w:firstLineChars="200"/>
        <w:rPr>
          <w:rFonts w:ascii="宋体"/>
        </w:rPr>
      </w:pPr>
      <w:r>
        <w:rPr>
          <w:rFonts w:ascii="宋体" w:hAnsi="宋体"/>
        </w:rPr>
        <w:t xml:space="preserve">17.1.2  </w:t>
      </w:r>
      <w:r>
        <w:rPr>
          <w:rFonts w:hint="eastAsia" w:ascii="宋体" w:hAnsi="宋体"/>
        </w:rPr>
        <w:t>计量方法</w:t>
      </w:r>
    </w:p>
    <w:p>
      <w:pPr>
        <w:spacing w:line="360" w:lineRule="auto"/>
        <w:ind w:firstLine="420" w:firstLineChars="200"/>
        <w:rPr>
          <w:rFonts w:ascii="宋体"/>
        </w:rPr>
      </w:pPr>
      <w:r>
        <w:rPr>
          <w:rFonts w:hint="eastAsia" w:ascii="宋体" w:hAnsi="宋体"/>
        </w:rPr>
        <w:t>工程量计算规则执行工程量清单中约定的计量计价规范版本。除合同另有约定外，承包人实际完成的工程量按约定的工程量计算规则和有合同约束力的图纸进行计量。</w:t>
      </w:r>
    </w:p>
    <w:p>
      <w:pPr>
        <w:spacing w:line="360" w:lineRule="auto"/>
        <w:ind w:firstLine="420" w:firstLineChars="200"/>
        <w:rPr>
          <w:rFonts w:ascii="宋体"/>
        </w:rPr>
      </w:pPr>
      <w:r>
        <w:rPr>
          <w:rFonts w:ascii="宋体" w:hAnsi="宋体"/>
        </w:rPr>
        <w:t xml:space="preserve">17.1.3  </w:t>
      </w:r>
      <w:r>
        <w:rPr>
          <w:rFonts w:hint="eastAsia" w:ascii="宋体" w:hAnsi="宋体"/>
        </w:rPr>
        <w:t>计量周期</w:t>
      </w:r>
    </w:p>
    <w:p>
      <w:pPr>
        <w:spacing w:line="360" w:lineRule="auto"/>
        <w:ind w:firstLine="420" w:firstLineChars="200"/>
      </w:pPr>
      <w:r>
        <w:rPr>
          <w:rFonts w:hint="eastAsia" w:ascii="宋体" w:hAnsi="宋体"/>
          <w:szCs w:val="21"/>
        </w:rPr>
        <w:t>（</w:t>
      </w:r>
      <w:r>
        <w:rPr>
          <w:rFonts w:ascii="宋体" w:hAnsi="宋体"/>
          <w:szCs w:val="21"/>
        </w:rPr>
        <w:t>1</w:t>
      </w:r>
      <w:r>
        <w:rPr>
          <w:rFonts w:hint="eastAsia" w:ascii="宋体" w:hAnsi="宋体"/>
          <w:szCs w:val="21"/>
        </w:rPr>
        <w:t>）本合同的计量周期为月，当月计量截止日期（不含当日）和下月计量起始日期（含当日）</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pPr>
      <w:r>
        <w:rPr>
          <w:rFonts w:hint="eastAsia"/>
        </w:rPr>
        <w:t>（</w:t>
      </w:r>
      <w:r>
        <w:rPr>
          <w:rFonts w:ascii="宋体" w:hAnsi="宋体"/>
        </w:rPr>
        <w:t>2</w:t>
      </w:r>
      <w:r>
        <w:rPr>
          <w:rFonts w:hint="eastAsia"/>
        </w:rPr>
        <w:t>）单价子目已完成工程量是否按月计量</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pPr>
      <w:r>
        <w:rPr>
          <w:rFonts w:hint="eastAsia" w:ascii="宋体" w:hAnsi="宋体"/>
          <w:szCs w:val="21"/>
        </w:rPr>
        <w:t>（</w:t>
      </w:r>
      <w:r>
        <w:rPr>
          <w:rFonts w:ascii="宋体" w:hAnsi="宋体"/>
          <w:szCs w:val="21"/>
        </w:rPr>
        <w:t>3</w:t>
      </w:r>
      <w:r>
        <w:rPr>
          <w:rFonts w:hint="eastAsia" w:ascii="宋体" w:hAnsi="宋体"/>
          <w:szCs w:val="21"/>
        </w:rPr>
        <w:t>）总价子目计量方法</w:t>
      </w:r>
      <w:r>
        <w:rPr>
          <w:rFonts w:hint="eastAsia" w:ascii="黑体" w:hAnsi="黑体" w:eastAsia="黑体"/>
          <w:szCs w:val="21"/>
        </w:rPr>
        <w:t>见合同条款专用部分</w:t>
      </w:r>
      <w:r>
        <w:rPr>
          <w:rFonts w:hint="eastAsia" w:ascii="宋体" w:hAnsi="宋体" w:cs="Arial"/>
        </w:rPr>
        <w:t>。</w:t>
      </w:r>
    </w:p>
    <w:p>
      <w:pPr>
        <w:spacing w:line="360" w:lineRule="auto"/>
        <w:ind w:firstLine="420" w:firstLineChars="200"/>
        <w:rPr>
          <w:rFonts w:ascii="宋体"/>
        </w:rPr>
      </w:pPr>
      <w:r>
        <w:rPr>
          <w:rFonts w:ascii="宋体" w:hAnsi="宋体"/>
        </w:rPr>
        <w:t xml:space="preserve">17.1.4  </w:t>
      </w:r>
      <w:r>
        <w:rPr>
          <w:rFonts w:hint="eastAsia" w:ascii="宋体" w:hAnsi="宋体"/>
        </w:rPr>
        <w:t>单价子目的计量</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）已标价工程量清单中的单价子目工程量为估算工程量。结算工程量是承包人实际完成的，并按合同约定的计量方法进行计量的工程量。</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）承包人对已完成的工程进行计量，向监理人提交进度付款申请单、已完成工程量报表和有关计量资料。</w:t>
      </w:r>
    </w:p>
    <w:p>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）监理人对承包人提交的工程量报表进行复核，以确定实际完成的工程量。对数量有异议的，可要求承包人按第</w:t>
      </w:r>
      <w:r>
        <w:rPr>
          <w:rFonts w:ascii="宋体" w:hAnsi="宋体"/>
        </w:rPr>
        <w:t>8.2</w:t>
      </w:r>
      <w:r>
        <w:rPr>
          <w:rFonts w:hint="eastAsia" w:ascii="宋体" w:hAnsi="宋体"/>
        </w:rPr>
        <w:t>款约定进行共同复核和抽样复测。承包人应协助监理人进行复核并按监理人要求提供补充计量资料。承包人未按监理人要求参加复核，监理人复核或修正的工程量视为承包人实际完成的工程量。</w:t>
      </w:r>
    </w:p>
    <w:p>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）监理人认为有必要时，可通知承包人共同进行联合测量、计量，承包人应遵照执行。</w:t>
      </w:r>
    </w:p>
    <w:p>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pPr>
        <w:spacing w:line="360" w:lineRule="auto"/>
        <w:ind w:firstLine="420" w:firstLineChars="200"/>
        <w:rPr>
          <w:rFonts w:ascii="宋体"/>
        </w:rPr>
      </w:pPr>
      <w:r>
        <w:rPr>
          <w:rFonts w:ascii="宋体" w:hAnsi="宋体"/>
        </w:rPr>
        <w:t xml:space="preserve">17.1.5  </w:t>
      </w:r>
      <w:r>
        <w:rPr>
          <w:rFonts w:hint="eastAsia" w:ascii="宋体" w:hAnsi="宋体"/>
        </w:rPr>
        <w:t>总价子目的计量（适用于采用支付分解报告）</w:t>
      </w:r>
    </w:p>
    <w:p>
      <w:pPr>
        <w:spacing w:line="400" w:lineRule="exact"/>
        <w:ind w:firstLine="420" w:firstLineChars="200"/>
        <w:rPr>
          <w:rFonts w:ascii="宋体"/>
          <w:szCs w:val="21"/>
        </w:rPr>
      </w:pPr>
      <w:r>
        <w:rPr>
          <w:rFonts w:hint="eastAsia" w:ascii="宋体" w:hAnsi="宋体"/>
          <w:szCs w:val="21"/>
        </w:rPr>
        <w:t>总价子目按照有合同约束力的支付分解表支付。承包人应根据合同条款第</w:t>
      </w:r>
      <w:r>
        <w:rPr>
          <w:rFonts w:ascii="宋体" w:hAnsi="宋体"/>
          <w:szCs w:val="21"/>
        </w:rPr>
        <w:t>10</w:t>
      </w:r>
      <w:r>
        <w:rPr>
          <w:rFonts w:hint="eastAsia" w:ascii="宋体" w:hAnsi="宋体"/>
          <w:szCs w:val="21"/>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szCs w:val="21"/>
        </w:rPr>
        <w:t>7</w:t>
      </w:r>
      <w:r>
        <w:rPr>
          <w:rFonts w:hint="eastAsia" w:ascii="宋体" w:hAnsi="宋体"/>
          <w:szCs w:val="21"/>
        </w:rPr>
        <w:t>天内，将支付分解报告以及形成支付分解报告的分项计量和总价分解等支持性资料报监理人审批，监理人应当在收到承包人报送的支付分解报告后</w:t>
      </w:r>
      <w:r>
        <w:rPr>
          <w:rFonts w:ascii="宋体" w:hAnsi="宋体"/>
          <w:szCs w:val="21"/>
        </w:rPr>
        <w:t>7</w:t>
      </w:r>
      <w:r>
        <w:rPr>
          <w:rFonts w:hint="eastAsia" w:ascii="宋体" w:hAnsi="宋体"/>
          <w:szCs w:val="21"/>
        </w:rPr>
        <w:t>天内给予批复或提出修改意见，经监理人批准的支付分解报告为有合同约束力的支付分解表。支付分解表应根据合同条款第</w:t>
      </w:r>
      <w:r>
        <w:rPr>
          <w:rFonts w:ascii="宋体" w:hAnsi="宋体"/>
          <w:szCs w:val="21"/>
        </w:rPr>
        <w:t>10.2</w:t>
      </w:r>
      <w:r>
        <w:rPr>
          <w:rFonts w:hint="eastAsia" w:ascii="宋体" w:hAnsi="宋体"/>
          <w:szCs w:val="21"/>
        </w:rPr>
        <w:t>款约定的修订合同进度计划进行修正，修正的程序和期限应当依照本项上述约定，经修正的支付分解表为有合同约束力的支付分解表。</w:t>
      </w:r>
    </w:p>
    <w:p>
      <w:pPr>
        <w:spacing w:line="400" w:lineRule="exact"/>
        <w:ind w:firstLine="420" w:firstLineChars="200"/>
        <w:rPr>
          <w:rFonts w:ascii="宋体" w:cs="Arial"/>
        </w:rPr>
      </w:pPr>
      <w:r>
        <w:rPr>
          <w:rFonts w:hint="eastAsia" w:ascii="宋体" w:hAnsi="宋体" w:cs="Arial"/>
        </w:rPr>
        <w:t>（</w:t>
      </w:r>
      <w:r>
        <w:rPr>
          <w:rFonts w:ascii="宋体" w:hAnsi="宋体" w:cs="Arial"/>
        </w:rPr>
        <w:t>1</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hint="eastAsia" w:ascii="黑体" w:hAnsi="黑体" w:eastAsia="黑体"/>
          <w:szCs w:val="21"/>
        </w:rPr>
        <w:t>见合同条款专用部分</w:t>
      </w:r>
      <w:r>
        <w:rPr>
          <w:rFonts w:hint="eastAsia" w:ascii="宋体" w:hAnsi="宋体" w:cs="Arial"/>
        </w:rPr>
        <w:t>。</w:t>
      </w:r>
    </w:p>
    <w:p>
      <w:pPr>
        <w:spacing w:line="400" w:lineRule="exact"/>
        <w:ind w:firstLine="420" w:firstLineChars="200"/>
        <w:rPr>
          <w:rFonts w:ascii="宋体" w:cs="Arial"/>
        </w:rPr>
      </w:pPr>
      <w:r>
        <w:rPr>
          <w:rFonts w:hint="eastAsia" w:ascii="宋体" w:hAnsi="宋体" w:cs="Arial"/>
        </w:rPr>
        <w:t>（</w:t>
      </w:r>
      <w:r>
        <w:rPr>
          <w:rFonts w:ascii="宋体" w:hAnsi="宋体" w:cs="Arial"/>
        </w:rPr>
        <w:t>2</w:t>
      </w:r>
      <w:r>
        <w:rPr>
          <w:rFonts w:hint="eastAsia" w:ascii="宋体" w:hAnsi="宋体" w:cs="Arial"/>
        </w:rPr>
        <w:t>）列入每月进度付款申请单中各总价</w:t>
      </w:r>
      <w:r>
        <w:rPr>
          <w:rFonts w:hint="eastAsia" w:ascii="宋体" w:hAnsi="宋体"/>
          <w:szCs w:val="21"/>
        </w:rPr>
        <w:t>子目</w:t>
      </w:r>
      <w:r>
        <w:rPr>
          <w:rFonts w:hint="eastAsia" w:ascii="宋体" w:hAnsi="宋体" w:cs="Arial"/>
        </w:rPr>
        <w:t>的价值为有合同约束力的支付分解表中对应月份的总价</w:t>
      </w:r>
      <w:r>
        <w:rPr>
          <w:rFonts w:hint="eastAsia" w:ascii="宋体" w:hAnsi="宋体"/>
          <w:szCs w:val="21"/>
        </w:rPr>
        <w:t>子目</w:t>
      </w:r>
      <w:r>
        <w:rPr>
          <w:rFonts w:hint="eastAsia" w:ascii="宋体" w:hAnsi="宋体" w:cs="Arial"/>
        </w:rPr>
        <w:t>总价值。</w:t>
      </w:r>
    </w:p>
    <w:p>
      <w:pPr>
        <w:spacing w:line="400" w:lineRule="exact"/>
        <w:ind w:firstLine="420" w:firstLineChars="200"/>
        <w:rPr>
          <w:rFonts w:ascii="宋体" w:cs="Arial"/>
        </w:rPr>
      </w:pPr>
      <w:r>
        <w:rPr>
          <w:rFonts w:hint="eastAsia" w:ascii="宋体" w:hAnsi="宋体" w:cs="Arial"/>
        </w:rPr>
        <w:t>（</w:t>
      </w:r>
      <w:r>
        <w:rPr>
          <w:rFonts w:ascii="宋体" w:hAnsi="宋体" w:cs="Arial"/>
        </w:rPr>
        <w:t>3</w:t>
      </w:r>
      <w:r>
        <w:rPr>
          <w:rFonts w:hint="eastAsia" w:ascii="宋体" w:hAnsi="宋体" w:cs="Arial"/>
        </w:rPr>
        <w:t>）监理人根据有合同约束力的支付分解表复核列入每月进度付款申请单中的总价</w:t>
      </w:r>
      <w:r>
        <w:rPr>
          <w:rFonts w:hint="eastAsia" w:ascii="宋体" w:hAnsi="宋体"/>
          <w:szCs w:val="21"/>
        </w:rPr>
        <w:t>子目</w:t>
      </w:r>
      <w:r>
        <w:rPr>
          <w:rFonts w:hint="eastAsia" w:ascii="宋体" w:hAnsi="宋体" w:cs="Arial"/>
        </w:rPr>
        <w:t>的总价值。</w:t>
      </w:r>
    </w:p>
    <w:p>
      <w:pPr>
        <w:spacing w:line="360" w:lineRule="auto"/>
        <w:ind w:firstLine="420" w:firstLineChars="200"/>
        <w:rPr>
          <w:rFonts w:ascii="宋体" w:cs="Arial"/>
        </w:rPr>
      </w:pPr>
      <w:r>
        <w:rPr>
          <w:rFonts w:hint="eastAsia" w:ascii="宋体" w:hAnsi="宋体" w:cs="Arial"/>
        </w:rPr>
        <w:t>（</w:t>
      </w:r>
      <w:r>
        <w:rPr>
          <w:rFonts w:ascii="宋体" w:hAnsi="宋体" w:cs="Arial"/>
        </w:rPr>
        <w:t>4</w:t>
      </w:r>
      <w:r>
        <w:rPr>
          <w:rFonts w:hint="eastAsia" w:ascii="宋体" w:hAnsi="宋体" w:cs="Arial"/>
        </w:rPr>
        <w:t>）除按照第</w:t>
      </w:r>
      <w:r>
        <w:rPr>
          <w:rFonts w:ascii="宋体" w:hAnsi="宋体" w:cs="Arial"/>
        </w:rPr>
        <w:t>15</w:t>
      </w:r>
      <w:r>
        <w:rPr>
          <w:rFonts w:hint="eastAsia" w:ascii="宋体" w:hAnsi="宋体" w:cs="Arial"/>
        </w:rPr>
        <w:t>条约定的变更外，在竣工结算时总价</w:t>
      </w:r>
      <w:r>
        <w:rPr>
          <w:rFonts w:hint="eastAsia" w:ascii="宋体" w:hAnsi="宋体"/>
          <w:szCs w:val="21"/>
        </w:rPr>
        <w:t>子目</w:t>
      </w:r>
      <w:r>
        <w:rPr>
          <w:rFonts w:hint="eastAsia" w:ascii="宋体" w:hAnsi="宋体" w:cs="Arial"/>
        </w:rPr>
        <w:t>的工程量不应当重新计量，签约合同价所基于的工程量即是用于竣工结算的最终工程量。</w:t>
      </w:r>
    </w:p>
    <w:p>
      <w:pPr>
        <w:spacing w:line="360" w:lineRule="auto"/>
        <w:ind w:firstLine="420" w:firstLineChars="200"/>
        <w:rPr>
          <w:rFonts w:ascii="宋体" w:cs="Arial"/>
        </w:rPr>
      </w:pPr>
      <w:r>
        <w:rPr>
          <w:rFonts w:ascii="宋体" w:hAnsi="宋体" w:cs="Arial"/>
        </w:rPr>
        <w:t xml:space="preserve">17.1.5  </w:t>
      </w:r>
      <w:r>
        <w:rPr>
          <w:rFonts w:hint="eastAsia" w:ascii="宋体" w:hAnsi="宋体" w:cs="Arial"/>
        </w:rPr>
        <w:t>总价</w:t>
      </w:r>
      <w:r>
        <w:rPr>
          <w:rFonts w:hint="eastAsia" w:ascii="宋体" w:hAnsi="宋体"/>
          <w:szCs w:val="21"/>
        </w:rPr>
        <w:t>子目</w:t>
      </w:r>
      <w:r>
        <w:rPr>
          <w:rFonts w:hint="eastAsia" w:ascii="宋体" w:hAnsi="宋体" w:cs="Arial"/>
        </w:rPr>
        <w:t>的计量（适用于采用按实际完成工程量计量）</w:t>
      </w:r>
    </w:p>
    <w:p>
      <w:pPr>
        <w:spacing w:line="360" w:lineRule="auto"/>
        <w:ind w:firstLine="420" w:firstLineChars="200"/>
        <w:rPr>
          <w:rFonts w:ascii="宋体" w:cs="Arial"/>
        </w:rPr>
      </w:pPr>
      <w:r>
        <w:rPr>
          <w:rFonts w:hint="eastAsia" w:ascii="宋体" w:hAnsi="宋体" w:cs="Arial"/>
        </w:rPr>
        <w:t>（</w:t>
      </w:r>
      <w:r>
        <w:rPr>
          <w:rFonts w:ascii="宋体" w:hAnsi="宋体" w:cs="Arial"/>
        </w:rPr>
        <w:t>1</w:t>
      </w:r>
      <w:r>
        <w:rPr>
          <w:rFonts w:hint="eastAsia" w:ascii="宋体" w:hAnsi="宋体" w:cs="Arial"/>
        </w:rPr>
        <w:t>）总价</w:t>
      </w:r>
      <w:r>
        <w:rPr>
          <w:rFonts w:hint="eastAsia" w:ascii="宋体" w:hAnsi="宋体"/>
          <w:szCs w:val="21"/>
        </w:rPr>
        <w:t>子目</w:t>
      </w:r>
      <w:r>
        <w:rPr>
          <w:rFonts w:hint="eastAsia" w:ascii="宋体" w:hAnsi="宋体" w:cs="Arial"/>
        </w:rPr>
        <w:t>的计量和支付应以总价为基础，对承包人实际完成的工程量进行计量，是进行工程目标管理和控制进度款支付的依据。总价</w:t>
      </w:r>
      <w:r>
        <w:rPr>
          <w:rFonts w:hint="eastAsia" w:ascii="宋体" w:hAnsi="宋体"/>
          <w:szCs w:val="21"/>
        </w:rPr>
        <w:t>子目</w:t>
      </w:r>
      <w:r>
        <w:rPr>
          <w:rFonts w:hint="eastAsia" w:ascii="宋体" w:hAnsi="宋体" w:cs="Arial"/>
        </w:rPr>
        <w:t>的价格调整方法</w:t>
      </w:r>
      <w:r>
        <w:rPr>
          <w:rFonts w:hint="eastAsia" w:ascii="黑体" w:hAnsi="黑体" w:eastAsia="黑体"/>
          <w:szCs w:val="21"/>
        </w:rPr>
        <w:t>见合同条款专用部分</w:t>
      </w:r>
      <w:r>
        <w:rPr>
          <w:rFonts w:hint="eastAsia" w:ascii="宋体" w:hAnsi="宋体" w:cs="Arial"/>
        </w:rPr>
        <w:t>。</w:t>
      </w:r>
    </w:p>
    <w:p>
      <w:pPr>
        <w:spacing w:line="360" w:lineRule="auto"/>
        <w:ind w:firstLine="420" w:firstLineChars="200"/>
        <w:rPr>
          <w:rFonts w:ascii="宋体" w:cs="Arial"/>
        </w:rPr>
      </w:pPr>
      <w:r>
        <w:rPr>
          <w:rFonts w:hint="eastAsia" w:ascii="宋体" w:hAnsi="宋体" w:cs="Arial"/>
        </w:rPr>
        <w:t>（</w:t>
      </w:r>
      <w:r>
        <w:rPr>
          <w:rFonts w:ascii="宋体" w:hAnsi="宋体" w:cs="Arial"/>
        </w:rPr>
        <w:t>2</w:t>
      </w:r>
      <w:r>
        <w:rPr>
          <w:rFonts w:hint="eastAsia" w:ascii="宋体" w:hAnsi="宋体" w:cs="Arial"/>
        </w:rPr>
        <w:t>）承包人在合同条款专用部分第</w:t>
      </w:r>
      <w:r>
        <w:rPr>
          <w:rFonts w:ascii="宋体" w:hAnsi="宋体" w:cs="Arial"/>
        </w:rPr>
        <w:t>17.1.3</w:t>
      </w:r>
      <w:r>
        <w:rPr>
          <w:rFonts w:hint="eastAsia" w:ascii="宋体" w:hAnsi="宋体" w:cs="Arial"/>
        </w:rPr>
        <w:t>（</w:t>
      </w:r>
      <w:r>
        <w:rPr>
          <w:rFonts w:ascii="宋体" w:hAnsi="宋体" w:cs="Arial"/>
        </w:rPr>
        <w:t>1</w:t>
      </w:r>
      <w:r>
        <w:rPr>
          <w:rFonts w:hint="eastAsia" w:ascii="宋体" w:hAnsi="宋体" w:cs="Arial"/>
        </w:rPr>
        <w:t>）目约定的每月计量截止日期后，对已完成的分部分项工程和单价措施项目的</w:t>
      </w:r>
      <w:r>
        <w:rPr>
          <w:rFonts w:hint="eastAsia" w:ascii="宋体" w:hAnsi="宋体"/>
          <w:szCs w:val="21"/>
        </w:rPr>
        <w:t>子目</w:t>
      </w:r>
      <w:r>
        <w:rPr>
          <w:rFonts w:hint="eastAsia" w:ascii="宋体" w:hAnsi="宋体" w:cs="Arial"/>
        </w:rPr>
        <w:t>，按照合同条款第</w:t>
      </w:r>
      <w:r>
        <w:rPr>
          <w:rFonts w:ascii="宋体" w:hAnsi="宋体" w:cs="Arial"/>
        </w:rPr>
        <w:t>17.1.2</w:t>
      </w:r>
      <w:r>
        <w:rPr>
          <w:rFonts w:hint="eastAsia" w:ascii="宋体" w:hAnsi="宋体" w:cs="Arial"/>
        </w:rPr>
        <w:t>项约定的计量方法进行计量，对已完成的总价措施项目的相关</w:t>
      </w:r>
      <w:r>
        <w:rPr>
          <w:rFonts w:hint="eastAsia" w:ascii="宋体" w:hAnsi="宋体"/>
          <w:szCs w:val="21"/>
        </w:rPr>
        <w:t>子目，按其总价构成、费用性质和实际发生比例进行计量，向监理人提交进度付款申请单、已完成工程量报表和有关计量资料</w:t>
      </w:r>
      <w:r>
        <w:rPr>
          <w:rFonts w:hint="eastAsia" w:ascii="宋体" w:hAnsi="宋体" w:cs="Arial"/>
        </w:rPr>
        <w:t>。</w:t>
      </w:r>
    </w:p>
    <w:p>
      <w:pPr>
        <w:spacing w:line="360" w:lineRule="auto"/>
        <w:ind w:firstLine="420" w:firstLineChars="200"/>
        <w:rPr>
          <w:rFonts w:ascii="宋体"/>
        </w:rPr>
      </w:pPr>
      <w:r>
        <w:rPr>
          <w:rFonts w:hint="eastAsia" w:ascii="宋体" w:hAnsi="宋体" w:cs="Arial"/>
        </w:rPr>
        <w:t>（</w:t>
      </w:r>
      <w:r>
        <w:rPr>
          <w:rFonts w:ascii="宋体" w:hAnsi="宋体" w:cs="Arial"/>
        </w:rPr>
        <w:t>3</w:t>
      </w:r>
      <w:r>
        <w:rPr>
          <w:rFonts w:hint="eastAsia" w:ascii="宋体" w:hAnsi="宋体" w:cs="Arial"/>
        </w:rPr>
        <w:t>）</w:t>
      </w:r>
      <w:r>
        <w:rPr>
          <w:rFonts w:hint="eastAsia" w:ascii="宋体" w:hAnsi="宋体"/>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pPr>
        <w:spacing w:line="360" w:lineRule="auto"/>
        <w:ind w:firstLine="420" w:firstLineChars="200"/>
        <w:rPr>
          <w:rFonts w:ascii="宋体" w:cs="Arial"/>
        </w:rPr>
      </w:pPr>
      <w:r>
        <w:rPr>
          <w:rFonts w:hint="eastAsia" w:ascii="宋体" w:hAnsi="宋体" w:cs="Arial"/>
        </w:rPr>
        <w:t>（</w:t>
      </w:r>
      <w:r>
        <w:rPr>
          <w:rFonts w:ascii="宋体" w:hAnsi="宋体" w:cs="Arial"/>
        </w:rPr>
        <w:t>5</w:t>
      </w:r>
      <w:r>
        <w:rPr>
          <w:rFonts w:hint="eastAsia" w:ascii="宋体" w:hAnsi="宋体" w:cs="Arial"/>
        </w:rPr>
        <w:t>）除按照第</w:t>
      </w:r>
      <w:r>
        <w:rPr>
          <w:rFonts w:ascii="宋体" w:hAnsi="宋体" w:cs="Arial"/>
        </w:rPr>
        <w:t>15</w:t>
      </w:r>
      <w:r>
        <w:rPr>
          <w:rFonts w:hint="eastAsia" w:ascii="宋体" w:hAnsi="宋体" w:cs="Arial"/>
        </w:rPr>
        <w:t>条约定的变更外，在竣工结算时总价</w:t>
      </w:r>
      <w:r>
        <w:rPr>
          <w:rFonts w:hint="eastAsia" w:ascii="宋体" w:hAnsi="宋体"/>
          <w:szCs w:val="21"/>
        </w:rPr>
        <w:t>子目</w:t>
      </w:r>
      <w:r>
        <w:rPr>
          <w:rFonts w:hint="eastAsia" w:ascii="宋体" w:hAnsi="宋体" w:cs="Arial"/>
        </w:rPr>
        <w:t>的工程量不应当重新计量，签约合同价所基于的工程量即是用于竣工结算的最终工程量。</w:t>
      </w:r>
    </w:p>
    <w:p>
      <w:pPr>
        <w:pStyle w:val="253"/>
        <w:spacing w:before="120"/>
      </w:pPr>
      <w:bookmarkStart w:id="2116" w:name="_Toc338944813"/>
      <w:bookmarkStart w:id="2117" w:name="_Toc483668187"/>
      <w:bookmarkStart w:id="2118" w:name="_Toc486580158"/>
      <w:bookmarkStart w:id="2119" w:name="_Toc490222603"/>
      <w:bookmarkStart w:id="2120" w:name="_Toc480487012"/>
      <w:bookmarkStart w:id="2121" w:name="_Toc480486840"/>
      <w:bookmarkStart w:id="2122" w:name="_Toc489279969"/>
      <w:bookmarkStart w:id="2123" w:name="_Toc342296371"/>
      <w:bookmarkStart w:id="2124" w:name="_Toc10233594"/>
      <w:r>
        <w:t xml:space="preserve">17.2  </w:t>
      </w:r>
      <w:r>
        <w:rPr>
          <w:rFonts w:hint="eastAsia"/>
        </w:rPr>
        <w:t>预付款</w:t>
      </w:r>
      <w:bookmarkEnd w:id="2116"/>
      <w:bookmarkEnd w:id="2117"/>
      <w:bookmarkEnd w:id="2118"/>
      <w:bookmarkEnd w:id="2119"/>
      <w:bookmarkEnd w:id="2120"/>
      <w:bookmarkEnd w:id="2121"/>
      <w:bookmarkEnd w:id="2122"/>
      <w:bookmarkEnd w:id="2123"/>
      <w:bookmarkEnd w:id="2124"/>
    </w:p>
    <w:p>
      <w:pPr>
        <w:spacing w:line="360" w:lineRule="auto"/>
        <w:ind w:firstLine="420" w:firstLineChars="200"/>
        <w:rPr>
          <w:rFonts w:ascii="宋体"/>
        </w:rPr>
      </w:pPr>
      <w:r>
        <w:rPr>
          <w:rFonts w:ascii="宋体" w:hAnsi="宋体"/>
        </w:rPr>
        <w:t xml:space="preserve">17.2.1  </w:t>
      </w:r>
      <w:r>
        <w:rPr>
          <w:rFonts w:hint="eastAsia" w:ascii="宋体" w:hAnsi="宋体"/>
        </w:rPr>
        <w:t>预付款</w:t>
      </w:r>
    </w:p>
    <w:p>
      <w:pPr>
        <w:spacing w:line="360" w:lineRule="auto"/>
        <w:ind w:firstLine="420" w:firstLineChars="200"/>
        <w:rPr>
          <w:rFonts w:ascii="宋体"/>
        </w:rPr>
      </w:pPr>
      <w:r>
        <w:rPr>
          <w:rFonts w:hint="eastAsia" w:ascii="宋体" w:hAnsi="宋体"/>
        </w:rPr>
        <w:t>预付款用于承包人为合同工程施工购置材料、工程设备、施工设备、修建临时设施以及组织施工队伍进场等。预付款必须专用于合同工程。预付款的额度和预付办法以及支付时间</w:t>
      </w:r>
      <w:r>
        <w:rPr>
          <w:rFonts w:hint="eastAsia" w:ascii="黑体" w:hAnsi="黑体" w:eastAsia="黑体"/>
        </w:rPr>
        <w:t>见合同条款专用部分</w:t>
      </w:r>
      <w:r>
        <w:rPr>
          <w:rFonts w:hint="eastAsia" w:ascii="宋体" w:hAnsi="宋体"/>
        </w:rPr>
        <w:t>。</w:t>
      </w:r>
    </w:p>
    <w:p>
      <w:pPr>
        <w:spacing w:line="360" w:lineRule="auto"/>
        <w:ind w:firstLine="420" w:firstLineChars="200"/>
        <w:rPr>
          <w:rFonts w:ascii="宋体"/>
        </w:rPr>
      </w:pPr>
      <w:r>
        <w:rPr>
          <w:rFonts w:hint="eastAsia" w:ascii="宋体" w:hAnsi="宋体"/>
          <w:szCs w:val="21"/>
        </w:rPr>
        <w:t>安全文明施工费用预付款额度及方式</w:t>
      </w:r>
      <w:r>
        <w:rPr>
          <w:rFonts w:hint="eastAsia" w:ascii="黑体" w:hAnsi="黑体" w:eastAsia="黑体"/>
          <w:szCs w:val="21"/>
        </w:rPr>
        <w:t>见合同条款专用部分</w:t>
      </w:r>
      <w:r>
        <w:rPr>
          <w:rFonts w:hint="eastAsia" w:ascii="宋体" w:hAnsi="宋体"/>
        </w:rPr>
        <w:t>。</w:t>
      </w:r>
    </w:p>
    <w:p>
      <w:pPr>
        <w:spacing w:line="360" w:lineRule="auto"/>
        <w:ind w:firstLine="420" w:firstLineChars="200"/>
        <w:rPr>
          <w:rFonts w:ascii="宋体"/>
        </w:rPr>
      </w:pPr>
      <w:r>
        <w:rPr>
          <w:rFonts w:hint="eastAsia" w:ascii="宋体" w:hAnsi="宋体"/>
          <w:szCs w:val="21"/>
        </w:rPr>
        <w:t>发包人逾期支付合同约定的预付款，除承担第</w:t>
      </w:r>
      <w:r>
        <w:rPr>
          <w:rFonts w:ascii="宋体" w:hAnsi="宋体"/>
          <w:szCs w:val="21"/>
        </w:rPr>
        <w:t>22.2</w:t>
      </w:r>
      <w:r>
        <w:rPr>
          <w:rFonts w:hint="eastAsia" w:ascii="宋体" w:hAnsi="宋体"/>
          <w:szCs w:val="21"/>
        </w:rPr>
        <w:t>款约定的违约责任外，还应向承包人支付按第</w:t>
      </w:r>
      <w:r>
        <w:rPr>
          <w:rFonts w:ascii="宋体" w:hAnsi="宋体"/>
          <w:szCs w:val="21"/>
        </w:rPr>
        <w:t>17.3.3(2)</w:t>
      </w:r>
      <w:r>
        <w:rPr>
          <w:rFonts w:hint="eastAsia" w:ascii="宋体" w:hAnsi="宋体"/>
          <w:szCs w:val="21"/>
        </w:rPr>
        <w:t>目约定的标准和方法计算的逾期付款违约金。</w:t>
      </w:r>
    </w:p>
    <w:p>
      <w:pPr>
        <w:spacing w:line="360" w:lineRule="auto"/>
        <w:ind w:firstLine="420" w:firstLineChars="200"/>
        <w:rPr>
          <w:rFonts w:ascii="宋体"/>
        </w:rPr>
      </w:pPr>
      <w:r>
        <w:rPr>
          <w:rFonts w:ascii="宋体" w:hAnsi="宋体"/>
        </w:rPr>
        <w:t xml:space="preserve">17.2.2  </w:t>
      </w:r>
      <w:r>
        <w:rPr>
          <w:rFonts w:hint="eastAsia" w:ascii="宋体" w:hAnsi="宋体"/>
        </w:rPr>
        <w:t>预付款的扣回与还清</w:t>
      </w:r>
    </w:p>
    <w:p>
      <w:pPr>
        <w:spacing w:line="360" w:lineRule="auto"/>
        <w:ind w:firstLine="420" w:firstLineChars="200"/>
        <w:rPr>
          <w:rFonts w:ascii="宋体"/>
        </w:rPr>
      </w:pPr>
      <w:r>
        <w:rPr>
          <w:rFonts w:hint="eastAsia" w:ascii="宋体" w:hAnsi="宋体"/>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黑体" w:hAnsi="黑体" w:eastAsia="黑体"/>
          <w:szCs w:val="21"/>
        </w:rPr>
        <w:t>见合同条款专用部分</w:t>
      </w:r>
      <w:r>
        <w:rPr>
          <w:rFonts w:hint="eastAsia" w:ascii="宋体" w:hAnsi="宋体"/>
        </w:rPr>
        <w:t>。</w:t>
      </w:r>
    </w:p>
    <w:p>
      <w:pPr>
        <w:pStyle w:val="253"/>
        <w:spacing w:before="120"/>
      </w:pPr>
      <w:bookmarkStart w:id="2125" w:name="_Toc338944814"/>
      <w:bookmarkStart w:id="2126" w:name="_Toc342296372"/>
      <w:bookmarkStart w:id="2127" w:name="_Toc480486841"/>
      <w:bookmarkStart w:id="2128" w:name="_Toc10233595"/>
      <w:bookmarkStart w:id="2129" w:name="_Toc486580159"/>
      <w:bookmarkStart w:id="2130" w:name="_Toc483668188"/>
      <w:bookmarkStart w:id="2131" w:name="_Toc490222604"/>
      <w:bookmarkStart w:id="2132" w:name="_Toc489279970"/>
      <w:bookmarkStart w:id="2133" w:name="_Toc480487013"/>
      <w:r>
        <w:t xml:space="preserve">17.3  </w:t>
      </w:r>
      <w:r>
        <w:rPr>
          <w:rFonts w:hint="eastAsia"/>
        </w:rPr>
        <w:t>工程进度付款</w:t>
      </w:r>
      <w:bookmarkEnd w:id="2125"/>
      <w:bookmarkEnd w:id="2126"/>
      <w:bookmarkEnd w:id="2127"/>
      <w:bookmarkEnd w:id="2128"/>
      <w:bookmarkEnd w:id="2129"/>
      <w:bookmarkEnd w:id="2130"/>
      <w:bookmarkEnd w:id="2131"/>
      <w:bookmarkEnd w:id="2132"/>
      <w:bookmarkEnd w:id="2133"/>
    </w:p>
    <w:p>
      <w:pPr>
        <w:spacing w:line="360" w:lineRule="auto"/>
        <w:ind w:firstLine="420" w:firstLineChars="200"/>
        <w:rPr>
          <w:rFonts w:ascii="宋体"/>
        </w:rPr>
      </w:pPr>
      <w:r>
        <w:rPr>
          <w:rFonts w:ascii="宋体" w:hAnsi="宋体"/>
        </w:rPr>
        <w:t xml:space="preserve">17.3.1  </w:t>
      </w:r>
      <w:r>
        <w:rPr>
          <w:rFonts w:hint="eastAsia" w:ascii="宋体" w:hAnsi="宋体"/>
        </w:rPr>
        <w:t>付款周期</w:t>
      </w:r>
    </w:p>
    <w:p>
      <w:pPr>
        <w:spacing w:line="360" w:lineRule="auto"/>
        <w:ind w:firstLine="420" w:firstLineChars="200"/>
        <w:rPr>
          <w:rFonts w:hint="eastAsia" w:ascii="宋体" w:hAnsi="宋体"/>
        </w:rPr>
      </w:pPr>
      <w:r>
        <w:rPr>
          <w:rFonts w:hint="eastAsia" w:ascii="宋体" w:hAnsi="宋体"/>
        </w:rPr>
        <w:t>付款周期同计量周期。</w:t>
      </w:r>
    </w:p>
    <w:p>
      <w:pPr>
        <w:spacing w:line="360" w:lineRule="auto"/>
        <w:ind w:firstLine="420" w:firstLineChars="200"/>
        <w:rPr>
          <w:rFonts w:ascii="宋体"/>
        </w:rPr>
      </w:pPr>
      <w:r>
        <w:rPr>
          <w:rFonts w:ascii="宋体" w:hAnsi="宋体"/>
        </w:rPr>
        <w:t xml:space="preserve">17.3.2  </w:t>
      </w:r>
      <w:r>
        <w:rPr>
          <w:rFonts w:hint="eastAsia" w:ascii="宋体" w:hAnsi="宋体"/>
        </w:rPr>
        <w:t>进度付款申请单</w:t>
      </w:r>
    </w:p>
    <w:p>
      <w:pPr>
        <w:spacing w:line="360" w:lineRule="auto"/>
        <w:ind w:firstLine="420" w:firstLineChars="200"/>
        <w:rPr>
          <w:rFonts w:ascii="宋体"/>
        </w:rPr>
      </w:pPr>
      <w:r>
        <w:rPr>
          <w:rFonts w:hint="eastAsia" w:ascii="宋体" w:hAnsi="宋体"/>
        </w:rPr>
        <w:t>承包人应在每个付款周期末，按监理人批准的格式和合同约定的份数，向监理人提交进度付款申请单，并附相应的支持性证明文件。承包人提交进度付款申请单份数</w:t>
      </w:r>
      <w:r>
        <w:rPr>
          <w:rFonts w:hint="eastAsia" w:ascii="黑体" w:hAnsi="黑体" w:eastAsia="黑体"/>
          <w:szCs w:val="21"/>
        </w:rPr>
        <w:t>见合同条款专用部分</w:t>
      </w:r>
      <w:r>
        <w:rPr>
          <w:rFonts w:hint="eastAsia" w:ascii="宋体" w:hAnsi="宋体"/>
        </w:rPr>
        <w:t>。</w:t>
      </w:r>
    </w:p>
    <w:p>
      <w:pPr>
        <w:spacing w:line="360" w:lineRule="auto"/>
        <w:ind w:firstLine="420" w:firstLineChars="200"/>
        <w:rPr>
          <w:rFonts w:ascii="宋体"/>
          <w:dstrike/>
          <w:szCs w:val="21"/>
        </w:rPr>
      </w:pPr>
      <w:r>
        <w:rPr>
          <w:rFonts w:hint="eastAsia" w:ascii="宋体" w:hAnsi="宋体"/>
        </w:rPr>
        <w:t>承包人报送监理人的进度付款申请单应包括下列内容：</w:t>
      </w:r>
    </w:p>
    <w:p>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）截至本次付款周期末已实施工程的价款；</w:t>
      </w:r>
    </w:p>
    <w:p>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）根据第</w:t>
      </w:r>
      <w:r>
        <w:rPr>
          <w:rFonts w:ascii="宋体" w:hAnsi="宋体"/>
        </w:rPr>
        <w:t>15</w:t>
      </w:r>
      <w:r>
        <w:rPr>
          <w:rFonts w:hint="eastAsia" w:ascii="宋体" w:hAnsi="宋体"/>
        </w:rPr>
        <w:t>条应增加和扣减的变更金额；</w:t>
      </w:r>
    </w:p>
    <w:p>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）根据第</w:t>
      </w:r>
      <w:r>
        <w:rPr>
          <w:rFonts w:ascii="宋体" w:hAnsi="宋体"/>
        </w:rPr>
        <w:t>23</w:t>
      </w:r>
      <w:r>
        <w:rPr>
          <w:rFonts w:hint="eastAsia" w:ascii="宋体" w:hAnsi="宋体"/>
        </w:rPr>
        <w:t>条应增加和扣减的索赔金额；</w:t>
      </w:r>
    </w:p>
    <w:p>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）根据第</w:t>
      </w:r>
      <w:r>
        <w:rPr>
          <w:rFonts w:ascii="宋体" w:hAnsi="宋体"/>
        </w:rPr>
        <w:t>17.2</w:t>
      </w:r>
      <w:r>
        <w:rPr>
          <w:rFonts w:hint="eastAsia" w:ascii="宋体" w:hAnsi="宋体"/>
        </w:rPr>
        <w:t>款约定应支付的预付款和扣减的返还预付款；</w:t>
      </w:r>
    </w:p>
    <w:p>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）根据第</w:t>
      </w:r>
      <w:r>
        <w:rPr>
          <w:rFonts w:ascii="宋体" w:hAnsi="宋体"/>
        </w:rPr>
        <w:t>17.4.1</w:t>
      </w:r>
      <w:r>
        <w:rPr>
          <w:rFonts w:hint="eastAsia" w:ascii="宋体" w:hAnsi="宋体"/>
        </w:rPr>
        <w:t>项约定应扣减的质量保证金；</w:t>
      </w:r>
    </w:p>
    <w:p>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）根据合同应增加和（或）扣减的其他内容金额</w:t>
      </w:r>
      <w:r>
        <w:rPr>
          <w:rFonts w:hint="eastAsia" w:ascii="黑体" w:hAnsi="黑体" w:eastAsia="黑体"/>
          <w:szCs w:val="21"/>
        </w:rPr>
        <w:t>见合同条款专用部分</w:t>
      </w:r>
      <w:r>
        <w:rPr>
          <w:rFonts w:hint="eastAsia" w:ascii="宋体" w:hAnsi="宋体"/>
        </w:rPr>
        <w:t>。</w:t>
      </w:r>
    </w:p>
    <w:p>
      <w:pPr>
        <w:spacing w:line="360" w:lineRule="auto"/>
        <w:ind w:firstLine="420" w:firstLineChars="200"/>
        <w:rPr>
          <w:rFonts w:ascii="宋体"/>
        </w:rPr>
      </w:pPr>
      <w:r>
        <w:rPr>
          <w:rFonts w:ascii="宋体" w:hAnsi="宋体"/>
        </w:rPr>
        <w:t xml:space="preserve">17.3.3  </w:t>
      </w:r>
      <w:r>
        <w:rPr>
          <w:rFonts w:hint="eastAsia" w:ascii="宋体" w:hAnsi="宋体"/>
        </w:rPr>
        <w:t>进度付款证书和支付时间</w:t>
      </w:r>
    </w:p>
    <w:p>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）监理人在收到承包人进度付款申请单以及相应的支持性证明文件后的</w:t>
      </w:r>
      <w:r>
        <w:rPr>
          <w:rFonts w:ascii="宋体" w:hAnsi="宋体"/>
        </w:rPr>
        <w:t>14</w:t>
      </w:r>
      <w:r>
        <w:rPr>
          <w:rFonts w:hint="eastAsia" w:ascii="宋体" w:hAnsi="宋体"/>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）发包人应在监理人收到进度付款申请单后的</w:t>
      </w:r>
      <w:r>
        <w:rPr>
          <w:rFonts w:ascii="宋体" w:hAnsi="宋体"/>
        </w:rPr>
        <w:t>28</w:t>
      </w:r>
      <w:r>
        <w:rPr>
          <w:rFonts w:hint="eastAsia" w:ascii="宋体" w:hAnsi="宋体"/>
        </w:rPr>
        <w:t>天内，将进度应付款支付给承包人。发包人未按第</w:t>
      </w:r>
      <w:r>
        <w:rPr>
          <w:rFonts w:ascii="宋体" w:hAnsi="宋体"/>
        </w:rPr>
        <w:t>17.2.1(2)</w:t>
      </w:r>
      <w:r>
        <w:rPr>
          <w:rFonts w:hint="eastAsia" w:ascii="宋体" w:hAnsi="宋体"/>
        </w:rPr>
        <w:t>目、第</w:t>
      </w:r>
      <w:r>
        <w:rPr>
          <w:rFonts w:ascii="宋体" w:hAnsi="宋体"/>
        </w:rPr>
        <w:t>17.3.3(2)</w:t>
      </w:r>
      <w:r>
        <w:rPr>
          <w:rFonts w:hint="eastAsia" w:ascii="宋体" w:hAnsi="宋体"/>
        </w:rPr>
        <w:t>目、第</w:t>
      </w:r>
      <w:r>
        <w:rPr>
          <w:rFonts w:ascii="宋体" w:hAnsi="宋体"/>
        </w:rPr>
        <w:t>17.5.2(2)</w:t>
      </w:r>
      <w:r>
        <w:rPr>
          <w:rFonts w:hint="eastAsia" w:ascii="宋体" w:hAnsi="宋体"/>
        </w:rPr>
        <w:t>目和第</w:t>
      </w:r>
      <w:r>
        <w:rPr>
          <w:rFonts w:ascii="宋体" w:hAnsi="宋体"/>
        </w:rPr>
        <w:t>17.6.2(2)</w:t>
      </w:r>
      <w:r>
        <w:rPr>
          <w:rFonts w:hint="eastAsia" w:ascii="宋体" w:hAnsi="宋体"/>
        </w:rPr>
        <w:t>目约定的期限支付承包人依合同约定应当得到的款项，应当从应付之日起按照合同约定的计算标准和计算方法向承包人支付逾期付款违约金。承包人应当按第</w:t>
      </w:r>
      <w:r>
        <w:rPr>
          <w:rFonts w:ascii="宋体" w:hAnsi="宋体"/>
        </w:rPr>
        <w:t>23.1</w:t>
      </w:r>
      <w:r>
        <w:rPr>
          <w:rFonts w:hint="eastAsia" w:ascii="宋体" w:hAnsi="宋体"/>
        </w:rPr>
        <w:t>（</w:t>
      </w:r>
      <w:r>
        <w:rPr>
          <w:rFonts w:ascii="宋体" w:hAnsi="宋体"/>
        </w:rPr>
        <w:t>1</w:t>
      </w:r>
      <w:r>
        <w:rPr>
          <w:rFonts w:hint="eastAsia" w:ascii="宋体" w:hAnsi="宋体"/>
        </w:rPr>
        <w:t>）目的约定，在最终付款期限到期后</w:t>
      </w:r>
      <w:r>
        <w:rPr>
          <w:rFonts w:ascii="宋体" w:hAnsi="宋体"/>
        </w:rPr>
        <w:t>28</w:t>
      </w:r>
      <w:r>
        <w:rPr>
          <w:rFonts w:hint="eastAsia" w:ascii="宋体" w:hAnsi="宋体"/>
        </w:rPr>
        <w:t>天内，向监理人递交索赔意向通知书</w:t>
      </w:r>
      <w:r>
        <w:rPr>
          <w:rFonts w:ascii="宋体"/>
        </w:rPr>
        <w:t>,</w:t>
      </w:r>
      <w:r>
        <w:rPr>
          <w:rFonts w:hint="eastAsia" w:ascii="宋体" w:hAnsi="宋体"/>
        </w:rPr>
        <w:t>说明有权得到按本款约定的标准和方法计算的逾期付款违约金。承包人要求发包人支付逾期付款违约金不影响承包人要求发包人承担第</w:t>
      </w:r>
      <w:r>
        <w:rPr>
          <w:rFonts w:ascii="宋体" w:hAnsi="宋体"/>
        </w:rPr>
        <w:t>22.2</w:t>
      </w:r>
      <w:r>
        <w:rPr>
          <w:rFonts w:hint="eastAsia" w:ascii="宋体" w:hAnsi="宋体"/>
        </w:rPr>
        <w:t>款约定的其他违约责任的权利。逾期付款违约金计算标准和计算方法</w:t>
      </w:r>
      <w:r>
        <w:rPr>
          <w:rFonts w:hint="eastAsia" w:ascii="黑体" w:hAnsi="黑体" w:eastAsia="黑体"/>
        </w:rPr>
        <w:t>见合同条款专用部分</w:t>
      </w:r>
      <w:r>
        <w:rPr>
          <w:rFonts w:hint="eastAsia" w:ascii="宋体" w:hAnsi="宋体"/>
        </w:rPr>
        <w:t>。</w:t>
      </w:r>
    </w:p>
    <w:p>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）监理人出具进度付款证书，不应视为监理人已同意、批准或接受了承包人完成的该部分工作。</w:t>
      </w:r>
    </w:p>
    <w:p>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）进度付款涉及政府投资资金的，按照国库集中支付等国家相关规定和合同约定办理。进度付款涉及政府性资金的支付方法</w:t>
      </w:r>
      <w:r>
        <w:rPr>
          <w:rFonts w:hint="eastAsia" w:ascii="黑体" w:hAnsi="黑体" w:eastAsia="黑体"/>
        </w:rPr>
        <w:t>见合同条款专用部分</w:t>
      </w:r>
      <w:r>
        <w:rPr>
          <w:rFonts w:hint="eastAsia" w:ascii="宋体" w:hAnsi="宋体"/>
        </w:rPr>
        <w:t>。</w:t>
      </w:r>
    </w:p>
    <w:p>
      <w:pPr>
        <w:spacing w:line="360" w:lineRule="auto"/>
        <w:ind w:firstLine="420" w:firstLineChars="200"/>
        <w:rPr>
          <w:rFonts w:ascii="宋体"/>
        </w:rPr>
      </w:pPr>
      <w:r>
        <w:rPr>
          <w:rFonts w:ascii="宋体" w:hAnsi="宋体"/>
        </w:rPr>
        <w:t xml:space="preserve">17.3.4  </w:t>
      </w:r>
      <w:r>
        <w:rPr>
          <w:rFonts w:hint="eastAsia" w:ascii="宋体" w:hAnsi="宋体"/>
        </w:rPr>
        <w:t>工程进度付款的修正</w:t>
      </w:r>
    </w:p>
    <w:p>
      <w:pPr>
        <w:spacing w:line="360" w:lineRule="auto"/>
        <w:ind w:firstLine="420" w:firstLineChars="200"/>
        <w:rPr>
          <w:rFonts w:ascii="宋体"/>
        </w:rPr>
      </w:pPr>
      <w:r>
        <w:rPr>
          <w:rFonts w:hint="eastAsia" w:ascii="宋体" w:hAnsi="宋体"/>
        </w:rPr>
        <w:t>在对以往历次已签发的进度付款证书进行汇总和复核中发现错、漏或重复的，监理人有权予以修正，承包人也有权提出修正申请。经双方复核同意的修正，应在本次进度付款中支付或扣除。</w:t>
      </w:r>
    </w:p>
    <w:p>
      <w:pPr>
        <w:spacing w:line="360" w:lineRule="auto"/>
        <w:ind w:firstLine="420" w:firstLineChars="200"/>
        <w:rPr>
          <w:rFonts w:ascii="宋体"/>
          <w:szCs w:val="21"/>
        </w:rPr>
      </w:pPr>
      <w:r>
        <w:rPr>
          <w:rFonts w:ascii="宋体" w:hAnsi="宋体"/>
          <w:szCs w:val="21"/>
        </w:rPr>
        <w:t xml:space="preserve">17.3.5  </w:t>
      </w:r>
      <w:r>
        <w:rPr>
          <w:rFonts w:hint="eastAsia" w:ascii="宋体" w:hAnsi="宋体"/>
          <w:szCs w:val="21"/>
        </w:rPr>
        <w:t>临时付款证书</w:t>
      </w:r>
    </w:p>
    <w:p>
      <w:pPr>
        <w:spacing w:line="360" w:lineRule="auto"/>
        <w:ind w:firstLine="420" w:firstLineChars="200"/>
        <w:rPr>
          <w:rFonts w:ascii="宋体"/>
          <w:szCs w:val="21"/>
        </w:rPr>
      </w:pPr>
      <w:r>
        <w:rPr>
          <w:rFonts w:hint="eastAsia" w:ascii="宋体" w:hAnsi="宋体"/>
          <w:szCs w:val="21"/>
        </w:rPr>
        <w:t>在合同约定的期限内，承包人和监理人无法对当期已完工程量和按合同约定应当支付的其他款项达成一致的，监理人应当在收到承包人报送的进度付款申请单等文件后</w:t>
      </w:r>
      <w:r>
        <w:rPr>
          <w:rFonts w:ascii="宋体" w:hAnsi="宋体"/>
          <w:szCs w:val="21"/>
        </w:rPr>
        <w:t>14</w:t>
      </w:r>
      <w:r>
        <w:rPr>
          <w:rFonts w:hint="eastAsia" w:ascii="宋体" w:hAnsi="宋体"/>
          <w:szCs w:val="21"/>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宋体" w:hAnsi="宋体"/>
          <w:szCs w:val="21"/>
        </w:rPr>
        <w:t>28</w:t>
      </w:r>
      <w:r>
        <w:rPr>
          <w:rFonts w:hint="eastAsia" w:ascii="宋体" w:hAnsi="宋体"/>
          <w:szCs w:val="21"/>
        </w:rPr>
        <w:t>天内，将临时付款证书中确定的应付金额支付给承包人。发包人和监理人均不得以任何理由延期支付工程进度付款。</w:t>
      </w:r>
    </w:p>
    <w:p>
      <w:pPr>
        <w:spacing w:line="360" w:lineRule="auto"/>
        <w:ind w:firstLine="420" w:firstLineChars="200"/>
        <w:rPr>
          <w:rFonts w:ascii="宋体"/>
          <w:szCs w:val="21"/>
        </w:rPr>
      </w:pPr>
      <w:r>
        <w:rPr>
          <w:rFonts w:hint="eastAsia" w:ascii="宋体" w:hAnsi="宋体"/>
          <w:szCs w:val="21"/>
        </w:rPr>
        <w:t>对临时付款证书中承包人有异议部分的金额，承包人应当按照监理人要求，提交进一步的支持性文件，经监理人进一步审核并认可的应付金额，应当按第</w:t>
      </w:r>
      <w:r>
        <w:rPr>
          <w:rFonts w:ascii="宋体" w:hAnsi="宋体"/>
          <w:szCs w:val="21"/>
        </w:rPr>
        <w:t>17.3.4</w:t>
      </w:r>
      <w:r>
        <w:rPr>
          <w:rFonts w:hint="eastAsia" w:ascii="宋体" w:hAnsi="宋体"/>
          <w:szCs w:val="21"/>
        </w:rPr>
        <w:t>项的约定纳入到下一期进度付款证书中。经过进一步努力，承包人仍有异议的，按合同条款第</w:t>
      </w:r>
      <w:r>
        <w:rPr>
          <w:rFonts w:ascii="宋体" w:hAnsi="宋体"/>
          <w:szCs w:val="21"/>
        </w:rPr>
        <w:t>24</w:t>
      </w:r>
      <w:r>
        <w:rPr>
          <w:rFonts w:hint="eastAsia" w:ascii="宋体" w:hAnsi="宋体"/>
          <w:szCs w:val="21"/>
        </w:rPr>
        <w:t>条的约定办理。</w:t>
      </w:r>
    </w:p>
    <w:p>
      <w:pPr>
        <w:spacing w:line="360" w:lineRule="auto"/>
        <w:ind w:firstLine="420" w:firstLineChars="200"/>
        <w:rPr>
          <w:rFonts w:ascii="宋体"/>
        </w:rPr>
      </w:pPr>
      <w:r>
        <w:rPr>
          <w:rFonts w:hint="eastAsia" w:ascii="宋体" w:hAnsi="宋体"/>
          <w:szCs w:val="21"/>
        </w:rPr>
        <w:t>有异议款项中经监理人进一步审核后认可的，或者经过合同条款第</w:t>
      </w:r>
      <w:r>
        <w:rPr>
          <w:rFonts w:ascii="宋体" w:hAnsi="宋体"/>
          <w:szCs w:val="21"/>
        </w:rPr>
        <w:t>24</w:t>
      </w:r>
      <w:r>
        <w:rPr>
          <w:rFonts w:hint="eastAsia" w:ascii="宋体" w:hAnsi="宋体"/>
          <w:szCs w:val="21"/>
        </w:rPr>
        <w:t>条约定的争议解决方式确定的应付金额，其应付之日为引发异议的进度付款证书的应付之日，承包人有权得到按第</w:t>
      </w:r>
      <w:r>
        <w:rPr>
          <w:rFonts w:ascii="宋体" w:hAnsi="宋体"/>
          <w:szCs w:val="21"/>
        </w:rPr>
        <w:t>17.3.3</w:t>
      </w:r>
      <w:r>
        <w:rPr>
          <w:rFonts w:hint="eastAsia" w:ascii="宋体" w:hAnsi="宋体"/>
          <w:szCs w:val="21"/>
        </w:rPr>
        <w:t>（</w:t>
      </w:r>
      <w:r>
        <w:rPr>
          <w:rFonts w:ascii="宋体" w:hAnsi="宋体"/>
          <w:szCs w:val="21"/>
        </w:rPr>
        <w:t>2</w:t>
      </w:r>
      <w:r>
        <w:rPr>
          <w:rFonts w:hint="eastAsia" w:ascii="宋体" w:hAnsi="宋体"/>
          <w:szCs w:val="21"/>
        </w:rPr>
        <w:t>）目约定计算的逾期付款违约金。</w:t>
      </w:r>
    </w:p>
    <w:p>
      <w:pPr>
        <w:pStyle w:val="253"/>
        <w:spacing w:before="120"/>
      </w:pPr>
      <w:bookmarkStart w:id="2134" w:name="_Toc486580160"/>
      <w:bookmarkStart w:id="2135" w:name="_Toc480486843"/>
      <w:bookmarkStart w:id="2136" w:name="_Toc490222605"/>
      <w:bookmarkStart w:id="2137" w:name="_Toc489279971"/>
      <w:bookmarkStart w:id="2138" w:name="_Toc10233596"/>
      <w:bookmarkStart w:id="2139" w:name="_Toc480487015"/>
      <w:bookmarkStart w:id="2140" w:name="_Toc338944815"/>
      <w:bookmarkStart w:id="2141" w:name="_Toc342296373"/>
      <w:bookmarkStart w:id="2142" w:name="_Toc483668189"/>
      <w:r>
        <w:t xml:space="preserve">17.4  </w:t>
      </w:r>
      <w:r>
        <w:rPr>
          <w:rFonts w:hint="eastAsia"/>
        </w:rPr>
        <w:t>质量保证金</w:t>
      </w:r>
      <w:bookmarkEnd w:id="2134"/>
      <w:bookmarkEnd w:id="2135"/>
      <w:bookmarkEnd w:id="2136"/>
      <w:bookmarkEnd w:id="2137"/>
      <w:bookmarkEnd w:id="2138"/>
      <w:bookmarkEnd w:id="2139"/>
      <w:bookmarkEnd w:id="2140"/>
      <w:bookmarkEnd w:id="2141"/>
      <w:bookmarkEnd w:id="2142"/>
    </w:p>
    <w:p>
      <w:pPr>
        <w:spacing w:line="360" w:lineRule="auto"/>
        <w:ind w:firstLine="420" w:firstLineChars="200"/>
        <w:rPr>
          <w:rFonts w:ascii="宋体"/>
        </w:rPr>
      </w:pPr>
      <w:bookmarkStart w:id="2143" w:name="_Toc490222606"/>
      <w:bookmarkStart w:id="2144" w:name="_Toc342296374"/>
      <w:bookmarkStart w:id="2145" w:name="_Toc480486844"/>
      <w:bookmarkStart w:id="2146" w:name="_Toc486580161"/>
      <w:bookmarkStart w:id="2147" w:name="_Toc489279972"/>
      <w:bookmarkStart w:id="2148" w:name="_Toc338944816"/>
      <w:bookmarkStart w:id="2149" w:name="_Toc483668190"/>
      <w:bookmarkStart w:id="2150" w:name="_Toc480487016"/>
      <w:r>
        <w:rPr>
          <w:rFonts w:ascii="宋体" w:hAnsi="宋体"/>
          <w:szCs w:val="21"/>
        </w:rPr>
        <w:t xml:space="preserve">17.4.1  </w:t>
      </w:r>
      <w:r>
        <w:rPr>
          <w:rFonts w:hint="eastAsia" w:ascii="宋体" w:hAnsi="宋体"/>
        </w:rPr>
        <w:t>质量保证金处理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）合同条款专用部分第</w:t>
      </w:r>
      <w:r>
        <w:rPr>
          <w:rFonts w:ascii="宋体" w:hAnsi="宋体"/>
          <w:szCs w:val="21"/>
        </w:rPr>
        <w:t>4.2.1</w:t>
      </w:r>
      <w:r>
        <w:rPr>
          <w:rFonts w:hint="eastAsia" w:ascii="宋体" w:hAnsi="宋体"/>
          <w:szCs w:val="21"/>
        </w:rPr>
        <w:t>项约定不提交履约担保，采用扣留质量保证金的，质量保证金由监理人从第一个付款周期开始按进度付款证书确认的已实施工程的价款、根据合同条款第</w:t>
      </w:r>
      <w:r>
        <w:rPr>
          <w:rFonts w:ascii="宋体" w:hAnsi="宋体"/>
          <w:szCs w:val="21"/>
        </w:rPr>
        <w:t>15</w:t>
      </w:r>
      <w:r>
        <w:rPr>
          <w:rFonts w:hint="eastAsia" w:ascii="宋体" w:hAnsi="宋体"/>
          <w:szCs w:val="21"/>
        </w:rPr>
        <w:t>条增加和扣减的变更金额、根据合同条款第</w:t>
      </w:r>
      <w:r>
        <w:rPr>
          <w:rFonts w:ascii="宋体" w:hAnsi="宋体"/>
          <w:szCs w:val="21"/>
        </w:rPr>
        <w:t>23</w:t>
      </w:r>
      <w:r>
        <w:rPr>
          <w:rFonts w:hint="eastAsia" w:ascii="宋体" w:hAnsi="宋体"/>
          <w:szCs w:val="21"/>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w:t>
      </w:r>
      <w:r>
        <w:rPr>
          <w:rFonts w:hint="eastAsia" w:ascii="宋体" w:hAnsi="宋体" w:cs="Arial"/>
          <w:szCs w:val="21"/>
        </w:rPr>
        <w:t>竣工结算</w:t>
      </w:r>
      <w:r>
        <w:rPr>
          <w:rFonts w:hint="eastAsia" w:ascii="宋体" w:hAnsi="宋体"/>
          <w:szCs w:val="21"/>
        </w:rPr>
        <w:t>合同总价的约定比例为止；</w:t>
      </w:r>
    </w:p>
    <w:p>
      <w:pPr>
        <w:spacing w:line="360" w:lineRule="auto"/>
        <w:ind w:firstLine="420" w:firstLineChars="200"/>
        <w:rPr>
          <w:rFonts w:ascii="宋体"/>
          <w:szCs w:val="21"/>
        </w:rPr>
      </w:pPr>
      <w:r>
        <w:rPr>
          <w:rFonts w:hint="eastAsia" w:ascii="宋体" w:hAnsi="宋体"/>
          <w:szCs w:val="21"/>
        </w:rPr>
        <w:t>采用质量保证金保函担保形式的，工程竣工前，不得扣留质量保证金。</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）合同条款专用部分第</w:t>
      </w:r>
      <w:r>
        <w:rPr>
          <w:rFonts w:ascii="宋体" w:hAnsi="宋体"/>
          <w:szCs w:val="21"/>
        </w:rPr>
        <w:t>4.2.1</w:t>
      </w:r>
      <w:r>
        <w:rPr>
          <w:rFonts w:hint="eastAsia" w:ascii="宋体" w:hAnsi="宋体"/>
          <w:szCs w:val="21"/>
        </w:rPr>
        <w:t>项约定提交履约担保，采用扣留质量保证金的，在第</w:t>
      </w:r>
      <w:r>
        <w:rPr>
          <w:rFonts w:ascii="宋体" w:hAnsi="宋体"/>
          <w:szCs w:val="21"/>
        </w:rPr>
        <w:t>17.5</w:t>
      </w:r>
      <w:r>
        <w:rPr>
          <w:rFonts w:hint="eastAsia" w:ascii="宋体" w:hAnsi="宋体"/>
          <w:szCs w:val="21"/>
        </w:rPr>
        <w:t>款竣工结算中，应当按照</w:t>
      </w:r>
      <w:r>
        <w:rPr>
          <w:rFonts w:hint="eastAsia" w:ascii="宋体" w:hAnsi="宋体" w:cs="Arial"/>
          <w:szCs w:val="21"/>
        </w:rPr>
        <w:t>竣工结算</w:t>
      </w:r>
      <w:r>
        <w:rPr>
          <w:rFonts w:hint="eastAsia" w:ascii="宋体" w:hAnsi="宋体"/>
          <w:szCs w:val="21"/>
        </w:rPr>
        <w:t>合同总价约定的比例扣留质量保证金，当</w:t>
      </w:r>
      <w:r>
        <w:rPr>
          <w:rFonts w:hint="eastAsia" w:ascii="宋体" w:hAnsi="宋体"/>
        </w:rPr>
        <w:t>应支付的竣工付款金额不足应扣留的质量保证金金额时，承包人应返款差额部分；</w:t>
      </w:r>
      <w:r>
        <w:rPr>
          <w:rFonts w:hint="eastAsia" w:ascii="宋体" w:hAnsi="宋体"/>
          <w:szCs w:val="21"/>
        </w:rPr>
        <w:t>采用质量保证金保函担保形式的，工程竣工前，不得扣留质量保证金；</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）质量保证金的形式与约定比例</w:t>
      </w:r>
      <w:r>
        <w:rPr>
          <w:rFonts w:hint="eastAsia" w:ascii="黑体" w:hAnsi="黑体" w:eastAsia="黑体"/>
          <w:szCs w:val="21"/>
        </w:rPr>
        <w:t>见合同条款专用部分。</w:t>
      </w:r>
    </w:p>
    <w:p>
      <w:pPr>
        <w:spacing w:line="360" w:lineRule="auto"/>
        <w:ind w:firstLine="420" w:firstLineChars="200"/>
        <w:rPr>
          <w:rFonts w:ascii="宋体"/>
        </w:rPr>
      </w:pPr>
      <w:r>
        <w:rPr>
          <w:rFonts w:ascii="宋体" w:hAnsi="宋体"/>
        </w:rPr>
        <w:t xml:space="preserve">17.4.2  </w:t>
      </w:r>
      <w:r>
        <w:rPr>
          <w:rFonts w:hint="eastAsia" w:ascii="宋体" w:hAnsi="宋体"/>
        </w:rPr>
        <w:t>在第</w:t>
      </w:r>
      <w:r>
        <w:rPr>
          <w:rFonts w:ascii="宋体" w:hAnsi="宋体"/>
        </w:rPr>
        <w:t>1.1.4.5</w:t>
      </w:r>
      <w:r>
        <w:rPr>
          <w:rFonts w:hint="eastAsia" w:ascii="宋体" w:hAnsi="宋体"/>
        </w:rPr>
        <w:t>目约定的缺陷责任期满时，承包人向发包人申请到期应返还承包人剩余的质量保证金金额或退还保函担保，发包人应在</w:t>
      </w:r>
      <w:r>
        <w:rPr>
          <w:rFonts w:ascii="宋体" w:hAnsi="宋体"/>
        </w:rPr>
        <w:t>14</w:t>
      </w:r>
      <w:r>
        <w:rPr>
          <w:rFonts w:hint="eastAsia" w:ascii="宋体" w:hAnsi="宋体"/>
        </w:rPr>
        <w:t>天内会同承包人按照合同约定的内容核实承包人是否完成缺陷责任。如无异议，发包人应当在核实后将剩余保证金返还承包人或将其保函退还承包人。</w:t>
      </w:r>
    </w:p>
    <w:p>
      <w:pPr>
        <w:spacing w:line="360" w:lineRule="auto"/>
        <w:ind w:firstLine="420" w:firstLineChars="200"/>
        <w:rPr>
          <w:rFonts w:ascii="宋体"/>
        </w:rPr>
      </w:pPr>
      <w:r>
        <w:rPr>
          <w:rFonts w:ascii="宋体" w:hAnsi="宋体"/>
        </w:rPr>
        <w:t xml:space="preserve">17.4.3  </w:t>
      </w:r>
      <w:r>
        <w:rPr>
          <w:rFonts w:hint="eastAsia" w:ascii="宋体" w:hAnsi="宋体"/>
        </w:rPr>
        <w:t>在第</w:t>
      </w:r>
      <w:r>
        <w:rPr>
          <w:rFonts w:ascii="宋体" w:hAnsi="宋体"/>
        </w:rPr>
        <w:t>1.1.4.5</w:t>
      </w:r>
      <w:r>
        <w:rPr>
          <w:rFonts w:hint="eastAsia" w:ascii="宋体" w:hAnsi="宋体"/>
        </w:rPr>
        <w:t>目约定的缺陷责任期满时，承包人没有完成缺陷责任的，发包人有权扣留与未履行责任剩余工作所需金额相应的质量保证金余额或依据其保函担保约定追究责任，并有权根据第</w:t>
      </w:r>
      <w:r>
        <w:rPr>
          <w:rFonts w:ascii="宋体" w:hAnsi="宋体"/>
        </w:rPr>
        <w:t>19.3</w:t>
      </w:r>
      <w:r>
        <w:rPr>
          <w:rFonts w:hint="eastAsia" w:ascii="宋体" w:hAnsi="宋体"/>
        </w:rPr>
        <w:t>款约定要求延长缺陷责任期，直至完成剩余工作为止。</w:t>
      </w:r>
    </w:p>
    <w:p>
      <w:pPr>
        <w:pStyle w:val="253"/>
        <w:spacing w:before="120"/>
      </w:pPr>
      <w:bookmarkStart w:id="2151" w:name="_Toc10233597"/>
      <w:r>
        <w:t xml:space="preserve">17.5  </w:t>
      </w:r>
      <w:r>
        <w:rPr>
          <w:rFonts w:hint="eastAsia"/>
        </w:rPr>
        <w:t>竣工结算</w:t>
      </w:r>
      <w:bookmarkEnd w:id="2143"/>
      <w:bookmarkEnd w:id="2144"/>
      <w:bookmarkEnd w:id="2145"/>
      <w:bookmarkEnd w:id="2146"/>
      <w:bookmarkEnd w:id="2147"/>
      <w:bookmarkEnd w:id="2148"/>
      <w:bookmarkEnd w:id="2149"/>
      <w:bookmarkEnd w:id="2150"/>
      <w:bookmarkEnd w:id="2151"/>
    </w:p>
    <w:p>
      <w:pPr>
        <w:spacing w:line="360" w:lineRule="auto"/>
        <w:ind w:firstLine="420" w:firstLineChars="200"/>
        <w:rPr>
          <w:rFonts w:ascii="宋体"/>
        </w:rPr>
      </w:pPr>
      <w:r>
        <w:rPr>
          <w:rFonts w:ascii="宋体" w:hAnsi="宋体"/>
        </w:rPr>
        <w:t xml:space="preserve">17.5.1  </w:t>
      </w:r>
      <w:r>
        <w:rPr>
          <w:rFonts w:hint="eastAsia" w:ascii="宋体" w:hAnsi="宋体"/>
        </w:rPr>
        <w:t>竣工付款申请单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）工程接收证书颁发后，承包人应按合同约定的份数和期限向监理人提交竣工付款申请单，并提供相关证明材料。承包人提交竣工付款申请单份数和期限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）竣工付款申请单应包括下列内容：竣工结算合同总价、发包人已支付承包人的工程价款、应扣留的质量保证金、应支付的竣工付款金额和应支付或扣减的其他内容金额。竣工付款申请单的其他内容</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）监理人对竣工付款申请单有异议的，有权要求承包人进行修正和提供补充资料。经监理人和承包人协商后，由承包人向监理人提交修正后的竣工付款申请单。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）承包人未按本项约定的期限和内容提交竣工付款申请单或者未按第</w:t>
      </w:r>
      <w:r>
        <w:rPr>
          <w:rFonts w:ascii="宋体" w:hAnsi="宋体"/>
          <w:szCs w:val="21"/>
        </w:rPr>
        <w:t>17.5.1</w:t>
      </w:r>
      <w:r>
        <w:rPr>
          <w:rFonts w:hint="eastAsia" w:ascii="宋体" w:hAnsi="宋体"/>
          <w:szCs w:val="21"/>
        </w:rPr>
        <w:t>（</w:t>
      </w:r>
      <w:r>
        <w:rPr>
          <w:rFonts w:ascii="宋体" w:hAnsi="宋体"/>
          <w:szCs w:val="21"/>
        </w:rPr>
        <w:t>3)</w:t>
      </w:r>
      <w:r>
        <w:rPr>
          <w:rFonts w:hint="eastAsia" w:ascii="宋体" w:hAnsi="宋体"/>
          <w:szCs w:val="21"/>
        </w:rPr>
        <w:t>目约定提交修正后的竣工付款申请单，经监理人催促后</w:t>
      </w:r>
      <w:r>
        <w:rPr>
          <w:rFonts w:ascii="宋体" w:hAnsi="宋体"/>
          <w:szCs w:val="21"/>
        </w:rPr>
        <w:t>14</w:t>
      </w:r>
      <w:r>
        <w:rPr>
          <w:rFonts w:hint="eastAsia" w:ascii="宋体" w:hAnsi="宋体"/>
          <w:szCs w:val="21"/>
        </w:rPr>
        <w:t>天内仍未提交或者没有明确答复的，监理人和发包人有权根据已有资料进行审查，审查确定的竣工结算合同总价和竣工付款金额视同是经承包人认可的工程竣工结算合同总价和竣工付款金额。</w:t>
      </w:r>
    </w:p>
    <w:p>
      <w:pPr>
        <w:spacing w:line="360" w:lineRule="auto"/>
        <w:ind w:firstLine="420" w:firstLineChars="200"/>
        <w:rPr>
          <w:rFonts w:ascii="宋体"/>
        </w:rPr>
      </w:pPr>
      <w:r>
        <w:rPr>
          <w:rFonts w:ascii="宋体" w:hAnsi="宋体"/>
        </w:rPr>
        <w:t xml:space="preserve">17.5.2  </w:t>
      </w:r>
      <w:r>
        <w:rPr>
          <w:rFonts w:hint="eastAsia" w:ascii="宋体" w:hAnsi="宋体"/>
        </w:rPr>
        <w:t>竣工付款证书及支付时间</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）监理人在收到承包人提交的竣工付款申请单后的</w:t>
      </w:r>
      <w:r>
        <w:rPr>
          <w:rFonts w:ascii="宋体" w:hAnsi="宋体"/>
          <w:szCs w:val="21"/>
        </w:rPr>
        <w:t>14</w:t>
      </w:r>
      <w:r>
        <w:rPr>
          <w:rFonts w:hint="eastAsia" w:ascii="宋体" w:hAnsi="宋体"/>
          <w:szCs w:val="21"/>
        </w:rPr>
        <w:t>天内完成审核，并提出发包人到期应支付给承包人的价款等审核意见，报送发包人审核。发包人应在收到后</w:t>
      </w:r>
      <w:r>
        <w:rPr>
          <w:rFonts w:ascii="宋体" w:hAnsi="宋体"/>
          <w:szCs w:val="21"/>
        </w:rPr>
        <w:t>14</w:t>
      </w:r>
      <w:r>
        <w:rPr>
          <w:rFonts w:hint="eastAsia" w:ascii="宋体" w:hAnsi="宋体"/>
          <w:szCs w:val="21"/>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）发包人应在监理人出具竣工付款证书后的</w:t>
      </w:r>
      <w:r>
        <w:rPr>
          <w:rFonts w:ascii="宋体" w:hAnsi="宋体"/>
          <w:szCs w:val="21"/>
        </w:rPr>
        <w:t>14</w:t>
      </w:r>
      <w:r>
        <w:rPr>
          <w:rFonts w:hint="eastAsia" w:ascii="宋体" w:hAnsi="宋体"/>
          <w:szCs w:val="21"/>
        </w:rPr>
        <w:t>天内，将应支付款支付给承包人。发包人不按期支付的，按第</w:t>
      </w:r>
      <w:r>
        <w:rPr>
          <w:rFonts w:ascii="宋体" w:hAnsi="宋体"/>
          <w:szCs w:val="21"/>
        </w:rPr>
        <w:t>17.3.3</w:t>
      </w:r>
      <w:r>
        <w:rPr>
          <w:rFonts w:hint="eastAsia" w:ascii="宋体" w:hAnsi="宋体"/>
          <w:szCs w:val="21"/>
        </w:rPr>
        <w:t>（</w:t>
      </w:r>
      <w:r>
        <w:rPr>
          <w:rFonts w:ascii="宋体" w:hAnsi="宋体"/>
          <w:szCs w:val="21"/>
        </w:rPr>
        <w:t>2</w:t>
      </w:r>
      <w:r>
        <w:rPr>
          <w:rFonts w:hint="eastAsia" w:ascii="宋体" w:hAnsi="宋体"/>
          <w:szCs w:val="21"/>
        </w:rPr>
        <w:t>）目的约定，将逾期付款违约金支付给承包人。</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）承包人对发包人签认的竣工付款证书有异议的，发包人可出具竣工付款申请单中与承包人达成一致意见部分的临时付款证书。存在争议的部分，按第</w:t>
      </w:r>
      <w:r>
        <w:rPr>
          <w:rFonts w:ascii="宋体" w:hAnsi="宋体"/>
          <w:szCs w:val="21"/>
        </w:rPr>
        <w:t>24</w:t>
      </w:r>
      <w:r>
        <w:rPr>
          <w:rFonts w:hint="eastAsia" w:ascii="宋体" w:hAnsi="宋体"/>
          <w:szCs w:val="21"/>
        </w:rPr>
        <w:t>条“争议的解决”的约定办理。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）竣工付款涉及政府投资资金的，按第</w:t>
      </w:r>
      <w:r>
        <w:rPr>
          <w:rFonts w:ascii="宋体" w:hAnsi="宋体"/>
          <w:szCs w:val="21"/>
        </w:rPr>
        <w:t>17.3.3</w:t>
      </w:r>
      <w:r>
        <w:rPr>
          <w:rFonts w:hint="eastAsia" w:ascii="宋体" w:hAnsi="宋体"/>
          <w:szCs w:val="21"/>
        </w:rPr>
        <w:t>（</w:t>
      </w:r>
      <w:r>
        <w:rPr>
          <w:rFonts w:ascii="宋体" w:hAnsi="宋体"/>
          <w:szCs w:val="21"/>
        </w:rPr>
        <w:t>4</w:t>
      </w:r>
      <w:r>
        <w:rPr>
          <w:rFonts w:hint="eastAsia" w:ascii="宋体" w:hAnsi="宋体"/>
          <w:szCs w:val="21"/>
        </w:rPr>
        <w:t>）目的约定办理。</w:t>
      </w:r>
    </w:p>
    <w:p>
      <w:pPr>
        <w:spacing w:line="360" w:lineRule="auto"/>
        <w:ind w:firstLine="420" w:firstLineChars="200"/>
        <w:rPr>
          <w:rFonts w:ascii="宋体"/>
          <w:szCs w:val="21"/>
        </w:rPr>
      </w:pPr>
      <w:r>
        <w:rPr>
          <w:rFonts w:ascii="宋体" w:hAnsi="宋体"/>
        </w:rPr>
        <w:t>17.5</w:t>
      </w:r>
      <w:r>
        <w:rPr>
          <w:rFonts w:ascii="宋体"/>
        </w:rPr>
        <w:t>.</w:t>
      </w:r>
      <w:r>
        <w:rPr>
          <w:rFonts w:ascii="宋体" w:hAnsi="宋体"/>
        </w:rPr>
        <w:t xml:space="preserve">3  </w:t>
      </w:r>
      <w:r>
        <w:rPr>
          <w:rFonts w:hint="eastAsia" w:ascii="宋体" w:hAnsi="宋体"/>
          <w:szCs w:val="21"/>
        </w:rPr>
        <w:t>除第</w:t>
      </w:r>
      <w:r>
        <w:rPr>
          <w:rFonts w:ascii="宋体" w:hAnsi="宋体"/>
          <w:szCs w:val="21"/>
        </w:rPr>
        <w:t>17.5</w:t>
      </w:r>
      <w:r>
        <w:rPr>
          <w:rFonts w:ascii="宋体"/>
          <w:szCs w:val="21"/>
        </w:rPr>
        <w:t>.</w:t>
      </w:r>
      <w:r>
        <w:rPr>
          <w:rFonts w:ascii="宋体" w:hAnsi="宋体"/>
          <w:szCs w:val="21"/>
        </w:rPr>
        <w:t>4</w:t>
      </w:r>
      <w:r>
        <w:rPr>
          <w:rFonts w:hint="eastAsia" w:ascii="宋体" w:hAnsi="宋体"/>
          <w:szCs w:val="21"/>
        </w:rPr>
        <w:t>项约定的情况外，发包人和承包人应当在监理人颁发（出具）工程接收证书后</w:t>
      </w:r>
      <w:r>
        <w:rPr>
          <w:rFonts w:ascii="宋体" w:hAnsi="宋体"/>
          <w:szCs w:val="21"/>
        </w:rPr>
        <w:t>56</w:t>
      </w:r>
      <w:r>
        <w:rPr>
          <w:rFonts w:hint="eastAsia" w:ascii="宋体" w:hAnsi="宋体"/>
          <w:szCs w:val="21"/>
        </w:rPr>
        <w:t>天内办清竣工结算和竣工付款。</w:t>
      </w:r>
    </w:p>
    <w:p>
      <w:pPr>
        <w:spacing w:line="360" w:lineRule="auto"/>
        <w:ind w:firstLine="420" w:firstLineChars="200"/>
        <w:rPr>
          <w:rFonts w:ascii="宋体"/>
          <w:szCs w:val="21"/>
        </w:rPr>
      </w:pPr>
      <w:r>
        <w:rPr>
          <w:rFonts w:ascii="宋体" w:hAnsi="宋体"/>
        </w:rPr>
        <w:t>17.5</w:t>
      </w:r>
      <w:r>
        <w:rPr>
          <w:rFonts w:ascii="宋体"/>
        </w:rPr>
        <w:t>.</w:t>
      </w:r>
      <w:r>
        <w:rPr>
          <w:rFonts w:ascii="宋体" w:hAnsi="宋体"/>
        </w:rPr>
        <w:t xml:space="preserve">4  </w:t>
      </w:r>
      <w:r>
        <w:rPr>
          <w:rFonts w:hint="eastAsia" w:ascii="宋体" w:hAnsi="宋体"/>
          <w:szCs w:val="21"/>
        </w:rPr>
        <w:t>政府投资或者以政府投资为主的建设项目纳入审计项目计划的，发包人和承包人均负有配合、接受审计机关审计的义务，竣工结算应当依据审计结论，办清竣工结算和竣工付款的时间按照相关规定执行。</w:t>
      </w:r>
    </w:p>
    <w:p>
      <w:pPr>
        <w:pStyle w:val="253"/>
        <w:spacing w:before="120"/>
      </w:pPr>
      <w:bookmarkStart w:id="2152" w:name="_Toc338944817"/>
      <w:bookmarkStart w:id="2153" w:name="_Toc342296375"/>
      <w:bookmarkStart w:id="2154" w:name="_Toc480486845"/>
      <w:bookmarkStart w:id="2155" w:name="_Toc486580162"/>
      <w:bookmarkStart w:id="2156" w:name="_Toc490222607"/>
      <w:bookmarkStart w:id="2157" w:name="_Toc489279973"/>
      <w:bookmarkStart w:id="2158" w:name="_Toc483668191"/>
      <w:bookmarkStart w:id="2159" w:name="_Toc480487017"/>
      <w:bookmarkStart w:id="2160" w:name="_Toc10233598"/>
      <w:r>
        <w:t xml:space="preserve">17.6  </w:t>
      </w:r>
      <w:r>
        <w:rPr>
          <w:rFonts w:hint="eastAsia"/>
        </w:rPr>
        <w:t>最终结清</w:t>
      </w:r>
      <w:bookmarkEnd w:id="2152"/>
      <w:bookmarkEnd w:id="2153"/>
      <w:bookmarkEnd w:id="2154"/>
      <w:bookmarkEnd w:id="2155"/>
      <w:bookmarkEnd w:id="2156"/>
      <w:bookmarkEnd w:id="2157"/>
      <w:bookmarkEnd w:id="2158"/>
      <w:bookmarkEnd w:id="2159"/>
      <w:bookmarkEnd w:id="2160"/>
    </w:p>
    <w:p>
      <w:pPr>
        <w:spacing w:line="360" w:lineRule="auto"/>
        <w:ind w:firstLine="420" w:firstLineChars="200"/>
        <w:rPr>
          <w:rFonts w:ascii="宋体"/>
        </w:rPr>
      </w:pPr>
      <w:r>
        <w:rPr>
          <w:rFonts w:ascii="宋体" w:hAnsi="宋体"/>
        </w:rPr>
        <w:t xml:space="preserve">17.6.1  </w:t>
      </w:r>
      <w:r>
        <w:rPr>
          <w:rFonts w:hint="eastAsia" w:ascii="宋体" w:hAnsi="宋体"/>
        </w:rPr>
        <w:t>最终结清申请单</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）缺陷责任期终止证书签发后，承包人可按合同约定的份数和期限向监理人提交最终结清申请单，并提供相关证明材料。承包人提交最终结清申请单的份数和期限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发包人向承包人支付质量保证金利息的，承包人应按照约定的利息计算方法计算利息，并列入最终结清申请单中。是否支付质量保证金利息及利息计算方法</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）发包人对最终结清申请单内容有异议的，有权要求承包人进行修正和提供补充资料，由承包人向监理人提交修正后的最终结清申请单。</w:t>
      </w:r>
    </w:p>
    <w:p>
      <w:pPr>
        <w:spacing w:line="360" w:lineRule="auto"/>
        <w:ind w:firstLine="420" w:firstLineChars="200"/>
        <w:rPr>
          <w:rFonts w:ascii="宋体"/>
        </w:rPr>
      </w:pPr>
      <w:r>
        <w:rPr>
          <w:rFonts w:ascii="宋体" w:hAnsi="宋体"/>
        </w:rPr>
        <w:t xml:space="preserve">17.6.2  </w:t>
      </w:r>
      <w:r>
        <w:rPr>
          <w:rFonts w:hint="eastAsia" w:ascii="宋体" w:hAnsi="宋体"/>
        </w:rPr>
        <w:t>最终结清证书和支付时间</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）监理人收到承包人提交的最终结清申请单后的</w:t>
      </w:r>
      <w:r>
        <w:rPr>
          <w:rFonts w:ascii="宋体" w:hAnsi="宋体"/>
          <w:szCs w:val="21"/>
        </w:rPr>
        <w:t>14</w:t>
      </w:r>
      <w:r>
        <w:rPr>
          <w:rFonts w:hint="eastAsia" w:ascii="宋体" w:hAnsi="宋体"/>
          <w:szCs w:val="21"/>
        </w:rPr>
        <w:t>天内，提出发包人应支付给承包人的价款等审核意见，并报送发包人审核。发包人应在收到后</w:t>
      </w:r>
      <w:r>
        <w:rPr>
          <w:rFonts w:ascii="宋体" w:hAnsi="宋体"/>
          <w:szCs w:val="21"/>
        </w:rPr>
        <w:t>14</w:t>
      </w:r>
      <w:r>
        <w:rPr>
          <w:rFonts w:hint="eastAsia" w:ascii="宋体" w:hAnsi="宋体"/>
          <w:szCs w:val="21"/>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）发包人应在监理人出具最终结清证书后的</w:t>
      </w:r>
      <w:r>
        <w:rPr>
          <w:rFonts w:ascii="宋体" w:hAnsi="宋体"/>
          <w:szCs w:val="21"/>
        </w:rPr>
        <w:t>14</w:t>
      </w:r>
      <w:r>
        <w:rPr>
          <w:rFonts w:hint="eastAsia" w:ascii="宋体" w:hAnsi="宋体"/>
          <w:szCs w:val="21"/>
        </w:rPr>
        <w:t>天内，将应支付款支付给承包人。发包人不按期支付的，按第</w:t>
      </w:r>
      <w:r>
        <w:rPr>
          <w:rFonts w:ascii="宋体" w:hAnsi="宋体"/>
          <w:szCs w:val="21"/>
        </w:rPr>
        <w:t>17.3.3</w:t>
      </w:r>
      <w:r>
        <w:rPr>
          <w:rFonts w:hint="eastAsia" w:ascii="宋体" w:hAnsi="宋体"/>
          <w:szCs w:val="21"/>
        </w:rPr>
        <w:t>（</w:t>
      </w:r>
      <w:r>
        <w:rPr>
          <w:rFonts w:ascii="宋体" w:hAnsi="宋体"/>
          <w:szCs w:val="21"/>
        </w:rPr>
        <w:t>2</w:t>
      </w:r>
      <w:r>
        <w:rPr>
          <w:rFonts w:hint="eastAsia" w:ascii="宋体" w:hAnsi="宋体"/>
          <w:szCs w:val="21"/>
        </w:rPr>
        <w:t>）目的约定，将逾期付款违约金支付给承包人。</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）承包人对发包人签认的最终结清证书有异议的，按第</w:t>
      </w:r>
      <w:r>
        <w:rPr>
          <w:rFonts w:ascii="宋体" w:hAnsi="宋体"/>
          <w:szCs w:val="21"/>
        </w:rPr>
        <w:t>24</w:t>
      </w:r>
      <w:r>
        <w:rPr>
          <w:rFonts w:hint="eastAsia" w:ascii="宋体" w:hAnsi="宋体"/>
          <w:szCs w:val="21"/>
        </w:rPr>
        <w:t>条“争议的解决”的约定办理。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）最终结清付款涉及政府投资资金的，按第</w:t>
      </w:r>
      <w:r>
        <w:rPr>
          <w:rFonts w:ascii="宋体" w:hAnsi="宋体"/>
          <w:szCs w:val="21"/>
        </w:rPr>
        <w:t>17.3.3</w:t>
      </w:r>
      <w:r>
        <w:rPr>
          <w:rFonts w:hint="eastAsia" w:ascii="宋体" w:hAnsi="宋体"/>
          <w:szCs w:val="21"/>
        </w:rPr>
        <w:t>（</w:t>
      </w:r>
      <w:r>
        <w:rPr>
          <w:rFonts w:ascii="宋体" w:hAnsi="宋体"/>
          <w:szCs w:val="21"/>
        </w:rPr>
        <w:t>4</w:t>
      </w:r>
      <w:r>
        <w:rPr>
          <w:rFonts w:hint="eastAsia" w:ascii="宋体" w:hAnsi="宋体"/>
          <w:szCs w:val="21"/>
        </w:rPr>
        <w:t>）目的约定办理。</w:t>
      </w:r>
    </w:p>
    <w:p>
      <w:pPr>
        <w:pStyle w:val="43"/>
        <w:spacing w:after="120"/>
      </w:pPr>
      <w:bookmarkStart w:id="2161" w:name="_Toc483668192"/>
      <w:bookmarkStart w:id="2162" w:name="_Toc489279974"/>
      <w:bookmarkStart w:id="2163" w:name="_Toc490222608"/>
      <w:bookmarkStart w:id="2164" w:name="_Toc480487018"/>
      <w:bookmarkStart w:id="2165" w:name="_Toc486580163"/>
      <w:bookmarkStart w:id="2166" w:name="_Toc480486846"/>
      <w:bookmarkStart w:id="2167" w:name="_Toc342296376"/>
      <w:bookmarkStart w:id="2168" w:name="_Toc10233599"/>
      <w:bookmarkStart w:id="2169" w:name="_Toc338944818"/>
      <w:r>
        <w:t>18.</w:t>
      </w:r>
      <w:r>
        <w:rPr>
          <w:rFonts w:hint="eastAsia"/>
        </w:rPr>
        <w:t>竣工验收</w:t>
      </w:r>
      <w:bookmarkEnd w:id="2161"/>
      <w:bookmarkEnd w:id="2162"/>
      <w:bookmarkEnd w:id="2163"/>
      <w:bookmarkEnd w:id="2164"/>
      <w:bookmarkEnd w:id="2165"/>
      <w:bookmarkEnd w:id="2166"/>
      <w:bookmarkEnd w:id="2167"/>
      <w:bookmarkEnd w:id="2168"/>
      <w:bookmarkEnd w:id="2169"/>
    </w:p>
    <w:p>
      <w:pPr>
        <w:pStyle w:val="253"/>
        <w:spacing w:before="120"/>
      </w:pPr>
      <w:bookmarkStart w:id="2170" w:name="_Toc486580164"/>
      <w:bookmarkStart w:id="2171" w:name="_Toc489279975"/>
      <w:bookmarkStart w:id="2172" w:name="_Toc179632744"/>
      <w:bookmarkStart w:id="2173" w:name="_Toc10233600"/>
      <w:bookmarkStart w:id="2174" w:name="_Toc338944819"/>
      <w:bookmarkStart w:id="2175" w:name="_Toc483668193"/>
      <w:bookmarkStart w:id="2176" w:name="_Toc490222609"/>
      <w:bookmarkStart w:id="2177" w:name="_Toc152045726"/>
      <w:bookmarkStart w:id="2178" w:name="_Toc152042505"/>
      <w:bookmarkStart w:id="2179" w:name="_Toc480486847"/>
      <w:bookmarkStart w:id="2180" w:name="_Toc480487019"/>
      <w:bookmarkStart w:id="2181" w:name="_Toc342296377"/>
      <w:bookmarkStart w:id="2182" w:name="_Toc144974697"/>
      <w:r>
        <w:t xml:space="preserve">18.1  </w:t>
      </w:r>
      <w:r>
        <w:rPr>
          <w:rFonts w:hint="eastAsia"/>
        </w:rPr>
        <w:t>竣工验收的含义</w:t>
      </w:r>
      <w:bookmarkEnd w:id="2170"/>
      <w:bookmarkEnd w:id="2171"/>
      <w:bookmarkEnd w:id="2172"/>
      <w:bookmarkEnd w:id="2173"/>
      <w:bookmarkEnd w:id="2174"/>
      <w:bookmarkEnd w:id="2175"/>
      <w:bookmarkEnd w:id="2176"/>
      <w:bookmarkEnd w:id="2177"/>
      <w:bookmarkEnd w:id="2178"/>
      <w:bookmarkEnd w:id="2179"/>
      <w:bookmarkEnd w:id="2180"/>
      <w:bookmarkEnd w:id="2181"/>
      <w:bookmarkEnd w:id="2182"/>
    </w:p>
    <w:p>
      <w:pPr>
        <w:spacing w:line="360" w:lineRule="auto"/>
        <w:ind w:firstLine="420" w:firstLineChars="200"/>
        <w:rPr>
          <w:rFonts w:ascii="宋体"/>
          <w:szCs w:val="21"/>
        </w:rPr>
      </w:pPr>
      <w:r>
        <w:rPr>
          <w:rFonts w:ascii="宋体" w:hAnsi="宋体"/>
          <w:szCs w:val="21"/>
        </w:rPr>
        <w:t xml:space="preserve">18.1.1  </w:t>
      </w:r>
      <w:r>
        <w:rPr>
          <w:rFonts w:hint="eastAsia" w:ascii="宋体" w:hAnsi="宋体"/>
          <w:szCs w:val="21"/>
        </w:rPr>
        <w:t>竣工验收指承包人完成了全部合同工作后，发包人按合同要求进行的验收。</w:t>
      </w:r>
    </w:p>
    <w:p>
      <w:pPr>
        <w:spacing w:line="360" w:lineRule="auto"/>
        <w:ind w:firstLine="420" w:firstLineChars="200"/>
        <w:rPr>
          <w:rFonts w:ascii="宋体"/>
          <w:szCs w:val="21"/>
        </w:rPr>
      </w:pPr>
      <w:r>
        <w:rPr>
          <w:rFonts w:ascii="宋体" w:hAnsi="宋体"/>
          <w:szCs w:val="21"/>
        </w:rPr>
        <w:t xml:space="preserve">18.1.2  </w:t>
      </w:r>
      <w:r>
        <w:rPr>
          <w:rFonts w:hint="eastAsia" w:ascii="宋体" w:hAnsi="宋体"/>
          <w:szCs w:val="21"/>
        </w:rPr>
        <w:t>国家验收是政府有关部门根据法律、规范、规程和政策要求，针对发包人全面组织实施的整个工程正式交付投运前的验收。</w:t>
      </w:r>
    </w:p>
    <w:p>
      <w:pPr>
        <w:spacing w:line="360" w:lineRule="auto"/>
        <w:ind w:firstLine="420" w:firstLineChars="200"/>
        <w:rPr>
          <w:rFonts w:ascii="宋体"/>
          <w:szCs w:val="21"/>
        </w:rPr>
      </w:pPr>
      <w:r>
        <w:rPr>
          <w:rFonts w:ascii="宋体" w:hAnsi="宋体"/>
          <w:szCs w:val="21"/>
        </w:rPr>
        <w:t xml:space="preserve">18.1.3  </w:t>
      </w:r>
      <w:r>
        <w:rPr>
          <w:rFonts w:hint="eastAsia" w:ascii="宋体" w:hAnsi="宋体"/>
          <w:szCs w:val="21"/>
        </w:rPr>
        <w:t>需要进行国家验收的，竣工验收是国家验收的一部分。竣工验收所采用的各项验收和评定标准应符合国家验收标准。发包人和承包人为竣工验收提供的各项竣工验收资料应符合国家验收的要求。</w:t>
      </w:r>
      <w:r>
        <w:rPr>
          <w:rFonts w:ascii="宋体" w:hAnsi="宋体"/>
          <w:szCs w:val="21"/>
        </w:rPr>
        <w:t xml:space="preserve"> </w:t>
      </w:r>
    </w:p>
    <w:p>
      <w:pPr>
        <w:pStyle w:val="253"/>
        <w:spacing w:before="120"/>
      </w:pPr>
      <w:bookmarkStart w:id="2183" w:name="_Toc480487020"/>
      <w:bookmarkStart w:id="2184" w:name="_Toc480486848"/>
      <w:bookmarkStart w:id="2185" w:name="_Toc338944820"/>
      <w:bookmarkStart w:id="2186" w:name="_Toc490222610"/>
      <w:bookmarkStart w:id="2187" w:name="_Toc483668194"/>
      <w:bookmarkStart w:id="2188" w:name="_Toc486580165"/>
      <w:bookmarkStart w:id="2189" w:name="_Toc489279976"/>
      <w:bookmarkStart w:id="2190" w:name="_Toc10233601"/>
      <w:bookmarkStart w:id="2191" w:name="_Toc342296378"/>
      <w:r>
        <w:t xml:space="preserve">18.2  </w:t>
      </w:r>
      <w:r>
        <w:rPr>
          <w:rFonts w:hint="eastAsia"/>
        </w:rPr>
        <w:t>竣工验收申请报告</w:t>
      </w:r>
      <w:bookmarkEnd w:id="2183"/>
      <w:bookmarkEnd w:id="2184"/>
      <w:bookmarkEnd w:id="2185"/>
      <w:bookmarkEnd w:id="2186"/>
      <w:bookmarkEnd w:id="2187"/>
      <w:bookmarkEnd w:id="2188"/>
      <w:bookmarkEnd w:id="2189"/>
      <w:bookmarkEnd w:id="2190"/>
      <w:bookmarkEnd w:id="2191"/>
    </w:p>
    <w:p>
      <w:pPr>
        <w:spacing w:line="360" w:lineRule="auto"/>
        <w:ind w:firstLine="420" w:firstLineChars="200"/>
        <w:rPr>
          <w:rFonts w:ascii="宋体"/>
          <w:szCs w:val="21"/>
        </w:rPr>
      </w:pPr>
      <w:r>
        <w:rPr>
          <w:rFonts w:hint="eastAsia" w:ascii="宋体" w:hAnsi="宋体"/>
          <w:szCs w:val="21"/>
        </w:rPr>
        <w:t>当工程具备以下条件时，承包人即可向监理人报送竣工验收申请报告：</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）除监理人同意列入缺陷责任期内完成的尾工（甩项）工程和缺陷修补工作外，合同范围内的全部单位工程以及有关工作，包括合同要求的试验、试运行以及检验和验收均已完成，并符合合同要求；</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）已按监理人的要求编制了在缺陷责任期内需完成的尾工（甩项）工程，和缺陷修补工作清单等相应施工计划；</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）监理人要求在竣工验收前应完成的其他工作；</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）监理人要求提交的竣工验收资料清单。</w:t>
      </w:r>
    </w:p>
    <w:p>
      <w:pPr>
        <w:pStyle w:val="253"/>
        <w:spacing w:before="120"/>
      </w:pPr>
      <w:bookmarkStart w:id="2192" w:name="_Toc490222611"/>
      <w:bookmarkStart w:id="2193" w:name="_Toc483668195"/>
      <w:bookmarkStart w:id="2194" w:name="_Toc486580166"/>
      <w:bookmarkStart w:id="2195" w:name="_Toc342296379"/>
      <w:bookmarkStart w:id="2196" w:name="_Toc480487021"/>
      <w:bookmarkStart w:id="2197" w:name="_Toc489279977"/>
      <w:bookmarkStart w:id="2198" w:name="_Toc10233602"/>
      <w:bookmarkStart w:id="2199" w:name="_Toc480486849"/>
      <w:bookmarkStart w:id="2200" w:name="_Toc338944821"/>
      <w:r>
        <w:t xml:space="preserve">18.3  </w:t>
      </w:r>
      <w:r>
        <w:rPr>
          <w:rFonts w:hint="eastAsia"/>
        </w:rPr>
        <w:t>验收</w:t>
      </w:r>
      <w:bookmarkEnd w:id="2192"/>
      <w:bookmarkEnd w:id="2193"/>
      <w:bookmarkEnd w:id="2194"/>
      <w:bookmarkEnd w:id="2195"/>
      <w:bookmarkEnd w:id="2196"/>
      <w:bookmarkEnd w:id="2197"/>
      <w:bookmarkEnd w:id="2198"/>
      <w:bookmarkEnd w:id="2199"/>
      <w:bookmarkEnd w:id="2200"/>
    </w:p>
    <w:p>
      <w:pPr>
        <w:spacing w:line="360" w:lineRule="auto"/>
        <w:ind w:firstLine="420" w:firstLineChars="200"/>
        <w:rPr>
          <w:rFonts w:ascii="宋体"/>
          <w:szCs w:val="21"/>
        </w:rPr>
      </w:pPr>
      <w:r>
        <w:rPr>
          <w:rFonts w:hint="eastAsia" w:ascii="宋体" w:hAnsi="宋体"/>
          <w:szCs w:val="21"/>
        </w:rPr>
        <w:t>监理人收到承包人按第</w:t>
      </w:r>
      <w:r>
        <w:rPr>
          <w:rFonts w:ascii="宋体" w:hAnsi="宋体"/>
          <w:szCs w:val="21"/>
        </w:rPr>
        <w:t>18.2</w:t>
      </w:r>
      <w:r>
        <w:rPr>
          <w:rFonts w:hint="eastAsia" w:ascii="宋体" w:hAnsi="宋体"/>
          <w:szCs w:val="21"/>
        </w:rPr>
        <w:t>款约定提交的竣工验收申请报告后，应审查申请报告的各项内容，并按以下不同情况进行处理。</w:t>
      </w:r>
    </w:p>
    <w:p>
      <w:pPr>
        <w:spacing w:line="360" w:lineRule="auto"/>
        <w:ind w:firstLine="420" w:firstLineChars="200"/>
        <w:rPr>
          <w:rFonts w:ascii="宋体"/>
          <w:szCs w:val="21"/>
        </w:rPr>
      </w:pPr>
      <w:r>
        <w:rPr>
          <w:rFonts w:ascii="宋体" w:hAnsi="宋体"/>
          <w:szCs w:val="21"/>
        </w:rPr>
        <w:t xml:space="preserve">18.3.1  </w:t>
      </w:r>
      <w:r>
        <w:rPr>
          <w:rFonts w:hint="eastAsia" w:ascii="宋体" w:hAnsi="宋体"/>
          <w:szCs w:val="21"/>
        </w:rPr>
        <w:t>监理人审查后认为尚不具备竣工验收条件的，应在收到竣工验收申请报告后的</w:t>
      </w:r>
      <w:r>
        <w:rPr>
          <w:rFonts w:ascii="宋体" w:hAnsi="宋体"/>
          <w:szCs w:val="21"/>
        </w:rPr>
        <w:t>28</w:t>
      </w:r>
      <w:r>
        <w:rPr>
          <w:rFonts w:hint="eastAsia" w:ascii="宋体" w:hAnsi="宋体"/>
          <w:szCs w:val="21"/>
        </w:rPr>
        <w:t>天内通知承包人，并指出在颁发接收证书前承包人需进行的工作内容。承包人完成监理人通知的全部工作内容后，应再次提交竣工验收申请报告，直至监理人同意为止。</w:t>
      </w:r>
    </w:p>
    <w:p>
      <w:pPr>
        <w:spacing w:line="360" w:lineRule="auto"/>
        <w:ind w:firstLine="420" w:firstLineChars="200"/>
        <w:rPr>
          <w:rFonts w:ascii="宋体"/>
          <w:szCs w:val="21"/>
        </w:rPr>
      </w:pPr>
      <w:r>
        <w:rPr>
          <w:rFonts w:ascii="宋体" w:hAnsi="宋体"/>
          <w:szCs w:val="21"/>
        </w:rPr>
        <w:t xml:space="preserve">18.3.2  </w:t>
      </w:r>
      <w:r>
        <w:rPr>
          <w:rFonts w:hint="eastAsia" w:ascii="宋体" w:hAnsi="宋体"/>
          <w:szCs w:val="21"/>
        </w:rPr>
        <w:t>监理人审查后认为已具备竣工验收条件的，应在收到竣工验收申请报告后的</w:t>
      </w:r>
      <w:r>
        <w:rPr>
          <w:rFonts w:ascii="宋体" w:hAnsi="宋体"/>
          <w:szCs w:val="21"/>
        </w:rPr>
        <w:t>28</w:t>
      </w:r>
      <w:r>
        <w:rPr>
          <w:rFonts w:hint="eastAsia" w:ascii="宋体" w:hAnsi="宋体"/>
          <w:szCs w:val="21"/>
        </w:rPr>
        <w:t>天内提请发包人进行工程验收。</w:t>
      </w:r>
    </w:p>
    <w:p>
      <w:pPr>
        <w:spacing w:line="360" w:lineRule="auto"/>
        <w:ind w:firstLine="420" w:firstLineChars="200"/>
        <w:rPr>
          <w:rFonts w:ascii="宋体"/>
          <w:szCs w:val="21"/>
        </w:rPr>
      </w:pPr>
      <w:r>
        <w:rPr>
          <w:rFonts w:ascii="宋体" w:hAnsi="宋体"/>
          <w:szCs w:val="21"/>
        </w:rPr>
        <w:t xml:space="preserve">18.3.3  </w:t>
      </w:r>
      <w:r>
        <w:rPr>
          <w:rFonts w:hint="eastAsia" w:ascii="宋体" w:hAnsi="宋体"/>
          <w:szCs w:val="21"/>
        </w:rPr>
        <w:t>发包人经过验收后同意接收工程的，应在监理人收到竣工验收申请报告后的</w:t>
      </w:r>
      <w:r>
        <w:rPr>
          <w:rFonts w:ascii="宋体" w:hAnsi="宋体"/>
          <w:szCs w:val="21"/>
        </w:rPr>
        <w:t>56</w:t>
      </w:r>
      <w:r>
        <w:rPr>
          <w:rFonts w:hint="eastAsia" w:ascii="宋体" w:hAnsi="宋体"/>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spacing w:line="360" w:lineRule="auto"/>
        <w:ind w:firstLine="420" w:firstLineChars="200"/>
        <w:rPr>
          <w:rFonts w:ascii="宋体"/>
          <w:szCs w:val="21"/>
        </w:rPr>
      </w:pPr>
      <w:r>
        <w:rPr>
          <w:rFonts w:ascii="宋体" w:hAnsi="宋体"/>
          <w:szCs w:val="21"/>
        </w:rPr>
        <w:t xml:space="preserve">18.3.4  </w:t>
      </w:r>
      <w:r>
        <w:rPr>
          <w:rFonts w:hint="eastAsia" w:ascii="宋体" w:hAnsi="宋体"/>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宋体" w:hAnsi="宋体"/>
          <w:szCs w:val="21"/>
        </w:rPr>
        <w:t>18.3.1</w:t>
      </w:r>
      <w:r>
        <w:rPr>
          <w:rFonts w:hint="eastAsia" w:ascii="宋体" w:hAnsi="宋体"/>
          <w:szCs w:val="21"/>
        </w:rPr>
        <w:t>项、第</w:t>
      </w:r>
      <w:r>
        <w:rPr>
          <w:rFonts w:ascii="宋体" w:hAnsi="宋体"/>
          <w:szCs w:val="21"/>
        </w:rPr>
        <w:t>18.3.2</w:t>
      </w:r>
      <w:r>
        <w:rPr>
          <w:rFonts w:hint="eastAsia" w:ascii="宋体" w:hAnsi="宋体"/>
          <w:szCs w:val="21"/>
        </w:rPr>
        <w:t>项和第</w:t>
      </w:r>
      <w:r>
        <w:rPr>
          <w:rFonts w:ascii="宋体" w:hAnsi="宋体"/>
          <w:szCs w:val="21"/>
        </w:rPr>
        <w:t>18.3.3</w:t>
      </w:r>
      <w:r>
        <w:rPr>
          <w:rFonts w:hint="eastAsia" w:ascii="宋体" w:hAnsi="宋体"/>
          <w:szCs w:val="21"/>
        </w:rPr>
        <w:t>项的约定进行。</w:t>
      </w:r>
    </w:p>
    <w:p>
      <w:pPr>
        <w:spacing w:line="360" w:lineRule="auto"/>
        <w:ind w:firstLine="420" w:firstLineChars="200"/>
        <w:rPr>
          <w:rFonts w:ascii="宋体"/>
          <w:szCs w:val="21"/>
        </w:rPr>
      </w:pPr>
      <w:r>
        <w:rPr>
          <w:rFonts w:ascii="宋体" w:hAnsi="宋体"/>
          <w:szCs w:val="21"/>
        </w:rPr>
        <w:t xml:space="preserve">18.3.5  </w:t>
      </w:r>
      <w:r>
        <w:rPr>
          <w:rFonts w:hint="eastAsia" w:ascii="宋体" w:hAnsi="宋体"/>
          <w:szCs w:val="21"/>
        </w:rPr>
        <w:t>经验收合格的工程</w:t>
      </w:r>
      <w:r>
        <w:rPr>
          <w:rFonts w:ascii="宋体" w:hAnsi="宋体"/>
          <w:szCs w:val="21"/>
        </w:rPr>
        <w:t xml:space="preserve">, </w:t>
      </w:r>
      <w:r>
        <w:rPr>
          <w:rFonts w:hint="eastAsia" w:ascii="宋体" w:hAnsi="宋体"/>
          <w:szCs w:val="21"/>
        </w:rPr>
        <w:t>实际竣工日期为承包人按照第</w:t>
      </w:r>
      <w:r>
        <w:rPr>
          <w:rFonts w:ascii="宋体" w:hAnsi="宋体"/>
          <w:szCs w:val="21"/>
        </w:rPr>
        <w:t>18.2</w:t>
      </w:r>
      <w:r>
        <w:rPr>
          <w:rFonts w:hint="eastAsia" w:ascii="宋体" w:hAnsi="宋体"/>
          <w:szCs w:val="21"/>
        </w:rPr>
        <w:t>款提交竣工验收申请报告或按照本款重新提交竣工验收申请报告的日期（以两者中时间在后者为准）。</w:t>
      </w:r>
    </w:p>
    <w:p>
      <w:pPr>
        <w:spacing w:line="360" w:lineRule="auto"/>
        <w:ind w:firstLine="420" w:firstLineChars="200"/>
        <w:rPr>
          <w:rFonts w:ascii="宋体"/>
          <w:szCs w:val="21"/>
        </w:rPr>
      </w:pPr>
      <w:r>
        <w:rPr>
          <w:rFonts w:ascii="宋体" w:hAnsi="宋体"/>
          <w:szCs w:val="21"/>
        </w:rPr>
        <w:t xml:space="preserve">18.3.6  </w:t>
      </w:r>
      <w:r>
        <w:rPr>
          <w:rFonts w:hint="eastAsia" w:ascii="宋体" w:hAnsi="宋体"/>
          <w:szCs w:val="21"/>
        </w:rPr>
        <w:t>发包人在收到承包人竣工验收申请报告</w:t>
      </w:r>
      <w:r>
        <w:rPr>
          <w:rFonts w:ascii="宋体" w:hAnsi="宋体"/>
          <w:szCs w:val="21"/>
        </w:rPr>
        <w:t>56</w:t>
      </w:r>
      <w:r>
        <w:rPr>
          <w:rFonts w:hint="eastAsia" w:ascii="宋体" w:hAnsi="宋体"/>
          <w:szCs w:val="21"/>
        </w:rPr>
        <w:t>天后未进行验收的，视为验收合格，实际竣工日期以提交竣工验收申请报告的日期为准，但发包人由于不可抗力不能进行验收的除外。</w:t>
      </w:r>
    </w:p>
    <w:p>
      <w:pPr>
        <w:pStyle w:val="253"/>
        <w:spacing w:before="120"/>
      </w:pPr>
      <w:bookmarkStart w:id="2201" w:name="_Toc483668196"/>
      <w:bookmarkStart w:id="2202" w:name="_Toc179632747"/>
      <w:bookmarkStart w:id="2203" w:name="_Toc489279978"/>
      <w:bookmarkStart w:id="2204" w:name="_Toc152042508"/>
      <w:bookmarkStart w:id="2205" w:name="_Toc10233603"/>
      <w:bookmarkStart w:id="2206" w:name="_Toc152045729"/>
      <w:bookmarkStart w:id="2207" w:name="_Toc342296380"/>
      <w:bookmarkStart w:id="2208" w:name="_Toc486580167"/>
      <w:bookmarkStart w:id="2209" w:name="_Toc480486850"/>
      <w:bookmarkStart w:id="2210" w:name="_Toc338944822"/>
      <w:bookmarkStart w:id="2211" w:name="_Toc490222612"/>
      <w:bookmarkStart w:id="2212" w:name="_Toc144974700"/>
      <w:bookmarkStart w:id="2213" w:name="_Toc480487022"/>
      <w:r>
        <w:t xml:space="preserve">18.4  </w:t>
      </w:r>
      <w:r>
        <w:rPr>
          <w:rFonts w:hint="eastAsia"/>
        </w:rPr>
        <w:t>单位工程验收</w:t>
      </w:r>
      <w:bookmarkEnd w:id="2201"/>
      <w:bookmarkEnd w:id="2202"/>
      <w:bookmarkEnd w:id="2203"/>
      <w:bookmarkEnd w:id="2204"/>
      <w:bookmarkEnd w:id="2205"/>
      <w:bookmarkEnd w:id="2206"/>
      <w:bookmarkEnd w:id="2207"/>
      <w:bookmarkEnd w:id="2208"/>
      <w:bookmarkEnd w:id="2209"/>
      <w:bookmarkEnd w:id="2210"/>
      <w:bookmarkEnd w:id="2211"/>
      <w:bookmarkEnd w:id="2212"/>
      <w:bookmarkEnd w:id="2213"/>
    </w:p>
    <w:p>
      <w:pPr>
        <w:spacing w:line="360" w:lineRule="auto"/>
        <w:ind w:firstLine="420" w:firstLineChars="200"/>
        <w:rPr>
          <w:rFonts w:ascii="宋体"/>
          <w:szCs w:val="21"/>
        </w:rPr>
      </w:pPr>
      <w:r>
        <w:rPr>
          <w:rFonts w:ascii="宋体" w:hAnsi="宋体"/>
          <w:szCs w:val="21"/>
        </w:rPr>
        <w:t xml:space="preserve">18.4.1  </w:t>
      </w:r>
      <w:r>
        <w:rPr>
          <w:rFonts w:hint="eastAsia" w:ascii="宋体" w:hAnsi="宋体"/>
          <w:szCs w:val="21"/>
        </w:rPr>
        <w:t>发包人根据合同进度计划安排，在全部工程竣工前需要使用已经竣工的单位工程时，或承包人提出经发包人同意时，可进行单位工程验收。验收的程序可参照第</w:t>
      </w:r>
      <w:r>
        <w:rPr>
          <w:rFonts w:ascii="宋体" w:hAnsi="宋体"/>
          <w:szCs w:val="21"/>
        </w:rPr>
        <w:t>18.2</w:t>
      </w:r>
      <w:r>
        <w:rPr>
          <w:rFonts w:hint="eastAsia" w:ascii="宋体" w:hAnsi="宋体"/>
          <w:szCs w:val="21"/>
        </w:rPr>
        <w:t>款与第</w:t>
      </w:r>
      <w:r>
        <w:rPr>
          <w:rFonts w:ascii="宋体" w:hAnsi="宋体"/>
          <w:szCs w:val="21"/>
        </w:rPr>
        <w:t>18.3</w:t>
      </w:r>
      <w:r>
        <w:rPr>
          <w:rFonts w:hint="eastAsia" w:ascii="宋体" w:hAnsi="宋体"/>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spacing w:line="360" w:lineRule="auto"/>
        <w:ind w:firstLine="420" w:firstLineChars="200"/>
        <w:rPr>
          <w:rFonts w:ascii="宋体"/>
          <w:szCs w:val="21"/>
        </w:rPr>
      </w:pPr>
      <w:r>
        <w:rPr>
          <w:rFonts w:ascii="宋体" w:hAnsi="宋体"/>
          <w:szCs w:val="21"/>
        </w:rPr>
        <w:t xml:space="preserve">18.4.2  </w:t>
      </w:r>
      <w:r>
        <w:rPr>
          <w:rFonts w:hint="eastAsia" w:ascii="宋体" w:hAnsi="宋体"/>
          <w:szCs w:val="21"/>
        </w:rPr>
        <w:t>发包人在全部工程竣工前，使用已接收的单位工程导致承包人费用增加的，发包人应承担由此增加的费用和（或）工期延误，并支付承包人合理利润。</w:t>
      </w:r>
    </w:p>
    <w:p>
      <w:pPr>
        <w:pStyle w:val="253"/>
        <w:spacing w:before="120"/>
      </w:pPr>
      <w:bookmarkStart w:id="2214" w:name="_Toc10233604"/>
      <w:bookmarkStart w:id="2215" w:name="_Toc342296381"/>
      <w:bookmarkStart w:id="2216" w:name="_Toc480486851"/>
      <w:bookmarkStart w:id="2217" w:name="_Toc338944823"/>
      <w:bookmarkStart w:id="2218" w:name="_Toc489279979"/>
      <w:bookmarkStart w:id="2219" w:name="_Toc490222613"/>
      <w:bookmarkStart w:id="2220" w:name="_Toc480487023"/>
      <w:bookmarkStart w:id="2221" w:name="_Toc483668197"/>
      <w:bookmarkStart w:id="2222" w:name="_Toc486580168"/>
      <w:r>
        <w:t xml:space="preserve">18.5  </w:t>
      </w:r>
      <w:r>
        <w:rPr>
          <w:rFonts w:hint="eastAsia"/>
        </w:rPr>
        <w:t>施工期运行</w:t>
      </w:r>
      <w:bookmarkEnd w:id="2214"/>
      <w:bookmarkEnd w:id="2215"/>
      <w:bookmarkEnd w:id="2216"/>
      <w:bookmarkEnd w:id="2217"/>
      <w:bookmarkEnd w:id="2218"/>
      <w:bookmarkEnd w:id="2219"/>
      <w:bookmarkEnd w:id="2220"/>
      <w:bookmarkEnd w:id="2221"/>
      <w:bookmarkEnd w:id="2222"/>
    </w:p>
    <w:p>
      <w:pPr>
        <w:spacing w:line="360" w:lineRule="auto"/>
        <w:ind w:firstLine="420" w:firstLineChars="200"/>
        <w:rPr>
          <w:rFonts w:ascii="宋体"/>
        </w:rPr>
      </w:pPr>
      <w:r>
        <w:rPr>
          <w:rFonts w:ascii="宋体" w:hAnsi="宋体"/>
        </w:rPr>
        <w:t xml:space="preserve">18.5.1  </w:t>
      </w:r>
      <w:r>
        <w:rPr>
          <w:rFonts w:hint="eastAsia" w:ascii="宋体" w:hAnsi="宋体"/>
        </w:rPr>
        <w:t>施工期运行是指合同工程尚未全部竣工，其中某项或某几项单位工程或工程设备安装已竣工，根据合同条款专用部分约定，需要投入施工期运行的，经发包人按第</w:t>
      </w:r>
      <w:r>
        <w:rPr>
          <w:rFonts w:ascii="宋体" w:hAnsi="宋体"/>
        </w:rPr>
        <w:t>18.4</w:t>
      </w:r>
      <w:r>
        <w:rPr>
          <w:rFonts w:hint="eastAsia" w:ascii="宋体" w:hAnsi="宋体"/>
        </w:rPr>
        <w:t>款的约定验收合格，证明能确保安全后，才能在施工期投入运行。</w:t>
      </w:r>
    </w:p>
    <w:p>
      <w:pPr>
        <w:spacing w:line="360" w:lineRule="auto"/>
        <w:ind w:firstLine="420" w:firstLineChars="200"/>
        <w:rPr>
          <w:rFonts w:ascii="宋体"/>
        </w:rPr>
      </w:pPr>
      <w:r>
        <w:rPr>
          <w:rFonts w:ascii="宋体" w:hAnsi="宋体"/>
        </w:rPr>
        <w:t xml:space="preserve">18.5.2  </w:t>
      </w:r>
      <w:r>
        <w:rPr>
          <w:rFonts w:hint="eastAsia" w:ascii="宋体" w:hAnsi="宋体"/>
        </w:rPr>
        <w:t>在施工期运行中发现工程或工程设备损坏或存在缺陷的，由承包人按第</w:t>
      </w:r>
      <w:r>
        <w:rPr>
          <w:rFonts w:ascii="宋体" w:hAnsi="宋体"/>
        </w:rPr>
        <w:t>19.2</w:t>
      </w:r>
      <w:r>
        <w:rPr>
          <w:rFonts w:hint="eastAsia" w:ascii="宋体" w:hAnsi="宋体"/>
        </w:rPr>
        <w:t>款约定进行修复。</w:t>
      </w:r>
    </w:p>
    <w:p>
      <w:pPr>
        <w:pStyle w:val="253"/>
        <w:spacing w:before="120"/>
      </w:pPr>
      <w:bookmarkStart w:id="2223" w:name="_Toc10233605"/>
      <w:bookmarkStart w:id="2224" w:name="_Toc342296382"/>
      <w:bookmarkStart w:id="2225" w:name="_Toc480487024"/>
      <w:bookmarkStart w:id="2226" w:name="_Toc338944824"/>
      <w:bookmarkStart w:id="2227" w:name="_Toc480486852"/>
      <w:bookmarkStart w:id="2228" w:name="_Toc490222614"/>
      <w:bookmarkStart w:id="2229" w:name="_Toc486580169"/>
      <w:bookmarkStart w:id="2230" w:name="_Toc489279980"/>
      <w:bookmarkStart w:id="2231" w:name="_Toc483668198"/>
      <w:r>
        <w:t xml:space="preserve">18.6  </w:t>
      </w:r>
      <w:r>
        <w:rPr>
          <w:rFonts w:hint="eastAsia"/>
        </w:rPr>
        <w:t>试运行</w:t>
      </w:r>
      <w:bookmarkEnd w:id="2223"/>
      <w:bookmarkEnd w:id="2224"/>
      <w:bookmarkEnd w:id="2225"/>
      <w:bookmarkEnd w:id="2226"/>
      <w:bookmarkEnd w:id="2227"/>
      <w:bookmarkEnd w:id="2228"/>
      <w:bookmarkEnd w:id="2229"/>
      <w:bookmarkEnd w:id="2230"/>
      <w:bookmarkEnd w:id="2231"/>
    </w:p>
    <w:p>
      <w:pPr>
        <w:spacing w:line="360" w:lineRule="auto"/>
        <w:ind w:firstLine="420" w:firstLineChars="200"/>
        <w:rPr>
          <w:rFonts w:ascii="宋体"/>
          <w:szCs w:val="21"/>
        </w:rPr>
      </w:pPr>
      <w:r>
        <w:rPr>
          <w:rFonts w:ascii="宋体" w:hAnsi="宋体"/>
          <w:szCs w:val="21"/>
        </w:rPr>
        <w:t xml:space="preserve">18.6.1  </w:t>
      </w:r>
      <w:r>
        <w:rPr>
          <w:rFonts w:hint="eastAsia" w:ascii="宋体" w:hAnsi="宋体"/>
          <w:szCs w:val="21"/>
        </w:rPr>
        <w:t>工程及工程设备试运行的组织与费用承担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）工程设备安装具备单机无负荷试运行条件，由承包人组织试运行，费用由承包人承担。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）工程设备安装具备无负荷联动试运行条件，由发包人组织试运行，费用由发包人承担。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）投料试运行应在工程竣工验收后由发包人负责，如发包人要求在工程竣工验收前进行或需要承包人配合时，应征得承包人同意，另行签订补充协议。</w:t>
      </w:r>
    </w:p>
    <w:p>
      <w:pPr>
        <w:spacing w:line="360" w:lineRule="auto"/>
        <w:ind w:firstLine="420" w:firstLineChars="200"/>
        <w:rPr>
          <w:rFonts w:ascii="宋体"/>
          <w:szCs w:val="21"/>
        </w:rPr>
      </w:pPr>
      <w:r>
        <w:rPr>
          <w:rFonts w:ascii="宋体" w:hAnsi="宋体"/>
          <w:szCs w:val="21"/>
        </w:rPr>
        <w:t xml:space="preserve">18.6.2  </w:t>
      </w:r>
      <w:r>
        <w:rPr>
          <w:rFonts w:hint="eastAsia" w:ascii="宋体" w:hAnsi="宋体"/>
          <w:szCs w:val="21"/>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pPr>
        <w:pStyle w:val="253"/>
        <w:spacing w:before="120"/>
      </w:pPr>
      <w:bookmarkStart w:id="2232" w:name="_Toc338944825"/>
      <w:bookmarkStart w:id="2233" w:name="_Toc480486853"/>
      <w:bookmarkStart w:id="2234" w:name="_Toc486580170"/>
      <w:bookmarkStart w:id="2235" w:name="_Toc489279981"/>
      <w:bookmarkStart w:id="2236" w:name="_Toc480487025"/>
      <w:bookmarkStart w:id="2237" w:name="_Toc490222615"/>
      <w:bookmarkStart w:id="2238" w:name="_Toc483668199"/>
      <w:bookmarkStart w:id="2239" w:name="_Toc342296383"/>
      <w:bookmarkStart w:id="2240" w:name="_Toc10233606"/>
      <w:r>
        <w:t xml:space="preserve">18.7  </w:t>
      </w:r>
      <w:r>
        <w:rPr>
          <w:rFonts w:hint="eastAsia"/>
        </w:rPr>
        <w:t>竣工清场</w:t>
      </w:r>
      <w:bookmarkEnd w:id="2232"/>
      <w:bookmarkEnd w:id="2233"/>
      <w:bookmarkEnd w:id="2234"/>
      <w:bookmarkEnd w:id="2235"/>
      <w:bookmarkEnd w:id="2236"/>
      <w:bookmarkEnd w:id="2237"/>
      <w:bookmarkEnd w:id="2238"/>
      <w:bookmarkEnd w:id="2239"/>
      <w:bookmarkEnd w:id="2240"/>
    </w:p>
    <w:p>
      <w:pPr>
        <w:spacing w:line="360" w:lineRule="auto"/>
        <w:ind w:firstLine="420" w:firstLineChars="200"/>
        <w:rPr>
          <w:rFonts w:ascii="宋体"/>
          <w:szCs w:val="21"/>
        </w:rPr>
      </w:pPr>
      <w:r>
        <w:rPr>
          <w:rFonts w:ascii="宋体" w:hAnsi="宋体"/>
          <w:szCs w:val="21"/>
        </w:rPr>
        <w:t xml:space="preserve">18.7.1  </w:t>
      </w:r>
      <w:r>
        <w:rPr>
          <w:rFonts w:hint="eastAsia" w:ascii="宋体" w:hAnsi="宋体"/>
          <w:szCs w:val="21"/>
        </w:rPr>
        <w:t>监理人颁发（出具）工程接收证书后，承包人负责按照以下要求对施工场地进行清理，直至监理人检验合格为止。竣工清场费用由承包人承担。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）施工场地内残留的垃圾已全部清除出场；</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）临时工程已拆除，场地已按合同要求进行清理、平整或复原；</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）按合同约定应撤离的承包人设备和剩余的材料，包括废弃的施工设备和材料，已按计划撤离施工场地；</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）工程建筑物周边及其附近道路、河道的施工堆积物，已按监理人指示全部清理；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）监理人指示的其他场地清理工作已全部完成。</w:t>
      </w:r>
    </w:p>
    <w:p>
      <w:pPr>
        <w:spacing w:line="360" w:lineRule="auto"/>
        <w:ind w:firstLine="420" w:firstLineChars="200"/>
        <w:rPr>
          <w:rFonts w:ascii="宋体"/>
          <w:szCs w:val="21"/>
        </w:rPr>
      </w:pPr>
      <w:r>
        <w:rPr>
          <w:rFonts w:ascii="宋体" w:hAnsi="宋体"/>
          <w:szCs w:val="21"/>
        </w:rPr>
        <w:t xml:space="preserve">18.7.2  </w:t>
      </w:r>
      <w:r>
        <w:rPr>
          <w:rFonts w:hint="eastAsia" w:ascii="宋体" w:hAnsi="宋体"/>
          <w:szCs w:val="21"/>
        </w:rPr>
        <w:t>承包人未按监理人的要求恢复临时占地，或者场地清理未达到合同约定的，发包人有权委托其他人恢复或清理，所发生的金额从拟支付给承包人的款项中扣除。</w:t>
      </w:r>
    </w:p>
    <w:p>
      <w:pPr>
        <w:pStyle w:val="253"/>
        <w:spacing w:before="120"/>
      </w:pPr>
      <w:bookmarkStart w:id="2241" w:name="_Toc480486854"/>
      <w:bookmarkStart w:id="2242" w:name="_Toc486580171"/>
      <w:bookmarkStart w:id="2243" w:name="_Toc338944826"/>
      <w:bookmarkStart w:id="2244" w:name="_Toc480487026"/>
      <w:bookmarkStart w:id="2245" w:name="_Toc483668200"/>
      <w:bookmarkStart w:id="2246" w:name="_Toc342296384"/>
      <w:bookmarkStart w:id="2247" w:name="_Toc490222616"/>
      <w:bookmarkStart w:id="2248" w:name="_Toc489279982"/>
      <w:bookmarkStart w:id="2249" w:name="_Toc10233607"/>
      <w:r>
        <w:t xml:space="preserve">18.8  </w:t>
      </w:r>
      <w:r>
        <w:rPr>
          <w:rFonts w:hint="eastAsia"/>
        </w:rPr>
        <w:t>施工队伍的撤离</w:t>
      </w:r>
      <w:bookmarkEnd w:id="2241"/>
      <w:bookmarkEnd w:id="2242"/>
      <w:bookmarkEnd w:id="2243"/>
      <w:bookmarkEnd w:id="2244"/>
      <w:bookmarkEnd w:id="2245"/>
      <w:bookmarkEnd w:id="2246"/>
      <w:bookmarkEnd w:id="2247"/>
      <w:bookmarkEnd w:id="2248"/>
      <w:bookmarkEnd w:id="2249"/>
    </w:p>
    <w:p>
      <w:pPr>
        <w:spacing w:line="360" w:lineRule="auto"/>
        <w:ind w:firstLine="420" w:firstLineChars="200"/>
        <w:rPr>
          <w:rFonts w:ascii="宋体"/>
          <w:szCs w:val="21"/>
        </w:rPr>
      </w:pPr>
      <w:r>
        <w:rPr>
          <w:rFonts w:ascii="宋体" w:hAnsi="宋体"/>
          <w:szCs w:val="21"/>
        </w:rPr>
        <w:t xml:space="preserve">18.8.1  </w:t>
      </w:r>
      <w:r>
        <w:rPr>
          <w:rFonts w:hint="eastAsia" w:ascii="宋体" w:hAnsi="宋体"/>
          <w:szCs w:val="21"/>
        </w:rPr>
        <w:t>工程接收证书颁发后的</w:t>
      </w:r>
      <w:r>
        <w:rPr>
          <w:rFonts w:ascii="宋体" w:hAnsi="宋体"/>
          <w:szCs w:val="21"/>
        </w:rPr>
        <w:t>56</w:t>
      </w:r>
      <w:r>
        <w:rPr>
          <w:rFonts w:hint="eastAsia" w:ascii="宋体" w:hAnsi="宋体"/>
          <w:szCs w:val="21"/>
        </w:rPr>
        <w:t>天内，除了经监理人同意需在缺陷责任期内继续工作和使用的人员、施工设备和临时工程外，其余的人员、施工设备和临时工程均应撤离施工场地或拆除。</w:t>
      </w:r>
    </w:p>
    <w:p>
      <w:pPr>
        <w:spacing w:line="360" w:lineRule="auto"/>
        <w:ind w:firstLine="420" w:firstLineChars="200"/>
        <w:rPr>
          <w:rFonts w:ascii="宋体"/>
          <w:szCs w:val="21"/>
        </w:rPr>
      </w:pPr>
      <w:r>
        <w:rPr>
          <w:rFonts w:ascii="宋体" w:hAnsi="宋体"/>
          <w:szCs w:val="21"/>
        </w:rPr>
        <w:t xml:space="preserve">18.8.2  </w:t>
      </w:r>
      <w:r>
        <w:rPr>
          <w:rFonts w:hint="eastAsia" w:ascii="宋体" w:hAnsi="宋体"/>
          <w:szCs w:val="21"/>
        </w:rPr>
        <w:t>承包人撤离施工场地（现场）时，监理人和承包人应当办理永久工程和施工场地移交手续，移交手续以书面方式出具，并分别经过发包人、监理人和承包人的签认。但是，监理人和发包人未按第</w:t>
      </w:r>
      <w:r>
        <w:rPr>
          <w:rFonts w:ascii="宋体" w:hAnsi="宋体"/>
          <w:szCs w:val="21"/>
        </w:rPr>
        <w:t>17.5.1</w:t>
      </w:r>
      <w:r>
        <w:rPr>
          <w:rFonts w:hint="eastAsia" w:ascii="宋体" w:hAnsi="宋体"/>
          <w:szCs w:val="21"/>
        </w:rPr>
        <w:t>项约定的期限办清竣工结算和竣工付款的，本工程不得交付使用，发包人和监理人也无权要求承包人按合同约定的期限撤离施工场地（现场）和办理工程移交手续。</w:t>
      </w:r>
    </w:p>
    <w:p>
      <w:pPr>
        <w:spacing w:line="360" w:lineRule="auto"/>
        <w:ind w:firstLine="420" w:firstLineChars="200"/>
        <w:rPr>
          <w:rFonts w:ascii="宋体"/>
          <w:szCs w:val="21"/>
        </w:rPr>
      </w:pPr>
      <w:r>
        <w:rPr>
          <w:rFonts w:ascii="宋体" w:hAnsi="宋体"/>
          <w:szCs w:val="21"/>
        </w:rPr>
        <w:t xml:space="preserve">18.8.3  </w:t>
      </w:r>
      <w:r>
        <w:rPr>
          <w:rFonts w:hint="eastAsia" w:ascii="宋体" w:hAnsi="宋体"/>
          <w:szCs w:val="21"/>
        </w:rPr>
        <w:t>缺陷责任期满时，承包人的人员和施工设备应在合同约定期限内全部撤离施工场地。撤离施工场地的期限要求</w:t>
      </w:r>
      <w:r>
        <w:rPr>
          <w:rFonts w:hint="eastAsia" w:ascii="黑体" w:hAnsi="黑体" w:eastAsia="黑体"/>
          <w:szCs w:val="21"/>
        </w:rPr>
        <w:t>见合同条款专用部分</w:t>
      </w:r>
      <w:r>
        <w:rPr>
          <w:rFonts w:hint="eastAsia" w:ascii="宋体" w:hAnsi="宋体"/>
          <w:szCs w:val="21"/>
        </w:rPr>
        <w:t>。</w:t>
      </w:r>
    </w:p>
    <w:p>
      <w:pPr>
        <w:pStyle w:val="253"/>
        <w:spacing w:before="120"/>
      </w:pPr>
      <w:bookmarkStart w:id="2250" w:name="_Toc241459736"/>
      <w:bookmarkStart w:id="2251" w:name="_Toc480487027"/>
      <w:bookmarkStart w:id="2252" w:name="_Toc490222617"/>
      <w:bookmarkStart w:id="2253" w:name="_Toc486580172"/>
      <w:bookmarkStart w:id="2254" w:name="_Toc342296495"/>
      <w:bookmarkStart w:id="2255" w:name="_Toc489279983"/>
      <w:bookmarkStart w:id="2256" w:name="_Toc476479383"/>
      <w:bookmarkStart w:id="2257" w:name="_Toc483668201"/>
      <w:bookmarkStart w:id="2258" w:name="_Toc10233608"/>
      <w:bookmarkStart w:id="2259" w:name="_Toc480486855"/>
      <w:r>
        <w:t xml:space="preserve">18.9  </w:t>
      </w:r>
      <w:r>
        <w:rPr>
          <w:rFonts w:hint="eastAsia"/>
        </w:rPr>
        <w:t>中间验收</w:t>
      </w:r>
      <w:bookmarkEnd w:id="2250"/>
      <w:bookmarkEnd w:id="2251"/>
      <w:bookmarkEnd w:id="2252"/>
      <w:bookmarkEnd w:id="2253"/>
      <w:bookmarkEnd w:id="2254"/>
      <w:bookmarkEnd w:id="2255"/>
      <w:bookmarkEnd w:id="2256"/>
      <w:bookmarkEnd w:id="2257"/>
      <w:bookmarkEnd w:id="2258"/>
      <w:bookmarkEnd w:id="2259"/>
    </w:p>
    <w:p>
      <w:pPr>
        <w:spacing w:line="360" w:lineRule="auto"/>
        <w:ind w:firstLine="420" w:firstLineChars="200"/>
        <w:rPr>
          <w:rFonts w:ascii="宋体"/>
          <w:szCs w:val="21"/>
        </w:rPr>
      </w:pPr>
      <w:r>
        <w:rPr>
          <w:rFonts w:ascii="宋体" w:hAnsi="宋体"/>
          <w:szCs w:val="21"/>
        </w:rPr>
        <w:t xml:space="preserve">18.9.1  </w:t>
      </w:r>
      <w:r>
        <w:rPr>
          <w:rFonts w:hint="eastAsia" w:ascii="宋体" w:hAnsi="宋体"/>
          <w:szCs w:val="21"/>
        </w:rPr>
        <w:t>本工程需要按照合同约定进行中间验收。进行中间验收的部位</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18.9.2  </w:t>
      </w:r>
      <w:r>
        <w:rPr>
          <w:rFonts w:hint="eastAsia" w:ascii="宋体" w:hAnsi="宋体"/>
          <w:szCs w:val="21"/>
        </w:rPr>
        <w:t>当工程进度达到第</w:t>
      </w:r>
      <w:r>
        <w:rPr>
          <w:rFonts w:ascii="宋体" w:hAnsi="宋体"/>
          <w:szCs w:val="21"/>
        </w:rPr>
        <w:t>18.9.1</w:t>
      </w:r>
      <w:r>
        <w:rPr>
          <w:rFonts w:hint="eastAsia" w:ascii="宋体" w:hAnsi="宋体"/>
          <w:szCs w:val="21"/>
        </w:rPr>
        <w:t>项约定的中间验收部位时，承包人应当进行自检，并在中间验收前</w:t>
      </w:r>
      <w:r>
        <w:rPr>
          <w:rFonts w:ascii="宋体" w:hAnsi="宋体"/>
          <w:szCs w:val="21"/>
        </w:rPr>
        <w:t>48</w:t>
      </w:r>
      <w:r>
        <w:rPr>
          <w:rFonts w:hint="eastAsia" w:ascii="宋体" w:hAnsi="宋体"/>
          <w:szCs w:val="21"/>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18.9.3  </w:t>
      </w:r>
      <w:r>
        <w:rPr>
          <w:rFonts w:hint="eastAsia" w:ascii="宋体" w:hAnsi="宋体"/>
          <w:szCs w:val="21"/>
        </w:rPr>
        <w:t>监理人不能按时进行验收的，应在验收前至少</w:t>
      </w:r>
      <w:r>
        <w:rPr>
          <w:rFonts w:ascii="宋体" w:hAnsi="宋体"/>
          <w:szCs w:val="21"/>
        </w:rPr>
        <w:t>24</w:t>
      </w:r>
      <w:r>
        <w:rPr>
          <w:rFonts w:hint="eastAsia" w:ascii="宋体" w:hAnsi="宋体"/>
          <w:szCs w:val="21"/>
        </w:rPr>
        <w:t>小时以书面形式向承包人提出延期要求，但延期不能超过</w:t>
      </w:r>
      <w:r>
        <w:rPr>
          <w:rFonts w:ascii="宋体" w:hAnsi="宋体"/>
          <w:szCs w:val="21"/>
        </w:rPr>
        <w:t>48</w:t>
      </w:r>
      <w:r>
        <w:rPr>
          <w:rFonts w:hint="eastAsia" w:ascii="宋体" w:hAnsi="宋体"/>
          <w:szCs w:val="21"/>
        </w:rPr>
        <w:t>小时。监理人未能按本款约定的时限提出延期要求，又未按期进行验收的，承包人可自行组织验收，监理人必须认同验收记录。</w:t>
      </w:r>
    </w:p>
    <w:p>
      <w:pPr>
        <w:spacing w:line="360" w:lineRule="auto"/>
        <w:ind w:firstLine="420" w:firstLineChars="200"/>
        <w:rPr>
          <w:rFonts w:ascii="宋体"/>
          <w:szCs w:val="21"/>
        </w:rPr>
      </w:pPr>
      <w:r>
        <w:rPr>
          <w:rFonts w:hint="eastAsia" w:ascii="宋体" w:hAnsi="宋体"/>
          <w:szCs w:val="21"/>
        </w:rPr>
        <w:t>经监理人验收后工程质量符合约定的验收标准，但验收</w:t>
      </w:r>
      <w:r>
        <w:rPr>
          <w:rFonts w:ascii="宋体" w:hAnsi="宋体"/>
          <w:szCs w:val="21"/>
        </w:rPr>
        <w:t>24</w:t>
      </w:r>
      <w:r>
        <w:rPr>
          <w:rFonts w:hint="eastAsia" w:ascii="宋体" w:hAnsi="宋体"/>
          <w:szCs w:val="21"/>
        </w:rPr>
        <w:t>小时后监理人仍不在验收记录上签字的，视为监理人已经认可验收记录，承包人可继续施工。</w:t>
      </w:r>
    </w:p>
    <w:p>
      <w:pPr>
        <w:pStyle w:val="43"/>
        <w:spacing w:after="120"/>
      </w:pPr>
      <w:bookmarkStart w:id="2260" w:name="_Toc480487028"/>
      <w:bookmarkStart w:id="2261" w:name="_Toc10233609"/>
      <w:bookmarkStart w:id="2262" w:name="_Toc342296385"/>
      <w:bookmarkStart w:id="2263" w:name="_Toc490222618"/>
      <w:bookmarkStart w:id="2264" w:name="_Toc486580173"/>
      <w:bookmarkStart w:id="2265" w:name="_Toc483668202"/>
      <w:bookmarkStart w:id="2266" w:name="_Toc338944827"/>
      <w:bookmarkStart w:id="2267" w:name="_Toc489279984"/>
      <w:bookmarkStart w:id="2268" w:name="_Toc480486856"/>
      <w:r>
        <w:t>19.</w:t>
      </w:r>
      <w:r>
        <w:rPr>
          <w:rFonts w:hint="eastAsia"/>
        </w:rPr>
        <w:t>缺陷责任与保修责任</w:t>
      </w:r>
      <w:bookmarkEnd w:id="2260"/>
      <w:bookmarkEnd w:id="2261"/>
      <w:bookmarkEnd w:id="2262"/>
      <w:bookmarkEnd w:id="2263"/>
      <w:bookmarkEnd w:id="2264"/>
      <w:bookmarkEnd w:id="2265"/>
      <w:bookmarkEnd w:id="2266"/>
      <w:bookmarkEnd w:id="2267"/>
      <w:bookmarkEnd w:id="2268"/>
    </w:p>
    <w:p>
      <w:pPr>
        <w:pStyle w:val="253"/>
        <w:spacing w:before="120"/>
      </w:pPr>
      <w:bookmarkStart w:id="2269" w:name="_Toc152045735"/>
      <w:bookmarkStart w:id="2270" w:name="_Toc179632753"/>
      <w:bookmarkStart w:id="2271" w:name="_Toc490222619"/>
      <w:bookmarkStart w:id="2272" w:name="_Toc483668203"/>
      <w:bookmarkStart w:id="2273" w:name="_Toc480486857"/>
      <w:bookmarkStart w:id="2274" w:name="_Toc152042514"/>
      <w:bookmarkStart w:id="2275" w:name="_Toc338944828"/>
      <w:bookmarkStart w:id="2276" w:name="_Toc480487029"/>
      <w:bookmarkStart w:id="2277" w:name="_Toc489279985"/>
      <w:bookmarkStart w:id="2278" w:name="_Toc10233610"/>
      <w:bookmarkStart w:id="2279" w:name="_Toc144974706"/>
      <w:bookmarkStart w:id="2280" w:name="_Toc486580174"/>
      <w:bookmarkStart w:id="2281" w:name="_Toc342296386"/>
      <w:r>
        <w:t xml:space="preserve">19.1  </w:t>
      </w:r>
      <w:r>
        <w:rPr>
          <w:rFonts w:hint="eastAsia"/>
        </w:rPr>
        <w:t>缺陷责任期的起算时间</w:t>
      </w:r>
      <w:bookmarkEnd w:id="2269"/>
      <w:bookmarkEnd w:id="2270"/>
      <w:bookmarkEnd w:id="2271"/>
      <w:bookmarkEnd w:id="2272"/>
      <w:bookmarkEnd w:id="2273"/>
      <w:bookmarkEnd w:id="2274"/>
      <w:bookmarkEnd w:id="2275"/>
      <w:bookmarkEnd w:id="2276"/>
      <w:bookmarkEnd w:id="2277"/>
      <w:bookmarkEnd w:id="2278"/>
      <w:bookmarkEnd w:id="2279"/>
      <w:bookmarkEnd w:id="2280"/>
      <w:bookmarkEnd w:id="2281"/>
    </w:p>
    <w:p>
      <w:pPr>
        <w:spacing w:line="360" w:lineRule="auto"/>
        <w:ind w:firstLine="420" w:firstLineChars="200"/>
        <w:rPr>
          <w:rFonts w:ascii="宋体"/>
          <w:szCs w:val="21"/>
        </w:rPr>
      </w:pPr>
      <w:r>
        <w:rPr>
          <w:rFonts w:hint="eastAsia" w:ascii="宋体" w:hAnsi="宋体"/>
          <w:szCs w:val="21"/>
        </w:rPr>
        <w:t>缺陷责任期自实际竣工日期起计算。在全部工程竣工验收前，已经发包人提前验收的单位工程，其缺陷责任期的起算日期相应提前。</w:t>
      </w:r>
    </w:p>
    <w:p>
      <w:pPr>
        <w:pStyle w:val="253"/>
        <w:spacing w:before="120"/>
      </w:pPr>
      <w:bookmarkStart w:id="2282" w:name="_Toc480486858"/>
      <w:bookmarkStart w:id="2283" w:name="_Toc342296387"/>
      <w:bookmarkStart w:id="2284" w:name="_Toc144974707"/>
      <w:bookmarkStart w:id="2285" w:name="_Toc338944829"/>
      <w:bookmarkStart w:id="2286" w:name="_Toc486580175"/>
      <w:bookmarkStart w:id="2287" w:name="_Toc480487030"/>
      <w:bookmarkStart w:id="2288" w:name="_Toc483668204"/>
      <w:bookmarkStart w:id="2289" w:name="_Toc152045736"/>
      <w:bookmarkStart w:id="2290" w:name="_Toc10233611"/>
      <w:bookmarkStart w:id="2291" w:name="_Toc490222620"/>
      <w:bookmarkStart w:id="2292" w:name="_Toc489279986"/>
      <w:bookmarkStart w:id="2293" w:name="_Toc152042515"/>
      <w:bookmarkStart w:id="2294" w:name="_Toc179632754"/>
      <w:r>
        <w:t xml:space="preserve">19.2  </w:t>
      </w:r>
      <w:r>
        <w:rPr>
          <w:rFonts w:hint="eastAsia"/>
        </w:rPr>
        <w:t>缺陷责任</w:t>
      </w:r>
      <w:bookmarkEnd w:id="2282"/>
      <w:bookmarkEnd w:id="2283"/>
      <w:bookmarkEnd w:id="2284"/>
      <w:bookmarkEnd w:id="2285"/>
      <w:bookmarkEnd w:id="2286"/>
      <w:bookmarkEnd w:id="2287"/>
      <w:bookmarkEnd w:id="2288"/>
      <w:bookmarkEnd w:id="2289"/>
      <w:bookmarkEnd w:id="2290"/>
      <w:bookmarkEnd w:id="2291"/>
      <w:bookmarkEnd w:id="2292"/>
      <w:bookmarkEnd w:id="2293"/>
      <w:bookmarkEnd w:id="2294"/>
    </w:p>
    <w:p>
      <w:pPr>
        <w:spacing w:line="360" w:lineRule="auto"/>
        <w:ind w:firstLine="420" w:firstLineChars="200"/>
        <w:rPr>
          <w:rFonts w:ascii="宋体"/>
          <w:szCs w:val="21"/>
        </w:rPr>
      </w:pPr>
      <w:r>
        <w:rPr>
          <w:rFonts w:ascii="宋体" w:hAnsi="宋体"/>
          <w:szCs w:val="21"/>
        </w:rPr>
        <w:t xml:space="preserve">19.2.1  </w:t>
      </w:r>
      <w:r>
        <w:rPr>
          <w:rFonts w:hint="eastAsia" w:ascii="宋体" w:hAnsi="宋体"/>
          <w:szCs w:val="21"/>
        </w:rPr>
        <w:t>承包人应在缺陷责任期内对已交付使用的工程承担缺陷责任。</w:t>
      </w:r>
    </w:p>
    <w:p>
      <w:pPr>
        <w:spacing w:line="360" w:lineRule="auto"/>
        <w:ind w:firstLine="420" w:firstLineChars="200"/>
        <w:rPr>
          <w:rFonts w:ascii="宋体"/>
          <w:szCs w:val="21"/>
        </w:rPr>
      </w:pPr>
      <w:r>
        <w:rPr>
          <w:rFonts w:ascii="宋体" w:hAnsi="宋体"/>
          <w:szCs w:val="21"/>
        </w:rPr>
        <w:t xml:space="preserve">19.2.2  </w:t>
      </w:r>
      <w:r>
        <w:rPr>
          <w:rFonts w:hint="eastAsia" w:ascii="宋体" w:hAnsi="宋体"/>
          <w:szCs w:val="21"/>
        </w:rPr>
        <w:t>缺陷责任期内，发包人对已接收使用的工程负责日常维护工作。发包人在使用过程中，发现已接收的工程存在新的缺陷或已修复的缺陷部位或部件又遭损坏的，承包人应负责修复，直至检验合格为止。</w:t>
      </w:r>
    </w:p>
    <w:p>
      <w:pPr>
        <w:spacing w:line="360" w:lineRule="auto"/>
        <w:ind w:firstLine="420" w:firstLineChars="200"/>
        <w:rPr>
          <w:rFonts w:ascii="宋体"/>
          <w:szCs w:val="21"/>
        </w:rPr>
      </w:pPr>
      <w:r>
        <w:rPr>
          <w:rFonts w:ascii="宋体" w:hAnsi="宋体"/>
          <w:szCs w:val="21"/>
        </w:rPr>
        <w:t xml:space="preserve">19.2.3  </w:t>
      </w:r>
      <w:r>
        <w:rPr>
          <w:rFonts w:hint="eastAsia" w:ascii="宋体" w:hAnsi="宋体"/>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pPr>
        <w:spacing w:line="360" w:lineRule="auto"/>
        <w:ind w:firstLine="420" w:firstLineChars="200"/>
        <w:rPr>
          <w:rFonts w:ascii="宋体"/>
          <w:szCs w:val="21"/>
        </w:rPr>
      </w:pPr>
      <w:r>
        <w:rPr>
          <w:rFonts w:ascii="宋体" w:hAnsi="宋体"/>
          <w:szCs w:val="21"/>
        </w:rPr>
        <w:t xml:space="preserve">19.2.4  </w:t>
      </w:r>
      <w:r>
        <w:rPr>
          <w:rFonts w:hint="eastAsia" w:ascii="宋体" w:hAnsi="宋体"/>
          <w:szCs w:val="21"/>
        </w:rPr>
        <w:t>承包人不能在合理时间内修复缺陷的，发包人可自行修复或委托其他人修复，所需费用和利润的承担，按第</w:t>
      </w:r>
      <w:r>
        <w:rPr>
          <w:rFonts w:ascii="宋体" w:hAnsi="宋体"/>
          <w:szCs w:val="21"/>
        </w:rPr>
        <w:t>19.2.3</w:t>
      </w:r>
      <w:r>
        <w:rPr>
          <w:rFonts w:hint="eastAsia" w:ascii="宋体" w:hAnsi="宋体"/>
          <w:szCs w:val="21"/>
        </w:rPr>
        <w:t>项约定办理。</w:t>
      </w:r>
    </w:p>
    <w:p>
      <w:pPr>
        <w:pStyle w:val="253"/>
        <w:spacing w:before="120"/>
      </w:pPr>
      <w:bookmarkStart w:id="2295" w:name="_Toc490222621"/>
      <w:bookmarkStart w:id="2296" w:name="_Toc480486859"/>
      <w:bookmarkStart w:id="2297" w:name="_Toc10233612"/>
      <w:bookmarkStart w:id="2298" w:name="_Toc152045737"/>
      <w:bookmarkStart w:id="2299" w:name="_Toc152042516"/>
      <w:bookmarkStart w:id="2300" w:name="_Toc486580176"/>
      <w:bookmarkStart w:id="2301" w:name="_Toc338944830"/>
      <w:bookmarkStart w:id="2302" w:name="_Toc489279987"/>
      <w:bookmarkStart w:id="2303" w:name="_Toc179632755"/>
      <w:bookmarkStart w:id="2304" w:name="_Toc144974708"/>
      <w:bookmarkStart w:id="2305" w:name="_Toc483668205"/>
      <w:bookmarkStart w:id="2306" w:name="_Toc342296388"/>
      <w:bookmarkStart w:id="2307" w:name="_Toc480487031"/>
      <w:r>
        <w:t xml:space="preserve">19.3  </w:t>
      </w:r>
      <w:r>
        <w:rPr>
          <w:rFonts w:hint="eastAsia"/>
        </w:rPr>
        <w:t>缺陷责任期的延长</w:t>
      </w:r>
      <w:bookmarkEnd w:id="2295"/>
      <w:bookmarkEnd w:id="2296"/>
      <w:bookmarkEnd w:id="2297"/>
      <w:bookmarkEnd w:id="2298"/>
      <w:bookmarkEnd w:id="2299"/>
      <w:bookmarkEnd w:id="2300"/>
      <w:bookmarkEnd w:id="2301"/>
      <w:bookmarkEnd w:id="2302"/>
      <w:bookmarkEnd w:id="2303"/>
      <w:bookmarkEnd w:id="2304"/>
      <w:bookmarkEnd w:id="2305"/>
      <w:bookmarkEnd w:id="2306"/>
      <w:bookmarkEnd w:id="2307"/>
    </w:p>
    <w:p>
      <w:pPr>
        <w:spacing w:line="360" w:lineRule="auto"/>
        <w:ind w:firstLine="420" w:firstLineChars="200"/>
        <w:rPr>
          <w:rFonts w:ascii="宋体"/>
          <w:szCs w:val="21"/>
        </w:rPr>
      </w:pPr>
      <w:r>
        <w:rPr>
          <w:rFonts w:hint="eastAsia" w:ascii="宋体" w:hAnsi="宋体"/>
          <w:szCs w:val="21"/>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szCs w:val="21"/>
        </w:rPr>
        <w:t>2</w:t>
      </w:r>
      <w:r>
        <w:rPr>
          <w:rFonts w:hint="eastAsia" w:ascii="宋体" w:hAnsi="宋体"/>
          <w:szCs w:val="21"/>
        </w:rPr>
        <w:t>年。</w:t>
      </w:r>
    </w:p>
    <w:p>
      <w:pPr>
        <w:pStyle w:val="253"/>
        <w:spacing w:before="120"/>
      </w:pPr>
      <w:bookmarkStart w:id="2308" w:name="_Toc486580177"/>
      <w:bookmarkStart w:id="2309" w:name="_Toc179632756"/>
      <w:bookmarkStart w:id="2310" w:name="_Toc338944831"/>
      <w:bookmarkStart w:id="2311" w:name="_Toc144974709"/>
      <w:bookmarkStart w:id="2312" w:name="_Toc480486860"/>
      <w:bookmarkStart w:id="2313" w:name="_Toc483668206"/>
      <w:bookmarkStart w:id="2314" w:name="_Toc152042517"/>
      <w:bookmarkStart w:id="2315" w:name="_Toc152045738"/>
      <w:bookmarkStart w:id="2316" w:name="_Toc342296389"/>
      <w:bookmarkStart w:id="2317" w:name="_Toc490222622"/>
      <w:bookmarkStart w:id="2318" w:name="_Toc10233613"/>
      <w:bookmarkStart w:id="2319" w:name="_Toc489279988"/>
      <w:bookmarkStart w:id="2320" w:name="_Toc480487032"/>
      <w:r>
        <w:t xml:space="preserve">19.4  </w:t>
      </w:r>
      <w:r>
        <w:rPr>
          <w:rFonts w:hint="eastAsia"/>
        </w:rPr>
        <w:t>进一步试验和试运行</w:t>
      </w:r>
      <w:bookmarkEnd w:id="2308"/>
      <w:bookmarkEnd w:id="2309"/>
      <w:bookmarkEnd w:id="2310"/>
      <w:bookmarkEnd w:id="2311"/>
      <w:bookmarkEnd w:id="2312"/>
      <w:bookmarkEnd w:id="2313"/>
      <w:bookmarkEnd w:id="2314"/>
      <w:bookmarkEnd w:id="2315"/>
      <w:bookmarkEnd w:id="2316"/>
      <w:bookmarkEnd w:id="2317"/>
      <w:bookmarkEnd w:id="2318"/>
      <w:bookmarkEnd w:id="2319"/>
      <w:bookmarkEnd w:id="2320"/>
    </w:p>
    <w:p>
      <w:pPr>
        <w:spacing w:line="360" w:lineRule="auto"/>
        <w:ind w:firstLine="420" w:firstLineChars="200"/>
        <w:rPr>
          <w:rFonts w:ascii="宋体"/>
          <w:szCs w:val="21"/>
        </w:rPr>
      </w:pPr>
      <w:r>
        <w:rPr>
          <w:rFonts w:hint="eastAsia" w:ascii="宋体" w:hAnsi="宋体"/>
          <w:szCs w:val="21"/>
        </w:rPr>
        <w:t>任何一项缺陷或损坏修复后，经检查证明其影响了工程或工程设备的使用性能，承包人应重新进行合同约定的试验和试运行，试验和试运行的全部费用应由责任方承担。</w:t>
      </w:r>
    </w:p>
    <w:p>
      <w:pPr>
        <w:pStyle w:val="253"/>
        <w:spacing w:before="120"/>
      </w:pPr>
      <w:bookmarkStart w:id="2321" w:name="_Toc486580178"/>
      <w:bookmarkStart w:id="2322" w:name="_Toc144974710"/>
      <w:bookmarkStart w:id="2323" w:name="_Toc338944832"/>
      <w:bookmarkStart w:id="2324" w:name="_Toc179632757"/>
      <w:bookmarkStart w:id="2325" w:name="_Toc490222623"/>
      <w:bookmarkStart w:id="2326" w:name="_Toc480486861"/>
      <w:bookmarkStart w:id="2327" w:name="_Toc152042518"/>
      <w:bookmarkStart w:id="2328" w:name="_Toc480487033"/>
      <w:bookmarkStart w:id="2329" w:name="_Toc483668207"/>
      <w:bookmarkStart w:id="2330" w:name="_Toc152045739"/>
      <w:bookmarkStart w:id="2331" w:name="_Toc489279989"/>
      <w:bookmarkStart w:id="2332" w:name="_Toc10233614"/>
      <w:bookmarkStart w:id="2333" w:name="_Toc342296390"/>
      <w:r>
        <w:t xml:space="preserve">19.5  </w:t>
      </w:r>
      <w:r>
        <w:rPr>
          <w:rFonts w:hint="eastAsia"/>
        </w:rPr>
        <w:t>承包人的进入权</w:t>
      </w:r>
      <w:bookmarkEnd w:id="2321"/>
      <w:bookmarkEnd w:id="2322"/>
      <w:bookmarkEnd w:id="2323"/>
      <w:bookmarkEnd w:id="2324"/>
      <w:bookmarkEnd w:id="2325"/>
      <w:bookmarkEnd w:id="2326"/>
      <w:bookmarkEnd w:id="2327"/>
      <w:bookmarkEnd w:id="2328"/>
      <w:bookmarkEnd w:id="2329"/>
      <w:bookmarkEnd w:id="2330"/>
      <w:bookmarkEnd w:id="2331"/>
      <w:bookmarkEnd w:id="2332"/>
      <w:bookmarkEnd w:id="2333"/>
    </w:p>
    <w:p>
      <w:pPr>
        <w:spacing w:line="360" w:lineRule="auto"/>
        <w:ind w:firstLine="420" w:firstLineChars="200"/>
        <w:rPr>
          <w:rFonts w:ascii="宋体"/>
          <w:szCs w:val="21"/>
        </w:rPr>
      </w:pPr>
      <w:r>
        <w:rPr>
          <w:rFonts w:hint="eastAsia" w:ascii="宋体" w:hAnsi="宋体"/>
          <w:szCs w:val="21"/>
        </w:rPr>
        <w:t>缺陷责任期内承包人为缺陷修复工作需要，有权进入工程现场，但应遵守发包人的保安和保密规定。</w:t>
      </w:r>
    </w:p>
    <w:p>
      <w:pPr>
        <w:pStyle w:val="253"/>
        <w:spacing w:before="120"/>
      </w:pPr>
      <w:bookmarkStart w:id="2334" w:name="_Toc10233615"/>
      <w:bookmarkStart w:id="2335" w:name="_Toc179632758"/>
      <w:bookmarkStart w:id="2336" w:name="_Toc338944833"/>
      <w:bookmarkStart w:id="2337" w:name="_Toc483668208"/>
      <w:bookmarkStart w:id="2338" w:name="_Toc480486862"/>
      <w:bookmarkStart w:id="2339" w:name="_Toc342296391"/>
      <w:bookmarkStart w:id="2340" w:name="_Toc490222624"/>
      <w:bookmarkStart w:id="2341" w:name="_Toc152042519"/>
      <w:bookmarkStart w:id="2342" w:name="_Toc152045740"/>
      <w:bookmarkStart w:id="2343" w:name="_Toc486580179"/>
      <w:bookmarkStart w:id="2344" w:name="_Toc480487034"/>
      <w:bookmarkStart w:id="2345" w:name="_Toc489279990"/>
      <w:bookmarkStart w:id="2346" w:name="_Toc144974711"/>
      <w:r>
        <w:t xml:space="preserve">19.6  </w:t>
      </w:r>
      <w:r>
        <w:rPr>
          <w:rFonts w:hint="eastAsia"/>
        </w:rPr>
        <w:t>缺陷责任期终止证书</w:t>
      </w:r>
      <w:bookmarkEnd w:id="2334"/>
      <w:bookmarkEnd w:id="2335"/>
      <w:bookmarkEnd w:id="2336"/>
      <w:bookmarkEnd w:id="2337"/>
      <w:bookmarkEnd w:id="2338"/>
      <w:bookmarkEnd w:id="2339"/>
      <w:bookmarkEnd w:id="2340"/>
      <w:bookmarkEnd w:id="2341"/>
      <w:bookmarkEnd w:id="2342"/>
      <w:bookmarkEnd w:id="2343"/>
      <w:bookmarkEnd w:id="2344"/>
      <w:bookmarkEnd w:id="2345"/>
      <w:bookmarkEnd w:id="2346"/>
    </w:p>
    <w:p>
      <w:pPr>
        <w:spacing w:line="360" w:lineRule="auto"/>
        <w:ind w:firstLine="420" w:firstLineChars="200"/>
        <w:rPr>
          <w:rFonts w:ascii="宋体"/>
          <w:szCs w:val="21"/>
        </w:rPr>
      </w:pPr>
      <w:r>
        <w:rPr>
          <w:rFonts w:hint="eastAsia" w:ascii="宋体" w:hAnsi="宋体"/>
          <w:szCs w:val="21"/>
        </w:rPr>
        <w:t>在第</w:t>
      </w:r>
      <w:r>
        <w:rPr>
          <w:rFonts w:ascii="宋体" w:hAnsi="宋体"/>
          <w:szCs w:val="21"/>
        </w:rPr>
        <w:t>1.1.4.5</w:t>
      </w:r>
      <w:r>
        <w:rPr>
          <w:rFonts w:hint="eastAsia" w:ascii="宋体" w:hAnsi="宋体"/>
          <w:szCs w:val="21"/>
        </w:rPr>
        <w:t>目约定的缺陷责任期，包括根据第</w:t>
      </w:r>
      <w:r>
        <w:rPr>
          <w:rFonts w:ascii="宋体" w:hAnsi="宋体"/>
          <w:szCs w:val="21"/>
        </w:rPr>
        <w:t>19.3</w:t>
      </w:r>
      <w:r>
        <w:rPr>
          <w:rFonts w:hint="eastAsia" w:ascii="宋体" w:hAnsi="宋体"/>
          <w:szCs w:val="21"/>
        </w:rPr>
        <w:t>款延长的期限终止后</w:t>
      </w:r>
      <w:r>
        <w:rPr>
          <w:rFonts w:ascii="宋体" w:hAnsi="宋体"/>
          <w:szCs w:val="21"/>
        </w:rPr>
        <w:t>14</w:t>
      </w:r>
      <w:r>
        <w:rPr>
          <w:rFonts w:hint="eastAsia" w:ascii="宋体" w:hAnsi="宋体"/>
          <w:szCs w:val="21"/>
        </w:rPr>
        <w:t>天内，由监理人向承包人出具经发包人签认的缺陷责任期终止证书，并退还剩余的质量保证金或退还保函。</w:t>
      </w:r>
    </w:p>
    <w:p>
      <w:pPr>
        <w:pStyle w:val="253"/>
        <w:spacing w:before="120"/>
      </w:pPr>
      <w:bookmarkStart w:id="2347" w:name="_Toc342296392"/>
      <w:bookmarkStart w:id="2348" w:name="_Toc480486863"/>
      <w:bookmarkStart w:id="2349" w:name="_Toc489279991"/>
      <w:bookmarkStart w:id="2350" w:name="_Toc10233616"/>
      <w:bookmarkStart w:id="2351" w:name="_Toc490222625"/>
      <w:bookmarkStart w:id="2352" w:name="_Toc480487035"/>
      <w:bookmarkStart w:id="2353" w:name="_Toc486580180"/>
      <w:bookmarkStart w:id="2354" w:name="_Toc483668209"/>
      <w:bookmarkStart w:id="2355" w:name="_Toc338944834"/>
      <w:r>
        <w:t xml:space="preserve">19.7  </w:t>
      </w:r>
      <w:r>
        <w:rPr>
          <w:rFonts w:hint="eastAsia"/>
        </w:rPr>
        <w:t>保修责任</w:t>
      </w:r>
      <w:bookmarkEnd w:id="2347"/>
      <w:bookmarkEnd w:id="2348"/>
      <w:bookmarkEnd w:id="2349"/>
      <w:bookmarkEnd w:id="2350"/>
      <w:bookmarkEnd w:id="2351"/>
      <w:bookmarkEnd w:id="2352"/>
      <w:bookmarkEnd w:id="2353"/>
      <w:bookmarkEnd w:id="2354"/>
      <w:bookmarkEnd w:id="2355"/>
    </w:p>
    <w:p>
      <w:pPr>
        <w:spacing w:line="360" w:lineRule="auto"/>
        <w:ind w:firstLine="420" w:firstLineChars="200"/>
        <w:rPr>
          <w:rFonts w:ascii="宋体"/>
          <w:szCs w:val="21"/>
        </w:rPr>
      </w:pPr>
      <w:r>
        <w:rPr>
          <w:rFonts w:ascii="宋体" w:hAnsi="宋体"/>
          <w:szCs w:val="21"/>
        </w:rPr>
        <w:t xml:space="preserve">19.7.1  </w:t>
      </w:r>
      <w:r>
        <w:rPr>
          <w:rFonts w:hint="eastAsia" w:ascii="宋体" w:hAnsi="宋体"/>
          <w:szCs w:val="21"/>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19.7.2  </w:t>
      </w:r>
      <w:r>
        <w:rPr>
          <w:rFonts w:hint="eastAsia" w:ascii="宋体" w:hAnsi="宋体"/>
          <w:szCs w:val="21"/>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szCs w:val="21"/>
        </w:rPr>
        <w:t>18.2</w:t>
      </w:r>
      <w:r>
        <w:rPr>
          <w:rFonts w:hint="eastAsia" w:ascii="宋体" w:hAnsi="宋体"/>
          <w:szCs w:val="21"/>
        </w:rPr>
        <w:t>款约定的竣工验收报告的同时，将质量保修书一并报送监理人。</w:t>
      </w:r>
    </w:p>
    <w:p>
      <w:pPr>
        <w:pStyle w:val="43"/>
        <w:spacing w:after="120"/>
      </w:pPr>
      <w:bookmarkStart w:id="2356" w:name="_Toc489279992"/>
      <w:bookmarkStart w:id="2357" w:name="_Toc338944835"/>
      <w:bookmarkStart w:id="2358" w:name="_Toc486580181"/>
      <w:bookmarkStart w:id="2359" w:name="_Toc480487036"/>
      <w:bookmarkStart w:id="2360" w:name="_Toc342296393"/>
      <w:bookmarkStart w:id="2361" w:name="_Toc490222626"/>
      <w:bookmarkStart w:id="2362" w:name="_Toc480486864"/>
      <w:bookmarkStart w:id="2363" w:name="_Toc483668210"/>
      <w:bookmarkStart w:id="2364" w:name="_Toc10233617"/>
      <w:r>
        <w:t>20.</w:t>
      </w:r>
      <w:r>
        <w:rPr>
          <w:rFonts w:hint="eastAsia"/>
        </w:rPr>
        <w:t>保险</w:t>
      </w:r>
      <w:bookmarkEnd w:id="2356"/>
      <w:bookmarkEnd w:id="2357"/>
      <w:bookmarkEnd w:id="2358"/>
      <w:bookmarkEnd w:id="2359"/>
      <w:bookmarkEnd w:id="2360"/>
      <w:bookmarkEnd w:id="2361"/>
      <w:bookmarkEnd w:id="2362"/>
      <w:bookmarkEnd w:id="2363"/>
      <w:bookmarkEnd w:id="2364"/>
    </w:p>
    <w:p>
      <w:pPr>
        <w:pStyle w:val="253"/>
        <w:spacing w:before="120"/>
      </w:pPr>
      <w:bookmarkStart w:id="2365" w:name="_Toc483668211"/>
      <w:bookmarkStart w:id="2366" w:name="_Toc486580182"/>
      <w:bookmarkStart w:id="2367" w:name="_Toc342296394"/>
      <w:bookmarkStart w:id="2368" w:name="_Toc338944836"/>
      <w:bookmarkStart w:id="2369" w:name="_Toc490222627"/>
      <w:bookmarkStart w:id="2370" w:name="_Toc480487037"/>
      <w:bookmarkStart w:id="2371" w:name="_Toc489279993"/>
      <w:bookmarkStart w:id="2372" w:name="_Toc10233618"/>
      <w:bookmarkStart w:id="2373" w:name="_Toc480486865"/>
      <w:r>
        <w:t xml:space="preserve">20.1  </w:t>
      </w:r>
      <w:r>
        <w:rPr>
          <w:rFonts w:hint="eastAsia"/>
        </w:rPr>
        <w:t>工程保险</w:t>
      </w:r>
      <w:bookmarkEnd w:id="2365"/>
      <w:bookmarkEnd w:id="2366"/>
      <w:bookmarkEnd w:id="2367"/>
      <w:bookmarkEnd w:id="2368"/>
      <w:bookmarkEnd w:id="2369"/>
      <w:bookmarkEnd w:id="2370"/>
      <w:bookmarkEnd w:id="2371"/>
      <w:bookmarkEnd w:id="2372"/>
      <w:bookmarkEnd w:id="2373"/>
    </w:p>
    <w:p>
      <w:pPr>
        <w:spacing w:line="360" w:lineRule="auto"/>
        <w:ind w:firstLine="420" w:firstLineChars="200"/>
        <w:rPr>
          <w:rFonts w:ascii="宋体"/>
          <w:szCs w:val="21"/>
        </w:rPr>
      </w:pPr>
      <w:r>
        <w:rPr>
          <w:rFonts w:hint="eastAsia" w:ascii="宋体" w:hAnsi="宋体"/>
          <w:szCs w:val="21"/>
        </w:rPr>
        <w:t>承包人应以发包人和承包人的共同名义向双方同意的保险人投保建筑工程一切险、安装工程一切险。其具体的投保内容、保险金额、保险费率、保险期限等有关内容</w:t>
      </w:r>
      <w:r>
        <w:rPr>
          <w:rFonts w:hint="eastAsia" w:ascii="黑体" w:hAnsi="黑体" w:eastAsia="黑体"/>
          <w:szCs w:val="21"/>
        </w:rPr>
        <w:t>见合同条款专用部分</w:t>
      </w:r>
      <w:r>
        <w:rPr>
          <w:rFonts w:hint="eastAsia" w:ascii="宋体" w:hAnsi="宋体"/>
          <w:szCs w:val="21"/>
        </w:rPr>
        <w:t>。</w:t>
      </w:r>
    </w:p>
    <w:p>
      <w:pPr>
        <w:pStyle w:val="253"/>
        <w:spacing w:before="120"/>
      </w:pPr>
      <w:bookmarkStart w:id="2374" w:name="_Toc480487038"/>
      <w:bookmarkStart w:id="2375" w:name="_Toc486580183"/>
      <w:bookmarkStart w:id="2376" w:name="_Toc483668212"/>
      <w:bookmarkStart w:id="2377" w:name="_Toc342296395"/>
      <w:bookmarkStart w:id="2378" w:name="_Toc490222628"/>
      <w:bookmarkStart w:id="2379" w:name="_Toc489279994"/>
      <w:bookmarkStart w:id="2380" w:name="_Toc338944837"/>
      <w:bookmarkStart w:id="2381" w:name="_Toc480486866"/>
      <w:bookmarkStart w:id="2382" w:name="_Toc10233619"/>
      <w:r>
        <w:t xml:space="preserve">20.2  </w:t>
      </w:r>
      <w:r>
        <w:rPr>
          <w:rFonts w:hint="eastAsia"/>
        </w:rPr>
        <w:t>人员工伤事故的保险</w:t>
      </w:r>
      <w:bookmarkEnd w:id="2374"/>
      <w:bookmarkEnd w:id="2375"/>
      <w:bookmarkEnd w:id="2376"/>
      <w:bookmarkEnd w:id="2377"/>
      <w:bookmarkEnd w:id="2378"/>
      <w:bookmarkEnd w:id="2379"/>
      <w:bookmarkEnd w:id="2380"/>
      <w:bookmarkEnd w:id="2381"/>
      <w:bookmarkEnd w:id="2382"/>
    </w:p>
    <w:p>
      <w:pPr>
        <w:spacing w:line="360" w:lineRule="auto"/>
        <w:ind w:firstLine="420" w:firstLineChars="200"/>
        <w:rPr>
          <w:rFonts w:ascii="宋体"/>
          <w:szCs w:val="21"/>
        </w:rPr>
      </w:pPr>
      <w:r>
        <w:rPr>
          <w:rFonts w:ascii="宋体" w:hAnsi="宋体"/>
          <w:szCs w:val="21"/>
        </w:rPr>
        <w:t xml:space="preserve">20.2.1  </w:t>
      </w:r>
      <w:r>
        <w:rPr>
          <w:rFonts w:hint="eastAsia" w:ascii="宋体" w:hAnsi="宋体"/>
          <w:szCs w:val="21"/>
        </w:rPr>
        <w:t>承包人员工伤事故的保险</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）承包人工伤事故保险期限自合同工程开工之日起至合同终止之日止。</w:t>
      </w:r>
    </w:p>
    <w:p>
      <w:pPr>
        <w:spacing w:line="360" w:lineRule="auto"/>
        <w:ind w:firstLine="420" w:firstLineChars="200"/>
        <w:rPr>
          <w:rFonts w:ascii="宋体"/>
          <w:szCs w:val="21"/>
        </w:rPr>
      </w:pPr>
      <w:r>
        <w:rPr>
          <w:rFonts w:ascii="宋体" w:hAnsi="宋体"/>
          <w:szCs w:val="21"/>
        </w:rPr>
        <w:t xml:space="preserve">20.2.2  </w:t>
      </w:r>
      <w:r>
        <w:rPr>
          <w:rFonts w:hint="eastAsia" w:ascii="宋体" w:hAnsi="宋体"/>
          <w:szCs w:val="21"/>
        </w:rPr>
        <w:t>发包人员工伤事故的保险</w:t>
      </w:r>
    </w:p>
    <w:p>
      <w:pPr>
        <w:spacing w:line="360" w:lineRule="auto"/>
        <w:ind w:firstLine="420" w:firstLineChars="200"/>
        <w:rPr>
          <w:rFonts w:ascii="宋体"/>
          <w:szCs w:val="21"/>
        </w:rPr>
      </w:pPr>
      <w:r>
        <w:rPr>
          <w:rFonts w:hint="eastAsia" w:ascii="宋体" w:hAnsi="宋体"/>
          <w:szCs w:val="21"/>
        </w:rPr>
        <w:t>发包人应依照有关法律法规规定参加工伤保险，为其现场机构雇佣的全部人员，缴纳工伤保险费，并要求其监理人也进行此项保险。</w:t>
      </w:r>
    </w:p>
    <w:p>
      <w:pPr>
        <w:pStyle w:val="253"/>
        <w:spacing w:before="120"/>
      </w:pPr>
      <w:bookmarkStart w:id="2383" w:name="_Toc10233620"/>
      <w:bookmarkStart w:id="2384" w:name="_Toc483668213"/>
      <w:bookmarkStart w:id="2385" w:name="_Toc342296396"/>
      <w:bookmarkStart w:id="2386" w:name="_Toc480487039"/>
      <w:bookmarkStart w:id="2387" w:name="_Toc152045745"/>
      <w:bookmarkStart w:id="2388" w:name="_Toc179632763"/>
      <w:bookmarkStart w:id="2389" w:name="_Toc152042524"/>
      <w:bookmarkStart w:id="2390" w:name="_Toc144974716"/>
      <w:bookmarkStart w:id="2391" w:name="_Toc480486867"/>
      <w:bookmarkStart w:id="2392" w:name="_Toc489279995"/>
      <w:bookmarkStart w:id="2393" w:name="_Toc490222629"/>
      <w:bookmarkStart w:id="2394" w:name="_Toc486580184"/>
      <w:bookmarkStart w:id="2395" w:name="_Toc338944838"/>
      <w:r>
        <w:t xml:space="preserve">20.3  </w:t>
      </w:r>
      <w:r>
        <w:rPr>
          <w:rFonts w:hint="eastAsia"/>
        </w:rPr>
        <w:t>人身意外伤害险</w:t>
      </w:r>
      <w:bookmarkEnd w:id="2383"/>
      <w:bookmarkEnd w:id="2384"/>
      <w:bookmarkEnd w:id="2385"/>
      <w:bookmarkEnd w:id="2386"/>
      <w:bookmarkEnd w:id="2387"/>
      <w:bookmarkEnd w:id="2388"/>
      <w:bookmarkEnd w:id="2389"/>
      <w:bookmarkEnd w:id="2390"/>
      <w:bookmarkEnd w:id="2391"/>
      <w:bookmarkEnd w:id="2392"/>
      <w:bookmarkEnd w:id="2393"/>
      <w:bookmarkEnd w:id="2394"/>
      <w:bookmarkEnd w:id="2395"/>
    </w:p>
    <w:p>
      <w:pPr>
        <w:spacing w:line="360" w:lineRule="auto"/>
        <w:ind w:firstLine="420" w:firstLineChars="200"/>
        <w:rPr>
          <w:rFonts w:ascii="宋体"/>
          <w:szCs w:val="21"/>
        </w:rPr>
      </w:pPr>
      <w:r>
        <w:rPr>
          <w:rFonts w:ascii="宋体" w:hAnsi="宋体"/>
          <w:szCs w:val="21"/>
        </w:rPr>
        <w:t xml:space="preserve">20.3.1  </w:t>
      </w:r>
      <w:r>
        <w:rPr>
          <w:rFonts w:hint="eastAsia" w:ascii="宋体" w:hAnsi="宋体"/>
          <w:szCs w:val="21"/>
        </w:rPr>
        <w:t>发包人应在整个施工期间为其现场机构雇用的全部人员，投保人身意外伤害险，缴纳保险费，并要求其监理人也进行此项保险。</w:t>
      </w:r>
    </w:p>
    <w:p>
      <w:pPr>
        <w:spacing w:line="360" w:lineRule="auto"/>
        <w:ind w:firstLine="420" w:firstLineChars="200"/>
        <w:rPr>
          <w:rFonts w:ascii="宋体"/>
          <w:szCs w:val="21"/>
        </w:rPr>
      </w:pPr>
      <w:r>
        <w:rPr>
          <w:rFonts w:ascii="宋体" w:hAnsi="宋体"/>
          <w:szCs w:val="21"/>
        </w:rPr>
        <w:t xml:space="preserve">20.3.2  </w:t>
      </w:r>
      <w:r>
        <w:rPr>
          <w:rFonts w:hint="eastAsia" w:ascii="宋体" w:hAnsi="宋体"/>
          <w:szCs w:val="21"/>
        </w:rPr>
        <w:t>承包人应在整个施工期间为其现场机构雇用的全部人员，投保人身意外伤害险，缴纳保险费，并要求其分包人也进行此项保险。</w:t>
      </w:r>
    </w:p>
    <w:p>
      <w:pPr>
        <w:pStyle w:val="253"/>
        <w:spacing w:before="120"/>
      </w:pPr>
      <w:bookmarkStart w:id="2396" w:name="_Toc342296397"/>
      <w:bookmarkStart w:id="2397" w:name="_Toc486580185"/>
      <w:bookmarkStart w:id="2398" w:name="_Toc490222630"/>
      <w:bookmarkStart w:id="2399" w:name="_Toc483668214"/>
      <w:bookmarkStart w:id="2400" w:name="_Toc489279996"/>
      <w:bookmarkStart w:id="2401" w:name="_Toc10233621"/>
      <w:bookmarkStart w:id="2402" w:name="_Toc480487040"/>
      <w:bookmarkStart w:id="2403" w:name="_Toc480486868"/>
      <w:bookmarkStart w:id="2404" w:name="_Toc338944839"/>
      <w:r>
        <w:t xml:space="preserve">20.4  </w:t>
      </w:r>
      <w:r>
        <w:rPr>
          <w:rFonts w:hint="eastAsia"/>
        </w:rPr>
        <w:t>第三者责任险</w:t>
      </w:r>
      <w:bookmarkEnd w:id="2396"/>
      <w:bookmarkEnd w:id="2397"/>
      <w:bookmarkEnd w:id="2398"/>
      <w:bookmarkEnd w:id="2399"/>
      <w:bookmarkEnd w:id="2400"/>
      <w:bookmarkEnd w:id="2401"/>
      <w:bookmarkEnd w:id="2402"/>
      <w:bookmarkEnd w:id="2403"/>
      <w:bookmarkEnd w:id="2404"/>
    </w:p>
    <w:p>
      <w:pPr>
        <w:spacing w:line="360" w:lineRule="auto"/>
        <w:ind w:firstLine="420" w:firstLineChars="200"/>
        <w:rPr>
          <w:rFonts w:ascii="宋体"/>
          <w:szCs w:val="21"/>
        </w:rPr>
      </w:pPr>
      <w:r>
        <w:rPr>
          <w:rFonts w:ascii="宋体" w:hAnsi="宋体"/>
          <w:szCs w:val="21"/>
        </w:rPr>
        <w:t xml:space="preserve">20.4.1  </w:t>
      </w:r>
      <w:r>
        <w:rPr>
          <w:rFonts w:hint="eastAsia" w:ascii="宋体" w:hAnsi="宋体"/>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spacing w:line="360" w:lineRule="auto"/>
        <w:ind w:firstLine="420" w:firstLineChars="200"/>
        <w:rPr>
          <w:rFonts w:ascii="宋体"/>
          <w:szCs w:val="21"/>
        </w:rPr>
      </w:pPr>
      <w:r>
        <w:rPr>
          <w:rFonts w:ascii="宋体" w:hAnsi="宋体"/>
          <w:szCs w:val="21"/>
        </w:rPr>
        <w:t xml:space="preserve">20.4.2  </w:t>
      </w:r>
      <w:r>
        <w:rPr>
          <w:rFonts w:hint="eastAsia" w:ascii="宋体" w:hAnsi="宋体"/>
          <w:szCs w:val="21"/>
        </w:rPr>
        <w:t>在缺陷责任期终止证书颁发前，承包人应以承包人和发包人的共同名义，投保第</w:t>
      </w:r>
      <w:r>
        <w:rPr>
          <w:rFonts w:ascii="宋体" w:hAnsi="宋体"/>
          <w:szCs w:val="21"/>
        </w:rPr>
        <w:t>20.4.1</w:t>
      </w:r>
      <w:r>
        <w:rPr>
          <w:rFonts w:hint="eastAsia" w:ascii="宋体" w:hAnsi="宋体"/>
          <w:szCs w:val="21"/>
        </w:rPr>
        <w:t>项约定的第三者责任险，其保险费率、保险金额、保险费承担人等有关内容</w:t>
      </w:r>
      <w:r>
        <w:rPr>
          <w:rFonts w:hint="eastAsia" w:ascii="黑体" w:hAnsi="黑体" w:eastAsia="黑体"/>
          <w:szCs w:val="21"/>
        </w:rPr>
        <w:t>见合同条款专用部分</w:t>
      </w:r>
      <w:r>
        <w:rPr>
          <w:rFonts w:hint="eastAsia" w:ascii="宋体" w:hAnsi="宋体"/>
          <w:szCs w:val="21"/>
        </w:rPr>
        <w:t>。</w:t>
      </w:r>
    </w:p>
    <w:p>
      <w:pPr>
        <w:pStyle w:val="253"/>
        <w:spacing w:before="120"/>
      </w:pPr>
      <w:bookmarkStart w:id="2405" w:name="_Toc489279997"/>
      <w:bookmarkStart w:id="2406" w:name="_Toc10233622"/>
      <w:bookmarkStart w:id="2407" w:name="_Toc480487041"/>
      <w:bookmarkStart w:id="2408" w:name="_Toc480486869"/>
      <w:bookmarkStart w:id="2409" w:name="_Toc490222631"/>
      <w:bookmarkStart w:id="2410" w:name="_Toc342296398"/>
      <w:bookmarkStart w:id="2411" w:name="_Toc486580186"/>
      <w:bookmarkStart w:id="2412" w:name="_Toc483668215"/>
      <w:bookmarkStart w:id="2413" w:name="_Toc338944840"/>
      <w:r>
        <w:t xml:space="preserve">20.5  </w:t>
      </w:r>
      <w:r>
        <w:rPr>
          <w:rFonts w:hint="eastAsia"/>
        </w:rPr>
        <w:t>其他保险</w:t>
      </w:r>
      <w:bookmarkEnd w:id="2405"/>
      <w:bookmarkEnd w:id="2406"/>
      <w:bookmarkEnd w:id="2407"/>
      <w:bookmarkEnd w:id="2408"/>
      <w:bookmarkEnd w:id="2409"/>
      <w:bookmarkEnd w:id="2410"/>
      <w:bookmarkEnd w:id="2411"/>
      <w:bookmarkEnd w:id="2412"/>
      <w:bookmarkEnd w:id="2413"/>
    </w:p>
    <w:p>
      <w:pPr>
        <w:spacing w:line="360" w:lineRule="auto"/>
        <w:ind w:firstLine="420" w:firstLineChars="200"/>
        <w:rPr>
          <w:rFonts w:ascii="宋体"/>
          <w:szCs w:val="21"/>
        </w:rPr>
      </w:pPr>
      <w:r>
        <w:rPr>
          <w:rFonts w:hint="eastAsia" w:ascii="宋体" w:hAnsi="宋体"/>
          <w:szCs w:val="21"/>
        </w:rPr>
        <w:t>承包人应为其施工设备、进场的材料和工程设备等办理保险。办理保险的险种</w:t>
      </w:r>
      <w:r>
        <w:rPr>
          <w:rFonts w:hint="eastAsia" w:ascii="黑体" w:hAnsi="黑体" w:eastAsia="黑体"/>
          <w:szCs w:val="21"/>
        </w:rPr>
        <w:t>见合同条款专用部分</w:t>
      </w:r>
      <w:r>
        <w:rPr>
          <w:rFonts w:hint="eastAsia" w:ascii="宋体" w:hAnsi="宋体"/>
          <w:szCs w:val="21"/>
        </w:rPr>
        <w:t>。</w:t>
      </w:r>
    </w:p>
    <w:p>
      <w:pPr>
        <w:pStyle w:val="253"/>
        <w:spacing w:before="120"/>
      </w:pPr>
      <w:bookmarkStart w:id="2414" w:name="_Toc486580187"/>
      <w:bookmarkStart w:id="2415" w:name="_Toc480486870"/>
      <w:bookmarkStart w:id="2416" w:name="_Toc480487042"/>
      <w:bookmarkStart w:id="2417" w:name="_Toc483668216"/>
      <w:bookmarkStart w:id="2418" w:name="_Toc10233623"/>
      <w:bookmarkStart w:id="2419" w:name="_Toc342296399"/>
      <w:bookmarkStart w:id="2420" w:name="_Toc490222632"/>
      <w:bookmarkStart w:id="2421" w:name="_Toc489279998"/>
      <w:bookmarkStart w:id="2422" w:name="_Toc338944841"/>
      <w:r>
        <w:t xml:space="preserve">20.6  </w:t>
      </w:r>
      <w:r>
        <w:rPr>
          <w:rFonts w:hint="eastAsia"/>
        </w:rPr>
        <w:t>对各项保险的一般要求</w:t>
      </w:r>
      <w:bookmarkEnd w:id="2414"/>
      <w:bookmarkEnd w:id="2415"/>
      <w:bookmarkEnd w:id="2416"/>
      <w:bookmarkEnd w:id="2417"/>
      <w:bookmarkEnd w:id="2418"/>
      <w:bookmarkEnd w:id="2419"/>
      <w:bookmarkEnd w:id="2420"/>
      <w:bookmarkEnd w:id="2421"/>
      <w:bookmarkEnd w:id="2422"/>
    </w:p>
    <w:p>
      <w:pPr>
        <w:spacing w:line="360" w:lineRule="auto"/>
        <w:ind w:firstLine="420" w:firstLineChars="200"/>
        <w:rPr>
          <w:rFonts w:ascii="宋体"/>
          <w:szCs w:val="21"/>
        </w:rPr>
      </w:pPr>
      <w:r>
        <w:rPr>
          <w:rFonts w:ascii="宋体" w:hAnsi="宋体"/>
          <w:szCs w:val="21"/>
        </w:rPr>
        <w:t xml:space="preserve">20.6.1  </w:t>
      </w:r>
      <w:r>
        <w:rPr>
          <w:rFonts w:hint="eastAsia" w:ascii="宋体" w:hAnsi="宋体"/>
          <w:szCs w:val="21"/>
        </w:rPr>
        <w:t>保险凭证</w:t>
      </w:r>
    </w:p>
    <w:p>
      <w:pPr>
        <w:spacing w:line="360" w:lineRule="auto"/>
        <w:ind w:firstLine="420" w:firstLineChars="200"/>
        <w:rPr>
          <w:rFonts w:ascii="宋体"/>
          <w:szCs w:val="21"/>
        </w:rPr>
      </w:pPr>
      <w:r>
        <w:rPr>
          <w:rFonts w:hint="eastAsia" w:ascii="宋体" w:hAnsi="宋体"/>
          <w:szCs w:val="21"/>
        </w:rPr>
        <w:t>承包人应在合同约定的期限内向发包人提交各项保险生效的证据和保险单副本，保险单必须与合同约定的条件保持一致。各项保险生效的证据和保险单副本的期限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20.6.2  </w:t>
      </w:r>
      <w:r>
        <w:rPr>
          <w:rFonts w:hint="eastAsia" w:ascii="宋体" w:hAnsi="宋体"/>
          <w:szCs w:val="21"/>
        </w:rPr>
        <w:t>保险合同条款的变动</w:t>
      </w:r>
    </w:p>
    <w:p>
      <w:pPr>
        <w:spacing w:line="360" w:lineRule="auto"/>
        <w:ind w:firstLine="420" w:firstLineChars="200"/>
        <w:rPr>
          <w:rFonts w:ascii="宋体"/>
          <w:szCs w:val="21"/>
        </w:rPr>
      </w:pPr>
      <w:r>
        <w:rPr>
          <w:rFonts w:hint="eastAsia" w:ascii="宋体" w:hAnsi="宋体"/>
          <w:szCs w:val="21"/>
        </w:rPr>
        <w:t>承包人需要变动保险合同条款时，应事先征得发包人同意，并通知监理人。保险人作出变动的，承包人应在收到保险人通知后立即通知发包人和监理人。</w:t>
      </w:r>
    </w:p>
    <w:p>
      <w:pPr>
        <w:spacing w:line="360" w:lineRule="auto"/>
        <w:ind w:firstLine="420" w:firstLineChars="200"/>
        <w:rPr>
          <w:rFonts w:ascii="宋体"/>
          <w:szCs w:val="21"/>
        </w:rPr>
      </w:pPr>
      <w:r>
        <w:rPr>
          <w:rFonts w:ascii="宋体" w:hAnsi="宋体"/>
          <w:szCs w:val="21"/>
        </w:rPr>
        <w:t xml:space="preserve">20.6.3  </w:t>
      </w:r>
      <w:r>
        <w:rPr>
          <w:rFonts w:hint="eastAsia" w:ascii="宋体" w:hAnsi="宋体"/>
          <w:szCs w:val="21"/>
        </w:rPr>
        <w:t>持续保险</w:t>
      </w:r>
    </w:p>
    <w:p>
      <w:pPr>
        <w:spacing w:line="360" w:lineRule="auto"/>
        <w:ind w:firstLine="420" w:firstLineChars="200"/>
        <w:rPr>
          <w:rFonts w:ascii="宋体"/>
          <w:szCs w:val="21"/>
        </w:rPr>
      </w:pPr>
      <w:r>
        <w:rPr>
          <w:rFonts w:hint="eastAsia" w:ascii="宋体" w:hAnsi="宋体"/>
          <w:szCs w:val="21"/>
        </w:rPr>
        <w:t>承包人应与保险人保持联系，使保险人能够随时了解工程实施中的变动，并确保按保险合同条款要求持续保险。</w:t>
      </w:r>
    </w:p>
    <w:p>
      <w:pPr>
        <w:spacing w:line="360" w:lineRule="auto"/>
        <w:ind w:firstLine="420" w:firstLineChars="200"/>
        <w:rPr>
          <w:rFonts w:ascii="宋体"/>
          <w:szCs w:val="21"/>
        </w:rPr>
      </w:pPr>
      <w:r>
        <w:rPr>
          <w:rFonts w:ascii="宋体" w:hAnsi="宋体"/>
          <w:szCs w:val="21"/>
        </w:rPr>
        <w:t xml:space="preserve">20.6.4  </w:t>
      </w:r>
      <w:r>
        <w:rPr>
          <w:rFonts w:hint="eastAsia" w:ascii="宋体" w:hAnsi="宋体"/>
          <w:szCs w:val="21"/>
        </w:rPr>
        <w:t>保险金不足的补偿</w:t>
      </w:r>
    </w:p>
    <w:p>
      <w:pPr>
        <w:spacing w:line="360" w:lineRule="auto"/>
        <w:ind w:firstLine="420" w:firstLineChars="200"/>
        <w:rPr>
          <w:rFonts w:ascii="宋体"/>
          <w:szCs w:val="21"/>
        </w:rPr>
      </w:pPr>
      <w:r>
        <w:rPr>
          <w:rFonts w:hint="eastAsia" w:ascii="宋体" w:hAnsi="宋体"/>
          <w:szCs w:val="21"/>
        </w:rPr>
        <w:t>保险金不足以补偿损失的，应由承包人和（或）发包人按合同约定负责补偿。保险金不足的补偿原则</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20.6.5  </w:t>
      </w:r>
      <w:r>
        <w:rPr>
          <w:rFonts w:hint="eastAsia" w:ascii="宋体" w:hAnsi="宋体"/>
          <w:szCs w:val="21"/>
        </w:rPr>
        <w:t>未按约定投保的补救</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）由于负有投保义务的一方当事人未按合同约定办理保险，或未能使保险持续有效的，另一方当事人可代为办理，所需费用由对方当事人承担。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）由于负有投保义务的一方当事人未按合同约定办理某项保险，导致受益人未能得到保险人的赔偿，原应从该项保险得到的保险金应由负有投保义务的一方当事人支付。</w:t>
      </w:r>
    </w:p>
    <w:p>
      <w:pPr>
        <w:spacing w:line="360" w:lineRule="auto"/>
        <w:ind w:firstLine="420" w:firstLineChars="200"/>
        <w:rPr>
          <w:rFonts w:ascii="宋体"/>
          <w:szCs w:val="21"/>
        </w:rPr>
      </w:pPr>
      <w:r>
        <w:rPr>
          <w:rFonts w:ascii="宋体" w:hAnsi="宋体"/>
          <w:szCs w:val="21"/>
        </w:rPr>
        <w:t xml:space="preserve">20.6.6  </w:t>
      </w:r>
      <w:r>
        <w:rPr>
          <w:rFonts w:hint="eastAsia" w:ascii="宋体" w:hAnsi="宋体"/>
          <w:szCs w:val="21"/>
        </w:rPr>
        <w:t>报告义务</w:t>
      </w:r>
    </w:p>
    <w:p>
      <w:pPr>
        <w:spacing w:line="360" w:lineRule="auto"/>
        <w:ind w:firstLine="420" w:firstLineChars="200"/>
        <w:rPr>
          <w:rFonts w:ascii="宋体"/>
          <w:szCs w:val="21"/>
        </w:rPr>
      </w:pPr>
      <w:r>
        <w:rPr>
          <w:rFonts w:hint="eastAsia" w:ascii="宋体" w:hAnsi="宋体"/>
          <w:szCs w:val="21"/>
        </w:rPr>
        <w:t>当保险事故发生时，投保人应按照保险单规定的条件和期限及时向保险人报告。</w:t>
      </w:r>
    </w:p>
    <w:p>
      <w:pPr>
        <w:pStyle w:val="43"/>
        <w:spacing w:after="120"/>
      </w:pPr>
      <w:bookmarkStart w:id="2423" w:name="_Toc490222633"/>
      <w:bookmarkStart w:id="2424" w:name="_Toc480487043"/>
      <w:bookmarkStart w:id="2425" w:name="_Toc480486871"/>
      <w:bookmarkStart w:id="2426" w:name="_Toc10233624"/>
      <w:bookmarkStart w:id="2427" w:name="_Toc489279999"/>
      <w:bookmarkStart w:id="2428" w:name="_Toc486580188"/>
      <w:bookmarkStart w:id="2429" w:name="_Toc483668217"/>
      <w:bookmarkStart w:id="2430" w:name="_Toc338944842"/>
      <w:bookmarkStart w:id="2431" w:name="_Toc342296400"/>
      <w:r>
        <w:t>21.</w:t>
      </w:r>
      <w:r>
        <w:rPr>
          <w:rFonts w:hint="eastAsia"/>
        </w:rPr>
        <w:t>不可抗力</w:t>
      </w:r>
      <w:bookmarkEnd w:id="2423"/>
      <w:bookmarkEnd w:id="2424"/>
      <w:bookmarkEnd w:id="2425"/>
      <w:bookmarkEnd w:id="2426"/>
      <w:bookmarkEnd w:id="2427"/>
      <w:bookmarkEnd w:id="2428"/>
      <w:bookmarkEnd w:id="2429"/>
      <w:bookmarkEnd w:id="2430"/>
      <w:bookmarkEnd w:id="2431"/>
    </w:p>
    <w:p>
      <w:pPr>
        <w:pStyle w:val="253"/>
        <w:spacing w:before="120"/>
      </w:pPr>
      <w:bookmarkStart w:id="2432" w:name="_Toc486580189"/>
      <w:bookmarkStart w:id="2433" w:name="_Toc480486872"/>
      <w:bookmarkStart w:id="2434" w:name="_Toc10233625"/>
      <w:bookmarkStart w:id="2435" w:name="_Toc489280000"/>
      <w:bookmarkStart w:id="2436" w:name="_Toc338944843"/>
      <w:bookmarkStart w:id="2437" w:name="_Toc342296401"/>
      <w:bookmarkStart w:id="2438" w:name="_Toc483668218"/>
      <w:bookmarkStart w:id="2439" w:name="_Toc490222634"/>
      <w:bookmarkStart w:id="2440" w:name="_Toc480487044"/>
      <w:r>
        <w:t xml:space="preserve">21.1  </w:t>
      </w:r>
      <w:r>
        <w:rPr>
          <w:rFonts w:hint="eastAsia"/>
        </w:rPr>
        <w:t>不可抗力的确认</w:t>
      </w:r>
      <w:bookmarkEnd w:id="2432"/>
      <w:bookmarkEnd w:id="2433"/>
      <w:bookmarkEnd w:id="2434"/>
      <w:bookmarkEnd w:id="2435"/>
      <w:bookmarkEnd w:id="2436"/>
      <w:bookmarkEnd w:id="2437"/>
      <w:bookmarkEnd w:id="2438"/>
      <w:bookmarkEnd w:id="2439"/>
      <w:bookmarkEnd w:id="2440"/>
    </w:p>
    <w:p>
      <w:pPr>
        <w:spacing w:line="360" w:lineRule="auto"/>
        <w:ind w:firstLine="420" w:firstLineChars="200"/>
        <w:rPr>
          <w:rFonts w:ascii="宋体"/>
          <w:szCs w:val="21"/>
        </w:rPr>
      </w:pPr>
      <w:r>
        <w:rPr>
          <w:rFonts w:ascii="宋体" w:hAnsi="宋体"/>
          <w:szCs w:val="21"/>
        </w:rPr>
        <w:t xml:space="preserve">21.1.1  </w:t>
      </w:r>
      <w:r>
        <w:rPr>
          <w:rFonts w:hint="eastAsia" w:ascii="宋体" w:hAnsi="宋体"/>
          <w:szCs w:val="21"/>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21.1.2  </w:t>
      </w:r>
      <w:r>
        <w:rPr>
          <w:rFonts w:hint="eastAsia" w:ascii="宋体" w:hAnsi="宋体"/>
          <w:szCs w:val="21"/>
        </w:rPr>
        <w:t>不可抗力发生后，发包人和承包人应及时认真统计所造成的损失，收集不可抗力造成损失的证据。合同双方对是否属于不可抗力或其损失的意见不一致的，由监理人按第</w:t>
      </w:r>
      <w:r>
        <w:rPr>
          <w:rFonts w:ascii="宋体" w:hAnsi="宋体"/>
          <w:szCs w:val="21"/>
        </w:rPr>
        <w:t>3.5</w:t>
      </w:r>
      <w:r>
        <w:rPr>
          <w:rFonts w:hint="eastAsia" w:ascii="宋体" w:hAnsi="宋体"/>
          <w:szCs w:val="21"/>
        </w:rPr>
        <w:t>款商定或确定。发生争议时，按第</w:t>
      </w:r>
      <w:r>
        <w:rPr>
          <w:rFonts w:ascii="宋体" w:hAnsi="宋体"/>
          <w:szCs w:val="21"/>
        </w:rPr>
        <w:t>24</w:t>
      </w:r>
      <w:r>
        <w:rPr>
          <w:rFonts w:hint="eastAsia" w:ascii="宋体" w:hAnsi="宋体"/>
          <w:szCs w:val="21"/>
        </w:rPr>
        <w:t>条的约定办理。</w:t>
      </w:r>
    </w:p>
    <w:p>
      <w:pPr>
        <w:pStyle w:val="253"/>
        <w:spacing w:before="120"/>
      </w:pPr>
      <w:bookmarkStart w:id="2441" w:name="_Toc152042530"/>
      <w:bookmarkStart w:id="2442" w:name="_Toc486580190"/>
      <w:bookmarkStart w:id="2443" w:name="_Toc144974722"/>
      <w:bookmarkStart w:id="2444" w:name="_Toc483668219"/>
      <w:bookmarkStart w:id="2445" w:name="_Toc342296402"/>
      <w:bookmarkStart w:id="2446" w:name="_Toc152045751"/>
      <w:bookmarkStart w:id="2447" w:name="_Toc490222635"/>
      <w:bookmarkStart w:id="2448" w:name="_Toc338944844"/>
      <w:bookmarkStart w:id="2449" w:name="_Toc10233626"/>
      <w:bookmarkStart w:id="2450" w:name="_Toc480487045"/>
      <w:bookmarkStart w:id="2451" w:name="_Toc179632769"/>
      <w:bookmarkStart w:id="2452" w:name="_Toc489280001"/>
      <w:bookmarkStart w:id="2453" w:name="_Toc480486873"/>
      <w:r>
        <w:t xml:space="preserve">21.2  </w:t>
      </w:r>
      <w:r>
        <w:rPr>
          <w:rFonts w:hint="eastAsia"/>
        </w:rPr>
        <w:t>不可抗力的通知</w:t>
      </w:r>
      <w:bookmarkEnd w:id="2441"/>
      <w:bookmarkEnd w:id="2442"/>
      <w:bookmarkEnd w:id="2443"/>
      <w:bookmarkEnd w:id="2444"/>
      <w:bookmarkEnd w:id="2445"/>
      <w:bookmarkEnd w:id="2446"/>
      <w:bookmarkEnd w:id="2447"/>
      <w:bookmarkEnd w:id="2448"/>
      <w:bookmarkEnd w:id="2449"/>
      <w:bookmarkEnd w:id="2450"/>
      <w:bookmarkEnd w:id="2451"/>
      <w:bookmarkEnd w:id="2452"/>
      <w:bookmarkEnd w:id="2453"/>
    </w:p>
    <w:p>
      <w:pPr>
        <w:spacing w:line="360" w:lineRule="auto"/>
        <w:ind w:firstLine="420" w:firstLineChars="200"/>
        <w:rPr>
          <w:rFonts w:ascii="宋体"/>
          <w:szCs w:val="21"/>
        </w:rPr>
      </w:pPr>
      <w:r>
        <w:rPr>
          <w:rFonts w:ascii="宋体" w:hAnsi="宋体"/>
          <w:szCs w:val="21"/>
        </w:rPr>
        <w:t xml:space="preserve">21.2.1  </w:t>
      </w:r>
      <w:r>
        <w:rPr>
          <w:rFonts w:hint="eastAsia" w:ascii="宋体" w:hAnsi="宋体"/>
          <w:szCs w:val="21"/>
        </w:rPr>
        <w:t>合同一方当事人遇到不可抗力事件，使其履行合同义务受到阻碍时，应立即通知合同另一方当事人和监理人，书面说明不可抗力和受阻碍的详细情况，并提供必要的证明。</w:t>
      </w:r>
    </w:p>
    <w:p>
      <w:pPr>
        <w:spacing w:line="360" w:lineRule="auto"/>
        <w:ind w:firstLine="420" w:firstLineChars="200"/>
        <w:rPr>
          <w:rFonts w:ascii="宋体"/>
          <w:szCs w:val="21"/>
        </w:rPr>
      </w:pPr>
      <w:r>
        <w:rPr>
          <w:rFonts w:ascii="宋体" w:hAnsi="宋体"/>
          <w:szCs w:val="21"/>
        </w:rPr>
        <w:t xml:space="preserve">21.2.2  </w:t>
      </w:r>
      <w:r>
        <w:rPr>
          <w:rFonts w:hint="eastAsia" w:ascii="宋体" w:hAnsi="宋体"/>
          <w:szCs w:val="21"/>
        </w:rPr>
        <w:t>如不可抗力持续发生，合同一方当事人应及时向合同另一方当事人和监理人提交中间报告，说明不可抗力和履行合同受阻的情况，并于不可抗力事件结束后</w:t>
      </w:r>
      <w:r>
        <w:rPr>
          <w:rFonts w:ascii="宋体" w:hAnsi="宋体"/>
          <w:szCs w:val="21"/>
        </w:rPr>
        <w:t>28</w:t>
      </w:r>
      <w:r>
        <w:rPr>
          <w:rFonts w:hint="eastAsia" w:ascii="宋体" w:hAnsi="宋体"/>
          <w:szCs w:val="21"/>
        </w:rPr>
        <w:t>天内提交最终报告及有关资料。</w:t>
      </w:r>
    </w:p>
    <w:p>
      <w:pPr>
        <w:pStyle w:val="253"/>
        <w:spacing w:before="120"/>
      </w:pPr>
      <w:bookmarkStart w:id="2454" w:name="_Toc480486874"/>
      <w:bookmarkStart w:id="2455" w:name="_Toc490222636"/>
      <w:bookmarkStart w:id="2456" w:name="_Toc338944845"/>
      <w:bookmarkStart w:id="2457" w:name="_Toc480487046"/>
      <w:bookmarkStart w:id="2458" w:name="_Toc486580191"/>
      <w:bookmarkStart w:id="2459" w:name="_Toc483668220"/>
      <w:bookmarkStart w:id="2460" w:name="_Toc10233627"/>
      <w:bookmarkStart w:id="2461" w:name="_Toc342296403"/>
      <w:bookmarkStart w:id="2462" w:name="_Toc489280002"/>
      <w:r>
        <w:t xml:space="preserve">21.3  </w:t>
      </w:r>
      <w:r>
        <w:rPr>
          <w:rFonts w:hint="eastAsia"/>
        </w:rPr>
        <w:t>不可抗力后果及其处理</w:t>
      </w:r>
      <w:bookmarkEnd w:id="2454"/>
      <w:bookmarkEnd w:id="2455"/>
      <w:bookmarkEnd w:id="2456"/>
      <w:bookmarkEnd w:id="2457"/>
      <w:bookmarkEnd w:id="2458"/>
      <w:bookmarkEnd w:id="2459"/>
      <w:bookmarkEnd w:id="2460"/>
      <w:bookmarkEnd w:id="2461"/>
      <w:bookmarkEnd w:id="2462"/>
    </w:p>
    <w:p>
      <w:pPr>
        <w:spacing w:line="360" w:lineRule="auto"/>
        <w:ind w:firstLine="420" w:firstLineChars="200"/>
        <w:rPr>
          <w:rFonts w:ascii="宋体"/>
          <w:szCs w:val="21"/>
        </w:rPr>
      </w:pPr>
      <w:r>
        <w:rPr>
          <w:rFonts w:ascii="宋体" w:hAnsi="宋体"/>
          <w:szCs w:val="21"/>
        </w:rPr>
        <w:t xml:space="preserve">21.3.1  </w:t>
      </w:r>
      <w:r>
        <w:rPr>
          <w:rFonts w:hint="eastAsia" w:ascii="宋体" w:hAnsi="宋体"/>
          <w:szCs w:val="21"/>
        </w:rPr>
        <w:t>不可抗力造成损害的责任</w:t>
      </w:r>
    </w:p>
    <w:p>
      <w:pPr>
        <w:spacing w:line="360" w:lineRule="auto"/>
        <w:ind w:firstLine="420" w:firstLineChars="200"/>
        <w:rPr>
          <w:rFonts w:ascii="宋体"/>
          <w:szCs w:val="21"/>
        </w:rPr>
      </w:pPr>
      <w:r>
        <w:rPr>
          <w:rFonts w:hint="eastAsia" w:ascii="宋体" w:hAnsi="宋体"/>
          <w:szCs w:val="21"/>
        </w:rPr>
        <w:t>不可抗力导致的人员伤亡、财产损失、费用增加和（或）工期延误等后果，由合同双方按以下原则承担：</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）永久工程，包括已运至施工场地的材料和工程设备的损害，以及因工程损害造成的第三者人员伤亡和财产损失由发包人承担；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）承包人设备的损坏由承包人承担；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）发包人和承包人各自承担其人员伤亡和其他财产损失及其相关费用；</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）承包人的停工损失由承包人承担，但停工期间应监理人要求照管工程和清理、修复工程的金额由发包人承担；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）不能按期竣工的，应合理延长工期，承包人不需支付逾期竣工违约金。发包人要求赶工的，承包人应采取赶工措施，赶工费用由发包人承担。</w:t>
      </w:r>
    </w:p>
    <w:p>
      <w:pPr>
        <w:spacing w:line="360" w:lineRule="auto"/>
        <w:ind w:firstLine="420" w:firstLineChars="200"/>
        <w:rPr>
          <w:rFonts w:ascii="宋体"/>
          <w:szCs w:val="21"/>
        </w:rPr>
      </w:pPr>
      <w:r>
        <w:rPr>
          <w:rFonts w:ascii="宋体" w:hAnsi="宋体"/>
          <w:szCs w:val="21"/>
        </w:rPr>
        <w:t xml:space="preserve">21.3.2  </w:t>
      </w:r>
      <w:r>
        <w:rPr>
          <w:rFonts w:hint="eastAsia" w:ascii="宋体" w:hAnsi="宋体"/>
          <w:szCs w:val="21"/>
        </w:rPr>
        <w:t>延迟履行期间发生的不可抗力</w:t>
      </w:r>
    </w:p>
    <w:p>
      <w:pPr>
        <w:spacing w:line="360" w:lineRule="auto"/>
        <w:ind w:firstLine="420" w:firstLineChars="200"/>
        <w:rPr>
          <w:rFonts w:ascii="宋体"/>
          <w:szCs w:val="21"/>
        </w:rPr>
      </w:pPr>
      <w:r>
        <w:rPr>
          <w:rFonts w:hint="eastAsia" w:ascii="宋体" w:hAnsi="宋体"/>
          <w:szCs w:val="21"/>
        </w:rPr>
        <w:t>合同一方当事人延迟履行，在延迟履行期间发生不可抗力的，不免除其责任。</w:t>
      </w:r>
    </w:p>
    <w:p>
      <w:pPr>
        <w:spacing w:line="360" w:lineRule="auto"/>
        <w:ind w:firstLine="420" w:firstLineChars="200"/>
        <w:rPr>
          <w:rFonts w:ascii="宋体"/>
          <w:szCs w:val="21"/>
        </w:rPr>
      </w:pPr>
      <w:r>
        <w:rPr>
          <w:rFonts w:ascii="宋体" w:hAnsi="宋体"/>
          <w:szCs w:val="21"/>
        </w:rPr>
        <w:t xml:space="preserve">21.3.3  </w:t>
      </w:r>
      <w:r>
        <w:rPr>
          <w:rFonts w:hint="eastAsia" w:ascii="宋体" w:hAnsi="宋体"/>
          <w:szCs w:val="21"/>
        </w:rPr>
        <w:t>避免和减少不可抗力损失</w:t>
      </w:r>
    </w:p>
    <w:p>
      <w:pPr>
        <w:spacing w:line="360" w:lineRule="auto"/>
        <w:ind w:firstLine="420" w:firstLineChars="200"/>
        <w:rPr>
          <w:rFonts w:ascii="宋体"/>
          <w:szCs w:val="21"/>
        </w:rPr>
      </w:pPr>
      <w:r>
        <w:rPr>
          <w:rFonts w:hint="eastAsia" w:ascii="宋体" w:hAnsi="宋体"/>
          <w:szCs w:val="21"/>
        </w:rPr>
        <w:t>不可抗力发生后，发包人和承包人均应采取措施尽量避免和减少损失的扩大，任何一方没有采取有效措施导致损失扩大的，应对扩大的损失承担责任。</w:t>
      </w:r>
    </w:p>
    <w:p>
      <w:pPr>
        <w:spacing w:line="360" w:lineRule="auto"/>
        <w:ind w:firstLine="420" w:firstLineChars="200"/>
        <w:rPr>
          <w:rFonts w:ascii="宋体"/>
          <w:szCs w:val="21"/>
        </w:rPr>
      </w:pPr>
      <w:r>
        <w:rPr>
          <w:rFonts w:ascii="宋体" w:hAnsi="宋体"/>
          <w:szCs w:val="21"/>
        </w:rPr>
        <w:t xml:space="preserve">21.3.4  </w:t>
      </w:r>
      <w:r>
        <w:rPr>
          <w:rFonts w:hint="eastAsia" w:ascii="宋体" w:hAnsi="宋体"/>
          <w:szCs w:val="21"/>
        </w:rPr>
        <w:t>因不可抗力解除合同</w:t>
      </w:r>
    </w:p>
    <w:p>
      <w:pPr>
        <w:spacing w:line="360" w:lineRule="auto"/>
        <w:ind w:firstLine="420" w:firstLineChars="200"/>
        <w:rPr>
          <w:rFonts w:ascii="宋体"/>
          <w:szCs w:val="21"/>
        </w:rPr>
      </w:pPr>
      <w:r>
        <w:rPr>
          <w:rFonts w:hint="eastAsia" w:ascii="宋体" w:hAnsi="宋体"/>
          <w:szCs w:val="21"/>
        </w:rPr>
        <w:t>合同一方当事人因不可抗力不能履行合同的，应当及时通知对方解除合同。合同解除后，承包人应按照第</w:t>
      </w:r>
      <w:r>
        <w:rPr>
          <w:rFonts w:ascii="宋体" w:hAnsi="宋体"/>
          <w:szCs w:val="21"/>
        </w:rPr>
        <w:t>22.2.5</w:t>
      </w:r>
      <w:r>
        <w:rPr>
          <w:rFonts w:hint="eastAsia" w:ascii="宋体" w:hAnsi="宋体"/>
          <w:szCs w:val="21"/>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szCs w:val="21"/>
        </w:rPr>
        <w:t>22.2.4</w:t>
      </w:r>
      <w:r>
        <w:rPr>
          <w:rFonts w:hint="eastAsia" w:ascii="宋体" w:hAnsi="宋体"/>
          <w:szCs w:val="21"/>
        </w:rPr>
        <w:t>项约定，由监理人按第</w:t>
      </w:r>
      <w:r>
        <w:rPr>
          <w:rFonts w:ascii="宋体" w:hAnsi="宋体"/>
          <w:szCs w:val="21"/>
        </w:rPr>
        <w:t>3.5</w:t>
      </w:r>
      <w:r>
        <w:rPr>
          <w:rFonts w:hint="eastAsia" w:ascii="宋体" w:hAnsi="宋体"/>
          <w:szCs w:val="21"/>
        </w:rPr>
        <w:t>款商定或确定。</w:t>
      </w:r>
    </w:p>
    <w:p>
      <w:pPr>
        <w:pStyle w:val="43"/>
        <w:spacing w:after="120"/>
      </w:pPr>
      <w:bookmarkStart w:id="2463" w:name="_Toc342296404"/>
      <w:bookmarkStart w:id="2464" w:name="_Toc152042532"/>
      <w:bookmarkStart w:id="2465" w:name="_Toc152045753"/>
      <w:bookmarkStart w:id="2466" w:name="_Toc490222637"/>
      <w:bookmarkStart w:id="2467" w:name="_Toc483668221"/>
      <w:bookmarkStart w:id="2468" w:name="_Toc480487047"/>
      <w:bookmarkStart w:id="2469" w:name="_Toc489280003"/>
      <w:bookmarkStart w:id="2470" w:name="_Toc338944846"/>
      <w:bookmarkStart w:id="2471" w:name="_Toc10233628"/>
      <w:bookmarkStart w:id="2472" w:name="_Toc179632771"/>
      <w:bookmarkStart w:id="2473" w:name="_Toc486580192"/>
      <w:bookmarkStart w:id="2474" w:name="_Toc480486875"/>
      <w:bookmarkStart w:id="2475" w:name="_Toc144974724"/>
      <w:r>
        <w:t>22.</w:t>
      </w:r>
      <w:r>
        <w:rPr>
          <w:rFonts w:hint="eastAsia"/>
        </w:rPr>
        <w:t>违约</w:t>
      </w:r>
      <w:bookmarkEnd w:id="2463"/>
      <w:bookmarkEnd w:id="2464"/>
      <w:bookmarkEnd w:id="2465"/>
      <w:bookmarkEnd w:id="2466"/>
      <w:bookmarkEnd w:id="2467"/>
      <w:bookmarkEnd w:id="2468"/>
      <w:bookmarkEnd w:id="2469"/>
      <w:bookmarkEnd w:id="2470"/>
      <w:bookmarkEnd w:id="2471"/>
      <w:bookmarkEnd w:id="2472"/>
      <w:bookmarkEnd w:id="2473"/>
      <w:bookmarkEnd w:id="2474"/>
      <w:bookmarkEnd w:id="2475"/>
    </w:p>
    <w:p>
      <w:pPr>
        <w:pStyle w:val="253"/>
        <w:spacing w:before="120"/>
      </w:pPr>
      <w:bookmarkStart w:id="2476" w:name="_Toc486580193"/>
      <w:bookmarkStart w:id="2477" w:name="_Toc144974725"/>
      <w:bookmarkStart w:id="2478" w:name="_Toc152042533"/>
      <w:bookmarkStart w:id="2479" w:name="_Toc480486876"/>
      <w:bookmarkStart w:id="2480" w:name="_Toc489280004"/>
      <w:bookmarkStart w:id="2481" w:name="_Toc342296405"/>
      <w:bookmarkStart w:id="2482" w:name="_Toc179632772"/>
      <w:bookmarkStart w:id="2483" w:name="_Toc152045754"/>
      <w:bookmarkStart w:id="2484" w:name="_Toc10233629"/>
      <w:bookmarkStart w:id="2485" w:name="_Toc483668222"/>
      <w:bookmarkStart w:id="2486" w:name="_Toc338944847"/>
      <w:bookmarkStart w:id="2487" w:name="_Toc490222638"/>
      <w:bookmarkStart w:id="2488" w:name="_Toc480487048"/>
      <w:r>
        <w:t xml:space="preserve">22.1  </w:t>
      </w:r>
      <w:r>
        <w:rPr>
          <w:rFonts w:hint="eastAsia"/>
        </w:rPr>
        <w:t>承包人违约</w:t>
      </w:r>
      <w:bookmarkEnd w:id="2476"/>
      <w:bookmarkEnd w:id="2477"/>
      <w:bookmarkEnd w:id="2478"/>
      <w:bookmarkEnd w:id="2479"/>
      <w:bookmarkEnd w:id="2480"/>
      <w:bookmarkEnd w:id="2481"/>
      <w:bookmarkEnd w:id="2482"/>
      <w:bookmarkEnd w:id="2483"/>
      <w:bookmarkEnd w:id="2484"/>
      <w:bookmarkEnd w:id="2485"/>
      <w:bookmarkEnd w:id="2486"/>
      <w:bookmarkEnd w:id="2487"/>
      <w:bookmarkEnd w:id="2488"/>
    </w:p>
    <w:p>
      <w:pPr>
        <w:spacing w:line="360" w:lineRule="auto"/>
        <w:ind w:firstLine="420" w:firstLineChars="200"/>
        <w:rPr>
          <w:rFonts w:ascii="宋体"/>
          <w:szCs w:val="21"/>
        </w:rPr>
      </w:pPr>
      <w:r>
        <w:rPr>
          <w:rFonts w:ascii="宋体" w:hAnsi="宋体"/>
          <w:szCs w:val="21"/>
        </w:rPr>
        <w:t xml:space="preserve">22.1.1  </w:t>
      </w:r>
      <w:r>
        <w:rPr>
          <w:rFonts w:hint="eastAsia" w:ascii="宋体" w:hAnsi="宋体"/>
          <w:szCs w:val="21"/>
        </w:rPr>
        <w:t>承包人违约的情形</w:t>
      </w:r>
    </w:p>
    <w:p>
      <w:pPr>
        <w:spacing w:line="360" w:lineRule="auto"/>
        <w:ind w:firstLine="420" w:firstLineChars="200"/>
        <w:rPr>
          <w:rFonts w:ascii="宋体"/>
          <w:szCs w:val="21"/>
        </w:rPr>
      </w:pPr>
      <w:r>
        <w:rPr>
          <w:rFonts w:hint="eastAsia" w:ascii="宋体" w:hAnsi="宋体"/>
          <w:szCs w:val="21"/>
        </w:rPr>
        <w:t>在履行合同过程中发生的下列情况属承包人违约：</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）承包人违反第</w:t>
      </w:r>
      <w:r>
        <w:rPr>
          <w:rFonts w:ascii="宋体" w:hAnsi="宋体"/>
          <w:szCs w:val="21"/>
        </w:rPr>
        <w:t>1.8</w:t>
      </w:r>
      <w:r>
        <w:rPr>
          <w:rFonts w:hint="eastAsia" w:ascii="宋体" w:hAnsi="宋体"/>
          <w:szCs w:val="21"/>
        </w:rPr>
        <w:t>款或第</w:t>
      </w:r>
      <w:r>
        <w:rPr>
          <w:rFonts w:ascii="宋体" w:hAnsi="宋体"/>
          <w:szCs w:val="21"/>
        </w:rPr>
        <w:t>4.3</w:t>
      </w:r>
      <w:r>
        <w:rPr>
          <w:rFonts w:hint="eastAsia" w:ascii="宋体" w:hAnsi="宋体"/>
          <w:szCs w:val="21"/>
        </w:rPr>
        <w:t>款的约定，私自将合同的全部或部分权利转让给其他人，或私自将合同的全部或部分义务转移给其他人；</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）承包人违反第</w:t>
      </w:r>
      <w:r>
        <w:rPr>
          <w:rFonts w:ascii="宋体" w:hAnsi="宋体"/>
          <w:szCs w:val="21"/>
        </w:rPr>
        <w:t>5.3</w:t>
      </w:r>
      <w:r>
        <w:rPr>
          <w:rFonts w:hint="eastAsia" w:ascii="宋体" w:hAnsi="宋体"/>
          <w:szCs w:val="21"/>
        </w:rPr>
        <w:t>款或第</w:t>
      </w:r>
      <w:r>
        <w:rPr>
          <w:rFonts w:ascii="宋体" w:hAnsi="宋体"/>
          <w:szCs w:val="21"/>
        </w:rPr>
        <w:t>6.4</w:t>
      </w:r>
      <w:r>
        <w:rPr>
          <w:rFonts w:hint="eastAsia" w:ascii="宋体" w:hAnsi="宋体"/>
          <w:szCs w:val="21"/>
        </w:rPr>
        <w:t>款的约定，未经监理人批准，私自将已按合同约定进入施工场地的施工设备、临时设施或材料撤离施工场地；</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）承包人违反第</w:t>
      </w:r>
      <w:r>
        <w:rPr>
          <w:rFonts w:ascii="宋体" w:hAnsi="宋体"/>
          <w:szCs w:val="21"/>
        </w:rPr>
        <w:t>5.4</w:t>
      </w:r>
      <w:r>
        <w:rPr>
          <w:rFonts w:hint="eastAsia" w:ascii="宋体" w:hAnsi="宋体"/>
          <w:szCs w:val="21"/>
        </w:rPr>
        <w:t>款的约定使用了不合格材料或工程设备，工程质量达不到标准要求，又拒绝清除不合格工程；</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）承包人未能按合同进度计划及时完成合同约定的工作，已造成或预期造成工期延误；</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）承包人在缺陷责任期内，未能对工程接收证书所列的缺陷清单的内容或缺陷责任期内发生的缺陷进行修复，而又拒绝按监理人指示再进行修补；</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6</w:t>
      </w:r>
      <w:r>
        <w:rPr>
          <w:rFonts w:hint="eastAsia" w:ascii="宋体" w:hAnsi="宋体"/>
          <w:szCs w:val="21"/>
        </w:rPr>
        <w:t>）承包人无法继续履行或明确表示不履行或实质上已停止履行合同；</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7</w:t>
      </w:r>
      <w:r>
        <w:rPr>
          <w:rFonts w:hint="eastAsia" w:ascii="宋体" w:hAnsi="宋体"/>
          <w:szCs w:val="21"/>
        </w:rPr>
        <w:t>）承包人不按合同约定履行义务的其他情况。</w:t>
      </w:r>
    </w:p>
    <w:p>
      <w:pPr>
        <w:spacing w:line="360" w:lineRule="auto"/>
        <w:ind w:firstLine="420" w:firstLineChars="200"/>
        <w:rPr>
          <w:rFonts w:ascii="宋体"/>
          <w:szCs w:val="21"/>
        </w:rPr>
      </w:pPr>
      <w:r>
        <w:rPr>
          <w:rFonts w:ascii="宋体" w:hAnsi="宋体"/>
          <w:szCs w:val="21"/>
        </w:rPr>
        <w:t xml:space="preserve">22.1.2  </w:t>
      </w:r>
      <w:r>
        <w:rPr>
          <w:rFonts w:hint="eastAsia" w:ascii="宋体" w:hAnsi="宋体"/>
          <w:szCs w:val="21"/>
        </w:rPr>
        <w:t>对承包人违约的处理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）承包人发生第</w:t>
      </w:r>
      <w:r>
        <w:rPr>
          <w:rFonts w:ascii="宋体" w:hAnsi="宋体"/>
          <w:szCs w:val="21"/>
        </w:rPr>
        <w:t>22.1.1</w:t>
      </w:r>
      <w:r>
        <w:rPr>
          <w:rFonts w:hint="eastAsia" w:ascii="宋体" w:hAnsi="宋体"/>
          <w:szCs w:val="21"/>
        </w:rPr>
        <w:t>（</w:t>
      </w:r>
      <w:r>
        <w:rPr>
          <w:rFonts w:ascii="宋体" w:hAnsi="宋体"/>
          <w:szCs w:val="21"/>
        </w:rPr>
        <w:t>6</w:t>
      </w:r>
      <w:r>
        <w:rPr>
          <w:rFonts w:hint="eastAsia" w:ascii="宋体" w:hAnsi="宋体"/>
          <w:szCs w:val="21"/>
        </w:rPr>
        <w:t>）目约定的违约情况时，发包人可通知承包人立即解除合同，并按有关法律处理。</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）承包人发生除第</w:t>
      </w:r>
      <w:r>
        <w:rPr>
          <w:rFonts w:ascii="宋体" w:hAnsi="宋体"/>
          <w:szCs w:val="21"/>
        </w:rPr>
        <w:t>22.1.1</w:t>
      </w:r>
      <w:r>
        <w:rPr>
          <w:rFonts w:hint="eastAsia" w:ascii="宋体" w:hAnsi="宋体"/>
          <w:szCs w:val="21"/>
        </w:rPr>
        <w:t>（</w:t>
      </w:r>
      <w:r>
        <w:rPr>
          <w:rFonts w:ascii="宋体" w:hAnsi="宋体"/>
          <w:szCs w:val="21"/>
        </w:rPr>
        <w:t>6</w:t>
      </w:r>
      <w:r>
        <w:rPr>
          <w:rFonts w:hint="eastAsia" w:ascii="宋体" w:hAnsi="宋体"/>
          <w:szCs w:val="21"/>
        </w:rPr>
        <w:t>）目约定以外的其他违约情况时，监理人可向承包人发出整改通知，要求其在指定的期限内改正。承包人应承担其违约所引起的费用增加和（或）工期延误。</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）经检查证明承包人已采取了有效措施纠正违约行为，具备复工条件的，可由监理人签发复工通知复工。</w:t>
      </w:r>
    </w:p>
    <w:p>
      <w:pPr>
        <w:spacing w:line="360" w:lineRule="auto"/>
        <w:ind w:firstLine="420" w:firstLineChars="200"/>
        <w:rPr>
          <w:rFonts w:ascii="宋体"/>
          <w:szCs w:val="21"/>
        </w:rPr>
      </w:pPr>
      <w:r>
        <w:rPr>
          <w:rFonts w:ascii="宋体" w:hAnsi="宋体"/>
          <w:szCs w:val="21"/>
        </w:rPr>
        <w:t xml:space="preserve">22.1.3  </w:t>
      </w:r>
      <w:r>
        <w:rPr>
          <w:rFonts w:hint="eastAsia" w:ascii="宋体" w:hAnsi="宋体"/>
          <w:szCs w:val="21"/>
        </w:rPr>
        <w:t>承包人违约解除合同</w:t>
      </w:r>
    </w:p>
    <w:p>
      <w:pPr>
        <w:spacing w:line="360" w:lineRule="auto"/>
        <w:ind w:firstLine="420" w:firstLineChars="200"/>
        <w:rPr>
          <w:rFonts w:ascii="宋体"/>
          <w:szCs w:val="21"/>
        </w:rPr>
      </w:pPr>
      <w:r>
        <w:rPr>
          <w:rFonts w:hint="eastAsia" w:ascii="宋体" w:hAnsi="宋体"/>
          <w:szCs w:val="21"/>
        </w:rPr>
        <w:t>监理人发出整改通知</w:t>
      </w:r>
      <w:r>
        <w:rPr>
          <w:rFonts w:ascii="宋体" w:hAnsi="宋体"/>
          <w:szCs w:val="21"/>
        </w:rPr>
        <w:t>28</w:t>
      </w:r>
      <w:r>
        <w:rPr>
          <w:rFonts w:hint="eastAsia" w:ascii="宋体" w:hAnsi="宋体"/>
          <w:szCs w:val="21"/>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spacing w:line="360" w:lineRule="auto"/>
        <w:ind w:firstLine="420" w:firstLineChars="200"/>
        <w:rPr>
          <w:rFonts w:ascii="宋体"/>
          <w:szCs w:val="21"/>
        </w:rPr>
      </w:pPr>
      <w:r>
        <w:rPr>
          <w:rFonts w:ascii="宋体" w:hAnsi="宋体"/>
          <w:szCs w:val="21"/>
        </w:rPr>
        <w:t xml:space="preserve">22.1.4  </w:t>
      </w:r>
      <w:r>
        <w:rPr>
          <w:rFonts w:hint="eastAsia" w:ascii="宋体" w:hAnsi="宋体"/>
          <w:szCs w:val="21"/>
        </w:rPr>
        <w:t>合同解除后的估价、付款和结清</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）合同解除后，监理人按第</w:t>
      </w:r>
      <w:r>
        <w:rPr>
          <w:rFonts w:ascii="宋体" w:hAnsi="宋体"/>
          <w:szCs w:val="21"/>
        </w:rPr>
        <w:t>3.5</w:t>
      </w:r>
      <w:r>
        <w:rPr>
          <w:rFonts w:hint="eastAsia" w:ascii="宋体" w:hAnsi="宋体"/>
          <w:szCs w:val="21"/>
        </w:rPr>
        <w:t>款商定或确定承包人实际完成工作的价值，以及承包人已提供的材料、施工设备、工程设备和临时工程等的价值。</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）合同解除后，发包人应暂停对承包人的一切付款，查清各项付款和已扣款金额，包括承包人应支付的违约金。</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）合同解除后，发包人应按第</w:t>
      </w:r>
      <w:r>
        <w:rPr>
          <w:rFonts w:ascii="宋体" w:hAnsi="宋体"/>
          <w:szCs w:val="21"/>
        </w:rPr>
        <w:t>23.4</w:t>
      </w:r>
      <w:r>
        <w:rPr>
          <w:rFonts w:hint="eastAsia" w:ascii="宋体" w:hAnsi="宋体"/>
          <w:szCs w:val="21"/>
        </w:rPr>
        <w:t>款的约定向承包人索赔由于解除合同给发包人造成的损失。</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）合同双方确认上述往来款项后，出具最终结清付款证书，结清全部合同款项。</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）发包人和承包人未能就解除合同后的结清达成一致而形成争议的，按第</w:t>
      </w:r>
      <w:r>
        <w:rPr>
          <w:rFonts w:ascii="宋体" w:hAnsi="宋体"/>
          <w:szCs w:val="21"/>
        </w:rPr>
        <w:t>24</w:t>
      </w:r>
      <w:r>
        <w:rPr>
          <w:rFonts w:hint="eastAsia" w:ascii="宋体" w:hAnsi="宋体"/>
          <w:szCs w:val="21"/>
        </w:rPr>
        <w:t>条的约定办理。</w:t>
      </w:r>
    </w:p>
    <w:p>
      <w:pPr>
        <w:spacing w:line="360" w:lineRule="auto"/>
        <w:ind w:firstLine="420" w:firstLineChars="200"/>
        <w:rPr>
          <w:rFonts w:ascii="宋体"/>
          <w:szCs w:val="21"/>
        </w:rPr>
      </w:pPr>
      <w:r>
        <w:rPr>
          <w:rFonts w:ascii="宋体" w:hAnsi="宋体"/>
          <w:szCs w:val="21"/>
        </w:rPr>
        <w:t xml:space="preserve">22.1.5  </w:t>
      </w:r>
      <w:r>
        <w:rPr>
          <w:rFonts w:hint="eastAsia" w:ascii="宋体" w:hAnsi="宋体"/>
          <w:szCs w:val="21"/>
        </w:rPr>
        <w:t>协议利益的转让</w:t>
      </w:r>
    </w:p>
    <w:p>
      <w:pPr>
        <w:spacing w:line="360" w:lineRule="auto"/>
        <w:ind w:firstLine="420" w:firstLineChars="200"/>
        <w:rPr>
          <w:rFonts w:ascii="宋体"/>
          <w:szCs w:val="21"/>
        </w:rPr>
      </w:pPr>
      <w:r>
        <w:rPr>
          <w:rFonts w:hint="eastAsia" w:ascii="宋体" w:hAnsi="宋体"/>
          <w:szCs w:val="21"/>
        </w:rPr>
        <w:t>因承包人违约解除合同的，发包人有权要求承包人将其为实施合同而签订的材料和设备的订货协议或任何服务协议利益转让给发包人，并在解除合同后的</w:t>
      </w:r>
      <w:r>
        <w:rPr>
          <w:rFonts w:ascii="宋体" w:hAnsi="宋体"/>
          <w:szCs w:val="21"/>
        </w:rPr>
        <w:t>14</w:t>
      </w:r>
      <w:r>
        <w:rPr>
          <w:rFonts w:hint="eastAsia" w:ascii="宋体" w:hAnsi="宋体"/>
          <w:szCs w:val="21"/>
        </w:rPr>
        <w:t>天内，依法办理转让手续。</w:t>
      </w:r>
      <w:r>
        <w:rPr>
          <w:rFonts w:ascii="宋体" w:hAnsi="宋体"/>
          <w:szCs w:val="21"/>
        </w:rPr>
        <w:t xml:space="preserve"> </w:t>
      </w:r>
    </w:p>
    <w:p>
      <w:pPr>
        <w:spacing w:line="360" w:lineRule="auto"/>
        <w:ind w:firstLine="420" w:firstLineChars="200"/>
        <w:rPr>
          <w:rFonts w:ascii="宋体"/>
          <w:szCs w:val="21"/>
        </w:rPr>
      </w:pPr>
      <w:r>
        <w:rPr>
          <w:rFonts w:ascii="宋体" w:hAnsi="宋体"/>
          <w:szCs w:val="21"/>
        </w:rPr>
        <w:t xml:space="preserve">22.1.6  </w:t>
      </w:r>
      <w:r>
        <w:rPr>
          <w:rFonts w:hint="eastAsia" w:ascii="宋体" w:hAnsi="宋体"/>
          <w:szCs w:val="21"/>
        </w:rPr>
        <w:t>紧急情况下无能力或不愿进行抢救</w:t>
      </w:r>
    </w:p>
    <w:p>
      <w:pPr>
        <w:spacing w:line="360" w:lineRule="auto"/>
        <w:ind w:firstLine="420" w:firstLineChars="200"/>
        <w:rPr>
          <w:rFonts w:ascii="宋体"/>
          <w:szCs w:val="21"/>
        </w:rPr>
      </w:pPr>
      <w:r>
        <w:rPr>
          <w:rFonts w:hint="eastAsia" w:ascii="宋体" w:hAnsi="宋体"/>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pStyle w:val="253"/>
        <w:spacing w:before="120"/>
      </w:pPr>
      <w:bookmarkStart w:id="2489" w:name="_Toc10233630"/>
      <w:bookmarkStart w:id="2490" w:name="_Toc179632773"/>
      <w:bookmarkStart w:id="2491" w:name="_Toc338944848"/>
      <w:bookmarkStart w:id="2492" w:name="_Toc152045755"/>
      <w:bookmarkStart w:id="2493" w:name="_Toc144974726"/>
      <w:bookmarkStart w:id="2494" w:name="_Toc489280005"/>
      <w:bookmarkStart w:id="2495" w:name="_Toc342296406"/>
      <w:bookmarkStart w:id="2496" w:name="_Toc486580194"/>
      <w:bookmarkStart w:id="2497" w:name="_Toc480487049"/>
      <w:bookmarkStart w:id="2498" w:name="_Toc480486877"/>
      <w:bookmarkStart w:id="2499" w:name="_Toc483668223"/>
      <w:bookmarkStart w:id="2500" w:name="_Toc490222639"/>
      <w:bookmarkStart w:id="2501" w:name="_Toc152042534"/>
      <w:r>
        <w:t xml:space="preserve">22.2  </w:t>
      </w:r>
      <w:r>
        <w:rPr>
          <w:rFonts w:hint="eastAsia"/>
        </w:rPr>
        <w:t>发包人违约</w:t>
      </w:r>
      <w:bookmarkEnd w:id="2489"/>
      <w:bookmarkEnd w:id="2490"/>
      <w:bookmarkEnd w:id="2491"/>
      <w:bookmarkEnd w:id="2492"/>
      <w:bookmarkEnd w:id="2493"/>
      <w:bookmarkEnd w:id="2494"/>
      <w:bookmarkEnd w:id="2495"/>
      <w:bookmarkEnd w:id="2496"/>
      <w:bookmarkEnd w:id="2497"/>
      <w:bookmarkEnd w:id="2498"/>
      <w:bookmarkEnd w:id="2499"/>
      <w:bookmarkEnd w:id="2500"/>
      <w:bookmarkEnd w:id="2501"/>
    </w:p>
    <w:p>
      <w:pPr>
        <w:spacing w:line="360" w:lineRule="auto"/>
        <w:ind w:firstLine="420" w:firstLineChars="200"/>
        <w:rPr>
          <w:rFonts w:ascii="宋体"/>
          <w:szCs w:val="21"/>
        </w:rPr>
      </w:pPr>
      <w:r>
        <w:rPr>
          <w:rFonts w:ascii="宋体" w:hAnsi="宋体"/>
          <w:szCs w:val="21"/>
        </w:rPr>
        <w:t xml:space="preserve">22.2.1  </w:t>
      </w:r>
      <w:r>
        <w:rPr>
          <w:rFonts w:hint="eastAsia" w:ascii="宋体" w:hAnsi="宋体"/>
          <w:szCs w:val="21"/>
        </w:rPr>
        <w:t>发包人违约的情形</w:t>
      </w:r>
    </w:p>
    <w:p>
      <w:pPr>
        <w:spacing w:line="360" w:lineRule="auto"/>
        <w:ind w:firstLine="420" w:firstLineChars="200"/>
        <w:rPr>
          <w:rFonts w:ascii="宋体"/>
          <w:szCs w:val="21"/>
        </w:rPr>
      </w:pPr>
      <w:r>
        <w:rPr>
          <w:rFonts w:hint="eastAsia" w:ascii="宋体" w:hAnsi="宋体"/>
          <w:szCs w:val="21"/>
        </w:rPr>
        <w:t>在履行合同过程中发生的下列情形，属发包人违约：</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）发包人未能按合同约定支付预付款或合同价款，或拖延、拒绝批准付款申请和支付凭证，导致付款延误的；</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）发包人原因造成停工的；</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）监理人无正当理由没有在约定期限内发出复工指示，导致承包人无法复工的；</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）发包人无法继续履行或明确表示不履行或实质上已停止履行合同的；</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）发包人不履行合同约定其他义务的。</w:t>
      </w:r>
    </w:p>
    <w:p>
      <w:pPr>
        <w:spacing w:line="360" w:lineRule="auto"/>
        <w:ind w:firstLine="420" w:firstLineChars="200"/>
        <w:rPr>
          <w:rFonts w:ascii="宋体"/>
          <w:szCs w:val="21"/>
        </w:rPr>
      </w:pPr>
      <w:r>
        <w:rPr>
          <w:rFonts w:ascii="宋体" w:hAnsi="宋体"/>
          <w:szCs w:val="21"/>
        </w:rPr>
        <w:t xml:space="preserve">22.2.2  </w:t>
      </w:r>
      <w:r>
        <w:rPr>
          <w:rFonts w:hint="eastAsia" w:ascii="宋体" w:hAnsi="宋体"/>
          <w:szCs w:val="21"/>
        </w:rPr>
        <w:t>承包人有权暂停施工</w:t>
      </w:r>
    </w:p>
    <w:p>
      <w:pPr>
        <w:spacing w:line="360" w:lineRule="auto"/>
        <w:ind w:firstLine="420" w:firstLineChars="200"/>
        <w:rPr>
          <w:rFonts w:ascii="宋体"/>
          <w:szCs w:val="21"/>
        </w:rPr>
      </w:pPr>
      <w:r>
        <w:rPr>
          <w:rFonts w:hint="eastAsia" w:ascii="宋体" w:hAnsi="宋体"/>
          <w:szCs w:val="21"/>
        </w:rPr>
        <w:t>发包人发生除第</w:t>
      </w:r>
      <w:r>
        <w:rPr>
          <w:rFonts w:ascii="宋体" w:hAnsi="宋体"/>
          <w:szCs w:val="21"/>
        </w:rPr>
        <w:t>22.2.1</w:t>
      </w:r>
      <w:r>
        <w:rPr>
          <w:rFonts w:hint="eastAsia" w:ascii="宋体" w:hAnsi="宋体"/>
          <w:szCs w:val="21"/>
        </w:rPr>
        <w:t>（</w:t>
      </w:r>
      <w:r>
        <w:rPr>
          <w:rFonts w:ascii="宋体" w:hAnsi="宋体"/>
          <w:szCs w:val="21"/>
        </w:rPr>
        <w:t>4</w:t>
      </w:r>
      <w:r>
        <w:rPr>
          <w:rFonts w:hint="eastAsia" w:ascii="宋体" w:hAnsi="宋体"/>
          <w:szCs w:val="21"/>
        </w:rPr>
        <w:t>）目以外的违约情况时，承包人可向发包人发出通知，要求发包人采取有效措施纠正违约行为。发包人收到承包人通知后的</w:t>
      </w:r>
      <w:r>
        <w:rPr>
          <w:rFonts w:ascii="宋体" w:hAnsi="宋体"/>
          <w:szCs w:val="21"/>
        </w:rPr>
        <w:t>28</w:t>
      </w:r>
      <w:r>
        <w:rPr>
          <w:rFonts w:hint="eastAsia" w:ascii="宋体" w:hAnsi="宋体"/>
          <w:szCs w:val="21"/>
        </w:rPr>
        <w:t>天内仍不履行合同义务，承包人有权暂停施工，并通知监理人，发包人应承担由此增加的费用和（或）工期延误，并支付承包人合理利润。</w:t>
      </w:r>
    </w:p>
    <w:p>
      <w:pPr>
        <w:spacing w:line="360" w:lineRule="auto"/>
        <w:ind w:firstLine="420" w:firstLineChars="200"/>
        <w:rPr>
          <w:rFonts w:ascii="宋体"/>
          <w:szCs w:val="21"/>
        </w:rPr>
      </w:pPr>
      <w:r>
        <w:rPr>
          <w:rFonts w:ascii="宋体" w:hAnsi="宋体"/>
          <w:szCs w:val="21"/>
        </w:rPr>
        <w:t xml:space="preserve">22.2.3  </w:t>
      </w:r>
      <w:r>
        <w:rPr>
          <w:rFonts w:hint="eastAsia" w:ascii="宋体" w:hAnsi="宋体"/>
          <w:szCs w:val="21"/>
        </w:rPr>
        <w:t>发包人违约解除合同</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）发生第</w:t>
      </w:r>
      <w:r>
        <w:rPr>
          <w:rFonts w:ascii="宋体" w:hAnsi="宋体"/>
          <w:szCs w:val="21"/>
        </w:rPr>
        <w:t>22.2.1</w:t>
      </w:r>
      <w:r>
        <w:rPr>
          <w:rFonts w:hint="eastAsia" w:ascii="宋体" w:hAnsi="宋体"/>
          <w:szCs w:val="21"/>
        </w:rPr>
        <w:t>（</w:t>
      </w:r>
      <w:r>
        <w:rPr>
          <w:rFonts w:ascii="宋体" w:hAnsi="宋体"/>
          <w:szCs w:val="21"/>
        </w:rPr>
        <w:t>4</w:t>
      </w:r>
      <w:r>
        <w:rPr>
          <w:rFonts w:hint="eastAsia" w:ascii="宋体" w:hAnsi="宋体"/>
          <w:szCs w:val="21"/>
        </w:rPr>
        <w:t>）目的违约情况时，承包人可书面通知发包人解除合同。</w:t>
      </w:r>
      <w:r>
        <w:rPr>
          <w:rFonts w:ascii="宋体" w:hAnsi="宋体"/>
          <w:szCs w:val="21"/>
        </w:rPr>
        <w:t xml:space="preserve">   </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）承包人按第</w:t>
      </w:r>
      <w:r>
        <w:rPr>
          <w:rFonts w:ascii="宋体" w:hAnsi="宋体"/>
          <w:szCs w:val="21"/>
        </w:rPr>
        <w:t>22.2.2</w:t>
      </w:r>
      <w:r>
        <w:rPr>
          <w:rFonts w:hint="eastAsia" w:ascii="宋体" w:hAnsi="宋体"/>
          <w:szCs w:val="21"/>
        </w:rPr>
        <w:t>项暂停施工</w:t>
      </w:r>
      <w:r>
        <w:rPr>
          <w:rFonts w:ascii="宋体" w:hAnsi="宋体"/>
          <w:szCs w:val="21"/>
        </w:rPr>
        <w:t>28</w:t>
      </w:r>
      <w:r>
        <w:rPr>
          <w:rFonts w:hint="eastAsia" w:ascii="宋体" w:hAnsi="宋体"/>
          <w:szCs w:val="21"/>
        </w:rPr>
        <w:t>天后，发包人仍不纠正违约行为的，承包人可向发包人发出解除合同通知。但承包人的这一行动不免除发包人承担的违约责任，也不影响承包人根据合同约定享有的索赔权利。</w:t>
      </w:r>
    </w:p>
    <w:p>
      <w:pPr>
        <w:spacing w:line="360" w:lineRule="auto"/>
        <w:ind w:firstLine="420" w:firstLineChars="200"/>
        <w:rPr>
          <w:rFonts w:ascii="宋体"/>
          <w:szCs w:val="21"/>
        </w:rPr>
      </w:pPr>
      <w:r>
        <w:rPr>
          <w:rFonts w:ascii="宋体" w:hAnsi="宋体"/>
          <w:szCs w:val="21"/>
        </w:rPr>
        <w:t xml:space="preserve">22.2.4  </w:t>
      </w:r>
      <w:r>
        <w:rPr>
          <w:rFonts w:hint="eastAsia" w:ascii="宋体" w:hAnsi="宋体"/>
          <w:szCs w:val="21"/>
        </w:rPr>
        <w:t>解除合同后的付款</w:t>
      </w:r>
    </w:p>
    <w:p>
      <w:pPr>
        <w:spacing w:line="360" w:lineRule="auto"/>
        <w:ind w:firstLine="420" w:firstLineChars="200"/>
        <w:rPr>
          <w:rFonts w:ascii="宋体"/>
          <w:szCs w:val="21"/>
        </w:rPr>
      </w:pPr>
      <w:r>
        <w:rPr>
          <w:rFonts w:hint="eastAsia" w:ascii="宋体" w:hAnsi="宋体"/>
          <w:szCs w:val="21"/>
        </w:rPr>
        <w:t>因发包人违约解除合同的，发包人应在解除合同后</w:t>
      </w:r>
      <w:r>
        <w:rPr>
          <w:rFonts w:ascii="宋体" w:hAnsi="宋体"/>
          <w:szCs w:val="21"/>
        </w:rPr>
        <w:t>28</w:t>
      </w:r>
      <w:r>
        <w:rPr>
          <w:rFonts w:hint="eastAsia" w:ascii="宋体" w:hAnsi="宋体"/>
          <w:szCs w:val="21"/>
        </w:rPr>
        <w:t>天内向承包人支付下列金额，承包人应在此期限内及时向发包人提交要求支付下列金额的有关资料和凭证：</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）合同解除日以前所完成工作的价款；</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）承包人为该工程施工订购并已付款的材料、工程设备和其他物品的金额。发包人付款后，该材料、工程设备和其他物品归发包人所有；</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）承包人为完成工程所发生的，而发包人未支付的金额；</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）承包人撤离施工场地以及遣散承包人人员的金额；</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5</w:t>
      </w:r>
      <w:r>
        <w:rPr>
          <w:rFonts w:hint="eastAsia" w:ascii="宋体" w:hAnsi="宋体"/>
          <w:szCs w:val="21"/>
        </w:rPr>
        <w:t>）由于解除合同应赔偿的承包人损失；</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6</w:t>
      </w:r>
      <w:r>
        <w:rPr>
          <w:rFonts w:hint="eastAsia" w:ascii="宋体" w:hAnsi="宋体"/>
          <w:szCs w:val="21"/>
        </w:rPr>
        <w:t>）按合同约定在合同解除日前应支付给承包人的其他金额。</w:t>
      </w:r>
    </w:p>
    <w:p>
      <w:pPr>
        <w:spacing w:line="360" w:lineRule="auto"/>
        <w:ind w:firstLine="420" w:firstLineChars="200"/>
        <w:rPr>
          <w:rFonts w:ascii="宋体"/>
          <w:szCs w:val="21"/>
        </w:rPr>
      </w:pPr>
      <w:r>
        <w:rPr>
          <w:rFonts w:hint="eastAsia" w:ascii="宋体" w:hAnsi="宋体"/>
          <w:szCs w:val="21"/>
        </w:rPr>
        <w:t>发包人应按本项约定支付上述金额并退还质量保证金或退还质量保证金保函和履约担保，但有权要求承包人支付应偿还给发包人的各项金额。</w:t>
      </w:r>
    </w:p>
    <w:p>
      <w:pPr>
        <w:spacing w:line="360" w:lineRule="auto"/>
        <w:ind w:firstLine="420" w:firstLineChars="200"/>
        <w:rPr>
          <w:rFonts w:ascii="宋体"/>
          <w:szCs w:val="21"/>
        </w:rPr>
      </w:pPr>
      <w:r>
        <w:rPr>
          <w:rFonts w:ascii="宋体" w:hAnsi="宋体"/>
          <w:szCs w:val="21"/>
        </w:rPr>
        <w:t xml:space="preserve">22.2.5  </w:t>
      </w:r>
      <w:r>
        <w:rPr>
          <w:rFonts w:hint="eastAsia" w:ascii="宋体" w:hAnsi="宋体"/>
          <w:szCs w:val="21"/>
        </w:rPr>
        <w:t>解除合同后的承包人撤离</w:t>
      </w:r>
    </w:p>
    <w:p>
      <w:pPr>
        <w:spacing w:line="360" w:lineRule="auto"/>
        <w:ind w:firstLine="420" w:firstLineChars="200"/>
        <w:rPr>
          <w:rFonts w:ascii="宋体"/>
          <w:szCs w:val="21"/>
        </w:rPr>
      </w:pPr>
      <w:r>
        <w:rPr>
          <w:rFonts w:hint="eastAsia" w:ascii="宋体" w:hAnsi="宋体"/>
          <w:szCs w:val="21"/>
        </w:rPr>
        <w:t>因发包人违约而解除合同后，承包人应妥善做好已竣工工程和已购材料、设备的保护和移交工作，按发包人要求将承包人设备和人员撤出施工场地。承包人撤出施工场地应遵守第</w:t>
      </w:r>
      <w:r>
        <w:rPr>
          <w:rFonts w:ascii="宋体" w:hAnsi="宋体"/>
          <w:szCs w:val="21"/>
        </w:rPr>
        <w:t>18.7.1</w:t>
      </w:r>
      <w:r>
        <w:rPr>
          <w:rFonts w:hint="eastAsia" w:ascii="宋体" w:hAnsi="宋体"/>
          <w:szCs w:val="21"/>
        </w:rPr>
        <w:t>项的约定，发包人应为承包人撤出提供必要条件。</w:t>
      </w:r>
    </w:p>
    <w:p>
      <w:pPr>
        <w:pStyle w:val="253"/>
        <w:spacing w:before="120"/>
      </w:pPr>
      <w:bookmarkStart w:id="2502" w:name="_Toc490222640"/>
      <w:bookmarkStart w:id="2503" w:name="_Toc152045756"/>
      <w:bookmarkStart w:id="2504" w:name="_Toc483668224"/>
      <w:bookmarkStart w:id="2505" w:name="_Toc480487050"/>
      <w:bookmarkStart w:id="2506" w:name="_Toc179632774"/>
      <w:bookmarkStart w:id="2507" w:name="_Toc338944849"/>
      <w:bookmarkStart w:id="2508" w:name="_Toc152042535"/>
      <w:bookmarkStart w:id="2509" w:name="_Toc486580195"/>
      <w:bookmarkStart w:id="2510" w:name="_Toc342296407"/>
      <w:bookmarkStart w:id="2511" w:name="_Toc489280006"/>
      <w:bookmarkStart w:id="2512" w:name="_Toc10233631"/>
      <w:bookmarkStart w:id="2513" w:name="_Toc480486878"/>
      <w:r>
        <w:t xml:space="preserve">22.3  </w:t>
      </w:r>
      <w:r>
        <w:rPr>
          <w:rFonts w:hint="eastAsia"/>
        </w:rPr>
        <w:t>第三人造成的违约</w:t>
      </w:r>
      <w:bookmarkEnd w:id="2502"/>
      <w:bookmarkEnd w:id="2503"/>
      <w:bookmarkEnd w:id="2504"/>
      <w:bookmarkEnd w:id="2505"/>
      <w:bookmarkEnd w:id="2506"/>
      <w:bookmarkEnd w:id="2507"/>
      <w:bookmarkEnd w:id="2508"/>
      <w:bookmarkEnd w:id="2509"/>
      <w:bookmarkEnd w:id="2510"/>
      <w:bookmarkEnd w:id="2511"/>
      <w:bookmarkEnd w:id="2512"/>
      <w:bookmarkEnd w:id="2513"/>
    </w:p>
    <w:p>
      <w:pPr>
        <w:spacing w:line="360" w:lineRule="auto"/>
        <w:ind w:firstLine="420" w:firstLineChars="200"/>
        <w:rPr>
          <w:rFonts w:asci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pPr>
        <w:pStyle w:val="43"/>
        <w:spacing w:after="120"/>
      </w:pPr>
      <w:bookmarkStart w:id="2514" w:name="_Toc179632775"/>
      <w:bookmarkStart w:id="2515" w:name="_Toc490222641"/>
      <w:bookmarkStart w:id="2516" w:name="_Toc152045757"/>
      <w:bookmarkStart w:id="2517" w:name="_Toc338944850"/>
      <w:bookmarkStart w:id="2518" w:name="_Toc152042536"/>
      <w:bookmarkStart w:id="2519" w:name="_Toc342296408"/>
      <w:bookmarkStart w:id="2520" w:name="_Toc480486879"/>
      <w:bookmarkStart w:id="2521" w:name="_Toc144974727"/>
      <w:bookmarkStart w:id="2522" w:name="_Toc486580196"/>
      <w:bookmarkStart w:id="2523" w:name="_Toc480487051"/>
      <w:bookmarkStart w:id="2524" w:name="_Toc10233632"/>
      <w:bookmarkStart w:id="2525" w:name="_Toc483668225"/>
      <w:bookmarkStart w:id="2526" w:name="_Toc489280007"/>
      <w:r>
        <w:t>23.</w:t>
      </w:r>
      <w:r>
        <w:rPr>
          <w:rFonts w:hint="eastAsia"/>
        </w:rPr>
        <w:t>索赔</w:t>
      </w:r>
      <w:bookmarkEnd w:id="2514"/>
      <w:bookmarkEnd w:id="2515"/>
      <w:bookmarkEnd w:id="2516"/>
      <w:bookmarkEnd w:id="2517"/>
      <w:bookmarkEnd w:id="2518"/>
      <w:bookmarkEnd w:id="2519"/>
      <w:bookmarkEnd w:id="2520"/>
      <w:bookmarkEnd w:id="2521"/>
      <w:bookmarkEnd w:id="2522"/>
      <w:bookmarkEnd w:id="2523"/>
      <w:bookmarkEnd w:id="2524"/>
      <w:bookmarkEnd w:id="2525"/>
      <w:bookmarkEnd w:id="2526"/>
    </w:p>
    <w:p>
      <w:pPr>
        <w:pStyle w:val="253"/>
        <w:spacing w:before="120"/>
      </w:pPr>
      <w:bookmarkStart w:id="2527" w:name="_Toc490222642"/>
      <w:bookmarkStart w:id="2528" w:name="_Toc10233633"/>
      <w:bookmarkStart w:id="2529" w:name="_Toc144974728"/>
      <w:bookmarkStart w:id="2530" w:name="_Toc152045758"/>
      <w:bookmarkStart w:id="2531" w:name="_Toc480486880"/>
      <w:bookmarkStart w:id="2532" w:name="_Toc342296409"/>
      <w:bookmarkStart w:id="2533" w:name="_Toc480487052"/>
      <w:bookmarkStart w:id="2534" w:name="_Toc179632776"/>
      <w:bookmarkStart w:id="2535" w:name="_Toc489280008"/>
      <w:bookmarkStart w:id="2536" w:name="_Toc338944851"/>
      <w:bookmarkStart w:id="2537" w:name="_Toc483668226"/>
      <w:bookmarkStart w:id="2538" w:name="_Toc152042537"/>
      <w:bookmarkStart w:id="2539" w:name="_Toc486580197"/>
      <w:r>
        <w:t xml:space="preserve">23.1  </w:t>
      </w:r>
      <w:r>
        <w:rPr>
          <w:rFonts w:hint="eastAsia"/>
        </w:rPr>
        <w:t>承包人索赔的提出</w:t>
      </w:r>
      <w:bookmarkEnd w:id="2527"/>
      <w:bookmarkEnd w:id="2528"/>
      <w:bookmarkEnd w:id="2529"/>
      <w:bookmarkEnd w:id="2530"/>
      <w:bookmarkEnd w:id="2531"/>
      <w:bookmarkEnd w:id="2532"/>
      <w:bookmarkEnd w:id="2533"/>
      <w:bookmarkEnd w:id="2534"/>
      <w:bookmarkEnd w:id="2535"/>
      <w:bookmarkEnd w:id="2536"/>
      <w:bookmarkEnd w:id="2537"/>
      <w:bookmarkEnd w:id="2538"/>
      <w:bookmarkEnd w:id="2539"/>
    </w:p>
    <w:p>
      <w:pPr>
        <w:spacing w:line="360" w:lineRule="auto"/>
        <w:ind w:firstLine="420" w:firstLineChars="200"/>
        <w:rPr>
          <w:rFonts w:ascii="宋体"/>
          <w:szCs w:val="21"/>
        </w:rPr>
      </w:pPr>
      <w:r>
        <w:rPr>
          <w:rFonts w:hint="eastAsia" w:ascii="宋体" w:hAnsi="宋体"/>
          <w:szCs w:val="21"/>
        </w:rPr>
        <w:t>根据合同约定，承包人认为有权得到追加付款和（或）延长工期的，应按以下程序向发包人提出索赔：</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）承包人应在知道或应当知道索赔事件发生后</w:t>
      </w:r>
      <w:r>
        <w:rPr>
          <w:rFonts w:ascii="宋体" w:hAnsi="宋体"/>
          <w:szCs w:val="21"/>
        </w:rPr>
        <w:t>28</w:t>
      </w:r>
      <w:r>
        <w:rPr>
          <w:rFonts w:hint="eastAsia" w:ascii="宋体" w:hAnsi="宋体"/>
          <w:szCs w:val="21"/>
        </w:rPr>
        <w:t>天内，向监理人递交索赔意向通知书，并说明发生索赔事件的事由。承包人未在前述</w:t>
      </w:r>
      <w:r>
        <w:rPr>
          <w:rFonts w:ascii="宋体" w:hAnsi="宋体"/>
          <w:szCs w:val="21"/>
        </w:rPr>
        <w:t>28</w:t>
      </w:r>
      <w:r>
        <w:rPr>
          <w:rFonts w:hint="eastAsia" w:ascii="宋体" w:hAnsi="宋体"/>
          <w:szCs w:val="21"/>
        </w:rPr>
        <w:t>天内发出索赔意向通知书的，丧失要求追加付款和（或）延长工期的权利；</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）承包人应在发出索赔意向通知书后</w:t>
      </w:r>
      <w:r>
        <w:rPr>
          <w:rFonts w:ascii="宋体" w:hAnsi="宋体"/>
          <w:szCs w:val="21"/>
        </w:rPr>
        <w:t>28</w:t>
      </w:r>
      <w:r>
        <w:rPr>
          <w:rFonts w:hint="eastAsia" w:ascii="宋体" w:hAnsi="宋体"/>
          <w:szCs w:val="21"/>
        </w:rPr>
        <w:t>天内，向监理人正式递交索赔通知书。索赔通知书应详细说明索赔理由以及要求追加的付款金额和（或）延长的工期，并附必要的记录和证明材料；</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）索赔事件具有连续影响的，承包人应按合理时间间隔继续递交延续索赔通知，说明连续影响的实际情况和记录，列出累计的追加付款金额和（或）工期延长天数；</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4</w:t>
      </w:r>
      <w:r>
        <w:rPr>
          <w:rFonts w:hint="eastAsia" w:ascii="宋体" w:hAnsi="宋体"/>
          <w:szCs w:val="21"/>
        </w:rPr>
        <w:t>）在索赔事件影响结束后的</w:t>
      </w:r>
      <w:r>
        <w:rPr>
          <w:rFonts w:ascii="宋体" w:hAnsi="宋体"/>
          <w:szCs w:val="21"/>
        </w:rPr>
        <w:t>28</w:t>
      </w:r>
      <w:r>
        <w:rPr>
          <w:rFonts w:hint="eastAsia" w:ascii="宋体" w:hAnsi="宋体"/>
          <w:szCs w:val="21"/>
        </w:rPr>
        <w:t>天内，承包人应向监理人递交最终索赔通知书，说明最终要求索赔的追加付款金额和延长的工期，并附必要的记录和证明材料。</w:t>
      </w:r>
    </w:p>
    <w:p>
      <w:pPr>
        <w:pStyle w:val="253"/>
        <w:spacing w:before="120"/>
      </w:pPr>
      <w:bookmarkStart w:id="2540" w:name="_Toc490222643"/>
      <w:bookmarkStart w:id="2541" w:name="_Toc483668227"/>
      <w:bookmarkStart w:id="2542" w:name="_Toc486580198"/>
      <w:bookmarkStart w:id="2543" w:name="_Toc144974729"/>
      <w:bookmarkStart w:id="2544" w:name="_Toc480486881"/>
      <w:bookmarkStart w:id="2545" w:name="_Toc480487053"/>
      <w:bookmarkStart w:id="2546" w:name="_Toc338944852"/>
      <w:bookmarkStart w:id="2547" w:name="_Toc152042538"/>
      <w:bookmarkStart w:id="2548" w:name="_Toc489280009"/>
      <w:bookmarkStart w:id="2549" w:name="_Toc342296410"/>
      <w:bookmarkStart w:id="2550" w:name="_Toc152045759"/>
      <w:bookmarkStart w:id="2551" w:name="_Toc179632777"/>
      <w:bookmarkStart w:id="2552" w:name="_Toc10233634"/>
      <w:r>
        <w:t xml:space="preserve">23.2  </w:t>
      </w:r>
      <w:r>
        <w:rPr>
          <w:rFonts w:hint="eastAsia"/>
        </w:rPr>
        <w:t>承包人索赔处理程序</w:t>
      </w:r>
      <w:bookmarkEnd w:id="2540"/>
      <w:bookmarkEnd w:id="2541"/>
      <w:bookmarkEnd w:id="2542"/>
      <w:bookmarkEnd w:id="2543"/>
      <w:bookmarkEnd w:id="2544"/>
      <w:bookmarkEnd w:id="2545"/>
      <w:bookmarkEnd w:id="2546"/>
      <w:bookmarkEnd w:id="2547"/>
      <w:bookmarkEnd w:id="2548"/>
      <w:bookmarkEnd w:id="2549"/>
      <w:bookmarkEnd w:id="2550"/>
      <w:bookmarkEnd w:id="2551"/>
      <w:bookmarkEnd w:id="2552"/>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）监理人收到承包人提交的索赔通知书后，应及时审查索赔通知书的内容、查验承包人的记录和证明材料，必要时监理人可要求承包人提交全部原始记录副本。</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）监理人应按第</w:t>
      </w:r>
      <w:r>
        <w:rPr>
          <w:rFonts w:ascii="宋体" w:hAnsi="宋体"/>
          <w:szCs w:val="21"/>
        </w:rPr>
        <w:t>3.5</w:t>
      </w:r>
      <w:r>
        <w:rPr>
          <w:rFonts w:hint="eastAsia" w:ascii="宋体" w:hAnsi="宋体"/>
          <w:szCs w:val="21"/>
        </w:rPr>
        <w:t>款商定或确定追加的付款和（或）延长的工期，并在收到上述索赔通知书或有关索赔的进一步证明材料后的</w:t>
      </w:r>
      <w:r>
        <w:rPr>
          <w:rFonts w:ascii="宋体" w:hAnsi="宋体"/>
          <w:szCs w:val="21"/>
        </w:rPr>
        <w:t>42</w:t>
      </w:r>
      <w:r>
        <w:rPr>
          <w:rFonts w:hint="eastAsia" w:ascii="宋体" w:hAnsi="宋体"/>
          <w:szCs w:val="21"/>
        </w:rPr>
        <w:t>天内，将索赔处理结果答复承包人。</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）承包人接受索赔处理结果的，发包人应在作出索赔处理结果答复后</w:t>
      </w:r>
      <w:r>
        <w:rPr>
          <w:rFonts w:ascii="宋体" w:hAnsi="宋体"/>
          <w:szCs w:val="21"/>
        </w:rPr>
        <w:t>28</w:t>
      </w:r>
      <w:r>
        <w:rPr>
          <w:rFonts w:hint="eastAsia" w:ascii="宋体" w:hAnsi="宋体"/>
          <w:szCs w:val="21"/>
        </w:rPr>
        <w:t>天内完成赔付。承包人不接受索赔处理结果的，按第</w:t>
      </w:r>
      <w:r>
        <w:rPr>
          <w:rFonts w:ascii="宋体" w:hAnsi="宋体"/>
          <w:szCs w:val="21"/>
        </w:rPr>
        <w:t>24</w:t>
      </w:r>
      <w:r>
        <w:rPr>
          <w:rFonts w:hint="eastAsia" w:ascii="宋体" w:hAnsi="宋体"/>
          <w:szCs w:val="21"/>
        </w:rPr>
        <w:t>条的约定办理。</w:t>
      </w:r>
    </w:p>
    <w:p>
      <w:pPr>
        <w:pStyle w:val="253"/>
        <w:spacing w:before="120"/>
      </w:pPr>
      <w:bookmarkStart w:id="2553" w:name="_Toc480487054"/>
      <w:bookmarkStart w:id="2554" w:name="_Toc10233635"/>
      <w:bookmarkStart w:id="2555" w:name="_Toc144974730"/>
      <w:bookmarkStart w:id="2556" w:name="_Toc342296411"/>
      <w:bookmarkStart w:id="2557" w:name="_Toc179632778"/>
      <w:bookmarkStart w:id="2558" w:name="_Toc480486882"/>
      <w:bookmarkStart w:id="2559" w:name="_Toc338944853"/>
      <w:bookmarkStart w:id="2560" w:name="_Toc489280010"/>
      <w:bookmarkStart w:id="2561" w:name="_Toc152045760"/>
      <w:bookmarkStart w:id="2562" w:name="_Toc490222644"/>
      <w:bookmarkStart w:id="2563" w:name="_Toc486580199"/>
      <w:bookmarkStart w:id="2564" w:name="_Toc483668228"/>
      <w:bookmarkStart w:id="2565" w:name="_Toc152042539"/>
      <w:r>
        <w:t xml:space="preserve">23.3  </w:t>
      </w:r>
      <w:r>
        <w:rPr>
          <w:rFonts w:hint="eastAsia"/>
        </w:rPr>
        <w:t>承包人提出索赔的期限</w:t>
      </w:r>
      <w:bookmarkEnd w:id="2553"/>
      <w:bookmarkEnd w:id="2554"/>
      <w:bookmarkEnd w:id="2555"/>
      <w:bookmarkEnd w:id="2556"/>
      <w:bookmarkEnd w:id="2557"/>
      <w:bookmarkEnd w:id="2558"/>
      <w:bookmarkEnd w:id="2559"/>
      <w:bookmarkEnd w:id="2560"/>
      <w:bookmarkEnd w:id="2561"/>
      <w:bookmarkEnd w:id="2562"/>
      <w:bookmarkEnd w:id="2563"/>
      <w:bookmarkEnd w:id="2564"/>
      <w:bookmarkEnd w:id="2565"/>
    </w:p>
    <w:p>
      <w:pPr>
        <w:spacing w:line="360" w:lineRule="auto"/>
        <w:ind w:firstLine="420" w:firstLineChars="200"/>
        <w:rPr>
          <w:rFonts w:ascii="宋体"/>
          <w:szCs w:val="21"/>
        </w:rPr>
      </w:pPr>
      <w:r>
        <w:rPr>
          <w:rFonts w:ascii="宋体" w:hAnsi="宋体"/>
          <w:szCs w:val="21"/>
        </w:rPr>
        <w:t xml:space="preserve">23.3.1  </w:t>
      </w:r>
      <w:r>
        <w:rPr>
          <w:rFonts w:hint="eastAsia" w:ascii="宋体" w:hAnsi="宋体"/>
          <w:szCs w:val="21"/>
        </w:rPr>
        <w:t>承包人按第</w:t>
      </w:r>
      <w:r>
        <w:rPr>
          <w:rFonts w:ascii="宋体" w:hAnsi="宋体"/>
          <w:szCs w:val="21"/>
        </w:rPr>
        <w:t>17.5</w:t>
      </w:r>
      <w:r>
        <w:rPr>
          <w:rFonts w:hint="eastAsia" w:ascii="宋体" w:hAnsi="宋体"/>
          <w:szCs w:val="21"/>
        </w:rPr>
        <w:t>款的约定接受了竣工付款证书后，应被认为已无权再提出在合同工程接收证书颁发前所发生的任何索赔。</w:t>
      </w:r>
    </w:p>
    <w:p>
      <w:pPr>
        <w:spacing w:line="360" w:lineRule="auto"/>
        <w:ind w:firstLine="420" w:firstLineChars="200"/>
        <w:rPr>
          <w:rFonts w:ascii="宋体"/>
          <w:szCs w:val="21"/>
        </w:rPr>
      </w:pPr>
      <w:r>
        <w:rPr>
          <w:rFonts w:ascii="宋体" w:hAnsi="宋体"/>
          <w:szCs w:val="21"/>
        </w:rPr>
        <w:t xml:space="preserve">23.3.2  </w:t>
      </w:r>
      <w:r>
        <w:rPr>
          <w:rFonts w:hint="eastAsia" w:ascii="宋体" w:hAnsi="宋体"/>
          <w:szCs w:val="21"/>
        </w:rPr>
        <w:t>承包人按第</w:t>
      </w:r>
      <w:r>
        <w:rPr>
          <w:rFonts w:ascii="宋体" w:hAnsi="宋体"/>
          <w:szCs w:val="21"/>
        </w:rPr>
        <w:t>17.6</w:t>
      </w:r>
      <w:r>
        <w:rPr>
          <w:rFonts w:hint="eastAsia" w:ascii="宋体" w:hAnsi="宋体"/>
          <w:szCs w:val="21"/>
        </w:rPr>
        <w:t>款的约定提交的最终结清申请单中，只限于提出工程接收证书颁发后发生的索赔。提出索赔的期限自接受最终结清证书时终止。</w:t>
      </w:r>
      <w:r>
        <w:rPr>
          <w:rFonts w:ascii="宋体" w:hAnsi="宋体"/>
          <w:szCs w:val="21"/>
        </w:rPr>
        <w:t xml:space="preserve"> </w:t>
      </w:r>
    </w:p>
    <w:p>
      <w:pPr>
        <w:pStyle w:val="253"/>
        <w:spacing w:before="120"/>
      </w:pPr>
      <w:bookmarkStart w:id="2566" w:name="_Toc342296412"/>
      <w:bookmarkStart w:id="2567" w:name="_Toc483668229"/>
      <w:bookmarkStart w:id="2568" w:name="_Toc152045761"/>
      <w:bookmarkStart w:id="2569" w:name="_Toc480486883"/>
      <w:bookmarkStart w:id="2570" w:name="_Toc490222645"/>
      <w:bookmarkStart w:id="2571" w:name="_Toc10233636"/>
      <w:bookmarkStart w:id="2572" w:name="_Toc144974731"/>
      <w:bookmarkStart w:id="2573" w:name="_Toc179632779"/>
      <w:bookmarkStart w:id="2574" w:name="_Toc338944854"/>
      <w:bookmarkStart w:id="2575" w:name="_Toc480487055"/>
      <w:bookmarkStart w:id="2576" w:name="_Toc486580200"/>
      <w:bookmarkStart w:id="2577" w:name="_Toc152042540"/>
      <w:bookmarkStart w:id="2578" w:name="_Toc489280011"/>
      <w:r>
        <w:t xml:space="preserve">23.4  </w:t>
      </w:r>
      <w:r>
        <w:rPr>
          <w:rFonts w:hint="eastAsia"/>
        </w:rPr>
        <w:t>发包人的索赔</w:t>
      </w:r>
      <w:bookmarkEnd w:id="2566"/>
      <w:bookmarkEnd w:id="2567"/>
      <w:bookmarkEnd w:id="2568"/>
      <w:bookmarkEnd w:id="2569"/>
      <w:bookmarkEnd w:id="2570"/>
      <w:bookmarkEnd w:id="2571"/>
      <w:bookmarkEnd w:id="2572"/>
      <w:bookmarkEnd w:id="2573"/>
      <w:bookmarkEnd w:id="2574"/>
      <w:bookmarkEnd w:id="2575"/>
      <w:bookmarkEnd w:id="2576"/>
      <w:bookmarkEnd w:id="2577"/>
      <w:bookmarkEnd w:id="2578"/>
    </w:p>
    <w:p>
      <w:pPr>
        <w:spacing w:line="360" w:lineRule="auto"/>
        <w:ind w:firstLine="420" w:firstLineChars="200"/>
        <w:rPr>
          <w:rFonts w:ascii="宋体"/>
          <w:szCs w:val="21"/>
        </w:rPr>
      </w:pPr>
      <w:r>
        <w:rPr>
          <w:rFonts w:ascii="宋体" w:hAnsi="宋体"/>
          <w:szCs w:val="21"/>
        </w:rPr>
        <w:t xml:space="preserve">23.4.1  </w:t>
      </w:r>
      <w:r>
        <w:rPr>
          <w:rFonts w:hint="eastAsia" w:ascii="宋体" w:hAnsi="宋体"/>
          <w:szCs w:val="21"/>
        </w:rPr>
        <w:t>发生索赔事件后，监理人应及时书面通知承包人，详细说明发包人有权得到的索赔金额和（或）延长缺陷责任期的细节和依据。发包人提出索赔的期限和要求与第</w:t>
      </w:r>
      <w:r>
        <w:rPr>
          <w:rFonts w:ascii="宋体" w:hAnsi="宋体"/>
          <w:szCs w:val="21"/>
        </w:rPr>
        <w:t>23.3</w:t>
      </w:r>
      <w:r>
        <w:rPr>
          <w:rFonts w:hint="eastAsia" w:ascii="宋体" w:hAnsi="宋体"/>
          <w:szCs w:val="21"/>
        </w:rPr>
        <w:t>款的约定相同，延长缺陷责任期的通知应在缺陷责任期届满前发出。</w:t>
      </w:r>
    </w:p>
    <w:p>
      <w:pPr>
        <w:spacing w:line="360" w:lineRule="auto"/>
        <w:ind w:firstLine="420" w:firstLineChars="200"/>
        <w:rPr>
          <w:rFonts w:ascii="宋体"/>
          <w:szCs w:val="21"/>
        </w:rPr>
      </w:pPr>
      <w:r>
        <w:rPr>
          <w:rFonts w:ascii="宋体" w:hAnsi="宋体"/>
          <w:szCs w:val="21"/>
        </w:rPr>
        <w:t xml:space="preserve">23.4.2  </w:t>
      </w:r>
      <w:r>
        <w:rPr>
          <w:rFonts w:hint="eastAsia" w:ascii="宋体" w:hAnsi="宋体"/>
          <w:szCs w:val="21"/>
        </w:rPr>
        <w:t>监理人按第</w:t>
      </w:r>
      <w:r>
        <w:rPr>
          <w:rFonts w:ascii="宋体" w:hAnsi="宋体"/>
          <w:szCs w:val="21"/>
        </w:rPr>
        <w:t>3.5</w:t>
      </w:r>
      <w:r>
        <w:rPr>
          <w:rFonts w:hint="eastAsia" w:ascii="宋体" w:hAnsi="宋体"/>
          <w:szCs w:val="21"/>
        </w:rPr>
        <w:t>款商定或确定发包人从承包人处得到赔付的金额和（或）缺陷责任期的延长期。承包人应付给发包人的金额可从拟支付给承包人的合同价款中扣除，或由承包人以其他方式支付给发包人。</w:t>
      </w:r>
    </w:p>
    <w:p>
      <w:pPr>
        <w:pStyle w:val="43"/>
        <w:spacing w:after="120"/>
      </w:pPr>
      <w:bookmarkStart w:id="2579" w:name="_Toc490222646"/>
      <w:bookmarkStart w:id="2580" w:name="_Toc480486884"/>
      <w:bookmarkStart w:id="2581" w:name="_Toc483668230"/>
      <w:bookmarkStart w:id="2582" w:name="_Toc486580201"/>
      <w:bookmarkStart w:id="2583" w:name="_Toc10233637"/>
      <w:bookmarkStart w:id="2584" w:name="_Toc342296413"/>
      <w:bookmarkStart w:id="2585" w:name="_Toc489280012"/>
      <w:bookmarkStart w:id="2586" w:name="_Toc480487056"/>
      <w:bookmarkStart w:id="2587" w:name="_Toc338944855"/>
      <w:r>
        <w:t>24.</w:t>
      </w:r>
      <w:r>
        <w:rPr>
          <w:rFonts w:hint="eastAsia"/>
        </w:rPr>
        <w:t>争议的解决</w:t>
      </w:r>
      <w:bookmarkEnd w:id="2579"/>
      <w:bookmarkEnd w:id="2580"/>
      <w:bookmarkEnd w:id="2581"/>
      <w:bookmarkEnd w:id="2582"/>
      <w:bookmarkEnd w:id="2583"/>
      <w:bookmarkEnd w:id="2584"/>
      <w:bookmarkEnd w:id="2585"/>
      <w:bookmarkEnd w:id="2586"/>
      <w:bookmarkEnd w:id="2587"/>
    </w:p>
    <w:p>
      <w:pPr>
        <w:pStyle w:val="253"/>
        <w:spacing w:before="120"/>
      </w:pPr>
      <w:bookmarkStart w:id="2588" w:name="_Toc342296414"/>
      <w:bookmarkStart w:id="2589" w:name="_Toc338944856"/>
      <w:bookmarkStart w:id="2590" w:name="_Toc10233638"/>
      <w:bookmarkStart w:id="2591" w:name="_Toc486580202"/>
      <w:bookmarkStart w:id="2592" w:name="_Toc483668231"/>
      <w:bookmarkStart w:id="2593" w:name="_Toc489280013"/>
      <w:bookmarkStart w:id="2594" w:name="_Toc480487057"/>
      <w:bookmarkStart w:id="2595" w:name="_Toc480486885"/>
      <w:bookmarkStart w:id="2596" w:name="_Toc490222647"/>
      <w:r>
        <w:t xml:space="preserve">24.1  </w:t>
      </w:r>
      <w:r>
        <w:rPr>
          <w:rFonts w:hint="eastAsia"/>
        </w:rPr>
        <w:t>争议的解决方式</w:t>
      </w:r>
      <w:bookmarkEnd w:id="2588"/>
      <w:bookmarkEnd w:id="2589"/>
      <w:bookmarkEnd w:id="2590"/>
      <w:bookmarkEnd w:id="2591"/>
      <w:bookmarkEnd w:id="2592"/>
      <w:bookmarkEnd w:id="2593"/>
      <w:bookmarkEnd w:id="2594"/>
      <w:bookmarkEnd w:id="2595"/>
      <w:bookmarkEnd w:id="2596"/>
    </w:p>
    <w:p>
      <w:pPr>
        <w:spacing w:line="360" w:lineRule="auto"/>
        <w:ind w:firstLine="420" w:firstLineChars="200"/>
        <w:rPr>
          <w:rFonts w:ascii="宋体"/>
          <w:szCs w:val="21"/>
        </w:rPr>
      </w:pPr>
      <w:r>
        <w:rPr>
          <w:rFonts w:hint="eastAsia" w:ascii="宋体" w:hAnsi="宋体"/>
          <w:szCs w:val="21"/>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）向约定的仲裁委员会申请仲裁；</w:t>
      </w:r>
    </w:p>
    <w:p>
      <w:pPr>
        <w:spacing w:line="360" w:lineRule="auto"/>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）向有管辖权的人民法院提起诉讼。</w:t>
      </w:r>
    </w:p>
    <w:p>
      <w:pPr>
        <w:pStyle w:val="253"/>
        <w:spacing w:before="120"/>
      </w:pPr>
      <w:bookmarkStart w:id="2597" w:name="_Toc480487058"/>
      <w:bookmarkStart w:id="2598" w:name="_Toc490222648"/>
      <w:bookmarkStart w:id="2599" w:name="_Toc342296415"/>
      <w:bookmarkStart w:id="2600" w:name="_Toc480486886"/>
      <w:bookmarkStart w:id="2601" w:name="_Toc486580203"/>
      <w:bookmarkStart w:id="2602" w:name="_Toc483668232"/>
      <w:bookmarkStart w:id="2603" w:name="_Toc338944857"/>
      <w:bookmarkStart w:id="2604" w:name="_Toc10233639"/>
      <w:bookmarkStart w:id="2605" w:name="_Toc489280014"/>
      <w:r>
        <w:t xml:space="preserve">24.2  </w:t>
      </w:r>
      <w:r>
        <w:rPr>
          <w:rFonts w:hint="eastAsia"/>
        </w:rPr>
        <w:t>友好解决</w:t>
      </w:r>
      <w:bookmarkEnd w:id="2597"/>
      <w:bookmarkEnd w:id="2598"/>
      <w:bookmarkEnd w:id="2599"/>
      <w:bookmarkEnd w:id="2600"/>
      <w:bookmarkEnd w:id="2601"/>
      <w:bookmarkEnd w:id="2602"/>
      <w:bookmarkEnd w:id="2603"/>
      <w:bookmarkEnd w:id="2604"/>
      <w:bookmarkEnd w:id="2605"/>
    </w:p>
    <w:p>
      <w:pPr>
        <w:spacing w:line="360" w:lineRule="auto"/>
        <w:ind w:firstLine="420" w:firstLineChars="200"/>
        <w:rPr>
          <w:rFonts w:ascii="宋体"/>
          <w:szCs w:val="21"/>
        </w:rPr>
      </w:pPr>
      <w:r>
        <w:rPr>
          <w:rFonts w:hint="eastAsia" w:ascii="宋体" w:hAnsi="宋体"/>
          <w:szCs w:val="21"/>
        </w:rPr>
        <w:t>在提请争议评审、仲裁或者诉讼前，以及在争议评审、仲裁或诉讼过程中，发包人和承包人均可共同努力友好协商解决争议。</w:t>
      </w:r>
    </w:p>
    <w:p>
      <w:pPr>
        <w:pStyle w:val="253"/>
        <w:spacing w:before="120"/>
      </w:pPr>
      <w:bookmarkStart w:id="2606" w:name="_Toc10233640"/>
      <w:bookmarkStart w:id="2607" w:name="_Toc489280015"/>
      <w:bookmarkStart w:id="2608" w:name="_Toc486580204"/>
      <w:bookmarkStart w:id="2609" w:name="_Toc342296416"/>
      <w:bookmarkStart w:id="2610" w:name="_Toc490222649"/>
      <w:bookmarkStart w:id="2611" w:name="_Toc480486887"/>
      <w:bookmarkStart w:id="2612" w:name="_Toc483668233"/>
      <w:bookmarkStart w:id="2613" w:name="_Toc480487059"/>
      <w:bookmarkStart w:id="2614" w:name="_Toc338944858"/>
      <w:r>
        <w:t xml:space="preserve">24.3  </w:t>
      </w:r>
      <w:r>
        <w:rPr>
          <w:rFonts w:hint="eastAsia"/>
        </w:rPr>
        <w:t>争议评审</w:t>
      </w:r>
      <w:bookmarkEnd w:id="2606"/>
      <w:bookmarkEnd w:id="2607"/>
      <w:bookmarkEnd w:id="2608"/>
      <w:bookmarkEnd w:id="2609"/>
      <w:bookmarkEnd w:id="2610"/>
      <w:bookmarkEnd w:id="2611"/>
      <w:bookmarkEnd w:id="2612"/>
      <w:bookmarkEnd w:id="2613"/>
      <w:bookmarkEnd w:id="2614"/>
    </w:p>
    <w:p>
      <w:pPr>
        <w:spacing w:line="360" w:lineRule="auto"/>
        <w:ind w:firstLine="420" w:firstLineChars="200"/>
        <w:rPr>
          <w:rFonts w:ascii="宋体"/>
          <w:szCs w:val="21"/>
        </w:rPr>
      </w:pPr>
      <w:r>
        <w:rPr>
          <w:rFonts w:ascii="宋体" w:hAnsi="宋体"/>
          <w:szCs w:val="21"/>
        </w:rPr>
        <w:t xml:space="preserve">24.3.1  </w:t>
      </w:r>
      <w:r>
        <w:rPr>
          <w:rFonts w:hint="eastAsia" w:ascii="宋体" w:hAnsi="宋体"/>
          <w:szCs w:val="21"/>
        </w:rPr>
        <w:t>采用争议评审的，发包人和承包人应在开工日后的</w:t>
      </w:r>
      <w:r>
        <w:rPr>
          <w:rFonts w:ascii="宋体" w:hAnsi="宋体"/>
          <w:szCs w:val="21"/>
        </w:rPr>
        <w:t>28</w:t>
      </w:r>
      <w:r>
        <w:rPr>
          <w:rFonts w:hint="eastAsia" w:ascii="宋体" w:hAnsi="宋体"/>
          <w:szCs w:val="21"/>
        </w:rPr>
        <w:t>天内或在争议发生后，协商成立争议评审组。争议评审组由有合同管理和工程实践经验的专家组成。</w:t>
      </w:r>
    </w:p>
    <w:p>
      <w:pPr>
        <w:spacing w:line="360" w:lineRule="auto"/>
        <w:ind w:firstLine="420" w:firstLineChars="200"/>
        <w:rPr>
          <w:rFonts w:ascii="宋体"/>
          <w:szCs w:val="21"/>
        </w:rPr>
      </w:pPr>
      <w:r>
        <w:rPr>
          <w:rFonts w:ascii="宋体" w:hAnsi="宋体"/>
          <w:szCs w:val="21"/>
        </w:rPr>
        <w:t xml:space="preserve">24.3.2  </w:t>
      </w:r>
      <w:r>
        <w:rPr>
          <w:rFonts w:hint="eastAsia" w:ascii="宋体" w:hAnsi="宋体"/>
          <w:szCs w:val="21"/>
        </w:rPr>
        <w:t>合同双方的争议，应首先由申请人向争议评审组提交一份详细的评审申请报告，并附必要的文件、图纸和证明材料，申请人还应将上述报告的副本同时提交给被申请人和监理人。</w:t>
      </w:r>
    </w:p>
    <w:p>
      <w:pPr>
        <w:spacing w:line="360" w:lineRule="auto"/>
        <w:ind w:firstLine="420" w:firstLineChars="200"/>
        <w:rPr>
          <w:rFonts w:ascii="宋体"/>
          <w:szCs w:val="21"/>
        </w:rPr>
      </w:pPr>
      <w:r>
        <w:rPr>
          <w:rFonts w:ascii="宋体" w:hAnsi="宋体"/>
          <w:szCs w:val="21"/>
        </w:rPr>
        <w:t xml:space="preserve">24.3.3  </w:t>
      </w:r>
      <w:r>
        <w:rPr>
          <w:rFonts w:hint="eastAsia" w:ascii="宋体" w:hAnsi="宋体"/>
          <w:szCs w:val="21"/>
        </w:rPr>
        <w:t>被申请人在收到申请人评审申请报告副本后的</w:t>
      </w:r>
      <w:r>
        <w:rPr>
          <w:rFonts w:ascii="宋体" w:hAnsi="宋体"/>
          <w:szCs w:val="21"/>
        </w:rPr>
        <w:t>28</w:t>
      </w:r>
      <w:r>
        <w:rPr>
          <w:rFonts w:hint="eastAsia" w:ascii="宋体" w:hAnsi="宋体"/>
          <w:szCs w:val="21"/>
        </w:rPr>
        <w:t>天内，向争议评审组提交一份答辩报告，并附证明材料。被申请人应将答辩报告的副本同时提交给申请人和监理人。</w:t>
      </w:r>
    </w:p>
    <w:p>
      <w:pPr>
        <w:spacing w:line="360" w:lineRule="auto"/>
        <w:ind w:firstLine="420" w:firstLineChars="200"/>
        <w:rPr>
          <w:rFonts w:ascii="宋体"/>
          <w:szCs w:val="21"/>
        </w:rPr>
      </w:pPr>
      <w:r>
        <w:rPr>
          <w:rFonts w:ascii="宋体" w:hAnsi="宋体"/>
          <w:szCs w:val="21"/>
        </w:rPr>
        <w:t xml:space="preserve">24.3.4  </w:t>
      </w:r>
      <w:r>
        <w:rPr>
          <w:rFonts w:hint="eastAsia" w:ascii="宋体" w:hAnsi="宋体"/>
          <w:szCs w:val="21"/>
        </w:rPr>
        <w:t>争议评审组在收到合同双方报告后的</w:t>
      </w:r>
      <w:r>
        <w:rPr>
          <w:rFonts w:ascii="宋体" w:hAnsi="宋体"/>
          <w:szCs w:val="21"/>
        </w:rPr>
        <w:t>14</w:t>
      </w:r>
      <w:r>
        <w:rPr>
          <w:rFonts w:hint="eastAsia" w:ascii="宋体" w:hAnsi="宋体"/>
          <w:szCs w:val="21"/>
        </w:rPr>
        <w:t>天内，邀请双方代表和有关人员在合同约定的期限内举行调查会，向双方调查争议细节；必要时争议评审组可要求双方进一步提供补充材料。举行调查会的期限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24.3.5  </w:t>
      </w:r>
      <w:r>
        <w:rPr>
          <w:rFonts w:hint="eastAsia" w:ascii="宋体" w:hAnsi="宋体"/>
          <w:szCs w:val="21"/>
        </w:rPr>
        <w:t>在调查会结束后的</w:t>
      </w:r>
      <w:r>
        <w:rPr>
          <w:rFonts w:ascii="宋体" w:hAnsi="宋体"/>
          <w:szCs w:val="21"/>
        </w:rPr>
        <w:t>14</w:t>
      </w:r>
      <w:r>
        <w:rPr>
          <w:rFonts w:hint="eastAsia" w:ascii="宋体" w:hAnsi="宋体"/>
          <w:szCs w:val="21"/>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hint="eastAsia" w:ascii="黑体" w:hAnsi="黑体" w:eastAsia="黑体"/>
          <w:szCs w:val="21"/>
        </w:rPr>
        <w:t>见合同条款专用部分</w:t>
      </w:r>
      <w:r>
        <w:rPr>
          <w:rFonts w:hint="eastAsia" w:ascii="宋体" w:hAnsi="宋体"/>
          <w:szCs w:val="21"/>
        </w:rPr>
        <w:t>。</w:t>
      </w:r>
    </w:p>
    <w:p>
      <w:pPr>
        <w:spacing w:line="360" w:lineRule="auto"/>
        <w:ind w:firstLine="420" w:firstLineChars="200"/>
        <w:rPr>
          <w:rFonts w:ascii="宋体"/>
          <w:szCs w:val="21"/>
        </w:rPr>
      </w:pPr>
      <w:r>
        <w:rPr>
          <w:rFonts w:ascii="宋体" w:hAnsi="宋体"/>
          <w:szCs w:val="21"/>
        </w:rPr>
        <w:t xml:space="preserve">24.3.6  </w:t>
      </w:r>
      <w:r>
        <w:rPr>
          <w:rFonts w:hint="eastAsia" w:ascii="宋体" w:hAnsi="宋体"/>
          <w:szCs w:val="21"/>
        </w:rPr>
        <w:t>发包人和承包人接受评审意见的，由监理人根据评审意见拟定执行协议，经争议双方签字后作为合同的补充文件，并遵照执行。</w:t>
      </w:r>
    </w:p>
    <w:p>
      <w:pPr>
        <w:spacing w:line="360" w:lineRule="auto"/>
        <w:ind w:firstLine="420" w:firstLineChars="200"/>
        <w:rPr>
          <w:rFonts w:ascii="宋体"/>
          <w:szCs w:val="21"/>
        </w:rPr>
      </w:pPr>
      <w:r>
        <w:rPr>
          <w:rFonts w:ascii="宋体" w:hAnsi="宋体"/>
          <w:szCs w:val="21"/>
        </w:rPr>
        <w:t xml:space="preserve">24.3.7  </w:t>
      </w:r>
      <w:r>
        <w:rPr>
          <w:rFonts w:hint="eastAsia" w:ascii="宋体" w:hAnsi="宋体"/>
          <w:szCs w:val="21"/>
        </w:rPr>
        <w:t>发包人或承包人不接受评审意见，并要求提交仲裁或提起诉讼的，应在收到评审意见后的</w:t>
      </w:r>
      <w:r>
        <w:rPr>
          <w:rFonts w:ascii="宋体" w:hAnsi="宋体"/>
          <w:szCs w:val="21"/>
        </w:rPr>
        <w:t>14</w:t>
      </w:r>
      <w:r>
        <w:rPr>
          <w:rFonts w:hint="eastAsia" w:ascii="宋体" w:hAnsi="宋体"/>
          <w:szCs w:val="21"/>
        </w:rPr>
        <w:t>天内将仲裁或起诉意向书面通知另一方，并抄送监理人，但在仲裁或诉讼结束前应暂按总监理工程师的确定执行。</w:t>
      </w:r>
    </w:p>
    <w:p>
      <w:pPr>
        <w:spacing w:line="360" w:lineRule="auto"/>
        <w:rPr>
          <w:rFonts w:ascii="宋体" w:cs="Arial"/>
        </w:rPr>
      </w:pPr>
    </w:p>
    <w:p>
      <w:pPr>
        <w:spacing w:line="360" w:lineRule="auto"/>
        <w:rPr>
          <w:rFonts w:ascii="宋体" w:cs="Arial"/>
        </w:rPr>
      </w:pPr>
    </w:p>
    <w:p>
      <w:pPr>
        <w:spacing w:line="360" w:lineRule="auto"/>
        <w:rPr>
          <w:rFonts w:ascii="宋体" w:cs="Arial"/>
        </w:rPr>
      </w:pPr>
    </w:p>
    <w:p>
      <w:pPr>
        <w:jc w:val="center"/>
        <w:rPr>
          <w:b/>
          <w:sz w:val="32"/>
          <w:szCs w:val="32"/>
        </w:rPr>
      </w:pPr>
      <w:r>
        <w:br w:type="page"/>
      </w:r>
      <w:bookmarkStart w:id="2615" w:name="_Toc490331664"/>
      <w:bookmarkStart w:id="2616" w:name="_Toc486580373"/>
      <w:r>
        <w:rPr>
          <w:rFonts w:hint="eastAsia"/>
          <w:b/>
          <w:sz w:val="32"/>
          <w:szCs w:val="32"/>
        </w:rPr>
        <w:t>合同条款专用部分</w:t>
      </w:r>
      <w:bookmarkEnd w:id="2615"/>
      <w:bookmarkEnd w:id="2616"/>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17" w:name="_Toc11512"/>
      <w:bookmarkStart w:id="2618" w:name="_Toc13141"/>
      <w:bookmarkStart w:id="2619" w:name="_Toc29871"/>
      <w:bookmarkStart w:id="2620" w:name="_Toc448911874"/>
      <w:bookmarkStart w:id="2621" w:name="_Toc4599868"/>
      <w:bookmarkStart w:id="2622" w:name="_Toc351203633"/>
      <w:bookmarkStart w:id="2623" w:name="_Toc8598"/>
      <w:bookmarkStart w:id="2624" w:name="_Toc23465"/>
      <w:bookmarkStart w:id="2625" w:name="_Toc13779"/>
      <w:bookmarkStart w:id="2626" w:name="_Toc3867"/>
      <w:bookmarkStart w:id="2627" w:name="_Toc17673"/>
      <w:r>
        <w:rPr>
          <w:rFonts w:hint="eastAsia" w:ascii="宋体" w:hAnsi="宋体" w:eastAsia="宋体" w:cs="宋体"/>
          <w:color w:val="000000"/>
          <w:kern w:val="2"/>
          <w:sz w:val="21"/>
          <w:szCs w:val="21"/>
          <w:highlight w:val="none"/>
        </w:rPr>
        <w:t>1</w:t>
      </w:r>
      <w:bookmarkStart w:id="2628" w:name="_Toc297048342"/>
      <w:bookmarkStart w:id="2629" w:name="_Toc297120456"/>
      <w:bookmarkStart w:id="2630" w:name="_Toc296347155"/>
      <w:bookmarkStart w:id="2631" w:name="_Toc296503156"/>
      <w:bookmarkStart w:id="2632" w:name="_Toc292559866"/>
      <w:bookmarkStart w:id="2633" w:name="_Toc296891196"/>
      <w:bookmarkStart w:id="2634" w:name="_Toc296890984"/>
      <w:bookmarkStart w:id="2635" w:name="_Toc292559361"/>
      <w:bookmarkStart w:id="2636" w:name="_Toc296944495"/>
      <w:bookmarkStart w:id="2637" w:name="_Toc296346657"/>
      <w:r>
        <w:rPr>
          <w:rFonts w:hint="eastAsia" w:ascii="宋体" w:hAnsi="宋体" w:eastAsia="宋体" w:cs="宋体"/>
          <w:color w:val="000000"/>
          <w:kern w:val="2"/>
          <w:sz w:val="21"/>
          <w:szCs w:val="21"/>
          <w:highlight w:val="none"/>
        </w:rPr>
        <w:t>.一般约定</w:t>
      </w:r>
      <w:bookmarkEnd w:id="2617"/>
      <w:bookmarkEnd w:id="2618"/>
      <w:bookmarkEnd w:id="2619"/>
      <w:bookmarkEnd w:id="2620"/>
      <w:bookmarkEnd w:id="2621"/>
      <w:bookmarkEnd w:id="2622"/>
      <w:bookmarkEnd w:id="2623"/>
      <w:bookmarkEnd w:id="2624"/>
      <w:bookmarkEnd w:id="2625"/>
      <w:bookmarkEnd w:id="2626"/>
      <w:bookmarkEnd w:id="2627"/>
    </w:p>
    <w:bookmarkEnd w:id="2628"/>
    <w:bookmarkEnd w:id="2629"/>
    <w:bookmarkEnd w:id="2630"/>
    <w:bookmarkEnd w:id="2631"/>
    <w:bookmarkEnd w:id="2632"/>
    <w:bookmarkEnd w:id="2633"/>
    <w:bookmarkEnd w:id="2634"/>
    <w:bookmarkEnd w:id="2635"/>
    <w:bookmarkEnd w:id="2636"/>
    <w:bookmarkEnd w:id="2637"/>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38" w:name="_Toc448911875"/>
      <w:bookmarkStart w:id="2639" w:name="_Toc5234"/>
      <w:r>
        <w:rPr>
          <w:rFonts w:hint="eastAsia" w:ascii="宋体" w:hAnsi="宋体" w:eastAsia="宋体" w:cs="宋体"/>
          <w:color w:val="000000"/>
          <w:kern w:val="2"/>
          <w:sz w:val="21"/>
          <w:szCs w:val="21"/>
          <w:highlight w:val="none"/>
        </w:rPr>
        <w:t>1.1 词语定义</w:t>
      </w:r>
      <w:bookmarkEnd w:id="2638"/>
      <w:bookmarkEnd w:id="2639"/>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1.1.1合同</w:t>
      </w:r>
    </w:p>
    <w:p>
      <w:pPr>
        <w:pageBreakBefore w:val="0"/>
        <w:widowControl/>
        <w:kinsoku/>
        <w:wordWrap/>
        <w:overflowPunct/>
        <w:topLinePunct w:val="0"/>
        <w:bidi w:val="0"/>
        <w:adjustRightInd w:val="0"/>
        <w:snapToGrid w:val="0"/>
        <w:spacing w:line="460" w:lineRule="exact"/>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1.1.1.10其他合同文件包括：①</w:t>
      </w:r>
      <w:r>
        <w:rPr>
          <w:rFonts w:hint="eastAsia" w:ascii="宋体" w:hAnsi="宋体" w:eastAsia="宋体" w:cs="宋体"/>
          <w:color w:val="000000"/>
          <w:sz w:val="21"/>
          <w:szCs w:val="21"/>
          <w:highlight w:val="none"/>
          <w:u w:val="single"/>
        </w:rPr>
        <w:t>施工组织设计；②评标过程中的澄清等评标报告所附与合同履行相关的文件；③合同履行过程中有关工程的洽商、变更等书面协议书或文件。</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1.1.2 合同当事人及其他相关方</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1.1.2.4监理人：</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名称：</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资质类别和等级：</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联系电话：</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电子信箱：</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通信地址：</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1.1.2.5 设计人：</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名称：</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资质类别和等级：</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联系电话：</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电子信箱：</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通信地址：</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1.1.3 工程和设备</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1.1.3.7 作为施工现场组成部分的其他场所包括：</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1.1.3.9 永久占地包括：</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1.1.3.10 临时占地包括：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40" w:name="_Toc6269"/>
      <w:bookmarkStart w:id="2641" w:name="_Toc448911876"/>
      <w:r>
        <w:rPr>
          <w:rFonts w:hint="eastAsia" w:ascii="宋体" w:hAnsi="宋体" w:eastAsia="宋体" w:cs="宋体"/>
          <w:color w:val="000000"/>
          <w:kern w:val="2"/>
          <w:sz w:val="21"/>
          <w:szCs w:val="21"/>
          <w:highlight w:val="none"/>
        </w:rPr>
        <w:t>1.3法律</w:t>
      </w:r>
      <w:bookmarkEnd w:id="2640"/>
      <w:bookmarkEnd w:id="2641"/>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适用于合同的其他规范性文件：</w:t>
      </w:r>
      <w:r>
        <w:rPr>
          <w:rFonts w:hint="eastAsia" w:ascii="宋体" w:hAnsi="宋体" w:eastAsia="宋体" w:cs="宋体"/>
          <w:color w:val="000000"/>
          <w:kern w:val="2"/>
          <w:sz w:val="21"/>
          <w:szCs w:val="21"/>
          <w:highlight w:val="none"/>
          <w:u w:val="single"/>
        </w:rPr>
        <w:t>参照国家及</w:t>
      </w:r>
      <w:r>
        <w:rPr>
          <w:rFonts w:hint="eastAsia" w:ascii="宋体" w:hAnsi="宋体" w:cs="宋体"/>
          <w:color w:val="000000"/>
          <w:kern w:val="2"/>
          <w:sz w:val="21"/>
          <w:szCs w:val="21"/>
          <w:highlight w:val="none"/>
          <w:u w:val="single"/>
          <w:lang w:val="en-US" w:eastAsia="zh-CN"/>
        </w:rPr>
        <w:t>北京</w:t>
      </w:r>
      <w:r>
        <w:rPr>
          <w:rFonts w:hint="eastAsia" w:ascii="宋体" w:hAnsi="宋体" w:eastAsia="宋体" w:cs="宋体"/>
          <w:color w:val="000000"/>
          <w:kern w:val="2"/>
          <w:sz w:val="21"/>
          <w:szCs w:val="21"/>
          <w:highlight w:val="none"/>
          <w:u w:val="single"/>
        </w:rPr>
        <w:t xml:space="preserve">市相关规定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42" w:name="_Toc448911877"/>
      <w:bookmarkStart w:id="2643" w:name="_Toc30493"/>
      <w:r>
        <w:rPr>
          <w:rFonts w:hint="eastAsia" w:ascii="宋体" w:hAnsi="宋体" w:eastAsia="宋体" w:cs="宋体"/>
          <w:color w:val="000000"/>
          <w:kern w:val="2"/>
          <w:sz w:val="21"/>
          <w:szCs w:val="21"/>
          <w:highlight w:val="none"/>
        </w:rPr>
        <w:t>1.4标准和规范</w:t>
      </w:r>
      <w:bookmarkEnd w:id="2642"/>
      <w:bookmarkEnd w:id="2643"/>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1.4.1适用于工程的标准规范包括：</w:t>
      </w:r>
      <w:r>
        <w:rPr>
          <w:rFonts w:hint="eastAsia" w:ascii="宋体" w:hAnsi="宋体" w:eastAsia="宋体" w:cs="宋体"/>
          <w:color w:val="000000"/>
          <w:kern w:val="2"/>
          <w:sz w:val="21"/>
          <w:szCs w:val="21"/>
          <w:highlight w:val="none"/>
          <w:u w:val="single"/>
        </w:rPr>
        <w:t>国家有关法律、法规和</w:t>
      </w:r>
      <w:r>
        <w:rPr>
          <w:rFonts w:hint="eastAsia" w:ascii="宋体" w:hAnsi="宋体" w:cs="宋体"/>
          <w:color w:val="000000"/>
          <w:kern w:val="2"/>
          <w:sz w:val="21"/>
          <w:szCs w:val="21"/>
          <w:highlight w:val="none"/>
          <w:u w:val="single"/>
          <w:lang w:val="en-US" w:eastAsia="zh-CN"/>
        </w:rPr>
        <w:t>北京</w:t>
      </w:r>
      <w:r>
        <w:rPr>
          <w:rFonts w:hint="eastAsia" w:ascii="宋体" w:hAnsi="宋体" w:eastAsia="宋体" w:cs="宋体"/>
          <w:color w:val="000000"/>
          <w:kern w:val="2"/>
          <w:sz w:val="21"/>
          <w:szCs w:val="21"/>
          <w:highlight w:val="none"/>
          <w:u w:val="single"/>
        </w:rPr>
        <w:t>市有关法规、规章及规范性文件均对本合同具有约束力</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44" w:name="_Toc448911878"/>
      <w:bookmarkStart w:id="2645" w:name="_Toc31016"/>
      <w:r>
        <w:rPr>
          <w:rFonts w:hint="eastAsia" w:ascii="宋体" w:hAnsi="宋体" w:eastAsia="宋体" w:cs="宋体"/>
          <w:color w:val="000000"/>
          <w:kern w:val="2"/>
          <w:sz w:val="21"/>
          <w:szCs w:val="21"/>
          <w:highlight w:val="none"/>
        </w:rPr>
        <w:t>1.5 合同文件的优先顺序</w:t>
      </w:r>
      <w:bookmarkEnd w:id="2644"/>
      <w:bookmarkEnd w:id="2645"/>
    </w:p>
    <w:p>
      <w:pPr>
        <w:pageBreakBefore w:val="0"/>
        <w:kinsoku/>
        <w:wordWrap/>
        <w:overflowPunct/>
        <w:topLinePunct w:val="0"/>
        <w:bidi w:val="0"/>
        <w:adjustRightInd w:val="0"/>
        <w:snapToGrid w:val="0"/>
        <w:spacing w:line="460" w:lineRule="exact"/>
        <w:ind w:firstLine="491" w:firstLineChars="23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合同文件组成及优先顺序为：</w:t>
      </w:r>
      <w:r>
        <w:rPr>
          <w:rFonts w:hint="eastAsia" w:ascii="宋体" w:hAnsi="宋体" w:eastAsia="宋体" w:cs="宋体"/>
          <w:color w:val="000000"/>
          <w:kern w:val="2"/>
          <w:sz w:val="21"/>
          <w:szCs w:val="21"/>
          <w:highlight w:val="none"/>
          <w:u w:val="single"/>
        </w:rPr>
        <w:t>（1）合同协议书；（2）中标通知书；（3）投标函及投标函附录；（4）专用合同条款；（5）通用合同条款；（6）技术标准和要求；（7）已标价的工程量清单（如有修正，指经算术性错误修正后的已标价工程量清单，包括其说明和表格）；（8）图纸；（9）其他合同文件。</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46" w:name="_Toc448911879"/>
      <w:bookmarkStart w:id="2647" w:name="_Toc16055"/>
      <w:r>
        <w:rPr>
          <w:rFonts w:hint="eastAsia" w:ascii="宋体" w:hAnsi="宋体" w:eastAsia="宋体" w:cs="宋体"/>
          <w:color w:val="000000"/>
          <w:kern w:val="2"/>
          <w:sz w:val="21"/>
          <w:szCs w:val="21"/>
          <w:highlight w:val="none"/>
        </w:rPr>
        <w:t>1.6 图纸和承包人文件</w:t>
      </w:r>
      <w:bookmarkEnd w:id="2646"/>
      <w:bookmarkEnd w:id="2647"/>
      <w:r>
        <w:rPr>
          <w:rFonts w:hint="eastAsia" w:ascii="宋体" w:hAnsi="宋体" w:eastAsia="宋体" w:cs="宋体"/>
          <w:color w:val="000000"/>
          <w:kern w:val="2"/>
          <w:sz w:val="21"/>
          <w:szCs w:val="21"/>
          <w:highlight w:val="none"/>
        </w:rPr>
        <w:tab/>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1.6.1 图纸的提供</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发包人向承包人提供图纸的期限：</w:t>
      </w:r>
      <w:r>
        <w:rPr>
          <w:rFonts w:hint="eastAsia" w:ascii="宋体" w:hAnsi="宋体" w:eastAsia="宋体" w:cs="宋体"/>
          <w:color w:val="000000"/>
          <w:kern w:val="2"/>
          <w:sz w:val="21"/>
          <w:szCs w:val="21"/>
          <w:highlight w:val="none"/>
          <w:u w:val="single"/>
        </w:rPr>
        <w:t xml:space="preserve"> 合同签订后5天内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发包人向承包人提供图纸的数量：</w:t>
      </w:r>
      <w:r>
        <w:rPr>
          <w:rFonts w:hint="eastAsia" w:ascii="宋体" w:hAnsi="宋体" w:eastAsia="宋体" w:cs="宋体"/>
          <w:color w:val="000000"/>
          <w:kern w:val="2"/>
          <w:sz w:val="21"/>
          <w:szCs w:val="21"/>
          <w:highlight w:val="none"/>
          <w:u w:val="single"/>
        </w:rPr>
        <w:t xml:space="preserve"> 6 套（其中3套用于制作竣工图）</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发包人向承包人提供图纸的内容：</w:t>
      </w:r>
      <w:r>
        <w:rPr>
          <w:rFonts w:hint="eastAsia" w:ascii="宋体" w:hAnsi="宋体" w:eastAsia="宋体" w:cs="宋体"/>
          <w:color w:val="000000"/>
          <w:kern w:val="2"/>
          <w:sz w:val="21"/>
          <w:szCs w:val="21"/>
          <w:highlight w:val="none"/>
          <w:u w:val="single"/>
        </w:rPr>
        <w:t xml:space="preserve"> 与完成施工内容相关的所有施工图纸。</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1.6.4 承包人文件</w:t>
      </w:r>
    </w:p>
    <w:p>
      <w:pPr>
        <w:pageBreakBefore w:val="0"/>
        <w:widowControl/>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需要由承包人提供的文件，包括但不限于：</w:t>
      </w:r>
      <w:r>
        <w:rPr>
          <w:rFonts w:hint="eastAsia" w:ascii="宋体" w:hAnsi="宋体" w:eastAsia="宋体" w:cs="宋体"/>
          <w:color w:val="000000"/>
          <w:sz w:val="21"/>
          <w:szCs w:val="21"/>
          <w:highlight w:val="none"/>
          <w:u w:val="single"/>
        </w:rPr>
        <w:t>（1）施工组织设计、总平面布置图、施工进度网络计划、项目管理机构等；（2）有关的专项施工方案；（3）工程竣工备案资料（含竣工图）、工程结算书及资料；</w:t>
      </w:r>
      <w:r>
        <w:rPr>
          <w:rFonts w:hint="eastAsia" w:ascii="宋体" w:hAnsi="宋体" w:eastAsia="宋体" w:cs="宋体"/>
          <w:color w:val="000000"/>
          <w:sz w:val="21"/>
          <w:szCs w:val="21"/>
          <w:highlight w:val="none"/>
        </w:rPr>
        <w:t xml:space="preserve"> </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承包人提供的文件的期限为：</w:t>
      </w:r>
      <w:r>
        <w:rPr>
          <w:rFonts w:hint="eastAsia" w:ascii="宋体" w:hAnsi="宋体" w:eastAsia="宋体" w:cs="宋体"/>
          <w:color w:val="000000"/>
          <w:kern w:val="2"/>
          <w:sz w:val="21"/>
          <w:szCs w:val="21"/>
          <w:highlight w:val="none"/>
          <w:u w:val="single"/>
        </w:rPr>
        <w:t>（1）以上第（1）部分内容的资料在开工前7日内；</w:t>
      </w:r>
    </w:p>
    <w:p>
      <w:pPr>
        <w:pageBreakBefore w:val="0"/>
        <w:kinsoku/>
        <w:wordWrap/>
        <w:overflowPunct/>
        <w:topLinePunct w:val="0"/>
        <w:bidi w:val="0"/>
        <w:adjustRightInd w:val="0"/>
        <w:snapToGrid w:val="0"/>
        <w:spacing w:line="460" w:lineRule="exact"/>
        <w:ind w:firstLine="3045" w:firstLineChars="145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（2）以上第（2）部分内容的资料在项目计划实施前7日内；</w:t>
      </w:r>
    </w:p>
    <w:p>
      <w:pPr>
        <w:pageBreakBefore w:val="0"/>
        <w:kinsoku/>
        <w:wordWrap/>
        <w:overflowPunct/>
        <w:topLinePunct w:val="0"/>
        <w:bidi w:val="0"/>
        <w:adjustRightInd w:val="0"/>
        <w:snapToGrid w:val="0"/>
        <w:spacing w:line="460" w:lineRule="exact"/>
        <w:ind w:firstLine="3045" w:firstLineChars="145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（3）以上第（3）部分内容的资料在工程竣工验收合格后30日内；</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承包人提供的文件的数量为：</w:t>
      </w:r>
      <w:r>
        <w:rPr>
          <w:rFonts w:hint="eastAsia" w:ascii="宋体" w:hAnsi="宋体" w:eastAsia="宋体" w:cs="宋体"/>
          <w:color w:val="000000"/>
          <w:kern w:val="2"/>
          <w:sz w:val="21"/>
          <w:szCs w:val="21"/>
          <w:highlight w:val="none"/>
          <w:u w:val="single"/>
        </w:rPr>
        <w:t>工程竣工备案资料（含竣工图）3套，其余资料均3套</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承包人提供的文件的形式为：</w:t>
      </w:r>
      <w:r>
        <w:rPr>
          <w:rFonts w:hint="eastAsia" w:ascii="宋体" w:hAnsi="宋体" w:eastAsia="宋体" w:cs="宋体"/>
          <w:color w:val="000000"/>
          <w:kern w:val="2"/>
          <w:sz w:val="21"/>
          <w:szCs w:val="21"/>
          <w:highlight w:val="none"/>
          <w:u w:val="single"/>
        </w:rPr>
        <w:t xml:space="preserve"> 纸质材料加电子版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发包人审批承包人文件的期限：</w:t>
      </w:r>
      <w:r>
        <w:rPr>
          <w:rFonts w:hint="eastAsia" w:ascii="宋体" w:hAnsi="宋体" w:eastAsia="宋体" w:cs="宋体"/>
          <w:color w:val="000000"/>
          <w:kern w:val="2"/>
          <w:sz w:val="21"/>
          <w:szCs w:val="21"/>
          <w:highlight w:val="none"/>
          <w:u w:val="single"/>
        </w:rPr>
        <w:t>（1）以上第（1）部分内容的资料在收到后 7日内；</w:t>
      </w:r>
    </w:p>
    <w:p>
      <w:pPr>
        <w:pageBreakBefore w:val="0"/>
        <w:kinsoku/>
        <w:wordWrap/>
        <w:overflowPunct/>
        <w:topLinePunct w:val="0"/>
        <w:bidi w:val="0"/>
        <w:adjustRightInd w:val="0"/>
        <w:snapToGrid w:val="0"/>
        <w:spacing w:line="460" w:lineRule="exact"/>
        <w:ind w:firstLine="3255" w:firstLineChars="155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（2）以上第（2）部分内容的资料在收到后7日内；</w:t>
      </w:r>
    </w:p>
    <w:p>
      <w:pPr>
        <w:pageBreakBefore w:val="0"/>
        <w:kinsoku/>
        <w:wordWrap/>
        <w:overflowPunct/>
        <w:topLinePunct w:val="0"/>
        <w:bidi w:val="0"/>
        <w:adjustRightInd w:val="0"/>
        <w:snapToGrid w:val="0"/>
        <w:spacing w:line="460" w:lineRule="exact"/>
        <w:ind w:firstLine="3255" w:firstLineChars="15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rPr>
        <w:t>（3）以上第（3）部分内容的资料在收到后30 日内。</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1.6.5 现场图纸准备</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关于现场图纸准备的约定：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48" w:name="_Toc23209"/>
      <w:bookmarkStart w:id="2649" w:name="_Toc448911880"/>
      <w:r>
        <w:rPr>
          <w:rFonts w:hint="eastAsia" w:ascii="宋体" w:hAnsi="宋体" w:eastAsia="宋体" w:cs="宋体"/>
          <w:color w:val="000000"/>
          <w:kern w:val="2"/>
          <w:sz w:val="21"/>
          <w:szCs w:val="21"/>
          <w:highlight w:val="none"/>
        </w:rPr>
        <w:t>1.7 联络</w:t>
      </w:r>
      <w:bookmarkEnd w:id="2648"/>
      <w:bookmarkEnd w:id="2649"/>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1.7.1发包人和承包人应当在</w:t>
      </w:r>
      <w:r>
        <w:rPr>
          <w:rFonts w:hint="eastAsia" w:ascii="宋体" w:hAnsi="宋体" w:eastAsia="宋体" w:cs="宋体"/>
          <w:color w:val="000000"/>
          <w:kern w:val="2"/>
          <w:sz w:val="21"/>
          <w:szCs w:val="21"/>
          <w:highlight w:val="none"/>
          <w:u w:val="single"/>
        </w:rPr>
        <w:t xml:space="preserve">  3天   </w:t>
      </w:r>
      <w:r>
        <w:rPr>
          <w:rFonts w:hint="eastAsia" w:ascii="宋体" w:hAnsi="宋体" w:eastAsia="宋体" w:cs="宋体"/>
          <w:color w:val="000000"/>
          <w:sz w:val="21"/>
          <w:szCs w:val="21"/>
          <w:highlight w:val="none"/>
        </w:rPr>
        <w:t>天内将与合同有关的通知、批准、证明、证书、指示、指令、要求、请求、同意、意见、确定和决定等书面函件送达对方当事人。</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1.7.2 发包人接收文件的地点：</w:t>
      </w:r>
      <w:r>
        <w:rPr>
          <w:rFonts w:hint="eastAsia" w:ascii="宋体" w:hAnsi="宋体" w:eastAsia="宋体" w:cs="宋体"/>
          <w:color w:val="000000"/>
          <w:kern w:val="2"/>
          <w:sz w:val="21"/>
          <w:szCs w:val="21"/>
          <w:highlight w:val="none"/>
          <w:u w:val="single"/>
        </w:rPr>
        <w:t xml:space="preserve">   工程现场   </w:t>
      </w:r>
      <w:r>
        <w:rPr>
          <w:rFonts w:hint="eastAsia" w:ascii="宋体" w:hAnsi="宋体" w:eastAsia="宋体" w:cs="宋体"/>
          <w:color w:val="000000"/>
          <w:sz w:val="21"/>
          <w:szCs w:val="21"/>
          <w:highlight w:val="none"/>
        </w:rPr>
        <w:t>；发包人指定的接收人为：</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1050" w:firstLineChars="5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承包人接收文件的地点：</w:t>
      </w:r>
      <w:r>
        <w:rPr>
          <w:rFonts w:hint="eastAsia" w:ascii="宋体" w:hAnsi="宋体" w:eastAsia="宋体" w:cs="宋体"/>
          <w:color w:val="000000"/>
          <w:kern w:val="2"/>
          <w:sz w:val="21"/>
          <w:szCs w:val="21"/>
          <w:highlight w:val="none"/>
          <w:u w:val="single"/>
        </w:rPr>
        <w:t xml:space="preserve">    工程现场   </w:t>
      </w:r>
      <w:r>
        <w:rPr>
          <w:rFonts w:hint="eastAsia" w:ascii="宋体" w:hAnsi="宋体" w:eastAsia="宋体" w:cs="宋体"/>
          <w:color w:val="000000"/>
          <w:sz w:val="21"/>
          <w:szCs w:val="21"/>
          <w:highlight w:val="none"/>
        </w:rPr>
        <w:t>；承包人指定的接收人为：</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1050" w:firstLineChars="5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监理人接收文件的地点：</w:t>
      </w:r>
      <w:r>
        <w:rPr>
          <w:rFonts w:hint="eastAsia" w:ascii="宋体" w:hAnsi="宋体" w:eastAsia="宋体" w:cs="宋体"/>
          <w:color w:val="000000"/>
          <w:kern w:val="2"/>
          <w:sz w:val="21"/>
          <w:szCs w:val="21"/>
          <w:highlight w:val="none"/>
          <w:u w:val="single"/>
        </w:rPr>
        <w:t xml:space="preserve">  工程现场  </w:t>
      </w:r>
      <w:r>
        <w:rPr>
          <w:rFonts w:hint="eastAsia" w:ascii="宋体" w:hAnsi="宋体" w:eastAsia="宋体" w:cs="宋体"/>
          <w:color w:val="000000"/>
          <w:sz w:val="21"/>
          <w:szCs w:val="21"/>
          <w:highlight w:val="none"/>
        </w:rPr>
        <w:t>；监理人指定的接收人为：</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2"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注：</w:t>
      </w:r>
      <w:r>
        <w:rPr>
          <w:rFonts w:hint="eastAsia" w:ascii="宋体" w:hAnsi="宋体" w:eastAsia="宋体" w:cs="宋体"/>
          <w:color w:val="000000"/>
          <w:sz w:val="21"/>
          <w:szCs w:val="21"/>
          <w:highlight w:val="none"/>
          <w:u w:val="single"/>
        </w:rPr>
        <w:t>（1）除合同另有约定外，任何与本合同有关的通知、批准、证明、证书、指示、指令、要求、请求、同意、意见、确定和决定等或其他通讯往来应当采用书面形式并送达至上述列明的地址。除合同另有约定外，任何面呈的通知或其他通讯往来递交并得到签收时视为送达；任何以特快专递方式发出的通知或其他通讯往来在投邮后3个工作日视为送达；任何以邮寄方式发出的通知或其他通讯往来在投邮后7个工作日视为送达；任何以传真方式发出的通知或其他通讯往来在发出时视为送达。任何写上本合同列明的地址邮寄的信件及任何附有收件人已收取传真的传真报告，将视为任何有关通知或其他通讯往来已根据本合同被妥善传递及发出。</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2）承包人指定的接收人为合同协议书中载明的承包人项目经理本人或者项目经理的授权代表。项目经理委托授权代表作为接受人的，应在收到开工通知后7天内，将其授权代表的姓名、授权范围和签名式样通知监理人和发包人。除合同另有约定外，承包人施工场地管理机构的办公地点即为承包人指定的接收地点。</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3）以上任何一方指定的接收人或者接收地点发生变动，应当提前至少一个工作日以书面方式通知其他各方，并应当确保其指定的接收人在法定的和(或)符合合同约定的工作时间内始终工作在指定的接收地点，指定接收人离开工作岗位而无法及时签收来往信函的，构成拒不签收。</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（4）以上任何一方均应当及时签收另一方送达其指定接收地点的来往信函，拒不签收的，送达信函的一方可以采用挂号或者</w:t>
      </w:r>
      <w:r>
        <w:rPr>
          <w:rFonts w:hint="eastAsia" w:ascii="宋体" w:hAnsi="宋体" w:cs="宋体"/>
          <w:color w:val="000000"/>
          <w:sz w:val="21"/>
          <w:szCs w:val="21"/>
          <w:highlight w:val="none"/>
          <w:u w:val="single"/>
          <w:lang w:val="en-US" w:eastAsia="zh-CN"/>
        </w:rPr>
        <w:t>其他</w:t>
      </w:r>
      <w:r>
        <w:rPr>
          <w:rFonts w:hint="eastAsia" w:ascii="宋体" w:hAnsi="宋体" w:eastAsia="宋体" w:cs="宋体"/>
          <w:color w:val="000000"/>
          <w:sz w:val="21"/>
          <w:szCs w:val="21"/>
          <w:highlight w:val="none"/>
          <w:u w:val="single"/>
        </w:rPr>
        <w:t>方式送达，由此所造成的直接和间接的费用增加(包括被迫采用特殊送达方式所发生的费用)和(或)延误的工期由拒绝签收一方承担。</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50" w:name="_Toc448911881"/>
      <w:bookmarkStart w:id="2651" w:name="_Toc4581"/>
      <w:r>
        <w:rPr>
          <w:rFonts w:hint="eastAsia" w:ascii="宋体" w:hAnsi="宋体" w:eastAsia="宋体" w:cs="宋体"/>
          <w:color w:val="000000"/>
          <w:kern w:val="2"/>
          <w:sz w:val="21"/>
          <w:szCs w:val="21"/>
          <w:highlight w:val="none"/>
        </w:rPr>
        <w:t>1.10交通运输</w:t>
      </w:r>
      <w:bookmarkEnd w:id="2650"/>
      <w:bookmarkEnd w:id="2651"/>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w:t>
      </w:r>
      <w:bookmarkStart w:id="2652" w:name="_Toc304295521"/>
      <w:bookmarkStart w:id="2653" w:name="_Toc312677986"/>
      <w:bookmarkStart w:id="2654" w:name="_Toc303539100"/>
      <w:bookmarkStart w:id="2655" w:name="_Toc318581155"/>
      <w:bookmarkStart w:id="2656" w:name="_Toc300934943"/>
      <w:r>
        <w:rPr>
          <w:rFonts w:hint="eastAsia" w:ascii="宋体" w:hAnsi="宋体" w:eastAsia="宋体" w:cs="宋体"/>
          <w:color w:val="000000"/>
          <w:kern w:val="2"/>
          <w:sz w:val="21"/>
          <w:szCs w:val="21"/>
          <w:highlight w:val="none"/>
        </w:rPr>
        <w:t>.10.1 出入现场的权利</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 xml:space="preserve">    关于出入现场的权利的约定：</w:t>
      </w:r>
      <w:r>
        <w:rPr>
          <w:rFonts w:hint="eastAsia" w:ascii="宋体" w:hAnsi="宋体" w:eastAsia="宋体" w:cs="宋体"/>
          <w:color w:val="000000"/>
          <w:kern w:val="2"/>
          <w:sz w:val="21"/>
          <w:szCs w:val="21"/>
          <w:highlight w:val="none"/>
          <w:u w:val="single"/>
        </w:rPr>
        <w:t xml:space="preserve"> 由承包人按发包人要求办理出入施工现场所需的批准手续，并承担相关手续费用和建设费用</w:t>
      </w:r>
      <w:r>
        <w:rPr>
          <w:rFonts w:hint="eastAsia" w:ascii="宋体" w:hAnsi="宋体" w:cs="宋体"/>
          <w:color w:val="000000"/>
          <w:kern w:val="2"/>
          <w:sz w:val="21"/>
          <w:szCs w:val="21"/>
          <w:highlight w:val="none"/>
          <w:u w:val="single"/>
          <w:lang w:eastAsia="zh-CN"/>
        </w:rPr>
        <w:t>，</w:t>
      </w:r>
      <w:r>
        <w:rPr>
          <w:rFonts w:hint="eastAsia" w:ascii="宋体" w:hAnsi="宋体" w:cs="宋体"/>
          <w:color w:val="000000"/>
          <w:kern w:val="2"/>
          <w:sz w:val="21"/>
          <w:szCs w:val="21"/>
          <w:highlight w:val="none"/>
          <w:u w:val="single"/>
          <w:lang w:val="en-US" w:eastAsia="zh-CN"/>
        </w:rPr>
        <w:t>发包人有协助办理的义务</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bookmarkEnd w:id="2652"/>
    <w:bookmarkEnd w:id="2653"/>
    <w:bookmarkEnd w:id="2654"/>
    <w:bookmarkEnd w:id="2655"/>
    <w:bookmarkEnd w:id="2656"/>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w:t>
      </w:r>
      <w:bookmarkStart w:id="2657" w:name="_Toc300934944"/>
      <w:bookmarkStart w:id="2658" w:name="_Toc312677987"/>
      <w:bookmarkStart w:id="2659" w:name="_Toc304295522"/>
      <w:bookmarkStart w:id="2660" w:name="_Toc318581156"/>
      <w:bookmarkStart w:id="2661" w:name="_Toc303539101"/>
      <w:r>
        <w:rPr>
          <w:rFonts w:hint="eastAsia" w:ascii="宋体" w:hAnsi="宋体" w:eastAsia="宋体" w:cs="宋体"/>
          <w:color w:val="000000"/>
          <w:kern w:val="2"/>
          <w:sz w:val="21"/>
          <w:szCs w:val="21"/>
          <w:highlight w:val="none"/>
        </w:rPr>
        <w:t>.10.3 场内交通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关于场外交通和场内交通的边界的约定：</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 xml:space="preserve">/ </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关于发包人向承包人免费提供满足工程施工需要的场内道路和交通设施的约定：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bookmarkEnd w:id="2657"/>
      <w:bookmarkEnd w:id="2658"/>
      <w:bookmarkEnd w:id="2659"/>
      <w:bookmarkEnd w:id="2660"/>
      <w:bookmarkEnd w:id="2661"/>
      <w:bookmarkStart w:id="2662" w:name="_Toc318581157"/>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1.10.4超大件和超重件的运输</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运输超大件或超重件所需的道路和桥梁临时加固改造费用和其他有关费用由</w:t>
      </w:r>
      <w:r>
        <w:rPr>
          <w:rFonts w:hint="eastAsia" w:ascii="宋体" w:hAnsi="宋体" w:eastAsia="宋体" w:cs="宋体"/>
          <w:color w:val="000000"/>
          <w:kern w:val="2"/>
          <w:sz w:val="21"/>
          <w:szCs w:val="21"/>
          <w:highlight w:val="none"/>
          <w:u w:val="single"/>
        </w:rPr>
        <w:t xml:space="preserve">  承包人 </w:t>
      </w:r>
      <w:r>
        <w:rPr>
          <w:rFonts w:hint="eastAsia" w:ascii="宋体" w:hAnsi="宋体" w:eastAsia="宋体" w:cs="宋体"/>
          <w:color w:val="000000"/>
          <w:kern w:val="2"/>
          <w:sz w:val="21"/>
          <w:szCs w:val="21"/>
          <w:highlight w:val="none"/>
        </w:rPr>
        <w:t>承担。</w:t>
      </w:r>
    </w:p>
    <w:bookmarkEnd w:id="2662"/>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63" w:name="_Toc448911882"/>
      <w:bookmarkStart w:id="2664" w:name="_Toc6187"/>
      <w:r>
        <w:rPr>
          <w:rFonts w:hint="eastAsia" w:ascii="宋体" w:hAnsi="宋体" w:eastAsia="宋体" w:cs="宋体"/>
          <w:color w:val="000000"/>
          <w:kern w:val="2"/>
          <w:sz w:val="21"/>
          <w:szCs w:val="21"/>
          <w:highlight w:val="none"/>
        </w:rPr>
        <w:t>1.11知识产权</w:t>
      </w:r>
      <w:bookmarkEnd w:id="2663"/>
      <w:bookmarkEnd w:id="2664"/>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kern w:val="2"/>
          <w:sz w:val="21"/>
          <w:szCs w:val="21"/>
          <w:highlight w:val="none"/>
          <w:u w:val="single"/>
        </w:rPr>
        <w:t xml:space="preserve">  发包人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关于发包人提供的上述文件的使用限制的要求：</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1.11.2 关于承包人为实施工程所编制文件的著作权的归属：</w:t>
      </w:r>
      <w:r>
        <w:rPr>
          <w:rFonts w:hint="eastAsia" w:ascii="宋体" w:hAnsi="宋体" w:eastAsia="宋体" w:cs="宋体"/>
          <w:color w:val="000000"/>
          <w:kern w:val="2"/>
          <w:sz w:val="21"/>
          <w:szCs w:val="21"/>
          <w:highlight w:val="none"/>
          <w:u w:val="single"/>
        </w:rPr>
        <w:t xml:space="preserve">  发包人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关于承包人提供的上述文件的使用限制的要求：</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1.11.4 承包人在施工过程中所采用的专利、专有技术、技术秘密的使用费的承担方式：</w:t>
      </w:r>
      <w:r>
        <w:rPr>
          <w:rFonts w:hint="eastAsia" w:ascii="宋体" w:hAnsi="宋体" w:eastAsia="宋体" w:cs="宋体"/>
          <w:color w:val="000000"/>
          <w:kern w:val="2"/>
          <w:sz w:val="21"/>
          <w:szCs w:val="21"/>
          <w:highlight w:val="none"/>
          <w:u w:val="single"/>
        </w:rPr>
        <w:t>承包人承担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65" w:name="_Toc23001"/>
      <w:bookmarkStart w:id="2666" w:name="_Toc448911883"/>
      <w:r>
        <w:rPr>
          <w:rFonts w:hint="eastAsia" w:ascii="宋体" w:hAnsi="宋体" w:eastAsia="宋体" w:cs="宋体"/>
          <w:color w:val="000000"/>
          <w:kern w:val="2"/>
          <w:sz w:val="21"/>
          <w:szCs w:val="21"/>
          <w:highlight w:val="none"/>
        </w:rPr>
        <w:t>1.13工程量清单错误的修正</w:t>
      </w:r>
      <w:bookmarkEnd w:id="2665"/>
      <w:bookmarkEnd w:id="2666"/>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出现工程量清单错误时，是否调整合同价格：</w:t>
      </w:r>
      <w:r>
        <w:rPr>
          <w:rFonts w:hint="eastAsia" w:ascii="宋体" w:hAnsi="宋体" w:eastAsia="宋体" w:cs="宋体"/>
          <w:color w:val="000000"/>
          <w:kern w:val="2"/>
          <w:sz w:val="21"/>
          <w:szCs w:val="21"/>
          <w:highlight w:val="none"/>
          <w:u w:val="single"/>
        </w:rPr>
        <w:t>否</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允许调整合同价格的工程量偏差范围：</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b/>
          <w:bCs/>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67" w:name="_Toc1311"/>
      <w:bookmarkStart w:id="2668" w:name="_Toc448911884"/>
      <w:bookmarkStart w:id="2669" w:name="_Toc351203634"/>
      <w:bookmarkStart w:id="2670" w:name="_Toc31592"/>
      <w:bookmarkStart w:id="2671" w:name="_Toc7204"/>
      <w:bookmarkStart w:id="2672" w:name="_Toc4599869"/>
      <w:bookmarkStart w:id="2673" w:name="_Toc22119"/>
      <w:bookmarkStart w:id="2674" w:name="_Toc7126"/>
      <w:bookmarkStart w:id="2675" w:name="_Toc30054"/>
      <w:bookmarkStart w:id="2676" w:name="_Toc19973"/>
      <w:bookmarkStart w:id="2677" w:name="_Toc4814"/>
      <w:r>
        <w:rPr>
          <w:rFonts w:hint="eastAsia" w:ascii="宋体" w:hAnsi="宋体" w:eastAsia="宋体" w:cs="宋体"/>
          <w:color w:val="000000"/>
          <w:kern w:val="2"/>
          <w:sz w:val="21"/>
          <w:szCs w:val="21"/>
          <w:highlight w:val="none"/>
        </w:rPr>
        <w:t>2</w:t>
      </w:r>
      <w:bookmarkStart w:id="2678" w:name="_Toc296944496"/>
      <w:bookmarkStart w:id="2679" w:name="_Toc296503157"/>
      <w:bookmarkStart w:id="2680" w:name="_Toc296346658"/>
      <w:bookmarkStart w:id="2681" w:name="_Toc292559867"/>
      <w:bookmarkStart w:id="2682" w:name="_Toc297048343"/>
      <w:bookmarkStart w:id="2683" w:name="_Toc297120457"/>
      <w:bookmarkStart w:id="2684" w:name="_Toc292559362"/>
      <w:bookmarkStart w:id="2685" w:name="_Toc296890985"/>
      <w:bookmarkStart w:id="2686" w:name="_Toc296347156"/>
      <w:bookmarkStart w:id="2687" w:name="_Toc296891197"/>
      <w:r>
        <w:rPr>
          <w:rFonts w:hint="eastAsia" w:ascii="宋体" w:hAnsi="宋体" w:eastAsia="宋体" w:cs="宋体"/>
          <w:color w:val="000000"/>
          <w:kern w:val="2"/>
          <w:sz w:val="21"/>
          <w:szCs w:val="21"/>
          <w:highlight w:val="none"/>
        </w:rPr>
        <w:t>.发包人</w:t>
      </w:r>
      <w:bookmarkEnd w:id="2667"/>
      <w:bookmarkEnd w:id="2668"/>
      <w:bookmarkEnd w:id="2669"/>
      <w:bookmarkEnd w:id="2670"/>
      <w:bookmarkEnd w:id="2671"/>
      <w:bookmarkEnd w:id="2672"/>
      <w:bookmarkEnd w:id="2673"/>
      <w:bookmarkEnd w:id="2674"/>
      <w:bookmarkEnd w:id="2675"/>
      <w:bookmarkEnd w:id="2676"/>
      <w:bookmarkEnd w:id="2677"/>
    </w:p>
    <w:bookmarkEnd w:id="2678"/>
    <w:bookmarkEnd w:id="2679"/>
    <w:bookmarkEnd w:id="2680"/>
    <w:bookmarkEnd w:id="2681"/>
    <w:bookmarkEnd w:id="2682"/>
    <w:bookmarkEnd w:id="2683"/>
    <w:bookmarkEnd w:id="2684"/>
    <w:bookmarkEnd w:id="2685"/>
    <w:bookmarkEnd w:id="2686"/>
    <w:bookmarkEnd w:id="2687"/>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88" w:name="_Toc448911885"/>
      <w:bookmarkStart w:id="2689" w:name="_Toc25037"/>
      <w:r>
        <w:rPr>
          <w:rFonts w:hint="eastAsia" w:ascii="宋体" w:hAnsi="宋体" w:eastAsia="宋体" w:cs="宋体"/>
          <w:color w:val="000000"/>
          <w:kern w:val="2"/>
          <w:sz w:val="21"/>
          <w:szCs w:val="21"/>
          <w:highlight w:val="none"/>
        </w:rPr>
        <w:t>2.2发包人代表</w:t>
      </w:r>
      <w:bookmarkEnd w:id="2688"/>
      <w:bookmarkEnd w:id="2689"/>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发包人代表：</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姓名：</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身份证号：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职务：</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联系电话：</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电子信箱：</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通信地址：</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发包人对发包人代表的授权范围如下：</w:t>
      </w:r>
      <w:r>
        <w:rPr>
          <w:rFonts w:hint="eastAsia" w:ascii="宋体" w:hAnsi="宋体" w:eastAsia="宋体" w:cs="宋体"/>
          <w:color w:val="000000"/>
          <w:kern w:val="2"/>
          <w:sz w:val="21"/>
          <w:szCs w:val="21"/>
          <w:highlight w:val="none"/>
          <w:u w:val="single"/>
        </w:rPr>
        <w:t xml:space="preserve"> 督促指导监理工程师行使职权，协调工程参建各方的关系，协调处理工程质量、进度和安全文明施工存在的问题，办理有关设计变更、现场经济技术签证，审核工程进度报表和进度款支付凭据，审核工程结算书</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90" w:name="_Toc16828"/>
      <w:bookmarkStart w:id="2691" w:name="_Toc448911886"/>
      <w:r>
        <w:rPr>
          <w:rFonts w:hint="eastAsia" w:ascii="宋体" w:hAnsi="宋体" w:eastAsia="宋体" w:cs="宋体"/>
          <w:color w:val="000000"/>
          <w:kern w:val="2"/>
          <w:sz w:val="21"/>
          <w:szCs w:val="21"/>
          <w:highlight w:val="none"/>
        </w:rPr>
        <w:t>2.4 施工现场、施工条件和基础资料的提供</w:t>
      </w:r>
      <w:bookmarkEnd w:id="2690"/>
      <w:bookmarkEnd w:id="2691"/>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2.4.1 提供施工现场</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关于发包人移交施工现场的期限要求：</w:t>
      </w:r>
      <w:r>
        <w:rPr>
          <w:rFonts w:hint="eastAsia" w:ascii="宋体" w:hAnsi="宋体" w:eastAsia="宋体" w:cs="宋体"/>
          <w:color w:val="000000"/>
          <w:kern w:val="2"/>
          <w:sz w:val="21"/>
          <w:szCs w:val="21"/>
          <w:highlight w:val="none"/>
          <w:u w:val="single"/>
        </w:rPr>
        <w:t xml:space="preserve"> 开工前7日内移交，满足工程开工条件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2.4.2 提供施工条件</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关于发包人应负责提供施工所需要的条件，包括：</w:t>
      </w:r>
      <w:r>
        <w:rPr>
          <w:rFonts w:hint="eastAsia" w:ascii="宋体" w:hAnsi="宋体" w:eastAsia="宋体" w:cs="宋体"/>
          <w:color w:val="000000"/>
          <w:kern w:val="2"/>
          <w:sz w:val="21"/>
          <w:szCs w:val="21"/>
          <w:highlight w:val="none"/>
          <w:u w:val="single"/>
        </w:rPr>
        <w:t xml:space="preserve">满足施工用水、用电，电由承包人在指定接线位置装表计量、接至现场各施工地点并自行承担相关费用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92" w:name="_Toc448911887"/>
      <w:bookmarkStart w:id="2693" w:name="_Toc19336"/>
      <w:r>
        <w:rPr>
          <w:rFonts w:hint="eastAsia" w:ascii="宋体" w:hAnsi="宋体" w:eastAsia="宋体" w:cs="宋体"/>
          <w:color w:val="000000"/>
          <w:kern w:val="2"/>
          <w:sz w:val="21"/>
          <w:szCs w:val="21"/>
          <w:highlight w:val="none"/>
        </w:rPr>
        <w:t>2.5 资金来源证明及支付担保</w:t>
      </w:r>
      <w:bookmarkEnd w:id="2692"/>
      <w:bookmarkEnd w:id="2693"/>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发包人提供资金来源证明的期限要求：</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发包人是否提供支付担保：</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发包人提供支付担保的形式：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694" w:name="_Toc32523"/>
      <w:bookmarkStart w:id="2695" w:name="_Toc16637"/>
      <w:bookmarkStart w:id="2696" w:name="_Toc15946"/>
      <w:bookmarkStart w:id="2697" w:name="_Toc20270"/>
      <w:bookmarkStart w:id="2698" w:name="_Toc22721"/>
      <w:bookmarkStart w:id="2699" w:name="_Toc4599870"/>
      <w:bookmarkStart w:id="2700" w:name="_Toc351203635"/>
      <w:bookmarkStart w:id="2701" w:name="_Toc448911888"/>
      <w:bookmarkStart w:id="2702" w:name="_Toc28513"/>
      <w:bookmarkStart w:id="2703" w:name="_Toc11134"/>
      <w:bookmarkStart w:id="2704" w:name="_Toc23070"/>
      <w:r>
        <w:rPr>
          <w:rFonts w:hint="eastAsia" w:ascii="宋体" w:hAnsi="宋体" w:eastAsia="宋体" w:cs="宋体"/>
          <w:color w:val="000000"/>
          <w:kern w:val="2"/>
          <w:sz w:val="21"/>
          <w:szCs w:val="21"/>
          <w:highlight w:val="none"/>
        </w:rPr>
        <w:t>3</w:t>
      </w:r>
      <w:bookmarkStart w:id="2705" w:name="_Toc297048344"/>
      <w:bookmarkStart w:id="2706" w:name="_Toc296890986"/>
      <w:bookmarkStart w:id="2707" w:name="_Toc296347157"/>
      <w:bookmarkStart w:id="2708" w:name="_Toc296944497"/>
      <w:bookmarkStart w:id="2709" w:name="_Toc296346659"/>
      <w:bookmarkStart w:id="2710" w:name="_Toc296503158"/>
      <w:bookmarkStart w:id="2711" w:name="_Toc297120458"/>
      <w:bookmarkStart w:id="2712" w:name="_Toc292559868"/>
      <w:bookmarkStart w:id="2713" w:name="_Toc292559363"/>
      <w:bookmarkStart w:id="2714" w:name="_Toc296891198"/>
      <w:r>
        <w:rPr>
          <w:rFonts w:hint="eastAsia" w:ascii="宋体" w:hAnsi="宋体" w:eastAsia="宋体" w:cs="宋体"/>
          <w:color w:val="000000"/>
          <w:kern w:val="2"/>
          <w:sz w:val="21"/>
          <w:szCs w:val="21"/>
          <w:highlight w:val="none"/>
        </w:rPr>
        <w:t>.承包人</w:t>
      </w:r>
      <w:bookmarkEnd w:id="2694"/>
      <w:bookmarkEnd w:id="2695"/>
      <w:bookmarkEnd w:id="2696"/>
      <w:bookmarkEnd w:id="2697"/>
      <w:bookmarkEnd w:id="2698"/>
      <w:bookmarkEnd w:id="2699"/>
      <w:bookmarkEnd w:id="2700"/>
      <w:bookmarkEnd w:id="2701"/>
      <w:bookmarkEnd w:id="2702"/>
      <w:bookmarkEnd w:id="2703"/>
      <w:bookmarkEnd w:id="2704"/>
    </w:p>
    <w:bookmarkEnd w:id="2705"/>
    <w:bookmarkEnd w:id="2706"/>
    <w:bookmarkEnd w:id="2707"/>
    <w:bookmarkEnd w:id="2708"/>
    <w:bookmarkEnd w:id="2709"/>
    <w:bookmarkEnd w:id="2710"/>
    <w:bookmarkEnd w:id="2711"/>
    <w:bookmarkEnd w:id="2712"/>
    <w:bookmarkEnd w:id="2713"/>
    <w:bookmarkEnd w:id="2714"/>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15" w:name="_Toc18616"/>
      <w:bookmarkStart w:id="2716" w:name="_Toc448911889"/>
      <w:r>
        <w:rPr>
          <w:rFonts w:hint="eastAsia" w:ascii="宋体" w:hAnsi="宋体" w:eastAsia="宋体" w:cs="宋体"/>
          <w:color w:val="000000"/>
          <w:kern w:val="2"/>
          <w:sz w:val="21"/>
          <w:szCs w:val="21"/>
          <w:highlight w:val="none"/>
        </w:rPr>
        <w:t>3.1 承包人的一般义务</w:t>
      </w:r>
      <w:bookmarkEnd w:id="2715"/>
      <w:bookmarkEnd w:id="2716"/>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（9）</w:t>
      </w:r>
      <w:r>
        <w:rPr>
          <w:rFonts w:hint="eastAsia" w:ascii="宋体" w:hAnsi="宋体" w:eastAsia="宋体" w:cs="宋体"/>
          <w:color w:val="000000"/>
          <w:kern w:val="2"/>
          <w:sz w:val="21"/>
          <w:szCs w:val="21"/>
          <w:highlight w:val="none"/>
        </w:rPr>
        <w:t>承包人提交的竣工资料的内容：</w:t>
      </w:r>
      <w:r>
        <w:rPr>
          <w:rFonts w:hint="eastAsia" w:ascii="宋体" w:hAnsi="宋体" w:eastAsia="宋体" w:cs="宋体"/>
          <w:color w:val="000000"/>
          <w:kern w:val="2"/>
          <w:sz w:val="21"/>
          <w:szCs w:val="21"/>
          <w:highlight w:val="none"/>
          <w:u w:val="single"/>
        </w:rPr>
        <w:t>包括但不限于施工技术管理文件；产品质量证明文件；检验和检测报告；施工记录；检验批质量验收记录；竣工图（设计变更较多需重新绘制竣工图的，还包含竣工图电子文档）；工程结算书及相关支撑资料；房屋使用说明书（如有，含特种设备及其它专业工程使用说明、户型示意图等）；房屋工程质量保修书等</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承包人需要提交的竣工资料套数:</w:t>
      </w:r>
      <w:r>
        <w:rPr>
          <w:rFonts w:hint="eastAsia" w:ascii="宋体" w:hAnsi="宋体" w:eastAsia="宋体" w:cs="宋体"/>
          <w:color w:val="000000"/>
          <w:kern w:val="2"/>
          <w:sz w:val="21"/>
          <w:szCs w:val="21"/>
          <w:highlight w:val="none"/>
          <w:u w:val="single"/>
        </w:rPr>
        <w:t xml:space="preserve">  各2套</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承包人提交的竣工资料的费用承担：</w:t>
      </w:r>
      <w:r>
        <w:rPr>
          <w:rFonts w:hint="eastAsia" w:ascii="宋体" w:hAnsi="宋体" w:eastAsia="宋体" w:cs="宋体"/>
          <w:color w:val="000000"/>
          <w:kern w:val="2"/>
          <w:sz w:val="21"/>
          <w:szCs w:val="21"/>
          <w:highlight w:val="none"/>
          <w:u w:val="single"/>
        </w:rPr>
        <w:t>承包人自行承担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承包人提交的竣工资料移交时间：</w:t>
      </w:r>
      <w:r>
        <w:rPr>
          <w:rFonts w:hint="eastAsia" w:ascii="宋体" w:hAnsi="宋体" w:eastAsia="宋体" w:cs="宋体"/>
          <w:color w:val="000000"/>
          <w:kern w:val="2"/>
          <w:sz w:val="21"/>
          <w:szCs w:val="21"/>
          <w:highlight w:val="none"/>
          <w:u w:val="single"/>
        </w:rPr>
        <w:t>承包人应在竣工验收合格后28天内向发包人移交竣工资料</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承包人提交的竣工资料形式要求：</w:t>
      </w:r>
      <w:r>
        <w:rPr>
          <w:rFonts w:hint="eastAsia" w:ascii="宋体" w:hAnsi="宋体" w:eastAsia="宋体" w:cs="宋体"/>
          <w:color w:val="000000"/>
          <w:kern w:val="2"/>
          <w:sz w:val="21"/>
          <w:szCs w:val="21"/>
          <w:highlight w:val="none"/>
          <w:u w:val="single"/>
        </w:rPr>
        <w:t>除提供纸质文件外，还应提供相关信息电子文件及影像文件</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jc w:val="left"/>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（10）承包人应履行的其他义务：</w:t>
      </w:r>
      <w:r>
        <w:rPr>
          <w:rFonts w:hint="eastAsia" w:ascii="宋体" w:hAnsi="宋体" w:eastAsia="宋体" w:cs="宋体"/>
          <w:color w:val="000000"/>
          <w:kern w:val="2"/>
          <w:sz w:val="21"/>
          <w:szCs w:val="21"/>
          <w:highlight w:val="none"/>
          <w:u w:val="single"/>
        </w:rPr>
        <w:t xml:space="preserve"> 包括但不限于以下内容  </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bookmarkStart w:id="2717" w:name="_Toc31297"/>
      <w:bookmarkStart w:id="2718" w:name="_Toc448911890"/>
      <w:r>
        <w:rPr>
          <w:rFonts w:hint="eastAsia" w:ascii="宋体" w:hAnsi="宋体" w:eastAsia="宋体" w:cs="宋体"/>
          <w:color w:val="000000"/>
          <w:kern w:val="2"/>
          <w:sz w:val="21"/>
          <w:szCs w:val="21"/>
          <w:highlight w:val="none"/>
        </w:rPr>
        <w:t>1）编制切实可行的施工组织设计：</w:t>
      </w:r>
      <w:r>
        <w:rPr>
          <w:rFonts w:hint="eastAsia" w:ascii="宋体" w:hAnsi="宋体" w:eastAsia="宋体" w:cs="宋体"/>
          <w:color w:val="000000"/>
          <w:kern w:val="2"/>
          <w:sz w:val="21"/>
          <w:szCs w:val="21"/>
          <w:highlight w:val="none"/>
          <w:u w:val="single"/>
        </w:rPr>
        <w:t>签订工程承包合同14日内，承包人应提供细化后的施工组织设计，报发包人及监理单位审批，施工组织设计应包括全部设备、材料、成品、半成品等需求供应进场计划，人员安排、质保体系、安全文明施工措施、保密措施、施工机械设备配置情况，以及施工现场优化布置等内容。发包人接到监理报来的施工组织设计之日起5日内组织审核批准或提出修改意见，因施工组织设计变化引起的经费增减，结算时该部分价款不再调整。承包人不按时送审符合要求的施工组织设计，造成发包人无法判断工程进展顺利与否，发包人可拒付相应部分工程进度款，责任由承包人承担。</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根据项目质量目标和质量保证体系，协助、要求和督促各专业承包人建立起完善的专业工程质量目标和质量保证体系，确保质量体系的有效运行，并定期检查质量保证体系的运行情况。</w:t>
      </w:r>
    </w:p>
    <w:p>
      <w:pPr>
        <w:pageBreakBefore w:val="0"/>
        <w:tabs>
          <w:tab w:val="left" w:pos="525"/>
        </w:tabs>
        <w:kinsoku/>
        <w:wordWrap/>
        <w:overflowPunct/>
        <w:topLinePunct w:val="0"/>
        <w:bidi w:val="0"/>
        <w:adjustRightInd w:val="0"/>
        <w:snapToGrid w:val="0"/>
        <w:spacing w:line="460" w:lineRule="exact"/>
        <w:ind w:firstLine="420" w:firstLineChars="200"/>
        <w:jc w:val="left"/>
        <w:textAlignment w:val="baseline"/>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 xml:space="preserve">  2）工程现场管理方面：</w:t>
      </w:r>
      <w:r>
        <w:rPr>
          <w:rFonts w:hint="eastAsia" w:ascii="宋体" w:hAnsi="宋体" w:eastAsia="宋体" w:cs="宋体"/>
          <w:color w:val="000000"/>
          <w:kern w:val="2"/>
          <w:sz w:val="21"/>
          <w:szCs w:val="21"/>
          <w:highlight w:val="none"/>
          <w:u w:val="single"/>
        </w:rPr>
        <w:t>承包人须对本合同下的整个工程负责，对整个现场的施工组织和施工方案的适用性、稳定性和安全性负全面责任；并对在施工现场或者附近实施与合同工程有关的其他工作的独立承包人履行管理、协调、配合、照管和服务义务。</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承包人</w:t>
      </w:r>
      <w:r>
        <w:rPr>
          <w:rFonts w:hint="eastAsia" w:ascii="宋体" w:hAnsi="宋体" w:cs="宋体"/>
          <w:color w:val="000000"/>
          <w:kern w:val="2"/>
          <w:sz w:val="21"/>
          <w:szCs w:val="21"/>
          <w:highlight w:val="none"/>
          <w:u w:val="single"/>
          <w:lang w:val="en-US" w:eastAsia="zh-CN"/>
        </w:rPr>
        <w:t>任命的项目负责人</w:t>
      </w:r>
      <w:r>
        <w:rPr>
          <w:rFonts w:hint="eastAsia" w:ascii="宋体" w:hAnsi="宋体" w:eastAsia="宋体" w:cs="宋体"/>
          <w:color w:val="000000"/>
          <w:kern w:val="2"/>
          <w:sz w:val="21"/>
          <w:szCs w:val="21"/>
          <w:highlight w:val="none"/>
          <w:u w:val="single"/>
        </w:rPr>
        <w:t>应参加本工程相关施工协调、配合会，服从发包人及现场总监的决定；应制定相应的管理办法，以确保现场始终处于整洁状态；承包人制定的管理办法须经过监理人的审批。</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承包人须做好施工记录，隐蔽工程记录，汇集施工技术资料，包括摄影、录像资料。负责做好施工现场安全保卫和施工现场的组织管理工作，创建文明施工工地及标准化管理。</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承包人必须配备专职的人员，每月二十五日向发包人书面报送《下月施工计划》和《本月完成工程量月报表》，下月施工计划必须具体、详细，包括人力安排、工程量等。如不按时、按要求报送，发包人有权不予支付本期进度款或支付时间顺延。</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3）协调配合方面：</w:t>
      </w:r>
      <w:r>
        <w:rPr>
          <w:rFonts w:hint="eastAsia" w:ascii="宋体" w:hAnsi="宋体" w:eastAsia="宋体" w:cs="宋体"/>
          <w:color w:val="000000"/>
          <w:kern w:val="2"/>
          <w:sz w:val="21"/>
          <w:szCs w:val="21"/>
          <w:highlight w:val="none"/>
          <w:u w:val="single"/>
        </w:rPr>
        <w:t>承包人在施工中的问题应本着“文来文去”的原则。由项目经理签署并报监理单位审核后，报发包人代表签署方为有效。所有由监理人发给承包人的指示</w:t>
      </w:r>
      <w:r>
        <w:rPr>
          <w:rFonts w:hint="eastAsia" w:ascii="宋体" w:hAnsi="宋体" w:cs="宋体"/>
          <w:color w:val="000000"/>
          <w:kern w:val="2"/>
          <w:sz w:val="21"/>
          <w:szCs w:val="21"/>
          <w:highlight w:val="none"/>
          <w:u w:val="single"/>
          <w:lang w:val="en-US" w:eastAsia="zh-CN"/>
        </w:rPr>
        <w:t>需</w:t>
      </w:r>
      <w:r>
        <w:rPr>
          <w:rFonts w:hint="eastAsia" w:ascii="宋体" w:hAnsi="宋体" w:eastAsia="宋体" w:cs="宋体"/>
          <w:color w:val="000000"/>
          <w:kern w:val="2"/>
          <w:sz w:val="21"/>
          <w:szCs w:val="21"/>
          <w:highlight w:val="none"/>
          <w:u w:val="single"/>
        </w:rPr>
        <w:t>及时得到落实。</w:t>
      </w:r>
    </w:p>
    <w:p>
      <w:pPr>
        <w:pageBreakBefore w:val="0"/>
        <w:tabs>
          <w:tab w:val="left" w:pos="525"/>
        </w:tabs>
        <w:kinsoku/>
        <w:wordWrap/>
        <w:overflowPunct/>
        <w:topLinePunct w:val="0"/>
        <w:bidi w:val="0"/>
        <w:adjustRightInd w:val="0"/>
        <w:snapToGrid w:val="0"/>
        <w:spacing w:line="460" w:lineRule="exact"/>
        <w:ind w:firstLine="420" w:firstLineChars="200"/>
        <w:jc w:val="left"/>
        <w:textAlignment w:val="baseline"/>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承包人全面负责工程施工质量，并对</w:t>
      </w:r>
      <w:r>
        <w:rPr>
          <w:rFonts w:hint="eastAsia" w:ascii="宋体" w:hAnsi="宋体" w:cs="宋体"/>
          <w:color w:val="000000"/>
          <w:kern w:val="2"/>
          <w:sz w:val="21"/>
          <w:szCs w:val="21"/>
          <w:highlight w:val="none"/>
          <w:u w:val="single"/>
          <w:lang w:val="en-US" w:eastAsia="zh-CN"/>
        </w:rPr>
        <w:t>整个项目</w:t>
      </w:r>
      <w:r>
        <w:rPr>
          <w:rFonts w:hint="eastAsia" w:ascii="宋体" w:hAnsi="宋体" w:eastAsia="宋体" w:cs="宋体"/>
          <w:color w:val="000000"/>
          <w:kern w:val="2"/>
          <w:sz w:val="21"/>
          <w:szCs w:val="21"/>
          <w:highlight w:val="none"/>
          <w:u w:val="single"/>
        </w:rPr>
        <w:t>施工质量实行全过程、全方位的监督管理；全面负责工程的整体进度，主动提供施工程序及时间表</w:t>
      </w:r>
      <w:r>
        <w:rPr>
          <w:rFonts w:hint="eastAsia" w:ascii="宋体" w:hAnsi="宋体" w:cs="宋体"/>
          <w:color w:val="000000"/>
          <w:kern w:val="2"/>
          <w:sz w:val="21"/>
          <w:szCs w:val="21"/>
          <w:highlight w:val="none"/>
          <w:u w:val="single"/>
          <w:lang w:eastAsia="zh-CN"/>
        </w:rPr>
        <w:t>，</w:t>
      </w:r>
      <w:r>
        <w:rPr>
          <w:rFonts w:hint="eastAsia" w:ascii="宋体" w:hAnsi="宋体" w:eastAsia="宋体" w:cs="宋体"/>
          <w:color w:val="000000"/>
          <w:kern w:val="2"/>
          <w:sz w:val="21"/>
          <w:szCs w:val="21"/>
          <w:highlight w:val="none"/>
          <w:u w:val="single"/>
        </w:rPr>
        <w:t>严格程序控制和过程控制。</w:t>
      </w:r>
    </w:p>
    <w:p>
      <w:pPr>
        <w:pageBreakBefore w:val="0"/>
        <w:tabs>
          <w:tab w:val="left" w:pos="525"/>
        </w:tabs>
        <w:kinsoku/>
        <w:wordWrap/>
        <w:overflowPunct/>
        <w:topLinePunct w:val="0"/>
        <w:bidi w:val="0"/>
        <w:adjustRightInd w:val="0"/>
        <w:snapToGrid w:val="0"/>
        <w:spacing w:line="460" w:lineRule="exact"/>
        <w:ind w:firstLine="420" w:firstLineChars="200"/>
        <w:jc w:val="left"/>
        <w:textAlignment w:val="baseline"/>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积极主动</w:t>
      </w:r>
      <w:r>
        <w:rPr>
          <w:rFonts w:hint="eastAsia" w:ascii="宋体" w:hAnsi="宋体" w:cs="宋体"/>
          <w:color w:val="000000"/>
          <w:kern w:val="2"/>
          <w:sz w:val="21"/>
          <w:szCs w:val="21"/>
          <w:highlight w:val="none"/>
          <w:u w:val="single"/>
          <w:lang w:val="en-US" w:eastAsia="zh-CN"/>
        </w:rPr>
        <w:t>汇报，</w:t>
      </w:r>
      <w:r>
        <w:rPr>
          <w:rFonts w:hint="eastAsia" w:ascii="宋体" w:hAnsi="宋体" w:eastAsia="宋体" w:cs="宋体"/>
          <w:color w:val="000000"/>
          <w:kern w:val="2"/>
          <w:sz w:val="21"/>
          <w:szCs w:val="21"/>
          <w:highlight w:val="none"/>
          <w:u w:val="single"/>
        </w:rPr>
        <w:t>合理分配现场各项资源（包括场地）和机械设备，合理安排施工顺序，确保关键施工线路得以保障。承包人应当服从发包人的指令。</w:t>
      </w:r>
    </w:p>
    <w:p>
      <w:pPr>
        <w:pageBreakBefore w:val="0"/>
        <w:tabs>
          <w:tab w:val="left" w:pos="525"/>
        </w:tabs>
        <w:kinsoku/>
        <w:wordWrap/>
        <w:overflowPunct/>
        <w:topLinePunct w:val="0"/>
        <w:bidi w:val="0"/>
        <w:adjustRightInd w:val="0"/>
        <w:snapToGrid w:val="0"/>
        <w:spacing w:line="460" w:lineRule="exact"/>
        <w:ind w:firstLine="420" w:firstLineChars="200"/>
        <w:jc w:val="left"/>
        <w:textAlignment w:val="baseline"/>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对竣工资料进行统一整理汇总，协调施工试验及监督有见证取样送检工作；对本工程范围内作</w:t>
      </w:r>
      <w:r>
        <w:rPr>
          <w:rFonts w:hint="eastAsia" w:ascii="宋体" w:hAnsi="宋体" w:cs="宋体"/>
          <w:color w:val="000000"/>
          <w:kern w:val="2"/>
          <w:sz w:val="21"/>
          <w:szCs w:val="21"/>
          <w:highlight w:val="none"/>
          <w:u w:val="single"/>
          <w:lang w:val="en-US" w:eastAsia="zh-CN"/>
        </w:rPr>
        <w:t>业</w:t>
      </w:r>
      <w:r>
        <w:rPr>
          <w:rFonts w:hint="eastAsia" w:ascii="宋体" w:hAnsi="宋体" w:eastAsia="宋体" w:cs="宋体"/>
          <w:color w:val="000000"/>
          <w:kern w:val="2"/>
          <w:sz w:val="21"/>
          <w:szCs w:val="21"/>
          <w:highlight w:val="none"/>
          <w:u w:val="single"/>
        </w:rPr>
        <w:t>全面的看管、防盗窃及破坏等。</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3.2 项目经理</w:t>
      </w:r>
      <w:bookmarkEnd w:id="2717"/>
      <w:bookmarkEnd w:id="2718"/>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kern w:val="2"/>
          <w:sz w:val="21"/>
          <w:szCs w:val="21"/>
          <w:highlight w:val="none"/>
        </w:rPr>
        <w:t>项目经理：</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姓名：</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身份证号：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建造师执业资格等级：</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建造师注册证书号：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建造师执业印章号：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安全生产考核合格证书号：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联系电话：</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电子信箱：</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通信地址：</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承包人对项目经理的授权范围如下：</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b/>
          <w:bCs/>
          <w:color w:val="000000"/>
          <w:kern w:val="2"/>
          <w:sz w:val="21"/>
          <w:szCs w:val="21"/>
          <w:highlight w:val="none"/>
          <w:u w:val="single"/>
        </w:rPr>
      </w:pPr>
      <w:bookmarkStart w:id="2719" w:name="_Toc448911892"/>
      <w:bookmarkStart w:id="2720" w:name="_Toc19059"/>
      <w:r>
        <w:rPr>
          <w:rFonts w:hint="eastAsia" w:ascii="宋体" w:hAnsi="宋体" w:eastAsia="宋体" w:cs="宋体"/>
          <w:color w:val="000000"/>
          <w:kern w:val="2"/>
          <w:sz w:val="21"/>
          <w:szCs w:val="21"/>
          <w:highlight w:val="none"/>
        </w:rPr>
        <w:t>关于项目经理每月在施工现场的时间要求：</w:t>
      </w:r>
      <w:r>
        <w:rPr>
          <w:rFonts w:hint="eastAsia" w:ascii="宋体" w:hAnsi="宋体" w:eastAsia="宋体" w:cs="宋体"/>
          <w:b/>
          <w:bCs/>
          <w:color w:val="000000"/>
          <w:kern w:val="2"/>
          <w:sz w:val="21"/>
          <w:szCs w:val="21"/>
          <w:highlight w:val="none"/>
          <w:u w:val="single"/>
        </w:rPr>
        <w:t>每周不少于6天，每天不少于</w:t>
      </w:r>
      <w:r>
        <w:rPr>
          <w:rFonts w:hint="eastAsia" w:ascii="宋体" w:hAnsi="宋体" w:cs="宋体"/>
          <w:b/>
          <w:bCs/>
          <w:color w:val="000000"/>
          <w:kern w:val="2"/>
          <w:sz w:val="21"/>
          <w:szCs w:val="21"/>
          <w:highlight w:val="none"/>
          <w:u w:val="single"/>
          <w:lang w:val="en-US" w:eastAsia="zh-CN"/>
        </w:rPr>
        <w:t>7</w:t>
      </w:r>
      <w:r>
        <w:rPr>
          <w:rFonts w:hint="eastAsia" w:ascii="宋体" w:hAnsi="宋体" w:eastAsia="宋体" w:cs="宋体"/>
          <w:b/>
          <w:bCs/>
          <w:color w:val="000000"/>
          <w:kern w:val="2"/>
          <w:sz w:val="21"/>
          <w:szCs w:val="21"/>
          <w:highlight w:val="none"/>
          <w:u w:val="single"/>
        </w:rPr>
        <w:t>小时，项目负责人每月带班生产时间不得少于施工时间的80%</w:t>
      </w:r>
      <w:r>
        <w:rPr>
          <w:rFonts w:hint="eastAsia" w:ascii="宋体" w:hAnsi="宋体" w:cs="宋体"/>
          <w:b/>
          <w:bCs/>
          <w:color w:val="000000"/>
          <w:kern w:val="2"/>
          <w:sz w:val="21"/>
          <w:szCs w:val="21"/>
          <w:highlight w:val="none"/>
          <w:u w:val="single"/>
          <w:lang w:eastAsia="zh-CN"/>
        </w:rPr>
        <w:t>。</w:t>
      </w:r>
      <w:r>
        <w:rPr>
          <w:rFonts w:hint="eastAsia" w:ascii="宋体" w:hAnsi="宋体" w:eastAsia="宋体" w:cs="宋体"/>
          <w:b/>
          <w:bCs/>
          <w:color w:val="000000"/>
          <w:kern w:val="2"/>
          <w:sz w:val="21"/>
          <w:szCs w:val="21"/>
          <w:highlight w:val="none"/>
          <w:u w:val="single"/>
        </w:rPr>
        <w:t>在本工程现场工作，且必须参加每周召开的例会（有事须书面请假，需发包人书面认可）。如发现项目经理不在现场，每次罚</w:t>
      </w:r>
      <w:r>
        <w:rPr>
          <w:rFonts w:hint="eastAsia" w:ascii="宋体" w:hAnsi="宋体" w:cs="宋体"/>
          <w:b/>
          <w:bCs/>
          <w:color w:val="000000"/>
          <w:kern w:val="2"/>
          <w:sz w:val="21"/>
          <w:szCs w:val="21"/>
          <w:highlight w:val="none"/>
          <w:u w:val="single"/>
          <w:lang w:val="en-US" w:eastAsia="zh-CN"/>
        </w:rPr>
        <w:t>10000</w:t>
      </w:r>
      <w:r>
        <w:rPr>
          <w:rFonts w:hint="eastAsia" w:ascii="宋体" w:hAnsi="宋体" w:eastAsia="宋体" w:cs="宋体"/>
          <w:b/>
          <w:bCs/>
          <w:color w:val="000000"/>
          <w:kern w:val="2"/>
          <w:sz w:val="21"/>
          <w:szCs w:val="21"/>
          <w:highlight w:val="none"/>
          <w:u w:val="single"/>
        </w:rPr>
        <w:t>元整。如因故不在工程现场须提前向发包人报备且缺席时间不超过5天。如未报备且连续5天不在现场，发包人有权要求更换不称职的项目经理，并追究违约责任，发包人有权扣除5万元违约金。项目经理考勤方法为发包人考勤</w:t>
      </w:r>
      <w:r>
        <w:rPr>
          <w:rFonts w:hint="eastAsia" w:ascii="宋体" w:hAnsi="宋体" w:cs="宋体"/>
          <w:b/>
          <w:bCs/>
          <w:color w:val="000000"/>
          <w:kern w:val="2"/>
          <w:sz w:val="21"/>
          <w:szCs w:val="21"/>
          <w:highlight w:val="none"/>
          <w:u w:val="single"/>
          <w:lang w:eastAsia="zh-CN"/>
        </w:rPr>
        <w:t>（</w:t>
      </w:r>
      <w:r>
        <w:rPr>
          <w:rFonts w:hint="eastAsia" w:ascii="宋体" w:hAnsi="宋体" w:cs="宋体"/>
          <w:b/>
          <w:bCs/>
          <w:color w:val="000000"/>
          <w:kern w:val="2"/>
          <w:sz w:val="21"/>
          <w:szCs w:val="21"/>
          <w:highlight w:val="none"/>
          <w:u w:val="single"/>
          <w:lang w:val="en-US" w:eastAsia="zh-CN"/>
        </w:rPr>
        <w:t>监理监督</w:t>
      </w:r>
      <w:r>
        <w:rPr>
          <w:rFonts w:hint="eastAsia" w:ascii="宋体" w:hAnsi="宋体" w:cs="宋体"/>
          <w:b/>
          <w:bCs/>
          <w:color w:val="000000"/>
          <w:kern w:val="2"/>
          <w:sz w:val="21"/>
          <w:szCs w:val="21"/>
          <w:highlight w:val="none"/>
          <w:u w:val="single"/>
          <w:lang w:eastAsia="zh-CN"/>
        </w:rPr>
        <w:t>）</w:t>
      </w:r>
      <w:r>
        <w:rPr>
          <w:rFonts w:hint="eastAsia" w:ascii="宋体" w:hAnsi="宋体" w:eastAsia="宋体" w:cs="宋体"/>
          <w:b/>
          <w:bCs/>
          <w:color w:val="000000"/>
          <w:kern w:val="2"/>
          <w:sz w:val="21"/>
          <w:szCs w:val="21"/>
          <w:highlight w:val="none"/>
          <w:u w:val="single"/>
        </w:rPr>
        <w:t>。</w:t>
      </w:r>
    </w:p>
    <w:p>
      <w:pPr>
        <w:pageBreakBefore w:val="0"/>
        <w:kinsoku/>
        <w:wordWrap/>
        <w:overflowPunct/>
        <w:topLinePunct w:val="0"/>
        <w:bidi w:val="0"/>
        <w:adjustRightInd w:val="0"/>
        <w:snapToGrid w:val="0"/>
        <w:spacing w:line="460" w:lineRule="exact"/>
        <w:ind w:firstLine="422" w:firstLineChars="200"/>
        <w:jc w:val="left"/>
        <w:rPr>
          <w:rFonts w:hint="eastAsia" w:ascii="宋体" w:hAnsi="宋体" w:eastAsia="宋体" w:cs="宋体"/>
          <w:b/>
          <w:bCs/>
          <w:color w:val="000000"/>
          <w:kern w:val="2"/>
          <w:sz w:val="21"/>
          <w:szCs w:val="21"/>
          <w:highlight w:val="none"/>
          <w:u w:val="single"/>
          <w:lang w:eastAsia="zh-CN"/>
        </w:rPr>
      </w:pPr>
      <w:r>
        <w:rPr>
          <w:rFonts w:hint="eastAsia" w:ascii="宋体" w:hAnsi="宋体" w:cs="宋体"/>
          <w:b/>
          <w:bCs/>
          <w:color w:val="000000"/>
          <w:kern w:val="2"/>
          <w:sz w:val="21"/>
          <w:szCs w:val="21"/>
          <w:highlight w:val="none"/>
          <w:u w:val="single"/>
          <w:lang w:val="en-US" w:eastAsia="zh-CN"/>
        </w:rPr>
        <w:t>如项目经理未在班时</w:t>
      </w:r>
      <w:r>
        <w:rPr>
          <w:rFonts w:hint="eastAsia" w:ascii="宋体" w:hAnsi="宋体" w:eastAsia="宋体" w:cs="宋体"/>
          <w:b/>
          <w:bCs/>
          <w:color w:val="000000"/>
          <w:kern w:val="2"/>
          <w:sz w:val="21"/>
          <w:szCs w:val="21"/>
          <w:highlight w:val="none"/>
          <w:u w:val="single"/>
        </w:rPr>
        <w:t>发生质量安全事故</w:t>
      </w:r>
      <w:r>
        <w:rPr>
          <w:rFonts w:hint="eastAsia" w:ascii="宋体" w:hAnsi="宋体" w:cs="宋体"/>
          <w:b/>
          <w:bCs/>
          <w:color w:val="000000"/>
          <w:kern w:val="2"/>
          <w:sz w:val="21"/>
          <w:szCs w:val="21"/>
          <w:highlight w:val="none"/>
          <w:u w:val="single"/>
          <w:lang w:eastAsia="zh-CN"/>
        </w:rPr>
        <w:t>，</w:t>
      </w:r>
      <w:r>
        <w:rPr>
          <w:rFonts w:hint="eastAsia" w:ascii="宋体" w:hAnsi="宋体" w:cs="宋体"/>
          <w:b/>
          <w:bCs/>
          <w:color w:val="000000"/>
          <w:kern w:val="2"/>
          <w:sz w:val="21"/>
          <w:szCs w:val="21"/>
          <w:highlight w:val="none"/>
          <w:u w:val="single"/>
          <w:lang w:val="en-US" w:eastAsia="zh-CN"/>
        </w:rPr>
        <w:t>将按照</w:t>
      </w:r>
      <w:r>
        <w:rPr>
          <w:rFonts w:hint="eastAsia" w:ascii="宋体" w:hAnsi="宋体" w:eastAsia="宋体" w:cs="宋体"/>
          <w:b/>
          <w:bCs/>
          <w:color w:val="000000"/>
          <w:kern w:val="2"/>
          <w:sz w:val="21"/>
          <w:szCs w:val="21"/>
          <w:highlight w:val="none"/>
          <w:u w:val="single"/>
        </w:rPr>
        <w:t>住房城乡建设主管部门要按有关规定处理</w:t>
      </w:r>
      <w:r>
        <w:rPr>
          <w:rFonts w:hint="eastAsia" w:ascii="宋体" w:hAnsi="宋体" w:cs="宋体"/>
          <w:b/>
          <w:bCs/>
          <w:color w:val="000000"/>
          <w:kern w:val="2"/>
          <w:sz w:val="21"/>
          <w:szCs w:val="21"/>
          <w:highlight w:val="none"/>
          <w:u w:val="single"/>
          <w:lang w:eastAsia="zh-CN"/>
        </w:rPr>
        <w:t>，</w:t>
      </w:r>
    </w:p>
    <w:p>
      <w:pPr>
        <w:pageBreakBefore w:val="0"/>
        <w:kinsoku/>
        <w:wordWrap/>
        <w:overflowPunct/>
        <w:topLinePunct w:val="0"/>
        <w:bidi w:val="0"/>
        <w:adjustRightInd w:val="0"/>
        <w:snapToGrid w:val="0"/>
        <w:spacing w:line="460" w:lineRule="exact"/>
        <w:jc w:val="left"/>
        <w:rPr>
          <w:rFonts w:hint="eastAsia" w:ascii="宋体" w:hAnsi="宋体" w:eastAsia="宋体" w:cs="宋体"/>
          <w:b/>
          <w:bCs/>
          <w:color w:val="000000"/>
          <w:kern w:val="2"/>
          <w:sz w:val="21"/>
          <w:szCs w:val="21"/>
          <w:highlight w:val="none"/>
          <w:u w:val="single"/>
        </w:rPr>
      </w:pPr>
      <w:r>
        <w:rPr>
          <w:rFonts w:hint="eastAsia" w:ascii="宋体" w:hAnsi="宋体" w:eastAsia="宋体" w:cs="宋体"/>
          <w:b/>
          <w:bCs/>
          <w:color w:val="000000"/>
          <w:kern w:val="2"/>
          <w:sz w:val="21"/>
          <w:szCs w:val="21"/>
          <w:highlight w:val="none"/>
          <w:u w:val="single"/>
        </w:rPr>
        <w:t>给予企业规定上限的经济处罚，并依法从重追究企业法定代表人及相关人员的责任。</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rPr>
        <w:t>承包人未提交劳动合同，以及没有为项目经理缴纳社会保险证明的违约责任：</w:t>
      </w:r>
      <w:r>
        <w:rPr>
          <w:rFonts w:hint="eastAsia" w:ascii="宋体" w:hAnsi="宋体" w:eastAsia="宋体" w:cs="宋体"/>
          <w:b/>
          <w:bCs/>
          <w:color w:val="000000"/>
          <w:kern w:val="2"/>
          <w:sz w:val="21"/>
          <w:szCs w:val="21"/>
          <w:highlight w:val="none"/>
          <w:u w:val="single"/>
        </w:rPr>
        <w:t>承包人须向发包人支付2万元违约金，并限期提交劳动合同并补缴社会保险</w:t>
      </w:r>
      <w:r>
        <w:rPr>
          <w:rFonts w:hint="eastAsia" w:ascii="宋体" w:hAnsi="宋体" w:eastAsia="宋体" w:cs="宋体"/>
          <w:b/>
          <w:bCs/>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项目经理未经批准，擅自离开施工现场的违约责任：</w:t>
      </w:r>
      <w:r>
        <w:rPr>
          <w:rFonts w:hint="eastAsia" w:ascii="宋体" w:hAnsi="宋体" w:eastAsia="宋体" w:cs="宋体"/>
          <w:color w:val="000000"/>
          <w:kern w:val="2"/>
          <w:sz w:val="21"/>
          <w:szCs w:val="21"/>
          <w:highlight w:val="none"/>
          <w:u w:val="single"/>
        </w:rPr>
        <w:t>承包人须向发包人支付1万元/次违约金，并承担上述违约给发包人造成的一切损失</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3.2.3 承包人擅自更换项目经理的违约责任：</w:t>
      </w:r>
      <w:r>
        <w:rPr>
          <w:rFonts w:hint="eastAsia" w:ascii="宋体" w:hAnsi="宋体" w:eastAsia="宋体" w:cs="宋体"/>
          <w:color w:val="000000"/>
          <w:kern w:val="2"/>
          <w:sz w:val="21"/>
          <w:szCs w:val="21"/>
          <w:highlight w:val="none"/>
          <w:u w:val="single"/>
        </w:rPr>
        <w:t>承包人须向发包人支付2万元/次违约金，并承担上述违约给发包人造成的一切损失</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3.2.4 承包人无正当理由拒绝更换项目经理的违约责任：</w:t>
      </w:r>
      <w:r>
        <w:rPr>
          <w:rFonts w:hint="eastAsia" w:ascii="宋体" w:hAnsi="宋体" w:eastAsia="宋体" w:cs="宋体"/>
          <w:color w:val="000000"/>
          <w:kern w:val="2"/>
          <w:sz w:val="21"/>
          <w:szCs w:val="21"/>
          <w:highlight w:val="none"/>
          <w:u w:val="single"/>
        </w:rPr>
        <w:t>承包人须向发包人支付1万元/次违约金，并承担上述违约给发包人造成的一切损失</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21" w:name="_Toc448911891"/>
      <w:bookmarkStart w:id="2722" w:name="_Toc18532"/>
      <w:r>
        <w:rPr>
          <w:rFonts w:hint="eastAsia" w:ascii="宋体" w:hAnsi="宋体" w:eastAsia="宋体" w:cs="宋体"/>
          <w:color w:val="000000"/>
          <w:kern w:val="2"/>
          <w:sz w:val="21"/>
          <w:szCs w:val="21"/>
          <w:highlight w:val="none"/>
        </w:rPr>
        <w:t>3.3 承包人人员</w:t>
      </w:r>
      <w:bookmarkEnd w:id="2721"/>
      <w:bookmarkEnd w:id="2722"/>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3.3.1 承包人提交项目管理机构及施工现场管理人员安排报告的期限：</w:t>
      </w:r>
      <w:r>
        <w:rPr>
          <w:rFonts w:hint="eastAsia" w:ascii="宋体" w:hAnsi="宋体" w:eastAsia="宋体" w:cs="宋体"/>
          <w:color w:val="000000"/>
          <w:kern w:val="2"/>
          <w:sz w:val="21"/>
          <w:szCs w:val="21"/>
          <w:highlight w:val="none"/>
          <w:u w:val="single"/>
        </w:rPr>
        <w:t>接到开工通知后3天内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3.3.3 承包人无正当理由拒绝撤换主要施工管理人员的违约责任：</w:t>
      </w:r>
      <w:r>
        <w:rPr>
          <w:rFonts w:hint="eastAsia" w:ascii="宋体" w:hAnsi="宋体" w:eastAsia="宋体" w:cs="宋体"/>
          <w:color w:val="000000"/>
          <w:kern w:val="2"/>
          <w:sz w:val="21"/>
          <w:szCs w:val="21"/>
          <w:highlight w:val="none"/>
          <w:u w:val="single"/>
        </w:rPr>
        <w:t>由此对发包人造成工期延误和经济损失由承包人承担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3.3.4 承包人主要施工管理人员离开施工现场的批准要求：</w:t>
      </w:r>
      <w:r>
        <w:rPr>
          <w:rFonts w:hint="eastAsia" w:ascii="宋体" w:hAnsi="宋体" w:eastAsia="宋体" w:cs="宋体"/>
          <w:color w:val="000000"/>
          <w:kern w:val="2"/>
          <w:sz w:val="21"/>
          <w:szCs w:val="21"/>
          <w:highlight w:val="none"/>
          <w:u w:val="single"/>
        </w:rPr>
        <w:t>由总监理工程师批准，发包人认可后方可离开</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3.3.5承包人擅自更换主要施工管理人员的违约责任：</w:t>
      </w:r>
      <w:r>
        <w:rPr>
          <w:rFonts w:hint="eastAsia" w:ascii="宋体" w:hAnsi="宋体" w:eastAsia="宋体" w:cs="宋体"/>
          <w:color w:val="000000"/>
          <w:kern w:val="2"/>
          <w:sz w:val="21"/>
          <w:szCs w:val="21"/>
          <w:highlight w:val="none"/>
          <w:u w:val="single"/>
        </w:rPr>
        <w:t>未经发包人同意，不得擅自更换主要施工管理人员，否则承包人将承担中标价2%的违约金</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承包人主要施工管理人员擅自离开施工现场的违约责任：</w:t>
      </w:r>
      <w:r>
        <w:rPr>
          <w:rFonts w:hint="eastAsia" w:ascii="宋体" w:hAnsi="宋体" w:eastAsia="宋体" w:cs="宋体"/>
          <w:color w:val="000000"/>
          <w:kern w:val="2"/>
          <w:sz w:val="21"/>
          <w:szCs w:val="21"/>
          <w:highlight w:val="none"/>
          <w:u w:val="single"/>
        </w:rPr>
        <w:t>项目技术负责人每缺一天罚款2000元人民币，其他每缺一天，罚款300元，并在当月工程进度款中扣除</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w:t>
      </w:r>
      <w:bookmarkStart w:id="2723" w:name="_Toc296890987"/>
      <w:bookmarkStart w:id="2724" w:name="_Toc297123492"/>
      <w:bookmarkStart w:id="2725" w:name="_Toc297216151"/>
      <w:bookmarkStart w:id="2726" w:name="_Toc296347158"/>
      <w:bookmarkStart w:id="2727" w:name="_Toc296346660"/>
      <w:bookmarkStart w:id="2728" w:name="_Toc297120459"/>
      <w:bookmarkStart w:id="2729" w:name="_Toc297048345"/>
      <w:bookmarkStart w:id="2730" w:name="_Toc303539102"/>
      <w:bookmarkStart w:id="2731" w:name="_Toc296891199"/>
      <w:bookmarkStart w:id="2732" w:name="_Toc296503159"/>
      <w:bookmarkStart w:id="2733" w:name="_Toc296944498"/>
      <w:bookmarkStart w:id="2734" w:name="_Toc292559364"/>
      <w:bookmarkStart w:id="2735" w:name="_Toc312677988"/>
      <w:bookmarkStart w:id="2736" w:name="_Toc304295523"/>
      <w:bookmarkStart w:id="2737" w:name="_Toc300934945"/>
      <w:bookmarkStart w:id="2738" w:name="_Toc292559869"/>
      <w:r>
        <w:rPr>
          <w:rFonts w:hint="eastAsia" w:ascii="宋体" w:hAnsi="宋体" w:eastAsia="宋体" w:cs="宋体"/>
          <w:color w:val="000000"/>
          <w:kern w:val="2"/>
          <w:sz w:val="21"/>
          <w:szCs w:val="21"/>
          <w:highlight w:val="none"/>
        </w:rPr>
        <w:t>.5 分包</w:t>
      </w:r>
      <w:bookmarkEnd w:id="2719"/>
      <w:bookmarkEnd w:id="2720"/>
    </w:p>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bookmarkStart w:id="2739" w:name="_Toc312677990"/>
      <w:bookmarkStart w:id="2740" w:name="_Toc318581159"/>
      <w:r>
        <w:rPr>
          <w:rFonts w:hint="eastAsia" w:ascii="宋体" w:hAnsi="宋体" w:eastAsia="宋体" w:cs="宋体"/>
          <w:color w:val="000000"/>
          <w:kern w:val="2"/>
          <w:sz w:val="21"/>
          <w:szCs w:val="21"/>
          <w:highlight w:val="none"/>
        </w:rPr>
        <w:t>3</w:t>
      </w:r>
      <w:bookmarkStart w:id="2741" w:name="_Toc296944499"/>
      <w:bookmarkStart w:id="2742" w:name="_Toc300934946"/>
      <w:bookmarkStart w:id="2743" w:name="_Toc296890988"/>
      <w:bookmarkStart w:id="2744" w:name="_Toc304295524"/>
      <w:bookmarkStart w:id="2745" w:name="_Toc296891200"/>
      <w:bookmarkStart w:id="2746" w:name="_Toc292559870"/>
      <w:bookmarkStart w:id="2747" w:name="_Toc297216152"/>
      <w:bookmarkStart w:id="2748" w:name="_Toc297120460"/>
      <w:bookmarkStart w:id="2749" w:name="_Toc297048346"/>
      <w:bookmarkStart w:id="2750" w:name="_Toc303539103"/>
      <w:bookmarkStart w:id="2751" w:name="_Toc296346661"/>
      <w:bookmarkStart w:id="2752" w:name="_Toc296503160"/>
      <w:bookmarkStart w:id="2753" w:name="_Toc292559365"/>
      <w:bookmarkStart w:id="2754" w:name="_Toc296347159"/>
      <w:bookmarkStart w:id="2755" w:name="_Toc297123493"/>
      <w:bookmarkStart w:id="2756" w:name="_Toc312677989"/>
      <w:bookmarkStart w:id="2757" w:name="_Toc318581158"/>
      <w:r>
        <w:rPr>
          <w:rFonts w:hint="eastAsia" w:ascii="宋体" w:hAnsi="宋体" w:eastAsia="宋体" w:cs="宋体"/>
          <w:color w:val="000000"/>
          <w:kern w:val="2"/>
          <w:sz w:val="21"/>
          <w:szCs w:val="21"/>
          <w:highlight w:val="none"/>
        </w:rPr>
        <w:t>.5.1 分包的一般约定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禁止分包的工程包括：</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主体结构、关键性工作的范围：</w:t>
      </w:r>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Start w:id="2758" w:name="_Toc297123494"/>
      <w:bookmarkStart w:id="2759" w:name="_Toc300934947"/>
      <w:bookmarkStart w:id="2760" w:name="_Toc296944500"/>
      <w:bookmarkStart w:id="2761" w:name="_Toc296891201"/>
      <w:bookmarkStart w:id="2762" w:name="_Toc296503161"/>
      <w:bookmarkStart w:id="2763" w:name="_Toc304295525"/>
      <w:bookmarkStart w:id="2764" w:name="_Toc303539104"/>
      <w:bookmarkStart w:id="2765" w:name="_Toc297120461"/>
      <w:bookmarkStart w:id="2766" w:name="_Toc296346662"/>
      <w:bookmarkStart w:id="2767" w:name="_Toc297048347"/>
      <w:bookmarkStart w:id="2768" w:name="_Toc297216153"/>
      <w:bookmarkStart w:id="2769" w:name="_Toc296347160"/>
      <w:bookmarkStart w:id="2770" w:name="_Toc296890989"/>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3.5.2分包的确定</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 xml:space="preserve">    允许分包的专业工程包括：</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其他关于分包的约定：</w:t>
      </w:r>
      <w:r>
        <w:rPr>
          <w:rFonts w:hint="eastAsia" w:ascii="宋体" w:hAnsi="宋体" w:eastAsia="宋体" w:cs="宋体"/>
          <w:color w:val="000000"/>
          <w:kern w:val="2"/>
          <w:sz w:val="21"/>
          <w:szCs w:val="21"/>
          <w:highlight w:val="none"/>
          <w:u w:val="single"/>
        </w:rPr>
        <w:t>上述专业工程经发包人同意后承包人可自行分包，但分包人资质需满足招标文件第二章投标人须知前附表1.11的相关规定；</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3.5.4 分包合同价款</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关于分包合同价款支付的约定：</w:t>
      </w:r>
      <w:bookmarkEnd w:id="2739"/>
      <w:bookmarkEnd w:id="2740"/>
      <w:r>
        <w:rPr>
          <w:rFonts w:hint="eastAsia" w:ascii="宋体" w:hAnsi="宋体" w:cs="宋体"/>
          <w:color w:val="000000"/>
          <w:kern w:val="2"/>
          <w:sz w:val="21"/>
          <w:szCs w:val="21"/>
          <w:highlight w:val="none"/>
          <w:u w:val="single"/>
          <w:lang w:val="en-US" w:eastAsia="zh-CN"/>
        </w:rPr>
        <w:t xml:space="preserve">      /    </w:t>
      </w:r>
      <w:r>
        <w:rPr>
          <w:rFonts w:hint="eastAsia" w:ascii="宋体" w:hAnsi="宋体" w:eastAsia="宋体" w:cs="宋体"/>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71" w:name="_Toc207"/>
      <w:bookmarkStart w:id="2772" w:name="_Toc448911893"/>
      <w:r>
        <w:rPr>
          <w:rFonts w:hint="eastAsia" w:ascii="宋体" w:hAnsi="宋体" w:eastAsia="宋体" w:cs="宋体"/>
          <w:color w:val="000000"/>
          <w:kern w:val="2"/>
          <w:sz w:val="21"/>
          <w:szCs w:val="21"/>
          <w:highlight w:val="none"/>
        </w:rPr>
        <w:t>3.6 工程照管与成品、半成品保护</w:t>
      </w:r>
      <w:bookmarkEnd w:id="2771"/>
      <w:bookmarkEnd w:id="2772"/>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承包人负责照管工程及工程相关的材料、工程设备的起始时间：</w:t>
      </w:r>
      <w:r>
        <w:rPr>
          <w:rFonts w:hint="eastAsia" w:ascii="宋体" w:hAnsi="宋体" w:eastAsia="宋体" w:cs="宋体"/>
          <w:color w:val="000000"/>
          <w:sz w:val="21"/>
          <w:szCs w:val="21"/>
          <w:highlight w:val="none"/>
          <w:u w:val="single"/>
        </w:rPr>
        <w:t>从监理人发出开工通知中载明的开工日期之日起由承包人承担照管责任。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73" w:name="_Toc25170"/>
      <w:bookmarkStart w:id="2774" w:name="_Toc448911894"/>
      <w:r>
        <w:rPr>
          <w:rFonts w:hint="eastAsia" w:ascii="宋体" w:hAnsi="宋体" w:eastAsia="宋体" w:cs="宋体"/>
          <w:color w:val="000000"/>
          <w:kern w:val="2"/>
          <w:sz w:val="21"/>
          <w:szCs w:val="21"/>
          <w:highlight w:val="none"/>
        </w:rPr>
        <w:t>3.7 履约担保</w:t>
      </w:r>
      <w:bookmarkEnd w:id="2773"/>
      <w:bookmarkEnd w:id="2774"/>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bookmarkStart w:id="2775" w:name="_Toc31623"/>
      <w:bookmarkStart w:id="2776" w:name="_Toc5755"/>
      <w:bookmarkStart w:id="2777" w:name="_Toc4599871"/>
      <w:bookmarkStart w:id="2778" w:name="_Toc23364"/>
      <w:bookmarkStart w:id="2779" w:name="_Toc16760"/>
      <w:bookmarkStart w:id="2780" w:name="_Toc29"/>
      <w:bookmarkStart w:id="2781" w:name="_Toc9755"/>
      <w:bookmarkStart w:id="2782" w:name="_Toc23461"/>
      <w:bookmarkStart w:id="2783" w:name="_Toc351203636"/>
      <w:bookmarkStart w:id="2784" w:name="_Toc448911895"/>
      <w:r>
        <w:rPr>
          <w:rFonts w:hint="eastAsia" w:ascii="宋体" w:hAnsi="宋体" w:eastAsia="宋体" w:cs="宋体"/>
          <w:color w:val="000000"/>
          <w:kern w:val="2"/>
          <w:sz w:val="21"/>
          <w:szCs w:val="21"/>
          <w:highlight w:val="none"/>
        </w:rPr>
        <w:t>承包人是否提供履约担保：</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否</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承包人提供履约担保的形式、金额及期限的：</w:t>
      </w:r>
      <w:r>
        <w:rPr>
          <w:rFonts w:hint="eastAsia" w:ascii="宋体" w:hAnsi="宋体" w:cs="宋体"/>
          <w:color w:val="000000"/>
          <w:kern w:val="2"/>
          <w:sz w:val="21"/>
          <w:szCs w:val="21"/>
          <w:highlight w:val="none"/>
          <w:lang w:val="en-US" w:eastAsia="zh-CN"/>
        </w:rPr>
        <w:t>/</w:t>
      </w:r>
      <w:r>
        <w:rPr>
          <w:rFonts w:hint="eastAsia" w:ascii="宋体" w:hAnsi="宋体" w:eastAsia="宋体" w:cs="宋体"/>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4</w:t>
      </w:r>
      <w:bookmarkStart w:id="2785" w:name="_Toc267251413"/>
      <w:bookmarkStart w:id="2786" w:name="_Toc296890990"/>
      <w:bookmarkStart w:id="2787" w:name="_Toc296346663"/>
      <w:bookmarkStart w:id="2788" w:name="_Toc297048348"/>
      <w:bookmarkStart w:id="2789" w:name="_Toc292559871"/>
      <w:bookmarkStart w:id="2790" w:name="_Toc297120462"/>
      <w:bookmarkStart w:id="2791" w:name="_Toc292559366"/>
      <w:bookmarkStart w:id="2792" w:name="_Toc296503162"/>
      <w:bookmarkStart w:id="2793" w:name="_Toc296944501"/>
      <w:bookmarkStart w:id="2794" w:name="_Toc296891202"/>
      <w:bookmarkStart w:id="2795" w:name="_Toc296347161"/>
      <w:r>
        <w:rPr>
          <w:rFonts w:hint="eastAsia" w:ascii="宋体" w:hAnsi="宋体" w:eastAsia="宋体" w:cs="宋体"/>
          <w:color w:val="000000"/>
          <w:kern w:val="2"/>
          <w:sz w:val="21"/>
          <w:szCs w:val="21"/>
          <w:highlight w:val="none"/>
        </w:rPr>
        <w:t>.监</w:t>
      </w:r>
      <w:bookmarkEnd w:id="2785"/>
      <w:bookmarkEnd w:id="2786"/>
      <w:bookmarkEnd w:id="2787"/>
      <w:bookmarkEnd w:id="2788"/>
      <w:bookmarkEnd w:id="2789"/>
      <w:bookmarkEnd w:id="2790"/>
      <w:bookmarkEnd w:id="2791"/>
      <w:bookmarkEnd w:id="2792"/>
      <w:bookmarkEnd w:id="2793"/>
      <w:bookmarkEnd w:id="2794"/>
      <w:bookmarkEnd w:id="2795"/>
      <w:r>
        <w:rPr>
          <w:rFonts w:hint="eastAsia" w:ascii="宋体" w:hAnsi="宋体" w:eastAsia="宋体" w:cs="宋体"/>
          <w:color w:val="000000"/>
          <w:kern w:val="2"/>
          <w:sz w:val="21"/>
          <w:szCs w:val="21"/>
          <w:highlight w:val="none"/>
        </w:rPr>
        <w:t>理人</w:t>
      </w:r>
      <w:bookmarkEnd w:id="2775"/>
      <w:bookmarkEnd w:id="2776"/>
      <w:bookmarkEnd w:id="2777"/>
      <w:bookmarkEnd w:id="2778"/>
      <w:bookmarkEnd w:id="2779"/>
      <w:bookmarkEnd w:id="2780"/>
      <w:bookmarkEnd w:id="2781"/>
      <w:bookmarkEnd w:id="2782"/>
      <w:bookmarkEnd w:id="2783"/>
      <w:bookmarkEnd w:id="2784"/>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96" w:name="_Toc448911896"/>
      <w:bookmarkStart w:id="2797" w:name="_Toc9383"/>
      <w:r>
        <w:rPr>
          <w:rFonts w:hint="eastAsia" w:ascii="宋体" w:hAnsi="宋体" w:eastAsia="宋体" w:cs="宋体"/>
          <w:color w:val="000000"/>
          <w:kern w:val="2"/>
          <w:sz w:val="21"/>
          <w:szCs w:val="21"/>
          <w:highlight w:val="none"/>
        </w:rPr>
        <w:t>4.1监理人的一般规定</w:t>
      </w:r>
      <w:bookmarkEnd w:id="2796"/>
      <w:bookmarkEnd w:id="2797"/>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关于监理人的监理内容：</w:t>
      </w:r>
      <w:r>
        <w:rPr>
          <w:rFonts w:hint="eastAsia" w:ascii="宋体" w:hAnsi="宋体" w:eastAsia="宋体" w:cs="宋体"/>
          <w:color w:val="000000"/>
          <w:kern w:val="2"/>
          <w:sz w:val="21"/>
          <w:szCs w:val="21"/>
          <w:highlight w:val="none"/>
          <w:u w:val="single"/>
        </w:rPr>
        <w:t xml:space="preserve">  除应符合双方合同约定外，还应符合国家现行的有关强制性标准、规范的规定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关于监理人的监理权限：</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关于监理人在施工现场的办公场所、生活场所的提供和费用承担的约定：</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798" w:name="_Toc5666"/>
      <w:bookmarkStart w:id="2799" w:name="_Toc448911897"/>
      <w:r>
        <w:rPr>
          <w:rFonts w:hint="eastAsia" w:ascii="宋体" w:hAnsi="宋体" w:eastAsia="宋体" w:cs="宋体"/>
          <w:color w:val="000000"/>
          <w:kern w:val="2"/>
          <w:sz w:val="21"/>
          <w:szCs w:val="21"/>
          <w:highlight w:val="none"/>
        </w:rPr>
        <w:t>4.2 监理人员</w:t>
      </w:r>
      <w:bookmarkEnd w:id="2798"/>
      <w:bookmarkEnd w:id="2799"/>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总监理工程师：</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姓名：</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职务：</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监理工程师执业资格证书号：</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联系电话：</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电子信箱：</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通信地址：</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关于监理人的其他约定：</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00" w:name="_Toc22984"/>
      <w:bookmarkStart w:id="2801" w:name="_Toc448911898"/>
      <w:r>
        <w:rPr>
          <w:rFonts w:hint="eastAsia" w:ascii="宋体" w:hAnsi="宋体" w:eastAsia="宋体" w:cs="宋体"/>
          <w:color w:val="000000"/>
          <w:kern w:val="2"/>
          <w:sz w:val="21"/>
          <w:szCs w:val="21"/>
          <w:highlight w:val="none"/>
        </w:rPr>
        <w:t>4.4 商定或确定</w:t>
      </w:r>
      <w:bookmarkEnd w:id="2800"/>
      <w:bookmarkEnd w:id="2801"/>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bookmarkStart w:id="2802" w:name="_Toc267251418"/>
      <w:r>
        <w:rPr>
          <w:rFonts w:hint="eastAsia" w:ascii="宋体" w:hAnsi="宋体" w:eastAsia="宋体" w:cs="宋体"/>
          <w:color w:val="000000"/>
          <w:kern w:val="2"/>
          <w:sz w:val="21"/>
          <w:szCs w:val="21"/>
          <w:highlight w:val="none"/>
        </w:rPr>
        <w:t>在发包人和承包人不能通过协商达成一致意见时，发包人授权监理人对以下事项进行确定：</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03" w:name="_Toc4599872"/>
      <w:bookmarkStart w:id="2804" w:name="_Toc19204"/>
      <w:bookmarkStart w:id="2805" w:name="_Toc15505"/>
      <w:bookmarkStart w:id="2806" w:name="_Toc28965"/>
      <w:bookmarkStart w:id="2807" w:name="_Toc4688"/>
      <w:bookmarkStart w:id="2808" w:name="_Toc448911899"/>
      <w:bookmarkStart w:id="2809" w:name="_Toc26647"/>
      <w:bookmarkStart w:id="2810" w:name="_Toc6494"/>
      <w:bookmarkStart w:id="2811" w:name="_Toc351203637"/>
      <w:bookmarkStart w:id="2812" w:name="_Toc11066"/>
      <w:bookmarkStart w:id="2813" w:name="_Toc32265"/>
      <w:r>
        <w:rPr>
          <w:rFonts w:hint="eastAsia" w:ascii="宋体" w:hAnsi="宋体" w:eastAsia="宋体" w:cs="宋体"/>
          <w:color w:val="000000"/>
          <w:kern w:val="2"/>
          <w:sz w:val="21"/>
          <w:szCs w:val="21"/>
          <w:highlight w:val="none"/>
        </w:rPr>
        <w:t>5</w:t>
      </w:r>
      <w:bookmarkEnd w:id="2802"/>
      <w:bookmarkStart w:id="2814" w:name="_Toc296890991"/>
      <w:bookmarkStart w:id="2815" w:name="_Toc296944502"/>
      <w:bookmarkStart w:id="2816" w:name="_Toc296503163"/>
      <w:bookmarkStart w:id="2817" w:name="_Toc296347162"/>
      <w:bookmarkStart w:id="2818" w:name="_Toc297120463"/>
      <w:bookmarkStart w:id="2819" w:name="_Toc292559367"/>
      <w:bookmarkStart w:id="2820" w:name="_Toc297048349"/>
      <w:bookmarkStart w:id="2821" w:name="_Toc296891203"/>
      <w:bookmarkStart w:id="2822" w:name="_Toc296346664"/>
      <w:bookmarkStart w:id="2823" w:name="_Toc292559872"/>
      <w:r>
        <w:rPr>
          <w:rFonts w:hint="eastAsia" w:ascii="宋体" w:hAnsi="宋体" w:eastAsia="宋体" w:cs="宋体"/>
          <w:color w:val="000000"/>
          <w:kern w:val="2"/>
          <w:sz w:val="21"/>
          <w:szCs w:val="21"/>
          <w:highlight w:val="none"/>
        </w:rPr>
        <w:t>.工程质量</w:t>
      </w:r>
      <w:bookmarkEnd w:id="2803"/>
      <w:bookmarkEnd w:id="2804"/>
      <w:bookmarkEnd w:id="2805"/>
      <w:bookmarkEnd w:id="2806"/>
      <w:bookmarkEnd w:id="2807"/>
      <w:bookmarkEnd w:id="2808"/>
      <w:bookmarkEnd w:id="2809"/>
      <w:bookmarkEnd w:id="2810"/>
      <w:bookmarkEnd w:id="2811"/>
      <w:bookmarkEnd w:id="2812"/>
      <w:bookmarkEnd w:id="2813"/>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24" w:name="_Toc30072"/>
      <w:bookmarkStart w:id="2825" w:name="_Toc448911900"/>
      <w:r>
        <w:rPr>
          <w:rFonts w:hint="eastAsia" w:ascii="宋体" w:hAnsi="宋体" w:eastAsia="宋体" w:cs="宋体"/>
          <w:color w:val="000000"/>
          <w:kern w:val="2"/>
          <w:sz w:val="21"/>
          <w:szCs w:val="21"/>
          <w:highlight w:val="none"/>
        </w:rPr>
        <w:t>5.1 质量要求</w:t>
      </w:r>
      <w:bookmarkEnd w:id="2824"/>
      <w:bookmarkEnd w:id="2825"/>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5</w:t>
      </w:r>
      <w:bookmarkStart w:id="2826" w:name="_Toc304295527"/>
      <w:bookmarkStart w:id="2827" w:name="_Toc300934949"/>
      <w:bookmarkStart w:id="2828" w:name="_Toc312677997"/>
      <w:bookmarkStart w:id="2829" w:name="_Toc303539106"/>
      <w:bookmarkStart w:id="2830" w:name="_Toc297123496"/>
      <w:bookmarkStart w:id="2831" w:name="_Toc297216155"/>
      <w:bookmarkStart w:id="2832" w:name="_Toc318581164"/>
      <w:r>
        <w:rPr>
          <w:rFonts w:hint="eastAsia" w:ascii="宋体" w:hAnsi="宋体" w:eastAsia="宋体" w:cs="宋体"/>
          <w:color w:val="000000"/>
          <w:kern w:val="2"/>
          <w:sz w:val="21"/>
          <w:szCs w:val="21"/>
          <w:highlight w:val="none"/>
        </w:rPr>
        <w:t>.1.1 特殊质量标准和要求：</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关于工程奖项的约定：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33" w:name="_Toc9106"/>
      <w:bookmarkStart w:id="2834" w:name="_Toc448911901"/>
      <w:r>
        <w:rPr>
          <w:rFonts w:hint="eastAsia" w:ascii="宋体" w:hAnsi="宋体" w:eastAsia="宋体" w:cs="宋体"/>
          <w:color w:val="000000"/>
          <w:kern w:val="2"/>
          <w:sz w:val="21"/>
          <w:szCs w:val="21"/>
          <w:highlight w:val="none"/>
        </w:rPr>
        <w:t>5.3隐蔽工程检查</w:t>
      </w:r>
      <w:bookmarkEnd w:id="2833"/>
      <w:bookmarkEnd w:id="2834"/>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5.3.2承包人提前通知监理人隐蔽工程检查的期限的约定：</w:t>
      </w:r>
      <w:r>
        <w:rPr>
          <w:rFonts w:hint="eastAsia" w:ascii="宋体" w:hAnsi="宋体" w:eastAsia="宋体" w:cs="宋体"/>
          <w:color w:val="000000"/>
          <w:sz w:val="21"/>
          <w:szCs w:val="21"/>
          <w:highlight w:val="none"/>
          <w:u w:val="single"/>
        </w:rPr>
        <w:t>共同检查前</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5</w:t>
      </w:r>
      <w:r>
        <w:rPr>
          <w:rFonts w:hint="eastAsia" w:ascii="宋体" w:hAnsi="宋体" w:eastAsia="宋体" w:cs="宋体"/>
          <w:color w:val="000000"/>
          <w:kern w:val="2"/>
          <w:sz w:val="21"/>
          <w:szCs w:val="21"/>
          <w:highlight w:val="none"/>
          <w:u w:val="single"/>
        </w:rPr>
        <w:t xml:space="preserve">  小时</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监理人不能按时进行检查时，应提前</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2</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小时提交书面延期要求。</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关于延期最长不得超过：</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小时。</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35" w:name="_Toc18105"/>
      <w:bookmarkStart w:id="2836" w:name="_Toc22806"/>
      <w:bookmarkStart w:id="2837" w:name="_Toc22492"/>
      <w:bookmarkStart w:id="2838" w:name="_Toc30366"/>
      <w:bookmarkStart w:id="2839" w:name="_Toc351203638"/>
      <w:bookmarkStart w:id="2840" w:name="_Toc448911902"/>
      <w:bookmarkStart w:id="2841" w:name="_Toc4599873"/>
      <w:bookmarkStart w:id="2842" w:name="_Toc25229"/>
      <w:bookmarkStart w:id="2843" w:name="_Toc10164"/>
      <w:bookmarkStart w:id="2844" w:name="_Toc1151"/>
      <w:r>
        <w:rPr>
          <w:rFonts w:hint="eastAsia" w:ascii="宋体" w:hAnsi="宋体" w:eastAsia="宋体" w:cs="宋体"/>
          <w:color w:val="000000"/>
          <w:kern w:val="2"/>
          <w:sz w:val="21"/>
          <w:szCs w:val="21"/>
          <w:highlight w:val="none"/>
        </w:rPr>
        <w:t>6.安全文明施工与环境保护</w:t>
      </w:r>
      <w:bookmarkEnd w:id="2835"/>
      <w:bookmarkEnd w:id="2836"/>
      <w:bookmarkEnd w:id="2837"/>
      <w:bookmarkEnd w:id="2838"/>
      <w:bookmarkEnd w:id="2839"/>
      <w:bookmarkEnd w:id="2840"/>
      <w:bookmarkEnd w:id="2841"/>
      <w:bookmarkEnd w:id="2842"/>
      <w:bookmarkEnd w:id="2843"/>
      <w:bookmarkEnd w:id="2844"/>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45" w:name="_Toc448911903"/>
      <w:bookmarkStart w:id="2846" w:name="_Toc24704"/>
      <w:r>
        <w:rPr>
          <w:rFonts w:hint="eastAsia" w:ascii="宋体" w:hAnsi="宋体" w:eastAsia="宋体" w:cs="宋体"/>
          <w:color w:val="000000"/>
          <w:kern w:val="2"/>
          <w:sz w:val="21"/>
          <w:szCs w:val="21"/>
          <w:highlight w:val="none"/>
        </w:rPr>
        <w:t>6.1安全文明施工</w:t>
      </w:r>
      <w:bookmarkEnd w:id="2845"/>
      <w:bookmarkEnd w:id="2846"/>
    </w:p>
    <w:p>
      <w:pPr>
        <w:pageBreakBefore w:val="0"/>
        <w:kinsoku/>
        <w:wordWrap/>
        <w:overflowPunct/>
        <w:topLinePunct w:val="0"/>
        <w:bidi w:val="0"/>
        <w:adjustRightInd w:val="0"/>
        <w:snapToGrid w:val="0"/>
        <w:spacing w:line="460" w:lineRule="exact"/>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6.1.1 项目安全生产的达标目标及相应事项的约定：</w:t>
      </w:r>
      <w:r>
        <w:rPr>
          <w:rFonts w:hint="eastAsia" w:ascii="宋体" w:hAnsi="宋体" w:eastAsia="宋体" w:cs="宋体"/>
          <w:color w:val="000000"/>
          <w:kern w:val="2"/>
          <w:sz w:val="21"/>
          <w:szCs w:val="21"/>
          <w:highlight w:val="none"/>
          <w:u w:val="single"/>
        </w:rPr>
        <w:t xml:space="preserve"> 承包人应遵守工程建设安全生产有关管理规定、规范，严格按《建筑施工安全检查标准》（JGJ59-2011）安全标准组织施工，并随时接受发包人或行业安全检查人员依法实施的监督检查，采取可靠的安全防护措施，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6.1.4 关于治安保卫的特别约定：</w:t>
      </w:r>
      <w:r>
        <w:rPr>
          <w:rFonts w:hint="eastAsia" w:ascii="宋体" w:hAnsi="宋体" w:eastAsia="宋体" w:cs="宋体"/>
          <w:color w:val="000000"/>
          <w:kern w:val="2"/>
          <w:sz w:val="21"/>
          <w:szCs w:val="21"/>
          <w:highlight w:val="none"/>
          <w:u w:val="single"/>
        </w:rPr>
        <w:t xml:space="preserve"> 在发包人的整体协调和管理下，承包人按发包人要求负责管理施工场地的治安保卫事项，履行合同工程的治安保卫职责</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关于编制施工场地治安管理计划的约定：</w:t>
      </w:r>
      <w:r>
        <w:rPr>
          <w:rFonts w:hint="eastAsia" w:ascii="宋体" w:hAnsi="宋体" w:eastAsia="宋体" w:cs="宋体"/>
          <w:color w:val="000000"/>
          <w:kern w:val="2"/>
          <w:sz w:val="21"/>
          <w:szCs w:val="21"/>
          <w:highlight w:val="none"/>
          <w:u w:val="single"/>
        </w:rPr>
        <w:t xml:space="preserve">开工前7日内承包人负责编制施工场地治安管理计划和突发治安事件紧急处置预案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车辆在进出施工场地出入口处时，须设有专人穿着带有醒目标志的服饰指挥车辆，提醒行人，确保安全。</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6.1.5 文明施工</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合同当事人对文明施工的要求：</w:t>
      </w:r>
      <w:r>
        <w:rPr>
          <w:rFonts w:hint="eastAsia" w:ascii="宋体" w:hAnsi="宋体" w:eastAsia="宋体" w:cs="宋体"/>
          <w:color w:val="000000"/>
          <w:kern w:val="2"/>
          <w:sz w:val="21"/>
          <w:szCs w:val="21"/>
          <w:highlight w:val="none"/>
          <w:u w:val="single"/>
        </w:rPr>
        <w:t xml:space="preserve"> 施工现场须达到《建筑施工现场环境与卫生标准》（JGJ146-2013）。安全文明施工费用不得低于按工程建设项目当地建设造价管理部门规定标准，不得作为竞争性费用，超出当地安全文明工地规定合格标准所产生的费用由承包人自行承担，结算时不予调整。在建设过程中建设单位将根据以上有关规定中要求较严者的标准进行安全文明施工检查评价，若未达到合格标准，将扣除有关费用。施工现场须符合有关文明卫生要求；承包人须在施工过程中严格按施工方案和有关规定做好安全文明工作，如本工程承包人因工程质量、安全文明等问题受到发包人</w:t>
      </w:r>
      <w:r>
        <w:rPr>
          <w:rFonts w:hint="eastAsia" w:ascii="宋体" w:hAnsi="宋体" w:cs="宋体"/>
          <w:color w:val="000000"/>
          <w:kern w:val="2"/>
          <w:sz w:val="21"/>
          <w:szCs w:val="21"/>
          <w:highlight w:val="none"/>
          <w:u w:val="single"/>
          <w:lang w:eastAsia="zh-CN"/>
        </w:rPr>
        <w:t>、</w:t>
      </w:r>
      <w:r>
        <w:rPr>
          <w:rFonts w:hint="eastAsia" w:ascii="宋体" w:hAnsi="宋体" w:cs="宋体"/>
          <w:color w:val="000000"/>
          <w:kern w:val="2"/>
          <w:sz w:val="21"/>
          <w:szCs w:val="21"/>
          <w:highlight w:val="none"/>
          <w:u w:val="single"/>
          <w:lang w:val="en-US" w:eastAsia="zh-CN"/>
        </w:rPr>
        <w:t>监理人</w:t>
      </w:r>
      <w:r>
        <w:rPr>
          <w:rFonts w:hint="eastAsia" w:ascii="宋体" w:hAnsi="宋体" w:eastAsia="宋体" w:cs="宋体"/>
          <w:color w:val="000000"/>
          <w:kern w:val="2"/>
          <w:sz w:val="21"/>
          <w:szCs w:val="21"/>
          <w:highlight w:val="none"/>
          <w:u w:val="single"/>
        </w:rPr>
        <w:t>通报或简报批评，发包人将视情节严重程度对承包人每次处以罚金2000元（在工程款中扣除）；情节严重的，将追究刑事责任 。</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6.1.6 关于安全文明施工费支付比例和支付期限的约定：</w:t>
      </w:r>
      <w:r>
        <w:rPr>
          <w:rFonts w:hint="eastAsia" w:ascii="宋体" w:hAnsi="宋体" w:eastAsia="宋体" w:cs="宋体"/>
          <w:color w:val="000000"/>
          <w:kern w:val="2"/>
          <w:sz w:val="21"/>
          <w:szCs w:val="21"/>
          <w:highlight w:val="none"/>
          <w:u w:val="single"/>
        </w:rPr>
        <w:t>支付</w:t>
      </w:r>
      <w:r>
        <w:rPr>
          <w:rFonts w:hint="eastAsia" w:ascii="宋体" w:hAnsi="宋体" w:cs="宋体"/>
          <w:color w:val="000000"/>
          <w:kern w:val="2"/>
          <w:sz w:val="21"/>
          <w:szCs w:val="21"/>
          <w:highlight w:val="none"/>
          <w:u w:val="single"/>
          <w:lang w:val="en-US" w:eastAsia="zh-CN"/>
        </w:rPr>
        <w:t>预付</w:t>
      </w:r>
      <w:r>
        <w:rPr>
          <w:rFonts w:hint="eastAsia" w:ascii="宋体" w:hAnsi="宋体" w:eastAsia="宋体" w:cs="宋体"/>
          <w:color w:val="000000"/>
          <w:kern w:val="2"/>
          <w:sz w:val="21"/>
          <w:szCs w:val="21"/>
          <w:highlight w:val="none"/>
          <w:u w:val="single"/>
        </w:rPr>
        <w:t>款时支付100%。</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6.2职业健康</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6.2.2 劳动保护</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承包人应为其雇佣的施工工人建立并维护相应的生活宿舍、食堂、浴室、厕所和文化活动室等，其标准应满足政府有关机构的生活标准和卫生标准等的要求。</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6.3环境保护</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bCs/>
          <w:color w:val="000000"/>
          <w:kern w:val="2"/>
          <w:sz w:val="21"/>
          <w:szCs w:val="21"/>
          <w:highlight w:val="none"/>
        </w:rPr>
      </w:pPr>
      <w:r>
        <w:rPr>
          <w:rFonts w:hint="eastAsia" w:ascii="宋体" w:hAnsi="宋体" w:eastAsia="宋体" w:cs="宋体"/>
          <w:color w:val="000000"/>
          <w:sz w:val="21"/>
          <w:szCs w:val="21"/>
          <w:highlight w:val="none"/>
        </w:rPr>
        <w:t>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bookmarkEnd w:id="2826"/>
    <w:bookmarkEnd w:id="2827"/>
    <w:bookmarkEnd w:id="2828"/>
    <w:bookmarkEnd w:id="2829"/>
    <w:bookmarkEnd w:id="2830"/>
    <w:bookmarkEnd w:id="2831"/>
    <w:bookmarkEnd w:id="2832"/>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47" w:name="_Toc23567"/>
      <w:bookmarkStart w:id="2848" w:name="_Toc9631"/>
      <w:bookmarkStart w:id="2849" w:name="_Toc16213"/>
      <w:bookmarkStart w:id="2850" w:name="_Toc31474"/>
      <w:bookmarkStart w:id="2851" w:name="_Toc9364"/>
      <w:bookmarkStart w:id="2852" w:name="_Toc448911904"/>
      <w:bookmarkStart w:id="2853" w:name="_Toc351203639"/>
      <w:bookmarkStart w:id="2854" w:name="_Toc22133"/>
      <w:bookmarkStart w:id="2855" w:name="_Toc4599874"/>
      <w:bookmarkStart w:id="2856" w:name="_Toc6983"/>
      <w:bookmarkStart w:id="2857" w:name="_Toc19250"/>
      <w:r>
        <w:rPr>
          <w:rFonts w:hint="eastAsia" w:ascii="宋体" w:hAnsi="宋体" w:eastAsia="宋体" w:cs="宋体"/>
          <w:color w:val="000000"/>
          <w:kern w:val="2"/>
          <w:sz w:val="21"/>
          <w:szCs w:val="21"/>
          <w:highlight w:val="none"/>
        </w:rPr>
        <w:t>7.工期和进度</w:t>
      </w:r>
      <w:bookmarkEnd w:id="2847"/>
      <w:bookmarkEnd w:id="2848"/>
      <w:bookmarkEnd w:id="2849"/>
      <w:bookmarkEnd w:id="2850"/>
      <w:bookmarkEnd w:id="2851"/>
      <w:bookmarkEnd w:id="2852"/>
      <w:bookmarkEnd w:id="2853"/>
      <w:bookmarkEnd w:id="2854"/>
      <w:bookmarkEnd w:id="2855"/>
      <w:bookmarkEnd w:id="2856"/>
      <w:bookmarkEnd w:id="2857"/>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58" w:name="_Toc448911905"/>
      <w:bookmarkStart w:id="2859" w:name="_Toc22254"/>
      <w:r>
        <w:rPr>
          <w:rFonts w:hint="eastAsia" w:ascii="宋体" w:hAnsi="宋体" w:eastAsia="宋体" w:cs="宋体"/>
          <w:color w:val="000000"/>
          <w:kern w:val="2"/>
          <w:sz w:val="21"/>
          <w:szCs w:val="21"/>
          <w:highlight w:val="none"/>
        </w:rPr>
        <w:t>7.1 施工组织设计</w:t>
      </w:r>
      <w:bookmarkEnd w:id="2858"/>
      <w:bookmarkEnd w:id="2859"/>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7.1.1 合</w:t>
      </w:r>
      <w:r>
        <w:rPr>
          <w:rFonts w:hint="eastAsia" w:ascii="宋体" w:hAnsi="宋体" w:eastAsia="宋体" w:cs="宋体"/>
          <w:color w:val="000000"/>
          <w:sz w:val="21"/>
          <w:szCs w:val="21"/>
          <w:highlight w:val="none"/>
        </w:rPr>
        <w:t>同当事人约定的施工组织设计应包括的其他内容：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施工组织设计还应包括全部设备、材料、成品、半成品等需求供应进场计划，施工管理机构及劳动力组织，冬雨季施工组织方案，以及施工现场优化布置，危险性较大的分部分项工程的专项施工方案等</w:t>
      </w:r>
      <w:r>
        <w:rPr>
          <w:rFonts w:hint="eastAsia" w:ascii="宋体" w:hAnsi="宋体" w:eastAsia="宋体" w:cs="宋体"/>
          <w:color w:val="000000"/>
          <w:kern w:val="2"/>
          <w:sz w:val="21"/>
          <w:szCs w:val="21"/>
          <w:highlight w:val="none"/>
        </w:rPr>
        <w:t>。</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 xml:space="preserve">7.1.2 </w:t>
      </w:r>
      <w:r>
        <w:rPr>
          <w:rFonts w:hint="eastAsia" w:ascii="宋体" w:hAnsi="宋体" w:eastAsia="宋体" w:cs="宋体"/>
          <w:color w:val="000000"/>
          <w:sz w:val="21"/>
          <w:szCs w:val="21"/>
          <w:highlight w:val="none"/>
        </w:rPr>
        <w:t>施工组织设计的提交和修改</w:t>
      </w:r>
    </w:p>
    <w:p>
      <w:pPr>
        <w:pageBreakBefore w:val="0"/>
        <w:kinsoku/>
        <w:wordWrap/>
        <w:overflowPunct/>
        <w:topLinePunct w:val="0"/>
        <w:bidi w:val="0"/>
        <w:adjustRightInd w:val="0"/>
        <w:snapToGrid w:val="0"/>
        <w:spacing w:line="460" w:lineRule="exact"/>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 xml:space="preserve">    承包人提交详细施工组织设计的期限：</w:t>
      </w:r>
      <w:r>
        <w:rPr>
          <w:rFonts w:hint="eastAsia" w:ascii="宋体" w:hAnsi="宋体" w:eastAsia="宋体" w:cs="宋体"/>
          <w:color w:val="000000"/>
          <w:sz w:val="21"/>
          <w:szCs w:val="21"/>
          <w:highlight w:val="none"/>
          <w:u w:val="single"/>
        </w:rPr>
        <w:t xml:space="preserve"> 合同签订后14日内</w:t>
      </w:r>
      <w:r>
        <w:rPr>
          <w:rFonts w:hint="eastAsia" w:ascii="宋体" w:hAnsi="宋体" w:eastAsia="宋体" w:cs="宋体"/>
          <w:color w:val="000000"/>
          <w:kern w:val="2"/>
          <w:sz w:val="21"/>
          <w:szCs w:val="21"/>
          <w:highlight w:val="none"/>
          <w:u w:val="single"/>
        </w:rPr>
        <w:t>，但不得晚于监理人发出开工通知中载明的开工日期前7日</w:t>
      </w:r>
      <w:r>
        <w:rPr>
          <w:rFonts w:hint="eastAsia" w:ascii="宋体" w:hAnsi="宋体" w:eastAsia="宋体" w:cs="宋体"/>
          <w:color w:val="000000"/>
          <w:sz w:val="21"/>
          <w:szCs w:val="21"/>
          <w:highlight w:val="none"/>
          <w:u w:val="single"/>
        </w:rPr>
        <w:t>，</w:t>
      </w:r>
      <w:r>
        <w:rPr>
          <w:rFonts w:hint="eastAsia" w:ascii="宋体" w:hAnsi="宋体" w:eastAsia="宋体" w:cs="宋体"/>
          <w:color w:val="000000"/>
          <w:kern w:val="2"/>
          <w:sz w:val="21"/>
          <w:szCs w:val="21"/>
          <w:highlight w:val="none"/>
          <w:u w:val="single"/>
        </w:rPr>
        <w:t>承包人应提交详细的施工组织设计，报发包人及监理人审批；承包人不按时送审符合要求的施工组织设计，造成发包人无法判断工程进展顺利与否，发包人可拒付相应部分工程进度款，责任由承包人承担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发包人和监理人在收到详细的施工组织设计后确认或提出修改意见的期限：</w:t>
      </w:r>
      <w:r>
        <w:rPr>
          <w:rFonts w:hint="eastAsia" w:ascii="宋体" w:hAnsi="宋体" w:eastAsia="宋体" w:cs="宋体"/>
          <w:color w:val="000000"/>
          <w:kern w:val="2"/>
          <w:sz w:val="21"/>
          <w:szCs w:val="21"/>
          <w:highlight w:val="none"/>
          <w:u w:val="single"/>
        </w:rPr>
        <w:t>发包人接到监理报来的详细施工组织设计后7日内组织审核批准或提出修改意见</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60" w:name="_Toc448911906"/>
      <w:bookmarkStart w:id="2861" w:name="_Toc29917"/>
      <w:r>
        <w:rPr>
          <w:rFonts w:hint="eastAsia" w:ascii="宋体" w:hAnsi="宋体" w:eastAsia="宋体" w:cs="宋体"/>
          <w:color w:val="000000"/>
          <w:kern w:val="2"/>
          <w:sz w:val="21"/>
          <w:szCs w:val="21"/>
          <w:highlight w:val="none"/>
        </w:rPr>
        <w:t>7</w:t>
      </w:r>
      <w:bookmarkStart w:id="2862" w:name="_Toc303539123"/>
      <w:bookmarkStart w:id="2863" w:name="_Toc304295541"/>
      <w:bookmarkStart w:id="2864" w:name="_Toc297216173"/>
      <w:bookmarkStart w:id="2865" w:name="_Toc312678005"/>
      <w:bookmarkStart w:id="2866" w:name="_Toc312677479"/>
      <w:bookmarkStart w:id="2867" w:name="_Toc300934966"/>
      <w:bookmarkStart w:id="2868" w:name="_Toc297123514"/>
      <w:r>
        <w:rPr>
          <w:rFonts w:hint="eastAsia" w:ascii="宋体" w:hAnsi="宋体" w:eastAsia="宋体" w:cs="宋体"/>
          <w:color w:val="000000"/>
          <w:kern w:val="2"/>
          <w:sz w:val="21"/>
          <w:szCs w:val="21"/>
          <w:highlight w:val="none"/>
        </w:rPr>
        <w:t>.2 施工进度计划</w:t>
      </w:r>
      <w:bookmarkEnd w:id="2860"/>
      <w:bookmarkEnd w:id="2861"/>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7.2.2施工进度计划的修订</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发包人和监理人在收到修订的施工进度计划后确认或提出修改意见的期限：</w:t>
      </w:r>
      <w:r>
        <w:rPr>
          <w:rFonts w:hint="eastAsia" w:ascii="宋体" w:hAnsi="宋体" w:eastAsia="宋体" w:cs="宋体"/>
          <w:color w:val="000000"/>
          <w:kern w:val="2"/>
          <w:sz w:val="21"/>
          <w:szCs w:val="21"/>
          <w:highlight w:val="none"/>
          <w:u w:val="single"/>
        </w:rPr>
        <w:t xml:space="preserve"> 收到承包人报送的相关进度计划和施工方案说明之日起7日内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69" w:name="_Toc10717"/>
      <w:bookmarkStart w:id="2870" w:name="_Toc448911907"/>
      <w:r>
        <w:rPr>
          <w:rFonts w:hint="eastAsia" w:ascii="宋体" w:hAnsi="宋体" w:eastAsia="宋体" w:cs="宋体"/>
          <w:color w:val="000000"/>
          <w:kern w:val="2"/>
          <w:sz w:val="21"/>
          <w:szCs w:val="21"/>
          <w:highlight w:val="none"/>
        </w:rPr>
        <w:t>7.3 开工</w:t>
      </w:r>
      <w:bookmarkEnd w:id="2869"/>
      <w:bookmarkEnd w:id="2870"/>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7.3.1 开工准备</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关于承包人提交</w:t>
      </w:r>
      <w:r>
        <w:rPr>
          <w:rFonts w:hint="eastAsia" w:ascii="宋体" w:hAnsi="宋体" w:eastAsia="宋体" w:cs="宋体"/>
          <w:color w:val="000000"/>
          <w:sz w:val="21"/>
          <w:szCs w:val="21"/>
          <w:highlight w:val="none"/>
        </w:rPr>
        <w:t>工程开工报审表的期限：</w:t>
      </w:r>
      <w:r>
        <w:rPr>
          <w:rFonts w:hint="eastAsia" w:ascii="宋体" w:hAnsi="宋体" w:eastAsia="宋体" w:cs="宋体"/>
          <w:color w:val="000000"/>
          <w:kern w:val="2"/>
          <w:sz w:val="21"/>
          <w:szCs w:val="21"/>
          <w:highlight w:val="none"/>
          <w:u w:val="single"/>
        </w:rPr>
        <w:t xml:space="preserve">监理人发出开工通知之日起7日内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关于发包人应完成的其他开工准备工作及期限：</w:t>
      </w:r>
      <w:r>
        <w:rPr>
          <w:rFonts w:hint="eastAsia" w:ascii="宋体" w:hAnsi="宋体" w:eastAsia="宋体" w:cs="宋体"/>
          <w:color w:val="000000"/>
          <w:kern w:val="2"/>
          <w:sz w:val="21"/>
          <w:szCs w:val="21"/>
          <w:highlight w:val="none"/>
          <w:u w:val="single"/>
        </w:rPr>
        <w:t xml:space="preserve">开工前7日内完成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关于承包人应完成的其他开工准备工作及期限：</w:t>
      </w:r>
      <w:r>
        <w:rPr>
          <w:rFonts w:hint="eastAsia" w:ascii="宋体" w:hAnsi="宋体" w:eastAsia="宋体" w:cs="宋体"/>
          <w:color w:val="000000"/>
          <w:kern w:val="2"/>
          <w:sz w:val="21"/>
          <w:szCs w:val="21"/>
          <w:highlight w:val="none"/>
          <w:u w:val="single"/>
        </w:rPr>
        <w:t>应在合同约定的计划开工日期前完成开工准备工作，否则，应自行承担由此增加的费用，延误的工期不予顺延</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7.3.2开工通知</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因发包人原因造成监理人未能在计划开工日期之日起</w:t>
      </w:r>
      <w:r>
        <w:rPr>
          <w:rFonts w:hint="eastAsia" w:ascii="宋体" w:hAnsi="宋体" w:eastAsia="宋体" w:cs="宋体"/>
          <w:color w:val="000000"/>
          <w:kern w:val="2"/>
          <w:sz w:val="21"/>
          <w:szCs w:val="21"/>
          <w:highlight w:val="none"/>
          <w:u w:val="single"/>
        </w:rPr>
        <w:t>7</w:t>
      </w:r>
      <w:r>
        <w:rPr>
          <w:rFonts w:hint="eastAsia" w:ascii="宋体" w:hAnsi="宋体" w:eastAsia="宋体" w:cs="宋体"/>
          <w:color w:val="000000"/>
          <w:kern w:val="2"/>
          <w:sz w:val="21"/>
          <w:szCs w:val="21"/>
          <w:highlight w:val="none"/>
        </w:rPr>
        <w:t>日内发出开工通知的，承包人</w:t>
      </w:r>
      <w:r>
        <w:rPr>
          <w:rFonts w:hint="eastAsia" w:ascii="宋体" w:hAnsi="宋体" w:cs="宋体"/>
          <w:color w:val="000000"/>
          <w:kern w:val="2"/>
          <w:sz w:val="21"/>
          <w:szCs w:val="21"/>
          <w:highlight w:val="none"/>
          <w:lang w:val="en-US" w:eastAsia="zh-CN"/>
        </w:rPr>
        <w:t>无权</w:t>
      </w:r>
      <w:r>
        <w:rPr>
          <w:rFonts w:hint="eastAsia" w:ascii="宋体" w:hAnsi="宋体" w:eastAsia="宋体" w:cs="宋体"/>
          <w:color w:val="000000"/>
          <w:kern w:val="2"/>
          <w:sz w:val="21"/>
          <w:szCs w:val="21"/>
          <w:highlight w:val="none"/>
        </w:rPr>
        <w:t>提出价格调整和（或）工期顺延要求。</w:t>
      </w:r>
    </w:p>
    <w:bookmarkEnd w:id="2862"/>
    <w:bookmarkEnd w:id="2863"/>
    <w:bookmarkEnd w:id="2864"/>
    <w:bookmarkEnd w:id="2865"/>
    <w:bookmarkEnd w:id="2866"/>
    <w:bookmarkEnd w:id="2867"/>
    <w:bookmarkEnd w:id="2868"/>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71" w:name="_Toc28454"/>
      <w:bookmarkStart w:id="2872" w:name="_Toc448911908"/>
      <w:r>
        <w:rPr>
          <w:rFonts w:hint="eastAsia" w:ascii="宋体" w:hAnsi="宋体" w:eastAsia="宋体" w:cs="宋体"/>
          <w:color w:val="000000"/>
          <w:kern w:val="2"/>
          <w:sz w:val="21"/>
          <w:szCs w:val="21"/>
          <w:highlight w:val="none"/>
        </w:rPr>
        <w:t>7.4 测量放线</w:t>
      </w:r>
      <w:bookmarkEnd w:id="2871"/>
      <w:bookmarkEnd w:id="2872"/>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7.4.1发包人通过监理人向承包人提供测量基准点、基准线和水准点及其书面资料的期限</w:t>
      </w:r>
      <w:r>
        <w:rPr>
          <w:rFonts w:hint="eastAsia" w:ascii="宋体" w:hAnsi="宋体" w:eastAsia="宋体" w:cs="宋体"/>
          <w:color w:val="000000"/>
          <w:kern w:val="2"/>
          <w:sz w:val="21"/>
          <w:szCs w:val="21"/>
          <w:highlight w:val="none"/>
          <w:u w:val="single"/>
        </w:rPr>
        <w:t>：</w:t>
      </w:r>
      <w:r>
        <w:rPr>
          <w:rFonts w:hint="eastAsia" w:ascii="宋体" w:hAnsi="宋体" w:cs="宋体"/>
          <w:color w:val="000000"/>
          <w:kern w:val="2"/>
          <w:sz w:val="21"/>
          <w:szCs w:val="21"/>
          <w:highlight w:val="none"/>
          <w:u w:val="single"/>
          <w:lang w:val="en-US" w:eastAsia="zh-CN"/>
        </w:rPr>
        <w:t xml:space="preserve">/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73" w:name="_Toc92"/>
      <w:bookmarkStart w:id="2874" w:name="_Toc448911909"/>
      <w:r>
        <w:rPr>
          <w:rFonts w:hint="eastAsia" w:ascii="宋体" w:hAnsi="宋体" w:eastAsia="宋体" w:cs="宋体"/>
          <w:color w:val="000000"/>
          <w:kern w:val="2"/>
          <w:sz w:val="21"/>
          <w:szCs w:val="21"/>
          <w:highlight w:val="none"/>
        </w:rPr>
        <w:t>7</w:t>
      </w:r>
      <w:bookmarkStart w:id="2875" w:name="_Toc300934968"/>
      <w:bookmarkStart w:id="2876" w:name="_Toc312677484"/>
      <w:bookmarkStart w:id="2877" w:name="_Toc312678010"/>
      <w:bookmarkStart w:id="2878" w:name="_Toc303539125"/>
      <w:bookmarkStart w:id="2879" w:name="_Toc304295546"/>
      <w:bookmarkStart w:id="2880" w:name="_Toc297123516"/>
      <w:bookmarkStart w:id="2881" w:name="_Toc297216175"/>
      <w:r>
        <w:rPr>
          <w:rFonts w:hint="eastAsia" w:ascii="宋体" w:hAnsi="宋体" w:eastAsia="宋体" w:cs="宋体"/>
          <w:color w:val="000000"/>
          <w:kern w:val="2"/>
          <w:sz w:val="21"/>
          <w:szCs w:val="21"/>
          <w:highlight w:val="none"/>
        </w:rPr>
        <w:t>.5 工期延误</w:t>
      </w:r>
      <w:bookmarkEnd w:id="2873"/>
      <w:bookmarkEnd w:id="2874"/>
    </w:p>
    <w:bookmarkEnd w:id="2875"/>
    <w:bookmarkEnd w:id="2876"/>
    <w:bookmarkEnd w:id="2877"/>
    <w:bookmarkEnd w:id="2878"/>
    <w:bookmarkEnd w:id="2879"/>
    <w:bookmarkEnd w:id="2880"/>
    <w:bookmarkEnd w:id="2881"/>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7.5.1 因发包人原因导致工期延误</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（7）因发包人原因导致工期延误的其他情形：</w:t>
      </w:r>
      <w:r>
        <w:rPr>
          <w:rFonts w:hint="eastAsia" w:ascii="宋体" w:hAnsi="宋体" w:eastAsia="宋体" w:cs="宋体"/>
          <w:color w:val="000000"/>
          <w:kern w:val="2"/>
          <w:sz w:val="21"/>
          <w:szCs w:val="21"/>
          <w:highlight w:val="none"/>
          <w:u w:val="single"/>
        </w:rPr>
        <w:t xml:space="preserve"> ①发包人未按合同规定支付工程款并确实影响承包人施工关键线路；②重大设计变更而影响施工进度；③不可抗力事件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w:t>
      </w:r>
      <w:bookmarkStart w:id="2882" w:name="_Toc318581169"/>
      <w:bookmarkStart w:id="2883" w:name="_Toc312677486"/>
      <w:bookmarkStart w:id="2884" w:name="_Toc312678012"/>
      <w:bookmarkStart w:id="2885" w:name="_Toc303539127"/>
      <w:bookmarkStart w:id="2886" w:name="_Toc300934970"/>
      <w:bookmarkStart w:id="2887" w:name="_Toc297216177"/>
      <w:bookmarkStart w:id="2888" w:name="_Toc304295548"/>
      <w:bookmarkStart w:id="2889" w:name="_Toc297123518"/>
      <w:r>
        <w:rPr>
          <w:rFonts w:hint="eastAsia" w:ascii="宋体" w:hAnsi="宋体" w:eastAsia="宋体" w:cs="宋体"/>
          <w:color w:val="000000"/>
          <w:kern w:val="2"/>
          <w:sz w:val="21"/>
          <w:szCs w:val="21"/>
          <w:highlight w:val="none"/>
        </w:rPr>
        <w:t>.5.2 因承包人原因导致工期延误</w:t>
      </w:r>
    </w:p>
    <w:bookmarkEnd w:id="2882"/>
    <w:bookmarkEnd w:id="2883"/>
    <w:bookmarkEnd w:id="2884"/>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因</w:t>
      </w:r>
      <w:bookmarkStart w:id="2890" w:name="_Toc312677487"/>
      <w:bookmarkStart w:id="2891" w:name="_Toc318581170"/>
      <w:bookmarkStart w:id="2892" w:name="_Toc312678013"/>
      <w:r>
        <w:rPr>
          <w:rFonts w:hint="eastAsia" w:ascii="宋体" w:hAnsi="宋体" w:eastAsia="宋体" w:cs="宋体"/>
          <w:color w:val="000000"/>
          <w:kern w:val="2"/>
          <w:sz w:val="21"/>
          <w:szCs w:val="21"/>
          <w:highlight w:val="none"/>
        </w:rPr>
        <w:t>承包人原因造成工期延误，逾期竣工违约金的计算方法为：</w:t>
      </w:r>
      <w:bookmarkEnd w:id="2885"/>
      <w:bookmarkEnd w:id="2886"/>
      <w:bookmarkEnd w:id="2887"/>
      <w:bookmarkEnd w:id="2888"/>
      <w:bookmarkEnd w:id="2889"/>
      <w:bookmarkEnd w:id="2890"/>
      <w:bookmarkEnd w:id="2891"/>
      <w:bookmarkEnd w:id="2892"/>
      <w:r>
        <w:rPr>
          <w:rFonts w:hint="eastAsia" w:ascii="宋体" w:hAnsi="宋体" w:eastAsia="宋体" w:cs="宋体"/>
          <w:color w:val="000000"/>
          <w:kern w:val="2"/>
          <w:sz w:val="21"/>
          <w:szCs w:val="21"/>
          <w:highlight w:val="none"/>
          <w:u w:val="single"/>
        </w:rPr>
        <w:t>2000元/日</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因承包人原因造成工期延误，逾</w:t>
      </w:r>
      <w:bookmarkStart w:id="2893" w:name="_Toc318581171"/>
      <w:bookmarkStart w:id="2894" w:name="_Toc312678014"/>
      <w:r>
        <w:rPr>
          <w:rFonts w:hint="eastAsia" w:ascii="宋体" w:hAnsi="宋体" w:eastAsia="宋体" w:cs="宋体"/>
          <w:color w:val="000000"/>
          <w:kern w:val="2"/>
          <w:sz w:val="21"/>
          <w:szCs w:val="21"/>
          <w:highlight w:val="none"/>
        </w:rPr>
        <w:t>期竣工违约金的上限：</w:t>
      </w:r>
      <w:r>
        <w:rPr>
          <w:rFonts w:hint="eastAsia" w:ascii="宋体" w:hAnsi="宋体" w:eastAsia="宋体" w:cs="宋体"/>
          <w:color w:val="000000"/>
          <w:kern w:val="2"/>
          <w:sz w:val="21"/>
          <w:szCs w:val="21"/>
          <w:highlight w:val="none"/>
          <w:u w:val="single"/>
        </w:rPr>
        <w:t xml:space="preserve">审定结算价款的5% </w:t>
      </w:r>
      <w:r>
        <w:rPr>
          <w:rFonts w:hint="eastAsia" w:ascii="宋体" w:hAnsi="宋体" w:eastAsia="宋体" w:cs="宋体"/>
          <w:color w:val="000000"/>
          <w:kern w:val="2"/>
          <w:sz w:val="21"/>
          <w:szCs w:val="21"/>
          <w:highlight w:val="none"/>
        </w:rPr>
        <w:t>。</w:t>
      </w:r>
    </w:p>
    <w:bookmarkEnd w:id="2893"/>
    <w:bookmarkEnd w:id="2894"/>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895" w:name="_Toc448911910"/>
      <w:bookmarkStart w:id="2896" w:name="_Toc16314"/>
      <w:r>
        <w:rPr>
          <w:rFonts w:hint="eastAsia" w:ascii="宋体" w:hAnsi="宋体" w:eastAsia="宋体" w:cs="宋体"/>
          <w:color w:val="000000"/>
          <w:kern w:val="2"/>
          <w:sz w:val="21"/>
          <w:szCs w:val="21"/>
          <w:highlight w:val="none"/>
        </w:rPr>
        <w:t>7</w:t>
      </w:r>
      <w:bookmarkStart w:id="2897" w:name="_Toc312678015"/>
      <w:bookmarkStart w:id="2898" w:name="_Toc297216178"/>
      <w:bookmarkStart w:id="2899" w:name="_Toc303539128"/>
      <w:bookmarkStart w:id="2900" w:name="_Toc300934971"/>
      <w:bookmarkStart w:id="2901" w:name="_Toc304295549"/>
      <w:bookmarkStart w:id="2902" w:name="_Toc297123519"/>
      <w:r>
        <w:rPr>
          <w:rFonts w:hint="eastAsia" w:ascii="宋体" w:hAnsi="宋体" w:eastAsia="宋体" w:cs="宋体"/>
          <w:color w:val="000000"/>
          <w:kern w:val="2"/>
          <w:sz w:val="21"/>
          <w:szCs w:val="21"/>
          <w:highlight w:val="none"/>
        </w:rPr>
        <w:t>.6 不</w:t>
      </w:r>
      <w:bookmarkEnd w:id="2897"/>
      <w:bookmarkEnd w:id="2898"/>
      <w:bookmarkEnd w:id="2899"/>
      <w:bookmarkEnd w:id="2900"/>
      <w:bookmarkEnd w:id="2901"/>
      <w:bookmarkEnd w:id="2902"/>
      <w:r>
        <w:rPr>
          <w:rFonts w:hint="eastAsia" w:ascii="宋体" w:hAnsi="宋体" w:eastAsia="宋体" w:cs="宋体"/>
          <w:color w:val="000000"/>
          <w:kern w:val="2"/>
          <w:sz w:val="21"/>
          <w:szCs w:val="21"/>
          <w:highlight w:val="none"/>
        </w:rPr>
        <w:t>利物质条件</w:t>
      </w:r>
      <w:bookmarkEnd w:id="2895"/>
      <w:bookmarkEnd w:id="2896"/>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bookmarkStart w:id="2903" w:name="_Toc318581172"/>
      <w:bookmarkStart w:id="2904" w:name="_Toc297123520"/>
      <w:bookmarkStart w:id="2905" w:name="_Toc303539129"/>
      <w:bookmarkStart w:id="2906" w:name="_Toc300934972"/>
      <w:bookmarkStart w:id="2907" w:name="_Toc304295550"/>
      <w:bookmarkStart w:id="2908" w:name="_Toc297216179"/>
      <w:bookmarkStart w:id="2909" w:name="_Toc312678016"/>
      <w:r>
        <w:rPr>
          <w:rFonts w:hint="eastAsia" w:ascii="宋体" w:hAnsi="宋体" w:eastAsia="宋体" w:cs="宋体"/>
          <w:color w:val="000000"/>
          <w:kern w:val="2"/>
          <w:sz w:val="21"/>
          <w:szCs w:val="21"/>
          <w:highlight w:val="none"/>
        </w:rPr>
        <w:t>不利物质条件的其他情形和有关约定：</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 xml:space="preserve">/ </w:t>
      </w:r>
      <w:r>
        <w:rPr>
          <w:rFonts w:hint="eastAsia" w:ascii="宋体" w:hAnsi="宋体" w:eastAsia="宋体" w:cs="宋体"/>
          <w:color w:val="000000"/>
          <w:kern w:val="2"/>
          <w:sz w:val="21"/>
          <w:szCs w:val="21"/>
          <w:highlight w:val="none"/>
        </w:rPr>
        <w:t>。</w:t>
      </w:r>
    </w:p>
    <w:bookmarkEnd w:id="2903"/>
    <w:bookmarkEnd w:id="2904"/>
    <w:bookmarkEnd w:id="2905"/>
    <w:bookmarkEnd w:id="2906"/>
    <w:bookmarkEnd w:id="2907"/>
    <w:bookmarkEnd w:id="2908"/>
    <w:bookmarkEnd w:id="2909"/>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10" w:name="_Toc9742"/>
      <w:bookmarkStart w:id="2911" w:name="_Toc448911911"/>
      <w:r>
        <w:rPr>
          <w:rFonts w:hint="eastAsia" w:ascii="宋体" w:hAnsi="宋体" w:eastAsia="宋体" w:cs="宋体"/>
          <w:color w:val="000000"/>
          <w:kern w:val="2"/>
          <w:sz w:val="21"/>
          <w:szCs w:val="21"/>
          <w:highlight w:val="none"/>
        </w:rPr>
        <w:t>7</w:t>
      </w:r>
      <w:bookmarkStart w:id="2912" w:name="_Toc304295551"/>
      <w:bookmarkStart w:id="2913" w:name="_Toc297123521"/>
      <w:bookmarkStart w:id="2914" w:name="_Toc303539130"/>
      <w:bookmarkStart w:id="2915" w:name="_Toc300934973"/>
      <w:bookmarkStart w:id="2916" w:name="_Toc297216180"/>
      <w:bookmarkStart w:id="2917" w:name="_Toc312678017"/>
      <w:r>
        <w:rPr>
          <w:rFonts w:hint="eastAsia" w:ascii="宋体" w:hAnsi="宋体" w:eastAsia="宋体" w:cs="宋体"/>
          <w:color w:val="000000"/>
          <w:kern w:val="2"/>
          <w:sz w:val="21"/>
          <w:szCs w:val="21"/>
          <w:highlight w:val="none"/>
        </w:rPr>
        <w:t>.7异常恶劣的气候条件</w:t>
      </w:r>
      <w:bookmarkEnd w:id="2910"/>
      <w:bookmarkEnd w:id="2911"/>
    </w:p>
    <w:bookmarkEnd w:id="2912"/>
    <w:bookmarkEnd w:id="2913"/>
    <w:bookmarkEnd w:id="2914"/>
    <w:bookmarkEnd w:id="2915"/>
    <w:bookmarkEnd w:id="2916"/>
    <w:bookmarkEnd w:id="2917"/>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发包人和承包人同意以下情形视为异常恶劣的气候条件：</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（1）50年一遇的最大降水（雪）量，最高（低）温度等，以当地气象部门发布的标准为准；</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（2）“异常恶劣的气候条件”指以月计的某个时期的恶劣气候比当地气象部门多年的统计资料，比50年一遇频率计算的平均气候还要恶劣而引起的工程延误，由监理工程师根据承包人提交的证明予以认定；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rPr>
        <w:t>（3）在进行上述认定时，还将考虑按同等标准以同期或其它异常良好的气候予以抵补，异常气候在每个月对工程进度影响的评定，应在整个合同内予以累计</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18" w:name="_Toc448911912"/>
      <w:bookmarkStart w:id="2919" w:name="_Toc19832"/>
      <w:r>
        <w:rPr>
          <w:rFonts w:hint="eastAsia" w:ascii="宋体" w:hAnsi="宋体" w:eastAsia="宋体" w:cs="宋体"/>
          <w:color w:val="000000"/>
          <w:kern w:val="2"/>
          <w:sz w:val="21"/>
          <w:szCs w:val="21"/>
          <w:highlight w:val="none"/>
        </w:rPr>
        <w:t>7.9 提前竣工的奖励</w:t>
      </w:r>
      <w:bookmarkEnd w:id="2918"/>
      <w:bookmarkEnd w:id="2919"/>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7.9.2提前竣工的奖励：</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20" w:name="_Toc29915"/>
      <w:bookmarkStart w:id="2921" w:name="_Toc1136"/>
      <w:bookmarkStart w:id="2922" w:name="_Toc4599875"/>
      <w:bookmarkStart w:id="2923" w:name="_Toc23156"/>
      <w:bookmarkStart w:id="2924" w:name="_Toc3313"/>
      <w:bookmarkStart w:id="2925" w:name="_Toc17551"/>
      <w:bookmarkStart w:id="2926" w:name="_Toc448911913"/>
      <w:bookmarkStart w:id="2927" w:name="_Toc12539"/>
      <w:bookmarkStart w:id="2928" w:name="_Toc351203640"/>
      <w:bookmarkStart w:id="2929" w:name="_Toc18660"/>
      <w:bookmarkStart w:id="2930" w:name="_Toc15983"/>
      <w:r>
        <w:rPr>
          <w:rFonts w:hint="eastAsia" w:ascii="宋体" w:hAnsi="宋体" w:eastAsia="宋体" w:cs="宋体"/>
          <w:color w:val="000000"/>
          <w:kern w:val="2"/>
          <w:sz w:val="21"/>
          <w:szCs w:val="21"/>
          <w:highlight w:val="none"/>
        </w:rPr>
        <w:t>8.材料与设备</w:t>
      </w:r>
      <w:bookmarkEnd w:id="2920"/>
      <w:bookmarkEnd w:id="2921"/>
      <w:bookmarkEnd w:id="2922"/>
      <w:bookmarkEnd w:id="2923"/>
      <w:bookmarkEnd w:id="2924"/>
      <w:bookmarkEnd w:id="2925"/>
      <w:bookmarkEnd w:id="2926"/>
      <w:bookmarkEnd w:id="2927"/>
      <w:bookmarkEnd w:id="2928"/>
      <w:bookmarkEnd w:id="2929"/>
      <w:bookmarkEnd w:id="2930"/>
    </w:p>
    <w:bookmarkEnd w:id="2814"/>
    <w:bookmarkEnd w:id="2815"/>
    <w:bookmarkEnd w:id="2816"/>
    <w:bookmarkEnd w:id="2817"/>
    <w:bookmarkEnd w:id="2818"/>
    <w:bookmarkEnd w:id="2819"/>
    <w:bookmarkEnd w:id="2820"/>
    <w:bookmarkEnd w:id="2821"/>
    <w:bookmarkEnd w:id="2822"/>
    <w:bookmarkEnd w:id="2823"/>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31" w:name="_Toc32355"/>
      <w:bookmarkStart w:id="2932" w:name="_Toc448911914"/>
      <w:r>
        <w:rPr>
          <w:rFonts w:hint="eastAsia" w:ascii="宋体" w:hAnsi="宋体" w:eastAsia="宋体" w:cs="宋体"/>
          <w:color w:val="000000"/>
          <w:kern w:val="2"/>
          <w:sz w:val="21"/>
          <w:szCs w:val="21"/>
          <w:highlight w:val="none"/>
        </w:rPr>
        <w:t>8</w:t>
      </w:r>
      <w:bookmarkStart w:id="2933" w:name="_Toc300934979"/>
      <w:bookmarkStart w:id="2934" w:name="_Toc296891207"/>
      <w:bookmarkStart w:id="2935" w:name="_Toc303539136"/>
      <w:bookmarkStart w:id="2936" w:name="_Toc296503167"/>
      <w:bookmarkStart w:id="2937" w:name="_Toc292559372"/>
      <w:bookmarkStart w:id="2938" w:name="_Toc296346668"/>
      <w:bookmarkStart w:id="2939" w:name="_Toc297048353"/>
      <w:bookmarkStart w:id="2940" w:name="_Toc292559877"/>
      <w:bookmarkStart w:id="2941" w:name="_Toc297120467"/>
      <w:bookmarkStart w:id="2942" w:name="_Toc312678019"/>
      <w:bookmarkStart w:id="2943" w:name="_Toc296944506"/>
      <w:bookmarkStart w:id="2944" w:name="_Toc296347166"/>
      <w:bookmarkStart w:id="2945" w:name="_Toc297216186"/>
      <w:bookmarkStart w:id="2946" w:name="_Toc280868654"/>
      <w:bookmarkStart w:id="2947" w:name="_Toc304295556"/>
      <w:bookmarkStart w:id="2948" w:name="_Toc312677493"/>
      <w:bookmarkStart w:id="2949" w:name="_Toc297123527"/>
      <w:bookmarkStart w:id="2950" w:name="_Toc296890995"/>
      <w:bookmarkStart w:id="2951" w:name="_Toc280868655"/>
      <w:bookmarkStart w:id="2952" w:name="_Toc267251424"/>
      <w:bookmarkStart w:id="2953" w:name="_Toc280868656"/>
      <w:r>
        <w:rPr>
          <w:rFonts w:hint="eastAsia" w:ascii="宋体" w:hAnsi="宋体" w:eastAsia="宋体" w:cs="宋体"/>
          <w:color w:val="000000"/>
          <w:kern w:val="2"/>
          <w:sz w:val="21"/>
          <w:szCs w:val="21"/>
          <w:highlight w:val="none"/>
        </w:rPr>
        <w:t>.4材料与工程设备的保管与使用</w:t>
      </w:r>
      <w:bookmarkEnd w:id="2931"/>
      <w:bookmarkEnd w:id="2932"/>
    </w:p>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8</w:t>
      </w:r>
      <w:bookmarkStart w:id="2954" w:name="_Toc292559878"/>
      <w:bookmarkStart w:id="2955" w:name="_Toc292559373"/>
      <w:bookmarkStart w:id="2956" w:name="_Toc300934980"/>
      <w:bookmarkStart w:id="2957" w:name="_Toc312678020"/>
      <w:bookmarkStart w:id="2958" w:name="_Toc318581173"/>
      <w:bookmarkStart w:id="2959" w:name="_Toc312677494"/>
      <w:bookmarkStart w:id="2960" w:name="_Toc297216187"/>
      <w:bookmarkStart w:id="2961" w:name="_Toc296890996"/>
      <w:bookmarkStart w:id="2962" w:name="_Toc296891208"/>
      <w:bookmarkStart w:id="2963" w:name="_Toc297120468"/>
      <w:bookmarkStart w:id="2964" w:name="_Toc296944507"/>
      <w:bookmarkStart w:id="2965" w:name="_Toc297123528"/>
      <w:bookmarkStart w:id="2966" w:name="_Toc296503168"/>
      <w:bookmarkStart w:id="2967" w:name="_Toc303539137"/>
      <w:bookmarkStart w:id="2968" w:name="_Toc296347167"/>
      <w:bookmarkStart w:id="2969" w:name="_Toc304295557"/>
      <w:bookmarkStart w:id="2970" w:name="_Toc297048354"/>
      <w:bookmarkStart w:id="2971" w:name="_Toc296346669"/>
      <w:r>
        <w:rPr>
          <w:rFonts w:hint="eastAsia" w:ascii="宋体" w:hAnsi="宋体" w:eastAsia="宋体" w:cs="宋体"/>
          <w:color w:val="000000"/>
          <w:kern w:val="2"/>
          <w:sz w:val="21"/>
          <w:szCs w:val="21"/>
          <w:highlight w:val="none"/>
        </w:rPr>
        <w:t>.4.1发包人供应的材料设备的保管费用的承担：</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bookmarkEnd w:id="2954"/>
      <w:bookmarkEnd w:id="2955"/>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72" w:name="_Toc448911915"/>
      <w:bookmarkStart w:id="2973" w:name="_Toc24263"/>
      <w:r>
        <w:rPr>
          <w:rFonts w:hint="eastAsia" w:ascii="宋体" w:hAnsi="宋体" w:eastAsia="宋体" w:cs="宋体"/>
          <w:color w:val="000000"/>
          <w:kern w:val="2"/>
          <w:sz w:val="21"/>
          <w:szCs w:val="21"/>
          <w:highlight w:val="none"/>
        </w:rPr>
        <w:t>8.6样品</w:t>
      </w:r>
      <w:bookmarkEnd w:id="2972"/>
      <w:bookmarkEnd w:id="2973"/>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8.6.1样品的报送与封存</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需要承包人报送样品的材料或工程设备，样品的种类、名称、规格、数量要求：</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74" w:name="_Toc4725"/>
      <w:bookmarkStart w:id="2975" w:name="_Toc448911916"/>
      <w:r>
        <w:rPr>
          <w:rFonts w:hint="eastAsia" w:ascii="宋体" w:hAnsi="宋体" w:eastAsia="宋体" w:cs="宋体"/>
          <w:color w:val="000000"/>
          <w:kern w:val="2"/>
          <w:sz w:val="21"/>
          <w:szCs w:val="21"/>
          <w:highlight w:val="none"/>
        </w:rPr>
        <w:t>8.8施工设备和临时设施</w:t>
      </w:r>
      <w:bookmarkEnd w:id="2974"/>
      <w:bookmarkEnd w:id="2975"/>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8.8.1 承包人提供的施工设备和临时设施</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关于修建临时设施费用承担的约定：</w:t>
      </w:r>
      <w:r>
        <w:rPr>
          <w:rFonts w:hint="eastAsia" w:ascii="宋体" w:hAnsi="宋体" w:eastAsia="宋体" w:cs="宋体"/>
          <w:color w:val="000000"/>
          <w:kern w:val="2"/>
          <w:sz w:val="21"/>
          <w:szCs w:val="21"/>
          <w:highlight w:val="none"/>
          <w:u w:val="single"/>
        </w:rPr>
        <w:t xml:space="preserve"> 由承包人承担 </w:t>
      </w:r>
      <w:r>
        <w:rPr>
          <w:rFonts w:hint="eastAsia" w:ascii="宋体" w:hAnsi="宋体" w:eastAsia="宋体" w:cs="宋体"/>
          <w:color w:val="000000"/>
          <w:kern w:val="2"/>
          <w:sz w:val="21"/>
          <w:szCs w:val="21"/>
          <w:highlight w:val="none"/>
        </w:rPr>
        <w:t>。</w:t>
      </w:r>
    </w:p>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2976" w:name="_Toc19830"/>
      <w:bookmarkStart w:id="2977" w:name="_Toc16714"/>
      <w:bookmarkStart w:id="2978" w:name="_Toc11462"/>
      <w:bookmarkStart w:id="2979" w:name="_Toc18417"/>
      <w:bookmarkStart w:id="2980" w:name="_Toc448911917"/>
      <w:bookmarkStart w:id="2981" w:name="_Toc9577"/>
      <w:bookmarkStart w:id="2982" w:name="_Toc13980"/>
      <w:bookmarkStart w:id="2983" w:name="_Toc351203641"/>
      <w:bookmarkStart w:id="2984" w:name="_Toc4599876"/>
      <w:bookmarkStart w:id="2985" w:name="_Toc23527"/>
      <w:bookmarkStart w:id="2986" w:name="_Toc30114"/>
      <w:r>
        <w:rPr>
          <w:rFonts w:hint="eastAsia" w:ascii="宋体" w:hAnsi="宋体" w:eastAsia="宋体" w:cs="宋体"/>
          <w:color w:val="000000"/>
          <w:kern w:val="2"/>
          <w:sz w:val="21"/>
          <w:szCs w:val="21"/>
          <w:highlight w:val="none"/>
        </w:rPr>
        <w:t>9</w:t>
      </w:r>
      <w:bookmarkEnd w:id="2951"/>
      <w:bookmarkEnd w:id="2952"/>
      <w:bookmarkEnd w:id="2953"/>
      <w:bookmarkStart w:id="2987" w:name="_Toc297123533"/>
      <w:bookmarkStart w:id="2988" w:name="_Toc312677495"/>
      <w:bookmarkStart w:id="2989" w:name="_Toc297216192"/>
      <w:bookmarkStart w:id="2990" w:name="_Toc312678021"/>
      <w:bookmarkStart w:id="2991" w:name="_Toc303539139"/>
      <w:bookmarkStart w:id="2992" w:name="_Toc304295559"/>
      <w:bookmarkStart w:id="2993" w:name="_Toc300934982"/>
      <w:bookmarkStart w:id="2994" w:name="_Toc267251427"/>
      <w:bookmarkStart w:id="2995" w:name="_Toc267251428"/>
      <w:bookmarkStart w:id="2996" w:name="_Toc296891213"/>
      <w:bookmarkStart w:id="2997" w:name="_Toc296346674"/>
      <w:bookmarkStart w:id="2998" w:name="_Toc297048359"/>
      <w:bookmarkStart w:id="2999" w:name="_Toc297120473"/>
      <w:bookmarkStart w:id="3000" w:name="_Toc296347172"/>
      <w:bookmarkStart w:id="3001" w:name="_Toc296944512"/>
      <w:bookmarkStart w:id="3002" w:name="_Toc292559883"/>
      <w:bookmarkStart w:id="3003" w:name="_Toc296891001"/>
      <w:bookmarkStart w:id="3004" w:name="_Toc296503173"/>
      <w:bookmarkStart w:id="3005" w:name="_Toc292559378"/>
      <w:r>
        <w:rPr>
          <w:rFonts w:hint="eastAsia" w:ascii="宋体" w:hAnsi="宋体" w:eastAsia="宋体" w:cs="宋体"/>
          <w:color w:val="000000"/>
          <w:kern w:val="2"/>
          <w:sz w:val="21"/>
          <w:szCs w:val="21"/>
          <w:highlight w:val="none"/>
        </w:rPr>
        <w:t>.试验与检验</w:t>
      </w:r>
      <w:bookmarkEnd w:id="2976"/>
      <w:bookmarkEnd w:id="2977"/>
      <w:bookmarkEnd w:id="2978"/>
      <w:bookmarkEnd w:id="2979"/>
      <w:bookmarkEnd w:id="2980"/>
      <w:bookmarkEnd w:id="2981"/>
      <w:bookmarkEnd w:id="2982"/>
      <w:bookmarkEnd w:id="2983"/>
      <w:bookmarkEnd w:id="2984"/>
      <w:bookmarkEnd w:id="2985"/>
      <w:bookmarkEnd w:id="2986"/>
    </w:p>
    <w:bookmarkEnd w:id="2987"/>
    <w:bookmarkEnd w:id="2988"/>
    <w:bookmarkEnd w:id="2989"/>
    <w:bookmarkEnd w:id="2990"/>
    <w:bookmarkEnd w:id="2991"/>
    <w:bookmarkEnd w:id="2992"/>
    <w:bookmarkEnd w:id="2993"/>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06" w:name="_Toc25074"/>
      <w:bookmarkStart w:id="3007" w:name="_Toc448911918"/>
      <w:bookmarkStart w:id="3008" w:name="_Toc351203642"/>
      <w:r>
        <w:rPr>
          <w:rFonts w:hint="eastAsia" w:ascii="宋体" w:hAnsi="宋体" w:eastAsia="宋体" w:cs="宋体"/>
          <w:color w:val="000000"/>
          <w:kern w:val="2"/>
          <w:sz w:val="21"/>
          <w:szCs w:val="21"/>
          <w:highlight w:val="none"/>
        </w:rPr>
        <w:t>9</w:t>
      </w:r>
      <w:bookmarkStart w:id="3009" w:name="_Toc303539140"/>
      <w:bookmarkStart w:id="3010" w:name="_Toc300934983"/>
      <w:bookmarkStart w:id="3011" w:name="_Toc297216193"/>
      <w:bookmarkStart w:id="3012" w:name="_Toc312677496"/>
      <w:bookmarkStart w:id="3013" w:name="_Toc297123534"/>
      <w:bookmarkStart w:id="3014" w:name="_Toc304295560"/>
      <w:bookmarkStart w:id="3015" w:name="_Toc312678022"/>
      <w:r>
        <w:rPr>
          <w:rFonts w:hint="eastAsia" w:ascii="宋体" w:hAnsi="宋体" w:eastAsia="宋体" w:cs="宋体"/>
          <w:color w:val="000000"/>
          <w:kern w:val="2"/>
          <w:sz w:val="21"/>
          <w:szCs w:val="21"/>
          <w:highlight w:val="none"/>
        </w:rPr>
        <w:t>.1试验设备与试验人员</w:t>
      </w:r>
      <w:bookmarkEnd w:id="3006"/>
      <w:bookmarkEnd w:id="3007"/>
    </w:p>
    <w:bookmarkEnd w:id="3009"/>
    <w:bookmarkEnd w:id="3010"/>
    <w:bookmarkEnd w:id="3011"/>
    <w:bookmarkEnd w:id="3012"/>
    <w:bookmarkEnd w:id="3013"/>
    <w:bookmarkEnd w:id="3014"/>
    <w:bookmarkEnd w:id="3015"/>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9</w:t>
      </w:r>
      <w:bookmarkStart w:id="3016" w:name="_Toc297216194"/>
      <w:bookmarkStart w:id="3017" w:name="_Toc304295561"/>
      <w:bookmarkStart w:id="3018" w:name="_Toc312678023"/>
      <w:bookmarkStart w:id="3019" w:name="_Toc300934984"/>
      <w:bookmarkStart w:id="3020" w:name="_Toc303539141"/>
      <w:bookmarkStart w:id="3021" w:name="_Toc297123535"/>
      <w:bookmarkStart w:id="3022" w:name="_Toc312677497"/>
      <w:bookmarkStart w:id="3023" w:name="_Toc318581174"/>
      <w:r>
        <w:rPr>
          <w:rFonts w:hint="eastAsia" w:ascii="宋体" w:hAnsi="宋体" w:eastAsia="宋体" w:cs="宋体"/>
          <w:color w:val="000000"/>
          <w:kern w:val="2"/>
          <w:sz w:val="21"/>
          <w:szCs w:val="21"/>
          <w:highlight w:val="none"/>
        </w:rPr>
        <w:t>.1.1 试验设备</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施工现场需要配置的试验场所：</w:t>
      </w:r>
      <w:bookmarkEnd w:id="3016"/>
      <w:bookmarkEnd w:id="3017"/>
      <w:bookmarkEnd w:id="3018"/>
      <w:bookmarkEnd w:id="3019"/>
      <w:bookmarkEnd w:id="3020"/>
      <w:bookmarkEnd w:id="3021"/>
      <w:bookmarkEnd w:id="3022"/>
      <w:bookmarkStart w:id="3024" w:name="_Toc312677498"/>
      <w:bookmarkStart w:id="3025" w:name="_Toc312678024"/>
      <w:bookmarkStart w:id="3026" w:name="_Toc300934985"/>
      <w:bookmarkStart w:id="3027" w:name="_Toc297123536"/>
      <w:bookmarkStart w:id="3028" w:name="_Toc297216195"/>
      <w:bookmarkStart w:id="3029" w:name="_Toc304295562"/>
      <w:bookmarkStart w:id="3030" w:name="_Toc303539142"/>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施工现场需要配备的试验设备：</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施工现场需要具备的其他试验条件：</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31" w:name="_Toc448911919"/>
      <w:bookmarkStart w:id="3032" w:name="_Toc2437"/>
      <w:r>
        <w:rPr>
          <w:rFonts w:hint="eastAsia" w:ascii="宋体" w:hAnsi="宋体" w:eastAsia="宋体" w:cs="宋体"/>
          <w:color w:val="000000"/>
          <w:kern w:val="2"/>
          <w:sz w:val="21"/>
          <w:szCs w:val="21"/>
          <w:highlight w:val="none"/>
        </w:rPr>
        <w:t>9.4 现场工艺试验</w:t>
      </w:r>
      <w:bookmarkEnd w:id="3031"/>
      <w:bookmarkEnd w:id="3032"/>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现场工艺试验的有关约定：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bookmarkEnd w:id="3023"/>
    <w:bookmarkEnd w:id="3024"/>
    <w:bookmarkEnd w:id="3025"/>
    <w:bookmarkEnd w:id="3026"/>
    <w:bookmarkEnd w:id="3027"/>
    <w:bookmarkEnd w:id="3028"/>
    <w:bookmarkEnd w:id="3029"/>
    <w:bookmarkEnd w:id="3030"/>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33" w:name="_Toc21740"/>
      <w:bookmarkStart w:id="3034" w:name="_Toc10215"/>
      <w:bookmarkStart w:id="3035" w:name="_Toc827"/>
      <w:bookmarkStart w:id="3036" w:name="_Toc448911920"/>
      <w:bookmarkStart w:id="3037" w:name="_Toc4599877"/>
      <w:bookmarkStart w:id="3038" w:name="_Toc27989"/>
      <w:bookmarkStart w:id="3039" w:name="_Toc7553"/>
      <w:bookmarkStart w:id="3040" w:name="_Toc11676"/>
      <w:bookmarkStart w:id="3041" w:name="_Toc4203"/>
      <w:bookmarkStart w:id="3042" w:name="_Toc1811"/>
      <w:r>
        <w:rPr>
          <w:rFonts w:hint="eastAsia" w:ascii="宋体" w:hAnsi="宋体" w:eastAsia="宋体" w:cs="宋体"/>
          <w:color w:val="000000"/>
          <w:kern w:val="2"/>
          <w:sz w:val="21"/>
          <w:szCs w:val="21"/>
          <w:highlight w:val="none"/>
        </w:rPr>
        <w:t>1</w:t>
      </w:r>
      <w:bookmarkEnd w:id="2994"/>
      <w:bookmarkEnd w:id="2995"/>
      <w:bookmarkEnd w:id="2996"/>
      <w:bookmarkEnd w:id="2997"/>
      <w:bookmarkEnd w:id="2998"/>
      <w:bookmarkEnd w:id="2999"/>
      <w:bookmarkEnd w:id="3000"/>
      <w:bookmarkEnd w:id="3001"/>
      <w:bookmarkEnd w:id="3002"/>
      <w:bookmarkEnd w:id="3003"/>
      <w:bookmarkEnd w:id="3004"/>
      <w:bookmarkEnd w:id="3005"/>
      <w:bookmarkStart w:id="3043" w:name="_Toc296891233"/>
      <w:bookmarkStart w:id="3044" w:name="_Toc300934989"/>
      <w:bookmarkStart w:id="3045" w:name="_Toc297120493"/>
      <w:bookmarkStart w:id="3046" w:name="_Toc296346694"/>
      <w:bookmarkStart w:id="3047" w:name="_Toc304295566"/>
      <w:bookmarkStart w:id="3048" w:name="_Toc296503193"/>
      <w:bookmarkStart w:id="3049" w:name="_Toc296891021"/>
      <w:bookmarkStart w:id="3050" w:name="_Toc303539146"/>
      <w:bookmarkStart w:id="3051" w:name="_Toc292559903"/>
      <w:bookmarkStart w:id="3052" w:name="_Toc292559398"/>
      <w:bookmarkStart w:id="3053" w:name="_Toc296347192"/>
      <w:bookmarkStart w:id="3054" w:name="_Toc297216199"/>
      <w:bookmarkStart w:id="3055" w:name="_Toc297048379"/>
      <w:bookmarkStart w:id="3056" w:name="_Toc297123540"/>
      <w:bookmarkStart w:id="3057" w:name="_Toc296944532"/>
      <w:bookmarkStart w:id="3058" w:name="_Toc312677499"/>
      <w:bookmarkStart w:id="3059" w:name="_Toc312678025"/>
      <w:bookmarkStart w:id="3060" w:name="_Toc267251435"/>
      <w:bookmarkStart w:id="3061" w:name="_Toc267251439"/>
      <w:bookmarkStart w:id="3062" w:name="_Toc267251433"/>
      <w:bookmarkStart w:id="3063" w:name="_Toc267251437"/>
      <w:bookmarkStart w:id="3064" w:name="_Toc267251440"/>
      <w:bookmarkStart w:id="3065" w:name="_Toc267251441"/>
      <w:bookmarkStart w:id="3066" w:name="_Toc267251442"/>
      <w:r>
        <w:rPr>
          <w:rFonts w:hint="eastAsia" w:ascii="宋体" w:hAnsi="宋体" w:eastAsia="宋体" w:cs="宋体"/>
          <w:color w:val="000000"/>
          <w:kern w:val="2"/>
          <w:sz w:val="21"/>
          <w:szCs w:val="21"/>
          <w:highlight w:val="none"/>
        </w:rPr>
        <w:t>0.变更</w:t>
      </w:r>
      <w:bookmarkEnd w:id="3008"/>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p>
    <w:bookmarkEnd w:id="3058"/>
    <w:bookmarkEnd w:id="3059"/>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67" w:name="_Toc13244"/>
      <w:bookmarkStart w:id="3068" w:name="_Toc448911921"/>
      <w:r>
        <w:rPr>
          <w:rFonts w:hint="eastAsia" w:ascii="宋体" w:hAnsi="宋体" w:eastAsia="宋体" w:cs="宋体"/>
          <w:color w:val="000000"/>
          <w:kern w:val="2"/>
          <w:sz w:val="21"/>
          <w:szCs w:val="21"/>
          <w:highlight w:val="none"/>
        </w:rPr>
        <w:t>1</w:t>
      </w:r>
      <w:bookmarkStart w:id="3069" w:name="_Toc300934990"/>
      <w:bookmarkStart w:id="3070" w:name="_Toc296891022"/>
      <w:bookmarkStart w:id="3071" w:name="_Toc296346695"/>
      <w:bookmarkStart w:id="3072" w:name="_Toc312678026"/>
      <w:bookmarkStart w:id="3073" w:name="_Toc297120494"/>
      <w:bookmarkStart w:id="3074" w:name="_Toc304295567"/>
      <w:bookmarkStart w:id="3075" w:name="_Toc297048380"/>
      <w:bookmarkStart w:id="3076" w:name="_Toc296891234"/>
      <w:bookmarkStart w:id="3077" w:name="_Toc292559904"/>
      <w:bookmarkStart w:id="3078" w:name="_Toc312677500"/>
      <w:bookmarkStart w:id="3079" w:name="_Toc292559399"/>
      <w:bookmarkStart w:id="3080" w:name="_Toc296503194"/>
      <w:bookmarkStart w:id="3081" w:name="_Toc296347193"/>
      <w:bookmarkStart w:id="3082" w:name="_Toc297216200"/>
      <w:bookmarkStart w:id="3083" w:name="_Toc296944533"/>
      <w:bookmarkStart w:id="3084" w:name="_Toc303539147"/>
      <w:bookmarkStart w:id="3085" w:name="_Toc297123541"/>
      <w:r>
        <w:rPr>
          <w:rFonts w:hint="eastAsia" w:ascii="宋体" w:hAnsi="宋体" w:eastAsia="宋体" w:cs="宋体"/>
          <w:color w:val="000000"/>
          <w:kern w:val="2"/>
          <w:sz w:val="21"/>
          <w:szCs w:val="21"/>
          <w:highlight w:val="none"/>
        </w:rPr>
        <w:t>0.1变更的范围</w:t>
      </w:r>
      <w:bookmarkEnd w:id="3067"/>
      <w:bookmarkEnd w:id="3068"/>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关于变更的范围的约定：</w:t>
      </w:r>
      <w:r>
        <w:rPr>
          <w:rFonts w:hint="eastAsia" w:ascii="宋体" w:hAnsi="宋体" w:eastAsia="宋体" w:cs="宋体"/>
          <w:color w:val="000000"/>
          <w:kern w:val="2"/>
          <w:sz w:val="21"/>
          <w:szCs w:val="21"/>
          <w:highlight w:val="none"/>
          <w:u w:val="single"/>
        </w:rPr>
        <w:t>变更范围除通用条款约定外，本工程变更为图纸未包含或发包人要求增加或减少的工程内容，不含承包人在投标时因自身原因而漏报、少报、错报部分的工程内容。</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变更不应以任何方式使合同作废或无效，但所有变更对扣除价值的影响（如有）应按本合同进行变更计价。如果发包人或发包人通过监理人发出指令进行工程变更完全是因为：（1）承包人违约或毁约；（2）承包人自身的施工方便；（3）承包人施工措施的需要；（4）承包人的其他原因。则由于本款（1）～（4）原因引起变更的费用由承包人承担，承包人不得要求发包人签署费用变更单。</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rPr>
        <w:t>包含在总包合同范围内的暂估价材料、设备和专业分包工程认价过程中考察市场价格、编制招标文件及控制价、组织开评标等发生的相关费用，均由承包人负担，结算时不再调整。</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86" w:name="_Toc15488"/>
      <w:bookmarkStart w:id="3087" w:name="_Toc448911922"/>
      <w:r>
        <w:rPr>
          <w:rFonts w:hint="eastAsia" w:ascii="宋体" w:hAnsi="宋体" w:eastAsia="宋体" w:cs="宋体"/>
          <w:color w:val="000000"/>
          <w:kern w:val="2"/>
          <w:sz w:val="21"/>
          <w:szCs w:val="21"/>
          <w:highlight w:val="none"/>
        </w:rPr>
        <w:t>10.4 变更估价</w:t>
      </w:r>
      <w:bookmarkEnd w:id="3086"/>
      <w:bookmarkEnd w:id="3087"/>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10.4.1 变更估价原则</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关于变更估价的约定: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088" w:name="_Toc448911923"/>
      <w:bookmarkStart w:id="3089" w:name="_Toc14798"/>
      <w:r>
        <w:rPr>
          <w:rFonts w:hint="eastAsia" w:ascii="宋体" w:hAnsi="宋体" w:eastAsia="宋体" w:cs="宋体"/>
          <w:color w:val="000000"/>
          <w:kern w:val="2"/>
          <w:sz w:val="21"/>
          <w:szCs w:val="21"/>
          <w:highlight w:val="none"/>
        </w:rPr>
        <w:t>1</w:t>
      </w:r>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Start w:id="3090" w:name="_Toc292559907"/>
      <w:bookmarkStart w:id="3091" w:name="_Toc296346698"/>
      <w:bookmarkStart w:id="3092" w:name="_Toc297123544"/>
      <w:bookmarkStart w:id="3093" w:name="_Toc303539150"/>
      <w:bookmarkStart w:id="3094" w:name="_Toc297216203"/>
      <w:bookmarkStart w:id="3095" w:name="_Toc296891237"/>
      <w:bookmarkStart w:id="3096" w:name="_Toc296347196"/>
      <w:bookmarkStart w:id="3097" w:name="_Toc296891025"/>
      <w:bookmarkStart w:id="3098" w:name="_Toc297120497"/>
      <w:bookmarkStart w:id="3099" w:name="_Toc300934993"/>
      <w:bookmarkStart w:id="3100" w:name="_Toc292559402"/>
      <w:bookmarkStart w:id="3101" w:name="_Toc296944536"/>
      <w:bookmarkStart w:id="3102" w:name="_Toc297048383"/>
      <w:bookmarkStart w:id="3103" w:name="_Toc296503197"/>
      <w:bookmarkStart w:id="3104" w:name="_Toc312677503"/>
      <w:bookmarkStart w:id="3105" w:name="_Toc304295570"/>
      <w:bookmarkStart w:id="3106" w:name="_Toc312678029"/>
      <w:r>
        <w:rPr>
          <w:rFonts w:hint="eastAsia" w:ascii="宋体" w:hAnsi="宋体" w:eastAsia="宋体" w:cs="宋体"/>
          <w:color w:val="000000"/>
          <w:kern w:val="2"/>
          <w:sz w:val="21"/>
          <w:szCs w:val="21"/>
          <w:highlight w:val="none"/>
        </w:rPr>
        <w:t>0.5承</w:t>
      </w:r>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Start w:id="3107" w:name="_Toc300934994"/>
      <w:bookmarkStart w:id="3108" w:name="_Toc296944542"/>
      <w:bookmarkStart w:id="3109" w:name="_Toc296503203"/>
      <w:bookmarkStart w:id="3110" w:name="_Toc297048389"/>
      <w:bookmarkStart w:id="3111" w:name="_Toc296891031"/>
      <w:bookmarkStart w:id="3112" w:name="_Toc297216204"/>
      <w:bookmarkStart w:id="3113" w:name="_Toc297123545"/>
      <w:bookmarkStart w:id="3114" w:name="_Toc303539151"/>
      <w:bookmarkStart w:id="3115" w:name="_Toc292559913"/>
      <w:bookmarkStart w:id="3116" w:name="_Toc292559408"/>
      <w:bookmarkStart w:id="3117" w:name="_Toc296347202"/>
      <w:bookmarkStart w:id="3118" w:name="_Toc296346704"/>
      <w:bookmarkStart w:id="3119" w:name="_Toc296891243"/>
      <w:bookmarkStart w:id="3120" w:name="_Toc297120503"/>
      <w:r>
        <w:rPr>
          <w:rFonts w:hint="eastAsia" w:ascii="宋体" w:hAnsi="宋体" w:eastAsia="宋体" w:cs="宋体"/>
          <w:color w:val="000000"/>
          <w:kern w:val="2"/>
          <w:sz w:val="21"/>
          <w:szCs w:val="21"/>
          <w:highlight w:val="none"/>
        </w:rPr>
        <w:t>包人的合理化建议</w:t>
      </w:r>
      <w:bookmarkEnd w:id="3088"/>
      <w:bookmarkEnd w:id="3089"/>
    </w:p>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监理人审查承包人合理化建议的期限：</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发包人审批承包人合理化建议的期限：</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w:t>
      </w:r>
      <w:bookmarkStart w:id="3121" w:name="_Toc297120504"/>
      <w:bookmarkStart w:id="3122" w:name="_Toc296503204"/>
      <w:bookmarkStart w:id="3123" w:name="_Toc297048390"/>
      <w:bookmarkStart w:id="3124" w:name="_Toc296891244"/>
      <w:bookmarkStart w:id="3125" w:name="_Toc318581175"/>
      <w:bookmarkStart w:id="3126" w:name="_Toc312677504"/>
      <w:bookmarkStart w:id="3127" w:name="_Toc292559409"/>
      <w:bookmarkStart w:id="3128" w:name="_Toc296346705"/>
      <w:bookmarkStart w:id="3129" w:name="_Toc303539152"/>
      <w:bookmarkStart w:id="3130" w:name="_Toc296891032"/>
      <w:bookmarkStart w:id="3131" w:name="_Toc292559914"/>
      <w:bookmarkStart w:id="3132" w:name="_Toc296347203"/>
      <w:bookmarkStart w:id="3133" w:name="_Toc297216205"/>
      <w:bookmarkStart w:id="3134" w:name="_Toc297123546"/>
      <w:bookmarkStart w:id="3135" w:name="_Toc304295571"/>
      <w:bookmarkStart w:id="3136" w:name="_Toc312678030"/>
      <w:bookmarkStart w:id="3137" w:name="_Toc300934995"/>
      <w:bookmarkStart w:id="3138" w:name="_Toc296944543"/>
      <w:r>
        <w:rPr>
          <w:rFonts w:hint="eastAsia" w:ascii="宋体" w:hAnsi="宋体" w:eastAsia="宋体" w:cs="宋体"/>
          <w:color w:val="000000"/>
          <w:kern w:val="2"/>
          <w:sz w:val="21"/>
          <w:szCs w:val="21"/>
          <w:highlight w:val="none"/>
        </w:rPr>
        <w:t>包人提出的合理化建议降低了合同价格或者提高了工程经济效益的奖励的方法和金额为：</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139" w:name="_Toc1986"/>
      <w:bookmarkStart w:id="3140" w:name="_Toc448911924"/>
      <w:r>
        <w:rPr>
          <w:rFonts w:hint="eastAsia" w:ascii="宋体" w:hAnsi="宋体" w:eastAsia="宋体" w:cs="宋体"/>
          <w:color w:val="000000"/>
          <w:kern w:val="2"/>
          <w:sz w:val="21"/>
          <w:szCs w:val="21"/>
          <w:highlight w:val="none"/>
        </w:rPr>
        <w:t>1</w:t>
      </w:r>
      <w:bookmarkStart w:id="3141" w:name="_Toc303539154"/>
      <w:bookmarkStart w:id="3142" w:name="_Toc312678033"/>
      <w:bookmarkStart w:id="3143" w:name="_Toc292559909"/>
      <w:bookmarkStart w:id="3144" w:name="_Toc296503199"/>
      <w:bookmarkStart w:id="3145" w:name="_Toc296891239"/>
      <w:bookmarkStart w:id="3146" w:name="_Toc312677507"/>
      <w:bookmarkStart w:id="3147" w:name="_Toc297120499"/>
      <w:bookmarkStart w:id="3148" w:name="_Toc292559404"/>
      <w:bookmarkStart w:id="3149" w:name="_Toc296346700"/>
      <w:bookmarkStart w:id="3150" w:name="_Toc300934997"/>
      <w:bookmarkStart w:id="3151" w:name="_Toc296891027"/>
      <w:bookmarkStart w:id="3152" w:name="_Toc297216207"/>
      <w:bookmarkStart w:id="3153" w:name="_Toc296347198"/>
      <w:bookmarkStart w:id="3154" w:name="_Toc296944538"/>
      <w:bookmarkStart w:id="3155" w:name="_Toc297048385"/>
      <w:bookmarkStart w:id="3156" w:name="_Toc297123548"/>
      <w:bookmarkStart w:id="3157" w:name="_Toc304295574"/>
      <w:r>
        <w:rPr>
          <w:rFonts w:hint="eastAsia" w:ascii="宋体" w:hAnsi="宋体" w:eastAsia="宋体" w:cs="宋体"/>
          <w:color w:val="000000"/>
          <w:kern w:val="2"/>
          <w:sz w:val="21"/>
          <w:szCs w:val="21"/>
          <w:highlight w:val="none"/>
        </w:rPr>
        <w:t>0.7 暂估价</w:t>
      </w:r>
      <w:bookmarkEnd w:id="3139"/>
      <w:bookmarkEnd w:id="3140"/>
    </w:p>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w:t>
      </w:r>
      <w:bookmarkStart w:id="3158" w:name="_Toc312678035"/>
      <w:bookmarkStart w:id="3159" w:name="_Toc312677509"/>
      <w:bookmarkStart w:id="3160" w:name="_Toc318581177"/>
      <w:r>
        <w:rPr>
          <w:rFonts w:hint="eastAsia" w:ascii="宋体" w:hAnsi="宋体" w:eastAsia="宋体" w:cs="宋体"/>
          <w:color w:val="000000"/>
          <w:kern w:val="2"/>
          <w:sz w:val="21"/>
          <w:szCs w:val="21"/>
          <w:highlight w:val="none"/>
        </w:rPr>
        <w:t>0.7.1 依法必须招标的暂估价项目</w:t>
      </w:r>
    </w:p>
    <w:bookmarkEnd w:id="3158"/>
    <w:bookmarkEnd w:id="3159"/>
    <w:bookmarkEnd w:id="3160"/>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对于依法必须招标的暂估价项目的确认和批准采取</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方式确定。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本工程依法必须招标的暂估价项目有：</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10.7.2 不属于依法必须招标的暂估价项目</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对于不属于依法必须招标的暂估价项目的确认和批准采取</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确定。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本工程不属于依法必须招标的暂估价项目有：</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第3种方式：</w:t>
      </w:r>
      <w:r>
        <w:rPr>
          <w:rFonts w:hint="eastAsia" w:ascii="宋体" w:hAnsi="宋体" w:eastAsia="宋体" w:cs="宋体"/>
          <w:color w:val="000000"/>
          <w:sz w:val="21"/>
          <w:szCs w:val="21"/>
          <w:highlight w:val="none"/>
        </w:rPr>
        <w:t>承包人直接实施的暂估价项目</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承包人直接实施的暂估价项目的约定：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161" w:name="_Toc26174"/>
      <w:bookmarkStart w:id="3162" w:name="_Toc448911925"/>
      <w:r>
        <w:rPr>
          <w:rFonts w:hint="eastAsia" w:ascii="宋体" w:hAnsi="宋体" w:eastAsia="宋体" w:cs="宋体"/>
          <w:color w:val="000000"/>
          <w:kern w:val="2"/>
          <w:sz w:val="21"/>
          <w:szCs w:val="21"/>
          <w:highlight w:val="none"/>
        </w:rPr>
        <w:t>10.8 暂列金额</w:t>
      </w:r>
      <w:bookmarkEnd w:id="3161"/>
      <w:bookmarkEnd w:id="3162"/>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b/>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163" w:name="_Toc16264"/>
      <w:bookmarkStart w:id="3164" w:name="_Toc24919"/>
      <w:bookmarkStart w:id="3165" w:name="_Toc448911926"/>
      <w:bookmarkStart w:id="3166" w:name="_Toc19468"/>
      <w:bookmarkStart w:id="3167" w:name="_Toc351203643"/>
      <w:bookmarkStart w:id="3168" w:name="_Toc25590"/>
      <w:bookmarkStart w:id="3169" w:name="_Toc4599878"/>
      <w:bookmarkStart w:id="3170" w:name="_Toc29624"/>
      <w:bookmarkStart w:id="3171" w:name="_Toc24706"/>
      <w:bookmarkStart w:id="3172" w:name="_Toc861"/>
      <w:bookmarkStart w:id="3173" w:name="_Toc12000"/>
      <w:r>
        <w:rPr>
          <w:rFonts w:hint="eastAsia" w:ascii="宋体" w:hAnsi="宋体" w:eastAsia="宋体" w:cs="宋体"/>
          <w:color w:val="000000"/>
          <w:kern w:val="2"/>
          <w:sz w:val="21"/>
          <w:szCs w:val="21"/>
          <w:highlight w:val="none"/>
        </w:rPr>
        <w:t>11.价格调整</w:t>
      </w:r>
      <w:bookmarkEnd w:id="3163"/>
      <w:bookmarkEnd w:id="3164"/>
      <w:bookmarkEnd w:id="3165"/>
      <w:bookmarkEnd w:id="3166"/>
      <w:bookmarkEnd w:id="3167"/>
      <w:bookmarkEnd w:id="3168"/>
      <w:bookmarkEnd w:id="3169"/>
      <w:bookmarkEnd w:id="3170"/>
      <w:bookmarkEnd w:id="3171"/>
      <w:bookmarkEnd w:id="3172"/>
      <w:bookmarkEnd w:id="3173"/>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174" w:name="_Toc2234"/>
      <w:bookmarkStart w:id="3175" w:name="_Toc448911927"/>
      <w:bookmarkStart w:id="3176" w:name="_Toc297123550"/>
      <w:bookmarkStart w:id="3177" w:name="_Toc312678039"/>
      <w:bookmarkStart w:id="3178" w:name="_Toc297120501"/>
      <w:bookmarkStart w:id="3179" w:name="_Toc292559406"/>
      <w:bookmarkStart w:id="3180" w:name="_Toc296503201"/>
      <w:bookmarkStart w:id="3181" w:name="_Toc296891029"/>
      <w:bookmarkStart w:id="3182" w:name="_Toc296346702"/>
      <w:bookmarkStart w:id="3183" w:name="_Toc296347200"/>
      <w:bookmarkStart w:id="3184" w:name="_Toc297216209"/>
      <w:bookmarkStart w:id="3185" w:name="_Toc303539157"/>
      <w:bookmarkStart w:id="3186" w:name="_Toc304295577"/>
      <w:bookmarkStart w:id="3187" w:name="_Toc300935000"/>
      <w:bookmarkStart w:id="3188" w:name="_Toc296891241"/>
      <w:bookmarkStart w:id="3189" w:name="_Toc296944540"/>
      <w:bookmarkStart w:id="3190" w:name="_Toc297048387"/>
      <w:bookmarkStart w:id="3191" w:name="_Toc292559911"/>
      <w:r>
        <w:rPr>
          <w:rFonts w:hint="eastAsia" w:ascii="宋体" w:hAnsi="宋体" w:eastAsia="宋体" w:cs="宋体"/>
          <w:color w:val="000000"/>
          <w:kern w:val="2"/>
          <w:sz w:val="21"/>
          <w:szCs w:val="21"/>
          <w:highlight w:val="none"/>
        </w:rPr>
        <w:t>11.1 市场价格波动引起的调整</w:t>
      </w:r>
      <w:bookmarkEnd w:id="3174"/>
      <w:bookmarkEnd w:id="3175"/>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市场价格波动是否调整合同价格的约定：</w:t>
      </w:r>
      <w:r>
        <w:rPr>
          <w:rFonts w:hint="eastAsia" w:ascii="宋体" w:hAnsi="宋体" w:eastAsia="宋体" w:cs="宋体"/>
          <w:color w:val="000000"/>
          <w:kern w:val="2"/>
          <w:sz w:val="21"/>
          <w:szCs w:val="21"/>
          <w:highlight w:val="none"/>
          <w:u w:val="single"/>
        </w:rPr>
        <w:t>风险已包含在承包人报价的风险范围内，费用不做调整</w:t>
      </w:r>
      <w:r>
        <w:rPr>
          <w:rFonts w:hint="eastAsia" w:ascii="宋体" w:hAnsi="宋体" w:eastAsia="宋体" w:cs="宋体"/>
          <w:color w:val="000000"/>
          <w:sz w:val="21"/>
          <w:szCs w:val="21"/>
          <w:highlight w:val="none"/>
        </w:rPr>
        <w:t>。</w:t>
      </w:r>
    </w:p>
    <w:bookmarkEnd w:id="3060"/>
    <w:bookmarkEnd w:id="3061"/>
    <w:bookmarkEnd w:id="3062"/>
    <w:bookmarkEnd w:id="3063"/>
    <w:bookmarkEnd w:id="3064"/>
    <w:bookmarkEnd w:id="306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192" w:name="_Toc296944544"/>
      <w:bookmarkStart w:id="3193" w:name="_Toc296891033"/>
      <w:bookmarkStart w:id="3194" w:name="_Toc292559410"/>
      <w:bookmarkStart w:id="3195" w:name="_Toc292559915"/>
      <w:bookmarkStart w:id="3196" w:name="_Toc296891245"/>
      <w:bookmarkStart w:id="3197" w:name="_Toc296347204"/>
      <w:bookmarkStart w:id="3198" w:name="_Toc296346706"/>
      <w:bookmarkStart w:id="3199" w:name="_Toc297120505"/>
      <w:bookmarkStart w:id="3200" w:name="_Toc296503205"/>
      <w:bookmarkStart w:id="3201" w:name="_Toc297048391"/>
      <w:bookmarkStart w:id="3202" w:name="_Toc4599879"/>
      <w:bookmarkStart w:id="3203" w:name="_Toc351203644"/>
      <w:bookmarkStart w:id="3204" w:name="_Toc9087"/>
      <w:bookmarkStart w:id="3205" w:name="_Toc17494"/>
      <w:bookmarkStart w:id="3206" w:name="_Toc766"/>
      <w:bookmarkStart w:id="3207" w:name="_Toc26670"/>
      <w:bookmarkStart w:id="3208" w:name="_Toc13075"/>
      <w:bookmarkStart w:id="3209" w:name="_Toc28972"/>
      <w:bookmarkStart w:id="3210" w:name="_Toc448911928"/>
      <w:bookmarkStart w:id="3211" w:name="_Toc7568"/>
      <w:bookmarkStart w:id="3212" w:name="_Toc14777"/>
      <w:bookmarkStart w:id="3213" w:name="_Toc297123552"/>
      <w:bookmarkStart w:id="3214" w:name="_Toc297216211"/>
      <w:bookmarkStart w:id="3215" w:name="_Toc300935002"/>
      <w:bookmarkStart w:id="3216" w:name="_Toc303539159"/>
      <w:bookmarkStart w:id="3217" w:name="_Toc312678040"/>
      <w:bookmarkStart w:id="3218" w:name="_Toc304295579"/>
      <w:r>
        <w:rPr>
          <w:rFonts w:hint="eastAsia" w:ascii="宋体" w:hAnsi="宋体" w:eastAsia="宋体" w:cs="宋体"/>
          <w:color w:val="000000"/>
          <w:kern w:val="2"/>
          <w:sz w:val="21"/>
          <w:szCs w:val="21"/>
          <w:highlight w:val="none"/>
        </w:rPr>
        <w:t>12.</w:t>
      </w:r>
      <w:bookmarkEnd w:id="3192"/>
      <w:bookmarkEnd w:id="3193"/>
      <w:bookmarkEnd w:id="3194"/>
      <w:bookmarkEnd w:id="3195"/>
      <w:bookmarkEnd w:id="3196"/>
      <w:bookmarkEnd w:id="3197"/>
      <w:bookmarkEnd w:id="3198"/>
      <w:bookmarkEnd w:id="3199"/>
      <w:bookmarkEnd w:id="3200"/>
      <w:bookmarkEnd w:id="3201"/>
      <w:r>
        <w:rPr>
          <w:rFonts w:hint="eastAsia" w:ascii="宋体" w:hAnsi="宋体" w:eastAsia="宋体" w:cs="宋体"/>
          <w:color w:val="000000"/>
          <w:kern w:val="2"/>
          <w:sz w:val="21"/>
          <w:szCs w:val="21"/>
          <w:highlight w:val="none"/>
        </w:rPr>
        <w:t>合同价格、计量与支付</w:t>
      </w:r>
      <w:bookmarkEnd w:id="3202"/>
      <w:bookmarkEnd w:id="3203"/>
      <w:bookmarkEnd w:id="3204"/>
      <w:bookmarkEnd w:id="3205"/>
      <w:bookmarkEnd w:id="3206"/>
      <w:bookmarkEnd w:id="3207"/>
      <w:bookmarkEnd w:id="3208"/>
      <w:bookmarkEnd w:id="3209"/>
      <w:bookmarkEnd w:id="3210"/>
      <w:bookmarkEnd w:id="3211"/>
      <w:bookmarkEnd w:id="3212"/>
    </w:p>
    <w:bookmarkEnd w:id="3213"/>
    <w:bookmarkEnd w:id="3214"/>
    <w:bookmarkEnd w:id="3215"/>
    <w:bookmarkEnd w:id="3216"/>
    <w:bookmarkEnd w:id="3217"/>
    <w:bookmarkEnd w:id="3218"/>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219" w:name="_Toc267251461"/>
      <w:bookmarkStart w:id="3220" w:name="_Toc292559916"/>
      <w:bookmarkStart w:id="3221" w:name="_Toc292559411"/>
      <w:bookmarkStart w:id="3222" w:name="_Toc296891246"/>
      <w:bookmarkStart w:id="3223" w:name="_Toc297120506"/>
      <w:bookmarkStart w:id="3224" w:name="_Toc296891034"/>
      <w:bookmarkStart w:id="3225" w:name="_Toc297048392"/>
      <w:bookmarkStart w:id="3226" w:name="_Toc296347205"/>
      <w:bookmarkStart w:id="3227" w:name="_Toc296346707"/>
      <w:bookmarkStart w:id="3228" w:name="_Toc296503206"/>
      <w:bookmarkStart w:id="3229" w:name="_Toc296944545"/>
      <w:bookmarkStart w:id="3230" w:name="_Toc448911929"/>
      <w:bookmarkStart w:id="3231" w:name="_Toc14112"/>
      <w:bookmarkStart w:id="3232" w:name="_Toc300935003"/>
      <w:bookmarkStart w:id="3233" w:name="_Toc304295580"/>
      <w:bookmarkStart w:id="3234" w:name="_Toc297123553"/>
      <w:bookmarkStart w:id="3235" w:name="_Toc297216212"/>
      <w:bookmarkStart w:id="3236" w:name="_Toc303539160"/>
      <w:bookmarkStart w:id="3237" w:name="_Toc312678041"/>
      <w:r>
        <w:rPr>
          <w:rFonts w:hint="eastAsia" w:ascii="宋体" w:hAnsi="宋体" w:eastAsia="宋体" w:cs="宋体"/>
          <w:color w:val="000000"/>
          <w:kern w:val="2"/>
          <w:sz w:val="21"/>
          <w:szCs w:val="21"/>
          <w:highlight w:val="none"/>
        </w:rPr>
        <w:t>12.1 合</w:t>
      </w:r>
      <w:bookmarkEnd w:id="3219"/>
      <w:bookmarkEnd w:id="3220"/>
      <w:bookmarkEnd w:id="3221"/>
      <w:r>
        <w:rPr>
          <w:rFonts w:hint="eastAsia" w:ascii="宋体" w:hAnsi="宋体" w:eastAsia="宋体" w:cs="宋体"/>
          <w:color w:val="000000"/>
          <w:kern w:val="2"/>
          <w:sz w:val="21"/>
          <w:szCs w:val="21"/>
          <w:highlight w:val="none"/>
        </w:rPr>
        <w:t>同价</w:t>
      </w:r>
      <w:bookmarkEnd w:id="3222"/>
      <w:bookmarkEnd w:id="3223"/>
      <w:bookmarkEnd w:id="3224"/>
      <w:bookmarkEnd w:id="3225"/>
      <w:bookmarkEnd w:id="3226"/>
      <w:bookmarkEnd w:id="3227"/>
      <w:bookmarkEnd w:id="3228"/>
      <w:bookmarkEnd w:id="3229"/>
      <w:r>
        <w:rPr>
          <w:rFonts w:hint="eastAsia" w:ascii="宋体" w:hAnsi="宋体" w:eastAsia="宋体" w:cs="宋体"/>
          <w:color w:val="000000"/>
          <w:kern w:val="2"/>
          <w:sz w:val="21"/>
          <w:szCs w:val="21"/>
          <w:highlight w:val="none"/>
        </w:rPr>
        <w:t>格形式</w:t>
      </w:r>
      <w:bookmarkEnd w:id="3230"/>
      <w:bookmarkEnd w:id="3231"/>
    </w:p>
    <w:bookmarkEnd w:id="3232"/>
    <w:bookmarkEnd w:id="3233"/>
    <w:bookmarkEnd w:id="3234"/>
    <w:bookmarkEnd w:id="3235"/>
    <w:bookmarkEnd w:id="3236"/>
    <w:bookmarkEnd w:id="3237"/>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12.1.2总价合同。</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总价包含的风险范围：</w:t>
      </w:r>
      <w:r>
        <w:rPr>
          <w:rFonts w:hint="eastAsia" w:ascii="宋体" w:hAnsi="宋体" w:cs="宋体"/>
          <w:color w:val="000000"/>
          <w:kern w:val="2"/>
          <w:sz w:val="21"/>
          <w:szCs w:val="21"/>
          <w:highlight w:val="none"/>
          <w:u w:val="single"/>
          <w:lang w:val="en-US" w:eastAsia="zh-CN"/>
        </w:rPr>
        <w:t xml:space="preserve">  </w:t>
      </w:r>
      <w:r>
        <w:rPr>
          <w:rFonts w:hint="eastAsia" w:ascii="宋体" w:hAnsi="宋体" w:eastAsia="宋体" w:cs="宋体"/>
          <w:color w:val="000000"/>
          <w:kern w:val="2"/>
          <w:sz w:val="21"/>
          <w:szCs w:val="21"/>
          <w:highlight w:val="none"/>
          <w:u w:val="single"/>
        </w:rPr>
        <w:t>/ 。</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12.1.3 其他价格方式：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bookmarkStart w:id="3238" w:name="_Toc300935004"/>
      <w:bookmarkStart w:id="3239" w:name="_Toc303539161"/>
      <w:bookmarkStart w:id="3240" w:name="_Toc297216213"/>
      <w:bookmarkStart w:id="3241" w:name="_Toc312678042"/>
      <w:bookmarkStart w:id="3242" w:name="_Toc304295581"/>
      <w:bookmarkStart w:id="3243" w:name="_Toc297123554"/>
      <w:bookmarkStart w:id="3244" w:name="_Toc292559412"/>
      <w:bookmarkStart w:id="3245" w:name="_Toc292559917"/>
      <w:bookmarkStart w:id="3246" w:name="_Toc296891035"/>
      <w:bookmarkStart w:id="3247" w:name="_Toc297048393"/>
      <w:bookmarkStart w:id="3248" w:name="_Toc296503207"/>
      <w:bookmarkStart w:id="3249" w:name="_Toc297120507"/>
      <w:bookmarkStart w:id="3250" w:name="_Toc296891247"/>
      <w:bookmarkStart w:id="3251" w:name="_Toc296347206"/>
      <w:bookmarkStart w:id="3252" w:name="_Toc296944546"/>
      <w:bookmarkStart w:id="3253" w:name="_Toc296346708"/>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254" w:name="_Toc448911930"/>
      <w:bookmarkStart w:id="3255" w:name="_Toc21938"/>
      <w:r>
        <w:rPr>
          <w:rFonts w:hint="eastAsia" w:ascii="宋体" w:hAnsi="宋体" w:eastAsia="宋体" w:cs="宋体"/>
          <w:color w:val="000000"/>
          <w:kern w:val="2"/>
          <w:sz w:val="21"/>
          <w:szCs w:val="21"/>
          <w:highlight w:val="none"/>
        </w:rPr>
        <w:t>12.2 预付款</w:t>
      </w:r>
      <w:bookmarkEnd w:id="3254"/>
      <w:bookmarkEnd w:id="3255"/>
    </w:p>
    <w:bookmarkEnd w:id="3238"/>
    <w:bookmarkEnd w:id="3239"/>
    <w:bookmarkEnd w:id="3240"/>
    <w:bookmarkEnd w:id="3241"/>
    <w:bookmarkEnd w:id="3242"/>
    <w:bookmarkEnd w:id="3243"/>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12.2.1 </w:t>
      </w:r>
      <w:r>
        <w:rPr>
          <w:rFonts w:hint="eastAsia" w:ascii="宋体" w:hAnsi="宋体" w:cs="宋体"/>
          <w:color w:val="000000"/>
          <w:kern w:val="2"/>
          <w:sz w:val="21"/>
          <w:szCs w:val="21"/>
          <w:highlight w:val="none"/>
          <w:lang w:val="en-US" w:eastAsia="zh-CN"/>
        </w:rPr>
        <w:t>首</w:t>
      </w:r>
      <w:r>
        <w:rPr>
          <w:rFonts w:hint="eastAsia" w:ascii="宋体" w:hAnsi="宋体" w:eastAsia="宋体" w:cs="宋体"/>
          <w:color w:val="000000"/>
          <w:kern w:val="2"/>
          <w:sz w:val="21"/>
          <w:szCs w:val="21"/>
          <w:highlight w:val="none"/>
        </w:rPr>
        <w:t>付款的支付</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cs="宋体"/>
          <w:color w:val="000000"/>
          <w:kern w:val="2"/>
          <w:sz w:val="21"/>
          <w:szCs w:val="21"/>
          <w:highlight w:val="none"/>
          <w:lang w:val="en-US" w:eastAsia="zh-CN"/>
        </w:rPr>
        <w:t>首</w:t>
      </w:r>
      <w:r>
        <w:rPr>
          <w:rFonts w:hint="eastAsia" w:ascii="宋体" w:hAnsi="宋体" w:eastAsia="宋体" w:cs="宋体"/>
          <w:color w:val="000000"/>
          <w:kern w:val="2"/>
          <w:sz w:val="21"/>
          <w:szCs w:val="21"/>
          <w:highlight w:val="none"/>
        </w:rPr>
        <w:t>付款支付比例或金额：</w:t>
      </w:r>
      <w:r>
        <w:rPr>
          <w:rFonts w:hint="eastAsia" w:ascii="宋体" w:hAnsi="宋体" w:cs="宋体"/>
          <w:color w:val="auto"/>
          <w:highlight w:val="none"/>
          <w:u w:val="single"/>
        </w:rPr>
        <w:t>（签约合同价-整项暂估价-安全文明施工费-农民工工伤保险）×</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0%。</w:t>
      </w:r>
      <w:r>
        <w:rPr>
          <w:rFonts w:ascii="宋体" w:hAnsi="宋体" w:cs="宋体"/>
          <w:color w:val="auto"/>
          <w:highlight w:val="none"/>
          <w:u w:val="single"/>
        </w:rPr>
        <w:t xml:space="preserve"> </w:t>
      </w:r>
    </w:p>
    <w:bookmarkEnd w:id="3244"/>
    <w:bookmarkEnd w:id="3245"/>
    <w:bookmarkEnd w:id="3246"/>
    <w:bookmarkEnd w:id="3247"/>
    <w:bookmarkEnd w:id="3248"/>
    <w:bookmarkEnd w:id="3249"/>
    <w:bookmarkEnd w:id="3250"/>
    <w:bookmarkEnd w:id="3251"/>
    <w:bookmarkEnd w:id="3252"/>
    <w:bookmarkEnd w:id="3253"/>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256" w:name="_Toc448911931"/>
      <w:bookmarkStart w:id="3257" w:name="_Toc26443"/>
      <w:r>
        <w:rPr>
          <w:rFonts w:hint="eastAsia" w:ascii="宋体" w:hAnsi="宋体" w:eastAsia="宋体" w:cs="宋体"/>
          <w:color w:val="000000"/>
          <w:kern w:val="2"/>
          <w:sz w:val="21"/>
          <w:szCs w:val="21"/>
          <w:highlight w:val="none"/>
        </w:rPr>
        <w:t>12.3 计量</w:t>
      </w:r>
      <w:bookmarkEnd w:id="3256"/>
      <w:bookmarkEnd w:id="3257"/>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12.3.1 计量原则</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工程量计算规则：</w:t>
      </w:r>
      <w:r>
        <w:rPr>
          <w:rFonts w:hint="eastAsia" w:ascii="宋体" w:hAnsi="宋体" w:eastAsia="宋体" w:cs="宋体"/>
          <w:color w:val="000000"/>
          <w:kern w:val="2"/>
          <w:sz w:val="21"/>
          <w:szCs w:val="21"/>
          <w:highlight w:val="none"/>
          <w:u w:val="single"/>
        </w:rPr>
        <w:t xml:space="preserve">执行国家标准《建设工程工程量清单计价规范》(GB50500-2013)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12.3.2 计量周期</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关于计量周期的约定</w:t>
      </w:r>
      <w:r>
        <w:rPr>
          <w:rFonts w:hint="eastAsia" w:ascii="宋体" w:hAnsi="宋体" w:eastAsia="宋体" w:cs="宋体"/>
          <w:color w:val="000000"/>
          <w:kern w:val="2"/>
          <w:sz w:val="21"/>
          <w:szCs w:val="21"/>
          <w:highlight w:val="none"/>
          <w:u w:val="single"/>
        </w:rPr>
        <w:t>：</w:t>
      </w:r>
      <w:r>
        <w:rPr>
          <w:rFonts w:hint="eastAsia" w:ascii="宋体" w:hAnsi="宋体" w:cs="宋体"/>
          <w:color w:val="000000"/>
          <w:kern w:val="2"/>
          <w:sz w:val="21"/>
          <w:szCs w:val="21"/>
          <w:highlight w:val="none"/>
          <w:u w:val="single"/>
          <w:lang w:val="en-US" w:eastAsia="zh-CN"/>
        </w:rPr>
        <w:t xml:space="preserve">/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12.3.3 总价合同的计量</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bookmarkStart w:id="3258" w:name="_Toc400520365"/>
      <w:bookmarkStart w:id="3259" w:name="_Toc401153867"/>
      <w:r>
        <w:rPr>
          <w:rFonts w:hint="eastAsia" w:ascii="宋体" w:hAnsi="宋体" w:eastAsia="宋体" w:cs="宋体"/>
          <w:color w:val="000000"/>
          <w:kern w:val="2"/>
          <w:sz w:val="21"/>
          <w:szCs w:val="21"/>
          <w:highlight w:val="none"/>
        </w:rPr>
        <w:t>关于总价合同计量的约定：</w:t>
      </w:r>
      <w:bookmarkEnd w:id="3258"/>
      <w:bookmarkEnd w:id="3259"/>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12.3.4总价合同采用支付分解表计量支付的，是否适用第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kern w:val="2"/>
          <w:sz w:val="21"/>
          <w:szCs w:val="21"/>
          <w:highlight w:val="none"/>
        </w:rPr>
        <w:t>项</w:t>
      </w:r>
      <w:r>
        <w:rPr>
          <w:rFonts w:hint="eastAsia" w:ascii="宋体" w:hAnsi="宋体" w:eastAsia="宋体" w:cs="宋体"/>
          <w:color w:val="000000"/>
          <w:sz w:val="21"/>
          <w:szCs w:val="21"/>
          <w:highlight w:val="none"/>
        </w:rPr>
        <w:t>〔总价合同的计量〕</w:t>
      </w:r>
      <w:r>
        <w:rPr>
          <w:rFonts w:hint="eastAsia" w:ascii="宋体" w:hAnsi="宋体" w:eastAsia="宋体" w:cs="宋体"/>
          <w:color w:val="000000"/>
          <w:kern w:val="2"/>
          <w:sz w:val="21"/>
          <w:szCs w:val="21"/>
          <w:highlight w:val="none"/>
        </w:rPr>
        <w:t>约定进行计量：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12.3.5 其他价格形式合同的计量</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其他价格形式的计量方式和程序：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bCs/>
          <w:color w:val="000000"/>
          <w:kern w:val="2"/>
          <w:sz w:val="21"/>
          <w:szCs w:val="21"/>
          <w:highlight w:val="none"/>
        </w:rPr>
      </w:pPr>
      <w:bookmarkStart w:id="3260" w:name="_Toc10883"/>
      <w:bookmarkStart w:id="3261" w:name="_Toc448911932"/>
      <w:r>
        <w:rPr>
          <w:rFonts w:hint="eastAsia" w:ascii="宋体" w:hAnsi="宋体" w:eastAsia="宋体" w:cs="宋体"/>
          <w:bCs/>
          <w:color w:val="000000"/>
          <w:kern w:val="2"/>
          <w:sz w:val="21"/>
          <w:szCs w:val="21"/>
          <w:highlight w:val="none"/>
        </w:rPr>
        <w:t>12.4 工程进度款支付</w:t>
      </w:r>
      <w:bookmarkEnd w:id="3260"/>
      <w:bookmarkEnd w:id="3261"/>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bookmarkStart w:id="3262" w:name="_Toc303539163"/>
      <w:bookmarkStart w:id="3263" w:name="_Toc297123556"/>
      <w:bookmarkStart w:id="3264" w:name="_Toc297216215"/>
      <w:bookmarkStart w:id="3265" w:name="_Toc296944550"/>
      <w:bookmarkStart w:id="3266" w:name="_Toc296503211"/>
      <w:bookmarkStart w:id="3267" w:name="_Toc297048397"/>
      <w:bookmarkStart w:id="3268" w:name="_Toc296347210"/>
      <w:bookmarkStart w:id="3269" w:name="_Toc292559416"/>
      <w:bookmarkStart w:id="3270" w:name="_Toc297120511"/>
      <w:bookmarkStart w:id="3271" w:name="_Toc296891251"/>
      <w:bookmarkStart w:id="3272" w:name="_Toc300935006"/>
      <w:bookmarkStart w:id="3273" w:name="_Toc296346712"/>
      <w:bookmarkStart w:id="3274" w:name="_Toc292559921"/>
      <w:bookmarkStart w:id="3275" w:name="_Toc296891039"/>
      <w:r>
        <w:rPr>
          <w:rFonts w:hint="eastAsia" w:ascii="宋体" w:hAnsi="宋体" w:eastAsia="宋体" w:cs="宋体"/>
          <w:color w:val="000000"/>
          <w:kern w:val="2"/>
          <w:sz w:val="21"/>
          <w:szCs w:val="21"/>
          <w:highlight w:val="none"/>
        </w:rPr>
        <w:t>12.4.1 付款周期</w:t>
      </w:r>
    </w:p>
    <w:p>
      <w:pPr>
        <w:adjustRightInd w:val="0"/>
        <w:snapToGrid w:val="0"/>
        <w:spacing w:line="360" w:lineRule="auto"/>
        <w:ind w:firstLine="630" w:firstLineChars="3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关于付款周期的约定：</w:t>
      </w:r>
    </w:p>
    <w:p>
      <w:pPr>
        <w:adjustRightInd w:val="0"/>
        <w:snapToGrid w:val="0"/>
        <w:spacing w:line="360" w:lineRule="auto"/>
        <w:ind w:firstLine="630" w:firstLineChars="300"/>
        <w:rPr>
          <w:rFonts w:hint="eastAsia" w:ascii="宋体" w:hAnsi="宋体" w:cs="宋体"/>
          <w:color w:val="auto"/>
          <w:highlight w:val="none"/>
          <w:u w:val="single"/>
        </w:rPr>
      </w:pPr>
      <w:r>
        <w:rPr>
          <w:rFonts w:hint="eastAsia" w:ascii="宋体" w:hAnsi="宋体" w:cs="宋体"/>
          <w:color w:val="auto"/>
          <w:highlight w:val="none"/>
          <w:u w:val="single"/>
          <w:lang w:val="en-US" w:eastAsia="zh-CN"/>
        </w:rPr>
        <w:t>A.合同签订后支付合同额的</w:t>
      </w:r>
      <w:r>
        <w:rPr>
          <w:rFonts w:hint="eastAsia" w:ascii="宋体" w:hAnsi="宋体" w:cs="宋体"/>
          <w:color w:val="auto"/>
          <w:highlight w:val="none"/>
          <w:u w:val="single"/>
        </w:rPr>
        <w:t>60%</w:t>
      </w:r>
      <w:r>
        <w:rPr>
          <w:rFonts w:hint="eastAsia" w:ascii="宋体" w:hAnsi="宋体" w:cs="宋体"/>
          <w:color w:val="auto"/>
          <w:highlight w:val="none"/>
          <w:u w:val="single"/>
          <w:lang w:val="en-US" w:eastAsia="zh-CN"/>
        </w:rPr>
        <w:t>预付款</w:t>
      </w:r>
      <w:r>
        <w:rPr>
          <w:rFonts w:hint="eastAsia" w:ascii="宋体" w:hAnsi="宋体" w:cs="宋体"/>
          <w:color w:val="auto"/>
          <w:highlight w:val="none"/>
          <w:u w:val="single"/>
        </w:rPr>
        <w:t xml:space="preserve">。 </w:t>
      </w:r>
    </w:p>
    <w:p>
      <w:pPr>
        <w:pageBreakBefore w:val="0"/>
        <w:kinsoku/>
        <w:wordWrap/>
        <w:overflowPunct/>
        <w:topLinePunct w:val="0"/>
        <w:bidi w:val="0"/>
        <w:adjustRightInd w:val="0"/>
        <w:snapToGrid w:val="0"/>
        <w:spacing w:line="460" w:lineRule="exact"/>
        <w:ind w:firstLine="630" w:firstLineChars="300"/>
        <w:jc w:val="left"/>
        <w:rPr>
          <w:rFonts w:hint="eastAsia" w:ascii="宋体" w:hAnsi="宋体" w:eastAsia="宋体" w:cs="宋体"/>
          <w:color w:val="auto"/>
          <w:kern w:val="2"/>
          <w:sz w:val="21"/>
          <w:szCs w:val="21"/>
          <w:highlight w:val="none"/>
          <w:u w:val="single"/>
        </w:rPr>
      </w:pPr>
      <w:r>
        <w:rPr>
          <w:rFonts w:hint="eastAsia" w:ascii="宋体" w:hAnsi="宋体" w:cs="宋体"/>
          <w:color w:val="auto"/>
          <w:highlight w:val="none"/>
          <w:u w:val="single"/>
          <w:lang w:val="en-US" w:eastAsia="zh-CN"/>
        </w:rPr>
        <w:t>B.</w:t>
      </w:r>
      <w:r>
        <w:rPr>
          <w:rFonts w:hint="eastAsia" w:ascii="宋体" w:hAnsi="宋体" w:cs="宋体"/>
          <w:color w:val="auto"/>
          <w:highlight w:val="none"/>
          <w:u w:val="single"/>
        </w:rPr>
        <w:t>待竣工验收合格且</w:t>
      </w:r>
      <w:r>
        <w:rPr>
          <w:rFonts w:hint="eastAsia" w:ascii="宋体" w:hAnsi="宋体" w:cs="宋体"/>
          <w:color w:val="auto"/>
          <w:highlight w:val="none"/>
          <w:u w:val="single"/>
          <w:lang w:val="en-US" w:eastAsia="zh-CN"/>
        </w:rPr>
        <w:t>财政</w:t>
      </w:r>
      <w:r>
        <w:rPr>
          <w:rFonts w:hint="eastAsia" w:ascii="宋体" w:hAnsi="宋体" w:cs="宋体"/>
          <w:color w:val="auto"/>
          <w:highlight w:val="none"/>
          <w:u w:val="single"/>
        </w:rPr>
        <w:t>审计出具</w:t>
      </w:r>
      <w:r>
        <w:rPr>
          <w:rFonts w:hint="eastAsia" w:ascii="宋体" w:hAnsi="宋体" w:cs="宋体"/>
          <w:color w:val="auto"/>
          <w:highlight w:val="none"/>
          <w:u w:val="single"/>
          <w:lang w:val="en-US" w:eastAsia="zh-CN"/>
        </w:rPr>
        <w:t>最终审定金额后</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支付</w:t>
      </w:r>
      <w:r>
        <w:rPr>
          <w:rFonts w:hint="eastAsia" w:ascii="宋体" w:hAnsi="宋体" w:cs="宋体"/>
          <w:color w:val="auto"/>
          <w:highlight w:val="none"/>
          <w:u w:val="single"/>
        </w:rPr>
        <w:t>至结算审定金额的97%，预留该结算审定金额的3%作为质量保证金。</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12.4.2 进度付款申请单的编制</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关于进度付款申请单编制的约定：</w:t>
      </w:r>
      <w:r>
        <w:rPr>
          <w:rFonts w:hint="eastAsia" w:ascii="宋体" w:hAnsi="宋体" w:eastAsia="宋体" w:cs="宋体"/>
          <w:color w:val="000000"/>
          <w:kern w:val="2"/>
          <w:sz w:val="21"/>
          <w:szCs w:val="21"/>
          <w:highlight w:val="none"/>
          <w:u w:val="single"/>
        </w:rPr>
        <w:t xml:space="preserve">  /  。</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w:t>
      </w:r>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r>
        <w:rPr>
          <w:rFonts w:hint="eastAsia" w:ascii="宋体" w:hAnsi="宋体" w:eastAsia="宋体" w:cs="宋体"/>
          <w:color w:val="000000"/>
          <w:kern w:val="2"/>
          <w:sz w:val="21"/>
          <w:szCs w:val="21"/>
          <w:highlight w:val="none"/>
        </w:rPr>
        <w:t>2.4.3 进度付款申请单的提交</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（1）总价合同进度付款申请单提交的约定：</w:t>
      </w:r>
      <w:r>
        <w:rPr>
          <w:rFonts w:hint="eastAsia" w:ascii="宋体" w:hAnsi="宋体" w:eastAsia="宋体" w:cs="宋体"/>
          <w:color w:val="000000"/>
          <w:sz w:val="21"/>
          <w:szCs w:val="21"/>
          <w:highlight w:val="none"/>
          <w:u w:val="single"/>
        </w:rPr>
        <w:t>承包人每月25日向监理人提交进度付款申请单，并附已完成工程量报表和有关资料。</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（2）其他价格形式合同进度付款申请单提交的约定：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12.4.4 进度款审核和支付</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kern w:val="2"/>
          <w:sz w:val="21"/>
          <w:szCs w:val="21"/>
          <w:highlight w:val="none"/>
        </w:rPr>
        <w:t>（1）监理人审查并报送发包人的期限：</w:t>
      </w:r>
      <w:r>
        <w:rPr>
          <w:rFonts w:hint="eastAsia" w:ascii="宋体" w:hAnsi="宋体" w:eastAsia="宋体" w:cs="宋体"/>
          <w:color w:val="000000"/>
          <w:sz w:val="21"/>
          <w:szCs w:val="21"/>
          <w:highlight w:val="none"/>
          <w:u w:val="single"/>
        </w:rPr>
        <w:t>监理人应在收到承包人进度付款申请单以及相关资料后7日内完成审查并报送发包人。</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发包人完成审批并签发进度款支付证书的期限：</w:t>
      </w:r>
      <w:r>
        <w:rPr>
          <w:rFonts w:hint="eastAsia" w:ascii="宋体" w:hAnsi="宋体" w:eastAsia="宋体" w:cs="宋体"/>
          <w:color w:val="000000"/>
          <w:sz w:val="21"/>
          <w:szCs w:val="21"/>
          <w:highlight w:val="none"/>
          <w:u w:val="single"/>
        </w:rPr>
        <w:t>发包人应在收到后7日内完成审批并签发进度款支付证书</w:t>
      </w:r>
      <w:r>
        <w:rPr>
          <w:rFonts w:hint="eastAsia" w:ascii="宋体" w:hAnsi="宋体" w:eastAsia="宋体" w:cs="宋体"/>
          <w:color w:val="000000"/>
          <w:kern w:val="2"/>
          <w:sz w:val="21"/>
          <w:szCs w:val="21"/>
          <w:highlight w:val="none"/>
          <w:u w:val="singl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（2）发包人支付进度款的期限：</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525" w:firstLineChars="25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发包人逾期支付进度款的违约金的计算方式：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525" w:firstLineChars="25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12.4.6 支付分解表的编制</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2、总价合同支付分解表的编制与审批：</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3、单价合同的总价项目支付分解表的编制与审批：</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bookmarkEnd w:id="3066"/>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276" w:name="_Toc351203645"/>
      <w:bookmarkStart w:id="3277" w:name="_Toc16481"/>
      <w:bookmarkStart w:id="3278" w:name="_Toc448911933"/>
      <w:bookmarkStart w:id="3279" w:name="_Toc17014"/>
      <w:bookmarkStart w:id="3280" w:name="_Toc28790"/>
      <w:bookmarkStart w:id="3281" w:name="_Toc20558"/>
      <w:bookmarkStart w:id="3282" w:name="_Toc15396"/>
      <w:bookmarkStart w:id="3283" w:name="_Toc4599880"/>
      <w:bookmarkStart w:id="3284" w:name="_Toc16784"/>
      <w:bookmarkStart w:id="3285" w:name="_Toc18313"/>
      <w:bookmarkStart w:id="3286" w:name="_Toc297216223"/>
      <w:bookmarkStart w:id="3287" w:name="_Toc292559929"/>
      <w:bookmarkStart w:id="3288" w:name="_Toc292559424"/>
      <w:bookmarkStart w:id="3289" w:name="_Toc300935015"/>
      <w:bookmarkStart w:id="3290" w:name="_Toc297048405"/>
      <w:bookmarkStart w:id="3291" w:name="_Toc296891259"/>
      <w:bookmarkStart w:id="3292" w:name="_Toc297123564"/>
      <w:bookmarkStart w:id="3293" w:name="_Toc296347218"/>
      <w:bookmarkStart w:id="3294" w:name="_Toc303539172"/>
      <w:bookmarkStart w:id="3295" w:name="_Toc296346720"/>
      <w:bookmarkStart w:id="3296" w:name="_Toc296503219"/>
      <w:bookmarkStart w:id="3297" w:name="_Toc297120519"/>
      <w:bookmarkStart w:id="3298" w:name="_Toc304295593"/>
      <w:bookmarkStart w:id="3299" w:name="_Toc296891047"/>
      <w:bookmarkStart w:id="3300" w:name="_Toc312678053"/>
      <w:bookmarkStart w:id="3301" w:name="_Toc296944558"/>
      <w:r>
        <w:rPr>
          <w:rFonts w:hint="eastAsia" w:ascii="宋体" w:hAnsi="宋体" w:eastAsia="宋体" w:cs="宋体"/>
          <w:color w:val="000000"/>
          <w:kern w:val="2"/>
          <w:sz w:val="21"/>
          <w:szCs w:val="21"/>
          <w:highlight w:val="none"/>
        </w:rPr>
        <w:t>13.验收和工程试车</w:t>
      </w:r>
      <w:bookmarkEnd w:id="3276"/>
      <w:bookmarkEnd w:id="3277"/>
      <w:bookmarkEnd w:id="3278"/>
      <w:bookmarkEnd w:id="3279"/>
      <w:bookmarkEnd w:id="3280"/>
      <w:bookmarkEnd w:id="3281"/>
      <w:bookmarkEnd w:id="3282"/>
      <w:bookmarkEnd w:id="3283"/>
      <w:bookmarkEnd w:id="3284"/>
      <w:bookmarkEnd w:id="3285"/>
    </w:p>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02" w:name="_Toc448911934"/>
      <w:bookmarkStart w:id="3303" w:name="_Toc32492"/>
      <w:r>
        <w:rPr>
          <w:rFonts w:hint="eastAsia" w:ascii="宋体" w:hAnsi="宋体" w:eastAsia="宋体" w:cs="宋体"/>
          <w:color w:val="000000"/>
          <w:kern w:val="2"/>
          <w:sz w:val="21"/>
          <w:szCs w:val="21"/>
          <w:highlight w:val="none"/>
        </w:rPr>
        <w:t>13.1 分部分项工程验收</w:t>
      </w:r>
      <w:bookmarkEnd w:id="3302"/>
      <w:bookmarkEnd w:id="3303"/>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13.1.1监理人不能按时进行验收时，应提前</w:t>
      </w:r>
      <w:r>
        <w:rPr>
          <w:rFonts w:hint="eastAsia" w:ascii="宋体" w:hAnsi="宋体" w:eastAsia="宋体" w:cs="宋体"/>
          <w:color w:val="000000"/>
          <w:kern w:val="2"/>
          <w:sz w:val="21"/>
          <w:szCs w:val="21"/>
          <w:highlight w:val="none"/>
          <w:u w:val="single"/>
        </w:rPr>
        <w:t>24</w:t>
      </w:r>
      <w:r>
        <w:rPr>
          <w:rFonts w:hint="eastAsia" w:ascii="宋体" w:hAnsi="宋体" w:eastAsia="宋体" w:cs="宋体"/>
          <w:color w:val="000000"/>
          <w:kern w:val="2"/>
          <w:sz w:val="21"/>
          <w:szCs w:val="21"/>
          <w:highlight w:val="none"/>
        </w:rPr>
        <w:t>小时提交书面延期要求。</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b/>
          <w:bCs/>
          <w:color w:val="000000"/>
          <w:kern w:val="2"/>
          <w:sz w:val="21"/>
          <w:szCs w:val="21"/>
          <w:highlight w:val="none"/>
        </w:rPr>
      </w:pPr>
      <w:r>
        <w:rPr>
          <w:rFonts w:hint="eastAsia" w:ascii="宋体" w:hAnsi="宋体" w:eastAsia="宋体" w:cs="宋体"/>
          <w:color w:val="000000"/>
          <w:kern w:val="2"/>
          <w:sz w:val="21"/>
          <w:szCs w:val="21"/>
          <w:highlight w:val="none"/>
        </w:rPr>
        <w:t>关于延期最长不得超过：</w:t>
      </w:r>
      <w:r>
        <w:rPr>
          <w:rFonts w:hint="eastAsia" w:ascii="宋体" w:hAnsi="宋体" w:eastAsia="宋体" w:cs="宋体"/>
          <w:color w:val="000000"/>
          <w:kern w:val="2"/>
          <w:sz w:val="21"/>
          <w:szCs w:val="21"/>
          <w:highlight w:val="none"/>
          <w:u w:val="single"/>
        </w:rPr>
        <w:t>48</w:t>
      </w:r>
      <w:r>
        <w:rPr>
          <w:rFonts w:hint="eastAsia" w:ascii="宋体" w:hAnsi="宋体" w:eastAsia="宋体" w:cs="宋体"/>
          <w:color w:val="000000"/>
          <w:kern w:val="2"/>
          <w:sz w:val="21"/>
          <w:szCs w:val="21"/>
          <w:highlight w:val="none"/>
        </w:rPr>
        <w:t>小时。</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04" w:name="_Toc29706"/>
      <w:bookmarkStart w:id="3305" w:name="_Toc448911935"/>
      <w:bookmarkStart w:id="3306" w:name="_Toc297048409"/>
      <w:bookmarkStart w:id="3307" w:name="_Toc296346724"/>
      <w:bookmarkStart w:id="3308" w:name="_Toc296347222"/>
      <w:bookmarkStart w:id="3309" w:name="_Toc292559428"/>
      <w:bookmarkStart w:id="3310" w:name="_Toc300935016"/>
      <w:bookmarkStart w:id="3311" w:name="_Toc304295596"/>
      <w:bookmarkStart w:id="3312" w:name="_Toc297123565"/>
      <w:bookmarkStart w:id="3313" w:name="_Toc296944562"/>
      <w:bookmarkStart w:id="3314" w:name="_Toc296503223"/>
      <w:bookmarkStart w:id="3315" w:name="_Toc297120523"/>
      <w:bookmarkStart w:id="3316" w:name="_Toc292559933"/>
      <w:bookmarkStart w:id="3317" w:name="_Toc312678056"/>
      <w:bookmarkStart w:id="3318" w:name="_Toc296891263"/>
      <w:bookmarkStart w:id="3319" w:name="_Toc296891051"/>
      <w:bookmarkStart w:id="3320" w:name="_Toc303539173"/>
      <w:bookmarkStart w:id="3321" w:name="_Toc297216224"/>
      <w:bookmarkStart w:id="3322" w:name="_Toc267251474"/>
      <w:bookmarkStart w:id="3323" w:name="_Toc267251473"/>
      <w:bookmarkStart w:id="3324" w:name="_Toc267251472"/>
      <w:bookmarkStart w:id="3325" w:name="_Toc267251471"/>
      <w:bookmarkStart w:id="3326" w:name="_Toc267251475"/>
      <w:bookmarkStart w:id="3327" w:name="_Toc267251470"/>
      <w:bookmarkStart w:id="3328" w:name="_Toc267251476"/>
      <w:r>
        <w:rPr>
          <w:rFonts w:hint="eastAsia" w:ascii="宋体" w:hAnsi="宋体" w:eastAsia="宋体" w:cs="宋体"/>
          <w:color w:val="000000"/>
          <w:kern w:val="2"/>
          <w:sz w:val="21"/>
          <w:szCs w:val="21"/>
          <w:highlight w:val="none"/>
        </w:rPr>
        <w:t>13.2 竣工验收</w:t>
      </w:r>
      <w:bookmarkEnd w:id="3304"/>
      <w:bookmarkEnd w:id="3305"/>
    </w:p>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bookmarkStart w:id="3329" w:name="_Toc280868704"/>
      <w:bookmarkStart w:id="3330" w:name="_Toc280868705"/>
      <w:bookmarkStart w:id="3331" w:name="_Toc280868706"/>
      <w:bookmarkStart w:id="3332" w:name="_Toc280868707"/>
      <w:bookmarkStart w:id="3333" w:name="_Toc280868708"/>
      <w:bookmarkStart w:id="3334" w:name="_Toc280868709"/>
      <w:r>
        <w:rPr>
          <w:rFonts w:hint="eastAsia" w:ascii="宋体" w:hAnsi="宋体" w:eastAsia="宋体" w:cs="宋体"/>
          <w:color w:val="000000"/>
          <w:kern w:val="2"/>
          <w:sz w:val="21"/>
          <w:szCs w:val="21"/>
          <w:highlight w:val="none"/>
        </w:rPr>
        <w:t>13.2.1竣工验收程序</w:t>
      </w:r>
    </w:p>
    <w:bookmarkEnd w:id="3329"/>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关于竣工验收程序的约定：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bookmarkEnd w:id="3330"/>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13.2.2移交、接收全部与部分工程</w:t>
      </w:r>
    </w:p>
    <w:bookmarkEnd w:id="3331"/>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承包人向发包人移交工程的期限：</w:t>
      </w:r>
      <w:r>
        <w:rPr>
          <w:rFonts w:hint="eastAsia" w:ascii="宋体" w:hAnsi="宋体" w:eastAsia="宋体" w:cs="宋体"/>
          <w:color w:val="000000"/>
          <w:sz w:val="21"/>
          <w:szCs w:val="21"/>
          <w:highlight w:val="none"/>
          <w:u w:val="single"/>
        </w:rPr>
        <w:t>颁发工程接收证书后  /   日内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发包人未按本合同约定接收全部或部分工程的，违约金的计算方法为：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kern w:val="2"/>
          <w:sz w:val="21"/>
          <w:szCs w:val="21"/>
          <w:highlight w:val="none"/>
        </w:rPr>
        <w:t>。</w:t>
      </w:r>
    </w:p>
    <w:bookmarkEnd w:id="3332"/>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承包人未按时移交工程的，违约金的计算方法为：</w:t>
      </w:r>
      <w:r>
        <w:rPr>
          <w:rFonts w:hint="eastAsia" w:ascii="宋体" w:hAnsi="宋体" w:eastAsia="宋体" w:cs="宋体"/>
          <w:color w:val="000000"/>
          <w:sz w:val="21"/>
          <w:szCs w:val="21"/>
          <w:highlight w:val="none"/>
          <w:u w:val="single"/>
        </w:rPr>
        <w:t>按结算金额的 0.1‰/天计，不足一天按一天计</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35" w:name="_Toc448911936"/>
      <w:bookmarkStart w:id="3336" w:name="_Toc30321"/>
      <w:r>
        <w:rPr>
          <w:rFonts w:hint="eastAsia" w:ascii="宋体" w:hAnsi="宋体" w:eastAsia="宋体" w:cs="宋体"/>
          <w:color w:val="000000"/>
          <w:kern w:val="2"/>
          <w:sz w:val="21"/>
          <w:szCs w:val="21"/>
          <w:highlight w:val="none"/>
        </w:rPr>
        <w:t>13.3 工程试车</w:t>
      </w:r>
      <w:bookmarkEnd w:id="3335"/>
      <w:bookmarkEnd w:id="3336"/>
    </w:p>
    <w:bookmarkEnd w:id="3333"/>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13.3.1 试车程序</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工程试车内容：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承包人</w:t>
      </w:r>
      <w:r>
        <w:rPr>
          <w:rFonts w:hint="eastAsia" w:ascii="宋体" w:hAnsi="宋体" w:eastAsia="宋体" w:cs="宋体"/>
          <w:color w:val="000000"/>
          <w:sz w:val="21"/>
          <w:szCs w:val="21"/>
          <w:highlight w:val="none"/>
        </w:rPr>
        <w:t>承担；</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（2）无负荷联动试车费用由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 xml:space="preserve">承包人 </w:t>
      </w:r>
      <w:r>
        <w:rPr>
          <w:rFonts w:hint="eastAsia" w:ascii="宋体" w:hAnsi="宋体" w:eastAsia="宋体" w:cs="宋体"/>
          <w:color w:val="000000"/>
          <w:sz w:val="21"/>
          <w:szCs w:val="21"/>
          <w:highlight w:val="none"/>
        </w:rPr>
        <w:t>承担。</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13.3.3 投料试车</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关于投料试车相关事项的约定：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37" w:name="_Toc23655"/>
      <w:bookmarkStart w:id="3338" w:name="_Toc448911937"/>
      <w:r>
        <w:rPr>
          <w:rFonts w:hint="eastAsia" w:ascii="宋体" w:hAnsi="宋体" w:eastAsia="宋体" w:cs="宋体"/>
          <w:color w:val="000000"/>
          <w:kern w:val="2"/>
          <w:sz w:val="21"/>
          <w:szCs w:val="21"/>
          <w:highlight w:val="none"/>
        </w:rPr>
        <w:t>13.6 竣工退场</w:t>
      </w:r>
      <w:bookmarkEnd w:id="3337"/>
      <w:bookmarkEnd w:id="3338"/>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13.6.1 竣工退场</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承包人完成竣工退场的期限：</w:t>
      </w:r>
      <w:r>
        <w:rPr>
          <w:rFonts w:hint="eastAsia" w:ascii="宋体" w:hAnsi="宋体" w:eastAsia="宋体" w:cs="宋体"/>
          <w:color w:val="000000"/>
          <w:kern w:val="2"/>
          <w:sz w:val="21"/>
          <w:szCs w:val="21"/>
          <w:highlight w:val="none"/>
          <w:u w:val="single"/>
        </w:rPr>
        <w:t>颁发工程接收证书后7日内</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39" w:name="_Toc448911938"/>
      <w:bookmarkStart w:id="3340" w:name="_Toc26810"/>
      <w:bookmarkStart w:id="3341" w:name="_Toc18143"/>
      <w:bookmarkStart w:id="3342" w:name="_Toc20266"/>
      <w:bookmarkStart w:id="3343" w:name="_Toc22328"/>
      <w:bookmarkStart w:id="3344" w:name="_Toc13035"/>
      <w:bookmarkStart w:id="3345" w:name="_Toc7494"/>
      <w:bookmarkStart w:id="3346" w:name="_Toc27572"/>
      <w:bookmarkStart w:id="3347" w:name="_Toc351203646"/>
      <w:bookmarkStart w:id="3348" w:name="_Toc4599881"/>
      <w:bookmarkStart w:id="3349" w:name="_Toc17094"/>
      <w:r>
        <w:rPr>
          <w:rFonts w:hint="eastAsia" w:ascii="宋体" w:hAnsi="宋体" w:eastAsia="宋体" w:cs="宋体"/>
          <w:color w:val="000000"/>
          <w:kern w:val="2"/>
          <w:sz w:val="21"/>
          <w:szCs w:val="21"/>
          <w:highlight w:val="none"/>
        </w:rPr>
        <w:t>14.竣工结算</w:t>
      </w:r>
      <w:bookmarkEnd w:id="3339"/>
      <w:bookmarkEnd w:id="3340"/>
      <w:bookmarkEnd w:id="3341"/>
      <w:bookmarkEnd w:id="3342"/>
      <w:bookmarkEnd w:id="3343"/>
      <w:bookmarkEnd w:id="3344"/>
      <w:bookmarkEnd w:id="3345"/>
      <w:bookmarkEnd w:id="3346"/>
      <w:bookmarkEnd w:id="3347"/>
      <w:bookmarkEnd w:id="3348"/>
      <w:bookmarkEnd w:id="3349"/>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50" w:name="_Toc448911939"/>
      <w:bookmarkStart w:id="3351" w:name="_Toc8236"/>
      <w:r>
        <w:rPr>
          <w:rFonts w:hint="eastAsia" w:ascii="宋体" w:hAnsi="宋体" w:eastAsia="宋体" w:cs="宋体"/>
          <w:color w:val="000000"/>
          <w:kern w:val="2"/>
          <w:sz w:val="21"/>
          <w:szCs w:val="21"/>
          <w:highlight w:val="none"/>
        </w:rPr>
        <w:t>14.1 竣工付款申请</w:t>
      </w:r>
      <w:bookmarkEnd w:id="3350"/>
      <w:bookmarkEnd w:id="3351"/>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承包人提交竣工付款申请单的期限：</w:t>
      </w:r>
      <w:r>
        <w:rPr>
          <w:rFonts w:hint="eastAsia" w:ascii="宋体" w:hAnsi="宋体" w:eastAsia="宋体" w:cs="宋体"/>
          <w:color w:val="000000"/>
          <w:sz w:val="21"/>
          <w:szCs w:val="21"/>
          <w:highlight w:val="none"/>
          <w:u w:val="single"/>
        </w:rPr>
        <w:t>在本工程竣工验收获得通过之日/日内，承包人应一次性向发包人提交完整的竣工结算资料，在上述结算资料提交后，发包人不再接收任何补充资料，监理人和发包人审核过程中提出需要承包人补充的资料除外。</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竣工付款申请单应包括的内容：</w:t>
      </w:r>
      <w:r>
        <w:rPr>
          <w:rFonts w:hint="eastAsia" w:ascii="宋体" w:hAnsi="宋体" w:eastAsia="宋体" w:cs="宋体"/>
          <w:color w:val="000000"/>
          <w:kern w:val="2"/>
          <w:sz w:val="21"/>
          <w:szCs w:val="21"/>
          <w:highlight w:val="none"/>
          <w:u w:val="single"/>
        </w:rPr>
        <w:t>（1）竣工结算合同总价；（2）工程变更结算价款；（3）发包人已支付的工程价款；（4）应扣回的预付款；（5）应扣留的质量保证金；（6）应支付的竣工付款金额</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52" w:name="_Toc10714"/>
      <w:bookmarkStart w:id="3353" w:name="_Toc448911940"/>
      <w:r>
        <w:rPr>
          <w:rFonts w:hint="eastAsia" w:ascii="宋体" w:hAnsi="宋体" w:eastAsia="宋体" w:cs="宋体"/>
          <w:color w:val="000000"/>
          <w:kern w:val="2"/>
          <w:sz w:val="21"/>
          <w:szCs w:val="21"/>
          <w:highlight w:val="none"/>
        </w:rPr>
        <w:t>14.2 竣工结算审核</w:t>
      </w:r>
      <w:bookmarkEnd w:id="3352"/>
      <w:bookmarkEnd w:id="3353"/>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发包人审批竣工付款申请单的期限：</w:t>
      </w:r>
      <w:r>
        <w:rPr>
          <w:rFonts w:hint="eastAsia" w:ascii="宋体" w:hAnsi="宋体" w:eastAsia="宋体" w:cs="宋体"/>
          <w:color w:val="000000"/>
          <w:sz w:val="21"/>
          <w:szCs w:val="21"/>
          <w:highlight w:val="none"/>
          <w:u w:val="single"/>
        </w:rPr>
        <w:t>发包人在收到监理人提交的经审核的竣工结算申请单后，应在15日内提交第三方造价咨询机构进行结算审核，审核结果经发包人和承包人签字盖章确认后，按照结算审核结果，由监理人向承包人签发经发包人签认的竣工付款证书。</w:t>
      </w:r>
      <w:r>
        <w:rPr>
          <w:rFonts w:hint="eastAsia" w:ascii="宋体" w:hAnsi="宋体" w:eastAsia="宋体" w:cs="宋体"/>
          <w:color w:val="000000"/>
          <w:kern w:val="2"/>
          <w:sz w:val="21"/>
          <w:szCs w:val="21"/>
          <w:highlight w:val="none"/>
        </w:rPr>
        <w:t>项目竣工结算审减率超过8%以上部分计取的审核绩效费用，由编报项目竣工结算的承包人自行负担。</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kern w:val="2"/>
          <w:sz w:val="21"/>
          <w:szCs w:val="21"/>
          <w:highlight w:val="none"/>
        </w:rPr>
        <w:t>发包人完成竣工付款的期限：</w:t>
      </w:r>
      <w:r>
        <w:rPr>
          <w:rFonts w:hint="eastAsia" w:ascii="宋体" w:hAnsi="宋体" w:eastAsia="宋体" w:cs="宋体"/>
          <w:color w:val="000000"/>
          <w:sz w:val="21"/>
          <w:szCs w:val="21"/>
          <w:highlight w:val="none"/>
          <w:u w:val="single"/>
        </w:rPr>
        <w:t>发包人应在签发竣工付款证书后的 30 日内，完成对承包人的竣工付款</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关于竣工付款证书异议部分复核的方式和程序：</w:t>
      </w:r>
      <w:r>
        <w:rPr>
          <w:rFonts w:hint="eastAsia" w:ascii="宋体" w:hAnsi="宋体" w:eastAsia="宋体" w:cs="宋体"/>
          <w:color w:val="000000"/>
          <w:sz w:val="21"/>
          <w:szCs w:val="21"/>
          <w:highlight w:val="none"/>
          <w:u w:val="single"/>
        </w:rPr>
        <w:t>承包人对发包人签认的竣工付款证书有异议的，对于有异议部分应在收到发包人签认的竣工付款证书后 15  日内提出异议，并由合同当事人按照专用合同条款约定的方式和程序进行复核，或按照第20条〔争议解决〕约定处理</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如本工程被军委审计委及相关单位抽审，承包人必须无条件配合并对结算款按抽审结果多退少补。</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54" w:name="_Toc448911941"/>
      <w:bookmarkStart w:id="3355" w:name="_Toc27901"/>
      <w:r>
        <w:rPr>
          <w:rFonts w:hint="eastAsia" w:ascii="宋体" w:hAnsi="宋体" w:eastAsia="宋体" w:cs="宋体"/>
          <w:color w:val="000000"/>
          <w:kern w:val="2"/>
          <w:sz w:val="21"/>
          <w:szCs w:val="21"/>
          <w:highlight w:val="none"/>
        </w:rPr>
        <w:t>14.4最终结清</w:t>
      </w:r>
      <w:bookmarkEnd w:id="3354"/>
      <w:bookmarkEnd w:id="3355"/>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14.4.1 最终结清申请单</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承包人提交最终结清申请单的份数：</w:t>
      </w:r>
      <w:r>
        <w:rPr>
          <w:rFonts w:hint="eastAsia" w:ascii="宋体" w:hAnsi="宋体" w:eastAsia="宋体" w:cs="宋体"/>
          <w:color w:val="000000"/>
          <w:kern w:val="2"/>
          <w:sz w:val="21"/>
          <w:szCs w:val="21"/>
          <w:highlight w:val="none"/>
          <w:u w:val="single"/>
        </w:rPr>
        <w:t xml:space="preserve">  4  </w:t>
      </w:r>
      <w:r>
        <w:rPr>
          <w:rFonts w:hint="eastAsia" w:ascii="宋体" w:hAnsi="宋体" w:eastAsia="宋体" w:cs="宋体"/>
          <w:color w:val="000000"/>
          <w:kern w:val="2"/>
          <w:sz w:val="21"/>
          <w:szCs w:val="21"/>
          <w:highlight w:val="none"/>
        </w:rPr>
        <w:t>份。</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承包人提交最终结算申请单的期限：</w:t>
      </w:r>
      <w:r>
        <w:rPr>
          <w:rFonts w:hint="eastAsia" w:ascii="宋体" w:hAnsi="宋体" w:eastAsia="宋体" w:cs="宋体"/>
          <w:color w:val="000000"/>
          <w:kern w:val="2"/>
          <w:sz w:val="21"/>
          <w:szCs w:val="21"/>
          <w:highlight w:val="none"/>
          <w:u w:val="single"/>
        </w:rPr>
        <w:t>在缺陷责任期终止证书颁发后 /  日内</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14.4.2 最终结清证书和支付</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（1）发包人完成最终结清申请单的审批并颁发最终结清证书的期限：</w:t>
      </w:r>
      <w:r>
        <w:rPr>
          <w:rFonts w:hint="eastAsia" w:ascii="宋体" w:hAnsi="宋体" w:eastAsia="宋体" w:cs="宋体"/>
          <w:color w:val="000000"/>
          <w:sz w:val="21"/>
          <w:szCs w:val="21"/>
          <w:highlight w:val="none"/>
          <w:u w:val="single"/>
        </w:rPr>
        <w:t>发包人应在收到承包人提交的最终结清申请单后  /日内完成审批并向承包人颁发最终结清证书</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（2）发包人完成支付的期限：</w:t>
      </w:r>
      <w:r>
        <w:rPr>
          <w:rFonts w:hint="eastAsia" w:ascii="宋体" w:hAnsi="宋体" w:eastAsia="宋体" w:cs="宋体"/>
          <w:color w:val="000000"/>
          <w:sz w:val="21"/>
          <w:szCs w:val="21"/>
          <w:highlight w:val="none"/>
          <w:u w:val="single"/>
        </w:rPr>
        <w:t>发包人在颁发最终结清证书后 /   日内完成支付</w:t>
      </w:r>
      <w:r>
        <w:rPr>
          <w:rFonts w:hint="eastAsia" w:ascii="宋体" w:hAnsi="宋体" w:eastAsia="宋体" w:cs="宋体"/>
          <w:color w:val="000000"/>
          <w:kern w:val="2"/>
          <w:sz w:val="21"/>
          <w:szCs w:val="21"/>
          <w:highlight w:val="none"/>
        </w:rPr>
        <w:t>。</w:t>
      </w:r>
    </w:p>
    <w:bookmarkEnd w:id="3322"/>
    <w:bookmarkEnd w:id="3323"/>
    <w:bookmarkEnd w:id="3324"/>
    <w:bookmarkEnd w:id="3325"/>
    <w:bookmarkEnd w:id="3326"/>
    <w:bookmarkEnd w:id="3327"/>
    <w:bookmarkEnd w:id="3328"/>
    <w:bookmarkEnd w:id="3334"/>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56" w:name="_Toc17089"/>
      <w:bookmarkStart w:id="3357" w:name="_Toc448911942"/>
      <w:bookmarkStart w:id="3358" w:name="_Toc21452"/>
      <w:bookmarkStart w:id="3359" w:name="_Toc351203647"/>
      <w:bookmarkStart w:id="3360" w:name="_Toc681"/>
      <w:bookmarkStart w:id="3361" w:name="_Toc30494"/>
      <w:bookmarkStart w:id="3362" w:name="_Toc12823"/>
      <w:bookmarkStart w:id="3363" w:name="_Toc4549"/>
      <w:bookmarkStart w:id="3364" w:name="_Toc4970"/>
      <w:bookmarkStart w:id="3365" w:name="_Toc13510"/>
      <w:bookmarkStart w:id="3366" w:name="_Toc4599882"/>
      <w:bookmarkStart w:id="3367" w:name="_Toc267251483"/>
      <w:bookmarkStart w:id="3368" w:name="_Toc267251484"/>
      <w:bookmarkStart w:id="3369" w:name="_Toc267251482"/>
      <w:bookmarkStart w:id="3370" w:name="_Toc267251485"/>
      <w:bookmarkStart w:id="3371" w:name="_Toc267251488"/>
      <w:bookmarkStart w:id="3372" w:name="_Toc267251490"/>
      <w:bookmarkStart w:id="3373" w:name="_Toc267251486"/>
      <w:bookmarkStart w:id="3374" w:name="_Toc267251489"/>
      <w:bookmarkStart w:id="3375" w:name="_Toc267251501"/>
      <w:bookmarkStart w:id="3376" w:name="_Toc267251495"/>
      <w:bookmarkStart w:id="3377" w:name="_Toc267251494"/>
      <w:bookmarkStart w:id="3378" w:name="_Toc267251498"/>
      <w:bookmarkStart w:id="3379" w:name="_Toc267251493"/>
      <w:bookmarkStart w:id="3380" w:name="_Toc267251503"/>
      <w:bookmarkStart w:id="3381" w:name="_Toc267251496"/>
      <w:bookmarkStart w:id="3382" w:name="_Toc267251502"/>
      <w:bookmarkStart w:id="3383" w:name="_Toc267251492"/>
      <w:bookmarkStart w:id="3384" w:name="_Toc267251497"/>
      <w:bookmarkStart w:id="3385" w:name="_Toc267251491"/>
      <w:bookmarkStart w:id="3386" w:name="_Toc267251499"/>
      <w:bookmarkStart w:id="3387" w:name="_Toc267251504"/>
      <w:bookmarkStart w:id="3388" w:name="_Toc267251506"/>
      <w:bookmarkStart w:id="3389" w:name="_Toc267251507"/>
      <w:bookmarkStart w:id="3390" w:name="_Toc267251508"/>
      <w:bookmarkStart w:id="3391" w:name="_Toc267251511"/>
      <w:bookmarkStart w:id="3392" w:name="_Toc267251515"/>
      <w:bookmarkStart w:id="3393" w:name="_Toc267251513"/>
      <w:bookmarkStart w:id="3394" w:name="_Toc267251510"/>
      <w:bookmarkStart w:id="3395" w:name="_Toc267251514"/>
      <w:bookmarkStart w:id="3396" w:name="_Toc267251509"/>
      <w:r>
        <w:rPr>
          <w:rFonts w:hint="eastAsia" w:ascii="宋体" w:hAnsi="宋体" w:eastAsia="宋体" w:cs="宋体"/>
          <w:color w:val="000000"/>
          <w:kern w:val="2"/>
          <w:sz w:val="21"/>
          <w:szCs w:val="21"/>
          <w:highlight w:val="none"/>
        </w:rPr>
        <w:t>15.缺陷责任期与保修</w:t>
      </w:r>
      <w:bookmarkEnd w:id="3356"/>
      <w:bookmarkEnd w:id="3357"/>
      <w:bookmarkEnd w:id="3358"/>
      <w:bookmarkEnd w:id="3359"/>
      <w:bookmarkEnd w:id="3360"/>
      <w:bookmarkEnd w:id="3361"/>
      <w:bookmarkEnd w:id="3362"/>
      <w:bookmarkEnd w:id="3363"/>
      <w:bookmarkEnd w:id="3364"/>
      <w:bookmarkEnd w:id="3365"/>
      <w:bookmarkEnd w:id="3366"/>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97" w:name="_Toc25826"/>
      <w:bookmarkStart w:id="3398" w:name="_Toc448911943"/>
      <w:r>
        <w:rPr>
          <w:rFonts w:hint="eastAsia" w:ascii="宋体" w:hAnsi="宋体" w:eastAsia="宋体" w:cs="宋体"/>
          <w:color w:val="000000"/>
          <w:kern w:val="2"/>
          <w:sz w:val="21"/>
          <w:szCs w:val="21"/>
          <w:highlight w:val="none"/>
        </w:rPr>
        <w:t>15.2缺陷责任期</w:t>
      </w:r>
      <w:bookmarkEnd w:id="3367"/>
      <w:bookmarkEnd w:id="3397"/>
      <w:bookmarkEnd w:id="3398"/>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缺陷责任期的具体期限：</w:t>
      </w:r>
      <w:r>
        <w:rPr>
          <w:rFonts w:hint="eastAsia" w:ascii="宋体" w:hAnsi="宋体" w:eastAsia="宋体" w:cs="宋体"/>
          <w:color w:val="000000"/>
          <w:sz w:val="21"/>
          <w:szCs w:val="21"/>
          <w:highlight w:val="none"/>
          <w:u w:val="single"/>
        </w:rPr>
        <w:t>自实际竣工日期起24个月</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399" w:name="_Toc20837"/>
      <w:bookmarkStart w:id="3400" w:name="_Toc448911944"/>
      <w:r>
        <w:rPr>
          <w:rFonts w:hint="eastAsia" w:ascii="宋体" w:hAnsi="宋体" w:eastAsia="宋体" w:cs="宋体"/>
          <w:color w:val="000000"/>
          <w:kern w:val="2"/>
          <w:sz w:val="21"/>
          <w:szCs w:val="21"/>
          <w:highlight w:val="none"/>
        </w:rPr>
        <w:t>15.3 质量保证金</w:t>
      </w:r>
      <w:bookmarkEnd w:id="3399"/>
      <w:bookmarkEnd w:id="3400"/>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关于是否扣留质量保证金的约定：</w:t>
      </w:r>
      <w:r>
        <w:rPr>
          <w:rFonts w:hint="eastAsia" w:ascii="宋体" w:hAnsi="宋体" w:eastAsia="宋体" w:cs="宋体"/>
          <w:color w:val="000000"/>
          <w:kern w:val="2"/>
          <w:sz w:val="21"/>
          <w:szCs w:val="21"/>
          <w:highlight w:val="none"/>
          <w:u w:val="single"/>
        </w:rPr>
        <w:t xml:space="preserve">  是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15.3.1 承包人提供质量保证金的方式</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质量保证金采用以下第</w:t>
      </w:r>
      <w:r>
        <w:rPr>
          <w:rFonts w:hint="eastAsia" w:ascii="宋体" w:hAnsi="宋体" w:eastAsia="宋体" w:cs="宋体"/>
          <w:color w:val="000000"/>
          <w:kern w:val="2"/>
          <w:sz w:val="21"/>
          <w:szCs w:val="21"/>
          <w:highlight w:val="none"/>
          <w:u w:val="single"/>
        </w:rPr>
        <w:t xml:space="preserve">  3   </w:t>
      </w:r>
      <w:r>
        <w:rPr>
          <w:rFonts w:hint="eastAsia" w:ascii="宋体" w:hAnsi="宋体" w:eastAsia="宋体" w:cs="宋体"/>
          <w:color w:val="000000"/>
          <w:kern w:val="2"/>
          <w:sz w:val="21"/>
          <w:szCs w:val="21"/>
          <w:highlight w:val="none"/>
        </w:rPr>
        <w:t>种方式：</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%的工程款；</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（3）其他方式:</w:t>
      </w:r>
      <w:r>
        <w:rPr>
          <w:rFonts w:hint="eastAsia" w:ascii="宋体" w:hAnsi="宋体" w:eastAsia="宋体" w:cs="宋体"/>
          <w:color w:val="000000"/>
          <w:kern w:val="2"/>
          <w:sz w:val="21"/>
          <w:szCs w:val="21"/>
          <w:highlight w:val="none"/>
          <w:u w:val="none"/>
        </w:rPr>
        <w:t xml:space="preserve"> </w:t>
      </w:r>
      <w:r>
        <w:rPr>
          <w:rFonts w:hint="eastAsia" w:ascii="宋体" w:hAnsi="宋体" w:eastAsia="宋体" w:cs="宋体"/>
          <w:color w:val="000000"/>
          <w:kern w:val="2"/>
          <w:sz w:val="21"/>
          <w:szCs w:val="21"/>
          <w:highlight w:val="none"/>
          <w:u w:val="single"/>
        </w:rPr>
        <w:t>扣留</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15.3.2 质量保证金的扣留</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质量保证金的扣留采取以下第</w:t>
      </w:r>
      <w:r>
        <w:rPr>
          <w:rFonts w:hint="eastAsia" w:ascii="宋体" w:hAnsi="宋体" w:eastAsia="宋体" w:cs="宋体"/>
          <w:color w:val="000000"/>
          <w:kern w:val="2"/>
          <w:sz w:val="21"/>
          <w:szCs w:val="21"/>
          <w:highlight w:val="none"/>
          <w:u w:val="single"/>
        </w:rPr>
        <w:t xml:space="preserve">  2   </w:t>
      </w:r>
      <w:r>
        <w:rPr>
          <w:rFonts w:hint="eastAsia" w:ascii="宋体" w:hAnsi="宋体" w:eastAsia="宋体" w:cs="宋体"/>
          <w:color w:val="000000"/>
          <w:kern w:val="2"/>
          <w:sz w:val="21"/>
          <w:szCs w:val="21"/>
          <w:highlight w:val="none"/>
        </w:rPr>
        <w:t>种方式：</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（1）在支付工程进度款时逐次扣留，在此情形下，质量保证金的计算基数不包括预付款的支付、扣回以及价格调整的金额；</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（2）工程竣工结算时一次性扣留质量保证金；</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（3）其他扣留方式: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关于质量保证金的补充约定：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bookmarkEnd w:id="3368"/>
    <w:bookmarkEnd w:id="3369"/>
    <w:p>
      <w:pPr>
        <w:pageBreakBefore w:val="0"/>
        <w:kinsoku/>
        <w:wordWrap/>
        <w:overflowPunct/>
        <w:topLinePunct w:val="0"/>
        <w:bidi w:val="0"/>
        <w:adjustRightInd w:val="0"/>
        <w:snapToGrid w:val="0"/>
        <w:spacing w:line="460" w:lineRule="exact"/>
        <w:rPr>
          <w:rFonts w:hint="eastAsia" w:ascii="宋体" w:hAnsi="宋体" w:eastAsia="宋体" w:cs="宋体"/>
          <w:bCs/>
          <w:color w:val="000000"/>
          <w:kern w:val="2"/>
          <w:sz w:val="21"/>
          <w:szCs w:val="21"/>
          <w:highlight w:val="none"/>
        </w:rPr>
      </w:pPr>
      <w:bookmarkStart w:id="3401" w:name="_Toc448911945"/>
      <w:bookmarkStart w:id="3402" w:name="_Toc7062"/>
      <w:r>
        <w:rPr>
          <w:rFonts w:hint="eastAsia" w:ascii="宋体" w:hAnsi="宋体" w:eastAsia="宋体" w:cs="宋体"/>
          <w:bCs/>
          <w:color w:val="000000"/>
          <w:kern w:val="2"/>
          <w:sz w:val="21"/>
          <w:szCs w:val="21"/>
          <w:highlight w:val="none"/>
        </w:rPr>
        <w:t>15.4保修</w:t>
      </w:r>
      <w:bookmarkEnd w:id="3401"/>
      <w:bookmarkEnd w:id="3402"/>
    </w:p>
    <w:bookmarkEnd w:id="3370"/>
    <w:p>
      <w:pPr>
        <w:pageBreakBefore w:val="0"/>
        <w:kinsoku/>
        <w:wordWrap/>
        <w:overflowPunct/>
        <w:topLinePunct w:val="0"/>
        <w:bidi w:val="0"/>
        <w:adjustRightInd w:val="0"/>
        <w:snapToGrid w:val="0"/>
        <w:spacing w:line="460" w:lineRule="exact"/>
        <w:ind w:firstLine="409" w:firstLineChars="195"/>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15.4.1 保修责任</w:t>
      </w:r>
    </w:p>
    <w:p>
      <w:pPr>
        <w:pageBreakBefore w:val="0"/>
        <w:kinsoku/>
        <w:wordWrap/>
        <w:overflowPunct/>
        <w:topLinePunct w:val="0"/>
        <w:bidi w:val="0"/>
        <w:adjustRightInd w:val="0"/>
        <w:snapToGrid w:val="0"/>
        <w:spacing w:line="460" w:lineRule="exact"/>
        <w:ind w:firstLine="409" w:firstLineChars="195"/>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工程保修期为：</w:t>
      </w:r>
      <w:r>
        <w:rPr>
          <w:rFonts w:hint="eastAsia" w:ascii="宋体" w:hAnsi="宋体" w:eastAsia="宋体" w:cs="宋体"/>
          <w:color w:val="000000"/>
          <w:sz w:val="21"/>
          <w:szCs w:val="21"/>
          <w:highlight w:val="none"/>
          <w:u w:val="single"/>
        </w:rPr>
        <w:t>见工程质量保修书</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09" w:firstLineChars="195"/>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15.4.3 修复通知</w:t>
      </w:r>
    </w:p>
    <w:p>
      <w:pPr>
        <w:pageBreakBefore w:val="0"/>
        <w:kinsoku/>
        <w:wordWrap/>
        <w:overflowPunct/>
        <w:topLinePunct w:val="0"/>
        <w:bidi w:val="0"/>
        <w:adjustRightInd w:val="0"/>
        <w:snapToGrid w:val="0"/>
        <w:spacing w:line="460" w:lineRule="exact"/>
        <w:ind w:firstLine="409" w:firstLineChars="19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承包人收到保修通知并到达工程现场的合理时间：</w:t>
      </w:r>
      <w:r>
        <w:rPr>
          <w:rFonts w:hint="eastAsia" w:ascii="宋体" w:hAnsi="宋体" w:eastAsia="宋体" w:cs="宋体"/>
          <w:color w:val="000000"/>
          <w:sz w:val="21"/>
          <w:szCs w:val="21"/>
          <w:highlight w:val="none"/>
          <w:u w:val="single"/>
        </w:rPr>
        <w:t xml:space="preserve">  24 小时内</w:t>
      </w:r>
      <w:r>
        <w:rPr>
          <w:rFonts w:hint="eastAsia" w:ascii="宋体" w:hAnsi="宋体" w:eastAsia="宋体" w:cs="宋体"/>
          <w:color w:val="000000"/>
          <w:sz w:val="21"/>
          <w:szCs w:val="21"/>
          <w:highlight w:val="none"/>
        </w:rPr>
        <w:t>。</w:t>
      </w:r>
    </w:p>
    <w:bookmarkEnd w:id="3371"/>
    <w:bookmarkEnd w:id="3372"/>
    <w:bookmarkEnd w:id="3373"/>
    <w:bookmarkEnd w:id="3374"/>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03" w:name="_Toc4218"/>
      <w:bookmarkStart w:id="3404" w:name="_Toc20105"/>
      <w:bookmarkStart w:id="3405" w:name="_Toc13445"/>
      <w:bookmarkStart w:id="3406" w:name="_Toc448911946"/>
      <w:bookmarkStart w:id="3407" w:name="_Toc24681"/>
      <w:bookmarkStart w:id="3408" w:name="_Toc5647"/>
      <w:bookmarkStart w:id="3409" w:name="_Toc351203648"/>
      <w:bookmarkStart w:id="3410" w:name="_Toc16507"/>
      <w:bookmarkStart w:id="3411" w:name="_Toc4599883"/>
      <w:bookmarkStart w:id="3412" w:name="_Toc8923"/>
      <w:bookmarkStart w:id="3413" w:name="_Toc27806"/>
      <w:bookmarkStart w:id="3414" w:name="_Toc280868717"/>
      <w:bookmarkStart w:id="3415" w:name="_Toc280868718"/>
      <w:r>
        <w:rPr>
          <w:rFonts w:hint="eastAsia" w:ascii="宋体" w:hAnsi="宋体" w:eastAsia="宋体" w:cs="宋体"/>
          <w:color w:val="000000"/>
          <w:kern w:val="2"/>
          <w:sz w:val="21"/>
          <w:szCs w:val="21"/>
          <w:highlight w:val="none"/>
        </w:rPr>
        <w:t>16.违约</w:t>
      </w:r>
      <w:bookmarkEnd w:id="3403"/>
      <w:bookmarkEnd w:id="3404"/>
      <w:bookmarkEnd w:id="3405"/>
      <w:bookmarkEnd w:id="3406"/>
      <w:bookmarkEnd w:id="3407"/>
      <w:bookmarkEnd w:id="3408"/>
      <w:bookmarkEnd w:id="3409"/>
      <w:bookmarkEnd w:id="3410"/>
      <w:bookmarkEnd w:id="3411"/>
      <w:bookmarkEnd w:id="3412"/>
      <w:bookmarkEnd w:id="3413"/>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16" w:name="_Toc448911947"/>
      <w:r>
        <w:rPr>
          <w:rFonts w:hint="eastAsia" w:ascii="宋体" w:hAnsi="宋体" w:eastAsia="宋体" w:cs="宋体"/>
          <w:color w:val="000000"/>
          <w:kern w:val="2"/>
          <w:sz w:val="21"/>
          <w:szCs w:val="21"/>
          <w:highlight w:val="none"/>
        </w:rPr>
        <w:t>16.1 发包人违约</w:t>
      </w:r>
      <w:bookmarkEnd w:id="3416"/>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16.1.1发包人违约的情形</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发包人违约的其他情形：</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left="1200" w:hanging="1050" w:hangingChars="5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16.1.2 发包人违约的责任</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发包人违约责任的承担方式和计算方法：</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（1）因发包人原因未能在计划开工日期前7日内下达开工通知的违约责任：</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（2）因发包人原因未能按合同约定支付合同价款的违约责任：</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（5）因发包人违反合同约定造成暂停施工的违约责任：</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（7）其他：</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16.1.3 因发包人违约解除合同</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承包人按16.1.1项〔发包人违约的情形〕约定暂停施工满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日后发包人仍不纠正其违约行为并致使合同目的不能实现的，承包人有权解除合同。</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17" w:name="_Toc448911948"/>
      <w:bookmarkStart w:id="3418" w:name="_Toc11071"/>
      <w:r>
        <w:rPr>
          <w:rFonts w:hint="eastAsia" w:ascii="宋体" w:hAnsi="宋体" w:eastAsia="宋体" w:cs="宋体"/>
          <w:color w:val="000000"/>
          <w:kern w:val="2"/>
          <w:sz w:val="21"/>
          <w:szCs w:val="21"/>
          <w:highlight w:val="none"/>
        </w:rPr>
        <w:t>16.2 承包人违约</w:t>
      </w:r>
      <w:bookmarkEnd w:id="3417"/>
      <w:bookmarkEnd w:id="3418"/>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16.2.1 承包人违约的情形</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承包人违约的其他情形：</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16.2.2承包人违约的责任</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承包人违约责任的承担方式和计算方法：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16.2.3 因承包人违约解除合同</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关于承包人违约解除合同的特别约定：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19" w:name="_Toc23564"/>
      <w:bookmarkStart w:id="3420" w:name="_Toc351203649"/>
      <w:bookmarkStart w:id="3421" w:name="_Toc7320"/>
      <w:bookmarkStart w:id="3422" w:name="_Toc448911949"/>
      <w:bookmarkStart w:id="3423" w:name="_Toc22717"/>
      <w:bookmarkStart w:id="3424" w:name="_Toc4403"/>
      <w:bookmarkStart w:id="3425" w:name="_Toc12118"/>
      <w:bookmarkStart w:id="3426" w:name="_Toc13967"/>
      <w:bookmarkStart w:id="3427" w:name="_Toc14475"/>
      <w:bookmarkStart w:id="3428" w:name="_Toc15994"/>
      <w:bookmarkStart w:id="3429" w:name="_Toc4599884"/>
      <w:r>
        <w:rPr>
          <w:rFonts w:hint="eastAsia" w:ascii="宋体" w:hAnsi="宋体" w:eastAsia="宋体" w:cs="宋体"/>
          <w:color w:val="000000"/>
          <w:kern w:val="2"/>
          <w:sz w:val="21"/>
          <w:szCs w:val="21"/>
          <w:highlight w:val="none"/>
        </w:rPr>
        <w:t>17.不可抗力</w:t>
      </w:r>
      <w:bookmarkEnd w:id="3414"/>
      <w:bookmarkEnd w:id="3419"/>
      <w:bookmarkEnd w:id="3420"/>
      <w:bookmarkEnd w:id="3421"/>
      <w:bookmarkEnd w:id="3422"/>
      <w:bookmarkEnd w:id="3423"/>
      <w:bookmarkEnd w:id="3424"/>
      <w:bookmarkEnd w:id="3425"/>
      <w:bookmarkEnd w:id="3426"/>
      <w:bookmarkEnd w:id="3427"/>
      <w:bookmarkEnd w:id="3428"/>
      <w:bookmarkEnd w:id="3429"/>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30" w:name="_Toc448911950"/>
      <w:bookmarkStart w:id="3431" w:name="_Toc19391"/>
      <w:r>
        <w:rPr>
          <w:rFonts w:hint="eastAsia" w:ascii="宋体" w:hAnsi="宋体" w:eastAsia="宋体" w:cs="宋体"/>
          <w:color w:val="000000"/>
          <w:kern w:val="2"/>
          <w:sz w:val="21"/>
          <w:szCs w:val="21"/>
          <w:highlight w:val="none"/>
        </w:rPr>
        <w:t>17.1 不可抗力的确认</w:t>
      </w:r>
      <w:bookmarkEnd w:id="3430"/>
      <w:bookmarkEnd w:id="3431"/>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kern w:val="2"/>
          <w:sz w:val="21"/>
          <w:szCs w:val="21"/>
          <w:highlight w:val="none"/>
        </w:rPr>
        <w:t>除通用合同条款约定的不可抗力事件之外，视为不可抗力的其他情形：</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32" w:name="_Toc448911951"/>
      <w:bookmarkStart w:id="3433" w:name="_Toc22019"/>
      <w:r>
        <w:rPr>
          <w:rFonts w:hint="eastAsia" w:ascii="宋体" w:hAnsi="宋体" w:eastAsia="宋体" w:cs="宋体"/>
          <w:color w:val="000000"/>
          <w:kern w:val="2"/>
          <w:sz w:val="21"/>
          <w:szCs w:val="21"/>
          <w:highlight w:val="none"/>
        </w:rPr>
        <w:t>17.4 因不可抗力解除合同</w:t>
      </w:r>
      <w:bookmarkEnd w:id="3432"/>
      <w:bookmarkEnd w:id="3433"/>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合同解除后，发包人应在商定或确定发包人应支付款项后</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日内完成款项的支付。</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34" w:name="_Toc4599885"/>
      <w:bookmarkStart w:id="3435" w:name="_Toc19507"/>
      <w:bookmarkStart w:id="3436" w:name="_Toc8834"/>
      <w:bookmarkStart w:id="3437" w:name="_Toc11009"/>
      <w:bookmarkStart w:id="3438" w:name="_Toc351203650"/>
      <w:bookmarkStart w:id="3439" w:name="_Toc32442"/>
      <w:bookmarkStart w:id="3440" w:name="_Toc448911952"/>
      <w:bookmarkStart w:id="3441" w:name="_Toc2258"/>
      <w:bookmarkStart w:id="3442" w:name="_Toc24915"/>
      <w:bookmarkStart w:id="3443" w:name="_Toc11324"/>
      <w:bookmarkStart w:id="3444" w:name="_Toc21715"/>
      <w:r>
        <w:rPr>
          <w:rFonts w:hint="eastAsia" w:ascii="宋体" w:hAnsi="宋体" w:eastAsia="宋体" w:cs="宋体"/>
          <w:color w:val="000000"/>
          <w:kern w:val="2"/>
          <w:sz w:val="21"/>
          <w:szCs w:val="21"/>
          <w:highlight w:val="none"/>
        </w:rPr>
        <w:t>18.保险</w:t>
      </w:r>
      <w:bookmarkEnd w:id="3434"/>
      <w:bookmarkEnd w:id="3435"/>
      <w:bookmarkEnd w:id="3436"/>
      <w:bookmarkEnd w:id="3437"/>
      <w:bookmarkEnd w:id="3438"/>
      <w:bookmarkEnd w:id="3439"/>
      <w:bookmarkEnd w:id="3440"/>
      <w:bookmarkEnd w:id="3441"/>
      <w:bookmarkEnd w:id="3442"/>
      <w:bookmarkEnd w:id="3443"/>
      <w:bookmarkEnd w:id="3444"/>
    </w:p>
    <w:bookmarkEnd w:id="3415"/>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45" w:name="_Toc26906"/>
      <w:bookmarkStart w:id="3446" w:name="_Toc448911953"/>
      <w:r>
        <w:rPr>
          <w:rFonts w:hint="eastAsia" w:ascii="宋体" w:hAnsi="宋体" w:eastAsia="宋体" w:cs="宋体"/>
          <w:color w:val="000000"/>
          <w:kern w:val="2"/>
          <w:sz w:val="21"/>
          <w:szCs w:val="21"/>
          <w:highlight w:val="none"/>
        </w:rPr>
        <w:t>18.1 工程保险</w:t>
      </w:r>
      <w:bookmarkEnd w:id="3445"/>
      <w:bookmarkEnd w:id="3446"/>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关于工程保险的特别约定：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47" w:name="_Toc6313"/>
      <w:bookmarkStart w:id="3448" w:name="_Toc448911954"/>
      <w:r>
        <w:rPr>
          <w:rFonts w:hint="eastAsia" w:ascii="宋体" w:hAnsi="宋体" w:eastAsia="宋体" w:cs="宋体"/>
          <w:color w:val="000000"/>
          <w:kern w:val="2"/>
          <w:sz w:val="21"/>
          <w:szCs w:val="21"/>
          <w:highlight w:val="none"/>
        </w:rPr>
        <w:t>18.3 其他保险</w:t>
      </w:r>
      <w:bookmarkEnd w:id="3447"/>
      <w:bookmarkEnd w:id="3448"/>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kern w:val="2"/>
          <w:sz w:val="21"/>
          <w:szCs w:val="21"/>
          <w:highlight w:val="none"/>
        </w:rPr>
        <w:t>关于其他保险的约定：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承包人是否应为其施工设备等办理财产保险：</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49" w:name="_Toc10529"/>
      <w:bookmarkStart w:id="3450" w:name="_Toc448911955"/>
      <w:r>
        <w:rPr>
          <w:rFonts w:hint="eastAsia" w:ascii="宋体" w:hAnsi="宋体" w:eastAsia="宋体" w:cs="宋体"/>
          <w:color w:val="000000"/>
          <w:kern w:val="2"/>
          <w:sz w:val="21"/>
          <w:szCs w:val="21"/>
          <w:highlight w:val="none"/>
        </w:rPr>
        <w:t>18.7 通知义务</w:t>
      </w:r>
      <w:bookmarkEnd w:id="3449"/>
      <w:bookmarkEnd w:id="3450"/>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sz w:val="21"/>
          <w:szCs w:val="21"/>
          <w:highlight w:val="none"/>
        </w:rPr>
        <w:t>关于变更保险合同时的通知义务的约定：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bookmarkEnd w:id="3375"/>
    <w:bookmarkEnd w:id="3376"/>
    <w:bookmarkEnd w:id="3377"/>
    <w:bookmarkEnd w:id="3378"/>
    <w:bookmarkEnd w:id="3379"/>
    <w:bookmarkEnd w:id="3380"/>
    <w:bookmarkEnd w:id="3381"/>
    <w:bookmarkEnd w:id="3382"/>
    <w:bookmarkEnd w:id="3383"/>
    <w:bookmarkEnd w:id="3384"/>
    <w:bookmarkEnd w:id="3385"/>
    <w:bookmarkEnd w:id="3386"/>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51" w:name="_Toc27678"/>
      <w:bookmarkStart w:id="3452" w:name="_Toc20302"/>
      <w:bookmarkStart w:id="3453" w:name="_Toc351203651"/>
      <w:bookmarkStart w:id="3454" w:name="_Toc2363"/>
      <w:bookmarkStart w:id="3455" w:name="_Toc11200"/>
      <w:bookmarkStart w:id="3456" w:name="_Toc31964"/>
      <w:bookmarkStart w:id="3457" w:name="_Toc17532"/>
      <w:bookmarkStart w:id="3458" w:name="_Toc448911956"/>
      <w:bookmarkStart w:id="3459" w:name="_Toc28101"/>
      <w:bookmarkStart w:id="3460" w:name="_Toc2681"/>
      <w:bookmarkStart w:id="3461" w:name="_Toc4599886"/>
      <w:r>
        <w:rPr>
          <w:rFonts w:hint="eastAsia" w:ascii="宋体" w:hAnsi="宋体" w:eastAsia="宋体" w:cs="宋体"/>
          <w:color w:val="000000"/>
          <w:kern w:val="2"/>
          <w:sz w:val="21"/>
          <w:szCs w:val="21"/>
          <w:highlight w:val="none"/>
        </w:rPr>
        <w:t>20.争议解决</w:t>
      </w:r>
      <w:bookmarkEnd w:id="3451"/>
      <w:bookmarkEnd w:id="3452"/>
      <w:bookmarkEnd w:id="3453"/>
      <w:bookmarkEnd w:id="3454"/>
      <w:bookmarkEnd w:id="3455"/>
      <w:bookmarkEnd w:id="3456"/>
      <w:bookmarkEnd w:id="3457"/>
      <w:bookmarkEnd w:id="3458"/>
      <w:bookmarkEnd w:id="3459"/>
      <w:bookmarkEnd w:id="3460"/>
      <w:bookmarkEnd w:id="3461"/>
    </w:p>
    <w:bookmarkEnd w:id="3387"/>
    <w:bookmarkEnd w:id="3388"/>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62" w:name="_Toc19863"/>
      <w:bookmarkStart w:id="3463" w:name="_Toc448911957"/>
      <w:r>
        <w:rPr>
          <w:rFonts w:hint="eastAsia" w:ascii="宋体" w:hAnsi="宋体" w:eastAsia="宋体" w:cs="宋体"/>
          <w:color w:val="000000"/>
          <w:kern w:val="2"/>
          <w:sz w:val="21"/>
          <w:szCs w:val="21"/>
          <w:highlight w:val="none"/>
        </w:rPr>
        <w:t>20.3 争</w:t>
      </w:r>
      <w:bookmarkEnd w:id="3389"/>
      <w:r>
        <w:rPr>
          <w:rFonts w:hint="eastAsia" w:ascii="宋体" w:hAnsi="宋体" w:eastAsia="宋体" w:cs="宋体"/>
          <w:color w:val="000000"/>
          <w:kern w:val="2"/>
          <w:sz w:val="21"/>
          <w:szCs w:val="21"/>
          <w:highlight w:val="none"/>
        </w:rPr>
        <w:t>议评审</w:t>
      </w:r>
      <w:bookmarkEnd w:id="3462"/>
      <w:bookmarkEnd w:id="3463"/>
    </w:p>
    <w:p>
      <w:pPr>
        <w:pageBreakBefore w:val="0"/>
        <w:kinsoku/>
        <w:wordWrap/>
        <w:overflowPunct/>
        <w:topLinePunct w:val="0"/>
        <w:bidi w:val="0"/>
        <w:adjustRightInd w:val="0"/>
        <w:snapToGrid w:val="0"/>
        <w:spacing w:line="460" w:lineRule="exact"/>
        <w:ind w:firstLine="315" w:firstLineChars="150"/>
        <w:jc w:val="left"/>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rPr>
        <w:t>合同当事人是否同意将工程争议提交争议评审小组决定：</w:t>
      </w:r>
      <w:r>
        <w:rPr>
          <w:rFonts w:hint="eastAsia" w:ascii="宋体" w:hAnsi="宋体" w:eastAsia="宋体" w:cs="宋体"/>
          <w:color w:val="000000"/>
          <w:kern w:val="2"/>
          <w:sz w:val="21"/>
          <w:szCs w:val="21"/>
          <w:highlight w:val="none"/>
          <w:u w:val="single"/>
        </w:rPr>
        <w:t>否</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20.3.1 争议评审小组的确定</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争议评审小组成员的确定：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选定争议评审员的期限：</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争议评审小组成员的报酬承担方式：</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其他事项的约定：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20.3.2 争议评审小组的决定</w:t>
      </w:r>
    </w:p>
    <w:p>
      <w:pPr>
        <w:pageBreakBefore w:val="0"/>
        <w:kinsoku/>
        <w:wordWrap/>
        <w:overflowPunct/>
        <w:topLinePunct w:val="0"/>
        <w:autoSpaceDE w:val="0"/>
        <w:autoSpaceDN w:val="0"/>
        <w:bidi w:val="0"/>
        <w:adjustRightInd w:val="0"/>
        <w:snapToGrid w:val="0"/>
        <w:spacing w:line="460" w:lineRule="exact"/>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kern w:val="2"/>
          <w:sz w:val="21"/>
          <w:szCs w:val="21"/>
          <w:highlight w:val="none"/>
        </w:rPr>
        <w:t>合同当事人关于本项的约定：</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bookmarkStart w:id="3464" w:name="_Toc448911958"/>
      <w:bookmarkStart w:id="3465" w:name="_Toc7283"/>
      <w:r>
        <w:rPr>
          <w:rFonts w:hint="eastAsia" w:ascii="宋体" w:hAnsi="宋体" w:eastAsia="宋体" w:cs="宋体"/>
          <w:color w:val="000000"/>
          <w:kern w:val="2"/>
          <w:sz w:val="21"/>
          <w:szCs w:val="21"/>
          <w:highlight w:val="none"/>
        </w:rPr>
        <w:t>20.4仲裁或诉讼</w:t>
      </w:r>
      <w:bookmarkEnd w:id="3390"/>
      <w:bookmarkEnd w:id="3464"/>
      <w:bookmarkEnd w:id="3465"/>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因合同及合同有关事项发生的争议，按下列第</w:t>
      </w:r>
      <w:r>
        <w:rPr>
          <w:rFonts w:hint="eastAsia" w:ascii="宋体" w:hAnsi="宋体" w:eastAsia="宋体" w:cs="宋体"/>
          <w:color w:val="000000"/>
          <w:kern w:val="2"/>
          <w:sz w:val="21"/>
          <w:szCs w:val="21"/>
          <w:highlight w:val="none"/>
          <w:u w:val="single"/>
        </w:rPr>
        <w:t>2</w:t>
      </w:r>
      <w:r>
        <w:rPr>
          <w:rFonts w:hint="eastAsia" w:ascii="宋体" w:hAnsi="宋体" w:eastAsia="宋体" w:cs="宋体"/>
          <w:color w:val="000000"/>
          <w:kern w:val="2"/>
          <w:sz w:val="21"/>
          <w:szCs w:val="21"/>
          <w:highlight w:val="none"/>
        </w:rPr>
        <w:t>种方式解决：</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（1）向</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西城区</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仲裁委员会申请仲裁；</w:t>
      </w:r>
    </w:p>
    <w:p>
      <w:pPr>
        <w:pageBreakBefore w:val="0"/>
        <w:kinsoku/>
        <w:wordWrap/>
        <w:overflowPunct/>
        <w:topLinePunct w:val="0"/>
        <w:bidi w:val="0"/>
        <w:adjustRightInd w:val="0"/>
        <w:snapToGrid w:val="0"/>
        <w:spacing w:line="460" w:lineRule="exact"/>
        <w:ind w:firstLine="420" w:firstLineChars="2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（2）向</w:t>
      </w:r>
      <w:r>
        <w:rPr>
          <w:rFonts w:hint="eastAsia" w:ascii="宋体" w:hAnsi="宋体" w:eastAsia="宋体" w:cs="宋体"/>
          <w:color w:val="000000"/>
          <w:kern w:val="2"/>
          <w:sz w:val="21"/>
          <w:szCs w:val="21"/>
          <w:highlight w:val="none"/>
          <w:u w:val="single"/>
        </w:rPr>
        <w:t xml:space="preserve">  </w:t>
      </w:r>
      <w:r>
        <w:rPr>
          <w:rFonts w:hint="eastAsia" w:ascii="宋体" w:hAnsi="宋体" w:cs="宋体"/>
          <w:color w:val="000000"/>
          <w:kern w:val="2"/>
          <w:sz w:val="21"/>
          <w:szCs w:val="21"/>
          <w:highlight w:val="none"/>
          <w:u w:val="single"/>
          <w:lang w:val="en-US" w:eastAsia="zh-CN"/>
        </w:rPr>
        <w:t>项目所在地</w:t>
      </w:r>
      <w:r>
        <w:rPr>
          <w:rFonts w:hint="eastAsia" w:ascii="宋体" w:hAnsi="宋体" w:eastAsia="宋体" w:cs="宋体"/>
          <w:color w:val="000000"/>
          <w:kern w:val="2"/>
          <w:sz w:val="21"/>
          <w:szCs w:val="21"/>
          <w:highlight w:val="none"/>
          <w:u w:val="single"/>
        </w:rPr>
        <w:t xml:space="preserve">  </w:t>
      </w:r>
      <w:r>
        <w:rPr>
          <w:rFonts w:hint="eastAsia" w:ascii="宋体" w:hAnsi="宋体" w:eastAsia="宋体" w:cs="宋体"/>
          <w:color w:val="000000"/>
          <w:kern w:val="2"/>
          <w:sz w:val="21"/>
          <w:szCs w:val="21"/>
          <w:highlight w:val="none"/>
        </w:rPr>
        <w:t>人民法院起诉。</w:t>
      </w:r>
      <w:bookmarkEnd w:id="3391"/>
      <w:bookmarkEnd w:id="3392"/>
      <w:bookmarkEnd w:id="3393"/>
      <w:bookmarkEnd w:id="3394"/>
      <w:bookmarkEnd w:id="3395"/>
      <w:bookmarkEnd w:id="3396"/>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rPr>
        <w:t>21补充条款</w:t>
      </w:r>
      <w:r>
        <w:rPr>
          <w:rFonts w:hint="eastAsia" w:ascii="宋体" w:hAnsi="宋体" w:cs="宋体"/>
          <w:color w:val="000000"/>
          <w:kern w:val="2"/>
          <w:sz w:val="21"/>
          <w:szCs w:val="21"/>
          <w:highlight w:val="none"/>
          <w:lang w:eastAsia="zh-CN"/>
        </w:rPr>
        <w:t>：</w:t>
      </w:r>
      <w:r>
        <w:rPr>
          <w:rFonts w:hint="eastAsia" w:ascii="宋体" w:hAnsi="宋体" w:eastAsia="宋体" w:cs="宋体"/>
          <w:color w:val="000000"/>
          <w:kern w:val="2"/>
          <w:sz w:val="21"/>
          <w:szCs w:val="21"/>
          <w:highlight w:val="none"/>
          <w:u w:val="single"/>
        </w:rPr>
        <w:t xml:space="preserve">       /          </w:t>
      </w:r>
      <w:r>
        <w:rPr>
          <w:rFonts w:hint="eastAsia" w:ascii="宋体" w:hAnsi="宋体" w:eastAsia="宋体" w:cs="宋体"/>
          <w:color w:val="000000"/>
          <w:kern w:val="2"/>
          <w:sz w:val="21"/>
          <w:szCs w:val="21"/>
          <w:highlight w:val="non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附件：</w:t>
      </w:r>
    </w:p>
    <w:p>
      <w:pPr>
        <w:pageBreakBefore w:val="0"/>
        <w:kinsoku/>
        <w:wordWrap/>
        <w:overflowPunct/>
        <w:topLinePunct w:val="0"/>
        <w:bidi w:val="0"/>
        <w:adjustRightInd w:val="0"/>
        <w:snapToGrid w:val="0"/>
        <w:spacing w:line="460" w:lineRule="exact"/>
        <w:ind w:firstLine="525" w:firstLineChars="25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附件1：材料、设备、专业工程暂估价一览表</w:t>
      </w:r>
    </w:p>
    <w:p>
      <w:pPr>
        <w:pageBreakBefore w:val="0"/>
        <w:kinsoku/>
        <w:wordWrap/>
        <w:overflowPunct/>
        <w:topLinePunct w:val="0"/>
        <w:bidi w:val="0"/>
        <w:adjustRightInd w:val="0"/>
        <w:snapToGrid w:val="0"/>
        <w:spacing w:line="460" w:lineRule="exact"/>
        <w:ind w:firstLine="840" w:firstLineChars="4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附件2：工程质量保修书</w:t>
      </w:r>
    </w:p>
    <w:p>
      <w:pPr>
        <w:pageBreakBefore w:val="0"/>
        <w:kinsoku/>
        <w:wordWrap/>
        <w:overflowPunct/>
        <w:topLinePunct w:val="0"/>
        <w:bidi w:val="0"/>
        <w:adjustRightInd w:val="0"/>
        <w:snapToGrid w:val="0"/>
        <w:spacing w:line="460" w:lineRule="exact"/>
        <w:ind w:firstLine="840" w:firstLineChars="4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附件3：安全生产协议</w:t>
      </w:r>
    </w:p>
    <w:p>
      <w:pPr>
        <w:pageBreakBefore w:val="0"/>
        <w:kinsoku/>
        <w:wordWrap/>
        <w:overflowPunct/>
        <w:topLinePunct w:val="0"/>
        <w:bidi w:val="0"/>
        <w:adjustRightInd w:val="0"/>
        <w:snapToGrid w:val="0"/>
        <w:spacing w:line="460" w:lineRule="exact"/>
        <w:ind w:firstLine="840" w:firstLineChars="4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附件4：廉政责任书</w:t>
      </w:r>
    </w:p>
    <w:p>
      <w:pPr>
        <w:pageBreakBefore w:val="0"/>
        <w:kinsoku/>
        <w:wordWrap/>
        <w:overflowPunct/>
        <w:topLinePunct w:val="0"/>
        <w:bidi w:val="0"/>
        <w:adjustRightInd w:val="0"/>
        <w:snapToGrid w:val="0"/>
        <w:spacing w:line="460" w:lineRule="exact"/>
        <w:ind w:firstLine="840" w:firstLineChars="400"/>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附件5：保密协议</w:t>
      </w:r>
    </w:p>
    <w:p>
      <w:pPr>
        <w:spacing w:line="360" w:lineRule="auto"/>
        <w:jc w:val="both"/>
        <w:rPr>
          <w:rFonts w:ascii="黑体" w:hAnsi="黑体" w:eastAsia="黑体"/>
          <w:sz w:val="28"/>
          <w:szCs w:val="28"/>
        </w:rPr>
      </w:pPr>
      <w:r>
        <w:rPr>
          <w:rFonts w:hint="eastAsia" w:ascii="宋体" w:hAnsi="宋体" w:eastAsia="宋体" w:cs="宋体"/>
          <w:bCs/>
          <w:color w:val="000000"/>
          <w:kern w:val="2"/>
          <w:sz w:val="24"/>
          <w:szCs w:val="24"/>
          <w:highlight w:val="none"/>
        </w:rPr>
        <w:br w:type="page"/>
      </w:r>
    </w:p>
    <w:p>
      <w:pPr>
        <w:keepNext/>
        <w:keepLines/>
        <w:pageBreakBefore w:val="0"/>
        <w:kinsoku/>
        <w:wordWrap/>
        <w:overflowPunct/>
        <w:topLinePunct w:val="0"/>
        <w:bidi w:val="0"/>
        <w:adjustRightInd w:val="0"/>
        <w:snapToGrid w:val="0"/>
        <w:spacing w:line="460" w:lineRule="exact"/>
        <w:ind w:firstLine="400"/>
        <w:outlineLvl w:val="2"/>
        <w:rPr>
          <w:rFonts w:hint="eastAsia" w:ascii="宋体" w:hAnsi="宋体" w:eastAsia="宋体" w:cs="宋体"/>
          <w:bCs/>
          <w:color w:val="000000"/>
          <w:kern w:val="2"/>
          <w:sz w:val="21"/>
          <w:szCs w:val="21"/>
          <w:highlight w:val="none"/>
        </w:rPr>
      </w:pPr>
      <w:bookmarkStart w:id="3466" w:name="_Toc19118710"/>
      <w:bookmarkStart w:id="3467" w:name="_Toc8478"/>
      <w:bookmarkStart w:id="3468" w:name="_Toc97371947"/>
      <w:r>
        <w:rPr>
          <w:rFonts w:hint="eastAsia" w:ascii="宋体" w:hAnsi="宋体" w:eastAsia="宋体" w:cs="宋体"/>
          <w:bCs/>
          <w:color w:val="000000"/>
          <w:kern w:val="2"/>
          <w:sz w:val="21"/>
          <w:szCs w:val="21"/>
          <w:highlight w:val="none"/>
        </w:rPr>
        <w:t>附件1：</w:t>
      </w:r>
      <w:bookmarkStart w:id="3469" w:name="_Toc9500692"/>
      <w:r>
        <w:rPr>
          <w:rFonts w:hint="eastAsia" w:ascii="宋体" w:hAnsi="宋体" w:eastAsia="宋体" w:cs="宋体"/>
          <w:bCs/>
          <w:color w:val="000000"/>
          <w:kern w:val="2"/>
          <w:sz w:val="21"/>
          <w:szCs w:val="21"/>
          <w:highlight w:val="none"/>
        </w:rPr>
        <w:t>材料、设备、专业工程暂估价表</w:t>
      </w:r>
      <w:bookmarkEnd w:id="3466"/>
      <w:bookmarkEnd w:id="3467"/>
      <w:bookmarkEnd w:id="3469"/>
    </w:p>
    <w:p>
      <w:pPr>
        <w:pageBreakBefore w:val="0"/>
        <w:kinsoku/>
        <w:wordWrap/>
        <w:overflowPunct/>
        <w:topLinePunct w:val="0"/>
        <w:bidi w:val="0"/>
        <w:adjustRightInd w:val="0"/>
        <w:snapToGrid w:val="0"/>
        <w:spacing w:line="460" w:lineRule="exact"/>
        <w:jc w:val="center"/>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材料、设备、专业工程暂估价表</w:t>
      </w:r>
    </w:p>
    <w:tbl>
      <w:tblPr>
        <w:tblStyle w:val="4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00"/>
        <w:gridCol w:w="1997"/>
        <w:gridCol w:w="856"/>
        <w:gridCol w:w="778"/>
        <w:gridCol w:w="1360"/>
        <w:gridCol w:w="1426"/>
        <w:gridCol w:w="17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9" w:hRule="atLeast"/>
        </w:trPr>
        <w:tc>
          <w:tcPr>
            <w:tcW w:w="1000" w:type="dxa"/>
            <w:tcBorders>
              <w:top w:val="single" w:color="auto" w:sz="12" w:space="0"/>
              <w:left w:val="single" w:color="auto" w:sz="12"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序号</w:t>
            </w:r>
          </w:p>
        </w:tc>
        <w:tc>
          <w:tcPr>
            <w:tcW w:w="1997" w:type="dxa"/>
            <w:tcBorders>
              <w:top w:val="single" w:color="auto" w:sz="12" w:space="0"/>
              <w:left w:val="single" w:color="auto" w:sz="6"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名称</w:t>
            </w:r>
          </w:p>
        </w:tc>
        <w:tc>
          <w:tcPr>
            <w:tcW w:w="856" w:type="dxa"/>
            <w:tcBorders>
              <w:top w:val="single" w:color="auto" w:sz="12" w:space="0"/>
              <w:left w:val="single" w:color="auto" w:sz="6"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单位</w:t>
            </w:r>
          </w:p>
        </w:tc>
        <w:tc>
          <w:tcPr>
            <w:tcW w:w="778" w:type="dxa"/>
            <w:tcBorders>
              <w:top w:val="single" w:color="auto" w:sz="12" w:space="0"/>
              <w:left w:val="single" w:color="auto" w:sz="6"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数量</w:t>
            </w:r>
          </w:p>
        </w:tc>
        <w:tc>
          <w:tcPr>
            <w:tcW w:w="1360" w:type="dxa"/>
            <w:tcBorders>
              <w:top w:val="single" w:color="auto" w:sz="12" w:space="0"/>
              <w:left w:val="single" w:color="auto" w:sz="6"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单价（元）</w:t>
            </w:r>
          </w:p>
        </w:tc>
        <w:tc>
          <w:tcPr>
            <w:tcW w:w="1426" w:type="dxa"/>
            <w:tcBorders>
              <w:top w:val="single" w:color="auto" w:sz="12" w:space="0"/>
              <w:left w:val="single" w:color="auto" w:sz="6" w:space="0"/>
              <w:bottom w:val="doub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合价（元）</w:t>
            </w:r>
          </w:p>
        </w:tc>
        <w:tc>
          <w:tcPr>
            <w:tcW w:w="1711" w:type="dxa"/>
            <w:tcBorders>
              <w:top w:val="single" w:color="auto" w:sz="12" w:space="0"/>
              <w:left w:val="single" w:color="auto" w:sz="6" w:space="0"/>
              <w:bottom w:val="doub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doub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无</w:t>
            </w:r>
          </w:p>
        </w:tc>
        <w:tc>
          <w:tcPr>
            <w:tcW w:w="1997" w:type="dxa"/>
            <w:tcBorders>
              <w:top w:val="doub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doub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doub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doub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doub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doub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nil"/>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nil"/>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nil"/>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nil"/>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nil"/>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nil"/>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nil"/>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6"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6"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00" w:type="dxa"/>
            <w:tcBorders>
              <w:top w:val="single" w:color="auto" w:sz="6" w:space="0"/>
              <w:left w:val="single" w:color="auto" w:sz="12"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997" w:type="dxa"/>
            <w:tcBorders>
              <w:top w:val="single" w:color="auto" w:sz="6" w:space="0"/>
              <w:left w:val="single" w:color="auto" w:sz="6"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856" w:type="dxa"/>
            <w:tcBorders>
              <w:top w:val="single" w:color="auto" w:sz="6" w:space="0"/>
              <w:left w:val="single" w:color="auto" w:sz="6"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778" w:type="dxa"/>
            <w:tcBorders>
              <w:top w:val="single" w:color="auto" w:sz="6" w:space="0"/>
              <w:left w:val="single" w:color="auto" w:sz="6"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360" w:type="dxa"/>
            <w:tcBorders>
              <w:top w:val="single" w:color="auto" w:sz="6" w:space="0"/>
              <w:left w:val="single" w:color="auto" w:sz="6"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426" w:type="dxa"/>
            <w:tcBorders>
              <w:top w:val="single" w:color="auto" w:sz="6" w:space="0"/>
              <w:left w:val="single" w:color="auto" w:sz="6" w:space="0"/>
              <w:bottom w:val="single" w:color="auto" w:sz="12" w:space="0"/>
              <w:right w:val="single" w:color="auto" w:sz="6"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c>
          <w:tcPr>
            <w:tcW w:w="1711" w:type="dxa"/>
            <w:tcBorders>
              <w:top w:val="single" w:color="auto" w:sz="6" w:space="0"/>
              <w:left w:val="single" w:color="auto" w:sz="6" w:space="0"/>
              <w:bottom w:val="single" w:color="auto" w:sz="12" w:space="0"/>
              <w:right w:val="single" w:color="auto" w:sz="12" w:space="0"/>
            </w:tcBorders>
            <w:noWrap w:val="0"/>
            <w:vAlign w:val="top"/>
          </w:tcPr>
          <w:p>
            <w:pPr>
              <w:keepNext/>
              <w:pageBreakBefore w:val="0"/>
              <w:kinsoku/>
              <w:wordWrap/>
              <w:overflowPunct/>
              <w:topLinePunct w:val="0"/>
              <w:bidi w:val="0"/>
              <w:adjustRightInd w:val="0"/>
              <w:snapToGrid w:val="0"/>
              <w:spacing w:line="460" w:lineRule="exact"/>
              <w:jc w:val="center"/>
              <w:textAlignment w:val="baseline"/>
              <w:rPr>
                <w:rFonts w:hint="eastAsia" w:ascii="宋体" w:hAnsi="宋体" w:eastAsia="宋体" w:cs="宋体"/>
                <w:color w:val="000000"/>
                <w:kern w:val="2"/>
                <w:sz w:val="21"/>
                <w:szCs w:val="21"/>
                <w:highlight w:val="none"/>
              </w:rPr>
            </w:pPr>
          </w:p>
        </w:tc>
      </w:tr>
    </w:tbl>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Style w:val="12"/>
        <w:rPr>
          <w:rFonts w:hint="eastAsia" w:ascii="宋体" w:hAnsi="宋体" w:eastAsia="宋体" w:cs="宋体"/>
          <w:color w:val="000000"/>
          <w:kern w:val="2"/>
          <w:sz w:val="21"/>
          <w:szCs w:val="21"/>
          <w:highlight w:val="none"/>
        </w:rPr>
      </w:pPr>
    </w:p>
    <w:p>
      <w:pPr>
        <w:pStyle w:val="12"/>
        <w:rPr>
          <w:rFonts w:hint="eastAsia" w:ascii="宋体" w:hAnsi="宋体" w:eastAsia="宋体" w:cs="宋体"/>
          <w:color w:val="000000"/>
          <w:kern w:val="2"/>
          <w:sz w:val="21"/>
          <w:szCs w:val="21"/>
          <w:highlight w:val="none"/>
        </w:rPr>
      </w:pPr>
    </w:p>
    <w:p>
      <w:pPr>
        <w:keepNext/>
        <w:keepLines/>
        <w:pageBreakBefore w:val="0"/>
        <w:kinsoku/>
        <w:wordWrap/>
        <w:overflowPunct/>
        <w:topLinePunct w:val="0"/>
        <w:bidi w:val="0"/>
        <w:adjustRightInd w:val="0"/>
        <w:snapToGrid w:val="0"/>
        <w:spacing w:line="460" w:lineRule="exact"/>
        <w:ind w:firstLine="400"/>
        <w:outlineLvl w:val="2"/>
        <w:rPr>
          <w:rFonts w:hint="eastAsia" w:ascii="宋体" w:hAnsi="宋体" w:eastAsia="宋体" w:cs="宋体"/>
          <w:bCs/>
          <w:color w:val="000000"/>
          <w:kern w:val="2"/>
          <w:sz w:val="21"/>
          <w:szCs w:val="21"/>
          <w:highlight w:val="none"/>
        </w:rPr>
      </w:pPr>
      <w:bookmarkStart w:id="3470" w:name="_Toc13115"/>
      <w:bookmarkStart w:id="3471" w:name="_Toc19118711"/>
      <w:r>
        <w:rPr>
          <w:rFonts w:hint="eastAsia" w:ascii="宋体" w:hAnsi="宋体" w:eastAsia="宋体" w:cs="宋体"/>
          <w:bCs/>
          <w:color w:val="000000"/>
          <w:kern w:val="2"/>
          <w:sz w:val="21"/>
          <w:szCs w:val="21"/>
          <w:highlight w:val="none"/>
        </w:rPr>
        <w:t>附件2：工程质量保修书</w:t>
      </w:r>
      <w:bookmarkEnd w:id="3470"/>
      <w:bookmarkEnd w:id="3471"/>
    </w:p>
    <w:p>
      <w:pPr>
        <w:pageBreakBefore w:val="0"/>
        <w:kinsoku/>
        <w:wordWrap/>
        <w:overflowPunct/>
        <w:topLinePunct w:val="0"/>
        <w:bidi w:val="0"/>
        <w:adjustRightInd w:val="0"/>
        <w:snapToGrid w:val="0"/>
        <w:spacing w:line="460" w:lineRule="exact"/>
        <w:jc w:val="center"/>
        <w:rPr>
          <w:rFonts w:hint="eastAsia" w:ascii="宋体" w:hAnsi="宋体" w:eastAsia="宋体" w:cs="宋体"/>
          <w:b/>
          <w:color w:val="000000"/>
          <w:kern w:val="2"/>
          <w:sz w:val="21"/>
          <w:szCs w:val="21"/>
          <w:highlight w:val="none"/>
        </w:rPr>
      </w:pPr>
      <w:r>
        <w:rPr>
          <w:rFonts w:hint="eastAsia" w:ascii="宋体" w:hAnsi="宋体" w:eastAsia="宋体" w:cs="宋体"/>
          <w:b/>
          <w:color w:val="000000"/>
          <w:kern w:val="2"/>
          <w:sz w:val="21"/>
          <w:szCs w:val="21"/>
          <w:highlight w:val="none"/>
        </w:rPr>
        <w:t>工程质量保修书</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发包人（甲方，全称）：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承包人（乙方，全称）：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发包人和承包人根据《中华人民共和国建筑法》和《建设工程质量管理条例》，经协商一致就</w:t>
      </w:r>
      <w:r>
        <w:rPr>
          <w:rFonts w:hint="eastAsia" w:ascii="宋体" w:hAnsi="宋体" w:eastAsia="宋体" w:cs="宋体"/>
          <w:color w:val="000000"/>
          <w:kern w:val="2"/>
          <w:sz w:val="21"/>
          <w:szCs w:val="21"/>
          <w:highlight w:val="none"/>
          <w:u w:val="single"/>
        </w:rPr>
        <w:t>******</w:t>
      </w:r>
      <w:r>
        <w:rPr>
          <w:rFonts w:hint="eastAsia" w:ascii="宋体" w:hAnsi="宋体" w:eastAsia="宋体" w:cs="宋体"/>
          <w:color w:val="000000"/>
          <w:kern w:val="2"/>
          <w:sz w:val="21"/>
          <w:szCs w:val="21"/>
          <w:highlight w:val="none"/>
        </w:rPr>
        <w:t>（工程全称）签订工程质量保修书。</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rPr>
      </w:pPr>
      <w:r>
        <w:rPr>
          <w:rFonts w:hint="eastAsia" w:ascii="宋体" w:hAnsi="宋体" w:eastAsia="宋体" w:cs="宋体"/>
          <w:color w:val="000000"/>
          <w:kern w:val="2"/>
          <w:sz w:val="21"/>
          <w:szCs w:val="21"/>
          <w:highlight w:val="none"/>
        </w:rPr>
        <w:t>　　</w:t>
      </w:r>
      <w:bookmarkStart w:id="3472" w:name="_Toc9500693"/>
      <w:bookmarkStart w:id="3473" w:name="_Toc10466800"/>
      <w:bookmarkStart w:id="3474" w:name="_Toc10453441"/>
      <w:r>
        <w:rPr>
          <w:rFonts w:hint="eastAsia" w:ascii="宋体" w:hAnsi="宋体" w:eastAsia="宋体" w:cs="宋体"/>
          <w:color w:val="000000"/>
          <w:kern w:val="2"/>
          <w:sz w:val="21"/>
          <w:szCs w:val="21"/>
          <w:highlight w:val="none"/>
        </w:rPr>
        <w:t>一、工程质量保修范围和内容</w:t>
      </w:r>
      <w:bookmarkEnd w:id="3472"/>
      <w:bookmarkEnd w:id="3473"/>
      <w:bookmarkEnd w:id="3474"/>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承包人在质量保修期内，按照有关法律规定和合同约定，承担工程质量保修责任。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质量保修范围包括地基基础工程、主体结构工程，屋面防水工程、有防水要求的设施防渗漏，电气管线、给排水管道、设备安装和装修工程，及双方约定的其他项目。</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rPr>
      </w:pPr>
      <w:r>
        <w:rPr>
          <w:rFonts w:hint="eastAsia" w:ascii="宋体" w:hAnsi="宋体" w:eastAsia="宋体" w:cs="宋体"/>
          <w:b/>
          <w:color w:val="000000"/>
          <w:kern w:val="2"/>
          <w:sz w:val="21"/>
          <w:szCs w:val="21"/>
          <w:highlight w:val="none"/>
        </w:rPr>
        <w:t>　　</w:t>
      </w:r>
      <w:bookmarkStart w:id="3475" w:name="_Toc10453442"/>
      <w:bookmarkStart w:id="3476" w:name="_Toc10466801"/>
      <w:bookmarkStart w:id="3477" w:name="_Toc9500694"/>
      <w:r>
        <w:rPr>
          <w:rFonts w:hint="eastAsia" w:ascii="宋体" w:hAnsi="宋体" w:eastAsia="宋体" w:cs="宋体"/>
          <w:color w:val="000000"/>
          <w:kern w:val="2"/>
          <w:sz w:val="21"/>
          <w:szCs w:val="21"/>
          <w:highlight w:val="none"/>
        </w:rPr>
        <w:t>二、质量保修期</w:t>
      </w:r>
      <w:bookmarkEnd w:id="3475"/>
      <w:bookmarkEnd w:id="3476"/>
      <w:bookmarkEnd w:id="3477"/>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根据《建设工程质量管理条例》及有关规定，工程的质量保修期如下：</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1．地基基础工程和主体结构工程为设计文件规定的工程合理使用年限；2．屋面防水工程、有防水要求的设施防渗为</w:t>
      </w:r>
      <w:r>
        <w:rPr>
          <w:rFonts w:hint="eastAsia" w:ascii="宋体" w:hAnsi="宋体" w:eastAsia="宋体" w:cs="宋体"/>
          <w:color w:val="000000"/>
          <w:kern w:val="2"/>
          <w:sz w:val="21"/>
          <w:szCs w:val="21"/>
          <w:highlight w:val="none"/>
          <w:u w:val="single"/>
        </w:rPr>
        <w:t xml:space="preserve">  5    </w:t>
      </w:r>
      <w:r>
        <w:rPr>
          <w:rFonts w:hint="eastAsia" w:ascii="宋体" w:hAnsi="宋体" w:eastAsia="宋体" w:cs="宋体"/>
          <w:color w:val="000000"/>
          <w:kern w:val="2"/>
          <w:sz w:val="21"/>
          <w:szCs w:val="21"/>
          <w:highlight w:val="none"/>
        </w:rPr>
        <w:t>年；3．装修工程为</w:t>
      </w:r>
      <w:r>
        <w:rPr>
          <w:rFonts w:hint="eastAsia" w:ascii="宋体" w:hAnsi="宋体" w:eastAsia="宋体" w:cs="宋体"/>
          <w:color w:val="000000"/>
          <w:kern w:val="2"/>
          <w:sz w:val="21"/>
          <w:szCs w:val="21"/>
          <w:highlight w:val="none"/>
          <w:u w:val="single"/>
        </w:rPr>
        <w:t xml:space="preserve">    2   </w:t>
      </w:r>
      <w:r>
        <w:rPr>
          <w:rFonts w:hint="eastAsia" w:ascii="宋体" w:hAnsi="宋体" w:eastAsia="宋体" w:cs="宋体"/>
          <w:color w:val="000000"/>
          <w:kern w:val="2"/>
          <w:sz w:val="21"/>
          <w:szCs w:val="21"/>
          <w:highlight w:val="none"/>
        </w:rPr>
        <w:t>年；4．电气管线、给排水管道、设备安装工程为</w:t>
      </w:r>
      <w:r>
        <w:rPr>
          <w:rFonts w:hint="eastAsia" w:ascii="宋体" w:hAnsi="宋体" w:eastAsia="宋体" w:cs="宋体"/>
          <w:color w:val="000000"/>
          <w:kern w:val="2"/>
          <w:sz w:val="21"/>
          <w:szCs w:val="21"/>
          <w:highlight w:val="none"/>
          <w:u w:val="single"/>
        </w:rPr>
        <w:t xml:space="preserve">    2   </w:t>
      </w:r>
      <w:r>
        <w:rPr>
          <w:rFonts w:hint="eastAsia" w:ascii="宋体" w:hAnsi="宋体" w:eastAsia="宋体" w:cs="宋体"/>
          <w:color w:val="000000"/>
          <w:kern w:val="2"/>
          <w:sz w:val="21"/>
          <w:szCs w:val="21"/>
          <w:highlight w:val="none"/>
        </w:rPr>
        <w:t>年；采暖工程为</w:t>
      </w:r>
      <w:r>
        <w:rPr>
          <w:rFonts w:hint="eastAsia" w:ascii="宋体" w:hAnsi="宋体" w:eastAsia="宋体" w:cs="宋体"/>
          <w:color w:val="000000"/>
          <w:kern w:val="2"/>
          <w:sz w:val="21"/>
          <w:szCs w:val="21"/>
          <w:highlight w:val="none"/>
          <w:u w:val="single"/>
        </w:rPr>
        <w:t xml:space="preserve">  2  </w:t>
      </w:r>
      <w:r>
        <w:rPr>
          <w:rFonts w:hint="eastAsia" w:ascii="宋体" w:hAnsi="宋体" w:eastAsia="宋体" w:cs="宋体"/>
          <w:color w:val="000000"/>
          <w:kern w:val="2"/>
          <w:sz w:val="21"/>
          <w:szCs w:val="21"/>
          <w:highlight w:val="none"/>
        </w:rPr>
        <w:t>个采暖期；5．给排水设施设备、道路等工程为</w:t>
      </w:r>
      <w:r>
        <w:rPr>
          <w:rFonts w:hint="eastAsia" w:ascii="宋体" w:hAnsi="宋体" w:eastAsia="宋体" w:cs="宋体"/>
          <w:color w:val="000000"/>
          <w:kern w:val="2"/>
          <w:sz w:val="21"/>
          <w:szCs w:val="21"/>
          <w:highlight w:val="none"/>
          <w:u w:val="single"/>
        </w:rPr>
        <w:t xml:space="preserve">   2 </w:t>
      </w:r>
      <w:r>
        <w:rPr>
          <w:rFonts w:hint="eastAsia" w:ascii="宋体" w:hAnsi="宋体" w:eastAsia="宋体" w:cs="宋体"/>
          <w:color w:val="000000"/>
          <w:kern w:val="2"/>
          <w:sz w:val="21"/>
          <w:szCs w:val="21"/>
          <w:highlight w:val="none"/>
        </w:rPr>
        <w:t>年。质量保修期自工程竣工验收合格之日起计算。</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bookmarkStart w:id="3478" w:name="_Toc10466802"/>
      <w:bookmarkStart w:id="3479" w:name="_Toc10453443"/>
      <w:bookmarkStart w:id="3480" w:name="_Toc9500695"/>
      <w:r>
        <w:rPr>
          <w:rFonts w:hint="eastAsia" w:ascii="宋体" w:hAnsi="宋体" w:eastAsia="宋体" w:cs="宋体"/>
          <w:color w:val="000000"/>
          <w:kern w:val="2"/>
          <w:sz w:val="21"/>
          <w:szCs w:val="21"/>
          <w:highlight w:val="none"/>
        </w:rPr>
        <w:t>三、缺陷责任期</w:t>
      </w:r>
      <w:bookmarkEnd w:id="3478"/>
      <w:bookmarkEnd w:id="3479"/>
      <w:bookmarkEnd w:id="3480"/>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工程缺陷责任期为</w:t>
      </w:r>
      <w:r>
        <w:rPr>
          <w:rFonts w:hint="eastAsia" w:ascii="宋体" w:hAnsi="宋体" w:eastAsia="宋体" w:cs="宋体"/>
          <w:color w:val="000000"/>
          <w:kern w:val="2"/>
          <w:sz w:val="21"/>
          <w:szCs w:val="21"/>
          <w:highlight w:val="none"/>
          <w:u w:val="single"/>
        </w:rPr>
        <w:t xml:space="preserve">  24  </w:t>
      </w:r>
      <w:r>
        <w:rPr>
          <w:rFonts w:hint="eastAsia" w:ascii="宋体" w:hAnsi="宋体" w:eastAsia="宋体" w:cs="宋体"/>
          <w:color w:val="000000"/>
          <w:kern w:val="2"/>
          <w:sz w:val="21"/>
          <w:szCs w:val="21"/>
          <w:highlight w:val="none"/>
        </w:rPr>
        <w:t>个月，缺陷责任期自工程通过竣工验收之日起计算。单位工程先于全部工程进行验收，单位工程缺陷责任期自单位工程验收合格之日起算。</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缺陷责任期终止后，发包人应退还剩余的质量保证金。</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   </w:t>
      </w:r>
      <w:r>
        <w:rPr>
          <w:rFonts w:hint="eastAsia" w:ascii="宋体" w:hAnsi="宋体" w:eastAsia="宋体" w:cs="宋体"/>
          <w:b/>
          <w:color w:val="000000"/>
          <w:kern w:val="2"/>
          <w:sz w:val="21"/>
          <w:szCs w:val="21"/>
          <w:highlight w:val="none"/>
        </w:rPr>
        <w:t xml:space="preserve"> </w:t>
      </w:r>
      <w:bookmarkStart w:id="3481" w:name="_Toc9500696"/>
      <w:bookmarkStart w:id="3482" w:name="_Toc10453444"/>
      <w:bookmarkStart w:id="3483" w:name="_Toc10466803"/>
      <w:r>
        <w:rPr>
          <w:rFonts w:hint="eastAsia" w:ascii="宋体" w:hAnsi="宋体" w:eastAsia="宋体" w:cs="宋体"/>
          <w:color w:val="000000"/>
          <w:kern w:val="2"/>
          <w:sz w:val="21"/>
          <w:szCs w:val="21"/>
          <w:highlight w:val="none"/>
        </w:rPr>
        <w:t>四、质量保修责任</w:t>
      </w:r>
      <w:bookmarkEnd w:id="3481"/>
      <w:bookmarkEnd w:id="3482"/>
      <w:bookmarkEnd w:id="3483"/>
    </w:p>
    <w:p>
      <w:pPr>
        <w:pageBreakBefore w:val="0"/>
        <w:kinsoku/>
        <w:wordWrap/>
        <w:overflowPunct/>
        <w:topLinePunct w:val="0"/>
        <w:bidi w:val="0"/>
        <w:adjustRightInd w:val="0"/>
        <w:snapToGrid w:val="0"/>
        <w:spacing w:line="460" w:lineRule="exact"/>
        <w:ind w:firstLine="430" w:firstLineChars="205"/>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1．属于保修范围、内容的项目，承包人应当在接到保修通知之日起7天内派人保修。承包人不在约定期限内派人保修的，发包人可以委托他人修理。</w:t>
      </w:r>
    </w:p>
    <w:p>
      <w:pPr>
        <w:pageBreakBefore w:val="0"/>
        <w:kinsoku/>
        <w:wordWrap/>
        <w:overflowPunct/>
        <w:topLinePunct w:val="0"/>
        <w:bidi w:val="0"/>
        <w:adjustRightInd w:val="0"/>
        <w:snapToGrid w:val="0"/>
        <w:spacing w:line="460" w:lineRule="exact"/>
        <w:ind w:firstLine="430" w:firstLineChars="205"/>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2．发生紧急事故需抢修的，承包人在接到事故通知后，应当立即到达事故现场抢修。</w:t>
      </w:r>
    </w:p>
    <w:p>
      <w:pPr>
        <w:pageBreakBefore w:val="0"/>
        <w:kinsoku/>
        <w:wordWrap/>
        <w:overflowPunct/>
        <w:topLinePunct w:val="0"/>
        <w:bidi w:val="0"/>
        <w:adjustRightInd w:val="0"/>
        <w:snapToGrid w:val="0"/>
        <w:spacing w:line="460" w:lineRule="exact"/>
        <w:ind w:firstLine="430" w:firstLineChars="205"/>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pageBreakBefore w:val="0"/>
        <w:kinsoku/>
        <w:wordWrap/>
        <w:overflowPunct/>
        <w:topLinePunct w:val="0"/>
        <w:bidi w:val="0"/>
        <w:adjustRightInd w:val="0"/>
        <w:snapToGrid w:val="0"/>
        <w:spacing w:line="460" w:lineRule="exact"/>
        <w:ind w:firstLine="105" w:firstLineChars="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4．质量保修完成后，由发包人组织验收。</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w:t>
      </w:r>
      <w:bookmarkStart w:id="3484" w:name="_Toc10466804"/>
      <w:bookmarkStart w:id="3485" w:name="_Toc10453445"/>
      <w:bookmarkStart w:id="3486" w:name="_Toc9500697"/>
      <w:r>
        <w:rPr>
          <w:rFonts w:hint="eastAsia" w:ascii="宋体" w:hAnsi="宋体" w:eastAsia="宋体" w:cs="宋体"/>
          <w:color w:val="000000"/>
          <w:kern w:val="2"/>
          <w:sz w:val="21"/>
          <w:szCs w:val="21"/>
          <w:highlight w:val="none"/>
        </w:rPr>
        <w:t>五、保修费用</w:t>
      </w:r>
      <w:bookmarkEnd w:id="3484"/>
      <w:bookmarkEnd w:id="3485"/>
      <w:bookmarkEnd w:id="3486"/>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保修费用由造成质量缺陷的责任方承担。工程质量保修书由发包人、承包人、使用方共同签署，作为施工合同附件，其有效期限至保修期满。</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发包人(公章)：                        承包人(公章或合同专用章)： </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法定代表人或委托代理人               法定代表人或委托代理人</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xml:space="preserve">(签字或盖章)：                        (签字或盖章)：      </w:t>
      </w:r>
      <w:bookmarkStart w:id="3487" w:name="_Toc19118712"/>
      <w:r>
        <w:rPr>
          <w:rFonts w:hint="eastAsia" w:ascii="宋体" w:hAnsi="宋体" w:eastAsia="宋体" w:cs="宋体"/>
          <w:bCs/>
          <w:color w:val="000000"/>
          <w:kern w:val="2"/>
          <w:sz w:val="21"/>
          <w:szCs w:val="21"/>
          <w:highlight w:val="none"/>
        </w:rPr>
        <w:br w:type="page"/>
      </w:r>
      <w:r>
        <w:rPr>
          <w:rFonts w:hint="eastAsia" w:ascii="宋体" w:hAnsi="宋体" w:eastAsia="宋体" w:cs="宋体"/>
          <w:bCs/>
          <w:color w:val="000000"/>
          <w:kern w:val="2"/>
          <w:sz w:val="21"/>
          <w:szCs w:val="21"/>
          <w:highlight w:val="none"/>
        </w:rPr>
        <w:t>附件3：安全生产协议</w:t>
      </w:r>
      <w:bookmarkEnd w:id="3487"/>
    </w:p>
    <w:p>
      <w:pPr>
        <w:pageBreakBefore w:val="0"/>
        <w:kinsoku/>
        <w:wordWrap/>
        <w:overflowPunct/>
        <w:topLinePunct w:val="0"/>
        <w:bidi w:val="0"/>
        <w:adjustRightInd w:val="0"/>
        <w:snapToGrid w:val="0"/>
        <w:spacing w:line="460" w:lineRule="exact"/>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rPr>
        <w:t>安全生产协议</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发包人（甲方，全称）：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承包人（乙方，全称）：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发包单位将</w:t>
      </w:r>
      <w:r>
        <w:rPr>
          <w:rFonts w:hint="eastAsia" w:ascii="宋体" w:hAnsi="宋体" w:eastAsia="宋体" w:cs="宋体"/>
          <w:color w:val="000000"/>
          <w:kern w:val="2"/>
          <w:sz w:val="21"/>
          <w:szCs w:val="21"/>
          <w:highlight w:val="none"/>
          <w:u w:val="single"/>
        </w:rPr>
        <w:t>******</w:t>
      </w:r>
      <w:r>
        <w:rPr>
          <w:rFonts w:hint="eastAsia" w:ascii="宋体" w:hAnsi="宋体" w:eastAsia="宋体" w:cs="宋体"/>
          <w:color w:val="000000"/>
          <w:kern w:val="2"/>
          <w:sz w:val="21"/>
          <w:szCs w:val="21"/>
          <w:highlight w:val="none"/>
        </w:rPr>
        <w:t>项目委托承包单位施工，为了明确双方的安全生产责任，确保施工安全，双方在签订施工合同的同时（受建设方的委托，乙方在施工期间的安全生产活动，纳入总包安全管理范围，在建设方与乙方签订合同的同时）签订本协议，双方必须严格执行。</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一、承包工程项目：</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1、工程项目名称：******</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 w:val="21"/>
          <w:szCs w:val="21"/>
          <w:highlight w:val="none"/>
        </w:rPr>
        <w:t>2、工程地址：</w:t>
      </w:r>
      <w:r>
        <w:rPr>
          <w:rFonts w:hint="eastAsia" w:ascii="宋体" w:hAnsi="宋体" w:cs="宋体"/>
          <w:color w:val="000000"/>
          <w:kern w:val="2"/>
          <w:sz w:val="21"/>
          <w:szCs w:val="21"/>
          <w:highlight w:val="none"/>
          <w:lang w:val="en-US" w:eastAsia="zh-CN"/>
        </w:rPr>
        <w:t>北京市</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二、工程项目期限：合同期限</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年 月 日-年 月 日。</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三、协议内容：</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1、甲乙双方必须认真贯彻国家和上级劳动保护、安全生产主管部门办法的有关生产、消防工作的方针、政策、严格执行有关劳动保护法规、条例、规定。</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2、甲乙双方都应有安全管理组织体制，包括抓安全生产的领导，各级专职和兼职的安全干部；应有各工种的安全操作规程，特种作业工人的审证考核制度及各级安全生产岗位责任制和定期安全检查制度。</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3、甲乙双方在施工前要认真勘察现场，工程项目由乙方按甲方的要求自行编制施工组织设计；制订有针对性的安全技术措施，乙方必须严格按施工组织设计的要求施工。</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4、甲乙双方必须认真对本单位人员进行安全生产制度及安全技术知识教育，增强法制观念，提高安全生产思想意识和自我保护的能力，督促自觉遵守安全纪律、制度法规。</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5、施工前，乙方应组织召开管理、施工人员安全生产教育会议，并通知甲方委派有关人员出席会议。介绍施工中有关安全防火等规章制度及要求，乙方必须检查、督促施工人员严格遵守、认真执行。</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6、施工期间，甲乙双方应检查工程项目中有关安全、防火工作，预防事故发生。</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7、乙方在施工期间必须严格执行和遵守甲方的安全生产防火管理的各类规定，接受甲方的监督、检查和指导。甲方有协助乙方搞好安全生产防火管理以及督促检查的义务，对于查出的隐患，乙方必须限期整改，对甲方违反安全生产规定、制度等情况，乙方有要求甲方整改的权利。</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8、在生产操作过程中的个人安全防护用品，由各方自理，甲乙方都应监督施工现场人员自觉穿戴好安全防护用品。</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9、甲乙双方人员对各自所出的施工区域、作业环境、操作施工设备、工具用具等必须认真检查，发现隐患，应即停止施工，并由有关单位落实整改后方准施工。一经施工，就表示施工单位确认施工现场。作业环境，设施设备，工具用具等符合安全要求和处于安全状态。施工单位对施工过程中产生的后果自行负责。</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10、由甲方提供的机械设备，脚手架等设施，在搭设、安装完毕提前使用前，甲方应会同乙方共同按规定验收，并做好验收及交付使用手续。严禁在未经验收或验收不合格的情况下投入使用，否则由此发生的后果概由擅自使用方负责。</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11、乙方在施工期间所使用的各种设备以及工具等均应由乙方自备。如甲乙双方必须相互借用和租赁。应由双方有关人员办理借用租赁手续。借出方应保证借出的设备和工具符合安全要求，但借入方必须进行检验。借入使用方一经接收，设备和工具的保管、维修以及在使用过程中发生的故障损坏遗失或造成伤亡事故均由借入使用方来承担责任，负责赔偿。</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12、甲乙双方的人员。对施工现场的脚手架、各类安全防护措施、安全标志和警告牌，不得擅自拆除、更动。如确实需要拆除更动的，必须经工地施工负责人和甲乙双方指派的安全管理人员的同意，并采取必要、可靠的安全措施后方能拆除。任何一方人员，擅自拆除所造成的后果，均由该方人员及其单位负责承担。</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气、机械设备的人，擅自操作使用电器、机械设备。</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14、甲乙双方必须严格执行各类防火、防爆制度。易燃易爆场所严禁吸烟及动用明火，消防器材不得挪作他用。电焊、气割作业应按规定办理动火审批手续，严格遵守“十不烧”规定，严禁使用电炉。冬季施工如必须采用明火加热防冻措施时，应取得防火主管人员同意，落实防火、防中毒措施，并指派专人值班。</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15、乙方需用甲方提供的电气设备，在使用前应先进行检测，如不符安全规定的应及时向甲方提出，甲方应积极整改，整改合格后方准使用，违反本规定或不经甲方许可，擅自乱拉电器线路造成后果均由肇事者单位负责。</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16、贯彻先定合同后施工的原则。甲方不得指派乙方人员从事合同外的施工任务。乙方应拒绝合同外的施工任务，否则由此造成的一切后果均由有关方负责。</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17、甲乙双方的施工中，应注意地下管线及高低压架空线路的保护，甲方对地下管线和障碍物应详细交底，乙方应贯彻交底要求，如遇有情况，应及时向甲方和有关部门联系，采取保护措施。</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18、贯彻谁施工谁负责安全原则，乙方人员在施工期间，造成伤亡、火警、火灾、机械等其它事故（包括由乙方责任造成甲方人员、他方人员、行人伤亡等），甲方有协助紧急抢救伤员的义务，乙方负责事故上报，经济赔偿及善后处理。甲方有权追究乙方对甲方造成相关损失。</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19、其他：</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（1）乙方负责对自己施工的范围开展安全管理，并有完整的安全管理体系。必须配备专职安全员，有关安全管理资料应提供甲方备案，甲方负责检查督促。</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（2）乙方使用劳动力必须符合地方规定，并提供加盖乙方公章的施工人员名册，人员有变动，乙方必须书面通知甲方，凡提供名册外的人员发生事故由乙方全部负责。</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（3）工期延长，本协议顺延。</w:t>
      </w:r>
    </w:p>
    <w:p>
      <w:pPr>
        <w:pageBreakBefore w:val="0"/>
        <w:kinsoku/>
        <w:wordWrap/>
        <w:overflowPunct/>
        <w:topLinePunct w:val="0"/>
        <w:bidi w:val="0"/>
        <w:adjustRightInd w:val="0"/>
        <w:snapToGrid w:val="0"/>
        <w:spacing w:line="460" w:lineRule="exact"/>
        <w:ind w:firstLine="420" w:firstLineChars="2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20、本协议经双方代表签字后即生效，协议作为合同附件一式肆份。</w:t>
      </w:r>
    </w:p>
    <w:p>
      <w:pPr>
        <w:pageBreakBefore w:val="0"/>
        <w:kinsoku/>
        <w:wordWrap/>
        <w:overflowPunct/>
        <w:topLinePunct w:val="0"/>
        <w:bidi w:val="0"/>
        <w:adjustRightInd w:val="0"/>
        <w:snapToGrid w:val="0"/>
        <w:spacing w:line="460" w:lineRule="exact"/>
        <w:ind w:firstLine="525" w:firstLineChars="250"/>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525" w:firstLineChars="2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发包人（公章）：                       承包人（公章或合同专用章）：</w:t>
      </w:r>
    </w:p>
    <w:p>
      <w:pPr>
        <w:pageBreakBefore w:val="0"/>
        <w:kinsoku/>
        <w:wordWrap/>
        <w:overflowPunct/>
        <w:topLinePunct w:val="0"/>
        <w:bidi w:val="0"/>
        <w:adjustRightInd w:val="0"/>
        <w:snapToGrid w:val="0"/>
        <w:spacing w:line="460" w:lineRule="exact"/>
        <w:ind w:firstLine="525" w:firstLineChars="250"/>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525" w:firstLineChars="2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法定代表人或委托代理人                法定代表人或委托代理人</w:t>
      </w:r>
    </w:p>
    <w:p>
      <w:pPr>
        <w:pageBreakBefore w:val="0"/>
        <w:kinsoku/>
        <w:wordWrap/>
        <w:overflowPunct/>
        <w:topLinePunct w:val="0"/>
        <w:bidi w:val="0"/>
        <w:adjustRightInd w:val="0"/>
        <w:snapToGrid w:val="0"/>
        <w:spacing w:line="460" w:lineRule="exact"/>
        <w:ind w:firstLine="630" w:firstLineChars="30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(签字或盖章)：                        (签字或盖章)：</w:t>
      </w:r>
    </w:p>
    <w:p>
      <w:pPr>
        <w:keepNext/>
        <w:keepLines/>
        <w:pageBreakBefore w:val="0"/>
        <w:kinsoku/>
        <w:wordWrap/>
        <w:overflowPunct/>
        <w:topLinePunct w:val="0"/>
        <w:bidi w:val="0"/>
        <w:adjustRightInd w:val="0"/>
        <w:snapToGrid w:val="0"/>
        <w:spacing w:line="460" w:lineRule="exact"/>
        <w:ind w:firstLine="400"/>
        <w:outlineLvl w:val="2"/>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br w:type="page"/>
      </w:r>
      <w:bookmarkStart w:id="3488" w:name="_Toc29148"/>
      <w:bookmarkStart w:id="3489" w:name="_Toc19118713"/>
      <w:r>
        <w:rPr>
          <w:rFonts w:hint="eastAsia" w:ascii="宋体" w:hAnsi="宋体" w:eastAsia="宋体" w:cs="宋体"/>
          <w:bCs/>
          <w:color w:val="000000"/>
          <w:kern w:val="2"/>
          <w:sz w:val="21"/>
          <w:szCs w:val="21"/>
          <w:highlight w:val="none"/>
        </w:rPr>
        <w:t>附件4：工程建设项目廉政责任书</w:t>
      </w:r>
      <w:bookmarkEnd w:id="3488"/>
      <w:bookmarkEnd w:id="3489"/>
    </w:p>
    <w:p>
      <w:pPr>
        <w:pageBreakBefore w:val="0"/>
        <w:kinsoku/>
        <w:wordWrap/>
        <w:overflowPunct/>
        <w:topLinePunct w:val="0"/>
        <w:bidi w:val="0"/>
        <w:adjustRightInd w:val="0"/>
        <w:snapToGrid w:val="0"/>
        <w:spacing w:line="460" w:lineRule="exact"/>
        <w:jc w:val="center"/>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rPr>
        <w:t>工程建设项目廉政责任书</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工程项目名称：</w:t>
      </w:r>
      <w:r>
        <w:rPr>
          <w:rFonts w:hint="eastAsia" w:ascii="宋体" w:hAnsi="宋体" w:eastAsia="宋体" w:cs="宋体"/>
          <w:color w:val="000000"/>
          <w:kern w:val="2"/>
          <w:sz w:val="21"/>
          <w:szCs w:val="21"/>
          <w:highlight w:val="none"/>
          <w:u w:val="single"/>
        </w:rPr>
        <w:t>******</w:t>
      </w:r>
      <w:r>
        <w:rPr>
          <w:rFonts w:hint="eastAsia" w:ascii="宋体" w:hAnsi="宋体" w:eastAsia="宋体" w:cs="宋体"/>
          <w:color w:val="000000"/>
          <w:kern w:val="2"/>
          <w:sz w:val="21"/>
          <w:szCs w:val="21"/>
          <w:highlight w:val="none"/>
        </w:rPr>
        <w:t xml:space="preserve">  </w:t>
      </w:r>
    </w:p>
    <w:p>
      <w:pPr>
        <w:pageBreakBefore w:val="0"/>
        <w:kinsoku/>
        <w:wordWrap/>
        <w:overflowPunct/>
        <w:topLinePunct w:val="0"/>
        <w:bidi w:val="0"/>
        <w:adjustRightInd w:val="0"/>
        <w:snapToGrid w:val="0"/>
        <w:spacing w:line="460" w:lineRule="exact"/>
        <w:rPr>
          <w:rFonts w:hint="default" w:ascii="宋体" w:hAnsi="宋体" w:eastAsia="宋体" w:cs="宋体"/>
          <w:color w:val="000000"/>
          <w:kern w:val="2"/>
          <w:sz w:val="21"/>
          <w:szCs w:val="21"/>
          <w:highlight w:val="none"/>
          <w:u w:val="single"/>
          <w:lang w:val="en-US" w:eastAsia="zh-CN"/>
        </w:rPr>
      </w:pPr>
      <w:r>
        <w:rPr>
          <w:rFonts w:hint="eastAsia" w:ascii="宋体" w:hAnsi="宋体" w:eastAsia="宋体" w:cs="宋体"/>
          <w:color w:val="000000"/>
          <w:kern w:val="2"/>
          <w:sz w:val="21"/>
          <w:szCs w:val="21"/>
          <w:highlight w:val="none"/>
        </w:rPr>
        <w:t>工程项目地址：</w:t>
      </w:r>
      <w:r>
        <w:rPr>
          <w:rFonts w:hint="eastAsia" w:ascii="宋体" w:hAnsi="宋体" w:cs="宋体"/>
          <w:color w:val="000000"/>
          <w:kern w:val="2"/>
          <w:sz w:val="21"/>
          <w:szCs w:val="21"/>
          <w:highlight w:val="none"/>
          <w:u w:val="single"/>
          <w:lang w:val="en-US" w:eastAsia="zh-CN"/>
        </w:rPr>
        <w:t xml:space="preserve">     </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发包人（甲方，全称）：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rPr>
          <w:rFonts w:hint="eastAsia" w:ascii="宋体" w:hAnsi="宋体" w:eastAsia="宋体" w:cs="宋体"/>
          <w:b/>
          <w:color w:val="000000"/>
          <w:kern w:val="2"/>
          <w:sz w:val="21"/>
          <w:szCs w:val="21"/>
          <w:highlight w:val="none"/>
          <w:u w:val="single"/>
        </w:rPr>
      </w:pPr>
      <w:r>
        <w:rPr>
          <w:rFonts w:hint="eastAsia" w:ascii="宋体" w:hAnsi="宋体" w:eastAsia="宋体" w:cs="宋体"/>
          <w:b/>
          <w:color w:val="000000"/>
          <w:kern w:val="2"/>
          <w:sz w:val="21"/>
          <w:szCs w:val="21"/>
          <w:highlight w:val="none"/>
        </w:rPr>
        <w:t>承包人（乙方，全称）：</w:t>
      </w:r>
      <w:r>
        <w:rPr>
          <w:rFonts w:hint="eastAsia" w:ascii="宋体" w:hAnsi="宋体" w:eastAsia="宋体" w:cs="宋体"/>
          <w:b/>
          <w:color w:val="000000"/>
          <w:kern w:val="2"/>
          <w:sz w:val="21"/>
          <w:szCs w:val="21"/>
          <w:highlight w:val="none"/>
          <w:u w:val="single"/>
        </w:rPr>
        <w:t>******</w:t>
      </w:r>
    </w:p>
    <w:p>
      <w:pPr>
        <w:pageBreakBefore w:val="0"/>
        <w:kinsoku/>
        <w:wordWrap/>
        <w:overflowPunct/>
        <w:topLinePunct w:val="0"/>
        <w:bidi w:val="0"/>
        <w:adjustRightInd w:val="0"/>
        <w:snapToGrid w:val="0"/>
        <w:spacing w:line="460" w:lineRule="exact"/>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 xml:space="preserve">第一条 </w:t>
      </w:r>
      <w:r>
        <w:rPr>
          <w:rFonts w:hint="eastAsia" w:ascii="宋体" w:hAnsi="宋体" w:eastAsia="宋体" w:cs="宋体"/>
          <w:color w:val="000000"/>
          <w:kern w:val="2"/>
          <w:sz w:val="21"/>
          <w:szCs w:val="21"/>
          <w:highlight w:val="none"/>
        </w:rPr>
        <w:t>甲乙双方的责任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（一）应严格遵守国家关于市场准入、项目招标投标、工程建设、施工安装和市场活动等有关法律、法规，相关政策，以及廉政建设的各项规定。</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（二）严格执行建设工程项目承发包合同文件，自觉按合同办事。</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pPr>
        <w:pageBreakBefore w:val="0"/>
        <w:kinsoku/>
        <w:wordWrap/>
        <w:overflowPunct/>
        <w:topLinePunct w:val="0"/>
        <w:bidi w:val="0"/>
        <w:adjustRightInd w:val="0"/>
        <w:snapToGrid w:val="0"/>
        <w:spacing w:line="460" w:lineRule="exact"/>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（四）发现对方在业务活动中有违规、违纪、违法行为的，应及时提醒对方，情节严重的，应向其上级主管部门或纪检监察、司法等有关机关举报。</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第二条</w:t>
      </w:r>
      <w:r>
        <w:rPr>
          <w:rFonts w:hint="eastAsia" w:ascii="宋体" w:hAnsi="宋体" w:eastAsia="宋体" w:cs="宋体"/>
          <w:color w:val="000000"/>
          <w:kern w:val="2"/>
          <w:sz w:val="21"/>
          <w:szCs w:val="21"/>
          <w:highlight w:val="none"/>
        </w:rPr>
        <w:t xml:space="preserve"> 甲方的责任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甲方的领导和从事该建设工程项目的工作人员，在工程建设的事前、事中、事后应遵守以下规定：</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（一）不准向乙方和相关单位索要或接受回扣、礼金、有价证券、贵重物品和好处费、感谢费等。</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（二）不准在乙方和相关单位报销任何应由甲方或个人支付的费用。</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（三）不准要求、暗示和接受乙方和相关单位为个人装修住房、婚丧嫁娶、配偶子女的工作安排以及出国（境）、旅游等提供方便。</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（四）不准参加有可能影响公正执行公务的乙方和相关单位的宴请和健身、娱乐等活动。</w:t>
      </w:r>
    </w:p>
    <w:p>
      <w:pPr>
        <w:pageBreakBefore w:val="0"/>
        <w:kinsoku/>
        <w:wordWrap/>
        <w:overflowPunct/>
        <w:topLinePunct w:val="0"/>
        <w:bidi w:val="0"/>
        <w:adjustRightInd w:val="0"/>
        <w:snapToGrid w:val="0"/>
        <w:spacing w:line="460" w:lineRule="exact"/>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 xml:space="preserve">第三条 </w:t>
      </w:r>
      <w:r>
        <w:rPr>
          <w:rFonts w:hint="eastAsia" w:ascii="宋体" w:hAnsi="宋体" w:eastAsia="宋体" w:cs="宋体"/>
          <w:color w:val="000000"/>
          <w:kern w:val="2"/>
          <w:sz w:val="21"/>
          <w:szCs w:val="21"/>
          <w:highlight w:val="none"/>
        </w:rPr>
        <w:t>乙方的责任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（一）不准以任何理由向甲方、相关单位及其工作人员索要、接受或赠送礼金、有价证券、贵重物品和回扣、好处费、感谢费等。</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（二）不准以任何理由为甲方和相关单位报销应由对方或个人支付的费用。</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（三）不准接受或暗示为甲方、相关单位或个人装修住房、婚丧嫁娶、配偶子女的工作安排以及出国（境）、旅游等提供方便。</w:t>
      </w:r>
    </w:p>
    <w:p>
      <w:pPr>
        <w:pageBreakBefore w:val="0"/>
        <w:kinsoku/>
        <w:wordWrap/>
        <w:overflowPunct/>
        <w:topLinePunct w:val="0"/>
        <w:bidi w:val="0"/>
        <w:adjustRightInd w:val="0"/>
        <w:snapToGrid w:val="0"/>
        <w:spacing w:line="460" w:lineRule="exact"/>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（四）不准以任何理由为甲方、相关单位或个人组织有可能影响公正执行公务的宴请、健身、娱乐等活动。</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第四条</w:t>
      </w:r>
      <w:r>
        <w:rPr>
          <w:rFonts w:hint="eastAsia" w:ascii="宋体" w:hAnsi="宋体" w:eastAsia="宋体" w:cs="宋体"/>
          <w:color w:val="000000"/>
          <w:kern w:val="2"/>
          <w:sz w:val="21"/>
          <w:szCs w:val="21"/>
          <w:highlight w:val="none"/>
        </w:rPr>
        <w:t xml:space="preserve"> 违约责任</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pPr>
        <w:pageBreakBefore w:val="0"/>
        <w:kinsoku/>
        <w:wordWrap/>
        <w:overflowPunct/>
        <w:topLinePunct w:val="0"/>
        <w:bidi w:val="0"/>
        <w:adjustRightInd w:val="0"/>
        <w:snapToGrid w:val="0"/>
        <w:spacing w:line="460" w:lineRule="exact"/>
        <w:ind w:firstLine="48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第五条</w:t>
      </w:r>
      <w:r>
        <w:rPr>
          <w:rFonts w:hint="eastAsia" w:ascii="宋体" w:hAnsi="宋体" w:eastAsia="宋体" w:cs="宋体"/>
          <w:color w:val="000000"/>
          <w:kern w:val="2"/>
          <w:sz w:val="21"/>
          <w:szCs w:val="21"/>
          <w:highlight w:val="none"/>
        </w:rPr>
        <w:t xml:space="preserve"> 本责任书作为工程施工合同的附件，与工程施工合同具有同等法律效力。经双方签署后立即生效。</w:t>
      </w:r>
    </w:p>
    <w:p>
      <w:pPr>
        <w:pageBreakBefore w:val="0"/>
        <w:kinsoku/>
        <w:wordWrap/>
        <w:overflowPunct/>
        <w:topLinePunct w:val="0"/>
        <w:bidi w:val="0"/>
        <w:adjustRightInd w:val="0"/>
        <w:snapToGrid w:val="0"/>
        <w:spacing w:line="460" w:lineRule="exact"/>
        <w:ind w:firstLine="422" w:firstLineChars="200"/>
        <w:rPr>
          <w:rFonts w:hint="eastAsia" w:ascii="宋体" w:hAnsi="宋体" w:eastAsia="宋体" w:cs="宋体"/>
          <w:color w:val="000000"/>
          <w:kern w:val="2"/>
          <w:sz w:val="21"/>
          <w:szCs w:val="21"/>
          <w:highlight w:val="none"/>
        </w:rPr>
      </w:pPr>
      <w:r>
        <w:rPr>
          <w:rFonts w:hint="eastAsia" w:ascii="宋体" w:hAnsi="宋体" w:eastAsia="宋体" w:cs="宋体"/>
          <w:b/>
          <w:bCs/>
          <w:color w:val="000000"/>
          <w:kern w:val="2"/>
          <w:sz w:val="21"/>
          <w:szCs w:val="21"/>
          <w:highlight w:val="none"/>
        </w:rPr>
        <w:t>第六条</w:t>
      </w:r>
      <w:r>
        <w:rPr>
          <w:rFonts w:hint="eastAsia" w:ascii="宋体" w:hAnsi="宋体" w:eastAsia="宋体" w:cs="宋体"/>
          <w:color w:val="000000"/>
          <w:kern w:val="2"/>
          <w:sz w:val="21"/>
          <w:szCs w:val="21"/>
          <w:highlight w:val="none"/>
        </w:rPr>
        <w:t xml:space="preserve"> 本责任书的有效期为双方签署之日起至该工程项目竣工验收合格时止。</w:t>
      </w:r>
    </w:p>
    <w:p>
      <w:pPr>
        <w:pageBreakBefore w:val="0"/>
        <w:kinsoku/>
        <w:wordWrap/>
        <w:overflowPunct/>
        <w:topLinePunct w:val="0"/>
        <w:bidi w:val="0"/>
        <w:adjustRightInd w:val="0"/>
        <w:snapToGrid w:val="0"/>
        <w:spacing w:line="460" w:lineRule="exact"/>
        <w:rPr>
          <w:rFonts w:hint="eastAsia" w:ascii="宋体" w:hAnsi="宋体" w:eastAsia="宋体" w:cs="宋体"/>
          <w:color w:val="000000"/>
          <w:spacing w:val="-4"/>
          <w:kern w:val="2"/>
          <w:sz w:val="21"/>
          <w:szCs w:val="21"/>
          <w:highlight w:val="none"/>
        </w:rPr>
      </w:pPr>
      <w:r>
        <w:rPr>
          <w:rFonts w:hint="eastAsia" w:ascii="宋体" w:hAnsi="宋体" w:eastAsia="宋体" w:cs="宋体"/>
          <w:color w:val="000000"/>
          <w:kern w:val="2"/>
          <w:sz w:val="21"/>
          <w:szCs w:val="21"/>
          <w:highlight w:val="none"/>
        </w:rPr>
        <w:t>　　</w:t>
      </w:r>
      <w:r>
        <w:rPr>
          <w:rFonts w:hint="eastAsia" w:ascii="宋体" w:hAnsi="宋体" w:eastAsia="宋体" w:cs="宋体"/>
          <w:b/>
          <w:bCs/>
          <w:color w:val="000000"/>
          <w:kern w:val="2"/>
          <w:sz w:val="21"/>
          <w:szCs w:val="21"/>
          <w:highlight w:val="none"/>
        </w:rPr>
        <w:t>第七条</w:t>
      </w:r>
      <w:r>
        <w:rPr>
          <w:rFonts w:hint="eastAsia" w:ascii="宋体" w:hAnsi="宋体" w:eastAsia="宋体" w:cs="宋体"/>
          <w:color w:val="000000"/>
          <w:kern w:val="2"/>
          <w:sz w:val="21"/>
          <w:szCs w:val="21"/>
          <w:highlight w:val="none"/>
        </w:rPr>
        <w:t xml:space="preserve"> </w:t>
      </w:r>
      <w:r>
        <w:rPr>
          <w:rFonts w:hint="eastAsia" w:ascii="宋体" w:hAnsi="宋体" w:eastAsia="宋体" w:cs="宋体"/>
          <w:color w:val="000000"/>
          <w:spacing w:val="-4"/>
          <w:kern w:val="2"/>
          <w:sz w:val="21"/>
          <w:szCs w:val="21"/>
          <w:highlight w:val="none"/>
        </w:rPr>
        <w:t>本责任书一式肆份，甲方贰份，乙方贰份，具有同等法律效义。</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315" w:firstLineChars="1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甲方单位：（盖章）　　　　　　　        乙方单位：（盖章）</w:t>
      </w:r>
    </w:p>
    <w:p>
      <w:pPr>
        <w:pageBreakBefore w:val="0"/>
        <w:kinsoku/>
        <w:wordWrap/>
        <w:overflowPunct/>
        <w:topLinePunct w:val="0"/>
        <w:bidi w:val="0"/>
        <w:adjustRightInd w:val="0"/>
        <w:snapToGrid w:val="0"/>
        <w:spacing w:line="460" w:lineRule="exact"/>
        <w:rPr>
          <w:rFonts w:hint="eastAsia" w:ascii="宋体" w:hAnsi="宋体" w:eastAsia="宋体" w:cs="宋体"/>
          <w:color w:val="000000"/>
          <w:kern w:val="2"/>
          <w:sz w:val="21"/>
          <w:szCs w:val="21"/>
          <w:highlight w:val="none"/>
        </w:rPr>
      </w:pPr>
    </w:p>
    <w:p>
      <w:pPr>
        <w:pageBreakBefore w:val="0"/>
        <w:kinsoku/>
        <w:wordWrap/>
        <w:overflowPunct/>
        <w:topLinePunct w:val="0"/>
        <w:bidi w:val="0"/>
        <w:adjustRightInd w:val="0"/>
        <w:snapToGrid w:val="0"/>
        <w:spacing w:line="460" w:lineRule="exact"/>
        <w:ind w:firstLine="315" w:firstLineChars="15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法定代表人：　　　　　　　　　         法定代表人：</w:t>
      </w:r>
    </w:p>
    <w:p>
      <w:pPr>
        <w:rPr>
          <w:rFonts w:eastAsiaTheme="minorEastAsia"/>
          <w:b/>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br w:type="page"/>
      </w:r>
    </w:p>
    <w:p>
      <w:pPr>
        <w:spacing w:line="360" w:lineRule="auto"/>
        <w:jc w:val="center"/>
        <w:outlineLvl w:val="0"/>
        <w:rPr>
          <w:rFonts w:eastAsiaTheme="minorEastAsia"/>
          <w:b/>
          <w:color w:val="000000" w:themeColor="text1"/>
          <w:sz w:val="36"/>
          <w:szCs w:val="36"/>
          <w14:textFill>
            <w14:solidFill>
              <w14:schemeClr w14:val="tx1"/>
            </w14:solidFill>
          </w14:textFill>
        </w:rPr>
      </w:pPr>
      <w:r>
        <w:rPr>
          <w:rFonts w:eastAsiaTheme="minorEastAsia"/>
          <w:b/>
          <w:color w:val="000000" w:themeColor="text1"/>
          <w:sz w:val="36"/>
          <w:szCs w:val="36"/>
          <w14:textFill>
            <w14:solidFill>
              <w14:schemeClr w14:val="tx1"/>
            </w14:solidFill>
          </w14:textFill>
        </w:rPr>
        <w:t>第六章   响应文件格式</w:t>
      </w:r>
      <w:bookmarkEnd w:id="3468"/>
    </w:p>
    <w:p>
      <w:pPr>
        <w:widowControl/>
        <w:spacing w:line="360" w:lineRule="auto"/>
        <w:jc w:val="left"/>
        <w:rPr>
          <w:rFonts w:eastAsiaTheme="minorEastAsia"/>
          <w:b/>
          <w:color w:val="000000" w:themeColor="text1"/>
          <w:sz w:val="24"/>
          <w14:textFill>
            <w14:solidFill>
              <w14:schemeClr w14:val="tx1"/>
            </w14:solidFill>
          </w14:textFill>
        </w:rPr>
      </w:pPr>
    </w:p>
    <w:p>
      <w:pPr>
        <w:tabs>
          <w:tab w:val="left" w:pos="900"/>
          <w:tab w:val="left" w:pos="1980"/>
        </w:tabs>
        <w:snapToGrid w:val="0"/>
        <w:spacing w:line="480" w:lineRule="auto"/>
        <w:ind w:left="142"/>
        <w:rPr>
          <w:rFonts w:eastAsiaTheme="minorEastAsia"/>
          <w:b/>
          <w:color w:val="000000" w:themeColor="text1"/>
          <w:kern w:val="0"/>
          <w:sz w:val="21"/>
          <w:szCs w:val="21"/>
          <w14:textFill>
            <w14:solidFill>
              <w14:schemeClr w14:val="tx1"/>
            </w14:solidFill>
          </w14:textFill>
        </w:rPr>
      </w:pPr>
      <w:r>
        <w:rPr>
          <w:rFonts w:hint="eastAsia" w:eastAsiaTheme="minorEastAsia"/>
          <w:b/>
          <w:color w:val="000000" w:themeColor="text1"/>
          <w:kern w:val="0"/>
          <w:sz w:val="21"/>
          <w:szCs w:val="21"/>
          <w14:textFill>
            <w14:solidFill>
              <w14:schemeClr w14:val="tx1"/>
            </w14:solidFill>
          </w14:textFill>
        </w:rPr>
        <w:t>供应商编制文件须知</w:t>
      </w:r>
    </w:p>
    <w:p>
      <w:pPr>
        <w:tabs>
          <w:tab w:val="left" w:pos="900"/>
          <w:tab w:val="left" w:pos="1980"/>
        </w:tabs>
        <w:snapToGrid w:val="0"/>
        <w:spacing w:line="480" w:lineRule="auto"/>
        <w:ind w:left="14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480" w:lineRule="auto"/>
        <w:ind w:left="142"/>
        <w:rPr>
          <w:rFonts w:eastAsiaTheme="minorEastAsia"/>
          <w:color w:val="000000" w:themeColor="text1"/>
          <w:kern w:val="0"/>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w:t>
      </w:r>
      <w:r>
        <w:rPr>
          <w:rFonts w:eastAsiaTheme="minorEastAsia"/>
          <w:color w:val="000000" w:themeColor="text1"/>
          <w:kern w:val="0"/>
          <w:sz w:val="21"/>
          <w:szCs w:val="21"/>
          <w14:textFill>
            <w14:solidFill>
              <w14:schemeClr w14:val="tx1"/>
            </w14:solidFill>
          </w14:textFill>
        </w:rPr>
        <w:t>对于竞争性磋商文件中标记了“实质性格式”文件的，供应商</w:t>
      </w:r>
      <w:r>
        <w:rPr>
          <w:rFonts w:eastAsiaTheme="minorEastAsia"/>
          <w:color w:val="000000" w:themeColor="text1"/>
          <w:sz w:val="21"/>
          <w:szCs w:val="21"/>
          <w14:textFill>
            <w14:solidFill>
              <w14:schemeClr w14:val="tx1"/>
            </w14:solidFill>
          </w14:textFill>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 w:val="21"/>
          <w:szCs w:val="21"/>
          <w14:textFill>
            <w14:solidFill>
              <w14:schemeClr w14:val="tx1"/>
            </w14:solidFill>
          </w14:textFill>
        </w:rPr>
        <w:t>否则响应无效</w:t>
      </w:r>
      <w:r>
        <w:rPr>
          <w:rFonts w:eastAsiaTheme="minorEastAsia"/>
          <w:color w:val="000000" w:themeColor="text1"/>
          <w:kern w:val="0"/>
          <w:sz w:val="21"/>
          <w:szCs w:val="21"/>
          <w14:textFill>
            <w14:solidFill>
              <w14:schemeClr w14:val="tx1"/>
            </w14:solidFill>
          </w14:textFill>
        </w:rPr>
        <w:t>。未标记“实质性格式”的文件和竞争性磋商文件未提供格式的内容，可由供应商自行编写。</w:t>
      </w:r>
    </w:p>
    <w:p>
      <w:pPr>
        <w:tabs>
          <w:tab w:val="left" w:pos="900"/>
          <w:tab w:val="left" w:pos="1980"/>
        </w:tabs>
        <w:snapToGrid w:val="0"/>
        <w:spacing w:line="480" w:lineRule="auto"/>
        <w:ind w:left="14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3、全部声明和问题的回答及所附材料必须是真实的、准确的和完整的。</w:t>
      </w:r>
    </w:p>
    <w:p>
      <w:pPr>
        <w:tabs>
          <w:tab w:val="left" w:pos="900"/>
          <w:tab w:val="left" w:pos="1980"/>
        </w:tabs>
        <w:snapToGrid w:val="0"/>
        <w:spacing w:line="360" w:lineRule="auto"/>
        <w:ind w:left="142"/>
        <w:rPr>
          <w:rFonts w:eastAsiaTheme="minorEastAsia"/>
          <w:color w:val="000000" w:themeColor="text1"/>
          <w:sz w:val="24"/>
          <w14:textFill>
            <w14:solidFill>
              <w14:schemeClr w14:val="tx1"/>
            </w14:solidFill>
          </w14:textFill>
        </w:rPr>
      </w:pPr>
    </w:p>
    <w:p>
      <w:pPr>
        <w:widowControl/>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rPr>
          <w:rFonts w:eastAsiaTheme="minorEastAsia"/>
          <w:b/>
          <w:color w:val="000000" w:themeColor="text1"/>
          <w:spacing w:val="20"/>
          <w:szCs w:val="21"/>
          <w14:textFill>
            <w14:solidFill>
              <w14:schemeClr w14:val="tx1"/>
            </w14:solidFill>
          </w14:textFill>
        </w:rPr>
      </w:pPr>
    </w:p>
    <w:p>
      <w:pPr>
        <w:rPr>
          <w:rFonts w:eastAsiaTheme="minorEastAsia"/>
          <w:b/>
          <w:color w:val="000000" w:themeColor="text1"/>
          <w:sz w:val="24"/>
          <w14:textFill>
            <w14:solidFill>
              <w14:schemeClr w14:val="tx1"/>
            </w14:solidFill>
          </w14:textFill>
        </w:rPr>
      </w:pPr>
      <w:r>
        <w:rPr>
          <w:rFonts w:eastAsiaTheme="minorEastAsia"/>
          <w:b/>
          <w:color w:val="000000" w:themeColor="text1"/>
          <w:spacing w:val="20"/>
          <w:sz w:val="24"/>
          <w14:textFill>
            <w14:solidFill>
              <w14:schemeClr w14:val="tx1"/>
            </w14:solidFill>
          </w14:textFill>
        </w:rPr>
        <w:t>响应文件</w:t>
      </w:r>
      <w:r>
        <w:rPr>
          <w:rFonts w:eastAsiaTheme="minorEastAsia"/>
          <w:b/>
          <w:color w:val="000000" w:themeColor="text1"/>
          <w:sz w:val="24"/>
          <w14:textFill>
            <w14:solidFill>
              <w14:schemeClr w14:val="tx1"/>
            </w14:solidFill>
          </w14:textFill>
        </w:rPr>
        <w:t>封面（非实质性格式）</w:t>
      </w:r>
    </w:p>
    <w:p>
      <w:pPr>
        <w:jc w:val="center"/>
        <w:rPr>
          <w:rFonts w:eastAsiaTheme="minorEastAsia"/>
          <w:color w:val="000000" w:themeColor="text1"/>
          <w:szCs w:val="21"/>
          <w14:textFill>
            <w14:solidFill>
              <w14:schemeClr w14:val="tx1"/>
            </w14:solidFill>
          </w14:textFill>
        </w:rPr>
      </w:pPr>
    </w:p>
    <w:p>
      <w:pPr>
        <w:jc w:val="center"/>
        <w:rPr>
          <w:rFonts w:eastAsiaTheme="minorEastAsia"/>
          <w:b/>
          <w:color w:val="000000" w:themeColor="text1"/>
          <w:spacing w:val="60"/>
          <w:sz w:val="84"/>
          <w:szCs w:val="84"/>
          <w14:textFill>
            <w14:solidFill>
              <w14:schemeClr w14:val="tx1"/>
            </w14:solidFill>
          </w14:textFill>
        </w:rPr>
      </w:pPr>
      <w:r>
        <w:rPr>
          <w:rFonts w:eastAsiaTheme="minorEastAsia"/>
          <w:b/>
          <w:color w:val="000000" w:themeColor="text1"/>
          <w:spacing w:val="60"/>
          <w:sz w:val="84"/>
          <w:szCs w:val="84"/>
          <w14:textFill>
            <w14:solidFill>
              <w14:schemeClr w14:val="tx1"/>
            </w14:solidFill>
          </w14:textFill>
        </w:rPr>
        <w:t>响 应 文 件</w:t>
      </w:r>
    </w:p>
    <w:p>
      <w:pPr>
        <w:jc w:val="center"/>
        <w:rPr>
          <w:rFonts w:eastAsiaTheme="minorEastAsia"/>
          <w:b/>
          <w:color w:val="000000" w:themeColor="text1"/>
          <w:spacing w:val="60"/>
          <w:sz w:val="52"/>
          <w:szCs w:val="52"/>
          <w14:textFill>
            <w14:solidFill>
              <w14:schemeClr w14:val="tx1"/>
            </w14:solidFill>
          </w14:textFill>
        </w:rPr>
      </w:pPr>
    </w:p>
    <w:p>
      <w:pPr>
        <w:ind w:firstLine="542" w:firstLineChars="150"/>
        <w:rPr>
          <w:rFonts w:eastAsiaTheme="minorEastAsia"/>
          <w:b/>
          <w:color w:val="000000" w:themeColor="text1"/>
          <w:spacing w:val="20"/>
          <w:sz w:val="32"/>
          <w:szCs w:val="32"/>
          <w14:textFill>
            <w14:solidFill>
              <w14:schemeClr w14:val="tx1"/>
            </w14:solidFill>
          </w14:textFill>
        </w:rPr>
      </w:pPr>
    </w:p>
    <w:p>
      <w:pPr>
        <w:ind w:firstLine="542" w:firstLineChars="150"/>
        <w:rPr>
          <w:rFonts w:eastAsiaTheme="minorEastAsia"/>
          <w:b/>
          <w:color w:val="000000" w:themeColor="text1"/>
          <w:spacing w:val="20"/>
          <w:sz w:val="32"/>
          <w:szCs w:val="32"/>
          <w14:textFill>
            <w14:solidFill>
              <w14:schemeClr w14:val="tx1"/>
            </w14:solidFill>
          </w14:textFill>
        </w:rPr>
      </w:pPr>
    </w:p>
    <w:p>
      <w:pPr>
        <w:ind w:firstLine="542" w:firstLineChars="150"/>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项目名称:</w:t>
      </w:r>
    </w:p>
    <w:p>
      <w:pPr>
        <w:ind w:firstLine="542" w:firstLineChars="150"/>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项目编号</w:t>
      </w:r>
      <w:r>
        <w:rPr>
          <w:rFonts w:hint="eastAsia" w:eastAsiaTheme="minorEastAsia"/>
          <w:b/>
          <w:color w:val="000000" w:themeColor="text1"/>
          <w:spacing w:val="20"/>
          <w:sz w:val="32"/>
          <w:szCs w:val="32"/>
          <w14:textFill>
            <w14:solidFill>
              <w14:schemeClr w14:val="tx1"/>
            </w14:solidFill>
          </w14:textFill>
        </w:rPr>
        <w:t>：</w:t>
      </w:r>
    </w:p>
    <w:p>
      <w:pPr>
        <w:ind w:firstLine="542" w:firstLineChars="150"/>
        <w:rPr>
          <w:rFonts w:eastAsiaTheme="minorEastAsia"/>
          <w:b/>
          <w:color w:val="000000" w:themeColor="text1"/>
          <w:spacing w:val="20"/>
          <w:sz w:val="32"/>
          <w:szCs w:val="32"/>
          <w14:textFill>
            <w14:solidFill>
              <w14:schemeClr w14:val="tx1"/>
            </w14:solidFill>
          </w14:textFill>
        </w:rPr>
      </w:pPr>
    </w:p>
    <w:p>
      <w:pPr>
        <w:ind w:firstLine="542" w:firstLineChars="150"/>
        <w:rPr>
          <w:rFonts w:eastAsiaTheme="minorEastAsia"/>
          <w:b/>
          <w:color w:val="000000" w:themeColor="text1"/>
          <w:spacing w:val="20"/>
          <w:sz w:val="32"/>
          <w:szCs w:val="32"/>
          <w14:textFill>
            <w14:solidFill>
              <w14:schemeClr w14:val="tx1"/>
            </w14:solidFill>
          </w14:textFill>
        </w:rPr>
      </w:pPr>
    </w:p>
    <w:p>
      <w:pPr>
        <w:jc w:val="center"/>
        <w:rPr>
          <w:rFonts w:eastAsiaTheme="minorEastAsia"/>
          <w:b/>
          <w:color w:val="000000" w:themeColor="text1"/>
          <w:sz w:val="32"/>
          <w:szCs w:val="32"/>
          <w14:textFill>
            <w14:solidFill>
              <w14:schemeClr w14:val="tx1"/>
            </w14:solidFill>
          </w14:textFill>
        </w:rPr>
      </w:pPr>
    </w:p>
    <w:p>
      <w:pPr>
        <w:jc w:val="center"/>
        <w:rPr>
          <w:rFonts w:eastAsiaTheme="minorEastAsia"/>
          <w:b/>
          <w:color w:val="000000" w:themeColor="text1"/>
          <w:sz w:val="32"/>
          <w:szCs w:val="32"/>
          <w14:textFill>
            <w14:solidFill>
              <w14:schemeClr w14:val="tx1"/>
            </w14:solidFill>
          </w14:textFill>
        </w:rPr>
      </w:pPr>
    </w:p>
    <w:p>
      <w:pPr>
        <w:jc w:val="center"/>
        <w:rPr>
          <w:rFonts w:eastAsiaTheme="minorEastAsia"/>
          <w:b/>
          <w:color w:val="000000" w:themeColor="text1"/>
          <w:sz w:val="32"/>
          <w:szCs w:val="32"/>
          <w14:textFill>
            <w14:solidFill>
              <w14:schemeClr w14:val="tx1"/>
            </w14:solidFill>
          </w14:textFill>
        </w:rPr>
      </w:pPr>
    </w:p>
    <w:p>
      <w:pPr>
        <w:jc w:val="center"/>
        <w:rPr>
          <w:rFonts w:eastAsiaTheme="minorEastAsia"/>
          <w:b/>
          <w:color w:val="000000" w:themeColor="text1"/>
          <w:spacing w:val="20"/>
          <w:sz w:val="32"/>
          <w:szCs w:val="32"/>
          <w14:textFill>
            <w14:solidFill>
              <w14:schemeClr w14:val="tx1"/>
            </w14:solidFill>
          </w14:textFill>
        </w:rPr>
      </w:pPr>
    </w:p>
    <w:p>
      <w:pPr>
        <w:jc w:val="center"/>
        <w:rPr>
          <w:rFonts w:eastAsiaTheme="minorEastAsia"/>
          <w:b/>
          <w:color w:val="000000" w:themeColor="text1"/>
          <w:spacing w:val="20"/>
          <w:sz w:val="32"/>
          <w:szCs w:val="32"/>
          <w14:textFill>
            <w14:solidFill>
              <w14:schemeClr w14:val="tx1"/>
            </w14:solidFill>
          </w14:textFill>
        </w:rPr>
      </w:pPr>
    </w:p>
    <w:p>
      <w:pPr>
        <w:jc w:val="center"/>
        <w:rPr>
          <w:rFonts w:eastAsiaTheme="minorEastAsia"/>
          <w:b/>
          <w:color w:val="000000" w:themeColor="text1"/>
          <w:spacing w:val="20"/>
          <w:sz w:val="32"/>
          <w:szCs w:val="32"/>
          <w14:textFill>
            <w14:solidFill>
              <w14:schemeClr w14:val="tx1"/>
            </w14:solidFill>
          </w14:textFill>
        </w:rPr>
      </w:pPr>
    </w:p>
    <w:p>
      <w:pPr>
        <w:spacing w:line="360" w:lineRule="auto"/>
        <w:jc w:val="left"/>
        <w:rPr>
          <w:rFonts w:eastAsiaTheme="minorEastAsia"/>
          <w:b/>
          <w:color w:val="000000" w:themeColor="text1"/>
          <w:spacing w:val="20"/>
          <w:sz w:val="32"/>
          <w:szCs w:val="32"/>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t>供应商名称：</w:t>
      </w:r>
    </w:p>
    <w:p>
      <w:pPr>
        <w:jc w:val="center"/>
        <w:rPr>
          <w:rFonts w:eastAsiaTheme="minorEastAsia"/>
          <w:b/>
          <w:color w:val="000000" w:themeColor="text1"/>
          <w:sz w:val="32"/>
          <w:szCs w:val="32"/>
          <w14:textFill>
            <w14:solidFill>
              <w14:schemeClr w14:val="tx1"/>
            </w14:solidFill>
          </w14:textFill>
        </w:rPr>
      </w:pPr>
    </w:p>
    <w:p>
      <w:pPr>
        <w:rPr>
          <w:rFonts w:eastAsiaTheme="minorEastAsia"/>
          <w:b/>
          <w:color w:val="000000" w:themeColor="text1"/>
          <w14:textFill>
            <w14:solidFill>
              <w14:schemeClr w14:val="tx1"/>
            </w14:solidFill>
          </w14:textFill>
        </w:rPr>
      </w:pPr>
      <w:r>
        <w:rPr>
          <w:rFonts w:eastAsiaTheme="minorEastAsia"/>
          <w:b/>
          <w:color w:val="000000" w:themeColor="text1"/>
          <w:spacing w:val="20"/>
          <w:sz w:val="32"/>
          <w:szCs w:val="32"/>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 满足《中华人民共和国政府采购法》第二十二条规定及法律法规的其他规定</w:t>
      </w:r>
    </w:p>
    <w:p>
      <w:pPr>
        <w:spacing w:line="360" w:lineRule="auto"/>
        <w:outlineLvl w:val="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1-1营业执照等证明文件</w:t>
      </w:r>
    </w:p>
    <w:p>
      <w:pPr>
        <w:tabs>
          <w:tab w:val="left" w:pos="1080"/>
        </w:tabs>
        <w:snapToGrid w:val="0"/>
        <w:rPr>
          <w:rFonts w:eastAsiaTheme="minorEastAsia"/>
          <w:color w:val="000000" w:themeColor="text1"/>
          <w:sz w:val="24"/>
          <w14:textFill>
            <w14:solidFill>
              <w14:schemeClr w14:val="tx1"/>
            </w14:solidFill>
          </w14:textFill>
        </w:rPr>
      </w:pPr>
    </w:p>
    <w:p>
      <w:pPr>
        <w:widowControl/>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pStyle w:val="4"/>
        <w:rPr>
          <w:rFonts w:ascii="Times New Roman" w:eastAsiaTheme="minorEastAsia"/>
          <w:b w:val="0"/>
          <w:bCs/>
          <w:color w:val="000000" w:themeColor="text1"/>
          <w:sz w:val="21"/>
          <w:szCs w:val="21"/>
          <w:u w:val="none"/>
          <w14:textFill>
            <w14:solidFill>
              <w14:schemeClr w14:val="tx1"/>
            </w14:solidFill>
          </w14:textFill>
        </w:rPr>
      </w:pPr>
      <w:r>
        <w:rPr>
          <w:rFonts w:ascii="Times New Roman" w:eastAsiaTheme="minorEastAsia"/>
          <w:b w:val="0"/>
          <w:color w:val="000000" w:themeColor="text1"/>
          <w:sz w:val="21"/>
          <w:szCs w:val="21"/>
          <w:u w:val="none"/>
          <w14:textFill>
            <w14:solidFill>
              <w14:schemeClr w14:val="tx1"/>
            </w14:solidFill>
          </w14:textFill>
        </w:rPr>
        <w:t>1-2 供应商资格声明书（实质性格式）</w:t>
      </w:r>
    </w:p>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供应商资格声明书</w:t>
      </w:r>
    </w:p>
    <w:p>
      <w:pPr>
        <w:tabs>
          <w:tab w:val="left" w:pos="5580"/>
        </w:tabs>
        <w:spacing w:line="360" w:lineRule="auto"/>
        <w:rPr>
          <w:rFonts w:eastAsiaTheme="minorEastAsia"/>
          <w:color w:val="000000" w:themeColor="text1"/>
          <w:sz w:val="21"/>
          <w:szCs w:val="21"/>
          <w14:textFill>
            <w14:solidFill>
              <w14:schemeClr w14:val="tx1"/>
            </w14:solidFill>
          </w14:textFill>
        </w:rPr>
      </w:pPr>
    </w:p>
    <w:p>
      <w:pPr>
        <w:tabs>
          <w:tab w:val="left" w:pos="5580"/>
        </w:tabs>
        <w:spacing w:line="36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致：</w:t>
      </w:r>
      <w:r>
        <w:rPr>
          <w:rFonts w:eastAsiaTheme="minorEastAsia"/>
          <w:color w:val="000000" w:themeColor="text1"/>
          <w:sz w:val="21"/>
          <w:szCs w:val="21"/>
          <w:u w:val="single"/>
          <w14:textFill>
            <w14:solidFill>
              <w14:schemeClr w14:val="tx1"/>
            </w14:solidFill>
          </w14:textFill>
        </w:rPr>
        <w:t>采购人或采购代理机构</w:t>
      </w:r>
    </w:p>
    <w:p>
      <w:pPr>
        <w:spacing w:line="360" w:lineRule="auto"/>
        <w:ind w:firstLine="420" w:firstLineChars="20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在参与本次项目磋商中，我单位承诺：</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具有良好的商业信誉和健全的财务会计制度；</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具有履行合同所必需的设备和专业技术能力；</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有依法缴纳税收和社会保障资金的良好记录；</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序号</w:t>
            </w:r>
          </w:p>
        </w:tc>
        <w:tc>
          <w:tcPr>
            <w:tcW w:w="4574"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单位名称</w:t>
            </w:r>
          </w:p>
        </w:tc>
        <w:tc>
          <w:tcPr>
            <w:tcW w:w="2976"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w:t>
            </w:r>
          </w:p>
        </w:tc>
        <w:tc>
          <w:tcPr>
            <w:tcW w:w="4574" w:type="dxa"/>
            <w:vAlign w:val="center"/>
          </w:tcPr>
          <w:p>
            <w:pPr>
              <w:jc w:val="center"/>
              <w:rPr>
                <w:rFonts w:eastAsiaTheme="minorEastAsia"/>
                <w:color w:val="000000" w:themeColor="text1"/>
                <w:sz w:val="21"/>
                <w:szCs w:val="21"/>
                <w14:textFill>
                  <w14:solidFill>
                    <w14:schemeClr w14:val="tx1"/>
                  </w14:solidFill>
                </w14:textFill>
              </w:rPr>
            </w:pPr>
          </w:p>
        </w:tc>
        <w:tc>
          <w:tcPr>
            <w:tcW w:w="2976" w:type="dxa"/>
            <w:vAlign w:val="center"/>
          </w:tcPr>
          <w:p>
            <w:pPr>
              <w:jc w:val="center"/>
              <w:rPr>
                <w:rFonts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w:t>
            </w:r>
          </w:p>
        </w:tc>
        <w:tc>
          <w:tcPr>
            <w:tcW w:w="4574" w:type="dxa"/>
            <w:vAlign w:val="center"/>
          </w:tcPr>
          <w:p>
            <w:pPr>
              <w:jc w:val="center"/>
              <w:rPr>
                <w:rFonts w:eastAsiaTheme="minorEastAsia"/>
                <w:color w:val="000000" w:themeColor="text1"/>
                <w:sz w:val="21"/>
                <w:szCs w:val="21"/>
                <w14:textFill>
                  <w14:solidFill>
                    <w14:schemeClr w14:val="tx1"/>
                  </w14:solidFill>
                </w14:textFill>
              </w:rPr>
            </w:pPr>
          </w:p>
        </w:tc>
        <w:tc>
          <w:tcPr>
            <w:tcW w:w="2976" w:type="dxa"/>
            <w:vAlign w:val="center"/>
          </w:tcPr>
          <w:p>
            <w:pPr>
              <w:jc w:val="center"/>
              <w:rPr>
                <w:rFonts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w:t>
            </w:r>
          </w:p>
        </w:tc>
        <w:tc>
          <w:tcPr>
            <w:tcW w:w="4574" w:type="dxa"/>
            <w:vAlign w:val="center"/>
          </w:tcPr>
          <w:p>
            <w:pPr>
              <w:jc w:val="center"/>
              <w:rPr>
                <w:rFonts w:eastAsiaTheme="minorEastAsia"/>
                <w:color w:val="000000" w:themeColor="text1"/>
                <w:sz w:val="21"/>
                <w:szCs w:val="21"/>
                <w14:textFill>
                  <w14:solidFill>
                    <w14:schemeClr w14:val="tx1"/>
                  </w14:solidFill>
                </w14:textFill>
              </w:rPr>
            </w:pPr>
          </w:p>
        </w:tc>
        <w:tc>
          <w:tcPr>
            <w:tcW w:w="2976" w:type="dxa"/>
            <w:vAlign w:val="center"/>
          </w:tcPr>
          <w:p>
            <w:pPr>
              <w:jc w:val="center"/>
              <w:rPr>
                <w:rFonts w:eastAsiaTheme="minorEastAsia"/>
                <w:color w:val="000000" w:themeColor="text1"/>
                <w:sz w:val="21"/>
                <w:szCs w:val="21"/>
                <w14:textFill>
                  <w14:solidFill>
                    <w14:schemeClr w14:val="tx1"/>
                  </w14:solidFill>
                </w14:textFill>
              </w:rPr>
            </w:pPr>
          </w:p>
        </w:tc>
      </w:tr>
    </w:tbl>
    <w:p>
      <w:pPr>
        <w:rPr>
          <w:rFonts w:eastAsiaTheme="minorEastAsia"/>
          <w:color w:val="000000" w:themeColor="text1"/>
          <w:sz w:val="21"/>
          <w:szCs w:val="21"/>
          <w14:textFill>
            <w14:solidFill>
              <w14:schemeClr w14:val="tx1"/>
            </w14:solidFill>
          </w14:textFill>
        </w:rPr>
      </w:pPr>
    </w:p>
    <w:p>
      <w:pPr>
        <w:ind w:firstLine="420" w:firstLineChars="20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上述声明真实有效，否则我方负全部责任。</w:t>
      </w:r>
    </w:p>
    <w:p>
      <w:pPr>
        <w:spacing w:line="360" w:lineRule="auto"/>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360" w:lineRule="auto"/>
        <w:ind w:right="360"/>
        <w:jc w:val="right"/>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w:t>
      </w:r>
    </w:p>
    <w:p>
      <w:pPr>
        <w:spacing w:line="360" w:lineRule="auto"/>
        <w:ind w:right="360"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日期：____年____月____日   </w:t>
      </w:r>
    </w:p>
    <w:p>
      <w:pPr>
        <w:spacing w:line="360" w:lineRule="auto"/>
        <w:rPr>
          <w:rFonts w:eastAsiaTheme="minorEastAsia"/>
          <w:color w:val="000000" w:themeColor="text1"/>
          <w:sz w:val="24"/>
          <w14:textFill>
            <w14:solidFill>
              <w14:schemeClr w14:val="tx1"/>
            </w14:solidFill>
          </w14:textFill>
        </w:rPr>
      </w:pPr>
      <w:r>
        <w:rPr>
          <w:rFonts w:hint="eastAsia"/>
          <w:color w:val="000000" w:themeColor="text1"/>
          <w:sz w:val="21"/>
          <w:szCs w:val="21"/>
          <w14:textFill>
            <w14:solidFill>
              <w14:schemeClr w14:val="tx1"/>
            </w14:solidFill>
          </w14:textFill>
        </w:rPr>
        <w:t>说明：供应商承诺不实的，依据《政府采购法》第七十七条“提供虚假材料谋取中标、成交的”有关规定予以处理。</w:t>
      </w:r>
    </w:p>
    <w:p>
      <w:pPr>
        <w:tabs>
          <w:tab w:val="left" w:pos="5580"/>
        </w:tabs>
        <w:spacing w:line="360" w:lineRule="auto"/>
        <w:rPr>
          <w:rFonts w:eastAsiaTheme="minorEastAsia"/>
          <w:color w:val="000000" w:themeColor="text1"/>
          <w:sz w:val="24"/>
          <w14:textFill>
            <w14:solidFill>
              <w14:schemeClr w14:val="tx1"/>
            </w14:solidFill>
          </w14:textFill>
        </w:rPr>
        <w:sectPr>
          <w:headerReference r:id="rId12" w:type="first"/>
          <w:footerReference r:id="rId15" w:type="first"/>
          <w:headerReference r:id="rId10" w:type="default"/>
          <w:footerReference r:id="rId13" w:type="default"/>
          <w:headerReference r:id="rId11" w:type="even"/>
          <w:footerReference r:id="rId14" w:type="even"/>
          <w:pgSz w:w="11907" w:h="16840"/>
          <w:pgMar w:top="1418" w:right="1134" w:bottom="1418" w:left="1701" w:header="851" w:footer="851" w:gutter="0"/>
          <w:cols w:space="720" w:num="1"/>
          <w:docGrid w:linePitch="462" w:charSpace="0"/>
        </w:sectPr>
      </w:pPr>
    </w:p>
    <w:p>
      <w:pPr>
        <w:tabs>
          <w:tab w:val="left" w:pos="360"/>
        </w:tabs>
        <w:snapToGrid w:val="0"/>
        <w:spacing w:line="48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 落实政府采购政策需满足的资格要求（如有）</w:t>
      </w:r>
    </w:p>
    <w:p>
      <w:pPr>
        <w:spacing w:line="480" w:lineRule="auto"/>
        <w:outlineLvl w:val="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2-1中小企业声明函</w:t>
      </w:r>
    </w:p>
    <w:p>
      <w:pPr>
        <w:tabs>
          <w:tab w:val="left" w:pos="5580"/>
        </w:tabs>
        <w:spacing w:line="480" w:lineRule="auto"/>
        <w:rPr>
          <w:rFonts w:eastAsiaTheme="minorEastAsia"/>
          <w:color w:val="000000" w:themeColor="text1"/>
          <w:sz w:val="21"/>
          <w:szCs w:val="21"/>
          <w14:textFill>
            <w14:solidFill>
              <w14:schemeClr w14:val="tx1"/>
            </w14:solidFill>
          </w14:textFill>
        </w:rPr>
      </w:pP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说明：</w:t>
      </w:r>
    </w:p>
    <w:p>
      <w:pPr>
        <w:tabs>
          <w:tab w:val="left" w:pos="5580"/>
        </w:tabs>
        <w:spacing w:line="48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（1）如本项目（包）不专门面向中小企业预留采购份额，</w:t>
      </w:r>
      <w:r>
        <w:rPr>
          <w:rFonts w:hint="eastAsia"/>
          <w:color w:val="000000" w:themeColor="text1"/>
          <w:sz w:val="21"/>
          <w:szCs w:val="21"/>
          <w14:textFill>
            <w14:solidFill>
              <w14:schemeClr w14:val="tx1"/>
            </w14:solidFill>
          </w14:textFill>
        </w:rPr>
        <w:t>供应商非必须</w:t>
      </w:r>
      <w:r>
        <w:rPr>
          <w:color w:val="000000" w:themeColor="text1"/>
          <w:sz w:val="21"/>
          <w:szCs w:val="21"/>
          <w14:textFill>
            <w14:solidFill>
              <w14:schemeClr w14:val="tx1"/>
            </w14:solidFill>
          </w14:textFill>
        </w:rPr>
        <w:t>提供</w:t>
      </w:r>
      <w:r>
        <w:rPr>
          <w:rFonts w:hint="eastAsia"/>
          <w:color w:val="000000" w:themeColor="text1"/>
          <w:sz w:val="21"/>
          <w:szCs w:val="21"/>
          <w14:textFill>
            <w14:solidFill>
              <w14:schemeClr w14:val="tx1"/>
            </w14:solidFill>
          </w14:textFill>
        </w:rPr>
        <w:t>；当小微企业拟享受中小企业扶持政策时，仍应提供</w:t>
      </w:r>
      <w:r>
        <w:rPr>
          <w:color w:val="000000" w:themeColor="text1"/>
          <w:sz w:val="21"/>
          <w:szCs w:val="21"/>
          <w14:textFill>
            <w14:solidFill>
              <w14:schemeClr w14:val="tx1"/>
            </w14:solidFill>
          </w14:textFill>
        </w:rPr>
        <w:t>《中小企业声明函》</w:t>
      </w:r>
      <w:r>
        <w:rPr>
          <w:rFonts w:hint="eastAsia"/>
          <w:color w:val="000000" w:themeColor="text1"/>
          <w:sz w:val="21"/>
          <w:szCs w:val="21"/>
          <w14:textFill>
            <w14:solidFill>
              <w14:schemeClr w14:val="tx1"/>
            </w14:solidFill>
          </w14:textFill>
        </w:rPr>
        <w:t>，</w:t>
      </w:r>
      <w:r>
        <w:rPr>
          <w:rFonts w:eastAsiaTheme="minorEastAsia"/>
          <w:color w:val="000000" w:themeColor="text1"/>
          <w:sz w:val="21"/>
          <w:szCs w:val="21"/>
          <w14:textFill>
            <w14:solidFill>
              <w14:schemeClr w14:val="tx1"/>
            </w14:solidFill>
          </w14:textFill>
        </w:rPr>
        <w:t>否则不得享受相关中小企业扶持政策</w:t>
      </w:r>
      <w:r>
        <w:rPr>
          <w:color w:val="000000" w:themeColor="text1"/>
          <w:sz w:val="21"/>
          <w:szCs w:val="21"/>
          <w14:textFill>
            <w14:solidFill>
              <w14:schemeClr w14:val="tx1"/>
            </w14:solidFill>
          </w14:textFill>
        </w:rPr>
        <w:t>。</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（2）如本项目（包）专门面向中小/小微企业采购，须提供《中小企业声明函》（实质性格式）。</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（4）其他</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1）中小企业参加政府采购活动，应当出具此格式文件。《中小企业声明函》由参加政府采购活动的供应商出具。联合体响应的，《中小企业声明函》由牵头人出具。</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3）对于多标的的采购项目，供应商应充分、准确地了解所投产品制造企业信息。对相关情况了解不清楚的，不建议填报本声明函。</w:t>
      </w:r>
    </w:p>
    <w:p>
      <w:pPr>
        <w:tabs>
          <w:tab w:val="left" w:pos="5580"/>
        </w:tabs>
        <w:spacing w:line="480" w:lineRule="auto"/>
        <w:rPr>
          <w:rFonts w:eastAsiaTheme="minorEastAsia"/>
          <w:color w:val="000000" w:themeColor="text1"/>
          <w:sz w:val="24"/>
          <w14:textFill>
            <w14:solidFill>
              <w14:schemeClr w14:val="tx1"/>
            </w14:solidFill>
          </w14:textFill>
        </w:rPr>
      </w:pPr>
      <w:r>
        <w:rPr>
          <w:rFonts w:eastAsiaTheme="minorEastAsia"/>
          <w:color w:val="000000" w:themeColor="text1"/>
          <w:sz w:val="21"/>
          <w:szCs w:val="21"/>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eastAsiaTheme="minorEastAsia"/>
          <w:color w:val="000000" w:themeColor="text1"/>
          <w:sz w:val="24"/>
          <w14:textFill>
            <w14:solidFill>
              <w14:schemeClr w14:val="tx1"/>
            </w14:solidFill>
          </w14:textFill>
        </w:rPr>
        <w:t>。</w:t>
      </w:r>
    </w:p>
    <w:p>
      <w:pPr>
        <w:tabs>
          <w:tab w:val="left" w:pos="5580"/>
        </w:tabs>
        <w:spacing w:line="360" w:lineRule="auto"/>
        <w:rPr>
          <w:rFonts w:eastAsiaTheme="minorEastAsia"/>
          <w:color w:val="000000" w:themeColor="text1"/>
          <w:sz w:val="24"/>
          <w14:textFill>
            <w14:solidFill>
              <w14:schemeClr w14:val="tx1"/>
            </w14:solidFill>
          </w14:textFill>
        </w:rPr>
      </w:pPr>
    </w:p>
    <w:p>
      <w:pPr>
        <w:widowControl/>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spacing w:before="240" w:beforeLines="100" w:after="240" w:afterLines="100" w:line="360" w:lineRule="auto"/>
        <w:jc w:val="center"/>
        <w:rPr>
          <w:rFonts w:eastAsiaTheme="minorEastAsia"/>
          <w:b/>
          <w:color w:val="000000" w:themeColor="text1"/>
          <w:sz w:val="36"/>
          <w:szCs w:val="36"/>
          <w14:textFill>
            <w14:solidFill>
              <w14:schemeClr w14:val="tx1"/>
            </w14:solidFill>
          </w14:textFill>
        </w:rPr>
      </w:pPr>
      <w:r>
        <w:rPr>
          <w:rFonts w:eastAsiaTheme="minorEastAsia"/>
          <w:b/>
          <w:bCs/>
          <w:color w:val="000000" w:themeColor="text1"/>
          <w:sz w:val="36"/>
          <w:szCs w:val="36"/>
          <w14:textFill>
            <w14:solidFill>
              <w14:schemeClr w14:val="tx1"/>
            </w14:solidFill>
          </w14:textFill>
        </w:rPr>
        <w:t>中小企业声明函（货物）格式</w:t>
      </w:r>
      <w:r>
        <w:rPr>
          <w:rFonts w:hint="eastAsia" w:eastAsiaTheme="minorEastAsia"/>
          <w:b/>
          <w:bCs/>
          <w:color w:val="000000" w:themeColor="text1"/>
          <w:sz w:val="36"/>
          <w:szCs w:val="36"/>
          <w14:textFill>
            <w14:solidFill>
              <w14:schemeClr w14:val="tx1"/>
            </w14:solidFill>
          </w14:textFill>
        </w:rPr>
        <w:t>（本项目不适用）</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1.</w:t>
      </w:r>
      <w:r>
        <w:rPr>
          <w:rFonts w:eastAsiaTheme="minorEastAsia"/>
          <w:color w:val="000000" w:themeColor="text1"/>
          <w:spacing w:val="6"/>
          <w:sz w:val="21"/>
          <w:szCs w:val="21"/>
          <w:u w:val="single"/>
          <w14:textFill>
            <w14:solidFill>
              <w14:schemeClr w14:val="tx1"/>
            </w14:solidFill>
          </w14:textFill>
        </w:rPr>
        <w:t xml:space="preserve"> （标的名称） </w:t>
      </w:r>
      <w:r>
        <w:rPr>
          <w:rFonts w:eastAsiaTheme="minorEastAsia"/>
          <w:color w:val="000000" w:themeColor="text1"/>
          <w:spacing w:val="6"/>
          <w:sz w:val="21"/>
          <w:szCs w:val="21"/>
          <w14:textFill>
            <w14:solidFill>
              <w14:schemeClr w14:val="tx1"/>
            </w14:solidFill>
          </w14:textFill>
        </w:rPr>
        <w:t>，属于</w:t>
      </w:r>
      <w:r>
        <w:rPr>
          <w:rFonts w:eastAsiaTheme="minorEastAsia"/>
          <w:color w:val="000000" w:themeColor="text1"/>
          <w:spacing w:val="6"/>
          <w:sz w:val="21"/>
          <w:szCs w:val="21"/>
          <w:u w:val="single"/>
          <w14:textFill>
            <w14:solidFill>
              <w14:schemeClr w14:val="tx1"/>
            </w14:solidFill>
          </w14:textFill>
        </w:rPr>
        <w:t>（竞争性磋商文件中明确的所属行业）</w:t>
      </w:r>
      <w:r>
        <w:rPr>
          <w:rFonts w:eastAsiaTheme="minorEastAsia"/>
          <w:color w:val="000000" w:themeColor="text1"/>
          <w:spacing w:val="6"/>
          <w:sz w:val="21"/>
          <w:szCs w:val="21"/>
          <w14:textFill>
            <w14:solidFill>
              <w14:schemeClr w14:val="tx1"/>
            </w14:solidFill>
          </w14:textFill>
        </w:rPr>
        <w:t>行业；制造商为</w:t>
      </w:r>
      <w:r>
        <w:rPr>
          <w:rFonts w:eastAsiaTheme="minorEastAsia"/>
          <w:color w:val="000000" w:themeColor="text1"/>
          <w:spacing w:val="6"/>
          <w:sz w:val="21"/>
          <w:szCs w:val="21"/>
          <w:u w:val="single"/>
          <w14:textFill>
            <w14:solidFill>
              <w14:schemeClr w14:val="tx1"/>
            </w14:solidFill>
          </w14:textFill>
        </w:rPr>
        <w:t>（企业名称）</w:t>
      </w:r>
      <w:r>
        <w:rPr>
          <w:rFonts w:eastAsiaTheme="minorEastAsia"/>
          <w:color w:val="000000" w:themeColor="text1"/>
          <w:spacing w:val="6"/>
          <w:sz w:val="21"/>
          <w:szCs w:val="21"/>
          <w14:textFill>
            <w14:solidFill>
              <w14:schemeClr w14:val="tx1"/>
            </w14:solidFill>
          </w14:textFill>
        </w:rPr>
        <w:t>，从业人员______人，营业收入为______万元，资产总额为______万元</w:t>
      </w:r>
      <w:r>
        <w:rPr>
          <w:rFonts w:eastAsiaTheme="minorEastAsia"/>
          <w:color w:val="000000" w:themeColor="text1"/>
          <w:spacing w:val="6"/>
          <w:sz w:val="21"/>
          <w:szCs w:val="21"/>
          <w:vertAlign w:val="superscript"/>
          <w14:textFill>
            <w14:solidFill>
              <w14:schemeClr w14:val="tx1"/>
            </w14:solidFill>
          </w14:textFill>
        </w:rPr>
        <w:t>1</w:t>
      </w:r>
      <w:r>
        <w:rPr>
          <w:rFonts w:eastAsiaTheme="minorEastAsia"/>
          <w:color w:val="000000" w:themeColor="text1"/>
          <w:spacing w:val="6"/>
          <w:sz w:val="21"/>
          <w:szCs w:val="21"/>
          <w14:textFill>
            <w14:solidFill>
              <w14:schemeClr w14:val="tx1"/>
            </w14:solidFill>
          </w14:textFill>
        </w:rPr>
        <w:t>，属于（中型企业、小型企业、微型企业）；</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 xml:space="preserve">2. </w:t>
      </w:r>
      <w:r>
        <w:rPr>
          <w:rFonts w:eastAsiaTheme="minorEastAsia"/>
          <w:color w:val="000000" w:themeColor="text1"/>
          <w:spacing w:val="6"/>
          <w:sz w:val="21"/>
          <w:szCs w:val="21"/>
          <w:u w:val="single"/>
          <w14:textFill>
            <w14:solidFill>
              <w14:schemeClr w14:val="tx1"/>
            </w14:solidFill>
          </w14:textFill>
        </w:rPr>
        <w:t xml:space="preserve">（标的名称） </w:t>
      </w:r>
      <w:r>
        <w:rPr>
          <w:rFonts w:eastAsiaTheme="minorEastAsia"/>
          <w:color w:val="000000" w:themeColor="text1"/>
          <w:spacing w:val="6"/>
          <w:sz w:val="21"/>
          <w:szCs w:val="21"/>
          <w14:textFill>
            <w14:solidFill>
              <w14:schemeClr w14:val="tx1"/>
            </w14:solidFill>
          </w14:textFill>
        </w:rPr>
        <w:t>，属于</w:t>
      </w:r>
      <w:r>
        <w:rPr>
          <w:rFonts w:eastAsiaTheme="minorEastAsia"/>
          <w:color w:val="000000" w:themeColor="text1"/>
          <w:spacing w:val="6"/>
          <w:sz w:val="21"/>
          <w:szCs w:val="21"/>
          <w:u w:val="single"/>
          <w14:textFill>
            <w14:solidFill>
              <w14:schemeClr w14:val="tx1"/>
            </w14:solidFill>
          </w14:textFill>
        </w:rPr>
        <w:t>（竞争性磋商文件中明确的所属行业）</w:t>
      </w:r>
      <w:r>
        <w:rPr>
          <w:rFonts w:eastAsiaTheme="minorEastAsia"/>
          <w:color w:val="000000" w:themeColor="text1"/>
          <w:spacing w:val="6"/>
          <w:sz w:val="21"/>
          <w:szCs w:val="21"/>
          <w14:textFill>
            <w14:solidFill>
              <w14:schemeClr w14:val="tx1"/>
            </w14:solidFill>
          </w14:textFill>
        </w:rPr>
        <w:t>行业；制造商为</w:t>
      </w:r>
      <w:r>
        <w:rPr>
          <w:rFonts w:eastAsiaTheme="minorEastAsia"/>
          <w:color w:val="000000" w:themeColor="text1"/>
          <w:spacing w:val="6"/>
          <w:sz w:val="21"/>
          <w:szCs w:val="21"/>
          <w:u w:val="single"/>
          <w14:textFill>
            <w14:solidFill>
              <w14:schemeClr w14:val="tx1"/>
            </w14:solidFill>
          </w14:textFill>
        </w:rPr>
        <w:t>（企业名称）</w:t>
      </w:r>
      <w:r>
        <w:rPr>
          <w:rFonts w:eastAsiaTheme="minorEastAsia"/>
          <w:color w:val="000000" w:themeColor="text1"/>
          <w:spacing w:val="6"/>
          <w:sz w:val="21"/>
          <w:szCs w:val="21"/>
          <w14:textFill>
            <w14:solidFill>
              <w14:schemeClr w14:val="tx1"/>
            </w14:solidFill>
          </w14:textFill>
        </w:rPr>
        <w:t>，从业人员______人，营业收入为______万元，资产总额为______万元，属于</w:t>
      </w:r>
      <w:r>
        <w:rPr>
          <w:rFonts w:eastAsiaTheme="minorEastAsia"/>
          <w:color w:val="000000" w:themeColor="text1"/>
          <w:spacing w:val="6"/>
          <w:sz w:val="21"/>
          <w:szCs w:val="21"/>
          <w:u w:val="single"/>
          <w14:textFill>
            <w14:solidFill>
              <w14:schemeClr w14:val="tx1"/>
            </w14:solidFill>
          </w14:textFill>
        </w:rPr>
        <w:t>（中型企业、小型企业、微型企业）</w:t>
      </w:r>
      <w:r>
        <w:rPr>
          <w:rFonts w:eastAsiaTheme="minorEastAsia"/>
          <w:color w:val="000000" w:themeColor="text1"/>
          <w:spacing w:val="6"/>
          <w:sz w:val="21"/>
          <w:szCs w:val="21"/>
          <w14:textFill>
            <w14:solidFill>
              <w14:schemeClr w14:val="tx1"/>
            </w14:solidFill>
          </w14:textFill>
        </w:rPr>
        <w:t>；</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以上企业，不属于大企业的分支机构，不存在控股股东为大企业的情形，也不存在与大企业的负责人为同一人的情形。</w:t>
      </w:r>
    </w:p>
    <w:p>
      <w:pPr>
        <w:spacing w:line="48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本企业对上述声明内容的真实性负责。如有虚假，将依法承担相应责任。</w:t>
      </w:r>
    </w:p>
    <w:p>
      <w:pPr>
        <w:spacing w:line="480" w:lineRule="auto"/>
        <w:ind w:firstLine="504"/>
        <w:rPr>
          <w:rFonts w:eastAsiaTheme="minorEastAsia"/>
          <w:color w:val="000000" w:themeColor="text1"/>
          <w:spacing w:val="6"/>
          <w:sz w:val="21"/>
          <w:szCs w:val="21"/>
          <w14:textFill>
            <w14:solidFill>
              <w14:schemeClr w14:val="tx1"/>
            </w14:solidFill>
          </w14:textFill>
        </w:rPr>
      </w:pPr>
    </w:p>
    <w:p>
      <w:pPr>
        <w:spacing w:line="480" w:lineRule="auto"/>
        <w:ind w:right="360"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企业名称（盖章）：______</w:t>
      </w:r>
    </w:p>
    <w:p>
      <w:pPr>
        <w:spacing w:line="480" w:lineRule="auto"/>
        <w:ind w:right="360"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日 期：______</w:t>
      </w:r>
    </w:p>
    <w:p>
      <w:pPr>
        <w:spacing w:line="480" w:lineRule="auto"/>
        <w:ind w:right="360" w:firstLine="480"/>
        <w:jc w:val="right"/>
        <w:rPr>
          <w:rFonts w:eastAsiaTheme="minorEastAsia"/>
          <w:color w:val="000000" w:themeColor="text1"/>
          <w:sz w:val="21"/>
          <w:szCs w:val="21"/>
          <w14:textFill>
            <w14:solidFill>
              <w14:schemeClr w14:val="tx1"/>
            </w14:solidFill>
          </w14:textFill>
        </w:rPr>
      </w:pPr>
    </w:p>
    <w:p>
      <w:pPr>
        <w:spacing w:line="480" w:lineRule="auto"/>
        <w:ind w:right="360" w:firstLine="480"/>
        <w:jc w:val="right"/>
        <w:rPr>
          <w:rFonts w:eastAsiaTheme="minorEastAsia"/>
          <w:color w:val="000000" w:themeColor="text1"/>
          <w:sz w:val="21"/>
          <w:szCs w:val="21"/>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spacing w:line="48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vertAlign w:val="superscript"/>
                <w14:textFill>
                  <w14:solidFill>
                    <w14:schemeClr w14:val="tx1"/>
                  </w14:solidFill>
                </w14:textFill>
              </w:rPr>
              <w:t>1</w:t>
            </w:r>
            <w:r>
              <w:rPr>
                <w:rFonts w:eastAsiaTheme="minorEastAsia"/>
                <w:color w:val="000000" w:themeColor="text1"/>
                <w:sz w:val="21"/>
                <w:szCs w:val="21"/>
                <w14:textFill>
                  <w14:solidFill>
                    <w14:schemeClr w14:val="tx1"/>
                  </w14:solidFill>
                </w14:textFill>
              </w:rPr>
              <w:t>从业人员、营业收入、资产总额填报上一年度数据，无上一年度数据的新成立企业可不填报。</w:t>
            </w:r>
          </w:p>
        </w:tc>
      </w:tr>
    </w:tbl>
    <w:p>
      <w:pPr>
        <w:autoSpaceDE w:val="0"/>
        <w:autoSpaceDN w:val="0"/>
        <w:adjustRightInd w:val="0"/>
        <w:ind w:firstLine="420"/>
        <w:jc w:val="left"/>
        <w:rPr>
          <w:rFonts w:eastAsiaTheme="minorEastAsia"/>
          <w:color w:val="000000" w:themeColor="text1"/>
          <w:sz w:val="24"/>
          <w14:textFill>
            <w14:solidFill>
              <w14:schemeClr w14:val="tx1"/>
            </w14:solidFill>
          </w14:textFill>
        </w:rPr>
      </w:pPr>
    </w:p>
    <w:p>
      <w:pPr>
        <w:spacing w:line="360" w:lineRule="auto"/>
        <w:rPr>
          <w:rFonts w:eastAsiaTheme="minorEastAsia"/>
          <w:color w:val="000000" w:themeColor="text1"/>
          <w:sz w:val="24"/>
          <w14:textFill>
            <w14:solidFill>
              <w14:schemeClr w14:val="tx1"/>
            </w14:solidFill>
          </w14:textFill>
        </w:rPr>
      </w:pPr>
    </w:p>
    <w:p>
      <w:pPr>
        <w:spacing w:before="240" w:beforeLines="100" w:after="240" w:afterLines="100" w:line="360" w:lineRule="auto"/>
        <w:jc w:val="center"/>
        <w:rPr>
          <w:rFonts w:eastAsiaTheme="minorEastAsia"/>
          <w:b/>
          <w:bCs/>
          <w:color w:val="000000" w:themeColor="text1"/>
          <w:sz w:val="36"/>
          <w:szCs w:val="36"/>
          <w14:textFill>
            <w14:solidFill>
              <w14:schemeClr w14:val="tx1"/>
            </w14:solidFill>
          </w14:textFill>
        </w:rPr>
      </w:pPr>
      <w:r>
        <w:rPr>
          <w:rFonts w:eastAsiaTheme="minorEastAsia"/>
          <w:color w:val="000000" w:themeColor="text1"/>
          <w:sz w:val="24"/>
          <w14:textFill>
            <w14:solidFill>
              <w14:schemeClr w14:val="tx1"/>
            </w14:solidFill>
          </w14:textFill>
        </w:rPr>
        <w:br w:type="page"/>
      </w:r>
      <w:r>
        <w:rPr>
          <w:rFonts w:eastAsiaTheme="minorEastAsia"/>
          <w:b/>
          <w:bCs/>
          <w:color w:val="000000" w:themeColor="text1"/>
          <w:sz w:val="36"/>
          <w:szCs w:val="36"/>
          <w14:textFill>
            <w14:solidFill>
              <w14:schemeClr w14:val="tx1"/>
            </w14:solidFill>
          </w14:textFill>
        </w:rPr>
        <w:t>中小企业声明函（工程、服务）格式</w:t>
      </w: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1.</w:t>
      </w:r>
      <w:r>
        <w:rPr>
          <w:rFonts w:eastAsiaTheme="minorEastAsia"/>
          <w:color w:val="000000" w:themeColor="text1"/>
          <w:spacing w:val="6"/>
          <w:sz w:val="21"/>
          <w:szCs w:val="21"/>
          <w:u w:val="single"/>
          <w14:textFill>
            <w14:solidFill>
              <w14:schemeClr w14:val="tx1"/>
            </w14:solidFill>
          </w14:textFill>
        </w:rPr>
        <w:t xml:space="preserve"> （标的名称） </w:t>
      </w:r>
      <w:r>
        <w:rPr>
          <w:rFonts w:eastAsiaTheme="minorEastAsia"/>
          <w:color w:val="000000" w:themeColor="text1"/>
          <w:spacing w:val="6"/>
          <w:sz w:val="21"/>
          <w:szCs w:val="21"/>
          <w14:textFill>
            <w14:solidFill>
              <w14:schemeClr w14:val="tx1"/>
            </w14:solidFill>
          </w14:textFill>
        </w:rPr>
        <w:t>，属于</w:t>
      </w:r>
      <w:r>
        <w:rPr>
          <w:rFonts w:eastAsiaTheme="minorEastAsia"/>
          <w:color w:val="000000" w:themeColor="text1"/>
          <w:spacing w:val="6"/>
          <w:sz w:val="21"/>
          <w:szCs w:val="21"/>
          <w:u w:val="single"/>
          <w14:textFill>
            <w14:solidFill>
              <w14:schemeClr w14:val="tx1"/>
            </w14:solidFill>
          </w14:textFill>
        </w:rPr>
        <w:t>（竞争性磋商文件中明确的所属行业）</w:t>
      </w:r>
      <w:r>
        <w:rPr>
          <w:rFonts w:eastAsiaTheme="minorEastAsia"/>
          <w:color w:val="000000" w:themeColor="text1"/>
          <w:spacing w:val="6"/>
          <w:sz w:val="21"/>
          <w:szCs w:val="21"/>
          <w14:textFill>
            <w14:solidFill>
              <w14:schemeClr w14:val="tx1"/>
            </w14:solidFill>
          </w14:textFill>
        </w:rPr>
        <w:t>行业；承建（承接）企业为</w:t>
      </w:r>
      <w:r>
        <w:rPr>
          <w:rFonts w:eastAsiaTheme="minorEastAsia"/>
          <w:color w:val="000000" w:themeColor="text1"/>
          <w:spacing w:val="6"/>
          <w:sz w:val="21"/>
          <w:szCs w:val="21"/>
          <w:u w:val="single"/>
          <w14:textFill>
            <w14:solidFill>
              <w14:schemeClr w14:val="tx1"/>
            </w14:solidFill>
          </w14:textFill>
        </w:rPr>
        <w:t>（企业名称）</w:t>
      </w:r>
      <w:r>
        <w:rPr>
          <w:rFonts w:eastAsiaTheme="minorEastAsia"/>
          <w:color w:val="000000" w:themeColor="text1"/>
          <w:spacing w:val="6"/>
          <w:sz w:val="21"/>
          <w:szCs w:val="21"/>
          <w14:textFill>
            <w14:solidFill>
              <w14:schemeClr w14:val="tx1"/>
            </w14:solidFill>
          </w14:textFill>
        </w:rPr>
        <w:t>，从业人员</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人，营业收入为</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万元，资产总额为</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万元</w:t>
      </w:r>
      <w:r>
        <w:rPr>
          <w:rFonts w:eastAsiaTheme="minorEastAsia"/>
          <w:color w:val="000000" w:themeColor="text1"/>
          <w:spacing w:val="6"/>
          <w:sz w:val="21"/>
          <w:szCs w:val="21"/>
          <w:vertAlign w:val="superscript"/>
          <w14:textFill>
            <w14:solidFill>
              <w14:schemeClr w14:val="tx1"/>
            </w14:solidFill>
          </w14:textFill>
        </w:rPr>
        <w:t>1</w:t>
      </w:r>
      <w:r>
        <w:rPr>
          <w:rFonts w:eastAsiaTheme="minorEastAsia"/>
          <w:color w:val="000000" w:themeColor="text1"/>
          <w:spacing w:val="6"/>
          <w:sz w:val="21"/>
          <w:szCs w:val="21"/>
          <w14:textFill>
            <w14:solidFill>
              <w14:schemeClr w14:val="tx1"/>
            </w14:solidFill>
          </w14:textFill>
        </w:rPr>
        <w:t>，属于（中型企业、小型企业、微型企业）；</w:t>
      </w: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 xml:space="preserve">2. </w:t>
      </w:r>
      <w:r>
        <w:rPr>
          <w:rFonts w:eastAsiaTheme="minorEastAsia"/>
          <w:color w:val="000000" w:themeColor="text1"/>
          <w:spacing w:val="6"/>
          <w:sz w:val="21"/>
          <w:szCs w:val="21"/>
          <w:u w:val="single"/>
          <w14:textFill>
            <w14:solidFill>
              <w14:schemeClr w14:val="tx1"/>
            </w14:solidFill>
          </w14:textFill>
        </w:rPr>
        <w:t xml:space="preserve">（标的名称） </w:t>
      </w:r>
      <w:r>
        <w:rPr>
          <w:rFonts w:eastAsiaTheme="minorEastAsia"/>
          <w:color w:val="000000" w:themeColor="text1"/>
          <w:spacing w:val="6"/>
          <w:sz w:val="21"/>
          <w:szCs w:val="21"/>
          <w14:textFill>
            <w14:solidFill>
              <w14:schemeClr w14:val="tx1"/>
            </w14:solidFill>
          </w14:textFill>
        </w:rPr>
        <w:t>，属于</w:t>
      </w:r>
      <w:r>
        <w:rPr>
          <w:rFonts w:eastAsiaTheme="minorEastAsia"/>
          <w:color w:val="000000" w:themeColor="text1"/>
          <w:spacing w:val="6"/>
          <w:sz w:val="21"/>
          <w:szCs w:val="21"/>
          <w:u w:val="single"/>
          <w14:textFill>
            <w14:solidFill>
              <w14:schemeClr w14:val="tx1"/>
            </w14:solidFill>
          </w14:textFill>
        </w:rPr>
        <w:t>（竞争性磋商文件中明确的所属行业）</w:t>
      </w:r>
      <w:r>
        <w:rPr>
          <w:rFonts w:eastAsiaTheme="minorEastAsia"/>
          <w:color w:val="000000" w:themeColor="text1"/>
          <w:spacing w:val="6"/>
          <w:sz w:val="21"/>
          <w:szCs w:val="21"/>
          <w14:textFill>
            <w14:solidFill>
              <w14:schemeClr w14:val="tx1"/>
            </w14:solidFill>
          </w14:textFill>
        </w:rPr>
        <w:t>行业；承建（承接）企业为</w:t>
      </w:r>
      <w:r>
        <w:rPr>
          <w:rFonts w:eastAsiaTheme="minorEastAsia"/>
          <w:color w:val="000000" w:themeColor="text1"/>
          <w:spacing w:val="6"/>
          <w:sz w:val="21"/>
          <w:szCs w:val="21"/>
          <w:u w:val="single"/>
          <w14:textFill>
            <w14:solidFill>
              <w14:schemeClr w14:val="tx1"/>
            </w14:solidFill>
          </w14:textFill>
        </w:rPr>
        <w:t>（企业名称）</w:t>
      </w:r>
      <w:r>
        <w:rPr>
          <w:rFonts w:eastAsiaTheme="minorEastAsia"/>
          <w:color w:val="000000" w:themeColor="text1"/>
          <w:spacing w:val="6"/>
          <w:sz w:val="21"/>
          <w:szCs w:val="21"/>
          <w14:textFill>
            <w14:solidFill>
              <w14:schemeClr w14:val="tx1"/>
            </w14:solidFill>
          </w14:textFill>
        </w:rPr>
        <w:t>，从业人员</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人，营业收入为</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万元，资产总额为</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万元，属于</w:t>
      </w:r>
      <w:r>
        <w:rPr>
          <w:rFonts w:eastAsiaTheme="minorEastAsia"/>
          <w:color w:val="000000" w:themeColor="text1"/>
          <w:spacing w:val="6"/>
          <w:sz w:val="21"/>
          <w:szCs w:val="21"/>
          <w:u w:val="single"/>
          <w14:textFill>
            <w14:solidFill>
              <w14:schemeClr w14:val="tx1"/>
            </w14:solidFill>
          </w14:textFill>
        </w:rPr>
        <w:t>（中型企业、小型企业、微型企业）</w:t>
      </w:r>
      <w:r>
        <w:rPr>
          <w:rFonts w:eastAsiaTheme="minorEastAsia"/>
          <w:color w:val="000000" w:themeColor="text1"/>
          <w:spacing w:val="6"/>
          <w:sz w:val="21"/>
          <w:szCs w:val="21"/>
          <w14:textFill>
            <w14:solidFill>
              <w14:schemeClr w14:val="tx1"/>
            </w14:solidFill>
          </w14:textFill>
        </w:rPr>
        <w:t>；</w:t>
      </w:r>
    </w:p>
    <w:p>
      <w:pPr>
        <w:spacing w:line="360" w:lineRule="auto"/>
        <w:ind w:firstLine="504"/>
        <w:rPr>
          <w:rFonts w:eastAsiaTheme="minorEastAsia"/>
          <w:color w:val="000000" w:themeColor="text1"/>
          <w:spacing w:val="6"/>
          <w:sz w:val="21"/>
          <w:szCs w:val="21"/>
          <w14:textFill>
            <w14:solidFill>
              <w14:schemeClr w14:val="tx1"/>
            </w14:solidFill>
          </w14:textFill>
        </w:rPr>
      </w:pP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w:t>
      </w: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本企业对上述声明内容的真实性负责。如有虚假，将依法承担相应责任。</w:t>
      </w:r>
    </w:p>
    <w:p>
      <w:pPr>
        <w:spacing w:line="360" w:lineRule="auto"/>
        <w:ind w:right="360" w:firstLine="480"/>
        <w:jc w:val="right"/>
        <w:rPr>
          <w:rFonts w:eastAsiaTheme="minorEastAsia"/>
          <w:color w:val="000000" w:themeColor="text1"/>
          <w:sz w:val="21"/>
          <w:szCs w:val="21"/>
          <w14:textFill>
            <w14:solidFill>
              <w14:schemeClr w14:val="tx1"/>
            </w14:solidFill>
          </w14:textFill>
        </w:rPr>
      </w:pPr>
    </w:p>
    <w:p>
      <w:pPr>
        <w:spacing w:line="360" w:lineRule="auto"/>
        <w:ind w:right="360"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企业名称（盖章）：______</w:t>
      </w:r>
    </w:p>
    <w:p>
      <w:pPr>
        <w:spacing w:line="360" w:lineRule="auto"/>
        <w:ind w:right="360"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日 期：______</w:t>
      </w:r>
    </w:p>
    <w:p>
      <w:pPr>
        <w:adjustRightInd w:val="0"/>
        <w:snapToGrid w:val="0"/>
        <w:jc w:val="left"/>
        <w:rPr>
          <w:rFonts w:eastAsiaTheme="minorEastAsia"/>
          <w:color w:val="000000" w:themeColor="text1"/>
          <w:sz w:val="21"/>
          <w:szCs w:val="21"/>
          <w14:textFill>
            <w14:solidFill>
              <w14:schemeClr w14:val="tx1"/>
            </w14:solidFill>
          </w14:textFill>
        </w:rPr>
      </w:pPr>
    </w:p>
    <w:p>
      <w:pPr>
        <w:adjustRightInd w:val="0"/>
        <w:snapToGrid w:val="0"/>
        <w:jc w:val="left"/>
        <w:rPr>
          <w:rFonts w:eastAsiaTheme="minorEastAsia"/>
          <w:color w:val="000000" w:themeColor="text1"/>
          <w:sz w:val="21"/>
          <w:szCs w:val="21"/>
          <w14:textFill>
            <w14:solidFill>
              <w14:schemeClr w14:val="tx1"/>
            </w14:solidFill>
          </w14:textFill>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vertAlign w:val="superscript"/>
                <w14:textFill>
                  <w14:solidFill>
                    <w14:schemeClr w14:val="tx1"/>
                  </w14:solidFill>
                </w14:textFill>
              </w:rPr>
              <w:t>1</w:t>
            </w:r>
            <w:r>
              <w:rPr>
                <w:rFonts w:eastAsiaTheme="minorEastAsia"/>
                <w:color w:val="000000" w:themeColor="text1"/>
                <w:sz w:val="21"/>
                <w:szCs w:val="21"/>
                <w14:textFill>
                  <w14:solidFill>
                    <w14:schemeClr w14:val="tx1"/>
                  </w14:solidFill>
                </w14:textFill>
              </w:rPr>
              <w:t>从业人员、营业收入、资产总额填报上一年度数据，无上一年度数据的新成立企业可不填报。</w:t>
            </w:r>
          </w:p>
        </w:tc>
      </w:tr>
    </w:tbl>
    <w:p>
      <w:pPr>
        <w:adjustRightInd w:val="0"/>
        <w:snapToGrid w:val="0"/>
        <w:jc w:val="left"/>
        <w:rPr>
          <w:rFonts w:eastAsiaTheme="minorEastAsia"/>
          <w:color w:val="000000" w:themeColor="text1"/>
          <w:szCs w:val="21"/>
          <w:vertAlign w:val="superscript"/>
          <w14:textFill>
            <w14:solidFill>
              <w14:schemeClr w14:val="tx1"/>
            </w14:solidFill>
          </w14:textFill>
        </w:rPr>
      </w:pPr>
    </w:p>
    <w:p>
      <w:pPr>
        <w:spacing w:line="360" w:lineRule="auto"/>
        <w:ind w:right="360" w:firstLine="480"/>
        <w:jc w:val="right"/>
        <w:rPr>
          <w:rFonts w:eastAsiaTheme="minorEastAsia"/>
          <w:color w:val="000000" w:themeColor="text1"/>
          <w:sz w:val="24"/>
          <w14:textFill>
            <w14:solidFill>
              <w14:schemeClr w14:val="tx1"/>
            </w14:solidFill>
          </w14:textFill>
        </w:rPr>
      </w:pPr>
    </w:p>
    <w:p>
      <w:pPr>
        <w:spacing w:line="360" w:lineRule="auto"/>
        <w:ind w:right="360" w:firstLine="480"/>
        <w:jc w:val="right"/>
        <w:rPr>
          <w:rFonts w:eastAsiaTheme="minorEastAsia"/>
          <w:color w:val="000000" w:themeColor="text1"/>
          <w:sz w:val="24"/>
          <w14:textFill>
            <w14:solidFill>
              <w14:schemeClr w14:val="tx1"/>
            </w14:solidFill>
          </w14:textFill>
        </w:rPr>
      </w:pPr>
    </w:p>
    <w:p>
      <w:pPr>
        <w:spacing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spacing w:before="240" w:beforeLines="100" w:after="240" w:afterLines="100" w:line="360" w:lineRule="auto"/>
        <w:jc w:val="center"/>
        <w:rPr>
          <w:rFonts w:eastAsiaTheme="minorEastAsia"/>
          <w:b/>
          <w:color w:val="000000" w:themeColor="text1"/>
          <w:sz w:val="36"/>
          <w:szCs w:val="36"/>
          <w14:textFill>
            <w14:solidFill>
              <w14:schemeClr w14:val="tx1"/>
            </w14:solidFill>
          </w14:textFill>
        </w:rPr>
      </w:pPr>
      <w:r>
        <w:rPr>
          <w:rFonts w:eastAsiaTheme="minorEastAsia"/>
          <w:b/>
          <w:bCs/>
          <w:color w:val="000000" w:themeColor="text1"/>
          <w:sz w:val="36"/>
          <w:szCs w:val="36"/>
          <w14:textFill>
            <w14:solidFill>
              <w14:schemeClr w14:val="tx1"/>
            </w14:solidFill>
          </w14:textFill>
        </w:rPr>
        <w:t>残疾人福利性单位声明函格式</w:t>
      </w:r>
      <w:r>
        <w:rPr>
          <w:rFonts w:eastAsiaTheme="minorEastAsia"/>
          <w:b/>
          <w:color w:val="000000" w:themeColor="text1"/>
          <w:sz w:val="36"/>
          <w:szCs w:val="36"/>
          <w14:textFill>
            <w14:solidFill>
              <w14:schemeClr w14:val="tx1"/>
            </w14:solidFill>
          </w14:textFill>
        </w:rPr>
        <w:t xml:space="preserve">       </w:t>
      </w:r>
    </w:p>
    <w:p>
      <w:pPr>
        <w:spacing w:line="588" w:lineRule="exact"/>
        <w:ind w:firstLine="504"/>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本单位郑重声明，根据《财政部 民政部 中国残疾人联合会关于促进残疾人就业政府采购政策的通知》（财库</w:t>
      </w:r>
      <w:r>
        <w:rPr>
          <w:rFonts w:eastAsiaTheme="minorEastAsia"/>
          <w:color w:val="000000" w:themeColor="text1"/>
          <w:sz w:val="21"/>
          <w:szCs w:val="21"/>
          <w14:textFill>
            <w14:solidFill>
              <w14:schemeClr w14:val="tx1"/>
            </w14:solidFill>
          </w14:textFill>
        </w:rPr>
        <w:t>〔2017〕 141</w:t>
      </w:r>
      <w:r>
        <w:rPr>
          <w:rFonts w:eastAsiaTheme="minorEastAsia"/>
          <w:color w:val="000000" w:themeColor="text1"/>
          <w:spacing w:val="6"/>
          <w:sz w:val="21"/>
          <w:szCs w:val="21"/>
          <w14:textFill>
            <w14:solidFill>
              <w14:schemeClr w14:val="tx1"/>
            </w14:solidFill>
          </w14:textFill>
        </w:rPr>
        <w:t>号）的规定，本单位</w:t>
      </w:r>
      <w:r>
        <w:rPr>
          <w:rFonts w:eastAsiaTheme="minorEastAsia"/>
          <w:b/>
          <w:color w:val="000000" w:themeColor="text1"/>
          <w:sz w:val="21"/>
          <w:szCs w:val="21"/>
          <w14:textFill>
            <w14:solidFill>
              <w14:schemeClr w14:val="tx1"/>
            </w14:solidFill>
          </w14:textFill>
        </w:rPr>
        <w:t>（请进行勾选）</w:t>
      </w:r>
      <w:r>
        <w:rPr>
          <w:rFonts w:eastAsiaTheme="minorEastAsia"/>
          <w:color w:val="000000" w:themeColor="text1"/>
          <w:spacing w:val="6"/>
          <w:sz w:val="21"/>
          <w:szCs w:val="21"/>
          <w14:textFill>
            <w14:solidFill>
              <w14:schemeClr w14:val="tx1"/>
            </w14:solidFill>
          </w14:textFill>
        </w:rPr>
        <w:t>：</w:t>
      </w:r>
    </w:p>
    <w:p>
      <w:pPr>
        <w:spacing w:line="588" w:lineRule="exact"/>
        <w:ind w:firstLine="482"/>
        <w:rPr>
          <w:rFonts w:eastAsiaTheme="minorEastAsia"/>
          <w:b/>
          <w:color w:val="000000" w:themeColor="text1"/>
          <w:spacing w:val="6"/>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w:t>
      </w:r>
      <w:r>
        <w:rPr>
          <w:rFonts w:eastAsiaTheme="minorEastAsia"/>
          <w:b/>
          <w:color w:val="000000" w:themeColor="text1"/>
          <w:spacing w:val="6"/>
          <w:sz w:val="21"/>
          <w:szCs w:val="21"/>
          <w14:textFill>
            <w14:solidFill>
              <w14:schemeClr w14:val="tx1"/>
            </w14:solidFill>
          </w14:textFill>
        </w:rPr>
        <w:t>不属于符合条件的残疾人福利性单位。</w:t>
      </w:r>
    </w:p>
    <w:p>
      <w:pPr>
        <w:spacing w:line="588" w:lineRule="exact"/>
        <w:ind w:firstLine="482"/>
        <w:rPr>
          <w:rFonts w:eastAsiaTheme="minorEastAsia"/>
          <w:color w:val="000000" w:themeColor="text1"/>
          <w:spacing w:val="6"/>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w:t>
      </w:r>
      <w:r>
        <w:rPr>
          <w:rFonts w:eastAsiaTheme="minorEastAsia"/>
          <w:b/>
          <w:color w:val="000000" w:themeColor="text1"/>
          <w:spacing w:val="6"/>
          <w:sz w:val="21"/>
          <w:szCs w:val="21"/>
          <w14:textFill>
            <w14:solidFill>
              <w14:schemeClr w14:val="tx1"/>
            </w14:solidFill>
          </w14:textFill>
        </w:rPr>
        <w:t>属于符合条件的残疾人福利性单位，</w:t>
      </w:r>
      <w:r>
        <w:rPr>
          <w:rFonts w:eastAsiaTheme="minorEastAsia"/>
          <w:color w:val="000000" w:themeColor="text1"/>
          <w:spacing w:val="6"/>
          <w:sz w:val="21"/>
          <w:szCs w:val="21"/>
          <w14:textFill>
            <w14:solidFill>
              <w14:schemeClr w14:val="tx1"/>
            </w14:solidFill>
          </w14:textFill>
        </w:rPr>
        <w:t>且本单位参加</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单位的</w:t>
      </w:r>
      <w:r>
        <w:rPr>
          <w:rFonts w:eastAsiaTheme="minorEastAsia"/>
          <w:color w:val="000000" w:themeColor="text1"/>
          <w:sz w:val="21"/>
          <w:szCs w:val="21"/>
          <w14:textFill>
            <w14:solidFill>
              <w14:schemeClr w14:val="tx1"/>
            </w14:solidFill>
          </w14:textFill>
        </w:rPr>
        <w:t>______</w:t>
      </w:r>
      <w:r>
        <w:rPr>
          <w:rFonts w:eastAsiaTheme="minorEastAsia"/>
          <w:color w:val="000000" w:themeColor="text1"/>
          <w:spacing w:val="6"/>
          <w:sz w:val="21"/>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pPr>
        <w:spacing w:line="588" w:lineRule="exact"/>
        <w:ind w:firstLine="446" w:firstLineChars="200"/>
        <w:rPr>
          <w:rFonts w:eastAsiaTheme="minorEastAsia"/>
          <w:color w:val="000000" w:themeColor="text1"/>
          <w:spacing w:val="6"/>
          <w:sz w:val="21"/>
          <w:szCs w:val="21"/>
          <w14:textFill>
            <w14:solidFill>
              <w14:schemeClr w14:val="tx1"/>
            </w14:solidFill>
          </w14:textFill>
        </w:rPr>
      </w:pPr>
      <w:r>
        <w:rPr>
          <w:rFonts w:eastAsiaTheme="minorEastAsia"/>
          <w:b/>
          <w:color w:val="000000" w:themeColor="text1"/>
          <w:spacing w:val="6"/>
          <w:sz w:val="21"/>
          <w:szCs w:val="21"/>
          <w14:textFill>
            <w14:solidFill>
              <w14:schemeClr w14:val="tx1"/>
            </w14:solidFill>
          </w14:textFill>
        </w:rPr>
        <w:t>本单位对上述声明的真实性负责。如有虚假，将依法承担相应责任。</w:t>
      </w:r>
    </w:p>
    <w:p>
      <w:pPr>
        <w:spacing w:line="588" w:lineRule="exact"/>
        <w:ind w:firstLine="444" w:firstLineChars="200"/>
        <w:rPr>
          <w:rFonts w:eastAsiaTheme="minorEastAsia"/>
          <w:color w:val="000000" w:themeColor="text1"/>
          <w:spacing w:val="6"/>
          <w:sz w:val="21"/>
          <w:szCs w:val="21"/>
          <w14:textFill>
            <w14:solidFill>
              <w14:schemeClr w14:val="tx1"/>
            </w14:solidFill>
          </w14:textFill>
        </w:rPr>
      </w:pPr>
    </w:p>
    <w:p>
      <w:pPr>
        <w:spacing w:line="588" w:lineRule="exact"/>
        <w:ind w:firstLine="444" w:firstLineChars="200"/>
        <w:rPr>
          <w:rFonts w:eastAsiaTheme="minorEastAsia"/>
          <w:color w:val="000000" w:themeColor="text1"/>
          <w:spacing w:val="6"/>
          <w:sz w:val="21"/>
          <w:szCs w:val="21"/>
          <w14:textFill>
            <w14:solidFill>
              <w14:schemeClr w14:val="tx1"/>
            </w14:solidFill>
          </w14:textFill>
        </w:rPr>
      </w:pPr>
    </w:p>
    <w:p>
      <w:pPr>
        <w:tabs>
          <w:tab w:val="left" w:pos="4860"/>
        </w:tabs>
        <w:spacing w:line="588" w:lineRule="exact"/>
        <w:ind w:right="1560" w:firstLine="444" w:firstLineChars="200"/>
        <w:jc w:val="right"/>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 xml:space="preserve">          单位名称（盖章）：</w:t>
      </w:r>
      <w:r>
        <w:rPr>
          <w:rFonts w:eastAsiaTheme="minorEastAsia"/>
          <w:color w:val="000000" w:themeColor="text1"/>
          <w:sz w:val="21"/>
          <w:szCs w:val="21"/>
          <w14:textFill>
            <w14:solidFill>
              <w14:schemeClr w14:val="tx1"/>
            </w14:solidFill>
          </w14:textFill>
        </w:rPr>
        <w:t>______</w:t>
      </w:r>
    </w:p>
    <w:p>
      <w:pPr>
        <w:tabs>
          <w:tab w:val="left" w:pos="4860"/>
        </w:tabs>
        <w:spacing w:line="588" w:lineRule="exact"/>
        <w:ind w:right="1560" w:firstLine="444" w:firstLineChars="200"/>
        <w:jc w:val="right"/>
        <w:rPr>
          <w:rFonts w:eastAsiaTheme="minorEastAsia"/>
          <w:color w:val="000000" w:themeColor="text1"/>
          <w:spacing w:val="6"/>
          <w:sz w:val="21"/>
          <w:szCs w:val="21"/>
          <w14:textFill>
            <w14:solidFill>
              <w14:schemeClr w14:val="tx1"/>
            </w14:solidFill>
          </w14:textFill>
        </w:rPr>
      </w:pPr>
      <w:r>
        <w:rPr>
          <w:rFonts w:eastAsiaTheme="minorEastAsia"/>
          <w:color w:val="000000" w:themeColor="text1"/>
          <w:spacing w:val="6"/>
          <w:sz w:val="21"/>
          <w:szCs w:val="21"/>
          <w14:textFill>
            <w14:solidFill>
              <w14:schemeClr w14:val="tx1"/>
            </w14:solidFill>
          </w14:textFill>
        </w:rPr>
        <w:t xml:space="preserve">       日  期：</w:t>
      </w:r>
      <w:r>
        <w:rPr>
          <w:rFonts w:eastAsiaTheme="minorEastAsia"/>
          <w:color w:val="000000" w:themeColor="text1"/>
          <w:sz w:val="21"/>
          <w:szCs w:val="21"/>
          <w14:textFill>
            <w14:solidFill>
              <w14:schemeClr w14:val="tx1"/>
            </w14:solidFill>
          </w14:textFill>
        </w:rPr>
        <w:t>______</w:t>
      </w:r>
    </w:p>
    <w:p>
      <w:pPr>
        <w:widowControl/>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br w:type="page"/>
      </w:r>
    </w:p>
    <w:p>
      <w:pPr>
        <w:spacing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t>2-1-1拟分包情况说明及分包意向协议（类型一）（实质性格式）</w:t>
      </w:r>
      <w:r>
        <w:rPr>
          <w:rFonts w:hint="eastAsia" w:eastAsiaTheme="minorEastAsia"/>
          <w:color w:val="000000" w:themeColor="text1"/>
          <w:sz w:val="24"/>
          <w:szCs w:val="20"/>
          <w14:textFill>
            <w14:solidFill>
              <w14:schemeClr w14:val="tx1"/>
            </w14:solidFill>
          </w14:textFill>
        </w:rPr>
        <w:t>（本项目不适用）</w:t>
      </w:r>
    </w:p>
    <w:p>
      <w:pPr>
        <w:autoSpaceDE w:val="0"/>
        <w:autoSpaceDN w:val="0"/>
        <w:adjustRightInd w:val="0"/>
        <w:jc w:val="center"/>
        <w:rPr>
          <w:rFonts w:eastAsiaTheme="minorEastAsia"/>
          <w:color w:val="000000" w:themeColor="text1"/>
          <w:sz w:val="30"/>
          <w:szCs w:val="30"/>
          <w14:textFill>
            <w14:solidFill>
              <w14:schemeClr w14:val="tx1"/>
            </w14:solidFill>
          </w14:textFill>
        </w:rPr>
      </w:pP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拟分包情况说明</w:t>
      </w:r>
    </w:p>
    <w:p>
      <w:pPr>
        <w:tabs>
          <w:tab w:val="left" w:pos="5580"/>
        </w:tabs>
        <w:spacing w:line="36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致：</w:t>
      </w:r>
      <w:r>
        <w:rPr>
          <w:rFonts w:eastAsiaTheme="minorEastAsia"/>
          <w:color w:val="000000" w:themeColor="text1"/>
          <w:sz w:val="21"/>
          <w:szCs w:val="21"/>
          <w:u w:val="single"/>
          <w14:textFill>
            <w14:solidFill>
              <w14:schemeClr w14:val="tx1"/>
            </w14:solidFill>
          </w14:textFill>
        </w:rPr>
        <w:t>（采购人或采购代理机构）</w:t>
      </w:r>
    </w:p>
    <w:p>
      <w:pPr>
        <w:adjustRightInd w:val="0"/>
        <w:snapToGrid w:val="0"/>
        <w:spacing w:line="36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我单位参加贵单位组织采购的项目编号为______的______项目（填写采购项目名称）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分包承担</w:t>
            </w:r>
          </w:p>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分包承担</w:t>
            </w:r>
          </w:p>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主体类型</w:t>
            </w:r>
          </w:p>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拟分包</w:t>
            </w:r>
          </w:p>
          <w:p>
            <w:pPr>
              <w:pStyle w:val="248"/>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拟分包</w:t>
            </w:r>
          </w:p>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合同金额</w:t>
            </w:r>
          </w:p>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占该采购包</w:t>
            </w:r>
          </w:p>
          <w:p>
            <w:pPr>
              <w:pStyle w:val="248"/>
              <w:jc w:val="center"/>
              <w:rPr>
                <w:rFonts w:eastAsiaTheme="minorEastAsia"/>
                <w:b/>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预算金额的</w:t>
            </w:r>
          </w:p>
          <w:p>
            <w:pPr>
              <w:pStyle w:val="248"/>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比例（</w:t>
            </w:r>
            <w:r>
              <w:rPr>
                <w:rFonts w:ascii="Times New Roman" w:eastAsia="Times New Roman"/>
                <w:color w:val="000000" w:themeColor="text1"/>
                <w:sz w:val="21"/>
                <w:szCs w:val="21"/>
                <w:lang w:eastAsia="zh-CN"/>
                <w14:textFill>
                  <w14:solidFill>
                    <w14:schemeClr w14:val="tx1"/>
                  </w14:solidFill>
                </w14:textFill>
              </w:rPr>
              <w:t>%</w:t>
            </w:r>
            <w:r>
              <w:rPr>
                <w:rFonts w:hint="eastAsia" w:eastAsiaTheme="minorEastAsia"/>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中型企业</w:t>
            </w:r>
          </w:p>
          <w:p>
            <w:pPr>
              <w:pStyle w:val="248"/>
              <w:tabs>
                <w:tab w:val="left" w:pos="235"/>
              </w:tabs>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r>
              <w:rPr>
                <w:rFonts w:ascii="Times New Roman" w:eastAsiaTheme="minorEastAsia"/>
                <w:color w:val="000000" w:themeColor="text1"/>
                <w:sz w:val="21"/>
                <w:szCs w:val="21"/>
                <w:lang w:eastAsia="zh-CN"/>
                <w14:textFill>
                  <w14:solidFill>
                    <w14:schemeClr w14:val="tx1"/>
                  </w14:solidFill>
                </w14:textFill>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中型企业</w:t>
            </w:r>
          </w:p>
          <w:p>
            <w:pPr>
              <w:pStyle w:val="248"/>
              <w:tabs>
                <w:tab w:val="left" w:pos="235"/>
              </w:tabs>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lang w:eastAsia="zh-CN"/>
                <w14:textFill>
                  <w14:solidFill>
                    <w14:schemeClr w14:val="tx1"/>
                  </w14:solidFill>
                </w14:textFill>
              </w:rPr>
            </w:pPr>
            <w:r>
              <w:rPr>
                <w:rFonts w:hint="eastAsia" w:ascii="Times New Roman" w:eastAsiaTheme="minorEastAsia"/>
                <w:color w:val="000000" w:themeColor="text1"/>
                <w:sz w:val="21"/>
                <w:szCs w:val="21"/>
                <w:lang w:eastAsia="zh-CN"/>
                <w14:textFill>
                  <w14:solidFill>
                    <w14:schemeClr w14:val="tx1"/>
                  </w14:solidFill>
                </w14:textFill>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eastAsiaTheme="minorEastAsia"/>
                <w:color w:val="000000" w:themeColor="text1"/>
                <w:sz w:val="21"/>
                <w:szCs w:val="21"/>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8"/>
              <w:ind w:right="57" w:rightChars="27"/>
              <w:jc w:val="right"/>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eastAsiaTheme="minorEastAsia"/>
                <w:color w:val="000000" w:themeColor="text1"/>
                <w:sz w:val="21"/>
                <w:szCs w:val="21"/>
                <w14:textFill>
                  <w14:solidFill>
                    <w14:schemeClr w14:val="tx1"/>
                  </w14:solidFill>
                </w14:textFill>
              </w:rPr>
            </w:pPr>
          </w:p>
        </w:tc>
      </w:tr>
    </w:tbl>
    <w:p>
      <w:pPr>
        <w:adjustRightInd w:val="0"/>
        <w:snapToGrid w:val="0"/>
        <w:spacing w:line="360" w:lineRule="auto"/>
        <w:jc w:val="left"/>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360" w:lineRule="auto"/>
        <w:jc w:val="right"/>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w:t>
      </w:r>
    </w:p>
    <w:p>
      <w:pPr>
        <w:spacing w:line="360" w:lineRule="auto"/>
        <w:ind w:right="-57" w:firstLine="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日期：___年___月___日</w:t>
      </w:r>
    </w:p>
    <w:p>
      <w:pPr>
        <w:adjustRightInd w:val="0"/>
        <w:snapToGrid w:val="0"/>
        <w:spacing w:line="360" w:lineRule="auto"/>
        <w:jc w:val="left"/>
        <w:rPr>
          <w:rFonts w:eastAsiaTheme="minorEastAsia"/>
          <w:color w:val="000000" w:themeColor="text1"/>
          <w:sz w:val="21"/>
          <w:szCs w:val="21"/>
          <w14:textFill>
            <w14:solidFill>
              <w14:schemeClr w14:val="tx1"/>
            </w14:solidFill>
          </w14:textFill>
        </w:rPr>
      </w:pPr>
    </w:p>
    <w:p>
      <w:pPr>
        <w:adjustRightInd w:val="0"/>
        <w:snapToGrid w:val="0"/>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说明：</w:t>
      </w:r>
    </w:p>
    <w:p>
      <w:pPr>
        <w:adjustRightInd w:val="0"/>
        <w:snapToGrid w:val="0"/>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（1）本表仅在供应商“为落实政府采购政策”而向中小企业分包时填写，非因“为落实政府采购政策”而进行的分包请按照《拟分包情况说明（类型二）》要求填写。</w:t>
      </w:r>
    </w:p>
    <w:p>
      <w:pPr>
        <w:adjustRightInd w:val="0"/>
        <w:snapToGrid w:val="0"/>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（2）如本竞争性磋商文件《供应商须知资料表》载明本项目分包承担主体应具备的相应资质条件，则供应商须在本表中列明分包承担主体的资质等级，并后附资质证书电子件，否则</w:t>
      </w:r>
      <w:r>
        <w:rPr>
          <w:rFonts w:eastAsiaTheme="minorEastAsia"/>
          <w:b/>
          <w:color w:val="000000" w:themeColor="text1"/>
          <w:sz w:val="21"/>
          <w:szCs w:val="21"/>
          <w14:textFill>
            <w14:solidFill>
              <w14:schemeClr w14:val="tx1"/>
            </w14:solidFill>
          </w14:textFill>
        </w:rPr>
        <w:t>响应无效</w:t>
      </w:r>
      <w:r>
        <w:rPr>
          <w:rFonts w:eastAsiaTheme="minorEastAsia"/>
          <w:color w:val="000000" w:themeColor="text1"/>
          <w:sz w:val="21"/>
          <w:szCs w:val="21"/>
          <w14:textFill>
            <w14:solidFill>
              <w14:schemeClr w14:val="tx1"/>
            </w14:solidFill>
          </w14:textFill>
        </w:rPr>
        <w:t>。</w:t>
      </w:r>
    </w:p>
    <w:p>
      <w:pPr>
        <w:adjustRightInd w:val="0"/>
        <w:snapToGrid w:val="0"/>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（3）供应商与上述拟分包承担主体签署的《分包意向协议》后附。</w:t>
      </w: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eastAsiaTheme="minorEastAsia"/>
          <w:color w:val="000000" w:themeColor="text1"/>
          <w:sz w:val="30"/>
          <w:szCs w:val="30"/>
          <w14:textFill>
            <w14:solidFill>
              <w14:schemeClr w14:val="tx1"/>
            </w14:solidFill>
          </w14:textFill>
        </w:rPr>
        <w:br w:type="page"/>
      </w:r>
      <w:r>
        <w:rPr>
          <w:rFonts w:hint="eastAsia" w:eastAsiaTheme="minorEastAsia"/>
          <w:b/>
          <w:color w:val="000000" w:themeColor="text1"/>
          <w:sz w:val="36"/>
          <w:szCs w:val="36"/>
          <w14:textFill>
            <w14:solidFill>
              <w14:schemeClr w14:val="tx1"/>
            </w14:solidFill>
          </w14:textFill>
        </w:rPr>
        <w:t>附：分包意向协议（实质性格式）</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甲方（供应商）：______</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乙方（拟分包单位）：______</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甲方承诺，一旦在______（采购项目名称）（项目编号为：______）采购项目中获得采购合同，将按照下述约定将合同项下部分内容分包给乙方：</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1.分包内容：______。</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2.分包金额：______，该金额占该采购包预算总金额的比例为______%。</w:t>
      </w:r>
    </w:p>
    <w:p>
      <w:pPr>
        <w:adjustRightInd w:val="0"/>
        <w:snapToGrid w:val="0"/>
        <w:spacing w:line="480" w:lineRule="auto"/>
        <w:ind w:firstLine="420" w:firstLineChars="200"/>
        <w:jc w:val="left"/>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乙方承诺将在上述情况下与甲方签订分包合同。</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本协议自各方盖章之日起生效，如甲方未在该项目（采购包）成交，本协议自动终止。</w:t>
      </w:r>
    </w:p>
    <w:p>
      <w:pPr>
        <w:spacing w:line="480" w:lineRule="auto"/>
        <w:ind w:firstLine="471"/>
        <w:rPr>
          <w:rFonts w:eastAsiaTheme="minorEastAsia"/>
          <w:b/>
          <w:color w:val="000000" w:themeColor="text1"/>
          <w:sz w:val="21"/>
          <w:szCs w:val="21"/>
          <w14:textFill>
            <w14:solidFill>
              <w14:schemeClr w14:val="tx1"/>
            </w14:solidFill>
          </w14:textFill>
        </w:rPr>
      </w:pPr>
    </w:p>
    <w:p>
      <w:pPr>
        <w:spacing w:line="480" w:lineRule="auto"/>
        <w:ind w:firstLine="471"/>
        <w:rPr>
          <w:rFonts w:eastAsiaTheme="minorEastAsia"/>
          <w:b/>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甲方（盖章）：______                     乙方（盖章）：______</w:t>
      </w:r>
    </w:p>
    <w:p>
      <w:pPr>
        <w:spacing w:line="480" w:lineRule="auto"/>
        <w:ind w:left="480"/>
        <w:jc w:val="right"/>
        <w:rPr>
          <w:rFonts w:eastAsiaTheme="minorEastAsia"/>
          <w:color w:val="000000" w:themeColor="text1"/>
          <w:sz w:val="21"/>
          <w:szCs w:val="21"/>
          <w14:textFill>
            <w14:solidFill>
              <w14:schemeClr w14:val="tx1"/>
            </w14:solidFill>
          </w14:textFill>
        </w:rPr>
      </w:pPr>
    </w:p>
    <w:p>
      <w:pPr>
        <w:wordWrap w:val="0"/>
        <w:spacing w:line="480" w:lineRule="auto"/>
        <w:ind w:left="480"/>
        <w:jc w:val="right"/>
        <w:rPr>
          <w:rFonts w:eastAsiaTheme="minorEastAsia"/>
          <w:b/>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日期：______年______月______日   </w:t>
      </w:r>
    </w:p>
    <w:p>
      <w:pPr>
        <w:tabs>
          <w:tab w:val="left" w:pos="8280"/>
        </w:tabs>
        <w:spacing w:line="480" w:lineRule="auto"/>
        <w:ind w:firstLine="480"/>
        <w:rPr>
          <w:rFonts w:eastAsiaTheme="minorEastAsia"/>
          <w:color w:val="000000" w:themeColor="text1"/>
          <w:sz w:val="21"/>
          <w:szCs w:val="21"/>
          <w14:textFill>
            <w14:solidFill>
              <w14:schemeClr w14:val="tx1"/>
            </w14:solidFill>
          </w14:textFill>
        </w:rPr>
      </w:pPr>
    </w:p>
    <w:p>
      <w:pPr>
        <w:tabs>
          <w:tab w:val="left" w:pos="8280"/>
        </w:tabs>
        <w:spacing w:line="480" w:lineRule="auto"/>
        <w:rPr>
          <w:rFonts w:eastAsiaTheme="minorEastAsia"/>
          <w:color w:val="000000" w:themeColor="text1"/>
          <w:sz w:val="21"/>
          <w:szCs w:val="21"/>
          <w14:textFill>
            <w14:solidFill>
              <w14:schemeClr w14:val="tx1"/>
            </w14:solidFill>
          </w14:textFill>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r>
        <w:rPr>
          <w:rFonts w:eastAsiaTheme="minorEastAsia"/>
          <w:color w:val="000000" w:themeColor="text1"/>
          <w:sz w:val="21"/>
          <w:szCs w:val="21"/>
          <w14:textFill>
            <w14:solidFill>
              <w14:schemeClr w14:val="tx1"/>
            </w14:solidFill>
          </w14:textFill>
        </w:rPr>
        <w:t>说明：供应商须与所有拟分包单位分别签订《分包意向协议》，每单位签订一份，并在响应文件中提交全部协议原件的电子件，否则</w:t>
      </w:r>
      <w:r>
        <w:rPr>
          <w:rFonts w:eastAsiaTheme="minorEastAsia"/>
          <w:b/>
          <w:color w:val="000000" w:themeColor="text1"/>
          <w:sz w:val="21"/>
          <w:szCs w:val="21"/>
          <w14:textFill>
            <w14:solidFill>
              <w14:schemeClr w14:val="tx1"/>
            </w14:solidFill>
          </w14:textFill>
        </w:rPr>
        <w:t>响应无效</w:t>
      </w:r>
      <w:r>
        <w:rPr>
          <w:rFonts w:eastAsiaTheme="minorEastAsia"/>
          <w:color w:val="000000" w:themeColor="text1"/>
          <w:sz w:val="21"/>
          <w:szCs w:val="21"/>
          <w14:textFill>
            <w14:solidFill>
              <w14:schemeClr w14:val="tx1"/>
            </w14:solidFill>
          </w14:textFill>
        </w:rPr>
        <w:t>。</w:t>
      </w:r>
    </w:p>
    <w:p>
      <w:pPr>
        <w:spacing w:line="360" w:lineRule="auto"/>
        <w:outlineLvl w:val="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2-2 其它落实政府采购政策的资格要求（如有）</w:t>
      </w:r>
    </w:p>
    <w:p>
      <w:pPr>
        <w:widowControl/>
        <w:jc w:val="left"/>
        <w:rPr>
          <w:rFonts w:eastAsiaTheme="minorEastAsia"/>
          <w:color w:val="000000" w:themeColor="text1"/>
          <w:sz w:val="24"/>
          <w14:textFill>
            <w14:solidFill>
              <w14:schemeClr w14:val="tx1"/>
            </w14:solidFill>
          </w14:textFill>
        </w:rPr>
      </w:pPr>
    </w:p>
    <w:p>
      <w:pPr>
        <w:widowControl/>
        <w:jc w:val="left"/>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 本项目的特定资格要求（如有）</w:t>
      </w:r>
    </w:p>
    <w:p>
      <w:pPr>
        <w:spacing w:line="360" w:lineRule="auto"/>
        <w:outlineLvl w:val="2"/>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3-1联合协议（如有）（实质性格式）</w:t>
      </w:r>
    </w:p>
    <w:p>
      <w:pPr>
        <w:autoSpaceDE w:val="0"/>
        <w:autoSpaceDN w:val="0"/>
        <w:adjustRightInd w:val="0"/>
        <w:spacing w:line="360" w:lineRule="auto"/>
        <w:jc w:val="center"/>
        <w:rPr>
          <w:rFonts w:eastAsiaTheme="minorEastAsia"/>
          <w:b/>
          <w:color w:val="000000" w:themeColor="text1"/>
          <w:sz w:val="28"/>
          <w:szCs w:val="28"/>
          <w14:textFill>
            <w14:solidFill>
              <w14:schemeClr w14:val="tx1"/>
            </w14:solidFill>
          </w14:textFill>
        </w:rPr>
      </w:pPr>
      <w:r>
        <w:rPr>
          <w:rFonts w:hint="eastAsia" w:eastAsiaTheme="minorEastAsia"/>
          <w:b/>
          <w:color w:val="000000" w:themeColor="text1"/>
          <w:sz w:val="28"/>
          <w:szCs w:val="28"/>
          <w14:textFill>
            <w14:solidFill>
              <w14:schemeClr w14:val="tx1"/>
            </w14:solidFill>
          </w14:textFill>
        </w:rPr>
        <w:t>联合协议</w:t>
      </w:r>
    </w:p>
    <w:p>
      <w:pPr>
        <w:spacing w:line="360" w:lineRule="auto"/>
        <w:ind w:firstLine="724" w:firstLineChars="345"/>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 xml:space="preserve"> 、</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及</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就“</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（项目名称）</w:t>
      </w:r>
      <w:r>
        <w:rPr>
          <w:rFonts w:eastAsiaTheme="minorEastAsia"/>
          <w:color w:val="000000" w:themeColor="text1"/>
          <w:sz w:val="21"/>
          <w:szCs w:val="21"/>
          <w14:textFill>
            <w14:solidFill>
              <w14:schemeClr w14:val="tx1"/>
            </w14:solidFill>
          </w14:textFill>
        </w:rPr>
        <w:t>” ______包</w:t>
      </w:r>
      <w:r>
        <w:rPr>
          <w:rFonts w:eastAsiaTheme="minorEastAsia"/>
          <w:bCs/>
          <w:color w:val="000000" w:themeColor="text1"/>
          <w:sz w:val="21"/>
          <w:szCs w:val="21"/>
          <w14:textFill>
            <w14:solidFill>
              <w14:schemeClr w14:val="tx1"/>
            </w14:solidFill>
          </w14:textFill>
        </w:rPr>
        <w:t>采购项目的磋商事宜，经各方充分协商一致，达成如下协议：</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bCs/>
          <w:color w:val="000000" w:themeColor="text1"/>
          <w:sz w:val="21"/>
          <w:szCs w:val="21"/>
          <w14:textFill>
            <w14:solidFill>
              <w14:schemeClr w14:val="tx1"/>
            </w14:solidFill>
          </w14:textFill>
        </w:rPr>
        <w:t>由</w:t>
      </w:r>
      <w:r>
        <w:rPr>
          <w:rFonts w:eastAsiaTheme="minorEastAsia"/>
          <w:color w:val="000000" w:themeColor="text1"/>
          <w:sz w:val="21"/>
          <w:szCs w:val="21"/>
          <w14:textFill>
            <w14:solidFill>
              <w14:schemeClr w14:val="tx1"/>
            </w14:solidFill>
          </w14:textFill>
        </w:rPr>
        <w:t>____</w:t>
      </w:r>
      <w:r>
        <w:rPr>
          <w:bCs/>
          <w:color w:val="000000" w:themeColor="text1"/>
          <w:sz w:val="21"/>
          <w:szCs w:val="21"/>
          <w14:textFill>
            <w14:solidFill>
              <w14:schemeClr w14:val="tx1"/>
            </w14:solidFill>
          </w14:textFill>
        </w:rPr>
        <w:t>__</w:t>
      </w:r>
      <w:r>
        <w:rPr>
          <w:rFonts w:eastAsiaTheme="minorEastAsia"/>
          <w:color w:val="000000" w:themeColor="text1"/>
          <w:sz w:val="21"/>
          <w:szCs w:val="21"/>
          <w14:textFill>
            <w14:solidFill>
              <w14:schemeClr w14:val="tx1"/>
            </w14:solidFill>
          </w14:textFill>
        </w:rPr>
        <w:t>__</w:t>
      </w:r>
      <w:r>
        <w:rPr>
          <w:rFonts w:eastAsiaTheme="minorEastAsia"/>
          <w:bCs/>
          <w:color w:val="000000" w:themeColor="text1"/>
          <w:sz w:val="21"/>
          <w:szCs w:val="21"/>
          <w14:textFill>
            <w14:solidFill>
              <w14:schemeClr w14:val="tx1"/>
            </w14:solidFill>
          </w14:textFill>
        </w:rPr>
        <w:t>牵头，</w:t>
      </w:r>
      <w:r>
        <w:rPr>
          <w:rFonts w:eastAsiaTheme="minorEastAsia"/>
          <w:color w:val="000000" w:themeColor="text1"/>
          <w:sz w:val="21"/>
          <w:szCs w:val="21"/>
          <w14:textFill>
            <w14:solidFill>
              <w14:schemeClr w14:val="tx1"/>
            </w14:solidFill>
          </w14:textFill>
        </w:rPr>
        <w:t>___</w:t>
      </w:r>
      <w:r>
        <w:rPr>
          <w:bCs/>
          <w:color w:val="000000" w:themeColor="text1"/>
          <w:sz w:val="21"/>
          <w:szCs w:val="21"/>
          <w14:textFill>
            <w14:solidFill>
              <w14:schemeClr w14:val="tx1"/>
            </w14:solidFill>
          </w14:textFill>
        </w:rPr>
        <w:t>__</w:t>
      </w:r>
      <w:r>
        <w:rPr>
          <w:rFonts w:eastAsiaTheme="minorEastAsia"/>
          <w:color w:val="000000" w:themeColor="text1"/>
          <w:sz w:val="21"/>
          <w:szCs w:val="21"/>
          <w14:textFill>
            <w14:solidFill>
              <w14:schemeClr w14:val="tx1"/>
            </w14:solidFill>
          </w14:textFill>
        </w:rPr>
        <w:t>___</w:t>
      </w:r>
      <w:r>
        <w:rPr>
          <w:rFonts w:eastAsiaTheme="minorEastAsia"/>
          <w:bCs/>
          <w:color w:val="000000" w:themeColor="text1"/>
          <w:sz w:val="21"/>
          <w:szCs w:val="21"/>
          <w14:textFill>
            <w14:solidFill>
              <w14:schemeClr w14:val="tx1"/>
            </w14:solidFill>
          </w14:textFill>
        </w:rPr>
        <w:t>、</w:t>
      </w:r>
      <w:r>
        <w:rPr>
          <w:rFonts w:eastAsiaTheme="minorEastAsia"/>
          <w:color w:val="000000" w:themeColor="text1"/>
          <w:sz w:val="21"/>
          <w:szCs w:val="21"/>
          <w14:textFill>
            <w14:solidFill>
              <w14:schemeClr w14:val="tx1"/>
            </w14:solidFill>
          </w14:textFill>
        </w:rPr>
        <w:t>___</w:t>
      </w:r>
      <w:r>
        <w:rPr>
          <w:bCs/>
          <w:color w:val="000000" w:themeColor="text1"/>
          <w:sz w:val="21"/>
          <w:szCs w:val="21"/>
          <w14:textFill>
            <w14:solidFill>
              <w14:schemeClr w14:val="tx1"/>
            </w14:solidFill>
          </w14:textFill>
        </w:rPr>
        <w:t>__</w:t>
      </w:r>
      <w:r>
        <w:rPr>
          <w:rFonts w:eastAsiaTheme="minorEastAsia"/>
          <w:color w:val="000000" w:themeColor="text1"/>
          <w:sz w:val="21"/>
          <w:szCs w:val="21"/>
          <w14:textFill>
            <w14:solidFill>
              <w14:schemeClr w14:val="tx1"/>
            </w14:solidFill>
          </w14:textFill>
        </w:rPr>
        <w:t>___</w:t>
      </w:r>
      <w:r>
        <w:rPr>
          <w:rFonts w:eastAsiaTheme="minorEastAsia"/>
          <w:bCs/>
          <w:color w:val="000000" w:themeColor="text1"/>
          <w:sz w:val="21"/>
          <w:szCs w:val="21"/>
          <w14:textFill>
            <w14:solidFill>
              <w14:schemeClr w14:val="tx1"/>
            </w14:solidFill>
          </w14:textFill>
        </w:rPr>
        <w:t>参加，组成联合体共同进行采购项目的磋商工作。</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为本次磋商的牵头人，联合体以牵头人的名义参加磋商，联合体成交后，联合体各方共同与采购人签订合同，就</w:t>
      </w:r>
      <w:r>
        <w:rPr>
          <w:rFonts w:eastAsiaTheme="minorEastAsia"/>
          <w:color w:val="000000" w:themeColor="text1"/>
          <w:sz w:val="21"/>
          <w:szCs w:val="21"/>
          <w14:textFill>
            <w14:solidFill>
              <w14:schemeClr w14:val="tx1"/>
            </w14:solidFill>
          </w14:textFill>
        </w:rPr>
        <w:t>采购合同约定的事项</w:t>
      </w:r>
      <w:r>
        <w:rPr>
          <w:rFonts w:eastAsiaTheme="minorEastAsia"/>
          <w:bCs/>
          <w:color w:val="000000" w:themeColor="text1"/>
          <w:sz w:val="21"/>
          <w:szCs w:val="21"/>
          <w14:textFill>
            <w14:solidFill>
              <w14:schemeClr w14:val="tx1"/>
            </w14:solidFill>
          </w14:textFill>
        </w:rPr>
        <w:t>对采购人承担连带责任。</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bCs/>
          <w:color w:val="000000" w:themeColor="text1"/>
          <w:sz w:val="21"/>
          <w:szCs w:val="21"/>
          <w14:textFill>
            <w14:solidFill>
              <w14:schemeClr w14:val="tx1"/>
            </w14:solidFill>
          </w14:textFill>
        </w:rPr>
        <w:t>联合体各方均同意由牵头人代表其他联合体成员单位按竞争性磋商文件要求出具《授权委托书》。</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bCs/>
          <w:color w:val="000000" w:themeColor="text1"/>
          <w:sz w:val="21"/>
          <w:szCs w:val="21"/>
          <w14:textFill>
            <w14:solidFill>
              <w14:schemeClr w14:val="tx1"/>
            </w14:solidFill>
          </w14:textFill>
        </w:rPr>
        <w:t>牵头人为项目的总负责单位；组织各参加方进行项目实施工作。</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负责</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，具体工作范围、内容以响应文件及合同为准。</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负责</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，具体工作范围、内容以响应文件及合同为准。</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负责</w:t>
      </w:r>
      <w:r>
        <w:rPr>
          <w:rFonts w:eastAsiaTheme="minorEastAsia"/>
          <w:color w:val="000000" w:themeColor="text1"/>
          <w:sz w:val="21"/>
          <w:szCs w:val="21"/>
          <w14:textFill>
            <w14:solidFill>
              <w14:schemeClr w14:val="tx1"/>
            </w14:solidFill>
          </w14:textFill>
        </w:rPr>
        <w:t>______</w:t>
      </w:r>
      <w:r>
        <w:rPr>
          <w:rFonts w:eastAsiaTheme="minorEastAsia"/>
          <w:bCs/>
          <w:color w:val="000000" w:themeColor="text1"/>
          <w:sz w:val="21"/>
          <w:szCs w:val="21"/>
          <w14:textFill>
            <w14:solidFill>
              <w14:schemeClr w14:val="tx1"/>
            </w14:solidFill>
          </w14:textFill>
        </w:rPr>
        <w:t>（如有），具体工作范围、内容以响应文件及合同为准。</w:t>
      </w:r>
    </w:p>
    <w:p>
      <w:pPr>
        <w:numPr>
          <w:ilvl w:val="0"/>
          <w:numId w:val="15"/>
        </w:numPr>
        <w:spacing w:line="36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（1）______为□大型企业□中型企业、□小微企业（包含监狱企业、残疾人福利性单位）、□其他，合同金额为______元；</w:t>
      </w:r>
    </w:p>
    <w:p>
      <w:pPr>
        <w:tabs>
          <w:tab w:val="left" w:pos="720"/>
          <w:tab w:val="left" w:pos="900"/>
        </w:tabs>
        <w:spacing w:line="360" w:lineRule="auto"/>
        <w:ind w:left="85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（2）______为□大型企业□中型企业、□小微企业（包含监狱企业、残疾人福利性单位）、□其他，合同金额为______元；</w:t>
      </w:r>
    </w:p>
    <w:p>
      <w:pPr>
        <w:tabs>
          <w:tab w:val="left" w:pos="720"/>
          <w:tab w:val="left" w:pos="900"/>
        </w:tabs>
        <w:spacing w:line="360" w:lineRule="auto"/>
        <w:ind w:left="85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（…）______为□大型企业□中型企业、□小微企业（包含监狱企业、残疾人福利性单位）、□其他，合同金额为______元。</w:t>
      </w:r>
    </w:p>
    <w:p>
      <w:pPr>
        <w:numPr>
          <w:ilvl w:val="0"/>
          <w:numId w:val="15"/>
        </w:numPr>
        <w:tabs>
          <w:tab w:val="left" w:pos="993"/>
        </w:tabs>
        <w:spacing w:line="360" w:lineRule="auto"/>
        <w:rPr>
          <w:rFonts w:eastAsiaTheme="minorEastAsia"/>
          <w:bCs/>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以联合体形式参加政府采购活动的，联合体各方不得再单独参加或者与其他供应商另外组成联合体参加同一合同项下的政府采购活动。</w:t>
      </w:r>
    </w:p>
    <w:p>
      <w:pPr>
        <w:numPr>
          <w:ilvl w:val="0"/>
          <w:numId w:val="15"/>
        </w:numPr>
        <w:spacing w:line="360" w:lineRule="auto"/>
        <w:rPr>
          <w:rFonts w:eastAsiaTheme="minorEastAsia"/>
          <w:bCs/>
          <w:color w:val="000000" w:themeColor="text1"/>
          <w:sz w:val="21"/>
          <w:szCs w:val="21"/>
          <w14:textFill>
            <w14:solidFill>
              <w14:schemeClr w14:val="tx1"/>
            </w14:solidFill>
          </w14:textFill>
        </w:rPr>
      </w:pPr>
      <w:r>
        <w:rPr>
          <w:rFonts w:eastAsiaTheme="minorEastAsia"/>
          <w:bCs/>
          <w:color w:val="000000" w:themeColor="text1"/>
          <w:sz w:val="21"/>
          <w:szCs w:val="21"/>
          <w14:textFill>
            <w14:solidFill>
              <w14:schemeClr w14:val="tx1"/>
            </w14:solidFill>
          </w14:textFill>
        </w:rPr>
        <w:t>其他约定（如有）：</w:t>
      </w:r>
      <w:r>
        <w:rPr>
          <w:rFonts w:eastAsiaTheme="minorEastAsia"/>
          <w:color w:val="000000" w:themeColor="text1"/>
          <w:sz w:val="21"/>
          <w:szCs w:val="21"/>
          <w14:textFill>
            <w14:solidFill>
              <w14:schemeClr w14:val="tx1"/>
            </w14:solidFill>
          </w14:textFill>
        </w:rPr>
        <w:t>______</w:t>
      </w:r>
      <w:r>
        <w:rPr>
          <w:rFonts w:hint="eastAsia" w:eastAsiaTheme="minorEastAsia"/>
          <w:color w:val="000000" w:themeColor="text1"/>
          <w:sz w:val="21"/>
          <w:szCs w:val="21"/>
          <w14:textFill>
            <w14:solidFill>
              <w14:schemeClr w14:val="tx1"/>
            </w14:solidFill>
          </w14:textFill>
        </w:rPr>
        <w:t>。</w:t>
      </w:r>
    </w:p>
    <w:p>
      <w:pPr>
        <w:tabs>
          <w:tab w:val="left" w:pos="780"/>
        </w:tabs>
        <w:spacing w:line="360" w:lineRule="auto"/>
        <w:ind w:left="180" w:firstLine="420" w:firstLineChars="200"/>
        <w:rPr>
          <w:rFonts w:eastAsiaTheme="minorEastAsia"/>
          <w:b/>
          <w:color w:val="000000" w:themeColor="text1"/>
          <w:sz w:val="21"/>
          <w:szCs w:val="21"/>
          <w14:textFill>
            <w14:solidFill>
              <w14:schemeClr w14:val="tx1"/>
            </w14:solidFill>
          </w14:textFill>
        </w:rPr>
      </w:pPr>
      <w:r>
        <w:rPr>
          <w:rFonts w:eastAsiaTheme="minorEastAsia"/>
          <w:bCs/>
          <w:color w:val="000000" w:themeColor="text1"/>
          <w:sz w:val="21"/>
          <w:szCs w:val="21"/>
          <w14:textFill>
            <w14:solidFill>
              <w14:schemeClr w14:val="tx1"/>
            </w14:solidFill>
          </w14:textFill>
        </w:rPr>
        <w:t>本协议自各方盖章后生效，采购合同履行完毕后自动失效。如未成交，本协议自动终止。</w:t>
      </w:r>
    </w:p>
    <w:p>
      <w:pPr>
        <w:spacing w:line="360" w:lineRule="auto"/>
        <w:ind w:firstLine="471"/>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联合体</w:t>
      </w:r>
      <w:r>
        <w:rPr>
          <w:color w:val="000000" w:themeColor="text1"/>
          <w:sz w:val="21"/>
          <w:szCs w:val="21"/>
          <w14:textFill>
            <w14:solidFill>
              <w14:schemeClr w14:val="tx1"/>
            </w14:solidFill>
          </w14:textFill>
        </w:rPr>
        <w:t>牵头人</w:t>
      </w:r>
      <w:r>
        <w:rPr>
          <w:rFonts w:hint="eastAsia"/>
          <w:color w:val="000000" w:themeColor="text1"/>
          <w:sz w:val="21"/>
          <w:szCs w:val="21"/>
          <w14:textFill>
            <w14:solidFill>
              <w14:schemeClr w14:val="tx1"/>
            </w14:solidFill>
          </w14:textFill>
        </w:rPr>
        <w:t>名称：</w:t>
      </w:r>
      <w:r>
        <w:rPr>
          <w:color w:val="000000" w:themeColor="text1"/>
          <w:sz w:val="21"/>
          <w:szCs w:val="21"/>
          <w14:textFill>
            <w14:solidFill>
              <w14:schemeClr w14:val="tx1"/>
            </w14:solidFill>
          </w14:textFill>
        </w:rPr>
        <w:t>______</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t>联合体成员名称</w:t>
      </w:r>
      <w:r>
        <w:rPr>
          <w:color w:val="000000" w:themeColor="text1"/>
          <w:sz w:val="21"/>
          <w:szCs w:val="21"/>
          <w14:textFill>
            <w14:solidFill>
              <w14:schemeClr w14:val="tx1"/>
            </w14:solidFill>
          </w14:textFill>
        </w:rPr>
        <w:t>：______</w:t>
      </w:r>
    </w:p>
    <w:p>
      <w:pPr>
        <w:spacing w:line="360" w:lineRule="auto"/>
        <w:ind w:firstLine="471"/>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盖章：______                           盖章：______</w:t>
      </w:r>
    </w:p>
    <w:p>
      <w:pPr>
        <w:spacing w:line="360" w:lineRule="auto"/>
        <w:rPr>
          <w:color w:val="000000" w:themeColor="text1"/>
          <w:sz w:val="21"/>
          <w:szCs w:val="21"/>
          <w14:textFill>
            <w14:solidFill>
              <w14:schemeClr w14:val="tx1"/>
            </w14:solidFill>
          </w14:textFill>
        </w:rPr>
      </w:pPr>
    </w:p>
    <w:p>
      <w:pPr>
        <w:widowControl/>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 </w:t>
      </w:r>
    </w:p>
    <w:p>
      <w:pPr>
        <w:spacing w:line="360" w:lineRule="auto"/>
        <w:ind w:left="480"/>
        <w:jc w:val="right"/>
        <w:rPr>
          <w:rFonts w:eastAsiaTheme="minorEastAsia"/>
          <w:color w:val="000000" w:themeColor="text1"/>
          <w:sz w:val="21"/>
          <w:szCs w:val="21"/>
          <w14:textFill>
            <w14:solidFill>
              <w14:schemeClr w14:val="tx1"/>
            </w14:solidFill>
          </w14:textFill>
        </w:rPr>
      </w:pPr>
    </w:p>
    <w:p>
      <w:pPr>
        <w:spacing w:line="360" w:lineRule="auto"/>
        <w:ind w:left="48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日期：______年______月______日</w:t>
      </w:r>
    </w:p>
    <w:p>
      <w:pPr>
        <w:spacing w:line="360" w:lineRule="auto"/>
        <w:ind w:left="480"/>
        <w:jc w:val="right"/>
        <w:rPr>
          <w:rFonts w:eastAsiaTheme="minorEastAsia"/>
          <w:b/>
          <w:color w:val="000000" w:themeColor="text1"/>
          <w:sz w:val="21"/>
          <w:szCs w:val="21"/>
          <w14:textFill>
            <w14:solidFill>
              <w14:schemeClr w14:val="tx1"/>
            </w14:solidFill>
          </w14:textFill>
        </w:rPr>
      </w:pPr>
    </w:p>
    <w:p>
      <w:pPr>
        <w:tabs>
          <w:tab w:val="left" w:pos="8280"/>
        </w:tabs>
        <w:spacing w:line="360" w:lineRule="auto"/>
        <w:ind w:firstLine="480"/>
        <w:rPr>
          <w:rFonts w:eastAsiaTheme="minorEastAsia"/>
          <w:color w:val="000000" w:themeColor="text1"/>
          <w:sz w:val="21"/>
          <w:szCs w:val="21"/>
          <w14:textFill>
            <w14:solidFill>
              <w14:schemeClr w14:val="tx1"/>
            </w14:solidFill>
          </w14:textFill>
        </w:rPr>
      </w:pPr>
    </w:p>
    <w:p>
      <w:pPr>
        <w:spacing w:line="360" w:lineRule="auto"/>
        <w:ind w:left="689" w:leftChars="228" w:hanging="210" w:hangingChars="10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注：联合体各方成员应在本协议上共同盖章，不得分别签署协议书。</w:t>
      </w:r>
    </w:p>
    <w:p>
      <w:pPr>
        <w:spacing w:line="360" w:lineRule="auto"/>
        <w:outlineLvl w:val="2"/>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t>3-2其他特定资格要求</w:t>
      </w:r>
    </w:p>
    <w:p>
      <w:pPr>
        <w:tabs>
          <w:tab w:val="left" w:pos="5580"/>
        </w:tabs>
        <w:spacing w:line="360" w:lineRule="auto"/>
        <w:rPr>
          <w:rFonts w:eastAsiaTheme="minorEastAsia"/>
          <w:color w:val="000000" w:themeColor="text1"/>
          <w:sz w:val="24"/>
          <w14:textFill>
            <w14:solidFill>
              <w14:schemeClr w14:val="tx1"/>
            </w14:solidFill>
          </w14:textFill>
        </w:rPr>
      </w:pPr>
    </w:p>
    <w:p>
      <w:pPr>
        <w:widowControl/>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4 磋商保证金凭证/交款单据电子件</w:t>
      </w:r>
    </w:p>
    <w:p>
      <w:pPr>
        <w:widowControl/>
        <w:jc w:val="left"/>
        <w:rPr>
          <w:rFonts w:eastAsiaTheme="minorEastAsia"/>
          <w:color w:val="000000" w:themeColor="text1"/>
          <w:kern w:val="0"/>
          <w:sz w:val="24"/>
          <w:szCs w:val="20"/>
          <w14:textFill>
            <w14:solidFill>
              <w14:schemeClr w14:val="tx1"/>
            </w14:solidFill>
          </w14:textFill>
        </w:rPr>
      </w:pPr>
      <w:r>
        <w:rPr>
          <w:rFonts w:eastAsiaTheme="minorEastAsia"/>
          <w:b/>
          <w:color w:val="000000" w:themeColor="text1"/>
          <w:sz w:val="24"/>
          <w14:textFill>
            <w14:solidFill>
              <w14:schemeClr w14:val="tx1"/>
            </w14:solidFill>
          </w14:textFill>
        </w:rPr>
        <w:br w:type="page"/>
      </w:r>
    </w:p>
    <w:p>
      <w:pPr>
        <w:widowControl/>
        <w:jc w:val="left"/>
        <w:rPr>
          <w:rFonts w:eastAsiaTheme="minorEastAsia"/>
          <w:b/>
          <w:color w:val="000000" w:themeColor="text1"/>
          <w:sz w:val="24"/>
          <w14:textFill>
            <w14:solidFill>
              <w14:schemeClr w14:val="tx1"/>
            </w14:solidFill>
          </w14:textFill>
        </w:rPr>
      </w:pPr>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bookmarkStart w:id="3490" w:name="_Hlt520274121"/>
      <w:bookmarkEnd w:id="3490"/>
      <w:bookmarkStart w:id="3491" w:name="_Hlt520274065"/>
      <w:bookmarkEnd w:id="3491"/>
      <w:bookmarkStart w:id="3492" w:name="_Hlt520273711"/>
      <w:bookmarkEnd w:id="3492"/>
      <w:bookmarkStart w:id="3493" w:name="_Hlt520274407"/>
      <w:bookmarkEnd w:id="3493"/>
      <w:bookmarkStart w:id="3494" w:name="_Hlt520274393"/>
      <w:bookmarkEnd w:id="3494"/>
      <w:bookmarkStart w:id="3495" w:name="_Hlt520343000"/>
      <w:bookmarkEnd w:id="3495"/>
      <w:bookmarkStart w:id="3496" w:name="_Hlt520343392"/>
      <w:bookmarkEnd w:id="3496"/>
      <w:bookmarkStart w:id="3497" w:name="_Hlt520355504"/>
      <w:bookmarkEnd w:id="3497"/>
      <w:bookmarkStart w:id="3498" w:name="_Hlt520271212"/>
      <w:bookmarkEnd w:id="3498"/>
      <w:bookmarkStart w:id="3499" w:name="_Hlt520350918"/>
      <w:bookmarkEnd w:id="3499"/>
      <w:bookmarkStart w:id="3500" w:name="_Ref467988698"/>
      <w:bookmarkStart w:id="3501" w:name="_Toc480942349"/>
      <w:bookmarkStart w:id="3502" w:name="_Toc195842921"/>
      <w:bookmarkStart w:id="3503" w:name="_Toc520356217"/>
      <w:bookmarkStart w:id="3504" w:name="_Toc127151556"/>
      <w:bookmarkStart w:id="3505" w:name="_Toc226337252"/>
      <w:bookmarkStart w:id="3506" w:name="_Toc142311058"/>
      <w:bookmarkStart w:id="3507" w:name="_Toc226965829"/>
      <w:bookmarkStart w:id="3508" w:name="_Toc150480794"/>
      <w:bookmarkStart w:id="3509" w:name="_Toc226309800"/>
      <w:bookmarkStart w:id="3510" w:name="_Toc226965746"/>
      <w:bookmarkStart w:id="3511" w:name="_Toc150774761"/>
      <w:r>
        <w:rPr>
          <w:rFonts w:eastAsiaTheme="minorEastAsia"/>
          <w:color w:val="000000" w:themeColor="text1"/>
          <w:sz w:val="24"/>
          <w14:textFill>
            <w14:solidFill>
              <w14:schemeClr w14:val="tx1"/>
            </w14:solidFill>
          </w14:textFill>
        </w:rPr>
        <w:t xml:space="preserve">5  </w:t>
      </w:r>
      <w:bookmarkEnd w:id="3500"/>
      <w:bookmarkEnd w:id="3501"/>
      <w:r>
        <w:rPr>
          <w:rFonts w:eastAsiaTheme="minorEastAsia"/>
          <w:color w:val="000000" w:themeColor="text1"/>
          <w:sz w:val="24"/>
          <w14:textFill>
            <w14:solidFill>
              <w14:schemeClr w14:val="tx1"/>
            </w14:solidFill>
          </w14:textFill>
        </w:rPr>
        <w:t>响应书</w:t>
      </w:r>
      <w:bookmarkEnd w:id="3502"/>
      <w:bookmarkEnd w:id="3503"/>
      <w:bookmarkEnd w:id="3504"/>
      <w:bookmarkEnd w:id="3505"/>
      <w:bookmarkEnd w:id="3506"/>
      <w:bookmarkEnd w:id="3507"/>
      <w:bookmarkEnd w:id="3508"/>
      <w:bookmarkEnd w:id="3509"/>
      <w:bookmarkEnd w:id="3510"/>
      <w:bookmarkEnd w:id="3511"/>
    </w:p>
    <w:p>
      <w:pPr>
        <w:tabs>
          <w:tab w:val="left" w:pos="5580"/>
        </w:tabs>
        <w:spacing w:line="360" w:lineRule="auto"/>
        <w:rPr>
          <w:rFonts w:eastAsiaTheme="minorEastAsia"/>
          <w:color w:val="000000" w:themeColor="text1"/>
          <w:sz w:val="24"/>
          <w14:textFill>
            <w14:solidFill>
              <w14:schemeClr w14:val="tx1"/>
            </w14:solidFill>
          </w14:textFill>
        </w:rPr>
      </w:pPr>
    </w:p>
    <w:p>
      <w:pPr>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响应书</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致：</w:t>
      </w:r>
      <w:r>
        <w:rPr>
          <w:rFonts w:eastAsiaTheme="minorEastAsia"/>
          <w:color w:val="000000" w:themeColor="text1"/>
          <w:sz w:val="21"/>
          <w:szCs w:val="21"/>
          <w:u w:val="single"/>
          <w14:textFill>
            <w14:solidFill>
              <w14:schemeClr w14:val="tx1"/>
            </w14:solidFill>
          </w14:textFill>
        </w:rPr>
        <w:t>（采购人或采购代理机构）</w:t>
      </w:r>
    </w:p>
    <w:p>
      <w:pPr>
        <w:tabs>
          <w:tab w:val="left" w:pos="5580"/>
        </w:tabs>
        <w:spacing w:line="480" w:lineRule="auto"/>
        <w:rPr>
          <w:rFonts w:eastAsiaTheme="minorEastAsia"/>
          <w:color w:val="000000" w:themeColor="text1"/>
          <w:sz w:val="21"/>
          <w:szCs w:val="21"/>
          <w14:textFill>
            <w14:solidFill>
              <w14:schemeClr w14:val="tx1"/>
            </w14:solidFill>
          </w14:textFill>
        </w:rPr>
      </w:pPr>
    </w:p>
    <w:p>
      <w:pPr>
        <w:tabs>
          <w:tab w:val="left" w:pos="5580"/>
        </w:tabs>
        <w:spacing w:line="480" w:lineRule="auto"/>
        <w:ind w:firstLine="408"/>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我方参加你方就______（项目名称，项目编号）组织的采购活动，并对此项目进行磋商。</w:t>
      </w:r>
    </w:p>
    <w:p>
      <w:pPr>
        <w:tabs>
          <w:tab w:val="left" w:pos="5580"/>
        </w:tabs>
        <w:spacing w:line="480" w:lineRule="auto"/>
        <w:ind w:firstLine="408"/>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 我方已详细审查全部竞争性磋商文件，自愿参与磋商并承诺如下：</w:t>
      </w:r>
    </w:p>
    <w:p>
      <w:pPr>
        <w:tabs>
          <w:tab w:val="left" w:pos="720"/>
          <w:tab w:val="left" w:pos="900"/>
        </w:tabs>
        <w:spacing w:line="480" w:lineRule="auto"/>
        <w:ind w:left="360" w:firstLine="63" w:firstLineChars="3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（1）本响应有效期为自提交响应文件的截止之日起______个日历日。</w:t>
      </w:r>
    </w:p>
    <w:p>
      <w:pPr>
        <w:tabs>
          <w:tab w:val="left" w:pos="720"/>
          <w:tab w:val="left" w:pos="900"/>
        </w:tabs>
        <w:spacing w:line="480" w:lineRule="auto"/>
        <w:ind w:left="360" w:firstLine="63" w:firstLineChars="3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（2）除合同条款及采购需求偏离表列出的偏离外，我方响应竞争性磋商文件的全部要求。</w:t>
      </w:r>
    </w:p>
    <w:p>
      <w:pPr>
        <w:tabs>
          <w:tab w:val="left" w:pos="5580"/>
        </w:tabs>
        <w:spacing w:line="480" w:lineRule="auto"/>
        <w:ind w:firstLine="367" w:firstLineChars="175"/>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（3）我方已提供的全部文件资料是真实、准确的，并对此承担一切法律后果。</w:t>
      </w:r>
    </w:p>
    <w:p>
      <w:pPr>
        <w:tabs>
          <w:tab w:val="left" w:pos="5580"/>
        </w:tabs>
        <w:spacing w:line="480" w:lineRule="auto"/>
        <w:ind w:firstLine="367" w:firstLineChars="175"/>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（4）如我方成交，我方将在法律规定的期限内与你方签订合同，按照竞争性磋商文件要求提交履约保证金，并在合同约定的期限内完成合同规定的全部义务。</w:t>
      </w:r>
    </w:p>
    <w:p>
      <w:pPr>
        <w:spacing w:line="480" w:lineRule="auto"/>
        <w:ind w:left="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 其他补充条款（如有）：______。</w:t>
      </w:r>
    </w:p>
    <w:p>
      <w:pPr>
        <w:spacing w:line="480" w:lineRule="auto"/>
        <w:ind w:firstLine="420" w:firstLineChars="20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与本磋商有关的一切正式往来信函请寄：</w:t>
      </w:r>
    </w:p>
    <w:p>
      <w:pPr>
        <w:tabs>
          <w:tab w:val="left" w:pos="5580"/>
        </w:tabs>
        <w:spacing w:line="480" w:lineRule="auto"/>
        <w:ind w:left="420"/>
        <w:rPr>
          <w:rFonts w:eastAsiaTheme="minorEastAsia"/>
          <w:color w:val="000000" w:themeColor="text1"/>
          <w:sz w:val="21"/>
          <w:szCs w:val="21"/>
          <w14:textFill>
            <w14:solidFill>
              <w14:schemeClr w14:val="tx1"/>
            </w14:solidFill>
          </w14:textFill>
        </w:rPr>
      </w:pPr>
    </w:p>
    <w:p>
      <w:pPr>
        <w:tabs>
          <w:tab w:val="left" w:pos="5580"/>
        </w:tabs>
        <w:spacing w:line="480" w:lineRule="auto"/>
        <w:ind w:left="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地址</w:t>
      </w:r>
      <w:r>
        <w:rPr>
          <w:rFonts w:eastAsiaTheme="minorEastAsia"/>
          <w:bCs/>
          <w:color w:val="000000" w:themeColor="text1"/>
          <w:sz w:val="21"/>
          <w:szCs w:val="21"/>
          <w14:textFill>
            <w14:solidFill>
              <w14:schemeClr w14:val="tx1"/>
            </w14:solidFill>
          </w14:textFill>
        </w:rPr>
        <w:t>_________________________</w:t>
      </w:r>
      <w:r>
        <w:rPr>
          <w:rFonts w:eastAsiaTheme="minorEastAsia"/>
          <w:color w:val="000000" w:themeColor="text1"/>
          <w:sz w:val="21"/>
          <w:szCs w:val="21"/>
          <w14:textFill>
            <w14:solidFill>
              <w14:schemeClr w14:val="tx1"/>
            </w14:solidFill>
          </w14:textFill>
        </w:rPr>
        <w:t xml:space="preserve">      传   真</w:t>
      </w:r>
      <w:r>
        <w:rPr>
          <w:rFonts w:eastAsiaTheme="minorEastAsia"/>
          <w:bCs/>
          <w:color w:val="000000" w:themeColor="text1"/>
          <w:sz w:val="21"/>
          <w:szCs w:val="21"/>
          <w14:textFill>
            <w14:solidFill>
              <w14:schemeClr w14:val="tx1"/>
            </w14:solidFill>
          </w14:textFill>
        </w:rPr>
        <w:t>_________________________</w:t>
      </w:r>
    </w:p>
    <w:p>
      <w:pPr>
        <w:tabs>
          <w:tab w:val="left" w:pos="5580"/>
        </w:tabs>
        <w:spacing w:line="480" w:lineRule="auto"/>
        <w:ind w:left="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电话</w:t>
      </w:r>
      <w:r>
        <w:rPr>
          <w:rFonts w:eastAsiaTheme="minorEastAsia"/>
          <w:bCs/>
          <w:color w:val="000000" w:themeColor="text1"/>
          <w:sz w:val="21"/>
          <w:szCs w:val="21"/>
          <w14:textFill>
            <w14:solidFill>
              <w14:schemeClr w14:val="tx1"/>
            </w14:solidFill>
          </w14:textFill>
        </w:rPr>
        <w:t>_________________________</w:t>
      </w:r>
      <w:r>
        <w:rPr>
          <w:rFonts w:eastAsiaTheme="minorEastAsia"/>
          <w:color w:val="000000" w:themeColor="text1"/>
          <w:sz w:val="21"/>
          <w:szCs w:val="21"/>
          <w14:textFill>
            <w14:solidFill>
              <w14:schemeClr w14:val="tx1"/>
            </w14:solidFill>
          </w14:textFill>
        </w:rPr>
        <w:t xml:space="preserve">      电子函件</w:t>
      </w:r>
      <w:r>
        <w:rPr>
          <w:rFonts w:eastAsiaTheme="minorEastAsia"/>
          <w:bCs/>
          <w:color w:val="000000" w:themeColor="text1"/>
          <w:sz w:val="21"/>
          <w:szCs w:val="21"/>
          <w14:textFill>
            <w14:solidFill>
              <w14:schemeClr w14:val="tx1"/>
            </w14:solidFill>
          </w14:textFill>
        </w:rPr>
        <w:t>_________________________</w:t>
      </w:r>
    </w:p>
    <w:p>
      <w:pPr>
        <w:tabs>
          <w:tab w:val="left" w:pos="5580"/>
        </w:tabs>
        <w:spacing w:line="480" w:lineRule="auto"/>
        <w:ind w:left="420"/>
        <w:rPr>
          <w:rFonts w:eastAsiaTheme="minorEastAsia"/>
          <w:color w:val="000000" w:themeColor="text1"/>
          <w:sz w:val="21"/>
          <w:szCs w:val="21"/>
          <w14:textFill>
            <w14:solidFill>
              <w14:schemeClr w14:val="tx1"/>
            </w14:solidFill>
          </w14:textFill>
        </w:rPr>
      </w:pPr>
    </w:p>
    <w:p>
      <w:pPr>
        <w:tabs>
          <w:tab w:val="left" w:pos="5580"/>
        </w:tabs>
        <w:spacing w:line="480" w:lineRule="auto"/>
        <w:ind w:left="420"/>
        <w:rPr>
          <w:rFonts w:eastAsiaTheme="minorEastAsia"/>
          <w:color w:val="000000" w:themeColor="text1"/>
          <w:sz w:val="21"/>
          <w:szCs w:val="21"/>
          <w14:textFill>
            <w14:solidFill>
              <w14:schemeClr w14:val="tx1"/>
            </w14:solidFill>
          </w14:textFill>
        </w:rPr>
      </w:pPr>
    </w:p>
    <w:p>
      <w:pPr>
        <w:tabs>
          <w:tab w:val="left" w:pos="5580"/>
        </w:tabs>
        <w:spacing w:line="480" w:lineRule="auto"/>
        <w:ind w:left="420"/>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480" w:lineRule="auto"/>
        <w:ind w:right="360" w:firstLine="315" w:firstLineChars="150"/>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w:t>
      </w:r>
    </w:p>
    <w:p>
      <w:pPr>
        <w:tabs>
          <w:tab w:val="left" w:pos="5580"/>
        </w:tabs>
        <w:spacing w:line="480" w:lineRule="auto"/>
        <w:ind w:firstLine="315" w:firstLineChars="15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日期：____年____月____日  </w:t>
      </w:r>
    </w:p>
    <w:p>
      <w:pPr>
        <w:tabs>
          <w:tab w:val="left" w:pos="5580"/>
        </w:tabs>
        <w:spacing w:line="360" w:lineRule="auto"/>
        <w:ind w:left="420"/>
        <w:jc w:val="left"/>
        <w:rPr>
          <w:rFonts w:eastAsiaTheme="minorEastAsia"/>
          <w:color w:val="000000" w:themeColor="text1"/>
          <w:sz w:val="24"/>
          <w:szCs w:val="20"/>
          <w14:textFill>
            <w14:solidFill>
              <w14:schemeClr w14:val="tx1"/>
            </w14:solidFill>
          </w14:textFill>
        </w:rPr>
      </w:pPr>
    </w:p>
    <w:p>
      <w:pPr>
        <w:widowControl/>
        <w:jc w:val="left"/>
        <w:rPr>
          <w:rFonts w:eastAsiaTheme="minorEastAsia"/>
          <w:b/>
          <w:color w:val="000000" w:themeColor="text1"/>
          <w:sz w:val="24"/>
          <w:szCs w:val="20"/>
          <w14:textFill>
            <w14:solidFill>
              <w14:schemeClr w14:val="tx1"/>
            </w14:solidFill>
          </w14:textFill>
        </w:rPr>
      </w:pPr>
      <w:r>
        <w:rPr>
          <w:rFonts w:eastAsiaTheme="minorEastAsia"/>
          <w:b/>
          <w:color w:val="000000" w:themeColor="text1"/>
          <w:sz w:val="24"/>
          <w:szCs w:val="20"/>
          <w14:textFill>
            <w14:solidFill>
              <w14:schemeClr w14:val="tx1"/>
            </w14:solidFill>
          </w14:textFill>
        </w:rPr>
        <w:br w:type="page"/>
      </w:r>
    </w:p>
    <w:p>
      <w:pPr>
        <w:widowControl/>
        <w:jc w:val="left"/>
        <w:rPr>
          <w:rFonts w:eastAsiaTheme="minorEastAsia"/>
          <w:color w:val="000000" w:themeColor="text1"/>
          <w:sz w:val="24"/>
          <w14:textFill>
            <w14:solidFill>
              <w14:schemeClr w14:val="tx1"/>
            </w14:solidFill>
          </w14:textFill>
        </w:rPr>
      </w:pPr>
      <w:bookmarkStart w:id="3512" w:name="_Hlt520355938"/>
      <w:bookmarkEnd w:id="3512"/>
      <w:bookmarkStart w:id="3513" w:name="_Hlt520356243"/>
      <w:bookmarkEnd w:id="3513"/>
      <w:bookmarkStart w:id="3514" w:name="_Toc480942350"/>
      <w:bookmarkStart w:id="3515" w:name="_Toc305158825"/>
      <w:bookmarkStart w:id="3516" w:name="_Toc226337253"/>
      <w:bookmarkStart w:id="3517" w:name="_Toc195842922"/>
      <w:bookmarkStart w:id="3518" w:name="_Toc150480795"/>
      <w:bookmarkStart w:id="3519" w:name="_Toc226965830"/>
      <w:bookmarkStart w:id="3520" w:name="_Toc127151557"/>
      <w:bookmarkStart w:id="3521" w:name="_Toc520356218"/>
      <w:bookmarkStart w:id="3522" w:name="_Toc226309801"/>
      <w:bookmarkStart w:id="3523" w:name="_Toc264969247"/>
      <w:bookmarkStart w:id="3524" w:name="_Toc265228395"/>
      <w:bookmarkStart w:id="3525" w:name="_Toc305158899"/>
      <w:bookmarkStart w:id="3526" w:name="_Toc142311059"/>
      <w:bookmarkStart w:id="3527" w:name="_Toc150774762"/>
      <w:bookmarkStart w:id="3528" w:name="_Toc226965747"/>
      <w:bookmarkStart w:id="3529" w:name="_Ref467988705"/>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6  授权委托书</w:t>
      </w: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授权委托书</w:t>
      </w:r>
    </w:p>
    <w:p>
      <w:pPr>
        <w:spacing w:line="360" w:lineRule="auto"/>
        <w:ind w:firstLine="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委托期限：自本授权委托书签署之日起至响应有效期届满之日止。</w:t>
      </w:r>
    </w:p>
    <w:p>
      <w:pPr>
        <w:spacing w:line="360" w:lineRule="auto"/>
        <w:ind w:firstLine="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代理人无转委托权。</w:t>
      </w:r>
      <w:r>
        <w:rPr>
          <w:rFonts w:eastAsiaTheme="minorEastAsia"/>
          <w:color w:val="000000" w:themeColor="text1"/>
          <w:sz w:val="21"/>
          <w:szCs w:val="21"/>
          <w14:textFill>
            <w14:solidFill>
              <w14:schemeClr w14:val="tx1"/>
            </w14:solidFill>
          </w14:textFill>
        </w:rPr>
        <w:cr/>
      </w:r>
    </w:p>
    <w:p>
      <w:pPr>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______________</w:t>
      </w:r>
    </w:p>
    <w:p>
      <w:pPr>
        <w:spacing w:line="36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法定代表人（单位负责人）（签字</w:t>
      </w:r>
      <w:r>
        <w:rPr>
          <w:rFonts w:hint="eastAsia" w:ascii="宋体" w:hAnsi="宋体"/>
          <w:color w:val="000000" w:themeColor="text1"/>
          <w:sz w:val="21"/>
          <w:szCs w:val="21"/>
          <w14:textFill>
            <w14:solidFill>
              <w14:schemeClr w14:val="tx1"/>
            </w14:solidFill>
          </w14:textFill>
        </w:rPr>
        <w:t>、签章</w:t>
      </w:r>
      <w:r>
        <w:rPr>
          <w:rFonts w:eastAsiaTheme="minorEastAsia"/>
          <w:color w:val="000000" w:themeColor="text1"/>
          <w:sz w:val="21"/>
          <w:szCs w:val="21"/>
          <w14:textFill>
            <w14:solidFill>
              <w14:schemeClr w14:val="tx1"/>
            </w14:solidFill>
          </w14:textFill>
        </w:rPr>
        <w:t>或印鉴）：______________</w:t>
      </w: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委托代理人（签字</w:t>
      </w:r>
      <w:r>
        <w:rPr>
          <w:rFonts w:hint="eastAsia" w:ascii="宋体" w:hAnsi="宋体"/>
          <w:color w:val="000000" w:themeColor="text1"/>
          <w:sz w:val="21"/>
          <w:szCs w:val="21"/>
          <w14:textFill>
            <w14:solidFill>
              <w14:schemeClr w14:val="tx1"/>
            </w14:solidFill>
          </w14:textFill>
        </w:rPr>
        <w:t>/签章</w:t>
      </w:r>
      <w:r>
        <w:rPr>
          <w:rFonts w:eastAsiaTheme="minorEastAsia"/>
          <w:color w:val="000000" w:themeColor="text1"/>
          <w:sz w:val="21"/>
          <w:szCs w:val="21"/>
          <w14:textFill>
            <w14:solidFill>
              <w14:schemeClr w14:val="tx1"/>
            </w14:solidFill>
          </w14:textFill>
        </w:rPr>
        <w:t>）：______________</w:t>
      </w:r>
      <w:r>
        <w:rPr>
          <w:rFonts w:eastAsiaTheme="minorEastAsia"/>
          <w:color w:val="000000" w:themeColor="text1"/>
          <w:sz w:val="21"/>
          <w:szCs w:val="21"/>
          <w:lang w:val="zh-CN"/>
          <w14:textFill>
            <w14:solidFill>
              <w14:schemeClr w14:val="tx1"/>
            </w14:solidFill>
          </w14:textFill>
        </w:rPr>
        <w:t xml:space="preserve">        </w:t>
      </w: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日期：____年____月____日</w:t>
      </w:r>
    </w:p>
    <w:p>
      <w:pPr>
        <w:tabs>
          <w:tab w:val="left" w:pos="5580"/>
        </w:tabs>
        <w:spacing w:line="360" w:lineRule="auto"/>
        <w:ind w:firstLine="480" w:firstLineChars="200"/>
        <w:rPr>
          <w:rFonts w:eastAsiaTheme="minorEastAsia"/>
          <w:color w:val="000000" w:themeColor="text1"/>
          <w:sz w:val="24"/>
          <w:szCs w:val="20"/>
          <w14:textFill>
            <w14:solidFill>
              <w14:schemeClr w14:val="tx1"/>
            </w14:solidFill>
          </w14:textFill>
        </w:rPr>
      </w:pPr>
    </w:p>
    <w:p>
      <w:pPr>
        <w:spacing w:line="360" w:lineRule="auto"/>
        <w:ind w:firstLine="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法定代表人（单位负责人）有效期内的身份证正反面电子件：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c>
          <w:tcPr>
            <w:tcW w:w="4536"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r>
    </w:tbl>
    <w:p>
      <w:pPr>
        <w:spacing w:line="360" w:lineRule="auto"/>
        <w:ind w:firstLine="42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委托代理人有效期内的身份证正反面电子件：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c>
          <w:tcPr>
            <w:tcW w:w="4536"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r>
    </w:tbl>
    <w:p>
      <w:pPr>
        <w:tabs>
          <w:tab w:val="left" w:pos="5580"/>
        </w:tabs>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说明：</w:t>
      </w:r>
    </w:p>
    <w:p>
      <w:pPr>
        <w:tabs>
          <w:tab w:val="left" w:pos="5580"/>
        </w:tabs>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3.供应商为自然人的情形，可不提供本《授权委托书》。</w:t>
      </w:r>
    </w:p>
    <w:p>
      <w:pPr>
        <w:tabs>
          <w:tab w:val="left" w:pos="5580"/>
        </w:tabs>
        <w:spacing w:line="360" w:lineRule="auto"/>
        <w:jc w:val="left"/>
        <w:rPr>
          <w:rFonts w:ascii="宋体" w:hAnsi="宋体" w:cs="宋体"/>
          <w:b/>
          <w:sz w:val="21"/>
          <w:szCs w:val="21"/>
        </w:rPr>
      </w:pPr>
      <w:r>
        <w:rPr>
          <w:rFonts w:hint="eastAsia" w:eastAsiaTheme="minorEastAsia"/>
          <w:color w:val="000000" w:themeColor="text1"/>
          <w:sz w:val="21"/>
          <w:szCs w:val="21"/>
          <w14:textFill>
            <w14:solidFill>
              <w14:schemeClr w14:val="tx1"/>
            </w14:solidFill>
          </w14:textFill>
        </w:rPr>
        <w:t>4.</w:t>
      </w:r>
      <w:r>
        <w:rPr>
          <w:rFonts w:hint="eastAsia" w:ascii="宋体" w:hAnsi="宋体" w:cs="宋体"/>
          <w:b/>
          <w:sz w:val="21"/>
          <w:szCs w:val="21"/>
        </w:rPr>
        <w:t>授权委托书或法定代表人身份证明：此项资料除装订在响应文件中，另附一份随磋商响应文件一同递交，以便核实身份，身份证原件携带备查。</w:t>
      </w:r>
    </w:p>
    <w:p>
      <w:pPr>
        <w:pStyle w:val="19"/>
        <w:ind w:left="840" w:hanging="420"/>
      </w:pPr>
    </w:p>
    <w:p>
      <w:pPr>
        <w:autoSpaceDE w:val="0"/>
        <w:autoSpaceDN w:val="0"/>
        <w:adjustRightInd w:val="0"/>
        <w:spacing w:line="360" w:lineRule="auto"/>
        <w:jc w:val="center"/>
        <w:rPr>
          <w:rFonts w:hint="eastAsia" w:eastAsiaTheme="minorEastAsia"/>
          <w:b/>
          <w:color w:val="000000" w:themeColor="text1"/>
          <w:sz w:val="36"/>
          <w:szCs w:val="36"/>
          <w14:textFill>
            <w14:solidFill>
              <w14:schemeClr w14:val="tx1"/>
            </w14:solidFill>
          </w14:textFill>
        </w:rPr>
      </w:pP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附：法定代表人（单位负责人）身份证明</w:t>
      </w:r>
    </w:p>
    <w:p>
      <w:pPr>
        <w:kinsoku w:val="0"/>
        <w:overflowPunct w:val="0"/>
        <w:spacing w:line="200" w:lineRule="exact"/>
        <w:rPr>
          <w:rFonts w:eastAsiaTheme="minorEastAsia"/>
          <w:color w:val="000000" w:themeColor="text1"/>
          <w:sz w:val="20"/>
          <w:szCs w:val="20"/>
          <w14:textFill>
            <w14:solidFill>
              <w14:schemeClr w14:val="tx1"/>
            </w14:solidFill>
          </w14:textFill>
        </w:rPr>
      </w:pPr>
    </w:p>
    <w:p>
      <w:pPr>
        <w:tabs>
          <w:tab w:val="left" w:pos="5580"/>
        </w:tabs>
        <w:spacing w:line="36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致：____（采购人或采购代理机构）</w:t>
      </w:r>
    </w:p>
    <w:p>
      <w:pPr>
        <w:pStyle w:val="17"/>
        <w:tabs>
          <w:tab w:val="left" w:pos="2412"/>
          <w:tab w:val="left" w:pos="3883"/>
          <w:tab w:val="left" w:pos="5352"/>
          <w:tab w:val="left" w:pos="6821"/>
        </w:tabs>
        <w:kinsoku w:val="0"/>
        <w:overflowPunct w:val="0"/>
        <w:spacing w:line="335" w:lineRule="exact"/>
        <w:ind w:firstLine="420" w:firstLineChars="200"/>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姓名：____性别：____年龄：____职务：____</w:t>
      </w:r>
    </w:p>
    <w:p>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系__________（供应商名称）的法定代表人（单位负责人）。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color w:val="000000" w:themeColor="text1"/>
          <w:sz w:val="21"/>
          <w:szCs w:val="21"/>
          <w14:textFill>
            <w14:solidFill>
              <w14:schemeClr w14:val="tx1"/>
            </w14:solidFill>
          </w14:textFill>
        </w:rPr>
      </w:pPr>
    </w:p>
    <w:p>
      <w:pPr>
        <w:pStyle w:val="17"/>
        <w:kinsoku w:val="0"/>
        <w:overflowPunct w:val="0"/>
        <w:spacing w:line="583" w:lineRule="auto"/>
        <w:ind w:right="-46"/>
        <w:rPr>
          <w:rFonts w:ascii="Times New Roman" w:hAnsi="Times New Roman" w:eastAsiaTheme="minorEastAsia"/>
          <w:color w:val="000000" w:themeColor="text1"/>
          <w:spacing w:val="-3"/>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附：</w:t>
      </w:r>
      <w:r>
        <w:rPr>
          <w:rFonts w:ascii="Times New Roman" w:hAnsi="Times New Roman" w:eastAsiaTheme="minorEastAsia"/>
          <w:color w:val="000000" w:themeColor="text1"/>
          <w:spacing w:val="-3"/>
          <w:sz w:val="21"/>
          <w:szCs w:val="21"/>
          <w14:textFill>
            <w14:solidFill>
              <w14:schemeClr w14:val="tx1"/>
            </w14:solidFill>
          </w14:textFill>
        </w:rPr>
        <w:t>法</w:t>
      </w:r>
      <w:r>
        <w:rPr>
          <w:rFonts w:ascii="Times New Roman" w:hAnsi="Times New Roman" w:eastAsiaTheme="minorEastAsia"/>
          <w:color w:val="000000" w:themeColor="text1"/>
          <w:sz w:val="21"/>
          <w:szCs w:val="21"/>
          <w14:textFill>
            <w14:solidFill>
              <w14:schemeClr w14:val="tx1"/>
            </w14:solidFill>
          </w14:textFill>
        </w:rPr>
        <w:t>定</w:t>
      </w:r>
      <w:r>
        <w:rPr>
          <w:rFonts w:ascii="Times New Roman" w:hAnsi="Times New Roman" w:eastAsiaTheme="minorEastAsia"/>
          <w:color w:val="000000" w:themeColor="text1"/>
          <w:spacing w:val="-3"/>
          <w:sz w:val="21"/>
          <w:szCs w:val="21"/>
          <w14:textFill>
            <w14:solidFill>
              <w14:schemeClr w14:val="tx1"/>
            </w14:solidFill>
          </w14:textFill>
        </w:rPr>
        <w:t>代</w:t>
      </w:r>
      <w:r>
        <w:rPr>
          <w:rFonts w:ascii="Times New Roman" w:hAnsi="Times New Roman" w:eastAsiaTheme="minorEastAsia"/>
          <w:color w:val="000000" w:themeColor="text1"/>
          <w:sz w:val="21"/>
          <w:szCs w:val="21"/>
          <w14:textFill>
            <w14:solidFill>
              <w14:schemeClr w14:val="tx1"/>
            </w14:solidFill>
          </w14:textFill>
        </w:rPr>
        <w:t>表</w:t>
      </w:r>
      <w:r>
        <w:rPr>
          <w:rFonts w:ascii="Times New Roman" w:hAnsi="Times New Roman" w:eastAsiaTheme="minorEastAsia"/>
          <w:color w:val="000000" w:themeColor="text1"/>
          <w:spacing w:val="-3"/>
          <w:sz w:val="21"/>
          <w:szCs w:val="21"/>
          <w14:textFill>
            <w14:solidFill>
              <w14:schemeClr w14:val="tx1"/>
            </w14:solidFill>
          </w14:textFill>
        </w:rPr>
        <w:t>人</w:t>
      </w:r>
      <w:r>
        <w:rPr>
          <w:rFonts w:ascii="Times New Roman" w:hAnsi="Times New Roman" w:eastAsiaTheme="minorEastAsia"/>
          <w:color w:val="000000" w:themeColor="text1"/>
          <w:sz w:val="21"/>
          <w:szCs w:val="21"/>
          <w14:textFill>
            <w14:solidFill>
              <w14:schemeClr w14:val="tx1"/>
            </w14:solidFill>
          </w14:textFill>
        </w:rPr>
        <w:t>（</w:t>
      </w:r>
      <w:r>
        <w:rPr>
          <w:rFonts w:ascii="Times New Roman" w:hAnsi="Times New Roman" w:eastAsiaTheme="minorEastAsia"/>
          <w:color w:val="000000" w:themeColor="text1"/>
          <w:spacing w:val="-3"/>
          <w:sz w:val="21"/>
          <w:szCs w:val="21"/>
          <w14:textFill>
            <w14:solidFill>
              <w14:schemeClr w14:val="tx1"/>
            </w14:solidFill>
          </w14:textFill>
        </w:rPr>
        <w:t>单</w:t>
      </w:r>
      <w:r>
        <w:rPr>
          <w:rFonts w:ascii="Times New Roman" w:hAnsi="Times New Roman" w:eastAsiaTheme="minorEastAsia"/>
          <w:color w:val="000000" w:themeColor="text1"/>
          <w:sz w:val="21"/>
          <w:szCs w:val="21"/>
          <w14:textFill>
            <w14:solidFill>
              <w14:schemeClr w14:val="tx1"/>
            </w14:solidFill>
          </w14:textFill>
        </w:rPr>
        <w:t>位</w:t>
      </w:r>
      <w:r>
        <w:rPr>
          <w:rFonts w:ascii="Times New Roman" w:hAnsi="Times New Roman" w:eastAsiaTheme="minorEastAsia"/>
          <w:color w:val="000000" w:themeColor="text1"/>
          <w:spacing w:val="-3"/>
          <w:sz w:val="21"/>
          <w:szCs w:val="21"/>
          <w14:textFill>
            <w14:solidFill>
              <w14:schemeClr w14:val="tx1"/>
            </w14:solidFill>
          </w14:textFill>
        </w:rPr>
        <w:t>负</w:t>
      </w:r>
      <w:r>
        <w:rPr>
          <w:rFonts w:ascii="Times New Roman" w:hAnsi="Times New Roman" w:eastAsiaTheme="minorEastAsia"/>
          <w:color w:val="000000" w:themeColor="text1"/>
          <w:sz w:val="21"/>
          <w:szCs w:val="21"/>
          <w14:textFill>
            <w14:solidFill>
              <w14:schemeClr w14:val="tx1"/>
            </w14:solidFill>
          </w14:textFill>
        </w:rPr>
        <w:t>责人</w:t>
      </w:r>
      <w:r>
        <w:rPr>
          <w:rFonts w:ascii="Times New Roman" w:hAnsi="Times New Roman" w:eastAsiaTheme="minorEastAsia"/>
          <w:color w:val="000000" w:themeColor="text1"/>
          <w:spacing w:val="-3"/>
          <w:sz w:val="21"/>
          <w:szCs w:val="21"/>
          <w14:textFill>
            <w14:solidFill>
              <w14:schemeClr w14:val="tx1"/>
            </w14:solidFill>
          </w14:textFill>
        </w:rPr>
        <w:t>）有效期内的身份证正反面电子件。</w:t>
      </w:r>
    </w:p>
    <w:tbl>
      <w:tblPr>
        <w:tblStyle w:val="44"/>
        <w:tblW w:w="91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41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c>
          <w:tcPr>
            <w:tcW w:w="4109" w:type="dxa"/>
          </w:tcPr>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p>
            <w:pPr>
              <w:tabs>
                <w:tab w:val="left" w:pos="5580"/>
              </w:tabs>
              <w:spacing w:line="360" w:lineRule="auto"/>
              <w:jc w:val="left"/>
              <w:rPr>
                <w:rFonts w:eastAsiaTheme="minorEastAsia"/>
                <w:color w:val="000000" w:themeColor="text1"/>
                <w:sz w:val="24"/>
                <w:szCs w:val="20"/>
                <w14:textFill>
                  <w14:solidFill>
                    <w14:schemeClr w14:val="tx1"/>
                  </w14:solidFill>
                </w14:textFill>
              </w:rPr>
            </w:pPr>
          </w:p>
        </w:tc>
      </w:tr>
    </w:tbl>
    <w:p>
      <w:pPr>
        <w:pStyle w:val="17"/>
        <w:kinsoku w:val="0"/>
        <w:overflowPunct w:val="0"/>
        <w:spacing w:line="583" w:lineRule="auto"/>
        <w:ind w:right="4305"/>
        <w:rPr>
          <w:rFonts w:ascii="Times New Roman" w:hAnsi="Times New Roman" w:eastAsiaTheme="minorEastAsia"/>
          <w:color w:val="000000" w:themeColor="text1"/>
          <w:spacing w:val="-3"/>
          <w14:textFill>
            <w14:solidFill>
              <w14:schemeClr w14:val="tx1"/>
            </w14:solidFill>
          </w14:textFill>
        </w:rPr>
      </w:pPr>
    </w:p>
    <w:p>
      <w:pPr>
        <w:pStyle w:val="17"/>
        <w:kinsoku w:val="0"/>
        <w:overflowPunct w:val="0"/>
        <w:spacing w:line="583" w:lineRule="auto"/>
        <w:ind w:right="4305"/>
        <w:rPr>
          <w:rFonts w:ascii="Times New Roman" w:hAnsi="Times New Roman" w:eastAsiaTheme="minorEastAsia"/>
          <w:color w:val="000000" w:themeColor="text1"/>
          <w:spacing w:val="-3"/>
          <w14:textFill>
            <w14:solidFill>
              <w14:schemeClr w14:val="tx1"/>
            </w14:solidFill>
          </w14:textFill>
        </w:rPr>
      </w:pPr>
    </w:p>
    <w:p>
      <w:pPr>
        <w:pStyle w:val="17"/>
        <w:kinsoku w:val="0"/>
        <w:overflowPunct w:val="0"/>
        <w:spacing w:line="583" w:lineRule="auto"/>
        <w:ind w:right="4305"/>
        <w:rPr>
          <w:rFonts w:ascii="Times New Roman" w:hAnsi="Times New Roman" w:eastAsiaTheme="minorEastAsia"/>
          <w:color w:val="000000" w:themeColor="text1"/>
          <w:spacing w:val="-3"/>
          <w14:textFill>
            <w14:solidFill>
              <w14:schemeClr w14:val="tx1"/>
            </w14:solidFill>
          </w14:textFill>
        </w:rPr>
      </w:pP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w:t>
      </w: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pacing w:val="-3"/>
          <w:sz w:val="21"/>
          <w:szCs w:val="21"/>
          <w14:textFill>
            <w14:solidFill>
              <w14:schemeClr w14:val="tx1"/>
            </w14:solidFill>
          </w14:textFill>
        </w:rPr>
        <w:t>法定代表人（</w:t>
      </w:r>
      <w:r>
        <w:rPr>
          <w:rFonts w:eastAsiaTheme="minorEastAsia"/>
          <w:color w:val="000000" w:themeColor="text1"/>
          <w:sz w:val="21"/>
          <w:szCs w:val="21"/>
          <w14:textFill>
            <w14:solidFill>
              <w14:schemeClr w14:val="tx1"/>
            </w14:solidFill>
          </w14:textFill>
        </w:rPr>
        <w:t>单位负责人</w:t>
      </w:r>
      <w:r>
        <w:rPr>
          <w:rFonts w:eastAsiaTheme="minorEastAsia"/>
          <w:color w:val="000000" w:themeColor="text1"/>
          <w:spacing w:val="-3"/>
          <w:sz w:val="21"/>
          <w:szCs w:val="21"/>
          <w14:textFill>
            <w14:solidFill>
              <w14:schemeClr w14:val="tx1"/>
            </w14:solidFill>
          </w14:textFill>
        </w:rPr>
        <w:t>）（签字</w:t>
      </w:r>
      <w:r>
        <w:rPr>
          <w:rFonts w:hint="eastAsia" w:ascii="宋体" w:hAnsi="宋体"/>
          <w:color w:val="000000" w:themeColor="text1"/>
          <w:sz w:val="21"/>
          <w:szCs w:val="16"/>
          <w14:textFill>
            <w14:solidFill>
              <w14:schemeClr w14:val="tx1"/>
            </w14:solidFill>
          </w14:textFill>
        </w:rPr>
        <w:t>、签章</w:t>
      </w:r>
      <w:r>
        <w:rPr>
          <w:rFonts w:eastAsiaTheme="minorEastAsia"/>
          <w:color w:val="000000" w:themeColor="text1"/>
          <w:spacing w:val="-3"/>
          <w:sz w:val="21"/>
          <w:szCs w:val="21"/>
          <w14:textFill>
            <w14:solidFill>
              <w14:schemeClr w14:val="tx1"/>
            </w14:solidFill>
          </w14:textFill>
        </w:rPr>
        <w:t>或印鉴）：</w:t>
      </w:r>
      <w:r>
        <w:rPr>
          <w:rFonts w:eastAsiaTheme="minorEastAsia"/>
          <w:color w:val="000000" w:themeColor="text1"/>
          <w:sz w:val="21"/>
          <w:szCs w:val="21"/>
          <w14:textFill>
            <w14:solidFill>
              <w14:schemeClr w14:val="tx1"/>
            </w14:solidFill>
          </w14:textFill>
        </w:rPr>
        <w:t>______</w:t>
      </w: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日期：</w:t>
      </w:r>
      <w:r>
        <w:rPr>
          <w:rFonts w:eastAsiaTheme="minorEastAsia"/>
          <w:color w:val="000000" w:themeColor="text1"/>
          <w:sz w:val="21"/>
          <w:szCs w:val="16"/>
          <w14:textFill>
            <w14:solidFill>
              <w14:schemeClr w14:val="tx1"/>
            </w14:solidFill>
          </w14:textFill>
        </w:rPr>
        <w:t>____年____月____日</w:t>
      </w:r>
    </w:p>
    <w:p>
      <w:pPr>
        <w:widowControl/>
        <w:jc w:val="left"/>
        <w:rPr>
          <w:rFonts w:eastAsiaTheme="minorEastAsia"/>
          <w:i/>
          <w:color w:val="000000" w:themeColor="text1"/>
          <w:sz w:val="24"/>
          <w:szCs w:val="20"/>
          <w:u w:val="single"/>
          <w14:textFill>
            <w14:solidFill>
              <w14:schemeClr w14:val="tx1"/>
            </w14:solidFill>
          </w14:textFill>
        </w:rPr>
      </w:pPr>
    </w:p>
    <w:p>
      <w:pPr>
        <w:widowControl/>
        <w:jc w:val="left"/>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7  </w:t>
      </w:r>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r>
        <w:rPr>
          <w:rFonts w:hint="eastAsia" w:eastAsiaTheme="minorEastAsia"/>
          <w:color w:val="000000" w:themeColor="text1"/>
          <w:sz w:val="24"/>
          <w14:textFill>
            <w14:solidFill>
              <w14:schemeClr w14:val="tx1"/>
            </w14:solidFill>
          </w14:textFill>
        </w:rPr>
        <w:t>首次报价表</w:t>
      </w:r>
    </w:p>
    <w:p>
      <w:pPr>
        <w:spacing w:line="360" w:lineRule="exact"/>
        <w:jc w:val="center"/>
        <w:rPr>
          <w:rFonts w:eastAsiaTheme="minorEastAsia"/>
          <w:b/>
          <w:color w:val="000000" w:themeColor="text1"/>
          <w:sz w:val="36"/>
          <w:szCs w:val="36"/>
          <w14:textFill>
            <w14:solidFill>
              <w14:schemeClr w14:val="tx1"/>
            </w14:solidFill>
          </w14:textFill>
        </w:rPr>
      </w:pPr>
      <w:bookmarkStart w:id="3530" w:name="_Toc226309802"/>
      <w:bookmarkStart w:id="3531" w:name="_Toc265228396"/>
      <w:bookmarkStart w:id="3532" w:name="_Toc305158900"/>
      <w:bookmarkStart w:id="3533" w:name="_Toc195842923"/>
      <w:bookmarkStart w:id="3534" w:name="_Toc305158826"/>
      <w:bookmarkStart w:id="3535" w:name="_Toc164608827"/>
      <w:bookmarkStart w:id="3536" w:name="_Toc226337254"/>
      <w:bookmarkStart w:id="3537" w:name="_Toc226965831"/>
      <w:bookmarkStart w:id="3538" w:name="_Toc264969248"/>
      <w:bookmarkStart w:id="3539" w:name="_Toc226965748"/>
      <w:bookmarkStart w:id="3540" w:name="_Toc164608672"/>
      <w:r>
        <w:rPr>
          <w:rFonts w:hint="eastAsia" w:eastAsiaTheme="minorEastAsia"/>
          <w:b/>
          <w:color w:val="000000" w:themeColor="text1"/>
          <w:sz w:val="36"/>
          <w:szCs w:val="36"/>
          <w14:textFill>
            <w14:solidFill>
              <w14:schemeClr w14:val="tx1"/>
            </w14:solidFill>
          </w14:textFill>
        </w:rPr>
        <w:t>首次报价表</w:t>
      </w:r>
      <w:bookmarkEnd w:id="3530"/>
      <w:bookmarkEnd w:id="3531"/>
      <w:bookmarkEnd w:id="3532"/>
      <w:bookmarkEnd w:id="3533"/>
      <w:bookmarkEnd w:id="3534"/>
      <w:bookmarkEnd w:id="3535"/>
      <w:bookmarkEnd w:id="3536"/>
      <w:bookmarkEnd w:id="3537"/>
      <w:bookmarkEnd w:id="3538"/>
      <w:bookmarkEnd w:id="3539"/>
      <w:bookmarkEnd w:id="3540"/>
    </w:p>
    <w:p>
      <w:pPr>
        <w:tabs>
          <w:tab w:val="left" w:pos="1800"/>
          <w:tab w:val="left" w:pos="5580"/>
        </w:tabs>
        <w:spacing w:line="360" w:lineRule="auto"/>
        <w:jc w:val="left"/>
        <w:rPr>
          <w:rFonts w:eastAsiaTheme="minorEastAsia"/>
          <w:color w:val="000000" w:themeColor="text1"/>
          <w:sz w:val="24"/>
          <w14:textFill>
            <w14:solidFill>
              <w14:schemeClr w14:val="tx1"/>
            </w14:solidFill>
          </w14:textFill>
        </w:rPr>
      </w:pPr>
    </w:p>
    <w:p>
      <w:pPr>
        <w:tabs>
          <w:tab w:val="left" w:pos="1800"/>
          <w:tab w:val="left" w:pos="5580"/>
        </w:tabs>
        <w:spacing w:line="360" w:lineRule="auto"/>
        <w:ind w:firstLine="210" w:firstLineChars="1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项目编号：___________     </w:t>
      </w:r>
    </w:p>
    <w:p>
      <w:pPr>
        <w:tabs>
          <w:tab w:val="left" w:pos="1800"/>
          <w:tab w:val="left" w:pos="5580"/>
        </w:tabs>
        <w:spacing w:line="360" w:lineRule="auto"/>
        <w:ind w:firstLine="210" w:firstLineChars="1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项目名称：___________</w:t>
      </w:r>
    </w:p>
    <w:p>
      <w:pPr>
        <w:wordWrap w:val="0"/>
        <w:spacing w:line="440" w:lineRule="exact"/>
        <w:ind w:right="480"/>
        <w:jc w:val="right"/>
        <w:rPr>
          <w:sz w:val="21"/>
          <w:szCs w:val="21"/>
        </w:rPr>
      </w:pPr>
      <w:r>
        <w:rPr>
          <w:rFonts w:hint="eastAsia" w:ascii="宋体" w:hAnsi="宋体" w:cs="宋体"/>
          <w:sz w:val="21"/>
          <w:szCs w:val="21"/>
        </w:rPr>
        <w:t>单位：人民币    元</w:t>
      </w:r>
    </w:p>
    <w:tbl>
      <w:tblPr>
        <w:tblStyle w:val="4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768"/>
        <w:gridCol w:w="6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468" w:type="dxa"/>
            <w:vAlign w:val="center"/>
          </w:tcPr>
          <w:p>
            <w:pPr>
              <w:spacing w:line="440" w:lineRule="exact"/>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1</w:t>
            </w:r>
          </w:p>
        </w:tc>
        <w:tc>
          <w:tcPr>
            <w:tcW w:w="1768" w:type="dxa"/>
            <w:vAlign w:val="center"/>
          </w:tcPr>
          <w:p>
            <w:pPr>
              <w:spacing w:line="440" w:lineRule="exact"/>
              <w:jc w:val="center"/>
              <w:rPr>
                <w:rFonts w:ascii="宋体" w:hAnsi="宋体" w:cs="宋体"/>
                <w:sz w:val="21"/>
                <w:szCs w:val="21"/>
              </w:rPr>
            </w:pPr>
            <w:r>
              <w:rPr>
                <w:rFonts w:hint="eastAsia" w:ascii="宋体" w:hAnsi="宋体" w:cs="宋体"/>
                <w:b/>
                <w:sz w:val="21"/>
                <w:szCs w:val="21"/>
              </w:rPr>
              <w:t>报价</w:t>
            </w:r>
          </w:p>
        </w:tc>
        <w:tc>
          <w:tcPr>
            <w:tcW w:w="6933" w:type="dxa"/>
            <w:vAlign w:val="bottom"/>
          </w:tcPr>
          <w:p>
            <w:pPr>
              <w:tabs>
                <w:tab w:val="left" w:leader="underscore" w:pos="3600"/>
                <w:tab w:val="left" w:leader="underscore" w:pos="5400"/>
              </w:tabs>
              <w:spacing w:line="400" w:lineRule="exact"/>
              <w:rPr>
                <w:rFonts w:ascii="宋体" w:cs="Arial"/>
                <w:sz w:val="21"/>
                <w:szCs w:val="21"/>
              </w:rPr>
            </w:pPr>
            <w:r>
              <w:rPr>
                <w:rFonts w:hint="eastAsia" w:ascii="宋体" w:hAnsi="宋体" w:cs="Arial"/>
                <w:sz w:val="21"/>
                <w:szCs w:val="21"/>
              </w:rPr>
              <w:t>人民币（大写）：</w:t>
            </w:r>
            <w:r>
              <w:rPr>
                <w:rFonts w:ascii="宋体" w:hAnsi="宋体" w:cs="Arial"/>
                <w:sz w:val="21"/>
                <w:szCs w:val="21"/>
                <w:u w:val="single"/>
              </w:rPr>
              <w:t xml:space="preserve">                                    </w:t>
            </w:r>
          </w:p>
          <w:p>
            <w:pPr>
              <w:tabs>
                <w:tab w:val="left" w:leader="underscore" w:pos="3600"/>
                <w:tab w:val="left" w:leader="underscore" w:pos="5400"/>
              </w:tabs>
              <w:spacing w:line="400" w:lineRule="exact"/>
              <w:rPr>
                <w:rFonts w:ascii="宋体" w:hAnsi="宋体" w:cs="宋体"/>
                <w:sz w:val="21"/>
                <w:szCs w:val="21"/>
              </w:rPr>
            </w:pPr>
            <w:r>
              <w:rPr>
                <w:rFonts w:ascii="宋体" w:hAnsi="宋体"/>
                <w:sz w:val="21"/>
                <w:szCs w:val="21"/>
              </w:rPr>
              <w:t>RMB</w:t>
            </w:r>
            <w:r>
              <w:rPr>
                <w:rFonts w:hint="eastAsia" w:ascii="宋体" w:hAnsi="宋体"/>
                <w:sz w:val="21"/>
                <w:szCs w:val="21"/>
              </w:rPr>
              <w:t>￥</w:t>
            </w:r>
            <w:r>
              <w:rPr>
                <w:rFonts w:hint="eastAsia" w:ascii="宋体" w:hAnsi="宋体" w:cs="Arial"/>
                <w:sz w:val="21"/>
                <w:szCs w:val="21"/>
              </w:rPr>
              <w:t>：</w:t>
            </w:r>
            <w:r>
              <w:rPr>
                <w:rFonts w:ascii="宋体" w:hAnsi="宋体" w:cs="Arial"/>
                <w:sz w:val="21"/>
                <w:szCs w:val="21"/>
                <w:u w:val="single"/>
              </w:rPr>
              <w:t xml:space="preserve">                                            </w:t>
            </w:r>
            <w:r>
              <w:rPr>
                <w:rFonts w:hint="eastAsia" w:ascii="宋体" w:hAnsi="宋体" w:cs="Arial"/>
                <w:sz w:val="21"/>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468" w:type="dxa"/>
            <w:vAlign w:val="center"/>
          </w:tcPr>
          <w:p>
            <w:pPr>
              <w:spacing w:line="440" w:lineRule="exact"/>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2</w:t>
            </w:r>
          </w:p>
        </w:tc>
        <w:tc>
          <w:tcPr>
            <w:tcW w:w="1768" w:type="dxa"/>
            <w:vAlign w:val="center"/>
          </w:tcPr>
          <w:p>
            <w:pPr>
              <w:spacing w:line="440" w:lineRule="exact"/>
              <w:jc w:val="center"/>
              <w:rPr>
                <w:rFonts w:ascii="宋体" w:hAnsi="宋体" w:cs="宋体"/>
                <w:b/>
                <w:sz w:val="21"/>
                <w:szCs w:val="21"/>
              </w:rPr>
            </w:pPr>
            <w:r>
              <w:rPr>
                <w:rFonts w:hint="eastAsia" w:ascii="宋体" w:hAnsi="宋体" w:cs="宋体"/>
                <w:b/>
                <w:sz w:val="21"/>
                <w:szCs w:val="21"/>
              </w:rPr>
              <w:t>工期</w:t>
            </w:r>
          </w:p>
        </w:tc>
        <w:tc>
          <w:tcPr>
            <w:tcW w:w="6933" w:type="dxa"/>
            <w:vAlign w:val="center"/>
          </w:tcPr>
          <w:p>
            <w:pPr>
              <w:spacing w:line="440" w:lineRule="exact"/>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atLeast"/>
        </w:trPr>
        <w:tc>
          <w:tcPr>
            <w:tcW w:w="468" w:type="dxa"/>
            <w:vAlign w:val="center"/>
          </w:tcPr>
          <w:p>
            <w:pPr>
              <w:spacing w:line="440" w:lineRule="exact"/>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3</w:t>
            </w:r>
          </w:p>
        </w:tc>
        <w:tc>
          <w:tcPr>
            <w:tcW w:w="1768" w:type="dxa"/>
            <w:vAlign w:val="center"/>
          </w:tcPr>
          <w:p>
            <w:pPr>
              <w:spacing w:line="440" w:lineRule="exact"/>
              <w:jc w:val="center"/>
              <w:rPr>
                <w:rFonts w:ascii="宋体" w:hAnsi="宋体" w:cs="宋体"/>
                <w:b/>
                <w:sz w:val="21"/>
                <w:szCs w:val="21"/>
              </w:rPr>
            </w:pPr>
            <w:r>
              <w:rPr>
                <w:rFonts w:hint="eastAsia" w:ascii="宋体" w:hAnsi="宋体" w:cs="宋体"/>
                <w:b/>
                <w:sz w:val="21"/>
                <w:szCs w:val="21"/>
              </w:rPr>
              <w:t>质量标准</w:t>
            </w:r>
          </w:p>
        </w:tc>
        <w:tc>
          <w:tcPr>
            <w:tcW w:w="6933" w:type="dxa"/>
            <w:vAlign w:val="center"/>
          </w:tcPr>
          <w:p>
            <w:pPr>
              <w:spacing w:line="440" w:lineRule="exact"/>
              <w:jc w:val="center"/>
              <w:rPr>
                <w:rFonts w:ascii="宋体" w:hAnsi="宋体" w:cs="宋体"/>
                <w:sz w:val="21"/>
                <w:szCs w:val="21"/>
              </w:rPr>
            </w:pPr>
          </w:p>
        </w:tc>
      </w:tr>
    </w:tbl>
    <w:p>
      <w:pPr>
        <w:autoSpaceDE w:val="0"/>
        <w:autoSpaceDN w:val="0"/>
        <w:adjustRightInd w:val="0"/>
        <w:jc w:val="left"/>
        <w:rPr>
          <w:rFonts w:eastAsiaTheme="minorEastAsia"/>
          <w:color w:val="000000" w:themeColor="text1"/>
          <w:kern w:val="0"/>
          <w:sz w:val="21"/>
          <w:szCs w:val="21"/>
          <w14:textFill>
            <w14:solidFill>
              <w14:schemeClr w14:val="tx1"/>
            </w14:solidFill>
          </w14:textFill>
        </w:rPr>
      </w:pPr>
    </w:p>
    <w:p>
      <w:pPr>
        <w:autoSpaceDE w:val="0"/>
        <w:autoSpaceDN w:val="0"/>
        <w:adjustRightInd w:val="0"/>
        <w:jc w:val="left"/>
        <w:rPr>
          <w:rFonts w:eastAsiaTheme="minorEastAsia"/>
          <w:color w:val="000000" w:themeColor="text1"/>
          <w:sz w:val="21"/>
          <w:szCs w:val="21"/>
          <w14:textFill>
            <w14:solidFill>
              <w14:schemeClr w14:val="tx1"/>
            </w14:solidFill>
          </w14:textFill>
        </w:rPr>
      </w:pPr>
      <w:r>
        <w:rPr>
          <w:rFonts w:eastAsiaTheme="minorEastAsia"/>
          <w:color w:val="000000" w:themeColor="text1"/>
          <w:kern w:val="0"/>
          <w:sz w:val="21"/>
          <w:szCs w:val="21"/>
          <w14:textFill>
            <w14:solidFill>
              <w14:schemeClr w14:val="tx1"/>
            </w14:solidFill>
          </w14:textFill>
        </w:rPr>
        <w:t>注：1</w:t>
      </w:r>
      <w:r>
        <w:rPr>
          <w:rFonts w:eastAsiaTheme="minorEastAsia"/>
          <w:color w:val="000000" w:themeColor="text1"/>
          <w:sz w:val="21"/>
          <w:szCs w:val="21"/>
          <w14:textFill>
            <w14:solidFill>
              <w14:schemeClr w14:val="tx1"/>
            </w14:solidFill>
          </w14:textFill>
        </w:rPr>
        <w:t>.此表中，</w:t>
      </w:r>
      <w:r>
        <w:rPr>
          <w:rFonts w:hint="eastAsia" w:eastAsiaTheme="minorEastAsia"/>
          <w:color w:val="000000" w:themeColor="text1"/>
          <w:sz w:val="21"/>
          <w:szCs w:val="21"/>
          <w14:textFill>
            <w14:solidFill>
              <w14:schemeClr w14:val="tx1"/>
            </w14:solidFill>
          </w14:textFill>
        </w:rPr>
        <w:t>每包的总</w:t>
      </w:r>
      <w:r>
        <w:rPr>
          <w:rFonts w:eastAsiaTheme="minorEastAsia"/>
          <w:color w:val="000000" w:themeColor="text1"/>
          <w:sz w:val="21"/>
          <w:szCs w:val="21"/>
          <w14:textFill>
            <w14:solidFill>
              <w14:schemeClr w14:val="tx1"/>
            </w14:solidFill>
          </w14:textFill>
        </w:rPr>
        <w:t>报价应和《</w:t>
      </w:r>
      <w:r>
        <w:rPr>
          <w:rFonts w:hint="eastAsia" w:eastAsiaTheme="minorEastAsia"/>
          <w:color w:val="000000" w:themeColor="text1"/>
          <w:sz w:val="21"/>
          <w:szCs w:val="21"/>
          <w14:textFill>
            <w14:solidFill>
              <w14:schemeClr w14:val="tx1"/>
            </w14:solidFill>
          </w14:textFill>
        </w:rPr>
        <w:t>工程量清单报价明细表</w:t>
      </w:r>
      <w:r>
        <w:rPr>
          <w:rFonts w:eastAsiaTheme="minorEastAsia"/>
          <w:color w:val="000000" w:themeColor="text1"/>
          <w:sz w:val="21"/>
          <w:szCs w:val="21"/>
          <w14:textFill>
            <w14:solidFill>
              <w14:schemeClr w14:val="tx1"/>
            </w14:solidFill>
          </w14:textFill>
        </w:rPr>
        <w:t>》中的总价相一致。</w:t>
      </w:r>
    </w:p>
    <w:p>
      <w:pPr>
        <w:tabs>
          <w:tab w:val="left" w:pos="5580"/>
        </w:tabs>
        <w:ind w:firstLine="420" w:firstLineChars="200"/>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2.本表必须按包分别填写。</w:t>
      </w:r>
    </w:p>
    <w:p>
      <w:pPr>
        <w:tabs>
          <w:tab w:val="left" w:pos="5580"/>
        </w:tabs>
        <w:ind w:firstLine="420" w:firstLineChars="200"/>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360" w:lineRule="auto"/>
        <w:rPr>
          <w:rFonts w:eastAsiaTheme="minorEastAsia"/>
          <w:color w:val="000000" w:themeColor="text1"/>
          <w:sz w:val="21"/>
          <w:szCs w:val="21"/>
          <w:lang w:val="zh-CN"/>
          <w14:textFill>
            <w14:solidFill>
              <w14:schemeClr w14:val="tx1"/>
            </w14:solidFill>
          </w14:textFill>
        </w:rPr>
      </w:pPr>
    </w:p>
    <w:p>
      <w:pPr>
        <w:autoSpaceDE w:val="0"/>
        <w:autoSpaceDN w:val="0"/>
        <w:adjustRightInd w:val="0"/>
        <w:snapToGrid w:val="0"/>
        <w:spacing w:before="25" w:after="25"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lang w:val="zh-CN"/>
          <w14:textFill>
            <w14:solidFill>
              <w14:schemeClr w14:val="tx1"/>
            </w14:solidFill>
          </w14:textFill>
        </w:rPr>
        <w:t xml:space="preserve">   </w:t>
      </w:r>
    </w:p>
    <w:p>
      <w:pPr>
        <w:autoSpaceDE w:val="0"/>
        <w:autoSpaceDN w:val="0"/>
        <w:adjustRightInd w:val="0"/>
        <w:snapToGrid w:val="0"/>
        <w:spacing w:before="25" w:after="25"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___________</w:t>
      </w:r>
    </w:p>
    <w:p>
      <w:pPr>
        <w:autoSpaceDE w:val="0"/>
        <w:autoSpaceDN w:val="0"/>
        <w:adjustRightInd w:val="0"/>
        <w:snapToGrid w:val="0"/>
        <w:spacing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日期：____年____月____日</w:t>
      </w:r>
    </w:p>
    <w:p>
      <w:pPr>
        <w:autoSpaceDE w:val="0"/>
        <w:autoSpaceDN w:val="0"/>
        <w:adjustRightInd w:val="0"/>
        <w:snapToGrid w:val="0"/>
        <w:spacing w:before="25" w:after="25" w:line="360" w:lineRule="auto"/>
        <w:rPr>
          <w:rFonts w:eastAsiaTheme="minorEastAsia"/>
          <w:color w:val="000000" w:themeColor="text1"/>
          <w:sz w:val="24"/>
          <w:lang w:val="zh-CN"/>
          <w14:textFill>
            <w14:solidFill>
              <w14:schemeClr w14:val="tx1"/>
            </w14:solidFill>
          </w14:textFill>
        </w:rPr>
      </w:pPr>
      <w:r>
        <w:rPr>
          <w:rFonts w:eastAsiaTheme="minorEastAsia"/>
          <w:color w:val="000000" w:themeColor="text1"/>
          <w:sz w:val="24"/>
          <w:szCs w:val="20"/>
          <w14:textFill>
            <w14:solidFill>
              <w14:schemeClr w14:val="tx1"/>
            </w14:solidFill>
          </w14:textFill>
        </w:rPr>
        <w:t xml:space="preserve">  </w:t>
      </w:r>
    </w:p>
    <w:p>
      <w:pPr>
        <w:widowControl/>
        <w:jc w:val="left"/>
        <w:rPr>
          <w:rFonts w:eastAsiaTheme="minorEastAsia"/>
          <w:color w:val="000000" w:themeColor="text1"/>
          <w:sz w:val="24"/>
          <w:szCs w:val="20"/>
          <w14:textFill>
            <w14:solidFill>
              <w14:schemeClr w14:val="tx1"/>
            </w14:solidFill>
          </w14:textFill>
        </w:rPr>
      </w:pPr>
      <w:bookmarkStart w:id="3541" w:name="_Toc127151558"/>
      <w:bookmarkStart w:id="3542" w:name="_Toc150774763"/>
      <w:bookmarkStart w:id="3543" w:name="_Toc305158827"/>
      <w:bookmarkStart w:id="3544" w:name="_Toc265228397"/>
      <w:bookmarkStart w:id="3545" w:name="_Toc226965832"/>
      <w:bookmarkStart w:id="3546" w:name="_Toc226309803"/>
      <w:bookmarkStart w:id="3547" w:name="_Toc264969249"/>
      <w:bookmarkStart w:id="3548" w:name="_Toc305158901"/>
      <w:bookmarkStart w:id="3549" w:name="_Toc150480796"/>
      <w:bookmarkStart w:id="3550" w:name="_Toc226965749"/>
      <w:bookmarkStart w:id="3551" w:name="_Toc195842924"/>
      <w:bookmarkStart w:id="3552" w:name="_Toc226337255"/>
      <w:bookmarkStart w:id="3553" w:name="_Toc142311060"/>
      <w:r>
        <w:rPr>
          <w:rFonts w:eastAsiaTheme="minorEastAsia"/>
          <w:color w:val="000000" w:themeColor="text1"/>
          <w:sz w:val="24"/>
          <w:szCs w:val="20"/>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 xml:space="preserve">8  </w:t>
      </w:r>
      <w:bookmarkEnd w:id="3541"/>
      <w:bookmarkEnd w:id="3542"/>
      <w:bookmarkEnd w:id="3543"/>
      <w:bookmarkEnd w:id="3544"/>
      <w:bookmarkEnd w:id="3545"/>
      <w:bookmarkEnd w:id="3546"/>
      <w:bookmarkEnd w:id="3547"/>
      <w:bookmarkEnd w:id="3548"/>
      <w:bookmarkEnd w:id="3549"/>
      <w:bookmarkEnd w:id="3550"/>
      <w:bookmarkEnd w:id="3551"/>
      <w:bookmarkEnd w:id="3552"/>
      <w:bookmarkEnd w:id="3553"/>
      <w:r>
        <w:rPr>
          <w:rFonts w:hint="eastAsia" w:eastAsiaTheme="minorEastAsia"/>
          <w:color w:val="000000" w:themeColor="text1"/>
          <w:sz w:val="24"/>
          <w14:textFill>
            <w14:solidFill>
              <w14:schemeClr w14:val="tx1"/>
            </w14:solidFill>
          </w14:textFill>
        </w:rPr>
        <w:t>附工程量清单报价明细表</w:t>
      </w:r>
    </w:p>
    <w:p>
      <w:pPr>
        <w:tabs>
          <w:tab w:val="left" w:pos="1800"/>
          <w:tab w:val="left" w:pos="5580"/>
        </w:tabs>
        <w:jc w:val="left"/>
        <w:rPr>
          <w:rFonts w:eastAsiaTheme="minorEastAsia"/>
          <w:color w:val="000000" w:themeColor="text1"/>
          <w:sz w:val="24"/>
          <w14:textFill>
            <w14:solidFill>
              <w14:schemeClr w14:val="tx1"/>
            </w14:solidFill>
          </w14:textFill>
        </w:rPr>
      </w:pPr>
    </w:p>
    <w:p>
      <w:pPr>
        <w:autoSpaceDE w:val="0"/>
        <w:autoSpaceDN w:val="0"/>
        <w:adjustRightInd w:val="0"/>
        <w:snapToGrid w:val="0"/>
        <w:spacing w:before="25" w:after="25" w:line="360" w:lineRule="auto"/>
        <w:rPr>
          <w:rFonts w:eastAsiaTheme="minorEastAsia"/>
          <w:color w:val="000000" w:themeColor="text1"/>
          <w:sz w:val="24"/>
          <w14:textFill>
            <w14:solidFill>
              <w14:schemeClr w14:val="tx1"/>
            </w14:solidFill>
          </w14:textFill>
        </w:rPr>
      </w:pPr>
    </w:p>
    <w:p>
      <w:pPr>
        <w:tabs>
          <w:tab w:val="left" w:pos="360"/>
        </w:tabs>
        <w:snapToGrid w:val="0"/>
        <w:spacing w:line="360" w:lineRule="auto"/>
        <w:outlineLvl w:val="1"/>
        <w:rPr>
          <w:rFonts w:eastAsiaTheme="minorEastAsia"/>
          <w:color w:val="000000" w:themeColor="text1"/>
          <w:sz w:val="24"/>
          <w:szCs w:val="20"/>
          <w14:textFill>
            <w14:solidFill>
              <w14:schemeClr w14:val="tx1"/>
            </w14:solidFill>
          </w14:textFill>
        </w:rPr>
      </w:pPr>
      <w:bookmarkStart w:id="3554" w:name="_Toc305158904"/>
      <w:bookmarkStart w:id="3555" w:name="_Toc150480798"/>
      <w:bookmarkStart w:id="3556" w:name="_Toc142311062"/>
      <w:bookmarkStart w:id="3557" w:name="_Toc226965835"/>
      <w:bookmarkStart w:id="3558" w:name="_Toc265228400"/>
      <w:bookmarkStart w:id="3559" w:name="_Toc226337258"/>
      <w:bookmarkStart w:id="3560" w:name="_Toc226965752"/>
      <w:bookmarkStart w:id="3561" w:name="_Toc195842927"/>
      <w:bookmarkStart w:id="3562" w:name="_Toc226309806"/>
      <w:bookmarkStart w:id="3563" w:name="_Toc264969252"/>
      <w:bookmarkStart w:id="3564" w:name="_Toc150774765"/>
      <w:bookmarkStart w:id="3565" w:name="_Toc305158830"/>
      <w:bookmarkStart w:id="3566" w:name="_Toc127151562"/>
      <w:bookmarkStart w:id="3567" w:name="_Toc150480797"/>
      <w:bookmarkStart w:id="3568" w:name="_Toc226337257"/>
      <w:bookmarkStart w:id="3569" w:name="_Toc150774764"/>
      <w:bookmarkStart w:id="3570" w:name="_Toc226309805"/>
      <w:bookmarkStart w:id="3571" w:name="_Toc265228399"/>
      <w:bookmarkStart w:id="3572" w:name="_Toc305158829"/>
      <w:bookmarkStart w:id="3573" w:name="_Toc142311061"/>
      <w:bookmarkStart w:id="3574" w:name="_Toc127151561"/>
      <w:bookmarkStart w:id="3575" w:name="_Toc195842926"/>
      <w:bookmarkStart w:id="3576" w:name="_Toc305158903"/>
      <w:bookmarkStart w:id="3577" w:name="_Toc264969251"/>
      <w:bookmarkStart w:id="3578" w:name="_Toc226965834"/>
      <w:bookmarkStart w:id="3579" w:name="_Toc226965751"/>
      <w:r>
        <w:rPr>
          <w:rFonts w:eastAsiaTheme="minorEastAsia"/>
          <w:color w:val="000000" w:themeColor="text1"/>
          <w:sz w:val="24"/>
          <w:szCs w:val="20"/>
          <w14:textFill>
            <w14:solidFill>
              <w14:schemeClr w14:val="tx1"/>
            </w14:solidFill>
          </w14:textFill>
        </w:rPr>
        <w:br w:type="page"/>
      </w:r>
      <w:r>
        <w:rPr>
          <w:rFonts w:eastAsiaTheme="minorEastAsia"/>
          <w:color w:val="000000" w:themeColor="text1"/>
          <w:sz w:val="21"/>
          <w:szCs w:val="21"/>
          <w14:textFill>
            <w14:solidFill>
              <w14:schemeClr w14:val="tx1"/>
            </w14:solidFill>
          </w14:textFill>
        </w:rPr>
        <w:t>9  合同条款偏离表</w:t>
      </w:r>
      <w:bookmarkEnd w:id="3554"/>
      <w:bookmarkEnd w:id="3555"/>
      <w:bookmarkEnd w:id="3556"/>
      <w:bookmarkEnd w:id="3557"/>
      <w:bookmarkEnd w:id="3558"/>
      <w:bookmarkEnd w:id="3559"/>
      <w:bookmarkEnd w:id="3560"/>
      <w:bookmarkEnd w:id="3561"/>
      <w:bookmarkEnd w:id="3562"/>
      <w:bookmarkEnd w:id="3563"/>
      <w:bookmarkEnd w:id="3564"/>
      <w:bookmarkEnd w:id="3565"/>
      <w:bookmarkEnd w:id="3566"/>
    </w:p>
    <w:p>
      <w:pPr>
        <w:spacing w:line="360" w:lineRule="auto"/>
        <w:rPr>
          <w:rFonts w:eastAsiaTheme="minorEastAsia"/>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line="360" w:lineRule="auto"/>
        <w:jc w:val="left"/>
        <w:rPr>
          <w:rFonts w:eastAsiaTheme="minorEastAsia"/>
          <w:b/>
          <w:color w:val="000000" w:themeColor="text1"/>
          <w:sz w:val="36"/>
          <w:szCs w:val="36"/>
          <w14:textFill>
            <w14:solidFill>
              <w14:schemeClr w14:val="tx1"/>
            </w14:solidFill>
          </w14:textFill>
        </w:rPr>
      </w:pPr>
      <w:r>
        <w:rPr>
          <w:rFonts w:eastAsiaTheme="minorEastAsia"/>
          <w:color w:val="000000" w:themeColor="text1"/>
          <w:sz w:val="36"/>
          <w:szCs w:val="36"/>
          <w14:textFill>
            <w14:solidFill>
              <w14:schemeClr w14:val="tx1"/>
            </w14:solidFill>
          </w14:textFill>
        </w:rPr>
        <w:tab/>
      </w:r>
      <w:r>
        <w:rPr>
          <w:rFonts w:eastAsiaTheme="minorEastAsia"/>
          <w:b/>
          <w:color w:val="000000" w:themeColor="text1"/>
          <w:sz w:val="36"/>
          <w:szCs w:val="36"/>
          <w14:textFill>
            <w14:solidFill>
              <w14:schemeClr w14:val="tx1"/>
            </w14:solidFill>
          </w14:textFill>
        </w:rPr>
        <w:tab/>
      </w:r>
      <w:r>
        <w:rPr>
          <w:rFonts w:hint="eastAsia" w:eastAsiaTheme="minorEastAsia"/>
          <w:b/>
          <w:color w:val="000000" w:themeColor="text1"/>
          <w:sz w:val="36"/>
          <w:szCs w:val="36"/>
          <w14:textFill>
            <w14:solidFill>
              <w14:schemeClr w14:val="tx1"/>
            </w14:solidFill>
          </w14:textFill>
        </w:rPr>
        <w:t>合同条款偏离表</w:t>
      </w:r>
    </w:p>
    <w:p>
      <w:pPr>
        <w:spacing w:line="360" w:lineRule="auto"/>
        <w:rPr>
          <w:rFonts w:eastAsiaTheme="minorEastAsia"/>
          <w:color w:val="000000" w:themeColor="text1"/>
          <w:sz w:val="24"/>
          <w:szCs w:val="20"/>
          <w14:textFill>
            <w14:solidFill>
              <w14:schemeClr w14:val="tx1"/>
            </w14:solidFill>
          </w14:textFill>
        </w:rPr>
      </w:pPr>
    </w:p>
    <w:p>
      <w:pPr>
        <w:tabs>
          <w:tab w:val="left" w:pos="1800"/>
          <w:tab w:val="left" w:pos="5580"/>
        </w:tabs>
        <w:spacing w:line="360" w:lineRule="auto"/>
        <w:ind w:firstLine="315" w:firstLineChars="15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项目编号：_______________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对本项目合同条款的偏离情况（请进行勾选）：</w:t>
            </w:r>
          </w:p>
          <w:p>
            <w:pPr>
              <w:adjustRightInd w:val="0"/>
              <w:snapToGrid w:val="0"/>
              <w:jc w:val="left"/>
              <w:rPr>
                <w:rFonts w:eastAsiaTheme="minorEastAsia"/>
                <w:b/>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□无偏离</w:t>
            </w:r>
            <w:r>
              <w:rPr>
                <w:rFonts w:eastAsiaTheme="minorEastAsia"/>
                <w:color w:val="000000" w:themeColor="text1"/>
                <w:sz w:val="21"/>
                <w:szCs w:val="21"/>
                <w14:textFill>
                  <w14:solidFill>
                    <w14:schemeClr w14:val="tx1"/>
                  </w14:solidFill>
                </w14:textFill>
              </w:rPr>
              <w:t>（如无偏离，仅勾选无偏离即可）</w:t>
            </w:r>
          </w:p>
          <w:p>
            <w:pPr>
              <w:adjustRightInd w:val="0"/>
              <w:snapToGrid w:val="0"/>
              <w:jc w:val="left"/>
              <w:rPr>
                <w:rFonts w:eastAsiaTheme="minorEastAsia"/>
                <w:color w:val="000000" w:themeColor="text1"/>
                <w:sz w:val="21"/>
                <w:szCs w:val="21"/>
                <w14:textFill>
                  <w14:solidFill>
                    <w14:schemeClr w14:val="tx1"/>
                  </w14:solidFill>
                </w14:textFill>
              </w:rPr>
            </w:pPr>
            <w:r>
              <w:rPr>
                <w:rFonts w:eastAsiaTheme="minorEastAsia"/>
                <w:b/>
                <w:color w:val="000000" w:themeColor="text1"/>
                <w:sz w:val="21"/>
                <w:szCs w:val="21"/>
                <w14:textFill>
                  <w14:solidFill>
                    <w14:schemeClr w14:val="tx1"/>
                  </w14:solidFill>
                </w14:textFill>
              </w:rPr>
              <w:t>□有偏离</w:t>
            </w:r>
            <w:r>
              <w:rPr>
                <w:rFonts w:eastAsiaTheme="minorEastAsia"/>
                <w:color w:val="000000" w:themeColor="text1"/>
                <w:sz w:val="21"/>
                <w:szCs w:val="21"/>
                <w14:textFill>
                  <w14:solidFill>
                    <w14:schemeClr w14:val="tx1"/>
                  </w14:solidFill>
                </w14:textFill>
              </w:rPr>
              <w:t>（如有负偏离，则须在本表中对负偏离项逐一列明）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序号</w:t>
            </w:r>
          </w:p>
        </w:tc>
        <w:tc>
          <w:tcPr>
            <w:tcW w:w="1301"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竞争性磋商文件条目号（页码）</w:t>
            </w:r>
          </w:p>
        </w:tc>
        <w:tc>
          <w:tcPr>
            <w:tcW w:w="2007"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竞争性磋商文件要求</w:t>
            </w:r>
          </w:p>
        </w:tc>
        <w:tc>
          <w:tcPr>
            <w:tcW w:w="200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响应文件内容</w:t>
            </w:r>
          </w:p>
        </w:tc>
        <w:tc>
          <w:tcPr>
            <w:tcW w:w="245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偏离情况</w:t>
            </w:r>
          </w:p>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（据实填写）</w:t>
            </w:r>
          </w:p>
        </w:tc>
        <w:tc>
          <w:tcPr>
            <w:tcW w:w="78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1301"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7"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45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78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1301"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7"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45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78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1301"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7"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45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78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1301"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7"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00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245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c>
          <w:tcPr>
            <w:tcW w:w="788"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p>
        </w:tc>
      </w:tr>
    </w:tbl>
    <w:p>
      <w:pPr>
        <w:tabs>
          <w:tab w:val="left" w:pos="1800"/>
          <w:tab w:val="left" w:pos="5580"/>
        </w:tabs>
        <w:jc w:val="left"/>
        <w:rPr>
          <w:rFonts w:eastAsiaTheme="minorEastAsia"/>
          <w:color w:val="000000" w:themeColor="text1"/>
          <w:sz w:val="21"/>
          <w:szCs w:val="21"/>
          <w14:textFill>
            <w14:solidFill>
              <w14:schemeClr w14:val="tx1"/>
            </w14:solidFill>
          </w14:textFill>
        </w:rPr>
      </w:pPr>
    </w:p>
    <w:p>
      <w:pPr>
        <w:tabs>
          <w:tab w:val="left" w:pos="1800"/>
          <w:tab w:val="left" w:pos="5580"/>
        </w:tabs>
        <w:jc w:val="lef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注：</w:t>
      </w:r>
    </w:p>
    <w:p>
      <w:pPr>
        <w:tabs>
          <w:tab w:val="left" w:pos="1800"/>
          <w:tab w:val="left" w:pos="5580"/>
        </w:tabs>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 </w:t>
      </w:r>
      <w:r>
        <w:rPr>
          <w:rFonts w:hint="eastAsia"/>
          <w:color w:val="000000" w:themeColor="text1"/>
          <w:sz w:val="21"/>
          <w:szCs w:val="21"/>
          <w14:textFill>
            <w14:solidFill>
              <w14:schemeClr w14:val="tx1"/>
            </w14:solidFill>
          </w14:textFill>
        </w:rPr>
        <w:t>对合同条款中的所有要求，除本表所列明的所有偏离外，均视作供应商已对之理解和响应。</w:t>
      </w:r>
    </w:p>
    <w:p>
      <w:pPr>
        <w:tabs>
          <w:tab w:val="left" w:pos="1800"/>
          <w:tab w:val="left" w:pos="5580"/>
        </w:tabs>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 </w:t>
      </w:r>
      <w:r>
        <w:rPr>
          <w:rFonts w:hint="eastAsia"/>
          <w:color w:val="000000" w:themeColor="text1"/>
          <w:sz w:val="21"/>
          <w:szCs w:val="21"/>
          <w14:textFill>
            <w14:solidFill>
              <w14:schemeClr w14:val="tx1"/>
            </w14:solidFill>
          </w14:textFill>
        </w:rPr>
        <w:t>“偏离情况”列应据实填写“正偏离”或“负偏离”。</w:t>
      </w:r>
    </w:p>
    <w:p>
      <w:pPr>
        <w:spacing w:line="360" w:lineRule="auto"/>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_______________</w:t>
      </w:r>
    </w:p>
    <w:p>
      <w:pPr>
        <w:autoSpaceDE w:val="0"/>
        <w:autoSpaceDN w:val="0"/>
        <w:adjustRightInd w:val="0"/>
        <w:snapToGrid w:val="0"/>
        <w:spacing w:before="25" w:after="25" w:line="360" w:lineRule="auto"/>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日期：____年____月____日    </w:t>
      </w:r>
    </w:p>
    <w:p>
      <w:pPr>
        <w:tabs>
          <w:tab w:val="left" w:pos="360"/>
        </w:tabs>
        <w:snapToGrid w:val="0"/>
        <w:spacing w:line="360" w:lineRule="auto"/>
        <w:outlineLvl w:val="1"/>
        <w:rPr>
          <w:rFonts w:eastAsiaTheme="minorEastAsia"/>
          <w:color w:val="000000" w:themeColor="text1"/>
          <w:sz w:val="24"/>
          <w:szCs w:val="20"/>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r>
        <w:rPr>
          <w:rFonts w:eastAsiaTheme="minorEastAsia"/>
          <w:color w:val="000000" w:themeColor="text1"/>
          <w:sz w:val="21"/>
          <w:szCs w:val="21"/>
          <w14:textFill>
            <w14:solidFill>
              <w14:schemeClr w14:val="tx1"/>
            </w14:solidFill>
          </w14:textFill>
        </w:rPr>
        <w:t xml:space="preserve">10  </w:t>
      </w:r>
      <w:bookmarkEnd w:id="3567"/>
      <w:bookmarkEnd w:id="3568"/>
      <w:bookmarkEnd w:id="3569"/>
      <w:bookmarkEnd w:id="3570"/>
      <w:bookmarkEnd w:id="3571"/>
      <w:bookmarkEnd w:id="3572"/>
      <w:bookmarkEnd w:id="3573"/>
      <w:bookmarkEnd w:id="3574"/>
      <w:bookmarkEnd w:id="3575"/>
      <w:bookmarkEnd w:id="3576"/>
      <w:bookmarkEnd w:id="3577"/>
      <w:bookmarkEnd w:id="3578"/>
      <w:bookmarkEnd w:id="3579"/>
      <w:r>
        <w:rPr>
          <w:rFonts w:eastAsiaTheme="minorEastAsia"/>
          <w:color w:val="000000" w:themeColor="text1"/>
          <w:sz w:val="21"/>
          <w:szCs w:val="21"/>
          <w14:textFill>
            <w14:solidFill>
              <w14:schemeClr w14:val="tx1"/>
            </w14:solidFill>
          </w14:textFill>
        </w:rPr>
        <w:t>采购需求偏离表</w:t>
      </w: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采购需求偏离表</w:t>
      </w:r>
    </w:p>
    <w:p>
      <w:pPr>
        <w:tabs>
          <w:tab w:val="left" w:pos="1800"/>
          <w:tab w:val="left" w:pos="5580"/>
        </w:tabs>
        <w:spacing w:line="360" w:lineRule="auto"/>
        <w:ind w:firstLine="315" w:firstLineChars="15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项目编号：_______________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序号</w:t>
            </w:r>
          </w:p>
        </w:tc>
        <w:tc>
          <w:tcPr>
            <w:tcW w:w="1482"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竞争性磋商文件条目号(页码)</w:t>
            </w:r>
          </w:p>
        </w:tc>
        <w:tc>
          <w:tcPr>
            <w:tcW w:w="2384"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竞争性磋商文件要求</w:t>
            </w:r>
          </w:p>
        </w:tc>
        <w:tc>
          <w:tcPr>
            <w:tcW w:w="2126"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响应内容</w:t>
            </w:r>
          </w:p>
        </w:tc>
        <w:tc>
          <w:tcPr>
            <w:tcW w:w="1875"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偏离情况</w:t>
            </w:r>
          </w:p>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（据实填写）</w:t>
            </w:r>
          </w:p>
        </w:tc>
        <w:tc>
          <w:tcPr>
            <w:tcW w:w="1009" w:type="dxa"/>
            <w:vAlign w:val="center"/>
          </w:tcPr>
          <w:p>
            <w:pPr>
              <w:adjustRightInd w:val="0"/>
              <w:snapToGrid w:val="0"/>
              <w:jc w:val="center"/>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482"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384"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2126"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875" w:type="dxa"/>
            <w:vAlign w:val="center"/>
          </w:tcPr>
          <w:p>
            <w:pPr>
              <w:adjustRightInd w:val="0"/>
              <w:snapToGrid w:val="0"/>
              <w:jc w:val="center"/>
              <w:rPr>
                <w:rFonts w:eastAsiaTheme="minorEastAsia"/>
                <w:color w:val="000000" w:themeColor="text1"/>
                <w:sz w:val="24"/>
                <w14:textFill>
                  <w14:solidFill>
                    <w14:schemeClr w14:val="tx1"/>
                  </w14:solidFill>
                </w14:textFill>
              </w:rPr>
            </w:pPr>
          </w:p>
        </w:tc>
        <w:tc>
          <w:tcPr>
            <w:tcW w:w="1009" w:type="dxa"/>
            <w:vAlign w:val="center"/>
          </w:tcPr>
          <w:p>
            <w:pPr>
              <w:adjustRightInd w:val="0"/>
              <w:snapToGrid w:val="0"/>
              <w:jc w:val="center"/>
              <w:rPr>
                <w:rFonts w:eastAsiaTheme="minorEastAsia"/>
                <w:color w:val="000000" w:themeColor="text1"/>
                <w:sz w:val="24"/>
                <w14:textFill>
                  <w14:solidFill>
                    <w14:schemeClr w14:val="tx1"/>
                  </w14:solidFill>
                </w14:textFill>
              </w:rPr>
            </w:pPr>
          </w:p>
        </w:tc>
      </w:tr>
    </w:tbl>
    <w:p>
      <w:pPr>
        <w:tabs>
          <w:tab w:val="left" w:pos="1800"/>
          <w:tab w:val="left" w:pos="5580"/>
        </w:tabs>
        <w:spacing w:line="360" w:lineRule="auto"/>
        <w:ind w:firstLine="360" w:firstLineChars="150"/>
        <w:jc w:val="left"/>
        <w:rPr>
          <w:rFonts w:eastAsiaTheme="minorEastAsia"/>
          <w:color w:val="000000" w:themeColor="text1"/>
          <w:sz w:val="24"/>
          <w:u w:val="single"/>
          <w14:textFill>
            <w14:solidFill>
              <w14:schemeClr w14:val="tx1"/>
            </w14:solidFill>
          </w14:textFill>
        </w:rPr>
      </w:pPr>
    </w:p>
    <w:p>
      <w:pPr>
        <w:tabs>
          <w:tab w:val="left" w:pos="1800"/>
          <w:tab w:val="left" w:pos="5580"/>
        </w:tabs>
        <w:spacing w:line="360" w:lineRule="auto"/>
        <w:ind w:firstLine="360" w:firstLineChars="150"/>
        <w:jc w:val="left"/>
        <w:rPr>
          <w:rFonts w:eastAsiaTheme="minorEastAsia"/>
          <w:color w:val="000000" w:themeColor="text1"/>
          <w:sz w:val="24"/>
          <w:u w:val="single"/>
          <w14:textFill>
            <w14:solidFill>
              <w14:schemeClr w14:val="tx1"/>
            </w14:solidFill>
          </w14:textFill>
        </w:rPr>
      </w:pPr>
    </w:p>
    <w:p>
      <w:pPr>
        <w:tabs>
          <w:tab w:val="left" w:pos="1800"/>
          <w:tab w:val="left" w:pos="5580"/>
        </w:tabs>
        <w:spacing w:line="48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注：</w:t>
      </w:r>
    </w:p>
    <w:p>
      <w:pPr>
        <w:tabs>
          <w:tab w:val="left" w:pos="1800"/>
          <w:tab w:val="left" w:pos="5580"/>
        </w:tabs>
        <w:spacing w:line="480" w:lineRule="auto"/>
        <w:jc w:val="left"/>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1</w:t>
      </w:r>
      <w:r>
        <w:rPr>
          <w:rFonts w:eastAsiaTheme="minorEastAsia"/>
          <w:color w:val="000000" w:themeColor="text1"/>
          <w:sz w:val="21"/>
          <w:szCs w:val="21"/>
          <w14:textFill>
            <w14:solidFill>
              <w14:schemeClr w14:val="tx1"/>
            </w14:solidFill>
          </w14:textFill>
        </w:rPr>
        <w:t>. 对竞争性磋商文件中的所有商务、技术要求，除本表所列明的所有偏离外，均视作供应商已对之理解和响应。此表中若无任何文字说明，内容为空白的</w:t>
      </w:r>
      <w:r>
        <w:rPr>
          <w:rFonts w:eastAsiaTheme="minorEastAsia"/>
          <w:b/>
          <w:color w:val="000000" w:themeColor="text1"/>
          <w:sz w:val="21"/>
          <w:szCs w:val="21"/>
          <w14:textFill>
            <w14:solidFill>
              <w14:schemeClr w14:val="tx1"/>
            </w14:solidFill>
          </w14:textFill>
        </w:rPr>
        <w:t>响应无效</w:t>
      </w:r>
      <w:r>
        <w:rPr>
          <w:rFonts w:eastAsiaTheme="minorEastAsia"/>
          <w:color w:val="000000" w:themeColor="text1"/>
          <w:sz w:val="21"/>
          <w:szCs w:val="21"/>
          <w14:textFill>
            <w14:solidFill>
              <w14:schemeClr w14:val="tx1"/>
            </w14:solidFill>
          </w14:textFill>
        </w:rPr>
        <w:t>。</w:t>
      </w:r>
    </w:p>
    <w:p>
      <w:pPr>
        <w:tabs>
          <w:tab w:val="left" w:pos="1800"/>
          <w:tab w:val="left" w:pos="5580"/>
        </w:tabs>
        <w:spacing w:line="480" w:lineRule="auto"/>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2.</w:t>
      </w:r>
      <w:r>
        <w:rPr>
          <w:rFonts w:hint="eastAsia"/>
          <w:color w:val="000000" w:themeColor="text1"/>
          <w:sz w:val="21"/>
          <w:szCs w:val="21"/>
          <w14:textFill>
            <w14:solidFill>
              <w14:schemeClr w14:val="tx1"/>
            </w14:solidFill>
          </w14:textFill>
        </w:rPr>
        <w:t>“偏离情况”列应据实填写“正偏离”或“负偏离”。</w:t>
      </w:r>
    </w:p>
    <w:p>
      <w:pPr>
        <w:spacing w:line="480" w:lineRule="auto"/>
        <w:rPr>
          <w:rFonts w:eastAsiaTheme="minorEastAsia"/>
          <w:color w:val="000000" w:themeColor="text1"/>
          <w:sz w:val="21"/>
          <w:szCs w:val="21"/>
          <w14:textFill>
            <w14:solidFill>
              <w14:schemeClr w14:val="tx1"/>
            </w14:solidFill>
          </w14:textFill>
        </w:rPr>
      </w:pPr>
    </w:p>
    <w:p>
      <w:pPr>
        <w:autoSpaceDE w:val="0"/>
        <w:autoSpaceDN w:val="0"/>
        <w:adjustRightInd w:val="0"/>
        <w:snapToGrid w:val="0"/>
        <w:spacing w:before="25" w:after="25" w:line="480" w:lineRule="auto"/>
        <w:ind w:right="360"/>
        <w:jc w:val="left"/>
        <w:rPr>
          <w:rFonts w:eastAsiaTheme="minorEastAsia"/>
          <w:color w:val="000000" w:themeColor="text1"/>
          <w:sz w:val="21"/>
          <w:szCs w:val="21"/>
          <w:lang w:val="zh-CN"/>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供应商名称（加盖公章）</w:t>
      </w:r>
      <w:r>
        <w:rPr>
          <w:rFonts w:eastAsiaTheme="minorEastAsia"/>
          <w:color w:val="000000" w:themeColor="text1"/>
          <w:sz w:val="21"/>
          <w:szCs w:val="21"/>
          <w:lang w:val="zh-CN"/>
          <w14:textFill>
            <w14:solidFill>
              <w14:schemeClr w14:val="tx1"/>
            </w14:solidFill>
          </w14:textFill>
        </w:rPr>
        <w:t>：</w:t>
      </w:r>
      <w:r>
        <w:rPr>
          <w:rFonts w:eastAsiaTheme="minorEastAsia"/>
          <w:color w:val="000000" w:themeColor="text1"/>
          <w:sz w:val="21"/>
          <w:szCs w:val="21"/>
          <w14:textFill>
            <w14:solidFill>
              <w14:schemeClr w14:val="tx1"/>
            </w14:solidFill>
          </w14:textFill>
        </w:rPr>
        <w:t>______</w:t>
      </w:r>
    </w:p>
    <w:p>
      <w:pPr>
        <w:autoSpaceDE w:val="0"/>
        <w:autoSpaceDN w:val="0"/>
        <w:adjustRightInd w:val="0"/>
        <w:snapToGrid w:val="0"/>
        <w:spacing w:before="25" w:after="25" w:line="480" w:lineRule="auto"/>
        <w:ind w:right="36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日期：____年____月____日 </w:t>
      </w:r>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r>
        <w:rPr>
          <w:rFonts w:eastAsiaTheme="minorEastAsia"/>
          <w:color w:val="000000" w:themeColor="text1"/>
          <w:sz w:val="24"/>
          <w:szCs w:val="20"/>
          <w14:textFill>
            <w14:solidFill>
              <w14:schemeClr w14:val="tx1"/>
            </w14:solidFill>
          </w14:textFill>
        </w:rPr>
        <w:br w:type="page"/>
      </w: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11  拟分包情况说明（类型二）</w:t>
      </w:r>
      <w:r>
        <w:rPr>
          <w:rFonts w:hint="eastAsia" w:eastAsiaTheme="minorEastAsia"/>
          <w:color w:val="000000" w:themeColor="text1"/>
          <w:sz w:val="21"/>
          <w:szCs w:val="21"/>
          <w14:textFill>
            <w14:solidFill>
              <w14:schemeClr w14:val="tx1"/>
            </w14:solidFill>
          </w14:textFill>
        </w:rPr>
        <w:t>（本项目不适用）</w:t>
      </w:r>
    </w:p>
    <w:p>
      <w:pPr>
        <w:autoSpaceDE w:val="0"/>
        <w:autoSpaceDN w:val="0"/>
        <w:adjustRightInd w:val="0"/>
        <w:jc w:val="center"/>
        <w:rPr>
          <w:rFonts w:eastAsiaTheme="minorEastAsia"/>
          <w:color w:val="000000" w:themeColor="text1"/>
          <w:sz w:val="30"/>
          <w:szCs w:val="30"/>
          <w14:textFill>
            <w14:solidFill>
              <w14:schemeClr w14:val="tx1"/>
            </w14:solidFill>
          </w14:textFill>
        </w:rPr>
      </w:pPr>
    </w:p>
    <w:p>
      <w:pPr>
        <w:autoSpaceDE w:val="0"/>
        <w:autoSpaceDN w:val="0"/>
        <w:adjustRightInd w:val="0"/>
        <w:spacing w:line="360" w:lineRule="auto"/>
        <w:jc w:val="center"/>
        <w:rPr>
          <w:rFonts w:eastAsiaTheme="minorEastAsia"/>
          <w:b/>
          <w:color w:val="000000" w:themeColor="text1"/>
          <w:sz w:val="36"/>
          <w:szCs w:val="36"/>
          <w14:textFill>
            <w14:solidFill>
              <w14:schemeClr w14:val="tx1"/>
            </w14:solidFill>
          </w14:textFill>
        </w:rPr>
      </w:pPr>
      <w:r>
        <w:rPr>
          <w:rFonts w:hint="eastAsia" w:eastAsiaTheme="minorEastAsia"/>
          <w:b/>
          <w:color w:val="000000" w:themeColor="text1"/>
          <w:sz w:val="36"/>
          <w:szCs w:val="36"/>
          <w14:textFill>
            <w14:solidFill>
              <w14:schemeClr w14:val="tx1"/>
            </w14:solidFill>
          </w14:textFill>
        </w:rPr>
        <w:t>拟分包情况说明</w:t>
      </w:r>
    </w:p>
    <w:p>
      <w:pPr>
        <w:tabs>
          <w:tab w:val="left" w:pos="5580"/>
        </w:tabs>
        <w:spacing w:line="480" w:lineRule="auto"/>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致：</w:t>
      </w:r>
      <w:r>
        <w:rPr>
          <w:rFonts w:eastAsiaTheme="minorEastAsia"/>
          <w:color w:val="000000" w:themeColor="text1"/>
          <w:sz w:val="21"/>
          <w:szCs w:val="21"/>
          <w:u w:val="single"/>
          <w14:textFill>
            <w14:solidFill>
              <w14:schemeClr w14:val="tx1"/>
            </w14:solidFill>
          </w14:textFill>
        </w:rPr>
        <w:t>（采购人或采购代理机构）</w:t>
      </w:r>
    </w:p>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我单位参加贵单位组织采购的项目编号为_______的_______项目（填写采购项目名称）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分包承担</w:t>
            </w:r>
          </w:p>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分包承担</w:t>
            </w:r>
          </w:p>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主体类型</w:t>
            </w:r>
          </w:p>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拟分包</w:t>
            </w:r>
          </w:p>
          <w:p>
            <w:pPr>
              <w:pStyle w:val="248"/>
              <w:spacing w:line="480" w:lineRule="auto"/>
              <w:jc w:val="center"/>
              <w:rPr>
                <w:rFonts w:eastAsiaTheme="minorEastAsia"/>
                <w:color w:val="000000" w:themeColor="text1"/>
                <w:sz w:val="21"/>
                <w:szCs w:val="21"/>
                <w14:textFill>
                  <w14:solidFill>
                    <w14:schemeClr w14:val="tx1"/>
                  </w14:solidFill>
                </w14:textFill>
              </w:rPr>
            </w:pPr>
            <w:r>
              <w:rPr>
                <w:rFonts w:hint="eastAsia" w:eastAsiaTheme="minorEastAsia"/>
                <w:color w:val="000000" w:themeColor="text1"/>
                <w:sz w:val="21"/>
                <w:szCs w:val="21"/>
                <w14:textFill>
                  <w14:solidFill>
                    <w14:schemeClr w14:val="tx1"/>
                  </w14:solidFill>
                </w14:textFill>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拟分包</w:t>
            </w:r>
          </w:p>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合同金额</w:t>
            </w:r>
          </w:p>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eastAsiaTheme="minorEastAsia"/>
                <w:b/>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占响应报价</w:t>
            </w:r>
          </w:p>
          <w:p>
            <w:pPr>
              <w:pStyle w:val="248"/>
              <w:spacing w:line="480" w:lineRule="auto"/>
              <w:jc w:val="center"/>
              <w:rPr>
                <w:rFonts w:eastAsiaTheme="minorEastAsia"/>
                <w:color w:val="000000" w:themeColor="text1"/>
                <w:sz w:val="21"/>
                <w:szCs w:val="21"/>
                <w:lang w:eastAsia="zh-CN"/>
                <w14:textFill>
                  <w14:solidFill>
                    <w14:schemeClr w14:val="tx1"/>
                  </w14:solidFill>
                </w14:textFill>
              </w:rPr>
            </w:pPr>
            <w:r>
              <w:rPr>
                <w:rFonts w:hint="eastAsia" w:eastAsiaTheme="minorEastAsia"/>
                <w:b/>
                <w:color w:val="000000" w:themeColor="text1"/>
                <w:sz w:val="21"/>
                <w:szCs w:val="21"/>
                <w:lang w:eastAsia="zh-CN"/>
                <w14:textFill>
                  <w14:solidFill>
                    <w14:schemeClr w14:val="tx1"/>
                  </w14:solidFill>
                </w14:textFill>
              </w:rPr>
              <w:t>的比例（</w:t>
            </w:r>
            <w:r>
              <w:rPr>
                <w:rFonts w:ascii="Times New Roman" w:eastAsia="Times New Roman"/>
                <w:b/>
                <w:color w:val="000000" w:themeColor="text1"/>
                <w:sz w:val="21"/>
                <w:szCs w:val="21"/>
                <w:lang w:eastAsia="zh-CN"/>
                <w14:textFill>
                  <w14:solidFill>
                    <w14:schemeClr w14:val="tx1"/>
                  </w14:solidFill>
                </w14:textFill>
              </w:rPr>
              <w:t>%</w:t>
            </w:r>
            <w:r>
              <w:rPr>
                <w:rFonts w:hint="eastAsia" w:eastAsiaTheme="minorEastAsia"/>
                <w:b/>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hAnsi="Times New Roman" w:cs="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spacing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p>
            <w:pPr>
              <w:pStyle w:val="248"/>
              <w:tabs>
                <w:tab w:val="left" w:pos="235"/>
              </w:tabs>
              <w:spacing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r>
              <w:rPr>
                <w:rFonts w:ascii="Times New Roman" w:eastAsiaTheme="minorEastAsia"/>
                <w:color w:val="000000" w:themeColor="text1"/>
                <w:sz w:val="21"/>
                <w:szCs w:val="21"/>
                <w:lang w:eastAsia="zh-CN"/>
                <w14:textFill>
                  <w14:solidFill>
                    <w14:schemeClr w14:val="tx1"/>
                  </w14:solidFill>
                </w14:textFill>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spacing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小微企业</w:t>
            </w:r>
          </w:p>
          <w:p>
            <w:pPr>
              <w:pStyle w:val="248"/>
              <w:tabs>
                <w:tab w:val="left" w:pos="235"/>
              </w:tabs>
              <w:spacing w:line="480" w:lineRule="auto"/>
              <w:ind w:left="-11" w:leftChars="-43" w:hanging="79" w:hangingChars="38"/>
              <w:jc w:val="center"/>
              <w:rPr>
                <w:rFonts w:ascii="Times New Roman" w:hAnsi="Times New Roman" w:cs="Times New Roman" w:eastAsiaTheme="minorEastAsia"/>
                <w:color w:val="000000" w:themeColor="text1"/>
                <w:sz w:val="21"/>
                <w:szCs w:val="21"/>
                <w:lang w:eastAsia="zh-CN"/>
                <w14:textFill>
                  <w14:solidFill>
                    <w14:schemeClr w14:val="tx1"/>
                  </w14:solidFill>
                </w14:textFill>
              </w:rPr>
            </w:pPr>
            <w:r>
              <w:rPr>
                <w:rFonts w:ascii="Times New Roman" w:hAnsi="Times New Roman" w:cs="Times New Roman" w:eastAsiaTheme="minorEastAsia"/>
                <w:color w:val="000000" w:themeColor="text1"/>
                <w:sz w:val="21"/>
                <w:szCs w:val="21"/>
                <w:lang w:eastAsia="zh-CN"/>
                <w14:textFill>
                  <w14:solidFill>
                    <w14:schemeClr w14:val="tx1"/>
                  </w14:solidFill>
                </w14:textFill>
              </w:rPr>
              <w:t>□</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lang w:eastAsia="zh-CN"/>
                <w14:textFill>
                  <w14:solidFill>
                    <w14:schemeClr w14:val="tx1"/>
                  </w14:solidFill>
                </w14:textFill>
              </w:rPr>
            </w:pPr>
            <w:r>
              <w:rPr>
                <w:rFonts w:hint="eastAsia" w:ascii="Times New Roman" w:eastAsiaTheme="minorEastAsia"/>
                <w:color w:val="000000" w:themeColor="text1"/>
                <w:sz w:val="21"/>
                <w:szCs w:val="21"/>
                <w:lang w:eastAsia="zh-CN"/>
                <w14:textFill>
                  <w14:solidFill>
                    <w14:schemeClr w14:val="tx1"/>
                  </w14:solidFill>
                </w14:textFill>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spacing w:line="480" w:lineRule="auto"/>
              <w:jc w:val="center"/>
              <w:rPr>
                <w:rFonts w:eastAsiaTheme="minorEastAsia"/>
                <w:color w:val="000000" w:themeColor="text1"/>
                <w:sz w:val="21"/>
                <w:szCs w:val="21"/>
                <w14:textFill>
                  <w14:solidFill>
                    <w14:schemeClr w14:val="tx1"/>
                  </w14:solidFill>
                </w14:textFill>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8"/>
              <w:spacing w:line="480" w:lineRule="auto"/>
              <w:ind w:right="57" w:rightChars="27"/>
              <w:jc w:val="right"/>
              <w:rPr>
                <w:rFonts w:eastAsiaTheme="minorEastAsia"/>
                <w:color w:val="000000" w:themeColor="text1"/>
                <w:sz w:val="21"/>
                <w:szCs w:val="21"/>
                <w:lang w:eastAsia="zh-CN"/>
                <w14:textFill>
                  <w14:solidFill>
                    <w14:schemeClr w14:val="tx1"/>
                  </w14:solidFill>
                </w14:textFill>
              </w:rPr>
            </w:pPr>
            <w:r>
              <w:rPr>
                <w:rFonts w:hint="eastAsia" w:eastAsiaTheme="minorEastAsia"/>
                <w:color w:val="000000" w:themeColor="text1"/>
                <w:sz w:val="21"/>
                <w:szCs w:val="21"/>
                <w:lang w:eastAsia="zh-CN"/>
                <w14:textFill>
                  <w14:solidFill>
                    <w14:schemeClr w14:val="tx1"/>
                  </w14:solidFill>
                </w14:textFill>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8"/>
              <w:spacing w:line="480" w:lineRule="auto"/>
              <w:jc w:val="center"/>
              <w:rPr>
                <w:rFonts w:ascii="Times New Roman" w:eastAsiaTheme="minorEastAsia"/>
                <w:color w:val="000000" w:themeColor="text1"/>
                <w:sz w:val="21"/>
                <w:szCs w:val="21"/>
                <w14:textFill>
                  <w14:solidFill>
                    <w14:schemeClr w14:val="tx1"/>
                  </w14:solidFill>
                </w14:textFill>
              </w:rPr>
            </w:pPr>
          </w:p>
        </w:tc>
      </w:tr>
    </w:tbl>
    <w:p>
      <w:pPr>
        <w:adjustRightInd w:val="0"/>
        <w:snapToGrid w:val="0"/>
        <w:spacing w:line="480" w:lineRule="auto"/>
        <w:ind w:firstLine="420" w:firstLineChars="200"/>
        <w:jc w:val="left"/>
        <w:rPr>
          <w:rFonts w:eastAsiaTheme="minorEastAsia"/>
          <w:color w:val="000000" w:themeColor="text1"/>
          <w:sz w:val="21"/>
          <w:szCs w:val="21"/>
          <w14:textFill>
            <w14:solidFill>
              <w14:schemeClr w14:val="tx1"/>
            </w14:solidFill>
          </w14:textFill>
        </w:rPr>
      </w:pPr>
    </w:p>
    <w:p>
      <w:pPr>
        <w:adjustRightInd w:val="0"/>
        <w:snapToGrid w:val="0"/>
        <w:spacing w:line="48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注： </w:t>
      </w:r>
    </w:p>
    <w:p>
      <w:pPr>
        <w:adjustRightInd w:val="0"/>
        <w:snapToGrid w:val="0"/>
        <w:spacing w:line="48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1.本表仅在供应商非因“为落实政府采购政策”而分包时填写；供应商“为落实政府采购政策”而向中小企业分包时请按照《拟分包情况说明及分包意向协议》（类型一）要求填写。</w:t>
      </w:r>
    </w:p>
    <w:p>
      <w:pPr>
        <w:adjustRightInd w:val="0"/>
        <w:snapToGrid w:val="0"/>
        <w:spacing w:line="480" w:lineRule="auto"/>
        <w:jc w:val="lef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2.如本竞争性磋商文件《供应商须知资料表》载明本项目分包承担主体应具备的相应资质条件，则供应商须在本表中列明分包承担主体的资质等级，并后附资质证书电子件</w:t>
      </w:r>
      <w:r>
        <w:rPr>
          <w:rFonts w:hint="eastAsia" w:eastAsiaTheme="minorEastAsia"/>
          <w:color w:val="000000" w:themeColor="text1"/>
          <w:sz w:val="21"/>
          <w:szCs w:val="21"/>
          <w14:textFill>
            <w14:solidFill>
              <w14:schemeClr w14:val="tx1"/>
            </w14:solidFill>
          </w14:textFill>
        </w:rPr>
        <w:t>，</w:t>
      </w:r>
      <w:r>
        <w:rPr>
          <w:rFonts w:eastAsiaTheme="minorEastAsia"/>
          <w:color w:val="000000" w:themeColor="text1"/>
          <w:sz w:val="21"/>
          <w:szCs w:val="21"/>
          <w14:textFill>
            <w14:solidFill>
              <w14:schemeClr w14:val="tx1"/>
            </w14:solidFill>
          </w14:textFill>
        </w:rPr>
        <w:t>否则</w:t>
      </w:r>
      <w:r>
        <w:rPr>
          <w:rFonts w:eastAsiaTheme="minorEastAsia"/>
          <w:b/>
          <w:color w:val="000000" w:themeColor="text1"/>
          <w:sz w:val="21"/>
          <w:szCs w:val="21"/>
          <w14:textFill>
            <w14:solidFill>
              <w14:schemeClr w14:val="tx1"/>
            </w14:solidFill>
          </w14:textFill>
        </w:rPr>
        <w:t>响应无效</w:t>
      </w:r>
      <w:r>
        <w:rPr>
          <w:rFonts w:eastAsiaTheme="minorEastAsia"/>
          <w:color w:val="000000" w:themeColor="text1"/>
          <w:sz w:val="21"/>
          <w:szCs w:val="21"/>
          <w14:textFill>
            <w14:solidFill>
              <w14:schemeClr w14:val="tx1"/>
            </w14:solidFill>
          </w14:textFill>
        </w:rPr>
        <w:t>。</w:t>
      </w:r>
    </w:p>
    <w:p>
      <w:pPr>
        <w:adjustRightInd w:val="0"/>
        <w:snapToGrid w:val="0"/>
        <w:spacing w:line="480" w:lineRule="auto"/>
        <w:jc w:val="left"/>
        <w:rPr>
          <w:rFonts w:eastAsiaTheme="minorEastAsia"/>
          <w:color w:val="000000" w:themeColor="text1"/>
          <w:sz w:val="21"/>
          <w:szCs w:val="21"/>
          <w14:textFill>
            <w14:solidFill>
              <w14:schemeClr w14:val="tx1"/>
            </w14:solidFill>
          </w14:textFill>
        </w:rPr>
      </w:pPr>
    </w:p>
    <w:p>
      <w:pPr>
        <w:adjustRightInd w:val="0"/>
        <w:snapToGrid w:val="0"/>
        <w:spacing w:line="480" w:lineRule="auto"/>
        <w:jc w:val="left"/>
        <w:rPr>
          <w:rFonts w:eastAsiaTheme="minorEastAsia"/>
          <w:color w:val="000000" w:themeColor="text1"/>
          <w:sz w:val="21"/>
          <w:szCs w:val="21"/>
          <w14:textFill>
            <w14:solidFill>
              <w14:schemeClr w14:val="tx1"/>
            </w14:solidFill>
          </w14:textFill>
        </w:rPr>
      </w:pPr>
    </w:p>
    <w:p>
      <w:pPr>
        <w:adjustRightInd w:val="0"/>
        <w:snapToGrid w:val="0"/>
        <w:spacing w:line="480" w:lineRule="auto"/>
        <w:ind w:firstLine="420" w:firstLineChars="200"/>
        <w:jc w:val="right"/>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供应商名称（盖章）：_______</w:t>
      </w:r>
    </w:p>
    <w:p>
      <w:pPr>
        <w:spacing w:line="480" w:lineRule="auto"/>
        <w:jc w:val="right"/>
        <w:rPr>
          <w:rFonts w:eastAsiaTheme="minorEastAsia"/>
          <w:b/>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日期：____年____月____日</w:t>
      </w: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12  竞争性磋商文件要求提供或供应商认为应附的其他材料</w:t>
      </w:r>
    </w:p>
    <w:p>
      <w:pPr>
        <w:pStyle w:val="4"/>
        <w:jc w:val="center"/>
        <w:rPr>
          <w:color w:val="000000" w:themeColor="text1"/>
          <w:sz w:val="36"/>
          <w:szCs w:val="36"/>
          <w:u w:val="none"/>
          <w14:textFill>
            <w14:solidFill>
              <w14:schemeClr w14:val="tx1"/>
            </w14:solidFill>
          </w14:textFill>
        </w:rPr>
      </w:pPr>
      <w:bookmarkStart w:id="3580" w:name="_Toc4266"/>
      <w:bookmarkStart w:id="3581" w:name="_Toc434831571"/>
      <w:bookmarkStart w:id="3582" w:name="_Toc2623"/>
      <w:r>
        <w:rPr>
          <w:rFonts w:hint="eastAsia"/>
          <w:color w:val="000000" w:themeColor="text1"/>
          <w:sz w:val="36"/>
          <w:szCs w:val="36"/>
          <w:u w:val="none"/>
          <w14:textFill>
            <w14:solidFill>
              <w14:schemeClr w14:val="tx1"/>
            </w14:solidFill>
          </w14:textFill>
        </w:rPr>
        <w:t>（一）供应商基本情况表</w:t>
      </w:r>
      <w:bookmarkEnd w:id="3580"/>
      <w:bookmarkEnd w:id="3581"/>
      <w:bookmarkEnd w:id="3582"/>
    </w:p>
    <w:p>
      <w:pPr>
        <w:rPr>
          <w:rFonts w:ascii="宋体" w:hAnsi="宋体" w:cs="宋体"/>
          <w:color w:val="000000" w:themeColor="text1"/>
          <w:sz w:val="24"/>
          <w14:textFill>
            <w14:solidFill>
              <w14:schemeClr w14:val="tx1"/>
            </w14:solidFill>
          </w14:textFill>
        </w:rPr>
      </w:pP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5"/>
        <w:gridCol w:w="1111"/>
        <w:gridCol w:w="919"/>
        <w:gridCol w:w="921"/>
        <w:gridCol w:w="461"/>
        <w:gridCol w:w="340"/>
        <w:gridCol w:w="1408"/>
        <w:gridCol w:w="314"/>
        <w:gridCol w:w="944"/>
        <w:gridCol w:w="108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供应商名称</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注册地址</w:t>
            </w:r>
          </w:p>
        </w:tc>
        <w:tc>
          <w:tcPr>
            <w:tcW w:w="3752"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邮政编码</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联系方式</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联系人</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 话</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传  真</w:t>
            </w:r>
          </w:p>
        </w:tc>
        <w:tc>
          <w:tcPr>
            <w:tcW w:w="2641"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40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电子邮件</w:t>
            </w:r>
          </w:p>
        </w:tc>
        <w:tc>
          <w:tcPr>
            <w:tcW w:w="2345"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姓名</w:t>
            </w:r>
          </w:p>
        </w:tc>
        <w:tc>
          <w:tcPr>
            <w:tcW w:w="91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38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技术职称</w:t>
            </w:r>
          </w:p>
        </w:tc>
        <w:tc>
          <w:tcPr>
            <w:tcW w:w="20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技术负责人</w:t>
            </w:r>
          </w:p>
        </w:tc>
        <w:tc>
          <w:tcPr>
            <w:tcW w:w="111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姓名</w:t>
            </w:r>
          </w:p>
        </w:tc>
        <w:tc>
          <w:tcPr>
            <w:tcW w:w="91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1382"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技术职称</w:t>
            </w:r>
          </w:p>
        </w:tc>
        <w:tc>
          <w:tcPr>
            <w:tcW w:w="20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w:t>
            </w:r>
          </w:p>
        </w:tc>
        <w:tc>
          <w:tcPr>
            <w:tcW w:w="1087"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成立时间</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5475" w:type="dxa"/>
            <w:gridSpan w:val="7"/>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050" w:firstLineChars="5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企业资质等级</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21"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其中</w:t>
            </w: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高级职称人员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营业执照号</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中级职称人员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注册资金</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初级职称人员</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基本账户开户银行</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pStyle w:val="30"/>
              <w:spacing w:line="440" w:lineRule="exact"/>
              <w:jc w:val="center"/>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技工</w:t>
            </w: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基本账户账号</w:t>
            </w:r>
          </w:p>
        </w:tc>
        <w:tc>
          <w:tcPr>
            <w:tcW w:w="2030"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921"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c>
          <w:tcPr>
            <w:tcW w:w="2523" w:type="dxa"/>
            <w:gridSpan w:val="4"/>
            <w:tcBorders>
              <w:top w:val="single" w:color="auto" w:sz="4" w:space="0"/>
              <w:left w:val="single" w:color="auto" w:sz="4" w:space="0"/>
              <w:bottom w:val="single" w:color="auto" w:sz="4" w:space="0"/>
              <w:right w:val="single" w:color="auto" w:sz="4" w:space="0"/>
            </w:tcBorders>
            <w:vAlign w:val="center"/>
          </w:tcPr>
          <w:p>
            <w:pPr>
              <w:pStyle w:val="30"/>
              <w:spacing w:line="440" w:lineRule="exact"/>
              <w:jc w:val="center"/>
              <w:rPr>
                <w:rFonts w:cs="宋体"/>
                <w:color w:val="000000" w:themeColor="text1"/>
                <w:sz w:val="21"/>
                <w:szCs w:val="21"/>
                <w14:textFill>
                  <w14:solidFill>
                    <w14:schemeClr w14:val="tx1"/>
                  </w14:solidFill>
                </w14:textFill>
              </w:rPr>
            </w:pPr>
          </w:p>
        </w:tc>
        <w:tc>
          <w:tcPr>
            <w:tcW w:w="203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right w:val="single" w:color="auto" w:sz="4" w:space="0"/>
            </w:tcBorders>
            <w:vAlign w:val="center"/>
          </w:tcPr>
          <w:p>
            <w:pPr>
              <w:topLinePunct/>
              <w:spacing w:line="440" w:lineRule="exact"/>
              <w:ind w:firstLine="210" w:firstLineChars="1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经营范围</w:t>
            </w:r>
          </w:p>
        </w:tc>
        <w:tc>
          <w:tcPr>
            <w:tcW w:w="7505" w:type="dxa"/>
            <w:gridSpan w:val="9"/>
            <w:tcBorders>
              <w:top w:val="single" w:color="auto" w:sz="4" w:space="0"/>
              <w:left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p>
            <w:pPr>
              <w:topLinePunct/>
              <w:spacing w:line="440" w:lineRule="exact"/>
              <w:jc w:val="center"/>
              <w:rPr>
                <w:rFonts w:ascii="宋体" w:hAnsi="宋体" w:cs="宋体"/>
                <w:color w:val="000000" w:themeColor="text1"/>
                <w:sz w:val="21"/>
                <w:szCs w:val="21"/>
                <w14:textFill>
                  <w14:solidFill>
                    <w14:schemeClr w14:val="tx1"/>
                  </w14:solidFill>
                </w14:textFill>
              </w:rPr>
            </w:pPr>
          </w:p>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资产构成情况及投资参股的关联企业情况</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p>
            <w:pPr>
              <w:topLinePunct/>
              <w:spacing w:line="440" w:lineRule="exact"/>
              <w:jc w:val="center"/>
              <w:rPr>
                <w:rFonts w:ascii="宋体" w:hAnsi="宋体" w:cs="宋体"/>
                <w:color w:val="000000" w:themeColor="text1"/>
                <w:sz w:val="21"/>
                <w:szCs w:val="21"/>
                <w14:textFill>
                  <w14:solidFill>
                    <w14:schemeClr w14:val="tx1"/>
                  </w14:solidFill>
                </w14:textFill>
              </w:rPr>
            </w:pPr>
          </w:p>
          <w:p>
            <w:pPr>
              <w:topLinePunct/>
              <w:spacing w:line="440" w:lineRule="exact"/>
              <w:jc w:val="center"/>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89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w:t>
            </w:r>
          </w:p>
        </w:tc>
        <w:tc>
          <w:tcPr>
            <w:tcW w:w="7505" w:type="dxa"/>
            <w:gridSpan w:val="9"/>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p>
          <w:p>
            <w:pPr>
              <w:topLinePunct/>
              <w:spacing w:line="440" w:lineRule="exact"/>
              <w:jc w:val="center"/>
              <w:rPr>
                <w:rFonts w:ascii="宋体" w:hAnsi="宋体" w:cs="宋体"/>
                <w:color w:val="000000" w:themeColor="text1"/>
                <w:sz w:val="21"/>
                <w:szCs w:val="21"/>
                <w14:textFill>
                  <w14:solidFill>
                    <w14:schemeClr w14:val="tx1"/>
                  </w14:solidFill>
                </w14:textFill>
              </w:rPr>
            </w:pPr>
          </w:p>
        </w:tc>
      </w:tr>
    </w:tbl>
    <w:p>
      <w:pPr>
        <w:spacing w:line="440" w:lineRule="exact"/>
        <w:ind w:left="541" w:leftChars="50" w:hanging="436" w:hangingChars="207"/>
        <w:rPr>
          <w:rFonts w:ascii="宋体" w:hAnsi="宋体" w:cs="宋体"/>
          <w:b/>
          <w:bCs/>
          <w:color w:val="000000" w:themeColor="text1"/>
          <w:kern w:val="0"/>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注：1、在本表后应附企业法人营业执照副本(全本)的扫描件(并加盖单位章)、资质证书副本(全本)的扫描件(并加盖单位章)。</w:t>
      </w:r>
    </w:p>
    <w:p>
      <w:pPr>
        <w:spacing w:line="440" w:lineRule="exact"/>
        <w:ind w:left="540" w:leftChars="257"/>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2、对于法人发生重组或变更的供应商，应在本表后附有法人重组或变更时相关部门的合法批件、变更时的企业法人营业执照和资质证书的副本变更记录扫描件。</w:t>
      </w:r>
    </w:p>
    <w:p>
      <w:pPr>
        <w:pStyle w:val="4"/>
        <w:spacing w:line="440" w:lineRule="exact"/>
        <w:jc w:val="center"/>
        <w:rPr>
          <w:rFonts w:ascii="Times New Roman"/>
          <w:color w:val="000000" w:themeColor="text1"/>
          <w:kern w:val="2"/>
          <w:sz w:val="36"/>
          <w:szCs w:val="36"/>
          <w:u w:val="none"/>
          <w14:textFill>
            <w14:solidFill>
              <w14:schemeClr w14:val="tx1"/>
            </w14:solidFill>
          </w14:textFill>
        </w:rPr>
      </w:pPr>
      <w:r>
        <w:rPr>
          <w:rFonts w:hint="eastAsia" w:hAnsi="宋体" w:cs="宋体"/>
          <w:color w:val="000000" w:themeColor="text1"/>
          <w:szCs w:val="24"/>
          <w14:textFill>
            <w14:solidFill>
              <w14:schemeClr w14:val="tx1"/>
            </w14:solidFill>
          </w14:textFill>
        </w:rPr>
        <w:br w:type="page"/>
      </w:r>
      <w:bookmarkStart w:id="3583" w:name="_Toc18322"/>
      <w:bookmarkStart w:id="3584" w:name="_Toc27475"/>
      <w:bookmarkStart w:id="3585" w:name="_Toc434831573"/>
      <w:r>
        <w:rPr>
          <w:rFonts w:hint="eastAsia" w:ascii="Times New Roman"/>
          <w:color w:val="000000" w:themeColor="text1"/>
          <w:kern w:val="2"/>
          <w:sz w:val="36"/>
          <w:szCs w:val="36"/>
          <w:u w:val="none"/>
          <w14:textFill>
            <w14:solidFill>
              <w14:schemeClr w14:val="tx1"/>
            </w14:solidFill>
          </w14:textFill>
        </w:rPr>
        <w:t>（二） 拟委任的项目负责人及其他主要人员组成表</w:t>
      </w:r>
      <w:bookmarkEnd w:id="3583"/>
      <w:bookmarkEnd w:id="3584"/>
      <w:bookmarkEnd w:id="3585"/>
    </w:p>
    <w:p>
      <w:pPr>
        <w:topLinePunct/>
        <w:spacing w:line="440" w:lineRule="exact"/>
        <w:rPr>
          <w:rFonts w:ascii="宋体" w:hAnsi="宋体" w:cs="宋体"/>
          <w:color w:val="000000" w:themeColor="text1"/>
          <w:sz w:val="24"/>
          <w14:textFill>
            <w14:solidFill>
              <w14:schemeClr w14:val="tx1"/>
            </w14:solidFill>
          </w14:textFill>
        </w:rPr>
      </w:pPr>
    </w:p>
    <w:tbl>
      <w:tblPr>
        <w:tblStyle w:val="44"/>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433"/>
        <w:gridCol w:w="1000"/>
        <w:gridCol w:w="834"/>
        <w:gridCol w:w="1595"/>
        <w:gridCol w:w="1332"/>
        <w:gridCol w:w="1058"/>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63"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序号</w:t>
            </w:r>
          </w:p>
        </w:tc>
        <w:tc>
          <w:tcPr>
            <w:tcW w:w="1433"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姓名</w:t>
            </w:r>
          </w:p>
        </w:tc>
        <w:tc>
          <w:tcPr>
            <w:tcW w:w="1000"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职务</w:t>
            </w:r>
          </w:p>
        </w:tc>
        <w:tc>
          <w:tcPr>
            <w:tcW w:w="834"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职称</w:t>
            </w:r>
          </w:p>
        </w:tc>
        <w:tc>
          <w:tcPr>
            <w:tcW w:w="1595"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工作年限</w:t>
            </w:r>
          </w:p>
        </w:tc>
        <w:tc>
          <w:tcPr>
            <w:tcW w:w="2390" w:type="dxa"/>
            <w:gridSpan w:val="2"/>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执业或职业资格证明</w:t>
            </w:r>
          </w:p>
        </w:tc>
        <w:tc>
          <w:tcPr>
            <w:tcW w:w="1355" w:type="dxa"/>
            <w:vMerge w:val="restart"/>
            <w:vAlign w:val="center"/>
          </w:tcPr>
          <w:p>
            <w:pPr>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63"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证书名称</w:t>
            </w:r>
          </w:p>
        </w:tc>
        <w:tc>
          <w:tcPr>
            <w:tcW w:w="1058" w:type="dxa"/>
            <w:vAlign w:val="center"/>
          </w:tcPr>
          <w:p>
            <w:pPr>
              <w:spacing w:line="44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专业</w:t>
            </w:r>
          </w:p>
        </w:tc>
        <w:tc>
          <w:tcPr>
            <w:tcW w:w="1355" w:type="dxa"/>
            <w:vMerge w:val="continue"/>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pStyle w:val="252"/>
              <w:autoSpaceDE/>
              <w:autoSpaceDN/>
              <w:adjustRightInd/>
              <w:snapToGrid/>
              <w:spacing w:line="440" w:lineRule="exact"/>
              <w:textAlignment w:val="auto"/>
              <w:rPr>
                <w:rFonts w:ascii="宋体" w:hAnsi="宋体" w:cs="宋体"/>
                <w:color w:val="000000" w:themeColor="text1"/>
                <w:spacing w:val="0"/>
                <w:kern w:val="2"/>
                <w:sz w:val="24"/>
                <w:szCs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6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433"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00"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834"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595"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32"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058" w:type="dxa"/>
            <w:vAlign w:val="center"/>
          </w:tcPr>
          <w:p>
            <w:pPr>
              <w:spacing w:line="440" w:lineRule="exact"/>
              <w:jc w:val="center"/>
              <w:rPr>
                <w:rFonts w:ascii="宋体" w:hAnsi="宋体" w:cs="宋体"/>
                <w:color w:val="000000" w:themeColor="text1"/>
                <w:sz w:val="24"/>
                <w14:textFill>
                  <w14:solidFill>
                    <w14:schemeClr w14:val="tx1"/>
                  </w14:solidFill>
                </w14:textFill>
              </w:rPr>
            </w:pPr>
          </w:p>
        </w:tc>
        <w:tc>
          <w:tcPr>
            <w:tcW w:w="1355" w:type="dxa"/>
            <w:vAlign w:val="center"/>
          </w:tcPr>
          <w:p>
            <w:pPr>
              <w:spacing w:line="440" w:lineRule="exact"/>
              <w:jc w:val="center"/>
              <w:rPr>
                <w:rFonts w:ascii="宋体" w:hAnsi="宋体" w:cs="宋体"/>
                <w:color w:val="000000" w:themeColor="text1"/>
                <w:sz w:val="24"/>
                <w14:textFill>
                  <w14:solidFill>
                    <w14:schemeClr w14:val="tx1"/>
                  </w14:solidFill>
                </w14:textFill>
              </w:rPr>
            </w:pPr>
          </w:p>
        </w:tc>
      </w:tr>
    </w:tbl>
    <w:p>
      <w:pPr>
        <w:topLinePunct/>
        <w:spacing w:line="440" w:lineRule="exact"/>
        <w:rPr>
          <w:rFonts w:ascii="宋体" w:hAnsi="宋体" w:cs="宋体"/>
          <w:color w:val="000000" w:themeColor="text1"/>
          <w:sz w:val="24"/>
          <w14:textFill>
            <w14:solidFill>
              <w14:schemeClr w14:val="tx1"/>
            </w14:solidFill>
          </w14:textFill>
        </w:rPr>
      </w:pPr>
    </w:p>
    <w:p>
      <w:pPr>
        <w:pStyle w:val="18"/>
        <w:spacing w:line="440" w:lineRule="exact"/>
        <w:ind w:left="540" w:leftChars="257" w:firstLine="1126"/>
        <w:rPr>
          <w:rFonts w:ascii="宋体" w:hAnsi="宋体" w:cs="宋体"/>
          <w:color w:val="000000" w:themeColor="text1"/>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pStyle w:val="4"/>
        <w:spacing w:line="440" w:lineRule="exact"/>
        <w:jc w:val="center"/>
        <w:rPr>
          <w:rFonts w:ascii="Times New Roman"/>
          <w:color w:val="000000" w:themeColor="text1"/>
          <w:kern w:val="2"/>
          <w:sz w:val="36"/>
          <w:szCs w:val="36"/>
          <w:u w:val="none"/>
          <w14:textFill>
            <w14:solidFill>
              <w14:schemeClr w14:val="tx1"/>
            </w14:solidFill>
          </w14:textFill>
        </w:rPr>
      </w:pPr>
      <w:bookmarkStart w:id="3586" w:name="_Toc17639"/>
      <w:bookmarkStart w:id="3587" w:name="_Toc434831574"/>
      <w:r>
        <w:rPr>
          <w:rFonts w:hint="eastAsia" w:hAnsi="宋体" w:cs="宋体"/>
          <w:color w:val="000000" w:themeColor="text1"/>
          <w:szCs w:val="24"/>
          <w14:textFill>
            <w14:solidFill>
              <w14:schemeClr w14:val="tx1"/>
            </w14:solidFill>
          </w14:textFill>
        </w:rPr>
        <w:br w:type="page"/>
      </w:r>
      <w:bookmarkStart w:id="3588" w:name="_Toc15719"/>
      <w:r>
        <w:rPr>
          <w:rFonts w:hint="eastAsia" w:ascii="Times New Roman"/>
          <w:color w:val="000000" w:themeColor="text1"/>
          <w:kern w:val="2"/>
          <w:sz w:val="36"/>
          <w:szCs w:val="36"/>
          <w:u w:val="none"/>
          <w14:textFill>
            <w14:solidFill>
              <w14:schemeClr w14:val="tx1"/>
            </w14:solidFill>
          </w14:textFill>
        </w:rPr>
        <w:t>（三）拟委任的项目负责人资历表</w:t>
      </w:r>
      <w:bookmarkEnd w:id="3586"/>
      <w:bookmarkEnd w:id="3587"/>
      <w:bookmarkEnd w:id="3588"/>
    </w:p>
    <w:p>
      <w:pPr>
        <w:topLinePunct/>
        <w:spacing w:line="440" w:lineRule="exact"/>
        <w:rPr>
          <w:rFonts w:ascii="宋体" w:hAnsi="宋体" w:cs="宋体"/>
          <w:color w:val="000000" w:themeColor="text1"/>
          <w:sz w:val="24"/>
          <w14:textFill>
            <w14:solidFill>
              <w14:schemeClr w14:val="tx1"/>
            </w14:solidFill>
          </w14:textFill>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06"/>
        <w:gridCol w:w="54"/>
        <w:gridCol w:w="1539"/>
        <w:gridCol w:w="876"/>
        <w:gridCol w:w="246"/>
        <w:gridCol w:w="1462"/>
        <w:gridCol w:w="359"/>
        <w:gridCol w:w="1632"/>
        <w:gridCol w:w="410"/>
        <w:gridCol w:w="1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jc w:val="center"/>
        </w:trPr>
        <w:tc>
          <w:tcPr>
            <w:tcW w:w="1306" w:type="dxa"/>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姓    名</w:t>
            </w:r>
          </w:p>
        </w:tc>
        <w:tc>
          <w:tcPr>
            <w:tcW w:w="1593"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1122"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年    龄</w:t>
            </w:r>
          </w:p>
        </w:tc>
        <w:tc>
          <w:tcPr>
            <w:tcW w:w="1462" w:type="dxa"/>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1991" w:type="dxa"/>
            <w:gridSpan w:val="2"/>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专    业</w:t>
            </w:r>
          </w:p>
        </w:tc>
        <w:tc>
          <w:tcPr>
            <w:tcW w:w="1766"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06" w:type="dxa"/>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职    称</w:t>
            </w:r>
          </w:p>
        </w:tc>
        <w:tc>
          <w:tcPr>
            <w:tcW w:w="1593"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1122"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公司单位职    务</w:t>
            </w:r>
          </w:p>
        </w:tc>
        <w:tc>
          <w:tcPr>
            <w:tcW w:w="1462" w:type="dxa"/>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1991" w:type="dxa"/>
            <w:gridSpan w:val="2"/>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拟在本项目</w:t>
            </w:r>
          </w:p>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担任职务</w:t>
            </w:r>
          </w:p>
        </w:tc>
        <w:tc>
          <w:tcPr>
            <w:tcW w:w="1766"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jc w:val="center"/>
        </w:trPr>
        <w:tc>
          <w:tcPr>
            <w:tcW w:w="1306" w:type="dxa"/>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毕业学校</w:t>
            </w:r>
          </w:p>
        </w:tc>
        <w:tc>
          <w:tcPr>
            <w:tcW w:w="7934" w:type="dxa"/>
            <w:gridSpan w:val="9"/>
            <w:vAlign w:val="center"/>
          </w:tcPr>
          <w:p>
            <w:pPr>
              <w:widowControl/>
              <w:autoSpaceDE w:val="0"/>
              <w:autoSpaceDN w:val="0"/>
              <w:spacing w:line="440" w:lineRule="exact"/>
              <w:ind w:left="-187" w:leftChars="-89"/>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______年___月毕业于____________学校___________专业，学制______年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9240" w:type="dxa"/>
            <w:gridSpan w:val="10"/>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__年~__年</w:t>
            </w:r>
          </w:p>
        </w:tc>
        <w:tc>
          <w:tcPr>
            <w:tcW w:w="4482" w:type="dxa"/>
            <w:gridSpan w:val="5"/>
            <w:vAlign w:val="center"/>
          </w:tcPr>
          <w:p>
            <w:pPr>
              <w:pStyle w:val="252"/>
              <w:widowControl/>
              <w:adjustRightInd/>
              <w:snapToGrid/>
              <w:spacing w:line="440" w:lineRule="exact"/>
              <w:textAlignment w:val="bottom"/>
              <w:rPr>
                <w:rFonts w:ascii="宋体" w:hAnsi="宋体" w:cs="宋体"/>
                <w:color w:val="000000" w:themeColor="text1"/>
                <w:spacing w:val="0"/>
                <w:kern w:val="2"/>
                <w:sz w:val="21"/>
                <w:szCs w:val="21"/>
                <w14:textFill>
                  <w14:solidFill>
                    <w14:schemeClr w14:val="tx1"/>
                  </w14:solidFill>
                </w14:textFill>
              </w:rPr>
            </w:pPr>
            <w:r>
              <w:rPr>
                <w:rFonts w:hint="eastAsia" w:ascii="宋体" w:hAnsi="宋体" w:cs="宋体"/>
                <w:color w:val="000000" w:themeColor="text1"/>
                <w:spacing w:val="0"/>
                <w:kern w:val="2"/>
                <w:sz w:val="21"/>
                <w:szCs w:val="21"/>
                <w14:textFill>
                  <w14:solidFill>
                    <w14:schemeClr w14:val="tx1"/>
                  </w14:solidFill>
                </w14:textFill>
              </w:rPr>
              <w:t>参加过的类似项目名称</w:t>
            </w:r>
          </w:p>
        </w:tc>
        <w:tc>
          <w:tcPr>
            <w:tcW w:w="2042" w:type="dxa"/>
            <w:gridSpan w:val="2"/>
            <w:vAlign w:val="center"/>
          </w:tcPr>
          <w:p>
            <w:pPr>
              <w:pStyle w:val="252"/>
              <w:widowControl/>
              <w:adjustRightInd/>
              <w:snapToGrid/>
              <w:spacing w:line="440" w:lineRule="exact"/>
              <w:textAlignment w:val="bottom"/>
              <w:rPr>
                <w:rFonts w:ascii="宋体" w:hAnsi="宋体" w:cs="宋体"/>
                <w:color w:val="000000" w:themeColor="text1"/>
                <w:spacing w:val="0"/>
                <w:kern w:val="2"/>
                <w:sz w:val="21"/>
                <w:szCs w:val="21"/>
                <w14:textFill>
                  <w14:solidFill>
                    <w14:schemeClr w14:val="tx1"/>
                  </w14:solidFill>
                </w14:textFill>
              </w:rPr>
            </w:pPr>
            <w:r>
              <w:rPr>
                <w:rFonts w:hint="eastAsia" w:ascii="宋体" w:hAnsi="宋体" w:cs="宋体"/>
                <w:color w:val="000000" w:themeColor="text1"/>
                <w:spacing w:val="0"/>
                <w:kern w:val="2"/>
                <w:sz w:val="21"/>
                <w:szCs w:val="21"/>
                <w14:textFill>
                  <w14:solidFill>
                    <w14:schemeClr w14:val="tx1"/>
                  </w14:solidFill>
                </w14:textFill>
              </w:rPr>
              <w:t>担任何职</w:t>
            </w:r>
          </w:p>
        </w:tc>
        <w:tc>
          <w:tcPr>
            <w:tcW w:w="1356" w:type="dxa"/>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4482" w:type="dxa"/>
            <w:gridSpan w:val="5"/>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2042"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c>
          <w:tcPr>
            <w:tcW w:w="1356" w:type="dxa"/>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4482" w:type="dxa"/>
            <w:gridSpan w:val="5"/>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2042"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c>
          <w:tcPr>
            <w:tcW w:w="1356" w:type="dxa"/>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4482" w:type="dxa"/>
            <w:gridSpan w:val="5"/>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2042"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c>
          <w:tcPr>
            <w:tcW w:w="1356" w:type="dxa"/>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4482" w:type="dxa"/>
            <w:gridSpan w:val="5"/>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2042"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c>
          <w:tcPr>
            <w:tcW w:w="1356" w:type="dxa"/>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1360" w:type="dxa"/>
            <w:gridSpan w:val="2"/>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4482" w:type="dxa"/>
            <w:gridSpan w:val="5"/>
            <w:vAlign w:val="center"/>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tc>
        <w:tc>
          <w:tcPr>
            <w:tcW w:w="2042" w:type="dxa"/>
            <w:gridSpan w:val="2"/>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c>
          <w:tcPr>
            <w:tcW w:w="1356" w:type="dxa"/>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75" w:type="dxa"/>
            <w:gridSpan w:val="4"/>
          </w:tcPr>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jc w:val="center"/>
              <w:textAlignment w:val="bottom"/>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     注</w:t>
            </w:r>
          </w:p>
        </w:tc>
        <w:tc>
          <w:tcPr>
            <w:tcW w:w="5465" w:type="dxa"/>
            <w:gridSpan w:val="6"/>
          </w:tcPr>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p>
            <w:pPr>
              <w:widowControl/>
              <w:autoSpaceDE w:val="0"/>
              <w:autoSpaceDN w:val="0"/>
              <w:spacing w:line="440" w:lineRule="exact"/>
              <w:textAlignment w:val="bottom"/>
              <w:rPr>
                <w:rFonts w:ascii="宋体" w:hAnsi="宋体" w:cs="宋体"/>
                <w:color w:val="000000" w:themeColor="text1"/>
                <w:sz w:val="21"/>
                <w:szCs w:val="21"/>
                <w14:textFill>
                  <w14:solidFill>
                    <w14:schemeClr w14:val="tx1"/>
                  </w14:solidFill>
                </w14:textFill>
              </w:rPr>
            </w:pPr>
          </w:p>
        </w:tc>
      </w:tr>
    </w:tbl>
    <w:p>
      <w:pPr>
        <w:pStyle w:val="18"/>
        <w:spacing w:line="440" w:lineRule="exact"/>
        <w:ind w:left="539" w:leftChars="50" w:hanging="434" w:hangingChars="207"/>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注：1、在本表后应附有有效的身份证、毕业证、职称证扫描件，所有证件的扫描件均应清晰可辨，否则，将被认为证书无效。</w:t>
      </w:r>
    </w:p>
    <w:p>
      <w:pPr>
        <w:topLinePunct/>
        <w:spacing w:line="440" w:lineRule="exact"/>
        <w:rPr>
          <w:rFonts w:ascii="宋体" w:hAnsi="宋体" w:cs="宋体"/>
          <w:color w:val="000000" w:themeColor="text1"/>
          <w:sz w:val="21"/>
          <w:szCs w:val="21"/>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topLinePunct/>
        <w:spacing w:line="440" w:lineRule="exact"/>
        <w:rPr>
          <w:rFonts w:ascii="宋体" w:hAnsi="宋体" w:cs="宋体"/>
          <w:color w:val="000000" w:themeColor="text1"/>
          <w:sz w:val="24"/>
          <w14:textFill>
            <w14:solidFill>
              <w14:schemeClr w14:val="tx1"/>
            </w14:solidFill>
          </w14:textFill>
        </w:rPr>
      </w:pPr>
    </w:p>
    <w:p>
      <w:pPr>
        <w:pStyle w:val="4"/>
        <w:spacing w:line="440" w:lineRule="exact"/>
        <w:jc w:val="center"/>
        <w:rPr>
          <w:rFonts w:ascii="Times New Roman"/>
          <w:color w:val="000000" w:themeColor="text1"/>
          <w:kern w:val="2"/>
          <w:sz w:val="36"/>
          <w:szCs w:val="36"/>
          <w:u w:val="none"/>
          <w14:textFill>
            <w14:solidFill>
              <w14:schemeClr w14:val="tx1"/>
            </w14:solidFill>
          </w14:textFill>
        </w:rPr>
      </w:pPr>
      <w:bookmarkStart w:id="3589" w:name="_Toc434831576"/>
      <w:r>
        <w:rPr>
          <w:rFonts w:hint="eastAsia" w:hAnsi="宋体" w:cs="宋体"/>
          <w:color w:val="000000" w:themeColor="text1"/>
          <w:szCs w:val="24"/>
          <w14:textFill>
            <w14:solidFill>
              <w14:schemeClr w14:val="tx1"/>
            </w14:solidFill>
          </w14:textFill>
        </w:rPr>
        <w:br w:type="page"/>
      </w:r>
      <w:bookmarkStart w:id="3590" w:name="_Toc7345"/>
      <w:bookmarkStart w:id="3591" w:name="_Toc9841"/>
      <w:r>
        <w:rPr>
          <w:rFonts w:hint="eastAsia" w:ascii="Times New Roman"/>
          <w:color w:val="000000" w:themeColor="text1"/>
          <w:kern w:val="2"/>
          <w:sz w:val="36"/>
          <w:szCs w:val="36"/>
          <w:u w:val="none"/>
          <w14:textFill>
            <w14:solidFill>
              <w14:schemeClr w14:val="tx1"/>
            </w14:solidFill>
          </w14:textFill>
        </w:rPr>
        <w:t>（四） 近年完成的类似项目情况表</w:t>
      </w:r>
      <w:bookmarkEnd w:id="3589"/>
      <w:bookmarkEnd w:id="3590"/>
      <w:bookmarkEnd w:id="3591"/>
    </w:p>
    <w:p>
      <w:pPr>
        <w:topLinePunct/>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2"/>
        <w:gridCol w:w="6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项目名称</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项目内容</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发包人名称</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发包人地址</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发包人电话</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合同价格</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服务期</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项目负责人</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252" w:type="dxa"/>
            <w:vAlign w:val="center"/>
          </w:tcPr>
          <w:p>
            <w:pPr>
              <w:topLinePunct/>
              <w:spacing w:line="4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w:t>
            </w:r>
          </w:p>
        </w:tc>
        <w:tc>
          <w:tcPr>
            <w:tcW w:w="6208" w:type="dxa"/>
          </w:tcPr>
          <w:p>
            <w:pPr>
              <w:topLinePunct/>
              <w:spacing w:line="440" w:lineRule="exact"/>
              <w:rPr>
                <w:rFonts w:ascii="宋体" w:hAnsi="宋体" w:cs="宋体"/>
                <w:color w:val="000000" w:themeColor="text1"/>
                <w:sz w:val="21"/>
                <w:szCs w:val="21"/>
                <w14:textFill>
                  <w14:solidFill>
                    <w14:schemeClr w14:val="tx1"/>
                  </w14:solidFill>
                </w14:textFill>
              </w:rPr>
            </w:pPr>
          </w:p>
          <w:p>
            <w:pPr>
              <w:topLinePunct/>
              <w:spacing w:line="440" w:lineRule="exact"/>
              <w:rPr>
                <w:rFonts w:ascii="宋体" w:hAnsi="宋体" w:cs="宋体"/>
                <w:color w:val="000000" w:themeColor="text1"/>
                <w:sz w:val="21"/>
                <w:szCs w:val="21"/>
                <w14:textFill>
                  <w14:solidFill>
                    <w14:schemeClr w14:val="tx1"/>
                  </w14:solidFill>
                </w14:textFill>
              </w:rPr>
            </w:pPr>
          </w:p>
        </w:tc>
      </w:tr>
    </w:tbl>
    <w:p>
      <w:pPr>
        <w:pStyle w:val="18"/>
        <w:spacing w:line="440" w:lineRule="exact"/>
        <w:ind w:left="539" w:leftChars="50" w:hanging="434" w:hangingChars="207"/>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注：1、每张表格只填写一个项目，并标明序号。</w:t>
      </w:r>
    </w:p>
    <w:p>
      <w:pPr>
        <w:pStyle w:val="18"/>
        <w:spacing w:line="440" w:lineRule="exact"/>
        <w:ind w:firstLine="420"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2、本表后须附合同协议书或中标通知书。</w:t>
      </w:r>
    </w:p>
    <w:p>
      <w:pPr>
        <w:pStyle w:val="18"/>
        <w:spacing w:line="440" w:lineRule="exact"/>
        <w:ind w:firstLine="422" w:firstLineChars="200"/>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3、业绩认定的时间要求：合同签订时间：20</w:t>
      </w:r>
      <w:r>
        <w:rPr>
          <w:rFonts w:hint="eastAsia" w:ascii="宋体" w:hAnsi="宋体" w:cs="宋体"/>
          <w:b/>
          <w:bCs/>
          <w:color w:val="000000" w:themeColor="text1"/>
          <w:sz w:val="21"/>
          <w:szCs w:val="21"/>
          <w:highlight w:val="none"/>
          <w:lang w:val="en-US" w:eastAsia="zh-CN"/>
          <w14:textFill>
            <w14:solidFill>
              <w14:schemeClr w14:val="tx1"/>
            </w14:solidFill>
          </w14:textFill>
        </w:rPr>
        <w:t>21</w:t>
      </w:r>
      <w:r>
        <w:rPr>
          <w:rFonts w:hint="eastAsia" w:ascii="宋体" w:hAnsi="宋体" w:cs="宋体"/>
          <w:b/>
          <w:bCs/>
          <w:color w:val="000000" w:themeColor="text1"/>
          <w:sz w:val="21"/>
          <w:szCs w:val="21"/>
          <w:highlight w:val="none"/>
          <w14:textFill>
            <w14:solidFill>
              <w14:schemeClr w14:val="tx1"/>
            </w14:solidFill>
          </w14:textFill>
        </w:rPr>
        <w:t>年</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cs="宋体"/>
          <w:b/>
          <w:bCs/>
          <w:color w:val="000000" w:themeColor="text1"/>
          <w:sz w:val="21"/>
          <w:szCs w:val="21"/>
          <w:highlight w:val="none"/>
          <w14:textFill>
            <w14:solidFill>
              <w14:schemeClr w14:val="tx1"/>
            </w14:solidFill>
          </w14:textFill>
        </w:rPr>
        <w:t>月</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cs="宋体"/>
          <w:b/>
          <w:bCs/>
          <w:color w:val="000000" w:themeColor="text1"/>
          <w:sz w:val="21"/>
          <w:szCs w:val="21"/>
          <w:highlight w:val="none"/>
          <w14:textFill>
            <w14:solidFill>
              <w14:schemeClr w14:val="tx1"/>
            </w14:solidFill>
          </w14:textFill>
        </w:rPr>
        <w:t>日至今。</w:t>
      </w:r>
    </w:p>
    <w:p>
      <w:pPr>
        <w:widowControl/>
        <w:ind w:firstLine="420" w:firstLineChars="200"/>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4、如近年来，服务商法人机构发生合法变更或重组或法人名称变更时，应提供相关部门的合法批件或其他相关证明材料来证明其所附业绩的继承性。</w:t>
      </w:r>
    </w:p>
    <w:p>
      <w:pPr>
        <w:widowControl/>
        <w:ind w:firstLine="420" w:firstLineChars="200"/>
        <w:jc w:val="left"/>
        <w:rPr>
          <w:rFonts w:ascii="宋体" w:hAnsi="宋体" w:cs="宋体"/>
          <w:color w:val="000000" w:themeColor="text1"/>
          <w:sz w:val="21"/>
          <w:szCs w:val="21"/>
          <w14:textFill>
            <w14:solidFill>
              <w14:schemeClr w14:val="tx1"/>
            </w14:solidFill>
          </w14:textFill>
        </w:rPr>
      </w:pPr>
    </w:p>
    <w:p>
      <w:pPr>
        <w:widowControl/>
        <w:ind w:firstLine="480" w:firstLineChars="200"/>
        <w:jc w:val="left"/>
        <w:rPr>
          <w:rFonts w:ascii="宋体" w:hAnsi="宋体" w:cs="宋体"/>
          <w:color w:val="000000" w:themeColor="text1"/>
          <w:sz w:val="24"/>
          <w14:textFill>
            <w14:solidFill>
              <w14:schemeClr w14:val="tx1"/>
            </w14:solidFill>
          </w14:textFill>
        </w:rPr>
      </w:pPr>
    </w:p>
    <w:p>
      <w:pPr>
        <w:widowControl/>
        <w:ind w:firstLine="723" w:firstLineChars="200"/>
        <w:jc w:val="left"/>
        <w:rPr>
          <w:b/>
          <w:color w:val="000000" w:themeColor="text1"/>
          <w:sz w:val="36"/>
          <w:szCs w:val="36"/>
          <w14:textFill>
            <w14:solidFill>
              <w14:schemeClr w14:val="tx1"/>
            </w14:solidFill>
          </w14:textFill>
        </w:rPr>
      </w:pPr>
    </w:p>
    <w:p>
      <w:pPr>
        <w:widowControl/>
        <w:ind w:firstLine="480" w:firstLineChars="200"/>
        <w:jc w:val="left"/>
        <w:rPr>
          <w:rFonts w:ascii="宋体" w:hAnsi="宋体" w:cs="宋体"/>
          <w:color w:val="000000" w:themeColor="text1"/>
          <w:sz w:val="24"/>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widowControl/>
        <w:jc w:val="left"/>
        <w:rPr>
          <w:rFonts w:eastAsiaTheme="minorEastAsia"/>
          <w:b/>
          <w:color w:val="000000" w:themeColor="text1"/>
          <w:sz w:val="36"/>
          <w:szCs w:val="36"/>
          <w14:textFill>
            <w14:solidFill>
              <w14:schemeClr w14:val="tx1"/>
            </w14:solidFill>
          </w14:textFill>
        </w:rPr>
      </w:pPr>
    </w:p>
    <w:p>
      <w:pPr>
        <w:tabs>
          <w:tab w:val="left" w:pos="360"/>
        </w:tabs>
        <w:snapToGrid w:val="0"/>
        <w:spacing w:line="360" w:lineRule="auto"/>
        <w:outlineLvl w:val="1"/>
        <w:rPr>
          <w:rFonts w:eastAsiaTheme="minorEastAsia"/>
          <w:b/>
          <w:color w:val="000000" w:themeColor="text1"/>
          <w:sz w:val="36"/>
          <w:szCs w:val="36"/>
          <w14:textFill>
            <w14:solidFill>
              <w14:schemeClr w14:val="tx1"/>
            </w14:solidFill>
          </w14:textFill>
        </w:rPr>
      </w:pPr>
    </w:p>
    <w:p>
      <w:pPr>
        <w:pStyle w:val="12"/>
      </w:pPr>
    </w:p>
    <w:p>
      <w:pPr>
        <w:tabs>
          <w:tab w:val="left" w:pos="360"/>
        </w:tabs>
        <w:snapToGrid w:val="0"/>
        <w:spacing w:line="360" w:lineRule="auto"/>
        <w:outlineLvl w:val="1"/>
        <w:rPr>
          <w:rFonts w:eastAsiaTheme="minorEastAsia"/>
          <w:color w:val="000000" w:themeColor="text1"/>
          <w:sz w:val="24"/>
          <w14:textFill>
            <w14:solidFill>
              <w14:schemeClr w14:val="tx1"/>
            </w14:solidFill>
          </w14:textFill>
        </w:rPr>
      </w:pPr>
    </w:p>
    <w:p>
      <w:pPr>
        <w:tabs>
          <w:tab w:val="left" w:pos="360"/>
        </w:tabs>
        <w:snapToGrid w:val="0"/>
        <w:spacing w:line="360" w:lineRule="auto"/>
        <w:outlineLvl w:val="1"/>
        <w:rPr>
          <w:rFonts w:eastAsiaTheme="minorEastAsia"/>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 xml:space="preserve">10 </w:t>
      </w:r>
      <w:r>
        <w:rPr>
          <w:rFonts w:hint="eastAsia" w:eastAsiaTheme="minorEastAsia"/>
          <w:color w:val="000000" w:themeColor="text1"/>
          <w:sz w:val="21"/>
          <w:szCs w:val="21"/>
          <w14:textFill>
            <w14:solidFill>
              <w14:schemeClr w14:val="tx1"/>
            </w14:solidFill>
          </w14:textFill>
        </w:rPr>
        <w:t>最终报价表</w:t>
      </w:r>
      <w:r>
        <w:rPr>
          <w:rFonts w:eastAsiaTheme="minorEastAsia"/>
          <w:color w:val="000000" w:themeColor="text1"/>
          <w:sz w:val="21"/>
          <w:szCs w:val="21"/>
          <w14:textFill>
            <w14:solidFill>
              <w14:schemeClr w14:val="tx1"/>
            </w14:solidFill>
          </w14:textFill>
        </w:rPr>
        <w:t>（实质性格式，磋商后提交）</w:t>
      </w:r>
    </w:p>
    <w:p>
      <w:pPr>
        <w:pStyle w:val="17"/>
        <w:spacing w:before="50" w:line="440" w:lineRule="exact"/>
        <w:ind w:left="282" w:right="1038"/>
        <w:jc w:val="center"/>
        <w:rPr>
          <w:rFonts w:cs="宋体"/>
        </w:rPr>
      </w:pPr>
      <w:r>
        <w:rPr>
          <w:rFonts w:hint="eastAsia" w:cs="宋体"/>
          <w:b/>
          <w:bCs/>
          <w:sz w:val="36"/>
          <w:szCs w:val="36"/>
        </w:rPr>
        <w:t>最终报价表</w:t>
      </w:r>
    </w:p>
    <w:p>
      <w:pPr>
        <w:pStyle w:val="17"/>
        <w:spacing w:before="209" w:line="440" w:lineRule="exact"/>
        <w:ind w:right="1038"/>
        <w:rPr>
          <w:rFonts w:cs="宋体"/>
          <w:sz w:val="21"/>
          <w:szCs w:val="21"/>
        </w:rPr>
      </w:pPr>
      <w:r>
        <w:rPr>
          <w:rFonts w:hint="eastAsia" w:cs="宋体"/>
          <w:sz w:val="21"/>
          <w:szCs w:val="21"/>
        </w:rPr>
        <w:t>项目名称：</w:t>
      </w:r>
    </w:p>
    <w:tbl>
      <w:tblPr>
        <w:tblStyle w:val="44"/>
        <w:tblW w:w="0" w:type="auto"/>
        <w:jc w:val="center"/>
        <w:tblLayout w:type="fixed"/>
        <w:tblCellMar>
          <w:top w:w="0" w:type="dxa"/>
          <w:left w:w="0" w:type="dxa"/>
          <w:bottom w:w="0" w:type="dxa"/>
          <w:right w:w="0" w:type="dxa"/>
        </w:tblCellMar>
      </w:tblPr>
      <w:tblGrid>
        <w:gridCol w:w="2524"/>
        <w:gridCol w:w="2524"/>
        <w:gridCol w:w="2062"/>
        <w:gridCol w:w="2055"/>
      </w:tblGrid>
      <w:tr>
        <w:tblPrEx>
          <w:tblCellMar>
            <w:top w:w="0" w:type="dxa"/>
            <w:left w:w="0" w:type="dxa"/>
            <w:bottom w:w="0" w:type="dxa"/>
            <w:right w:w="0" w:type="dxa"/>
          </w:tblCellMar>
        </w:tblPrEx>
        <w:trPr>
          <w:trHeight w:val="1293"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line="440" w:lineRule="exact"/>
              <w:jc w:val="center"/>
              <w:rPr>
                <w:rFonts w:cs="宋体"/>
                <w:sz w:val="21"/>
                <w:szCs w:val="21"/>
              </w:rPr>
            </w:pPr>
            <w:r>
              <w:rPr>
                <w:rFonts w:hint="eastAsia" w:cs="宋体"/>
                <w:sz w:val="21"/>
                <w:szCs w:val="21"/>
              </w:rPr>
              <w:t>原响应总价（元）</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line="440" w:lineRule="exact"/>
              <w:jc w:val="center"/>
              <w:rPr>
                <w:rFonts w:cs="宋体"/>
                <w:sz w:val="21"/>
                <w:szCs w:val="21"/>
              </w:rPr>
            </w:pPr>
            <w:r>
              <w:rPr>
                <w:rFonts w:hint="eastAsia" w:cs="宋体"/>
                <w:sz w:val="21"/>
                <w:szCs w:val="21"/>
              </w:rPr>
              <w:t>最终响应价格（元）</w:t>
            </w:r>
          </w:p>
        </w:tc>
        <w:tc>
          <w:tcPr>
            <w:tcW w:w="2062" w:type="dxa"/>
            <w:tcBorders>
              <w:top w:val="single" w:color="000000" w:sz="4" w:space="0"/>
              <w:left w:val="single" w:color="auto" w:sz="4" w:space="0"/>
              <w:bottom w:val="single" w:color="000000" w:sz="4" w:space="0"/>
              <w:right w:val="single" w:color="000000" w:sz="4" w:space="0"/>
            </w:tcBorders>
            <w:vAlign w:val="center"/>
          </w:tcPr>
          <w:p>
            <w:pPr>
              <w:pStyle w:val="17"/>
              <w:spacing w:before="0" w:line="440" w:lineRule="exact"/>
              <w:jc w:val="center"/>
              <w:rPr>
                <w:rFonts w:cs="宋体"/>
                <w:sz w:val="21"/>
                <w:szCs w:val="21"/>
              </w:rPr>
            </w:pPr>
            <w:r>
              <w:rPr>
                <w:rFonts w:hint="eastAsia" w:cs="宋体"/>
                <w:sz w:val="21"/>
                <w:szCs w:val="21"/>
              </w:rPr>
              <w:t>浮动比例（%）</w:t>
            </w:r>
          </w:p>
        </w:tc>
        <w:tc>
          <w:tcPr>
            <w:tcW w:w="2055" w:type="dxa"/>
            <w:tcBorders>
              <w:top w:val="single" w:color="000000" w:sz="4" w:space="0"/>
              <w:left w:val="single" w:color="auto" w:sz="4" w:space="0"/>
              <w:bottom w:val="single" w:color="000000" w:sz="4" w:space="0"/>
              <w:right w:val="single" w:color="000000" w:sz="4" w:space="0"/>
            </w:tcBorders>
            <w:vAlign w:val="center"/>
          </w:tcPr>
          <w:p>
            <w:pPr>
              <w:pStyle w:val="17"/>
              <w:spacing w:before="0" w:line="440" w:lineRule="exact"/>
              <w:jc w:val="center"/>
              <w:rPr>
                <w:rFonts w:cs="宋体"/>
                <w:sz w:val="21"/>
                <w:szCs w:val="21"/>
              </w:rPr>
            </w:pPr>
            <w:r>
              <w:rPr>
                <w:rFonts w:hint="eastAsia" w:cs="宋体"/>
                <w:sz w:val="21"/>
                <w:szCs w:val="21"/>
              </w:rPr>
              <w:t>其他说明</w:t>
            </w:r>
          </w:p>
        </w:tc>
      </w:tr>
      <w:tr>
        <w:tblPrEx>
          <w:tblCellMar>
            <w:top w:w="0" w:type="dxa"/>
            <w:left w:w="0" w:type="dxa"/>
            <w:bottom w:w="0" w:type="dxa"/>
            <w:right w:w="0" w:type="dxa"/>
          </w:tblCellMar>
        </w:tblPrEx>
        <w:trPr>
          <w:trHeight w:val="1234"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line="440" w:lineRule="exact"/>
              <w:ind w:left="210" w:leftChars="100"/>
              <w:rPr>
                <w:rFonts w:cs="宋体"/>
                <w:sz w:val="21"/>
                <w:szCs w:val="21"/>
              </w:rPr>
            </w:pPr>
            <w:r>
              <w:rPr>
                <w:rFonts w:hint="eastAsia" w:cs="宋体"/>
                <w:sz w:val="21"/>
                <w:szCs w:val="21"/>
              </w:rPr>
              <w:t xml:space="preserve">小写：              </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line="440" w:lineRule="exact"/>
              <w:ind w:left="210" w:leftChars="100"/>
              <w:rPr>
                <w:rFonts w:cs="宋体"/>
                <w:sz w:val="21"/>
                <w:szCs w:val="21"/>
              </w:rPr>
            </w:pPr>
            <w:r>
              <w:rPr>
                <w:rFonts w:hint="eastAsia" w:cs="宋体"/>
                <w:sz w:val="21"/>
                <w:szCs w:val="21"/>
              </w:rPr>
              <w:t>小写：</w:t>
            </w:r>
          </w:p>
        </w:tc>
        <w:tc>
          <w:tcPr>
            <w:tcW w:w="2062" w:type="dxa"/>
            <w:tcBorders>
              <w:top w:val="single" w:color="000000" w:sz="4" w:space="0"/>
              <w:left w:val="single" w:color="auto" w:sz="4" w:space="0"/>
              <w:bottom w:val="single" w:color="000000" w:sz="4" w:space="0"/>
              <w:right w:val="single" w:color="000000" w:sz="4" w:space="0"/>
            </w:tcBorders>
          </w:tcPr>
          <w:p>
            <w:pPr>
              <w:pStyle w:val="17"/>
              <w:spacing w:before="0" w:line="440" w:lineRule="exact"/>
              <w:jc w:val="center"/>
              <w:rPr>
                <w:rFonts w:cs="宋体"/>
                <w:sz w:val="21"/>
                <w:szCs w:val="21"/>
              </w:rPr>
            </w:pPr>
          </w:p>
        </w:tc>
        <w:tc>
          <w:tcPr>
            <w:tcW w:w="2055" w:type="dxa"/>
            <w:tcBorders>
              <w:top w:val="single" w:color="000000" w:sz="4" w:space="0"/>
              <w:left w:val="single" w:color="auto" w:sz="4" w:space="0"/>
              <w:bottom w:val="single" w:color="000000" w:sz="4" w:space="0"/>
              <w:right w:val="single" w:color="000000" w:sz="4" w:space="0"/>
            </w:tcBorders>
          </w:tcPr>
          <w:p>
            <w:pPr>
              <w:pStyle w:val="17"/>
              <w:spacing w:before="0" w:line="440" w:lineRule="exact"/>
              <w:jc w:val="center"/>
              <w:rPr>
                <w:rFonts w:cs="宋体"/>
                <w:sz w:val="21"/>
                <w:szCs w:val="21"/>
              </w:rPr>
            </w:pPr>
          </w:p>
        </w:tc>
      </w:tr>
      <w:tr>
        <w:tblPrEx>
          <w:tblCellMar>
            <w:top w:w="0" w:type="dxa"/>
            <w:left w:w="0" w:type="dxa"/>
            <w:bottom w:w="0" w:type="dxa"/>
            <w:right w:w="0" w:type="dxa"/>
          </w:tblCellMar>
        </w:tblPrEx>
        <w:trPr>
          <w:trHeight w:val="1232" w:hRule="exact"/>
          <w:jc w:val="center"/>
        </w:trPr>
        <w:tc>
          <w:tcPr>
            <w:tcW w:w="2524" w:type="dxa"/>
            <w:tcBorders>
              <w:top w:val="single" w:color="000000" w:sz="4" w:space="0"/>
              <w:left w:val="single" w:color="000000" w:sz="4" w:space="0"/>
              <w:bottom w:val="single" w:color="000000" w:sz="4" w:space="0"/>
              <w:right w:val="single" w:color="000000" w:sz="4" w:space="0"/>
            </w:tcBorders>
            <w:vAlign w:val="center"/>
          </w:tcPr>
          <w:p>
            <w:pPr>
              <w:pStyle w:val="17"/>
              <w:spacing w:before="0" w:line="440" w:lineRule="exact"/>
              <w:ind w:left="210" w:leftChars="100"/>
              <w:rPr>
                <w:rFonts w:cs="宋体"/>
                <w:sz w:val="21"/>
                <w:szCs w:val="21"/>
              </w:rPr>
            </w:pPr>
            <w:r>
              <w:rPr>
                <w:rFonts w:hint="eastAsia" w:cs="宋体"/>
                <w:sz w:val="21"/>
                <w:szCs w:val="21"/>
              </w:rPr>
              <w:t>大写：</w:t>
            </w:r>
          </w:p>
        </w:tc>
        <w:tc>
          <w:tcPr>
            <w:tcW w:w="2524" w:type="dxa"/>
            <w:tcBorders>
              <w:top w:val="single" w:color="000000" w:sz="4" w:space="0"/>
              <w:left w:val="single" w:color="000000" w:sz="4" w:space="0"/>
              <w:bottom w:val="single" w:color="000000" w:sz="4" w:space="0"/>
              <w:right w:val="single" w:color="auto" w:sz="4" w:space="0"/>
            </w:tcBorders>
            <w:vAlign w:val="center"/>
          </w:tcPr>
          <w:p>
            <w:pPr>
              <w:pStyle w:val="17"/>
              <w:spacing w:before="0" w:line="440" w:lineRule="exact"/>
              <w:ind w:left="210" w:leftChars="100"/>
              <w:rPr>
                <w:rFonts w:cs="宋体"/>
                <w:sz w:val="21"/>
                <w:szCs w:val="21"/>
              </w:rPr>
            </w:pPr>
            <w:r>
              <w:rPr>
                <w:rFonts w:hint="eastAsia" w:cs="宋体"/>
                <w:sz w:val="21"/>
                <w:szCs w:val="21"/>
              </w:rPr>
              <w:t>大写：</w:t>
            </w:r>
          </w:p>
        </w:tc>
        <w:tc>
          <w:tcPr>
            <w:tcW w:w="2062" w:type="dxa"/>
            <w:tcBorders>
              <w:top w:val="single" w:color="000000" w:sz="4" w:space="0"/>
              <w:left w:val="single" w:color="auto" w:sz="4" w:space="0"/>
              <w:bottom w:val="single" w:color="000000" w:sz="4" w:space="0"/>
              <w:right w:val="single" w:color="000000" w:sz="4" w:space="0"/>
            </w:tcBorders>
          </w:tcPr>
          <w:p>
            <w:pPr>
              <w:pStyle w:val="17"/>
              <w:spacing w:before="0" w:line="440" w:lineRule="exact"/>
              <w:jc w:val="center"/>
              <w:rPr>
                <w:rFonts w:cs="宋体"/>
                <w:sz w:val="21"/>
                <w:szCs w:val="21"/>
              </w:rPr>
            </w:pPr>
          </w:p>
        </w:tc>
        <w:tc>
          <w:tcPr>
            <w:tcW w:w="2055" w:type="dxa"/>
            <w:tcBorders>
              <w:top w:val="single" w:color="000000" w:sz="4" w:space="0"/>
              <w:left w:val="single" w:color="auto" w:sz="4" w:space="0"/>
              <w:bottom w:val="single" w:color="000000" w:sz="4" w:space="0"/>
              <w:right w:val="single" w:color="000000" w:sz="4" w:space="0"/>
            </w:tcBorders>
          </w:tcPr>
          <w:p>
            <w:pPr>
              <w:pStyle w:val="17"/>
              <w:spacing w:before="0" w:line="440" w:lineRule="exact"/>
              <w:jc w:val="center"/>
              <w:rPr>
                <w:rFonts w:cs="宋体"/>
                <w:sz w:val="21"/>
                <w:szCs w:val="21"/>
              </w:rPr>
            </w:pPr>
          </w:p>
        </w:tc>
      </w:tr>
    </w:tbl>
    <w:p>
      <w:pPr>
        <w:pStyle w:val="17"/>
        <w:kinsoku w:val="0"/>
        <w:overflowPunct w:val="0"/>
        <w:spacing w:before="7" w:line="440" w:lineRule="exact"/>
        <w:rPr>
          <w:rFonts w:cs="宋体"/>
          <w:b/>
          <w:bCs/>
          <w:sz w:val="21"/>
          <w:szCs w:val="21"/>
        </w:rPr>
      </w:pPr>
      <w:r>
        <w:rPr>
          <w:rFonts w:hint="eastAsia" w:cs="宋体"/>
          <w:b/>
          <w:bCs/>
          <w:sz w:val="21"/>
          <w:szCs w:val="21"/>
        </w:rPr>
        <w:t>备注：供应商需提前准备空白签署盖章的最后报价表，以便最后报价填写(此表不应出现在响应文件中）。</w:t>
      </w:r>
    </w:p>
    <w:p>
      <w:pPr>
        <w:tabs>
          <w:tab w:val="left" w:pos="5332"/>
        </w:tabs>
        <w:rPr>
          <w:rFonts w:ascii="宋体" w:hAnsi="宋体" w:cs="宋体"/>
          <w:sz w:val="21"/>
          <w:szCs w:val="21"/>
        </w:rPr>
      </w:pPr>
    </w:p>
    <w:p>
      <w:pPr>
        <w:tabs>
          <w:tab w:val="left" w:pos="5332"/>
        </w:tabs>
        <w:spacing w:before="148" w:line="440" w:lineRule="exact"/>
        <w:ind w:left="210" w:right="4189"/>
        <w:rPr>
          <w:rFonts w:ascii="宋体" w:hAnsi="宋体" w:cs="宋体"/>
          <w:sz w:val="21"/>
          <w:szCs w:val="21"/>
        </w:rPr>
      </w:pPr>
    </w:p>
    <w:p>
      <w:pPr>
        <w:tabs>
          <w:tab w:val="left" w:pos="5332"/>
        </w:tabs>
        <w:spacing w:before="148" w:line="440" w:lineRule="exact"/>
        <w:ind w:left="210" w:right="4189"/>
        <w:rPr>
          <w:rFonts w:ascii="宋体" w:hAnsi="宋体" w:cs="宋体"/>
          <w:sz w:val="21"/>
          <w:szCs w:val="21"/>
          <w:u w:val="single"/>
        </w:rPr>
      </w:pPr>
      <w:r>
        <w:rPr>
          <w:rFonts w:eastAsiaTheme="minorEastAsia"/>
          <w:color w:val="000000" w:themeColor="text1"/>
          <w:sz w:val="21"/>
          <w:szCs w:val="21"/>
          <w14:textFill>
            <w14:solidFill>
              <w14:schemeClr w14:val="tx1"/>
            </w14:solidFill>
          </w14:textFill>
        </w:rPr>
        <w:t>供应商名称</w:t>
      </w:r>
      <w:r>
        <w:rPr>
          <w:rFonts w:hint="eastAsia" w:eastAsiaTheme="minorEastAsia"/>
          <w:color w:val="000000" w:themeColor="text1"/>
          <w:sz w:val="21"/>
          <w:szCs w:val="21"/>
          <w14:textFill>
            <w14:solidFill>
              <w14:schemeClr w14:val="tx1"/>
            </w14:solidFill>
          </w14:textFill>
        </w:rPr>
        <w:t>（公章）</w:t>
      </w:r>
      <w:r>
        <w:rPr>
          <w:rFonts w:hint="eastAsia" w:ascii="宋体" w:hAnsi="宋体" w:cs="宋体"/>
          <w:sz w:val="21"/>
          <w:szCs w:val="21"/>
        </w:rPr>
        <w:t>：</w:t>
      </w:r>
      <w:r>
        <w:rPr>
          <w:rFonts w:hint="eastAsia" w:ascii="宋体" w:hAnsi="宋体" w:cs="宋体"/>
          <w:sz w:val="21"/>
          <w:szCs w:val="21"/>
          <w:u w:val="single"/>
        </w:rPr>
        <w:t xml:space="preserve">                 </w:t>
      </w:r>
    </w:p>
    <w:p>
      <w:pPr>
        <w:tabs>
          <w:tab w:val="left" w:pos="5332"/>
        </w:tabs>
        <w:spacing w:before="148" w:line="440" w:lineRule="exact"/>
        <w:ind w:left="210" w:right="4189"/>
        <w:rPr>
          <w:rFonts w:ascii="宋体" w:hAnsi="宋体" w:cs="宋体"/>
          <w:sz w:val="21"/>
          <w:szCs w:val="21"/>
          <w:u w:val="single"/>
        </w:rPr>
      </w:pPr>
      <w:r>
        <w:rPr>
          <w:rFonts w:hint="eastAsia" w:ascii="宋体" w:hAnsi="宋体" w:cs="宋体"/>
          <w:sz w:val="21"/>
          <w:szCs w:val="21"/>
        </w:rPr>
        <w:t>授权代理人（签字）：</w:t>
      </w:r>
      <w:r>
        <w:rPr>
          <w:rFonts w:hint="eastAsia" w:ascii="宋体" w:hAnsi="宋体" w:cs="宋体"/>
          <w:sz w:val="21"/>
          <w:szCs w:val="21"/>
          <w:u w:val="single"/>
        </w:rPr>
        <w:t xml:space="preserve">                 </w:t>
      </w:r>
    </w:p>
    <w:p>
      <w:pPr>
        <w:tabs>
          <w:tab w:val="left" w:pos="5332"/>
        </w:tabs>
        <w:spacing w:before="148" w:line="440" w:lineRule="exact"/>
        <w:ind w:left="210" w:right="4189"/>
        <w:rPr>
          <w:rFonts w:ascii="宋体" w:hAnsi="宋体" w:cs="宋体"/>
          <w:sz w:val="21"/>
          <w:szCs w:val="21"/>
        </w:rPr>
      </w:pPr>
      <w:r>
        <w:rPr>
          <w:rFonts w:hint="eastAsia" w:ascii="宋体" w:hAnsi="宋体" w:cs="宋体"/>
          <w:sz w:val="21"/>
          <w:szCs w:val="21"/>
        </w:rPr>
        <w:t>报价日期：</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pPr>
        <w:spacing w:line="440" w:lineRule="exact"/>
        <w:rPr>
          <w:rFonts w:ascii="宋体" w:hAnsi="宋体" w:cs="宋体"/>
          <w:b/>
          <w:sz w:val="32"/>
          <w:szCs w:val="32"/>
        </w:rPr>
      </w:pPr>
    </w:p>
    <w:p>
      <w:pPr>
        <w:widowControl/>
        <w:jc w:val="left"/>
        <w:rPr>
          <w:rFonts w:eastAsiaTheme="minorEastAsia"/>
          <w:b/>
          <w:color w:val="000000" w:themeColor="text1"/>
          <w:sz w:val="36"/>
          <w:szCs w:val="36"/>
          <w14:textFill>
            <w14:solidFill>
              <w14:schemeClr w14:val="tx1"/>
            </w14:solidFill>
          </w14:textFill>
        </w:rPr>
      </w:pPr>
    </w:p>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9"/>
      </w:rPr>
    </w:pPr>
    <w:r>
      <w:fldChar w:fldCharType="begin"/>
    </w:r>
    <w:r>
      <w:rPr>
        <w:rStyle w:val="49"/>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r>
      <w:rPr>
        <w:rFonts w:hint="eastAsia"/>
      </w:rPr>
      <w:t>北京市政府采购项目竞争性磋商文件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D2AE1E"/>
    <w:multiLevelType w:val="singleLevel"/>
    <w:tmpl w:val="BFD2AE1E"/>
    <w:lvl w:ilvl="0" w:tentative="0">
      <w:start w:val="2"/>
      <w:numFmt w:val="decimal"/>
      <w:suff w:val="nothing"/>
      <w:lvlText w:val="%1）"/>
      <w:lvlJc w:val="left"/>
      <w:pPr>
        <w:ind w:left="30"/>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5046A66"/>
    <w:multiLevelType w:val="singleLevel"/>
    <w:tmpl w:val="35046A66"/>
    <w:lvl w:ilvl="0" w:tentative="0">
      <w:start w:val="4"/>
      <w:numFmt w:val="decimal"/>
      <w:lvlText w:val="%1."/>
      <w:lvlJc w:val="left"/>
      <w:pPr>
        <w:tabs>
          <w:tab w:val="left" w:pos="312"/>
        </w:tabs>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0"/>
  </w:num>
  <w:num w:numId="13">
    <w:abstractNumId w:val="1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DI5YjMyMWNhZThjOGVjNzVlYmE2OGNkMjQ4NTc4ZT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5A4"/>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9B"/>
    <w:rsid w:val="00021AEB"/>
    <w:rsid w:val="00021B95"/>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5F"/>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64"/>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D6A"/>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26"/>
    <w:rsid w:val="000778B7"/>
    <w:rsid w:val="00077A02"/>
    <w:rsid w:val="00077C79"/>
    <w:rsid w:val="00077D3D"/>
    <w:rsid w:val="00077FE5"/>
    <w:rsid w:val="000801CC"/>
    <w:rsid w:val="00080289"/>
    <w:rsid w:val="00080443"/>
    <w:rsid w:val="0008055D"/>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3DF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6E1"/>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FCD"/>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80"/>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0A"/>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53"/>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0B4"/>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58D"/>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CF8"/>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398"/>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86B"/>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164"/>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13"/>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3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9B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E0"/>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58E"/>
    <w:rsid w:val="0035376A"/>
    <w:rsid w:val="00353953"/>
    <w:rsid w:val="003539D4"/>
    <w:rsid w:val="00353B20"/>
    <w:rsid w:val="00353B47"/>
    <w:rsid w:val="00353BBB"/>
    <w:rsid w:val="00353E92"/>
    <w:rsid w:val="00353FA0"/>
    <w:rsid w:val="00354029"/>
    <w:rsid w:val="0035417A"/>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3C"/>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AD7"/>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8E"/>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491"/>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192"/>
    <w:rsid w:val="00441405"/>
    <w:rsid w:val="00441490"/>
    <w:rsid w:val="00441AAC"/>
    <w:rsid w:val="00441B3D"/>
    <w:rsid w:val="00441BFB"/>
    <w:rsid w:val="00441C6A"/>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5A3"/>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43"/>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BA2"/>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01"/>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5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A6E"/>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B9"/>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822"/>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2A"/>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C0A"/>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5B0"/>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707"/>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AB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65"/>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43"/>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3FAB"/>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6BC"/>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4B"/>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8D0"/>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97FD2"/>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D80"/>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15"/>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88B"/>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9C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90D"/>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C82"/>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57BC0"/>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3BA"/>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7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29"/>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BDB"/>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B"/>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4D"/>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CA5"/>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585"/>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9EE"/>
    <w:rsid w:val="00894BC7"/>
    <w:rsid w:val="00894DF2"/>
    <w:rsid w:val="00895094"/>
    <w:rsid w:val="008950B1"/>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BFD"/>
    <w:rsid w:val="00924C62"/>
    <w:rsid w:val="00924CAF"/>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1C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4AF"/>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67E"/>
    <w:rsid w:val="009A0D3B"/>
    <w:rsid w:val="009A0E9D"/>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89"/>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3D9A"/>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2F3"/>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660"/>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10"/>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B86"/>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5F3D"/>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1F"/>
    <w:rsid w:val="00B05CA0"/>
    <w:rsid w:val="00B05CE8"/>
    <w:rsid w:val="00B0601D"/>
    <w:rsid w:val="00B061B2"/>
    <w:rsid w:val="00B063D3"/>
    <w:rsid w:val="00B06405"/>
    <w:rsid w:val="00B06D28"/>
    <w:rsid w:val="00B06D9A"/>
    <w:rsid w:val="00B06DB4"/>
    <w:rsid w:val="00B06EB7"/>
    <w:rsid w:val="00B06F7F"/>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898"/>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433"/>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17"/>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9"/>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12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3F49"/>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5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1A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F6"/>
    <w:rsid w:val="00C41A77"/>
    <w:rsid w:val="00C41F9B"/>
    <w:rsid w:val="00C429B4"/>
    <w:rsid w:val="00C42A62"/>
    <w:rsid w:val="00C42B80"/>
    <w:rsid w:val="00C430C6"/>
    <w:rsid w:val="00C43ADE"/>
    <w:rsid w:val="00C445BE"/>
    <w:rsid w:val="00C44609"/>
    <w:rsid w:val="00C4465C"/>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4F12"/>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2E7"/>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27A"/>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E91"/>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86"/>
    <w:rsid w:val="00D2119C"/>
    <w:rsid w:val="00D21543"/>
    <w:rsid w:val="00D21602"/>
    <w:rsid w:val="00D2162E"/>
    <w:rsid w:val="00D216E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1"/>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5E"/>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2DB"/>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64"/>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54F"/>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A70"/>
    <w:rsid w:val="00DF0C29"/>
    <w:rsid w:val="00DF0C96"/>
    <w:rsid w:val="00DF0FD9"/>
    <w:rsid w:val="00DF15B0"/>
    <w:rsid w:val="00DF1739"/>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5ED"/>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5BF9"/>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098"/>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45"/>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6EFB"/>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CA0"/>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7B5"/>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4A0"/>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5F"/>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C5"/>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853E11"/>
    <w:rsid w:val="01F63A91"/>
    <w:rsid w:val="02AB78A7"/>
    <w:rsid w:val="02F92D08"/>
    <w:rsid w:val="061E65E2"/>
    <w:rsid w:val="069F3BC7"/>
    <w:rsid w:val="06A95D82"/>
    <w:rsid w:val="075C3866"/>
    <w:rsid w:val="07FE397D"/>
    <w:rsid w:val="0B660C1A"/>
    <w:rsid w:val="0B77450A"/>
    <w:rsid w:val="0BA71559"/>
    <w:rsid w:val="0E1704E7"/>
    <w:rsid w:val="0E1C78AB"/>
    <w:rsid w:val="0ED81617"/>
    <w:rsid w:val="0F2B6A4C"/>
    <w:rsid w:val="0F5B6861"/>
    <w:rsid w:val="102C6102"/>
    <w:rsid w:val="10A53CD7"/>
    <w:rsid w:val="10AC608D"/>
    <w:rsid w:val="116C184C"/>
    <w:rsid w:val="11765524"/>
    <w:rsid w:val="13674AE2"/>
    <w:rsid w:val="13C407C9"/>
    <w:rsid w:val="15557DE4"/>
    <w:rsid w:val="17F93E0B"/>
    <w:rsid w:val="18350187"/>
    <w:rsid w:val="19826E49"/>
    <w:rsid w:val="199F1EDA"/>
    <w:rsid w:val="19C26E12"/>
    <w:rsid w:val="1A11228E"/>
    <w:rsid w:val="1BCC0B62"/>
    <w:rsid w:val="1C455CA5"/>
    <w:rsid w:val="1D266050"/>
    <w:rsid w:val="1D2C69D2"/>
    <w:rsid w:val="1E207D37"/>
    <w:rsid w:val="1E605592"/>
    <w:rsid w:val="1F220A99"/>
    <w:rsid w:val="1F3F09DA"/>
    <w:rsid w:val="1F933745"/>
    <w:rsid w:val="1FB931AC"/>
    <w:rsid w:val="226A4FD9"/>
    <w:rsid w:val="22F8048F"/>
    <w:rsid w:val="23336C69"/>
    <w:rsid w:val="239E00B4"/>
    <w:rsid w:val="25083BCD"/>
    <w:rsid w:val="251E74A4"/>
    <w:rsid w:val="25AE5332"/>
    <w:rsid w:val="25EB7E37"/>
    <w:rsid w:val="26071F3B"/>
    <w:rsid w:val="26215F4F"/>
    <w:rsid w:val="26E34EAD"/>
    <w:rsid w:val="27843CE5"/>
    <w:rsid w:val="27BF77CD"/>
    <w:rsid w:val="285717B4"/>
    <w:rsid w:val="2A996132"/>
    <w:rsid w:val="2ADF3CE2"/>
    <w:rsid w:val="2B2A31B0"/>
    <w:rsid w:val="2B7663F5"/>
    <w:rsid w:val="2C3037AB"/>
    <w:rsid w:val="2E8E336C"/>
    <w:rsid w:val="2EBD433B"/>
    <w:rsid w:val="2F927575"/>
    <w:rsid w:val="30450A8C"/>
    <w:rsid w:val="310426F5"/>
    <w:rsid w:val="32EB653A"/>
    <w:rsid w:val="34414B81"/>
    <w:rsid w:val="34E46358"/>
    <w:rsid w:val="36183565"/>
    <w:rsid w:val="3676374D"/>
    <w:rsid w:val="367D5540"/>
    <w:rsid w:val="36FF4B97"/>
    <w:rsid w:val="38C54E86"/>
    <w:rsid w:val="39C435AA"/>
    <w:rsid w:val="3A714025"/>
    <w:rsid w:val="3A81753B"/>
    <w:rsid w:val="3B0A0908"/>
    <w:rsid w:val="3B707CFC"/>
    <w:rsid w:val="3BCB6780"/>
    <w:rsid w:val="3BFC0A0A"/>
    <w:rsid w:val="3C94492D"/>
    <w:rsid w:val="3E78202C"/>
    <w:rsid w:val="3FF5F3AE"/>
    <w:rsid w:val="42CD0A98"/>
    <w:rsid w:val="431A0C09"/>
    <w:rsid w:val="435766B4"/>
    <w:rsid w:val="44020DF0"/>
    <w:rsid w:val="442742D8"/>
    <w:rsid w:val="44915BF6"/>
    <w:rsid w:val="44BC2C73"/>
    <w:rsid w:val="453F4FCD"/>
    <w:rsid w:val="466924A4"/>
    <w:rsid w:val="46EA3832"/>
    <w:rsid w:val="47D66741"/>
    <w:rsid w:val="480E2158"/>
    <w:rsid w:val="49435E8C"/>
    <w:rsid w:val="499A1C62"/>
    <w:rsid w:val="4A9B5A20"/>
    <w:rsid w:val="4B0A4B0E"/>
    <w:rsid w:val="4B65373A"/>
    <w:rsid w:val="4C0D252E"/>
    <w:rsid w:val="4C873A10"/>
    <w:rsid w:val="4D00163A"/>
    <w:rsid w:val="4D4A41A2"/>
    <w:rsid w:val="4F0F5BE3"/>
    <w:rsid w:val="501B72A6"/>
    <w:rsid w:val="50213603"/>
    <w:rsid w:val="50242014"/>
    <w:rsid w:val="508832C7"/>
    <w:rsid w:val="511033E7"/>
    <w:rsid w:val="51474873"/>
    <w:rsid w:val="517B5C63"/>
    <w:rsid w:val="51F15F26"/>
    <w:rsid w:val="51F960E4"/>
    <w:rsid w:val="52422029"/>
    <w:rsid w:val="52F70D80"/>
    <w:rsid w:val="542E16B3"/>
    <w:rsid w:val="55040901"/>
    <w:rsid w:val="55BA31FE"/>
    <w:rsid w:val="55EF09CE"/>
    <w:rsid w:val="567F1D52"/>
    <w:rsid w:val="56A65531"/>
    <w:rsid w:val="56DF05DE"/>
    <w:rsid w:val="57FC6189"/>
    <w:rsid w:val="59FD5DAF"/>
    <w:rsid w:val="5B580BEA"/>
    <w:rsid w:val="5BC326E1"/>
    <w:rsid w:val="5C7D6786"/>
    <w:rsid w:val="5D554016"/>
    <w:rsid w:val="5E317DD6"/>
    <w:rsid w:val="5E916AC6"/>
    <w:rsid w:val="5EEC1F4F"/>
    <w:rsid w:val="5F073306"/>
    <w:rsid w:val="5F406708"/>
    <w:rsid w:val="5F5F73B9"/>
    <w:rsid w:val="5F906D7E"/>
    <w:rsid w:val="5FEC0A0F"/>
    <w:rsid w:val="629018D1"/>
    <w:rsid w:val="631F0B45"/>
    <w:rsid w:val="640A35A3"/>
    <w:rsid w:val="64ED07CF"/>
    <w:rsid w:val="652E0A4C"/>
    <w:rsid w:val="675D60DF"/>
    <w:rsid w:val="6838144E"/>
    <w:rsid w:val="68AA7398"/>
    <w:rsid w:val="6A8F1636"/>
    <w:rsid w:val="6B023A68"/>
    <w:rsid w:val="6C990CF0"/>
    <w:rsid w:val="6F316C0A"/>
    <w:rsid w:val="6FD40CC1"/>
    <w:rsid w:val="71A566B9"/>
    <w:rsid w:val="725D2066"/>
    <w:rsid w:val="73045661"/>
    <w:rsid w:val="73092C77"/>
    <w:rsid w:val="742C597A"/>
    <w:rsid w:val="74466952"/>
    <w:rsid w:val="75846785"/>
    <w:rsid w:val="76397D18"/>
    <w:rsid w:val="76947319"/>
    <w:rsid w:val="76E25CB9"/>
    <w:rsid w:val="777F55C3"/>
    <w:rsid w:val="79EA5AA5"/>
    <w:rsid w:val="7A293BFF"/>
    <w:rsid w:val="7AC35960"/>
    <w:rsid w:val="7AED4130"/>
    <w:rsid w:val="7BEE5B50"/>
    <w:rsid w:val="7C943EFA"/>
    <w:rsid w:val="7DB76848"/>
    <w:rsid w:val="7E26480D"/>
    <w:rsid w:val="7E563F98"/>
    <w:rsid w:val="7FC00B62"/>
    <w:rsid w:val="7FF96B44"/>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6"/>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2"/>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3"/>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4"/>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5"/>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6"/>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3"/>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7"/>
    <w:autoRedefine/>
    <w:qFormat/>
    <w:uiPriority w:val="0"/>
    <w:pPr>
      <w:shd w:val="clear" w:color="auto" w:fill="000080"/>
    </w:pPr>
  </w:style>
  <w:style w:type="paragraph" w:styleId="15">
    <w:name w:val="annotation text"/>
    <w:basedOn w:val="1"/>
    <w:link w:val="183"/>
    <w:autoRedefine/>
    <w:qFormat/>
    <w:uiPriority w:val="99"/>
    <w:pPr>
      <w:jc w:val="left"/>
    </w:pPr>
  </w:style>
  <w:style w:type="paragraph" w:styleId="16">
    <w:name w:val="Body Text 3"/>
    <w:basedOn w:val="1"/>
    <w:link w:val="238"/>
    <w:autoRedefine/>
    <w:qFormat/>
    <w:uiPriority w:val="0"/>
    <w:pPr>
      <w:spacing w:after="120"/>
    </w:pPr>
    <w:rPr>
      <w:sz w:val="16"/>
      <w:szCs w:val="16"/>
    </w:rPr>
  </w:style>
  <w:style w:type="paragraph" w:styleId="17">
    <w:name w:val="Body Text"/>
    <w:basedOn w:val="1"/>
    <w:link w:val="239"/>
    <w:autoRedefine/>
    <w:qFormat/>
    <w:uiPriority w:val="0"/>
    <w:pPr>
      <w:tabs>
        <w:tab w:val="left" w:pos="567"/>
      </w:tabs>
      <w:spacing w:before="120" w:line="22" w:lineRule="atLeast"/>
    </w:pPr>
    <w:rPr>
      <w:rFonts w:ascii="宋体" w:hAnsi="宋体"/>
      <w:sz w:val="24"/>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40"/>
    <w:autoRedefine/>
    <w:qFormat/>
    <w:uiPriority w:val="0"/>
    <w:pPr>
      <w:ind w:left="100" w:leftChars="2500"/>
    </w:pPr>
    <w:rPr>
      <w:rFonts w:ascii="仿宋_GB2312" w:hAnsi="宋体" w:eastAsia="仿宋_GB2312"/>
      <w:color w:val="000000"/>
      <w:sz w:val="24"/>
    </w:rPr>
  </w:style>
  <w:style w:type="paragraph" w:styleId="26">
    <w:name w:val="Body Text Indent 2"/>
    <w:basedOn w:val="1"/>
    <w:link w:val="241"/>
    <w:autoRedefine/>
    <w:qFormat/>
    <w:uiPriority w:val="0"/>
    <w:pPr>
      <w:ind w:firstLine="480" w:firstLineChars="200"/>
    </w:pPr>
    <w:rPr>
      <w:rFonts w:ascii="仿宋_GB2312" w:eastAsia="仿宋_GB2312"/>
      <w:sz w:val="24"/>
    </w:rPr>
  </w:style>
  <w:style w:type="paragraph" w:styleId="27">
    <w:name w:val="Balloon Text"/>
    <w:basedOn w:val="1"/>
    <w:link w:val="242"/>
    <w:autoRedefine/>
    <w:qFormat/>
    <w:uiPriority w:val="0"/>
    <w:rPr>
      <w:sz w:val="18"/>
      <w:szCs w:val="18"/>
    </w:rPr>
  </w:style>
  <w:style w:type="paragraph" w:styleId="28">
    <w:name w:val="footer"/>
    <w:basedOn w:val="1"/>
    <w:link w:val="17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footnote text"/>
    <w:basedOn w:val="1"/>
    <w:autoRedefine/>
    <w:qFormat/>
    <w:uiPriority w:val="0"/>
    <w:pPr>
      <w:snapToGrid w:val="0"/>
    </w:pPr>
    <w:rPr>
      <w:sz w:val="18"/>
      <w:szCs w:val="18"/>
    </w:rPr>
  </w:style>
  <w:style w:type="paragraph" w:styleId="33">
    <w:name w:val="toc 6"/>
    <w:basedOn w:val="1"/>
    <w:next w:val="1"/>
    <w:autoRedefine/>
    <w:qFormat/>
    <w:uiPriority w:val="0"/>
    <w:pPr>
      <w:ind w:left="2100" w:leftChars="1000"/>
    </w:pPr>
  </w:style>
  <w:style w:type="paragraph" w:styleId="34">
    <w:name w:val="Body Text Indent 3"/>
    <w:basedOn w:val="1"/>
    <w:link w:val="243"/>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9"/>
    <w:autoRedefine/>
    <w:qFormat/>
    <w:uiPriority w:val="0"/>
    <w:pPr>
      <w:jc w:val="center"/>
      <w:outlineLvl w:val="0"/>
    </w:pPr>
    <w:rPr>
      <w:b/>
      <w:sz w:val="32"/>
      <w:szCs w:val="20"/>
    </w:rPr>
  </w:style>
  <w:style w:type="paragraph" w:styleId="41">
    <w:name w:val="annotation subject"/>
    <w:basedOn w:val="15"/>
    <w:next w:val="15"/>
    <w:link w:val="245"/>
    <w:autoRedefine/>
    <w:qFormat/>
    <w:uiPriority w:val="0"/>
    <w:rPr>
      <w:b/>
      <w:bCs/>
    </w:rPr>
  </w:style>
  <w:style w:type="paragraph" w:styleId="42">
    <w:name w:val="Body Text First Indent 2"/>
    <w:basedOn w:val="18"/>
    <w:next w:val="43"/>
    <w:link w:val="246"/>
    <w:autoRedefine/>
    <w:qFormat/>
    <w:uiPriority w:val="0"/>
    <w:pPr>
      <w:spacing w:after="120" w:line="480" w:lineRule="exact"/>
      <w:ind w:left="420" w:leftChars="200" w:firstLine="420" w:firstLineChars="200"/>
    </w:pPr>
    <w:rPr>
      <w:szCs w:val="20"/>
    </w:rPr>
  </w:style>
  <w:style w:type="paragraph" w:customStyle="1" w:styleId="43">
    <w:name w:val="样式 标题 2 + Times New Roman 四号 非加粗 段前: 5 磅 段后: 0 磅 行距: 固定值 20..."/>
    <w:basedOn w:val="3"/>
    <w:next w:val="32"/>
    <w:autoRedefine/>
    <w:qFormat/>
    <w:uiPriority w:val="99"/>
    <w:pPr>
      <w:spacing w:beforeLines="50" w:afterLines="50" w:line="360" w:lineRule="auto"/>
    </w:pPr>
    <w:rPr>
      <w:rFonts w:ascii="宋体" w:hAnsi="Times New Roman" w:cs="宋体"/>
      <w:b w:val="0"/>
      <w:sz w:val="28"/>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character" w:customStyle="1" w:styleId="55">
    <w:name w:val="标题 2 字符"/>
    <w:link w:val="3"/>
    <w:autoRedefine/>
    <w:qFormat/>
    <w:uiPriority w:val="0"/>
    <w:rPr>
      <w:rFonts w:ascii="Arial" w:hAnsi="Arial" w:eastAsia="黑体"/>
      <w:b/>
      <w:sz w:val="30"/>
      <w:lang w:val="en-US" w:eastAsia="zh-CN" w:bidi="ar-SA"/>
    </w:rPr>
  </w:style>
  <w:style w:type="character" w:customStyle="1" w:styleId="56">
    <w:name w:val="标题 3 字符"/>
    <w:link w:val="4"/>
    <w:autoRedefine/>
    <w:qFormat/>
    <w:uiPriority w:val="0"/>
    <w:rPr>
      <w:rFonts w:ascii="宋体" w:eastAsia="宋体"/>
      <w:b/>
      <w:sz w:val="24"/>
      <w:u w:val="single"/>
      <w:lang w:val="en-US" w:eastAsia="zh-CN" w:bidi="ar-SA"/>
    </w:rPr>
  </w:style>
  <w:style w:type="character" w:customStyle="1" w:styleId="57">
    <w:name w:val="c21"/>
    <w:autoRedefine/>
    <w:qFormat/>
    <w:uiPriority w:val="0"/>
    <w:rPr>
      <w:rFonts w:hint="default" w:ascii="ˎ̥" w:hAnsi="ˎ̥"/>
      <w:color w:val="000000"/>
      <w:sz w:val="20"/>
      <w:szCs w:val="20"/>
      <w:u w:val="none"/>
    </w:rPr>
  </w:style>
  <w:style w:type="character" w:customStyle="1" w:styleId="58">
    <w:name w:val="title4"/>
    <w:autoRedefine/>
    <w:qFormat/>
    <w:uiPriority w:val="0"/>
    <w:rPr>
      <w:b/>
      <w:bCs/>
      <w:color w:val="1D87B3"/>
      <w:sz w:val="15"/>
      <w:szCs w:val="15"/>
    </w:rPr>
  </w:style>
  <w:style w:type="character" w:customStyle="1" w:styleId="59">
    <w:name w:val="标题 2 Char Char"/>
    <w:autoRedefine/>
    <w:qFormat/>
    <w:uiPriority w:val="0"/>
    <w:rPr>
      <w:rFonts w:ascii="Arial" w:hAnsi="Arial" w:eastAsia="黑体"/>
      <w:b/>
      <w:bCs/>
      <w:kern w:val="2"/>
      <w:sz w:val="32"/>
      <w:szCs w:val="32"/>
      <w:lang w:val="en-US" w:eastAsia="zh-CN" w:bidi="ar-SA"/>
    </w:rPr>
  </w:style>
  <w:style w:type="character" w:customStyle="1" w:styleId="60">
    <w:name w:val="black1"/>
    <w:autoRedefine/>
    <w:qFormat/>
    <w:uiPriority w:val="0"/>
    <w:rPr>
      <w:color w:val="000000"/>
    </w:rPr>
  </w:style>
  <w:style w:type="character" w:customStyle="1" w:styleId="61">
    <w:name w:val="street-address"/>
    <w:basedOn w:val="47"/>
    <w:autoRedefine/>
    <w:qFormat/>
    <w:uiPriority w:val="0"/>
  </w:style>
  <w:style w:type="character" w:customStyle="1" w:styleId="62">
    <w:name w:val="locality"/>
    <w:basedOn w:val="47"/>
    <w:autoRedefine/>
    <w:qFormat/>
    <w:uiPriority w:val="0"/>
  </w:style>
  <w:style w:type="character" w:customStyle="1" w:styleId="63">
    <w:name w:val="正文缩进 字符"/>
    <w:link w:val="12"/>
    <w:autoRedefine/>
    <w:qFormat/>
    <w:uiPriority w:val="0"/>
    <w:rPr>
      <w:rFonts w:ascii="宋体" w:eastAsia="宋体"/>
      <w:kern w:val="2"/>
      <w:sz w:val="24"/>
      <w:szCs w:val="24"/>
      <w:lang w:val="en-US" w:eastAsia="zh-CN" w:bidi="ar-SA"/>
    </w:rPr>
  </w:style>
  <w:style w:type="character" w:customStyle="1" w:styleId="64">
    <w:name w:val="正文文本缩进 Char1"/>
    <w:link w:val="65"/>
    <w:autoRedefine/>
    <w:qFormat/>
    <w:uiPriority w:val="0"/>
    <w:rPr>
      <w:rFonts w:ascii="宋体" w:hAnsi="宋体" w:eastAsia="宋体"/>
      <w:sz w:val="24"/>
      <w:szCs w:val="24"/>
      <w:lang w:bidi="ar-SA"/>
    </w:rPr>
  </w:style>
  <w:style w:type="paragraph" w:customStyle="1" w:styleId="65">
    <w:name w:val="正文文本缩进1"/>
    <w:basedOn w:val="1"/>
    <w:link w:val="64"/>
    <w:autoRedefine/>
    <w:qFormat/>
    <w:uiPriority w:val="0"/>
    <w:pPr>
      <w:spacing w:line="480" w:lineRule="exact"/>
      <w:ind w:firstLine="480" w:firstLineChars="200"/>
    </w:pPr>
    <w:rPr>
      <w:rFonts w:ascii="宋体" w:hAnsi="宋体"/>
      <w:kern w:val="0"/>
      <w:sz w:val="24"/>
    </w:rPr>
  </w:style>
  <w:style w:type="character" w:customStyle="1" w:styleId="66">
    <w:name w:val="Char Char11"/>
    <w:autoRedefine/>
    <w:qFormat/>
    <w:uiPriority w:val="0"/>
    <w:rPr>
      <w:rFonts w:ascii="宋体" w:eastAsia="宋体"/>
      <w:b/>
      <w:sz w:val="24"/>
      <w:u w:val="single"/>
      <w:lang w:val="en-US" w:eastAsia="zh-CN" w:bidi="ar-SA"/>
    </w:rPr>
  </w:style>
  <w:style w:type="character" w:customStyle="1" w:styleId="67">
    <w:name w:val="txt"/>
    <w:basedOn w:val="47"/>
    <w:autoRedefine/>
    <w:qFormat/>
    <w:uiPriority w:val="0"/>
  </w:style>
  <w:style w:type="character" w:customStyle="1" w:styleId="68">
    <w:name w:val="正文文本缩进 字符"/>
    <w:link w:val="18"/>
    <w:autoRedefine/>
    <w:qFormat/>
    <w:uiPriority w:val="0"/>
    <w:rPr>
      <w:rFonts w:eastAsia="宋体"/>
      <w:kern w:val="2"/>
      <w:sz w:val="24"/>
      <w:szCs w:val="24"/>
      <w:lang w:val="en-US" w:eastAsia="zh-CN" w:bidi="ar-SA"/>
    </w:rPr>
  </w:style>
  <w:style w:type="character" w:customStyle="1" w:styleId="69">
    <w:name w:val="正文缩进 Char Char"/>
    <w:link w:val="70"/>
    <w:autoRedefine/>
    <w:qFormat/>
    <w:uiPriority w:val="0"/>
    <w:rPr>
      <w:rFonts w:ascii="宋体" w:eastAsia="宋体"/>
      <w:snapToGrid w:val="0"/>
      <w:color w:val="000000"/>
      <w:kern w:val="28"/>
      <w:sz w:val="28"/>
      <w:lang w:bidi="ar-SA"/>
    </w:rPr>
  </w:style>
  <w:style w:type="paragraph" w:customStyle="1" w:styleId="70">
    <w:name w:val="正文缩进1"/>
    <w:basedOn w:val="1"/>
    <w:link w:val="69"/>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autoRedefine/>
    <w:qFormat/>
    <w:uiPriority w:val="0"/>
    <w:rPr>
      <w:rFonts w:ascii="宋体" w:hAnsi="Courier New" w:eastAsia="宋体"/>
      <w:kern w:val="2"/>
      <w:sz w:val="21"/>
      <w:lang w:val="en-US" w:eastAsia="zh-CN" w:bidi="ar-SA"/>
    </w:rPr>
  </w:style>
  <w:style w:type="character" w:customStyle="1" w:styleId="72">
    <w:name w:val="chanpin1"/>
    <w:autoRedefine/>
    <w:qFormat/>
    <w:uiPriority w:val="0"/>
    <w:rPr>
      <w:rFonts w:hint="default" w:ascii="ˎ̥" w:hAnsi="ˎ̥"/>
      <w:color w:val="000000"/>
      <w:sz w:val="20"/>
      <w:szCs w:val="20"/>
      <w:u w:val="none"/>
    </w:rPr>
  </w:style>
  <w:style w:type="character" w:customStyle="1" w:styleId="73">
    <w:name w:val="列表段落 字符"/>
    <w:link w:val="74"/>
    <w:autoRedefine/>
    <w:qFormat/>
    <w:uiPriority w:val="34"/>
    <w:rPr>
      <w:rFonts w:ascii="Calibri" w:hAnsi="Calibri" w:eastAsia="宋体"/>
      <w:kern w:val="2"/>
      <w:sz w:val="21"/>
      <w:szCs w:val="22"/>
      <w:lang w:val="en-US" w:eastAsia="zh-CN" w:bidi="ar-SA"/>
    </w:rPr>
  </w:style>
  <w:style w:type="paragraph" w:styleId="74">
    <w:name w:val="List Paragraph"/>
    <w:basedOn w:val="1"/>
    <w:link w:val="73"/>
    <w:autoRedefine/>
    <w:qFormat/>
    <w:uiPriority w:val="1"/>
    <w:pPr>
      <w:ind w:firstLine="420" w:firstLineChars="200"/>
    </w:pPr>
    <w:rPr>
      <w:rFonts w:ascii="Calibri" w:hAnsi="Calibri"/>
      <w:szCs w:val="22"/>
    </w:rPr>
  </w:style>
  <w:style w:type="character" w:customStyle="1" w:styleId="75">
    <w:name w:val="标题 3 Char Char"/>
    <w:autoRedefine/>
    <w:qFormat/>
    <w:uiPriority w:val="0"/>
    <w:rPr>
      <w:rFonts w:eastAsia="宋体"/>
      <w:b/>
      <w:bCs/>
      <w:kern w:val="2"/>
      <w:sz w:val="32"/>
      <w:szCs w:val="32"/>
      <w:lang w:val="en-US" w:eastAsia="zh-CN" w:bidi="ar-SA"/>
    </w:rPr>
  </w:style>
  <w:style w:type="character" w:customStyle="1" w:styleId="76">
    <w:name w:val="段1 Char"/>
    <w:autoRedefine/>
    <w:qFormat/>
    <w:uiPriority w:val="0"/>
    <w:rPr>
      <w:rFonts w:ascii="宋体" w:eastAsia="宋体"/>
      <w:sz w:val="24"/>
      <w:lang w:val="en-US" w:eastAsia="zh-CN" w:bidi="ar-SA"/>
    </w:rPr>
  </w:style>
  <w:style w:type="character" w:customStyle="1" w:styleId="77">
    <w:name w:val="页眉 字符"/>
    <w:link w:val="29"/>
    <w:autoRedefine/>
    <w:qFormat/>
    <w:uiPriority w:val="99"/>
    <w:rPr>
      <w:rFonts w:eastAsia="宋体"/>
      <w:kern w:val="2"/>
      <w:sz w:val="18"/>
      <w:szCs w:val="18"/>
      <w:lang w:val="en-US" w:eastAsia="zh-CN" w:bidi="ar-SA"/>
    </w:rPr>
  </w:style>
  <w:style w:type="character" w:customStyle="1" w:styleId="78">
    <w:name w:val="chanpin拷贝"/>
    <w:basedOn w:val="47"/>
    <w:autoRedefine/>
    <w:qFormat/>
    <w:uiPriority w:val="0"/>
  </w:style>
  <w:style w:type="character" w:customStyle="1" w:styleId="79">
    <w:name w:val="纯文本 Char1"/>
    <w:autoRedefine/>
    <w:qFormat/>
    <w:uiPriority w:val="0"/>
    <w:rPr>
      <w:rFonts w:ascii="宋体" w:hAnsi="Courier New" w:eastAsia="宋体"/>
      <w:kern w:val="2"/>
      <w:sz w:val="21"/>
      <w:lang w:val="en-US" w:eastAsia="zh-CN" w:bidi="ar-SA"/>
    </w:rPr>
  </w:style>
  <w:style w:type="character" w:customStyle="1" w:styleId="80">
    <w:name w:val="apple-style-span"/>
    <w:autoRedefine/>
    <w:qFormat/>
    <w:uiPriority w:val="0"/>
    <w:rPr>
      <w:rFonts w:cs="Times New Roman"/>
    </w:rPr>
  </w:style>
  <w:style w:type="paragraph" w:customStyle="1" w:styleId="81">
    <w:name w:val="二级条标题"/>
    <w:basedOn w:val="82"/>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autoRedefine/>
    <w:qFormat/>
    <w:uiPriority w:val="0"/>
    <w:pPr>
      <w:numPr>
        <w:ilvl w:val="1"/>
      </w:numPr>
      <w:tabs>
        <w:tab w:val="left" w:pos="360"/>
        <w:tab w:val="left" w:pos="840"/>
      </w:tabs>
      <w:ind w:left="0" w:hanging="840"/>
      <w:outlineLvl w:val="1"/>
    </w:pPr>
  </w:style>
  <w:style w:type="paragraph" w:customStyle="1" w:styleId="83">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autoRedefine/>
    <w:qFormat/>
    <w:uiPriority w:val="0"/>
    <w:rPr>
      <w:rFonts w:ascii="Tahoma" w:hAnsi="Tahoma"/>
      <w:sz w:val="24"/>
      <w:szCs w:val="20"/>
    </w:rPr>
  </w:style>
  <w:style w:type="paragraph" w:customStyle="1" w:styleId="86">
    <w:name w:val="Char3 Char Char Char"/>
    <w:basedOn w:val="1"/>
    <w:autoRedefine/>
    <w:qFormat/>
    <w:uiPriority w:val="0"/>
    <w:rPr>
      <w:rFonts w:ascii="Tahoma" w:hAnsi="Tahoma"/>
      <w:sz w:val="24"/>
      <w:szCs w:val="20"/>
    </w:rPr>
  </w:style>
  <w:style w:type="paragraph" w:customStyle="1" w:styleId="87">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autoRedefine/>
    <w:qFormat/>
    <w:uiPriority w:val="0"/>
    <w:pPr>
      <w:numPr>
        <w:numId w:val="2"/>
      </w:numPr>
    </w:pPr>
  </w:style>
  <w:style w:type="paragraph" w:customStyle="1" w:styleId="89">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autoRedefine/>
    <w:qFormat/>
    <w:uiPriority w:val="0"/>
    <w:pPr>
      <w:adjustRightInd w:val="0"/>
      <w:snapToGrid w:val="0"/>
      <w:spacing w:line="0" w:lineRule="atLeast"/>
      <w:jc w:val="center"/>
    </w:pPr>
    <w:rPr>
      <w:sz w:val="24"/>
      <w:szCs w:val="20"/>
    </w:rPr>
  </w:style>
  <w:style w:type="paragraph" w:customStyle="1" w:styleId="91">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autoRedefine/>
    <w:qFormat/>
    <w:uiPriority w:val="0"/>
    <w:rPr>
      <w:rFonts w:ascii="Tahoma" w:hAnsi="Tahoma"/>
      <w:sz w:val="24"/>
      <w:szCs w:val="20"/>
    </w:rPr>
  </w:style>
  <w:style w:type="paragraph" w:customStyle="1" w:styleId="94">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autoRedefine/>
    <w:qFormat/>
    <w:uiPriority w:val="0"/>
    <w:pPr>
      <w:widowControl/>
      <w:spacing w:before="100" w:beforeAutospacing="1" w:after="100" w:afterAutospacing="1"/>
      <w:jc w:val="left"/>
    </w:pPr>
    <w:rPr>
      <w:kern w:val="0"/>
      <w:sz w:val="36"/>
      <w:szCs w:val="36"/>
    </w:rPr>
  </w:style>
  <w:style w:type="paragraph" w:customStyle="1" w:styleId="108">
    <w:name w:val="Char"/>
    <w:basedOn w:val="1"/>
    <w:autoRedefine/>
    <w:qFormat/>
    <w:uiPriority w:val="0"/>
    <w:pPr>
      <w:tabs>
        <w:tab w:val="left" w:pos="360"/>
      </w:tabs>
    </w:pPr>
    <w:rPr>
      <w:sz w:val="24"/>
    </w:rPr>
  </w:style>
  <w:style w:type="paragraph" w:customStyle="1" w:styleId="109">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autoRedefine/>
    <w:qFormat/>
    <w:uiPriority w:val="0"/>
    <w:rPr>
      <w:rFonts w:ascii="Tahoma" w:hAnsi="Tahoma"/>
      <w:sz w:val="24"/>
    </w:rPr>
  </w:style>
  <w:style w:type="paragraph" w:customStyle="1" w:styleId="11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7">
    <w:name w:val="Char1 Char Char Char1"/>
    <w:basedOn w:val="1"/>
    <w:autoRedefine/>
    <w:qFormat/>
    <w:uiPriority w:val="0"/>
    <w:rPr>
      <w:rFonts w:ascii="Tahoma" w:hAnsi="Tahoma" w:cs="仿宋_GB2312"/>
      <w:sz w:val="24"/>
      <w:szCs w:val="28"/>
    </w:rPr>
  </w:style>
  <w:style w:type="paragraph" w:customStyle="1" w:styleId="118">
    <w:name w:val="四级条标题"/>
    <w:basedOn w:val="119"/>
    <w:next w:val="1"/>
    <w:autoRedefine/>
    <w:qFormat/>
    <w:uiPriority w:val="0"/>
    <w:pPr>
      <w:numPr>
        <w:ilvl w:val="4"/>
      </w:numPr>
      <w:tabs>
        <w:tab w:val="left" w:pos="360"/>
        <w:tab w:val="left" w:pos="840"/>
      </w:tabs>
      <w:ind w:left="0" w:hanging="840"/>
      <w:outlineLvl w:val="4"/>
    </w:pPr>
  </w:style>
  <w:style w:type="paragraph" w:customStyle="1" w:styleId="119">
    <w:name w:val="三级条标题"/>
    <w:basedOn w:val="81"/>
    <w:next w:val="1"/>
    <w:autoRedefine/>
    <w:qFormat/>
    <w:uiPriority w:val="0"/>
    <w:pPr>
      <w:numPr>
        <w:ilvl w:val="3"/>
        <w:numId w:val="1"/>
      </w:numPr>
      <w:ind w:left="0" w:hanging="840"/>
      <w:outlineLvl w:val="3"/>
    </w:pPr>
  </w:style>
  <w:style w:type="paragraph" w:customStyle="1" w:styleId="120">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autoRedefine/>
    <w:qFormat/>
    <w:uiPriority w:val="0"/>
    <w:pPr>
      <w:ind w:firstLine="420" w:firstLineChars="200"/>
    </w:pPr>
    <w:rPr>
      <w:rFonts w:ascii="Calibri" w:hAnsi="Calibri"/>
      <w:szCs w:val="22"/>
    </w:rPr>
  </w:style>
  <w:style w:type="paragraph" w:customStyle="1" w:styleId="123">
    <w:name w:val="项目符号1"/>
    <w:basedOn w:val="124"/>
    <w:autoRedefine/>
    <w:qFormat/>
    <w:uiPriority w:val="0"/>
    <w:pPr>
      <w:ind w:left="-25" w:firstLine="0"/>
    </w:pPr>
  </w:style>
  <w:style w:type="paragraph" w:customStyle="1" w:styleId="124">
    <w:name w:val="正文文本样式"/>
    <w:basedOn w:val="1"/>
    <w:autoRedefine/>
    <w:qFormat/>
    <w:uiPriority w:val="0"/>
    <w:pPr>
      <w:spacing w:line="360" w:lineRule="auto"/>
      <w:ind w:firstLine="482"/>
    </w:pPr>
    <w:rPr>
      <w:rFonts w:cs="宋体"/>
      <w:sz w:val="24"/>
      <w:szCs w:val="20"/>
    </w:rPr>
  </w:style>
  <w:style w:type="paragraph" w:customStyle="1" w:styleId="12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autoRedefine/>
    <w:qFormat/>
    <w:uiPriority w:val="0"/>
    <w:pPr>
      <w:numPr>
        <w:ilvl w:val="5"/>
      </w:numPr>
      <w:ind w:left="0" w:hanging="840"/>
      <w:outlineLvl w:val="5"/>
    </w:pPr>
  </w:style>
  <w:style w:type="paragraph" w:customStyle="1" w:styleId="128">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autoRedefine/>
    <w:qFormat/>
    <w:uiPriority w:val="0"/>
    <w:pPr>
      <w:snapToGrid w:val="0"/>
      <w:spacing w:before="120" w:after="120" w:line="180" w:lineRule="auto"/>
    </w:pPr>
    <w:rPr>
      <w:rFonts w:ascii="Arial" w:hAnsi="Arial"/>
      <w:szCs w:val="20"/>
    </w:rPr>
  </w:style>
  <w:style w:type="paragraph" w:customStyle="1" w:styleId="13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autoRedefine/>
    <w:qFormat/>
    <w:uiPriority w:val="0"/>
    <w:rPr>
      <w:rFonts w:ascii="Tahoma" w:hAnsi="Tahoma"/>
      <w:sz w:val="24"/>
      <w:szCs w:val="20"/>
    </w:rPr>
  </w:style>
  <w:style w:type="paragraph" w:customStyle="1" w:styleId="133">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autoRedefine/>
    <w:qFormat/>
    <w:uiPriority w:val="0"/>
    <w:pPr>
      <w:numPr>
        <w:ilvl w:val="0"/>
        <w:numId w:val="5"/>
      </w:numPr>
      <w:spacing w:before="120"/>
    </w:pPr>
    <w:rPr>
      <w:rFonts w:ascii="宋体"/>
      <w:sz w:val="28"/>
      <w:szCs w:val="20"/>
    </w:rPr>
  </w:style>
  <w:style w:type="paragraph" w:customStyle="1" w:styleId="135">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autoRedefine/>
    <w:qFormat/>
    <w:uiPriority w:val="0"/>
    <w:rPr>
      <w:rFonts w:ascii="Tahoma" w:hAnsi="Tahoma"/>
      <w:sz w:val="24"/>
      <w:szCs w:val="20"/>
    </w:rPr>
  </w:style>
  <w:style w:type="paragraph" w:customStyle="1" w:styleId="137">
    <w:name w:val="Char Char Char Char Char Char Char Char Char Char"/>
    <w:basedOn w:val="1"/>
    <w:autoRedefine/>
    <w:qFormat/>
    <w:uiPriority w:val="0"/>
  </w:style>
  <w:style w:type="paragraph" w:customStyle="1" w:styleId="138">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autoRedefine/>
    <w:qFormat/>
    <w:uiPriority w:val="0"/>
    <w:pPr>
      <w:tabs>
        <w:tab w:val="left" w:pos="360"/>
      </w:tabs>
    </w:pPr>
    <w:rPr>
      <w:sz w:val="24"/>
    </w:rPr>
  </w:style>
  <w:style w:type="paragraph" w:customStyle="1" w:styleId="140">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autoRedefine/>
    <w:qFormat/>
    <w:uiPriority w:val="0"/>
    <w:rPr>
      <w:rFonts w:ascii="Arial" w:hAnsi="Arial" w:cs="Arial"/>
      <w:szCs w:val="21"/>
    </w:rPr>
  </w:style>
  <w:style w:type="paragraph" w:customStyle="1" w:styleId="144">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autoRedefine/>
    <w:qFormat/>
    <w:uiPriority w:val="0"/>
    <w:rPr>
      <w:rFonts w:ascii="Tahoma" w:hAnsi="Tahoma"/>
      <w:sz w:val="24"/>
      <w:szCs w:val="20"/>
    </w:rPr>
  </w:style>
  <w:style w:type="paragraph" w:customStyle="1" w:styleId="14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autoRedefine/>
    <w:qFormat/>
    <w:uiPriority w:val="0"/>
    <w:pPr>
      <w:autoSpaceDE w:val="0"/>
      <w:autoSpaceDN w:val="0"/>
      <w:adjustRightInd w:val="0"/>
      <w:jc w:val="left"/>
    </w:pPr>
    <w:rPr>
      <w:kern w:val="0"/>
      <w:sz w:val="24"/>
    </w:rPr>
  </w:style>
  <w:style w:type="paragraph" w:customStyle="1" w:styleId="150">
    <w:name w:val="Char Char Char1"/>
    <w:basedOn w:val="1"/>
    <w:autoRedefine/>
    <w:qFormat/>
    <w:uiPriority w:val="0"/>
    <w:rPr>
      <w:rFonts w:ascii="Tahoma" w:hAnsi="Tahoma"/>
      <w:sz w:val="24"/>
      <w:szCs w:val="20"/>
    </w:rPr>
  </w:style>
  <w:style w:type="paragraph" w:customStyle="1" w:styleId="151">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autoRedefine/>
    <w:qFormat/>
    <w:uiPriority w:val="0"/>
    <w:pPr>
      <w:spacing w:line="360" w:lineRule="auto"/>
      <w:jc w:val="center"/>
    </w:pPr>
    <w:rPr>
      <w:sz w:val="24"/>
    </w:rPr>
  </w:style>
  <w:style w:type="paragraph" w:customStyle="1" w:styleId="15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autoRedefine/>
    <w:qFormat/>
    <w:uiPriority w:val="0"/>
    <w:pPr>
      <w:widowControl/>
      <w:jc w:val="left"/>
    </w:pPr>
    <w:rPr>
      <w:rFonts w:ascii="楷体_GB2312" w:eastAsia="楷体_GB2312" w:cs="Arial"/>
      <w:kern w:val="0"/>
      <w:sz w:val="24"/>
    </w:rPr>
  </w:style>
  <w:style w:type="paragraph" w:customStyle="1" w:styleId="15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autoRedefine/>
    <w:qFormat/>
    <w:uiPriority w:val="0"/>
    <w:rPr>
      <w:rFonts w:ascii="Tahoma" w:hAnsi="Tahoma"/>
      <w:sz w:val="24"/>
      <w:szCs w:val="20"/>
    </w:rPr>
  </w:style>
  <w:style w:type="paragraph" w:customStyle="1" w:styleId="15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autoRedefine/>
    <w:qFormat/>
    <w:uiPriority w:val="0"/>
    <w:pPr>
      <w:ind w:firstLine="420" w:firstLineChars="200"/>
    </w:pPr>
    <w:rPr>
      <w:rFonts w:ascii="Calibri" w:hAnsi="Calibri"/>
      <w:szCs w:val="22"/>
    </w:rPr>
  </w:style>
  <w:style w:type="paragraph" w:customStyle="1" w:styleId="161">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autoRedefine/>
    <w:qFormat/>
    <w:uiPriority w:val="0"/>
    <w:rPr>
      <w:rFonts w:ascii="Tahoma" w:hAnsi="Tahoma"/>
      <w:sz w:val="24"/>
      <w:szCs w:val="20"/>
    </w:rPr>
  </w:style>
  <w:style w:type="paragraph" w:customStyle="1" w:styleId="163">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autoRedefine/>
    <w:qFormat/>
    <w:uiPriority w:val="0"/>
    <w:pPr>
      <w:numPr>
        <w:ilvl w:val="0"/>
        <w:numId w:val="6"/>
      </w:numPr>
    </w:pPr>
  </w:style>
  <w:style w:type="paragraph" w:customStyle="1" w:styleId="165">
    <w:name w:val="Char21"/>
    <w:basedOn w:val="1"/>
    <w:autoRedefine/>
    <w:qFormat/>
    <w:uiPriority w:val="0"/>
    <w:rPr>
      <w:rFonts w:ascii="Tahoma" w:hAnsi="Tahoma"/>
      <w:sz w:val="24"/>
      <w:szCs w:val="20"/>
    </w:rPr>
  </w:style>
  <w:style w:type="paragraph" w:customStyle="1" w:styleId="166">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autoRedefine/>
    <w:qFormat/>
    <w:uiPriority w:val="0"/>
    <w:rPr>
      <w:rFonts w:ascii="宋体" w:hAnsi="宋体" w:cs="Courier New"/>
      <w:sz w:val="32"/>
      <w:szCs w:val="32"/>
    </w:rPr>
  </w:style>
  <w:style w:type="paragraph" w:customStyle="1" w:styleId="168">
    <w:name w:val="正文文本样式 加粗"/>
    <w:basedOn w:val="124"/>
    <w:autoRedefine/>
    <w:qFormat/>
    <w:uiPriority w:val="0"/>
    <w:rPr>
      <w:b/>
    </w:rPr>
  </w:style>
  <w:style w:type="paragraph" w:customStyle="1" w:styleId="169">
    <w:name w:val="Char2 Char Char Char Char Char Char"/>
    <w:basedOn w:val="1"/>
    <w:autoRedefine/>
    <w:qFormat/>
    <w:uiPriority w:val="0"/>
    <w:pPr>
      <w:widowControl/>
      <w:spacing w:line="400" w:lineRule="exact"/>
      <w:jc w:val="center"/>
    </w:pPr>
  </w:style>
  <w:style w:type="character" w:customStyle="1" w:styleId="170">
    <w:name w:val="页脚 字符"/>
    <w:link w:val="28"/>
    <w:autoRedefine/>
    <w:qFormat/>
    <w:uiPriority w:val="99"/>
    <w:rPr>
      <w:rFonts w:ascii="宋体" w:eastAsia="宋体"/>
      <w:sz w:val="18"/>
      <w:lang w:val="en-US" w:eastAsia="zh-CN" w:bidi="ar-SA"/>
    </w:rPr>
  </w:style>
  <w:style w:type="paragraph" w:customStyle="1" w:styleId="171">
    <w:name w:val="Char Char4"/>
    <w:basedOn w:val="1"/>
    <w:autoRedefine/>
    <w:qFormat/>
    <w:uiPriority w:val="0"/>
    <w:pPr>
      <w:widowControl/>
      <w:spacing w:line="400" w:lineRule="exact"/>
      <w:jc w:val="center"/>
    </w:pPr>
  </w:style>
  <w:style w:type="paragraph" w:customStyle="1" w:styleId="172">
    <w:name w:val="Char3 Char Char Char1"/>
    <w:basedOn w:val="1"/>
    <w:autoRedefine/>
    <w:qFormat/>
    <w:uiPriority w:val="0"/>
    <w:rPr>
      <w:rFonts w:ascii="Tahoma" w:hAnsi="Tahoma"/>
      <w:sz w:val="24"/>
      <w:szCs w:val="20"/>
    </w:rPr>
  </w:style>
  <w:style w:type="paragraph" w:styleId="17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autoRedefine/>
    <w:qFormat/>
    <w:uiPriority w:val="0"/>
    <w:rPr>
      <w:kern w:val="2"/>
      <w:sz w:val="21"/>
      <w:szCs w:val="24"/>
      <w:lang w:val="zh-CN" w:eastAsia="zh-CN"/>
    </w:rPr>
  </w:style>
  <w:style w:type="paragraph" w:customStyle="1" w:styleId="176">
    <w:name w:val="1"/>
    <w:link w:val="175"/>
    <w:autoRedefine/>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autoRedefine/>
    <w:qFormat/>
    <w:uiPriority w:val="0"/>
    <w:pPr>
      <w:adjustRightInd w:val="0"/>
      <w:snapToGrid w:val="0"/>
      <w:spacing w:after="50" w:line="360" w:lineRule="auto"/>
    </w:pPr>
    <w:rPr>
      <w:sz w:val="24"/>
    </w:rPr>
  </w:style>
  <w:style w:type="paragraph" w:customStyle="1" w:styleId="17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autoRedefine/>
    <w:qFormat/>
    <w:uiPriority w:val="0"/>
    <w:pPr>
      <w:adjustRightInd w:val="0"/>
      <w:snapToGrid w:val="0"/>
      <w:jc w:val="left"/>
    </w:pPr>
    <w:rPr>
      <w:rFonts w:ascii="宋体" w:hAnsi="宋体"/>
      <w:color w:val="000000"/>
      <w:szCs w:val="21"/>
    </w:rPr>
  </w:style>
  <w:style w:type="character" w:customStyle="1" w:styleId="180">
    <w:name w:val="正文表格 Char"/>
    <w:link w:val="179"/>
    <w:autoRedefine/>
    <w:qFormat/>
    <w:uiPriority w:val="0"/>
    <w:rPr>
      <w:rFonts w:ascii="宋体" w:hAnsi="宋体"/>
      <w:color w:val="000000"/>
      <w:kern w:val="2"/>
      <w:sz w:val="21"/>
      <w:szCs w:val="21"/>
    </w:rPr>
  </w:style>
  <w:style w:type="paragraph" w:customStyle="1" w:styleId="181">
    <w:name w:val="正文重点"/>
    <w:basedOn w:val="1"/>
    <w:link w:val="18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autoRedefine/>
    <w:qFormat/>
    <w:uiPriority w:val="0"/>
    <w:rPr>
      <w:b/>
      <w:sz w:val="24"/>
    </w:rPr>
  </w:style>
  <w:style w:type="character" w:customStyle="1" w:styleId="183">
    <w:name w:val="批注文字 字符1"/>
    <w:link w:val="15"/>
    <w:autoRedefine/>
    <w:qFormat/>
    <w:uiPriority w:val="99"/>
    <w:rPr>
      <w:kern w:val="2"/>
      <w:sz w:val="21"/>
      <w:szCs w:val="24"/>
    </w:rPr>
  </w:style>
  <w:style w:type="paragraph" w:customStyle="1" w:styleId="184">
    <w:name w:val="标题1-附件"/>
    <w:basedOn w:val="2"/>
    <w:autoRedefine/>
    <w:qFormat/>
    <w:uiPriority w:val="0"/>
    <w:pPr>
      <w:jc w:val="left"/>
    </w:pPr>
    <w:rPr>
      <w:sz w:val="24"/>
      <w:szCs w:val="24"/>
    </w:rPr>
  </w:style>
  <w:style w:type="paragraph" w:customStyle="1" w:styleId="185">
    <w:name w:val="正文小标题"/>
    <w:basedOn w:val="1"/>
    <w:next w:val="12"/>
    <w:link w:val="186"/>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autoRedefine/>
    <w:qFormat/>
    <w:uiPriority w:val="0"/>
    <w:rPr>
      <w:rFonts w:ascii="宋体" w:hAnsi="宋体"/>
      <w:b/>
      <w:i/>
      <w:color w:val="FF0000"/>
      <w:kern w:val="2"/>
      <w:sz w:val="24"/>
    </w:rPr>
  </w:style>
  <w:style w:type="paragraph" w:customStyle="1" w:styleId="187">
    <w:name w:val="正文大标题"/>
    <w:basedOn w:val="185"/>
    <w:next w:val="12"/>
    <w:link w:val="188"/>
    <w:autoRedefine/>
    <w:qFormat/>
    <w:uiPriority w:val="0"/>
    <w:pPr>
      <w:jc w:val="center"/>
    </w:pPr>
    <w:rPr>
      <w:i w:val="0"/>
      <w:color w:val="000000"/>
      <w:sz w:val="28"/>
      <w:szCs w:val="21"/>
    </w:rPr>
  </w:style>
  <w:style w:type="character" w:customStyle="1" w:styleId="188">
    <w:name w:val="正文大标题 Char"/>
    <w:link w:val="187"/>
    <w:autoRedefine/>
    <w:qFormat/>
    <w:uiPriority w:val="0"/>
    <w:rPr>
      <w:rFonts w:ascii="宋体" w:hAnsi="宋体"/>
      <w:b/>
      <w:color w:val="000000"/>
      <w:kern w:val="2"/>
      <w:sz w:val="28"/>
      <w:szCs w:val="21"/>
    </w:rPr>
  </w:style>
  <w:style w:type="character" w:customStyle="1" w:styleId="189">
    <w:name w:val="标题 字符"/>
    <w:link w:val="40"/>
    <w:autoRedefine/>
    <w:qFormat/>
    <w:uiPriority w:val="0"/>
    <w:rPr>
      <w:b/>
      <w:kern w:val="2"/>
      <w:sz w:val="32"/>
    </w:rPr>
  </w:style>
  <w:style w:type="paragraph" w:customStyle="1" w:styleId="190">
    <w:name w:val="注释"/>
    <w:basedOn w:val="1"/>
    <w:link w:val="191"/>
    <w:autoRedefine/>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autoRedefine/>
    <w:qFormat/>
    <w:uiPriority w:val="0"/>
    <w:rPr>
      <w:rFonts w:ascii="宋体" w:hAnsi="宋体"/>
      <w:kern w:val="2"/>
      <w:sz w:val="21"/>
      <w:szCs w:val="21"/>
    </w:rPr>
  </w:style>
  <w:style w:type="paragraph" w:customStyle="1" w:styleId="192">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autoRedefine/>
    <w:qFormat/>
    <w:uiPriority w:val="99"/>
    <w:rPr>
      <w:rFonts w:ascii="Times New Roman" w:hAnsi="Times New Roman" w:eastAsia="宋体" w:cs="Times New Roman"/>
      <w:sz w:val="24"/>
      <w:lang w:val="en-US" w:eastAsia="zh-CN" w:bidi="ar-SA"/>
    </w:rPr>
  </w:style>
  <w:style w:type="character" w:customStyle="1" w:styleId="19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7">
    <w:name w:val="表格1"/>
    <w:basedOn w:val="1"/>
    <w:autoRedefine/>
    <w:qFormat/>
    <w:uiPriority w:val="0"/>
    <w:pPr>
      <w:ind w:firstLine="480" w:firstLineChars="200"/>
      <w:jc w:val="center"/>
    </w:pPr>
    <w:rPr>
      <w:sz w:val="24"/>
      <w:szCs w:val="20"/>
    </w:rPr>
  </w:style>
  <w:style w:type="character" w:customStyle="1" w:styleId="198">
    <w:name w:val="纯文本 字符1"/>
    <w:autoRedefine/>
    <w:qFormat/>
    <w:uiPriority w:val="0"/>
    <w:rPr>
      <w:rFonts w:ascii="宋体" w:hAnsi="Courier New"/>
    </w:rPr>
  </w:style>
  <w:style w:type="character" w:customStyle="1" w:styleId="199">
    <w:name w:val="bjh-p"/>
    <w:autoRedefine/>
    <w:qFormat/>
    <w:uiPriority w:val="0"/>
  </w:style>
  <w:style w:type="paragraph" w:customStyle="1" w:styleId="20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autoRedefine/>
    <w:qFormat/>
    <w:locked/>
    <w:uiPriority w:val="0"/>
    <w:rPr>
      <w:rFonts w:ascii="宋体" w:hAnsi="宋体"/>
      <w:sz w:val="24"/>
      <w:szCs w:val="24"/>
      <w:lang w:val="en-GB"/>
    </w:rPr>
  </w:style>
  <w:style w:type="paragraph" w:customStyle="1" w:styleId="202">
    <w:name w:val="正文格式"/>
    <w:basedOn w:val="1"/>
    <w:link w:val="201"/>
    <w:autoRedefine/>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3"/>
    <w:autoRedefine/>
    <w:qFormat/>
    <w:uiPriority w:val="0"/>
    <w:rPr>
      <w:rFonts w:hint="eastAsia" w:ascii="宋体" w:hAnsi="Courier New" w:eastAsia="宋体" w:cs="宋体"/>
      <w:kern w:val="2"/>
      <w:sz w:val="21"/>
    </w:rPr>
  </w:style>
  <w:style w:type="character" w:customStyle="1" w:styleId="204">
    <w:name w:val="标题 3 Char"/>
    <w:autoRedefine/>
    <w:qFormat/>
    <w:uiPriority w:val="0"/>
    <w:rPr>
      <w:rFonts w:ascii="宋体" w:eastAsia="宋体"/>
      <w:b/>
      <w:sz w:val="24"/>
      <w:u w:val="single"/>
      <w:lang w:val="en-US" w:eastAsia="zh-CN" w:bidi="ar-SA"/>
    </w:rPr>
  </w:style>
  <w:style w:type="character" w:customStyle="1" w:styleId="205">
    <w:name w:val="正文缩进 Char"/>
    <w:autoRedefine/>
    <w:qFormat/>
    <w:uiPriority w:val="0"/>
    <w:rPr>
      <w:rFonts w:ascii="宋体" w:eastAsia="宋体"/>
      <w:kern w:val="2"/>
      <w:sz w:val="24"/>
      <w:szCs w:val="24"/>
      <w:lang w:val="en-US" w:eastAsia="zh-CN" w:bidi="ar-SA"/>
    </w:rPr>
  </w:style>
  <w:style w:type="character" w:customStyle="1" w:styleId="206">
    <w:name w:val="Char Char111"/>
    <w:autoRedefine/>
    <w:qFormat/>
    <w:uiPriority w:val="0"/>
    <w:rPr>
      <w:rFonts w:ascii="宋体" w:eastAsia="宋体"/>
      <w:b/>
      <w:sz w:val="24"/>
      <w:u w:val="single"/>
      <w:lang w:val="en-US" w:eastAsia="zh-CN" w:bidi="ar-SA"/>
    </w:rPr>
  </w:style>
  <w:style w:type="character" w:customStyle="1" w:styleId="207">
    <w:name w:val="正文文本缩进 Char"/>
    <w:autoRedefine/>
    <w:qFormat/>
    <w:uiPriority w:val="0"/>
    <w:rPr>
      <w:rFonts w:eastAsia="宋体"/>
      <w:kern w:val="2"/>
      <w:sz w:val="24"/>
      <w:szCs w:val="24"/>
      <w:lang w:val="en-US" w:eastAsia="zh-CN" w:bidi="ar-SA"/>
    </w:rPr>
  </w:style>
  <w:style w:type="character" w:customStyle="1" w:styleId="208">
    <w:name w:val="列出段落 Char"/>
    <w:autoRedefine/>
    <w:qFormat/>
    <w:uiPriority w:val="0"/>
    <w:rPr>
      <w:rFonts w:ascii="Calibri" w:hAnsi="Calibri" w:eastAsia="宋体"/>
      <w:kern w:val="2"/>
      <w:sz w:val="21"/>
      <w:szCs w:val="22"/>
      <w:lang w:val="en-US" w:eastAsia="zh-CN" w:bidi="ar-SA"/>
    </w:rPr>
  </w:style>
  <w:style w:type="character" w:customStyle="1" w:styleId="209">
    <w:name w:val="页眉 Char"/>
    <w:autoRedefine/>
    <w:qFormat/>
    <w:uiPriority w:val="0"/>
    <w:rPr>
      <w:rFonts w:eastAsia="宋体"/>
      <w:kern w:val="2"/>
      <w:sz w:val="18"/>
      <w:szCs w:val="18"/>
      <w:lang w:val="en-US" w:eastAsia="zh-CN" w:bidi="ar-SA"/>
    </w:rPr>
  </w:style>
  <w:style w:type="character" w:customStyle="1" w:styleId="210">
    <w:name w:val="标题 2 Char"/>
    <w:autoRedefine/>
    <w:qFormat/>
    <w:uiPriority w:val="0"/>
    <w:rPr>
      <w:rFonts w:ascii="Arial" w:hAnsi="Arial" w:eastAsia="黑体"/>
      <w:b/>
      <w:sz w:val="30"/>
      <w:lang w:val="en-US" w:eastAsia="zh-CN" w:bidi="ar-SA"/>
    </w:rPr>
  </w:style>
  <w:style w:type="paragraph" w:customStyle="1" w:styleId="211">
    <w:name w:val="字元 字元2"/>
    <w:basedOn w:val="1"/>
    <w:autoRedefine/>
    <w:qFormat/>
    <w:uiPriority w:val="0"/>
    <w:rPr>
      <w:rFonts w:ascii="Tahoma" w:hAnsi="Tahoma"/>
      <w:sz w:val="24"/>
      <w:szCs w:val="20"/>
    </w:rPr>
  </w:style>
  <w:style w:type="paragraph" w:customStyle="1" w:styleId="212">
    <w:name w:val="Char3 Char Char Char2"/>
    <w:basedOn w:val="1"/>
    <w:autoRedefine/>
    <w:qFormat/>
    <w:uiPriority w:val="0"/>
    <w:rPr>
      <w:rFonts w:ascii="Tahoma" w:hAnsi="Tahoma"/>
      <w:sz w:val="24"/>
      <w:szCs w:val="20"/>
    </w:rPr>
  </w:style>
  <w:style w:type="paragraph" w:customStyle="1" w:styleId="213">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4">
    <w:name w:val="Char3"/>
    <w:basedOn w:val="1"/>
    <w:autoRedefine/>
    <w:qFormat/>
    <w:uiPriority w:val="0"/>
    <w:pPr>
      <w:tabs>
        <w:tab w:val="left" w:pos="360"/>
      </w:tabs>
    </w:pPr>
    <w:rPr>
      <w:sz w:val="24"/>
    </w:rPr>
  </w:style>
  <w:style w:type="paragraph" w:customStyle="1" w:styleId="215">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autoRedefine/>
    <w:qFormat/>
    <w:uiPriority w:val="0"/>
    <w:pPr>
      <w:ind w:firstLine="420" w:firstLineChars="200"/>
    </w:pPr>
    <w:rPr>
      <w:rFonts w:ascii="Calibri" w:hAnsi="Calibri"/>
      <w:szCs w:val="22"/>
    </w:rPr>
  </w:style>
  <w:style w:type="paragraph" w:customStyle="1" w:styleId="218">
    <w:name w:val="Char Char Char1 Char2"/>
    <w:basedOn w:val="1"/>
    <w:autoRedefine/>
    <w:qFormat/>
    <w:uiPriority w:val="0"/>
    <w:rPr>
      <w:rFonts w:ascii="Tahoma" w:hAnsi="Tahoma"/>
      <w:sz w:val="24"/>
      <w:szCs w:val="20"/>
    </w:rPr>
  </w:style>
  <w:style w:type="paragraph" w:customStyle="1" w:styleId="219">
    <w:name w:val="Char Char Char2"/>
    <w:basedOn w:val="1"/>
    <w:autoRedefine/>
    <w:qFormat/>
    <w:uiPriority w:val="0"/>
    <w:rPr>
      <w:rFonts w:ascii="Tahoma" w:hAnsi="Tahoma"/>
      <w:sz w:val="24"/>
      <w:szCs w:val="20"/>
    </w:rPr>
  </w:style>
  <w:style w:type="paragraph" w:customStyle="1" w:styleId="220">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1">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autoRedefine/>
    <w:qFormat/>
    <w:uiPriority w:val="0"/>
    <w:rPr>
      <w:rFonts w:ascii="Tahoma" w:hAnsi="Tahoma"/>
      <w:sz w:val="24"/>
      <w:szCs w:val="20"/>
    </w:rPr>
  </w:style>
  <w:style w:type="paragraph" w:customStyle="1" w:styleId="224">
    <w:name w:val="Char Char Char Char Char Char Char Char Char Char2"/>
    <w:basedOn w:val="1"/>
    <w:autoRedefine/>
    <w:qFormat/>
    <w:uiPriority w:val="0"/>
    <w:rPr>
      <w:rFonts w:ascii="宋体" w:hAnsi="宋体" w:cs="Courier New"/>
      <w:sz w:val="32"/>
      <w:szCs w:val="32"/>
    </w:rPr>
  </w:style>
  <w:style w:type="paragraph" w:customStyle="1" w:styleId="225">
    <w:name w:val="Char2 Char Char Char Char Char Char1"/>
    <w:basedOn w:val="1"/>
    <w:autoRedefine/>
    <w:qFormat/>
    <w:uiPriority w:val="0"/>
    <w:pPr>
      <w:widowControl/>
      <w:spacing w:line="400" w:lineRule="exact"/>
      <w:jc w:val="center"/>
    </w:pPr>
  </w:style>
  <w:style w:type="character" w:customStyle="1" w:styleId="226">
    <w:name w:val="页脚 Char"/>
    <w:autoRedefine/>
    <w:qFormat/>
    <w:uiPriority w:val="0"/>
    <w:rPr>
      <w:rFonts w:ascii="宋体" w:eastAsia="宋体"/>
      <w:sz w:val="18"/>
      <w:lang w:val="en-US" w:eastAsia="zh-CN" w:bidi="ar-SA"/>
    </w:rPr>
  </w:style>
  <w:style w:type="paragraph" w:customStyle="1" w:styleId="227">
    <w:name w:val="Char Char41"/>
    <w:basedOn w:val="1"/>
    <w:autoRedefine/>
    <w:qFormat/>
    <w:uiPriority w:val="0"/>
    <w:pPr>
      <w:widowControl/>
      <w:spacing w:line="400" w:lineRule="exact"/>
      <w:jc w:val="center"/>
    </w:pPr>
  </w:style>
  <w:style w:type="character" w:customStyle="1" w:styleId="228">
    <w:name w:val="批注文字 Char"/>
    <w:autoRedefine/>
    <w:qFormat/>
    <w:uiPriority w:val="99"/>
    <w:rPr>
      <w:kern w:val="2"/>
      <w:sz w:val="21"/>
      <w:szCs w:val="24"/>
    </w:rPr>
  </w:style>
  <w:style w:type="character" w:customStyle="1" w:styleId="229">
    <w:name w:val="标题 Char"/>
    <w:autoRedefine/>
    <w:qFormat/>
    <w:uiPriority w:val="0"/>
    <w:rPr>
      <w:b/>
      <w:kern w:val="2"/>
      <w:sz w:val="32"/>
    </w:rPr>
  </w:style>
  <w:style w:type="character" w:customStyle="1" w:styleId="230">
    <w:name w:val="标题 1 字符"/>
    <w:basedOn w:val="47"/>
    <w:link w:val="2"/>
    <w:autoRedefine/>
    <w:qFormat/>
    <w:uiPriority w:val="0"/>
    <w:rPr>
      <w:rFonts w:ascii="宋体"/>
      <w:b/>
      <w:kern w:val="44"/>
      <w:sz w:val="32"/>
    </w:rPr>
  </w:style>
  <w:style w:type="character" w:customStyle="1" w:styleId="231">
    <w:name w:val="标题 4 字符"/>
    <w:basedOn w:val="47"/>
    <w:link w:val="5"/>
    <w:autoRedefine/>
    <w:qFormat/>
    <w:uiPriority w:val="0"/>
    <w:rPr>
      <w:rFonts w:ascii="Arial" w:hAnsi="Arial" w:eastAsia="黑体"/>
      <w:b/>
      <w:sz w:val="28"/>
    </w:rPr>
  </w:style>
  <w:style w:type="character" w:customStyle="1" w:styleId="232">
    <w:name w:val="标题 5 字符"/>
    <w:basedOn w:val="47"/>
    <w:link w:val="6"/>
    <w:autoRedefine/>
    <w:qFormat/>
    <w:uiPriority w:val="0"/>
    <w:rPr>
      <w:b/>
      <w:sz w:val="28"/>
    </w:rPr>
  </w:style>
  <w:style w:type="character" w:customStyle="1" w:styleId="233">
    <w:name w:val="标题 6 字符"/>
    <w:basedOn w:val="47"/>
    <w:link w:val="7"/>
    <w:autoRedefine/>
    <w:qFormat/>
    <w:uiPriority w:val="0"/>
    <w:rPr>
      <w:rFonts w:ascii="Arial" w:hAnsi="Arial" w:eastAsia="黑体"/>
      <w:b/>
      <w:sz w:val="24"/>
    </w:rPr>
  </w:style>
  <w:style w:type="character" w:customStyle="1" w:styleId="234">
    <w:name w:val="标题 7 字符"/>
    <w:basedOn w:val="47"/>
    <w:link w:val="8"/>
    <w:autoRedefine/>
    <w:qFormat/>
    <w:uiPriority w:val="0"/>
    <w:rPr>
      <w:b/>
      <w:sz w:val="24"/>
    </w:rPr>
  </w:style>
  <w:style w:type="character" w:customStyle="1" w:styleId="235">
    <w:name w:val="标题 8 字符"/>
    <w:basedOn w:val="47"/>
    <w:link w:val="9"/>
    <w:autoRedefine/>
    <w:qFormat/>
    <w:uiPriority w:val="0"/>
    <w:rPr>
      <w:rFonts w:ascii="Arial" w:hAnsi="Arial" w:eastAsia="黑体"/>
      <w:sz w:val="24"/>
    </w:rPr>
  </w:style>
  <w:style w:type="character" w:customStyle="1" w:styleId="236">
    <w:name w:val="标题 9 字符"/>
    <w:basedOn w:val="47"/>
    <w:link w:val="10"/>
    <w:autoRedefine/>
    <w:qFormat/>
    <w:uiPriority w:val="0"/>
    <w:rPr>
      <w:rFonts w:ascii="Arial" w:hAnsi="Arial" w:eastAsia="黑体"/>
      <w:sz w:val="21"/>
    </w:rPr>
  </w:style>
  <w:style w:type="character" w:customStyle="1" w:styleId="237">
    <w:name w:val="文档结构图 字符"/>
    <w:basedOn w:val="47"/>
    <w:link w:val="14"/>
    <w:autoRedefine/>
    <w:qFormat/>
    <w:uiPriority w:val="0"/>
    <w:rPr>
      <w:kern w:val="2"/>
      <w:sz w:val="21"/>
      <w:szCs w:val="24"/>
      <w:shd w:val="clear" w:color="auto" w:fill="000080"/>
    </w:rPr>
  </w:style>
  <w:style w:type="character" w:customStyle="1" w:styleId="238">
    <w:name w:val="正文文本 3 字符"/>
    <w:basedOn w:val="47"/>
    <w:link w:val="16"/>
    <w:autoRedefine/>
    <w:qFormat/>
    <w:uiPriority w:val="0"/>
    <w:rPr>
      <w:kern w:val="2"/>
      <w:sz w:val="16"/>
      <w:szCs w:val="16"/>
    </w:rPr>
  </w:style>
  <w:style w:type="character" w:customStyle="1" w:styleId="239">
    <w:name w:val="正文文本 字符"/>
    <w:basedOn w:val="47"/>
    <w:link w:val="17"/>
    <w:autoRedefine/>
    <w:qFormat/>
    <w:uiPriority w:val="0"/>
    <w:rPr>
      <w:rFonts w:ascii="宋体" w:hAnsi="宋体"/>
      <w:kern w:val="2"/>
      <w:sz w:val="24"/>
      <w:szCs w:val="24"/>
    </w:rPr>
  </w:style>
  <w:style w:type="character" w:customStyle="1" w:styleId="240">
    <w:name w:val="日期 字符"/>
    <w:basedOn w:val="47"/>
    <w:link w:val="25"/>
    <w:autoRedefine/>
    <w:qFormat/>
    <w:uiPriority w:val="0"/>
    <w:rPr>
      <w:rFonts w:ascii="仿宋_GB2312" w:hAnsi="宋体" w:eastAsia="仿宋_GB2312"/>
      <w:color w:val="000000"/>
      <w:kern w:val="2"/>
      <w:sz w:val="24"/>
      <w:szCs w:val="24"/>
    </w:rPr>
  </w:style>
  <w:style w:type="character" w:customStyle="1" w:styleId="241">
    <w:name w:val="正文文本缩进 2 字符"/>
    <w:basedOn w:val="47"/>
    <w:link w:val="26"/>
    <w:autoRedefine/>
    <w:qFormat/>
    <w:uiPriority w:val="0"/>
    <w:rPr>
      <w:rFonts w:ascii="仿宋_GB2312" w:eastAsia="仿宋_GB2312"/>
      <w:kern w:val="2"/>
      <w:sz w:val="24"/>
      <w:szCs w:val="24"/>
    </w:rPr>
  </w:style>
  <w:style w:type="character" w:customStyle="1" w:styleId="242">
    <w:name w:val="批注框文本 字符"/>
    <w:basedOn w:val="47"/>
    <w:link w:val="27"/>
    <w:autoRedefine/>
    <w:qFormat/>
    <w:uiPriority w:val="0"/>
    <w:rPr>
      <w:kern w:val="2"/>
      <w:sz w:val="18"/>
      <w:szCs w:val="18"/>
    </w:rPr>
  </w:style>
  <w:style w:type="character" w:customStyle="1" w:styleId="243">
    <w:name w:val="正文文本缩进 3 字符"/>
    <w:basedOn w:val="47"/>
    <w:link w:val="34"/>
    <w:autoRedefine/>
    <w:qFormat/>
    <w:uiPriority w:val="0"/>
    <w:rPr>
      <w:rFonts w:ascii="宋体"/>
      <w:sz w:val="24"/>
    </w:rPr>
  </w:style>
  <w:style w:type="character" w:customStyle="1" w:styleId="244">
    <w:name w:val="HTML 预设格式 字符"/>
    <w:basedOn w:val="47"/>
    <w:link w:val="37"/>
    <w:autoRedefine/>
    <w:qFormat/>
    <w:uiPriority w:val="0"/>
    <w:rPr>
      <w:rFonts w:ascii="宋体" w:hAnsi="宋体" w:cs="宋体"/>
      <w:sz w:val="24"/>
      <w:szCs w:val="24"/>
    </w:rPr>
  </w:style>
  <w:style w:type="character" w:customStyle="1" w:styleId="245">
    <w:name w:val="批注主题 字符"/>
    <w:basedOn w:val="195"/>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2"/>
    <w:autoRedefine/>
    <w:qFormat/>
    <w:uiPriority w:val="0"/>
    <w:rPr>
      <w:rFonts w:eastAsia="宋体"/>
      <w:kern w:val="2"/>
      <w:sz w:val="24"/>
      <w:szCs w:val="24"/>
      <w:lang w:val="en-US" w:eastAsia="zh-CN" w:bidi="ar-SA"/>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9">
    <w:name w:val="Table Normal"/>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0">
    <w:name w:val="Body text|1_"/>
    <w:basedOn w:val="47"/>
    <w:link w:val="251"/>
    <w:autoRedefine/>
    <w:qFormat/>
    <w:uiPriority w:val="0"/>
    <w:rPr>
      <w:rFonts w:ascii="宋体" w:hAnsi="宋体" w:cs="宋体"/>
      <w:sz w:val="22"/>
      <w:szCs w:val="22"/>
      <w:lang w:val="zh-TW" w:eastAsia="zh-TW" w:bidi="zh-TW"/>
    </w:rPr>
  </w:style>
  <w:style w:type="paragraph" w:customStyle="1" w:styleId="251">
    <w:name w:val="Body text|1"/>
    <w:basedOn w:val="1"/>
    <w:link w:val="250"/>
    <w:autoRedefine/>
    <w:qFormat/>
    <w:uiPriority w:val="0"/>
    <w:pPr>
      <w:spacing w:line="446" w:lineRule="auto"/>
      <w:ind w:firstLine="400"/>
      <w:jc w:val="left"/>
    </w:pPr>
    <w:rPr>
      <w:rFonts w:ascii="宋体" w:hAnsi="宋体" w:cs="宋体"/>
      <w:kern w:val="0"/>
      <w:sz w:val="22"/>
      <w:szCs w:val="22"/>
      <w:lang w:val="zh-TW" w:eastAsia="zh-TW" w:bidi="zh-TW"/>
    </w:rPr>
  </w:style>
  <w:style w:type="paragraph" w:customStyle="1" w:styleId="252">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53">
    <w:name w:val="样式 标题 3 + (中文) 黑体 小四 非加粗 段前: 7.8 磅 段后: 0 磅 行距: 固定值 20 磅"/>
    <w:basedOn w:val="4"/>
    <w:autoRedefine/>
    <w:qFormat/>
    <w:uiPriority w:val="0"/>
    <w:pPr>
      <w:spacing w:beforeLines="50" w:afterLines="50" w:line="360" w:lineRule="auto"/>
    </w:pPr>
    <w:rPr>
      <w:b w:val="0"/>
    </w:rPr>
  </w:style>
  <w:style w:type="paragraph" w:customStyle="1" w:styleId="254">
    <w:name w:val="Revision"/>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wmf"/><Relationship Id="rId25" Type="http://schemas.openxmlformats.org/officeDocument/2006/relationships/oleObject" Target="embeddings/oleObject1.bin"/><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146</Pages>
  <Words>89955</Words>
  <Characters>95425</Characters>
  <Lines>187</Lines>
  <Paragraphs>220</Paragraphs>
  <TotalTime>209</TotalTime>
  <ScaleCrop>false</ScaleCrop>
  <LinksUpToDate>false</LinksUpToDate>
  <CharactersWithSpaces>102043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2022-11-23T05:41:00Z</dcterms:created>
  <dc:creator>Yin Hao</dc:creator>
  <cp:lastModifiedBy>代理杨爱国</cp:lastModifiedBy>
  <cp:lastPrinted>2020-04-02T03:13:00Z</cp:lastPrinted>
  <dcterms:modified xsi:type="dcterms:W3CDTF">2024-05-06T07:13:59Z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92B95116A3324AE1B959DE0D1A97952C_13</vt:lpwstr>
  </property>
  <property fmtid="{D5CDD505-2E9C-101B-9397-08002B2CF9AE}" pid="4" name="commondata">
    <vt:lpwstr>eyJoZGlkIjoiZTkxYjc3MjA2ODlkN2M4NWY1ZDMxNzc2NmRlYWE4MTEifQ==</vt:lpwstr>
  </property>
</Properties>
</file>