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28359022"/>
      <w:bookmarkStart w:id="1" w:name="_Toc35393809"/>
      <w:r>
        <w:rPr>
          <w:rFonts w:hint="default" w:ascii="Times New Roman" w:hAnsi="Times New Roman" w:eastAsia="宋体" w:cs="Times New Roman"/>
          <w:b/>
          <w:bCs/>
          <w:sz w:val="28"/>
          <w:szCs w:val="28"/>
        </w:rPr>
        <w:t>食品抽样检测服务项目（第1~</w:t>
      </w:r>
      <w:r>
        <w:rPr>
          <w:rFonts w:hint="eastAsia" w:ascii="Times New Roman" w:hAnsi="Times New Roman" w:eastAsia="宋体" w:cs="Times New Roman"/>
          <w:b/>
          <w:bCs/>
          <w:sz w:val="28"/>
          <w:szCs w:val="28"/>
          <w:lang w:val="en-US" w:eastAsia="zh-CN"/>
        </w:rPr>
        <w:t>4、6、7</w:t>
      </w:r>
      <w:r>
        <w:rPr>
          <w:rFonts w:hint="default" w:ascii="Times New Roman" w:hAnsi="Times New Roman" w:eastAsia="宋体" w:cs="Times New Roman"/>
          <w:b/>
          <w:bCs/>
          <w:sz w:val="28"/>
          <w:szCs w:val="28"/>
        </w:rPr>
        <w:t>包）中标公告</w:t>
      </w:r>
      <w:bookmarkEnd w:id="0"/>
      <w:bookmarkEnd w:id="1"/>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一、项目编号：BJJQ-2024-139/0</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~0</w:t>
      </w:r>
      <w:r>
        <w:rPr>
          <w:rFonts w:hint="eastAsia" w:ascii="Times New Roman" w:hAnsi="Times New Roman" w:eastAsia="宋体" w:cs="Times New Roman"/>
          <w:sz w:val="24"/>
          <w:szCs w:val="24"/>
          <w:lang w:val="en-US" w:eastAsia="zh-CN"/>
        </w:rPr>
        <w:t>4、06、07</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二、项目名称：食品抽样检测服务项目（第1~4、6、7包）</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tbl>
      <w:tblPr>
        <w:tblStyle w:val="13"/>
        <w:tblW w:w="10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732"/>
        <w:gridCol w:w="1855"/>
        <w:gridCol w:w="1486"/>
        <w:gridCol w:w="3069"/>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包号</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b/>
                <w:bCs/>
                <w:sz w:val="21"/>
                <w:szCs w:val="21"/>
                <w:highlight w:val="none"/>
                <w:vertAlign w:val="baseline"/>
              </w:rPr>
              <w:t>标的名称</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rPr>
            </w:pPr>
            <w:r>
              <w:rPr>
                <w:rFonts w:hint="default" w:ascii="Times New Roman" w:hAnsi="Times New Roman" w:eastAsia="宋体" w:cs="Times New Roman"/>
                <w:b/>
                <w:bCs/>
                <w:sz w:val="21"/>
                <w:szCs w:val="21"/>
                <w:highlight w:val="none"/>
              </w:rPr>
              <w:t>中标人名称</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统一社会</w:t>
            </w:r>
          </w:p>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信用代码</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rPr>
            </w:pPr>
            <w:r>
              <w:rPr>
                <w:rFonts w:hint="default" w:ascii="Times New Roman" w:hAnsi="Times New Roman" w:eastAsia="宋体" w:cs="Times New Roman"/>
                <w:b/>
                <w:bCs/>
                <w:sz w:val="21"/>
                <w:szCs w:val="21"/>
                <w:highlight w:val="none"/>
              </w:rPr>
              <w:t>中标人地址</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eastAsia="zh-CN"/>
              </w:rPr>
            </w:pPr>
            <w:r>
              <w:rPr>
                <w:rFonts w:hint="default" w:ascii="Times New Roman" w:hAnsi="Times New Roman" w:eastAsia="宋体" w:cs="Times New Roman"/>
                <w:b/>
                <w:bCs/>
                <w:sz w:val="21"/>
                <w:szCs w:val="21"/>
                <w:highlight w:val="none"/>
              </w:rPr>
              <w:t>中标金额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01</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餐饮第一部分</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谱尼测试集团股份有限公司</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91110108740053589U</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北京市海淀区锦带路66号院1号楼5层101</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¥991800.00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02</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餐饮第二部分</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中轻检验认证有限公司</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91110105MA01PLP86</w:t>
            </w:r>
            <w:bookmarkStart w:id="2" w:name="_GoBack"/>
            <w:bookmarkEnd w:id="2"/>
            <w:r>
              <w:rPr>
                <w:rFonts w:hint="default" w:ascii="Times New Roman" w:hAnsi="Times New Roman" w:eastAsia="宋体" w:cs="Times New Roman"/>
                <w:sz w:val="21"/>
                <w:szCs w:val="21"/>
                <w:highlight w:val="none"/>
                <w:vertAlign w:val="baseline"/>
              </w:rPr>
              <w:t>H</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北京市朝阳区将台西路18号5号楼一层106、108号房间</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¥700000.00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03</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流通第一部分</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华测检测认证集团北京有限公司</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911103026621818401</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北京市北京经济技术开发区科创十四街99号21幢</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¥968000.00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04</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流通第二部分</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国贸食品科学研究院有限公司</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911100004000013872</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北京市昌平区北七家镇未来科学城南区四路中粮营养健康研究院辅楼2307</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¥1048000.00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06</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特食</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北京鸿测科技发展有限公司</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911103023483808929</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北京市北京经济技术开发区经海五路58号院6幢4层、7层</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rPr>
            </w:pPr>
            <w:r>
              <w:rPr>
                <w:rFonts w:hint="eastAsia" w:ascii="Times New Roman" w:hAnsi="Times New Roman" w:eastAsia="宋体" w:cs="Times New Roman"/>
                <w:sz w:val="21"/>
                <w:szCs w:val="21"/>
                <w:highlight w:val="none"/>
                <w:vertAlign w:val="baseline"/>
                <w:lang w:val="en-US" w:eastAsia="zh-CN"/>
              </w:rPr>
              <w:t>¥898100.00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07</w:t>
            </w:r>
          </w:p>
        </w:tc>
        <w:tc>
          <w:tcPr>
            <w:tcW w:w="1732"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rPr>
              <w:t>食品批发市场与食品零售市场</w:t>
            </w:r>
          </w:p>
        </w:tc>
        <w:tc>
          <w:tcPr>
            <w:tcW w:w="1855"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中国肉类食品综合研究中心</w:t>
            </w:r>
          </w:p>
        </w:tc>
        <w:tc>
          <w:tcPr>
            <w:tcW w:w="14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12110000400661705D</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北京市丰台区洋桥70号</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¥1300000.00</w:t>
            </w:r>
          </w:p>
        </w:tc>
      </w:tr>
    </w:tbl>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eastAsia" w:ascii="Times New Roman" w:hAnsi="Times New Roman" w:eastAsia="宋体" w:cs="Times New Roman"/>
                <w:b/>
                <w:bCs/>
                <w:kern w:val="0"/>
                <w:sz w:val="24"/>
                <w:szCs w:val="24"/>
                <w:highlight w:val="yellow"/>
                <w:lang w:eastAsia="zh-CN"/>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第1包</w:t>
            </w:r>
            <w:r>
              <w:rPr>
                <w:rFonts w:hint="eastAsia" w:ascii="Times New Roman" w:hAnsi="Times New Roman" w:eastAsia="宋体" w:cs="Times New Roman"/>
                <w:b/>
                <w:bCs/>
                <w:kern w:val="0"/>
                <w:sz w:val="24"/>
                <w:szCs w:val="24"/>
                <w:highlight w:val="none"/>
                <w:lang w:eastAsia="zh-CN"/>
              </w:rPr>
              <w:t>）</w:t>
            </w:r>
          </w:p>
        </w:tc>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第2包</w:t>
            </w:r>
            <w:r>
              <w:rPr>
                <w:rFonts w:hint="eastAsia" w:ascii="Times New Roman" w:hAnsi="Times New Roman" w:eastAsia="宋体" w:cs="Times New Roman"/>
                <w:b/>
                <w:bCs/>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-餐饮第一部分</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-餐饮第二部分</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yellow"/>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第3包</w:t>
            </w:r>
            <w:r>
              <w:rPr>
                <w:rFonts w:hint="eastAsia" w:ascii="Times New Roman" w:hAnsi="Times New Roman" w:eastAsia="宋体" w:cs="Times New Roman"/>
                <w:b/>
                <w:bCs/>
                <w:kern w:val="0"/>
                <w:sz w:val="24"/>
                <w:szCs w:val="24"/>
                <w:highlight w:val="none"/>
                <w:lang w:eastAsia="zh-CN"/>
              </w:rPr>
              <w:t>）</w:t>
            </w:r>
          </w:p>
        </w:tc>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yellow"/>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第4包</w:t>
            </w:r>
            <w:r>
              <w:rPr>
                <w:rFonts w:hint="eastAsia" w:ascii="Times New Roman" w:hAnsi="Times New Roman" w:eastAsia="宋体" w:cs="Times New Roman"/>
                <w:b/>
                <w:bCs/>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-流通第一部分</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-流通第二部分</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yellow"/>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第6包</w:t>
            </w:r>
            <w:r>
              <w:rPr>
                <w:rFonts w:hint="eastAsia" w:ascii="Times New Roman" w:hAnsi="Times New Roman" w:eastAsia="宋体" w:cs="Times New Roman"/>
                <w:b/>
                <w:bCs/>
                <w:kern w:val="0"/>
                <w:sz w:val="24"/>
                <w:szCs w:val="24"/>
                <w:highlight w:val="none"/>
                <w:lang w:eastAsia="zh-CN"/>
              </w:rPr>
              <w:t>）</w:t>
            </w:r>
          </w:p>
        </w:tc>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yellow"/>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第7包</w:t>
            </w:r>
            <w:r>
              <w:rPr>
                <w:rFonts w:hint="eastAsia" w:ascii="Times New Roman" w:hAnsi="Times New Roman" w:eastAsia="宋体" w:cs="Times New Roman"/>
                <w:b/>
                <w:bCs/>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-特食</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名称：食品抽样检测服务</w:t>
            </w:r>
            <w:r>
              <w:rPr>
                <w:rFonts w:hint="eastAsia" w:ascii="Times New Roman" w:hAnsi="Times New Roman" w:eastAsia="宋体" w:cs="Times New Roman"/>
                <w:kern w:val="0"/>
                <w:sz w:val="24"/>
                <w:szCs w:val="24"/>
                <w:highlight w:val="none"/>
                <w:lang w:val="en-US" w:eastAsia="zh-CN"/>
              </w:rPr>
              <w:t>-食品批发市场与食品零售市场</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服务范围、服务要求：为北京市</w:t>
            </w:r>
            <w:r>
              <w:rPr>
                <w:rFonts w:hint="eastAsia" w:ascii="Times New Roman" w:hAnsi="Times New Roman" w:eastAsia="宋体" w:cs="Times New Roman"/>
                <w:kern w:val="0"/>
                <w:sz w:val="24"/>
                <w:szCs w:val="24"/>
                <w:highlight w:val="none"/>
                <w:lang w:val="en-US" w:eastAsia="zh-CN"/>
              </w:rPr>
              <w:t>丰台</w:t>
            </w:r>
            <w:r>
              <w:rPr>
                <w:rFonts w:hint="default" w:ascii="Times New Roman" w:hAnsi="Times New Roman" w:eastAsia="宋体" w:cs="Times New Roman"/>
                <w:kern w:val="0"/>
                <w:sz w:val="24"/>
                <w:szCs w:val="24"/>
                <w:highlight w:val="none"/>
              </w:rPr>
              <w:t>区市场监督管理局提供优质的食品抽样检测服务（详见招标文件）。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服务时间：合同签订生效后至2025年02月28日。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yellow"/>
              </w:rPr>
            </w:pPr>
            <w:r>
              <w:rPr>
                <w:rFonts w:hint="default" w:ascii="Times New Roman" w:hAnsi="Times New Roman" w:eastAsia="宋体" w:cs="Times New Roman"/>
                <w:kern w:val="0"/>
                <w:sz w:val="24"/>
                <w:szCs w:val="24"/>
                <w:highlight w:val="none"/>
              </w:rPr>
              <w:t>服务标准：详见招标文件</w:t>
            </w:r>
          </w:p>
        </w:tc>
      </w:tr>
    </w:tbl>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yellow"/>
          <w:lang w:val="en-US" w:eastAsia="zh-CN"/>
        </w:rPr>
      </w:pPr>
      <w:r>
        <w:rPr>
          <w:rFonts w:hint="default" w:ascii="Times New Roman" w:hAnsi="Times New Roman" w:eastAsia="宋体" w:cs="Times New Roman"/>
          <w:sz w:val="24"/>
          <w:szCs w:val="24"/>
        </w:rPr>
        <w:t>五、评审专家名单：嵇扬、陈静、彭实、杨芬</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邹未光</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r>
        <w:rPr>
          <w:rFonts w:hint="eastAsia" w:ascii="Times New Roman" w:hAnsi="Times New Roman" w:eastAsia="宋体" w:cs="Times New Roman"/>
          <w:sz w:val="24"/>
          <w:szCs w:val="24"/>
          <w:highlight w:val="none"/>
          <w:lang w:val="en-US" w:eastAsia="zh-CN"/>
        </w:rPr>
        <w:t>共计9.7448</w:t>
      </w:r>
      <w:r>
        <w:rPr>
          <w:rFonts w:hint="default" w:ascii="Times New Roman" w:hAnsi="Times New Roman" w:eastAsia="宋体" w:cs="Times New Roman"/>
          <w:sz w:val="24"/>
          <w:szCs w:val="24"/>
          <w:highlight w:val="none"/>
        </w:rPr>
        <w:t>万元</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其中第1包为1.6365万元、第2包为1.155万元、第3包为1.5972万元、第4包为1.7292万元、第6包为1.4819万元、第7包为2.145万元</w:t>
      </w:r>
      <w:r>
        <w:rPr>
          <w:rFonts w:hint="default" w:ascii="Times New Roman" w:hAnsi="Times New Roman" w:eastAsia="宋体" w:cs="Times New Roman"/>
          <w:sz w:val="24"/>
          <w:szCs w:val="24"/>
          <w:highlight w:val="none"/>
        </w:rPr>
        <w:t>（收费标准详见招标文件）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8.1本公告同时在中国政府采购网（http://www.ccgp.gov.cn）、北京市政府采购网（http://www.ccgp-beijing.gov.cn/）以及北京汇诚金桥国际招标咨询有限公司网站（http://www.hcjq.net/）发布。</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kern w:val="0"/>
          <w:sz w:val="24"/>
          <w:szCs w:val="24"/>
        </w:rPr>
        <w:t>8.2采购代理机构项目编号：BJJQ-2024-139/01~04、06、07</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sz w:val="24"/>
          <w:szCs w:val="24"/>
          <w:lang w:val="en-US" w:eastAsia="zh-CN"/>
        </w:rPr>
        <w:t>8.3第1包中标人为谱尼测试集团股份有限公司，中标金额为¥991800.00，代理服务费金额为1.6365万元，其</w:t>
      </w:r>
      <w:r>
        <w:rPr>
          <w:rFonts w:hint="eastAsia" w:ascii="Times New Roman" w:hAnsi="Times New Roman" w:eastAsia="宋体"/>
          <w:sz w:val="24"/>
          <w:szCs w:val="24"/>
          <w:highlight w:val="none"/>
          <w:lang w:val="en-US" w:eastAsia="zh-CN"/>
        </w:rPr>
        <w:t>评审总得分为91.40；</w:t>
      </w:r>
      <w:r>
        <w:rPr>
          <w:rFonts w:hint="eastAsia" w:ascii="Times New Roman" w:hAnsi="Times New Roman" w:eastAsia="宋体" w:cs="Times New Roman"/>
          <w:sz w:val="24"/>
          <w:szCs w:val="24"/>
          <w:lang w:val="en-US" w:eastAsia="zh-CN"/>
        </w:rPr>
        <w:t>第2包中标人为中轻检验认证有限公司，中标金额为¥700000.00，代理服务费金额为1.155万元，其</w:t>
      </w:r>
      <w:r>
        <w:rPr>
          <w:rFonts w:hint="eastAsia" w:ascii="Times New Roman" w:hAnsi="Times New Roman" w:eastAsia="宋体"/>
          <w:sz w:val="24"/>
          <w:szCs w:val="24"/>
          <w:highlight w:val="none"/>
          <w:lang w:val="en-US" w:eastAsia="zh-CN"/>
        </w:rPr>
        <w:t>评审总得分为84.00；</w:t>
      </w:r>
      <w:r>
        <w:rPr>
          <w:rFonts w:hint="eastAsia" w:ascii="Times New Roman" w:hAnsi="Times New Roman" w:eastAsia="宋体" w:cs="Times New Roman"/>
          <w:sz w:val="24"/>
          <w:szCs w:val="24"/>
          <w:lang w:val="en-US" w:eastAsia="zh-CN"/>
        </w:rPr>
        <w:t>第3包中标人为华测检测认证集团北京有限公司，中标金额为¥968000.00，代理服务费金额为1.5972万元，其</w:t>
      </w:r>
      <w:r>
        <w:rPr>
          <w:rFonts w:hint="eastAsia" w:ascii="Times New Roman" w:hAnsi="Times New Roman" w:eastAsia="宋体"/>
          <w:sz w:val="24"/>
          <w:szCs w:val="24"/>
          <w:highlight w:val="none"/>
          <w:lang w:val="en-US" w:eastAsia="zh-CN"/>
        </w:rPr>
        <w:t>评审总得分为90.60；</w:t>
      </w:r>
      <w:r>
        <w:rPr>
          <w:rFonts w:hint="eastAsia" w:ascii="Times New Roman" w:hAnsi="Times New Roman" w:eastAsia="宋体" w:cs="Times New Roman"/>
          <w:sz w:val="24"/>
          <w:szCs w:val="24"/>
          <w:lang w:val="en-US" w:eastAsia="zh-CN"/>
        </w:rPr>
        <w:t>第4包中标人为国贸食品科学研究院有限公司，中标金额为¥1048000.00，代理服务费金额为1.7292万元，其</w:t>
      </w:r>
      <w:r>
        <w:rPr>
          <w:rFonts w:hint="eastAsia" w:ascii="Times New Roman" w:hAnsi="Times New Roman" w:eastAsia="宋体"/>
          <w:sz w:val="24"/>
          <w:szCs w:val="24"/>
          <w:highlight w:val="none"/>
          <w:lang w:val="en-US" w:eastAsia="zh-CN"/>
        </w:rPr>
        <w:t>评审总得分为88.00；</w:t>
      </w:r>
      <w:r>
        <w:rPr>
          <w:rFonts w:hint="eastAsia" w:ascii="Times New Roman" w:hAnsi="Times New Roman" w:eastAsia="宋体" w:cs="Times New Roman"/>
          <w:sz w:val="24"/>
          <w:szCs w:val="24"/>
          <w:lang w:val="en-US" w:eastAsia="zh-CN"/>
        </w:rPr>
        <w:t>第6包中标人为北京鸿测科技发展有限公司，中标金额为¥898100.00，代理服务费金额为1.4819万元，其</w:t>
      </w:r>
      <w:r>
        <w:rPr>
          <w:rFonts w:hint="eastAsia" w:ascii="Times New Roman" w:hAnsi="Times New Roman" w:eastAsia="宋体"/>
          <w:sz w:val="24"/>
          <w:szCs w:val="24"/>
          <w:highlight w:val="none"/>
          <w:lang w:val="en-US" w:eastAsia="zh-CN"/>
        </w:rPr>
        <w:t>评审总得分为81.50；</w:t>
      </w:r>
      <w:r>
        <w:rPr>
          <w:rFonts w:hint="eastAsia" w:ascii="Times New Roman" w:hAnsi="Times New Roman" w:eastAsia="宋体" w:cs="Times New Roman"/>
          <w:sz w:val="24"/>
          <w:szCs w:val="24"/>
          <w:lang w:val="en-US" w:eastAsia="zh-CN"/>
        </w:rPr>
        <w:t>第7包中标人为中国肉类食品综合研究中心，中标金额为¥1300000.00，代理服务费金额为2.145万元，其</w:t>
      </w:r>
      <w:r>
        <w:rPr>
          <w:rFonts w:hint="eastAsia" w:ascii="Times New Roman" w:hAnsi="Times New Roman" w:eastAsia="宋体"/>
          <w:sz w:val="24"/>
          <w:szCs w:val="24"/>
          <w:highlight w:val="none"/>
          <w:lang w:val="en-US" w:eastAsia="zh-CN"/>
        </w:rPr>
        <w:t>评审总得分为89.00</w:t>
      </w:r>
      <w:r>
        <w:rPr>
          <w:rFonts w:hint="eastAsia" w:ascii="Times New Roman" w:hAnsi="Times New Roman" w:eastAsia="宋体"/>
          <w:kern w:val="0"/>
          <w:sz w:val="24"/>
          <w:szCs w:val="24"/>
          <w:highlight w:val="none"/>
        </w:rPr>
        <w:t>。</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1.采购人信息</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名称：北京市丰台区市场监督管理局</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地址：北京市丰台区菜户营东街乙360号</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联系方式：010-63469955</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2.采购代理机构信息</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名称：北京汇诚金桥国际招标咨询有限公司</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联系方式：010-65699706、65244876</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3.项目联系方式</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项目联系人：王鑫国、侯雷、李辰</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电话：010-65699706、65244876</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1.采购文件</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kern w:val="0"/>
          <w:sz w:val="24"/>
          <w:szCs w:val="24"/>
          <w:highlight w:val="none"/>
          <w:lang w:val="en-US" w:eastAsia="zh-CN"/>
        </w:rPr>
        <w:t>2.中小企业声明函</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7848"/>
    <w:rsid w:val="00C42EAD"/>
    <w:rsid w:val="00C61709"/>
    <w:rsid w:val="00C852EA"/>
    <w:rsid w:val="00CB59BC"/>
    <w:rsid w:val="00CC205A"/>
    <w:rsid w:val="00D20014"/>
    <w:rsid w:val="00D230C0"/>
    <w:rsid w:val="00D916AE"/>
    <w:rsid w:val="00DA630C"/>
    <w:rsid w:val="00DD001C"/>
    <w:rsid w:val="00DE3240"/>
    <w:rsid w:val="00DF35BE"/>
    <w:rsid w:val="00E20D6A"/>
    <w:rsid w:val="00ED27D0"/>
    <w:rsid w:val="00F65A74"/>
    <w:rsid w:val="00FA634B"/>
    <w:rsid w:val="00FE10A1"/>
    <w:rsid w:val="00FE498C"/>
    <w:rsid w:val="026223A4"/>
    <w:rsid w:val="02BE2C9A"/>
    <w:rsid w:val="02CB0D62"/>
    <w:rsid w:val="02CF4A12"/>
    <w:rsid w:val="0301396B"/>
    <w:rsid w:val="09B1391A"/>
    <w:rsid w:val="0BA77260"/>
    <w:rsid w:val="0BCD4D32"/>
    <w:rsid w:val="0C7D610B"/>
    <w:rsid w:val="0D01255D"/>
    <w:rsid w:val="0E176739"/>
    <w:rsid w:val="10D73F5D"/>
    <w:rsid w:val="11183D21"/>
    <w:rsid w:val="13913A86"/>
    <w:rsid w:val="149C4F2F"/>
    <w:rsid w:val="14C173FE"/>
    <w:rsid w:val="185D0F99"/>
    <w:rsid w:val="18F71640"/>
    <w:rsid w:val="1C4050AC"/>
    <w:rsid w:val="1DC37D43"/>
    <w:rsid w:val="1EF54315"/>
    <w:rsid w:val="200B1D89"/>
    <w:rsid w:val="22EE7E5C"/>
    <w:rsid w:val="23DA097F"/>
    <w:rsid w:val="2BEA3703"/>
    <w:rsid w:val="2D0E6797"/>
    <w:rsid w:val="2D1A00BD"/>
    <w:rsid w:val="2FC94FBF"/>
    <w:rsid w:val="30055F99"/>
    <w:rsid w:val="30420F9B"/>
    <w:rsid w:val="31707DD9"/>
    <w:rsid w:val="33925D96"/>
    <w:rsid w:val="33BF1E86"/>
    <w:rsid w:val="33EB211A"/>
    <w:rsid w:val="38B36EDA"/>
    <w:rsid w:val="397228F1"/>
    <w:rsid w:val="3A9540E4"/>
    <w:rsid w:val="3B062BD9"/>
    <w:rsid w:val="3EA76F04"/>
    <w:rsid w:val="3F784910"/>
    <w:rsid w:val="417A21AD"/>
    <w:rsid w:val="4205007B"/>
    <w:rsid w:val="486C05FC"/>
    <w:rsid w:val="48EB621C"/>
    <w:rsid w:val="4B081FC0"/>
    <w:rsid w:val="4B5A6F67"/>
    <w:rsid w:val="4BCF5981"/>
    <w:rsid w:val="4D357A66"/>
    <w:rsid w:val="5052089F"/>
    <w:rsid w:val="51564A5C"/>
    <w:rsid w:val="535661E9"/>
    <w:rsid w:val="53B71978"/>
    <w:rsid w:val="55047602"/>
    <w:rsid w:val="5C910A31"/>
    <w:rsid w:val="5E2C163C"/>
    <w:rsid w:val="5FC8476A"/>
    <w:rsid w:val="6186668A"/>
    <w:rsid w:val="61D9475D"/>
    <w:rsid w:val="620938BB"/>
    <w:rsid w:val="666920D7"/>
    <w:rsid w:val="66FD154A"/>
    <w:rsid w:val="688866DB"/>
    <w:rsid w:val="69F06D97"/>
    <w:rsid w:val="6BD24BEE"/>
    <w:rsid w:val="6BF316FD"/>
    <w:rsid w:val="6C744549"/>
    <w:rsid w:val="6C7831E9"/>
    <w:rsid w:val="6CD31260"/>
    <w:rsid w:val="6D345EA9"/>
    <w:rsid w:val="70D32F6E"/>
    <w:rsid w:val="74122D63"/>
    <w:rsid w:val="75F15752"/>
    <w:rsid w:val="76EF29FA"/>
    <w:rsid w:val="77446EFF"/>
    <w:rsid w:val="77DF672E"/>
    <w:rsid w:val="78085EAD"/>
    <w:rsid w:val="782918BB"/>
    <w:rsid w:val="7AE75338"/>
    <w:rsid w:val="7E1626EC"/>
    <w:rsid w:val="7E3F7E95"/>
    <w:rsid w:val="7E957F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4">
    <w:name w:val="heading 1"/>
    <w:basedOn w:val="1"/>
    <w:next w:val="1"/>
    <w:link w:val="26"/>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5">
    <w:name w:val="heading 2"/>
    <w:basedOn w:val="1"/>
    <w:next w:val="1"/>
    <w:link w:val="27"/>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customStyle="1" w:styleId="3">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annotation text"/>
    <w:basedOn w:val="1"/>
    <w:link w:val="29"/>
    <w:semiHidden/>
    <w:qFormat/>
    <w:uiPriority w:val="99"/>
    <w:pPr>
      <w:jc w:val="left"/>
    </w:pPr>
    <w:rPr>
      <w:rFonts w:ascii="Times New Roman" w:hAnsi="Times New Roman" w:eastAsia="宋体"/>
      <w:szCs w:val="24"/>
    </w:rPr>
  </w:style>
  <w:style w:type="paragraph" w:styleId="8">
    <w:name w:val="Plain Text"/>
    <w:basedOn w:val="1"/>
    <w:link w:val="28"/>
    <w:qFormat/>
    <w:uiPriority w:val="0"/>
    <w:rPr>
      <w:rFonts w:ascii="宋体" w:hAnsi="Courier New"/>
    </w:rPr>
  </w:style>
  <w:style w:type="paragraph" w:styleId="9">
    <w:name w:val="Balloon Text"/>
    <w:basedOn w:val="1"/>
    <w:link w:val="30"/>
    <w:semiHidden/>
    <w:qFormat/>
    <w:uiPriority w:val="99"/>
    <w:rPr>
      <w:sz w:val="18"/>
      <w:szCs w:val="18"/>
    </w:rPr>
  </w:style>
  <w:style w:type="paragraph" w:styleId="10">
    <w:name w:val="footer"/>
    <w:basedOn w:val="1"/>
    <w:link w:val="32"/>
    <w:unhideWhenUsed/>
    <w:qFormat/>
    <w:uiPriority w:val="99"/>
    <w:pPr>
      <w:tabs>
        <w:tab w:val="center" w:pos="4153"/>
        <w:tab w:val="right" w:pos="8306"/>
      </w:tabs>
      <w:snapToGrid w:val="0"/>
      <w:jc w:val="left"/>
    </w:pPr>
    <w:rPr>
      <w:sz w:val="18"/>
      <w:szCs w:val="18"/>
    </w:rPr>
  </w:style>
  <w:style w:type="paragraph" w:styleId="11">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Strong"/>
    <w:basedOn w:val="14"/>
    <w:qFormat/>
    <w:locked/>
    <w:uiPriority w:val="0"/>
  </w:style>
  <w:style w:type="character" w:styleId="16">
    <w:name w:val="FollowedHyperlink"/>
    <w:basedOn w:val="14"/>
    <w:semiHidden/>
    <w:unhideWhenUsed/>
    <w:qFormat/>
    <w:uiPriority w:val="99"/>
    <w:rPr>
      <w:color w:val="000000"/>
      <w:u w:val="none"/>
    </w:rPr>
  </w:style>
  <w:style w:type="character" w:styleId="17">
    <w:name w:val="Emphasis"/>
    <w:basedOn w:val="14"/>
    <w:qFormat/>
    <w:locked/>
    <w:uiPriority w:val="0"/>
  </w:style>
  <w:style w:type="character" w:styleId="18">
    <w:name w:val="HTML Definition"/>
    <w:basedOn w:val="14"/>
    <w:semiHidden/>
    <w:unhideWhenUsed/>
    <w:qFormat/>
    <w:uiPriority w:val="99"/>
  </w:style>
  <w:style w:type="character" w:styleId="19">
    <w:name w:val="HTML Acronym"/>
    <w:basedOn w:val="14"/>
    <w:semiHidden/>
    <w:unhideWhenUsed/>
    <w:qFormat/>
    <w:uiPriority w:val="99"/>
  </w:style>
  <w:style w:type="character" w:styleId="20">
    <w:name w:val="HTML Variable"/>
    <w:basedOn w:val="14"/>
    <w:semiHidden/>
    <w:unhideWhenUsed/>
    <w:qFormat/>
    <w:uiPriority w:val="99"/>
  </w:style>
  <w:style w:type="character" w:styleId="21">
    <w:name w:val="Hyperlink"/>
    <w:basedOn w:val="14"/>
    <w:semiHidden/>
    <w:unhideWhenUsed/>
    <w:qFormat/>
    <w:uiPriority w:val="99"/>
    <w:rPr>
      <w:color w:val="000000"/>
      <w:u w:val="none"/>
    </w:rPr>
  </w:style>
  <w:style w:type="character" w:styleId="22">
    <w:name w:val="HTML Code"/>
    <w:basedOn w:val="14"/>
    <w:semiHidden/>
    <w:unhideWhenUsed/>
    <w:qFormat/>
    <w:uiPriority w:val="99"/>
    <w:rPr>
      <w:rFonts w:ascii="Courier New" w:hAnsi="Courier New"/>
      <w:sz w:val="20"/>
    </w:rPr>
  </w:style>
  <w:style w:type="character" w:styleId="23">
    <w:name w:val="annotation reference"/>
    <w:semiHidden/>
    <w:qFormat/>
    <w:uiPriority w:val="99"/>
    <w:rPr>
      <w:rFonts w:cs="Times New Roman"/>
      <w:sz w:val="21"/>
      <w:szCs w:val="21"/>
    </w:rPr>
  </w:style>
  <w:style w:type="character" w:styleId="24">
    <w:name w:val="HTML Cite"/>
    <w:basedOn w:val="14"/>
    <w:semiHidden/>
    <w:unhideWhenUsed/>
    <w:qFormat/>
    <w:uiPriority w:val="99"/>
  </w:style>
  <w:style w:type="paragraph" w:customStyle="1" w:styleId="2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6">
    <w:name w:val="标题 1 字符"/>
    <w:link w:val="4"/>
    <w:qFormat/>
    <w:locked/>
    <w:uiPriority w:val="99"/>
    <w:rPr>
      <w:rFonts w:ascii="宋体" w:hAnsi="宋体" w:eastAsia="宋体" w:cs="宋体"/>
      <w:b/>
      <w:bCs/>
      <w:kern w:val="36"/>
      <w:sz w:val="48"/>
      <w:szCs w:val="48"/>
    </w:rPr>
  </w:style>
  <w:style w:type="character" w:customStyle="1" w:styleId="27">
    <w:name w:val="标题 2 字符"/>
    <w:link w:val="5"/>
    <w:qFormat/>
    <w:locked/>
    <w:uiPriority w:val="99"/>
    <w:rPr>
      <w:rFonts w:ascii="宋体" w:hAnsi="宋体" w:eastAsia="宋体" w:cs="宋体"/>
      <w:b/>
      <w:bCs/>
      <w:kern w:val="0"/>
      <w:sz w:val="36"/>
      <w:szCs w:val="36"/>
    </w:rPr>
  </w:style>
  <w:style w:type="character" w:customStyle="1" w:styleId="28">
    <w:name w:val="纯文本 字符"/>
    <w:link w:val="8"/>
    <w:qFormat/>
    <w:locked/>
    <w:uiPriority w:val="0"/>
    <w:rPr>
      <w:rFonts w:ascii="宋体" w:hAnsi="Courier New" w:cs="Times New Roman"/>
    </w:rPr>
  </w:style>
  <w:style w:type="character" w:customStyle="1" w:styleId="29">
    <w:name w:val="批注文字 字符"/>
    <w:basedOn w:val="14"/>
    <w:link w:val="7"/>
    <w:semiHidden/>
    <w:qFormat/>
    <w:uiPriority w:val="99"/>
  </w:style>
  <w:style w:type="character" w:customStyle="1" w:styleId="30">
    <w:name w:val="批注框文本 字符"/>
    <w:link w:val="9"/>
    <w:semiHidden/>
    <w:qFormat/>
    <w:uiPriority w:val="99"/>
    <w:rPr>
      <w:sz w:val="0"/>
      <w:szCs w:val="0"/>
    </w:rPr>
  </w:style>
  <w:style w:type="character" w:customStyle="1" w:styleId="31">
    <w:name w:val="页眉 字符"/>
    <w:link w:val="11"/>
    <w:qFormat/>
    <w:uiPriority w:val="99"/>
    <w:rPr>
      <w:sz w:val="18"/>
      <w:szCs w:val="18"/>
    </w:rPr>
  </w:style>
  <w:style w:type="character" w:customStyle="1" w:styleId="32">
    <w:name w:val="页脚 字符"/>
    <w:link w:val="10"/>
    <w:qFormat/>
    <w:uiPriority w:val="99"/>
    <w:rPr>
      <w:sz w:val="18"/>
      <w:szCs w:val="18"/>
    </w:rPr>
  </w:style>
  <w:style w:type="character" w:customStyle="1" w:styleId="33">
    <w:name w:val="hover4"/>
    <w:basedOn w:val="14"/>
    <w:qFormat/>
    <w:uiPriority w:val="0"/>
    <w:rPr>
      <w:color w:val="0063BA"/>
    </w:rPr>
  </w:style>
  <w:style w:type="character" w:customStyle="1" w:styleId="34">
    <w:name w:val="margin_right202"/>
    <w:basedOn w:val="14"/>
    <w:qFormat/>
    <w:uiPriority w:val="0"/>
  </w:style>
  <w:style w:type="character" w:customStyle="1" w:styleId="35">
    <w:name w:val="active5"/>
    <w:basedOn w:val="14"/>
    <w:qFormat/>
    <w:uiPriority w:val="0"/>
    <w:rPr>
      <w:color w:val="FFFFFF"/>
      <w:shd w:val="clear" w:fill="E22323"/>
    </w:rPr>
  </w:style>
  <w:style w:type="character" w:customStyle="1" w:styleId="36">
    <w:name w:val="before"/>
    <w:basedOn w:val="14"/>
    <w:qFormat/>
    <w:uiPriority w:val="0"/>
    <w:rPr>
      <w:shd w:val="clear" w:fill="E22323"/>
    </w:rPr>
  </w:style>
  <w:style w:type="character" w:customStyle="1" w:styleId="37">
    <w:name w:val="margin_right20"/>
    <w:basedOn w:val="14"/>
    <w:qFormat/>
    <w:uiPriority w:val="0"/>
  </w:style>
  <w:style w:type="character" w:customStyle="1" w:styleId="38">
    <w:name w:val="active6"/>
    <w:basedOn w:val="14"/>
    <w:qFormat/>
    <w:uiPriority w:val="0"/>
    <w:rPr>
      <w:color w:val="FFFFFF"/>
      <w:shd w:val="clear" w:fill="E22323"/>
    </w:rPr>
  </w:style>
  <w:style w:type="character" w:customStyle="1" w:styleId="39">
    <w:name w:val="hover5"/>
    <w:basedOn w:val="14"/>
    <w:qFormat/>
    <w:uiPriority w:val="0"/>
    <w:rPr>
      <w:color w:val="0063B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1613</Words>
  <Characters>2140</Characters>
  <Lines>6</Lines>
  <Paragraphs>1</Paragraphs>
  <TotalTime>26</TotalTime>
  <ScaleCrop>false</ScaleCrop>
  <LinksUpToDate>false</LinksUpToDate>
  <CharactersWithSpaces>2140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HC</cp:lastModifiedBy>
  <dcterms:modified xsi:type="dcterms:W3CDTF">2024-02-28T01:42:24Z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78D7606D78F347D9B44A74E2CAAC88AD</vt:lpwstr>
  </property>
</Properties>
</file>