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42"/>
        <w:tblW w:w="736" w:type="dxa"/>
        <w:tblInd w:w="0" w:type="dxa"/>
        <w:tblLayout w:type="fixed"/>
        <w:tblCellMar>
          <w:top w:w="0" w:type="dxa"/>
          <w:left w:w="108" w:type="dxa"/>
          <w:bottom w:w="0" w:type="dxa"/>
          <w:right w:w="108" w:type="dxa"/>
        </w:tblCellMar>
      </w:tblPr>
      <w:tblGrid>
        <w:gridCol w:w="736"/>
      </w:tblGrid>
      <w:tr>
        <w:tblPrEx>
          <w:tblCellMar>
            <w:top w:w="0" w:type="dxa"/>
            <w:left w:w="108" w:type="dxa"/>
            <w:bottom w:w="0" w:type="dxa"/>
            <w:right w:w="108" w:type="dxa"/>
          </w:tblCellMar>
        </w:tblPrEx>
        <w:trPr>
          <w:trHeight w:val="372" w:hRule="atLeast"/>
        </w:trPr>
        <w:tc>
          <w:tcPr>
            <w:tcW w:w="736" w:type="dxa"/>
            <w:vMerge w:val="restart"/>
          </w:tcPr>
          <w:p>
            <w:pPr>
              <w:snapToGrid w:val="0"/>
              <w:jc w:val="center"/>
              <w:rPr>
                <w:rFonts w:eastAsia="华文细黑"/>
                <w:b/>
                <w:sz w:val="24"/>
              </w:rPr>
            </w:pPr>
          </w:p>
        </w:tc>
      </w:tr>
      <w:tr>
        <w:tblPrEx>
          <w:tblCellMar>
            <w:top w:w="0" w:type="dxa"/>
            <w:left w:w="108" w:type="dxa"/>
            <w:bottom w:w="0" w:type="dxa"/>
            <w:right w:w="108" w:type="dxa"/>
          </w:tblCellMar>
        </w:tblPrEx>
        <w:trPr>
          <w:trHeight w:val="276" w:hRule="atLeast"/>
        </w:trPr>
        <w:tc>
          <w:tcPr>
            <w:tcW w:w="736" w:type="dxa"/>
            <w:vMerge w:val="continue"/>
          </w:tcPr>
          <w:p>
            <w:pPr>
              <w:snapToGrid w:val="0"/>
              <w:jc w:val="center"/>
              <w:rPr>
                <w:rFonts w:eastAsia="华文细黑"/>
                <w:b/>
                <w:sz w:val="24"/>
              </w:rPr>
            </w:pPr>
          </w:p>
        </w:tc>
      </w:tr>
    </w:tbl>
    <w:p>
      <w:pPr>
        <w:spacing w:line="360" w:lineRule="auto"/>
        <w:jc w:val="center"/>
        <w:rPr>
          <w:rFonts w:eastAsia="华文细黑"/>
          <w:b/>
          <w:sz w:val="60"/>
          <w:szCs w:val="60"/>
        </w:rPr>
      </w:pPr>
    </w:p>
    <w:p>
      <w:pPr>
        <w:spacing w:line="360" w:lineRule="auto"/>
        <w:jc w:val="center"/>
        <w:rPr>
          <w:rFonts w:ascii="华文楷体" w:hAnsi="华文楷体" w:eastAsia="华文楷体"/>
          <w:b/>
          <w:snapToGrid w:val="0"/>
          <w:kern w:val="0"/>
          <w:sz w:val="60"/>
          <w:szCs w:val="60"/>
        </w:rPr>
      </w:pPr>
      <w:r>
        <w:rPr>
          <w:rFonts w:hint="eastAsia" w:ascii="华文楷体" w:hAnsi="华文楷体" w:eastAsia="华文楷体"/>
          <w:b/>
          <w:snapToGrid w:val="0"/>
          <w:kern w:val="0"/>
          <w:sz w:val="60"/>
          <w:szCs w:val="60"/>
        </w:rPr>
        <w:t>政府采购工程类项目</w:t>
      </w:r>
    </w:p>
    <w:p>
      <w:pPr>
        <w:spacing w:line="360" w:lineRule="auto"/>
        <w:jc w:val="center"/>
        <w:rPr>
          <w:rFonts w:eastAsia="楷体"/>
          <w:b/>
          <w:snapToGrid w:val="0"/>
          <w:kern w:val="0"/>
          <w:sz w:val="56"/>
          <w:szCs w:val="72"/>
        </w:rPr>
      </w:pPr>
      <w:r>
        <w:rPr>
          <w:rFonts w:hint="eastAsia" w:eastAsia="楷体"/>
          <w:b/>
          <w:snapToGrid w:val="0"/>
          <w:kern w:val="0"/>
          <w:sz w:val="56"/>
          <w:szCs w:val="72"/>
        </w:rPr>
        <w:t>竞争性磋商文件</w:t>
      </w:r>
    </w:p>
    <w:p>
      <w:pPr>
        <w:spacing w:line="360" w:lineRule="auto"/>
        <w:jc w:val="center"/>
        <w:rPr>
          <w:rFonts w:eastAsia="华文细黑"/>
          <w:snapToGrid w:val="0"/>
          <w:kern w:val="0"/>
          <w:sz w:val="44"/>
          <w:szCs w:val="44"/>
        </w:rPr>
      </w:pPr>
    </w:p>
    <w:p>
      <w:pPr>
        <w:spacing w:line="360" w:lineRule="auto"/>
        <w:jc w:val="center"/>
        <w:rPr>
          <w:rFonts w:eastAsia="华文细黑"/>
          <w:sz w:val="44"/>
          <w:szCs w:val="44"/>
        </w:rPr>
      </w:pPr>
    </w:p>
    <w:p>
      <w:pPr>
        <w:spacing w:line="360" w:lineRule="auto"/>
        <w:jc w:val="center"/>
        <w:rPr>
          <w:rFonts w:eastAsia="华文细黑"/>
          <w:sz w:val="44"/>
          <w:szCs w:val="44"/>
        </w:rPr>
      </w:pPr>
    </w:p>
    <w:p>
      <w:pPr>
        <w:spacing w:line="360" w:lineRule="auto"/>
        <w:jc w:val="center"/>
        <w:rPr>
          <w:rFonts w:eastAsia="华文细黑"/>
          <w:sz w:val="44"/>
          <w:szCs w:val="44"/>
        </w:rPr>
      </w:pPr>
    </w:p>
    <w:p>
      <w:pPr>
        <w:spacing w:line="360" w:lineRule="auto"/>
        <w:jc w:val="center"/>
        <w:rPr>
          <w:rFonts w:eastAsia="华文细黑"/>
          <w:sz w:val="44"/>
          <w:szCs w:val="44"/>
        </w:rPr>
      </w:pPr>
    </w:p>
    <w:p>
      <w:pPr>
        <w:spacing w:line="420" w:lineRule="auto"/>
        <w:ind w:left="840" w:leftChars="400"/>
        <w:jc w:val="left"/>
        <w:rPr>
          <w:rFonts w:ascii="楷体" w:hAnsi="楷体" w:eastAsia="楷体"/>
          <w:b/>
          <w:snapToGrid w:val="0"/>
          <w:kern w:val="0"/>
          <w:sz w:val="30"/>
          <w:szCs w:val="30"/>
        </w:rPr>
      </w:pPr>
      <w:r>
        <w:rPr>
          <w:rFonts w:ascii="楷体" w:hAnsi="楷体" w:eastAsia="楷体"/>
          <w:b/>
          <w:snapToGrid w:val="0"/>
          <w:kern w:val="0"/>
          <w:sz w:val="30"/>
          <w:szCs w:val="30"/>
        </w:rPr>
        <w:t>项</w:t>
      </w:r>
      <w:r>
        <w:rPr>
          <w:rFonts w:hint="eastAsia" w:ascii="楷体" w:hAnsi="楷体" w:eastAsia="楷体"/>
          <w:b/>
          <w:snapToGrid w:val="0"/>
          <w:kern w:val="0"/>
          <w:sz w:val="30"/>
          <w:szCs w:val="30"/>
        </w:rPr>
        <w:t xml:space="preserve"> </w:t>
      </w:r>
      <w:r>
        <w:rPr>
          <w:rFonts w:ascii="楷体" w:hAnsi="楷体" w:eastAsia="楷体"/>
          <w:b/>
          <w:snapToGrid w:val="0"/>
          <w:kern w:val="0"/>
          <w:sz w:val="30"/>
          <w:szCs w:val="30"/>
        </w:rPr>
        <w:t>目</w:t>
      </w:r>
      <w:r>
        <w:rPr>
          <w:rFonts w:hint="eastAsia" w:ascii="楷体" w:hAnsi="楷体" w:eastAsia="楷体"/>
          <w:b/>
          <w:snapToGrid w:val="0"/>
          <w:kern w:val="0"/>
          <w:sz w:val="30"/>
          <w:szCs w:val="30"/>
        </w:rPr>
        <w:t xml:space="preserve"> </w:t>
      </w:r>
      <w:r>
        <w:rPr>
          <w:rFonts w:ascii="楷体" w:hAnsi="楷体" w:eastAsia="楷体"/>
          <w:b/>
          <w:snapToGrid w:val="0"/>
          <w:kern w:val="0"/>
          <w:sz w:val="30"/>
          <w:szCs w:val="30"/>
        </w:rPr>
        <w:t>编</w:t>
      </w:r>
      <w:r>
        <w:rPr>
          <w:rFonts w:hint="eastAsia" w:ascii="楷体" w:hAnsi="楷体" w:eastAsia="楷体"/>
          <w:b/>
          <w:snapToGrid w:val="0"/>
          <w:kern w:val="0"/>
          <w:sz w:val="30"/>
          <w:szCs w:val="30"/>
        </w:rPr>
        <w:t xml:space="preserve"> </w:t>
      </w:r>
      <w:r>
        <w:rPr>
          <w:rFonts w:ascii="楷体" w:hAnsi="楷体" w:eastAsia="楷体"/>
          <w:b/>
          <w:snapToGrid w:val="0"/>
          <w:kern w:val="0"/>
          <w:sz w:val="30"/>
          <w:szCs w:val="30"/>
        </w:rPr>
        <w:t>号：</w:t>
      </w:r>
      <w:r>
        <w:rPr>
          <w:rFonts w:hint="eastAsia" w:ascii="楷体" w:hAnsi="楷体" w:eastAsia="楷体"/>
          <w:b/>
          <w:snapToGrid w:val="0"/>
          <w:kern w:val="0"/>
          <w:sz w:val="30"/>
          <w:szCs w:val="30"/>
        </w:rPr>
        <w:t xml:space="preserve"> </w:t>
      </w:r>
      <w:r>
        <w:rPr>
          <w:rFonts w:ascii="楷体" w:hAnsi="楷体" w:eastAsia="楷体"/>
          <w:b/>
          <w:snapToGrid w:val="0"/>
          <w:kern w:val="0"/>
          <w:sz w:val="30"/>
          <w:szCs w:val="30"/>
          <w:u w:val="single"/>
        </w:rPr>
        <w:fldChar w:fldCharType="begin"/>
      </w:r>
      <w:r>
        <w:rPr>
          <w:rFonts w:ascii="楷体" w:hAnsi="楷体" w:eastAsia="楷体"/>
          <w:b/>
          <w:snapToGrid w:val="0"/>
          <w:kern w:val="0"/>
          <w:sz w:val="30"/>
          <w:szCs w:val="30"/>
          <w:u w:val="single"/>
        </w:rPr>
        <w:instrText xml:space="preserve"> MERGEFIELD "PLAN-XM-001" </w:instrText>
      </w:r>
      <w:r>
        <w:rPr>
          <w:rFonts w:ascii="楷体" w:hAnsi="楷体" w:eastAsia="楷体"/>
          <w:b/>
          <w:snapToGrid w:val="0"/>
          <w:kern w:val="0"/>
          <w:sz w:val="30"/>
          <w:szCs w:val="30"/>
          <w:u w:val="single"/>
        </w:rPr>
        <w:fldChar w:fldCharType="separate"/>
      </w:r>
      <w:r>
        <w:rPr>
          <w:rFonts w:ascii="楷体" w:hAnsi="楷体" w:eastAsia="楷体"/>
          <w:b/>
          <w:snapToGrid w:val="0"/>
          <w:kern w:val="0"/>
          <w:sz w:val="30"/>
          <w:szCs w:val="30"/>
          <w:u w:val="single"/>
        </w:rPr>
        <w:t>11011524210200018685-XM001</w:t>
      </w:r>
      <w:r>
        <w:rPr>
          <w:rFonts w:ascii="楷体" w:hAnsi="楷体" w:eastAsia="楷体"/>
          <w:b/>
          <w:snapToGrid w:val="0"/>
          <w:kern w:val="0"/>
          <w:sz w:val="30"/>
          <w:szCs w:val="30"/>
          <w:u w:val="single"/>
        </w:rPr>
        <w:fldChar w:fldCharType="end"/>
      </w:r>
    </w:p>
    <w:p>
      <w:pPr>
        <w:spacing w:line="420" w:lineRule="auto"/>
        <w:ind w:left="2948" w:leftChars="400" w:hanging="2108" w:hangingChars="700"/>
        <w:rPr>
          <w:rFonts w:ascii="楷体" w:hAnsi="楷体" w:eastAsia="楷体"/>
          <w:b/>
          <w:sz w:val="30"/>
          <w:szCs w:val="30"/>
        </w:rPr>
      </w:pPr>
      <w:r>
        <w:rPr>
          <w:rFonts w:hint="eastAsia" w:ascii="楷体" w:hAnsi="楷体" w:eastAsia="楷体"/>
          <w:b/>
          <w:sz w:val="30"/>
          <w:szCs w:val="30"/>
        </w:rPr>
        <w:t>项 目 名 称</w:t>
      </w:r>
      <w:r>
        <w:rPr>
          <w:rFonts w:ascii="楷体" w:hAnsi="楷体" w:eastAsia="楷体"/>
          <w:b/>
          <w:snapToGrid w:val="0"/>
          <w:kern w:val="0"/>
          <w:sz w:val="30"/>
          <w:szCs w:val="30"/>
        </w:rPr>
        <w:t>：</w:t>
      </w:r>
      <w:r>
        <w:rPr>
          <w:rFonts w:hint="eastAsia" w:ascii="楷体" w:hAnsi="楷体" w:eastAsia="楷体"/>
          <w:b/>
          <w:snapToGrid w:val="0"/>
          <w:kern w:val="0"/>
          <w:sz w:val="30"/>
          <w:szCs w:val="30"/>
        </w:rPr>
        <w:t xml:space="preserve"> </w:t>
      </w:r>
      <w:r>
        <w:rPr>
          <w:rFonts w:hint="eastAsia" w:ascii="楷体" w:hAnsi="楷体" w:eastAsia="楷体"/>
          <w:b/>
          <w:sz w:val="30"/>
          <w:szCs w:val="30"/>
          <w:u w:val="single"/>
        </w:rPr>
        <w:fldChar w:fldCharType="begin"/>
      </w:r>
      <w:r>
        <w:rPr>
          <w:rFonts w:hint="eastAsia" w:ascii="楷体" w:hAnsi="楷体" w:eastAsia="楷体"/>
          <w:b/>
          <w:sz w:val="30"/>
          <w:szCs w:val="30"/>
          <w:u w:val="single"/>
        </w:rPr>
        <w:instrText xml:space="preserve"> MERGEFIELD "北京市残疾人家庭收入调查项目" </w:instrText>
      </w:r>
      <w:r>
        <w:rPr>
          <w:rFonts w:hint="eastAsia" w:ascii="楷体" w:hAnsi="楷体" w:eastAsia="楷体"/>
          <w:b/>
          <w:sz w:val="30"/>
          <w:szCs w:val="30"/>
          <w:u w:val="single"/>
        </w:rPr>
        <w:fldChar w:fldCharType="separate"/>
      </w:r>
      <w:r>
        <w:rPr>
          <w:rFonts w:hint="eastAsia" w:ascii="楷体" w:hAnsi="楷体" w:eastAsia="楷体"/>
          <w:b/>
          <w:sz w:val="30"/>
          <w:szCs w:val="30"/>
          <w:u w:val="single"/>
        </w:rPr>
        <w:t>北京市大兴区文化活动服务中心中央空调机组更换项目</w:t>
      </w:r>
      <w:r>
        <w:rPr>
          <w:rFonts w:hint="eastAsia" w:ascii="楷体" w:hAnsi="楷体" w:eastAsia="楷体"/>
          <w:b/>
          <w:sz w:val="30"/>
          <w:szCs w:val="30"/>
          <w:u w:val="single"/>
        </w:rPr>
        <w:fldChar w:fldCharType="end"/>
      </w:r>
    </w:p>
    <w:p>
      <w:pPr>
        <w:spacing w:line="420" w:lineRule="auto"/>
        <w:ind w:left="840" w:leftChars="400"/>
        <w:jc w:val="left"/>
        <w:rPr>
          <w:rFonts w:ascii="楷体" w:hAnsi="楷体" w:eastAsia="楷体"/>
          <w:b/>
          <w:snapToGrid w:val="0"/>
          <w:kern w:val="0"/>
          <w:sz w:val="30"/>
          <w:szCs w:val="30"/>
        </w:rPr>
      </w:pPr>
      <w:r>
        <w:rPr>
          <w:rFonts w:ascii="楷体" w:hAnsi="楷体" w:eastAsia="楷体"/>
          <w:b/>
          <w:snapToGrid w:val="0"/>
          <w:kern w:val="0"/>
          <w:sz w:val="30"/>
          <w:szCs w:val="30"/>
        </w:rPr>
        <w:t>采</w:t>
      </w:r>
      <w:r>
        <w:rPr>
          <w:rFonts w:hint="eastAsia" w:ascii="楷体" w:hAnsi="楷体" w:eastAsia="楷体"/>
          <w:b/>
          <w:snapToGrid w:val="0"/>
          <w:kern w:val="0"/>
          <w:sz w:val="30"/>
          <w:szCs w:val="30"/>
        </w:rPr>
        <w:t xml:space="preserve">   </w:t>
      </w:r>
      <w:r>
        <w:rPr>
          <w:rFonts w:ascii="楷体" w:hAnsi="楷体" w:eastAsia="楷体"/>
          <w:b/>
          <w:snapToGrid w:val="0"/>
          <w:kern w:val="0"/>
          <w:sz w:val="30"/>
          <w:szCs w:val="30"/>
        </w:rPr>
        <w:t>购</w:t>
      </w:r>
      <w:r>
        <w:rPr>
          <w:rFonts w:hint="eastAsia" w:ascii="楷体" w:hAnsi="楷体" w:eastAsia="楷体"/>
          <w:b/>
          <w:snapToGrid w:val="0"/>
          <w:kern w:val="0"/>
          <w:sz w:val="30"/>
          <w:szCs w:val="30"/>
        </w:rPr>
        <w:t xml:space="preserve">   </w:t>
      </w:r>
      <w:r>
        <w:rPr>
          <w:rFonts w:ascii="楷体" w:hAnsi="楷体" w:eastAsia="楷体"/>
          <w:b/>
          <w:snapToGrid w:val="0"/>
          <w:kern w:val="0"/>
          <w:sz w:val="30"/>
          <w:szCs w:val="30"/>
        </w:rPr>
        <w:t>人：</w:t>
      </w:r>
      <w:r>
        <w:rPr>
          <w:rFonts w:hint="eastAsia" w:ascii="楷体" w:hAnsi="楷体" w:eastAsia="楷体"/>
          <w:b/>
          <w:snapToGrid w:val="0"/>
          <w:kern w:val="0"/>
          <w:sz w:val="30"/>
          <w:szCs w:val="30"/>
          <w:u w:val="single"/>
        </w:rPr>
        <w:fldChar w:fldCharType="begin"/>
      </w:r>
      <w:r>
        <w:rPr>
          <w:rFonts w:hint="eastAsia" w:ascii="楷体" w:hAnsi="楷体" w:eastAsia="楷体"/>
          <w:b/>
          <w:snapToGrid w:val="0"/>
          <w:kern w:val="0"/>
          <w:sz w:val="30"/>
          <w:szCs w:val="30"/>
          <w:u w:val="single"/>
        </w:rPr>
        <w:instrText xml:space="preserve"> MERGEFIELD "北京市残疾人联合会信息中心" </w:instrText>
      </w:r>
      <w:r>
        <w:rPr>
          <w:rFonts w:hint="eastAsia" w:ascii="楷体" w:hAnsi="楷体" w:eastAsia="楷体"/>
          <w:b/>
          <w:snapToGrid w:val="0"/>
          <w:kern w:val="0"/>
          <w:sz w:val="30"/>
          <w:szCs w:val="30"/>
          <w:u w:val="single"/>
        </w:rPr>
        <w:fldChar w:fldCharType="separate"/>
      </w:r>
      <w:r>
        <w:rPr>
          <w:rFonts w:hint="eastAsia" w:ascii="楷体" w:hAnsi="楷体" w:eastAsia="楷体"/>
          <w:b/>
          <w:snapToGrid w:val="0"/>
          <w:kern w:val="0"/>
          <w:sz w:val="30"/>
          <w:szCs w:val="30"/>
          <w:u w:val="single"/>
        </w:rPr>
        <w:t>北京市大兴区文化活动服务中心</w:t>
      </w:r>
      <w:r>
        <w:rPr>
          <w:rFonts w:hint="eastAsia" w:ascii="楷体" w:hAnsi="楷体" w:eastAsia="楷体"/>
          <w:b/>
          <w:snapToGrid w:val="0"/>
          <w:kern w:val="0"/>
          <w:sz w:val="30"/>
          <w:szCs w:val="30"/>
          <w:u w:val="single"/>
        </w:rPr>
        <w:fldChar w:fldCharType="end"/>
      </w:r>
    </w:p>
    <w:p>
      <w:pPr>
        <w:spacing w:line="420" w:lineRule="auto"/>
        <w:ind w:left="840" w:leftChars="400"/>
        <w:jc w:val="left"/>
        <w:rPr>
          <w:rFonts w:ascii="楷体" w:hAnsi="楷体" w:eastAsia="楷体"/>
          <w:b/>
          <w:snapToGrid w:val="0"/>
          <w:kern w:val="0"/>
          <w:sz w:val="30"/>
          <w:szCs w:val="30"/>
        </w:rPr>
      </w:pPr>
      <w:r>
        <w:rPr>
          <w:rFonts w:ascii="楷体" w:hAnsi="楷体" w:eastAsia="楷体"/>
          <w:b/>
          <w:snapToGrid w:val="0"/>
          <w:kern w:val="0"/>
          <w:sz w:val="30"/>
          <w:szCs w:val="30"/>
        </w:rPr>
        <w:t>采购代理机构：</w:t>
      </w:r>
      <w:r>
        <w:rPr>
          <w:rFonts w:hint="eastAsia" w:ascii="楷体" w:hAnsi="楷体" w:eastAsia="楷体"/>
          <w:b/>
          <w:snapToGrid w:val="0"/>
          <w:kern w:val="0"/>
          <w:sz w:val="30"/>
          <w:szCs w:val="30"/>
          <w:u w:val="single"/>
        </w:rPr>
        <w:fldChar w:fldCharType="begin"/>
      </w:r>
      <w:r>
        <w:rPr>
          <w:rFonts w:hint="eastAsia" w:ascii="楷体" w:hAnsi="楷体" w:eastAsia="楷体"/>
          <w:b/>
          <w:snapToGrid w:val="0"/>
          <w:kern w:val="0"/>
          <w:sz w:val="30"/>
          <w:szCs w:val="30"/>
          <w:u w:val="single"/>
        </w:rPr>
        <w:instrText xml:space="preserve"> MERGEFIELD "北京中建华兴集团有限公司" </w:instrText>
      </w:r>
      <w:r>
        <w:rPr>
          <w:rFonts w:hint="eastAsia" w:ascii="楷体" w:hAnsi="楷体" w:eastAsia="楷体"/>
          <w:b/>
          <w:snapToGrid w:val="0"/>
          <w:kern w:val="0"/>
          <w:sz w:val="30"/>
          <w:szCs w:val="30"/>
          <w:u w:val="single"/>
        </w:rPr>
        <w:fldChar w:fldCharType="separate"/>
      </w:r>
      <w:r>
        <w:rPr>
          <w:rFonts w:hint="eastAsia" w:ascii="楷体" w:hAnsi="楷体" w:eastAsia="楷体"/>
          <w:b/>
          <w:snapToGrid w:val="0"/>
          <w:kern w:val="0"/>
          <w:sz w:val="30"/>
          <w:szCs w:val="30"/>
          <w:u w:val="single"/>
        </w:rPr>
        <w:t>北京乙平工程管理有限公司</w:t>
      </w:r>
      <w:r>
        <w:rPr>
          <w:rFonts w:hint="eastAsia" w:ascii="楷体" w:hAnsi="楷体" w:eastAsia="楷体"/>
          <w:b/>
          <w:snapToGrid w:val="0"/>
          <w:kern w:val="0"/>
          <w:sz w:val="30"/>
          <w:szCs w:val="30"/>
          <w:u w:val="single"/>
        </w:rPr>
        <w:fldChar w:fldCharType="end"/>
      </w:r>
    </w:p>
    <w:p>
      <w:pPr>
        <w:spacing w:line="360" w:lineRule="auto"/>
        <w:jc w:val="center"/>
        <w:rPr>
          <w:rFonts w:ascii="楷体" w:hAnsi="楷体" w:eastAsia="楷体"/>
          <w:b/>
          <w:snapToGrid w:val="0"/>
          <w:kern w:val="0"/>
          <w:sz w:val="32"/>
          <w:szCs w:val="32"/>
        </w:rPr>
      </w:pPr>
    </w:p>
    <w:p>
      <w:pPr>
        <w:spacing w:line="360" w:lineRule="auto"/>
        <w:jc w:val="center"/>
        <w:rPr>
          <w:rFonts w:ascii="楷体" w:hAnsi="楷体" w:eastAsia="楷体"/>
          <w:b/>
          <w:snapToGrid w:val="0"/>
          <w:kern w:val="0"/>
          <w:sz w:val="32"/>
          <w:szCs w:val="32"/>
        </w:rPr>
      </w:pPr>
      <w:r>
        <w:rPr>
          <w:rFonts w:ascii="楷体" w:hAnsi="楷体" w:eastAsia="楷体"/>
          <w:b/>
          <w:snapToGrid w:val="0"/>
          <w:kern w:val="0"/>
          <w:sz w:val="32"/>
          <w:szCs w:val="32"/>
        </w:rPr>
        <w:fldChar w:fldCharType="begin"/>
      </w:r>
      <w:r>
        <w:rPr>
          <w:rFonts w:ascii="楷体" w:hAnsi="楷体" w:eastAsia="楷体"/>
          <w:b/>
          <w:snapToGrid w:val="0"/>
          <w:kern w:val="0"/>
          <w:sz w:val="32"/>
          <w:szCs w:val="32"/>
        </w:rPr>
        <w:instrText xml:space="preserve"> MERGEFIELD "2019年5月" </w:instrText>
      </w:r>
      <w:r>
        <w:rPr>
          <w:rFonts w:ascii="楷体" w:hAnsi="楷体" w:eastAsia="楷体"/>
          <w:b/>
          <w:snapToGrid w:val="0"/>
          <w:kern w:val="0"/>
          <w:sz w:val="32"/>
          <w:szCs w:val="32"/>
        </w:rPr>
        <w:fldChar w:fldCharType="separate"/>
      </w:r>
      <w:r>
        <w:rPr>
          <w:rFonts w:ascii="楷体" w:hAnsi="楷体" w:eastAsia="楷体"/>
          <w:b/>
          <w:snapToGrid w:val="0"/>
          <w:kern w:val="0"/>
          <w:sz w:val="32"/>
          <w:szCs w:val="32"/>
        </w:rPr>
        <w:t>2024年07月</w:t>
      </w:r>
      <w:r>
        <w:rPr>
          <w:rFonts w:ascii="楷体" w:hAnsi="楷体" w:eastAsia="楷体"/>
          <w:b/>
          <w:snapToGrid w:val="0"/>
          <w:kern w:val="0"/>
          <w:sz w:val="32"/>
          <w:szCs w:val="32"/>
        </w:rPr>
        <w:fldChar w:fldCharType="end"/>
      </w:r>
    </w:p>
    <w:p>
      <w:pPr>
        <w:spacing w:line="360" w:lineRule="auto"/>
        <w:jc w:val="center"/>
        <w:rPr>
          <w:rFonts w:ascii="楷体" w:hAnsi="楷体" w:eastAsia="楷体"/>
          <w:b/>
          <w:snapToGrid w:val="0"/>
          <w:kern w:val="0"/>
          <w:sz w:val="32"/>
          <w:szCs w:val="32"/>
        </w:rPr>
        <w:sectPr>
          <w:type w:val="nextColumn"/>
          <w:pgSz w:w="11906" w:h="16838"/>
          <w:pgMar w:top="1440" w:right="1800" w:bottom="1440" w:left="1800" w:header="851" w:footer="992" w:gutter="0"/>
          <w:cols w:space="720" w:num="1"/>
          <w:docGrid w:linePitch="312" w:charSpace="0"/>
        </w:sectPr>
      </w:pPr>
      <w:r>
        <w:rPr>
          <w:rFonts w:hint="eastAsia" w:ascii="楷体" w:hAnsi="楷体" w:eastAsia="楷体"/>
          <w:b/>
          <w:snapToGrid w:val="0"/>
          <w:kern w:val="0"/>
          <w:sz w:val="32"/>
          <w:szCs w:val="32"/>
        </w:rPr>
        <w:t>中国 北京</w:t>
      </w:r>
      <w:r>
        <w:rPr>
          <w:b/>
          <w:bCs/>
          <w:sz w:val="44"/>
        </w:rPr>
        <w:br w:type="page"/>
      </w:r>
    </w:p>
    <w:p/>
    <w:p/>
    <w:p>
      <w:pPr>
        <w:spacing w:line="360" w:lineRule="auto"/>
        <w:jc w:val="center"/>
        <w:outlineLvl w:val="0"/>
        <w:rPr>
          <w:b/>
          <w:sz w:val="36"/>
          <w:szCs w:val="36"/>
        </w:rPr>
      </w:pPr>
      <w:r>
        <w:rPr>
          <w:rFonts w:hint="eastAsia"/>
          <w:b/>
          <w:sz w:val="36"/>
          <w:szCs w:val="36"/>
        </w:rPr>
        <w:t>目</w:t>
      </w:r>
      <w:r>
        <w:rPr>
          <w:b/>
          <w:sz w:val="36"/>
          <w:szCs w:val="36"/>
        </w:rPr>
        <w:t xml:space="preserve">      </w:t>
      </w:r>
      <w:r>
        <w:rPr>
          <w:rFonts w:hint="eastAsia"/>
          <w:b/>
          <w:sz w:val="36"/>
          <w:szCs w:val="36"/>
        </w:rPr>
        <w:t>录</w:t>
      </w:r>
    </w:p>
    <w:p/>
    <w:p>
      <w:pPr>
        <w:pStyle w:val="30"/>
        <w:spacing w:line="480" w:lineRule="auto"/>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fldChar w:fldCharType="begin"/>
      </w:r>
      <w:r>
        <w:instrText xml:space="preserve"> HYPERLINK \l "_Toc97371941" </w:instrText>
      </w:r>
      <w:r>
        <w:fldChar w:fldCharType="separate"/>
      </w:r>
      <w:r>
        <w:rPr>
          <w:rStyle w:val="50"/>
          <w:rFonts w:ascii="Times New Roman" w:hAnsi="Times New Roman"/>
        </w:rPr>
        <w:t>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_Toc97371941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pPr>
        <w:pStyle w:val="30"/>
        <w:spacing w:line="480" w:lineRule="auto"/>
        <w:rPr>
          <w:rFonts w:ascii="Times New Roman" w:hAnsi="Times New Roman"/>
          <w:b w:val="0"/>
          <w:sz w:val="21"/>
          <w:szCs w:val="22"/>
        </w:rPr>
      </w:pPr>
      <w:r>
        <w:fldChar w:fldCharType="begin"/>
      </w:r>
      <w:r>
        <w:instrText xml:space="preserve"> HYPERLINK \l "_Toc97371942" </w:instrText>
      </w:r>
      <w:r>
        <w:fldChar w:fldCharType="separate"/>
      </w:r>
      <w:r>
        <w:rPr>
          <w:rStyle w:val="50"/>
          <w:rFonts w:ascii="Times New Roman" w:hAnsi="Times New Roman"/>
        </w:rPr>
        <w:t>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_Toc97371942 \h </w:instrText>
      </w:r>
      <w:r>
        <w:rPr>
          <w:rFonts w:ascii="Times New Roman" w:hAnsi="Times New Roman"/>
        </w:rPr>
        <w:fldChar w:fldCharType="separate"/>
      </w:r>
      <w:r>
        <w:rPr>
          <w:rFonts w:ascii="Times New Roman" w:hAnsi="Times New Roman"/>
        </w:rPr>
        <w:t>4</w:t>
      </w:r>
      <w:r>
        <w:rPr>
          <w:rFonts w:ascii="Times New Roman" w:hAnsi="Times New Roman"/>
        </w:rPr>
        <w:fldChar w:fldCharType="end"/>
      </w:r>
      <w:r>
        <w:rPr>
          <w:rFonts w:ascii="Times New Roman" w:hAnsi="Times New Roman"/>
        </w:rPr>
        <w:fldChar w:fldCharType="end"/>
      </w:r>
    </w:p>
    <w:p>
      <w:pPr>
        <w:pStyle w:val="30"/>
        <w:spacing w:line="480" w:lineRule="auto"/>
        <w:rPr>
          <w:rFonts w:ascii="Times New Roman" w:hAnsi="Times New Roman"/>
          <w:b w:val="0"/>
          <w:sz w:val="21"/>
          <w:szCs w:val="22"/>
        </w:rPr>
      </w:pPr>
      <w:r>
        <w:fldChar w:fldCharType="begin"/>
      </w:r>
      <w:r>
        <w:instrText xml:space="preserve"> HYPERLINK \l "_Toc97371943" </w:instrText>
      </w:r>
      <w:r>
        <w:fldChar w:fldCharType="separate"/>
      </w:r>
      <w:r>
        <w:rPr>
          <w:rStyle w:val="50"/>
          <w:rFonts w:ascii="Times New Roman" w:hAnsi="Times New Roman"/>
        </w:rPr>
        <w:t>第三章   评审方法和评审标准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_Toc97371943 \h </w:instrText>
      </w:r>
      <w:r>
        <w:rPr>
          <w:rFonts w:ascii="Times New Roman" w:hAnsi="Times New Roman"/>
        </w:rPr>
        <w:fldChar w:fldCharType="separate"/>
      </w:r>
      <w:r>
        <w:rPr>
          <w:rFonts w:ascii="Times New Roman" w:hAnsi="Times New Roman"/>
        </w:rPr>
        <w:t>19</w:t>
      </w:r>
      <w:r>
        <w:rPr>
          <w:rFonts w:ascii="Times New Roman" w:hAnsi="Times New Roman"/>
        </w:rPr>
        <w:fldChar w:fldCharType="end"/>
      </w:r>
      <w:r>
        <w:rPr>
          <w:rFonts w:ascii="Times New Roman" w:hAnsi="Times New Roman"/>
        </w:rPr>
        <w:fldChar w:fldCharType="end"/>
      </w:r>
    </w:p>
    <w:p>
      <w:pPr>
        <w:pStyle w:val="30"/>
        <w:spacing w:line="480" w:lineRule="auto"/>
        <w:rPr>
          <w:rFonts w:ascii="Times New Roman" w:hAnsi="Times New Roman"/>
          <w:b w:val="0"/>
          <w:sz w:val="21"/>
          <w:szCs w:val="22"/>
        </w:rPr>
      </w:pPr>
      <w:r>
        <w:fldChar w:fldCharType="begin"/>
      </w:r>
      <w:r>
        <w:instrText xml:space="preserve"> HYPERLINK \l "_Toc97371945" </w:instrText>
      </w:r>
      <w:r>
        <w:fldChar w:fldCharType="separate"/>
      </w:r>
      <w:r>
        <w:rPr>
          <w:rStyle w:val="50"/>
          <w:rFonts w:ascii="Times New Roman" w:hAnsi="Times New Roman"/>
        </w:rPr>
        <w:t>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_Toc97371945 \h </w:instrText>
      </w:r>
      <w:r>
        <w:rPr>
          <w:rFonts w:ascii="Times New Roman" w:hAnsi="Times New Roman"/>
        </w:rPr>
        <w:fldChar w:fldCharType="separate"/>
      </w:r>
      <w:r>
        <w:rPr>
          <w:rFonts w:ascii="Times New Roman" w:hAnsi="Times New Roman"/>
        </w:rPr>
        <w:t>30</w:t>
      </w:r>
      <w:r>
        <w:rPr>
          <w:rFonts w:ascii="Times New Roman" w:hAnsi="Times New Roman"/>
        </w:rPr>
        <w:fldChar w:fldCharType="end"/>
      </w:r>
      <w:r>
        <w:rPr>
          <w:rFonts w:ascii="Times New Roman" w:hAnsi="Times New Roman"/>
        </w:rPr>
        <w:fldChar w:fldCharType="end"/>
      </w:r>
    </w:p>
    <w:p>
      <w:pPr>
        <w:pStyle w:val="30"/>
        <w:spacing w:line="480" w:lineRule="auto"/>
        <w:rPr>
          <w:rFonts w:ascii="Times New Roman" w:hAnsi="Times New Roman"/>
          <w:b w:val="0"/>
          <w:sz w:val="21"/>
          <w:szCs w:val="22"/>
        </w:rPr>
      </w:pPr>
      <w:r>
        <w:fldChar w:fldCharType="begin"/>
      </w:r>
      <w:r>
        <w:instrText xml:space="preserve"> HYPERLINK \l "_Toc97371946" </w:instrText>
      </w:r>
      <w:r>
        <w:fldChar w:fldCharType="separate"/>
      </w:r>
      <w:r>
        <w:rPr>
          <w:rStyle w:val="50"/>
          <w:rFonts w:ascii="Times New Roman" w:hAnsi="Times New Roman"/>
        </w:rPr>
        <w:t>第五章   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_Toc97371946 \h </w:instrText>
      </w:r>
      <w:r>
        <w:rPr>
          <w:rFonts w:ascii="Times New Roman" w:hAnsi="Times New Roman"/>
        </w:rPr>
        <w:fldChar w:fldCharType="separate"/>
      </w:r>
      <w:r>
        <w:rPr>
          <w:rFonts w:ascii="Times New Roman" w:hAnsi="Times New Roman"/>
        </w:rPr>
        <w:t>40</w:t>
      </w:r>
      <w:r>
        <w:rPr>
          <w:rFonts w:ascii="Times New Roman" w:hAnsi="Times New Roman"/>
        </w:rPr>
        <w:fldChar w:fldCharType="end"/>
      </w:r>
      <w:r>
        <w:rPr>
          <w:rFonts w:ascii="Times New Roman" w:hAnsi="Times New Roman"/>
        </w:rPr>
        <w:fldChar w:fldCharType="end"/>
      </w:r>
    </w:p>
    <w:p>
      <w:pPr>
        <w:pStyle w:val="30"/>
        <w:spacing w:line="480" w:lineRule="auto"/>
        <w:rPr>
          <w:rFonts w:ascii="Times New Roman" w:hAnsi="Times New Roman"/>
          <w:b w:val="0"/>
          <w:sz w:val="21"/>
          <w:szCs w:val="22"/>
        </w:rPr>
      </w:pPr>
      <w:r>
        <w:fldChar w:fldCharType="begin"/>
      </w:r>
      <w:r>
        <w:instrText xml:space="preserve"> HYPERLINK \l "_Toc97371947" </w:instrText>
      </w:r>
      <w:r>
        <w:fldChar w:fldCharType="separate"/>
      </w:r>
      <w:r>
        <w:rPr>
          <w:rStyle w:val="50"/>
          <w:rFonts w:ascii="Times New Roman" w:hAnsi="Times New Roman"/>
        </w:rPr>
        <w:t>第六章   响应文件格式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_Toc97371947 \h </w:instrText>
      </w:r>
      <w:r>
        <w:rPr>
          <w:rFonts w:ascii="Times New Roman" w:hAnsi="Times New Roman"/>
        </w:rPr>
        <w:fldChar w:fldCharType="separate"/>
      </w:r>
      <w:r>
        <w:rPr>
          <w:rFonts w:ascii="Times New Roman" w:hAnsi="Times New Roman"/>
        </w:rPr>
        <w:t>58</w:t>
      </w:r>
      <w:r>
        <w:rPr>
          <w:rFonts w:ascii="Times New Roman" w:hAnsi="Times New Roman"/>
        </w:rPr>
        <w:fldChar w:fldCharType="end"/>
      </w:r>
      <w:r>
        <w:rPr>
          <w:rFonts w:ascii="Times New Roman" w:hAnsi="Times New Roman"/>
        </w:rPr>
        <w:fldChar w:fldCharType="end"/>
      </w:r>
    </w:p>
    <w:p>
      <w:pPr>
        <w:pStyle w:val="30"/>
        <w:spacing w:line="480" w:lineRule="auto"/>
        <w:rPr>
          <w:rFonts w:ascii="Times New Roman" w:hAnsi="Times New Roman"/>
          <w:b w:val="0"/>
        </w:rPr>
      </w:pPr>
      <w:r>
        <w:rPr>
          <w:rFonts w:ascii="Times New Roman" w:hAnsi="Times New Roman"/>
          <w:b w:val="0"/>
        </w:rPr>
        <w:fldChar w:fldCharType="end"/>
      </w:r>
    </w:p>
    <w:p>
      <w:pPr>
        <w:pStyle w:val="30"/>
        <w:spacing w:line="360" w:lineRule="auto"/>
        <w:rPr>
          <w:b w:val="0"/>
          <w:sz w:val="36"/>
          <w:szCs w:val="36"/>
        </w:rPr>
      </w:pPr>
      <w:bookmarkStart w:id="0" w:name="_Toc97371941"/>
    </w:p>
    <w:p>
      <w:pPr>
        <w:spacing w:line="360" w:lineRule="auto"/>
        <w:jc w:val="center"/>
        <w:outlineLvl w:val="0"/>
        <w:rPr>
          <w:b/>
          <w:sz w:val="36"/>
          <w:szCs w:val="36"/>
        </w:rPr>
        <w:sectPr>
          <w:headerReference r:id="rId4" w:type="first"/>
          <w:footerReference r:id="rId7" w:type="first"/>
          <w:headerReference r:id="rId3" w:type="default"/>
          <w:footerReference r:id="rId5" w:type="default"/>
          <w:footerReference r:id="rId6" w:type="even"/>
          <w:pgSz w:w="11907" w:h="16840"/>
          <w:pgMar w:top="1418" w:right="1134" w:bottom="1418" w:left="1701" w:header="851" w:footer="851" w:gutter="0"/>
          <w:pgNumType w:start="1"/>
          <w:cols w:space="720" w:num="1"/>
          <w:titlePg/>
          <w:docGrid w:linePitch="462" w:charSpace="0"/>
        </w:sectPr>
      </w:pPr>
    </w:p>
    <w:p>
      <w:pPr>
        <w:spacing w:line="360" w:lineRule="auto"/>
        <w:jc w:val="center"/>
        <w:outlineLvl w:val="0"/>
        <w:rPr>
          <w:b/>
          <w:sz w:val="36"/>
          <w:szCs w:val="36"/>
        </w:rPr>
      </w:pPr>
      <w:r>
        <w:rPr>
          <w:b/>
          <w:sz w:val="36"/>
          <w:szCs w:val="36"/>
        </w:rPr>
        <w:t>第一章   采购邀请</w:t>
      </w:r>
      <w:bookmarkEnd w:id="0"/>
      <w:bookmarkStart w:id="1" w:name="_Toc35393790"/>
      <w:bookmarkStart w:id="2" w:name="_Toc35393621"/>
      <w:bookmarkStart w:id="3" w:name="_Toc28359002"/>
      <w:bookmarkStart w:id="4" w:name="_Toc28359079"/>
      <w:bookmarkStart w:id="5" w:name="_Hlk24379207"/>
    </w:p>
    <w:p>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一、项目基本情况</w:t>
      </w:r>
      <w:bookmarkEnd w:id="1"/>
      <w:bookmarkEnd w:id="2"/>
      <w:bookmarkEnd w:id="3"/>
      <w:bookmarkEnd w:id="4"/>
    </w:p>
    <w:p>
      <w:pPr>
        <w:spacing w:line="360" w:lineRule="auto"/>
        <w:ind w:firstLine="480" w:firstLineChars="200"/>
        <w:rPr>
          <w:sz w:val="24"/>
        </w:rPr>
      </w:pPr>
      <w:r>
        <w:rPr>
          <w:sz w:val="24"/>
        </w:rPr>
        <w:t>1.项目编号/包号：</w:t>
      </w:r>
      <w:r>
        <w:rPr>
          <w:sz w:val="24"/>
        </w:rPr>
        <w:fldChar w:fldCharType="begin"/>
      </w:r>
      <w:r>
        <w:rPr>
          <w:sz w:val="24"/>
        </w:rPr>
        <w:instrText xml:space="preserve"> MERGEFIELD "PLAN-XM-001" </w:instrText>
      </w:r>
      <w:r>
        <w:rPr>
          <w:sz w:val="24"/>
        </w:rPr>
        <w:fldChar w:fldCharType="separate"/>
      </w:r>
      <w:r>
        <w:rPr>
          <w:sz w:val="24"/>
        </w:rPr>
        <w:t>11011524210200018685-XM001</w:t>
      </w:r>
      <w:r>
        <w:rPr>
          <w:sz w:val="24"/>
        </w:rPr>
        <w:fldChar w:fldCharType="end"/>
      </w:r>
    </w:p>
    <w:p>
      <w:pPr>
        <w:spacing w:line="360" w:lineRule="auto"/>
        <w:ind w:firstLine="480" w:firstLineChars="200"/>
        <w:rPr>
          <w:sz w:val="24"/>
        </w:rPr>
      </w:pPr>
      <w:r>
        <w:rPr>
          <w:sz w:val="24"/>
        </w:rPr>
        <w:t>2.项目名称</w:t>
      </w:r>
      <w:r>
        <w:rPr>
          <w:rFonts w:hint="eastAsia"/>
          <w:sz w:val="24"/>
        </w:rPr>
        <w:t>:</w:t>
      </w:r>
      <w:r>
        <w:rPr>
          <w:rFonts w:hint="eastAsia"/>
          <w:sz w:val="24"/>
          <w:u w:val="single"/>
        </w:rPr>
        <w:fldChar w:fldCharType="begin"/>
      </w:r>
      <w:r>
        <w:rPr>
          <w:rFonts w:hint="eastAsia"/>
          <w:sz w:val="24"/>
          <w:u w:val="single"/>
        </w:rPr>
        <w:instrText xml:space="preserve"> MERGEFIELD "北京市残疾人家庭收入调查项目" </w:instrText>
      </w:r>
      <w:r>
        <w:rPr>
          <w:rFonts w:hint="eastAsia"/>
          <w:sz w:val="24"/>
          <w:u w:val="single"/>
        </w:rPr>
        <w:fldChar w:fldCharType="separate"/>
      </w:r>
      <w:r>
        <w:rPr>
          <w:rFonts w:hint="eastAsia"/>
          <w:sz w:val="24"/>
          <w:u w:val="single"/>
        </w:rPr>
        <w:t>北京市大兴区文化活动服务中心中央空调机组更换项目</w:t>
      </w:r>
      <w:r>
        <w:rPr>
          <w:rFonts w:hint="eastAsia"/>
          <w:sz w:val="24"/>
          <w:u w:val="single"/>
        </w:rPr>
        <w:fldChar w:fldCharType="end"/>
      </w:r>
    </w:p>
    <w:p>
      <w:pPr>
        <w:spacing w:line="360" w:lineRule="auto"/>
        <w:ind w:firstLine="480" w:firstLineChars="200"/>
        <w:rPr>
          <w:sz w:val="24"/>
        </w:rPr>
      </w:pPr>
      <w:r>
        <w:rPr>
          <w:sz w:val="24"/>
        </w:rPr>
        <w:t>3.采购方式：竞争性磋商</w:t>
      </w:r>
    </w:p>
    <w:bookmarkEnd w:id="5"/>
    <w:p>
      <w:pPr>
        <w:spacing w:line="360" w:lineRule="auto"/>
        <w:ind w:firstLine="480" w:firstLineChars="200"/>
        <w:rPr>
          <w:sz w:val="24"/>
        </w:rPr>
      </w:pPr>
      <w:r>
        <w:rPr>
          <w:sz w:val="24"/>
        </w:rPr>
        <w:t>4.项目预算金额：</w:t>
      </w:r>
      <w:r>
        <w:rPr>
          <w:sz w:val="24"/>
          <w:u w:val="single"/>
        </w:rPr>
        <w:fldChar w:fldCharType="begin"/>
      </w:r>
      <w:r>
        <w:rPr>
          <w:sz w:val="24"/>
          <w:u w:val="single"/>
        </w:rPr>
        <w:instrText xml:space="preserve"> MERGEFIELD "F9" </w:instrText>
      </w:r>
      <w:r>
        <w:rPr>
          <w:sz w:val="24"/>
          <w:u w:val="single"/>
        </w:rPr>
        <w:fldChar w:fldCharType="separate"/>
      </w:r>
      <w:r>
        <w:rPr>
          <w:sz w:val="24"/>
          <w:u w:val="single"/>
        </w:rPr>
        <w:t>260.768889</w:t>
      </w:r>
      <w:r>
        <w:rPr>
          <w:sz w:val="24"/>
          <w:u w:val="single"/>
        </w:rPr>
        <w:fldChar w:fldCharType="end"/>
      </w:r>
      <w:r>
        <w:rPr>
          <w:sz w:val="24"/>
        </w:rPr>
        <w:t>万元、项目最高限价（如有）：</w:t>
      </w:r>
      <w:r>
        <w:rPr>
          <w:sz w:val="24"/>
          <w:u w:val="single"/>
        </w:rPr>
        <w:fldChar w:fldCharType="begin"/>
      </w:r>
      <w:r>
        <w:rPr>
          <w:sz w:val="24"/>
          <w:u w:val="single"/>
        </w:rPr>
        <w:instrText xml:space="preserve"> MERGEFIELD "F9" </w:instrText>
      </w:r>
      <w:r>
        <w:rPr>
          <w:sz w:val="24"/>
          <w:u w:val="single"/>
        </w:rPr>
        <w:fldChar w:fldCharType="separate"/>
      </w:r>
      <w:r>
        <w:rPr>
          <w:sz w:val="24"/>
          <w:u w:val="single"/>
        </w:rPr>
        <w:t>260.768889</w:t>
      </w:r>
      <w:r>
        <w:rPr>
          <w:sz w:val="24"/>
          <w:u w:val="single"/>
        </w:rPr>
        <w:fldChar w:fldCharType="end"/>
      </w:r>
      <w:r>
        <w:rPr>
          <w:sz w:val="24"/>
        </w:rPr>
        <w:t>万元</w:t>
      </w:r>
    </w:p>
    <w:p>
      <w:pPr>
        <w:spacing w:line="360" w:lineRule="auto"/>
        <w:ind w:firstLine="480" w:firstLineChars="200"/>
        <w:rPr>
          <w:sz w:val="24"/>
        </w:rPr>
      </w:pPr>
      <w:r>
        <w:rPr>
          <w:sz w:val="24"/>
        </w:rPr>
        <w:t>5.采购需求：</w:t>
      </w:r>
    </w:p>
    <w:tbl>
      <w:tblPr>
        <w:tblStyle w:val="42"/>
        <w:tblW w:w="4685" w:type="pct"/>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2554"/>
        <w:gridCol w:w="1414"/>
        <w:gridCol w:w="710"/>
        <w:gridCol w:w="33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7" w:type="pct"/>
            <w:vAlign w:val="center"/>
          </w:tcPr>
          <w:p>
            <w:pPr>
              <w:jc w:val="center"/>
              <w:rPr>
                <w:bCs/>
                <w:szCs w:val="21"/>
              </w:rPr>
            </w:pPr>
            <w:r>
              <w:rPr>
                <w:bCs/>
                <w:szCs w:val="21"/>
              </w:rPr>
              <w:t>包号</w:t>
            </w:r>
          </w:p>
        </w:tc>
        <w:tc>
          <w:tcPr>
            <w:tcW w:w="1467" w:type="pct"/>
            <w:vAlign w:val="center"/>
          </w:tcPr>
          <w:p>
            <w:pPr>
              <w:jc w:val="center"/>
              <w:rPr>
                <w:bCs/>
                <w:szCs w:val="21"/>
              </w:rPr>
            </w:pPr>
            <w:r>
              <w:rPr>
                <w:bCs/>
                <w:szCs w:val="21"/>
              </w:rPr>
              <w:t>标的名称</w:t>
            </w:r>
          </w:p>
        </w:tc>
        <w:tc>
          <w:tcPr>
            <w:tcW w:w="812" w:type="pct"/>
            <w:vAlign w:val="center"/>
          </w:tcPr>
          <w:p>
            <w:pPr>
              <w:jc w:val="center"/>
              <w:rPr>
                <w:bCs/>
                <w:szCs w:val="21"/>
              </w:rPr>
            </w:pPr>
            <w:r>
              <w:rPr>
                <w:bCs/>
                <w:szCs w:val="21"/>
              </w:rPr>
              <w:t>采购包预算金额（万元）</w:t>
            </w:r>
          </w:p>
        </w:tc>
        <w:tc>
          <w:tcPr>
            <w:tcW w:w="408" w:type="pct"/>
            <w:vAlign w:val="center"/>
          </w:tcPr>
          <w:p>
            <w:pPr>
              <w:jc w:val="center"/>
              <w:rPr>
                <w:bCs/>
                <w:szCs w:val="21"/>
              </w:rPr>
            </w:pPr>
            <w:r>
              <w:rPr>
                <w:bCs/>
                <w:szCs w:val="21"/>
              </w:rPr>
              <w:t>数量</w:t>
            </w:r>
          </w:p>
        </w:tc>
        <w:tc>
          <w:tcPr>
            <w:tcW w:w="1905" w:type="pct"/>
            <w:vAlign w:val="center"/>
          </w:tcPr>
          <w:p>
            <w:pPr>
              <w:jc w:val="center"/>
              <w:rPr>
                <w:szCs w:val="21"/>
              </w:rPr>
            </w:pPr>
            <w:r>
              <w:rPr>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407" w:type="pct"/>
            <w:vAlign w:val="center"/>
          </w:tcPr>
          <w:p>
            <w:pPr>
              <w:jc w:val="center"/>
              <w:rPr>
                <w:bCs/>
                <w:szCs w:val="21"/>
              </w:rPr>
            </w:pPr>
            <w:r>
              <w:rPr>
                <w:bCs/>
                <w:szCs w:val="21"/>
              </w:rPr>
              <w:t>01</w:t>
            </w:r>
          </w:p>
        </w:tc>
        <w:tc>
          <w:tcPr>
            <w:tcW w:w="1467" w:type="pct"/>
            <w:vAlign w:val="center"/>
          </w:tcPr>
          <w:p>
            <w:pPr>
              <w:jc w:val="center"/>
              <w:rPr>
                <w:bCs/>
                <w:szCs w:val="21"/>
              </w:rPr>
            </w:pPr>
            <w:r>
              <w:rPr>
                <w:rFonts w:hint="eastAsia"/>
                <w:sz w:val="24"/>
                <w:u w:val="single"/>
              </w:rPr>
              <w:fldChar w:fldCharType="begin"/>
            </w:r>
            <w:r>
              <w:rPr>
                <w:rFonts w:hint="eastAsia"/>
                <w:sz w:val="24"/>
                <w:u w:val="single"/>
              </w:rPr>
              <w:instrText xml:space="preserve"> MERGEFIELD "北京市残疾人家庭收入调查项目" </w:instrText>
            </w:r>
            <w:r>
              <w:rPr>
                <w:rFonts w:hint="eastAsia"/>
                <w:sz w:val="24"/>
                <w:u w:val="single"/>
              </w:rPr>
              <w:fldChar w:fldCharType="separate"/>
            </w:r>
            <w:r>
              <w:rPr>
                <w:rFonts w:hint="eastAsia"/>
                <w:sz w:val="24"/>
                <w:u w:val="single"/>
              </w:rPr>
              <w:t>北京市大兴区文化活动服务中心中央空调机组更换项目</w:t>
            </w:r>
            <w:r>
              <w:rPr>
                <w:rFonts w:hint="eastAsia"/>
                <w:sz w:val="24"/>
                <w:u w:val="single"/>
              </w:rPr>
              <w:fldChar w:fldCharType="end"/>
            </w:r>
          </w:p>
        </w:tc>
        <w:tc>
          <w:tcPr>
            <w:tcW w:w="812" w:type="pct"/>
            <w:vAlign w:val="center"/>
          </w:tcPr>
          <w:p>
            <w:pPr>
              <w:jc w:val="center"/>
              <w:rPr>
                <w:bCs/>
                <w:szCs w:val="21"/>
              </w:rPr>
            </w:pPr>
            <w:r>
              <w:rPr>
                <w:sz w:val="24"/>
                <w:u w:val="single"/>
              </w:rPr>
              <w:fldChar w:fldCharType="begin"/>
            </w:r>
            <w:r>
              <w:rPr>
                <w:sz w:val="24"/>
                <w:u w:val="single"/>
              </w:rPr>
              <w:instrText xml:space="preserve"> MERGEFIELD "F9" </w:instrText>
            </w:r>
            <w:r>
              <w:rPr>
                <w:sz w:val="24"/>
                <w:u w:val="single"/>
              </w:rPr>
              <w:fldChar w:fldCharType="separate"/>
            </w:r>
            <w:r>
              <w:rPr>
                <w:sz w:val="24"/>
                <w:u w:val="single"/>
              </w:rPr>
              <w:t>260.768889</w:t>
            </w:r>
            <w:r>
              <w:rPr>
                <w:sz w:val="24"/>
                <w:u w:val="single"/>
              </w:rPr>
              <w:fldChar w:fldCharType="end"/>
            </w:r>
          </w:p>
        </w:tc>
        <w:tc>
          <w:tcPr>
            <w:tcW w:w="408" w:type="pct"/>
            <w:vAlign w:val="center"/>
          </w:tcPr>
          <w:p>
            <w:pPr>
              <w:jc w:val="center"/>
              <w:rPr>
                <w:bCs/>
                <w:szCs w:val="21"/>
              </w:rPr>
            </w:pPr>
            <w:r>
              <w:rPr>
                <w:rFonts w:hint="eastAsia"/>
                <w:bCs/>
                <w:szCs w:val="21"/>
              </w:rPr>
              <w:t>1</w:t>
            </w:r>
          </w:p>
        </w:tc>
        <w:tc>
          <w:tcPr>
            <w:tcW w:w="1905" w:type="pct"/>
            <w:vAlign w:val="center"/>
          </w:tcPr>
          <w:p>
            <w:pPr>
              <w:jc w:val="center"/>
              <w:rPr>
                <w:kern w:val="0"/>
                <w:szCs w:val="21"/>
              </w:rPr>
            </w:pPr>
            <w:r>
              <w:rPr>
                <w:rFonts w:hint="eastAsia"/>
                <w:kern w:val="0"/>
                <w:szCs w:val="21"/>
              </w:rPr>
              <w:fldChar w:fldCharType="begin"/>
            </w:r>
            <w:r>
              <w:rPr>
                <w:rFonts w:hint="eastAsia"/>
                <w:kern w:val="0"/>
                <w:szCs w:val="21"/>
              </w:rPr>
              <w:instrText xml:space="preserve"> MERGEFIELD "调查内容为残疾人家庭户2019年的收入和支出情况，包括半年度问卷调查和日记账月度监测调查，详见招标文件第五章招标技术需求。" </w:instrText>
            </w:r>
            <w:r>
              <w:rPr>
                <w:rFonts w:hint="eastAsia"/>
                <w:kern w:val="0"/>
                <w:szCs w:val="21"/>
              </w:rPr>
              <w:fldChar w:fldCharType="separate"/>
            </w:r>
            <w:r>
              <w:rPr>
                <w:rFonts w:hint="eastAsia"/>
                <w:kern w:val="0"/>
                <w:szCs w:val="21"/>
              </w:rPr>
              <w:t>北京市大兴区文化活动服务中心现有空调机组年久失修，需进行更换空调机组及管道管件安装更换。详见招标文件第四章采购需求。</w:t>
            </w:r>
            <w:r>
              <w:rPr>
                <w:rFonts w:hint="eastAsia"/>
                <w:kern w:val="0"/>
                <w:szCs w:val="21"/>
              </w:rPr>
              <w:fldChar w:fldCharType="end"/>
            </w:r>
          </w:p>
        </w:tc>
      </w:tr>
    </w:tbl>
    <w:p/>
    <w:p>
      <w:pPr>
        <w:spacing w:line="360" w:lineRule="auto"/>
        <w:ind w:firstLine="480" w:firstLineChars="200"/>
        <w:rPr>
          <w:sz w:val="24"/>
          <w:u w:val="single"/>
        </w:rPr>
      </w:pPr>
      <w:r>
        <w:rPr>
          <w:sz w:val="24"/>
        </w:rPr>
        <w:t>6.</w:t>
      </w:r>
      <w:r>
        <w:rPr>
          <w:rFonts w:hint="eastAsia"/>
          <w:sz w:val="24"/>
          <w:lang w:val="en-US" w:eastAsia="zh-CN"/>
        </w:rPr>
        <w:t>工期</w:t>
      </w:r>
      <w:r>
        <w:rPr>
          <w:sz w:val="24"/>
        </w:rPr>
        <w:t>：</w:t>
      </w:r>
      <w:r>
        <w:rPr>
          <w:rFonts w:hint="eastAsia"/>
          <w:sz w:val="24"/>
          <w:u w:val="single"/>
        </w:rPr>
        <w:fldChar w:fldCharType="begin"/>
      </w:r>
      <w:r>
        <w:rPr>
          <w:rFonts w:hint="eastAsia"/>
          <w:sz w:val="24"/>
          <w:u w:val="single"/>
        </w:rPr>
        <w:instrText xml:space="preserve"> MERGEFIELD "365日历天" </w:instrText>
      </w:r>
      <w:r>
        <w:rPr>
          <w:rFonts w:hint="eastAsia"/>
          <w:sz w:val="24"/>
          <w:u w:val="single"/>
        </w:rPr>
        <w:fldChar w:fldCharType="separate"/>
      </w:r>
      <w:r>
        <w:rPr>
          <w:rFonts w:hint="eastAsia"/>
          <w:sz w:val="24"/>
          <w:u w:val="single"/>
        </w:rPr>
        <w:t>90日历天</w:t>
      </w:r>
      <w:r>
        <w:rPr>
          <w:rFonts w:hint="eastAsia"/>
          <w:sz w:val="24"/>
          <w:u w:val="single"/>
        </w:rPr>
        <w:fldChar w:fldCharType="end"/>
      </w:r>
    </w:p>
    <w:p>
      <w:pPr>
        <w:spacing w:line="360" w:lineRule="auto"/>
        <w:ind w:firstLine="480" w:firstLineChars="200"/>
        <w:rPr>
          <w:sz w:val="24"/>
        </w:rPr>
      </w:pPr>
      <w:r>
        <w:rPr>
          <w:sz w:val="24"/>
          <w:szCs w:val="24"/>
        </w:rPr>
        <w:t>7.本项目是否接受联合体：</w:t>
      </w:r>
      <w:r>
        <w:rPr>
          <w:rFonts w:hint="eastAsia"/>
          <w:sz w:val="24"/>
          <w:szCs w:val="24"/>
          <w:lang w:eastAsia="zh-CN"/>
        </w:rPr>
        <w:t>□</w:t>
      </w:r>
      <w:r>
        <w:rPr>
          <w:sz w:val="24"/>
          <w:szCs w:val="24"/>
        </w:rPr>
        <w:t xml:space="preserve">是  </w:t>
      </w:r>
      <w:r>
        <w:rPr>
          <w:rFonts w:hint="eastAsia"/>
          <w:sz w:val="24"/>
          <w:szCs w:val="24"/>
        </w:rPr>
        <w:t>■</w:t>
      </w:r>
      <w:r>
        <w:rPr>
          <w:sz w:val="24"/>
          <w:szCs w:val="24"/>
        </w:rPr>
        <w:t>否</w:t>
      </w:r>
      <w:r>
        <w:rPr>
          <w:sz w:val="24"/>
        </w:rPr>
        <w:t>。</w:t>
      </w:r>
    </w:p>
    <w:p>
      <w:pPr>
        <w:pStyle w:val="4"/>
        <w:spacing w:before="0" w:line="360" w:lineRule="auto"/>
        <w:jc w:val="left"/>
        <w:rPr>
          <w:rFonts w:ascii="Times New Roman" w:hAnsi="Times New Roman" w:eastAsia="宋体"/>
          <w:sz w:val="24"/>
          <w:szCs w:val="24"/>
        </w:rPr>
      </w:pPr>
      <w:bookmarkStart w:id="6" w:name="_Toc35393622"/>
      <w:bookmarkStart w:id="7" w:name="_Toc28359080"/>
      <w:bookmarkStart w:id="8" w:name="_Toc35393791"/>
      <w:bookmarkStart w:id="9" w:name="_Toc28359003"/>
      <w:r>
        <w:rPr>
          <w:rFonts w:ascii="Times New Roman" w:hAnsi="Times New Roman" w:eastAsia="宋体"/>
          <w:sz w:val="24"/>
          <w:szCs w:val="24"/>
        </w:rPr>
        <w:t>二、申请人的资格要求（须同时满足）</w:t>
      </w:r>
      <w:bookmarkEnd w:id="6"/>
      <w:bookmarkEnd w:id="7"/>
      <w:bookmarkEnd w:id="8"/>
      <w:bookmarkEnd w:id="9"/>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0" w:name="_Toc28359004"/>
      <w:bookmarkStart w:id="11" w:name="_Toc28359081"/>
      <w:r>
        <w:rPr>
          <w:sz w:val="24"/>
        </w:rPr>
        <w:t>2.落实政府采购政策需满足的资格要求：</w:t>
      </w:r>
    </w:p>
    <w:p>
      <w:pPr>
        <w:spacing w:line="360" w:lineRule="auto"/>
        <w:ind w:firstLine="480" w:firstLineChars="200"/>
        <w:rPr>
          <w:sz w:val="24"/>
        </w:rPr>
      </w:pPr>
      <w:r>
        <w:rPr>
          <w:sz w:val="24"/>
        </w:rPr>
        <w:t>2.1 中小企业政策</w:t>
      </w:r>
      <w:r>
        <w:rPr>
          <w:rFonts w:hint="eastAsia"/>
          <w:sz w:val="24"/>
        </w:rPr>
        <w:t>：</w:t>
      </w:r>
      <w:r>
        <w:rPr>
          <w:sz w:val="24"/>
          <w:u w:val="single"/>
        </w:rPr>
        <w:t>本项目专门面向中小企业采购</w:t>
      </w:r>
      <w:r>
        <w:rPr>
          <w:sz w:val="24"/>
        </w:rPr>
        <w:t>。</w:t>
      </w:r>
    </w:p>
    <w:p>
      <w:pPr>
        <w:spacing w:line="360" w:lineRule="auto"/>
        <w:ind w:firstLine="480" w:firstLineChars="200"/>
        <w:rPr>
          <w:sz w:val="24"/>
        </w:rPr>
      </w:pPr>
      <w:r>
        <w:rPr>
          <w:sz w:val="24"/>
        </w:rPr>
        <w:t>2.2 其它落实政府采购政策的资格要求（如有）：</w:t>
      </w:r>
      <w:r>
        <w:rPr>
          <w:rFonts w:hint="eastAsia"/>
          <w:sz w:val="24"/>
          <w:u w:val="single"/>
        </w:rPr>
        <w:t>列入失信被执行人、重大税收违法案件当事人名单、政府采购严重违法失信行为记录名单的任何机构不得参与本项目磋商</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3.1本项目是否接受分支机构参与响应：</w:t>
      </w:r>
      <w:r>
        <w:rPr>
          <w:rFonts w:hint="eastAsia"/>
          <w:sz w:val="24"/>
          <w:szCs w:val="32"/>
          <w:lang w:eastAsia="zh-CN"/>
        </w:rPr>
        <w:t>□</w:t>
      </w:r>
      <w:r>
        <w:rPr>
          <w:sz w:val="24"/>
        </w:rPr>
        <w:t xml:space="preserve">是   </w:t>
      </w:r>
      <w:r>
        <w:rPr>
          <w:rFonts w:hint="eastAsia"/>
          <w:sz w:val="24"/>
          <w:szCs w:val="32"/>
        </w:rPr>
        <w:t>■</w:t>
      </w:r>
      <w:r>
        <w:rPr>
          <w:sz w:val="24"/>
        </w:rPr>
        <w:t>否；</w:t>
      </w:r>
    </w:p>
    <w:p>
      <w:pPr>
        <w:pStyle w:val="2"/>
        <w:ind w:left="0" w:leftChars="0" w:firstLine="480" w:firstLineChars="200"/>
        <w:rPr>
          <w:rFonts w:hint="eastAsia"/>
        </w:rPr>
      </w:pPr>
      <w:r>
        <w:rPr>
          <w:rFonts w:hint="eastAsia"/>
        </w:rPr>
        <w:t>3.2 本项目是否属于政府购买服务：</w:t>
      </w:r>
    </w:p>
    <w:p>
      <w:pPr>
        <w:pStyle w:val="2"/>
        <w:ind w:left="0" w:leftChars="0" w:firstLine="480" w:firstLineChars="200"/>
        <w:rPr>
          <w:rFonts w:hint="eastAsia"/>
        </w:rPr>
      </w:pPr>
      <w:r>
        <w:rPr>
          <w:rFonts w:hint="eastAsia"/>
        </w:rPr>
        <w:t>■否</w:t>
      </w:r>
    </w:p>
    <w:p>
      <w:pPr>
        <w:pStyle w:val="2"/>
        <w:ind w:left="0" w:leftChars="0" w:firstLine="480" w:firstLineChars="200"/>
      </w:pPr>
      <w:r>
        <w:rPr>
          <w:rFonts w:hint="eastAsia"/>
          <w:lang w:eastAsia="zh-CN"/>
        </w:rPr>
        <w:t>□</w:t>
      </w:r>
      <w:r>
        <w:rPr>
          <w:rFonts w:hint="eastAsia"/>
        </w:rPr>
        <w:t>是，公益一类事业单位、使用事业编制且由财政拨款保障的群团组织，不得作为承接主体；</w:t>
      </w:r>
    </w:p>
    <w:p>
      <w:pPr>
        <w:tabs>
          <w:tab w:val="left" w:pos="1080"/>
        </w:tabs>
        <w:snapToGrid w:val="0"/>
        <w:ind w:firstLine="480" w:firstLineChars="200"/>
        <w:rPr>
          <w:rFonts w:hint="eastAsia" w:ascii="宋体" w:hAnsi="Times New Roman" w:eastAsia="宋体" w:cs="Times New Roman"/>
          <w:kern w:val="2"/>
          <w:sz w:val="24"/>
          <w:szCs w:val="24"/>
          <w:lang w:val="en-US" w:eastAsia="zh-CN" w:bidi="ar-SA"/>
        </w:rPr>
      </w:pPr>
      <w:r>
        <w:rPr>
          <w:rFonts w:hint="eastAsia" w:ascii="宋体" w:hAnsi="Times New Roman" w:eastAsia="宋体" w:cs="Times New Roman"/>
          <w:kern w:val="2"/>
          <w:sz w:val="24"/>
          <w:szCs w:val="24"/>
          <w:lang w:val="en-US" w:eastAsia="zh-CN" w:bidi="ar-SA"/>
        </w:rPr>
        <w:t>3.3其他特定资格要求：</w:t>
      </w:r>
    </w:p>
    <w:p>
      <w:pPr>
        <w:numPr>
          <w:ilvl w:val="0"/>
          <w:numId w:val="1"/>
        </w:numPr>
        <w:tabs>
          <w:tab w:val="left" w:pos="1080"/>
        </w:tabs>
        <w:snapToGrid w:val="0"/>
        <w:ind w:firstLine="480" w:firstLineChars="200"/>
        <w:rPr>
          <w:rFonts w:hint="eastAsia"/>
          <w:sz w:val="24"/>
          <w:u w:val="none"/>
          <w:lang w:eastAsia="zh-CN"/>
        </w:rPr>
      </w:pPr>
      <w:r>
        <w:rPr>
          <w:rFonts w:hint="eastAsia"/>
          <w:sz w:val="24"/>
          <w:u w:val="none"/>
          <w:lang w:eastAsia="zh-CN"/>
        </w:rPr>
        <w:t>供应商具有建设行政主管部门核发的建筑机电安装工程专业承包贰级（含）以上资质且具有有效期内的《安全生产许可证书》；</w:t>
      </w:r>
    </w:p>
    <w:p>
      <w:pPr>
        <w:numPr>
          <w:ilvl w:val="0"/>
          <w:numId w:val="1"/>
        </w:numPr>
        <w:tabs>
          <w:tab w:val="left" w:pos="1080"/>
        </w:tabs>
        <w:snapToGrid w:val="0"/>
        <w:ind w:left="0" w:leftChars="0" w:firstLine="480" w:firstLineChars="200"/>
        <w:rPr>
          <w:rFonts w:hint="eastAsia"/>
          <w:sz w:val="24"/>
          <w:u w:val="none"/>
          <w:lang w:eastAsia="zh-CN"/>
        </w:rPr>
      </w:pPr>
      <w:r>
        <w:rPr>
          <w:rFonts w:hint="eastAsia"/>
          <w:sz w:val="24"/>
          <w:u w:val="none"/>
          <w:lang w:eastAsia="zh-CN"/>
        </w:rPr>
        <w:t>供应商拟派项目负责人具有机电工程专业贰级（含）以上注册建造师证书和安全生产考核合格证书（简称B本），且未在其他工程项目中担任项目负责人或其他职务；</w:t>
      </w:r>
    </w:p>
    <w:p>
      <w:pPr>
        <w:numPr>
          <w:ilvl w:val="0"/>
          <w:numId w:val="1"/>
        </w:numPr>
        <w:tabs>
          <w:tab w:val="left" w:pos="1080"/>
        </w:tabs>
        <w:snapToGrid w:val="0"/>
        <w:ind w:left="0" w:leftChars="0" w:firstLine="480" w:firstLineChars="200"/>
        <w:rPr>
          <w:rFonts w:hint="eastAsia" w:eastAsia="宋体"/>
          <w:sz w:val="24"/>
          <w:highlight w:val="none"/>
          <w:u w:val="none"/>
          <w:lang w:eastAsia="zh-CN"/>
        </w:rPr>
      </w:pPr>
      <w:r>
        <w:rPr>
          <w:rFonts w:hint="eastAsia"/>
          <w:sz w:val="24"/>
          <w:u w:val="none"/>
          <w:lang w:eastAsia="zh-CN"/>
        </w:rPr>
        <w:t>供应商为外埠企业应在中标后提供北京市建设行政主管部门出具的进京备案证明，并办理注册建造师备案手续。</w:t>
      </w:r>
    </w:p>
    <w:p>
      <w:pPr>
        <w:pStyle w:val="2"/>
        <w:rPr>
          <w:rFonts w:hint="eastAsia"/>
          <w:u w:val="none"/>
          <w:lang w:eastAsia="zh-CN"/>
        </w:rPr>
      </w:pPr>
      <w:r>
        <w:rPr>
          <w:rFonts w:hint="eastAsia"/>
          <w:u w:val="none"/>
          <w:lang w:eastAsia="zh-CN"/>
        </w:rPr>
        <w:t>（</w:t>
      </w:r>
      <w:r>
        <w:rPr>
          <w:rFonts w:hint="eastAsia"/>
          <w:u w:val="none"/>
          <w:lang w:val="en-US" w:eastAsia="zh-CN"/>
        </w:rPr>
        <w:t>4</w:t>
      </w:r>
      <w:r>
        <w:rPr>
          <w:rFonts w:hint="eastAsia"/>
          <w:u w:val="none"/>
          <w:lang w:eastAsia="zh-CN"/>
        </w:rPr>
        <w:t xml:space="preserve">）供应商没有处于被责令停业，投标资格被取消，财产被接管、冻结，破产状态；在最近三年内没有骗取中标和严重违约及重大质量、安全问题； </w:t>
      </w:r>
    </w:p>
    <w:bookmarkEnd w:id="10"/>
    <w:bookmarkEnd w:id="11"/>
    <w:p>
      <w:pPr>
        <w:pStyle w:val="4"/>
        <w:widowControl/>
        <w:spacing w:before="0" w:line="360" w:lineRule="auto"/>
        <w:jc w:val="left"/>
        <w:rPr>
          <w:rFonts w:ascii="Times New Roman" w:hAnsi="Times New Roman" w:eastAsia="宋体"/>
          <w:sz w:val="24"/>
          <w:szCs w:val="24"/>
        </w:rPr>
      </w:pPr>
      <w:bookmarkStart w:id="12" w:name="_Toc35393623"/>
      <w:bookmarkStart w:id="13" w:name="_Toc35393792"/>
      <w:r>
        <w:rPr>
          <w:rFonts w:ascii="Times New Roman" w:hAnsi="Times New Roman" w:eastAsia="宋体"/>
          <w:sz w:val="24"/>
          <w:szCs w:val="24"/>
        </w:rPr>
        <w:t>三、获取采购文件</w:t>
      </w:r>
      <w:bookmarkEnd w:id="12"/>
      <w:bookmarkEnd w:id="13"/>
    </w:p>
    <w:p>
      <w:pPr>
        <w:adjustRightInd w:val="0"/>
        <w:snapToGrid w:val="0"/>
        <w:spacing w:line="360" w:lineRule="auto"/>
        <w:ind w:firstLine="480" w:firstLineChars="200"/>
        <w:rPr>
          <w:sz w:val="24"/>
          <w:lang w:bidi="ar"/>
        </w:rPr>
      </w:pPr>
      <w:r>
        <w:rPr>
          <w:sz w:val="24"/>
          <w:lang w:bidi="ar"/>
        </w:rPr>
        <w:t>1.时间：</w:t>
      </w:r>
      <w:r>
        <w:rPr>
          <w:rFonts w:hint="eastAsia"/>
          <w:sz w:val="24"/>
        </w:rPr>
        <w:fldChar w:fldCharType="begin"/>
      </w:r>
      <w:r>
        <w:rPr>
          <w:rFonts w:hint="eastAsia"/>
          <w:sz w:val="24"/>
        </w:rPr>
        <w:instrText xml:space="preserve"> MERGEFIELD "2019年5月20日至2019年5月24日" </w:instrText>
      </w:r>
      <w:r>
        <w:rPr>
          <w:rFonts w:hint="eastAsia"/>
          <w:sz w:val="24"/>
        </w:rPr>
        <w:fldChar w:fldCharType="separate"/>
      </w:r>
      <w:r>
        <w:rPr>
          <w:rFonts w:hint="eastAsia"/>
          <w:sz w:val="24"/>
        </w:rPr>
        <w:t>2024年07月25日至2024年07月31日</w:t>
      </w:r>
      <w:r>
        <w:rPr>
          <w:rFonts w:hint="eastAsia"/>
          <w:sz w:val="24"/>
        </w:rPr>
        <w:fldChar w:fldCharType="end"/>
      </w:r>
      <w:r>
        <w:rPr>
          <w:sz w:val="24"/>
          <w:lang w:bidi="ar"/>
        </w:rPr>
        <w:t>，每天上午</w:t>
      </w:r>
      <w:r>
        <w:rPr>
          <w:rFonts w:hint="eastAsia"/>
          <w:sz w:val="24"/>
        </w:rPr>
        <w:t>9:00</w:t>
      </w:r>
      <w:r>
        <w:rPr>
          <w:sz w:val="24"/>
          <w:lang w:bidi="ar"/>
        </w:rPr>
        <w:t>至</w:t>
      </w:r>
      <w:r>
        <w:rPr>
          <w:rFonts w:hint="eastAsia"/>
          <w:sz w:val="24"/>
        </w:rPr>
        <w:t>12:00</w:t>
      </w:r>
      <w:r>
        <w:rPr>
          <w:sz w:val="24"/>
          <w:lang w:bidi="ar"/>
        </w:rPr>
        <w:t>，下午</w:t>
      </w:r>
      <w:r>
        <w:rPr>
          <w:rFonts w:hint="eastAsia"/>
          <w:sz w:val="24"/>
        </w:rPr>
        <w:t>13:00</w:t>
      </w:r>
      <w:r>
        <w:rPr>
          <w:sz w:val="24"/>
          <w:lang w:bidi="ar"/>
        </w:rPr>
        <w:t>至</w:t>
      </w:r>
      <w:r>
        <w:rPr>
          <w:rFonts w:hint="eastAsia"/>
          <w:sz w:val="24"/>
        </w:rPr>
        <w:t>17:00</w:t>
      </w:r>
      <w:r>
        <w:rPr>
          <w:sz w:val="24"/>
          <w:lang w:bidi="ar"/>
        </w:rPr>
        <w:t>（北京时间，法定节假日除外）。</w:t>
      </w:r>
    </w:p>
    <w:p>
      <w:pPr>
        <w:adjustRightInd w:val="0"/>
        <w:snapToGrid w:val="0"/>
        <w:spacing w:line="360" w:lineRule="auto"/>
        <w:ind w:firstLine="480" w:firstLineChars="200"/>
        <w:rPr>
          <w:sz w:val="24"/>
        </w:rPr>
      </w:pPr>
      <w:r>
        <w:rPr>
          <w:sz w:val="24"/>
          <w:lang w:bidi="ar"/>
        </w:rPr>
        <w:t>2.地点：北京市政府采购电子交易平台</w:t>
      </w:r>
      <w:r>
        <w:rPr>
          <w:rFonts w:hint="eastAsia"/>
          <w:sz w:val="24"/>
          <w:lang w:bidi="ar"/>
        </w:rPr>
        <w:t>。</w:t>
      </w:r>
    </w:p>
    <w:p>
      <w:pPr>
        <w:widowControl/>
        <w:adjustRightInd w:val="0"/>
        <w:snapToGrid w:val="0"/>
        <w:spacing w:line="360" w:lineRule="auto"/>
        <w:ind w:firstLine="480" w:firstLineChars="200"/>
        <w:jc w:val="left"/>
        <w:rPr>
          <w:sz w:val="24"/>
          <w:lang w:bidi="ar"/>
        </w:rPr>
      </w:pPr>
      <w:r>
        <w:rPr>
          <w:sz w:val="24"/>
          <w:lang w:bidi="ar"/>
        </w:rPr>
        <w:t>3.方式：</w:t>
      </w:r>
      <w:r>
        <w:rPr>
          <w:rFonts w:hint="eastAsia"/>
          <w:sz w:val="24"/>
          <w:lang w:bidi="ar"/>
        </w:rPr>
        <w:t>本项目采用电子化与线下流程结合招标方式，</w:t>
      </w:r>
      <w:r>
        <w:rPr>
          <w:sz w:val="24"/>
          <w:lang w:bidi="ar"/>
        </w:rPr>
        <w:t>供应商持CA数字认证证书登录北京市政府采购电子交易平台</w:t>
      </w:r>
      <w:r>
        <w:rPr>
          <w:rFonts w:hint="eastAsia"/>
          <w:sz w:val="24"/>
          <w:lang w:bidi="ar"/>
        </w:rPr>
        <w:t>（</w:t>
      </w:r>
      <w:r>
        <w:rPr>
          <w:sz w:val="24"/>
          <w:lang w:bidi="ar"/>
        </w:rPr>
        <w:t>http://zbcg-bjzc.zhongcy.com/bjczj-portal-site/index.html#/home</w:t>
      </w:r>
      <w:r>
        <w:rPr>
          <w:rFonts w:hint="eastAsia"/>
          <w:sz w:val="24"/>
          <w:lang w:bidi="ar"/>
        </w:rPr>
        <w:t>）</w:t>
      </w:r>
      <w:r>
        <w:rPr>
          <w:sz w:val="24"/>
          <w:lang w:bidi="ar"/>
        </w:rPr>
        <w:t>获取电子版竞争性磋商文件。</w:t>
      </w:r>
    </w:p>
    <w:p>
      <w:pPr>
        <w:widowControl/>
        <w:adjustRightInd w:val="0"/>
        <w:snapToGrid w:val="0"/>
        <w:spacing w:line="360" w:lineRule="auto"/>
        <w:ind w:firstLine="480" w:firstLineChars="200"/>
        <w:jc w:val="left"/>
        <w:rPr>
          <w:sz w:val="24"/>
        </w:rPr>
      </w:pPr>
      <w:r>
        <w:rPr>
          <w:sz w:val="24"/>
          <w:lang w:bidi="ar"/>
        </w:rPr>
        <w:t>4.售价：0元。</w:t>
      </w:r>
    </w:p>
    <w:p>
      <w:pPr>
        <w:pStyle w:val="4"/>
        <w:widowControl/>
        <w:spacing w:before="0" w:line="360" w:lineRule="auto"/>
        <w:jc w:val="left"/>
        <w:rPr>
          <w:rFonts w:ascii="Times New Roman" w:hAnsi="Times New Roman" w:eastAsia="宋体"/>
          <w:sz w:val="24"/>
          <w:szCs w:val="24"/>
        </w:rPr>
      </w:pPr>
      <w:bookmarkStart w:id="14" w:name="_Toc35393793"/>
      <w:bookmarkStart w:id="15" w:name="_Toc28359005"/>
      <w:bookmarkStart w:id="16" w:name="_Toc28359082"/>
      <w:bookmarkStart w:id="17" w:name="_Toc35393624"/>
      <w:r>
        <w:rPr>
          <w:rFonts w:ascii="Times New Roman" w:hAnsi="Times New Roman" w:eastAsia="宋体"/>
          <w:sz w:val="24"/>
          <w:szCs w:val="24"/>
        </w:rPr>
        <w:t>四、</w:t>
      </w:r>
      <w:bookmarkEnd w:id="14"/>
      <w:bookmarkEnd w:id="15"/>
      <w:bookmarkEnd w:id="16"/>
      <w:bookmarkEnd w:id="17"/>
      <w:r>
        <w:rPr>
          <w:rFonts w:ascii="Times New Roman" w:hAnsi="Times New Roman" w:eastAsia="宋体"/>
          <w:sz w:val="24"/>
          <w:szCs w:val="24"/>
        </w:rPr>
        <w:t>响应文件提交</w:t>
      </w:r>
    </w:p>
    <w:p>
      <w:pPr>
        <w:spacing w:line="360" w:lineRule="auto"/>
        <w:ind w:firstLine="480" w:firstLineChars="200"/>
        <w:rPr>
          <w:bCs/>
          <w:sz w:val="24"/>
          <w:u w:val="single"/>
        </w:rPr>
      </w:pPr>
      <w:r>
        <w:rPr>
          <w:sz w:val="24"/>
          <w:lang w:bidi="ar"/>
        </w:rPr>
        <w:t>截止时间：</w:t>
      </w:r>
      <w:r>
        <w:rPr>
          <w:rFonts w:hint="eastAsia"/>
          <w:sz w:val="24"/>
        </w:rPr>
        <w:fldChar w:fldCharType="begin"/>
      </w:r>
      <w:r>
        <w:rPr>
          <w:rFonts w:hint="eastAsia"/>
          <w:sz w:val="24"/>
        </w:rPr>
        <w:instrText xml:space="preserve"> MERGEFIELD "2019年6月11日上午09时00分" </w:instrText>
      </w:r>
      <w:r>
        <w:rPr>
          <w:rFonts w:hint="eastAsia"/>
          <w:sz w:val="24"/>
        </w:rPr>
        <w:fldChar w:fldCharType="separate"/>
      </w:r>
      <w:r>
        <w:rPr>
          <w:rFonts w:hint="eastAsia"/>
          <w:sz w:val="24"/>
        </w:rPr>
        <w:t>2024年08月05日9时30分</w:t>
      </w:r>
      <w:r>
        <w:rPr>
          <w:rFonts w:hint="eastAsia"/>
          <w:sz w:val="24"/>
        </w:rPr>
        <w:fldChar w:fldCharType="end"/>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rFonts w:hint="eastAsia"/>
          <w:sz w:val="24"/>
        </w:rPr>
        <w:fldChar w:fldCharType="begin"/>
      </w:r>
      <w:r>
        <w:rPr>
          <w:rFonts w:hint="eastAsia"/>
          <w:sz w:val="24"/>
        </w:rPr>
        <w:instrText xml:space="preserve"> MERGEFIELD "北京市大兴区经济开发区盛坊路三利产业园区10号楼西门" </w:instrText>
      </w:r>
      <w:r>
        <w:rPr>
          <w:rFonts w:hint="eastAsia"/>
          <w:sz w:val="24"/>
        </w:rPr>
        <w:fldChar w:fldCharType="separate"/>
      </w:r>
      <w:r>
        <w:rPr>
          <w:rFonts w:hint="eastAsia"/>
          <w:sz w:val="24"/>
        </w:rPr>
        <w:t>北京市大兴区黄村镇清澄名苑北区B座1611</w:t>
      </w:r>
      <w:r>
        <w:rPr>
          <w:rFonts w:hint="eastAsia"/>
          <w:sz w:val="24"/>
        </w:rPr>
        <w:fldChar w:fldCharType="end"/>
      </w:r>
      <w:r>
        <w:rPr>
          <w:sz w:val="24"/>
          <w:lang w:val="zh-TW" w:bidi="ar"/>
        </w:rPr>
        <w:t>。</w:t>
      </w:r>
    </w:p>
    <w:p>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五、开启</w:t>
      </w:r>
    </w:p>
    <w:p>
      <w:pPr>
        <w:spacing w:line="360" w:lineRule="auto"/>
        <w:ind w:firstLine="480" w:firstLineChars="200"/>
        <w:rPr>
          <w:bCs/>
          <w:sz w:val="24"/>
          <w:u w:val="single"/>
        </w:rPr>
      </w:pPr>
      <w:r>
        <w:rPr>
          <w:sz w:val="24"/>
          <w:lang w:bidi="ar"/>
        </w:rPr>
        <w:t>时间：</w:t>
      </w:r>
      <w:r>
        <w:rPr>
          <w:rFonts w:hint="eastAsia"/>
          <w:sz w:val="24"/>
        </w:rPr>
        <w:fldChar w:fldCharType="begin"/>
      </w:r>
      <w:r>
        <w:rPr>
          <w:rFonts w:hint="eastAsia"/>
          <w:sz w:val="24"/>
        </w:rPr>
        <w:instrText xml:space="preserve"> MERGEFIELD "2019年6月11日上午09时00分" </w:instrText>
      </w:r>
      <w:r>
        <w:rPr>
          <w:rFonts w:hint="eastAsia"/>
          <w:sz w:val="24"/>
        </w:rPr>
        <w:fldChar w:fldCharType="separate"/>
      </w:r>
      <w:r>
        <w:rPr>
          <w:rFonts w:hint="eastAsia"/>
          <w:sz w:val="24"/>
        </w:rPr>
        <w:t>2024年08月05日9时30分</w:t>
      </w:r>
      <w:r>
        <w:rPr>
          <w:rFonts w:hint="eastAsia"/>
          <w:sz w:val="24"/>
        </w:rPr>
        <w:fldChar w:fldCharType="end"/>
      </w:r>
      <w:r>
        <w:rPr>
          <w:bCs/>
          <w:sz w:val="24"/>
          <w:lang w:bidi="ar"/>
        </w:rPr>
        <w:t>（（北京时间）</w:t>
      </w:r>
      <w:r>
        <w:rPr>
          <w:iCs/>
          <w:sz w:val="24"/>
          <w:lang w:bidi="ar"/>
        </w:rPr>
        <w:t>。</w:t>
      </w:r>
    </w:p>
    <w:p>
      <w:pPr>
        <w:spacing w:line="360" w:lineRule="auto"/>
        <w:ind w:firstLine="480" w:firstLineChars="200"/>
        <w:rPr>
          <w:sz w:val="24"/>
          <w:lang w:val="zh-TW" w:bidi="ar"/>
        </w:rPr>
      </w:pPr>
      <w:r>
        <w:rPr>
          <w:sz w:val="24"/>
          <w:lang w:bidi="ar"/>
        </w:rPr>
        <w:t>地点：</w:t>
      </w:r>
      <w:r>
        <w:rPr>
          <w:rFonts w:hint="eastAsia"/>
          <w:sz w:val="24"/>
        </w:rPr>
        <w:fldChar w:fldCharType="begin"/>
      </w:r>
      <w:r>
        <w:rPr>
          <w:rFonts w:hint="eastAsia"/>
          <w:sz w:val="24"/>
        </w:rPr>
        <w:instrText xml:space="preserve"> MERGEFIELD "北京市大兴区经济开发区盛坊路三利产业园区10号楼西门" </w:instrText>
      </w:r>
      <w:r>
        <w:rPr>
          <w:rFonts w:hint="eastAsia"/>
          <w:sz w:val="24"/>
        </w:rPr>
        <w:fldChar w:fldCharType="separate"/>
      </w:r>
      <w:r>
        <w:rPr>
          <w:rFonts w:hint="eastAsia"/>
          <w:sz w:val="24"/>
        </w:rPr>
        <w:t>北京市大兴区黄村镇清澄名苑北区B座1611</w:t>
      </w:r>
      <w:r>
        <w:rPr>
          <w:rFonts w:hint="eastAsia"/>
          <w:sz w:val="24"/>
        </w:rPr>
        <w:fldChar w:fldCharType="end"/>
      </w:r>
      <w:r>
        <w:rPr>
          <w:sz w:val="24"/>
          <w:lang w:val="zh-TW" w:bidi="ar"/>
        </w:rPr>
        <w:t>。</w:t>
      </w:r>
    </w:p>
    <w:p>
      <w:pPr>
        <w:pStyle w:val="4"/>
        <w:spacing w:before="0" w:line="360" w:lineRule="auto"/>
        <w:jc w:val="left"/>
        <w:rPr>
          <w:rFonts w:ascii="Times New Roman" w:hAnsi="Times New Roman" w:eastAsia="宋体"/>
          <w:sz w:val="24"/>
          <w:szCs w:val="24"/>
        </w:rPr>
      </w:pPr>
      <w:bookmarkStart w:id="18" w:name="_Toc28359007"/>
      <w:bookmarkStart w:id="19" w:name="_Toc28359084"/>
      <w:bookmarkStart w:id="20" w:name="_Toc35393794"/>
      <w:bookmarkStart w:id="21" w:name="_Toc35393625"/>
      <w:r>
        <w:rPr>
          <w:rFonts w:ascii="Times New Roman" w:hAnsi="Times New Roman" w:eastAsia="宋体"/>
          <w:sz w:val="24"/>
          <w:szCs w:val="24"/>
        </w:rPr>
        <w:t>六、公告期限</w:t>
      </w:r>
      <w:bookmarkEnd w:id="18"/>
      <w:bookmarkEnd w:id="19"/>
      <w:bookmarkEnd w:id="20"/>
      <w:bookmarkEnd w:id="21"/>
    </w:p>
    <w:p>
      <w:pPr>
        <w:spacing w:line="360" w:lineRule="auto"/>
        <w:ind w:firstLine="480" w:firstLineChars="200"/>
        <w:rPr>
          <w:kern w:val="0"/>
          <w:sz w:val="24"/>
        </w:rPr>
      </w:pPr>
      <w:r>
        <w:rPr>
          <w:kern w:val="0"/>
          <w:sz w:val="24"/>
        </w:rPr>
        <w:t>自本公告发布之日起3个工作日。</w:t>
      </w:r>
    </w:p>
    <w:p>
      <w:pPr>
        <w:pStyle w:val="4"/>
        <w:spacing w:before="0" w:line="360" w:lineRule="auto"/>
        <w:jc w:val="left"/>
        <w:rPr>
          <w:rFonts w:ascii="Times New Roman" w:hAnsi="Times New Roman" w:eastAsia="宋体"/>
          <w:sz w:val="24"/>
          <w:szCs w:val="24"/>
        </w:rPr>
      </w:pPr>
      <w:bookmarkStart w:id="22" w:name="_Toc35393626"/>
      <w:bookmarkStart w:id="23" w:name="_Toc35393795"/>
      <w:r>
        <w:rPr>
          <w:rFonts w:ascii="Times New Roman" w:hAnsi="Times New Roman" w:eastAsia="宋体"/>
          <w:sz w:val="24"/>
          <w:szCs w:val="24"/>
        </w:rPr>
        <w:t>七、其他补充事宜</w:t>
      </w:r>
      <w:bookmarkEnd w:id="22"/>
      <w:bookmarkEnd w:id="23"/>
    </w:p>
    <w:p>
      <w:pPr>
        <w:spacing w:line="360" w:lineRule="auto"/>
        <w:ind w:firstLine="480" w:firstLineChars="200"/>
        <w:rPr>
          <w:sz w:val="24"/>
          <w:lang w:bidi="ar"/>
        </w:rPr>
      </w:pPr>
      <w:r>
        <w:rPr>
          <w:sz w:val="24"/>
        </w:rPr>
        <w:t>1.本项目需要落实的政府采购政策：</w:t>
      </w:r>
      <w:r>
        <w:rPr>
          <w:rFonts w:hint="eastAsia"/>
          <w:sz w:val="24"/>
          <w:u w:val="single"/>
          <w:lang w:bidi="ar"/>
        </w:rPr>
        <w:t>北京市政府采购相关政策；中小企业相关政策</w:t>
      </w:r>
      <w:r>
        <w:rPr>
          <w:rFonts w:hint="eastAsia"/>
          <w:sz w:val="24"/>
          <w:lang w:bidi="ar"/>
        </w:rPr>
        <w:t>。</w:t>
      </w:r>
    </w:p>
    <w:p>
      <w:pPr>
        <w:spacing w:line="360" w:lineRule="auto"/>
        <w:ind w:firstLine="480" w:firstLineChars="200"/>
        <w:rPr>
          <w:sz w:val="24"/>
          <w:lang w:bidi="ar"/>
        </w:rPr>
      </w:pPr>
      <w:r>
        <w:rPr>
          <w:rFonts w:hint="eastAsia"/>
          <w:sz w:val="24"/>
          <w:lang w:bidi="ar"/>
        </w:rPr>
        <w:t>2.发布公告的媒介：北京市政府采购网、中国政府采购网。</w:t>
      </w:r>
    </w:p>
    <w:p>
      <w:pPr>
        <w:spacing w:line="360" w:lineRule="auto"/>
        <w:ind w:firstLine="480" w:firstLineChars="200"/>
        <w:rPr>
          <w:sz w:val="24"/>
          <w:lang w:bidi="ar"/>
        </w:rPr>
      </w:pPr>
      <w:r>
        <w:rPr>
          <w:rFonts w:hint="eastAsia"/>
          <w:sz w:val="24"/>
          <w:lang w:bidi="ar"/>
        </w:rPr>
        <w:t>3.本项目采用电子化与线下流程结合采购方式，未按本公告规定的获取方式和期限下载竞争性磋商文件的供应商，其响应将被拒绝。</w:t>
      </w:r>
    </w:p>
    <w:p>
      <w:pPr>
        <w:pStyle w:val="4"/>
        <w:spacing w:before="0" w:line="360" w:lineRule="auto"/>
        <w:jc w:val="left"/>
        <w:rPr>
          <w:rFonts w:ascii="Times New Roman" w:hAnsi="Times New Roman" w:eastAsia="宋体"/>
          <w:sz w:val="24"/>
          <w:szCs w:val="24"/>
        </w:rPr>
      </w:pPr>
      <w:r>
        <w:rPr>
          <w:rFonts w:ascii="Times New Roman" w:hAnsi="Times New Roman" w:eastAsia="宋体"/>
          <w:sz w:val="24"/>
          <w:szCs w:val="24"/>
        </w:rPr>
        <w:t>八、对本项目提出询问，请按以下方式联系。</w:t>
      </w:r>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sz w:val="24"/>
        </w:rPr>
      </w:pPr>
      <w:bookmarkStart w:id="24" w:name="_Toc28359086"/>
      <w:bookmarkStart w:id="25" w:name="_Toc28359009"/>
      <w:r>
        <w:rPr>
          <w:sz w:val="24"/>
        </w:rPr>
        <w:t>名    称：</w:t>
      </w:r>
      <w:r>
        <w:rPr>
          <w:rFonts w:hint="eastAsia"/>
          <w:sz w:val="24"/>
          <w:u w:val="single"/>
        </w:rPr>
        <w:fldChar w:fldCharType="begin"/>
      </w:r>
      <w:r>
        <w:rPr>
          <w:rFonts w:hint="eastAsia"/>
          <w:sz w:val="24"/>
          <w:u w:val="single"/>
        </w:rPr>
        <w:instrText xml:space="preserve"> MERGEFIELD "北京市残疾人联合会信息中心" </w:instrText>
      </w:r>
      <w:r>
        <w:rPr>
          <w:rFonts w:hint="eastAsia"/>
          <w:sz w:val="24"/>
          <w:u w:val="single"/>
        </w:rPr>
        <w:fldChar w:fldCharType="separate"/>
      </w:r>
      <w:r>
        <w:rPr>
          <w:rFonts w:hint="eastAsia"/>
          <w:sz w:val="24"/>
          <w:u w:val="single"/>
        </w:rPr>
        <w:t>北京市大兴区文化活动服务中心</w:t>
      </w:r>
      <w:r>
        <w:rPr>
          <w:rFonts w:hint="eastAsia"/>
          <w:sz w:val="24"/>
          <w:u w:val="single"/>
        </w:rPr>
        <w:fldChar w:fldCharType="end"/>
      </w:r>
    </w:p>
    <w:p>
      <w:pPr>
        <w:spacing w:line="360" w:lineRule="auto"/>
        <w:ind w:left="1079" w:leftChars="371" w:hanging="300" w:hangingChars="125"/>
        <w:jc w:val="left"/>
        <w:rPr>
          <w:sz w:val="24"/>
        </w:rPr>
      </w:pPr>
      <w:r>
        <w:rPr>
          <w:sz w:val="24"/>
        </w:rPr>
        <w:t>地    址：</w:t>
      </w:r>
      <w:r>
        <w:rPr>
          <w:rFonts w:hint="eastAsia"/>
          <w:sz w:val="24"/>
          <w:u w:val="single"/>
        </w:rPr>
        <w:fldChar w:fldCharType="begin"/>
      </w:r>
      <w:r>
        <w:rPr>
          <w:rFonts w:hint="eastAsia"/>
          <w:sz w:val="24"/>
          <w:u w:val="single"/>
        </w:rPr>
        <w:instrText xml:space="preserve"> MERGEFIELD "北京市东城区西革新里112号院1号楼" </w:instrText>
      </w:r>
      <w:r>
        <w:rPr>
          <w:rFonts w:hint="eastAsia"/>
          <w:sz w:val="24"/>
          <w:u w:val="single"/>
        </w:rPr>
        <w:fldChar w:fldCharType="separate"/>
      </w:r>
      <w:r>
        <w:rPr>
          <w:rFonts w:hint="eastAsia"/>
          <w:sz w:val="24"/>
          <w:u w:val="single"/>
        </w:rPr>
        <w:t>北京市大兴区黄村西大街15号</w:t>
      </w:r>
      <w:r>
        <w:rPr>
          <w:rFonts w:hint="eastAsia"/>
          <w:sz w:val="24"/>
          <w:u w:val="single"/>
        </w:rPr>
        <w:fldChar w:fldCharType="end"/>
      </w:r>
    </w:p>
    <w:p>
      <w:pPr>
        <w:spacing w:line="360" w:lineRule="auto"/>
        <w:ind w:left="1079" w:leftChars="371" w:hanging="300" w:hangingChars="125"/>
        <w:jc w:val="left"/>
        <w:rPr>
          <w:sz w:val="24"/>
          <w:u w:val="single"/>
        </w:rPr>
      </w:pPr>
      <w:r>
        <w:rPr>
          <w:sz w:val="24"/>
        </w:rPr>
        <w:t>联系方式：</w:t>
      </w:r>
      <w:r>
        <w:rPr>
          <w:rFonts w:hint="eastAsia"/>
          <w:sz w:val="24"/>
          <w:u w:val="single"/>
        </w:rPr>
        <w:fldChar w:fldCharType="begin"/>
      </w:r>
      <w:r>
        <w:rPr>
          <w:rFonts w:hint="eastAsia"/>
          <w:sz w:val="24"/>
          <w:u w:val="single"/>
        </w:rPr>
        <w:instrText xml:space="preserve"> MERGEFIELD "王剑" </w:instrText>
      </w:r>
      <w:r>
        <w:rPr>
          <w:rFonts w:hint="eastAsia"/>
          <w:sz w:val="24"/>
          <w:u w:val="single"/>
        </w:rPr>
        <w:fldChar w:fldCharType="separate"/>
      </w:r>
      <w:r>
        <w:rPr>
          <w:rFonts w:hint="eastAsia"/>
          <w:sz w:val="24"/>
          <w:u w:val="single"/>
        </w:rPr>
        <w:t>郝建</w:t>
      </w:r>
      <w:r>
        <w:rPr>
          <w:rFonts w:hint="eastAsia"/>
          <w:sz w:val="24"/>
          <w:u w:val="single"/>
        </w:rPr>
        <w:fldChar w:fldCharType="end"/>
      </w:r>
      <w:r>
        <w:rPr>
          <w:rFonts w:hint="eastAsia"/>
          <w:sz w:val="24"/>
          <w:u w:val="single"/>
        </w:rPr>
        <w:fldChar w:fldCharType="begin"/>
      </w:r>
      <w:r>
        <w:rPr>
          <w:rFonts w:hint="eastAsia"/>
          <w:sz w:val="24"/>
          <w:u w:val="single"/>
        </w:rPr>
        <w:instrText xml:space="preserve"> MERGEFIELD "010-87892596" </w:instrText>
      </w:r>
      <w:r>
        <w:rPr>
          <w:rFonts w:hint="eastAsia"/>
          <w:sz w:val="24"/>
          <w:u w:val="single"/>
        </w:rPr>
        <w:fldChar w:fldCharType="separate"/>
      </w:r>
      <w:r>
        <w:rPr>
          <w:rFonts w:hint="eastAsia"/>
          <w:sz w:val="24"/>
          <w:u w:val="single"/>
        </w:rPr>
        <w:t>010-69242095</w:t>
      </w:r>
      <w:r>
        <w:rPr>
          <w:rFonts w:hint="eastAsia"/>
          <w:sz w:val="24"/>
          <w:u w:val="single"/>
        </w:rPr>
        <w:fldChar w:fldCharType="end"/>
      </w:r>
    </w:p>
    <w:p>
      <w:pPr>
        <w:spacing w:line="360" w:lineRule="auto"/>
        <w:ind w:left="1078" w:leftChars="371" w:hanging="299" w:hangingChars="124"/>
        <w:jc w:val="left"/>
        <w:rPr>
          <w:b/>
          <w:sz w:val="24"/>
        </w:rPr>
      </w:pPr>
      <w:r>
        <w:rPr>
          <w:b/>
          <w:sz w:val="24"/>
        </w:rPr>
        <w:t>2.采购代理机构信息</w:t>
      </w:r>
      <w:bookmarkEnd w:id="24"/>
      <w:bookmarkEnd w:id="25"/>
    </w:p>
    <w:p>
      <w:pPr>
        <w:spacing w:line="360" w:lineRule="auto"/>
        <w:ind w:left="1076" w:leftChars="371" w:hanging="297" w:hangingChars="124"/>
        <w:jc w:val="left"/>
        <w:rPr>
          <w:sz w:val="24"/>
        </w:rPr>
      </w:pPr>
      <w:bookmarkStart w:id="26" w:name="_Toc28359010"/>
      <w:bookmarkStart w:id="27" w:name="_Toc28359087"/>
      <w:r>
        <w:rPr>
          <w:sz w:val="24"/>
        </w:rPr>
        <w:t>名    称：</w:t>
      </w:r>
      <w:r>
        <w:rPr>
          <w:rFonts w:hint="eastAsia"/>
          <w:sz w:val="24"/>
          <w:u w:val="single"/>
        </w:rPr>
        <w:fldChar w:fldCharType="begin"/>
      </w:r>
      <w:r>
        <w:rPr>
          <w:rFonts w:hint="eastAsia"/>
          <w:sz w:val="24"/>
          <w:u w:val="single"/>
        </w:rPr>
        <w:instrText xml:space="preserve"> MERGEFIELD "北京中建华兴集团有限公司" </w:instrText>
      </w:r>
      <w:r>
        <w:rPr>
          <w:rFonts w:hint="eastAsia"/>
          <w:sz w:val="24"/>
          <w:u w:val="single"/>
        </w:rPr>
        <w:fldChar w:fldCharType="separate"/>
      </w:r>
      <w:r>
        <w:rPr>
          <w:rFonts w:hint="eastAsia"/>
          <w:sz w:val="24"/>
          <w:u w:val="single"/>
        </w:rPr>
        <w:t>北京乙平工程管理有限公司</w:t>
      </w:r>
      <w:r>
        <w:rPr>
          <w:rFonts w:hint="eastAsia"/>
          <w:sz w:val="24"/>
          <w:u w:val="single"/>
        </w:rPr>
        <w:fldChar w:fldCharType="end"/>
      </w:r>
    </w:p>
    <w:p>
      <w:pPr>
        <w:spacing w:line="360" w:lineRule="auto"/>
        <w:ind w:left="1076" w:leftChars="371" w:hanging="297" w:hangingChars="124"/>
        <w:jc w:val="left"/>
        <w:rPr>
          <w:sz w:val="24"/>
        </w:rPr>
      </w:pPr>
      <w:r>
        <w:rPr>
          <w:sz w:val="24"/>
        </w:rPr>
        <w:t>地    址：</w:t>
      </w:r>
      <w:r>
        <w:rPr>
          <w:rFonts w:hint="eastAsia"/>
          <w:sz w:val="24"/>
        </w:rPr>
        <w:fldChar w:fldCharType="begin"/>
      </w:r>
      <w:r>
        <w:rPr>
          <w:rFonts w:hint="eastAsia"/>
          <w:sz w:val="24"/>
        </w:rPr>
        <w:instrText xml:space="preserve"> MERGEFIELD "北京市大兴区经济开发区盛坊路三利产业园区10号楼西门" </w:instrText>
      </w:r>
      <w:r>
        <w:rPr>
          <w:rFonts w:hint="eastAsia"/>
          <w:sz w:val="24"/>
        </w:rPr>
        <w:fldChar w:fldCharType="separate"/>
      </w:r>
      <w:r>
        <w:rPr>
          <w:rFonts w:hint="eastAsia"/>
          <w:sz w:val="24"/>
        </w:rPr>
        <w:t>北京市大兴区黄村镇清澄名苑北区B座1611</w:t>
      </w:r>
      <w:r>
        <w:rPr>
          <w:rFonts w:hint="eastAsia"/>
          <w:sz w:val="24"/>
        </w:rPr>
        <w:fldChar w:fldCharType="end"/>
      </w:r>
    </w:p>
    <w:p>
      <w:pPr>
        <w:spacing w:line="360" w:lineRule="auto"/>
        <w:ind w:left="1076" w:leftChars="371" w:hanging="297" w:hangingChars="124"/>
        <w:rPr>
          <w:rFonts w:hint="eastAsia"/>
          <w:sz w:val="24"/>
          <w:u w:val="single"/>
        </w:rPr>
      </w:pPr>
      <w:r>
        <w:rPr>
          <w:sz w:val="24"/>
        </w:rPr>
        <w:t>联系方式：</w:t>
      </w:r>
      <w:r>
        <w:rPr>
          <w:rFonts w:hint="eastAsia"/>
          <w:sz w:val="24"/>
          <w:u w:val="single"/>
        </w:rPr>
        <w:fldChar w:fldCharType="begin"/>
      </w:r>
      <w:r>
        <w:rPr>
          <w:rFonts w:hint="eastAsia"/>
          <w:sz w:val="24"/>
          <w:u w:val="single"/>
        </w:rPr>
        <w:instrText xml:space="preserve"> MERGEFIELD "薛蕾" </w:instrText>
      </w:r>
      <w:r>
        <w:rPr>
          <w:rFonts w:hint="eastAsia"/>
          <w:sz w:val="24"/>
          <w:u w:val="single"/>
        </w:rPr>
        <w:fldChar w:fldCharType="separate"/>
      </w:r>
      <w:r>
        <w:rPr>
          <w:rFonts w:hint="eastAsia"/>
          <w:sz w:val="24"/>
          <w:u w:val="single"/>
        </w:rPr>
        <w:t>张兵</w:t>
      </w:r>
      <w:r>
        <w:rPr>
          <w:rFonts w:hint="eastAsia"/>
          <w:sz w:val="24"/>
          <w:u w:val="single"/>
        </w:rPr>
        <w:fldChar w:fldCharType="end"/>
      </w:r>
      <w:r>
        <w:rPr>
          <w:rFonts w:hint="eastAsia"/>
          <w:sz w:val="24"/>
          <w:u w:val="single"/>
        </w:rPr>
        <w:fldChar w:fldCharType="begin"/>
      </w:r>
      <w:r>
        <w:rPr>
          <w:rFonts w:hint="eastAsia"/>
          <w:sz w:val="24"/>
          <w:u w:val="single"/>
        </w:rPr>
        <w:instrText xml:space="preserve"> MERGEFIELD "18610869561" </w:instrText>
      </w:r>
      <w:r>
        <w:rPr>
          <w:rFonts w:hint="eastAsia"/>
          <w:sz w:val="24"/>
          <w:u w:val="single"/>
        </w:rPr>
        <w:fldChar w:fldCharType="separate"/>
      </w:r>
      <w:r>
        <w:rPr>
          <w:rFonts w:hint="eastAsia"/>
          <w:sz w:val="24"/>
          <w:u w:val="single"/>
        </w:rPr>
        <w:t>010-89940568</w:t>
      </w:r>
      <w:r>
        <w:rPr>
          <w:rFonts w:hint="eastAsia"/>
          <w:sz w:val="24"/>
          <w:u w:val="single"/>
        </w:rPr>
        <w:fldChar w:fldCharType="end"/>
      </w:r>
    </w:p>
    <w:p>
      <w:pPr>
        <w:spacing w:line="360" w:lineRule="auto"/>
        <w:ind w:left="1078" w:leftChars="371" w:hanging="299" w:hangingChars="124"/>
        <w:rPr>
          <w:b/>
          <w:sz w:val="24"/>
          <w:u w:val="single"/>
        </w:rPr>
      </w:pPr>
      <w:r>
        <w:rPr>
          <w:b/>
          <w:sz w:val="24"/>
        </w:rPr>
        <w:t>3.项目联系方式</w:t>
      </w:r>
      <w:bookmarkEnd w:id="26"/>
      <w:bookmarkEnd w:id="27"/>
    </w:p>
    <w:p>
      <w:pPr>
        <w:pStyle w:val="23"/>
        <w:spacing w:line="360" w:lineRule="auto"/>
        <w:ind w:left="1076" w:leftChars="371" w:hanging="297" w:hangingChars="124"/>
        <w:rPr>
          <w:rFonts w:hint="default" w:ascii="Times New Roman" w:hAnsi="Times New Roman"/>
          <w:sz w:val="24"/>
          <w:u w:val="single"/>
          <w:lang w:bidi="ar"/>
        </w:rPr>
      </w:pPr>
      <w:r>
        <w:rPr>
          <w:rFonts w:hint="default" w:ascii="Times New Roman" w:hAnsi="Times New Roman"/>
          <w:sz w:val="24"/>
          <w:szCs w:val="24"/>
        </w:rPr>
        <w:t>项目联系人：</w:t>
      </w:r>
      <w:r>
        <w:rPr>
          <w:rFonts w:ascii="Times New Roman" w:hAnsi="Times New Roman"/>
          <w:sz w:val="24"/>
          <w:u w:val="single"/>
        </w:rPr>
        <w:fldChar w:fldCharType="begin"/>
      </w:r>
      <w:r>
        <w:rPr>
          <w:rFonts w:ascii="Times New Roman" w:hAnsi="Times New Roman"/>
          <w:sz w:val="24"/>
          <w:u w:val="single"/>
        </w:rPr>
        <w:instrText xml:space="preserve"> MERGEFIELD "薛蕾" </w:instrText>
      </w:r>
      <w:r>
        <w:rPr>
          <w:rFonts w:ascii="Times New Roman" w:hAnsi="Times New Roman"/>
          <w:sz w:val="24"/>
          <w:u w:val="single"/>
        </w:rPr>
        <w:fldChar w:fldCharType="separate"/>
      </w:r>
      <w:r>
        <w:rPr>
          <w:rFonts w:ascii="Times New Roman" w:hAnsi="Times New Roman"/>
          <w:sz w:val="24"/>
          <w:u w:val="single"/>
        </w:rPr>
        <w:t>张兵</w:t>
      </w:r>
      <w:r>
        <w:rPr>
          <w:rFonts w:ascii="Times New Roman" w:hAnsi="Times New Roman"/>
          <w:sz w:val="24"/>
          <w:u w:val="single"/>
        </w:rPr>
        <w:fldChar w:fldCharType="end"/>
      </w:r>
    </w:p>
    <w:p>
      <w:pPr>
        <w:pStyle w:val="23"/>
        <w:spacing w:line="360" w:lineRule="auto"/>
        <w:ind w:left="1076" w:leftChars="371" w:hanging="297" w:hangingChars="124"/>
        <w:rPr>
          <w:rFonts w:hint="default" w:ascii="Times New Roman" w:hAnsi="Times New Roman"/>
          <w:sz w:val="24"/>
          <w:szCs w:val="24"/>
        </w:rPr>
      </w:pPr>
      <w:r>
        <w:rPr>
          <w:rFonts w:hint="default" w:ascii="Times New Roman" w:hAnsi="Times New Roman"/>
          <w:sz w:val="24"/>
        </w:rPr>
        <w:t>电      话：</w:t>
      </w:r>
      <w:r>
        <w:rPr>
          <w:rFonts w:ascii="Times New Roman" w:hAnsi="Times New Roman"/>
          <w:sz w:val="24"/>
          <w:u w:val="single"/>
        </w:rPr>
        <w:fldChar w:fldCharType="begin"/>
      </w:r>
      <w:r>
        <w:rPr>
          <w:rFonts w:ascii="Times New Roman" w:hAnsi="Times New Roman"/>
          <w:sz w:val="24"/>
          <w:u w:val="single"/>
        </w:rPr>
        <w:instrText xml:space="preserve"> MERGEFIELD "18610869561" </w:instrText>
      </w:r>
      <w:r>
        <w:rPr>
          <w:rFonts w:ascii="Times New Roman" w:hAnsi="Times New Roman"/>
          <w:sz w:val="24"/>
          <w:u w:val="single"/>
        </w:rPr>
        <w:fldChar w:fldCharType="separate"/>
      </w:r>
      <w:r>
        <w:rPr>
          <w:rFonts w:ascii="Times New Roman" w:hAnsi="Times New Roman"/>
          <w:sz w:val="24"/>
          <w:u w:val="single"/>
        </w:rPr>
        <w:t>010-89940568</w:t>
      </w:r>
      <w:r>
        <w:rPr>
          <w:rFonts w:ascii="Times New Roman" w:hAnsi="Times New Roman"/>
          <w:sz w:val="24"/>
          <w:u w:val="single"/>
        </w:rPr>
        <w:fldChar w:fldCharType="end"/>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28" w:name="_Toc305158928"/>
      <w:bookmarkStart w:id="29" w:name="_Toc353873938"/>
      <w:bookmarkStart w:id="30" w:name="_Toc127161488"/>
      <w:bookmarkStart w:id="31" w:name="_Toc97371942"/>
      <w:bookmarkStart w:id="32" w:name="_Toc150774783"/>
      <w:bookmarkStart w:id="33" w:name="_Toc195842950"/>
      <w:bookmarkStart w:id="34" w:name="_Toc265228423"/>
      <w:bookmarkStart w:id="35" w:name="_Toc127151777"/>
      <w:bookmarkStart w:id="36" w:name="_Toc353825548"/>
      <w:bookmarkStart w:id="37" w:name="_Toc305158854"/>
      <w:bookmarkStart w:id="38" w:name="_Toc512937850"/>
      <w:bookmarkStart w:id="39" w:name="_Toc264969275"/>
      <w:bookmarkStart w:id="40" w:name="_Toc226965856"/>
      <w:r>
        <w:rPr>
          <w:b/>
          <w:sz w:val="36"/>
          <w:szCs w:val="36"/>
        </w:rPr>
        <w:t>第二章   供应商须知</w:t>
      </w:r>
      <w:bookmarkEnd w:id="28"/>
      <w:bookmarkEnd w:id="29"/>
      <w:bookmarkEnd w:id="30"/>
      <w:bookmarkEnd w:id="31"/>
      <w:bookmarkEnd w:id="32"/>
      <w:bookmarkEnd w:id="33"/>
      <w:bookmarkEnd w:id="34"/>
      <w:bookmarkEnd w:id="35"/>
      <w:bookmarkEnd w:id="36"/>
      <w:bookmarkEnd w:id="37"/>
      <w:bookmarkEnd w:id="38"/>
      <w:bookmarkEnd w:id="39"/>
      <w:bookmarkEnd w:id="40"/>
    </w:p>
    <w:p>
      <w:pPr>
        <w:pStyle w:val="4"/>
        <w:tabs>
          <w:tab w:val="center" w:pos="4592"/>
          <w:tab w:val="left" w:pos="7860"/>
        </w:tabs>
        <w:spacing w:before="0" w:line="360" w:lineRule="auto"/>
        <w:rPr>
          <w:rFonts w:ascii="Times New Roman" w:hAnsi="Times New Roman" w:eastAsia="宋体"/>
          <w:b w:val="0"/>
          <w:sz w:val="28"/>
        </w:rPr>
      </w:pPr>
      <w:bookmarkStart w:id="41" w:name="_Toc151193617"/>
      <w:bookmarkStart w:id="42" w:name="_Toc149720812"/>
      <w:bookmarkStart w:id="43" w:name="_Toc226309763"/>
      <w:bookmarkStart w:id="44" w:name="_Toc164608633"/>
      <w:bookmarkStart w:id="45" w:name="_Toc127151720"/>
      <w:bookmarkStart w:id="46" w:name="_Toc150509270"/>
      <w:bookmarkStart w:id="47" w:name="_Toc151193689"/>
      <w:bookmarkStart w:id="48" w:name="_Toc226337215"/>
      <w:bookmarkStart w:id="49" w:name="_Toc226965709"/>
      <w:bookmarkStart w:id="50" w:name="_Toc195842884"/>
      <w:bookmarkStart w:id="51" w:name="_Toc150774619"/>
      <w:bookmarkStart w:id="52" w:name="_Toc150774724"/>
      <w:bookmarkStart w:id="53" w:name="_Toc151193907"/>
      <w:bookmarkStart w:id="54" w:name="_Toc520356144"/>
      <w:bookmarkStart w:id="55" w:name="_Toc164229214"/>
      <w:bookmarkStart w:id="56" w:name="_Toc164608788"/>
      <w:bookmarkStart w:id="57" w:name="_Toc226965792"/>
      <w:bookmarkStart w:id="58" w:name="_Toc150480757"/>
      <w:bookmarkStart w:id="59" w:name="_Toc151190146"/>
      <w:bookmarkStart w:id="60" w:name="_Toc164229360"/>
      <w:bookmarkStart w:id="61" w:name="_Toc151193833"/>
      <w:bookmarkStart w:id="62" w:name="_Toc142311021"/>
      <w:bookmarkStart w:id="63" w:name="_Toc127151519"/>
      <w:bookmarkStart w:id="64" w:name="_Toc164351613"/>
      <w:bookmarkStart w:id="65" w:name="_Toc151193761"/>
      <w:bookmarkStart w:id="66" w:name="_Toc127161433"/>
      <w:r>
        <w:rPr>
          <w:rFonts w:ascii="Times New Roman" w:hAnsi="Times New Roman" w:eastAsia="宋体"/>
          <w:sz w:val="28"/>
        </w:rPr>
        <w:t>供应商须知资料表</w:t>
      </w:r>
    </w:p>
    <w:p>
      <w:pPr>
        <w:jc w:val="center"/>
        <w:rPr>
          <w:b/>
          <w:sz w:val="28"/>
          <w:szCs w:val="28"/>
        </w:rPr>
      </w:pPr>
    </w:p>
    <w:p>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w:t>
      </w:r>
      <w:r>
        <w:t>□</w:t>
      </w:r>
      <w:r>
        <w:rPr>
          <w:sz w:val="24"/>
        </w:rPr>
        <w:t>”的选项意为不适用于本项目。</w:t>
      </w:r>
    </w:p>
    <w:tbl>
      <w:tblPr>
        <w:tblStyle w:val="42"/>
        <w:tblW w:w="93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6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6677"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6677" w:type="dxa"/>
            <w:vAlign w:val="center"/>
          </w:tcPr>
          <w:p>
            <w:pPr>
              <w:jc w:val="left"/>
              <w:rPr>
                <w:sz w:val="24"/>
              </w:rPr>
            </w:pPr>
            <w:r>
              <w:rPr>
                <w:sz w:val="24"/>
              </w:rPr>
              <w:t>项目属性：</w:t>
            </w:r>
          </w:p>
          <w:p>
            <w:pPr>
              <w:jc w:val="left"/>
              <w:rPr>
                <w:sz w:val="24"/>
                <w:szCs w:val="24"/>
              </w:rPr>
            </w:pPr>
            <w:r>
              <w:rPr>
                <w:rFonts w:hint="eastAsia"/>
                <w:sz w:val="24"/>
                <w:szCs w:val="24"/>
                <w:lang w:eastAsia="zh-CN"/>
              </w:rPr>
              <w:t>□</w:t>
            </w:r>
            <w:r>
              <w:rPr>
                <w:sz w:val="24"/>
                <w:szCs w:val="24"/>
              </w:rPr>
              <w:t>服务</w:t>
            </w:r>
          </w:p>
          <w:p>
            <w:pPr>
              <w:jc w:val="left"/>
              <w:rPr>
                <w:sz w:val="24"/>
                <w:szCs w:val="24"/>
              </w:rPr>
            </w:pPr>
            <w:r>
              <w:rPr>
                <w:rFonts w:hint="eastAsia"/>
                <w:sz w:val="24"/>
                <w:szCs w:val="24"/>
                <w:lang w:eastAsia="zh-CN"/>
              </w:rPr>
              <w:t>□</w:t>
            </w:r>
            <w:r>
              <w:rPr>
                <w:sz w:val="24"/>
                <w:szCs w:val="24"/>
              </w:rPr>
              <w:t>货物</w:t>
            </w:r>
          </w:p>
          <w:p>
            <w:pPr>
              <w:jc w:val="left"/>
              <w:rPr>
                <w:sz w:val="24"/>
                <w:u w:val="single"/>
              </w:rPr>
            </w:pPr>
            <w:r>
              <w:rPr>
                <w:rFonts w:hint="eastAsia"/>
                <w:sz w:val="24"/>
                <w:szCs w:val="24"/>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6677" w:type="dxa"/>
            <w:vAlign w:val="center"/>
          </w:tcPr>
          <w:p>
            <w:pPr>
              <w:jc w:val="left"/>
              <w:rPr>
                <w:sz w:val="24"/>
              </w:rPr>
            </w:pPr>
            <w:r>
              <w:rPr>
                <w:sz w:val="24"/>
              </w:rPr>
              <w:t>是否属于科研仪器设备采购项目：</w:t>
            </w:r>
          </w:p>
          <w:p>
            <w:pPr>
              <w:jc w:val="left"/>
              <w:rPr>
                <w:sz w:val="24"/>
              </w:rPr>
            </w:pPr>
            <w:r>
              <w:rPr>
                <w:rFonts w:hint="eastAsia"/>
                <w:sz w:val="24"/>
                <w:szCs w:val="32"/>
                <w:lang w:eastAsia="zh-CN"/>
              </w:rPr>
              <w:t>□</w:t>
            </w:r>
            <w:r>
              <w:rPr>
                <w:sz w:val="24"/>
              </w:rPr>
              <w:t>是</w:t>
            </w:r>
          </w:p>
          <w:p>
            <w:pPr>
              <w:jc w:val="left"/>
              <w:rPr>
                <w:sz w:val="24"/>
              </w:rPr>
            </w:pPr>
            <w:r>
              <w:rPr>
                <w:rFonts w:hint="eastAsia"/>
                <w:sz w:val="24"/>
                <w:szCs w:val="32"/>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6677" w:type="dxa"/>
            <w:vAlign w:val="center"/>
          </w:tcPr>
          <w:p>
            <w:pPr>
              <w:jc w:val="left"/>
              <w:rPr>
                <w:sz w:val="24"/>
              </w:rPr>
            </w:pPr>
            <w:r>
              <w:rPr>
                <w:rFonts w:hint="eastAsia"/>
                <w:sz w:val="24"/>
                <w:szCs w:val="32"/>
              </w:rPr>
              <w:t>■</w:t>
            </w:r>
            <w:r>
              <w:rPr>
                <w:sz w:val="24"/>
              </w:rPr>
              <w:t>不组织</w:t>
            </w:r>
            <w:r>
              <w:rPr>
                <w:rFonts w:hint="eastAsia"/>
                <w:sz w:val="24"/>
              </w:rPr>
              <w:t>，供应商可自行前往。</w:t>
            </w:r>
          </w:p>
          <w:p>
            <w:pPr>
              <w:jc w:val="left"/>
              <w:rPr>
                <w:bCs/>
                <w:sz w:val="24"/>
              </w:rPr>
            </w:pPr>
            <w:r>
              <w:rPr>
                <w:rFonts w:hint="eastAsia"/>
                <w:sz w:val="24"/>
                <w:szCs w:val="32"/>
                <w:lang w:eastAsia="zh-CN"/>
              </w:rPr>
              <w:t>□</w:t>
            </w:r>
            <w:r>
              <w:rPr>
                <w:sz w:val="24"/>
              </w:rPr>
              <w:t>组织，考察时间：__</w:t>
            </w:r>
            <w:r>
              <w:rPr>
                <w:rFonts w:hint="eastAsia"/>
                <w:sz w:val="24"/>
              </w:rPr>
              <w:t>/</w:t>
            </w:r>
            <w:r>
              <w:rPr>
                <w:sz w:val="24"/>
              </w:rPr>
              <w:t>_</w:t>
            </w:r>
            <w:r>
              <w:rPr>
                <w:sz w:val="24"/>
                <w:lang w:bidi="ar"/>
              </w:rPr>
              <w:t>年</w:t>
            </w:r>
            <w:r>
              <w:rPr>
                <w:sz w:val="24"/>
              </w:rPr>
              <w:t>__</w:t>
            </w:r>
            <w:r>
              <w:rPr>
                <w:rFonts w:hint="eastAsia"/>
                <w:sz w:val="24"/>
              </w:rPr>
              <w:t>/</w:t>
            </w:r>
            <w:r>
              <w:rPr>
                <w:sz w:val="24"/>
              </w:rPr>
              <w:t>_</w:t>
            </w:r>
            <w:r>
              <w:rPr>
                <w:sz w:val="24"/>
                <w:lang w:bidi="ar"/>
              </w:rPr>
              <w:t>月</w:t>
            </w:r>
            <w:r>
              <w:rPr>
                <w:sz w:val="24"/>
              </w:rPr>
              <w:t>__</w:t>
            </w:r>
            <w:r>
              <w:rPr>
                <w:rFonts w:hint="eastAsia"/>
                <w:sz w:val="24"/>
              </w:rPr>
              <w:t>/</w:t>
            </w:r>
            <w:r>
              <w:rPr>
                <w:sz w:val="24"/>
              </w:rPr>
              <w:t>_</w:t>
            </w:r>
            <w:r>
              <w:rPr>
                <w:sz w:val="24"/>
                <w:lang w:bidi="ar"/>
              </w:rPr>
              <w:t>日</w:t>
            </w:r>
            <w:r>
              <w:rPr>
                <w:sz w:val="24"/>
              </w:rPr>
              <w:t>_</w:t>
            </w:r>
            <w:r>
              <w:rPr>
                <w:rFonts w:hint="eastAsia"/>
                <w:sz w:val="24"/>
              </w:rPr>
              <w:t>/</w:t>
            </w:r>
            <w:r>
              <w:rPr>
                <w:sz w:val="24"/>
              </w:rPr>
              <w:t>__</w:t>
            </w:r>
            <w:r>
              <w:rPr>
                <w:sz w:val="24"/>
                <w:lang w:bidi="ar"/>
              </w:rPr>
              <w:t>点</w:t>
            </w:r>
            <w:r>
              <w:rPr>
                <w:sz w:val="24"/>
              </w:rPr>
              <w:t>_</w:t>
            </w:r>
            <w:r>
              <w:rPr>
                <w:rFonts w:hint="eastAsia"/>
                <w:sz w:val="24"/>
              </w:rPr>
              <w:t>/</w:t>
            </w:r>
            <w:r>
              <w:rPr>
                <w:sz w:val="24"/>
              </w:rPr>
              <w:t>__</w:t>
            </w:r>
            <w:r>
              <w:rPr>
                <w:sz w:val="24"/>
                <w:lang w:bidi="ar"/>
              </w:rPr>
              <w:t>分</w:t>
            </w:r>
          </w:p>
          <w:p>
            <w:pPr>
              <w:pStyle w:val="23"/>
              <w:adjustRightInd w:val="0"/>
              <w:snapToGrid w:val="0"/>
              <w:rPr>
                <w:rFonts w:hint="default" w:ascii="Times New Roman" w:hAnsi="Times New Roman"/>
                <w:sz w:val="24"/>
                <w:szCs w:val="24"/>
              </w:rPr>
            </w:pPr>
            <w:r>
              <w:rPr>
                <w:rFonts w:hint="default" w:ascii="Times New Roman" w:hAnsi="Times New Roman"/>
                <w:sz w:val="24"/>
              </w:rPr>
              <w:t>考察地点：___</w:t>
            </w:r>
            <w:r>
              <w:rPr>
                <w:rFonts w:ascii="Times New Roman" w:hAnsi="Times New Roman"/>
                <w:sz w:val="24"/>
              </w:rPr>
              <w:t>/</w:t>
            </w:r>
            <w:r>
              <w:rPr>
                <w:rFonts w:hint="default" w:ascii="Times New Roman" w:hAnsi="Times New Roman"/>
                <w:sz w:val="24"/>
              </w:rPr>
              <w:t>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988" w:type="dxa"/>
            <w:vMerge w:val="continue"/>
            <w:vAlign w:val="center"/>
          </w:tcPr>
          <w:p>
            <w:pPr>
              <w:pStyle w:val="23"/>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磋商前答疑会</w:t>
            </w:r>
          </w:p>
        </w:tc>
        <w:tc>
          <w:tcPr>
            <w:tcW w:w="6677" w:type="dxa"/>
            <w:vAlign w:val="center"/>
          </w:tcPr>
          <w:p>
            <w:pPr>
              <w:jc w:val="left"/>
              <w:rPr>
                <w:sz w:val="24"/>
              </w:rPr>
            </w:pPr>
            <w:r>
              <w:rPr>
                <w:rFonts w:hint="eastAsia"/>
                <w:sz w:val="24"/>
                <w:szCs w:val="32"/>
              </w:rPr>
              <w:t>■</w:t>
            </w:r>
            <w:r>
              <w:rPr>
                <w:sz w:val="24"/>
              </w:rPr>
              <w:t>不召开</w:t>
            </w:r>
          </w:p>
          <w:p>
            <w:pPr>
              <w:jc w:val="left"/>
              <w:rPr>
                <w:sz w:val="24"/>
              </w:rPr>
            </w:pPr>
            <w:r>
              <w:rPr>
                <w:rFonts w:hint="eastAsia"/>
                <w:sz w:val="24"/>
                <w:szCs w:val="32"/>
                <w:lang w:eastAsia="zh-CN"/>
              </w:rPr>
              <w:t>□</w:t>
            </w:r>
            <w:r>
              <w:rPr>
                <w:sz w:val="24"/>
              </w:rPr>
              <w:t>召开，召开时间：__</w:t>
            </w:r>
            <w:r>
              <w:rPr>
                <w:rFonts w:hint="eastAsia"/>
                <w:sz w:val="24"/>
              </w:rPr>
              <w:t>/</w:t>
            </w:r>
            <w:r>
              <w:rPr>
                <w:sz w:val="24"/>
              </w:rPr>
              <w:t>_</w:t>
            </w:r>
            <w:r>
              <w:rPr>
                <w:sz w:val="24"/>
                <w:lang w:bidi="ar"/>
              </w:rPr>
              <w:t>年</w:t>
            </w:r>
            <w:r>
              <w:rPr>
                <w:sz w:val="24"/>
              </w:rPr>
              <w:t>__</w:t>
            </w:r>
            <w:r>
              <w:rPr>
                <w:rFonts w:hint="eastAsia"/>
                <w:sz w:val="24"/>
              </w:rPr>
              <w:t>/</w:t>
            </w:r>
            <w:r>
              <w:rPr>
                <w:sz w:val="24"/>
              </w:rPr>
              <w:t>_</w:t>
            </w:r>
            <w:r>
              <w:rPr>
                <w:sz w:val="24"/>
                <w:lang w:bidi="ar"/>
              </w:rPr>
              <w:t>月</w:t>
            </w:r>
            <w:r>
              <w:rPr>
                <w:sz w:val="24"/>
              </w:rPr>
              <w:t>__</w:t>
            </w:r>
            <w:r>
              <w:rPr>
                <w:rFonts w:hint="eastAsia"/>
                <w:sz w:val="24"/>
              </w:rPr>
              <w:t>/</w:t>
            </w:r>
            <w:r>
              <w:rPr>
                <w:sz w:val="24"/>
              </w:rPr>
              <w:t>_</w:t>
            </w:r>
            <w:r>
              <w:rPr>
                <w:sz w:val="24"/>
                <w:lang w:bidi="ar"/>
              </w:rPr>
              <w:t>日</w:t>
            </w:r>
            <w:r>
              <w:rPr>
                <w:sz w:val="24"/>
              </w:rPr>
              <w:t>_</w:t>
            </w:r>
            <w:r>
              <w:rPr>
                <w:rFonts w:hint="eastAsia"/>
                <w:sz w:val="24"/>
              </w:rPr>
              <w:t>/</w:t>
            </w:r>
            <w:r>
              <w:rPr>
                <w:sz w:val="24"/>
              </w:rPr>
              <w:t>__</w:t>
            </w:r>
            <w:r>
              <w:rPr>
                <w:sz w:val="24"/>
                <w:lang w:bidi="ar"/>
              </w:rPr>
              <w:t>点</w:t>
            </w:r>
            <w:r>
              <w:rPr>
                <w:sz w:val="24"/>
              </w:rPr>
              <w:t>_</w:t>
            </w:r>
            <w:r>
              <w:rPr>
                <w:rFonts w:hint="eastAsia"/>
                <w:sz w:val="24"/>
              </w:rPr>
              <w:t>/</w:t>
            </w:r>
            <w:r>
              <w:rPr>
                <w:sz w:val="24"/>
              </w:rPr>
              <w:t>__</w:t>
            </w:r>
            <w:r>
              <w:rPr>
                <w:sz w:val="24"/>
                <w:lang w:bidi="ar"/>
              </w:rPr>
              <w:t>分</w:t>
            </w:r>
          </w:p>
          <w:p>
            <w:pPr>
              <w:jc w:val="left"/>
              <w:rPr>
                <w:sz w:val="24"/>
              </w:rPr>
            </w:pPr>
            <w:r>
              <w:rPr>
                <w:sz w:val="24"/>
              </w:rPr>
              <w:t>召开地点：____</w:t>
            </w:r>
            <w:r>
              <w:rPr>
                <w:rFonts w:hint="eastAsia"/>
                <w:sz w:val="24"/>
              </w:rPr>
              <w:t>/</w:t>
            </w:r>
            <w:r>
              <w:rPr>
                <w:sz w:val="24"/>
              </w:rPr>
              <w:t>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73"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4.2.5</w:t>
            </w:r>
          </w:p>
        </w:tc>
        <w:tc>
          <w:tcPr>
            <w:tcW w:w="1701" w:type="dxa"/>
            <w:vAlign w:val="center"/>
          </w:tcPr>
          <w:p>
            <w:pPr>
              <w:jc w:val="center"/>
              <w:rPr>
                <w:sz w:val="24"/>
              </w:rPr>
            </w:pPr>
            <w:r>
              <w:rPr>
                <w:sz w:val="24"/>
              </w:rPr>
              <w:t>标的所属行业</w:t>
            </w:r>
          </w:p>
        </w:tc>
        <w:tc>
          <w:tcPr>
            <w:tcW w:w="6677" w:type="dxa"/>
            <w:vAlign w:val="center"/>
          </w:tcPr>
          <w:p>
            <w:pPr>
              <w:jc w:val="left"/>
              <w:rPr>
                <w:sz w:val="24"/>
              </w:rPr>
            </w:pPr>
            <w:r>
              <w:rPr>
                <w:sz w:val="24"/>
              </w:rPr>
              <w:t>本项目采购标的对应的中小企业划分标准所属行业：</w:t>
            </w:r>
          </w:p>
          <w:tbl>
            <w:tblPr>
              <w:tblStyle w:val="42"/>
              <w:tblW w:w="486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0"/>
              <w:gridCol w:w="30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65"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2435" w:type="pct"/>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565" w:type="pct"/>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fldChar w:fldCharType="begin"/>
                  </w:r>
                  <w:r>
                    <w:rPr>
                      <w:rFonts w:hint="eastAsia"/>
                      <w:bCs/>
                      <w:sz w:val="24"/>
                    </w:rPr>
                    <w:instrText xml:space="preserve"> MERGEFIELD "北京市残疾人家庭收入调查项目" </w:instrText>
                  </w:r>
                  <w:r>
                    <w:rPr>
                      <w:rFonts w:hint="eastAsia"/>
                      <w:bCs/>
                      <w:sz w:val="24"/>
                    </w:rPr>
                    <w:fldChar w:fldCharType="separate"/>
                  </w:r>
                  <w:r>
                    <w:rPr>
                      <w:rFonts w:hint="eastAsia"/>
                      <w:bCs/>
                      <w:sz w:val="24"/>
                    </w:rPr>
                    <w:t>北京市大兴区文化活动服务中心中央空调机组更换项目</w:t>
                  </w:r>
                  <w:r>
                    <w:rPr>
                      <w:rFonts w:hint="eastAsia"/>
                      <w:bCs/>
                      <w:sz w:val="24"/>
                    </w:rPr>
                    <w:fldChar w:fldCharType="end"/>
                  </w:r>
                </w:p>
              </w:tc>
              <w:tc>
                <w:tcPr>
                  <w:tcW w:w="2435" w:type="pct"/>
                  <w:tcBorders>
                    <w:top w:val="single" w:color="auto" w:sz="4" w:space="0"/>
                    <w:left w:val="single" w:color="auto" w:sz="4" w:space="0"/>
                    <w:bottom w:val="single" w:color="auto" w:sz="4" w:space="0"/>
                    <w:right w:val="single" w:color="auto" w:sz="4" w:space="0"/>
                  </w:tcBorders>
                  <w:vAlign w:val="center"/>
                </w:tcPr>
                <w:p>
                  <w:pPr>
                    <w:jc w:val="center"/>
                    <w:rPr>
                      <w:kern w:val="0"/>
                      <w:sz w:val="24"/>
                    </w:rPr>
                  </w:pPr>
                  <w:r>
                    <w:rPr>
                      <w:rFonts w:hint="eastAsia"/>
                      <w:kern w:val="0"/>
                      <w:sz w:val="24"/>
                    </w:rPr>
                    <w:t>建筑业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10.2</w:t>
            </w:r>
          </w:p>
        </w:tc>
        <w:tc>
          <w:tcPr>
            <w:tcW w:w="1701" w:type="dxa"/>
            <w:vAlign w:val="center"/>
          </w:tcPr>
          <w:p>
            <w:pPr>
              <w:jc w:val="center"/>
              <w:rPr>
                <w:sz w:val="24"/>
              </w:rPr>
            </w:pPr>
            <w:r>
              <w:rPr>
                <w:sz w:val="24"/>
              </w:rPr>
              <w:t>报价</w:t>
            </w:r>
          </w:p>
        </w:tc>
        <w:tc>
          <w:tcPr>
            <w:tcW w:w="6677" w:type="dxa"/>
            <w:vAlign w:val="center"/>
          </w:tcPr>
          <w:p>
            <w:pPr>
              <w:jc w:val="left"/>
              <w:rPr>
                <w:sz w:val="24"/>
              </w:rPr>
            </w:pPr>
            <w:r>
              <w:rPr>
                <w:sz w:val="24"/>
              </w:rPr>
              <w:t>报价的特殊规定：</w:t>
            </w:r>
          </w:p>
          <w:p>
            <w:pPr>
              <w:jc w:val="left"/>
              <w:rPr>
                <w:sz w:val="24"/>
              </w:rPr>
            </w:pPr>
            <w:r>
              <w:rPr>
                <w:rFonts w:hint="eastAsia"/>
                <w:sz w:val="24"/>
                <w:szCs w:val="32"/>
              </w:rPr>
              <w:t>■</w:t>
            </w:r>
            <w:r>
              <w:rPr>
                <w:sz w:val="24"/>
              </w:rPr>
              <w:t>无</w:t>
            </w:r>
          </w:p>
          <w:p>
            <w:pPr>
              <w:jc w:val="left"/>
              <w:rPr>
                <w:sz w:val="24"/>
              </w:rPr>
            </w:pPr>
            <w:r>
              <w:rPr>
                <w:rFonts w:hint="eastAsia"/>
                <w:sz w:val="24"/>
                <w:szCs w:val="32"/>
              </w:rP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11.1</w:t>
            </w:r>
          </w:p>
        </w:tc>
        <w:tc>
          <w:tcPr>
            <w:tcW w:w="1701" w:type="dxa"/>
            <w:vMerge w:val="restart"/>
            <w:vAlign w:val="center"/>
          </w:tcPr>
          <w:p>
            <w:pPr>
              <w:jc w:val="center"/>
              <w:rPr>
                <w:sz w:val="24"/>
              </w:rPr>
            </w:pPr>
            <w:r>
              <w:rPr>
                <w:sz w:val="24"/>
              </w:rPr>
              <w:t>磋商保证金</w:t>
            </w:r>
          </w:p>
        </w:tc>
        <w:tc>
          <w:tcPr>
            <w:tcW w:w="6677" w:type="dxa"/>
            <w:vAlign w:val="center"/>
          </w:tcPr>
          <w:p>
            <w:pPr>
              <w:pStyle w:val="23"/>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磋商保证金金额：</w:t>
            </w:r>
          </w:p>
          <w:p>
            <w:pPr>
              <w:pStyle w:val="23"/>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01包：</w:t>
            </w:r>
            <w:r>
              <w:rPr>
                <w:rFonts w:hint="default" w:ascii="Times New Roman" w:hAnsi="Times New Roman"/>
                <w:sz w:val="24"/>
                <w:highlight w:val="none"/>
              </w:rPr>
              <w:fldChar w:fldCharType="begin"/>
            </w:r>
            <w:r>
              <w:rPr>
                <w:rFonts w:hint="default" w:ascii="Times New Roman" w:hAnsi="Times New Roman"/>
                <w:sz w:val="24"/>
                <w:highlight w:val="none"/>
              </w:rPr>
              <w:instrText xml:space="preserve"> MERGEFIELD "F11" </w:instrText>
            </w:r>
            <w:r>
              <w:rPr>
                <w:rFonts w:hint="default" w:ascii="Times New Roman" w:hAnsi="Times New Roman"/>
                <w:sz w:val="24"/>
                <w:highlight w:val="none"/>
              </w:rPr>
              <w:fldChar w:fldCharType="separate"/>
            </w:r>
            <w:r>
              <w:rPr>
                <w:rFonts w:hint="default" w:ascii="Times New Roman" w:hAnsi="Times New Roman"/>
                <w:sz w:val="24"/>
                <w:highlight w:val="none"/>
              </w:rPr>
              <w:t>50000</w:t>
            </w:r>
            <w:r>
              <w:rPr>
                <w:rFonts w:hint="default" w:ascii="Times New Roman" w:hAnsi="Times New Roman"/>
                <w:sz w:val="24"/>
                <w:highlight w:val="none"/>
              </w:rPr>
              <w:fldChar w:fldCharType="end"/>
            </w:r>
            <w:r>
              <w:rPr>
                <w:rFonts w:hint="eastAsia" w:ascii="Times New Roman" w:hAnsi="Times New Roman"/>
                <w:sz w:val="24"/>
                <w:highlight w:val="none"/>
                <w:lang w:val="en-US" w:eastAsia="zh-CN"/>
              </w:rPr>
              <w:t>元</w:t>
            </w:r>
            <w:r>
              <w:rPr>
                <w:rFonts w:hint="default" w:ascii="Times New Roman" w:hAnsi="Times New Roman"/>
                <w:sz w:val="24"/>
                <w:szCs w:val="24"/>
                <w:highlight w:val="none"/>
              </w:rPr>
              <w:t>；</w:t>
            </w:r>
          </w:p>
          <w:p>
            <w:pPr>
              <w:spacing w:after="0"/>
              <w:jc w:val="left"/>
              <w:rPr>
                <w:sz w:val="24"/>
                <w:highlight w:val="none"/>
              </w:rPr>
            </w:pPr>
            <w:r>
              <w:rPr>
                <w:sz w:val="24"/>
                <w:highlight w:val="none"/>
              </w:rPr>
              <w:t>磋商保证金收受人信息：</w:t>
            </w:r>
          </w:p>
          <w:p>
            <w:pPr>
              <w:spacing w:after="0"/>
              <w:jc w:val="left"/>
              <w:rPr>
                <w:rFonts w:hint="eastAsia" w:eastAsia="宋体"/>
                <w:sz w:val="24"/>
                <w:highlight w:val="none"/>
                <w:lang w:eastAsia="zh-CN"/>
              </w:rPr>
            </w:pPr>
            <w:r>
              <w:rPr>
                <w:rFonts w:hint="eastAsia"/>
                <w:sz w:val="24"/>
                <w:highlight w:val="none"/>
              </w:rPr>
              <w:t>单位名称：</w:t>
            </w:r>
            <w:r>
              <w:rPr>
                <w:rFonts w:hint="eastAsia"/>
                <w:sz w:val="24"/>
                <w:highlight w:val="none"/>
                <w:lang w:eastAsia="zh-CN"/>
              </w:rPr>
              <w:fldChar w:fldCharType="begin"/>
            </w:r>
            <w:r>
              <w:rPr>
                <w:rFonts w:hint="eastAsia"/>
                <w:sz w:val="24"/>
                <w:highlight w:val="none"/>
                <w:lang w:eastAsia="zh-CN"/>
              </w:rPr>
              <w:instrText xml:space="preserve"> MERGEFIELD "北京中建华兴集团有限公司" </w:instrText>
            </w:r>
            <w:r>
              <w:rPr>
                <w:rFonts w:hint="eastAsia"/>
                <w:sz w:val="24"/>
                <w:highlight w:val="none"/>
                <w:lang w:eastAsia="zh-CN"/>
              </w:rPr>
              <w:fldChar w:fldCharType="separate"/>
            </w:r>
            <w:r>
              <w:rPr>
                <w:rFonts w:hint="eastAsia"/>
                <w:sz w:val="24"/>
                <w:highlight w:val="none"/>
                <w:lang w:eastAsia="zh-CN"/>
              </w:rPr>
              <w:t>北京乙平工程管理有限公司</w:t>
            </w:r>
            <w:r>
              <w:rPr>
                <w:rFonts w:hint="eastAsia"/>
                <w:sz w:val="24"/>
                <w:highlight w:val="none"/>
                <w:lang w:eastAsia="zh-CN"/>
              </w:rPr>
              <w:fldChar w:fldCharType="end"/>
            </w:r>
          </w:p>
          <w:p>
            <w:pPr>
              <w:spacing w:after="0"/>
              <w:jc w:val="left"/>
              <w:rPr>
                <w:rFonts w:hint="eastAsia"/>
                <w:sz w:val="24"/>
                <w:highlight w:val="none"/>
              </w:rPr>
            </w:pPr>
            <w:r>
              <w:rPr>
                <w:rFonts w:hint="eastAsia"/>
                <w:sz w:val="24"/>
                <w:highlight w:val="none"/>
              </w:rPr>
              <w:t>开</w:t>
            </w:r>
            <w:r>
              <w:rPr>
                <w:rFonts w:hint="eastAsia"/>
                <w:sz w:val="24"/>
                <w:highlight w:val="none"/>
                <w:lang w:val="en-US" w:eastAsia="zh-CN"/>
              </w:rPr>
              <w:t xml:space="preserve"> </w:t>
            </w:r>
            <w:r>
              <w:rPr>
                <w:rFonts w:hint="eastAsia"/>
                <w:sz w:val="24"/>
                <w:highlight w:val="none"/>
              </w:rPr>
              <w:t>户</w:t>
            </w:r>
            <w:r>
              <w:rPr>
                <w:rFonts w:hint="eastAsia"/>
                <w:sz w:val="24"/>
                <w:highlight w:val="none"/>
                <w:lang w:val="en-US" w:eastAsia="zh-CN"/>
              </w:rPr>
              <w:t xml:space="preserve"> </w:t>
            </w:r>
            <w:r>
              <w:rPr>
                <w:rFonts w:hint="eastAsia"/>
                <w:sz w:val="24"/>
                <w:highlight w:val="none"/>
              </w:rPr>
              <w:t>行：</w:t>
            </w:r>
            <w:r>
              <w:rPr>
                <w:rFonts w:hint="eastAsia"/>
                <w:sz w:val="24"/>
                <w:highlight w:val="none"/>
              </w:rPr>
              <w:fldChar w:fldCharType="begin"/>
            </w:r>
            <w:r>
              <w:rPr>
                <w:rFonts w:hint="eastAsia"/>
                <w:sz w:val="24"/>
                <w:highlight w:val="none"/>
              </w:rPr>
              <w:instrText xml:space="preserve"> MERGEFIELD "中国工商银行北京北苑家园支行" </w:instrText>
            </w:r>
            <w:r>
              <w:rPr>
                <w:rFonts w:hint="eastAsia"/>
                <w:sz w:val="24"/>
                <w:highlight w:val="none"/>
              </w:rPr>
              <w:fldChar w:fldCharType="separate"/>
            </w:r>
            <w:r>
              <w:rPr>
                <w:rFonts w:hint="eastAsia"/>
                <w:sz w:val="24"/>
                <w:highlight w:val="none"/>
              </w:rPr>
              <w:t>中国工商银行股份有限公司北京丽园路支行（搜不到请搜“大兴支行”）</w:t>
            </w:r>
            <w:r>
              <w:rPr>
                <w:rFonts w:hint="eastAsia"/>
                <w:sz w:val="24"/>
                <w:highlight w:val="none"/>
              </w:rPr>
              <w:fldChar w:fldCharType="end"/>
            </w:r>
          </w:p>
          <w:p>
            <w:pPr>
              <w:spacing w:after="0"/>
              <w:jc w:val="left"/>
              <w:rPr>
                <w:sz w:val="24"/>
              </w:rPr>
            </w:pPr>
            <w:r>
              <w:rPr>
                <w:rFonts w:hint="eastAsia"/>
                <w:sz w:val="24"/>
                <w:highlight w:val="none"/>
              </w:rPr>
              <w:t>收取投标保证金的账号：</w:t>
            </w:r>
            <w:r>
              <w:rPr>
                <w:rFonts w:hint="eastAsia"/>
                <w:sz w:val="24"/>
                <w:highlight w:val="none"/>
              </w:rPr>
              <w:fldChar w:fldCharType="begin"/>
            </w:r>
            <w:r>
              <w:rPr>
                <w:rFonts w:hint="eastAsia"/>
                <w:sz w:val="24"/>
                <w:highlight w:val="none"/>
              </w:rPr>
              <w:instrText xml:space="preserve"> MERGEFIELD "0200 0974 1900 0011 965" </w:instrText>
            </w:r>
            <w:r>
              <w:rPr>
                <w:rFonts w:hint="eastAsia"/>
                <w:sz w:val="24"/>
                <w:highlight w:val="none"/>
              </w:rPr>
              <w:fldChar w:fldCharType="separate"/>
            </w:r>
            <w:r>
              <w:rPr>
                <w:rFonts w:hint="eastAsia"/>
                <w:sz w:val="24"/>
                <w:highlight w:val="none"/>
              </w:rPr>
              <w:t>0200268409200065060</w:t>
            </w:r>
            <w:r>
              <w:rPr>
                <w:rFonts w:hint="eastAsia"/>
                <w:sz w:val="24"/>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11.7.5</w:t>
            </w:r>
          </w:p>
        </w:tc>
        <w:tc>
          <w:tcPr>
            <w:tcW w:w="1701" w:type="dxa"/>
            <w:vMerge w:val="continue"/>
            <w:vAlign w:val="center"/>
          </w:tcPr>
          <w:p>
            <w:pPr>
              <w:jc w:val="center"/>
              <w:rPr>
                <w:sz w:val="24"/>
              </w:rPr>
            </w:pPr>
          </w:p>
        </w:tc>
        <w:tc>
          <w:tcPr>
            <w:tcW w:w="6677" w:type="dxa"/>
            <w:vAlign w:val="center"/>
          </w:tcPr>
          <w:p>
            <w:pPr>
              <w:jc w:val="left"/>
              <w:rPr>
                <w:sz w:val="24"/>
              </w:rPr>
            </w:pPr>
            <w:r>
              <w:rPr>
                <w:sz w:val="24"/>
              </w:rPr>
              <w:t>磋商保证金不予退还的其他情形：</w:t>
            </w:r>
          </w:p>
          <w:p>
            <w:pPr>
              <w:jc w:val="left"/>
              <w:rPr>
                <w:sz w:val="24"/>
              </w:rPr>
            </w:pPr>
            <w:r>
              <w:rPr>
                <w:rFonts w:hint="eastAsia"/>
              </w:rPr>
              <w:t>■</w:t>
            </w:r>
            <w:r>
              <w:rPr>
                <w:sz w:val="24"/>
              </w:rPr>
              <w:t>无</w:t>
            </w:r>
          </w:p>
          <w:p>
            <w:pPr>
              <w:pStyle w:val="23"/>
              <w:adjustRightInd w:val="0"/>
              <w:snapToGrid w:val="0"/>
              <w:rPr>
                <w:rFonts w:hint="default" w:ascii="Times New Roman" w:hAnsi="Times New Roman"/>
                <w:sz w:val="24"/>
                <w:szCs w:val="24"/>
              </w:rPr>
            </w:pPr>
            <w:r>
              <w:rPr>
                <w:rFonts w:hint="eastAsia" w:ascii="Times New Roman" w:hAnsi="Times New Roman"/>
                <w:sz w:val="24"/>
                <w:szCs w:val="22"/>
                <w:lang w:eastAsia="zh-CN"/>
              </w:rPr>
              <w:t>□</w:t>
            </w:r>
            <w:r>
              <w:rPr>
                <w:rFonts w:hint="default" w:ascii="Times New Roman" w:hAnsi="Times New Roman"/>
                <w:sz w:val="24"/>
              </w:rPr>
              <w:t>有，具体情形：_____</w:t>
            </w:r>
            <w:r>
              <w:rPr>
                <w:rFonts w:ascii="Times New Roman" w:hAnsi="Times New Roman"/>
                <w:sz w:val="24"/>
              </w:rPr>
              <w:t>/</w:t>
            </w:r>
            <w:r>
              <w:rPr>
                <w:rFonts w:hint="default" w:ascii="Times New Roman" w:hAnsi="Times New Roman"/>
                <w:sz w:val="24"/>
              </w:rPr>
              <w:t>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Align w:val="center"/>
          </w:tcPr>
          <w:p>
            <w:pPr>
              <w:jc w:val="center"/>
              <w:rPr>
                <w:sz w:val="24"/>
              </w:rPr>
            </w:pPr>
            <w:r>
              <w:rPr>
                <w:sz w:val="24"/>
              </w:rPr>
              <w:t>响应有效期</w:t>
            </w:r>
          </w:p>
        </w:tc>
        <w:tc>
          <w:tcPr>
            <w:tcW w:w="6677" w:type="dxa"/>
            <w:vAlign w:val="center"/>
          </w:tcPr>
          <w:p>
            <w:pPr>
              <w:jc w:val="left"/>
              <w:rPr>
                <w:sz w:val="24"/>
              </w:rPr>
            </w:pPr>
            <w:r>
              <w:rPr>
                <w:sz w:val="24"/>
              </w:rPr>
              <w:t>自提交响应文件的截止之日起算</w:t>
            </w:r>
            <w:r>
              <w:rPr>
                <w:rFonts w:hint="eastAsia"/>
                <w:sz w:val="24"/>
                <w:u w:val="single"/>
              </w:rPr>
              <w:t xml:space="preserve">  90 </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5"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20.1</w:t>
            </w:r>
          </w:p>
        </w:tc>
        <w:tc>
          <w:tcPr>
            <w:tcW w:w="1701" w:type="dxa"/>
            <w:vAlign w:val="center"/>
          </w:tcPr>
          <w:p>
            <w:pPr>
              <w:jc w:val="center"/>
              <w:rPr>
                <w:sz w:val="24"/>
              </w:rPr>
            </w:pPr>
            <w:r>
              <w:rPr>
                <w:sz w:val="24"/>
              </w:rPr>
              <w:t>成交供应商的确认</w:t>
            </w:r>
          </w:p>
        </w:tc>
        <w:tc>
          <w:tcPr>
            <w:tcW w:w="6677" w:type="dxa"/>
            <w:vAlign w:val="center"/>
          </w:tcPr>
          <w:p>
            <w:pPr>
              <w:pStyle w:val="23"/>
              <w:adjustRightInd w:val="0"/>
              <w:snapToGrid w:val="0"/>
              <w:rPr>
                <w:rFonts w:hint="default" w:ascii="Times New Roman" w:hAnsi="Times New Roman"/>
                <w:sz w:val="24"/>
              </w:rPr>
            </w:pPr>
            <w:r>
              <w:rPr>
                <w:rFonts w:hint="default" w:ascii="Times New Roman" w:hAnsi="Times New Roman"/>
                <w:sz w:val="24"/>
              </w:rPr>
              <w:t>采购人是否</w:t>
            </w:r>
            <w:r>
              <w:rPr>
                <w:rFonts w:hint="default" w:ascii="Times New Roman" w:hAnsi="Times New Roman"/>
                <w:color w:val="000000"/>
                <w:sz w:val="24"/>
              </w:rPr>
              <w:t>授权磋商小组直接确定成交供应商</w:t>
            </w:r>
            <w:r>
              <w:rPr>
                <w:rFonts w:hint="default" w:ascii="Times New Roman" w:hAnsi="Times New Roman"/>
                <w:sz w:val="24"/>
              </w:rPr>
              <w:t>：</w:t>
            </w:r>
          </w:p>
          <w:p>
            <w:pPr>
              <w:pStyle w:val="23"/>
              <w:adjustRightInd w:val="0"/>
              <w:snapToGrid w:val="0"/>
              <w:rPr>
                <w:rFonts w:hint="default" w:ascii="Times New Roman" w:hAnsi="Times New Roman"/>
                <w:sz w:val="24"/>
              </w:rPr>
            </w:pPr>
            <w:r>
              <w:rPr>
                <w:rFonts w:ascii="Times New Roman" w:hAnsi="Times New Roman"/>
                <w:sz w:val="24"/>
                <w:szCs w:val="24"/>
              </w:rPr>
              <w:t>■</w:t>
            </w:r>
            <w:r>
              <w:rPr>
                <w:rFonts w:hint="default" w:ascii="Times New Roman" w:hAnsi="Times New Roman"/>
                <w:sz w:val="24"/>
              </w:rPr>
              <w:t>否</w:t>
            </w:r>
          </w:p>
          <w:p>
            <w:pPr>
              <w:jc w:val="left"/>
              <w:rPr>
                <w:sz w:val="24"/>
              </w:rPr>
            </w:pPr>
            <w:r>
              <w:rPr>
                <w:rFonts w:hint="eastAsia"/>
                <w:sz w:val="24"/>
                <w:szCs w:val="32"/>
                <w:lang w:eastAsia="zh-CN"/>
              </w:rPr>
              <w:t>□</w:t>
            </w:r>
            <w:r>
              <w:rPr>
                <w:sz w:val="24"/>
              </w:rPr>
              <w:t>是</w:t>
            </w:r>
          </w:p>
          <w:p>
            <w:pPr>
              <w:jc w:val="left"/>
              <w:rPr>
                <w:sz w:val="24"/>
                <w:u w:val="single"/>
              </w:rPr>
            </w:pPr>
            <w:r>
              <w:rPr>
                <w:sz w:val="24"/>
              </w:rPr>
              <w:t>成交候选人并列的，按照以下方式确定成交供应商：___</w:t>
            </w:r>
            <w:r>
              <w:rPr>
                <w:rFonts w:hint="eastAsia"/>
                <w:sz w:val="24"/>
              </w:rPr>
              <w:t>/</w:t>
            </w:r>
            <w:r>
              <w:rPr>
                <w:sz w:val="24"/>
              </w:rPr>
              <w:t>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8"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23.5</w:t>
            </w:r>
          </w:p>
        </w:tc>
        <w:tc>
          <w:tcPr>
            <w:tcW w:w="1701" w:type="dxa"/>
            <w:vAlign w:val="center"/>
          </w:tcPr>
          <w:p>
            <w:pPr>
              <w:jc w:val="center"/>
              <w:rPr>
                <w:sz w:val="24"/>
              </w:rPr>
            </w:pPr>
            <w:r>
              <w:rPr>
                <w:sz w:val="24"/>
              </w:rPr>
              <w:t>分包</w:t>
            </w:r>
          </w:p>
        </w:tc>
        <w:tc>
          <w:tcPr>
            <w:tcW w:w="6677" w:type="dxa"/>
            <w:vAlign w:val="center"/>
          </w:tcPr>
          <w:p>
            <w:pPr>
              <w:jc w:val="left"/>
              <w:rPr>
                <w:sz w:val="24"/>
              </w:rPr>
            </w:pPr>
            <w:r>
              <w:rPr>
                <w:sz w:val="24"/>
              </w:rPr>
              <w:t xml:space="preserve">本项目是否允许分包： </w:t>
            </w:r>
          </w:p>
          <w:p>
            <w:pPr>
              <w:jc w:val="left"/>
              <w:rPr>
                <w:sz w:val="24"/>
                <w:szCs w:val="24"/>
              </w:rPr>
            </w:pPr>
            <w:r>
              <w:rPr>
                <w:rFonts w:hint="eastAsia"/>
                <w:sz w:val="24"/>
                <w:szCs w:val="24"/>
              </w:rPr>
              <w:t>■</w:t>
            </w:r>
            <w:r>
              <w:rPr>
                <w:sz w:val="24"/>
                <w:szCs w:val="24"/>
              </w:rPr>
              <w:t>不允许</w:t>
            </w:r>
          </w:p>
          <w:p>
            <w:pPr>
              <w:jc w:val="left"/>
              <w:rPr>
                <w:sz w:val="24"/>
              </w:rPr>
            </w:pPr>
            <w:r>
              <w:rPr>
                <w:rFonts w:hint="eastAsia"/>
                <w:sz w:val="24"/>
                <w:szCs w:val="24"/>
                <w:lang w:eastAsia="zh-CN"/>
              </w:rPr>
              <w:t>□</w:t>
            </w:r>
            <w:r>
              <w:rPr>
                <w:sz w:val="24"/>
              </w:rPr>
              <w:t>允许，具体要求：___</w:t>
            </w:r>
            <w:r>
              <w:rPr>
                <w:rFonts w:hint="eastAsia"/>
                <w:sz w:val="24"/>
              </w:rPr>
              <w:t>/</w:t>
            </w:r>
            <w:r>
              <w:rPr>
                <w:sz w:val="24"/>
              </w:rPr>
              <w:t>____。</w:t>
            </w:r>
          </w:p>
          <w:p>
            <w:pPr>
              <w:jc w:val="left"/>
              <w:rPr>
                <w:sz w:val="24"/>
              </w:rPr>
            </w:pPr>
            <w:r>
              <w:rPr>
                <w:sz w:val="24"/>
              </w:rPr>
              <w:t>（1）可以分包履行的具体内容：___</w:t>
            </w:r>
            <w:r>
              <w:rPr>
                <w:rFonts w:hint="eastAsia"/>
                <w:sz w:val="24"/>
              </w:rPr>
              <w:t>/</w:t>
            </w:r>
            <w:r>
              <w:rPr>
                <w:sz w:val="24"/>
              </w:rPr>
              <w:t>____；</w:t>
            </w:r>
          </w:p>
          <w:p>
            <w:pPr>
              <w:jc w:val="left"/>
              <w:rPr>
                <w:sz w:val="24"/>
              </w:rPr>
            </w:pPr>
            <w:r>
              <w:rPr>
                <w:sz w:val="24"/>
              </w:rPr>
              <w:t>（2）允许分包的金额或者比例：___</w:t>
            </w:r>
            <w:r>
              <w:rPr>
                <w:rFonts w:hint="eastAsia"/>
                <w:sz w:val="24"/>
              </w:rPr>
              <w:t>/</w:t>
            </w:r>
            <w:r>
              <w:rPr>
                <w:sz w:val="24"/>
              </w:rPr>
              <w:t>____；</w:t>
            </w:r>
          </w:p>
          <w:p>
            <w:pPr>
              <w:jc w:val="left"/>
              <w:rPr>
                <w:sz w:val="24"/>
                <w:u w:val="single"/>
              </w:rPr>
            </w:pPr>
            <w:r>
              <w:rPr>
                <w:sz w:val="24"/>
              </w:rPr>
              <w:t>（3）其他要求：___</w:t>
            </w:r>
            <w:r>
              <w:rPr>
                <w:rFonts w:hint="eastAsia"/>
                <w:sz w:val="24"/>
              </w:rPr>
              <w:t>/</w:t>
            </w:r>
            <w:r>
              <w:rPr>
                <w:sz w:val="24"/>
              </w:rPr>
              <w:t>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24.1.1</w:t>
            </w:r>
          </w:p>
        </w:tc>
        <w:tc>
          <w:tcPr>
            <w:tcW w:w="1701" w:type="dxa"/>
            <w:vAlign w:val="center"/>
          </w:tcPr>
          <w:p>
            <w:pPr>
              <w:jc w:val="center"/>
              <w:rPr>
                <w:sz w:val="24"/>
              </w:rPr>
            </w:pPr>
            <w:r>
              <w:rPr>
                <w:sz w:val="24"/>
              </w:rPr>
              <w:t>询问</w:t>
            </w:r>
          </w:p>
        </w:tc>
        <w:tc>
          <w:tcPr>
            <w:tcW w:w="6677" w:type="dxa"/>
            <w:vAlign w:val="center"/>
          </w:tcPr>
          <w:p>
            <w:pPr>
              <w:jc w:val="left"/>
              <w:rPr>
                <w:sz w:val="24"/>
              </w:rPr>
            </w:pPr>
            <w:r>
              <w:rPr>
                <w:sz w:val="24"/>
              </w:rPr>
              <w:t>询问送达形式：</w:t>
            </w:r>
            <w:r>
              <w:rPr>
                <w:rFonts w:hint="eastAsia"/>
                <w:sz w:val="24"/>
                <w:u w:val="single"/>
              </w:rPr>
              <w:t>以电子邮件方式发送至</w:t>
            </w:r>
            <w:r>
              <w:rPr>
                <w:rFonts w:hint="eastAsia"/>
                <w:sz w:val="24"/>
                <w:u w:val="single"/>
                <w:lang w:eastAsia="zh-CN"/>
              </w:rPr>
              <w:t>yipinggongcheng@163.com</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7"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24.3</w:t>
            </w:r>
          </w:p>
        </w:tc>
        <w:tc>
          <w:tcPr>
            <w:tcW w:w="1701" w:type="dxa"/>
            <w:vAlign w:val="center"/>
          </w:tcPr>
          <w:p>
            <w:pPr>
              <w:jc w:val="center"/>
              <w:rPr>
                <w:sz w:val="24"/>
              </w:rPr>
            </w:pPr>
            <w:r>
              <w:rPr>
                <w:sz w:val="24"/>
              </w:rPr>
              <w:t>联系方式</w:t>
            </w:r>
          </w:p>
        </w:tc>
        <w:tc>
          <w:tcPr>
            <w:tcW w:w="6677" w:type="dxa"/>
            <w:vAlign w:val="center"/>
          </w:tcPr>
          <w:p>
            <w:pPr>
              <w:jc w:val="left"/>
              <w:rPr>
                <w:sz w:val="24"/>
              </w:rPr>
            </w:pPr>
            <w:r>
              <w:rPr>
                <w:sz w:val="24"/>
              </w:rPr>
              <w:t>接收询问和质疑的联系方式</w:t>
            </w:r>
          </w:p>
          <w:p>
            <w:pPr>
              <w:jc w:val="left"/>
              <w:rPr>
                <w:sz w:val="24"/>
              </w:rPr>
            </w:pPr>
            <w:r>
              <w:rPr>
                <w:sz w:val="24"/>
              </w:rPr>
              <w:t>联系部门：</w:t>
            </w:r>
            <w:r>
              <w:rPr>
                <w:rFonts w:hint="eastAsia"/>
                <w:sz w:val="24"/>
                <w:u w:val="single"/>
              </w:rPr>
              <w:fldChar w:fldCharType="begin"/>
            </w:r>
            <w:r>
              <w:rPr>
                <w:rFonts w:hint="eastAsia"/>
                <w:sz w:val="24"/>
                <w:u w:val="single"/>
              </w:rPr>
              <w:instrText xml:space="preserve"> MERGEFIELD "北京市残疾人联合会信息中心" </w:instrText>
            </w:r>
            <w:r>
              <w:rPr>
                <w:rFonts w:hint="eastAsia"/>
                <w:sz w:val="24"/>
                <w:u w:val="single"/>
              </w:rPr>
              <w:fldChar w:fldCharType="separate"/>
            </w:r>
            <w:r>
              <w:rPr>
                <w:rFonts w:hint="eastAsia"/>
                <w:sz w:val="24"/>
                <w:u w:val="single"/>
              </w:rPr>
              <w:t>北京市大兴区文化活动服务中心</w:t>
            </w:r>
            <w:r>
              <w:rPr>
                <w:rFonts w:hint="eastAsia"/>
                <w:sz w:val="24"/>
                <w:u w:val="single"/>
              </w:rPr>
              <w:fldChar w:fldCharType="end"/>
            </w:r>
            <w:r>
              <w:rPr>
                <w:sz w:val="24"/>
              </w:rPr>
              <w:t>；</w:t>
            </w:r>
            <w:r>
              <w:rPr>
                <w:rFonts w:hint="eastAsia"/>
                <w:sz w:val="24"/>
              </w:rPr>
              <w:t xml:space="preserve"> </w:t>
            </w:r>
          </w:p>
          <w:p>
            <w:pPr>
              <w:jc w:val="left"/>
              <w:rPr>
                <w:sz w:val="24"/>
              </w:rPr>
            </w:pPr>
            <w:r>
              <w:rPr>
                <w:sz w:val="24"/>
              </w:rPr>
              <w:t>联系电话：</w:t>
            </w:r>
            <w:r>
              <w:rPr>
                <w:rFonts w:hint="eastAsia"/>
                <w:sz w:val="24"/>
                <w:u w:val="single"/>
              </w:rPr>
              <w:fldChar w:fldCharType="begin"/>
            </w:r>
            <w:r>
              <w:rPr>
                <w:rFonts w:hint="eastAsia"/>
                <w:sz w:val="24"/>
                <w:u w:val="single"/>
              </w:rPr>
              <w:instrText xml:space="preserve"> MERGEFIELD "王剑" </w:instrText>
            </w:r>
            <w:r>
              <w:rPr>
                <w:rFonts w:hint="eastAsia"/>
                <w:sz w:val="24"/>
                <w:u w:val="single"/>
              </w:rPr>
              <w:fldChar w:fldCharType="separate"/>
            </w:r>
            <w:r>
              <w:rPr>
                <w:rFonts w:hint="eastAsia"/>
                <w:sz w:val="24"/>
                <w:u w:val="single"/>
              </w:rPr>
              <w:t>郝建</w:t>
            </w:r>
            <w:r>
              <w:rPr>
                <w:rFonts w:hint="eastAsia"/>
                <w:sz w:val="24"/>
                <w:u w:val="single"/>
              </w:rPr>
              <w:fldChar w:fldCharType="end"/>
            </w:r>
            <w:r>
              <w:rPr>
                <w:rFonts w:hint="eastAsia"/>
                <w:sz w:val="24"/>
                <w:u w:val="single"/>
              </w:rPr>
              <w:fldChar w:fldCharType="begin"/>
            </w:r>
            <w:r>
              <w:rPr>
                <w:rFonts w:hint="eastAsia"/>
                <w:sz w:val="24"/>
                <w:u w:val="single"/>
              </w:rPr>
              <w:instrText xml:space="preserve"> MERGEFIELD "010-87892596" </w:instrText>
            </w:r>
            <w:r>
              <w:rPr>
                <w:rFonts w:hint="eastAsia"/>
                <w:sz w:val="24"/>
                <w:u w:val="single"/>
              </w:rPr>
              <w:fldChar w:fldCharType="separate"/>
            </w:r>
            <w:r>
              <w:rPr>
                <w:rFonts w:hint="eastAsia"/>
                <w:sz w:val="24"/>
                <w:u w:val="single"/>
              </w:rPr>
              <w:t>010-69242095</w:t>
            </w:r>
            <w:r>
              <w:rPr>
                <w:rFonts w:hint="eastAsia"/>
                <w:sz w:val="24"/>
                <w:u w:val="single"/>
              </w:rPr>
              <w:fldChar w:fldCharType="end"/>
            </w:r>
            <w:r>
              <w:rPr>
                <w:rFonts w:hint="eastAsia"/>
                <w:sz w:val="24"/>
              </w:rPr>
              <w:t>；</w:t>
            </w:r>
          </w:p>
          <w:p>
            <w:pPr>
              <w:jc w:val="left"/>
              <w:rPr>
                <w:sz w:val="24"/>
              </w:rPr>
            </w:pPr>
            <w:r>
              <w:rPr>
                <w:sz w:val="24"/>
              </w:rPr>
              <w:t>通讯地址：</w:t>
            </w:r>
            <w:r>
              <w:rPr>
                <w:rFonts w:hint="eastAsia"/>
                <w:sz w:val="24"/>
                <w:u w:val="single"/>
              </w:rPr>
              <w:fldChar w:fldCharType="begin"/>
            </w:r>
            <w:r>
              <w:rPr>
                <w:rFonts w:hint="eastAsia"/>
                <w:sz w:val="24"/>
                <w:u w:val="single"/>
              </w:rPr>
              <w:instrText xml:space="preserve"> MERGEFIELD "北京市东城区西革新里112号院1号楼" </w:instrText>
            </w:r>
            <w:r>
              <w:rPr>
                <w:rFonts w:hint="eastAsia"/>
                <w:sz w:val="24"/>
                <w:u w:val="single"/>
              </w:rPr>
              <w:fldChar w:fldCharType="separate"/>
            </w:r>
            <w:r>
              <w:rPr>
                <w:rFonts w:hint="eastAsia"/>
                <w:sz w:val="24"/>
                <w:u w:val="single"/>
              </w:rPr>
              <w:t>北京市大兴区黄村西大街15号</w:t>
            </w:r>
            <w:r>
              <w:rPr>
                <w:rFonts w:hint="eastAsia"/>
                <w:sz w:val="24"/>
                <w:u w:val="single"/>
              </w:rPr>
              <w:fldChar w:fldCharType="end"/>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1" w:hRule="atLeast"/>
          <w:jc w:val="center"/>
        </w:trPr>
        <w:tc>
          <w:tcPr>
            <w:tcW w:w="988" w:type="dxa"/>
            <w:vAlign w:val="center"/>
          </w:tcPr>
          <w:p>
            <w:pPr>
              <w:pStyle w:val="23"/>
              <w:adjustRightInd w:val="0"/>
              <w:snapToGrid w:val="0"/>
              <w:jc w:val="center"/>
              <w:rPr>
                <w:rFonts w:hint="default" w:ascii="Times New Roman" w:hAnsi="Times New Roman"/>
                <w:sz w:val="24"/>
                <w:szCs w:val="24"/>
              </w:rPr>
            </w:pPr>
            <w:r>
              <w:rPr>
                <w:rFonts w:hint="default" w:ascii="Times New Roman" w:hAnsi="Times New Roman"/>
                <w:sz w:val="24"/>
                <w:szCs w:val="24"/>
              </w:rPr>
              <w:t>25</w:t>
            </w:r>
          </w:p>
        </w:tc>
        <w:tc>
          <w:tcPr>
            <w:tcW w:w="1701" w:type="dxa"/>
            <w:vAlign w:val="center"/>
          </w:tcPr>
          <w:p>
            <w:pPr>
              <w:jc w:val="center"/>
              <w:rPr>
                <w:sz w:val="24"/>
              </w:rPr>
            </w:pPr>
            <w:r>
              <w:rPr>
                <w:sz w:val="24"/>
              </w:rPr>
              <w:t>代理费</w:t>
            </w:r>
          </w:p>
        </w:tc>
        <w:tc>
          <w:tcPr>
            <w:tcW w:w="6677" w:type="dxa"/>
            <w:vAlign w:val="center"/>
          </w:tcPr>
          <w:p>
            <w:pPr>
              <w:jc w:val="left"/>
              <w:rPr>
                <w:sz w:val="24"/>
              </w:rPr>
            </w:pPr>
            <w:r>
              <w:rPr>
                <w:sz w:val="24"/>
              </w:rPr>
              <w:t>收费对象：</w:t>
            </w:r>
          </w:p>
          <w:p>
            <w:pPr>
              <w:jc w:val="left"/>
              <w:rPr>
                <w:sz w:val="24"/>
              </w:rPr>
            </w:pPr>
            <w:r>
              <w:rPr>
                <w:rFonts w:hint="eastAsia"/>
                <w:sz w:val="24"/>
                <w:szCs w:val="32"/>
                <w:lang w:eastAsia="zh-CN"/>
              </w:rPr>
              <w:t>□</w:t>
            </w:r>
            <w:r>
              <w:rPr>
                <w:sz w:val="24"/>
              </w:rPr>
              <w:t>采购人</w:t>
            </w:r>
          </w:p>
          <w:p>
            <w:pPr>
              <w:jc w:val="left"/>
              <w:rPr>
                <w:sz w:val="24"/>
              </w:rPr>
            </w:pPr>
            <w:r>
              <w:rPr>
                <w:rFonts w:hint="eastAsia"/>
                <w:sz w:val="24"/>
                <w:szCs w:val="32"/>
              </w:rPr>
              <w:t>■</w:t>
            </w:r>
            <w:r>
              <w:rPr>
                <w:sz w:val="24"/>
              </w:rPr>
              <w:t>成交供应商</w:t>
            </w:r>
          </w:p>
          <w:p>
            <w:pPr>
              <w:jc w:val="left"/>
              <w:rPr>
                <w:rFonts w:hint="default" w:eastAsia="宋体"/>
                <w:sz w:val="24"/>
                <w:u w:val="single"/>
                <w:lang w:val="en-US" w:eastAsia="zh-CN"/>
              </w:rPr>
            </w:pPr>
            <w:r>
              <w:rPr>
                <w:sz w:val="24"/>
              </w:rPr>
              <w:t>收费标准：</w:t>
            </w:r>
            <w:r>
              <w:rPr>
                <w:rFonts w:hint="eastAsia"/>
                <w:sz w:val="24"/>
              </w:rPr>
              <w:t>参照计价格[2002]1980号文件</w:t>
            </w:r>
            <w:r>
              <w:rPr>
                <w:rFonts w:hint="eastAsia"/>
                <w:sz w:val="24"/>
                <w:lang w:eastAsia="zh-CN"/>
              </w:rPr>
              <w:t>，</w:t>
            </w:r>
            <w:r>
              <w:rPr>
                <w:rFonts w:hint="eastAsia"/>
                <w:sz w:val="24"/>
                <w:lang w:val="en-US" w:eastAsia="zh-CN"/>
              </w:rPr>
              <w:t>按照代理合同中约定下浮20%。</w:t>
            </w:r>
          </w:p>
          <w:p>
            <w:pPr>
              <w:jc w:val="left"/>
              <w:rPr>
                <w:sz w:val="24"/>
              </w:rPr>
            </w:pPr>
            <w:r>
              <w:rPr>
                <w:sz w:val="24"/>
              </w:rPr>
              <w:t>缴纳时间：</w:t>
            </w:r>
            <w:r>
              <w:rPr>
                <w:rFonts w:hint="eastAsia"/>
                <w:sz w:val="24"/>
                <w:u w:val="single"/>
              </w:rPr>
              <w:t>领取成交通知书时</w:t>
            </w:r>
            <w:r>
              <w:rPr>
                <w:rFonts w:hint="eastAsia"/>
                <w:sz w:val="24"/>
                <w:u w:val="single"/>
                <w:lang w:val="en-US" w:eastAsia="zh-CN"/>
              </w:rPr>
              <w:t>一次性支付</w:t>
            </w:r>
            <w:r>
              <w:rPr>
                <w:sz w:val="24"/>
              </w:rPr>
              <w:t>。</w:t>
            </w:r>
          </w:p>
        </w:tc>
      </w:tr>
    </w:tbl>
    <w:p>
      <w:pPr>
        <w:tabs>
          <w:tab w:val="left" w:pos="5580"/>
        </w:tabs>
        <w:adjustRightInd w:val="0"/>
        <w:spacing w:line="360" w:lineRule="auto"/>
        <w:jc w:val="distribute"/>
        <w:rPr>
          <w:sz w:val="24"/>
        </w:rPr>
        <w:sectPr>
          <w:footerReference r:id="rId9" w:type="first"/>
          <w:footerReference r:id="rId8" w:type="default"/>
          <w:pgSz w:w="11907" w:h="16840"/>
          <w:pgMar w:top="1418" w:right="1134" w:bottom="1418" w:left="1701" w:header="851" w:footer="851" w:gutter="0"/>
          <w:pgNumType w:start="1"/>
          <w:cols w:space="720" w:num="1"/>
          <w:titlePg/>
          <w:docGrid w:linePitch="462" w:charSpace="0"/>
        </w:sectPr>
      </w:pPr>
    </w:p>
    <w:p>
      <w:pPr>
        <w:spacing w:before="240" w:beforeLines="100" w:after="240" w:afterLines="100"/>
        <w:jc w:val="center"/>
        <w:rPr>
          <w:b/>
          <w:sz w:val="28"/>
          <w:szCs w:val="28"/>
        </w:rPr>
      </w:pPr>
      <w:r>
        <w:rPr>
          <w:b/>
          <w:sz w:val="28"/>
          <w:szCs w:val="28"/>
        </w:rPr>
        <w:t>供应商须知</w:t>
      </w:r>
    </w:p>
    <w:p>
      <w:pPr>
        <w:pStyle w:val="4"/>
        <w:tabs>
          <w:tab w:val="center" w:pos="4592"/>
          <w:tab w:val="left" w:pos="7860"/>
        </w:tabs>
        <w:spacing w:before="0" w:line="360" w:lineRule="auto"/>
        <w:jc w:val="left"/>
        <w:rPr>
          <w:rFonts w:ascii="Times New Roman" w:hAnsi="Times New Roman" w:eastAsia="宋体"/>
          <w:sz w:val="28"/>
        </w:rPr>
      </w:pPr>
      <w:bookmarkStart w:id="67" w:name="_Toc127151518"/>
      <w:bookmarkStart w:id="68" w:name="_Toc520356143"/>
      <w:r>
        <w:rPr>
          <w:rFonts w:ascii="Times New Roman" w:hAnsi="Times New Roman" w:eastAsia="宋体"/>
          <w:sz w:val="28"/>
        </w:rPr>
        <w:tab/>
      </w:r>
      <w:bookmarkStart w:id="69" w:name="_Toc151193832"/>
      <w:bookmarkStart w:id="70" w:name="_Toc226965791"/>
      <w:bookmarkStart w:id="71" w:name="_Toc151193616"/>
      <w:bookmarkStart w:id="72" w:name="_Toc150480756"/>
      <w:bookmarkStart w:id="73" w:name="_Toc195842883"/>
      <w:bookmarkStart w:id="74" w:name="_Toc150509269"/>
      <w:bookmarkStart w:id="75" w:name="_Toc264969208"/>
      <w:bookmarkStart w:id="76" w:name="_Toc226309762"/>
      <w:bookmarkStart w:id="77" w:name="_Toc151193906"/>
      <w:bookmarkStart w:id="78" w:name="_Toc150774618"/>
      <w:bookmarkStart w:id="79" w:name="_Toc142311020"/>
      <w:bookmarkStart w:id="80" w:name="_Toc151193760"/>
      <w:bookmarkStart w:id="81" w:name="_Toc151193688"/>
      <w:bookmarkStart w:id="82" w:name="_Toc226337214"/>
      <w:bookmarkStart w:id="83" w:name="_Toc305158860"/>
      <w:bookmarkStart w:id="84" w:name="_Toc151190145"/>
      <w:bookmarkStart w:id="85" w:name="_Toc305158786"/>
      <w:bookmarkStart w:id="86" w:name="_Toc265228356"/>
      <w:bookmarkStart w:id="87" w:name="_Toc226965708"/>
      <w:bookmarkStart w:id="88" w:name="_Toc150774723"/>
      <w:r>
        <w:rPr>
          <w:rFonts w:ascii="Times New Roman" w:hAnsi="Times New Roman" w:eastAsia="宋体"/>
          <w:sz w:val="28"/>
        </w:rPr>
        <w:t>一   说  明</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r>
        <w:rPr>
          <w:rFonts w:ascii="Times New Roman" w:hAnsi="Times New Roman" w:eastAsia="宋体"/>
          <w:sz w:val="28"/>
        </w:rPr>
        <w:tab/>
      </w:r>
    </w:p>
    <w:p>
      <w:pPr>
        <w:numPr>
          <w:ilvl w:val="0"/>
          <w:numId w:val="2"/>
        </w:numPr>
        <w:tabs>
          <w:tab w:val="left" w:pos="360"/>
          <w:tab w:val="clear" w:pos="900"/>
        </w:tabs>
        <w:snapToGrid w:val="0"/>
        <w:spacing w:line="360" w:lineRule="auto"/>
        <w:ind w:left="357" w:hanging="357"/>
        <w:outlineLvl w:val="1"/>
        <w:rPr>
          <w:sz w:val="24"/>
        </w:rPr>
      </w:pPr>
      <w:bookmarkStart w:id="89" w:name="_Toc305158861"/>
      <w:bookmarkStart w:id="90" w:name="_Toc264969209"/>
      <w:bookmarkStart w:id="91" w:name="_Toc265228357"/>
      <w:bookmarkStart w:id="92" w:name="_Toc305158787"/>
      <w:r>
        <w:rPr>
          <w:sz w:val="24"/>
        </w:rPr>
        <w:t>采购人、采购代理机构、供应商</w:t>
      </w:r>
      <w:bookmarkEnd w:id="89"/>
      <w:bookmarkEnd w:id="90"/>
      <w:bookmarkEnd w:id="91"/>
      <w:bookmarkEnd w:id="92"/>
      <w:r>
        <w:rPr>
          <w:sz w:val="24"/>
        </w:rPr>
        <w:t>、联合体</w:t>
      </w:r>
    </w:p>
    <w:p>
      <w:pPr>
        <w:numPr>
          <w:ilvl w:val="1"/>
          <w:numId w:val="2"/>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采购人、采购代理机构：指依法进行政府采购的国家机关、事业单位、团体组织，及其委托的采购代理机构。本项目采购人、采购代理机构见第一章《采购邀请》。</w:t>
      </w:r>
    </w:p>
    <w:p>
      <w:pPr>
        <w:numPr>
          <w:ilvl w:val="1"/>
          <w:numId w:val="2"/>
        </w:numPr>
        <w:tabs>
          <w:tab w:val="left" w:pos="1080"/>
          <w:tab w:val="left" w:pos="2014"/>
          <w:tab w:val="left" w:pos="5521"/>
        </w:tabs>
        <w:snapToGrid w:val="0"/>
        <w:spacing w:line="360" w:lineRule="auto"/>
        <w:ind w:left="1080" w:hanging="720"/>
        <w:rPr>
          <w:sz w:val="24"/>
        </w:rPr>
      </w:pPr>
      <w:r>
        <w:rPr>
          <w:sz w:val="24"/>
        </w:rPr>
        <w:t>供应商（也称“申请人”）：指向采购人提供货物、工程或者服务的法人、其他组织或者自然人。</w:t>
      </w:r>
    </w:p>
    <w:p>
      <w:pPr>
        <w:numPr>
          <w:ilvl w:val="1"/>
          <w:numId w:val="2"/>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2"/>
        </w:numPr>
        <w:tabs>
          <w:tab w:val="left" w:pos="360"/>
          <w:tab w:val="clear" w:pos="900"/>
        </w:tabs>
        <w:snapToGrid w:val="0"/>
        <w:spacing w:line="360" w:lineRule="auto"/>
        <w:ind w:left="357" w:hanging="357"/>
        <w:outlineLvl w:val="1"/>
        <w:rPr>
          <w:sz w:val="24"/>
        </w:rPr>
      </w:pPr>
      <w:bookmarkStart w:id="93" w:name="_Toc164608789"/>
      <w:bookmarkStart w:id="94" w:name="_Toc264969210"/>
      <w:bookmarkStart w:id="95" w:name="_Toc150480758"/>
      <w:bookmarkStart w:id="96" w:name="_Toc127161434"/>
      <w:bookmarkStart w:id="97" w:name="_Toc127151520"/>
      <w:bookmarkStart w:id="98" w:name="_Toc164229361"/>
      <w:bookmarkStart w:id="99" w:name="_Toc195842885"/>
      <w:bookmarkStart w:id="100" w:name="_Toc151190147"/>
      <w:bookmarkStart w:id="101" w:name="_Toc151193908"/>
      <w:bookmarkStart w:id="102" w:name="_Toc151193618"/>
      <w:bookmarkStart w:id="103" w:name="_Toc226337216"/>
      <w:bookmarkStart w:id="104" w:name="_Toc127151721"/>
      <w:bookmarkStart w:id="105" w:name="_Toc149720813"/>
      <w:bookmarkStart w:id="106" w:name="_Toc305158862"/>
      <w:bookmarkStart w:id="107" w:name="_Toc142311022"/>
      <w:bookmarkStart w:id="108" w:name="_Toc150774620"/>
      <w:bookmarkStart w:id="109" w:name="_Toc226309764"/>
      <w:bookmarkStart w:id="110" w:name="_Toc305158788"/>
      <w:bookmarkStart w:id="111" w:name="_Toc151193834"/>
      <w:bookmarkStart w:id="112" w:name="_Toc164351614"/>
      <w:bookmarkStart w:id="113" w:name="_Toc150774725"/>
      <w:bookmarkStart w:id="114" w:name="_Toc151193762"/>
      <w:bookmarkStart w:id="115" w:name="_Toc164608634"/>
      <w:bookmarkStart w:id="116" w:name="_Toc164229215"/>
      <w:bookmarkStart w:id="117" w:name="_Toc265228358"/>
      <w:bookmarkStart w:id="118" w:name="_Toc226965793"/>
      <w:bookmarkStart w:id="119" w:name="_Toc150509271"/>
      <w:bookmarkStart w:id="120" w:name="_Toc226965710"/>
      <w:bookmarkStart w:id="121" w:name="_Toc151193690"/>
      <w:r>
        <w:rPr>
          <w:sz w:val="24"/>
        </w:rPr>
        <w:t>资金来源</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sz w:val="24"/>
        </w:rPr>
        <w:t>、项目属性、科研仪器设备采购</w:t>
      </w:r>
    </w:p>
    <w:p>
      <w:pPr>
        <w:numPr>
          <w:ilvl w:val="1"/>
          <w:numId w:val="2"/>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2"/>
        </w:numPr>
        <w:tabs>
          <w:tab w:val="left" w:pos="1080"/>
          <w:tab w:val="left" w:pos="2014"/>
        </w:tabs>
        <w:snapToGrid w:val="0"/>
        <w:spacing w:line="360" w:lineRule="auto"/>
        <w:ind w:left="1080" w:hanging="720"/>
        <w:rPr>
          <w:sz w:val="24"/>
        </w:rPr>
      </w:pPr>
      <w:r>
        <w:rPr>
          <w:sz w:val="24"/>
        </w:rPr>
        <w:t>项目属性见《供应商须知资料表》。</w:t>
      </w:r>
    </w:p>
    <w:p>
      <w:pPr>
        <w:numPr>
          <w:ilvl w:val="1"/>
          <w:numId w:val="2"/>
        </w:numPr>
        <w:tabs>
          <w:tab w:val="left" w:pos="1080"/>
          <w:tab w:val="left" w:pos="2014"/>
        </w:tabs>
        <w:snapToGrid w:val="0"/>
        <w:spacing w:line="360" w:lineRule="auto"/>
        <w:ind w:left="1080" w:hanging="720"/>
        <w:rPr>
          <w:sz w:val="24"/>
        </w:rPr>
      </w:pPr>
      <w:r>
        <w:rPr>
          <w:sz w:val="24"/>
        </w:rPr>
        <w:t>是否属于科研仪器设备采购见《供应商须知资料表》。</w:t>
      </w:r>
    </w:p>
    <w:p>
      <w:pPr>
        <w:numPr>
          <w:ilvl w:val="0"/>
          <w:numId w:val="2"/>
        </w:numPr>
        <w:tabs>
          <w:tab w:val="left" w:pos="360"/>
        </w:tabs>
        <w:snapToGrid w:val="0"/>
        <w:spacing w:line="360" w:lineRule="auto"/>
        <w:ind w:left="357" w:hanging="357"/>
        <w:outlineLvl w:val="1"/>
        <w:rPr>
          <w:sz w:val="24"/>
        </w:rPr>
      </w:pPr>
      <w:r>
        <w:rPr>
          <w:sz w:val="24"/>
        </w:rPr>
        <w:t>现场考察、磋商前答疑会</w:t>
      </w:r>
    </w:p>
    <w:p>
      <w:pPr>
        <w:numPr>
          <w:ilvl w:val="1"/>
          <w:numId w:val="2"/>
        </w:numPr>
        <w:tabs>
          <w:tab w:val="left" w:pos="1080"/>
          <w:tab w:val="left" w:pos="2014"/>
        </w:tabs>
        <w:snapToGrid w:val="0"/>
        <w:spacing w:line="360" w:lineRule="auto"/>
        <w:ind w:left="1080" w:hanging="720"/>
        <w:rPr>
          <w:sz w:val="28"/>
        </w:rPr>
      </w:pPr>
      <w:r>
        <w:rPr>
          <w:sz w:val="24"/>
        </w:rPr>
        <w:t>若《供应商须知资料表》中规定了组织现场考察、召开磋商前答疑会，则供应商应按要求在规定的时间和地点参加。</w:t>
      </w:r>
      <w:bookmarkStart w:id="122" w:name="_Toc151193836"/>
      <w:bookmarkStart w:id="123" w:name="_Toc151190149"/>
      <w:bookmarkStart w:id="124" w:name="_Toc150774622"/>
      <w:bookmarkStart w:id="125" w:name="_Toc151193764"/>
      <w:bookmarkStart w:id="126" w:name="_Toc150509273"/>
      <w:bookmarkStart w:id="127" w:name="_Toc150480760"/>
      <w:bookmarkStart w:id="128" w:name="_Toc226309766"/>
      <w:bookmarkStart w:id="129" w:name="_Toc226965712"/>
      <w:bookmarkStart w:id="130" w:name="_Toc264969212"/>
      <w:bookmarkStart w:id="131" w:name="_Toc151193620"/>
      <w:bookmarkStart w:id="132" w:name="_Toc226965795"/>
      <w:bookmarkStart w:id="133" w:name="_Toc142311024"/>
      <w:bookmarkStart w:id="134" w:name="_Toc127151522"/>
      <w:bookmarkStart w:id="135" w:name="_Toc195842887"/>
      <w:bookmarkStart w:id="136" w:name="_Toc520356146"/>
      <w:bookmarkStart w:id="137" w:name="_Toc151193910"/>
      <w:bookmarkStart w:id="138" w:name="_Toc265228360"/>
      <w:bookmarkStart w:id="139" w:name="_Toc305158790"/>
      <w:bookmarkStart w:id="140" w:name="_Toc150774727"/>
      <w:bookmarkStart w:id="141" w:name="_Toc226337218"/>
      <w:bookmarkStart w:id="142" w:name="_Toc305158864"/>
      <w:bookmarkStart w:id="143" w:name="_Toc151193692"/>
    </w:p>
    <w:p>
      <w:pPr>
        <w:numPr>
          <w:ilvl w:val="1"/>
          <w:numId w:val="2"/>
        </w:numPr>
        <w:tabs>
          <w:tab w:val="left" w:pos="1080"/>
          <w:tab w:val="left" w:pos="2014"/>
        </w:tabs>
        <w:snapToGrid w:val="0"/>
        <w:spacing w:line="360" w:lineRule="auto"/>
        <w:ind w:left="1080" w:hanging="720"/>
        <w:rPr>
          <w:sz w:val="24"/>
        </w:rPr>
      </w:pPr>
      <w:r>
        <w:rPr>
          <w:sz w:val="24"/>
        </w:rPr>
        <w:t>由于未参加现场考察或磋商前答疑会而导致对项目实际情况不了解，影响响应文件编制、报价准确性、综合因素响应不全面等问题的，由供应商自行承担不利评审后果。</w:t>
      </w:r>
    </w:p>
    <w:p>
      <w:pPr>
        <w:numPr>
          <w:ilvl w:val="0"/>
          <w:numId w:val="2"/>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2"/>
        </w:numPr>
        <w:tabs>
          <w:tab w:val="left" w:pos="1080"/>
          <w:tab w:val="left" w:pos="2014"/>
        </w:tabs>
        <w:snapToGrid w:val="0"/>
        <w:spacing w:line="360" w:lineRule="auto"/>
        <w:ind w:left="1080" w:hanging="720"/>
        <w:rPr>
          <w:sz w:val="24"/>
        </w:rPr>
      </w:pPr>
      <w:r>
        <w:rPr>
          <w:sz w:val="24"/>
        </w:rPr>
        <w:t>进口产品</w:t>
      </w:r>
    </w:p>
    <w:p>
      <w:pPr>
        <w:numPr>
          <w:ilvl w:val="2"/>
          <w:numId w:val="2"/>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2"/>
        </w:numPr>
        <w:tabs>
          <w:tab w:val="left" w:pos="2014"/>
        </w:tabs>
        <w:snapToGrid w:val="0"/>
        <w:spacing w:line="360" w:lineRule="auto"/>
        <w:rPr>
          <w:sz w:val="24"/>
        </w:rPr>
      </w:pPr>
      <w:r>
        <w:rPr>
          <w:sz w:val="24"/>
        </w:rPr>
        <w:t>本项目是否接受进口产品见第四章《采购需求》。</w:t>
      </w:r>
    </w:p>
    <w:p>
      <w:pPr>
        <w:numPr>
          <w:ilvl w:val="1"/>
          <w:numId w:val="2"/>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2"/>
        </w:numPr>
        <w:snapToGrid w:val="0"/>
        <w:spacing w:line="360" w:lineRule="auto"/>
        <w:rPr>
          <w:rFonts w:ascii="Times New Roman" w:hAnsi="Times New Roman"/>
          <w:vanish/>
          <w:color w:val="000000"/>
          <w:sz w:val="24"/>
          <w:szCs w:val="24"/>
        </w:rPr>
      </w:pPr>
      <w:r>
        <w:rPr>
          <w:sz w:val="24"/>
        </w:rPr>
        <w:t>中小企业定义：</w:t>
      </w:r>
    </w:p>
    <w:p>
      <w:pPr>
        <w:numPr>
          <w:ilvl w:val="0"/>
          <w:numId w:val="0"/>
        </w:numPr>
        <w:tabs>
          <w:tab w:val="left" w:pos="1980"/>
          <w:tab w:val="left" w:pos="2035"/>
          <w:tab w:val="left" w:pos="2885"/>
          <w:tab w:val="left" w:pos="2977"/>
        </w:tabs>
        <w:snapToGrid w:val="0"/>
        <w:spacing w:line="360" w:lineRule="auto"/>
        <w:ind w:left="2704" w:leftChars="945" w:hanging="720" w:hangingChars="300"/>
        <w:rPr>
          <w:color w:val="000000"/>
          <w:sz w:val="24"/>
        </w:rPr>
      </w:pPr>
      <w:r>
        <w:rPr>
          <w:rFonts w:hint="eastAsia"/>
          <w:color w:val="000000"/>
          <w:sz w:val="24"/>
          <w:lang w:val="en-US" w:eastAsia="zh-CN"/>
        </w:rPr>
        <w:t>4.2.1.1</w:t>
      </w: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0"/>
          <w:numId w:val="0"/>
        </w:numPr>
        <w:tabs>
          <w:tab w:val="left" w:pos="1980"/>
          <w:tab w:val="left" w:pos="2035"/>
          <w:tab w:val="left" w:pos="2885"/>
          <w:tab w:val="left" w:pos="2977"/>
        </w:tabs>
        <w:snapToGrid w:val="0"/>
        <w:spacing w:line="360" w:lineRule="auto"/>
        <w:ind w:left="2704" w:leftChars="945" w:hanging="720" w:hangingChars="300"/>
        <w:rPr>
          <w:color w:val="000000"/>
          <w:sz w:val="24"/>
        </w:rPr>
      </w:pPr>
      <w:r>
        <w:rPr>
          <w:rFonts w:hint="eastAsia"/>
          <w:sz w:val="24"/>
          <w:lang w:val="en-US" w:eastAsia="zh-CN"/>
        </w:rPr>
        <w:t>4.2.1.2</w:t>
      </w: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pPr>
        <w:numPr>
          <w:ilvl w:val="0"/>
          <w:numId w:val="0"/>
        </w:numPr>
        <w:tabs>
          <w:tab w:val="left" w:pos="1980"/>
          <w:tab w:val="left" w:pos="2035"/>
          <w:tab w:val="left" w:pos="2885"/>
          <w:tab w:val="left" w:pos="2977"/>
        </w:tabs>
        <w:snapToGrid w:val="0"/>
        <w:spacing w:line="360" w:lineRule="auto"/>
        <w:ind w:left="2704" w:leftChars="945" w:hanging="720" w:hangingChars="300"/>
        <w:rPr>
          <w:sz w:val="24"/>
        </w:rPr>
      </w:pPr>
      <w:r>
        <w:rPr>
          <w:rFonts w:hint="eastAsia"/>
          <w:sz w:val="24"/>
          <w:lang w:val="en-US" w:eastAsia="zh-CN"/>
        </w:rPr>
        <w:t>4.2.1.3</w:t>
      </w:r>
      <w:r>
        <w:rPr>
          <w:sz w:val="24"/>
        </w:rPr>
        <w:t>在货物采购项目中，供应商提供的货物既有中小企业制造货物，也有大型企业制造货物的，不享受中小企业扶持政策。</w:t>
      </w:r>
    </w:p>
    <w:p>
      <w:pPr>
        <w:numPr>
          <w:ilvl w:val="0"/>
          <w:numId w:val="0"/>
        </w:numPr>
        <w:tabs>
          <w:tab w:val="left" w:pos="1980"/>
          <w:tab w:val="left" w:pos="2035"/>
          <w:tab w:val="left" w:pos="2885"/>
          <w:tab w:val="left" w:pos="2977"/>
        </w:tabs>
        <w:snapToGrid w:val="0"/>
        <w:spacing w:line="360" w:lineRule="auto"/>
        <w:ind w:left="2704" w:leftChars="945" w:hanging="720" w:hangingChars="300"/>
        <w:rPr>
          <w:sz w:val="24"/>
        </w:rPr>
      </w:pPr>
      <w:r>
        <w:rPr>
          <w:rFonts w:hint="eastAsia"/>
          <w:color w:val="000000"/>
          <w:sz w:val="24"/>
          <w:lang w:val="en-US" w:eastAsia="zh-CN"/>
        </w:rPr>
        <w:t>4.2.1.4</w:t>
      </w:r>
      <w:r>
        <w:rPr>
          <w:color w:val="000000"/>
          <w:sz w:val="24"/>
        </w:rPr>
        <w:t>以联合体形式参加政府采购活动，联合体各方均为中小企业的，联合体视同中小企业。其中，联合体各方均为小微企业的，联合体视同小微企业。</w:t>
      </w:r>
    </w:p>
    <w:p>
      <w:pPr>
        <w:numPr>
          <w:ilvl w:val="2"/>
          <w:numId w:val="2"/>
        </w:numPr>
        <w:snapToGrid w:val="0"/>
        <w:spacing w:line="360" w:lineRule="auto"/>
        <w:rPr>
          <w:sz w:val="24"/>
        </w:rPr>
      </w:pPr>
      <w:r>
        <w:rPr>
          <w:rFonts w:hint="eastAsia"/>
          <w:sz w:val="24"/>
        </w:rPr>
        <w:t>在政府采购活动中，监狱企业视同小型、微型企业，享受预留份额</w:t>
      </w:r>
      <w:r>
        <w:rPr>
          <w:rFonts w:hint="default"/>
          <w:sz w:val="24"/>
        </w:rPr>
        <w:t>、</w:t>
      </w:r>
      <w:r>
        <w:rPr>
          <w:sz w:val="24"/>
        </w:rPr>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2"/>
        </w:numPr>
        <w:snapToGrid w:val="0"/>
        <w:spacing w:line="360" w:lineRule="auto"/>
        <w:rPr>
          <w:sz w:val="24"/>
        </w:rPr>
      </w:pPr>
      <w:r>
        <w:rPr>
          <w:rFonts w:hint="eastAsia"/>
          <w:sz w:val="24"/>
        </w:rPr>
        <w:t>在政府采购活动中，残疾人福利性单位视同小型、微型企业，享受预留份额、评审中价格扣除等促进中小企业发展的政府采购政策</w:t>
      </w:r>
      <w:r>
        <w:rPr>
          <w:rFonts w:hint="default"/>
          <w:sz w:val="24"/>
        </w:rPr>
        <w:t>。</w:t>
      </w:r>
      <w:r>
        <w:rPr>
          <w:sz w:val="24"/>
        </w:rPr>
        <w:t>残疾人福利单位定义：享受政府采购支持政策的残疾人福利性单位应当同时满足以下条件：</w:t>
      </w:r>
    </w:p>
    <w:p>
      <w:pPr>
        <w:numPr>
          <w:ilvl w:val="0"/>
          <w:numId w:val="0"/>
        </w:numPr>
        <w:tabs>
          <w:tab w:val="left" w:pos="1980"/>
          <w:tab w:val="left" w:pos="2035"/>
          <w:tab w:val="left" w:pos="2885"/>
          <w:tab w:val="left" w:pos="2977"/>
        </w:tabs>
        <w:snapToGrid w:val="0"/>
        <w:spacing w:line="360" w:lineRule="auto"/>
        <w:ind w:left="2704" w:leftChars="945" w:hanging="720" w:hangingChars="300"/>
        <w:rPr>
          <w:color w:val="000000"/>
          <w:sz w:val="24"/>
        </w:rPr>
      </w:pPr>
      <w:r>
        <w:rPr>
          <w:rFonts w:hint="eastAsia"/>
          <w:color w:val="000000"/>
          <w:sz w:val="24"/>
          <w:lang w:val="en-US" w:eastAsia="zh-CN"/>
        </w:rPr>
        <w:t>4.2.3.1</w:t>
      </w:r>
      <w:r>
        <w:rPr>
          <w:color w:val="000000"/>
          <w:sz w:val="24"/>
        </w:rPr>
        <w:t>安置的残疾人占本单位在职职工人数的比例不低于25%（含25%），并且安置的残疾人人数不少于10 人（含10 人）；</w:t>
      </w:r>
    </w:p>
    <w:p>
      <w:pPr>
        <w:numPr>
          <w:ilvl w:val="0"/>
          <w:numId w:val="0"/>
        </w:numPr>
        <w:tabs>
          <w:tab w:val="left" w:pos="1980"/>
          <w:tab w:val="left" w:pos="2035"/>
          <w:tab w:val="left" w:pos="2885"/>
          <w:tab w:val="left" w:pos="2977"/>
        </w:tabs>
        <w:snapToGrid w:val="0"/>
        <w:spacing w:line="360" w:lineRule="auto"/>
        <w:ind w:left="2704" w:leftChars="945" w:hanging="720" w:hangingChars="300"/>
        <w:rPr>
          <w:color w:val="000000"/>
          <w:sz w:val="24"/>
        </w:rPr>
      </w:pPr>
      <w:r>
        <w:rPr>
          <w:sz w:val="24"/>
        </w:rPr>
        <w:t>4.2.3.2依法与安置的每位残疾人签订了一年以上（含一年）的劳动合同或服务协议；</w:t>
      </w:r>
    </w:p>
    <w:p>
      <w:pPr>
        <w:numPr>
          <w:ilvl w:val="0"/>
          <w:numId w:val="0"/>
        </w:numPr>
        <w:tabs>
          <w:tab w:val="left" w:pos="1980"/>
          <w:tab w:val="left" w:pos="2035"/>
          <w:tab w:val="left" w:pos="2885"/>
          <w:tab w:val="left" w:pos="2977"/>
        </w:tabs>
        <w:snapToGrid w:val="0"/>
        <w:spacing w:line="360" w:lineRule="auto"/>
        <w:ind w:left="2704" w:leftChars="945" w:hanging="720" w:hangingChars="300"/>
        <w:rPr>
          <w:color w:val="000000"/>
          <w:sz w:val="24"/>
        </w:rPr>
      </w:pPr>
      <w:r>
        <w:rPr>
          <w:sz w:val="24"/>
        </w:rPr>
        <w:t>4.2.3.3为安置的每位残疾人按月足额缴纳了基本养老保险、基本医疗保险、失业保险、工伤保险和生育保险等社会保险费；</w:t>
      </w:r>
    </w:p>
    <w:p>
      <w:pPr>
        <w:numPr>
          <w:ilvl w:val="0"/>
          <w:numId w:val="0"/>
        </w:numPr>
        <w:tabs>
          <w:tab w:val="left" w:pos="1980"/>
          <w:tab w:val="left" w:pos="2035"/>
          <w:tab w:val="left" w:pos="2885"/>
          <w:tab w:val="left" w:pos="2977"/>
        </w:tabs>
        <w:snapToGrid w:val="0"/>
        <w:spacing w:line="360" w:lineRule="auto"/>
        <w:ind w:left="2704" w:leftChars="945" w:hanging="720" w:hangingChars="300"/>
        <w:rPr>
          <w:color w:val="000000"/>
          <w:sz w:val="24"/>
        </w:rPr>
      </w:pPr>
      <w:r>
        <w:rPr>
          <w:sz w:val="24"/>
        </w:rPr>
        <w:t>4.2.3.4通过银行等金融机构向安置的每位残疾人，按月支付了不低于单位所在区县适用的经省级人民政府批准的月最低工资标准的工资；</w:t>
      </w:r>
    </w:p>
    <w:p>
      <w:pPr>
        <w:numPr>
          <w:ilvl w:val="0"/>
          <w:numId w:val="0"/>
        </w:numPr>
        <w:tabs>
          <w:tab w:val="left" w:pos="1980"/>
          <w:tab w:val="left" w:pos="2035"/>
          <w:tab w:val="left" w:pos="2885"/>
          <w:tab w:val="left" w:pos="2977"/>
        </w:tabs>
        <w:snapToGrid w:val="0"/>
        <w:spacing w:line="360" w:lineRule="auto"/>
        <w:ind w:left="2704" w:leftChars="945" w:hanging="720" w:hangingChars="300"/>
        <w:rPr>
          <w:color w:val="000000"/>
          <w:sz w:val="24"/>
        </w:rPr>
      </w:pPr>
      <w:r>
        <w:rPr>
          <w:sz w:val="24"/>
        </w:rPr>
        <w:t>4.2.3.5提供本单位制造的货物、承担的工程或者服务（以下简称产品），或者提供其他残疾人福利性单位制造的货物（不包括使用非残疾人福利性单位注册商标的货物）；</w:t>
      </w:r>
    </w:p>
    <w:p>
      <w:pPr>
        <w:numPr>
          <w:ilvl w:val="0"/>
          <w:numId w:val="0"/>
        </w:numPr>
        <w:tabs>
          <w:tab w:val="left" w:pos="1980"/>
          <w:tab w:val="left" w:pos="2035"/>
          <w:tab w:val="left" w:pos="2885"/>
          <w:tab w:val="left" w:pos="2977"/>
        </w:tabs>
        <w:snapToGrid w:val="0"/>
        <w:spacing w:line="360" w:lineRule="auto"/>
        <w:ind w:left="2704" w:leftChars="945" w:hanging="720" w:hangingChars="300"/>
        <w:rPr>
          <w:color w:val="000000"/>
          <w:sz w:val="24"/>
        </w:rPr>
      </w:pPr>
      <w:r>
        <w:rPr>
          <w:sz w:val="24"/>
        </w:rPr>
        <w:t>4.2.3.6前款所称残疾人是指法定劳动年龄内，持有《中华人民共和国残疾人证》或者《中华人民共和国残疾军人证（1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2"/>
        </w:numPr>
        <w:snapToGrid w:val="0"/>
        <w:spacing w:line="360" w:lineRule="auto"/>
        <w:rPr>
          <w:sz w:val="24"/>
        </w:rPr>
      </w:pPr>
      <w:r>
        <w:rPr>
          <w:rFonts w:hint="eastAsia"/>
          <w:sz w:val="24"/>
        </w:rPr>
        <w:t>本项目是否专门面向中小企业预留采购份额见第一章《采购邀请》</w:t>
      </w:r>
      <w:r>
        <w:rPr>
          <w:sz w:val="24"/>
        </w:rPr>
        <w:t>。</w:t>
      </w:r>
    </w:p>
    <w:p>
      <w:pPr>
        <w:numPr>
          <w:ilvl w:val="2"/>
          <w:numId w:val="2"/>
        </w:numPr>
        <w:snapToGrid w:val="0"/>
        <w:spacing w:line="360" w:lineRule="auto"/>
        <w:rPr>
          <w:sz w:val="24"/>
        </w:rPr>
      </w:pPr>
      <w:r>
        <w:rPr>
          <w:sz w:val="24"/>
        </w:rPr>
        <w:t>采购标的对应的中小企业划分标准所属行业见《供应商须知资料表》。</w:t>
      </w:r>
    </w:p>
    <w:p>
      <w:pPr>
        <w:numPr>
          <w:ilvl w:val="2"/>
          <w:numId w:val="2"/>
        </w:numPr>
        <w:snapToGrid w:val="0"/>
        <w:spacing w:line="360" w:lineRule="auto"/>
        <w:rPr>
          <w:sz w:val="24"/>
        </w:rPr>
      </w:pPr>
      <w:r>
        <w:rPr>
          <w:sz w:val="24"/>
        </w:rPr>
        <w:t>小微企业价格评审优惠的政策调整：见第三章《评审方法和评审标准》。</w:t>
      </w:r>
    </w:p>
    <w:p>
      <w:pPr>
        <w:numPr>
          <w:ilvl w:val="1"/>
          <w:numId w:val="2"/>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2"/>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2"/>
        </w:numPr>
        <w:snapToGrid w:val="0"/>
        <w:spacing w:line="360" w:lineRule="auto"/>
        <w:rPr>
          <w:sz w:val="24"/>
        </w:rPr>
      </w:pPr>
      <w:r>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pPr>
        <w:numPr>
          <w:ilvl w:val="2"/>
          <w:numId w:val="2"/>
        </w:numPr>
        <w:snapToGrid w:val="0"/>
        <w:spacing w:line="360" w:lineRule="auto"/>
        <w:rPr>
          <w:sz w:val="24"/>
        </w:rPr>
      </w:pPr>
      <w:r>
        <w:rPr>
          <w:sz w:val="24"/>
        </w:rPr>
        <w:t>如本项目采购产品属于实施政府强制采购品目清单范围的节能产品，则供应商所报产品必须获得国家确定的认证机构出具的、处于有效期之内的节能产品认证证书，</w:t>
      </w:r>
      <w:r>
        <w:rPr>
          <w:kern w:val="0"/>
          <w:sz w:val="24"/>
        </w:rPr>
        <w:t>否则</w:t>
      </w:r>
      <w:r>
        <w:rPr>
          <w:b/>
          <w:kern w:val="0"/>
          <w:sz w:val="24"/>
        </w:rPr>
        <w:t>响应无效</w:t>
      </w:r>
      <w:r>
        <w:rPr>
          <w:sz w:val="24"/>
        </w:rPr>
        <w:t>；</w:t>
      </w:r>
    </w:p>
    <w:p>
      <w:pPr>
        <w:numPr>
          <w:ilvl w:val="2"/>
          <w:numId w:val="2"/>
        </w:numPr>
        <w:snapToGrid w:val="0"/>
        <w:spacing w:line="360" w:lineRule="auto"/>
        <w:rPr>
          <w:sz w:val="24"/>
        </w:rPr>
      </w:pPr>
      <w:r>
        <w:rPr>
          <w:sz w:val="24"/>
        </w:rPr>
        <w:t>非政府强制采购的节能产品或环境标志产品，依据品目清单和认证证书实施政府优先采购。优先采购的具体规定见第三章《评审方法和评审标准》（如涉及）。</w:t>
      </w:r>
    </w:p>
    <w:p>
      <w:pPr>
        <w:numPr>
          <w:ilvl w:val="1"/>
          <w:numId w:val="2"/>
        </w:numPr>
        <w:tabs>
          <w:tab w:val="left" w:pos="1080"/>
          <w:tab w:val="left" w:pos="2014"/>
        </w:tabs>
        <w:snapToGrid w:val="0"/>
        <w:spacing w:line="360" w:lineRule="auto"/>
        <w:ind w:left="1080" w:hanging="720"/>
        <w:rPr>
          <w:sz w:val="24"/>
        </w:rPr>
      </w:pPr>
      <w:r>
        <w:rPr>
          <w:sz w:val="24"/>
        </w:rPr>
        <w:t>支持乡村产业振兴管理</w:t>
      </w:r>
    </w:p>
    <w:p>
      <w:pPr>
        <w:numPr>
          <w:ilvl w:val="2"/>
          <w:numId w:val="2"/>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为落实《关于运用政府采购政策支持乡村产业振兴的通知》（财库〔2021〕19号）有关要求，做好支持脱贫攻坚工作，本项目采购活动中对于支持乡村振兴管理的相关要求见第四章《采购需求》（如涉及）。</w:t>
      </w:r>
    </w:p>
    <w:p>
      <w:pPr>
        <w:numPr>
          <w:ilvl w:val="1"/>
          <w:numId w:val="2"/>
        </w:numPr>
        <w:tabs>
          <w:tab w:val="left" w:pos="1080"/>
          <w:tab w:val="left" w:pos="2014"/>
        </w:tabs>
        <w:snapToGrid w:val="0"/>
        <w:spacing w:line="360" w:lineRule="auto"/>
        <w:ind w:left="1080" w:hanging="720"/>
        <w:rPr>
          <w:sz w:val="24"/>
        </w:rPr>
      </w:pPr>
      <w:r>
        <w:rPr>
          <w:sz w:val="24"/>
        </w:rPr>
        <w:t>正版软件</w:t>
      </w:r>
    </w:p>
    <w:p>
      <w:pPr>
        <w:numPr>
          <w:ilvl w:val="2"/>
          <w:numId w:val="2"/>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kern w:val="0"/>
          <w:sz w:val="24"/>
        </w:rPr>
        <w:t>否则</w:t>
      </w:r>
      <w:r>
        <w:rPr>
          <w:b/>
          <w:kern w:val="0"/>
          <w:sz w:val="24"/>
        </w:rPr>
        <w:t>响应无效</w:t>
      </w:r>
      <w:r>
        <w:rPr>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2"/>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2"/>
        </w:numPr>
        <w:tabs>
          <w:tab w:val="left" w:pos="1080"/>
          <w:tab w:val="left" w:pos="2014"/>
        </w:tabs>
        <w:snapToGrid w:val="0"/>
        <w:spacing w:line="360" w:lineRule="auto"/>
        <w:ind w:left="1080" w:hanging="720"/>
        <w:rPr>
          <w:sz w:val="24"/>
        </w:rPr>
      </w:pPr>
      <w:r>
        <w:rPr>
          <w:sz w:val="24"/>
        </w:rPr>
        <w:t>信息安全产品</w:t>
      </w:r>
    </w:p>
    <w:p>
      <w:pPr>
        <w:numPr>
          <w:ilvl w:val="2"/>
          <w:numId w:val="2"/>
        </w:numPr>
        <w:tabs>
          <w:tab w:val="left" w:pos="2014"/>
        </w:tabs>
        <w:snapToGrid w:val="0"/>
        <w:spacing w:line="360" w:lineRule="auto"/>
        <w:rPr>
          <w:sz w:val="24"/>
        </w:rPr>
      </w:pPr>
      <w:r>
        <w:rPr>
          <w:sz w:val="24"/>
        </w:rPr>
        <w:t>所投产品属于《关于调整信息安全产品强制性认证实施要求的公告》（2009 年第33 号）范围的，采购经国家认证的信息安全产品，</w:t>
      </w:r>
      <w:r>
        <w:rPr>
          <w:kern w:val="0"/>
          <w:sz w:val="24"/>
        </w:rPr>
        <w:t>否则</w:t>
      </w:r>
      <w:r>
        <w:rPr>
          <w:b/>
          <w:kern w:val="0"/>
          <w:sz w:val="24"/>
        </w:rPr>
        <w:t>响应无效</w:t>
      </w:r>
      <w:r>
        <w:rPr>
          <w:sz w:val="24"/>
        </w:rPr>
        <w:t>。关于信息安全相关规定依据《关于信息安全产品实施政府采购的通知》（财库〔2010〕48 号）。</w:t>
      </w:r>
    </w:p>
    <w:p>
      <w:pPr>
        <w:numPr>
          <w:ilvl w:val="1"/>
          <w:numId w:val="2"/>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2"/>
        </w:numPr>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w:t>
      </w:r>
    </w:p>
    <w:p>
      <w:pPr>
        <w:numPr>
          <w:ilvl w:val="0"/>
          <w:numId w:val="2"/>
        </w:numPr>
        <w:tabs>
          <w:tab w:val="left" w:pos="360"/>
        </w:tabs>
        <w:snapToGrid w:val="0"/>
        <w:spacing w:line="360" w:lineRule="auto"/>
        <w:ind w:left="357" w:hanging="357"/>
        <w:outlineLvl w:val="1"/>
        <w:rPr>
          <w:sz w:val="24"/>
        </w:rPr>
      </w:pPr>
      <w:r>
        <w:rPr>
          <w:sz w:val="24"/>
        </w:rPr>
        <w:t>响应费用</w:t>
      </w:r>
    </w:p>
    <w:p>
      <w:pPr>
        <w:numPr>
          <w:ilvl w:val="1"/>
          <w:numId w:val="2"/>
        </w:numPr>
        <w:tabs>
          <w:tab w:val="left" w:pos="1080"/>
          <w:tab w:val="left" w:pos="2014"/>
        </w:tabs>
        <w:snapToGrid w:val="0"/>
        <w:spacing w:line="360" w:lineRule="auto"/>
        <w:ind w:left="1080" w:hanging="720"/>
        <w:rPr>
          <w:sz w:val="24"/>
        </w:rPr>
      </w:pPr>
      <w:r>
        <w:rPr>
          <w:sz w:val="24"/>
        </w:rPr>
        <w:t>供应商应自行承担所有与准备和参加磋商有关的费用，无论磋商的结果如何，采购人或采购代理机构在任何情况下均无承担这些费用的义务和责任。</w:t>
      </w:r>
    </w:p>
    <w:p>
      <w:pPr>
        <w:tabs>
          <w:tab w:val="left" w:pos="1080"/>
        </w:tabs>
        <w:snapToGrid w:val="0"/>
        <w:spacing w:line="360" w:lineRule="auto"/>
        <w:ind w:left="1080"/>
        <w:rPr>
          <w:sz w:val="28"/>
        </w:rPr>
      </w:pPr>
      <w:bookmarkStart w:id="144" w:name="_1.8_计量单位"/>
      <w:bookmarkEnd w:id="144"/>
    </w:p>
    <w:p>
      <w:pPr>
        <w:pStyle w:val="4"/>
        <w:spacing w:before="0" w:line="360" w:lineRule="auto"/>
        <w:rPr>
          <w:rFonts w:ascii="Times New Roman" w:hAnsi="Times New Roman" w:eastAsia="宋体"/>
          <w:sz w:val="28"/>
        </w:rPr>
      </w:pPr>
      <w:r>
        <w:rPr>
          <w:rFonts w:ascii="Times New Roman" w:hAnsi="Times New Roman" w:eastAsia="宋体"/>
          <w:sz w:val="28"/>
        </w:rPr>
        <w:t>二   竞争性磋商文件</w:t>
      </w:r>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pPr>
        <w:numPr>
          <w:ilvl w:val="0"/>
          <w:numId w:val="2"/>
        </w:numPr>
        <w:tabs>
          <w:tab w:val="left" w:pos="360"/>
        </w:tabs>
        <w:snapToGrid w:val="0"/>
        <w:spacing w:line="360" w:lineRule="auto"/>
        <w:ind w:left="357" w:hanging="357"/>
        <w:outlineLvl w:val="1"/>
        <w:rPr>
          <w:sz w:val="24"/>
        </w:rPr>
      </w:pPr>
      <w:bookmarkStart w:id="145" w:name="_Toc305158791"/>
      <w:bookmarkStart w:id="146" w:name="_Toc151193911"/>
      <w:bookmarkStart w:id="147" w:name="_Toc264969213"/>
      <w:bookmarkStart w:id="148" w:name="_Toc151190150"/>
      <w:bookmarkStart w:id="149" w:name="_Toc305158865"/>
      <w:bookmarkStart w:id="150" w:name="_Toc226337219"/>
      <w:bookmarkStart w:id="151" w:name="_Toc151193693"/>
      <w:bookmarkStart w:id="152" w:name="_Toc150509274"/>
      <w:bookmarkStart w:id="153" w:name="_Toc127151523"/>
      <w:bookmarkStart w:id="154" w:name="_Toc150480761"/>
      <w:bookmarkStart w:id="155" w:name="_Toc164229364"/>
      <w:bookmarkStart w:id="156" w:name="_Toc127161437"/>
      <w:bookmarkStart w:id="157" w:name="_Toc151193621"/>
      <w:bookmarkStart w:id="158" w:name="_Toc149720816"/>
      <w:bookmarkStart w:id="159" w:name="_Toc150774623"/>
      <w:bookmarkStart w:id="160" w:name="_Toc127151724"/>
      <w:bookmarkStart w:id="161" w:name="_Toc265228361"/>
      <w:bookmarkStart w:id="162" w:name="_Toc226965796"/>
      <w:bookmarkStart w:id="163" w:name="_Toc150774728"/>
      <w:bookmarkStart w:id="164" w:name="_Toc164351617"/>
      <w:bookmarkStart w:id="165" w:name="_Toc226965713"/>
      <w:bookmarkStart w:id="166" w:name="_Toc151193765"/>
      <w:bookmarkStart w:id="167" w:name="_Toc151193837"/>
      <w:bookmarkStart w:id="168" w:name="_Toc164608637"/>
      <w:bookmarkStart w:id="169" w:name="_Toc226309767"/>
      <w:bookmarkStart w:id="170" w:name="_Toc142311025"/>
      <w:bookmarkStart w:id="171" w:name="_Toc195842888"/>
      <w:bookmarkStart w:id="172" w:name="_Toc164608792"/>
      <w:bookmarkStart w:id="173" w:name="_Toc164229218"/>
      <w:bookmarkStart w:id="174" w:name="_Toc520356147"/>
      <w:r>
        <w:rPr>
          <w:sz w:val="24"/>
        </w:rPr>
        <w:t>竞争性磋商文件构</w:t>
      </w:r>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sz w:val="24"/>
        </w:rPr>
        <w:t>成</w:t>
      </w:r>
    </w:p>
    <w:p>
      <w:pPr>
        <w:numPr>
          <w:ilvl w:val="1"/>
          <w:numId w:val="2"/>
        </w:numPr>
        <w:tabs>
          <w:tab w:val="left" w:pos="1080"/>
          <w:tab w:val="left" w:pos="2014"/>
        </w:tabs>
        <w:snapToGrid w:val="0"/>
        <w:spacing w:line="360" w:lineRule="auto"/>
        <w:ind w:left="1080" w:hanging="720"/>
        <w:rPr>
          <w:sz w:val="24"/>
        </w:rPr>
      </w:pPr>
      <w:r>
        <w:rPr>
          <w:sz w:val="24"/>
        </w:rPr>
        <w:t>竞争性磋商文件包括以下部分：</w:t>
      </w:r>
    </w:p>
    <w:p>
      <w:pPr>
        <w:numPr>
          <w:ilvl w:val="0"/>
          <w:numId w:val="3"/>
        </w:numPr>
        <w:tabs>
          <w:tab w:val="left" w:pos="1980"/>
          <w:tab w:val="left" w:pos="2520"/>
        </w:tabs>
        <w:snapToGrid w:val="0"/>
        <w:spacing w:line="360" w:lineRule="auto"/>
        <w:ind w:left="1440" w:firstLine="5"/>
        <w:rPr>
          <w:sz w:val="24"/>
        </w:rPr>
      </w:pPr>
      <w:r>
        <w:rPr>
          <w:sz w:val="24"/>
        </w:rPr>
        <w:t>采购邀请</w:t>
      </w:r>
    </w:p>
    <w:p>
      <w:pPr>
        <w:numPr>
          <w:ilvl w:val="0"/>
          <w:numId w:val="3"/>
        </w:numPr>
        <w:tabs>
          <w:tab w:val="left" w:pos="1980"/>
          <w:tab w:val="left" w:pos="2520"/>
        </w:tabs>
        <w:snapToGrid w:val="0"/>
        <w:spacing w:line="360" w:lineRule="auto"/>
        <w:ind w:left="1440" w:firstLine="5"/>
        <w:rPr>
          <w:sz w:val="24"/>
        </w:rPr>
      </w:pPr>
      <w:r>
        <w:rPr>
          <w:sz w:val="24"/>
        </w:rPr>
        <w:t>供应商须知</w:t>
      </w:r>
    </w:p>
    <w:p>
      <w:pPr>
        <w:numPr>
          <w:ilvl w:val="0"/>
          <w:numId w:val="3"/>
        </w:numPr>
        <w:tabs>
          <w:tab w:val="left" w:pos="1980"/>
          <w:tab w:val="left" w:pos="2520"/>
        </w:tabs>
        <w:snapToGrid w:val="0"/>
        <w:spacing w:line="360" w:lineRule="auto"/>
        <w:ind w:left="1440" w:firstLine="5"/>
        <w:rPr>
          <w:sz w:val="24"/>
        </w:rPr>
      </w:pPr>
      <w:r>
        <w:rPr>
          <w:sz w:val="24"/>
        </w:rPr>
        <w:t>评审方法和评审标准</w:t>
      </w:r>
    </w:p>
    <w:p>
      <w:pPr>
        <w:numPr>
          <w:ilvl w:val="0"/>
          <w:numId w:val="3"/>
        </w:numPr>
        <w:tabs>
          <w:tab w:val="left" w:pos="1980"/>
          <w:tab w:val="left" w:pos="2520"/>
        </w:tabs>
        <w:snapToGrid w:val="0"/>
        <w:spacing w:line="360" w:lineRule="auto"/>
        <w:ind w:left="1440" w:firstLine="5"/>
        <w:rPr>
          <w:sz w:val="24"/>
        </w:rPr>
      </w:pPr>
      <w:r>
        <w:rPr>
          <w:sz w:val="24"/>
        </w:rPr>
        <w:t>采购需求</w:t>
      </w:r>
    </w:p>
    <w:p>
      <w:pPr>
        <w:numPr>
          <w:ilvl w:val="0"/>
          <w:numId w:val="3"/>
        </w:numPr>
        <w:tabs>
          <w:tab w:val="left" w:pos="1980"/>
          <w:tab w:val="left" w:pos="2520"/>
        </w:tabs>
        <w:snapToGrid w:val="0"/>
        <w:spacing w:line="360" w:lineRule="auto"/>
        <w:ind w:left="1440" w:firstLine="5"/>
        <w:rPr>
          <w:sz w:val="24"/>
        </w:rPr>
      </w:pPr>
      <w:r>
        <w:rPr>
          <w:sz w:val="24"/>
        </w:rPr>
        <w:t>合同草案条款</w:t>
      </w:r>
    </w:p>
    <w:p>
      <w:pPr>
        <w:numPr>
          <w:ilvl w:val="0"/>
          <w:numId w:val="3"/>
        </w:numPr>
        <w:tabs>
          <w:tab w:val="left" w:pos="1980"/>
          <w:tab w:val="left" w:pos="2520"/>
        </w:tabs>
        <w:snapToGrid w:val="0"/>
        <w:spacing w:line="360" w:lineRule="auto"/>
        <w:ind w:left="1440" w:firstLine="5"/>
        <w:rPr>
          <w:sz w:val="24"/>
        </w:rPr>
      </w:pPr>
      <w:r>
        <w:rPr>
          <w:sz w:val="24"/>
        </w:rPr>
        <w:t>响应文件格式</w:t>
      </w:r>
    </w:p>
    <w:p>
      <w:pPr>
        <w:numPr>
          <w:ilvl w:val="1"/>
          <w:numId w:val="2"/>
        </w:numPr>
        <w:tabs>
          <w:tab w:val="left" w:pos="1080"/>
          <w:tab w:val="left" w:pos="2014"/>
        </w:tabs>
        <w:snapToGrid w:val="0"/>
        <w:spacing w:line="360" w:lineRule="auto"/>
        <w:ind w:left="1080" w:hanging="720"/>
        <w:rPr>
          <w:sz w:val="24"/>
        </w:rPr>
      </w:pPr>
      <w:r>
        <w:rPr>
          <w:sz w:val="24"/>
        </w:rPr>
        <w:t>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numPr>
          <w:ilvl w:val="0"/>
          <w:numId w:val="2"/>
        </w:numPr>
        <w:tabs>
          <w:tab w:val="left" w:pos="1080"/>
          <w:tab w:val="left" w:pos="2014"/>
        </w:tabs>
        <w:snapToGrid w:val="0"/>
        <w:spacing w:line="360" w:lineRule="auto"/>
        <w:ind w:left="357" w:hanging="357"/>
        <w:outlineLvl w:val="1"/>
        <w:rPr>
          <w:sz w:val="24"/>
        </w:rPr>
      </w:pPr>
      <w:r>
        <w:rPr>
          <w:sz w:val="24"/>
        </w:rPr>
        <w:t>对竞争性磋商文件的澄清或修改</w:t>
      </w:r>
    </w:p>
    <w:p>
      <w:pPr>
        <w:numPr>
          <w:ilvl w:val="1"/>
          <w:numId w:val="2"/>
        </w:numPr>
        <w:tabs>
          <w:tab w:val="left" w:pos="1080"/>
          <w:tab w:val="left" w:pos="1561"/>
          <w:tab w:val="left" w:pos="2014"/>
        </w:tabs>
        <w:snapToGrid w:val="0"/>
        <w:spacing w:line="360" w:lineRule="auto"/>
        <w:ind w:left="1080" w:hanging="720"/>
        <w:rPr>
          <w:sz w:val="24"/>
        </w:rPr>
      </w:pPr>
      <w:r>
        <w:rPr>
          <w:sz w:val="24"/>
        </w:rPr>
        <w:t>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numPr>
          <w:ilvl w:val="1"/>
          <w:numId w:val="2"/>
        </w:numPr>
        <w:tabs>
          <w:tab w:val="left" w:pos="1080"/>
          <w:tab w:val="left" w:pos="1561"/>
          <w:tab w:val="left" w:pos="2014"/>
        </w:tabs>
        <w:snapToGrid w:val="0"/>
        <w:spacing w:line="360" w:lineRule="auto"/>
        <w:ind w:left="1080" w:hanging="720"/>
        <w:rPr>
          <w:sz w:val="24"/>
        </w:rPr>
      </w:pPr>
      <w:r>
        <w:rPr>
          <w:sz w:val="24"/>
        </w:rPr>
        <w:t>上述书面通知，按照获取竞争性磋商文件的潜在供应商提供的联系方式发出，因提供的信息有误导致通知延迟或无法通知的，采购人或采购代理机构不承担责任。</w:t>
      </w:r>
    </w:p>
    <w:p>
      <w:pPr>
        <w:numPr>
          <w:ilvl w:val="1"/>
          <w:numId w:val="2"/>
        </w:numPr>
        <w:tabs>
          <w:tab w:val="left" w:pos="1080"/>
          <w:tab w:val="left" w:pos="1561"/>
          <w:tab w:val="left" w:pos="2014"/>
        </w:tabs>
        <w:snapToGrid w:val="0"/>
        <w:spacing w:line="360" w:lineRule="auto"/>
        <w:ind w:left="1080" w:hanging="720"/>
        <w:rPr>
          <w:sz w:val="24"/>
        </w:rPr>
      </w:pPr>
      <w:r>
        <w:rPr>
          <w:sz w:val="24"/>
        </w:rPr>
        <w:t>澄清或者修改的内容为竞争性磋商文件的组成部分，并对所有获取竞争性磋商文件的潜在供应商具有约束力。澄清或者修改的内容可能影响响应文件编制的，将在提交首次响应文件截止之日</w:t>
      </w:r>
      <w:r>
        <w:rPr>
          <w:rFonts w:hint="eastAsia"/>
          <w:sz w:val="24"/>
          <w:lang w:val="en-US" w:eastAsia="zh-CN"/>
        </w:rPr>
        <w:t>5个日历天</w:t>
      </w:r>
      <w:r>
        <w:rPr>
          <w:sz w:val="24"/>
        </w:rPr>
        <w:t>前；不足上述时间的，将顺延提交响应文件的截止时间。</w:t>
      </w:r>
    </w:p>
    <w:p>
      <w:pPr>
        <w:tabs>
          <w:tab w:val="left" w:pos="1080"/>
          <w:tab w:val="left" w:pos="1561"/>
        </w:tabs>
        <w:snapToGrid w:val="0"/>
        <w:spacing w:line="360" w:lineRule="auto"/>
        <w:ind w:left="1080"/>
        <w:rPr>
          <w:sz w:val="28"/>
        </w:rPr>
      </w:pPr>
      <w:bookmarkStart w:id="175" w:name="_Toc516367020"/>
      <w:bookmarkStart w:id="176" w:name="_Toc151190153"/>
      <w:bookmarkStart w:id="177" w:name="_Toc265228364"/>
      <w:bookmarkStart w:id="178" w:name="_Toc226965716"/>
      <w:bookmarkStart w:id="179" w:name="_Toc150774731"/>
      <w:bookmarkStart w:id="180" w:name="_Toc520356150"/>
      <w:bookmarkStart w:id="181" w:name="_Toc226309770"/>
      <w:bookmarkStart w:id="182" w:name="_Toc151193624"/>
      <w:bookmarkStart w:id="183" w:name="_Toc305158794"/>
      <w:bookmarkStart w:id="184" w:name="_Toc264969216"/>
      <w:bookmarkStart w:id="185" w:name="_Toc151193914"/>
      <w:bookmarkStart w:id="186" w:name="_Toc226965799"/>
      <w:bookmarkStart w:id="187" w:name="_Toc150774626"/>
      <w:bookmarkStart w:id="188" w:name="_Toc150480764"/>
      <w:bookmarkStart w:id="189" w:name="_Toc150509277"/>
      <w:bookmarkStart w:id="190" w:name="_Toc142311028"/>
      <w:bookmarkStart w:id="191" w:name="_Toc151193768"/>
      <w:bookmarkStart w:id="192" w:name="_Toc226337222"/>
      <w:bookmarkStart w:id="193" w:name="_Toc127151526"/>
      <w:bookmarkStart w:id="194" w:name="_Toc151193696"/>
      <w:bookmarkStart w:id="195" w:name="_Toc151193840"/>
      <w:bookmarkStart w:id="196" w:name="_Toc195842891"/>
      <w:bookmarkStart w:id="197" w:name="_Toc305158868"/>
    </w:p>
    <w:p>
      <w:pPr>
        <w:pStyle w:val="4"/>
        <w:spacing w:before="0" w:line="360" w:lineRule="auto"/>
        <w:rPr>
          <w:rFonts w:ascii="Times New Roman" w:hAnsi="Times New Roman" w:eastAsia="宋体"/>
          <w:sz w:val="28"/>
        </w:rPr>
      </w:pPr>
      <w:r>
        <w:rPr>
          <w:rFonts w:ascii="Times New Roman" w:hAnsi="Times New Roman" w:eastAsia="宋体"/>
          <w:sz w:val="28"/>
        </w:rPr>
        <w:t>三   响应文件</w:t>
      </w:r>
      <w:bookmarkEnd w:id="175"/>
      <w:r>
        <w:rPr>
          <w:rFonts w:ascii="Times New Roman" w:hAnsi="Times New Roman" w:eastAsia="宋体"/>
          <w:sz w:val="28"/>
        </w:rPr>
        <w:t>的编制</w:t>
      </w:r>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pPr>
        <w:numPr>
          <w:ilvl w:val="0"/>
          <w:numId w:val="2"/>
        </w:numPr>
        <w:tabs>
          <w:tab w:val="left" w:pos="360"/>
        </w:tabs>
        <w:snapToGrid w:val="0"/>
        <w:spacing w:line="360" w:lineRule="auto"/>
        <w:ind w:left="357" w:hanging="357"/>
        <w:outlineLvl w:val="1"/>
        <w:rPr>
          <w:sz w:val="24"/>
        </w:rPr>
      </w:pPr>
      <w:bookmarkStart w:id="198" w:name="_Toc151193697"/>
      <w:bookmarkStart w:id="199" w:name="_Toc151193769"/>
      <w:bookmarkStart w:id="200" w:name="_Toc150509278"/>
      <w:bookmarkStart w:id="201" w:name="_Toc151193915"/>
      <w:bookmarkStart w:id="202" w:name="_Toc151193841"/>
      <w:bookmarkStart w:id="203" w:name="_Toc127151527"/>
      <w:bookmarkStart w:id="204" w:name="_Toc264969217"/>
      <w:bookmarkStart w:id="205" w:name="_Toc195842892"/>
      <w:bookmarkStart w:id="206" w:name="_Toc127151728"/>
      <w:bookmarkStart w:id="207" w:name="_Toc164229368"/>
      <w:bookmarkStart w:id="208" w:name="_Toc305158869"/>
      <w:bookmarkStart w:id="209" w:name="_Toc226309771"/>
      <w:bookmarkStart w:id="210" w:name="_Toc226965800"/>
      <w:bookmarkStart w:id="211" w:name="_Toc164608641"/>
      <w:bookmarkStart w:id="212" w:name="_Toc151190154"/>
      <w:bookmarkStart w:id="213" w:name="_Toc305158795"/>
      <w:bookmarkStart w:id="214" w:name="_Toc265228365"/>
      <w:bookmarkStart w:id="215" w:name="_Toc150774627"/>
      <w:bookmarkStart w:id="216" w:name="_Toc164229222"/>
      <w:bookmarkStart w:id="217" w:name="_Toc150480765"/>
      <w:bookmarkStart w:id="218" w:name="_Toc151193625"/>
      <w:bookmarkStart w:id="219" w:name="_Toc164608796"/>
      <w:bookmarkStart w:id="220" w:name="_Toc150774732"/>
      <w:bookmarkStart w:id="221" w:name="_Toc164351621"/>
      <w:bookmarkStart w:id="222" w:name="_Toc127161441"/>
      <w:bookmarkStart w:id="223" w:name="_Toc516367021"/>
      <w:bookmarkStart w:id="224" w:name="_Toc226337223"/>
      <w:bookmarkStart w:id="225" w:name="_Toc142311029"/>
      <w:bookmarkStart w:id="226" w:name="_Toc226965717"/>
      <w:bookmarkStart w:id="227" w:name="_Toc149720820"/>
      <w:bookmarkStart w:id="228" w:name="_Toc520356151"/>
      <w:r>
        <w:rPr>
          <w:sz w:val="24"/>
        </w:rPr>
        <w:t>响应范围、竞争性磋商文件中计量单位的使用</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r>
        <w:rPr>
          <w:sz w:val="24"/>
        </w:rPr>
        <w:t>及磋商语言</w:t>
      </w:r>
    </w:p>
    <w:p>
      <w:pPr>
        <w:numPr>
          <w:ilvl w:val="1"/>
          <w:numId w:val="2"/>
        </w:numPr>
        <w:tabs>
          <w:tab w:val="left" w:pos="1080"/>
          <w:tab w:val="left" w:pos="2014"/>
        </w:tabs>
        <w:snapToGrid w:val="0"/>
        <w:spacing w:line="360" w:lineRule="auto"/>
        <w:ind w:left="1080" w:hanging="720"/>
        <w:rPr>
          <w:sz w:val="24"/>
        </w:rPr>
      </w:pPr>
      <w:r>
        <w:rPr>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pPr>
        <w:numPr>
          <w:ilvl w:val="1"/>
          <w:numId w:val="2"/>
        </w:numPr>
        <w:tabs>
          <w:tab w:val="left" w:pos="1080"/>
          <w:tab w:val="left" w:pos="2014"/>
        </w:tabs>
        <w:snapToGrid w:val="0"/>
        <w:spacing w:line="360" w:lineRule="auto"/>
        <w:ind w:left="1080" w:hanging="720"/>
        <w:rPr>
          <w:sz w:val="24"/>
        </w:rPr>
      </w:pPr>
      <w:r>
        <w:rPr>
          <w:sz w:val="24"/>
        </w:rPr>
        <w:t>除竞争性磋商文件有特殊要求外，本项目磋商所使用的计量单位，应采用中华人民共和国法定计量单位。</w:t>
      </w:r>
    </w:p>
    <w:p>
      <w:pPr>
        <w:numPr>
          <w:ilvl w:val="1"/>
          <w:numId w:val="2"/>
        </w:numPr>
        <w:tabs>
          <w:tab w:val="left" w:pos="1080"/>
          <w:tab w:val="left" w:pos="2014"/>
        </w:tabs>
        <w:snapToGrid w:val="0"/>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numPr>
          <w:ilvl w:val="0"/>
          <w:numId w:val="2"/>
        </w:numPr>
        <w:tabs>
          <w:tab w:val="left" w:pos="360"/>
        </w:tabs>
        <w:snapToGrid w:val="0"/>
        <w:spacing w:line="360" w:lineRule="auto"/>
        <w:ind w:left="357" w:hanging="357"/>
        <w:outlineLvl w:val="1"/>
        <w:rPr>
          <w:sz w:val="24"/>
        </w:rPr>
      </w:pPr>
      <w:bookmarkStart w:id="229" w:name="_Ref467306676"/>
      <w:bookmarkStart w:id="230" w:name="_Toc516367022"/>
      <w:bookmarkStart w:id="231" w:name="_Ref467306195"/>
      <w:bookmarkStart w:id="232" w:name="_Toc164229369"/>
      <w:bookmarkStart w:id="233" w:name="_Toc265228366"/>
      <w:bookmarkStart w:id="234" w:name="_Toc150774628"/>
      <w:bookmarkStart w:id="235" w:name="_Toc164351622"/>
      <w:bookmarkStart w:id="236" w:name="_Toc127151528"/>
      <w:bookmarkStart w:id="237" w:name="_Toc164608797"/>
      <w:bookmarkStart w:id="238" w:name="_Toc127161442"/>
      <w:bookmarkStart w:id="239" w:name="_Toc164608642"/>
      <w:bookmarkStart w:id="240" w:name="_Toc142311030"/>
      <w:bookmarkStart w:id="241" w:name="_Toc151193698"/>
      <w:bookmarkStart w:id="242" w:name="_Toc520356152"/>
      <w:bookmarkStart w:id="243" w:name="_Toc150509279"/>
      <w:bookmarkStart w:id="244" w:name="_Toc151193916"/>
      <w:bookmarkStart w:id="245" w:name="_Toc195842893"/>
      <w:bookmarkStart w:id="246" w:name="_Toc127151729"/>
      <w:bookmarkStart w:id="247" w:name="_Toc226965801"/>
      <w:bookmarkStart w:id="248" w:name="_Toc151193842"/>
      <w:bookmarkStart w:id="249" w:name="_Toc149720821"/>
      <w:bookmarkStart w:id="250" w:name="_Toc151193626"/>
      <w:bookmarkStart w:id="251" w:name="_Toc151190155"/>
      <w:bookmarkStart w:id="252" w:name="_Toc264969218"/>
      <w:bookmarkStart w:id="253" w:name="_Toc226337224"/>
      <w:bookmarkStart w:id="254" w:name="_Toc164229223"/>
      <w:bookmarkStart w:id="255" w:name="_Toc305158796"/>
      <w:bookmarkStart w:id="256" w:name="_Toc150774733"/>
      <w:bookmarkStart w:id="257" w:name="_Toc150480766"/>
      <w:bookmarkStart w:id="258" w:name="_Toc305158870"/>
      <w:bookmarkStart w:id="259" w:name="_Toc226309772"/>
      <w:bookmarkStart w:id="260" w:name="_Toc226965718"/>
      <w:bookmarkStart w:id="261" w:name="_Toc151193770"/>
      <w:r>
        <w:rPr>
          <w:sz w:val="24"/>
        </w:rPr>
        <w:t>响应文件</w:t>
      </w:r>
      <w:bookmarkEnd w:id="229"/>
      <w:bookmarkEnd w:id="230"/>
      <w:bookmarkEnd w:id="231"/>
      <w:r>
        <w:rPr>
          <w:sz w:val="24"/>
        </w:rPr>
        <w:t>构成</w:t>
      </w:r>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p>
    <w:p>
      <w:pPr>
        <w:numPr>
          <w:ilvl w:val="1"/>
          <w:numId w:val="2"/>
        </w:numPr>
        <w:tabs>
          <w:tab w:val="left" w:pos="1080"/>
          <w:tab w:val="left" w:pos="2014"/>
        </w:tabs>
        <w:snapToGrid w:val="0"/>
        <w:spacing w:line="360" w:lineRule="auto"/>
        <w:ind w:left="1077" w:hanging="720"/>
        <w:rPr>
          <w:sz w:val="24"/>
        </w:rPr>
      </w:pPr>
      <w:bookmarkStart w:id="262" w:name="_Ref467052588"/>
      <w:r>
        <w:rPr>
          <w:sz w:val="24"/>
        </w:rPr>
        <w:t>供应商应当按照竞争性磋商文件的要求编制响应文件，</w:t>
      </w:r>
      <w:r>
        <w:rPr>
          <w:kern w:val="0"/>
          <w:sz w:val="24"/>
        </w:rPr>
        <w:t>并对其提交的响应文件的真实性、合法性承担法律责任</w:t>
      </w:r>
      <w:r>
        <w:rPr>
          <w:sz w:val="24"/>
        </w:rPr>
        <w:t>。响应文件的部分格式要求，见第六章《响应文件格式》。</w:t>
      </w:r>
    </w:p>
    <w:p>
      <w:pPr>
        <w:numPr>
          <w:ilvl w:val="1"/>
          <w:numId w:val="2"/>
        </w:numPr>
        <w:tabs>
          <w:tab w:val="left" w:pos="1080"/>
          <w:tab w:val="left" w:pos="2014"/>
        </w:tabs>
        <w:snapToGrid w:val="0"/>
        <w:spacing w:line="360" w:lineRule="auto"/>
        <w:ind w:left="1077" w:hanging="720"/>
        <w:rPr>
          <w:sz w:val="24"/>
        </w:rPr>
      </w:pPr>
      <w:r>
        <w:rPr>
          <w:kern w:val="0"/>
          <w:sz w:val="24"/>
        </w:rPr>
        <w:t>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numPr>
          <w:ilvl w:val="1"/>
          <w:numId w:val="2"/>
        </w:numPr>
        <w:tabs>
          <w:tab w:val="left" w:pos="1080"/>
          <w:tab w:val="left" w:pos="2014"/>
        </w:tabs>
        <w:snapToGrid w:val="0"/>
        <w:spacing w:line="360" w:lineRule="auto"/>
        <w:ind w:left="1077" w:hanging="720"/>
        <w:rPr>
          <w:sz w:val="24"/>
        </w:rPr>
      </w:pPr>
      <w:r>
        <w:rPr>
          <w:sz w:val="24"/>
        </w:rPr>
        <w:t>第三章《评审方法和评审标准》中涉及的证明文件。</w:t>
      </w:r>
    </w:p>
    <w:p>
      <w:pPr>
        <w:numPr>
          <w:ilvl w:val="1"/>
          <w:numId w:val="2"/>
        </w:numPr>
        <w:tabs>
          <w:tab w:val="left" w:pos="1080"/>
          <w:tab w:val="left" w:pos="2014"/>
        </w:tabs>
        <w:snapToGrid w:val="0"/>
        <w:spacing w:line="360" w:lineRule="auto"/>
        <w:ind w:left="1077" w:hanging="720"/>
        <w:rPr>
          <w:sz w:val="24"/>
        </w:rPr>
      </w:pPr>
      <w:r>
        <w:rPr>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pPr>
        <w:numPr>
          <w:ilvl w:val="1"/>
          <w:numId w:val="2"/>
        </w:numPr>
        <w:tabs>
          <w:tab w:val="left" w:pos="1080"/>
          <w:tab w:val="left" w:pos="2014"/>
        </w:tabs>
        <w:snapToGrid w:val="0"/>
        <w:spacing w:line="360" w:lineRule="auto"/>
        <w:ind w:left="1077" w:hanging="720"/>
        <w:rPr>
          <w:sz w:val="24"/>
        </w:rPr>
      </w:pPr>
      <w:r>
        <w:rPr>
          <w:sz w:val="24"/>
        </w:rPr>
        <w:t>供应商认为应附的其他材料。</w:t>
      </w:r>
      <w:bookmarkEnd w:id="262"/>
    </w:p>
    <w:p>
      <w:pPr>
        <w:numPr>
          <w:ilvl w:val="0"/>
          <w:numId w:val="2"/>
        </w:numPr>
        <w:tabs>
          <w:tab w:val="left" w:pos="360"/>
        </w:tabs>
        <w:snapToGrid w:val="0"/>
        <w:spacing w:line="360" w:lineRule="auto"/>
        <w:ind w:left="357" w:hanging="357"/>
        <w:outlineLvl w:val="1"/>
        <w:rPr>
          <w:sz w:val="24"/>
        </w:rPr>
      </w:pPr>
      <w:bookmarkStart w:id="263" w:name="_Toc150774735"/>
      <w:bookmarkStart w:id="264" w:name="_Toc151193700"/>
      <w:bookmarkStart w:id="265" w:name="_Toc195842895"/>
      <w:bookmarkStart w:id="266" w:name="_Toc150774630"/>
      <w:bookmarkStart w:id="267" w:name="_Toc151193628"/>
      <w:bookmarkStart w:id="268" w:name="_Toc127151731"/>
      <w:bookmarkStart w:id="269" w:name="_Toc150480768"/>
      <w:bookmarkStart w:id="270" w:name="_Toc164229371"/>
      <w:bookmarkStart w:id="271" w:name="_Toc142311032"/>
      <w:bookmarkStart w:id="272" w:name="_Toc164351624"/>
      <w:bookmarkStart w:id="273" w:name="_Toc149720823"/>
      <w:bookmarkStart w:id="274" w:name="_Toc127161444"/>
      <w:bookmarkStart w:id="275" w:name="_Toc150509281"/>
      <w:bookmarkStart w:id="276" w:name="_Toc151193844"/>
      <w:bookmarkStart w:id="277" w:name="_Toc520356155"/>
      <w:bookmarkStart w:id="278" w:name="_Toc164229225"/>
      <w:bookmarkStart w:id="279" w:name="_Toc164608644"/>
      <w:bookmarkStart w:id="280" w:name="_Toc151193772"/>
      <w:bookmarkStart w:id="281" w:name="_Toc164608799"/>
      <w:bookmarkStart w:id="282" w:name="_Toc127151530"/>
      <w:bookmarkStart w:id="283" w:name="_Toc151193918"/>
      <w:bookmarkStart w:id="284" w:name="_Toc151190157"/>
      <w:r>
        <w:rPr>
          <w:sz w:val="24"/>
        </w:rPr>
        <w:t>报价</w:t>
      </w:r>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pPr>
        <w:numPr>
          <w:ilvl w:val="1"/>
          <w:numId w:val="2"/>
        </w:numPr>
        <w:tabs>
          <w:tab w:val="left" w:pos="1080"/>
          <w:tab w:val="left" w:pos="2014"/>
        </w:tabs>
        <w:snapToGrid w:val="0"/>
        <w:spacing w:line="360" w:lineRule="auto"/>
        <w:ind w:left="1077" w:hanging="720"/>
        <w:rPr>
          <w:sz w:val="24"/>
        </w:rPr>
      </w:pPr>
      <w:r>
        <w:rPr>
          <w:sz w:val="24"/>
        </w:rPr>
        <w:t>所有响应均以人民币报价。</w:t>
      </w:r>
    </w:p>
    <w:p>
      <w:pPr>
        <w:numPr>
          <w:ilvl w:val="1"/>
          <w:numId w:val="2"/>
        </w:numPr>
        <w:tabs>
          <w:tab w:val="left" w:pos="1080"/>
        </w:tabs>
        <w:snapToGrid w:val="0"/>
        <w:spacing w:line="360" w:lineRule="auto"/>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numPr>
          <w:ilvl w:val="2"/>
          <w:numId w:val="2"/>
        </w:numPr>
        <w:snapToGrid w:val="0"/>
        <w:spacing w:line="360" w:lineRule="auto"/>
        <w:rPr>
          <w:sz w:val="24"/>
        </w:rPr>
      </w:pPr>
      <w:r>
        <w:rPr>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pPr>
        <w:numPr>
          <w:ilvl w:val="2"/>
          <w:numId w:val="2"/>
        </w:numPr>
        <w:snapToGrid w:val="0"/>
        <w:spacing w:line="360" w:lineRule="auto"/>
        <w:rPr>
          <w:sz w:val="24"/>
        </w:rPr>
      </w:pPr>
      <w:r>
        <w:rPr>
          <w:sz w:val="24"/>
        </w:rPr>
        <w:t>按照竞争性磋商文件要求完成本项</w:t>
      </w:r>
      <w:r>
        <w:rPr>
          <w:rFonts w:hint="eastAsia"/>
          <w:sz w:val="24"/>
        </w:rPr>
        <w:t>目的全部相关工程或服务费用。</w:t>
      </w:r>
    </w:p>
    <w:p>
      <w:pPr>
        <w:numPr>
          <w:ilvl w:val="1"/>
          <w:numId w:val="2"/>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2"/>
        </w:numPr>
        <w:tabs>
          <w:tab w:val="left" w:pos="1080"/>
          <w:tab w:val="left" w:pos="2014"/>
        </w:tabs>
        <w:snapToGrid w:val="0"/>
        <w:spacing w:line="360" w:lineRule="auto"/>
        <w:ind w:left="1080" w:hanging="720"/>
        <w:rPr>
          <w:sz w:val="24"/>
        </w:rPr>
      </w:pPr>
      <w:r>
        <w:rPr>
          <w:sz w:val="24"/>
        </w:rPr>
        <w:t>供应商不能提供任何有选择性或可调整的最后报价（</w:t>
      </w:r>
      <w:r>
        <w:rPr>
          <w:color w:val="000000"/>
          <w:kern w:val="0"/>
          <w:sz w:val="24"/>
        </w:rPr>
        <w:t>竞争性磋商文件</w:t>
      </w:r>
      <w:r>
        <w:rPr>
          <w:sz w:val="24"/>
        </w:rPr>
        <w:t>另有规定的除外），否则其</w:t>
      </w:r>
      <w:r>
        <w:rPr>
          <w:b/>
          <w:sz w:val="24"/>
        </w:rPr>
        <w:t>响应无效</w:t>
      </w:r>
      <w:r>
        <w:rPr>
          <w:sz w:val="24"/>
        </w:rPr>
        <w:t>。</w:t>
      </w:r>
    </w:p>
    <w:p>
      <w:pPr>
        <w:numPr>
          <w:ilvl w:val="0"/>
          <w:numId w:val="2"/>
        </w:numPr>
        <w:tabs>
          <w:tab w:val="left" w:pos="360"/>
        </w:tabs>
        <w:snapToGrid w:val="0"/>
        <w:spacing w:line="360" w:lineRule="auto"/>
        <w:ind w:left="357" w:hanging="357"/>
        <w:outlineLvl w:val="1"/>
        <w:rPr>
          <w:sz w:val="24"/>
        </w:rPr>
      </w:pPr>
      <w:r>
        <w:rPr>
          <w:sz w:val="24"/>
        </w:rPr>
        <w:t>磋商保证金</w:t>
      </w:r>
    </w:p>
    <w:p>
      <w:pPr>
        <w:numPr>
          <w:ilvl w:val="1"/>
          <w:numId w:val="2"/>
        </w:numPr>
        <w:tabs>
          <w:tab w:val="left" w:pos="1080"/>
          <w:tab w:val="left" w:pos="2014"/>
        </w:tabs>
        <w:snapToGrid w:val="0"/>
        <w:spacing w:line="360" w:lineRule="auto"/>
        <w:ind w:left="1077" w:hanging="720"/>
        <w:rPr>
          <w:sz w:val="24"/>
        </w:rPr>
      </w:pPr>
      <w:bookmarkStart w:id="285" w:name="_Ref467306302"/>
      <w:r>
        <w:rPr>
          <w:sz w:val="24"/>
        </w:rPr>
        <w:t>供应商应按《供应商须知资料表》中规定的金额及要求交纳磋商保证金</w:t>
      </w:r>
      <w:bookmarkEnd w:id="285"/>
      <w:r>
        <w:rPr>
          <w:sz w:val="24"/>
        </w:rPr>
        <w:t>，并作为其响应文件的一部分。</w:t>
      </w:r>
    </w:p>
    <w:p>
      <w:pPr>
        <w:numPr>
          <w:ilvl w:val="1"/>
          <w:numId w:val="2"/>
        </w:numPr>
        <w:tabs>
          <w:tab w:val="left" w:pos="1080"/>
          <w:tab w:val="left" w:pos="2014"/>
        </w:tabs>
        <w:snapToGrid w:val="0"/>
        <w:spacing w:line="360" w:lineRule="auto"/>
        <w:ind w:left="1077" w:hanging="720"/>
        <w:rPr>
          <w:sz w:val="24"/>
        </w:rPr>
      </w:pPr>
      <w:r>
        <w:rPr>
          <w:sz w:val="24"/>
        </w:rPr>
        <w:t>交纳磋商保证金可采用的形式：政府采购法律法规接受的支票、汇票、本票、网上银行支付或者金融机构、担保机构出具的保函等非现金形式。</w:t>
      </w:r>
    </w:p>
    <w:p>
      <w:pPr>
        <w:numPr>
          <w:ilvl w:val="1"/>
          <w:numId w:val="2"/>
        </w:numPr>
        <w:tabs>
          <w:tab w:val="left" w:pos="1080"/>
          <w:tab w:val="left" w:pos="2014"/>
        </w:tabs>
        <w:snapToGrid w:val="0"/>
        <w:spacing w:line="360" w:lineRule="auto"/>
        <w:ind w:left="1077" w:hanging="720"/>
        <w:rPr>
          <w:sz w:val="24"/>
        </w:rPr>
      </w:pPr>
      <w:r>
        <w:rPr>
          <w:sz w:val="24"/>
        </w:rPr>
        <w:t>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pPr>
        <w:numPr>
          <w:ilvl w:val="1"/>
          <w:numId w:val="2"/>
        </w:numPr>
        <w:tabs>
          <w:tab w:val="left" w:pos="1080"/>
          <w:tab w:val="left" w:pos="2014"/>
        </w:tabs>
        <w:snapToGrid w:val="0"/>
        <w:spacing w:line="360" w:lineRule="auto"/>
        <w:ind w:left="1077" w:hanging="720"/>
        <w:rPr>
          <w:sz w:val="24"/>
        </w:rPr>
      </w:pPr>
      <w:r>
        <w:rPr>
          <w:sz w:val="24"/>
        </w:rPr>
        <w:t>磋商保证金（保函）有效期同响应有效期。</w:t>
      </w:r>
    </w:p>
    <w:p>
      <w:pPr>
        <w:numPr>
          <w:ilvl w:val="1"/>
          <w:numId w:val="2"/>
        </w:numPr>
        <w:tabs>
          <w:tab w:val="left" w:pos="1080"/>
          <w:tab w:val="left" w:pos="2014"/>
        </w:tabs>
        <w:snapToGrid w:val="0"/>
        <w:spacing w:line="360" w:lineRule="auto"/>
        <w:ind w:left="1077" w:hanging="720"/>
        <w:rPr>
          <w:sz w:val="24"/>
        </w:rPr>
      </w:pPr>
      <w:r>
        <w:rPr>
          <w:sz w:val="24"/>
        </w:rPr>
        <w:t>供应商为联合体的，可以由联合体中的一方或者多方共同交纳磋商保证金，其交纳的保证金对联合体各方均具有约束力。</w:t>
      </w:r>
    </w:p>
    <w:p>
      <w:pPr>
        <w:numPr>
          <w:ilvl w:val="1"/>
          <w:numId w:val="2"/>
        </w:numPr>
        <w:tabs>
          <w:tab w:val="left" w:pos="1080"/>
          <w:tab w:val="left" w:pos="2014"/>
        </w:tabs>
        <w:snapToGrid w:val="0"/>
        <w:spacing w:line="360" w:lineRule="auto"/>
        <w:ind w:left="1077" w:hanging="720"/>
        <w:rPr>
          <w:sz w:val="24"/>
        </w:rPr>
      </w:pPr>
      <w:r>
        <w:rPr>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pPr>
        <w:numPr>
          <w:ilvl w:val="2"/>
          <w:numId w:val="2"/>
        </w:numPr>
        <w:snapToGrid w:val="0"/>
        <w:spacing w:line="360" w:lineRule="auto"/>
        <w:rPr>
          <w:sz w:val="24"/>
        </w:rPr>
      </w:pPr>
      <w:r>
        <w:rPr>
          <w:snapToGrid w:val="0"/>
          <w:kern w:val="0"/>
          <w:sz w:val="24"/>
        </w:rPr>
        <w:t>已提交响应文件的供应商，在提交最后报价之前，可以根据磋商情况退出磋商。采购人、采购代理机构将退还退出磋商的供应商的磋商保证金</w:t>
      </w:r>
      <w:r>
        <w:rPr>
          <w:rFonts w:hint="eastAsia"/>
          <w:snapToGrid w:val="0"/>
          <w:kern w:val="0"/>
          <w:sz w:val="24"/>
        </w:rPr>
        <w:t>；</w:t>
      </w:r>
    </w:p>
    <w:p>
      <w:pPr>
        <w:numPr>
          <w:ilvl w:val="2"/>
          <w:numId w:val="2"/>
        </w:numPr>
        <w:snapToGrid w:val="0"/>
        <w:spacing w:line="360" w:lineRule="auto"/>
        <w:rPr>
          <w:sz w:val="24"/>
        </w:rPr>
      </w:pPr>
      <w:r>
        <w:rPr>
          <w:sz w:val="24"/>
        </w:rPr>
        <w:t>成交供应商的磋商保证金，在采购合同签订后5个工作日内退还成交供应商；</w:t>
      </w:r>
    </w:p>
    <w:p>
      <w:pPr>
        <w:numPr>
          <w:ilvl w:val="2"/>
          <w:numId w:val="2"/>
        </w:numPr>
        <w:snapToGrid w:val="0"/>
        <w:spacing w:line="360" w:lineRule="auto"/>
        <w:rPr>
          <w:sz w:val="24"/>
        </w:rPr>
      </w:pPr>
      <w:r>
        <w:rPr>
          <w:sz w:val="24"/>
        </w:rPr>
        <w:t>未成交供应商的磋商保证金，在成交通知书发出后5个工作日内退还</w:t>
      </w:r>
      <w:r>
        <w:rPr>
          <w:rFonts w:hint="eastAsia"/>
          <w:sz w:val="24"/>
        </w:rPr>
        <w:t>。</w:t>
      </w:r>
    </w:p>
    <w:p>
      <w:pPr>
        <w:numPr>
          <w:ilvl w:val="1"/>
          <w:numId w:val="2"/>
        </w:numPr>
        <w:tabs>
          <w:tab w:val="left" w:pos="1080"/>
          <w:tab w:val="left" w:pos="2014"/>
        </w:tabs>
        <w:snapToGrid w:val="0"/>
        <w:spacing w:line="360" w:lineRule="auto"/>
        <w:ind w:left="1077" w:hanging="720"/>
        <w:rPr>
          <w:sz w:val="24"/>
        </w:rPr>
      </w:pPr>
      <w:r>
        <w:rPr>
          <w:sz w:val="24"/>
        </w:rPr>
        <w:t>有下列情形之一的，采购人或采购代理机构不予退还磋商保证金：</w:t>
      </w:r>
    </w:p>
    <w:p>
      <w:pPr>
        <w:numPr>
          <w:ilvl w:val="2"/>
          <w:numId w:val="2"/>
        </w:numPr>
        <w:snapToGrid w:val="0"/>
        <w:spacing w:line="360" w:lineRule="auto"/>
        <w:rPr>
          <w:sz w:val="24"/>
        </w:rPr>
      </w:pPr>
      <w:r>
        <w:rPr>
          <w:sz w:val="24"/>
        </w:rPr>
        <w:t>供应商在提交响应文件截止时间后撤回响应文件的；</w:t>
      </w:r>
    </w:p>
    <w:p>
      <w:pPr>
        <w:numPr>
          <w:ilvl w:val="2"/>
          <w:numId w:val="2"/>
        </w:numPr>
        <w:snapToGrid w:val="0"/>
        <w:spacing w:line="360" w:lineRule="auto"/>
        <w:rPr>
          <w:sz w:val="24"/>
        </w:rPr>
      </w:pPr>
      <w:r>
        <w:rPr>
          <w:sz w:val="24"/>
        </w:rPr>
        <w:t>供应商在响应文件中提供虚假材料的；</w:t>
      </w:r>
    </w:p>
    <w:p>
      <w:pPr>
        <w:numPr>
          <w:ilvl w:val="2"/>
          <w:numId w:val="2"/>
        </w:numPr>
        <w:snapToGrid w:val="0"/>
        <w:spacing w:line="360" w:lineRule="auto"/>
        <w:rPr>
          <w:sz w:val="24"/>
        </w:rPr>
      </w:pPr>
      <w:r>
        <w:rPr>
          <w:sz w:val="24"/>
        </w:rPr>
        <w:t>除因不可抗力或磋商文件认可的情形以外，成交供应商不与采购人签订合同的；</w:t>
      </w:r>
    </w:p>
    <w:p>
      <w:pPr>
        <w:numPr>
          <w:ilvl w:val="2"/>
          <w:numId w:val="2"/>
        </w:numPr>
        <w:snapToGrid w:val="0"/>
        <w:spacing w:line="360" w:lineRule="auto"/>
        <w:rPr>
          <w:sz w:val="24"/>
        </w:rPr>
      </w:pPr>
      <w:r>
        <w:rPr>
          <w:sz w:val="24"/>
        </w:rPr>
        <w:t>供应商与采购人、其他供应商或者采购代理机构恶意串通的；</w:t>
      </w:r>
    </w:p>
    <w:p>
      <w:pPr>
        <w:numPr>
          <w:ilvl w:val="2"/>
          <w:numId w:val="2"/>
        </w:numPr>
        <w:snapToGrid w:val="0"/>
        <w:spacing w:line="360" w:lineRule="auto"/>
        <w:rPr>
          <w:sz w:val="24"/>
        </w:rPr>
      </w:pPr>
      <w:r>
        <w:rPr>
          <w:sz w:val="24"/>
        </w:rPr>
        <w:t>《供应商须知资料表》规定的其他情形。</w:t>
      </w:r>
    </w:p>
    <w:p>
      <w:pPr>
        <w:numPr>
          <w:ilvl w:val="0"/>
          <w:numId w:val="2"/>
        </w:numPr>
        <w:tabs>
          <w:tab w:val="left" w:pos="360"/>
        </w:tabs>
        <w:snapToGrid w:val="0"/>
        <w:spacing w:line="360" w:lineRule="auto"/>
        <w:ind w:left="357" w:hanging="357"/>
        <w:outlineLvl w:val="1"/>
        <w:rPr>
          <w:sz w:val="24"/>
        </w:rPr>
      </w:pPr>
      <w:r>
        <w:rPr>
          <w:sz w:val="24"/>
        </w:rPr>
        <w:t>响应有效期</w:t>
      </w:r>
    </w:p>
    <w:p>
      <w:pPr>
        <w:numPr>
          <w:ilvl w:val="1"/>
          <w:numId w:val="2"/>
        </w:numPr>
        <w:tabs>
          <w:tab w:val="left" w:pos="1080"/>
          <w:tab w:val="left" w:pos="2014"/>
        </w:tabs>
        <w:snapToGrid w:val="0"/>
        <w:spacing w:line="360" w:lineRule="auto"/>
        <w:ind w:left="1077" w:hanging="720"/>
        <w:rPr>
          <w:sz w:val="24"/>
        </w:rPr>
      </w:pPr>
      <w:r>
        <w:rPr>
          <w:sz w:val="24"/>
        </w:rPr>
        <w:t>响应文件应在本竞争性磋商文件《供应商须知资料表》中规定的响应有效期内保持有效，响应有效期少于竞争性磋商文件规定期限的，其</w:t>
      </w:r>
      <w:r>
        <w:rPr>
          <w:b/>
          <w:sz w:val="24"/>
        </w:rPr>
        <w:t>响应无效</w:t>
      </w:r>
      <w:r>
        <w:rPr>
          <w:sz w:val="24"/>
        </w:rPr>
        <w:t>。</w:t>
      </w:r>
    </w:p>
    <w:p>
      <w:pPr>
        <w:numPr>
          <w:ilvl w:val="0"/>
          <w:numId w:val="2"/>
        </w:numPr>
        <w:tabs>
          <w:tab w:val="left" w:pos="360"/>
        </w:tabs>
        <w:snapToGrid w:val="0"/>
        <w:spacing w:line="360" w:lineRule="auto"/>
        <w:ind w:left="357" w:hanging="357"/>
        <w:outlineLvl w:val="1"/>
        <w:rPr>
          <w:b/>
          <w:sz w:val="24"/>
        </w:rPr>
      </w:pPr>
      <w:bookmarkStart w:id="286" w:name="_Toc164229374"/>
      <w:bookmarkStart w:id="287" w:name="_Toc127151533"/>
      <w:bookmarkStart w:id="288" w:name="_Toc150509284"/>
      <w:bookmarkStart w:id="289" w:name="_Toc305158801"/>
      <w:bookmarkStart w:id="290" w:name="_Toc151190160"/>
      <w:bookmarkStart w:id="291" w:name="_Toc127161447"/>
      <w:bookmarkStart w:id="292" w:name="_Toc226965806"/>
      <w:bookmarkStart w:id="293" w:name="_Toc151193775"/>
      <w:bookmarkStart w:id="294" w:name="_Toc150774738"/>
      <w:bookmarkStart w:id="295" w:name="_Toc151193703"/>
      <w:bookmarkStart w:id="296" w:name="_Toc195842898"/>
      <w:bookmarkStart w:id="297" w:name="_Toc151193921"/>
      <w:bookmarkStart w:id="298" w:name="_Toc226309777"/>
      <w:bookmarkStart w:id="299" w:name="_Toc264969223"/>
      <w:bookmarkStart w:id="300" w:name="_Toc151193631"/>
      <w:bookmarkStart w:id="301" w:name="_Toc164229228"/>
      <w:bookmarkStart w:id="302" w:name="_Toc226965723"/>
      <w:bookmarkStart w:id="303" w:name="_Toc265228371"/>
      <w:bookmarkStart w:id="304" w:name="_Toc164608647"/>
      <w:bookmarkStart w:id="305" w:name="_Toc127151734"/>
      <w:bookmarkStart w:id="306" w:name="_Toc150480771"/>
      <w:bookmarkStart w:id="307" w:name="_Toc164608802"/>
      <w:bookmarkStart w:id="308" w:name="_Toc164351627"/>
      <w:bookmarkStart w:id="309" w:name="_Toc520356158"/>
      <w:bookmarkStart w:id="310" w:name="_Toc226337229"/>
      <w:bookmarkStart w:id="311" w:name="_Toc142311035"/>
      <w:bookmarkStart w:id="312" w:name="_Toc151193847"/>
      <w:bookmarkStart w:id="313" w:name="_Toc149720826"/>
      <w:bookmarkStart w:id="314" w:name="_Toc305158875"/>
      <w:bookmarkStart w:id="315" w:name="_Toc150774633"/>
      <w:r>
        <w:rPr>
          <w:b/>
          <w:sz w:val="24"/>
        </w:rPr>
        <w:t>响应文件的签署</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r>
        <w:rPr>
          <w:b/>
          <w:sz w:val="24"/>
        </w:rPr>
        <w:t>、盖章</w:t>
      </w:r>
      <w:r>
        <w:rPr>
          <w:rFonts w:hint="eastAsia"/>
          <w:b/>
          <w:sz w:val="24"/>
        </w:rPr>
        <w:t>、密封及标记</w:t>
      </w:r>
    </w:p>
    <w:p>
      <w:pPr>
        <w:numPr>
          <w:ilvl w:val="1"/>
          <w:numId w:val="2"/>
        </w:numPr>
        <w:tabs>
          <w:tab w:val="left" w:pos="1080"/>
          <w:tab w:val="left" w:pos="2014"/>
        </w:tabs>
        <w:snapToGrid w:val="0"/>
        <w:spacing w:line="360" w:lineRule="auto"/>
        <w:ind w:left="1077" w:hanging="720"/>
        <w:rPr>
          <w:b/>
          <w:sz w:val="24"/>
        </w:rPr>
      </w:pPr>
      <w:bookmarkStart w:id="316" w:name="_Toc151193776"/>
      <w:bookmarkStart w:id="317" w:name="_Toc150509285"/>
      <w:bookmarkStart w:id="318" w:name="_Toc226965724"/>
      <w:bookmarkStart w:id="319" w:name="_Toc226337230"/>
      <w:bookmarkStart w:id="320" w:name="_Toc265228372"/>
      <w:bookmarkStart w:id="321" w:name="_Toc520356159"/>
      <w:bookmarkStart w:id="322" w:name="_Toc151193848"/>
      <w:bookmarkStart w:id="323" w:name="_Toc151190161"/>
      <w:bookmarkStart w:id="324" w:name="_Toc226309778"/>
      <w:bookmarkStart w:id="325" w:name="_Toc150480772"/>
      <w:bookmarkStart w:id="326" w:name="_Toc151193704"/>
      <w:bookmarkStart w:id="327" w:name="_Toc151193632"/>
      <w:bookmarkStart w:id="328" w:name="_Toc264969224"/>
      <w:bookmarkStart w:id="329" w:name="_Toc305158876"/>
      <w:bookmarkStart w:id="330" w:name="_Toc305158802"/>
      <w:bookmarkStart w:id="331" w:name="_Toc150774634"/>
      <w:bookmarkStart w:id="332" w:name="_Toc127151534"/>
      <w:bookmarkStart w:id="333" w:name="_Toc195842899"/>
      <w:bookmarkStart w:id="334" w:name="_Toc142311036"/>
      <w:bookmarkStart w:id="335" w:name="_Toc151193922"/>
      <w:bookmarkStart w:id="336" w:name="_Toc226965807"/>
      <w:bookmarkStart w:id="337" w:name="_Toc150774739"/>
      <w:r>
        <w:rPr>
          <w:rFonts w:hint="eastAsia"/>
          <w:b/>
          <w:sz w:val="24"/>
        </w:rPr>
        <w:t>供应商应提交纸质响应文件正本1份、副本2份，电子版U盘1份（电子版为PDF格式签字盖章后的扫描件，应包括响应文件全部内容）。每份响应文件须清楚地标明“正本”或“副本”。若正本与副本或电子版不符，以正本为准。</w:t>
      </w:r>
    </w:p>
    <w:p>
      <w:pPr>
        <w:numPr>
          <w:ilvl w:val="1"/>
          <w:numId w:val="2"/>
        </w:numPr>
        <w:tabs>
          <w:tab w:val="left" w:pos="1080"/>
          <w:tab w:val="left" w:pos="2014"/>
        </w:tabs>
        <w:snapToGrid w:val="0"/>
        <w:spacing w:line="360" w:lineRule="auto"/>
        <w:ind w:left="1077" w:hanging="720"/>
        <w:rPr>
          <w:b/>
          <w:sz w:val="24"/>
        </w:rPr>
      </w:pPr>
      <w:r>
        <w:rPr>
          <w:rFonts w:hint="eastAsia"/>
          <w:b/>
          <w:sz w:val="24"/>
        </w:rPr>
        <w:t>供应商应按照“第六章 响应文件格式”规定的顺序编排响应文件、编制目录、逐页标注连续页码（不包括已标价工程量清单），并以左侧胶装方式胶装成册。</w:t>
      </w:r>
    </w:p>
    <w:p>
      <w:pPr>
        <w:tabs>
          <w:tab w:val="left" w:pos="1080"/>
          <w:tab w:val="left" w:pos="1589"/>
          <w:tab w:val="left" w:pos="2014"/>
        </w:tabs>
        <w:snapToGrid w:val="0"/>
        <w:spacing w:line="360" w:lineRule="auto"/>
        <w:ind w:left="1077"/>
        <w:rPr>
          <w:b/>
          <w:sz w:val="24"/>
        </w:rPr>
      </w:pPr>
      <w:r>
        <w:rPr>
          <w:rFonts w:hint="eastAsia"/>
          <w:b/>
          <w:sz w:val="24"/>
        </w:rPr>
        <w:t>竞争性磋商文件要求</w:t>
      </w:r>
      <w:bookmarkStart w:id="1127" w:name="_GoBack"/>
      <w:r>
        <w:rPr>
          <w:rFonts w:hint="eastAsia"/>
          <w:b/>
          <w:sz w:val="24"/>
        </w:rPr>
        <w:t>签字</w:t>
      </w:r>
      <w:bookmarkEnd w:id="1127"/>
      <w:r>
        <w:rPr>
          <w:rFonts w:hint="eastAsia"/>
          <w:b/>
          <w:sz w:val="24"/>
        </w:rPr>
        <w:t>的内容应手写签字（签字章无效），竞争性磋商文件要求盖章的内容应盖物理公章（电子签章、彩色复印章无效）。响应文件所附电子件或电子证照或图片均应盖物理公章并加盖骑缝章（电子签章、彩色复印章无效）。</w:t>
      </w:r>
    </w:p>
    <w:p>
      <w:pPr>
        <w:tabs>
          <w:tab w:val="left" w:pos="1080"/>
          <w:tab w:val="left" w:pos="1589"/>
          <w:tab w:val="left" w:pos="2014"/>
        </w:tabs>
        <w:snapToGrid w:val="0"/>
        <w:spacing w:line="360" w:lineRule="auto"/>
        <w:ind w:left="1077"/>
        <w:rPr>
          <w:b/>
          <w:sz w:val="24"/>
        </w:rPr>
      </w:pPr>
      <w:r>
        <w:rPr>
          <w:rFonts w:hint="eastAsia"/>
          <w:b/>
          <w:sz w:val="24"/>
        </w:rPr>
        <w:t>响应文件的正本需打印或用不退色墨水书写（建议双面打印），响应文件的副本可采用正本的复印件。</w:t>
      </w:r>
    </w:p>
    <w:p>
      <w:pPr>
        <w:tabs>
          <w:tab w:val="left" w:pos="1080"/>
          <w:tab w:val="left" w:pos="1589"/>
          <w:tab w:val="left" w:pos="2014"/>
        </w:tabs>
        <w:snapToGrid w:val="0"/>
        <w:spacing w:line="360" w:lineRule="auto"/>
        <w:ind w:left="1077"/>
        <w:rPr>
          <w:b/>
          <w:sz w:val="24"/>
        </w:rPr>
      </w:pPr>
      <w:r>
        <w:rPr>
          <w:rFonts w:hint="eastAsia"/>
          <w:b/>
          <w:sz w:val="24"/>
        </w:rPr>
        <w:t>响应文件应字迹清楚、内容齐全，尽量避免涂改。任何涂改、行间插字或增删，必须由供应商法定代表人或经其正式授权的代表签字或加盖公章确认。</w:t>
      </w:r>
    </w:p>
    <w:p>
      <w:pPr>
        <w:tabs>
          <w:tab w:val="left" w:pos="1080"/>
          <w:tab w:val="left" w:pos="1589"/>
          <w:tab w:val="left" w:pos="2014"/>
        </w:tabs>
        <w:snapToGrid w:val="0"/>
        <w:spacing w:line="360" w:lineRule="auto"/>
        <w:ind w:left="1077"/>
        <w:rPr>
          <w:b/>
          <w:sz w:val="24"/>
        </w:rPr>
      </w:pPr>
      <w:r>
        <w:rPr>
          <w:rFonts w:hint="eastAsia"/>
          <w:b/>
          <w:sz w:val="24"/>
        </w:rPr>
        <w:t>响应文件因字迹潦草或表达不清所引起的后果由供应商自行负责。</w:t>
      </w:r>
    </w:p>
    <w:p>
      <w:pPr>
        <w:numPr>
          <w:ilvl w:val="1"/>
          <w:numId w:val="2"/>
        </w:numPr>
        <w:tabs>
          <w:tab w:val="left" w:pos="1080"/>
          <w:tab w:val="left" w:pos="2014"/>
        </w:tabs>
        <w:snapToGrid w:val="0"/>
        <w:spacing w:line="360" w:lineRule="auto"/>
        <w:ind w:left="1077" w:hanging="720"/>
        <w:rPr>
          <w:b/>
          <w:sz w:val="24"/>
        </w:rPr>
      </w:pPr>
      <w:r>
        <w:rPr>
          <w:rFonts w:hint="eastAsia"/>
          <w:b/>
          <w:sz w:val="24"/>
        </w:rPr>
        <w:t>响应文件的正本、副本、电子版应分别密封、同时提交。外密封包的密封处须加盖公章及法人章各一枚。未按规定密封的响应文件，采购人或采购代理机构将予拒收。所有密封包上均应标明：</w:t>
      </w:r>
    </w:p>
    <w:p>
      <w:pPr>
        <w:tabs>
          <w:tab w:val="left" w:pos="1080"/>
          <w:tab w:val="left" w:pos="1589"/>
          <w:tab w:val="left" w:pos="2014"/>
        </w:tabs>
        <w:snapToGrid w:val="0"/>
        <w:spacing w:line="360" w:lineRule="auto"/>
        <w:ind w:left="1077"/>
        <w:rPr>
          <w:b/>
          <w:sz w:val="24"/>
        </w:rPr>
      </w:pPr>
      <w:r>
        <w:rPr>
          <w:rFonts w:hint="eastAsia"/>
          <w:b/>
          <w:sz w:val="24"/>
        </w:rPr>
        <w:t>（1）分别标明：“正本”/“副本”/“电子版”/ “响应文件”等</w:t>
      </w:r>
    </w:p>
    <w:p>
      <w:pPr>
        <w:tabs>
          <w:tab w:val="left" w:pos="1080"/>
          <w:tab w:val="left" w:pos="1589"/>
          <w:tab w:val="left" w:pos="2014"/>
        </w:tabs>
        <w:snapToGrid w:val="0"/>
        <w:spacing w:line="360" w:lineRule="auto"/>
        <w:ind w:left="1077"/>
        <w:rPr>
          <w:b/>
          <w:sz w:val="24"/>
        </w:rPr>
      </w:pPr>
      <w:r>
        <w:rPr>
          <w:rFonts w:hint="eastAsia"/>
          <w:b/>
          <w:sz w:val="24"/>
        </w:rPr>
        <w:t>（2）项目名称：</w:t>
      </w:r>
    </w:p>
    <w:p>
      <w:pPr>
        <w:tabs>
          <w:tab w:val="left" w:pos="1080"/>
          <w:tab w:val="left" w:pos="1589"/>
          <w:tab w:val="left" w:pos="2014"/>
        </w:tabs>
        <w:snapToGrid w:val="0"/>
        <w:spacing w:line="360" w:lineRule="auto"/>
        <w:ind w:left="1077"/>
        <w:rPr>
          <w:b/>
          <w:sz w:val="24"/>
        </w:rPr>
      </w:pPr>
      <w:r>
        <w:rPr>
          <w:rFonts w:hint="eastAsia"/>
          <w:b/>
          <w:sz w:val="24"/>
        </w:rPr>
        <w:t>（3）项目编号：</w:t>
      </w:r>
    </w:p>
    <w:p>
      <w:pPr>
        <w:tabs>
          <w:tab w:val="left" w:pos="1080"/>
          <w:tab w:val="left" w:pos="1589"/>
          <w:tab w:val="left" w:pos="2014"/>
        </w:tabs>
        <w:snapToGrid w:val="0"/>
        <w:spacing w:line="360" w:lineRule="auto"/>
        <w:ind w:left="1077"/>
        <w:rPr>
          <w:b/>
          <w:sz w:val="24"/>
        </w:rPr>
      </w:pPr>
      <w:r>
        <w:rPr>
          <w:rFonts w:hint="eastAsia"/>
          <w:b/>
          <w:sz w:val="24"/>
        </w:rPr>
        <w:t>（4）供应商名称：</w:t>
      </w:r>
    </w:p>
    <w:p>
      <w:pPr>
        <w:tabs>
          <w:tab w:val="left" w:pos="1080"/>
          <w:tab w:val="left" w:pos="1589"/>
          <w:tab w:val="left" w:pos="2014"/>
        </w:tabs>
        <w:snapToGrid w:val="0"/>
        <w:spacing w:line="360" w:lineRule="auto"/>
        <w:ind w:left="1077"/>
        <w:rPr>
          <w:b/>
          <w:sz w:val="24"/>
        </w:rPr>
      </w:pPr>
      <w:r>
        <w:rPr>
          <w:rFonts w:hint="eastAsia"/>
          <w:b/>
          <w:sz w:val="24"/>
        </w:rPr>
        <w:t>（5）“（采购文件规定的响应文件提交截止时间）之前不得启封”的字样，如供应商未按上述要求密封及加写标记，采购代理机构对其响应文件的误投或过早启封概不负责。</w:t>
      </w:r>
    </w:p>
    <w:p>
      <w:pPr>
        <w:tabs>
          <w:tab w:val="left" w:pos="1080"/>
          <w:tab w:val="left" w:pos="1589"/>
          <w:tab w:val="left" w:pos="2014"/>
        </w:tabs>
        <w:snapToGrid w:val="0"/>
        <w:spacing w:line="360" w:lineRule="auto"/>
        <w:ind w:left="1077"/>
        <w:rPr>
          <w:sz w:val="24"/>
        </w:rPr>
      </w:pPr>
    </w:p>
    <w:p>
      <w:pPr>
        <w:pStyle w:val="4"/>
        <w:spacing w:before="0" w:line="360" w:lineRule="auto"/>
        <w:rPr>
          <w:rFonts w:ascii="Times New Roman" w:hAnsi="Times New Roman" w:eastAsia="宋体"/>
          <w:sz w:val="28"/>
        </w:rPr>
      </w:pPr>
      <w:r>
        <w:rPr>
          <w:rFonts w:ascii="Times New Roman" w:hAnsi="Times New Roman" w:eastAsia="宋体"/>
          <w:sz w:val="28"/>
        </w:rPr>
        <w:t>四   响应文件的提交</w:t>
      </w:r>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pPr>
        <w:numPr>
          <w:ilvl w:val="0"/>
          <w:numId w:val="2"/>
        </w:numPr>
        <w:tabs>
          <w:tab w:val="left" w:pos="360"/>
        </w:tabs>
        <w:snapToGrid w:val="0"/>
        <w:spacing w:line="360" w:lineRule="auto"/>
        <w:ind w:left="357" w:hanging="357"/>
        <w:outlineLvl w:val="1"/>
        <w:rPr>
          <w:b/>
          <w:sz w:val="24"/>
        </w:rPr>
      </w:pPr>
      <w:bookmarkStart w:id="338" w:name="_Toc164229376"/>
      <w:bookmarkStart w:id="339" w:name="_Toc150480773"/>
      <w:bookmarkStart w:id="340" w:name="_Toc127151535"/>
      <w:bookmarkStart w:id="341" w:name="_Toc151193849"/>
      <w:bookmarkStart w:id="342" w:name="_Toc151193777"/>
      <w:bookmarkStart w:id="343" w:name="_Toc164229230"/>
      <w:bookmarkStart w:id="344" w:name="_Toc164608649"/>
      <w:bookmarkStart w:id="345" w:name="_Toc151193923"/>
      <w:bookmarkStart w:id="346" w:name="_Toc164608804"/>
      <w:bookmarkStart w:id="347" w:name="_Toc305158803"/>
      <w:bookmarkStart w:id="348" w:name="_Toc520356160"/>
      <w:bookmarkStart w:id="349" w:name="_Toc226965725"/>
      <w:bookmarkStart w:id="350" w:name="_Toc127151736"/>
      <w:bookmarkStart w:id="351" w:name="_Toc226309779"/>
      <w:bookmarkStart w:id="352" w:name="_Toc265228373"/>
      <w:bookmarkStart w:id="353" w:name="_Toc226337231"/>
      <w:bookmarkStart w:id="354" w:name="_Toc127161449"/>
      <w:bookmarkStart w:id="355" w:name="_Toc226965808"/>
      <w:bookmarkStart w:id="356" w:name="_Toc151193705"/>
      <w:bookmarkStart w:id="357" w:name="_Toc305158877"/>
      <w:bookmarkStart w:id="358" w:name="_Toc195842900"/>
      <w:bookmarkStart w:id="359" w:name="_Toc151193633"/>
      <w:bookmarkStart w:id="360" w:name="_Toc164351629"/>
      <w:bookmarkStart w:id="361" w:name="_Toc150509286"/>
      <w:bookmarkStart w:id="362" w:name="_Toc151190162"/>
      <w:bookmarkStart w:id="363" w:name="_Toc264969225"/>
      <w:bookmarkStart w:id="364" w:name="_Toc149720828"/>
      <w:bookmarkStart w:id="365" w:name="_Toc150774740"/>
      <w:bookmarkStart w:id="366" w:name="_Toc150774635"/>
      <w:bookmarkStart w:id="367" w:name="_Toc142311037"/>
      <w:r>
        <w:rPr>
          <w:b/>
          <w:sz w:val="24"/>
        </w:rPr>
        <w:t>响应文件的</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r>
        <w:rPr>
          <w:b/>
          <w:sz w:val="24"/>
        </w:rPr>
        <w:t>提交</w:t>
      </w:r>
    </w:p>
    <w:p>
      <w:pPr>
        <w:numPr>
          <w:ilvl w:val="1"/>
          <w:numId w:val="2"/>
        </w:numPr>
        <w:tabs>
          <w:tab w:val="left" w:pos="1080"/>
          <w:tab w:val="left" w:pos="2014"/>
        </w:tabs>
        <w:snapToGrid w:val="0"/>
        <w:spacing w:line="360" w:lineRule="auto"/>
        <w:ind w:left="1077" w:hanging="720"/>
        <w:rPr>
          <w:b/>
          <w:sz w:val="24"/>
        </w:rPr>
      </w:pPr>
      <w:r>
        <w:rPr>
          <w:rFonts w:hint="eastAsia"/>
          <w:sz w:val="24"/>
        </w:rPr>
        <w:t>本项目采用电子化与线下流程结合采购方式，</w:t>
      </w:r>
      <w:r>
        <w:rPr>
          <w:rFonts w:hint="eastAsia"/>
          <w:b/>
          <w:sz w:val="24"/>
        </w:rPr>
        <w:t>供应商应</w:t>
      </w:r>
      <w:r>
        <w:rPr>
          <w:b/>
          <w:sz w:val="24"/>
        </w:rPr>
        <w:t>根据竞争性磋商文件</w:t>
      </w:r>
      <w:r>
        <w:rPr>
          <w:rFonts w:hint="eastAsia"/>
          <w:b/>
          <w:sz w:val="24"/>
        </w:rPr>
        <w:t>规定提交纸质版响应文件</w:t>
      </w:r>
      <w:r>
        <w:rPr>
          <w:b/>
          <w:sz w:val="24"/>
        </w:rPr>
        <w:t>。</w:t>
      </w:r>
    </w:p>
    <w:p>
      <w:pPr>
        <w:numPr>
          <w:ilvl w:val="0"/>
          <w:numId w:val="2"/>
        </w:numPr>
        <w:tabs>
          <w:tab w:val="left" w:pos="360"/>
        </w:tabs>
        <w:snapToGrid w:val="0"/>
        <w:spacing w:line="360" w:lineRule="auto"/>
        <w:ind w:left="357" w:hanging="357"/>
        <w:outlineLvl w:val="1"/>
        <w:rPr>
          <w:sz w:val="24"/>
        </w:rPr>
      </w:pPr>
      <w:bookmarkStart w:id="368" w:name="_Toc151193706"/>
      <w:bookmarkStart w:id="369" w:name="_Toc151193634"/>
      <w:bookmarkStart w:id="370" w:name="_Toc151193778"/>
      <w:bookmarkStart w:id="371" w:name="_Toc164608805"/>
      <w:bookmarkStart w:id="372" w:name="_Toc195842901"/>
      <w:bookmarkStart w:id="373" w:name="_Toc265228374"/>
      <w:bookmarkStart w:id="374" w:name="_Toc164229231"/>
      <w:bookmarkStart w:id="375" w:name="_Toc150774741"/>
      <w:bookmarkStart w:id="376" w:name="_Toc127151737"/>
      <w:bookmarkStart w:id="377" w:name="_Toc150774636"/>
      <w:bookmarkStart w:id="378" w:name="_Toc150509287"/>
      <w:bookmarkStart w:id="379" w:name="_Toc151193924"/>
      <w:bookmarkStart w:id="380" w:name="_Toc226965809"/>
      <w:bookmarkStart w:id="381" w:name="_Toc164351630"/>
      <w:bookmarkStart w:id="382" w:name="_Toc226337232"/>
      <w:bookmarkStart w:id="383" w:name="_Toc127151536"/>
      <w:bookmarkStart w:id="384" w:name="_Toc150480774"/>
      <w:bookmarkStart w:id="385" w:name="_Toc127161450"/>
      <w:bookmarkStart w:id="386" w:name="_Toc151190163"/>
      <w:bookmarkStart w:id="387" w:name="_Toc164608650"/>
      <w:bookmarkStart w:id="388" w:name="_Toc520356161"/>
      <w:bookmarkStart w:id="389" w:name="_Toc164229377"/>
      <w:bookmarkStart w:id="390" w:name="_Toc151193850"/>
      <w:bookmarkStart w:id="391" w:name="_Toc226309780"/>
      <w:bookmarkStart w:id="392" w:name="_Toc149720829"/>
      <w:bookmarkStart w:id="393" w:name="_Toc305158804"/>
      <w:bookmarkStart w:id="394" w:name="_Toc226965726"/>
      <w:bookmarkStart w:id="395" w:name="_Toc142311038"/>
      <w:bookmarkStart w:id="396" w:name="_Toc264969226"/>
      <w:bookmarkStart w:id="397" w:name="_Toc305158878"/>
      <w:r>
        <w:rPr>
          <w:sz w:val="24"/>
        </w:rPr>
        <w:t>响应文件截止</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r>
        <w:rPr>
          <w:sz w:val="24"/>
        </w:rPr>
        <w:t>时间</w:t>
      </w:r>
    </w:p>
    <w:p>
      <w:pPr>
        <w:numPr>
          <w:ilvl w:val="1"/>
          <w:numId w:val="2"/>
        </w:numPr>
        <w:tabs>
          <w:tab w:val="left" w:pos="1080"/>
          <w:tab w:val="left" w:pos="2014"/>
        </w:tabs>
        <w:snapToGrid w:val="0"/>
        <w:spacing w:line="360" w:lineRule="auto"/>
        <w:ind w:left="1077" w:hanging="720"/>
        <w:rPr>
          <w:sz w:val="24"/>
        </w:rPr>
      </w:pPr>
      <w:r>
        <w:rPr>
          <w:sz w:val="24"/>
        </w:rPr>
        <w:t>供应商应在竞争性磋商文件要求提交响应文件截止时间前，将</w:t>
      </w:r>
      <w:r>
        <w:rPr>
          <w:rFonts w:hint="eastAsia"/>
          <w:sz w:val="24"/>
        </w:rPr>
        <w:t>纸质</w:t>
      </w:r>
      <w:r>
        <w:rPr>
          <w:sz w:val="24"/>
        </w:rPr>
        <w:t>响应文件</w:t>
      </w:r>
      <w:r>
        <w:rPr>
          <w:rFonts w:hint="eastAsia"/>
          <w:sz w:val="24"/>
        </w:rPr>
        <w:t>密封</w:t>
      </w:r>
      <w:r>
        <w:rPr>
          <w:sz w:val="24"/>
        </w:rPr>
        <w:t>提交至</w:t>
      </w:r>
      <w:r>
        <w:rPr>
          <w:rFonts w:hint="eastAsia"/>
          <w:sz w:val="24"/>
        </w:rPr>
        <w:t>指定地点</w:t>
      </w:r>
      <w:r>
        <w:rPr>
          <w:sz w:val="24"/>
        </w:rPr>
        <w:t>。</w:t>
      </w:r>
    </w:p>
    <w:p>
      <w:pPr>
        <w:numPr>
          <w:ilvl w:val="0"/>
          <w:numId w:val="2"/>
        </w:numPr>
        <w:tabs>
          <w:tab w:val="left" w:pos="360"/>
        </w:tabs>
        <w:snapToGrid w:val="0"/>
        <w:spacing w:line="360" w:lineRule="auto"/>
        <w:ind w:left="357" w:hanging="357"/>
        <w:outlineLvl w:val="1"/>
        <w:rPr>
          <w:sz w:val="24"/>
        </w:rPr>
      </w:pPr>
      <w:bookmarkStart w:id="398" w:name="_Toc164229378"/>
      <w:bookmarkStart w:id="399" w:name="_Toc151193925"/>
      <w:bookmarkStart w:id="400" w:name="_Toc151193707"/>
      <w:bookmarkStart w:id="401" w:name="_Toc265228375"/>
      <w:bookmarkStart w:id="402" w:name="_Toc127161451"/>
      <w:bookmarkStart w:id="403" w:name="_Toc151193851"/>
      <w:bookmarkStart w:id="404" w:name="_Toc305158879"/>
      <w:bookmarkStart w:id="405" w:name="_Toc164608651"/>
      <w:bookmarkStart w:id="406" w:name="_Toc150480775"/>
      <w:bookmarkStart w:id="407" w:name="_Toc150774637"/>
      <w:bookmarkStart w:id="408" w:name="_Toc520356162"/>
      <w:bookmarkStart w:id="409" w:name="_Toc127151537"/>
      <w:bookmarkStart w:id="410" w:name="_Toc127151738"/>
      <w:bookmarkStart w:id="411" w:name="_Toc149720830"/>
      <w:bookmarkStart w:id="412" w:name="_Toc226965810"/>
      <w:bookmarkStart w:id="413" w:name="_Toc151190164"/>
      <w:bookmarkStart w:id="414" w:name="_Toc142311039"/>
      <w:bookmarkStart w:id="415" w:name="_Toc226965727"/>
      <w:bookmarkStart w:id="416" w:name="_Toc264969227"/>
      <w:bookmarkStart w:id="417" w:name="_Toc226337233"/>
      <w:bookmarkStart w:id="418" w:name="_Toc164229232"/>
      <w:bookmarkStart w:id="419" w:name="_Toc164351631"/>
      <w:bookmarkStart w:id="420" w:name="_Toc151193779"/>
      <w:bookmarkStart w:id="421" w:name="_Toc195842902"/>
      <w:bookmarkStart w:id="422" w:name="_Toc150509288"/>
      <w:bookmarkStart w:id="423" w:name="_Toc151193635"/>
      <w:bookmarkStart w:id="424" w:name="_Toc164608806"/>
      <w:bookmarkStart w:id="425" w:name="_Toc305158805"/>
      <w:bookmarkStart w:id="426" w:name="_Toc150774742"/>
      <w:bookmarkStart w:id="427" w:name="_Toc226309781"/>
      <w:r>
        <w:rPr>
          <w:sz w:val="24"/>
        </w:rPr>
        <w:t>响应文件的修改与撤回</w:t>
      </w:r>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pPr>
        <w:numPr>
          <w:ilvl w:val="1"/>
          <w:numId w:val="2"/>
        </w:numPr>
        <w:tabs>
          <w:tab w:val="left" w:pos="1080"/>
          <w:tab w:val="left" w:pos="2014"/>
        </w:tabs>
        <w:snapToGrid w:val="0"/>
        <w:spacing w:line="360" w:lineRule="auto"/>
        <w:ind w:left="1077" w:hanging="720"/>
        <w:rPr>
          <w:sz w:val="24"/>
        </w:rPr>
      </w:pPr>
      <w:r>
        <w:rPr>
          <w:sz w:val="24"/>
        </w:rPr>
        <w:t>提交响应文件截止时间前，供应商可以对所提交的响应文件进行补充、修改或者撤回</w:t>
      </w:r>
      <w:r>
        <w:rPr>
          <w:rFonts w:hint="eastAsia"/>
          <w:sz w:val="24"/>
        </w:rPr>
        <w:t>，并书面通知</w:t>
      </w:r>
      <w:r>
        <w:rPr>
          <w:sz w:val="24"/>
        </w:rPr>
        <w:t>采购人或采购代理机构</w:t>
      </w:r>
      <w:r>
        <w:rPr>
          <w:color w:val="000000"/>
          <w:sz w:val="24"/>
        </w:rPr>
        <w:t>。</w:t>
      </w:r>
    </w:p>
    <w:p>
      <w:pPr>
        <w:numPr>
          <w:ilvl w:val="1"/>
          <w:numId w:val="2"/>
        </w:numPr>
        <w:tabs>
          <w:tab w:val="left" w:pos="1080"/>
          <w:tab w:val="left" w:pos="2014"/>
        </w:tabs>
        <w:snapToGrid w:val="0"/>
        <w:spacing w:line="360" w:lineRule="auto"/>
        <w:ind w:left="1077" w:hanging="720"/>
        <w:rPr>
          <w:sz w:val="24"/>
        </w:rPr>
      </w:pPr>
      <w:r>
        <w:rPr>
          <w:sz w:val="24"/>
        </w:rPr>
        <w:t>供应商对响应文件的补充、修改的内容应当按照竞争性磋商文件要求签署、盖章，作为响应文件的组成部分。</w:t>
      </w:r>
      <w:r>
        <w:rPr>
          <w:kern w:val="0"/>
          <w:sz w:val="24"/>
        </w:rPr>
        <w:t>补充、修改的内容与响应文件不一致的，以补充、修改的内容为准。</w:t>
      </w:r>
    </w:p>
    <w:p>
      <w:pPr>
        <w:tabs>
          <w:tab w:val="left" w:pos="900"/>
          <w:tab w:val="left" w:pos="1080"/>
          <w:tab w:val="left" w:pos="1589"/>
        </w:tabs>
        <w:snapToGrid w:val="0"/>
        <w:spacing w:line="360" w:lineRule="auto"/>
        <w:ind w:left="357"/>
        <w:rPr>
          <w:sz w:val="24"/>
        </w:rPr>
      </w:pPr>
    </w:p>
    <w:p>
      <w:pPr>
        <w:pStyle w:val="4"/>
        <w:spacing w:before="0" w:line="360" w:lineRule="auto"/>
        <w:rPr>
          <w:rFonts w:ascii="Times New Roman" w:hAnsi="Times New Roman" w:eastAsia="宋体"/>
          <w:sz w:val="28"/>
        </w:rPr>
      </w:pPr>
      <w:bookmarkStart w:id="428" w:name="_Toc150774743"/>
      <w:bookmarkStart w:id="429" w:name="_Toc226965811"/>
      <w:bookmarkStart w:id="430" w:name="_Toc265228376"/>
      <w:bookmarkStart w:id="431" w:name="_Toc226309782"/>
      <w:bookmarkStart w:id="432" w:name="_Toc151193708"/>
      <w:bookmarkStart w:id="433" w:name="_Toc150774638"/>
      <w:bookmarkStart w:id="434" w:name="_Toc151193636"/>
      <w:bookmarkStart w:id="435" w:name="_Toc150480776"/>
      <w:bookmarkStart w:id="436" w:name="_Toc195842903"/>
      <w:bookmarkStart w:id="437" w:name="_Toc127151538"/>
      <w:bookmarkStart w:id="438" w:name="_Toc264969228"/>
      <w:bookmarkStart w:id="439" w:name="_Toc150509289"/>
      <w:bookmarkStart w:id="440" w:name="_Toc305158806"/>
      <w:bookmarkStart w:id="441" w:name="_Toc305158880"/>
      <w:bookmarkStart w:id="442" w:name="_Toc226965728"/>
      <w:bookmarkStart w:id="443" w:name="_Toc151193926"/>
      <w:bookmarkStart w:id="444" w:name="_Toc226337234"/>
      <w:bookmarkStart w:id="445" w:name="_Toc151193780"/>
      <w:bookmarkStart w:id="446" w:name="_Toc151190165"/>
      <w:bookmarkStart w:id="447" w:name="_Toc520356163"/>
      <w:bookmarkStart w:id="448" w:name="_Toc151193852"/>
      <w:bookmarkStart w:id="449" w:name="_Toc142311040"/>
      <w:r>
        <w:rPr>
          <w:rFonts w:ascii="Times New Roman" w:hAnsi="Times New Roman" w:eastAsia="宋体"/>
          <w:sz w:val="28"/>
        </w:rPr>
        <w:t xml:space="preserve">五   </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r>
        <w:rPr>
          <w:rFonts w:ascii="Times New Roman" w:hAnsi="Times New Roman" w:eastAsia="宋体"/>
          <w:sz w:val="28"/>
        </w:rPr>
        <w:t>评审</w:t>
      </w:r>
    </w:p>
    <w:p>
      <w:pPr>
        <w:numPr>
          <w:ilvl w:val="0"/>
          <w:numId w:val="2"/>
        </w:numPr>
        <w:tabs>
          <w:tab w:val="left" w:pos="360"/>
        </w:tabs>
        <w:snapToGrid w:val="0"/>
        <w:spacing w:line="360" w:lineRule="auto"/>
        <w:ind w:left="357" w:hanging="357"/>
        <w:outlineLvl w:val="1"/>
        <w:rPr>
          <w:sz w:val="24"/>
        </w:rPr>
      </w:pPr>
      <w:r>
        <w:rPr>
          <w:sz w:val="24"/>
        </w:rPr>
        <w:t>响应文件的启</w:t>
      </w:r>
      <w:r>
        <w:rPr>
          <w:rFonts w:hint="eastAsia"/>
          <w:sz w:val="24"/>
        </w:rPr>
        <w:t>封</w:t>
      </w:r>
    </w:p>
    <w:p>
      <w:pPr>
        <w:numPr>
          <w:ilvl w:val="1"/>
          <w:numId w:val="2"/>
        </w:numPr>
        <w:tabs>
          <w:tab w:val="left" w:pos="1080"/>
          <w:tab w:val="left" w:pos="2014"/>
        </w:tabs>
        <w:snapToGrid w:val="0"/>
        <w:spacing w:line="360" w:lineRule="auto"/>
        <w:ind w:left="1077" w:hanging="720"/>
        <w:rPr>
          <w:sz w:val="24"/>
        </w:rPr>
      </w:pPr>
      <w:r>
        <w:rPr>
          <w:sz w:val="24"/>
        </w:rPr>
        <w:t>采购人或采购代理机构将按竞争性磋商文件的规定，在响应文件提交截止时间的同一时间和竞争性磋商文件预先确定的地点启</w:t>
      </w:r>
      <w:r>
        <w:rPr>
          <w:rFonts w:hint="eastAsia"/>
          <w:sz w:val="24"/>
        </w:rPr>
        <w:t>封</w:t>
      </w:r>
      <w:r>
        <w:rPr>
          <w:sz w:val="24"/>
        </w:rPr>
        <w:t>响应文件。</w:t>
      </w:r>
    </w:p>
    <w:p>
      <w:pPr>
        <w:numPr>
          <w:ilvl w:val="1"/>
          <w:numId w:val="2"/>
        </w:numPr>
        <w:tabs>
          <w:tab w:val="left" w:pos="1080"/>
          <w:tab w:val="left" w:pos="2014"/>
        </w:tabs>
        <w:snapToGrid w:val="0"/>
        <w:spacing w:line="360" w:lineRule="auto"/>
        <w:ind w:left="1077" w:hanging="720"/>
        <w:rPr>
          <w:sz w:val="24"/>
        </w:rPr>
      </w:pPr>
      <w:r>
        <w:rPr>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numPr>
          <w:ilvl w:val="1"/>
          <w:numId w:val="2"/>
        </w:numPr>
        <w:tabs>
          <w:tab w:val="left" w:pos="1080"/>
          <w:tab w:val="left" w:pos="2014"/>
        </w:tabs>
        <w:snapToGrid w:val="0"/>
        <w:spacing w:line="360" w:lineRule="auto"/>
        <w:ind w:left="1077" w:hanging="720"/>
        <w:rPr>
          <w:sz w:val="24"/>
        </w:rPr>
      </w:pPr>
      <w:r>
        <w:rPr>
          <w:sz w:val="24"/>
        </w:rPr>
        <w:t>供应商不足3家的，不予</w:t>
      </w:r>
      <w:r>
        <w:rPr>
          <w:rFonts w:hint="eastAsia"/>
          <w:sz w:val="24"/>
        </w:rPr>
        <w:t>启封</w:t>
      </w:r>
      <w:r>
        <w:rPr>
          <w:sz w:val="24"/>
        </w:rPr>
        <w:t>。</w:t>
      </w:r>
    </w:p>
    <w:p>
      <w:pPr>
        <w:numPr>
          <w:ilvl w:val="1"/>
          <w:numId w:val="2"/>
        </w:numPr>
        <w:tabs>
          <w:tab w:val="left" w:pos="1080"/>
          <w:tab w:val="left" w:pos="2014"/>
        </w:tabs>
        <w:snapToGrid w:val="0"/>
        <w:spacing w:line="360" w:lineRule="auto"/>
        <w:ind w:left="1077" w:hanging="720"/>
        <w:rPr>
          <w:sz w:val="24"/>
        </w:rPr>
      </w:pPr>
      <w:bookmarkStart w:id="450" w:name="_Toc520356165"/>
      <w:r>
        <w:rPr>
          <w:sz w:val="24"/>
        </w:rPr>
        <w:t>本项目不公开报价。</w:t>
      </w:r>
    </w:p>
    <w:bookmarkEnd w:id="450"/>
    <w:p>
      <w:pPr>
        <w:numPr>
          <w:ilvl w:val="0"/>
          <w:numId w:val="2"/>
        </w:numPr>
        <w:tabs>
          <w:tab w:val="left" w:pos="360"/>
        </w:tabs>
        <w:snapToGrid w:val="0"/>
        <w:spacing w:line="360" w:lineRule="auto"/>
        <w:ind w:left="357" w:hanging="357"/>
        <w:outlineLvl w:val="1"/>
        <w:rPr>
          <w:sz w:val="24"/>
        </w:rPr>
      </w:pPr>
      <w:r>
        <w:rPr>
          <w:sz w:val="24"/>
        </w:rPr>
        <w:t>磋商小组</w:t>
      </w:r>
    </w:p>
    <w:p>
      <w:pPr>
        <w:numPr>
          <w:ilvl w:val="1"/>
          <w:numId w:val="2"/>
        </w:numPr>
        <w:tabs>
          <w:tab w:val="left" w:pos="1080"/>
          <w:tab w:val="left" w:pos="2014"/>
        </w:tabs>
        <w:snapToGrid w:val="0"/>
        <w:spacing w:line="360" w:lineRule="auto"/>
        <w:ind w:left="1077" w:hanging="720"/>
        <w:rPr>
          <w:sz w:val="24"/>
        </w:rPr>
      </w:pPr>
      <w:r>
        <w:rPr>
          <w:sz w:val="24"/>
        </w:rPr>
        <w:t>磋商小组根据政府采购有关规定和本次采购项目的特点进行组建，并负责具体评审事务，独立履行职责。</w:t>
      </w:r>
      <w:bookmarkStart w:id="451" w:name="_Toc520356166"/>
    </w:p>
    <w:p>
      <w:pPr>
        <w:numPr>
          <w:ilvl w:val="1"/>
          <w:numId w:val="2"/>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451"/>
      <w:bookmarkStart w:id="452" w:name="_Toc520356169"/>
    </w:p>
    <w:p>
      <w:pPr>
        <w:numPr>
          <w:ilvl w:val="0"/>
          <w:numId w:val="2"/>
        </w:numPr>
        <w:tabs>
          <w:tab w:val="left" w:pos="360"/>
        </w:tabs>
        <w:snapToGrid w:val="0"/>
        <w:spacing w:line="360" w:lineRule="auto"/>
        <w:outlineLvl w:val="1"/>
        <w:rPr>
          <w:sz w:val="24"/>
        </w:rPr>
      </w:pPr>
      <w:r>
        <w:rPr>
          <w:sz w:val="24"/>
        </w:rPr>
        <w:t>评审方法和评审标准</w:t>
      </w:r>
    </w:p>
    <w:p>
      <w:pPr>
        <w:numPr>
          <w:ilvl w:val="1"/>
          <w:numId w:val="2"/>
        </w:numPr>
        <w:tabs>
          <w:tab w:val="left" w:pos="1080"/>
          <w:tab w:val="left" w:pos="2014"/>
        </w:tabs>
        <w:snapToGrid w:val="0"/>
        <w:spacing w:line="360" w:lineRule="auto"/>
        <w:ind w:left="1077" w:hanging="720"/>
        <w:rPr>
          <w:sz w:val="24"/>
        </w:rPr>
      </w:pPr>
      <w:r>
        <w:rPr>
          <w:sz w:val="24"/>
        </w:rPr>
        <w:t>见第三章《评审方法和评审标准》。</w:t>
      </w:r>
    </w:p>
    <w:p>
      <w:pPr>
        <w:tabs>
          <w:tab w:val="left" w:pos="360"/>
          <w:tab w:val="left" w:pos="1080"/>
        </w:tabs>
        <w:snapToGrid w:val="0"/>
        <w:spacing w:line="360" w:lineRule="auto"/>
        <w:ind w:left="1080"/>
        <w:rPr>
          <w:sz w:val="24"/>
        </w:rPr>
      </w:pPr>
    </w:p>
    <w:p>
      <w:pPr>
        <w:pStyle w:val="4"/>
        <w:spacing w:before="0" w:line="360" w:lineRule="auto"/>
        <w:rPr>
          <w:rFonts w:ascii="Times New Roman" w:hAnsi="Times New Roman" w:eastAsia="宋体"/>
          <w:sz w:val="28"/>
        </w:rPr>
      </w:pPr>
      <w:bookmarkStart w:id="453" w:name="_Toc195842910"/>
      <w:bookmarkStart w:id="454" w:name="_Toc150509296"/>
      <w:bookmarkStart w:id="455" w:name="_Toc150480783"/>
      <w:bookmarkStart w:id="456" w:name="_Toc142311047"/>
      <w:bookmarkStart w:id="457" w:name="_Toc127151545"/>
      <w:bookmarkStart w:id="458" w:name="_Toc151193859"/>
      <w:bookmarkStart w:id="459" w:name="_Toc151190172"/>
      <w:bookmarkStart w:id="460" w:name="_Toc151193933"/>
      <w:bookmarkStart w:id="461" w:name="_Toc305158813"/>
      <w:bookmarkStart w:id="462" w:name="_Toc265228383"/>
      <w:bookmarkStart w:id="463" w:name="_Toc151193643"/>
      <w:bookmarkStart w:id="464" w:name="_Toc226965818"/>
      <w:bookmarkStart w:id="465" w:name="_Toc226337241"/>
      <w:bookmarkStart w:id="466" w:name="_Toc305158887"/>
      <w:bookmarkStart w:id="467" w:name="_Toc150774750"/>
      <w:bookmarkStart w:id="468" w:name="_Toc150774645"/>
      <w:bookmarkStart w:id="469" w:name="_Toc264969235"/>
      <w:bookmarkStart w:id="470" w:name="_Toc226309789"/>
      <w:bookmarkStart w:id="471" w:name="_Toc151193787"/>
      <w:bookmarkStart w:id="472" w:name="_Toc226965735"/>
      <w:bookmarkStart w:id="473" w:name="_Toc151193715"/>
      <w:r>
        <w:rPr>
          <w:rFonts w:ascii="Times New Roman" w:hAnsi="Times New Roman" w:eastAsia="宋体"/>
          <w:sz w:val="28"/>
        </w:rPr>
        <w:t xml:space="preserve">六   </w:t>
      </w:r>
      <w:bookmarkEnd w:id="452"/>
      <w:r>
        <w:rPr>
          <w:rFonts w:ascii="Times New Roman" w:hAnsi="Times New Roman" w:eastAsia="宋体"/>
          <w:sz w:val="28"/>
        </w:rPr>
        <w:t>确定</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r>
        <w:rPr>
          <w:rFonts w:ascii="Times New Roman" w:hAnsi="Times New Roman" w:eastAsia="宋体"/>
          <w:sz w:val="28"/>
        </w:rPr>
        <w:t>成交</w:t>
      </w:r>
    </w:p>
    <w:p>
      <w:pPr>
        <w:numPr>
          <w:ilvl w:val="0"/>
          <w:numId w:val="2"/>
        </w:numPr>
        <w:tabs>
          <w:tab w:val="left" w:pos="360"/>
        </w:tabs>
        <w:snapToGrid w:val="0"/>
        <w:spacing w:line="360" w:lineRule="auto"/>
        <w:ind w:left="357" w:hanging="357"/>
        <w:outlineLvl w:val="1"/>
        <w:rPr>
          <w:sz w:val="24"/>
        </w:rPr>
      </w:pPr>
      <w:bookmarkStart w:id="474" w:name="_Toc151193935"/>
      <w:bookmarkStart w:id="475" w:name="_Toc164608661"/>
      <w:bookmarkStart w:id="476" w:name="_Toc149720840"/>
      <w:bookmarkStart w:id="477" w:name="_Toc151193789"/>
      <w:bookmarkStart w:id="478" w:name="_Toc226309791"/>
      <w:bookmarkStart w:id="479" w:name="_Toc150774647"/>
      <w:bookmarkStart w:id="480" w:name="_Toc265228385"/>
      <w:bookmarkStart w:id="481" w:name="_Toc150774752"/>
      <w:bookmarkStart w:id="482" w:name="_Toc142311049"/>
      <w:bookmarkStart w:id="483" w:name="_Toc226965737"/>
      <w:bookmarkStart w:id="484" w:name="_Toc151193861"/>
      <w:bookmarkStart w:id="485" w:name="_Toc127151748"/>
      <w:bookmarkStart w:id="486" w:name="_Toc150509298"/>
      <w:bookmarkStart w:id="487" w:name="_Toc226337243"/>
      <w:bookmarkStart w:id="488" w:name="_Toc127161461"/>
      <w:bookmarkStart w:id="489" w:name="_Toc195842912"/>
      <w:bookmarkStart w:id="490" w:name="_Toc151193645"/>
      <w:bookmarkStart w:id="491" w:name="_Toc264969237"/>
      <w:bookmarkStart w:id="492" w:name="_Toc164229242"/>
      <w:bookmarkStart w:id="493" w:name="_Toc305158815"/>
      <w:bookmarkStart w:id="494" w:name="_Toc305158889"/>
      <w:bookmarkStart w:id="495" w:name="_Toc164608816"/>
      <w:bookmarkStart w:id="496" w:name="_Toc151193717"/>
      <w:bookmarkStart w:id="497" w:name="_Toc164229388"/>
      <w:bookmarkStart w:id="498" w:name="_Toc164351641"/>
      <w:bookmarkStart w:id="499" w:name="_Toc226965820"/>
      <w:bookmarkStart w:id="500" w:name="_Toc127151547"/>
      <w:bookmarkStart w:id="501" w:name="_Toc150480785"/>
      <w:bookmarkStart w:id="502" w:name="_Toc151190174"/>
      <w:r>
        <w:rPr>
          <w:sz w:val="24"/>
        </w:rPr>
        <w:t>确定成交供应商</w:t>
      </w:r>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p>
    <w:p>
      <w:pPr>
        <w:numPr>
          <w:ilvl w:val="1"/>
          <w:numId w:val="2"/>
        </w:numPr>
        <w:tabs>
          <w:tab w:val="left" w:pos="1080"/>
          <w:tab w:val="left" w:pos="2014"/>
        </w:tabs>
        <w:snapToGrid w:val="0"/>
        <w:spacing w:line="360" w:lineRule="auto"/>
        <w:ind w:left="1077" w:hanging="720"/>
        <w:rPr>
          <w:sz w:val="24"/>
        </w:rPr>
      </w:pPr>
      <w:r>
        <w:rPr>
          <w:sz w:val="24"/>
        </w:rPr>
        <w:t>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numPr>
          <w:ilvl w:val="0"/>
          <w:numId w:val="2"/>
        </w:numPr>
        <w:tabs>
          <w:tab w:val="left" w:pos="360"/>
        </w:tabs>
        <w:snapToGrid w:val="0"/>
        <w:spacing w:line="360" w:lineRule="auto"/>
        <w:ind w:left="357" w:hanging="357"/>
        <w:outlineLvl w:val="1"/>
        <w:rPr>
          <w:sz w:val="24"/>
        </w:rPr>
      </w:pPr>
      <w:bookmarkStart w:id="503" w:name="_Toc305158891"/>
      <w:bookmarkStart w:id="504" w:name="_Toc305158817"/>
      <w:bookmarkStart w:id="505" w:name="_Toc150480787"/>
      <w:bookmarkStart w:id="506" w:name="_Toc226965739"/>
      <w:bookmarkStart w:id="507" w:name="_Toc127161463"/>
      <w:bookmarkStart w:id="508" w:name="_Toc164608663"/>
      <w:bookmarkStart w:id="509" w:name="_Toc164229244"/>
      <w:bookmarkStart w:id="510" w:name="_Toc226337245"/>
      <w:bookmarkStart w:id="511" w:name="_Toc265228387"/>
      <w:bookmarkStart w:id="512" w:name="_Toc151193937"/>
      <w:bookmarkStart w:id="513" w:name="_Toc151193647"/>
      <w:bookmarkStart w:id="514" w:name="_Toc164351643"/>
      <w:bookmarkStart w:id="515" w:name="_Toc151190176"/>
      <w:bookmarkStart w:id="516" w:name="_Toc226965822"/>
      <w:bookmarkStart w:id="517" w:name="_Toc195842914"/>
      <w:bookmarkStart w:id="518" w:name="_Toc264969239"/>
      <w:bookmarkStart w:id="519" w:name="_Toc127151750"/>
      <w:bookmarkStart w:id="520" w:name="_Toc164229390"/>
      <w:bookmarkStart w:id="521" w:name="_Toc226309793"/>
      <w:bookmarkStart w:id="522" w:name="_Toc151193719"/>
      <w:bookmarkStart w:id="523" w:name="_Toc127151549"/>
      <w:bookmarkStart w:id="524" w:name="_Toc142311051"/>
      <w:bookmarkStart w:id="525" w:name="_Toc149720842"/>
      <w:bookmarkStart w:id="526" w:name="_Toc150509300"/>
      <w:bookmarkStart w:id="527" w:name="_Toc151193863"/>
      <w:bookmarkStart w:id="528" w:name="_Toc151193791"/>
      <w:bookmarkStart w:id="529" w:name="_Toc150774754"/>
      <w:bookmarkStart w:id="530" w:name="_Toc150774649"/>
      <w:bookmarkStart w:id="531" w:name="_Toc164608818"/>
      <w:bookmarkStart w:id="532" w:name="_Ref467307090"/>
      <w:bookmarkStart w:id="533" w:name="_Toc520356176"/>
      <w:bookmarkStart w:id="534" w:name="_Ref467306425"/>
      <w:r>
        <w:rPr>
          <w:sz w:val="24"/>
        </w:rPr>
        <w:t>成交公告与成交通知书</w:t>
      </w:r>
      <w:bookmarkEnd w:id="503"/>
      <w:bookmarkEnd w:id="504"/>
    </w:p>
    <w:p>
      <w:pPr>
        <w:numPr>
          <w:ilvl w:val="1"/>
          <w:numId w:val="2"/>
        </w:numPr>
        <w:tabs>
          <w:tab w:val="left" w:pos="1080"/>
          <w:tab w:val="left" w:pos="2014"/>
        </w:tabs>
        <w:snapToGrid w:val="0"/>
        <w:spacing w:line="360" w:lineRule="auto"/>
        <w:ind w:left="1077" w:hanging="720"/>
        <w:rPr>
          <w:sz w:val="24"/>
        </w:rPr>
      </w:pPr>
      <w:r>
        <w:rPr>
          <w:sz w:val="24"/>
        </w:rPr>
        <w:t>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pPr>
        <w:numPr>
          <w:ilvl w:val="1"/>
          <w:numId w:val="2"/>
        </w:numPr>
        <w:tabs>
          <w:tab w:val="left" w:pos="1080"/>
          <w:tab w:val="left" w:pos="2014"/>
        </w:tabs>
        <w:snapToGrid w:val="0"/>
        <w:spacing w:line="360" w:lineRule="auto"/>
        <w:ind w:left="1080" w:hanging="720"/>
        <w:rPr>
          <w:sz w:val="24"/>
        </w:rPr>
      </w:pPr>
      <w:r>
        <w:rPr>
          <w:sz w:val="24"/>
        </w:rPr>
        <w:t>成交通知书是合同的组成部分，对采购人和成交供应商具有同等法律效力。成交通知书发出后，采购人改变成交结果的，或者成交供应商放弃成交项目的，将依法承担法律责任</w:t>
      </w:r>
      <w:r>
        <w:rPr>
          <w:rFonts w:hint="eastAsia"/>
          <w:sz w:val="24"/>
        </w:rPr>
        <w:t>。</w:t>
      </w:r>
    </w:p>
    <w:p>
      <w:pPr>
        <w:numPr>
          <w:ilvl w:val="0"/>
          <w:numId w:val="2"/>
        </w:numPr>
        <w:tabs>
          <w:tab w:val="left" w:pos="360"/>
        </w:tabs>
        <w:snapToGrid w:val="0"/>
        <w:spacing w:line="360" w:lineRule="auto"/>
        <w:ind w:left="357" w:hanging="357"/>
        <w:outlineLvl w:val="1"/>
        <w:rPr>
          <w:sz w:val="24"/>
        </w:rPr>
      </w:pPr>
      <w:r>
        <w:rPr>
          <w:sz w:val="24"/>
        </w:rPr>
        <w:t>终止</w:t>
      </w:r>
    </w:p>
    <w:p>
      <w:pPr>
        <w:numPr>
          <w:ilvl w:val="1"/>
          <w:numId w:val="2"/>
        </w:numPr>
        <w:tabs>
          <w:tab w:val="left" w:pos="1080"/>
          <w:tab w:val="left" w:pos="2014"/>
        </w:tabs>
        <w:snapToGrid w:val="0"/>
        <w:spacing w:line="360" w:lineRule="auto"/>
        <w:ind w:left="1077" w:hanging="720"/>
        <w:rPr>
          <w:sz w:val="24"/>
        </w:rPr>
      </w:pPr>
      <w:r>
        <w:rPr>
          <w:sz w:val="24"/>
        </w:rPr>
        <w:t>在采购中，出现下列情形之一的，采购人或采购代理机构将终止竞争性磋商采购活动，发布项目终止公告并说明原因，重新开展采购活动：</w:t>
      </w:r>
    </w:p>
    <w:p>
      <w:pPr>
        <w:numPr>
          <w:ilvl w:val="2"/>
          <w:numId w:val="2"/>
        </w:numPr>
        <w:snapToGrid w:val="0"/>
        <w:spacing w:line="360" w:lineRule="auto"/>
        <w:rPr>
          <w:sz w:val="24"/>
        </w:rPr>
      </w:pPr>
      <w:r>
        <w:rPr>
          <w:sz w:val="24"/>
        </w:rPr>
        <w:t>因情况变化，不再符合规定的竞争性磋商采购方式适用情形的；</w:t>
      </w:r>
    </w:p>
    <w:p>
      <w:pPr>
        <w:numPr>
          <w:ilvl w:val="2"/>
          <w:numId w:val="2"/>
        </w:numPr>
        <w:snapToGrid w:val="0"/>
        <w:spacing w:line="360" w:lineRule="auto"/>
        <w:rPr>
          <w:sz w:val="24"/>
        </w:rPr>
      </w:pPr>
      <w:r>
        <w:rPr>
          <w:sz w:val="24"/>
        </w:rPr>
        <w:t>出现影响采购公正的违法、违规行为的；</w:t>
      </w:r>
    </w:p>
    <w:p>
      <w:pPr>
        <w:numPr>
          <w:ilvl w:val="2"/>
          <w:numId w:val="2"/>
        </w:numPr>
        <w:snapToGrid w:val="0"/>
        <w:spacing w:line="360" w:lineRule="auto"/>
        <w:rPr>
          <w:sz w:val="24"/>
        </w:rPr>
      </w:pPr>
      <w:r>
        <w:rPr>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p>
      <w:pPr>
        <w:numPr>
          <w:ilvl w:val="0"/>
          <w:numId w:val="2"/>
        </w:numPr>
        <w:tabs>
          <w:tab w:val="left" w:pos="360"/>
        </w:tabs>
        <w:snapToGrid w:val="0"/>
        <w:spacing w:line="360" w:lineRule="auto"/>
        <w:ind w:left="357" w:hanging="357"/>
        <w:outlineLvl w:val="1"/>
        <w:rPr>
          <w:sz w:val="24"/>
        </w:rPr>
      </w:pPr>
      <w:bookmarkStart w:id="535" w:name="_Ref467306978"/>
      <w:bookmarkStart w:id="536" w:name="_Toc150480788"/>
      <w:bookmarkStart w:id="537" w:name="_Toc226965823"/>
      <w:bookmarkStart w:id="538" w:name="_Toc150774650"/>
      <w:bookmarkStart w:id="539" w:name="_Toc151193648"/>
      <w:bookmarkStart w:id="540" w:name="_Ref467307062"/>
      <w:bookmarkStart w:id="541" w:name="_Toc127151751"/>
      <w:bookmarkStart w:id="542" w:name="_Toc164351644"/>
      <w:bookmarkStart w:id="543" w:name="_Toc164229391"/>
      <w:bookmarkStart w:id="544" w:name="_Toc149720843"/>
      <w:bookmarkStart w:id="545" w:name="_Ref467306377"/>
      <w:bookmarkStart w:id="546" w:name="_Toc195842915"/>
      <w:bookmarkStart w:id="547" w:name="_Toc142311052"/>
      <w:bookmarkStart w:id="548" w:name="_Toc164608819"/>
      <w:bookmarkStart w:id="549" w:name="_Toc151193938"/>
      <w:bookmarkStart w:id="550" w:name="_Toc151193720"/>
      <w:bookmarkStart w:id="551" w:name="_Toc164608664"/>
      <w:bookmarkStart w:id="552" w:name="_Toc151190177"/>
      <w:bookmarkStart w:id="553" w:name="_Toc265228388"/>
      <w:bookmarkStart w:id="554" w:name="_Toc264969240"/>
      <w:bookmarkStart w:id="555" w:name="_Toc127151550"/>
      <w:bookmarkStart w:id="556" w:name="_Toc164229245"/>
      <w:bookmarkStart w:id="557" w:name="_Toc305158892"/>
      <w:bookmarkStart w:id="558" w:name="_Toc151193864"/>
      <w:bookmarkStart w:id="559" w:name="_Toc305158818"/>
      <w:bookmarkStart w:id="560" w:name="_Toc151193792"/>
      <w:bookmarkStart w:id="561" w:name="_Ref467307204"/>
      <w:bookmarkStart w:id="562" w:name="_Toc150509301"/>
      <w:bookmarkStart w:id="563" w:name="_Toc150774755"/>
      <w:bookmarkStart w:id="564" w:name="_Toc127161464"/>
      <w:bookmarkStart w:id="565" w:name="_Toc520356175"/>
      <w:bookmarkStart w:id="566" w:name="_Toc226337246"/>
      <w:bookmarkStart w:id="567" w:name="_Toc226309794"/>
      <w:bookmarkStart w:id="568" w:name="_Toc226965740"/>
      <w:r>
        <w:rPr>
          <w:sz w:val="24"/>
        </w:rPr>
        <w:t>签订合同</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pPr>
        <w:numPr>
          <w:ilvl w:val="1"/>
          <w:numId w:val="2"/>
        </w:numPr>
        <w:tabs>
          <w:tab w:val="left" w:pos="1080"/>
          <w:tab w:val="left" w:pos="2014"/>
        </w:tabs>
        <w:snapToGrid w:val="0"/>
        <w:spacing w:line="360" w:lineRule="auto"/>
        <w:ind w:left="1077" w:hanging="720"/>
        <w:rPr>
          <w:sz w:val="24"/>
        </w:rPr>
      </w:pPr>
      <w:r>
        <w:rPr>
          <w:sz w:val="24"/>
        </w:rPr>
        <w:t>采购人与成交供应商将在成交通知书发出之日起30日内，按照磋商文件确定的合同文本以及采购标的、规格型号、采购金额、采购数量、技术和服务要求等事项签订政府采购合同。</w:t>
      </w:r>
    </w:p>
    <w:p>
      <w:pPr>
        <w:numPr>
          <w:ilvl w:val="1"/>
          <w:numId w:val="2"/>
        </w:numPr>
        <w:tabs>
          <w:tab w:val="left" w:pos="1080"/>
          <w:tab w:val="left" w:pos="2014"/>
        </w:tabs>
        <w:snapToGrid w:val="0"/>
        <w:spacing w:line="360" w:lineRule="auto"/>
        <w:ind w:left="1077" w:hanging="720"/>
        <w:rPr>
          <w:sz w:val="24"/>
        </w:rPr>
      </w:pPr>
      <w:r>
        <w:rPr>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numPr>
          <w:ilvl w:val="1"/>
          <w:numId w:val="2"/>
        </w:numPr>
        <w:tabs>
          <w:tab w:val="left" w:pos="1080"/>
          <w:tab w:val="left" w:pos="2014"/>
        </w:tabs>
        <w:snapToGrid w:val="0"/>
        <w:spacing w:line="360" w:lineRule="auto"/>
        <w:ind w:left="1077" w:hanging="720"/>
        <w:rPr>
          <w:sz w:val="24"/>
        </w:rPr>
      </w:pPr>
      <w:r>
        <w:rPr>
          <w:sz w:val="24"/>
        </w:rPr>
        <w:t>联合体获得成交资格的，联合体各方应当共同与采购人签订合同，就成交项目向采购人承担连带责任。</w:t>
      </w:r>
    </w:p>
    <w:p>
      <w:pPr>
        <w:numPr>
          <w:ilvl w:val="1"/>
          <w:numId w:val="2"/>
        </w:numPr>
        <w:tabs>
          <w:tab w:val="left" w:pos="1080"/>
          <w:tab w:val="left" w:pos="2014"/>
        </w:tabs>
        <w:snapToGrid w:val="0"/>
        <w:spacing w:line="360" w:lineRule="auto"/>
        <w:ind w:left="1077" w:hanging="720"/>
        <w:rPr>
          <w:sz w:val="24"/>
        </w:rPr>
      </w:pPr>
      <w:r>
        <w:rPr>
          <w:sz w:val="24"/>
        </w:rPr>
        <w:t>政府采购合同不能转包。</w:t>
      </w:r>
    </w:p>
    <w:p>
      <w:pPr>
        <w:numPr>
          <w:ilvl w:val="1"/>
          <w:numId w:val="2"/>
        </w:numPr>
        <w:tabs>
          <w:tab w:val="left" w:pos="1080"/>
          <w:tab w:val="left" w:pos="2014"/>
        </w:tabs>
        <w:snapToGrid w:val="0"/>
        <w:spacing w:line="360" w:lineRule="auto"/>
        <w:ind w:left="1077" w:hanging="720"/>
        <w:rPr>
          <w:sz w:val="24"/>
        </w:rPr>
      </w:pPr>
      <w:r>
        <w:rPr>
          <w:sz w:val="24"/>
        </w:rPr>
        <w:t>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532"/>
    <w:bookmarkEnd w:id="533"/>
    <w:bookmarkEnd w:id="534"/>
    <w:p>
      <w:pPr>
        <w:numPr>
          <w:ilvl w:val="0"/>
          <w:numId w:val="2"/>
        </w:numPr>
        <w:tabs>
          <w:tab w:val="left" w:pos="360"/>
        </w:tabs>
        <w:snapToGrid w:val="0"/>
        <w:spacing w:line="360" w:lineRule="auto"/>
        <w:ind w:left="357" w:hanging="357"/>
        <w:outlineLvl w:val="1"/>
        <w:rPr>
          <w:sz w:val="24"/>
        </w:rPr>
      </w:pPr>
      <w:r>
        <w:rPr>
          <w:sz w:val="24"/>
        </w:rPr>
        <w:t>询问与质疑</w:t>
      </w:r>
    </w:p>
    <w:p>
      <w:pPr>
        <w:numPr>
          <w:ilvl w:val="1"/>
          <w:numId w:val="2"/>
        </w:numPr>
        <w:tabs>
          <w:tab w:val="left" w:pos="1080"/>
          <w:tab w:val="left" w:pos="2014"/>
        </w:tabs>
        <w:snapToGrid w:val="0"/>
        <w:spacing w:line="360" w:lineRule="auto"/>
        <w:ind w:left="1077" w:hanging="720"/>
        <w:rPr>
          <w:sz w:val="24"/>
        </w:rPr>
      </w:pPr>
      <w:r>
        <w:rPr>
          <w:sz w:val="24"/>
        </w:rPr>
        <w:t>询问</w:t>
      </w:r>
    </w:p>
    <w:p>
      <w:pPr>
        <w:numPr>
          <w:ilvl w:val="2"/>
          <w:numId w:val="2"/>
        </w:numPr>
        <w:snapToGrid w:val="0"/>
        <w:spacing w:line="360" w:lineRule="auto"/>
        <w:rPr>
          <w:sz w:val="24"/>
        </w:rPr>
      </w:pPr>
      <w:r>
        <w:rPr>
          <w:sz w:val="24"/>
        </w:rPr>
        <w:t>供应商对政府采购活动事项有疑问的，可依法提出询问，并按《供应商须知资料表》载明的形式送达采购人或采购代理机构。</w:t>
      </w:r>
    </w:p>
    <w:p>
      <w:pPr>
        <w:numPr>
          <w:ilvl w:val="2"/>
          <w:numId w:val="2"/>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2"/>
        </w:numPr>
        <w:tabs>
          <w:tab w:val="left" w:pos="1080"/>
          <w:tab w:val="left" w:pos="2014"/>
        </w:tabs>
        <w:snapToGrid w:val="0"/>
        <w:spacing w:line="360" w:lineRule="auto"/>
        <w:ind w:left="1077" w:hanging="720"/>
        <w:rPr>
          <w:sz w:val="24"/>
        </w:rPr>
      </w:pPr>
      <w:r>
        <w:rPr>
          <w:sz w:val="24"/>
        </w:rPr>
        <w:t>质疑</w:t>
      </w:r>
    </w:p>
    <w:p>
      <w:pPr>
        <w:numPr>
          <w:ilvl w:val="2"/>
          <w:numId w:val="2"/>
        </w:numPr>
        <w:snapToGrid w:val="0"/>
        <w:spacing w:line="360" w:lineRule="auto"/>
        <w:rPr>
          <w:sz w:val="24"/>
        </w:rPr>
      </w:pPr>
      <w:r>
        <w:rPr>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pPr>
        <w:numPr>
          <w:ilvl w:val="2"/>
          <w:numId w:val="2"/>
        </w:numPr>
        <w:snapToGrid w:val="0"/>
        <w:spacing w:line="360" w:lineRule="auto"/>
        <w:rPr>
          <w:sz w:val="24"/>
        </w:rPr>
      </w:pPr>
      <w:r>
        <w:rPr>
          <w:sz w:val="24"/>
        </w:rPr>
        <w:t>质疑函须使用财政部制定的范本文件。</w:t>
      </w:r>
    </w:p>
    <w:p>
      <w:pPr>
        <w:numPr>
          <w:ilvl w:val="2"/>
          <w:numId w:val="2"/>
        </w:numPr>
        <w:snapToGrid w:val="0"/>
        <w:spacing w:line="360" w:lineRule="auto"/>
        <w:rPr>
          <w:sz w:val="24"/>
        </w:rPr>
      </w:pPr>
      <w:r>
        <w:rPr>
          <w:sz w:val="24"/>
        </w:rPr>
        <w:t>供应商为自然人的，应当由本人签字；供应商为法人或者其他组织的，应当由法定代表人、主要负责人，或者其授权代表签字或者盖章，并加盖公章。</w:t>
      </w:r>
    </w:p>
    <w:p>
      <w:pPr>
        <w:numPr>
          <w:ilvl w:val="2"/>
          <w:numId w:val="2"/>
        </w:numPr>
        <w:snapToGrid w:val="0"/>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pPr>
        <w:numPr>
          <w:ilvl w:val="1"/>
          <w:numId w:val="2"/>
        </w:numPr>
        <w:tabs>
          <w:tab w:val="left" w:pos="1080"/>
          <w:tab w:val="left" w:pos="2014"/>
        </w:tabs>
        <w:snapToGrid w:val="0"/>
        <w:spacing w:line="360" w:lineRule="auto"/>
        <w:ind w:left="1077" w:hanging="720"/>
        <w:rPr>
          <w:sz w:val="24"/>
        </w:rPr>
      </w:pPr>
      <w:r>
        <w:rPr>
          <w:sz w:val="24"/>
        </w:rPr>
        <w:t>接收询问和质疑的联系部门、联系电话和通讯地址见《供应商须知资料表》</w:t>
      </w:r>
      <w:r>
        <w:rPr>
          <w:rFonts w:hint="eastAsia"/>
          <w:sz w:val="24"/>
        </w:rPr>
        <w:t>。</w:t>
      </w:r>
    </w:p>
    <w:p>
      <w:pPr>
        <w:numPr>
          <w:ilvl w:val="0"/>
          <w:numId w:val="2"/>
        </w:numPr>
        <w:tabs>
          <w:tab w:val="left" w:pos="360"/>
        </w:tabs>
        <w:snapToGrid w:val="0"/>
        <w:spacing w:line="360" w:lineRule="auto"/>
        <w:ind w:left="357" w:hanging="357"/>
        <w:outlineLvl w:val="1"/>
        <w:rPr>
          <w:sz w:val="24"/>
        </w:rPr>
      </w:pPr>
      <w:r>
        <w:rPr>
          <w:sz w:val="24"/>
        </w:rPr>
        <w:t>代理费</w:t>
      </w:r>
    </w:p>
    <w:p>
      <w:pPr>
        <w:numPr>
          <w:ilvl w:val="1"/>
          <w:numId w:val="2"/>
        </w:numPr>
        <w:tabs>
          <w:tab w:val="left" w:pos="1080"/>
          <w:tab w:val="left" w:pos="2014"/>
        </w:tabs>
        <w:snapToGrid w:val="0"/>
        <w:spacing w:line="360" w:lineRule="auto"/>
        <w:ind w:left="1077" w:hanging="720"/>
        <w:rPr>
          <w:sz w:val="24"/>
        </w:rPr>
      </w:pPr>
      <w:r>
        <w:rPr>
          <w:sz w:val="24"/>
        </w:rPr>
        <w:t>收费对象、收费标准及缴纳时间见《供应商须知资料表》。由成交供应商支付的，成交供应商须一次性向采购代理机构缴纳代理费。</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569" w:name="_Toc353873934"/>
      <w:bookmarkStart w:id="570" w:name="_Toc264969244"/>
      <w:bookmarkStart w:id="571" w:name="_Toc353873664"/>
      <w:bookmarkStart w:id="572" w:name="_Toc305158896"/>
      <w:bookmarkStart w:id="573" w:name="_Toc142311056"/>
      <w:bookmarkStart w:id="574" w:name="_Toc226337250"/>
      <w:bookmarkStart w:id="575" w:name="_Toc353825544"/>
      <w:bookmarkStart w:id="576" w:name="_Toc150480792"/>
      <w:bookmarkStart w:id="577" w:name="_Toc226965827"/>
      <w:bookmarkStart w:id="578" w:name="_Toc305158822"/>
      <w:bookmarkStart w:id="579" w:name="_Toc150774759"/>
      <w:bookmarkStart w:id="580" w:name="_Toc265228392"/>
      <w:bookmarkStart w:id="581" w:name="_Toc127151554"/>
      <w:r>
        <w:rPr>
          <w:sz w:val="24"/>
        </w:rPr>
        <w:br w:type="page"/>
      </w:r>
      <w:bookmarkStart w:id="582" w:name="_Toc97371943"/>
      <w:r>
        <w:rPr>
          <w:b/>
          <w:sz w:val="36"/>
          <w:szCs w:val="36"/>
        </w:rPr>
        <w:t xml:space="preserve">第三章   </w:t>
      </w:r>
      <w:bookmarkEnd w:id="569"/>
      <w:bookmarkEnd w:id="570"/>
      <w:bookmarkEnd w:id="571"/>
      <w:bookmarkEnd w:id="572"/>
      <w:bookmarkEnd w:id="573"/>
      <w:bookmarkEnd w:id="574"/>
      <w:bookmarkEnd w:id="575"/>
      <w:bookmarkEnd w:id="576"/>
      <w:bookmarkEnd w:id="577"/>
      <w:bookmarkEnd w:id="578"/>
      <w:bookmarkEnd w:id="579"/>
      <w:bookmarkEnd w:id="580"/>
      <w:bookmarkEnd w:id="581"/>
      <w:r>
        <w:rPr>
          <w:b/>
          <w:sz w:val="36"/>
          <w:szCs w:val="36"/>
        </w:rPr>
        <w:t>评审方法和评审标准</w:t>
      </w:r>
      <w:bookmarkEnd w:id="582"/>
      <w:bookmarkStart w:id="583" w:name="_Toc487900382"/>
    </w:p>
    <w:p>
      <w:pPr>
        <w:rPr>
          <w:b/>
          <w:sz w:val="24"/>
        </w:rPr>
      </w:pPr>
      <w:r>
        <w:rPr>
          <w:rFonts w:hint="eastAsia"/>
          <w:b/>
          <w:sz w:val="24"/>
        </w:rPr>
        <w:t>注：采购文件要求的电子件或电子证照包含扫描件、复印件等证明材料。</w:t>
      </w:r>
    </w:p>
    <w:p>
      <w:pPr>
        <w:rPr>
          <w:b/>
          <w:sz w:val="24"/>
        </w:rPr>
      </w:pPr>
    </w:p>
    <w:p>
      <w:pPr>
        <w:pStyle w:val="4"/>
        <w:spacing w:before="0" w:line="360" w:lineRule="auto"/>
        <w:rPr>
          <w:rFonts w:ascii="Times New Roman" w:hAnsi="Times New Roman" w:eastAsia="宋体"/>
          <w:sz w:val="24"/>
          <w:szCs w:val="24"/>
        </w:rPr>
      </w:pPr>
      <w:r>
        <w:rPr>
          <w:rFonts w:ascii="Times New Roman" w:hAnsi="Times New Roman" w:eastAsia="宋体"/>
          <w:sz w:val="24"/>
          <w:szCs w:val="24"/>
        </w:rPr>
        <w:t>一、资格审查程序</w:t>
      </w:r>
    </w:p>
    <w:p>
      <w:pPr>
        <w:tabs>
          <w:tab w:val="left" w:pos="1080"/>
        </w:tabs>
        <w:snapToGrid w:val="0"/>
        <w:jc w:val="left"/>
        <w:rPr>
          <w:b/>
          <w:sz w:val="24"/>
        </w:rPr>
      </w:pPr>
      <w:r>
        <w:rPr>
          <w:b/>
          <w:sz w:val="24"/>
        </w:rPr>
        <w:tab/>
      </w:r>
    </w:p>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583"/>
    <w:p>
      <w:pPr>
        <w:numPr>
          <w:ilvl w:val="0"/>
          <w:numId w:val="4"/>
        </w:numPr>
        <w:tabs>
          <w:tab w:val="left" w:pos="360"/>
        </w:tabs>
        <w:snapToGrid w:val="0"/>
        <w:spacing w:line="360" w:lineRule="auto"/>
        <w:outlineLvl w:val="1"/>
        <w:rPr>
          <w:sz w:val="24"/>
        </w:rPr>
      </w:pPr>
      <w:bookmarkStart w:id="584" w:name="_Toc305158809"/>
      <w:bookmarkStart w:id="585" w:name="_Toc151193639"/>
      <w:bookmarkStart w:id="586" w:name="_Toc226309785"/>
      <w:bookmarkStart w:id="587" w:name="_Toc142311043"/>
      <w:bookmarkStart w:id="588" w:name="_Toc151193929"/>
      <w:bookmarkStart w:id="589" w:name="_Toc149720834"/>
      <w:bookmarkStart w:id="590" w:name="_Toc226337237"/>
      <w:bookmarkStart w:id="591" w:name="_Toc151193855"/>
      <w:bookmarkStart w:id="592" w:name="_Toc150774641"/>
      <w:bookmarkStart w:id="593" w:name="_Toc305158883"/>
      <w:bookmarkStart w:id="594" w:name="_Toc127151541"/>
      <w:bookmarkStart w:id="595" w:name="_Toc164229236"/>
      <w:bookmarkStart w:id="596" w:name="_Toc195842906"/>
      <w:bookmarkStart w:id="597" w:name="_Toc150774746"/>
      <w:bookmarkStart w:id="598" w:name="_Toc164351635"/>
      <w:bookmarkStart w:id="599" w:name="_Toc265228379"/>
      <w:bookmarkStart w:id="600" w:name="_Toc164608655"/>
      <w:bookmarkStart w:id="601" w:name="_Toc226965731"/>
      <w:bookmarkStart w:id="602" w:name="_Toc151190168"/>
      <w:bookmarkStart w:id="603" w:name="_Toc127151742"/>
      <w:bookmarkStart w:id="604" w:name="_Toc164229382"/>
      <w:bookmarkStart w:id="605" w:name="_Toc150509292"/>
      <w:bookmarkStart w:id="606" w:name="_Toc127161455"/>
      <w:bookmarkStart w:id="607" w:name="_Toc150480779"/>
      <w:bookmarkStart w:id="608" w:name="_Toc164608810"/>
      <w:bookmarkStart w:id="609" w:name="_Toc151193783"/>
      <w:bookmarkStart w:id="610" w:name="_Toc264969231"/>
      <w:bookmarkStart w:id="611" w:name="_Toc226965814"/>
      <w:bookmarkStart w:id="612" w:name="_Toc151193711"/>
      <w:bookmarkStart w:id="613" w:name="_Toc353873941"/>
      <w:bookmarkStart w:id="614" w:name="_Toc353825551"/>
      <w:bookmarkStart w:id="615" w:name="_Toc305158823"/>
      <w:bookmarkStart w:id="616" w:name="_Toc353873935"/>
      <w:bookmarkStart w:id="617" w:name="_Toc226337251"/>
      <w:bookmarkStart w:id="618" w:name="_Toc195842920"/>
      <w:bookmarkStart w:id="619" w:name="_Toc305158897"/>
      <w:bookmarkStart w:id="620" w:name="_Toc226965828"/>
      <w:bookmarkStart w:id="621" w:name="_Toc265228393"/>
      <w:bookmarkStart w:id="622" w:name="_Toc142311057"/>
      <w:bookmarkStart w:id="623" w:name="_Toc353825545"/>
      <w:bookmarkStart w:id="624" w:name="_Toc353873665"/>
      <w:bookmarkStart w:id="625" w:name="_Toc150774760"/>
      <w:bookmarkStart w:id="626" w:name="_Toc264969245"/>
      <w:bookmarkStart w:id="627" w:name="_Toc150480793"/>
      <w:bookmarkStart w:id="628" w:name="_Toc127151555"/>
      <w:r>
        <w:rPr>
          <w:sz w:val="24"/>
        </w:rPr>
        <w:t>响应文件的</w:t>
      </w:r>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r>
        <w:rPr>
          <w:sz w:val="24"/>
        </w:rPr>
        <w:t>资格性检查和符合性审查</w:t>
      </w:r>
    </w:p>
    <w:p>
      <w:pPr>
        <w:numPr>
          <w:ilvl w:val="1"/>
          <w:numId w:val="4"/>
        </w:numPr>
        <w:tabs>
          <w:tab w:val="left" w:pos="1080"/>
        </w:tabs>
        <w:snapToGrid w:val="0"/>
        <w:spacing w:line="360" w:lineRule="auto"/>
        <w:ind w:left="1077" w:hanging="720"/>
        <w:rPr>
          <w:sz w:val="24"/>
        </w:rPr>
      </w:pPr>
      <w:r>
        <w:rPr>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b/>
          <w:sz w:val="24"/>
        </w:rPr>
        <w:t>无效响应</w:t>
      </w:r>
      <w:r>
        <w:rPr>
          <w:sz w:val="24"/>
        </w:rPr>
        <w:t>处理，磋商小组应当告知提交响应文件的供应商。</w:t>
      </w:r>
    </w:p>
    <w:p>
      <w:pPr>
        <w:numPr>
          <w:ilvl w:val="1"/>
          <w:numId w:val="4"/>
        </w:numPr>
        <w:tabs>
          <w:tab w:val="left" w:pos="1080"/>
        </w:tabs>
        <w:snapToGrid w:val="0"/>
        <w:spacing w:line="360" w:lineRule="auto"/>
        <w:ind w:left="1077" w:hanging="720"/>
        <w:rPr>
          <w:sz w:val="24"/>
        </w:rPr>
      </w:pPr>
      <w:r>
        <w:rPr>
          <w:sz w:val="24"/>
        </w:rPr>
        <w:t>《资格性检查要求》中对格式有要求的，除竞争性磋商文件另有规定外，均为“实质性格式”文件。</w:t>
      </w:r>
    </w:p>
    <w:p>
      <w:pPr>
        <w:numPr>
          <w:ilvl w:val="1"/>
          <w:numId w:val="4"/>
        </w:numPr>
        <w:tabs>
          <w:tab w:val="left" w:pos="1080"/>
        </w:tabs>
        <w:snapToGrid w:val="0"/>
        <w:spacing w:line="360" w:lineRule="auto"/>
        <w:ind w:left="1077" w:hanging="720"/>
        <w:rPr>
          <w:sz w:val="24"/>
        </w:rPr>
      </w:pPr>
      <w:r>
        <w:rPr>
          <w:sz w:val="24"/>
        </w:rPr>
        <w:t>《资格性检查要求》见下表：</w:t>
      </w:r>
    </w:p>
    <w:p>
      <w:pPr>
        <w:tabs>
          <w:tab w:val="left" w:pos="900"/>
          <w:tab w:val="left" w:pos="1080"/>
        </w:tabs>
        <w:snapToGrid w:val="0"/>
        <w:spacing w:line="360" w:lineRule="auto"/>
        <w:ind w:left="1077" w:firstLine="2650" w:firstLineChars="1100"/>
        <w:rPr>
          <w:b/>
          <w:sz w:val="24"/>
        </w:rPr>
      </w:pPr>
      <w:r>
        <w:rPr>
          <w:b/>
          <w:sz w:val="24"/>
        </w:rPr>
        <w:t>资格性检查要求</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5"/>
        <w:gridCol w:w="1742"/>
        <w:gridCol w:w="4791"/>
        <w:gridCol w:w="191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455" w:type="pct"/>
            <w:vAlign w:val="center"/>
          </w:tcPr>
          <w:p>
            <w:pPr>
              <w:tabs>
                <w:tab w:val="left" w:pos="1080"/>
              </w:tabs>
              <w:snapToGrid w:val="0"/>
              <w:jc w:val="center"/>
              <w:rPr>
                <w:b/>
                <w:sz w:val="24"/>
              </w:rPr>
            </w:pPr>
            <w:bookmarkStart w:id="629" w:name="_Hlt487972895"/>
            <w:bookmarkEnd w:id="629"/>
            <w:r>
              <w:rPr>
                <w:b/>
                <w:sz w:val="24"/>
              </w:rPr>
              <w:t>序号</w:t>
            </w:r>
          </w:p>
        </w:tc>
        <w:tc>
          <w:tcPr>
            <w:tcW w:w="938" w:type="pct"/>
            <w:vAlign w:val="center"/>
          </w:tcPr>
          <w:p>
            <w:pPr>
              <w:tabs>
                <w:tab w:val="left" w:pos="1080"/>
              </w:tabs>
              <w:snapToGrid w:val="0"/>
              <w:jc w:val="center"/>
              <w:rPr>
                <w:b/>
                <w:sz w:val="24"/>
              </w:rPr>
            </w:pPr>
            <w:r>
              <w:rPr>
                <w:b/>
                <w:sz w:val="24"/>
              </w:rPr>
              <w:t>检查因素</w:t>
            </w:r>
          </w:p>
        </w:tc>
        <w:tc>
          <w:tcPr>
            <w:tcW w:w="2579" w:type="pct"/>
            <w:vAlign w:val="center"/>
          </w:tcPr>
          <w:p>
            <w:pPr>
              <w:tabs>
                <w:tab w:val="left" w:pos="1080"/>
              </w:tabs>
              <w:snapToGrid w:val="0"/>
              <w:jc w:val="center"/>
              <w:rPr>
                <w:b/>
                <w:sz w:val="24"/>
              </w:rPr>
            </w:pPr>
            <w:r>
              <w:rPr>
                <w:b/>
                <w:sz w:val="24"/>
              </w:rPr>
              <w:t>检查内容</w:t>
            </w:r>
          </w:p>
        </w:tc>
        <w:tc>
          <w:tcPr>
            <w:tcW w:w="1028"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w:t>
            </w:r>
          </w:p>
        </w:tc>
        <w:tc>
          <w:tcPr>
            <w:tcW w:w="938" w:type="pct"/>
            <w:vAlign w:val="center"/>
          </w:tcPr>
          <w:p>
            <w:pPr>
              <w:tabs>
                <w:tab w:val="left" w:pos="1080"/>
              </w:tabs>
              <w:snapToGrid w:val="0"/>
              <w:jc w:val="left"/>
              <w:rPr>
                <w:sz w:val="24"/>
              </w:rPr>
            </w:pPr>
            <w:r>
              <w:rPr>
                <w:sz w:val="24"/>
              </w:rPr>
              <w:t>满足《中华人民共和国政府采购法》第二十二条规定及法律法规的其他规定</w:t>
            </w:r>
          </w:p>
        </w:tc>
        <w:tc>
          <w:tcPr>
            <w:tcW w:w="2579" w:type="pct"/>
            <w:vAlign w:val="center"/>
          </w:tcPr>
          <w:p>
            <w:pPr>
              <w:tabs>
                <w:tab w:val="left" w:pos="1080"/>
              </w:tabs>
              <w:snapToGrid w:val="0"/>
              <w:jc w:val="left"/>
              <w:rPr>
                <w:sz w:val="24"/>
              </w:rPr>
            </w:pPr>
            <w:r>
              <w:rPr>
                <w:sz w:val="24"/>
              </w:rPr>
              <w:t>具体规定见第一章《采购邀请》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1-1</w:t>
            </w:r>
          </w:p>
        </w:tc>
        <w:tc>
          <w:tcPr>
            <w:tcW w:w="938" w:type="pct"/>
            <w:vAlign w:val="center"/>
          </w:tcPr>
          <w:p>
            <w:pPr>
              <w:tabs>
                <w:tab w:val="left" w:pos="1080"/>
              </w:tabs>
              <w:snapToGrid w:val="0"/>
              <w:jc w:val="left"/>
              <w:rPr>
                <w:sz w:val="24"/>
              </w:rPr>
            </w:pPr>
            <w:r>
              <w:rPr>
                <w:sz w:val="24"/>
              </w:rPr>
              <w:t>营业执照等证明文件</w:t>
            </w:r>
          </w:p>
        </w:tc>
        <w:tc>
          <w:tcPr>
            <w:tcW w:w="2579" w:type="pct"/>
            <w:vAlign w:val="center"/>
          </w:tcPr>
          <w:p>
            <w:pPr>
              <w:tabs>
                <w:tab w:val="left" w:pos="1080"/>
              </w:tabs>
              <w:snapToGrid w:val="0"/>
              <w:jc w:val="left"/>
              <w:rPr>
                <w:sz w:val="24"/>
              </w:rPr>
            </w:pPr>
            <w:r>
              <w:rPr>
                <w:sz w:val="24"/>
              </w:rPr>
              <w:t>供应商为企业（包括合伙企业）的，应提供有效的“营业执照”；</w:t>
            </w:r>
          </w:p>
          <w:p>
            <w:pPr>
              <w:tabs>
                <w:tab w:val="left" w:pos="1080"/>
              </w:tabs>
              <w:snapToGrid w:val="0"/>
              <w:jc w:val="left"/>
              <w:rPr>
                <w:sz w:val="24"/>
              </w:rPr>
            </w:pPr>
            <w:r>
              <w:rPr>
                <w:sz w:val="24"/>
              </w:rPr>
              <w:t>供应商为事业单位的，应提供有效的“事业单位法人证书”；</w:t>
            </w:r>
          </w:p>
          <w:p>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pPr>
              <w:tabs>
                <w:tab w:val="left" w:pos="1080"/>
              </w:tabs>
              <w:snapToGrid w:val="0"/>
              <w:jc w:val="left"/>
              <w:rPr>
                <w:sz w:val="24"/>
              </w:rPr>
            </w:pPr>
            <w:r>
              <w:rPr>
                <w:sz w:val="24"/>
              </w:rPr>
              <w:t>供应商是个体工商户的，应提供有效的“个体工商户营业执照”；</w:t>
            </w:r>
          </w:p>
          <w:p>
            <w:pPr>
              <w:tabs>
                <w:tab w:val="left" w:pos="1080"/>
              </w:tabs>
              <w:snapToGrid w:val="0"/>
              <w:jc w:val="left"/>
              <w:rPr>
                <w:sz w:val="24"/>
              </w:rPr>
            </w:pPr>
            <w:r>
              <w:rPr>
                <w:sz w:val="24"/>
              </w:rPr>
              <w:t>供应商是自然人的，应提供有效的自然人身份证明。</w:t>
            </w:r>
          </w:p>
          <w:p>
            <w:pPr>
              <w:tabs>
                <w:tab w:val="left" w:pos="1080"/>
              </w:tabs>
              <w:snapToGrid w:val="0"/>
              <w:jc w:val="left"/>
              <w:rPr>
                <w:color w:val="000000"/>
                <w:sz w:val="24"/>
              </w:rPr>
            </w:pPr>
            <w:r>
              <w:rPr>
                <w:color w:val="000000"/>
                <w:sz w:val="24"/>
              </w:rPr>
              <w:t>若本项目允许分支机构参加响应，则分支机构参加</w:t>
            </w:r>
            <w:r>
              <w:rPr>
                <w:color w:val="000000"/>
                <w:kern w:val="0"/>
                <w:sz w:val="24"/>
              </w:rPr>
              <w:t>响应</w:t>
            </w:r>
            <w:r>
              <w:rPr>
                <w:color w:val="000000"/>
                <w:sz w:val="24"/>
              </w:rPr>
              <w:t>的，此处可提供该分支机构或其所属法人或其他组织的相应证明文件。</w:t>
            </w:r>
          </w:p>
        </w:tc>
        <w:tc>
          <w:tcPr>
            <w:tcW w:w="1028" w:type="pct"/>
            <w:vAlign w:val="center"/>
          </w:tcPr>
          <w:p>
            <w:pPr>
              <w:tabs>
                <w:tab w:val="left" w:pos="1080"/>
              </w:tabs>
              <w:snapToGrid w:val="0"/>
              <w:jc w:val="left"/>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1-2</w:t>
            </w:r>
          </w:p>
        </w:tc>
        <w:tc>
          <w:tcPr>
            <w:tcW w:w="938" w:type="pct"/>
            <w:vAlign w:val="center"/>
          </w:tcPr>
          <w:p>
            <w:pPr>
              <w:tabs>
                <w:tab w:val="left" w:pos="1080"/>
              </w:tabs>
              <w:snapToGrid w:val="0"/>
              <w:jc w:val="left"/>
              <w:rPr>
                <w:sz w:val="24"/>
              </w:rPr>
            </w:pPr>
            <w:r>
              <w:rPr>
                <w:sz w:val="24"/>
              </w:rPr>
              <w:t>供应商资格声明书</w:t>
            </w:r>
          </w:p>
        </w:tc>
        <w:tc>
          <w:tcPr>
            <w:tcW w:w="2579" w:type="pct"/>
            <w:vAlign w:val="center"/>
          </w:tcPr>
          <w:p>
            <w:pPr>
              <w:tabs>
                <w:tab w:val="left" w:pos="1080"/>
              </w:tabs>
              <w:snapToGrid w:val="0"/>
              <w:jc w:val="left"/>
              <w:rPr>
                <w:sz w:val="24"/>
              </w:rPr>
            </w:pPr>
            <w:r>
              <w:rPr>
                <w:sz w:val="24"/>
              </w:rPr>
              <w:t>提供了符合竞争性磋商文件要求的《供应商资格声明书》。</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w:t>
            </w:r>
          </w:p>
        </w:tc>
        <w:tc>
          <w:tcPr>
            <w:tcW w:w="938" w:type="pct"/>
            <w:vAlign w:val="center"/>
          </w:tcPr>
          <w:p>
            <w:pPr>
              <w:tabs>
                <w:tab w:val="left" w:pos="1080"/>
              </w:tabs>
              <w:snapToGrid w:val="0"/>
              <w:jc w:val="left"/>
              <w:rPr>
                <w:sz w:val="24"/>
              </w:rPr>
            </w:pPr>
            <w:r>
              <w:rPr>
                <w:sz w:val="24"/>
              </w:rPr>
              <w:t>落实政府采购政策需满足的资格要求</w:t>
            </w:r>
          </w:p>
        </w:tc>
        <w:tc>
          <w:tcPr>
            <w:tcW w:w="2579" w:type="pct"/>
            <w:vAlign w:val="center"/>
          </w:tcPr>
          <w:p>
            <w:pPr>
              <w:tabs>
                <w:tab w:val="left" w:pos="1080"/>
              </w:tabs>
              <w:snapToGrid w:val="0"/>
              <w:jc w:val="left"/>
              <w:rPr>
                <w:sz w:val="24"/>
              </w:rPr>
            </w:pPr>
            <w:r>
              <w:rPr>
                <w:sz w:val="24"/>
              </w:rPr>
              <w:t>具体要求见第一章《采购邀请》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2-1</w:t>
            </w:r>
          </w:p>
        </w:tc>
        <w:tc>
          <w:tcPr>
            <w:tcW w:w="938" w:type="pct"/>
            <w:vAlign w:val="center"/>
          </w:tcPr>
          <w:p>
            <w:pPr>
              <w:tabs>
                <w:tab w:val="left" w:pos="1080"/>
              </w:tabs>
              <w:snapToGrid w:val="0"/>
              <w:jc w:val="left"/>
              <w:rPr>
                <w:sz w:val="24"/>
              </w:rPr>
            </w:pPr>
            <w:r>
              <w:rPr>
                <w:sz w:val="24"/>
              </w:rPr>
              <w:t>中小企业声明函</w:t>
            </w:r>
          </w:p>
        </w:tc>
        <w:tc>
          <w:tcPr>
            <w:tcW w:w="2579" w:type="pct"/>
            <w:vAlign w:val="center"/>
          </w:tcPr>
          <w:p>
            <w:pPr>
              <w:tabs>
                <w:tab w:val="left" w:pos="1080"/>
              </w:tabs>
              <w:snapToGrid w:val="0"/>
              <w:jc w:val="left"/>
              <w:rPr>
                <w:sz w:val="24"/>
              </w:rPr>
            </w:pPr>
            <w:r>
              <w:rPr>
                <w:sz w:val="24"/>
              </w:rPr>
              <w:t xml:space="preserve">当本项目（包）涉及预留份额专门面向中小企业采购，提供如下资料： </w:t>
            </w:r>
          </w:p>
          <w:p>
            <w:pPr>
              <w:tabs>
                <w:tab w:val="left" w:pos="1080"/>
              </w:tabs>
              <w:snapToGrid w:val="0"/>
              <w:jc w:val="left"/>
              <w:rPr>
                <w:sz w:val="24"/>
              </w:rPr>
            </w:pPr>
            <w:r>
              <w:rPr>
                <w:sz w:val="24"/>
              </w:rPr>
              <w:t>1、供应商单独响应的，应提供中小企业声明函；如为监狱企业或残疾人福利性单位，不必提供中小企业声明函，但须按注1或注2要求提供证明材料。</w:t>
            </w:r>
          </w:p>
          <w:p>
            <w:pPr>
              <w:tabs>
                <w:tab w:val="left" w:pos="1080"/>
              </w:tabs>
              <w:snapToGrid w:val="0"/>
              <w:jc w:val="left"/>
              <w:rPr>
                <w:sz w:val="24"/>
              </w:rPr>
            </w:pPr>
            <w:r>
              <w:rPr>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pPr>
              <w:tabs>
                <w:tab w:val="left" w:pos="1080"/>
              </w:tabs>
              <w:snapToGrid w:val="0"/>
              <w:jc w:val="left"/>
              <w:rPr>
                <w:sz w:val="24"/>
              </w:rPr>
            </w:pPr>
          </w:p>
          <w:p>
            <w:pPr>
              <w:tabs>
                <w:tab w:val="left" w:pos="1080"/>
              </w:tabs>
              <w:snapToGrid w:val="0"/>
              <w:jc w:val="left"/>
              <w:rPr>
                <w:sz w:val="24"/>
              </w:rPr>
            </w:pPr>
            <w:r>
              <w:rPr>
                <w:sz w:val="24"/>
              </w:rPr>
              <w:t>注1：监狱企业须提供由省级以上监狱管理局（北京市含教育矫治局）、戒毒管理局（含新疆生产建设兵团）出具的属于监狱企业的证明文件。</w:t>
            </w:r>
          </w:p>
          <w:p>
            <w:pPr>
              <w:tabs>
                <w:tab w:val="left" w:pos="1080"/>
              </w:tabs>
              <w:snapToGrid w:val="0"/>
              <w:jc w:val="left"/>
              <w:rPr>
                <w:sz w:val="24"/>
              </w:rPr>
            </w:pPr>
            <w:r>
              <w:rPr>
                <w:sz w:val="24"/>
              </w:rPr>
              <w:t>注2：残疾人福利性单位须按磋商文件要求提供《残疾人福利性单位声明函》。</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3" w:hRule="atLeast"/>
        </w:trPr>
        <w:tc>
          <w:tcPr>
            <w:tcW w:w="455" w:type="pct"/>
            <w:vAlign w:val="center"/>
          </w:tcPr>
          <w:p>
            <w:pPr>
              <w:tabs>
                <w:tab w:val="left" w:pos="1080"/>
              </w:tabs>
              <w:snapToGrid w:val="0"/>
              <w:jc w:val="center"/>
              <w:rPr>
                <w:sz w:val="24"/>
              </w:rPr>
            </w:pPr>
            <w:r>
              <w:rPr>
                <w:sz w:val="24"/>
              </w:rPr>
              <w:t>2-1-1</w:t>
            </w:r>
          </w:p>
        </w:tc>
        <w:tc>
          <w:tcPr>
            <w:tcW w:w="938" w:type="pct"/>
            <w:vAlign w:val="center"/>
          </w:tcPr>
          <w:p>
            <w:pPr>
              <w:tabs>
                <w:tab w:val="left" w:pos="1080"/>
              </w:tabs>
              <w:snapToGrid w:val="0"/>
              <w:jc w:val="left"/>
              <w:rPr>
                <w:sz w:val="24"/>
              </w:rPr>
            </w:pPr>
            <w:r>
              <w:rPr>
                <w:sz w:val="24"/>
              </w:rPr>
              <w:t>拟分包情况说明及分包意向协议（类型一）</w:t>
            </w:r>
            <w:r>
              <w:rPr>
                <w:rFonts w:hint="eastAsia"/>
                <w:b/>
                <w:sz w:val="24"/>
              </w:rPr>
              <w:t>（本项目不适用）</w:t>
            </w:r>
          </w:p>
        </w:tc>
        <w:tc>
          <w:tcPr>
            <w:tcW w:w="2579" w:type="pct"/>
            <w:vAlign w:val="center"/>
          </w:tcPr>
          <w:p>
            <w:pPr>
              <w:tabs>
                <w:tab w:val="left" w:pos="1080"/>
              </w:tabs>
              <w:snapToGrid w:val="0"/>
              <w:jc w:val="left"/>
              <w:rPr>
                <w:sz w:val="24"/>
              </w:rPr>
            </w:pPr>
            <w:r>
              <w:rPr>
                <w:sz w:val="24"/>
              </w:rPr>
              <w:t>如本项目（包）要求通过分包措施预留部分采购份额面向中小企业采购、且供应商因落实政府采购政策拟进行分包的，必须提供；否则无须提供。</w:t>
            </w:r>
          </w:p>
          <w:p>
            <w:pPr>
              <w:tabs>
                <w:tab w:val="left" w:pos="1080"/>
              </w:tabs>
              <w:snapToGrid w:val="0"/>
              <w:jc w:val="left"/>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2-2</w:t>
            </w:r>
          </w:p>
        </w:tc>
        <w:tc>
          <w:tcPr>
            <w:tcW w:w="938" w:type="pct"/>
            <w:vAlign w:val="center"/>
          </w:tcPr>
          <w:p>
            <w:pPr>
              <w:tabs>
                <w:tab w:val="left" w:pos="1080"/>
              </w:tabs>
              <w:snapToGrid w:val="0"/>
              <w:rPr>
                <w:sz w:val="24"/>
              </w:rPr>
            </w:pPr>
            <w:r>
              <w:rPr>
                <w:sz w:val="24"/>
              </w:rPr>
              <w:t>供应商信用记录</w:t>
            </w:r>
          </w:p>
        </w:tc>
        <w:tc>
          <w:tcPr>
            <w:tcW w:w="2579" w:type="pct"/>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w:t>
            </w:r>
            <w:r>
              <w:rPr>
                <w:color w:val="000000"/>
                <w:kern w:val="0"/>
                <w:sz w:val="24"/>
                <w:szCs w:val="20"/>
              </w:rPr>
              <w:t>首次响应文件提交截止时间以后</w:t>
            </w:r>
            <w:r>
              <w:rPr>
                <w:sz w:val="24"/>
              </w:rPr>
              <w:t>、资格性检查阶段采购人或采购代理机构的实际查询时间为准；</w:t>
            </w:r>
          </w:p>
          <w:p>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pPr>
              <w:tabs>
                <w:tab w:val="left" w:pos="1080"/>
              </w:tabs>
              <w:snapToGrid w:val="0"/>
              <w:rPr>
                <w:sz w:val="24"/>
              </w:rPr>
            </w:pPr>
            <w:r>
              <w:rPr>
                <w:sz w:val="24"/>
              </w:rPr>
              <w:t>信用信息的使用原则：经认定的被列入失信被执行人、税收违法</w:t>
            </w:r>
            <w:r>
              <w:rPr>
                <w:rFonts w:hint="eastAsia"/>
                <w:sz w:val="24"/>
              </w:rPr>
              <w:t>黑</w:t>
            </w:r>
            <w:r>
              <w:rPr>
                <w:sz w:val="24"/>
              </w:rPr>
              <w:t>名单、政府采购严重违法失信行为记录名单的供应商，其</w:t>
            </w:r>
            <w:r>
              <w:rPr>
                <w:b/>
                <w:sz w:val="24"/>
              </w:rPr>
              <w:t>响应无效</w:t>
            </w:r>
            <w:r>
              <w:rPr>
                <w:sz w:val="24"/>
              </w:rPr>
              <w:t>。</w:t>
            </w:r>
          </w:p>
          <w:p>
            <w:pPr>
              <w:tabs>
                <w:tab w:val="left" w:pos="1080"/>
              </w:tabs>
              <w:snapToGrid w:val="0"/>
              <w:rPr>
                <w:sz w:val="24"/>
              </w:rPr>
            </w:pPr>
            <w:r>
              <w:rPr>
                <w:sz w:val="24"/>
              </w:rPr>
              <w:t>联合体形式磋商的，联合体成员存在不良信用记录，视同联合体存在不良信用记录。</w:t>
            </w:r>
          </w:p>
        </w:tc>
        <w:tc>
          <w:tcPr>
            <w:tcW w:w="1028" w:type="pct"/>
            <w:vAlign w:val="center"/>
          </w:tcPr>
          <w:p>
            <w:pPr>
              <w:tabs>
                <w:tab w:val="left" w:pos="1080"/>
              </w:tabs>
              <w:snapToGrid w:val="0"/>
              <w:rPr>
                <w:sz w:val="24"/>
              </w:rPr>
            </w:pPr>
            <w:r>
              <w:rPr>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3</w:t>
            </w:r>
          </w:p>
        </w:tc>
        <w:tc>
          <w:tcPr>
            <w:tcW w:w="938" w:type="pct"/>
            <w:vAlign w:val="center"/>
          </w:tcPr>
          <w:p>
            <w:pPr>
              <w:tabs>
                <w:tab w:val="left" w:pos="1080"/>
              </w:tabs>
              <w:snapToGrid w:val="0"/>
              <w:jc w:val="left"/>
              <w:rPr>
                <w:sz w:val="24"/>
              </w:rPr>
            </w:pPr>
            <w:r>
              <w:rPr>
                <w:sz w:val="24"/>
              </w:rPr>
              <w:t>本项目的特定资格要求</w:t>
            </w:r>
          </w:p>
        </w:tc>
        <w:tc>
          <w:tcPr>
            <w:tcW w:w="2579" w:type="pct"/>
            <w:vAlign w:val="center"/>
          </w:tcPr>
          <w:p>
            <w:pPr>
              <w:tabs>
                <w:tab w:val="left" w:pos="1080"/>
              </w:tabs>
              <w:snapToGrid w:val="0"/>
              <w:jc w:val="left"/>
              <w:rPr>
                <w:sz w:val="24"/>
              </w:rPr>
            </w:pPr>
            <w:r>
              <w:rPr>
                <w:sz w:val="24"/>
              </w:rPr>
              <w:t>如有，见第一章《采购邀请》</w:t>
            </w:r>
          </w:p>
        </w:tc>
        <w:tc>
          <w:tcPr>
            <w:tcW w:w="1028" w:type="pct"/>
            <w:vAlign w:val="center"/>
          </w:tcPr>
          <w:p>
            <w:pPr>
              <w:tabs>
                <w:tab w:val="left" w:pos="1080"/>
              </w:tabs>
              <w:snapToGrid w:val="0"/>
              <w:jc w:val="left"/>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3-1</w:t>
            </w:r>
          </w:p>
        </w:tc>
        <w:tc>
          <w:tcPr>
            <w:tcW w:w="938" w:type="pct"/>
            <w:vAlign w:val="center"/>
          </w:tcPr>
          <w:p>
            <w:pPr>
              <w:tabs>
                <w:tab w:val="left" w:pos="1080"/>
              </w:tabs>
              <w:snapToGrid w:val="0"/>
              <w:rPr>
                <w:sz w:val="24"/>
              </w:rPr>
            </w:pPr>
            <w:r>
              <w:rPr>
                <w:sz w:val="24"/>
              </w:rPr>
              <w:t>是否接受联合体</w:t>
            </w:r>
          </w:p>
        </w:tc>
        <w:tc>
          <w:tcPr>
            <w:tcW w:w="2579" w:type="pct"/>
            <w:vAlign w:val="center"/>
          </w:tcPr>
          <w:p>
            <w:pPr>
              <w:tabs>
                <w:tab w:val="left" w:pos="1080"/>
              </w:tabs>
              <w:snapToGrid w:val="0"/>
              <w:rPr>
                <w:sz w:val="24"/>
              </w:rPr>
            </w:pPr>
            <w:r>
              <w:rPr>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pPr>
              <w:tabs>
                <w:tab w:val="left" w:pos="1080"/>
              </w:tabs>
              <w:snapToGrid w:val="0"/>
              <w:rPr>
                <w:sz w:val="24"/>
              </w:rPr>
            </w:pPr>
            <w:r>
              <w:rPr>
                <w:sz w:val="24"/>
              </w:rPr>
              <w:t>2、联合体各成员单位均须提供本表中序号1-1、1-2的证明文件。</w:t>
            </w:r>
          </w:p>
          <w:p>
            <w:pPr>
              <w:tabs>
                <w:tab w:val="left" w:pos="1080"/>
              </w:tabs>
              <w:snapToGrid w:val="0"/>
              <w:rPr>
                <w:sz w:val="24"/>
              </w:rPr>
            </w:pPr>
            <w:r>
              <w:rPr>
                <w:sz w:val="24"/>
              </w:rPr>
              <w:t>3、本表序号3-2项规定的其他特定资格要求中的每一小项要求，联合体各方中至少应当有一方符合本表中其他资格要求并提供证明文件。</w:t>
            </w:r>
          </w:p>
          <w:p>
            <w:pPr>
              <w:tabs>
                <w:tab w:val="left" w:pos="1080"/>
              </w:tabs>
              <w:snapToGrid w:val="0"/>
              <w:rPr>
                <w:sz w:val="24"/>
              </w:rPr>
            </w:pPr>
            <w:r>
              <w:rPr>
                <w:sz w:val="24"/>
              </w:rPr>
              <w:t>4、联合体中有同类资质的供应商按照联合体分工承担相同工作的，应当按照资质等级较低的供应商确定资质等级。</w:t>
            </w:r>
          </w:p>
          <w:p>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pPr>
              <w:tabs>
                <w:tab w:val="left" w:pos="1080"/>
              </w:tabs>
              <w:snapToGrid w:val="0"/>
              <w:rPr>
                <w:sz w:val="24"/>
              </w:rPr>
            </w:pPr>
            <w:r>
              <w:rPr>
                <w:sz w:val="24"/>
              </w:rPr>
              <w:t>6、若联合体中任一成员单位中途退出，则该联合体的</w:t>
            </w:r>
            <w:r>
              <w:rPr>
                <w:b/>
                <w:sz w:val="24"/>
              </w:rPr>
              <w:t>响应无效</w:t>
            </w:r>
            <w:r>
              <w:rPr>
                <w:sz w:val="24"/>
              </w:rPr>
              <w:t>。</w:t>
            </w:r>
          </w:p>
          <w:p>
            <w:pPr>
              <w:tabs>
                <w:tab w:val="left" w:pos="1080"/>
              </w:tabs>
              <w:snapToGrid w:val="0"/>
              <w:rPr>
                <w:sz w:val="24"/>
              </w:rPr>
            </w:pPr>
            <w:r>
              <w:rPr>
                <w:sz w:val="24"/>
              </w:rPr>
              <w:t xml:space="preserve">7、本项目不接受联合体响应时，供应商不得为联合体。 </w:t>
            </w:r>
          </w:p>
        </w:tc>
        <w:tc>
          <w:tcPr>
            <w:tcW w:w="1028" w:type="pct"/>
            <w:vAlign w:val="center"/>
          </w:tcPr>
          <w:p>
            <w:pPr>
              <w:tabs>
                <w:tab w:val="left" w:pos="1080"/>
              </w:tabs>
              <w:snapToGrid w:val="0"/>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3363" w:hRule="atLeast"/>
        </w:trPr>
        <w:tc>
          <w:tcPr>
            <w:tcW w:w="455" w:type="pct"/>
            <w:vAlign w:val="center"/>
          </w:tcPr>
          <w:p>
            <w:pPr>
              <w:tabs>
                <w:tab w:val="left" w:pos="1080"/>
              </w:tabs>
              <w:snapToGrid w:val="0"/>
              <w:jc w:val="center"/>
              <w:rPr>
                <w:sz w:val="24"/>
              </w:rPr>
            </w:pPr>
            <w:r>
              <w:rPr>
                <w:sz w:val="24"/>
              </w:rPr>
              <w:t>3-2</w:t>
            </w:r>
          </w:p>
        </w:tc>
        <w:tc>
          <w:tcPr>
            <w:tcW w:w="938" w:type="pct"/>
            <w:vAlign w:val="center"/>
          </w:tcPr>
          <w:p>
            <w:pPr>
              <w:tabs>
                <w:tab w:val="left" w:pos="1080"/>
              </w:tabs>
              <w:snapToGrid w:val="0"/>
              <w:rPr>
                <w:sz w:val="24"/>
              </w:rPr>
            </w:pPr>
            <w:r>
              <w:rPr>
                <w:sz w:val="24"/>
              </w:rPr>
              <w:t>其他特定资格要求</w:t>
            </w:r>
          </w:p>
        </w:tc>
        <w:tc>
          <w:tcPr>
            <w:tcW w:w="2579" w:type="pct"/>
            <w:vAlign w:val="center"/>
          </w:tcPr>
          <w:p>
            <w:pPr>
              <w:tabs>
                <w:tab w:val="left" w:pos="1080"/>
              </w:tabs>
              <w:snapToGrid w:val="0"/>
              <w:rPr>
                <w:sz w:val="24"/>
                <w:highlight w:val="none"/>
              </w:rPr>
            </w:pPr>
            <w:r>
              <w:rPr>
                <w:rFonts w:hint="eastAsia"/>
                <w:sz w:val="24"/>
                <w:highlight w:val="none"/>
                <w:lang w:eastAsia="zh-CN"/>
              </w:rPr>
              <w:t>（1）供应商具有建设行政主管部门核发的建筑机电安装工程专业承包贰级（含）以上资质且具有有效期内的《安全生产许可证书》；（2）供应商拟派项目负责人具有机电工程专业贰级（含）以上注册建造师证书和安全生产考核合格证书（简称B本），且未在其他工程项目中担任项目负责人或其他职务；（3）供应商为外埠企业应在中标后提供北京市建设行政主管部门出具的进京备案证明，并办理注册建造师备案手续。</w:t>
            </w:r>
          </w:p>
        </w:tc>
        <w:tc>
          <w:tcPr>
            <w:tcW w:w="1028" w:type="pct"/>
            <w:vAlign w:val="center"/>
          </w:tcPr>
          <w:p>
            <w:pPr>
              <w:tabs>
                <w:tab w:val="left" w:pos="1080"/>
              </w:tabs>
              <w:snapToGrid w:val="0"/>
              <w:rPr>
                <w:sz w:val="24"/>
              </w:rPr>
            </w:pPr>
            <w:r>
              <w:rPr>
                <w:sz w:val="24"/>
              </w:rPr>
              <w:t>提供证明文件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455" w:type="pct"/>
            <w:vAlign w:val="center"/>
          </w:tcPr>
          <w:p>
            <w:pPr>
              <w:tabs>
                <w:tab w:val="left" w:pos="1080"/>
              </w:tabs>
              <w:snapToGrid w:val="0"/>
              <w:jc w:val="center"/>
              <w:rPr>
                <w:sz w:val="24"/>
              </w:rPr>
            </w:pPr>
            <w:r>
              <w:rPr>
                <w:sz w:val="24"/>
              </w:rPr>
              <w:t>4</w:t>
            </w:r>
          </w:p>
        </w:tc>
        <w:tc>
          <w:tcPr>
            <w:tcW w:w="938" w:type="pct"/>
            <w:vAlign w:val="center"/>
          </w:tcPr>
          <w:p>
            <w:pPr>
              <w:tabs>
                <w:tab w:val="left" w:pos="1080"/>
              </w:tabs>
              <w:snapToGrid w:val="0"/>
              <w:rPr>
                <w:sz w:val="24"/>
              </w:rPr>
            </w:pPr>
            <w:r>
              <w:rPr>
                <w:color w:val="000000"/>
                <w:kern w:val="0"/>
                <w:sz w:val="24"/>
              </w:rPr>
              <w:t>磋商保证金</w:t>
            </w:r>
          </w:p>
        </w:tc>
        <w:tc>
          <w:tcPr>
            <w:tcW w:w="2579" w:type="pct"/>
            <w:vAlign w:val="center"/>
          </w:tcPr>
          <w:p>
            <w:pPr>
              <w:tabs>
                <w:tab w:val="left" w:pos="1080"/>
              </w:tabs>
              <w:snapToGrid w:val="0"/>
              <w:rPr>
                <w:color w:val="000000"/>
                <w:sz w:val="24"/>
              </w:rPr>
            </w:pPr>
            <w:r>
              <w:rPr>
                <w:color w:val="000000"/>
                <w:kern w:val="0"/>
                <w:sz w:val="24"/>
              </w:rPr>
              <w:t>按照竞争性磋商文件的要求提交磋商保证金</w:t>
            </w:r>
            <w:r>
              <w:rPr>
                <w:rFonts w:hint="eastAsia"/>
                <w:color w:val="000000"/>
                <w:kern w:val="0"/>
                <w:sz w:val="24"/>
              </w:rPr>
              <w:t>。</w:t>
            </w:r>
          </w:p>
        </w:tc>
        <w:tc>
          <w:tcPr>
            <w:tcW w:w="1028" w:type="pct"/>
            <w:vAlign w:val="center"/>
          </w:tcPr>
          <w:p>
            <w:pPr>
              <w:tabs>
                <w:tab w:val="left" w:pos="1080"/>
              </w:tabs>
              <w:snapToGrid w:val="0"/>
              <w:rPr>
                <w:sz w:val="24"/>
              </w:rPr>
            </w:pPr>
          </w:p>
        </w:tc>
      </w:tr>
    </w:tbl>
    <w:p>
      <w:pPr>
        <w:widowControl/>
        <w:jc w:val="left"/>
        <w:rPr>
          <w:sz w:val="24"/>
        </w:rPr>
      </w:pPr>
      <w:r>
        <w:rPr>
          <w:sz w:val="24"/>
        </w:rPr>
        <w:br w:type="page"/>
      </w:r>
    </w:p>
    <w:p>
      <w:pPr>
        <w:numPr>
          <w:ilvl w:val="1"/>
          <w:numId w:val="4"/>
        </w:numPr>
        <w:tabs>
          <w:tab w:val="left" w:pos="1080"/>
        </w:tabs>
        <w:snapToGrid w:val="0"/>
        <w:spacing w:line="360" w:lineRule="auto"/>
        <w:ind w:left="1077" w:hanging="720"/>
        <w:rPr>
          <w:sz w:val="24"/>
        </w:rPr>
      </w:pPr>
      <w:r>
        <w:rPr>
          <w:sz w:val="24"/>
        </w:rPr>
        <w:t>《符合性审查要求》见下表：</w:t>
      </w:r>
    </w:p>
    <w:p>
      <w:pPr>
        <w:widowControl/>
        <w:spacing w:line="360" w:lineRule="auto"/>
        <w:jc w:val="center"/>
        <w:rPr>
          <w:b/>
          <w:color w:val="000000"/>
          <w:kern w:val="0"/>
          <w:sz w:val="24"/>
        </w:rPr>
      </w:pPr>
      <w:r>
        <w:rPr>
          <w:b/>
          <w:color w:val="000000"/>
          <w:kern w:val="0"/>
          <w:sz w:val="24"/>
        </w:rPr>
        <w:t>符合性审查要求</w:t>
      </w:r>
    </w:p>
    <w:tbl>
      <w:tblPr>
        <w:tblStyle w:val="42"/>
        <w:tblW w:w="486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1"/>
        <w:gridCol w:w="1840"/>
        <w:gridCol w:w="4111"/>
        <w:gridCol w:w="2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1" w:type="pct"/>
            <w:shd w:val="clear" w:color="000000" w:fill="FFFFFF"/>
            <w:vAlign w:val="center"/>
          </w:tcPr>
          <w:p>
            <w:pPr>
              <w:widowControl/>
              <w:jc w:val="center"/>
              <w:rPr>
                <w:b/>
                <w:color w:val="000000"/>
                <w:kern w:val="0"/>
                <w:szCs w:val="21"/>
              </w:rPr>
            </w:pPr>
            <w:r>
              <w:rPr>
                <w:b/>
                <w:color w:val="000000"/>
                <w:kern w:val="0"/>
                <w:szCs w:val="21"/>
              </w:rPr>
              <w:t>序号</w:t>
            </w:r>
          </w:p>
        </w:tc>
        <w:tc>
          <w:tcPr>
            <w:tcW w:w="1018" w:type="pct"/>
            <w:shd w:val="clear" w:color="000000" w:fill="FFFFFF"/>
            <w:vAlign w:val="center"/>
          </w:tcPr>
          <w:p>
            <w:pPr>
              <w:widowControl/>
              <w:jc w:val="center"/>
              <w:rPr>
                <w:b/>
                <w:color w:val="000000"/>
                <w:kern w:val="0"/>
                <w:szCs w:val="21"/>
              </w:rPr>
            </w:pPr>
            <w:r>
              <w:rPr>
                <w:b/>
                <w:szCs w:val="21"/>
              </w:rPr>
              <w:t>检查</w:t>
            </w:r>
            <w:r>
              <w:rPr>
                <w:b/>
                <w:color w:val="000000"/>
                <w:kern w:val="0"/>
                <w:szCs w:val="21"/>
              </w:rPr>
              <w:t>因素</w:t>
            </w:r>
          </w:p>
        </w:tc>
        <w:tc>
          <w:tcPr>
            <w:tcW w:w="2274" w:type="pct"/>
            <w:shd w:val="clear" w:color="000000" w:fill="FFFFFF"/>
            <w:vAlign w:val="center"/>
          </w:tcPr>
          <w:p>
            <w:pPr>
              <w:widowControl/>
              <w:jc w:val="center"/>
              <w:rPr>
                <w:b/>
                <w:color w:val="000000"/>
                <w:kern w:val="0"/>
                <w:szCs w:val="21"/>
              </w:rPr>
            </w:pPr>
            <w:r>
              <w:rPr>
                <w:b/>
                <w:szCs w:val="21"/>
              </w:rPr>
              <w:t>检查</w:t>
            </w:r>
            <w:r>
              <w:rPr>
                <w:b/>
                <w:color w:val="000000"/>
                <w:kern w:val="0"/>
                <w:szCs w:val="21"/>
              </w:rPr>
              <w:t>内容</w:t>
            </w:r>
          </w:p>
        </w:tc>
        <w:tc>
          <w:tcPr>
            <w:tcW w:w="1236" w:type="pct"/>
            <w:shd w:val="clear" w:color="000000" w:fill="FFFFFF"/>
            <w:vAlign w:val="center"/>
          </w:tcPr>
          <w:p>
            <w:pPr>
              <w:widowControl/>
              <w:jc w:val="center"/>
              <w:rPr>
                <w:b/>
                <w:color w:val="000000"/>
                <w:kern w:val="0"/>
                <w:szCs w:val="21"/>
              </w:rPr>
            </w:pPr>
            <w:r>
              <w:rPr>
                <w:b/>
                <w:color w:val="000000"/>
                <w:kern w:val="0"/>
                <w:szCs w:val="21"/>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1" w:type="pct"/>
            <w:shd w:val="clear" w:color="000000" w:fill="FFFFFF"/>
            <w:vAlign w:val="center"/>
          </w:tcPr>
          <w:p>
            <w:pPr>
              <w:pStyle w:val="96"/>
              <w:widowControl/>
              <w:numPr>
                <w:ilvl w:val="0"/>
                <w:numId w:val="5"/>
              </w:numPr>
              <w:ind w:firstLineChars="0"/>
              <w:jc w:val="center"/>
              <w:rPr>
                <w:color w:val="000000"/>
                <w:kern w:val="0"/>
                <w:szCs w:val="21"/>
              </w:rPr>
            </w:pPr>
          </w:p>
        </w:tc>
        <w:tc>
          <w:tcPr>
            <w:tcW w:w="1018" w:type="pct"/>
            <w:shd w:val="clear" w:color="000000" w:fill="FFFFFF"/>
            <w:vAlign w:val="center"/>
          </w:tcPr>
          <w:p>
            <w:pPr>
              <w:pStyle w:val="246"/>
              <w:spacing w:before="82" w:line="262" w:lineRule="exact"/>
              <w:ind w:left="57"/>
              <w:jc w:val="center"/>
              <w:rPr>
                <w:rFonts w:asciiTheme="minorEastAsia" w:hAnsiTheme="minorEastAsia" w:eastAsiaTheme="minorEastAsia"/>
                <w:sz w:val="21"/>
                <w:szCs w:val="21"/>
              </w:rPr>
            </w:pPr>
            <w:r>
              <w:rPr>
                <w:rFonts w:hint="eastAsia" w:asciiTheme="minorEastAsia" w:hAnsiTheme="minorEastAsia" w:eastAsiaTheme="minorEastAsia"/>
                <w:sz w:val="21"/>
                <w:szCs w:val="21"/>
                <w:lang w:eastAsia="zh-CN"/>
              </w:rPr>
              <w:t>响应文件实质性</w:t>
            </w:r>
            <w:r>
              <w:rPr>
                <w:rFonts w:asciiTheme="minorEastAsia" w:hAnsiTheme="minorEastAsia" w:eastAsiaTheme="minorEastAsia"/>
                <w:sz w:val="21"/>
                <w:szCs w:val="21"/>
              </w:rPr>
              <w:t>格式</w:t>
            </w:r>
          </w:p>
        </w:tc>
        <w:tc>
          <w:tcPr>
            <w:tcW w:w="2274" w:type="pct"/>
            <w:shd w:val="clear" w:color="000000" w:fill="FFFFFF"/>
            <w:vAlign w:val="center"/>
          </w:tcPr>
          <w:p>
            <w:pPr>
              <w:widowControl/>
              <w:jc w:val="center"/>
              <w:rPr>
                <w:color w:val="000000"/>
                <w:kern w:val="0"/>
                <w:szCs w:val="21"/>
              </w:rPr>
            </w:pPr>
            <w:r>
              <w:rPr>
                <w:rFonts w:hint="eastAsia"/>
                <w:color w:val="000000"/>
                <w:kern w:val="0"/>
                <w:szCs w:val="21"/>
              </w:rPr>
              <w:t>符合采购文件实质性格式</w:t>
            </w:r>
          </w:p>
        </w:tc>
        <w:tc>
          <w:tcPr>
            <w:tcW w:w="1236" w:type="pct"/>
            <w:shd w:val="clear" w:color="000000" w:fill="FFFFFF"/>
            <w:vAlign w:val="center"/>
          </w:tcPr>
          <w:p>
            <w:pPr>
              <w:widowControl/>
              <w:jc w:val="center"/>
              <w:rPr>
                <w:color w:val="000000"/>
                <w:kern w:val="0"/>
                <w:szCs w:val="21"/>
              </w:rPr>
            </w:pPr>
            <w:r>
              <w:rPr>
                <w:rFonts w:hint="eastAsia"/>
                <w:color w:val="000000"/>
                <w:kern w:val="0"/>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1" w:type="pct"/>
            <w:shd w:val="clear" w:color="000000" w:fill="FFFFFF"/>
            <w:vAlign w:val="center"/>
          </w:tcPr>
          <w:p>
            <w:pPr>
              <w:pStyle w:val="96"/>
              <w:widowControl/>
              <w:numPr>
                <w:ilvl w:val="0"/>
                <w:numId w:val="5"/>
              </w:numPr>
              <w:ind w:firstLineChars="0"/>
              <w:jc w:val="center"/>
              <w:rPr>
                <w:color w:val="000000"/>
                <w:kern w:val="0"/>
                <w:szCs w:val="21"/>
              </w:rPr>
            </w:pPr>
          </w:p>
        </w:tc>
        <w:tc>
          <w:tcPr>
            <w:tcW w:w="1018" w:type="pct"/>
            <w:shd w:val="clear" w:color="000000" w:fill="FFFFFF"/>
            <w:vAlign w:val="center"/>
          </w:tcPr>
          <w:p>
            <w:pPr>
              <w:pStyle w:val="246"/>
              <w:spacing w:before="82" w:line="262" w:lineRule="exact"/>
              <w:ind w:left="57"/>
              <w:jc w:val="center"/>
              <w:rPr>
                <w:rFonts w:asciiTheme="minorEastAsia" w:hAnsiTheme="minorEastAsia" w:eastAsiaTheme="minorEastAsia"/>
                <w:sz w:val="21"/>
                <w:szCs w:val="21"/>
              </w:rPr>
            </w:pPr>
            <w:r>
              <w:rPr>
                <w:rFonts w:asciiTheme="minorEastAsia" w:hAnsiTheme="minorEastAsia" w:eastAsiaTheme="minorEastAsia"/>
                <w:sz w:val="21"/>
                <w:szCs w:val="21"/>
              </w:rPr>
              <w:t>报价方式</w:t>
            </w:r>
          </w:p>
        </w:tc>
        <w:tc>
          <w:tcPr>
            <w:tcW w:w="2274" w:type="pct"/>
            <w:shd w:val="clear" w:color="000000" w:fill="FFFFFF"/>
            <w:vAlign w:val="center"/>
          </w:tcPr>
          <w:p>
            <w:pPr>
              <w:widowControl/>
              <w:jc w:val="center"/>
              <w:rPr>
                <w:color w:val="000000"/>
                <w:kern w:val="0"/>
                <w:szCs w:val="21"/>
              </w:rPr>
            </w:pPr>
            <w:r>
              <w:rPr>
                <w:rFonts w:hint="eastAsia"/>
                <w:color w:val="000000"/>
                <w:kern w:val="0"/>
                <w:szCs w:val="21"/>
              </w:rPr>
              <w:t>以工程量清单方式报价</w:t>
            </w:r>
          </w:p>
        </w:tc>
        <w:tc>
          <w:tcPr>
            <w:tcW w:w="1236" w:type="pct"/>
            <w:shd w:val="clear" w:color="000000" w:fill="FFFFFF"/>
            <w:vAlign w:val="center"/>
          </w:tcPr>
          <w:p>
            <w:pPr>
              <w:widowControl/>
              <w:jc w:val="center"/>
              <w:rPr>
                <w:color w:val="000000"/>
                <w:kern w:val="0"/>
                <w:szCs w:val="21"/>
              </w:rPr>
            </w:pPr>
            <w:r>
              <w:rPr>
                <w:rFonts w:hint="eastAsia"/>
                <w:color w:val="000000"/>
                <w:kern w:val="0"/>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1" w:type="pct"/>
            <w:shd w:val="clear" w:color="000000" w:fill="FFFFFF"/>
            <w:vAlign w:val="center"/>
          </w:tcPr>
          <w:p>
            <w:pPr>
              <w:pStyle w:val="96"/>
              <w:widowControl/>
              <w:numPr>
                <w:ilvl w:val="0"/>
                <w:numId w:val="5"/>
              </w:numPr>
              <w:ind w:firstLineChars="0"/>
              <w:jc w:val="center"/>
              <w:rPr>
                <w:color w:val="000000"/>
                <w:kern w:val="0"/>
                <w:szCs w:val="21"/>
              </w:rPr>
            </w:pPr>
          </w:p>
        </w:tc>
        <w:tc>
          <w:tcPr>
            <w:tcW w:w="1018" w:type="pct"/>
            <w:shd w:val="clear" w:color="000000" w:fill="FFFFFF"/>
            <w:vAlign w:val="center"/>
          </w:tcPr>
          <w:p>
            <w:pPr>
              <w:pStyle w:val="246"/>
              <w:spacing w:before="82" w:line="264" w:lineRule="exact"/>
              <w:ind w:left="57"/>
              <w:jc w:val="center"/>
              <w:rPr>
                <w:rFonts w:asciiTheme="minorEastAsia" w:hAnsiTheme="minorEastAsia" w:eastAsiaTheme="minorEastAsia"/>
                <w:sz w:val="21"/>
                <w:szCs w:val="21"/>
              </w:rPr>
            </w:pPr>
            <w:r>
              <w:rPr>
                <w:rFonts w:asciiTheme="minorEastAsia" w:hAnsiTheme="minorEastAsia" w:eastAsiaTheme="minorEastAsia"/>
                <w:sz w:val="21"/>
                <w:szCs w:val="21"/>
              </w:rPr>
              <w:t>报价货币</w:t>
            </w:r>
          </w:p>
        </w:tc>
        <w:tc>
          <w:tcPr>
            <w:tcW w:w="2274" w:type="pct"/>
            <w:shd w:val="clear" w:color="000000" w:fill="FFFFFF"/>
            <w:vAlign w:val="center"/>
          </w:tcPr>
          <w:p>
            <w:pPr>
              <w:widowControl/>
              <w:jc w:val="center"/>
              <w:rPr>
                <w:color w:val="000000"/>
                <w:kern w:val="0"/>
                <w:szCs w:val="21"/>
              </w:rPr>
            </w:pPr>
            <w:r>
              <w:rPr>
                <w:rFonts w:hint="eastAsia"/>
                <w:color w:val="000000"/>
                <w:kern w:val="0"/>
                <w:szCs w:val="21"/>
              </w:rPr>
              <w:t>人民币</w:t>
            </w:r>
          </w:p>
        </w:tc>
        <w:tc>
          <w:tcPr>
            <w:tcW w:w="1236" w:type="pct"/>
            <w:shd w:val="clear" w:color="000000" w:fill="FFFFFF"/>
            <w:vAlign w:val="center"/>
          </w:tcPr>
          <w:p>
            <w:pPr>
              <w:widowControl/>
              <w:jc w:val="center"/>
              <w:rPr>
                <w:color w:val="000000"/>
                <w:kern w:val="0"/>
                <w:szCs w:val="21"/>
              </w:rPr>
            </w:pPr>
            <w:r>
              <w:rPr>
                <w:rFonts w:hint="eastAsia"/>
                <w:color w:val="000000"/>
                <w:kern w:val="0"/>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1" w:type="pct"/>
            <w:shd w:val="clear" w:color="000000" w:fill="FFFFFF"/>
            <w:vAlign w:val="center"/>
          </w:tcPr>
          <w:p>
            <w:pPr>
              <w:pStyle w:val="96"/>
              <w:widowControl/>
              <w:numPr>
                <w:ilvl w:val="0"/>
                <w:numId w:val="5"/>
              </w:numPr>
              <w:ind w:firstLineChars="0"/>
              <w:jc w:val="center"/>
              <w:rPr>
                <w:color w:val="000000"/>
                <w:kern w:val="0"/>
                <w:szCs w:val="21"/>
              </w:rPr>
            </w:pPr>
          </w:p>
        </w:tc>
        <w:tc>
          <w:tcPr>
            <w:tcW w:w="1018" w:type="pct"/>
            <w:shd w:val="clear" w:color="000000" w:fill="FFFFFF"/>
            <w:vAlign w:val="center"/>
          </w:tcPr>
          <w:p>
            <w:pPr>
              <w:pStyle w:val="246"/>
              <w:ind w:left="57"/>
              <w:jc w:val="center"/>
              <w:rPr>
                <w:rFonts w:asciiTheme="minorEastAsia" w:hAnsiTheme="minorEastAsia" w:eastAsiaTheme="minorEastAsia"/>
                <w:sz w:val="21"/>
                <w:szCs w:val="21"/>
              </w:rPr>
            </w:pPr>
            <w:r>
              <w:rPr>
                <w:rFonts w:asciiTheme="minorEastAsia" w:hAnsiTheme="minorEastAsia" w:eastAsiaTheme="minorEastAsia"/>
                <w:sz w:val="21"/>
                <w:szCs w:val="21"/>
              </w:rPr>
              <w:t>最高限价</w:t>
            </w:r>
          </w:p>
        </w:tc>
        <w:tc>
          <w:tcPr>
            <w:tcW w:w="2274" w:type="pct"/>
            <w:shd w:val="clear" w:color="000000" w:fill="FFFFFF"/>
            <w:vAlign w:val="center"/>
          </w:tcPr>
          <w:p>
            <w:pPr>
              <w:widowControl/>
              <w:jc w:val="center"/>
              <w:rPr>
                <w:color w:val="000000"/>
                <w:kern w:val="0"/>
                <w:szCs w:val="21"/>
              </w:rPr>
            </w:pPr>
            <w:r>
              <w:rPr>
                <w:rFonts w:hint="eastAsia"/>
                <w:color w:val="000000"/>
                <w:kern w:val="0"/>
                <w:szCs w:val="21"/>
              </w:rPr>
              <w:t>未超过采购文件规定的最高限价</w:t>
            </w:r>
          </w:p>
        </w:tc>
        <w:tc>
          <w:tcPr>
            <w:tcW w:w="1236" w:type="pct"/>
            <w:shd w:val="clear" w:color="000000" w:fill="FFFFFF"/>
            <w:vAlign w:val="center"/>
          </w:tcPr>
          <w:p>
            <w:pPr>
              <w:widowControl/>
              <w:jc w:val="center"/>
              <w:rPr>
                <w:color w:val="000000"/>
                <w:kern w:val="0"/>
                <w:szCs w:val="21"/>
              </w:rPr>
            </w:pPr>
            <w:r>
              <w:rPr>
                <w:rFonts w:hint="eastAsia"/>
                <w:color w:val="000000"/>
                <w:kern w:val="0"/>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5" w:hRule="atLeast"/>
          <w:jc w:val="center"/>
        </w:trPr>
        <w:tc>
          <w:tcPr>
            <w:tcW w:w="471" w:type="pct"/>
            <w:shd w:val="clear" w:color="000000" w:fill="FFFFFF"/>
            <w:vAlign w:val="center"/>
          </w:tcPr>
          <w:p>
            <w:pPr>
              <w:pStyle w:val="96"/>
              <w:widowControl/>
              <w:numPr>
                <w:ilvl w:val="0"/>
                <w:numId w:val="5"/>
              </w:numPr>
              <w:ind w:firstLineChars="0"/>
              <w:jc w:val="center"/>
              <w:rPr>
                <w:color w:val="000000"/>
                <w:kern w:val="0"/>
                <w:szCs w:val="21"/>
              </w:rPr>
            </w:pPr>
          </w:p>
        </w:tc>
        <w:tc>
          <w:tcPr>
            <w:tcW w:w="1018" w:type="pct"/>
            <w:shd w:val="clear" w:color="000000" w:fill="FFFFFF"/>
            <w:vAlign w:val="center"/>
          </w:tcPr>
          <w:p>
            <w:pPr>
              <w:pStyle w:val="246"/>
              <w:spacing w:before="82" w:line="264" w:lineRule="exact"/>
              <w:ind w:left="57"/>
              <w:jc w:val="center"/>
              <w:rPr>
                <w:rFonts w:asciiTheme="minorEastAsia" w:hAnsiTheme="minorEastAsia" w:eastAsiaTheme="minorEastAsia"/>
                <w:sz w:val="21"/>
                <w:szCs w:val="21"/>
                <w:lang w:eastAsia="zh-CN"/>
              </w:rPr>
            </w:pPr>
            <w:r>
              <w:rPr>
                <w:rFonts w:asciiTheme="minorEastAsia" w:hAnsiTheme="minorEastAsia" w:eastAsiaTheme="minorEastAsia"/>
                <w:sz w:val="21"/>
                <w:szCs w:val="21"/>
              </w:rPr>
              <w:t>报价有效期</w:t>
            </w:r>
          </w:p>
        </w:tc>
        <w:tc>
          <w:tcPr>
            <w:tcW w:w="2274" w:type="pct"/>
            <w:shd w:val="clear" w:color="000000" w:fill="FFFFFF"/>
            <w:vAlign w:val="center"/>
          </w:tcPr>
          <w:p>
            <w:pPr>
              <w:widowControl/>
              <w:jc w:val="center"/>
              <w:rPr>
                <w:color w:val="000000"/>
                <w:kern w:val="0"/>
                <w:szCs w:val="21"/>
              </w:rPr>
            </w:pPr>
            <w:r>
              <w:rPr>
                <w:rFonts w:hint="eastAsia"/>
                <w:color w:val="000000"/>
                <w:kern w:val="0"/>
                <w:szCs w:val="21"/>
              </w:rPr>
              <w:t>符合采购文件要求</w:t>
            </w:r>
          </w:p>
        </w:tc>
        <w:tc>
          <w:tcPr>
            <w:tcW w:w="1236" w:type="pct"/>
            <w:shd w:val="clear" w:color="000000" w:fill="FFFFFF"/>
            <w:vAlign w:val="center"/>
          </w:tcPr>
          <w:p>
            <w:pPr>
              <w:widowControl/>
              <w:jc w:val="center"/>
              <w:rPr>
                <w:color w:val="000000"/>
                <w:kern w:val="0"/>
                <w:szCs w:val="21"/>
              </w:rPr>
            </w:pPr>
            <w:r>
              <w:rPr>
                <w:rFonts w:hint="eastAsia"/>
                <w:color w:val="000000"/>
                <w:kern w:val="0"/>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1" w:type="pct"/>
            <w:shd w:val="clear" w:color="000000" w:fill="FFFFFF"/>
            <w:vAlign w:val="center"/>
          </w:tcPr>
          <w:p>
            <w:pPr>
              <w:pStyle w:val="96"/>
              <w:widowControl/>
              <w:numPr>
                <w:ilvl w:val="0"/>
                <w:numId w:val="5"/>
              </w:numPr>
              <w:ind w:firstLineChars="0"/>
              <w:jc w:val="center"/>
              <w:rPr>
                <w:color w:val="000000"/>
                <w:kern w:val="0"/>
                <w:szCs w:val="21"/>
              </w:rPr>
            </w:pPr>
          </w:p>
        </w:tc>
        <w:tc>
          <w:tcPr>
            <w:tcW w:w="1018" w:type="pct"/>
            <w:shd w:val="clear" w:color="000000" w:fill="FFFFFF"/>
            <w:vAlign w:val="center"/>
          </w:tcPr>
          <w:p>
            <w:pPr>
              <w:pStyle w:val="246"/>
              <w:spacing w:before="83" w:line="262" w:lineRule="exact"/>
              <w:ind w:left="56"/>
              <w:jc w:val="center"/>
              <w:rPr>
                <w:rFonts w:asciiTheme="minorEastAsia" w:hAnsiTheme="minorEastAsia" w:eastAsiaTheme="minorEastAsia"/>
                <w:sz w:val="21"/>
                <w:szCs w:val="21"/>
              </w:rPr>
            </w:pPr>
            <w:r>
              <w:rPr>
                <w:rFonts w:asciiTheme="minorEastAsia" w:hAnsiTheme="minorEastAsia" w:eastAsiaTheme="minorEastAsia"/>
                <w:sz w:val="21"/>
                <w:szCs w:val="21"/>
              </w:rPr>
              <w:t>响应文件签字盖章</w:t>
            </w:r>
          </w:p>
        </w:tc>
        <w:tc>
          <w:tcPr>
            <w:tcW w:w="2274" w:type="pct"/>
            <w:shd w:val="clear" w:color="000000" w:fill="FFFFFF"/>
            <w:vAlign w:val="center"/>
          </w:tcPr>
          <w:p>
            <w:pPr>
              <w:widowControl/>
              <w:jc w:val="center"/>
              <w:rPr>
                <w:color w:val="000000"/>
                <w:kern w:val="0"/>
                <w:szCs w:val="21"/>
              </w:rPr>
            </w:pPr>
            <w:r>
              <w:rPr>
                <w:rFonts w:hint="eastAsia"/>
                <w:color w:val="000000"/>
                <w:kern w:val="0"/>
                <w:szCs w:val="21"/>
              </w:rPr>
              <w:t>已按照采购文件要求签字盖章</w:t>
            </w:r>
          </w:p>
        </w:tc>
        <w:tc>
          <w:tcPr>
            <w:tcW w:w="1236" w:type="pct"/>
            <w:shd w:val="clear" w:color="000000" w:fill="FFFFFF"/>
            <w:vAlign w:val="center"/>
          </w:tcPr>
          <w:p>
            <w:pPr>
              <w:widowControl/>
              <w:jc w:val="center"/>
              <w:rPr>
                <w:color w:val="000000"/>
                <w:kern w:val="0"/>
                <w:szCs w:val="21"/>
              </w:rPr>
            </w:pPr>
            <w:r>
              <w:rPr>
                <w:rFonts w:hint="eastAsia"/>
                <w:color w:val="000000"/>
                <w:kern w:val="0"/>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71" w:type="pct"/>
            <w:shd w:val="clear" w:color="000000" w:fill="FFFFFF"/>
            <w:vAlign w:val="center"/>
          </w:tcPr>
          <w:p>
            <w:pPr>
              <w:pStyle w:val="96"/>
              <w:widowControl/>
              <w:numPr>
                <w:ilvl w:val="0"/>
                <w:numId w:val="5"/>
              </w:numPr>
              <w:ind w:firstLineChars="0"/>
              <w:jc w:val="center"/>
              <w:rPr>
                <w:color w:val="000000"/>
                <w:kern w:val="0"/>
                <w:szCs w:val="21"/>
              </w:rPr>
            </w:pPr>
          </w:p>
        </w:tc>
        <w:tc>
          <w:tcPr>
            <w:tcW w:w="1018" w:type="pct"/>
            <w:shd w:val="clear" w:color="000000" w:fill="FFFFFF"/>
            <w:vAlign w:val="center"/>
          </w:tcPr>
          <w:p>
            <w:pPr>
              <w:pStyle w:val="246"/>
              <w:spacing w:before="83" w:line="262" w:lineRule="exact"/>
              <w:ind w:left="56"/>
              <w:jc w:val="center"/>
              <w:rPr>
                <w:rFonts w:asciiTheme="minorEastAsia" w:hAnsiTheme="minorEastAsia" w:eastAsiaTheme="minorEastAsia"/>
                <w:sz w:val="21"/>
                <w:szCs w:val="21"/>
                <w:lang w:eastAsia="zh-CN"/>
              </w:rPr>
            </w:pPr>
            <w:r>
              <w:rPr>
                <w:rFonts w:hint="eastAsia" w:asciiTheme="minorEastAsia" w:hAnsiTheme="minorEastAsia" w:eastAsiaTheme="minorEastAsia"/>
                <w:sz w:val="21"/>
                <w:szCs w:val="21"/>
                <w:lang w:eastAsia="zh-CN"/>
              </w:rPr>
              <w:t>其他实质性响应</w:t>
            </w:r>
          </w:p>
        </w:tc>
        <w:tc>
          <w:tcPr>
            <w:tcW w:w="2274" w:type="pct"/>
            <w:shd w:val="clear" w:color="000000" w:fill="FFFFFF"/>
            <w:vAlign w:val="center"/>
          </w:tcPr>
          <w:p>
            <w:pPr>
              <w:widowControl/>
              <w:jc w:val="center"/>
              <w:rPr>
                <w:color w:val="000000"/>
                <w:kern w:val="0"/>
                <w:szCs w:val="21"/>
              </w:rPr>
            </w:pPr>
            <w:r>
              <w:rPr>
                <w:rFonts w:hint="eastAsia"/>
                <w:color w:val="000000"/>
                <w:kern w:val="0"/>
                <w:szCs w:val="21"/>
              </w:rPr>
              <w:t>无其他无响应无效的情形</w:t>
            </w:r>
          </w:p>
        </w:tc>
        <w:tc>
          <w:tcPr>
            <w:tcW w:w="1236" w:type="pct"/>
            <w:shd w:val="clear" w:color="000000" w:fill="FFFFFF"/>
            <w:vAlign w:val="center"/>
          </w:tcPr>
          <w:p>
            <w:pPr>
              <w:widowControl/>
              <w:jc w:val="center"/>
              <w:rPr>
                <w:color w:val="000000"/>
                <w:kern w:val="0"/>
                <w:szCs w:val="21"/>
              </w:rPr>
            </w:pPr>
            <w:r>
              <w:rPr>
                <w:rFonts w:hint="eastAsia"/>
                <w:color w:val="000000"/>
                <w:kern w:val="0"/>
                <w:szCs w:val="21"/>
              </w:rPr>
              <w:t>不允许</w:t>
            </w:r>
          </w:p>
        </w:tc>
      </w:tr>
    </w:tbl>
    <w:p>
      <w:pPr>
        <w:tabs>
          <w:tab w:val="left" w:pos="900"/>
          <w:tab w:val="left" w:pos="1080"/>
          <w:tab w:val="left" w:pos="1589"/>
        </w:tabs>
        <w:snapToGrid w:val="0"/>
        <w:spacing w:line="360" w:lineRule="auto"/>
        <w:rPr>
          <w:sz w:val="24"/>
        </w:rPr>
      </w:pPr>
    </w:p>
    <w:p>
      <w:pPr>
        <w:numPr>
          <w:ilvl w:val="0"/>
          <w:numId w:val="4"/>
        </w:numPr>
        <w:tabs>
          <w:tab w:val="left" w:pos="360"/>
        </w:tabs>
        <w:snapToGrid w:val="0"/>
        <w:spacing w:line="360" w:lineRule="auto"/>
        <w:outlineLvl w:val="1"/>
        <w:rPr>
          <w:sz w:val="24"/>
        </w:rPr>
      </w:pPr>
      <w:r>
        <w:rPr>
          <w:sz w:val="24"/>
        </w:rPr>
        <w:t>磋商、响应文件有关事项的澄清、说明或者更正和最后报价</w:t>
      </w:r>
    </w:p>
    <w:p>
      <w:pPr>
        <w:numPr>
          <w:ilvl w:val="1"/>
          <w:numId w:val="4"/>
        </w:numPr>
        <w:tabs>
          <w:tab w:val="left" w:pos="1080"/>
        </w:tabs>
        <w:snapToGrid w:val="0"/>
        <w:spacing w:line="360" w:lineRule="auto"/>
        <w:ind w:left="1077" w:hanging="720"/>
        <w:rPr>
          <w:sz w:val="24"/>
        </w:rPr>
      </w:pPr>
      <w:r>
        <w:rPr>
          <w:sz w:val="24"/>
        </w:rPr>
        <w:t>磋商小组所有成员应当集中与单一供应商分别进行磋商，并给予所有参加磋商的供应商平等的磋商机会。</w:t>
      </w:r>
    </w:p>
    <w:p>
      <w:pPr>
        <w:numPr>
          <w:ilvl w:val="1"/>
          <w:numId w:val="4"/>
        </w:numPr>
        <w:tabs>
          <w:tab w:val="left" w:pos="1080"/>
          <w:tab w:val="left" w:pos="1872"/>
        </w:tabs>
        <w:snapToGrid w:val="0"/>
        <w:spacing w:line="360" w:lineRule="auto"/>
        <w:ind w:left="1077" w:hanging="720"/>
        <w:rPr>
          <w:sz w:val="24"/>
        </w:rPr>
      </w:pPr>
      <w:r>
        <w:rPr>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pPr>
        <w:numPr>
          <w:ilvl w:val="1"/>
          <w:numId w:val="4"/>
        </w:numPr>
        <w:tabs>
          <w:tab w:val="left" w:pos="1080"/>
          <w:tab w:val="left" w:pos="1872"/>
        </w:tabs>
        <w:snapToGrid w:val="0"/>
        <w:spacing w:line="360" w:lineRule="auto"/>
        <w:ind w:left="1077" w:hanging="720"/>
        <w:rPr>
          <w:kern w:val="0"/>
          <w:sz w:val="24"/>
        </w:rPr>
      </w:pPr>
      <w:r>
        <w:rPr>
          <w:kern w:val="0"/>
          <w:sz w:val="24"/>
        </w:rPr>
        <w:t>对磋商文件作出的实质性变动是磋商文件的有效组成部分，磋商小组应当及时以书面形式同时通知所有参加磋商的供应商。</w:t>
      </w:r>
    </w:p>
    <w:p>
      <w:pPr>
        <w:numPr>
          <w:ilvl w:val="1"/>
          <w:numId w:val="4"/>
        </w:numPr>
        <w:tabs>
          <w:tab w:val="left" w:pos="1080"/>
          <w:tab w:val="left" w:pos="1872"/>
        </w:tabs>
        <w:snapToGrid w:val="0"/>
        <w:spacing w:line="360" w:lineRule="auto"/>
        <w:ind w:left="1077" w:hanging="720"/>
        <w:rPr>
          <w:kern w:val="0"/>
          <w:sz w:val="24"/>
        </w:rPr>
      </w:pPr>
      <w:r>
        <w:rPr>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pPr>
        <w:numPr>
          <w:ilvl w:val="1"/>
          <w:numId w:val="4"/>
        </w:numPr>
        <w:tabs>
          <w:tab w:val="left" w:pos="1080"/>
          <w:tab w:val="left" w:pos="1872"/>
        </w:tabs>
        <w:snapToGrid w:val="0"/>
        <w:spacing w:line="360" w:lineRule="auto"/>
        <w:ind w:left="1077" w:hanging="720"/>
        <w:rPr>
          <w:sz w:val="24"/>
        </w:rPr>
      </w:pPr>
      <w:r>
        <w:rPr>
          <w:sz w:val="24"/>
        </w:rPr>
        <w:t>响应文件的澄清、说明或者更正</w:t>
      </w:r>
      <w:r>
        <w:rPr>
          <w:rFonts w:hint="eastAsia"/>
          <w:sz w:val="24"/>
        </w:rPr>
        <w:t>：</w:t>
      </w:r>
    </w:p>
    <w:p>
      <w:pPr>
        <w:numPr>
          <w:ilvl w:val="2"/>
          <w:numId w:val="4"/>
        </w:numPr>
        <w:snapToGrid w:val="0"/>
        <w:spacing w:line="360" w:lineRule="auto"/>
        <w:rPr>
          <w:sz w:val="24"/>
        </w:rPr>
      </w:pPr>
      <w:r>
        <w:rPr>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pPr>
        <w:numPr>
          <w:ilvl w:val="2"/>
          <w:numId w:val="4"/>
        </w:numPr>
        <w:snapToGrid w:val="0"/>
        <w:spacing w:line="360" w:lineRule="auto"/>
        <w:rPr>
          <w:sz w:val="24"/>
        </w:rPr>
      </w:pPr>
      <w:r>
        <w:rPr>
          <w:sz w:val="24"/>
        </w:rPr>
        <w:t>磋商小组对响应文件进行审查，如发现供应商提交的响应文件存在不满足《符合性审查要求》的内容，如属于表中“不允许”澄清、说明或者更正的内容，则供应商响应文件按</w:t>
      </w:r>
      <w:r>
        <w:rPr>
          <w:b/>
          <w:sz w:val="24"/>
        </w:rPr>
        <w:t>无效处理</w:t>
      </w:r>
      <w:r>
        <w:rPr>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rPr>
        <w:t>无效处理</w:t>
      </w:r>
      <w:r>
        <w:rPr>
          <w:sz w:val="24"/>
        </w:rPr>
        <w:t>。</w:t>
      </w:r>
    </w:p>
    <w:p>
      <w:pPr>
        <w:numPr>
          <w:ilvl w:val="2"/>
          <w:numId w:val="4"/>
        </w:numPr>
        <w:snapToGrid w:val="0"/>
        <w:spacing w:line="360" w:lineRule="auto"/>
        <w:rPr>
          <w:sz w:val="24"/>
        </w:rPr>
      </w:pPr>
      <w:r>
        <w:rPr>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pPr>
        <w:numPr>
          <w:ilvl w:val="1"/>
          <w:numId w:val="4"/>
        </w:numPr>
        <w:tabs>
          <w:tab w:val="left" w:pos="1080"/>
          <w:tab w:val="left" w:pos="1872"/>
        </w:tabs>
        <w:snapToGrid w:val="0"/>
        <w:spacing w:line="360" w:lineRule="auto"/>
        <w:ind w:left="1077" w:hanging="720"/>
        <w:rPr>
          <w:sz w:val="24"/>
        </w:rPr>
      </w:pPr>
      <w:r>
        <w:rPr>
          <w:sz w:val="24"/>
        </w:rPr>
        <w:t>磋商结束后，磋商小组将要求所有实质性响应的供应商在规定时间内提交最后报价。最后报价时间为磋商小组指定的时间，具体时间根据磋商进度另行通知。</w:t>
      </w:r>
    </w:p>
    <w:p>
      <w:pPr>
        <w:numPr>
          <w:ilvl w:val="1"/>
          <w:numId w:val="4"/>
        </w:numPr>
        <w:tabs>
          <w:tab w:val="left" w:pos="1080"/>
          <w:tab w:val="left" w:pos="1872"/>
        </w:tabs>
        <w:snapToGrid w:val="0"/>
        <w:spacing w:line="360" w:lineRule="auto"/>
        <w:ind w:left="1077" w:hanging="720"/>
        <w:rPr>
          <w:sz w:val="24"/>
        </w:rPr>
      </w:pPr>
      <w:r>
        <w:rPr>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numPr>
          <w:ilvl w:val="1"/>
          <w:numId w:val="4"/>
        </w:numPr>
        <w:tabs>
          <w:tab w:val="left" w:pos="1080"/>
          <w:tab w:val="left" w:pos="1872"/>
        </w:tabs>
        <w:snapToGrid w:val="0"/>
        <w:spacing w:line="360" w:lineRule="auto"/>
        <w:ind w:left="1077" w:hanging="720"/>
        <w:rPr>
          <w:sz w:val="24"/>
        </w:rPr>
      </w:pPr>
      <w:r>
        <w:rPr>
          <w:sz w:val="24"/>
        </w:rPr>
        <w:t>最后报价是供应商响应文件的有效组成部分。</w:t>
      </w:r>
    </w:p>
    <w:p>
      <w:pPr>
        <w:numPr>
          <w:ilvl w:val="1"/>
          <w:numId w:val="4"/>
        </w:numPr>
        <w:tabs>
          <w:tab w:val="left" w:pos="1080"/>
          <w:tab w:val="left" w:pos="1872"/>
        </w:tabs>
        <w:snapToGrid w:val="0"/>
        <w:spacing w:line="360" w:lineRule="auto"/>
        <w:ind w:left="1077" w:hanging="720"/>
        <w:rPr>
          <w:sz w:val="24"/>
        </w:rPr>
      </w:pPr>
      <w:r>
        <w:rPr>
          <w:sz w:val="24"/>
        </w:rPr>
        <w:t>已提交响应文件的供应商，在提交最后报价之前，可以根据磋商情况退出磋商。</w:t>
      </w:r>
    </w:p>
    <w:p>
      <w:pPr>
        <w:numPr>
          <w:ilvl w:val="0"/>
          <w:numId w:val="4"/>
        </w:numPr>
        <w:tabs>
          <w:tab w:val="left" w:pos="360"/>
        </w:tabs>
        <w:snapToGrid w:val="0"/>
        <w:spacing w:line="360" w:lineRule="auto"/>
        <w:outlineLvl w:val="1"/>
        <w:rPr>
          <w:sz w:val="24"/>
        </w:rPr>
      </w:pPr>
      <w:r>
        <w:rPr>
          <w:sz w:val="24"/>
        </w:rPr>
        <w:t>最后报价的算术修正及政策调整</w:t>
      </w:r>
    </w:p>
    <w:p>
      <w:pPr>
        <w:numPr>
          <w:ilvl w:val="1"/>
          <w:numId w:val="4"/>
        </w:numPr>
        <w:tabs>
          <w:tab w:val="left" w:pos="1080"/>
        </w:tabs>
        <w:snapToGrid w:val="0"/>
        <w:spacing w:line="360" w:lineRule="auto"/>
        <w:ind w:left="1077" w:hanging="720"/>
        <w:rPr>
          <w:sz w:val="24"/>
        </w:rPr>
      </w:pPr>
      <w:r>
        <w:rPr>
          <w:sz w:val="24"/>
        </w:rPr>
        <w:t>最后报价须包含竞争性磋商文件全部内容，磋商小组有权要求供应商在评审现场合理的时间内对此进行书面确认，供应商不确认的，视为将一个采购包中的内容拆开响应，其</w:t>
      </w:r>
      <w:r>
        <w:rPr>
          <w:b/>
          <w:sz w:val="24"/>
        </w:rPr>
        <w:t>响应无效</w:t>
      </w:r>
      <w:r>
        <w:rPr>
          <w:sz w:val="24"/>
        </w:rPr>
        <w:t>。</w:t>
      </w:r>
    </w:p>
    <w:p>
      <w:pPr>
        <w:numPr>
          <w:ilvl w:val="1"/>
          <w:numId w:val="4"/>
        </w:numPr>
        <w:tabs>
          <w:tab w:val="left" w:pos="1080"/>
          <w:tab w:val="left" w:pos="1872"/>
        </w:tabs>
        <w:snapToGrid w:val="0"/>
        <w:spacing w:line="360" w:lineRule="auto"/>
        <w:ind w:left="1077" w:hanging="720"/>
        <w:rPr>
          <w:sz w:val="24"/>
        </w:rPr>
      </w:pPr>
      <w:r>
        <w:rPr>
          <w:sz w:val="24"/>
        </w:rPr>
        <w:t>最后报价出现前后不一致的，按照下列规定修正：</w:t>
      </w:r>
    </w:p>
    <w:p>
      <w:pPr>
        <w:numPr>
          <w:ilvl w:val="2"/>
          <w:numId w:val="4"/>
        </w:numPr>
        <w:tabs>
          <w:tab w:val="left" w:pos="1080"/>
          <w:tab w:val="left" w:pos="1589"/>
          <w:tab w:val="left" w:pos="2035"/>
          <w:tab w:val="left" w:pos="2114"/>
        </w:tabs>
        <w:snapToGrid w:val="0"/>
        <w:spacing w:line="360" w:lineRule="auto"/>
        <w:ind w:left="2035"/>
        <w:rPr>
          <w:sz w:val="24"/>
        </w:rPr>
      </w:pPr>
      <w:r>
        <w:rPr>
          <w:sz w:val="24"/>
        </w:rPr>
        <w:t>竞争性磋商文件对于报价修正是否另有规定：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w:t>
      </w:r>
    </w:p>
    <w:p>
      <w:pPr>
        <w:tabs>
          <w:tab w:val="left" w:pos="1080"/>
          <w:tab w:val="left" w:pos="1589"/>
          <w:tab w:val="left" w:pos="2035"/>
          <w:tab w:val="left" w:pos="2114"/>
        </w:tabs>
        <w:snapToGrid w:val="0"/>
        <w:spacing w:line="360" w:lineRule="auto"/>
        <w:ind w:left="2035"/>
        <w:rPr>
          <w:sz w:val="24"/>
        </w:rPr>
      </w:pPr>
      <w:r>
        <w:t>■</w:t>
      </w:r>
      <w:r>
        <w:rPr>
          <w:sz w:val="24"/>
        </w:rPr>
        <w:t>无，按下述3.2.2-3.2.5项规定修正。</w:t>
      </w:r>
    </w:p>
    <w:p>
      <w:pPr>
        <w:numPr>
          <w:ilvl w:val="2"/>
          <w:numId w:val="4"/>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4"/>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单价金额小数点或者百分比有明显错位的，以最后报价的总价为准，并修改单价；</w:t>
      </w:r>
    </w:p>
    <w:p>
      <w:pPr>
        <w:numPr>
          <w:ilvl w:val="2"/>
          <w:numId w:val="4"/>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4"/>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同时出现两种以上不一致的，按照前款规定的顺序修正。修正后的报价经供应商书面确认后产生约束力，供应商不确认的，</w:t>
      </w:r>
      <w:r>
        <w:rPr>
          <w:b/>
          <w:sz w:val="24"/>
        </w:rPr>
        <w:t>其响应无效</w:t>
      </w:r>
      <w:r>
        <w:rPr>
          <w:sz w:val="24"/>
        </w:rPr>
        <w:t>。</w:t>
      </w:r>
    </w:p>
    <w:p>
      <w:pPr>
        <w:numPr>
          <w:ilvl w:val="1"/>
          <w:numId w:val="4"/>
        </w:numPr>
        <w:tabs>
          <w:tab w:val="left" w:pos="1080"/>
          <w:tab w:val="left" w:pos="1872"/>
        </w:tabs>
        <w:snapToGrid w:val="0"/>
        <w:spacing w:line="360" w:lineRule="auto"/>
        <w:ind w:left="1077" w:hanging="720"/>
        <w:rPr>
          <w:sz w:val="24"/>
        </w:rPr>
      </w:pPr>
      <w:r>
        <w:rPr>
          <w:sz w:val="24"/>
        </w:rPr>
        <w:t>落实政府采购政策的价格调整：只有符合第二章《供应商须知》4.2条规定情形的，可以享受中小企业扶持政策，用扣除后的价格参加评审；否则，评审时价格不予扣除。</w:t>
      </w:r>
    </w:p>
    <w:p>
      <w:pPr>
        <w:numPr>
          <w:ilvl w:val="2"/>
          <w:numId w:val="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5 </w:t>
      </w:r>
      <w:r>
        <w:rPr>
          <w:sz w:val="24"/>
        </w:rPr>
        <w:t>%的扣除，用扣除后的价格参加评审。</w:t>
      </w:r>
    </w:p>
    <w:p>
      <w:pPr>
        <w:numPr>
          <w:ilvl w:val="2"/>
          <w:numId w:val="4"/>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5 </w:t>
      </w:r>
      <w:r>
        <w:rPr>
          <w:sz w:val="24"/>
        </w:rPr>
        <w:t>%的扣除，用扣除后的价格参加评审。</w:t>
      </w:r>
    </w:p>
    <w:p>
      <w:pPr>
        <w:numPr>
          <w:ilvl w:val="2"/>
          <w:numId w:val="4"/>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4"/>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4"/>
        </w:numPr>
        <w:tabs>
          <w:tab w:val="left" w:pos="1080"/>
          <w:tab w:val="left" w:pos="1589"/>
          <w:tab w:val="left" w:pos="2035"/>
        </w:tabs>
        <w:snapToGrid w:val="0"/>
        <w:spacing w:line="360" w:lineRule="auto"/>
        <w:ind w:left="2035"/>
        <w:rPr>
          <w:sz w:val="24"/>
        </w:rPr>
      </w:pPr>
      <w:r>
        <w:rPr>
          <w:color w:val="000000"/>
          <w:sz w:val="24"/>
        </w:rPr>
        <w:t>中小企业参加政府采购活动，应当按照竞争性磋商文件给定的格式出具《中小企业声明函》，否则不得享受相关中小企业扶持政策。</w:t>
      </w:r>
    </w:p>
    <w:p>
      <w:pPr>
        <w:numPr>
          <w:ilvl w:val="2"/>
          <w:numId w:val="4"/>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4"/>
        </w:numPr>
        <w:tabs>
          <w:tab w:val="left" w:pos="1080"/>
          <w:tab w:val="left" w:pos="1589"/>
          <w:tab w:val="left" w:pos="2035"/>
        </w:tabs>
        <w:snapToGrid w:val="0"/>
        <w:spacing w:line="360" w:lineRule="auto"/>
        <w:ind w:left="2035"/>
        <w:rPr>
          <w:sz w:val="24"/>
        </w:rPr>
      </w:pPr>
      <w:r>
        <w:rPr>
          <w:sz w:val="24"/>
        </w:rPr>
        <w:t>残疾人福利性单位按竞争性磋商文件要求提供了《残疾人福利性单位声明函》（见附件）的，视同小微企业。</w:t>
      </w:r>
    </w:p>
    <w:p>
      <w:pPr>
        <w:numPr>
          <w:ilvl w:val="2"/>
          <w:numId w:val="4"/>
        </w:numPr>
        <w:tabs>
          <w:tab w:val="left" w:pos="1080"/>
          <w:tab w:val="left" w:pos="1589"/>
          <w:tab w:val="left" w:pos="2014"/>
        </w:tabs>
        <w:snapToGrid w:val="0"/>
        <w:spacing w:line="360" w:lineRule="auto"/>
        <w:ind w:left="2035"/>
        <w:rPr>
          <w:sz w:val="24"/>
        </w:rPr>
      </w:pPr>
      <w:r>
        <w:rPr>
          <w:sz w:val="24"/>
        </w:rPr>
        <w:t>若供应商同时属于小型或微型企业、监狱企业、残疾人福利性单位中的两种及以上，将不重复享受小微企业价格扣减的优惠政策。</w:t>
      </w:r>
    </w:p>
    <w:p>
      <w:pPr>
        <w:numPr>
          <w:ilvl w:val="2"/>
          <w:numId w:val="4"/>
        </w:numPr>
        <w:tabs>
          <w:tab w:val="left" w:pos="1080"/>
          <w:tab w:val="left" w:pos="1589"/>
          <w:tab w:val="left" w:pos="2014"/>
        </w:tabs>
        <w:snapToGrid w:val="0"/>
        <w:spacing w:line="360" w:lineRule="auto"/>
        <w:ind w:left="2035"/>
        <w:rPr>
          <w:sz w:val="24"/>
        </w:rPr>
      </w:pPr>
      <w:r>
        <w:rPr>
          <w:sz w:val="24"/>
        </w:rPr>
        <w:t>其他为落实政府采购政策实施的优先采购：__</w:t>
      </w:r>
      <w:r>
        <w:rPr>
          <w:rFonts w:hint="eastAsia"/>
          <w:sz w:val="24"/>
        </w:rPr>
        <w:t xml:space="preserve"> /</w:t>
      </w:r>
      <w:r>
        <w:rPr>
          <w:sz w:val="24"/>
        </w:rPr>
        <w:t>___。</w:t>
      </w:r>
    </w:p>
    <w:p>
      <w:pPr>
        <w:numPr>
          <w:ilvl w:val="0"/>
          <w:numId w:val="4"/>
        </w:numPr>
        <w:tabs>
          <w:tab w:val="left" w:pos="360"/>
        </w:tabs>
        <w:snapToGrid w:val="0"/>
        <w:spacing w:line="360" w:lineRule="auto"/>
        <w:outlineLvl w:val="1"/>
        <w:rPr>
          <w:sz w:val="24"/>
        </w:rPr>
      </w:pPr>
      <w:r>
        <w:rPr>
          <w:sz w:val="24"/>
        </w:rPr>
        <w:t>磋商环节及提交最后报价后如出现以下情况的，供应商的</w:t>
      </w:r>
      <w:r>
        <w:rPr>
          <w:b/>
          <w:sz w:val="24"/>
        </w:rPr>
        <w:t>响应文件无效</w:t>
      </w:r>
      <w:r>
        <w:rPr>
          <w:sz w:val="24"/>
        </w:rPr>
        <w:t>：</w:t>
      </w:r>
    </w:p>
    <w:p>
      <w:pPr>
        <w:numPr>
          <w:ilvl w:val="1"/>
          <w:numId w:val="4"/>
        </w:numPr>
        <w:tabs>
          <w:tab w:val="left" w:pos="1080"/>
        </w:tabs>
        <w:snapToGrid w:val="0"/>
        <w:spacing w:line="360" w:lineRule="auto"/>
        <w:ind w:left="1077" w:hanging="720"/>
        <w:rPr>
          <w:sz w:val="24"/>
        </w:rPr>
      </w:pPr>
      <w:r>
        <w:rPr>
          <w:sz w:val="24"/>
        </w:rPr>
        <w:t>供应商对实质性变动不予确认的；</w:t>
      </w:r>
    </w:p>
    <w:p>
      <w:pPr>
        <w:numPr>
          <w:ilvl w:val="1"/>
          <w:numId w:val="4"/>
        </w:numPr>
        <w:tabs>
          <w:tab w:val="left" w:pos="1080"/>
        </w:tabs>
        <w:snapToGrid w:val="0"/>
        <w:spacing w:line="360" w:lineRule="auto"/>
        <w:ind w:left="1077" w:hanging="720"/>
        <w:rPr>
          <w:sz w:val="24"/>
        </w:rPr>
      </w:pPr>
      <w:r>
        <w:rPr>
          <w:sz w:val="24"/>
        </w:rPr>
        <w:t>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pPr>
        <w:numPr>
          <w:ilvl w:val="1"/>
          <w:numId w:val="4"/>
        </w:numPr>
        <w:tabs>
          <w:tab w:val="left" w:pos="1080"/>
        </w:tabs>
        <w:snapToGrid w:val="0"/>
        <w:spacing w:line="360" w:lineRule="auto"/>
        <w:ind w:left="1077" w:hanging="720"/>
        <w:rPr>
          <w:sz w:val="24"/>
        </w:rPr>
      </w:pPr>
      <w:r>
        <w:rPr>
          <w:sz w:val="24"/>
        </w:rPr>
        <w:t>未按照磋商小组规定的时间、逾期提交最后报价的；</w:t>
      </w:r>
    </w:p>
    <w:p>
      <w:pPr>
        <w:numPr>
          <w:ilvl w:val="1"/>
          <w:numId w:val="4"/>
        </w:numPr>
        <w:tabs>
          <w:tab w:val="left" w:pos="1080"/>
        </w:tabs>
        <w:snapToGrid w:val="0"/>
        <w:spacing w:line="360" w:lineRule="auto"/>
        <w:ind w:left="1077" w:hanging="720"/>
        <w:rPr>
          <w:sz w:val="24"/>
        </w:rPr>
      </w:pPr>
      <w:r>
        <w:rPr>
          <w:sz w:val="24"/>
        </w:rPr>
        <w:t>如供应商的最后报价超过竞争性磋商文件中规定的项目/采购包预算金额或者项目/采购包最高限价的；</w:t>
      </w:r>
    </w:p>
    <w:p>
      <w:pPr>
        <w:numPr>
          <w:ilvl w:val="1"/>
          <w:numId w:val="4"/>
        </w:numPr>
        <w:tabs>
          <w:tab w:val="left" w:pos="1080"/>
        </w:tabs>
        <w:snapToGrid w:val="0"/>
        <w:spacing w:line="360" w:lineRule="auto"/>
        <w:ind w:left="1077" w:hanging="720"/>
        <w:rPr>
          <w:sz w:val="24"/>
        </w:rPr>
      </w:pPr>
      <w:r>
        <w:rPr>
          <w:sz w:val="24"/>
        </w:rPr>
        <w:t>响应文件中出现可选择性或可调整的报价的（竞争性磋商文件另有规定的除外）；</w:t>
      </w:r>
    </w:p>
    <w:p>
      <w:pPr>
        <w:numPr>
          <w:ilvl w:val="1"/>
          <w:numId w:val="4"/>
        </w:numPr>
        <w:tabs>
          <w:tab w:val="left" w:pos="1080"/>
        </w:tabs>
        <w:snapToGrid w:val="0"/>
        <w:spacing w:line="360" w:lineRule="auto"/>
        <w:ind w:left="1077" w:hanging="720"/>
        <w:rPr>
          <w:sz w:val="24"/>
        </w:rPr>
      </w:pPr>
      <w:r>
        <w:rPr>
          <w:sz w:val="24"/>
        </w:rPr>
        <w:t>最后报价出现前后不一致，供应商对修正后的报价不予确认的；</w:t>
      </w:r>
    </w:p>
    <w:p>
      <w:pPr>
        <w:numPr>
          <w:ilvl w:val="1"/>
          <w:numId w:val="4"/>
        </w:numPr>
        <w:tabs>
          <w:tab w:val="left" w:pos="1080"/>
        </w:tabs>
        <w:snapToGrid w:val="0"/>
        <w:spacing w:line="360" w:lineRule="auto"/>
        <w:ind w:left="1077" w:hanging="720"/>
        <w:rPr>
          <w:sz w:val="24"/>
        </w:rPr>
      </w:pPr>
      <w:r>
        <w:rPr>
          <w:sz w:val="24"/>
        </w:rPr>
        <w:t>其他：___</w:t>
      </w:r>
      <w:r>
        <w:rPr>
          <w:rFonts w:hint="eastAsia"/>
          <w:sz w:val="24"/>
        </w:rPr>
        <w:t>/</w:t>
      </w:r>
      <w:r>
        <w:rPr>
          <w:sz w:val="24"/>
        </w:rPr>
        <w:t>___。</w:t>
      </w:r>
    </w:p>
    <w:bookmarkEnd w:id="613"/>
    <w:bookmarkEnd w:id="614"/>
    <w:p>
      <w:pPr>
        <w:numPr>
          <w:ilvl w:val="0"/>
          <w:numId w:val="4"/>
        </w:numPr>
        <w:tabs>
          <w:tab w:val="left" w:pos="360"/>
        </w:tabs>
        <w:snapToGrid w:val="0"/>
        <w:spacing w:line="360" w:lineRule="auto"/>
        <w:outlineLvl w:val="1"/>
        <w:rPr>
          <w:sz w:val="24"/>
        </w:rPr>
      </w:pPr>
      <w:r>
        <w:rPr>
          <w:sz w:val="24"/>
        </w:rPr>
        <w:t>评审方法和评审标准</w:t>
      </w:r>
    </w:p>
    <w:p>
      <w:pPr>
        <w:numPr>
          <w:ilvl w:val="1"/>
          <w:numId w:val="4"/>
        </w:numPr>
        <w:tabs>
          <w:tab w:val="left" w:pos="1080"/>
          <w:tab w:val="left" w:pos="1872"/>
        </w:tabs>
        <w:snapToGrid w:val="0"/>
        <w:spacing w:line="360" w:lineRule="auto"/>
        <w:ind w:left="1077" w:hanging="720"/>
        <w:rPr>
          <w:sz w:val="24"/>
        </w:rPr>
      </w:pPr>
      <w:r>
        <w:rPr>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pPr>
        <w:numPr>
          <w:ilvl w:val="1"/>
          <w:numId w:val="4"/>
        </w:numPr>
        <w:tabs>
          <w:tab w:val="left" w:pos="1080"/>
          <w:tab w:val="left" w:pos="1872"/>
        </w:tabs>
        <w:snapToGrid w:val="0"/>
        <w:spacing w:line="360" w:lineRule="auto"/>
        <w:ind w:left="1077" w:hanging="720"/>
        <w:rPr>
          <w:sz w:val="24"/>
        </w:rPr>
      </w:pPr>
      <w:r>
        <w:rPr>
          <w:sz w:val="24"/>
        </w:rPr>
        <w:t>竞争性磋商文件中没有规定的评审标准不得作为评审依据。</w:t>
      </w:r>
    </w:p>
    <w:p>
      <w:pPr>
        <w:numPr>
          <w:ilvl w:val="1"/>
          <w:numId w:val="4"/>
        </w:numPr>
        <w:tabs>
          <w:tab w:val="left" w:pos="1080"/>
          <w:tab w:val="left" w:pos="1872"/>
        </w:tabs>
        <w:snapToGrid w:val="0"/>
        <w:spacing w:line="360" w:lineRule="auto"/>
        <w:ind w:left="1077" w:hanging="720"/>
        <w:rPr>
          <w:sz w:val="24"/>
        </w:rPr>
      </w:pPr>
      <w:r>
        <w:rPr>
          <w:sz w:val="24"/>
        </w:rPr>
        <w:t>非政府强制采购的节能产品或环境标志产品，依据品目清单和认证证书实施政府优先采购。优先采购的具体规定（如涉及）___</w:t>
      </w:r>
      <w:r>
        <w:rPr>
          <w:rFonts w:hint="eastAsia"/>
          <w:sz w:val="24"/>
        </w:rPr>
        <w:t>/</w:t>
      </w:r>
      <w:r>
        <w:rPr>
          <w:sz w:val="24"/>
        </w:rPr>
        <w:t>___。</w:t>
      </w:r>
    </w:p>
    <w:p>
      <w:pPr>
        <w:numPr>
          <w:ilvl w:val="1"/>
          <w:numId w:val="4"/>
        </w:numPr>
        <w:tabs>
          <w:tab w:val="left" w:pos="1080"/>
          <w:tab w:val="left" w:pos="1872"/>
        </w:tabs>
        <w:snapToGrid w:val="0"/>
        <w:spacing w:line="360" w:lineRule="auto"/>
        <w:ind w:left="1077" w:hanging="720"/>
        <w:rPr>
          <w:sz w:val="24"/>
        </w:rPr>
      </w:pPr>
      <w:r>
        <w:rPr>
          <w:sz w:val="24"/>
        </w:rPr>
        <w:t>关于无线局域网认证产品政府采购清单中的产品，优先采购的具体规定（如涉及）___</w:t>
      </w:r>
      <w:r>
        <w:rPr>
          <w:rFonts w:hint="eastAsia"/>
          <w:sz w:val="24"/>
        </w:rPr>
        <w:t>/</w:t>
      </w:r>
      <w:r>
        <w:rPr>
          <w:sz w:val="24"/>
        </w:rPr>
        <w:t>___。</w:t>
      </w:r>
    </w:p>
    <w:p>
      <w:pPr>
        <w:numPr>
          <w:ilvl w:val="0"/>
          <w:numId w:val="4"/>
        </w:numPr>
        <w:tabs>
          <w:tab w:val="left" w:pos="360"/>
        </w:tabs>
        <w:snapToGrid w:val="0"/>
        <w:spacing w:line="360" w:lineRule="auto"/>
        <w:outlineLvl w:val="1"/>
        <w:rPr>
          <w:sz w:val="24"/>
        </w:rPr>
      </w:pPr>
      <w:r>
        <w:rPr>
          <w:sz w:val="24"/>
        </w:rPr>
        <w:t>确定</w:t>
      </w:r>
      <w:bookmarkStart w:id="630" w:name="_Toc151193788"/>
      <w:bookmarkStart w:id="631" w:name="_Toc150774646"/>
      <w:bookmarkStart w:id="632" w:name="_Toc127151747"/>
      <w:bookmarkStart w:id="633" w:name="_Toc151190173"/>
      <w:bookmarkStart w:id="634" w:name="_Toc142311048"/>
      <w:bookmarkStart w:id="635" w:name="_Toc226309790"/>
      <w:bookmarkStart w:id="636" w:name="_Toc164229387"/>
      <w:bookmarkStart w:id="637" w:name="_Toc195842911"/>
      <w:bookmarkStart w:id="638" w:name="_Toc305158888"/>
      <w:bookmarkStart w:id="639" w:name="_Toc150509297"/>
      <w:bookmarkStart w:id="640" w:name="_Toc264969236"/>
      <w:bookmarkStart w:id="641" w:name="_Toc151193860"/>
      <w:bookmarkStart w:id="642" w:name="_Toc151193644"/>
      <w:bookmarkStart w:id="643" w:name="_Toc226965819"/>
      <w:bookmarkStart w:id="644" w:name="_Toc226337242"/>
      <w:bookmarkStart w:id="645" w:name="_Toc149720839"/>
      <w:bookmarkStart w:id="646" w:name="_Toc520356170"/>
      <w:bookmarkStart w:id="647" w:name="_Toc164351640"/>
      <w:bookmarkStart w:id="648" w:name="_Toc150774751"/>
      <w:bookmarkStart w:id="649" w:name="_Toc265228384"/>
      <w:bookmarkStart w:id="650" w:name="_Toc127151546"/>
      <w:bookmarkStart w:id="651" w:name="_Toc164608660"/>
      <w:bookmarkStart w:id="652" w:name="_Toc226965736"/>
      <w:bookmarkStart w:id="653" w:name="_Toc151193934"/>
      <w:bookmarkStart w:id="654" w:name="_Ref467307010"/>
      <w:bookmarkStart w:id="655" w:name="_Toc150480784"/>
      <w:bookmarkStart w:id="656" w:name="_Toc305158814"/>
      <w:bookmarkStart w:id="657" w:name="_Toc164229241"/>
      <w:bookmarkStart w:id="658" w:name="_Toc127161460"/>
      <w:bookmarkStart w:id="659" w:name="_Toc151193716"/>
      <w:bookmarkStart w:id="660" w:name="_Toc164608815"/>
      <w:r>
        <w:rPr>
          <w:sz w:val="24"/>
        </w:rPr>
        <w:t>成交候选人名单</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p>
    <w:p>
      <w:pPr>
        <w:numPr>
          <w:ilvl w:val="1"/>
          <w:numId w:val="4"/>
        </w:numPr>
        <w:tabs>
          <w:tab w:val="left" w:pos="1080"/>
          <w:tab w:val="left" w:pos="1872"/>
        </w:tabs>
        <w:snapToGrid w:val="0"/>
        <w:spacing w:line="360" w:lineRule="auto"/>
        <w:ind w:left="1077" w:hanging="720"/>
        <w:rPr>
          <w:sz w:val="24"/>
        </w:rPr>
      </w:pPr>
      <w:r>
        <w:rPr>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numPr>
          <w:ilvl w:val="1"/>
          <w:numId w:val="4"/>
        </w:numPr>
        <w:tabs>
          <w:tab w:val="left" w:pos="1080"/>
          <w:tab w:val="left" w:pos="1872"/>
        </w:tabs>
        <w:snapToGrid w:val="0"/>
        <w:spacing w:line="360" w:lineRule="auto"/>
        <w:ind w:left="1077" w:hanging="720"/>
        <w:rPr>
          <w:sz w:val="24"/>
        </w:rPr>
      </w:pPr>
      <w:r>
        <w:rPr>
          <w:kern w:val="0"/>
          <w:sz w:val="24"/>
          <w:szCs w:val="20"/>
        </w:rPr>
        <w:t>磋商小组根据上述供应商排序，依次推荐排序前</w:t>
      </w:r>
      <w:r>
        <w:rPr>
          <w:rFonts w:hint="eastAsia"/>
          <w:sz w:val="24"/>
        </w:rPr>
        <w:t>3</w:t>
      </w:r>
      <w:r>
        <w:rPr>
          <w:sz w:val="24"/>
        </w:rPr>
        <w:t>名</w:t>
      </w:r>
      <w:r>
        <w:rPr>
          <w:kern w:val="0"/>
          <w:sz w:val="24"/>
          <w:szCs w:val="20"/>
        </w:rPr>
        <w:t>的供应商为</w:t>
      </w:r>
      <w:r>
        <w:rPr>
          <w:snapToGrid w:val="0"/>
          <w:kern w:val="0"/>
          <w:sz w:val="24"/>
          <w:szCs w:val="21"/>
        </w:rPr>
        <w:t>成交候选供应商</w:t>
      </w:r>
      <w:r>
        <w:rPr>
          <w:kern w:val="0"/>
          <w:sz w:val="24"/>
          <w:szCs w:val="20"/>
        </w:rPr>
        <w:t>（若在磋商文件允许的情形下提交最后报价的供应商为二家，则依次推荐二名供应商为成交候选供应商），并编写评审报告。</w:t>
      </w:r>
    </w:p>
    <w:p>
      <w:pPr>
        <w:numPr>
          <w:ilvl w:val="1"/>
          <w:numId w:val="4"/>
        </w:numPr>
        <w:tabs>
          <w:tab w:val="left" w:pos="1080"/>
          <w:tab w:val="left" w:pos="1872"/>
        </w:tabs>
        <w:snapToGrid w:val="0"/>
        <w:spacing w:line="360" w:lineRule="auto"/>
        <w:ind w:left="1077" w:hanging="720"/>
        <w:rPr>
          <w:sz w:val="24"/>
        </w:rPr>
      </w:pPr>
      <w:r>
        <w:rPr>
          <w:sz w:val="24"/>
        </w:rPr>
        <w:t>磋商小组要对评分汇总情况进行复核，特别是对排名第一的、报价最低的、响应文件被认定为无效的情形进行重点复核。</w:t>
      </w:r>
    </w:p>
    <w:p>
      <w:pPr>
        <w:numPr>
          <w:ilvl w:val="0"/>
          <w:numId w:val="4"/>
        </w:numPr>
        <w:tabs>
          <w:tab w:val="left" w:pos="360"/>
        </w:tabs>
        <w:snapToGrid w:val="0"/>
        <w:spacing w:line="360" w:lineRule="auto"/>
        <w:outlineLvl w:val="1"/>
        <w:rPr>
          <w:sz w:val="24"/>
        </w:rPr>
      </w:pPr>
      <w:r>
        <w:rPr>
          <w:sz w:val="24"/>
        </w:rPr>
        <w:t>报告违法行为</w:t>
      </w:r>
    </w:p>
    <w:p>
      <w:pPr>
        <w:widowControl/>
        <w:numPr>
          <w:ilvl w:val="1"/>
          <w:numId w:val="4"/>
        </w:numPr>
        <w:tabs>
          <w:tab w:val="left" w:pos="1080"/>
          <w:tab w:val="left" w:pos="1872"/>
        </w:tabs>
        <w:snapToGrid w:val="0"/>
        <w:spacing w:line="360" w:lineRule="auto"/>
        <w:ind w:left="1077" w:hanging="72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pPr>
        <w:pStyle w:val="4"/>
        <w:spacing w:before="0" w:line="360" w:lineRule="auto"/>
        <w:rPr>
          <w:rFonts w:ascii="Times New Roman" w:hAnsi="Times New Roman" w:eastAsia="宋体"/>
          <w:sz w:val="24"/>
          <w:szCs w:val="24"/>
        </w:rPr>
      </w:pPr>
      <w:r>
        <w:rPr>
          <w:rFonts w:ascii="Times New Roman" w:hAnsi="Times New Roman" w:eastAsia="宋体"/>
          <w:sz w:val="24"/>
          <w:szCs w:val="24"/>
        </w:rPr>
        <w:t>二、评</w:t>
      </w:r>
      <w:r>
        <w:rPr>
          <w:rFonts w:hint="eastAsia" w:ascii="Times New Roman" w:hAnsi="Times New Roman" w:eastAsia="宋体"/>
          <w:sz w:val="24"/>
          <w:szCs w:val="24"/>
        </w:rPr>
        <w:t>审</w:t>
      </w:r>
      <w:r>
        <w:rPr>
          <w:rFonts w:ascii="Times New Roman" w:hAnsi="Times New Roman" w:eastAsia="宋体"/>
          <w:sz w:val="24"/>
          <w:szCs w:val="24"/>
        </w:rPr>
        <w:t>标准</w:t>
      </w:r>
    </w:p>
    <w:p>
      <w:pPr>
        <w:tabs>
          <w:tab w:val="left" w:pos="360"/>
          <w:tab w:val="left" w:pos="900"/>
          <w:tab w:val="left" w:pos="1080"/>
          <w:tab w:val="left" w:pos="2014"/>
        </w:tabs>
        <w:snapToGrid w:val="0"/>
        <w:spacing w:line="360" w:lineRule="auto"/>
        <w:rPr>
          <w:sz w:val="24"/>
        </w:rPr>
      </w:pPr>
    </w:p>
    <w:tbl>
      <w:tblPr>
        <w:tblStyle w:val="42"/>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275"/>
        <w:gridCol w:w="1401"/>
        <w:gridCol w:w="3978"/>
        <w:gridCol w:w="2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ind w:firstLine="28"/>
              <w:jc w:val="center"/>
              <w:rPr>
                <w:b/>
                <w:szCs w:val="21"/>
              </w:rPr>
            </w:pPr>
            <w:r>
              <w:rPr>
                <w:b/>
                <w:szCs w:val="21"/>
              </w:rPr>
              <w:t>序号</w:t>
            </w:r>
          </w:p>
        </w:tc>
        <w:tc>
          <w:tcPr>
            <w:tcW w:w="1275" w:type="dxa"/>
            <w:vAlign w:val="center"/>
          </w:tcPr>
          <w:p>
            <w:pPr>
              <w:ind w:firstLine="28"/>
              <w:jc w:val="center"/>
              <w:rPr>
                <w:b/>
                <w:szCs w:val="21"/>
              </w:rPr>
            </w:pPr>
            <w:r>
              <w:rPr>
                <w:b/>
                <w:szCs w:val="21"/>
              </w:rPr>
              <w:t>评分因素</w:t>
            </w:r>
          </w:p>
        </w:tc>
        <w:tc>
          <w:tcPr>
            <w:tcW w:w="1401" w:type="dxa"/>
            <w:vAlign w:val="center"/>
          </w:tcPr>
          <w:p>
            <w:pPr>
              <w:ind w:firstLine="28"/>
              <w:jc w:val="center"/>
              <w:rPr>
                <w:b/>
                <w:szCs w:val="21"/>
              </w:rPr>
            </w:pPr>
            <w:r>
              <w:rPr>
                <w:b/>
                <w:szCs w:val="21"/>
              </w:rPr>
              <w:t>分值</w:t>
            </w:r>
          </w:p>
        </w:tc>
        <w:tc>
          <w:tcPr>
            <w:tcW w:w="3978" w:type="dxa"/>
            <w:vAlign w:val="center"/>
          </w:tcPr>
          <w:p>
            <w:pPr>
              <w:ind w:firstLine="28"/>
              <w:jc w:val="center"/>
              <w:rPr>
                <w:b/>
                <w:szCs w:val="21"/>
              </w:rPr>
            </w:pPr>
            <w:r>
              <w:rPr>
                <w:b/>
                <w:szCs w:val="21"/>
              </w:rPr>
              <w:t>评分标准</w:t>
            </w:r>
          </w:p>
        </w:tc>
        <w:tc>
          <w:tcPr>
            <w:tcW w:w="2440" w:type="dxa"/>
            <w:vAlign w:val="center"/>
          </w:tcPr>
          <w:p>
            <w:pPr>
              <w:pStyle w:val="245"/>
              <w:spacing w:before="0" w:after="0" w:line="240" w:lineRule="auto"/>
              <w:rPr>
                <w:rFonts w:eastAsia="宋体"/>
                <w:sz w:val="21"/>
                <w:szCs w:val="21"/>
              </w:rPr>
            </w:pPr>
            <w:r>
              <w:rPr>
                <w:rFonts w:eastAsia="宋体"/>
                <w:sz w:val="21"/>
                <w:szCs w:val="21"/>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534" w:type="dxa"/>
            <w:vMerge w:val="restart"/>
            <w:vAlign w:val="center"/>
          </w:tcPr>
          <w:p>
            <w:pPr>
              <w:ind w:firstLine="28"/>
              <w:rPr>
                <w:szCs w:val="21"/>
              </w:rPr>
            </w:pPr>
            <w:r>
              <w:rPr>
                <w:rFonts w:hint="eastAsia"/>
                <w:szCs w:val="21"/>
              </w:rPr>
              <w:t>1</w:t>
            </w:r>
          </w:p>
        </w:tc>
        <w:tc>
          <w:tcPr>
            <w:tcW w:w="1275" w:type="dxa"/>
            <w:vMerge w:val="restart"/>
            <w:vAlign w:val="center"/>
          </w:tcPr>
          <w:p>
            <w:pPr>
              <w:ind w:firstLine="28"/>
              <w:rPr>
                <w:szCs w:val="21"/>
              </w:rPr>
            </w:pPr>
            <w:r>
              <w:rPr>
                <w:rFonts w:hint="eastAsia"/>
                <w:szCs w:val="21"/>
              </w:rPr>
              <w:t>施工组织设计</w:t>
            </w:r>
          </w:p>
        </w:tc>
        <w:tc>
          <w:tcPr>
            <w:tcW w:w="1401" w:type="dxa"/>
            <w:vAlign w:val="center"/>
          </w:tcPr>
          <w:p>
            <w:pPr>
              <w:ind w:firstLine="28"/>
              <w:rPr>
                <w:szCs w:val="21"/>
              </w:rPr>
            </w:pPr>
            <w:r>
              <w:rPr>
                <w:rFonts w:hint="eastAsia"/>
                <w:szCs w:val="21"/>
              </w:rPr>
              <w:t>施工方案与技术措施（5分）</w:t>
            </w:r>
          </w:p>
        </w:tc>
        <w:tc>
          <w:tcPr>
            <w:tcW w:w="3978" w:type="dxa"/>
            <w:vAlign w:val="center"/>
          </w:tcPr>
          <w:p>
            <w:pPr>
              <w:ind w:firstLine="28"/>
              <w:rPr>
                <w:szCs w:val="21"/>
              </w:rPr>
            </w:pPr>
            <w:r>
              <w:rPr>
                <w:rFonts w:hint="eastAsia"/>
                <w:szCs w:val="21"/>
              </w:rPr>
              <w:t>科学、可行、针对性强，得5分；</w:t>
            </w:r>
          </w:p>
          <w:p>
            <w:pPr>
              <w:ind w:firstLine="28"/>
              <w:rPr>
                <w:szCs w:val="21"/>
              </w:rPr>
            </w:pPr>
            <w:r>
              <w:rPr>
                <w:rFonts w:hint="eastAsia"/>
                <w:szCs w:val="21"/>
              </w:rPr>
              <w:t>合理、可行、细节待完善，得3 分；</w:t>
            </w:r>
          </w:p>
          <w:p>
            <w:pPr>
              <w:ind w:firstLine="28"/>
              <w:rPr>
                <w:rFonts w:hint="eastAsia"/>
                <w:szCs w:val="21"/>
              </w:rPr>
            </w:pPr>
            <w:r>
              <w:rPr>
                <w:rFonts w:hint="eastAsia"/>
                <w:szCs w:val="21"/>
              </w:rPr>
              <w:t>欠合理，可行性较差，基本满足工程需要，得 1 分。</w:t>
            </w:r>
          </w:p>
          <w:p>
            <w:pPr>
              <w:ind w:firstLine="28"/>
              <w:rPr>
                <w:rFonts w:hint="default" w:eastAsia="宋体"/>
                <w:lang w:val="en-US" w:eastAsia="zh-CN"/>
              </w:rPr>
            </w:pPr>
            <w:r>
              <w:rPr>
                <w:rFonts w:hint="eastAsia"/>
                <w:szCs w:val="21"/>
                <w:lang w:val="en-US" w:eastAsia="zh-CN"/>
              </w:rPr>
              <w:t>未提供得0分</w:t>
            </w:r>
          </w:p>
        </w:tc>
        <w:tc>
          <w:tcPr>
            <w:tcW w:w="2440" w:type="dxa"/>
            <w:vMerge w:val="restart"/>
            <w:vAlign w:val="center"/>
          </w:tcPr>
          <w:p>
            <w:pPr>
              <w:pStyle w:val="245"/>
              <w:spacing w:before="0" w:after="0" w:line="240" w:lineRule="auto"/>
              <w:jc w:val="both"/>
              <w:rPr>
                <w:rFonts w:eastAsia="宋体"/>
                <w:b w:val="0"/>
                <w:sz w:val="21"/>
                <w:szCs w:val="21"/>
              </w:rPr>
            </w:pPr>
            <w:r>
              <w:rPr>
                <w:rFonts w:hint="eastAsia" w:eastAsia="宋体"/>
                <w:b w:val="0"/>
                <w:sz w:val="21"/>
                <w:szCs w:val="21"/>
              </w:rPr>
              <w:t>施工组织设计内容宜精炼，本部分最高不超过200页。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534" w:type="dxa"/>
            <w:vMerge w:val="continue"/>
            <w:vAlign w:val="center"/>
          </w:tcPr>
          <w:p>
            <w:pPr>
              <w:ind w:firstLine="28"/>
              <w:rPr>
                <w:szCs w:val="21"/>
              </w:rPr>
            </w:pPr>
          </w:p>
        </w:tc>
        <w:tc>
          <w:tcPr>
            <w:tcW w:w="1275" w:type="dxa"/>
            <w:vMerge w:val="continue"/>
            <w:vAlign w:val="center"/>
          </w:tcPr>
          <w:p>
            <w:pPr>
              <w:ind w:firstLine="28"/>
              <w:rPr>
                <w:szCs w:val="21"/>
              </w:rPr>
            </w:pPr>
          </w:p>
        </w:tc>
        <w:tc>
          <w:tcPr>
            <w:tcW w:w="1401" w:type="dxa"/>
            <w:vAlign w:val="center"/>
          </w:tcPr>
          <w:p>
            <w:pPr>
              <w:ind w:firstLine="28"/>
              <w:rPr>
                <w:szCs w:val="21"/>
              </w:rPr>
            </w:pPr>
            <w:r>
              <w:rPr>
                <w:rFonts w:hint="eastAsia"/>
                <w:szCs w:val="21"/>
              </w:rPr>
              <w:t>质量管理体系与措施（5分）</w:t>
            </w:r>
          </w:p>
        </w:tc>
        <w:tc>
          <w:tcPr>
            <w:tcW w:w="3978" w:type="dxa"/>
            <w:vAlign w:val="center"/>
          </w:tcPr>
          <w:p>
            <w:pPr>
              <w:ind w:firstLine="28"/>
              <w:rPr>
                <w:szCs w:val="21"/>
              </w:rPr>
            </w:pPr>
            <w:r>
              <w:rPr>
                <w:rFonts w:hint="eastAsia"/>
                <w:szCs w:val="21"/>
              </w:rPr>
              <w:t>科学、可行、针对性强，得5分；</w:t>
            </w:r>
          </w:p>
          <w:p>
            <w:pPr>
              <w:ind w:firstLine="28"/>
              <w:rPr>
                <w:szCs w:val="21"/>
              </w:rPr>
            </w:pPr>
            <w:r>
              <w:rPr>
                <w:rFonts w:hint="eastAsia"/>
                <w:szCs w:val="21"/>
              </w:rPr>
              <w:t>合理、可行、细节待完善，得3 分；</w:t>
            </w:r>
          </w:p>
          <w:p>
            <w:pPr>
              <w:ind w:firstLine="28"/>
              <w:rPr>
                <w:rFonts w:hint="eastAsia"/>
                <w:szCs w:val="21"/>
              </w:rPr>
            </w:pPr>
            <w:r>
              <w:rPr>
                <w:rFonts w:hint="eastAsia"/>
                <w:szCs w:val="21"/>
              </w:rPr>
              <w:t>欠合理，可行性较差，基本满足工程需要，得 1 分。</w:t>
            </w:r>
          </w:p>
          <w:p>
            <w:pPr>
              <w:ind w:firstLine="28"/>
              <w:rPr>
                <w:szCs w:val="21"/>
              </w:rPr>
            </w:pPr>
            <w:r>
              <w:rPr>
                <w:rFonts w:hint="eastAsia"/>
                <w:szCs w:val="21"/>
                <w:lang w:val="en-US" w:eastAsia="zh-CN"/>
              </w:rPr>
              <w:t>未提供得0分</w:t>
            </w:r>
          </w:p>
        </w:tc>
        <w:tc>
          <w:tcPr>
            <w:tcW w:w="2440" w:type="dxa"/>
            <w:vMerge w:val="continue"/>
            <w:vAlign w:val="center"/>
          </w:tcPr>
          <w:p>
            <w:pPr>
              <w:pStyle w:val="245"/>
              <w:spacing w:before="0" w:after="0" w:line="240" w:lineRule="auto"/>
              <w:jc w:val="both"/>
              <w:rPr>
                <w:rFonts w:eastAsia="宋体"/>
                <w:b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7" w:hRule="atLeast"/>
        </w:trPr>
        <w:tc>
          <w:tcPr>
            <w:tcW w:w="534" w:type="dxa"/>
            <w:vMerge w:val="continue"/>
            <w:vAlign w:val="center"/>
          </w:tcPr>
          <w:p>
            <w:pPr>
              <w:ind w:firstLine="28"/>
              <w:rPr>
                <w:szCs w:val="21"/>
              </w:rPr>
            </w:pPr>
          </w:p>
        </w:tc>
        <w:tc>
          <w:tcPr>
            <w:tcW w:w="1275" w:type="dxa"/>
            <w:vMerge w:val="continue"/>
            <w:vAlign w:val="center"/>
          </w:tcPr>
          <w:p>
            <w:pPr>
              <w:ind w:firstLine="28"/>
              <w:rPr>
                <w:szCs w:val="21"/>
              </w:rPr>
            </w:pPr>
          </w:p>
        </w:tc>
        <w:tc>
          <w:tcPr>
            <w:tcW w:w="1401" w:type="dxa"/>
            <w:vAlign w:val="center"/>
          </w:tcPr>
          <w:p>
            <w:pPr>
              <w:ind w:firstLine="28"/>
              <w:rPr>
                <w:szCs w:val="21"/>
              </w:rPr>
            </w:pPr>
            <w:r>
              <w:rPr>
                <w:rFonts w:hint="eastAsia"/>
                <w:szCs w:val="21"/>
              </w:rPr>
              <w:t>安全管理体系与措施（5分）</w:t>
            </w:r>
          </w:p>
        </w:tc>
        <w:tc>
          <w:tcPr>
            <w:tcW w:w="3978" w:type="dxa"/>
            <w:vAlign w:val="center"/>
          </w:tcPr>
          <w:p>
            <w:pPr>
              <w:ind w:firstLine="28"/>
              <w:rPr>
                <w:szCs w:val="21"/>
              </w:rPr>
            </w:pPr>
            <w:r>
              <w:rPr>
                <w:rFonts w:hint="eastAsia"/>
                <w:szCs w:val="21"/>
              </w:rPr>
              <w:t>科学、可行、针对性强，得5分；</w:t>
            </w:r>
          </w:p>
          <w:p>
            <w:pPr>
              <w:ind w:firstLine="28"/>
              <w:rPr>
                <w:szCs w:val="21"/>
              </w:rPr>
            </w:pPr>
            <w:r>
              <w:rPr>
                <w:rFonts w:hint="eastAsia"/>
                <w:szCs w:val="21"/>
              </w:rPr>
              <w:t>合理、可行、细节待完善，得3 分；</w:t>
            </w:r>
          </w:p>
          <w:p>
            <w:pPr>
              <w:ind w:firstLine="28"/>
              <w:rPr>
                <w:rFonts w:hint="eastAsia"/>
                <w:szCs w:val="21"/>
              </w:rPr>
            </w:pPr>
            <w:r>
              <w:rPr>
                <w:rFonts w:hint="eastAsia"/>
                <w:szCs w:val="21"/>
              </w:rPr>
              <w:t>欠合理，可行性较差，基本满足工程需要，得 1 分。</w:t>
            </w:r>
          </w:p>
          <w:p>
            <w:pPr>
              <w:ind w:firstLine="28"/>
              <w:rPr>
                <w:szCs w:val="21"/>
              </w:rPr>
            </w:pPr>
            <w:r>
              <w:rPr>
                <w:rFonts w:hint="eastAsia"/>
                <w:szCs w:val="21"/>
                <w:lang w:val="en-US" w:eastAsia="zh-CN"/>
              </w:rPr>
              <w:t>未提供得0分</w:t>
            </w:r>
          </w:p>
        </w:tc>
        <w:tc>
          <w:tcPr>
            <w:tcW w:w="2440" w:type="dxa"/>
            <w:vMerge w:val="continue"/>
            <w:vAlign w:val="center"/>
          </w:tcPr>
          <w:p>
            <w:pPr>
              <w:pStyle w:val="245"/>
              <w:spacing w:before="0" w:after="0" w:line="240" w:lineRule="auto"/>
              <w:jc w:val="both"/>
              <w:rPr>
                <w:rFonts w:eastAsia="宋体"/>
                <w:b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534" w:type="dxa"/>
            <w:vMerge w:val="continue"/>
            <w:vAlign w:val="center"/>
          </w:tcPr>
          <w:p>
            <w:pPr>
              <w:ind w:firstLine="28"/>
              <w:rPr>
                <w:szCs w:val="21"/>
              </w:rPr>
            </w:pPr>
          </w:p>
        </w:tc>
        <w:tc>
          <w:tcPr>
            <w:tcW w:w="1275" w:type="dxa"/>
            <w:vMerge w:val="continue"/>
            <w:vAlign w:val="center"/>
          </w:tcPr>
          <w:p>
            <w:pPr>
              <w:ind w:firstLine="28"/>
              <w:rPr>
                <w:szCs w:val="21"/>
              </w:rPr>
            </w:pPr>
          </w:p>
        </w:tc>
        <w:tc>
          <w:tcPr>
            <w:tcW w:w="1401" w:type="dxa"/>
            <w:vAlign w:val="center"/>
          </w:tcPr>
          <w:p>
            <w:pPr>
              <w:ind w:firstLine="28"/>
              <w:rPr>
                <w:szCs w:val="21"/>
              </w:rPr>
            </w:pPr>
            <w:r>
              <w:rPr>
                <w:rFonts w:hint="eastAsia"/>
                <w:szCs w:val="21"/>
              </w:rPr>
              <w:t>环境保护管理体系与措施（5分）</w:t>
            </w:r>
          </w:p>
        </w:tc>
        <w:tc>
          <w:tcPr>
            <w:tcW w:w="3978" w:type="dxa"/>
            <w:vAlign w:val="center"/>
          </w:tcPr>
          <w:p>
            <w:pPr>
              <w:ind w:firstLine="28"/>
              <w:rPr>
                <w:szCs w:val="21"/>
              </w:rPr>
            </w:pPr>
            <w:r>
              <w:rPr>
                <w:rFonts w:hint="eastAsia"/>
                <w:szCs w:val="21"/>
              </w:rPr>
              <w:t>科学、可行、针对性强，得5分；</w:t>
            </w:r>
          </w:p>
          <w:p>
            <w:pPr>
              <w:ind w:firstLine="28"/>
              <w:rPr>
                <w:szCs w:val="21"/>
              </w:rPr>
            </w:pPr>
            <w:r>
              <w:rPr>
                <w:rFonts w:hint="eastAsia"/>
                <w:szCs w:val="21"/>
              </w:rPr>
              <w:t>合理、可行、细节待完善，得3 分；</w:t>
            </w:r>
          </w:p>
          <w:p>
            <w:pPr>
              <w:ind w:firstLine="28"/>
              <w:rPr>
                <w:rFonts w:hint="eastAsia"/>
                <w:szCs w:val="21"/>
              </w:rPr>
            </w:pPr>
            <w:r>
              <w:rPr>
                <w:rFonts w:hint="eastAsia"/>
                <w:szCs w:val="21"/>
              </w:rPr>
              <w:t>欠合理，可行性较差，基本满足工程需要，得 1 分。</w:t>
            </w:r>
          </w:p>
          <w:p>
            <w:pPr>
              <w:ind w:firstLine="28"/>
              <w:rPr>
                <w:szCs w:val="21"/>
              </w:rPr>
            </w:pPr>
            <w:r>
              <w:rPr>
                <w:rFonts w:hint="eastAsia"/>
                <w:szCs w:val="21"/>
                <w:lang w:val="en-US" w:eastAsia="zh-CN"/>
              </w:rPr>
              <w:t>未提供得0分</w:t>
            </w:r>
          </w:p>
        </w:tc>
        <w:tc>
          <w:tcPr>
            <w:tcW w:w="2440" w:type="dxa"/>
            <w:vMerge w:val="continue"/>
            <w:vAlign w:val="center"/>
          </w:tcPr>
          <w:p>
            <w:pPr>
              <w:pStyle w:val="245"/>
              <w:spacing w:before="0" w:after="0" w:line="240" w:lineRule="auto"/>
              <w:jc w:val="both"/>
              <w:rPr>
                <w:rFonts w:eastAsia="宋体"/>
                <w:b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534" w:type="dxa"/>
            <w:vMerge w:val="continue"/>
            <w:vAlign w:val="center"/>
          </w:tcPr>
          <w:p>
            <w:pPr>
              <w:ind w:firstLine="28"/>
              <w:rPr>
                <w:szCs w:val="21"/>
              </w:rPr>
            </w:pPr>
          </w:p>
        </w:tc>
        <w:tc>
          <w:tcPr>
            <w:tcW w:w="1275" w:type="dxa"/>
            <w:vMerge w:val="continue"/>
            <w:vAlign w:val="center"/>
          </w:tcPr>
          <w:p>
            <w:pPr>
              <w:ind w:firstLine="28"/>
              <w:rPr>
                <w:szCs w:val="21"/>
              </w:rPr>
            </w:pPr>
          </w:p>
        </w:tc>
        <w:tc>
          <w:tcPr>
            <w:tcW w:w="1401" w:type="dxa"/>
            <w:vAlign w:val="center"/>
          </w:tcPr>
          <w:p>
            <w:pPr>
              <w:ind w:firstLine="28"/>
              <w:rPr>
                <w:szCs w:val="21"/>
              </w:rPr>
            </w:pPr>
            <w:r>
              <w:rPr>
                <w:rFonts w:hint="eastAsia"/>
                <w:szCs w:val="21"/>
              </w:rPr>
              <w:t>人员、机械资源配备计划（5分）</w:t>
            </w:r>
          </w:p>
        </w:tc>
        <w:tc>
          <w:tcPr>
            <w:tcW w:w="3978" w:type="dxa"/>
            <w:vAlign w:val="center"/>
          </w:tcPr>
          <w:p>
            <w:pPr>
              <w:ind w:firstLine="28"/>
              <w:rPr>
                <w:szCs w:val="21"/>
              </w:rPr>
            </w:pPr>
            <w:r>
              <w:rPr>
                <w:rFonts w:hint="eastAsia"/>
                <w:szCs w:val="21"/>
              </w:rPr>
              <w:t>科学、可行、针对性强，得5分；</w:t>
            </w:r>
          </w:p>
          <w:p>
            <w:pPr>
              <w:ind w:firstLine="28"/>
              <w:rPr>
                <w:szCs w:val="21"/>
              </w:rPr>
            </w:pPr>
            <w:r>
              <w:rPr>
                <w:rFonts w:hint="eastAsia"/>
                <w:szCs w:val="21"/>
              </w:rPr>
              <w:t>合理、可行、细节待完善，得3 分；</w:t>
            </w:r>
          </w:p>
          <w:p>
            <w:pPr>
              <w:ind w:firstLine="28"/>
              <w:rPr>
                <w:rFonts w:hint="eastAsia"/>
                <w:szCs w:val="21"/>
              </w:rPr>
            </w:pPr>
            <w:r>
              <w:rPr>
                <w:rFonts w:hint="eastAsia"/>
                <w:szCs w:val="21"/>
              </w:rPr>
              <w:t>欠合理，可行性较差，基本满足工程需要，得 1 分。</w:t>
            </w:r>
          </w:p>
          <w:p>
            <w:pPr>
              <w:ind w:firstLine="28"/>
              <w:rPr>
                <w:szCs w:val="21"/>
              </w:rPr>
            </w:pPr>
            <w:r>
              <w:rPr>
                <w:rFonts w:hint="eastAsia"/>
                <w:szCs w:val="21"/>
                <w:lang w:val="en-US" w:eastAsia="zh-CN"/>
              </w:rPr>
              <w:t>未提供得0分</w:t>
            </w:r>
          </w:p>
        </w:tc>
        <w:tc>
          <w:tcPr>
            <w:tcW w:w="2440" w:type="dxa"/>
            <w:vMerge w:val="continue"/>
            <w:vAlign w:val="center"/>
          </w:tcPr>
          <w:p>
            <w:pPr>
              <w:pStyle w:val="245"/>
              <w:spacing w:before="0" w:after="0" w:line="240" w:lineRule="auto"/>
              <w:jc w:val="both"/>
              <w:rPr>
                <w:rFonts w:eastAsia="宋体"/>
                <w:b w:val="0"/>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534" w:type="dxa"/>
            <w:vAlign w:val="center"/>
          </w:tcPr>
          <w:p>
            <w:pPr>
              <w:ind w:firstLine="28"/>
              <w:rPr>
                <w:szCs w:val="21"/>
              </w:rPr>
            </w:pPr>
            <w:r>
              <w:rPr>
                <w:rFonts w:hint="eastAsia"/>
                <w:szCs w:val="21"/>
              </w:rPr>
              <w:t>2</w:t>
            </w:r>
          </w:p>
        </w:tc>
        <w:tc>
          <w:tcPr>
            <w:tcW w:w="1275" w:type="dxa"/>
            <w:vAlign w:val="center"/>
          </w:tcPr>
          <w:p>
            <w:pPr>
              <w:ind w:firstLine="28"/>
              <w:rPr>
                <w:szCs w:val="21"/>
              </w:rPr>
            </w:pPr>
            <w:r>
              <w:rPr>
                <w:rFonts w:hint="eastAsia"/>
                <w:szCs w:val="21"/>
              </w:rPr>
              <w:t>类似业绩</w:t>
            </w:r>
          </w:p>
        </w:tc>
        <w:tc>
          <w:tcPr>
            <w:tcW w:w="1401" w:type="dxa"/>
            <w:vAlign w:val="center"/>
          </w:tcPr>
          <w:p>
            <w:pPr>
              <w:ind w:firstLine="28"/>
              <w:rPr>
                <w:szCs w:val="21"/>
              </w:rPr>
            </w:pPr>
            <w:r>
              <w:rPr>
                <w:rFonts w:hint="eastAsia"/>
                <w:szCs w:val="21"/>
              </w:rPr>
              <w:t>15分</w:t>
            </w:r>
          </w:p>
        </w:tc>
        <w:tc>
          <w:tcPr>
            <w:tcW w:w="3978" w:type="dxa"/>
            <w:vAlign w:val="center"/>
          </w:tcPr>
          <w:p>
            <w:pPr>
              <w:ind w:firstLine="28"/>
              <w:rPr>
                <w:szCs w:val="21"/>
              </w:rPr>
            </w:pPr>
            <w:r>
              <w:rPr>
                <w:rFonts w:hint="eastAsia"/>
                <w:szCs w:val="21"/>
                <w:lang w:val="en-US" w:eastAsia="zh-CN"/>
              </w:rPr>
              <w:t>具有</w:t>
            </w:r>
            <w:r>
              <w:rPr>
                <w:rFonts w:hint="eastAsia"/>
                <w:szCs w:val="21"/>
              </w:rPr>
              <w:t>中央空调安装或机电安装相关业绩，每提供一个得</w:t>
            </w:r>
            <w:r>
              <w:rPr>
                <w:rFonts w:hint="eastAsia"/>
                <w:szCs w:val="21"/>
                <w:lang w:eastAsia="zh-CN"/>
              </w:rPr>
              <w:t>5</w:t>
            </w:r>
            <w:r>
              <w:rPr>
                <w:rFonts w:hint="eastAsia"/>
                <w:szCs w:val="21"/>
              </w:rPr>
              <w:t>分，最多得 15分。</w:t>
            </w:r>
          </w:p>
        </w:tc>
        <w:tc>
          <w:tcPr>
            <w:tcW w:w="2440" w:type="dxa"/>
            <w:vAlign w:val="center"/>
          </w:tcPr>
          <w:p>
            <w:pPr>
              <w:pStyle w:val="245"/>
              <w:spacing w:before="0" w:after="0" w:line="240" w:lineRule="auto"/>
              <w:jc w:val="both"/>
              <w:rPr>
                <w:rFonts w:hint="eastAsia" w:eastAsia="宋体"/>
                <w:b w:val="0"/>
                <w:sz w:val="21"/>
                <w:szCs w:val="21"/>
                <w:lang w:eastAsia="zh-CN"/>
              </w:rPr>
            </w:pPr>
            <w:r>
              <w:rPr>
                <w:rFonts w:hint="eastAsia" w:eastAsia="宋体"/>
                <w:b w:val="0"/>
                <w:sz w:val="21"/>
                <w:szCs w:val="21"/>
                <w:lang w:eastAsia="zh-CN"/>
              </w:rPr>
              <w:t>指供应商近3年（2021 年7月</w:t>
            </w:r>
            <w:r>
              <w:rPr>
                <w:rFonts w:hint="eastAsia" w:eastAsia="宋体"/>
                <w:b w:val="0"/>
                <w:sz w:val="21"/>
                <w:szCs w:val="21"/>
                <w:lang w:val="en-US" w:eastAsia="zh-CN"/>
              </w:rPr>
              <w:t>24</w:t>
            </w:r>
            <w:r>
              <w:rPr>
                <w:rFonts w:hint="eastAsia" w:eastAsia="宋体"/>
                <w:b w:val="0"/>
                <w:sz w:val="21"/>
                <w:szCs w:val="21"/>
                <w:lang w:eastAsia="zh-CN"/>
              </w:rPr>
              <w:t>日至今</w:t>
            </w:r>
            <w:r>
              <w:rPr>
                <w:rFonts w:hint="eastAsia" w:eastAsia="宋体"/>
                <w:b w:val="0"/>
                <w:sz w:val="21"/>
                <w:szCs w:val="21"/>
                <w:lang w:val="en-US" w:eastAsia="zh-CN"/>
              </w:rPr>
              <w:t>已完成</w:t>
            </w:r>
            <w:r>
              <w:rPr>
                <w:rFonts w:hint="eastAsia" w:eastAsia="宋体"/>
                <w:b w:val="0"/>
                <w:sz w:val="21"/>
                <w:szCs w:val="21"/>
                <w:lang w:eastAsia="zh-CN"/>
              </w:rPr>
              <w:t>中央空调安装或机电安装相关业绩，（合同约定完成时间或验收资料等相关证明材料写明的完成时间）在上述时间内；需提供与委托单位签订的合同或任务书或验收资料或委托单位证明的复印件或扫描件作为证明材料，未提供有效业绩证明不予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 w:type="dxa"/>
            <w:vAlign w:val="center"/>
          </w:tcPr>
          <w:p>
            <w:pPr>
              <w:ind w:firstLine="28"/>
              <w:rPr>
                <w:szCs w:val="21"/>
              </w:rPr>
            </w:pPr>
            <w:r>
              <w:rPr>
                <w:rFonts w:hint="eastAsia"/>
                <w:szCs w:val="21"/>
              </w:rPr>
              <w:t>3</w:t>
            </w:r>
          </w:p>
        </w:tc>
        <w:tc>
          <w:tcPr>
            <w:tcW w:w="1275" w:type="dxa"/>
            <w:vAlign w:val="center"/>
          </w:tcPr>
          <w:p>
            <w:pPr>
              <w:ind w:firstLine="28"/>
              <w:rPr>
                <w:szCs w:val="21"/>
              </w:rPr>
            </w:pPr>
            <w:r>
              <w:rPr>
                <w:szCs w:val="21"/>
              </w:rPr>
              <w:t>报价</w:t>
            </w:r>
          </w:p>
        </w:tc>
        <w:tc>
          <w:tcPr>
            <w:tcW w:w="1401" w:type="dxa"/>
            <w:vAlign w:val="center"/>
          </w:tcPr>
          <w:p>
            <w:pPr>
              <w:ind w:firstLine="28"/>
              <w:rPr>
                <w:szCs w:val="21"/>
              </w:rPr>
            </w:pPr>
            <w:r>
              <w:rPr>
                <w:rFonts w:hint="eastAsia"/>
                <w:szCs w:val="21"/>
              </w:rPr>
              <w:t>60分</w:t>
            </w:r>
          </w:p>
        </w:tc>
        <w:tc>
          <w:tcPr>
            <w:tcW w:w="3978" w:type="dxa"/>
            <w:vAlign w:val="center"/>
          </w:tcPr>
          <w:p>
            <w:pPr>
              <w:ind w:firstLine="28"/>
              <w:rPr>
                <w:szCs w:val="21"/>
              </w:rPr>
            </w:pPr>
            <w:r>
              <w:rPr>
                <w:szCs w:val="21"/>
              </w:rPr>
              <w:t>满足磋商文件要求的最后报价最低的供应商的价格为磋商基准价，其价格分为满分。其他供应商的价格分统一按照下列公式计算：</w:t>
            </w:r>
          </w:p>
          <w:p>
            <w:pPr>
              <w:ind w:firstLine="28"/>
              <w:rPr>
                <w:szCs w:val="21"/>
              </w:rPr>
            </w:pPr>
            <w:r>
              <w:rPr>
                <w:szCs w:val="21"/>
              </w:rPr>
              <w:t>磋商报价得分=（磋商基准价/最后报价）×分值</w:t>
            </w:r>
          </w:p>
        </w:tc>
        <w:tc>
          <w:tcPr>
            <w:tcW w:w="2440" w:type="dxa"/>
            <w:vAlign w:val="center"/>
          </w:tcPr>
          <w:p>
            <w:pPr>
              <w:ind w:left="-38"/>
              <w:rPr>
                <w:szCs w:val="21"/>
              </w:rPr>
            </w:pPr>
            <w:r>
              <w:rPr>
                <w:szCs w:val="21"/>
              </w:rPr>
              <w:t>此处最后报价指经过报价修正，及因落实政府采购政策进行价格调整后的报价，详见第三章《评审方法和评审标准》3.2、3.3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09" w:type="dxa"/>
            <w:gridSpan w:val="2"/>
            <w:vAlign w:val="center"/>
          </w:tcPr>
          <w:p>
            <w:pPr>
              <w:ind w:firstLine="28"/>
              <w:rPr>
                <w:szCs w:val="21"/>
              </w:rPr>
            </w:pPr>
            <w:r>
              <w:rPr>
                <w:szCs w:val="21"/>
              </w:rPr>
              <w:t>合计</w:t>
            </w:r>
          </w:p>
        </w:tc>
        <w:tc>
          <w:tcPr>
            <w:tcW w:w="1401" w:type="dxa"/>
            <w:vAlign w:val="center"/>
          </w:tcPr>
          <w:p>
            <w:pPr>
              <w:ind w:firstLine="28"/>
              <w:rPr>
                <w:szCs w:val="21"/>
              </w:rPr>
            </w:pPr>
            <w:r>
              <w:rPr>
                <w:szCs w:val="21"/>
              </w:rPr>
              <w:t>100</w:t>
            </w:r>
          </w:p>
        </w:tc>
        <w:tc>
          <w:tcPr>
            <w:tcW w:w="6418" w:type="dxa"/>
            <w:gridSpan w:val="2"/>
            <w:vAlign w:val="center"/>
          </w:tcPr>
          <w:p>
            <w:pPr>
              <w:rPr>
                <w:szCs w:val="21"/>
              </w:rPr>
            </w:pPr>
          </w:p>
        </w:tc>
      </w:tr>
    </w:tbl>
    <w:p>
      <w:pPr>
        <w:tabs>
          <w:tab w:val="left" w:pos="360"/>
          <w:tab w:val="left" w:pos="1080"/>
        </w:tabs>
        <w:snapToGrid w:val="0"/>
        <w:spacing w:line="360" w:lineRule="auto"/>
        <w:ind w:left="1080"/>
        <w:rPr>
          <w:color w:val="000000"/>
          <w:sz w:val="24"/>
        </w:rPr>
      </w:pPr>
    </w:p>
    <w:p>
      <w:pPr>
        <w:widowControl/>
        <w:jc w:val="left"/>
        <w:rPr>
          <w:b/>
          <w:sz w:val="36"/>
          <w:szCs w:val="36"/>
        </w:rPr>
      </w:pPr>
    </w:p>
    <w:p>
      <w:pPr>
        <w:spacing w:line="360" w:lineRule="auto"/>
        <w:jc w:val="center"/>
        <w:outlineLvl w:val="0"/>
        <w:rPr>
          <w:b/>
          <w:sz w:val="36"/>
          <w:szCs w:val="36"/>
        </w:rPr>
      </w:pPr>
      <w:r>
        <w:rPr>
          <w:b/>
          <w:sz w:val="36"/>
          <w:szCs w:val="36"/>
        </w:rPr>
        <w:br w:type="page"/>
      </w:r>
      <w:bookmarkStart w:id="661" w:name="_Toc97371945"/>
      <w:r>
        <w:rPr>
          <w:b/>
          <w:sz w:val="36"/>
          <w:szCs w:val="36"/>
        </w:rPr>
        <w:t>第四章   采购需求</w:t>
      </w:r>
      <w:bookmarkEnd w:id="661"/>
    </w:p>
    <w:p>
      <w:pPr>
        <w:keepNext w:val="0"/>
        <w:keepLines w:val="0"/>
        <w:pageBreakBefore w:val="0"/>
        <w:widowControl w:val="0"/>
        <w:kinsoku/>
        <w:wordWrap/>
        <w:overflowPunct/>
        <w:topLinePunct w:val="0"/>
        <w:bidi w:val="0"/>
        <w:spacing w:line="360" w:lineRule="auto"/>
        <w:ind w:left="70"/>
        <w:textAlignment w:val="auto"/>
        <w:outlineLvl w:val="1"/>
        <w:rPr>
          <w:rFonts w:hint="eastAsia" w:ascii="宋体" w:hAnsi="宋体" w:cs="宋体"/>
          <w:b/>
          <w:bCs w:val="0"/>
          <w:color w:val="auto"/>
          <w:sz w:val="24"/>
          <w:szCs w:val="24"/>
          <w:highlight w:val="none"/>
          <w:lang w:val="en-US" w:eastAsia="zh-CN"/>
        </w:rPr>
      </w:pPr>
      <w:bookmarkStart w:id="662" w:name="_Toc110867275"/>
      <w:r>
        <w:rPr>
          <w:rFonts w:hint="eastAsia" w:ascii="宋体" w:hAnsi="宋体" w:cs="宋体"/>
          <w:b/>
          <w:bCs w:val="0"/>
          <w:color w:val="auto"/>
          <w:sz w:val="24"/>
          <w:szCs w:val="24"/>
          <w:highlight w:val="none"/>
          <w:lang w:val="en-US" w:eastAsia="zh-CN"/>
        </w:rPr>
        <w:t>一、采购标的</w:t>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1.项目名称：</w:t>
      </w:r>
      <w:r>
        <w:rPr>
          <w:rFonts w:hint="eastAsia" w:hAnsi="宋体" w:cs="宋体"/>
          <w:b w:val="0"/>
          <w:bCs/>
          <w:color w:val="auto"/>
          <w:sz w:val="24"/>
          <w:szCs w:val="24"/>
          <w:highlight w:val="none"/>
          <w:lang w:val="en-US" w:eastAsia="zh-CN"/>
        </w:rPr>
        <w:fldChar w:fldCharType="begin"/>
      </w:r>
      <w:r>
        <w:rPr>
          <w:rFonts w:hint="eastAsia" w:hAnsi="宋体" w:cs="宋体"/>
          <w:b w:val="0"/>
          <w:bCs/>
          <w:color w:val="auto"/>
          <w:sz w:val="24"/>
          <w:szCs w:val="24"/>
          <w:highlight w:val="none"/>
          <w:lang w:val="en-US" w:eastAsia="zh-CN"/>
        </w:rPr>
        <w:instrText xml:space="preserve"> MERGEFIELD "北京市残疾人家庭收入调查项目" </w:instrText>
      </w:r>
      <w:r>
        <w:rPr>
          <w:rFonts w:hint="eastAsia" w:hAnsi="宋体" w:cs="宋体"/>
          <w:b w:val="0"/>
          <w:bCs/>
          <w:color w:val="auto"/>
          <w:sz w:val="24"/>
          <w:szCs w:val="24"/>
          <w:highlight w:val="none"/>
          <w:lang w:val="en-US" w:eastAsia="zh-CN"/>
        </w:rPr>
        <w:fldChar w:fldCharType="separate"/>
      </w:r>
      <w:r>
        <w:rPr>
          <w:rFonts w:hint="eastAsia" w:hAnsi="宋体" w:cs="宋体"/>
          <w:b w:val="0"/>
          <w:bCs/>
          <w:color w:val="auto"/>
          <w:sz w:val="24"/>
          <w:szCs w:val="24"/>
          <w:highlight w:val="none"/>
          <w:lang w:val="en-US" w:eastAsia="zh-CN"/>
        </w:rPr>
        <w:t>北京市大兴区文化活动服务中心中央空调机组更换项目</w:t>
      </w:r>
      <w:r>
        <w:rPr>
          <w:rFonts w:hint="eastAsia" w:hAnsi="宋体" w:cs="宋体"/>
          <w:b w:val="0"/>
          <w:bCs/>
          <w:color w:val="auto"/>
          <w:sz w:val="24"/>
          <w:szCs w:val="24"/>
          <w:highlight w:val="none"/>
          <w:lang w:val="en-US" w:eastAsia="zh-CN"/>
        </w:rPr>
        <w:fldChar w:fldCharType="end"/>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default" w:hAnsi="宋体" w:cs="宋体"/>
          <w:b w:val="0"/>
          <w:bCs/>
          <w:color w:val="auto"/>
          <w:sz w:val="24"/>
          <w:szCs w:val="24"/>
          <w:highlight w:val="none"/>
          <w:lang w:val="en-US" w:eastAsia="zh-CN"/>
        </w:rPr>
      </w:pPr>
      <w:r>
        <w:rPr>
          <w:rFonts w:hint="eastAsia" w:hAnsi="宋体" w:cs="宋体"/>
          <w:b w:val="0"/>
          <w:bCs/>
          <w:color w:val="auto"/>
          <w:sz w:val="24"/>
          <w:szCs w:val="24"/>
          <w:highlight w:val="none"/>
          <w:lang w:val="en-US" w:eastAsia="zh-CN"/>
        </w:rPr>
        <w:t>2.采购内容：北京市大兴区文化活动服务中心现有空调机组年久失修，需进行更换空调机组及管道管件安装更换。</w:t>
      </w:r>
    </w:p>
    <w:p>
      <w:pPr>
        <w:keepNext w:val="0"/>
        <w:keepLines w:val="0"/>
        <w:pageBreakBefore w:val="0"/>
        <w:widowControl w:val="0"/>
        <w:kinsoku/>
        <w:wordWrap/>
        <w:overflowPunct/>
        <w:topLinePunct w:val="0"/>
        <w:bidi w:val="0"/>
        <w:spacing w:line="360" w:lineRule="auto"/>
        <w:ind w:left="70"/>
        <w:textAlignment w:val="auto"/>
        <w:outlineLvl w:val="1"/>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二、商务要求</w:t>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default"/>
          <w:lang w:val="en-US" w:eastAsia="zh-CN"/>
        </w:rPr>
      </w:pPr>
      <w:r>
        <w:rPr>
          <w:rFonts w:hint="eastAsia"/>
          <w:lang w:val="en-US" w:eastAsia="zh-CN"/>
        </w:rPr>
        <w:t>1.工期要求：</w:t>
      </w:r>
      <w:r>
        <w:rPr>
          <w:rFonts w:hint="eastAsia"/>
          <w:lang w:val="en-US" w:eastAsia="zh-CN"/>
        </w:rPr>
        <w:fldChar w:fldCharType="begin"/>
      </w:r>
      <w:r>
        <w:rPr>
          <w:rFonts w:hint="eastAsia"/>
          <w:lang w:val="en-US" w:eastAsia="zh-CN"/>
        </w:rPr>
        <w:instrText xml:space="preserve"> MERGEFIELD "365日历天" </w:instrText>
      </w:r>
      <w:r>
        <w:rPr>
          <w:rFonts w:hint="eastAsia"/>
          <w:lang w:val="en-US" w:eastAsia="zh-CN"/>
        </w:rPr>
        <w:fldChar w:fldCharType="separate"/>
      </w:r>
      <w:r>
        <w:rPr>
          <w:rFonts w:hint="eastAsia"/>
          <w:lang w:val="en-US" w:eastAsia="zh-CN"/>
        </w:rPr>
        <w:t>90日历天</w:t>
      </w:r>
      <w:r>
        <w:rPr>
          <w:rFonts w:hint="eastAsia"/>
          <w:lang w:val="en-US" w:eastAsia="zh-CN"/>
        </w:rPr>
        <w:fldChar w:fldCharType="end"/>
      </w:r>
      <w:r>
        <w:rPr>
          <w:rFonts w:hint="eastAsia"/>
          <w:lang w:val="en-US" w:eastAsia="zh-CN"/>
        </w:rPr>
        <w:t>。</w:t>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lang w:val="en-US" w:eastAsia="zh-CN"/>
        </w:rPr>
      </w:pPr>
      <w:r>
        <w:rPr>
          <w:rFonts w:hint="eastAsia"/>
          <w:lang w:val="en-US" w:eastAsia="zh-CN"/>
        </w:rPr>
        <w:t>2.付款条件（进度和方式）</w:t>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lang w:val="en-US" w:eastAsia="zh-CN"/>
        </w:rPr>
      </w:pPr>
      <w:r>
        <w:rPr>
          <w:rFonts w:hint="eastAsia"/>
          <w:lang w:val="en-US" w:eastAsia="zh-CN"/>
        </w:rPr>
        <w:t>（1）预付款</w:t>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lang w:val="en-US" w:eastAsia="zh-CN"/>
        </w:rPr>
      </w:pPr>
      <w:r>
        <w:rPr>
          <w:rFonts w:hint="eastAsia"/>
          <w:lang w:val="en-US" w:eastAsia="zh-CN"/>
        </w:rPr>
        <w:t>签订合同后30日内，甲方支付合同额的30%（施工单位为中型及以上企业）或50%（施工单位为小型或微型企业）作为预付款。</w:t>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lang w:val="en-US" w:eastAsia="zh-CN"/>
        </w:rPr>
      </w:pPr>
      <w:r>
        <w:rPr>
          <w:rFonts w:hint="eastAsia"/>
          <w:lang w:val="en-US" w:eastAsia="zh-CN"/>
        </w:rPr>
        <w:t>（2）进度款</w:t>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lang w:val="en-US" w:eastAsia="zh-CN"/>
        </w:rPr>
      </w:pPr>
      <w:r>
        <w:rPr>
          <w:rFonts w:hint="eastAsia"/>
          <w:lang w:val="en-US" w:eastAsia="zh-CN"/>
        </w:rPr>
        <w:t>工程竣工验收合格后，完成结算审定后，按审定金额支付工程费剩余尾款。</w:t>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lang w:val="en-US" w:eastAsia="zh-CN"/>
        </w:rPr>
      </w:pPr>
      <w:r>
        <w:rPr>
          <w:rFonts w:hint="eastAsia"/>
          <w:lang w:val="en-US" w:eastAsia="zh-CN"/>
        </w:rPr>
        <w:t>3.质保金</w:t>
      </w:r>
    </w:p>
    <w:p>
      <w:pPr>
        <w:pStyle w:val="2"/>
        <w:keepNext w:val="0"/>
        <w:keepLines w:val="0"/>
        <w:pageBreakBefore w:val="0"/>
        <w:widowControl w:val="0"/>
        <w:kinsoku/>
        <w:wordWrap/>
        <w:overflowPunct/>
        <w:topLinePunct w:val="0"/>
        <w:autoSpaceDE w:val="0"/>
        <w:autoSpaceDN w:val="0"/>
        <w:bidi w:val="0"/>
        <w:adjustRightInd w:val="0"/>
        <w:snapToGrid/>
        <w:spacing w:line="360" w:lineRule="auto"/>
        <w:ind w:firstLine="420"/>
        <w:textAlignment w:val="auto"/>
        <w:rPr>
          <w:rFonts w:hint="eastAsia"/>
          <w:lang w:val="en-US" w:eastAsia="zh-CN"/>
        </w:rPr>
      </w:pPr>
      <w:r>
        <w:rPr>
          <w:rFonts w:hint="eastAsia"/>
          <w:lang w:val="en-US" w:eastAsia="zh-CN"/>
        </w:rPr>
        <w:t>以验收合格后起算，质保期一年，以合同金额的3%作为质保金，质保金随尾款一并支付。由施工单位提供质保金保函，质保期满后保函自动失效。</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4.售后服务（质保期）</w:t>
      </w:r>
    </w:p>
    <w:p>
      <w:pPr>
        <w:pStyle w:val="2"/>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eastAsia"/>
          <w:lang w:val="en-US" w:eastAsia="zh-CN"/>
        </w:rPr>
      </w:pPr>
      <w:r>
        <w:rPr>
          <w:rFonts w:hint="eastAsia"/>
          <w:lang w:val="en-US" w:eastAsia="zh-CN"/>
        </w:rPr>
        <w:t>出现故障后，响应时间，2小时内到达故障现场，4小时内完解决故障问题，提供7*24*365小时技术支持和售后服务支持。</w:t>
      </w:r>
    </w:p>
    <w:p>
      <w:pPr>
        <w:keepNext w:val="0"/>
        <w:keepLines w:val="0"/>
        <w:pageBreakBefore w:val="0"/>
        <w:widowControl w:val="0"/>
        <w:kinsoku/>
        <w:wordWrap/>
        <w:overflowPunct/>
        <w:topLinePunct w:val="0"/>
        <w:bidi w:val="0"/>
        <w:spacing w:line="360" w:lineRule="auto"/>
        <w:ind w:left="70"/>
        <w:textAlignment w:val="auto"/>
        <w:outlineLvl w:val="1"/>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三、技术要求</w:t>
      </w:r>
      <w:bookmarkEnd w:id="662"/>
    </w:p>
    <w:p>
      <w:pPr>
        <w:keepNext w:val="0"/>
        <w:keepLines w:val="0"/>
        <w:pageBreakBefore w:val="0"/>
        <w:widowControl w:val="0"/>
        <w:numPr>
          <w:ilvl w:val="0"/>
          <w:numId w:val="6"/>
        </w:numPr>
        <w:kinsoku/>
        <w:wordWrap/>
        <w:overflowPunct/>
        <w:topLinePunct w:val="0"/>
        <w:bidi w:val="0"/>
        <w:adjustRightInd w:val="0"/>
        <w:snapToGrid w:val="0"/>
        <w:spacing w:before="120" w:beforeLines="50" w:line="360" w:lineRule="auto"/>
        <w:ind w:left="954" w:leftChars="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工程概况</w:t>
      </w:r>
    </w:p>
    <w:p>
      <w:pPr>
        <w:keepNext w:val="0"/>
        <w:keepLines w:val="0"/>
        <w:pageBreakBefore w:val="0"/>
        <w:widowControl w:val="0"/>
        <w:kinsoku/>
        <w:wordWrap/>
        <w:overflowPunct/>
        <w:topLinePunct w:val="0"/>
        <w:bidi w:val="0"/>
        <w:adjustRightInd w:val="0"/>
        <w:snapToGrid w:val="0"/>
        <w:spacing w:line="360" w:lineRule="auto"/>
        <w:ind w:left="420" w:leftChars="20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1.1 建设规模：</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MERGEFIELD "F9"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260.768889</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lang w:val="en-US" w:eastAsia="zh-CN"/>
        </w:rPr>
        <w:t>万元</w:t>
      </w:r>
    </w:p>
    <w:p>
      <w:pPr>
        <w:keepNext w:val="0"/>
        <w:keepLines w:val="0"/>
        <w:pageBreakBefore w:val="0"/>
        <w:widowControl w:val="0"/>
        <w:kinsoku/>
        <w:wordWrap/>
        <w:overflowPunct/>
        <w:topLinePunct w:val="0"/>
        <w:bidi w:val="0"/>
        <w:adjustRightInd w:val="0"/>
        <w:snapToGrid w:val="0"/>
        <w:spacing w:line="360" w:lineRule="auto"/>
        <w:ind w:left="420" w:leftChars="20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1.2 建设地点：</w:t>
      </w:r>
      <w:r>
        <w:rPr>
          <w:rFonts w:hint="eastAsia" w:ascii="宋体" w:hAnsi="宋体" w:eastAsia="宋体" w:cs="宋体"/>
          <w:color w:val="auto"/>
          <w:sz w:val="24"/>
          <w:szCs w:val="24"/>
          <w:highlight w:val="none"/>
          <w:u w:val="single"/>
        </w:rPr>
        <w:t>北京市</w:t>
      </w:r>
      <w:r>
        <w:rPr>
          <w:rFonts w:hint="eastAsia" w:ascii="宋体" w:hAnsi="宋体" w:eastAsia="宋体" w:cs="宋体"/>
          <w:color w:val="auto"/>
          <w:sz w:val="24"/>
          <w:szCs w:val="24"/>
          <w:highlight w:val="none"/>
          <w:u w:val="single"/>
          <w:lang w:val="en-US" w:eastAsia="zh-CN"/>
        </w:rPr>
        <w:t>大兴区</w:t>
      </w:r>
    </w:p>
    <w:p>
      <w:pPr>
        <w:keepNext w:val="0"/>
        <w:keepLines w:val="0"/>
        <w:pageBreakBefore w:val="0"/>
        <w:widowControl w:val="0"/>
        <w:numPr>
          <w:ilvl w:val="0"/>
          <w:numId w:val="6"/>
        </w:numPr>
        <w:kinsoku/>
        <w:wordWrap/>
        <w:overflowPunct/>
        <w:topLinePunct w:val="0"/>
        <w:bidi w:val="0"/>
        <w:adjustRightInd w:val="0"/>
        <w:snapToGrid w:val="0"/>
        <w:spacing w:before="120" w:beforeLines="50" w:line="360" w:lineRule="auto"/>
        <w:ind w:left="954" w:leftChars="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质量要求：施工质量达到</w:t>
      </w:r>
      <w:r>
        <w:rPr>
          <w:rFonts w:hint="eastAsia" w:ascii="宋体" w:hAnsi="宋体" w:eastAsia="宋体" w:cs="宋体"/>
          <w:color w:val="auto"/>
          <w:sz w:val="24"/>
          <w:szCs w:val="24"/>
          <w:highlight w:val="none"/>
          <w:u w:val="single"/>
        </w:rPr>
        <w:t xml:space="preserve">  合格  </w:t>
      </w:r>
      <w:r>
        <w:rPr>
          <w:rFonts w:hint="eastAsia" w:ascii="宋体" w:hAnsi="宋体" w:eastAsia="宋体" w:cs="宋体"/>
          <w:color w:val="auto"/>
          <w:sz w:val="24"/>
          <w:szCs w:val="24"/>
          <w:highlight w:val="none"/>
        </w:rPr>
        <w:t>标准。确保</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能够按期、保质、保量的完成，施工过程中杜绝发生一切安全事故。</w:t>
      </w:r>
    </w:p>
    <w:p>
      <w:pPr>
        <w:keepNext w:val="0"/>
        <w:keepLines w:val="0"/>
        <w:pageBreakBefore w:val="0"/>
        <w:widowControl w:val="0"/>
        <w:numPr>
          <w:ilvl w:val="0"/>
          <w:numId w:val="6"/>
        </w:numPr>
        <w:kinsoku/>
        <w:wordWrap/>
        <w:overflowPunct/>
        <w:topLinePunct w:val="0"/>
        <w:bidi w:val="0"/>
        <w:adjustRightInd w:val="0"/>
        <w:snapToGrid w:val="0"/>
        <w:spacing w:before="120" w:beforeLines="50" w:line="360" w:lineRule="auto"/>
        <w:ind w:left="954" w:leftChars="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主要采购需求：</w:t>
      </w:r>
    </w:p>
    <w:p>
      <w:pPr>
        <w:keepNext w:val="0"/>
        <w:keepLines w:val="0"/>
        <w:pageBreakBefore w:val="0"/>
        <w:widowControl w:val="0"/>
        <w:kinsoku/>
        <w:wordWrap/>
        <w:overflowPunct/>
        <w:topLinePunct w:val="0"/>
        <w:bidi w:val="0"/>
        <w:adjustRightInd w:val="0"/>
        <w:snapToGrid w:val="0"/>
        <w:spacing w:line="360" w:lineRule="auto"/>
        <w:ind w:left="420" w:leftChars="20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工程量清单范围内的所有内容。</w:t>
      </w:r>
    </w:p>
    <w:p>
      <w:pPr>
        <w:keepNext w:val="0"/>
        <w:keepLines w:val="0"/>
        <w:pageBreakBefore w:val="0"/>
        <w:widowControl w:val="0"/>
        <w:numPr>
          <w:ilvl w:val="0"/>
          <w:numId w:val="6"/>
        </w:numPr>
        <w:kinsoku/>
        <w:wordWrap/>
        <w:overflowPunct/>
        <w:topLinePunct w:val="0"/>
        <w:bidi w:val="0"/>
        <w:adjustRightInd w:val="0"/>
        <w:snapToGrid w:val="0"/>
        <w:spacing w:before="120" w:beforeLines="50" w:line="360" w:lineRule="auto"/>
        <w:ind w:left="954" w:leftChars="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适用的国家、行业以及地方规范、标准和规程</w:t>
      </w:r>
    </w:p>
    <w:p>
      <w:pPr>
        <w:keepNext w:val="0"/>
        <w:keepLines w:val="0"/>
        <w:pageBreakBefore w:val="0"/>
        <w:widowControl w:val="0"/>
        <w:kinsoku/>
        <w:wordWrap/>
        <w:overflowPunct/>
        <w:topLinePunct w:val="0"/>
        <w:bidi w:val="0"/>
        <w:adjustRightInd w:val="0"/>
        <w:snapToGrid w:val="0"/>
        <w:spacing w:before="120" w:beforeLines="50" w:line="360" w:lineRule="auto"/>
        <w:ind w:left="876"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非另有说明，本工程使用所有现行有效的相关国家、行业以及地方规范、规程和标准。上述规范、规程和标准均指他们各自的最新版本，如果上述规范、规程和标准之间出现矛盾或与合同其他内容存在不一致，承包人应书面请求发包人澄清，发包人未予澄清者，按其中最高的要求或最严格的标准执行。</w:t>
      </w:r>
    </w:p>
    <w:p>
      <w:pPr>
        <w:keepNext w:val="0"/>
        <w:keepLines w:val="0"/>
        <w:pageBreakBefore w:val="0"/>
        <w:widowControl w:val="0"/>
        <w:numPr>
          <w:ilvl w:val="0"/>
          <w:numId w:val="6"/>
        </w:numPr>
        <w:kinsoku/>
        <w:wordWrap/>
        <w:overflowPunct/>
        <w:topLinePunct w:val="0"/>
        <w:bidi w:val="0"/>
        <w:adjustRightInd w:val="0"/>
        <w:snapToGrid w:val="0"/>
        <w:spacing w:before="120" w:beforeLines="50" w:line="360" w:lineRule="auto"/>
        <w:ind w:left="954" w:leftChars="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安全文明施工</w:t>
      </w:r>
    </w:p>
    <w:p>
      <w:pPr>
        <w:keepNext w:val="0"/>
        <w:keepLines w:val="0"/>
        <w:pageBreakBefore w:val="0"/>
        <w:widowControl w:val="0"/>
        <w:numPr>
          <w:ilvl w:val="1"/>
          <w:numId w:val="6"/>
        </w:numPr>
        <w:kinsoku/>
        <w:wordWrap/>
        <w:overflowPunct/>
        <w:topLinePunct w:val="0"/>
        <w:bidi w:val="0"/>
        <w:adjustRightInd w:val="0"/>
        <w:snapToGrid w:val="0"/>
        <w:spacing w:before="120" w:beforeLines="50" w:line="360" w:lineRule="auto"/>
        <w:ind w:left="2166" w:leftChars="0" w:firstLine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安全防护</w:t>
      </w:r>
    </w:p>
    <w:p>
      <w:pPr>
        <w:keepNext w:val="0"/>
        <w:keepLines w:val="0"/>
        <w:pageBreakBefore w:val="0"/>
        <w:widowControl w:val="0"/>
        <w:kinsoku/>
        <w:wordWrap/>
        <w:overflowPunct/>
        <w:topLinePunct w:val="0"/>
        <w:bidi w:val="0"/>
        <w:adjustRightInd w:val="0"/>
        <w:snapToGrid w:val="0"/>
        <w:spacing w:before="120" w:beforeLines="50" w:line="360" w:lineRule="auto"/>
        <w:ind w:left="137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本项目施工现场安全生产标准化管理目标等级：</w:t>
      </w:r>
      <w:r>
        <w:rPr>
          <w:rFonts w:hint="eastAsia" w:ascii="宋体" w:hAnsi="宋体" w:eastAsia="宋体" w:cs="宋体"/>
          <w:b/>
          <w:bCs/>
          <w:color w:val="auto"/>
          <w:sz w:val="24"/>
          <w:szCs w:val="24"/>
          <w:highlight w:val="none"/>
          <w:u w:val="single"/>
        </w:rPr>
        <w:t xml:space="preserve">达标 </w:t>
      </w: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在工程施工、竣工、交付及修补任何缺陷的过程中，承包人应当始终遵守国家和地方有关安全生产的法律、法规、规范、标准和规程等，按照约定履行其安全施工职责。</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承包人应坚持“安全第一，预防为主”的方针，建立、健全安全生产责任制度和安全生产教育培训制度。在整个工程施工期间，承包人应在施工场地（现场）设立、提供和维护并在有关工作完成或竣工后撤除：</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设立在现场入口显著位置的现场施工总平面图、总平面管理、安全生产、文明施工、环境保护、质量控制、材料管理等的规章制度和主要参建单位名称和工程概况等说明的图板；</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为确保工程安全施工须设立的足够的标志、宣传画、标语、指示牌、警告牌、火警、匪警和急救电话提示牌等等；</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洞口和临边位置的安全防护设施，包括护身栏杆、脚手架、洞口盖板和加筋、竖井防护栏杆、防护棚、防护网、坡道等等；</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安全带、安全绳、安全帽、安全网、绝缘鞋、绝缘手套、防护口罩和防护衣等安全生产用品；</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所有机械设备包括各类电动工具的安全保护和接地装置和操作说明；</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装备良好的临时急救站和配备称职的医护人员；</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主要作业场所和临时安全疏散通道24小时36伏安全照明和必要的警示等以防止各种可能的事故；</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足够数量的和合格的手提灭火器；</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装备良好的易燃易爆物品仓库和相应的使用管理制度；</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对涉及明火施工的工作制定诸如用火证等的管理制度；</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安全文明施工费用必须专款专用，承包人应对其由于安全文明施工费用和施工安全措施不到位而发生的安全事故承担全部责任。</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建立专门的施工场地（现场）安全生产管理机构，配备足够数量的和符合有关规定的专职安全生产管理人员，负责日常安全生产巡查和专项检查，召集和主持现场全体人员参加的安全生产例会（每周至少一次），负责安全技术交底和技术方案的安全把关，负责制定或审核安全隐患的整改措施并监督落实，负责安全资料的整理和管理，及时消除安全隐患，做好安全检查记录，确保所有的安全设施都处于良好的运转状态。</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遵照有关法规要求，编印安全防护手册发给进场施工人员，做好进场施工人员上岗前的安全教育和培训工作，并建立考核制度，只有考核合格的人员才能进场施工作业。特种作业人员还应经过专门的安全作业培训，并取得特种作业操作资格证书后方可上岗。在任何分部分项工程开始施工前，承包人应当就有关安全施工的技术要求向施工作业班组和作业人员等进行安全交底，并由双方签字确认。</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为其进场施工人员配备必需的安全防护设施和设备，承包人还应为施工场地（现场）邻近地区的所有者和占有者、公众和其他人员，提供一切必要的临时道路、人行道、防护棚、围栏及警告等，以确保财产和人身安全以及最大程度地降低施工可能造成的不便。</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6.1.7</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所有机械和工器具应定期保养、校核和维护，以保证它们处于良好和安全的工作状态。保养、校核和维护工作应尽可能安排在非工作时间进行，并为上述机械和工器具准备足够的备用配件，以确保工程的施工能不间断地进行。</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6.1.8</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承包人应成立应急救援小组，配备必要的应急救援器材和设备，制定灾害和生产安全事故的应急救援预案，并将应急救援预案报送监理人。应急救援预案应能随时组织应救专职人员、并定期组织演练。</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6.1.9</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处理本工程施工过程中发生的事故。发生施工安全事故后，承包人必须立即报告监理人和发包人，并在事故发生后一小时内向发包人提交事故情况书面报告，并根据《生产安全事故报告和调查处理条例》的规定，及时向工程所在地县级以上地方人民政府安全生产监督管理部门和建设行政主管部门报告。情况紧急时，事故现场有关人员可以直接向工程所在地县级以上地方人民政府安全生产监督管理部门和建设行政主管部门报告。</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6.1.10</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承包人还应根据有关法律、法规、规定和条例等的要求，制定一套安全生产应急措施和程序，保证一旦出现任何安全事故，能立即保护好现场，抢救伤员和财产，保证施工生产的正常进行，防止损失扩大。</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安全防护方面的其他要求如下：</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安全文明防护费用根据现行预算定额计取安全文明防护、文明施工措施费，并单独列项计入磋商总报价，不得作为让利因素参与竞标，结算时不予调整。</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临时消防</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承包人应建立消防安全责任制度，制定用火、用电和使用易燃易爆等危险品的消防安全管理制度和操作规程。各项制度和规程等应满足相关法律法规和政府消防管理机构的要求。</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根据相关法律法规和消防管理部门的要求，为施工中的永久工程和所有临时工程提供必要的临时消防和紧急疏散设施，包括提供并维持畅通的消防通道、临时消火栓、灭火器、水龙带、灭火桶、灭火铲、灭火斧、消防水管、阀门、检查井、临时消防水箱、泵房和紧随工作面的临时疏散楼梯或疏散设施，消防设施的设立和消防设备的型号和功率应满足消防任务的需要，始终保持能够随时投入正常使用的状态，并设立明显标志。承包人的临时消防系统和配置应分别经过监理人和消防管理部门的审批和验收；承包人还应自费获得消防管理部门的临时消防证书。所有的临时消防设施属于承包人所有，至工程实际竣工时且永久性消防系统投入使用后从现场拆除。</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承包人应当成立由项目主要负责人担任组长的临时消防组或消防队，宣传消防基本知识和基本操作培训，组织消防演练，保证一旦发生火灾，能够组织有效的自救，保护生命和财产安全。</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施工场地（现场）内的易燃、易爆物品应单独和安全地存放，设专人进行存放和领用管理。施工场地（现场）储有或正在使用易燃、易爆或可燃材料时或有明火施工的工序，应当实行严格的“用火证”管理制度。</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临时供电</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当根据《施工现场临时用电安全技术规范》（JGJ46-2005）及其适用的修订版本的规定和施工要求编制施工临时用电方案。临时用电方案及其变更必须履行“编制、审核、批准”程序。施工临时用电方案应当由电气工程技术人员组织编制，经企业技术负责人批准后实施，经编制、审核、批准部门和使用单位共同验收合格后方可投入使用。</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临时供电系统的电缆、电线、配电箱、控制柜、开关箱、漏电保护器等材料设备均应当具有生产（制造）许可证、产品合格证并经过检验合格的产品。临时用电采用三相五线制、三级配电和两极漏电保护供电，三相四线制配电的电缆线路必须采用五芯电缆，按规定设立零线和接地线。电缆和电线的铺设要符合安全用电标准要求，电缆线路应采用埋地或架空敷设，严禁严地面明设，并应避免机械损伤和介质腐蚀。埋地电缆路径应设方位标志。各种配电设备均设有防止漏电和防雨防水设施。</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在施工作业区、施工道路、临时设施、办公区和生活区设置足够的照明，地下工程照明系统的电压不得高于36V，在潮湿和易触及带电体场所的照明供电电压不应大于24V。不便于使用电器照明的工作面应采用特殊照明设施。</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劳动保护</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遵守所有适用于本合同的劳动法规及其他有关法律、法规、规章和规定中关于工人工资标准、劳动时间和劳动条件的规定，合理安排现场作业人员的劳动和休息时间，保障劳动者必须的休息时间，支付合理的报酬和费用。承包人应按有关行政管理部门的规定为本合同下雇佣的职员和工人办理任何必要的证件、许可、保险和注册等，并保障发包人免于因承包人不能依照或完全依照上述所有法律、法规、规章和规定等可能给发包人带来的任何处罚、索赔、损失和损害等。</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6.4.2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按照国家《劳动保护法》的规定，保障现场施工人员的劳动安全。承包人应为本合同下雇佣的职员和工人提供适当和充分的劳动保护，包括但不限于安全防护、防寒、防雨、防尘、绝缘保护、常用药品、急救设备、传染病预防等。</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施工安全措施计划</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根据《中华人民共和国安全生产法》、《职业健康安全管理体系规范》、《中华人民共和国消防法》、《中华人民共和国道路交通安全法》、《中华人民共和国传染病防治法实施办法》和地方有关的法规等，按照合同条款第9.2.1项的约定，编制一份施工安全措施计划，报送监理人审批。</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施工安全措施计划是承包人阐明其安全管理方针、管理体系、安全制度和安全措施等的文件，其内容应当反映现行法律法规规定的和合同条款约定的以及本条上述约定的承包人安全职责，包括但不限于：</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（1）施工安全管理机构的设置；</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（2）专职安全管理人员的配备；</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（3）安全责任制度和管理措施；</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（4）安全教育和培训制度及管理措施；</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（5）各项安全生产规章制度和操作规程；</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（6）各项施工安全措施和防护措施；</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（7）危险品管理和使用制度；</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（8）安全设施、设备、器材和劳动保护用品的配置；</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安全措施的项目和范围，应符合国家颁发的《安全技术措施计划的项目总名称表》及其附录H、I、J的规定，即应采取以改善劳动条件，防止工伤事故，预防职业病和职业中毒为目的的一切施工安全措施，以及修建必要的安全设施、配备安全技术开发试验所需的器材、设备和技术资料，并对现场的施工管理及作业人员做好相应的安全宣传教育。</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6.5.3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施工安全措施计划应当报送监理人。承包人应当严格执行经监理人批准的施工安全措施计划，并及时补充、修订和完善施工安全措施计划，确保安全生产。</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文明施工</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承包人应遵守国家和工程所在地有关法规、规范、规程和标准的规定， 履行文明施工义务，确保文明施工专项费用专款专用。</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承包人应当规范现场施工秩序，实行标准化管理：</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承包人的施工场地（现场）必须干净整洁、做到无积水、无淤泥、无杂物，材料堆放整齐；</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施工现场土方应当集中堆放，裸露的场地和集中堆放的土方应当采取覆盖、固化或绿化等措施；</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施工场地（现场）应进行硬化处理，定期定时洒水，做好防治扬尘和大气污染工作；</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严格遵守“工完、料尽、场地净”的原则，不留垃圾、不留剩余施工材料和施工机具，各种设备运转正常；</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承包人修建的施工临时设施应符合监理人批准的施工规划要求，并应满足本节规定的各项安全要求；</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监理人可要求承包人在施工场地（现场）设置各级承包人的安全文明施工责任牌等文明施工警示牌；</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材料进入现场应按指定位置堆放整齐，不得影响现场施工和堵塞施工、消防通道。材料堆放场地应有专职的管理人员；</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现场风、水管及照明电线的布置应安全、合理、规范、有序，做到整齐美观。不得随意架设和造成隐患或影响施工；</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建筑拆除工程施工时应采取有效的降尘措施。</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为任何已完成的、正在施工的和将要进行的任何永久和临时工程、材料、物品、设备、以及因永久工程施工而暴露的任何毗邻财产提供必要的覆盖和保护措施，以避免恶劣天气影响工程施工和造成损失。保护措施包括必要的冬季供暖、雨季用阻燃防水油布覆盖、额外的临时仓库等等。因承包人措施不得力或不到位而给工程带来的任何损失或损害由承包人自己负责。</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在工程施工期间，承包人应始终避免现场出现不必要的障碍物，妥当存放并处置施工设备和多余的材料，及时从现场清除运走任何废料、垃圾或不再需要的临时工程和设施。</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对离场垃圾和所有车辆进行防遗洒和防污染公共道路的处理。承包人在运输任何材料的过程中，应采取一切必要的措施，防止遗洒和污染公共道路；一旦出现上述遗洒或污染现象，承包人应立即采取措施进行清扫，并承担所有费用。承包人在混凝土浇注、材料运输、材料装卸、现场清理等工作中应采取一切必要的措施防止影响公共交通。</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6.6.6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当制订成品保护措施计划，并提供必要的人员、材料和设备用于整个工程的成品保护，包括对已完成的所有分包人和独立承包人（如果有）的工程或工作的保护，防止已完工作遭受任何损坏或破坏。成品保护措施应当合理安排工序，并包括工作面移交制度和责任赔偿制度。成品保护措施计划最迟应当在任何专业分包人或独立承包人进场施工前不少于28天报监理人审批。</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6.7</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环境保护</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6.7.1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在工程施工、完工及修补任何缺陷的过程中，承包人应当始终遵守国家和工程所在地有关环境保护、水土保护和污染防治的法律、法规、规章、规范、标准和规程等，履行其环境与生态保护职责。</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6.7.2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按合同约定和监理人指示，接受国家和地方环境保护行政主管部门的监督、监测和检查。承包人应对其违反现行法律、法规、规章、规范、标准和规程等以及本合同约定所造成的环境污染、水土流失、人员伤害和财产损失等承担赔偿责任。</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6.7.3</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制订施工方案和组织措施时应当同步考虑环境和资源保护，包括水土资源保护、噪声、振动和照明污染防治、固体废弃物处理、污水和废气处理、粉尘和扬尘控制、道路污染防治、卫生防疫、禁止有害材料、节能减排以及不可再生资源的循环使用等因素。</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6.7.4</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当确保其所提供的材料、工程设备、施工设备和其他材料都是绿色环保产品，列入国家强制认证产品名录的，还应当是通过国家强制认证的产品。承包人不得在任何临时和永久性工程中使用任何政府明令禁止使用的对人体有害的任何材料和方法，同时也不得在永久性工程中使用政府虽未明令禁止但会给居住或使用人带来不适感觉或味觉的任何材料和添加剂等；承包人应在其施工环保措施计划中明确防止误用的保证措施；承包人违背此项约定的责任和后果全部由承包人承担。</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6.7.5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承包人应为防止进出场的车辆的遗洒和轮胎夹带物等污染周边和公共道路等行为制定并落实必要的措施，这类措施应至少包括在现场出入口设立冲刷池、对现场道路做硬化处理和采用密闭车厢或者对车厢进行必要的覆盖等等。 </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6.7.6</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当保证施工生产用水和生活用水符合国家有关标准的规定。承包人还应建设、运行和维护施工生产和生活污水收集和处理系统（包括排污口接入），建立符合排放标准的临时沉淀池和化粪池等，不得将未处理的污水直接或间接排放或造成地表水体、地下水体或生产和生活供水系统的污染。</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6.7.7</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承包人应当采取有效措施，建立相应的过滤、分离、分解或沉淀等处理系统，不得让有害物质（如燃料、油料、化学品、酸等，以及超过剂量的有害气体和尘埃、污水、泥土或水、弃渣等）污染施工场地（现场）及其周边环境。承包人施工工序、工作时间安排和施工设备的配置应当充分考虑降低噪声和照明等对施工场地（现场）周边生产和生活的影响，并满足国家和地方政府有关规定的要求。</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6.7.8</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环境保护方面的其他要求如下：</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施工方应使用绿色环保施工机械，禁止使用高排放非道路移动机械，施工方必须使用符合要求的非道路移动机械； </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6.8</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施工环保措施计划</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6.8.1</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施工环保措施计划是承包人阐明环保方针和拟采用的环保措施及方法等的文件，其内容应包括但不限于：</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生活区（如果有）的生活用水和生活污水处理措施；施工生产废水处理措施；施工扬尘和废气的处理措施；施工噪声和光污染控制措施；节能减排措施；不可再生资源循环利用措施；固体废弃物处理措施；人群健康保护和卫生防疫措施；防止误用有害材料的保证措施；施工边坡工程的水土流失保护措施；道路污染防治措施；完工后场地清理及其植被（如果有）恢复的规划和措施；</w:t>
      </w:r>
    </w:p>
    <w:p>
      <w:pPr>
        <w:keepNext w:val="0"/>
        <w:keepLines w:val="0"/>
        <w:pageBreakBefore w:val="0"/>
        <w:widowControl w:val="0"/>
        <w:kinsoku/>
        <w:wordWrap/>
        <w:overflowPunct/>
        <w:topLinePunct w:val="0"/>
        <w:bidi w:val="0"/>
        <w:adjustRightInd w:val="0"/>
        <w:snapToGrid w:val="0"/>
        <w:spacing w:before="120" w:beforeLines="50" w:line="360" w:lineRule="auto"/>
        <w:ind w:left="952"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6.8.2</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施工环保措施计划应当报送监理人。承包人应当严格执行经监理人批准的施工环保措施计划，并及时补充、修订和完善施工环保措施计划。</w:t>
      </w:r>
    </w:p>
    <w:p>
      <w:pPr>
        <w:keepNext w:val="0"/>
        <w:keepLines w:val="0"/>
        <w:pageBreakBefore w:val="0"/>
        <w:widowControl w:val="0"/>
        <w:kinsoku/>
        <w:wordWrap/>
        <w:overflowPunct/>
        <w:topLinePunct w:val="0"/>
        <w:bidi w:val="0"/>
        <w:snapToGrid/>
        <w:spacing w:line="360" w:lineRule="auto"/>
        <w:ind w:left="70"/>
        <w:textAlignment w:val="auto"/>
        <w:outlineLvl w:val="1"/>
        <w:rPr>
          <w:rFonts w:hint="eastAsia" w:ascii="宋体" w:hAnsi="宋体" w:eastAsia="宋体" w:cs="宋体"/>
          <w:b/>
          <w:bCs w:val="0"/>
          <w:color w:val="auto"/>
          <w:sz w:val="24"/>
          <w:szCs w:val="24"/>
          <w:highlight w:val="none"/>
        </w:rPr>
      </w:pPr>
      <w:bookmarkStart w:id="663" w:name="_Toc110867276"/>
      <w:r>
        <w:rPr>
          <w:rFonts w:hint="eastAsia" w:ascii="宋体" w:hAnsi="宋体" w:cs="宋体"/>
          <w:b/>
          <w:bCs w:val="0"/>
          <w:color w:val="auto"/>
          <w:sz w:val="24"/>
          <w:szCs w:val="24"/>
          <w:highlight w:val="none"/>
          <w:lang w:val="en-US" w:eastAsia="zh-CN"/>
        </w:rPr>
        <w:t>四</w:t>
      </w:r>
      <w:r>
        <w:rPr>
          <w:rFonts w:hint="eastAsia" w:ascii="宋体" w:hAnsi="宋体" w:eastAsia="宋体" w:cs="宋体"/>
          <w:b/>
          <w:bCs w:val="0"/>
          <w:color w:val="auto"/>
          <w:sz w:val="24"/>
          <w:szCs w:val="24"/>
          <w:highlight w:val="none"/>
        </w:rPr>
        <w:t>、工程量清单</w:t>
      </w:r>
      <w:bookmarkEnd w:id="663"/>
    </w:p>
    <w:p>
      <w:pPr>
        <w:keepNext w:val="0"/>
        <w:keepLines w:val="0"/>
        <w:pageBreakBefore w:val="0"/>
        <w:widowControl w:val="0"/>
        <w:kinsoku/>
        <w:wordWrap/>
        <w:overflowPunct/>
        <w:topLinePunct w:val="0"/>
        <w:bidi w:val="0"/>
        <w:snapToGrid/>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另册提供</w:t>
      </w:r>
    </w:p>
    <w:p>
      <w:pPr>
        <w:widowControl/>
        <w:jc w:val="left"/>
        <w:rPr>
          <w:b/>
          <w:sz w:val="36"/>
          <w:szCs w:val="36"/>
        </w:rPr>
      </w:pPr>
      <w:r>
        <w:rPr>
          <w:b/>
          <w:sz w:val="36"/>
          <w:szCs w:val="36"/>
        </w:rPr>
        <w:br w:type="page"/>
      </w:r>
      <w:r>
        <w:rPr>
          <w:b/>
          <w:sz w:val="36"/>
          <w:szCs w:val="36"/>
        </w:rPr>
        <w:t xml:space="preserve"> </w:t>
      </w: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spacing w:line="360" w:lineRule="auto"/>
        <w:jc w:val="center"/>
        <w:outlineLvl w:val="0"/>
        <w:rPr>
          <w:b/>
          <w:sz w:val="36"/>
          <w:szCs w:val="36"/>
        </w:rPr>
      </w:pPr>
      <w:bookmarkStart w:id="664" w:name="_Toc97371946"/>
      <w:r>
        <w:rPr>
          <w:b/>
          <w:sz w:val="36"/>
          <w:szCs w:val="36"/>
        </w:rPr>
        <w:t>第五章   合同草案条款</w:t>
      </w:r>
      <w:bookmarkEnd w:id="664"/>
    </w:p>
    <w:p>
      <w:pPr>
        <w:tabs>
          <w:tab w:val="left" w:pos="900"/>
          <w:tab w:val="left" w:pos="1080"/>
        </w:tabs>
        <w:snapToGrid w:val="0"/>
        <w:spacing w:line="360" w:lineRule="auto"/>
        <w:rPr>
          <w:kern w:val="0"/>
          <w:sz w:val="18"/>
          <w:szCs w:val="18"/>
        </w:rPr>
      </w:pPr>
    </w:p>
    <w:p>
      <w:pPr>
        <w:tabs>
          <w:tab w:val="left" w:pos="900"/>
          <w:tab w:val="left" w:pos="1080"/>
        </w:tabs>
        <w:snapToGrid w:val="0"/>
        <w:spacing w:line="360" w:lineRule="auto"/>
        <w:rPr>
          <w:kern w:val="0"/>
          <w:sz w:val="18"/>
          <w:szCs w:val="18"/>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highlight w:val="yellow"/>
        </w:rPr>
      </w:pPr>
    </w:p>
    <w:p>
      <w:pPr>
        <w:rPr>
          <w:highlight w:val="yellow"/>
        </w:rPr>
      </w:pPr>
    </w:p>
    <w:p>
      <w:pPr>
        <w:rPr>
          <w:color w:val="000000"/>
          <w:highlight w:val="yellow"/>
        </w:rPr>
      </w:pPr>
    </w:p>
    <w:p>
      <w:pPr>
        <w:rPr>
          <w:color w:val="000000"/>
          <w:highlight w:val="yellow"/>
        </w:rPr>
      </w:pPr>
    </w:p>
    <w:p>
      <w:pPr>
        <w:rPr>
          <w:color w:val="000000"/>
          <w:highlight w:val="yellow"/>
        </w:rPr>
      </w:pPr>
    </w:p>
    <w:p>
      <w:pPr>
        <w:rPr>
          <w:color w:val="000000"/>
          <w:highlight w:val="yellow"/>
        </w:rPr>
      </w:pPr>
    </w:p>
    <w:p>
      <w:pPr>
        <w:rPr>
          <w:b/>
          <w:color w:val="000000"/>
          <w:sz w:val="10"/>
          <w:szCs w:val="10"/>
          <w:highlight w:val="yellow"/>
        </w:rPr>
      </w:pPr>
    </w:p>
    <w:p>
      <w:pPr>
        <w:rPr>
          <w:b/>
          <w:color w:val="000000"/>
          <w:sz w:val="10"/>
          <w:szCs w:val="10"/>
          <w:highlight w:val="yellow"/>
        </w:rPr>
      </w:pPr>
    </w:p>
    <w:p>
      <w:pPr>
        <w:rPr>
          <w:b/>
          <w:color w:val="000000"/>
          <w:sz w:val="10"/>
          <w:szCs w:val="10"/>
          <w:highlight w:val="yellow"/>
        </w:rPr>
      </w:pPr>
    </w:p>
    <w:p>
      <w:pPr>
        <w:widowControl/>
        <w:jc w:val="left"/>
        <w:rPr>
          <w:b/>
          <w:sz w:val="36"/>
          <w:szCs w:val="36"/>
        </w:rPr>
      </w:pPr>
    </w:p>
    <w:p/>
    <w:p>
      <w:pPr>
        <w:rPr>
          <w:color w:val="000000"/>
        </w:rPr>
      </w:pPr>
    </w:p>
    <w:p>
      <w:pPr>
        <w:rPr>
          <w:color w:val="000000"/>
        </w:rPr>
      </w:pPr>
    </w:p>
    <w:p>
      <w:pPr>
        <w:rPr>
          <w:color w:val="000000"/>
        </w:rPr>
      </w:pPr>
    </w:p>
    <w:p>
      <w:pPr>
        <w:rPr>
          <w:color w:val="000000"/>
        </w:rPr>
      </w:pPr>
    </w:p>
    <w:p>
      <w:pPr>
        <w:rPr>
          <w:b/>
          <w:color w:val="000000"/>
          <w:sz w:val="10"/>
          <w:szCs w:val="10"/>
        </w:rPr>
      </w:pPr>
    </w:p>
    <w:p>
      <w:pPr>
        <w:rPr>
          <w:b/>
          <w:color w:val="000000"/>
          <w:sz w:val="10"/>
          <w:szCs w:val="10"/>
        </w:rPr>
      </w:pPr>
    </w:p>
    <w:p>
      <w:pPr>
        <w:rPr>
          <w:b/>
          <w:color w:val="000000"/>
          <w:sz w:val="10"/>
          <w:szCs w:val="10"/>
        </w:rPr>
      </w:pPr>
    </w:p>
    <w:p>
      <w:pPr>
        <w:spacing w:line="600" w:lineRule="auto"/>
        <w:jc w:val="center"/>
        <w:rPr>
          <w:b/>
          <w:color w:val="000000"/>
          <w:sz w:val="44"/>
          <w:szCs w:val="44"/>
        </w:rPr>
      </w:pPr>
      <w:r>
        <w:rPr>
          <w:rFonts w:hint="eastAsia"/>
          <w:b/>
          <w:color w:val="000000"/>
          <w:sz w:val="44"/>
          <w:szCs w:val="44"/>
        </w:rPr>
        <w:t>建筑和市政工程简明施工合同</w:t>
      </w:r>
    </w:p>
    <w:p>
      <w:pPr>
        <w:spacing w:line="600" w:lineRule="auto"/>
        <w:jc w:val="center"/>
        <w:rPr>
          <w:b/>
          <w:color w:val="000000"/>
          <w:sz w:val="44"/>
          <w:szCs w:val="44"/>
        </w:rPr>
      </w:pPr>
    </w:p>
    <w:p>
      <w:pPr>
        <w:jc w:val="center"/>
        <w:rPr>
          <w:b/>
          <w:color w:val="000000"/>
          <w:sz w:val="28"/>
          <w:szCs w:val="28"/>
        </w:rPr>
      </w:pPr>
    </w:p>
    <w:p>
      <w:pPr>
        <w:jc w:val="center"/>
        <w:rPr>
          <w:b/>
          <w:color w:val="000000"/>
          <w:sz w:val="28"/>
          <w:szCs w:val="28"/>
        </w:rPr>
      </w:pPr>
    </w:p>
    <w:p>
      <w:pPr>
        <w:rPr>
          <w:b/>
          <w:color w:val="000000"/>
          <w:sz w:val="36"/>
          <w:szCs w:val="36"/>
        </w:rPr>
      </w:pPr>
    </w:p>
    <w:p>
      <w:pPr>
        <w:rPr>
          <w:b/>
          <w:color w:val="000000"/>
          <w:sz w:val="36"/>
          <w:szCs w:val="36"/>
        </w:rPr>
      </w:pPr>
    </w:p>
    <w:p>
      <w:pPr>
        <w:rPr>
          <w:b/>
          <w:color w:val="000000"/>
          <w:sz w:val="36"/>
          <w:szCs w:val="36"/>
        </w:rPr>
      </w:pPr>
    </w:p>
    <w:p>
      <w:pPr>
        <w:jc w:val="center"/>
        <w:rPr>
          <w:b/>
          <w:color w:val="000000"/>
          <w:sz w:val="36"/>
          <w:szCs w:val="36"/>
        </w:rPr>
      </w:pPr>
    </w:p>
    <w:p>
      <w:pPr>
        <w:rPr>
          <w:color w:val="000000"/>
        </w:rPr>
      </w:pPr>
    </w:p>
    <w:p>
      <w:pPr>
        <w:spacing w:line="360" w:lineRule="auto"/>
        <w:rPr>
          <w:color w:val="000000"/>
          <w:sz w:val="28"/>
          <w:szCs w:val="28"/>
          <w:u w:val="single"/>
        </w:rPr>
      </w:pPr>
      <w:r>
        <w:rPr>
          <w:rFonts w:hint="eastAsia"/>
          <w:color w:val="000000"/>
          <w:sz w:val="28"/>
          <w:szCs w:val="28"/>
        </w:rPr>
        <w:t>工 程  名  称：</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r>
        <w:rPr>
          <w:rFonts w:hint="eastAsia"/>
          <w:color w:val="000000"/>
          <w:sz w:val="28"/>
          <w:szCs w:val="28"/>
          <w:u w:val="single"/>
        </w:rPr>
        <w:t xml:space="preserve">                 </w:t>
      </w:r>
      <w:r>
        <w:rPr>
          <w:color w:val="000000"/>
          <w:sz w:val="28"/>
          <w:szCs w:val="28"/>
          <w:u w:val="single"/>
        </w:rPr>
        <w:t xml:space="preserve">  </w:t>
      </w:r>
    </w:p>
    <w:p>
      <w:pPr>
        <w:rPr>
          <w:color w:val="000000"/>
          <w:sz w:val="28"/>
          <w:szCs w:val="28"/>
        </w:rPr>
      </w:pPr>
    </w:p>
    <w:p>
      <w:pPr>
        <w:spacing w:line="360" w:lineRule="auto"/>
        <w:rPr>
          <w:rFonts w:cs="Arial"/>
          <w:color w:val="000000"/>
          <w:sz w:val="28"/>
          <w:szCs w:val="28"/>
        </w:rPr>
      </w:pPr>
      <w:r>
        <w:rPr>
          <w:rFonts w:hint="eastAsia" w:cs="Arial"/>
          <w:color w:val="000000"/>
          <w:sz w:val="28"/>
          <w:szCs w:val="28"/>
        </w:rPr>
        <w:t>发包人（全称）：</w:t>
      </w:r>
      <w:r>
        <w:rPr>
          <w:rFonts w:cs="Arial"/>
          <w:color w:val="000000"/>
          <w:sz w:val="28"/>
          <w:szCs w:val="28"/>
          <w:u w:val="single"/>
        </w:rPr>
        <w:t xml:space="preserve">                                                </w:t>
      </w:r>
    </w:p>
    <w:p>
      <w:pPr>
        <w:rPr>
          <w:color w:val="000000"/>
          <w:sz w:val="28"/>
          <w:szCs w:val="28"/>
        </w:rPr>
      </w:pPr>
    </w:p>
    <w:p>
      <w:pPr>
        <w:spacing w:line="360" w:lineRule="auto"/>
        <w:rPr>
          <w:color w:val="000000"/>
          <w:sz w:val="28"/>
          <w:szCs w:val="28"/>
        </w:rPr>
      </w:pPr>
      <w:r>
        <w:rPr>
          <w:rFonts w:hint="eastAsia"/>
          <w:color w:val="000000"/>
          <w:sz w:val="28"/>
          <w:szCs w:val="28"/>
        </w:rPr>
        <w:t>承包人（全称）：</w:t>
      </w:r>
      <w:r>
        <w:rPr>
          <w:color w:val="000000"/>
          <w:sz w:val="28"/>
          <w:szCs w:val="28"/>
          <w:u w:val="single"/>
        </w:rPr>
        <w:t xml:space="preserve">                                               </w:t>
      </w:r>
    </w:p>
    <w:p>
      <w:pPr>
        <w:rPr>
          <w:color w:val="000000"/>
        </w:rPr>
      </w:pPr>
    </w:p>
    <w:p>
      <w:pPr>
        <w:rPr>
          <w:color w:val="000000"/>
        </w:rPr>
      </w:pPr>
    </w:p>
    <w:p>
      <w:pPr>
        <w:jc w:val="center"/>
        <w:rPr>
          <w:color w:val="000000"/>
        </w:rPr>
      </w:pPr>
      <w:r>
        <w:rPr>
          <w:rFonts w:hint="eastAsia"/>
          <w:color w:val="000000"/>
          <w:sz w:val="36"/>
          <w:szCs w:val="36"/>
        </w:rPr>
        <w:t xml:space="preserve"> </w:t>
      </w:r>
      <w:r>
        <w:rPr>
          <w:color w:val="000000"/>
          <w:sz w:val="36"/>
          <w:szCs w:val="36"/>
        </w:rPr>
        <w:t xml:space="preserve">  </w:t>
      </w:r>
      <w:r>
        <w:rPr>
          <w:rFonts w:hint="eastAsia"/>
          <w:color w:val="000000"/>
          <w:sz w:val="36"/>
          <w:szCs w:val="36"/>
        </w:rPr>
        <w:t xml:space="preserve">年 </w:t>
      </w:r>
      <w:r>
        <w:rPr>
          <w:color w:val="000000"/>
          <w:sz w:val="36"/>
          <w:szCs w:val="36"/>
        </w:rPr>
        <w:t xml:space="preserve">    </w:t>
      </w:r>
      <w:r>
        <w:rPr>
          <w:rFonts w:hint="eastAsia"/>
          <w:color w:val="000000"/>
          <w:sz w:val="36"/>
          <w:szCs w:val="36"/>
        </w:rPr>
        <w:t>月</w:t>
      </w:r>
    </w:p>
    <w:p/>
    <w:p/>
    <w:p>
      <w:pPr>
        <w:keepNext/>
        <w:keepLines/>
        <w:numPr>
          <w:ilvl w:val="0"/>
          <w:numId w:val="7"/>
        </w:numPr>
        <w:spacing w:before="260" w:after="260" w:line="415" w:lineRule="auto"/>
        <w:jc w:val="center"/>
        <w:outlineLvl w:val="1"/>
        <w:rPr>
          <w:rFonts w:ascii="Arial" w:hAnsi="Arial" w:eastAsia="黑体"/>
          <w:b/>
          <w:bCs/>
          <w:sz w:val="32"/>
          <w:szCs w:val="32"/>
        </w:rPr>
      </w:pPr>
      <w:bookmarkStart w:id="665" w:name="_Toc110867272"/>
      <w:bookmarkStart w:id="666" w:name="_Toc528008888"/>
      <w:bookmarkStart w:id="667" w:name="_Toc528009028"/>
      <w:bookmarkStart w:id="668" w:name="_Toc525983754"/>
      <w:r>
        <w:rPr>
          <w:rFonts w:hint="eastAsia" w:ascii="Arial" w:hAnsi="Arial" w:eastAsia="黑体"/>
          <w:b/>
          <w:bCs/>
          <w:sz w:val="32"/>
          <w:szCs w:val="32"/>
        </w:rPr>
        <w:t>合同协议书</w:t>
      </w:r>
      <w:bookmarkEnd w:id="665"/>
      <w:bookmarkEnd w:id="666"/>
      <w:bookmarkEnd w:id="667"/>
      <w:bookmarkEnd w:id="668"/>
    </w:p>
    <w:p>
      <w:pPr>
        <w:spacing w:line="440" w:lineRule="exact"/>
        <w:ind w:firstLine="462" w:firstLineChars="220"/>
        <w:rPr>
          <w:szCs w:val="21"/>
        </w:rPr>
      </w:pPr>
      <w:r>
        <w:rPr>
          <w:szCs w:val="21"/>
          <w:u w:val="single"/>
        </w:rPr>
        <w:t xml:space="preserve">       </w:t>
      </w:r>
      <w:r>
        <w:rPr>
          <w:szCs w:val="21"/>
        </w:rPr>
        <w:t>（发包人名称，以下简称“发包人”）为实施</w:t>
      </w:r>
      <w:r>
        <w:rPr>
          <w:szCs w:val="21"/>
          <w:u w:val="single"/>
        </w:rPr>
        <w:t xml:space="preserve">                        </w:t>
      </w:r>
      <w:r>
        <w:rPr>
          <w:szCs w:val="21"/>
        </w:rPr>
        <w:t>（项目名称），已接受</w:t>
      </w:r>
      <w:r>
        <w:rPr>
          <w:szCs w:val="21"/>
          <w:u w:val="single"/>
        </w:rPr>
        <w:t xml:space="preserve">        </w:t>
      </w:r>
      <w:r>
        <w:rPr>
          <w:szCs w:val="21"/>
        </w:rPr>
        <w:t>（承包人名称，以下简称“承包人”）对该项目</w:t>
      </w:r>
      <w:r>
        <w:rPr>
          <w:rFonts w:hint="eastAsia"/>
          <w:szCs w:val="21"/>
        </w:rPr>
        <w:t>的响应文件</w:t>
      </w:r>
      <w:r>
        <w:rPr>
          <w:szCs w:val="21"/>
        </w:rPr>
        <w:t>。发包人和承包人共同达成如下协议。</w:t>
      </w:r>
    </w:p>
    <w:p>
      <w:pPr>
        <w:spacing w:line="440" w:lineRule="exact"/>
        <w:ind w:firstLine="359" w:firstLineChars="171"/>
        <w:rPr>
          <w:szCs w:val="21"/>
        </w:rPr>
      </w:pPr>
      <w:bookmarkStart w:id="669" w:name="_Toc144974828"/>
      <w:bookmarkStart w:id="670" w:name="_Toc152042548"/>
      <w:r>
        <w:rPr>
          <w:szCs w:val="21"/>
        </w:rPr>
        <w:t>1. 本协议书与下列文件一起构成合同文件：</w:t>
      </w:r>
      <w:bookmarkEnd w:id="669"/>
      <w:bookmarkEnd w:id="670"/>
    </w:p>
    <w:p>
      <w:pPr>
        <w:spacing w:line="440" w:lineRule="exact"/>
        <w:ind w:firstLine="718" w:firstLineChars="342"/>
        <w:rPr>
          <w:szCs w:val="21"/>
        </w:rPr>
      </w:pPr>
      <w:r>
        <w:rPr>
          <w:rFonts w:hint="eastAsia"/>
          <w:szCs w:val="21"/>
        </w:rPr>
        <w:t>（</w:t>
      </w:r>
      <w:r>
        <w:rPr>
          <w:szCs w:val="21"/>
        </w:rPr>
        <w:t>1</w:t>
      </w:r>
      <w:r>
        <w:rPr>
          <w:rFonts w:hint="eastAsia"/>
          <w:szCs w:val="21"/>
        </w:rPr>
        <w:t>）成交</w:t>
      </w:r>
      <w:r>
        <w:rPr>
          <w:szCs w:val="21"/>
        </w:rPr>
        <w:t>通知书；</w:t>
      </w:r>
    </w:p>
    <w:p>
      <w:pPr>
        <w:spacing w:line="440" w:lineRule="exact"/>
        <w:ind w:firstLine="718" w:firstLineChars="342"/>
        <w:rPr>
          <w:szCs w:val="21"/>
        </w:rPr>
      </w:pPr>
      <w:r>
        <w:rPr>
          <w:rFonts w:hint="eastAsia"/>
          <w:szCs w:val="21"/>
        </w:rPr>
        <w:t>（</w:t>
      </w:r>
      <w:r>
        <w:rPr>
          <w:szCs w:val="21"/>
        </w:rPr>
        <w:t>2</w:t>
      </w:r>
      <w:r>
        <w:rPr>
          <w:rFonts w:hint="eastAsia"/>
          <w:szCs w:val="21"/>
        </w:rPr>
        <w:t>）报价函及报价一览表</w:t>
      </w:r>
      <w:r>
        <w:rPr>
          <w:szCs w:val="21"/>
        </w:rPr>
        <w:t>；</w:t>
      </w:r>
    </w:p>
    <w:p>
      <w:pPr>
        <w:spacing w:line="440" w:lineRule="exact"/>
        <w:ind w:firstLine="718" w:firstLineChars="342"/>
        <w:rPr>
          <w:szCs w:val="21"/>
        </w:rPr>
      </w:pPr>
      <w:r>
        <w:rPr>
          <w:rFonts w:hint="eastAsia"/>
          <w:szCs w:val="21"/>
        </w:rPr>
        <w:t>（</w:t>
      </w:r>
      <w:r>
        <w:rPr>
          <w:szCs w:val="21"/>
        </w:rPr>
        <w:t>3</w:t>
      </w:r>
      <w:r>
        <w:rPr>
          <w:rFonts w:hint="eastAsia"/>
          <w:szCs w:val="21"/>
        </w:rPr>
        <w:t>）</w:t>
      </w:r>
      <w:r>
        <w:rPr>
          <w:szCs w:val="21"/>
        </w:rPr>
        <w:t>合同条款；</w:t>
      </w:r>
    </w:p>
    <w:p>
      <w:pPr>
        <w:spacing w:line="440" w:lineRule="exact"/>
        <w:ind w:firstLine="718" w:firstLineChars="342"/>
        <w:rPr>
          <w:szCs w:val="21"/>
        </w:rPr>
      </w:pPr>
      <w:r>
        <w:rPr>
          <w:rFonts w:hint="eastAsia"/>
          <w:szCs w:val="21"/>
        </w:rPr>
        <w:t>（</w:t>
      </w:r>
      <w:r>
        <w:rPr>
          <w:szCs w:val="21"/>
        </w:rPr>
        <w:t>4</w:t>
      </w:r>
      <w:r>
        <w:rPr>
          <w:rFonts w:hint="eastAsia"/>
          <w:szCs w:val="21"/>
        </w:rPr>
        <w:t>）</w:t>
      </w:r>
      <w:r>
        <w:rPr>
          <w:szCs w:val="21"/>
        </w:rPr>
        <w:t>技术标准和要求；</w:t>
      </w:r>
    </w:p>
    <w:p>
      <w:pPr>
        <w:spacing w:line="440" w:lineRule="exact"/>
        <w:ind w:firstLine="718" w:firstLineChars="342"/>
        <w:rPr>
          <w:szCs w:val="21"/>
        </w:rPr>
      </w:pPr>
      <w:r>
        <w:rPr>
          <w:rFonts w:hint="eastAsia"/>
          <w:szCs w:val="21"/>
        </w:rPr>
        <w:t>（</w:t>
      </w:r>
      <w:r>
        <w:rPr>
          <w:szCs w:val="21"/>
        </w:rPr>
        <w:t>5）图纸</w:t>
      </w:r>
      <w:r>
        <w:rPr>
          <w:rFonts w:hint="eastAsia"/>
          <w:szCs w:val="21"/>
        </w:rPr>
        <w:t>（如有）</w:t>
      </w:r>
      <w:r>
        <w:rPr>
          <w:szCs w:val="21"/>
        </w:rPr>
        <w:t>；</w:t>
      </w:r>
    </w:p>
    <w:p>
      <w:pPr>
        <w:spacing w:line="440" w:lineRule="exact"/>
        <w:ind w:firstLine="718" w:firstLineChars="342"/>
        <w:rPr>
          <w:szCs w:val="21"/>
        </w:rPr>
      </w:pPr>
      <w:r>
        <w:rPr>
          <w:szCs w:val="21"/>
        </w:rPr>
        <w:t>（6）已标价工程量清单；</w:t>
      </w:r>
    </w:p>
    <w:p>
      <w:pPr>
        <w:spacing w:line="440" w:lineRule="exact"/>
        <w:ind w:firstLine="718" w:firstLineChars="342"/>
        <w:rPr>
          <w:szCs w:val="21"/>
        </w:rPr>
      </w:pPr>
      <w:r>
        <w:rPr>
          <w:szCs w:val="21"/>
        </w:rPr>
        <w:t>（7）其他合同文件。</w:t>
      </w:r>
    </w:p>
    <w:p>
      <w:pPr>
        <w:spacing w:line="440" w:lineRule="exact"/>
        <w:ind w:firstLine="359" w:firstLineChars="171"/>
        <w:rPr>
          <w:szCs w:val="21"/>
        </w:rPr>
      </w:pPr>
      <w:bookmarkStart w:id="671" w:name="_Toc152042549"/>
      <w:bookmarkStart w:id="672" w:name="_Toc144974829"/>
      <w:r>
        <w:rPr>
          <w:szCs w:val="21"/>
        </w:rPr>
        <w:t>2. 上述文件互相补充和解释，如有不明确或不一致之处，以合同约定次序在先者为准。</w:t>
      </w:r>
      <w:bookmarkEnd w:id="671"/>
      <w:bookmarkEnd w:id="672"/>
    </w:p>
    <w:p>
      <w:pPr>
        <w:spacing w:line="440" w:lineRule="exact"/>
        <w:ind w:firstLine="359" w:firstLineChars="171"/>
        <w:rPr>
          <w:szCs w:val="21"/>
        </w:rPr>
      </w:pPr>
      <w:r>
        <w:rPr>
          <w:szCs w:val="21"/>
        </w:rPr>
        <w:t>3. 签约合同价：人民币（大写）</w:t>
      </w:r>
      <w:r>
        <w:rPr>
          <w:szCs w:val="21"/>
          <w:u w:val="single"/>
        </w:rPr>
        <w:t xml:space="preserve">          </w:t>
      </w:r>
      <w:r>
        <w:rPr>
          <w:szCs w:val="21"/>
        </w:rPr>
        <w:t>（¥</w:t>
      </w:r>
      <w:r>
        <w:rPr>
          <w:szCs w:val="21"/>
          <w:u w:val="single"/>
        </w:rPr>
        <w:t xml:space="preserve">    </w:t>
      </w:r>
      <w:r>
        <w:rPr>
          <w:rFonts w:hint="eastAsia"/>
          <w:szCs w:val="21"/>
          <w:u w:val="single"/>
        </w:rPr>
        <w:t xml:space="preserve"> </w:t>
      </w:r>
      <w:r>
        <w:rPr>
          <w:szCs w:val="21"/>
          <w:u w:val="single"/>
        </w:rPr>
        <w:t xml:space="preserve">    </w:t>
      </w:r>
      <w:r>
        <w:rPr>
          <w:szCs w:val="21"/>
        </w:rPr>
        <w:t>）。</w:t>
      </w:r>
    </w:p>
    <w:p>
      <w:pPr>
        <w:spacing w:line="440" w:lineRule="exact"/>
        <w:ind w:firstLine="359" w:firstLineChars="171"/>
        <w:rPr>
          <w:szCs w:val="21"/>
        </w:rPr>
      </w:pPr>
      <w:r>
        <w:rPr>
          <w:rFonts w:hint="eastAsia"/>
          <w:szCs w:val="21"/>
        </w:rPr>
        <w:t>4. 合同形式：</w:t>
      </w:r>
      <w:r>
        <w:rPr>
          <w:rFonts w:hint="eastAsia"/>
          <w:szCs w:val="21"/>
          <w:u w:val="single"/>
        </w:rPr>
        <w:t xml:space="preserve">   固定综合单价   </w:t>
      </w:r>
      <w:r>
        <w:rPr>
          <w:rFonts w:hint="eastAsia"/>
          <w:szCs w:val="21"/>
        </w:rPr>
        <w:t>。</w:t>
      </w:r>
    </w:p>
    <w:p>
      <w:pPr>
        <w:spacing w:line="440" w:lineRule="exact"/>
        <w:ind w:firstLine="359" w:firstLineChars="171"/>
        <w:rPr>
          <w:szCs w:val="21"/>
        </w:rPr>
      </w:pPr>
      <w:r>
        <w:rPr>
          <w:rFonts w:hint="eastAsia"/>
          <w:szCs w:val="21"/>
        </w:rPr>
        <w:t>5. 计划开工日期：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pPr>
        <w:spacing w:line="440" w:lineRule="exact"/>
        <w:ind w:firstLine="630" w:firstLineChars="300"/>
        <w:rPr>
          <w:szCs w:val="21"/>
        </w:rPr>
      </w:pPr>
      <w:r>
        <w:rPr>
          <w:rFonts w:hint="eastAsia"/>
          <w:szCs w:val="21"/>
        </w:rPr>
        <w:t>计划竣工日期：</w:t>
      </w:r>
      <w:r>
        <w:rPr>
          <w:rFonts w:hint="eastAsia"/>
          <w:szCs w:val="21"/>
          <w:u w:val="single"/>
        </w:rPr>
        <w:t xml:space="preserve">      </w:t>
      </w:r>
      <w:r>
        <w:rPr>
          <w:rFonts w:hint="eastAsia"/>
          <w:szCs w:val="21"/>
        </w:rPr>
        <w:t>年</w:t>
      </w:r>
      <w:r>
        <w:rPr>
          <w:rFonts w:hint="eastAsia"/>
          <w:szCs w:val="21"/>
          <w:u w:val="single"/>
        </w:rPr>
        <w:t xml:space="preserve">    </w:t>
      </w:r>
      <w:r>
        <w:rPr>
          <w:rFonts w:hint="eastAsia"/>
          <w:szCs w:val="21"/>
        </w:rPr>
        <w:t>月</w:t>
      </w:r>
      <w:r>
        <w:rPr>
          <w:rFonts w:hint="eastAsia"/>
          <w:szCs w:val="21"/>
          <w:u w:val="single"/>
        </w:rPr>
        <w:t xml:space="preserve">       </w:t>
      </w:r>
      <w:r>
        <w:rPr>
          <w:rFonts w:hint="eastAsia"/>
          <w:szCs w:val="21"/>
        </w:rPr>
        <w:t>日；</w:t>
      </w:r>
    </w:p>
    <w:p>
      <w:pPr>
        <w:spacing w:line="440" w:lineRule="exact"/>
        <w:ind w:firstLine="630" w:firstLineChars="300"/>
        <w:rPr>
          <w:szCs w:val="21"/>
        </w:rPr>
      </w:pPr>
      <w:r>
        <w:rPr>
          <w:rFonts w:hint="eastAsia"/>
          <w:szCs w:val="21"/>
        </w:rPr>
        <w:t>工期：</w:t>
      </w:r>
      <w:r>
        <w:rPr>
          <w:rFonts w:hint="eastAsia"/>
          <w:szCs w:val="21"/>
          <w:u w:val="single"/>
        </w:rPr>
        <w:t xml:space="preserve">         </w:t>
      </w:r>
      <w:r>
        <w:rPr>
          <w:rFonts w:hint="eastAsia"/>
          <w:szCs w:val="21"/>
        </w:rPr>
        <w:t>日历天。</w:t>
      </w:r>
    </w:p>
    <w:p>
      <w:pPr>
        <w:spacing w:line="440" w:lineRule="exact"/>
        <w:ind w:firstLine="359" w:firstLineChars="171"/>
        <w:rPr>
          <w:szCs w:val="21"/>
        </w:rPr>
      </w:pPr>
      <w:r>
        <w:rPr>
          <w:rFonts w:hint="eastAsia"/>
          <w:szCs w:val="21"/>
        </w:rPr>
        <w:t>6</w:t>
      </w:r>
      <w:r>
        <w:rPr>
          <w:szCs w:val="21"/>
        </w:rPr>
        <w:t xml:space="preserve">. </w:t>
      </w:r>
      <w:r>
        <w:rPr>
          <w:rFonts w:hint="eastAsia"/>
          <w:szCs w:val="21"/>
        </w:rPr>
        <w:t>承包人</w:t>
      </w:r>
      <w:r>
        <w:rPr>
          <w:szCs w:val="21"/>
        </w:rPr>
        <w:t>项目经理：</w:t>
      </w:r>
      <w:r>
        <w:rPr>
          <w:rFonts w:hint="eastAsia"/>
          <w:szCs w:val="21"/>
          <w:u w:val="single"/>
        </w:rPr>
        <w:t xml:space="preserve">                  </w:t>
      </w:r>
      <w:r>
        <w:rPr>
          <w:szCs w:val="21"/>
        </w:rPr>
        <w:t>。</w:t>
      </w:r>
    </w:p>
    <w:p>
      <w:pPr>
        <w:spacing w:line="440" w:lineRule="exact"/>
        <w:ind w:firstLine="359" w:firstLineChars="171"/>
        <w:rPr>
          <w:szCs w:val="21"/>
        </w:rPr>
      </w:pPr>
      <w:r>
        <w:rPr>
          <w:rFonts w:hint="eastAsia"/>
          <w:szCs w:val="21"/>
        </w:rPr>
        <w:t>7</w:t>
      </w:r>
      <w:r>
        <w:rPr>
          <w:szCs w:val="21"/>
        </w:rPr>
        <w:t>. 工程质量符合</w:t>
      </w:r>
      <w:r>
        <w:rPr>
          <w:rFonts w:hint="eastAsia"/>
          <w:szCs w:val="21"/>
          <w:u w:val="single"/>
        </w:rPr>
        <w:t xml:space="preserve">   合格   </w:t>
      </w:r>
      <w:r>
        <w:rPr>
          <w:szCs w:val="21"/>
        </w:rPr>
        <w:t>标准</w:t>
      </w:r>
      <w:r>
        <w:rPr>
          <w:rFonts w:hint="eastAsia"/>
          <w:szCs w:val="21"/>
        </w:rPr>
        <w:t>，施工现场安全生产标准化管理目标等级：</w:t>
      </w:r>
      <w:r>
        <w:rPr>
          <w:rFonts w:hint="eastAsia"/>
          <w:szCs w:val="21"/>
          <w:u w:val="single"/>
        </w:rPr>
        <w:t>达标</w:t>
      </w:r>
      <w:r>
        <w:rPr>
          <w:szCs w:val="21"/>
        </w:rPr>
        <w:t>。</w:t>
      </w:r>
    </w:p>
    <w:p>
      <w:pPr>
        <w:spacing w:line="440" w:lineRule="exact"/>
        <w:ind w:firstLine="359" w:firstLineChars="171"/>
        <w:rPr>
          <w:szCs w:val="21"/>
        </w:rPr>
      </w:pPr>
      <w:r>
        <w:rPr>
          <w:rFonts w:hint="eastAsia"/>
          <w:szCs w:val="21"/>
        </w:rPr>
        <w:t>8</w:t>
      </w:r>
      <w:r>
        <w:rPr>
          <w:szCs w:val="21"/>
        </w:rPr>
        <w:t>. 承包人承诺按合同约定承担工程的</w:t>
      </w:r>
      <w:r>
        <w:rPr>
          <w:rFonts w:hint="eastAsia"/>
          <w:szCs w:val="21"/>
        </w:rPr>
        <w:t>施工</w:t>
      </w:r>
      <w:r>
        <w:rPr>
          <w:szCs w:val="21"/>
        </w:rPr>
        <w:t>、</w:t>
      </w:r>
      <w:r>
        <w:rPr>
          <w:rFonts w:hint="eastAsia"/>
          <w:szCs w:val="21"/>
        </w:rPr>
        <w:t>竣工交付</w:t>
      </w:r>
      <w:r>
        <w:rPr>
          <w:szCs w:val="21"/>
        </w:rPr>
        <w:t>及缺陷修复。</w:t>
      </w:r>
    </w:p>
    <w:p>
      <w:pPr>
        <w:spacing w:line="440" w:lineRule="exact"/>
        <w:ind w:firstLine="359" w:firstLineChars="171"/>
        <w:rPr>
          <w:szCs w:val="21"/>
        </w:rPr>
      </w:pPr>
      <w:r>
        <w:rPr>
          <w:rFonts w:hint="eastAsia"/>
          <w:szCs w:val="21"/>
        </w:rPr>
        <w:t>9</w:t>
      </w:r>
      <w:r>
        <w:rPr>
          <w:szCs w:val="21"/>
        </w:rPr>
        <w:t>. 发包人承诺按合同约定的条件、时间和方式向承包人支付合同价款。</w:t>
      </w:r>
    </w:p>
    <w:p>
      <w:pPr>
        <w:spacing w:line="440" w:lineRule="exact"/>
        <w:ind w:firstLine="359" w:firstLineChars="171"/>
        <w:rPr>
          <w:szCs w:val="21"/>
        </w:rPr>
      </w:pPr>
      <w:r>
        <w:rPr>
          <w:rFonts w:hint="eastAsia"/>
          <w:szCs w:val="21"/>
        </w:rPr>
        <w:t>10</w:t>
      </w:r>
      <w:r>
        <w:rPr>
          <w:szCs w:val="21"/>
        </w:rPr>
        <w:t>.本协议书一式</w:t>
      </w:r>
      <w:r>
        <w:rPr>
          <w:szCs w:val="21"/>
          <w:u w:val="single"/>
        </w:rPr>
        <w:t xml:space="preserve">  </w:t>
      </w:r>
      <w:r>
        <w:rPr>
          <w:rFonts w:hint="eastAsia"/>
          <w:szCs w:val="21"/>
          <w:u w:val="single"/>
        </w:rPr>
        <w:t xml:space="preserve"> </w:t>
      </w:r>
      <w:r>
        <w:rPr>
          <w:szCs w:val="21"/>
          <w:u w:val="single"/>
        </w:rPr>
        <w:t xml:space="preserve">  </w:t>
      </w:r>
      <w:r>
        <w:rPr>
          <w:szCs w:val="21"/>
        </w:rPr>
        <w:t>份，合同双方各执</w:t>
      </w:r>
      <w:r>
        <w:rPr>
          <w:rFonts w:hint="eastAsia"/>
          <w:szCs w:val="21"/>
          <w:u w:val="single"/>
        </w:rPr>
        <w:t xml:space="preserve">     </w:t>
      </w:r>
      <w:r>
        <w:rPr>
          <w:szCs w:val="21"/>
        </w:rPr>
        <w:t>份。</w:t>
      </w:r>
    </w:p>
    <w:p>
      <w:pPr>
        <w:spacing w:line="440" w:lineRule="exact"/>
        <w:ind w:firstLine="359" w:firstLineChars="171"/>
        <w:rPr>
          <w:szCs w:val="21"/>
        </w:rPr>
      </w:pPr>
      <w:bookmarkStart w:id="673" w:name="_Toc152042550"/>
      <w:bookmarkStart w:id="674" w:name="_Toc144974830"/>
      <w:r>
        <w:rPr>
          <w:szCs w:val="21"/>
        </w:rPr>
        <w:t>1</w:t>
      </w:r>
      <w:r>
        <w:rPr>
          <w:rFonts w:hint="eastAsia"/>
          <w:szCs w:val="21"/>
        </w:rPr>
        <w:t>1</w:t>
      </w:r>
      <w:r>
        <w:rPr>
          <w:szCs w:val="21"/>
        </w:rPr>
        <w:t>. 合同未尽事宜，双方另行签订补充协议。补充协议是合同的组成部分。</w:t>
      </w:r>
      <w:bookmarkEnd w:id="673"/>
      <w:bookmarkEnd w:id="674"/>
    </w:p>
    <w:p>
      <w:pPr>
        <w:spacing w:line="440" w:lineRule="exact"/>
        <w:ind w:firstLine="359" w:firstLineChars="171"/>
        <w:rPr>
          <w:szCs w:val="21"/>
        </w:rPr>
      </w:pPr>
    </w:p>
    <w:p>
      <w:pPr>
        <w:spacing w:line="440" w:lineRule="exact"/>
        <w:rPr>
          <w:szCs w:val="21"/>
        </w:rPr>
      </w:pPr>
      <w:r>
        <w:rPr>
          <w:szCs w:val="21"/>
        </w:rPr>
        <w:t>发包人：</w:t>
      </w:r>
      <w:r>
        <w:rPr>
          <w:szCs w:val="21"/>
          <w:u w:val="single"/>
        </w:rPr>
        <w:t xml:space="preserve">     </w:t>
      </w:r>
      <w:r>
        <w:rPr>
          <w:rFonts w:hint="eastAsia"/>
          <w:szCs w:val="21"/>
          <w:u w:val="single"/>
        </w:rPr>
        <w:t xml:space="preserve">          </w:t>
      </w:r>
      <w:r>
        <w:rPr>
          <w:szCs w:val="21"/>
          <w:u w:val="single"/>
        </w:rPr>
        <w:t xml:space="preserve"> </w:t>
      </w:r>
      <w:r>
        <w:rPr>
          <w:szCs w:val="21"/>
        </w:rPr>
        <w:t>（盖单位章）</w:t>
      </w:r>
      <w:r>
        <w:rPr>
          <w:rFonts w:hint="eastAsia"/>
          <w:szCs w:val="21"/>
        </w:rPr>
        <w:t xml:space="preserve">     </w:t>
      </w:r>
      <w:r>
        <w:rPr>
          <w:szCs w:val="21"/>
        </w:rPr>
        <w:t xml:space="preserve">  承包人：</w:t>
      </w:r>
      <w:r>
        <w:rPr>
          <w:szCs w:val="21"/>
          <w:u w:val="single"/>
        </w:rPr>
        <w:t xml:space="preserve">  </w:t>
      </w:r>
      <w:r>
        <w:rPr>
          <w:rFonts w:hint="eastAsia"/>
          <w:szCs w:val="21"/>
          <w:u w:val="single"/>
        </w:rPr>
        <w:t xml:space="preserve">                 </w:t>
      </w:r>
      <w:r>
        <w:rPr>
          <w:szCs w:val="21"/>
        </w:rPr>
        <w:t>（盖单位章）</w:t>
      </w:r>
    </w:p>
    <w:p>
      <w:pPr>
        <w:spacing w:line="440" w:lineRule="exact"/>
        <w:rPr>
          <w:szCs w:val="21"/>
        </w:rPr>
      </w:pPr>
      <w:r>
        <w:rPr>
          <w:szCs w:val="21"/>
        </w:rPr>
        <w:t>法定代表人或其委托代理人：</w:t>
      </w:r>
      <w:r>
        <w:rPr>
          <w:szCs w:val="21"/>
          <w:u w:val="single"/>
        </w:rPr>
        <w:t xml:space="preserve">    </w:t>
      </w:r>
      <w:r>
        <w:rPr>
          <w:szCs w:val="21"/>
        </w:rPr>
        <w:t>（签字）</w:t>
      </w:r>
      <w:r>
        <w:rPr>
          <w:rFonts w:hint="eastAsia"/>
          <w:szCs w:val="21"/>
        </w:rPr>
        <w:t xml:space="preserve">    </w:t>
      </w:r>
      <w:r>
        <w:rPr>
          <w:szCs w:val="21"/>
        </w:rPr>
        <w:t>法定代表人或其委托代理人：</w:t>
      </w:r>
      <w:r>
        <w:rPr>
          <w:szCs w:val="21"/>
          <w:u w:val="single"/>
        </w:rPr>
        <w:t xml:space="preserve">      </w:t>
      </w:r>
      <w:r>
        <w:rPr>
          <w:szCs w:val="21"/>
        </w:rPr>
        <w:t>（签字）</w:t>
      </w:r>
    </w:p>
    <w:p>
      <w:pPr>
        <w:spacing w:line="440" w:lineRule="exact"/>
        <w:rPr>
          <w:szCs w:val="21"/>
        </w:rPr>
      </w:pP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r>
        <w:rPr>
          <w:rFonts w:hint="eastAsia"/>
          <w:szCs w:val="21"/>
        </w:rPr>
        <w:t xml:space="preserve">      </w:t>
      </w:r>
      <w:r>
        <w:rPr>
          <w:szCs w:val="21"/>
        </w:rPr>
        <w:t xml:space="preserve">    </w:t>
      </w:r>
      <w:r>
        <w:rPr>
          <w:rFonts w:hint="eastAsia"/>
          <w:szCs w:val="21"/>
        </w:rPr>
        <w:t xml:space="preserve">  </w:t>
      </w:r>
      <w:r>
        <w:rPr>
          <w:szCs w:val="21"/>
          <w:u w:val="single"/>
        </w:rPr>
        <w:t xml:space="preserve">         </w:t>
      </w:r>
      <w:r>
        <w:rPr>
          <w:szCs w:val="21"/>
        </w:rPr>
        <w:t>年</w:t>
      </w:r>
      <w:r>
        <w:rPr>
          <w:szCs w:val="21"/>
          <w:u w:val="single"/>
        </w:rPr>
        <w:t xml:space="preserve">         </w:t>
      </w:r>
      <w:r>
        <w:rPr>
          <w:szCs w:val="21"/>
        </w:rPr>
        <w:t>月</w:t>
      </w:r>
      <w:r>
        <w:rPr>
          <w:szCs w:val="21"/>
          <w:u w:val="single"/>
        </w:rPr>
        <w:t xml:space="preserve">         </w:t>
      </w:r>
      <w:r>
        <w:rPr>
          <w:szCs w:val="21"/>
        </w:rPr>
        <w:t>日</w:t>
      </w:r>
    </w:p>
    <w:p>
      <w:r>
        <w:rPr>
          <w:sz w:val="32"/>
          <w:szCs w:val="32"/>
        </w:rPr>
        <w:br w:type="page"/>
      </w:r>
    </w:p>
    <w:p>
      <w:pPr>
        <w:keepNext/>
        <w:keepLines/>
        <w:numPr>
          <w:ilvl w:val="0"/>
          <w:numId w:val="7"/>
        </w:numPr>
        <w:spacing w:before="260" w:after="260" w:line="415" w:lineRule="auto"/>
        <w:jc w:val="center"/>
        <w:outlineLvl w:val="1"/>
        <w:rPr>
          <w:rFonts w:ascii="Arial" w:hAnsi="Arial" w:eastAsia="黑体"/>
          <w:b/>
          <w:bCs/>
          <w:sz w:val="32"/>
          <w:szCs w:val="32"/>
        </w:rPr>
      </w:pPr>
      <w:bookmarkStart w:id="675" w:name="_Toc528008889"/>
      <w:bookmarkStart w:id="676" w:name="_Toc525983755"/>
      <w:bookmarkStart w:id="677" w:name="_Toc179632628"/>
      <w:bookmarkStart w:id="678" w:name="_Toc152045610"/>
      <w:bookmarkStart w:id="679" w:name="_Toc247085768"/>
      <w:bookmarkStart w:id="680" w:name="_Toc528009029"/>
      <w:bookmarkStart w:id="681" w:name="_Toc110867273"/>
      <w:bookmarkStart w:id="682" w:name="_Toc144974578"/>
      <w:bookmarkStart w:id="683" w:name="_Toc246996253"/>
      <w:bookmarkStart w:id="684" w:name="_Toc152042388"/>
      <w:bookmarkStart w:id="685" w:name="_Toc246996996"/>
      <w:r>
        <w:rPr>
          <w:rFonts w:hint="eastAsia" w:ascii="Arial" w:hAnsi="Arial" w:eastAsia="黑体"/>
          <w:b/>
          <w:bCs/>
          <w:sz w:val="32"/>
          <w:szCs w:val="32"/>
        </w:rPr>
        <w:t>合同条款</w:t>
      </w:r>
      <w:bookmarkEnd w:id="675"/>
      <w:bookmarkEnd w:id="676"/>
      <w:bookmarkEnd w:id="677"/>
      <w:bookmarkEnd w:id="678"/>
      <w:bookmarkEnd w:id="679"/>
      <w:bookmarkEnd w:id="680"/>
      <w:bookmarkEnd w:id="681"/>
      <w:bookmarkEnd w:id="682"/>
      <w:bookmarkEnd w:id="683"/>
      <w:bookmarkEnd w:id="684"/>
      <w:bookmarkEnd w:id="685"/>
    </w:p>
    <w:p>
      <w:pPr>
        <w:keepNext/>
        <w:keepLines/>
        <w:spacing w:before="260" w:after="260" w:line="415" w:lineRule="auto"/>
        <w:rPr>
          <w:rFonts w:ascii="Arial" w:hAnsi="Arial" w:eastAsia="黑体"/>
          <w:b/>
          <w:bCs/>
          <w:sz w:val="32"/>
          <w:szCs w:val="32"/>
        </w:rPr>
      </w:pPr>
      <w:bookmarkStart w:id="686" w:name="_Toc246996997"/>
      <w:bookmarkStart w:id="687" w:name="_Toc184635098"/>
      <w:bookmarkStart w:id="688" w:name="_Toc247085769"/>
      <w:bookmarkStart w:id="689" w:name="_Toc525983756"/>
      <w:bookmarkStart w:id="690" w:name="_Toc246996254"/>
      <w:r>
        <w:rPr>
          <w:rFonts w:hint="eastAsia" w:ascii="Arial" w:hAnsi="Arial" w:eastAsia="黑体"/>
          <w:b/>
          <w:bCs/>
          <w:sz w:val="32"/>
          <w:szCs w:val="32"/>
        </w:rPr>
        <w:t>1. 一般约定</w:t>
      </w:r>
      <w:bookmarkEnd w:id="686"/>
      <w:bookmarkEnd w:id="687"/>
      <w:bookmarkEnd w:id="688"/>
      <w:bookmarkEnd w:id="689"/>
      <w:bookmarkEnd w:id="690"/>
    </w:p>
    <w:p>
      <w:pPr>
        <w:keepNext/>
        <w:keepLines/>
        <w:spacing w:before="120" w:after="120"/>
        <w:rPr>
          <w:b/>
          <w:bCs/>
          <w:sz w:val="32"/>
          <w:szCs w:val="32"/>
        </w:rPr>
      </w:pPr>
      <w:bookmarkStart w:id="691" w:name="_Toc525983757"/>
      <w:bookmarkStart w:id="692" w:name="_Toc246996998"/>
      <w:bookmarkStart w:id="693" w:name="_Toc247085770"/>
      <w:bookmarkStart w:id="694" w:name="_Toc246996255"/>
      <w:r>
        <w:rPr>
          <w:rFonts w:hint="eastAsia"/>
          <w:b/>
          <w:bCs/>
          <w:sz w:val="32"/>
          <w:szCs w:val="32"/>
        </w:rPr>
        <w:t>1.1 词语定义</w:t>
      </w:r>
      <w:bookmarkEnd w:id="691"/>
      <w:bookmarkEnd w:id="692"/>
      <w:bookmarkEnd w:id="693"/>
      <w:bookmarkEnd w:id="694"/>
    </w:p>
    <w:p>
      <w:pPr>
        <w:spacing w:line="360" w:lineRule="auto"/>
        <w:ind w:firstLine="420" w:firstLineChars="200"/>
        <w:rPr>
          <w:szCs w:val="21"/>
        </w:rPr>
      </w:pPr>
      <w:r>
        <w:rPr>
          <w:szCs w:val="21"/>
        </w:rPr>
        <w:t xml:space="preserve">1.1.1 </w:t>
      </w:r>
      <w:r>
        <w:rPr>
          <w:rFonts w:hint="eastAsia"/>
          <w:szCs w:val="21"/>
        </w:rPr>
        <w:t>合同</w:t>
      </w:r>
    </w:p>
    <w:p>
      <w:pPr>
        <w:spacing w:line="360" w:lineRule="auto"/>
        <w:ind w:firstLine="840" w:firstLineChars="400"/>
        <w:rPr>
          <w:szCs w:val="21"/>
        </w:rPr>
      </w:pPr>
      <w:r>
        <w:rPr>
          <w:rFonts w:hint="eastAsia"/>
          <w:szCs w:val="21"/>
        </w:rPr>
        <w:t>1.1.1.1 合同文件（或称合同）：指合同协议书、成交通知书、报价函及报价一览表、合同条款、技术标准和要求、图纸、已标价工程量清单，以及其他合同文件。</w:t>
      </w:r>
    </w:p>
    <w:p>
      <w:pPr>
        <w:spacing w:line="360" w:lineRule="auto"/>
        <w:ind w:firstLine="840" w:firstLineChars="400"/>
        <w:rPr>
          <w:szCs w:val="21"/>
        </w:rPr>
      </w:pPr>
      <w:r>
        <w:rPr>
          <w:rFonts w:hint="eastAsia"/>
          <w:szCs w:val="21"/>
        </w:rPr>
        <w:t>1.1.1.2 合同协议书：指第1.5 款所指的合同协议书。</w:t>
      </w:r>
    </w:p>
    <w:p>
      <w:pPr>
        <w:spacing w:line="360" w:lineRule="auto"/>
        <w:ind w:firstLine="840" w:firstLineChars="400"/>
        <w:rPr>
          <w:szCs w:val="21"/>
        </w:rPr>
      </w:pPr>
      <w:r>
        <w:rPr>
          <w:rFonts w:hint="eastAsia"/>
          <w:szCs w:val="21"/>
        </w:rPr>
        <w:t>1.1.1.3 成交通知书：指发包人通知承包人中标的函件。</w:t>
      </w:r>
    </w:p>
    <w:p>
      <w:pPr>
        <w:spacing w:line="360" w:lineRule="auto"/>
        <w:ind w:firstLine="840" w:firstLineChars="400"/>
        <w:rPr>
          <w:szCs w:val="21"/>
        </w:rPr>
      </w:pPr>
      <w:r>
        <w:rPr>
          <w:rFonts w:hint="eastAsia"/>
          <w:szCs w:val="21"/>
        </w:rPr>
        <w:t>1.1.1.4 报价函及报价一览表：指构成合同文件组成部分的由承包人填写并签署的报价函及报价一览表。</w:t>
      </w:r>
    </w:p>
    <w:p>
      <w:pPr>
        <w:spacing w:line="360" w:lineRule="auto"/>
        <w:ind w:firstLine="840" w:firstLineChars="400"/>
        <w:rPr>
          <w:szCs w:val="21"/>
        </w:rPr>
      </w:pPr>
      <w:r>
        <w:rPr>
          <w:rFonts w:hint="eastAsia"/>
          <w:szCs w:val="21"/>
        </w:rPr>
        <w:t>1.1.1.6 技术标准和要求：指构成合同文件组成部分的名为技术标准和要求的文件，以及合同双方当事人约定对其所作的修改或补充。</w:t>
      </w:r>
    </w:p>
    <w:p>
      <w:pPr>
        <w:spacing w:line="360" w:lineRule="auto"/>
        <w:ind w:firstLine="840" w:firstLineChars="400"/>
        <w:rPr>
          <w:szCs w:val="21"/>
        </w:rPr>
      </w:pPr>
      <w:r>
        <w:rPr>
          <w:rFonts w:hint="eastAsia"/>
          <w:szCs w:val="21"/>
        </w:rPr>
        <w:t>1.1.1.7 图纸：指包含在合同中的工程图纸，以及由发包人按合同约定提供的任何补充和修改的图纸，包括配套的说明。</w:t>
      </w:r>
    </w:p>
    <w:p>
      <w:pPr>
        <w:spacing w:line="360" w:lineRule="auto"/>
        <w:ind w:firstLine="840" w:firstLineChars="400"/>
        <w:rPr>
          <w:szCs w:val="21"/>
        </w:rPr>
      </w:pPr>
      <w:r>
        <w:rPr>
          <w:rFonts w:hint="eastAsia"/>
          <w:szCs w:val="21"/>
        </w:rPr>
        <w:t>1.1.1.8 已标价工程量清单：指构成合同文件组成部分的由承包人按照规定的格式和要求填写并标明价格的工程量清单。</w:t>
      </w:r>
    </w:p>
    <w:p>
      <w:pPr>
        <w:spacing w:line="360" w:lineRule="auto"/>
        <w:ind w:firstLine="840" w:firstLineChars="400"/>
        <w:rPr>
          <w:szCs w:val="21"/>
        </w:rPr>
      </w:pPr>
      <w:r>
        <w:rPr>
          <w:rFonts w:hint="eastAsia"/>
          <w:szCs w:val="21"/>
        </w:rPr>
        <w:t>1.1.1.9 其他合同文件：指经合同双方当事人确认构成合同文件的其他文件。</w:t>
      </w:r>
    </w:p>
    <w:p>
      <w:pPr>
        <w:spacing w:line="360" w:lineRule="auto"/>
        <w:ind w:firstLine="420" w:firstLineChars="200"/>
        <w:rPr>
          <w:szCs w:val="21"/>
        </w:rPr>
      </w:pPr>
      <w:r>
        <w:rPr>
          <w:rFonts w:hint="eastAsia"/>
          <w:szCs w:val="21"/>
        </w:rPr>
        <w:t>1.1.2 合同当事人和人员</w:t>
      </w:r>
    </w:p>
    <w:p>
      <w:pPr>
        <w:spacing w:line="360" w:lineRule="auto"/>
        <w:ind w:firstLine="840" w:firstLineChars="400"/>
        <w:rPr>
          <w:szCs w:val="21"/>
        </w:rPr>
      </w:pPr>
      <w:r>
        <w:rPr>
          <w:rFonts w:hint="eastAsia"/>
          <w:szCs w:val="21"/>
        </w:rPr>
        <w:t>1.1.2.1 合同当事人：指发包人和承包人，在竞争性谈判阶段分别为采购人和成交人。</w:t>
      </w:r>
    </w:p>
    <w:p>
      <w:pPr>
        <w:spacing w:line="360" w:lineRule="auto"/>
        <w:ind w:firstLine="840" w:firstLineChars="400"/>
        <w:rPr>
          <w:szCs w:val="21"/>
        </w:rPr>
      </w:pPr>
      <w:r>
        <w:rPr>
          <w:rFonts w:hint="eastAsia"/>
          <w:szCs w:val="21"/>
        </w:rPr>
        <w:t xml:space="preserve">1.1.2.2 发包人：指与承包人签订合同协议书的当事人。 </w:t>
      </w:r>
    </w:p>
    <w:p>
      <w:pPr>
        <w:spacing w:line="360" w:lineRule="auto"/>
        <w:ind w:firstLine="840" w:firstLineChars="400"/>
        <w:rPr>
          <w:szCs w:val="21"/>
        </w:rPr>
      </w:pPr>
      <w:r>
        <w:rPr>
          <w:rFonts w:hint="eastAsia"/>
          <w:szCs w:val="21"/>
        </w:rPr>
        <w:t>1.1.2.3 承包人：指与发包人签订合同协议书的当事人。</w:t>
      </w:r>
    </w:p>
    <w:p>
      <w:pPr>
        <w:spacing w:line="360" w:lineRule="auto"/>
        <w:ind w:firstLine="840" w:firstLineChars="400"/>
        <w:rPr>
          <w:szCs w:val="21"/>
        </w:rPr>
      </w:pPr>
      <w:r>
        <w:rPr>
          <w:rFonts w:hint="eastAsia"/>
          <w:szCs w:val="21"/>
        </w:rPr>
        <w:t>1.1.2.4 承包人项目经理：指承包人派驻施工场地的全权负责人。</w:t>
      </w:r>
    </w:p>
    <w:p>
      <w:pPr>
        <w:spacing w:line="360" w:lineRule="auto"/>
        <w:ind w:firstLine="840" w:firstLineChars="400"/>
        <w:rPr>
          <w:szCs w:val="21"/>
        </w:rPr>
      </w:pPr>
      <w:r>
        <w:rPr>
          <w:rFonts w:hint="eastAsia"/>
          <w:szCs w:val="21"/>
        </w:rPr>
        <w:t>1.1.2.5 监理人：</w:t>
      </w:r>
      <w:r>
        <w:rPr>
          <w:rFonts w:hint="eastAsia"/>
        </w:rPr>
        <w:t>指在合同条款</w:t>
      </w:r>
      <w:r>
        <w:rPr>
          <w:rFonts w:hint="eastAsia"/>
          <w:szCs w:val="21"/>
        </w:rPr>
        <w:t>中指明的，受发包人委托对合同履行实施管理的法人或其他组织。属于国家强制监理的，监理人应当具有相应的监理资质。</w:t>
      </w:r>
    </w:p>
    <w:p>
      <w:pPr>
        <w:spacing w:line="360" w:lineRule="auto"/>
        <w:ind w:firstLine="840" w:firstLineChars="400"/>
        <w:rPr>
          <w:szCs w:val="21"/>
        </w:rPr>
      </w:pPr>
      <w:r>
        <w:rPr>
          <w:rFonts w:hint="eastAsia"/>
          <w:szCs w:val="21"/>
        </w:rPr>
        <w:t>1.1.2.6 总监理工程师（总监）：指由监理人委派常驻施工场地对合同履行实施管理的全权负责人。</w:t>
      </w:r>
    </w:p>
    <w:p>
      <w:pPr>
        <w:spacing w:line="360" w:lineRule="auto"/>
        <w:ind w:firstLine="420" w:firstLineChars="200"/>
        <w:rPr>
          <w:szCs w:val="21"/>
        </w:rPr>
      </w:pPr>
      <w:r>
        <w:rPr>
          <w:rFonts w:hint="eastAsia"/>
          <w:szCs w:val="21"/>
        </w:rPr>
        <w:t>1.1.3 工程和设备</w:t>
      </w:r>
    </w:p>
    <w:p>
      <w:pPr>
        <w:spacing w:line="360" w:lineRule="auto"/>
        <w:ind w:firstLine="840" w:firstLineChars="400"/>
        <w:rPr>
          <w:szCs w:val="21"/>
        </w:rPr>
      </w:pPr>
      <w:r>
        <w:rPr>
          <w:rFonts w:hint="eastAsia"/>
          <w:szCs w:val="21"/>
        </w:rPr>
        <w:t>1.1.3.1 工程：指永久工程和（或）临时工程。</w:t>
      </w:r>
    </w:p>
    <w:p>
      <w:pPr>
        <w:spacing w:line="360" w:lineRule="auto"/>
        <w:ind w:firstLine="840" w:firstLineChars="400"/>
        <w:rPr>
          <w:szCs w:val="21"/>
        </w:rPr>
      </w:pPr>
      <w:r>
        <w:rPr>
          <w:rFonts w:hint="eastAsia"/>
          <w:szCs w:val="21"/>
        </w:rPr>
        <w:t>1.1.3.2 工程设备：指构成或计划构成永久工程一部分的机电设备、仪器装置、运载工具及其他类似的设备和装置。</w:t>
      </w:r>
    </w:p>
    <w:p>
      <w:pPr>
        <w:spacing w:line="360" w:lineRule="auto"/>
        <w:ind w:firstLine="840" w:firstLineChars="400"/>
        <w:rPr>
          <w:szCs w:val="21"/>
        </w:rPr>
      </w:pPr>
      <w:r>
        <w:rPr>
          <w:rFonts w:hint="eastAsia"/>
          <w:szCs w:val="21"/>
        </w:rPr>
        <w:t>1.1.3.3 施工场地（或称工地、现场）：指用于合同工程施工的场所，以及在合同中指定作为施工场地组成部分的其他场所，包括永久占地和临时占地。</w:t>
      </w:r>
    </w:p>
    <w:p>
      <w:pPr>
        <w:spacing w:line="360" w:lineRule="auto"/>
        <w:ind w:firstLine="420" w:firstLineChars="200"/>
        <w:rPr>
          <w:szCs w:val="21"/>
        </w:rPr>
      </w:pPr>
      <w:r>
        <w:rPr>
          <w:rFonts w:hint="eastAsia"/>
          <w:szCs w:val="21"/>
        </w:rPr>
        <w:t>1.1.4 日期</w:t>
      </w:r>
    </w:p>
    <w:p>
      <w:pPr>
        <w:spacing w:line="360" w:lineRule="auto"/>
        <w:ind w:firstLine="840" w:firstLineChars="400"/>
        <w:rPr>
          <w:szCs w:val="21"/>
        </w:rPr>
      </w:pPr>
      <w:r>
        <w:rPr>
          <w:rFonts w:hint="eastAsia"/>
          <w:szCs w:val="21"/>
        </w:rPr>
        <w:t>1.1.4.1 开工通知：指监理人按第6.2款通知承包人开工的函件。</w:t>
      </w:r>
    </w:p>
    <w:p>
      <w:pPr>
        <w:spacing w:line="360" w:lineRule="auto"/>
        <w:ind w:firstLine="840" w:firstLineChars="400"/>
        <w:rPr>
          <w:szCs w:val="21"/>
        </w:rPr>
      </w:pPr>
      <w:r>
        <w:rPr>
          <w:rFonts w:hint="eastAsia"/>
          <w:szCs w:val="21"/>
        </w:rPr>
        <w:t>1.1.4.2 开工日期：指监理人按第6.2款发出的开工通知中写明的开工日期。</w:t>
      </w:r>
    </w:p>
    <w:p>
      <w:pPr>
        <w:spacing w:line="360" w:lineRule="auto"/>
        <w:ind w:firstLine="840" w:firstLineChars="400"/>
        <w:rPr>
          <w:szCs w:val="21"/>
        </w:rPr>
      </w:pPr>
      <w:r>
        <w:rPr>
          <w:rFonts w:hint="eastAsia"/>
          <w:szCs w:val="21"/>
        </w:rPr>
        <w:t>1.1.4.3 工期：指承包人在报价函及报价一览表中承诺的完成合同工程所需的期限，包括按第6.3款、第6.4款约定所作的变更。</w:t>
      </w:r>
    </w:p>
    <w:p>
      <w:pPr>
        <w:spacing w:line="360" w:lineRule="auto"/>
        <w:ind w:firstLine="840" w:firstLineChars="400"/>
        <w:rPr>
          <w:szCs w:val="21"/>
        </w:rPr>
      </w:pPr>
      <w:r>
        <w:rPr>
          <w:rFonts w:hint="eastAsia"/>
          <w:szCs w:val="21"/>
        </w:rPr>
        <w:t>1.1.4.4 竣工日期：指第1.1.4.3目约定工期届满时的日期。实际竣工日期以工程接收证书中写明的日期为准。</w:t>
      </w:r>
    </w:p>
    <w:p>
      <w:pPr>
        <w:spacing w:line="360" w:lineRule="auto"/>
        <w:ind w:firstLine="840" w:firstLineChars="400"/>
        <w:rPr>
          <w:szCs w:val="21"/>
        </w:rPr>
      </w:pPr>
      <w:r>
        <w:rPr>
          <w:rFonts w:hint="eastAsia"/>
          <w:szCs w:val="21"/>
        </w:rPr>
        <w:t>1.1.4.5 缺陷责任期：指履行第12.1款约定的缺陷责任的期限，具体期限由合同条款约定。</w:t>
      </w:r>
    </w:p>
    <w:p>
      <w:pPr>
        <w:spacing w:line="360" w:lineRule="auto"/>
        <w:ind w:firstLine="840" w:firstLineChars="400"/>
        <w:rPr>
          <w:szCs w:val="21"/>
        </w:rPr>
      </w:pPr>
      <w:r>
        <w:rPr>
          <w:rFonts w:hint="eastAsia"/>
          <w:szCs w:val="21"/>
        </w:rPr>
        <w:t>1.1.4.6 天：除特别指明外，指日历天。合同中按天计算时间的，开始当天不计入，从次日开始计算。期限最后一天的截止时间为当天24:00。</w:t>
      </w:r>
    </w:p>
    <w:p>
      <w:pPr>
        <w:spacing w:line="360" w:lineRule="auto"/>
        <w:ind w:firstLine="420" w:firstLineChars="200"/>
        <w:rPr>
          <w:szCs w:val="21"/>
        </w:rPr>
      </w:pPr>
      <w:r>
        <w:rPr>
          <w:rFonts w:hint="eastAsia"/>
          <w:szCs w:val="21"/>
        </w:rPr>
        <w:t>1.1.5 合同价格和费用</w:t>
      </w:r>
    </w:p>
    <w:p>
      <w:pPr>
        <w:spacing w:line="360" w:lineRule="auto"/>
        <w:ind w:firstLine="840" w:firstLineChars="400"/>
        <w:rPr>
          <w:szCs w:val="21"/>
        </w:rPr>
      </w:pPr>
      <w:r>
        <w:rPr>
          <w:rFonts w:hint="eastAsia"/>
          <w:szCs w:val="21"/>
        </w:rPr>
        <w:t>1.1.5.1 签约合同价：指签定合同时合同协议书中写明的，包括了暂列金额的合同总金额。</w:t>
      </w:r>
    </w:p>
    <w:p>
      <w:pPr>
        <w:spacing w:line="360" w:lineRule="auto"/>
        <w:ind w:firstLine="840" w:firstLineChars="400"/>
        <w:rPr>
          <w:szCs w:val="21"/>
        </w:rPr>
      </w:pPr>
      <w:r>
        <w:rPr>
          <w:rFonts w:hint="eastAsia"/>
          <w:szCs w:val="21"/>
        </w:rPr>
        <w:t>1.1.5.2 合同价格：指承包人按合同约定完成了包括缺陷责任期内的全部承包工作后，发包人应付给承包人的金额，包括在履行合同过程中按合同约定进行的变更和调整。</w:t>
      </w:r>
    </w:p>
    <w:p>
      <w:pPr>
        <w:spacing w:line="360" w:lineRule="auto"/>
        <w:ind w:firstLine="840" w:firstLineChars="400"/>
        <w:rPr>
          <w:szCs w:val="21"/>
        </w:rPr>
      </w:pPr>
      <w:r>
        <w:rPr>
          <w:rFonts w:hint="eastAsia"/>
          <w:szCs w:val="21"/>
        </w:rPr>
        <w:t>1.1.5.3 费用：指为履行合同所发生的或将要发生的所有合理开支，包括管理费和应分摊的其他费用，但不包括利润。</w:t>
      </w:r>
    </w:p>
    <w:p>
      <w:pPr>
        <w:spacing w:line="360" w:lineRule="auto"/>
        <w:ind w:firstLine="840" w:firstLineChars="400"/>
        <w:rPr>
          <w:szCs w:val="21"/>
        </w:rPr>
      </w:pPr>
      <w:r>
        <w:rPr>
          <w:rFonts w:hint="eastAsia"/>
          <w:szCs w:val="21"/>
        </w:rPr>
        <w:t>1.1.5.4 暂列金额：指已标价工程量清单中所列的暂列金额，用于在签订协议书时尚未确定或不可预见变更的施工及其所需材料、工程设备、服务等的金额，包括以计日工方式支付的金额。</w:t>
      </w:r>
    </w:p>
    <w:p>
      <w:pPr>
        <w:spacing w:line="360" w:lineRule="auto"/>
        <w:ind w:firstLine="840" w:firstLineChars="400"/>
        <w:rPr>
          <w:szCs w:val="21"/>
        </w:rPr>
      </w:pPr>
      <w:r>
        <w:rPr>
          <w:rFonts w:hint="eastAsia"/>
          <w:szCs w:val="21"/>
        </w:rPr>
        <w:t>1.1.5.5 计日工：指对零星工作采取的一种计价方式，按合同中的计日工子目及其单价计价付款。</w:t>
      </w:r>
    </w:p>
    <w:p>
      <w:pPr>
        <w:spacing w:line="360" w:lineRule="auto"/>
        <w:ind w:firstLine="840" w:firstLineChars="400"/>
        <w:rPr>
          <w:szCs w:val="21"/>
        </w:rPr>
      </w:pPr>
      <w:r>
        <w:rPr>
          <w:rFonts w:hint="eastAsia"/>
          <w:szCs w:val="21"/>
        </w:rPr>
        <w:t>1.1.5.6 质量保证金（或称保留金）：指按第10.4款约定用于保证在缺陷责任期内履行缺陷修复义务的金额。</w:t>
      </w:r>
    </w:p>
    <w:p>
      <w:pPr>
        <w:spacing w:line="360" w:lineRule="auto"/>
        <w:ind w:firstLine="420" w:firstLineChars="200"/>
        <w:rPr>
          <w:szCs w:val="21"/>
        </w:rPr>
      </w:pPr>
      <w:r>
        <w:rPr>
          <w:rFonts w:hint="eastAsia"/>
          <w:szCs w:val="21"/>
        </w:rPr>
        <w:t>1.1.6 其他</w:t>
      </w:r>
    </w:p>
    <w:p>
      <w:pPr>
        <w:spacing w:line="360" w:lineRule="auto"/>
        <w:ind w:firstLine="840" w:firstLineChars="400"/>
        <w:rPr>
          <w:szCs w:val="21"/>
        </w:rPr>
      </w:pPr>
      <w:r>
        <w:rPr>
          <w:rFonts w:hint="eastAsia"/>
          <w:szCs w:val="21"/>
        </w:rPr>
        <w:t>1.1.6.1 书面形式：指合同文件、信函、电报、传真、电子数据交换和电子邮件等可以有形地表现所载内容的形式。</w:t>
      </w:r>
    </w:p>
    <w:p>
      <w:pPr>
        <w:keepNext/>
        <w:keepLines/>
        <w:spacing w:before="120" w:after="120"/>
        <w:rPr>
          <w:b/>
          <w:bCs/>
          <w:sz w:val="32"/>
          <w:szCs w:val="32"/>
        </w:rPr>
      </w:pPr>
      <w:bookmarkStart w:id="695" w:name="_Toc247085771"/>
      <w:bookmarkStart w:id="696" w:name="_Toc525983758"/>
      <w:bookmarkStart w:id="697" w:name="_Toc246996256"/>
      <w:bookmarkStart w:id="698" w:name="_Toc246996999"/>
      <w:r>
        <w:rPr>
          <w:rFonts w:hint="eastAsia"/>
          <w:b/>
          <w:bCs/>
          <w:sz w:val="32"/>
          <w:szCs w:val="32"/>
        </w:rPr>
        <w:t>1.2 语言文字</w:t>
      </w:r>
      <w:bookmarkEnd w:id="695"/>
      <w:bookmarkEnd w:id="696"/>
      <w:bookmarkEnd w:id="697"/>
      <w:bookmarkEnd w:id="698"/>
    </w:p>
    <w:p>
      <w:pPr>
        <w:spacing w:line="360" w:lineRule="auto"/>
        <w:ind w:firstLine="420" w:firstLineChars="200"/>
        <w:rPr>
          <w:szCs w:val="21"/>
        </w:rPr>
      </w:pPr>
      <w:bookmarkStart w:id="699" w:name="_Toc247085772"/>
      <w:bookmarkStart w:id="700" w:name="_Toc246996257"/>
      <w:bookmarkStart w:id="701" w:name="_Toc246997000"/>
      <w:r>
        <w:rPr>
          <w:rFonts w:hint="eastAsia"/>
          <w:szCs w:val="21"/>
        </w:rPr>
        <w:t>合同使用的语言文字为中文。专用术语使用外文的，应附有中文注释。</w:t>
      </w:r>
    </w:p>
    <w:p>
      <w:pPr>
        <w:keepNext/>
        <w:keepLines/>
        <w:spacing w:before="120" w:after="120"/>
        <w:rPr>
          <w:b/>
          <w:bCs/>
          <w:sz w:val="32"/>
          <w:szCs w:val="32"/>
        </w:rPr>
      </w:pPr>
      <w:bookmarkStart w:id="702" w:name="_Toc525983759"/>
      <w:r>
        <w:rPr>
          <w:rFonts w:hint="eastAsia"/>
          <w:b/>
          <w:bCs/>
          <w:sz w:val="32"/>
          <w:szCs w:val="32"/>
        </w:rPr>
        <w:t>1.3 法律</w:t>
      </w:r>
      <w:bookmarkEnd w:id="699"/>
      <w:bookmarkEnd w:id="700"/>
      <w:bookmarkEnd w:id="701"/>
      <w:bookmarkEnd w:id="702"/>
    </w:p>
    <w:p>
      <w:pPr>
        <w:spacing w:line="360" w:lineRule="auto"/>
        <w:ind w:firstLine="420" w:firstLineChars="200"/>
        <w:rPr>
          <w:szCs w:val="21"/>
        </w:rPr>
      </w:pPr>
      <w:r>
        <w:rPr>
          <w:rFonts w:hint="eastAsia"/>
          <w:szCs w:val="21"/>
        </w:rPr>
        <w:t>适用于合同的法律包括中华人民共和国法律、行政法规、部门规章，以及工程所在地的地方法规、自治条例、单行条例和地方政府规章。</w:t>
      </w:r>
    </w:p>
    <w:p>
      <w:pPr>
        <w:keepNext/>
        <w:keepLines/>
        <w:spacing w:before="120" w:after="120"/>
        <w:rPr>
          <w:b/>
          <w:bCs/>
          <w:sz w:val="32"/>
          <w:szCs w:val="32"/>
        </w:rPr>
      </w:pPr>
      <w:bookmarkStart w:id="703" w:name="_Toc525983760"/>
      <w:bookmarkStart w:id="704" w:name="_Toc246997001"/>
      <w:bookmarkStart w:id="705" w:name="_Toc246996258"/>
      <w:bookmarkStart w:id="706" w:name="_Toc247085773"/>
      <w:r>
        <w:rPr>
          <w:rFonts w:hint="eastAsia"/>
          <w:b/>
          <w:bCs/>
          <w:sz w:val="32"/>
          <w:szCs w:val="32"/>
        </w:rPr>
        <w:t>1.4 合同文件的优先顺序</w:t>
      </w:r>
      <w:bookmarkEnd w:id="703"/>
      <w:bookmarkEnd w:id="704"/>
      <w:bookmarkEnd w:id="705"/>
      <w:bookmarkEnd w:id="706"/>
    </w:p>
    <w:p>
      <w:pPr>
        <w:spacing w:line="360" w:lineRule="auto"/>
        <w:ind w:firstLine="420" w:firstLineChars="200"/>
        <w:rPr>
          <w:szCs w:val="21"/>
        </w:rPr>
      </w:pPr>
      <w:r>
        <w:rPr>
          <w:rFonts w:hint="eastAsia"/>
          <w:szCs w:val="21"/>
        </w:rPr>
        <w:t>组成合同的各项文件应互相解释，互为说明。除合同条款另有约定外，解释合同文件的优先顺序如下：</w:t>
      </w:r>
    </w:p>
    <w:p>
      <w:pPr>
        <w:spacing w:line="360" w:lineRule="auto"/>
        <w:ind w:firstLine="420" w:firstLineChars="200"/>
        <w:rPr>
          <w:szCs w:val="21"/>
        </w:rPr>
      </w:pPr>
      <w:r>
        <w:rPr>
          <w:rFonts w:hint="eastAsia"/>
          <w:szCs w:val="21"/>
        </w:rPr>
        <w:t>（1）合同协议书；</w:t>
      </w:r>
    </w:p>
    <w:p>
      <w:pPr>
        <w:spacing w:line="360" w:lineRule="auto"/>
        <w:ind w:firstLine="420" w:firstLineChars="200"/>
        <w:rPr>
          <w:szCs w:val="21"/>
        </w:rPr>
      </w:pPr>
      <w:r>
        <w:rPr>
          <w:rFonts w:hint="eastAsia"/>
          <w:szCs w:val="21"/>
        </w:rPr>
        <w:t>（2）成交通知书；</w:t>
      </w:r>
    </w:p>
    <w:p>
      <w:pPr>
        <w:spacing w:line="360" w:lineRule="auto"/>
        <w:ind w:firstLine="420" w:firstLineChars="200"/>
        <w:rPr>
          <w:szCs w:val="21"/>
        </w:rPr>
      </w:pPr>
      <w:r>
        <w:rPr>
          <w:rFonts w:hint="eastAsia"/>
          <w:szCs w:val="21"/>
        </w:rPr>
        <w:t>（3）报价函及报价一览表</w:t>
      </w:r>
    </w:p>
    <w:p>
      <w:pPr>
        <w:spacing w:line="360" w:lineRule="auto"/>
        <w:ind w:firstLine="420" w:firstLineChars="200"/>
        <w:rPr>
          <w:szCs w:val="21"/>
        </w:rPr>
      </w:pPr>
      <w:r>
        <w:rPr>
          <w:rFonts w:hint="eastAsia"/>
          <w:szCs w:val="21"/>
        </w:rPr>
        <w:t>（4）合同条款；</w:t>
      </w:r>
    </w:p>
    <w:p>
      <w:pPr>
        <w:spacing w:line="360" w:lineRule="auto"/>
        <w:ind w:firstLine="420" w:firstLineChars="200"/>
        <w:rPr>
          <w:szCs w:val="21"/>
        </w:rPr>
      </w:pPr>
      <w:r>
        <w:rPr>
          <w:rFonts w:hint="eastAsia"/>
          <w:szCs w:val="21"/>
        </w:rPr>
        <w:t>（</w:t>
      </w:r>
      <w:r>
        <w:rPr>
          <w:szCs w:val="21"/>
        </w:rPr>
        <w:t>5</w:t>
      </w:r>
      <w:r>
        <w:rPr>
          <w:rFonts w:hint="eastAsia"/>
          <w:szCs w:val="21"/>
        </w:rPr>
        <w:t>）技术标准和要求；</w:t>
      </w:r>
    </w:p>
    <w:p>
      <w:pPr>
        <w:spacing w:line="360" w:lineRule="auto"/>
        <w:ind w:firstLine="420" w:firstLineChars="200"/>
        <w:rPr>
          <w:szCs w:val="21"/>
        </w:rPr>
      </w:pPr>
      <w:r>
        <w:rPr>
          <w:rFonts w:hint="eastAsia"/>
          <w:szCs w:val="21"/>
        </w:rPr>
        <w:t>（</w:t>
      </w:r>
      <w:r>
        <w:rPr>
          <w:szCs w:val="21"/>
        </w:rPr>
        <w:t>6</w:t>
      </w:r>
      <w:r>
        <w:rPr>
          <w:rFonts w:hint="eastAsia"/>
          <w:szCs w:val="21"/>
        </w:rPr>
        <w:t>）图纸；</w:t>
      </w:r>
    </w:p>
    <w:p>
      <w:pPr>
        <w:spacing w:line="360" w:lineRule="auto"/>
        <w:ind w:firstLine="420" w:firstLineChars="200"/>
        <w:rPr>
          <w:szCs w:val="21"/>
        </w:rPr>
      </w:pPr>
      <w:r>
        <w:rPr>
          <w:rFonts w:hint="eastAsia"/>
          <w:szCs w:val="21"/>
        </w:rPr>
        <w:t>（</w:t>
      </w:r>
      <w:r>
        <w:rPr>
          <w:szCs w:val="21"/>
        </w:rPr>
        <w:t>7</w:t>
      </w:r>
      <w:r>
        <w:rPr>
          <w:rFonts w:hint="eastAsia"/>
          <w:szCs w:val="21"/>
        </w:rPr>
        <w:t>）已标价工程量清单；</w:t>
      </w:r>
    </w:p>
    <w:p>
      <w:pPr>
        <w:spacing w:line="360" w:lineRule="auto"/>
        <w:ind w:firstLine="420" w:firstLineChars="200"/>
        <w:rPr>
          <w:szCs w:val="21"/>
        </w:rPr>
      </w:pPr>
      <w:r>
        <w:rPr>
          <w:rFonts w:hint="eastAsia"/>
          <w:szCs w:val="21"/>
        </w:rPr>
        <w:t>（</w:t>
      </w:r>
      <w:r>
        <w:rPr>
          <w:szCs w:val="21"/>
        </w:rPr>
        <w:t>8</w:t>
      </w:r>
      <w:r>
        <w:rPr>
          <w:rFonts w:hint="eastAsia"/>
          <w:szCs w:val="21"/>
        </w:rPr>
        <w:t>）其他合同文件。</w:t>
      </w:r>
    </w:p>
    <w:p>
      <w:pPr>
        <w:keepNext/>
        <w:keepLines/>
        <w:spacing w:before="120" w:after="120"/>
        <w:rPr>
          <w:b/>
          <w:bCs/>
          <w:sz w:val="32"/>
          <w:szCs w:val="32"/>
        </w:rPr>
      </w:pPr>
      <w:bookmarkStart w:id="707" w:name="_Toc247085774"/>
      <w:bookmarkStart w:id="708" w:name="_Toc525983761"/>
      <w:bookmarkStart w:id="709" w:name="_Toc246996259"/>
      <w:bookmarkStart w:id="710" w:name="_Toc246997002"/>
      <w:r>
        <w:rPr>
          <w:rFonts w:hint="eastAsia"/>
          <w:b/>
          <w:bCs/>
          <w:sz w:val="32"/>
          <w:szCs w:val="32"/>
        </w:rPr>
        <w:t>1.5 合同协议书</w:t>
      </w:r>
      <w:bookmarkEnd w:id="707"/>
      <w:bookmarkEnd w:id="708"/>
      <w:bookmarkEnd w:id="709"/>
      <w:bookmarkEnd w:id="710"/>
    </w:p>
    <w:p>
      <w:pPr>
        <w:spacing w:line="360" w:lineRule="auto"/>
        <w:ind w:firstLine="420" w:firstLineChars="200"/>
        <w:rPr>
          <w:szCs w:val="21"/>
        </w:rPr>
      </w:pPr>
      <w:r>
        <w:rPr>
          <w:rFonts w:hint="eastAsia"/>
          <w:szCs w:val="21"/>
        </w:rPr>
        <w:t>承包人按成交通知书规定的时间与发包人签订合同协议书。除法律另有规定或合同另有约定外，发包人和承包人的法定代表人或其委托代理人在合同协议书上签字并盖单位章后，合同生效。</w:t>
      </w:r>
    </w:p>
    <w:p>
      <w:pPr>
        <w:keepNext/>
        <w:keepLines/>
        <w:spacing w:before="120" w:after="120"/>
        <w:rPr>
          <w:b/>
          <w:bCs/>
          <w:sz w:val="32"/>
          <w:szCs w:val="32"/>
        </w:rPr>
      </w:pPr>
      <w:bookmarkStart w:id="711" w:name="_Toc246997003"/>
      <w:bookmarkStart w:id="712" w:name="_Toc525983762"/>
      <w:bookmarkStart w:id="713" w:name="_Toc247085775"/>
      <w:bookmarkStart w:id="714" w:name="_Toc246996260"/>
      <w:r>
        <w:rPr>
          <w:rFonts w:hint="eastAsia"/>
          <w:b/>
          <w:bCs/>
          <w:sz w:val="32"/>
          <w:szCs w:val="32"/>
        </w:rPr>
        <w:t>1.6 图纸和承包人文件</w:t>
      </w:r>
      <w:bookmarkEnd w:id="711"/>
      <w:bookmarkEnd w:id="712"/>
      <w:bookmarkEnd w:id="713"/>
      <w:bookmarkEnd w:id="714"/>
    </w:p>
    <w:p>
      <w:pPr>
        <w:spacing w:line="360" w:lineRule="auto"/>
        <w:ind w:firstLine="420" w:firstLineChars="200"/>
        <w:rPr>
          <w:szCs w:val="21"/>
        </w:rPr>
      </w:pPr>
      <w:r>
        <w:rPr>
          <w:rFonts w:hint="eastAsia"/>
          <w:szCs w:val="21"/>
        </w:rPr>
        <w:t>1.6.1 发包人提供的图纸</w:t>
      </w:r>
    </w:p>
    <w:p>
      <w:pPr>
        <w:spacing w:line="360" w:lineRule="auto"/>
        <w:ind w:firstLine="420" w:firstLineChars="200"/>
        <w:rPr>
          <w:szCs w:val="21"/>
        </w:rPr>
      </w:pPr>
      <w:r>
        <w:rPr>
          <w:rFonts w:hint="eastAsia"/>
          <w:szCs w:val="21"/>
        </w:rPr>
        <w:t>图纸应在合理的期限内提供给承包人。</w:t>
      </w:r>
    </w:p>
    <w:p>
      <w:pPr>
        <w:spacing w:line="360" w:lineRule="auto"/>
        <w:ind w:firstLine="420" w:firstLineChars="200"/>
        <w:rPr>
          <w:szCs w:val="21"/>
        </w:rPr>
      </w:pPr>
      <w:r>
        <w:rPr>
          <w:rFonts w:hint="eastAsia"/>
          <w:szCs w:val="21"/>
        </w:rPr>
        <w:t>1.6.2 承包人提供的文件</w:t>
      </w:r>
    </w:p>
    <w:p>
      <w:pPr>
        <w:spacing w:line="360" w:lineRule="auto"/>
        <w:ind w:firstLine="420" w:firstLineChars="200"/>
        <w:rPr>
          <w:szCs w:val="21"/>
        </w:rPr>
      </w:pPr>
      <w:r>
        <w:rPr>
          <w:rFonts w:hint="eastAsia"/>
          <w:szCs w:val="21"/>
        </w:rPr>
        <w:t>由承包人提供的文件，包括部分工程的大样图、加工图等，承包人应按约定的期限报送监理人。</w:t>
      </w:r>
    </w:p>
    <w:p>
      <w:pPr>
        <w:keepNext/>
        <w:keepLines/>
        <w:spacing w:before="120" w:after="120"/>
        <w:rPr>
          <w:b/>
          <w:bCs/>
          <w:sz w:val="32"/>
          <w:szCs w:val="32"/>
        </w:rPr>
      </w:pPr>
      <w:bookmarkStart w:id="715" w:name="_Toc247085776"/>
      <w:bookmarkStart w:id="716" w:name="_Toc246997004"/>
      <w:bookmarkStart w:id="717" w:name="_Toc525983763"/>
      <w:bookmarkStart w:id="718" w:name="_Toc246996261"/>
      <w:r>
        <w:rPr>
          <w:rFonts w:hint="eastAsia"/>
          <w:b/>
          <w:bCs/>
          <w:sz w:val="32"/>
          <w:szCs w:val="32"/>
        </w:rPr>
        <w:t>1.7 联络</w:t>
      </w:r>
      <w:bookmarkEnd w:id="715"/>
      <w:bookmarkEnd w:id="716"/>
      <w:bookmarkEnd w:id="717"/>
      <w:bookmarkEnd w:id="718"/>
    </w:p>
    <w:p>
      <w:pPr>
        <w:spacing w:line="360" w:lineRule="auto"/>
        <w:ind w:firstLine="420" w:firstLineChars="200"/>
        <w:rPr>
          <w:szCs w:val="21"/>
        </w:rPr>
      </w:pPr>
      <w:r>
        <w:rPr>
          <w:rFonts w:hint="eastAsia"/>
          <w:szCs w:val="21"/>
        </w:rPr>
        <w:t>与合同有关的通知、批准、证明、证书、指示、要求、请求、同意、意见、确定和决定等重要文件，均应采用书面形式。</w:t>
      </w:r>
    </w:p>
    <w:p>
      <w:pPr>
        <w:spacing w:line="360" w:lineRule="auto"/>
        <w:ind w:firstLine="420" w:firstLineChars="200"/>
        <w:rPr>
          <w:szCs w:val="21"/>
        </w:rPr>
      </w:pPr>
      <w:r>
        <w:rPr>
          <w:rFonts w:hint="eastAsia"/>
          <w:szCs w:val="21"/>
        </w:rPr>
        <w:t>按合同约定应当由监理人审核、批准、确认或者提出修改意见的承包人的要求、请求、申请和报批等，监理人在合同约定的期限内未回复的，视同认可，合同中未明确约定回复期限的，其相应期限均为收到相关文件后7天。</w:t>
      </w:r>
    </w:p>
    <w:p>
      <w:pPr>
        <w:keepNext/>
        <w:keepLines/>
        <w:spacing w:before="120" w:after="120"/>
        <w:rPr>
          <w:rFonts w:ascii="Arial" w:hAnsi="Arial" w:eastAsia="黑体"/>
          <w:b/>
          <w:bCs/>
          <w:sz w:val="32"/>
          <w:szCs w:val="32"/>
        </w:rPr>
      </w:pPr>
      <w:bookmarkStart w:id="719" w:name="_Toc247085778"/>
      <w:bookmarkStart w:id="720" w:name="_Toc246997006"/>
      <w:bookmarkStart w:id="721" w:name="_Toc184635099"/>
      <w:bookmarkStart w:id="722" w:name="_Toc525983764"/>
      <w:bookmarkStart w:id="723" w:name="_Toc246996263"/>
      <w:r>
        <w:rPr>
          <w:rFonts w:hint="eastAsia" w:ascii="Arial" w:hAnsi="Arial" w:eastAsia="黑体"/>
          <w:b/>
          <w:bCs/>
          <w:sz w:val="32"/>
          <w:szCs w:val="32"/>
        </w:rPr>
        <w:t>2. 发包人义务</w:t>
      </w:r>
      <w:bookmarkEnd w:id="719"/>
      <w:bookmarkEnd w:id="720"/>
      <w:bookmarkEnd w:id="721"/>
      <w:bookmarkEnd w:id="722"/>
      <w:bookmarkEnd w:id="723"/>
    </w:p>
    <w:p>
      <w:pPr>
        <w:keepNext/>
        <w:keepLines/>
        <w:spacing w:before="120" w:after="120"/>
        <w:rPr>
          <w:b/>
          <w:bCs/>
          <w:sz w:val="32"/>
          <w:szCs w:val="32"/>
        </w:rPr>
      </w:pPr>
      <w:bookmarkStart w:id="724" w:name="_Toc525983765"/>
      <w:bookmarkStart w:id="725" w:name="_Toc246996264"/>
      <w:bookmarkStart w:id="726" w:name="_Toc246997007"/>
      <w:bookmarkStart w:id="727" w:name="_Toc247085779"/>
      <w:r>
        <w:rPr>
          <w:rFonts w:hint="eastAsia"/>
          <w:b/>
          <w:bCs/>
          <w:sz w:val="32"/>
          <w:szCs w:val="32"/>
        </w:rPr>
        <w:t>2.1 遵守法律</w:t>
      </w:r>
      <w:bookmarkEnd w:id="724"/>
      <w:bookmarkEnd w:id="725"/>
      <w:bookmarkEnd w:id="726"/>
      <w:bookmarkEnd w:id="727"/>
    </w:p>
    <w:p>
      <w:pPr>
        <w:spacing w:line="360" w:lineRule="auto"/>
        <w:ind w:firstLine="420" w:firstLineChars="200"/>
        <w:rPr>
          <w:szCs w:val="21"/>
        </w:rPr>
      </w:pPr>
      <w:r>
        <w:rPr>
          <w:rFonts w:hint="eastAsia"/>
          <w:szCs w:val="21"/>
        </w:rPr>
        <w:t>发包人在履行合同过程中应遵守法律，并保证承包人免于承担因发包人违反法律而引起的任何责任。</w:t>
      </w:r>
    </w:p>
    <w:p>
      <w:pPr>
        <w:keepNext/>
        <w:keepLines/>
        <w:spacing w:before="120" w:after="120"/>
        <w:rPr>
          <w:b/>
          <w:bCs/>
          <w:sz w:val="32"/>
          <w:szCs w:val="32"/>
        </w:rPr>
      </w:pPr>
      <w:bookmarkStart w:id="728" w:name="_Toc246996265"/>
      <w:bookmarkStart w:id="729" w:name="_Toc247085780"/>
      <w:bookmarkStart w:id="730" w:name="_Toc246997008"/>
      <w:bookmarkStart w:id="731" w:name="_Toc525983766"/>
      <w:r>
        <w:rPr>
          <w:rFonts w:hint="eastAsia"/>
          <w:b/>
          <w:bCs/>
          <w:sz w:val="32"/>
          <w:szCs w:val="32"/>
        </w:rPr>
        <w:t>2.2 发出开工通知</w:t>
      </w:r>
      <w:bookmarkEnd w:id="728"/>
      <w:bookmarkEnd w:id="729"/>
      <w:bookmarkEnd w:id="730"/>
      <w:bookmarkEnd w:id="731"/>
    </w:p>
    <w:p>
      <w:pPr>
        <w:spacing w:before="100" w:beforeAutospacing="1" w:after="100" w:afterAutospacing="1"/>
        <w:ind w:firstLine="420" w:firstLineChars="200"/>
        <w:rPr>
          <w:szCs w:val="21"/>
        </w:rPr>
      </w:pPr>
      <w:r>
        <w:rPr>
          <w:rFonts w:hint="eastAsia"/>
          <w:szCs w:val="21"/>
        </w:rPr>
        <w:t>发包人应委托监理人按第6.2 款的约定向承包人发出开工通知。</w:t>
      </w:r>
    </w:p>
    <w:p>
      <w:pPr>
        <w:keepNext/>
        <w:keepLines/>
        <w:spacing w:before="120" w:after="120"/>
        <w:rPr>
          <w:b/>
          <w:bCs/>
          <w:sz w:val="32"/>
          <w:szCs w:val="32"/>
        </w:rPr>
      </w:pPr>
      <w:bookmarkStart w:id="732" w:name="_Toc525983767"/>
      <w:bookmarkStart w:id="733" w:name="_Toc246997009"/>
      <w:bookmarkStart w:id="734" w:name="_Toc247085781"/>
      <w:bookmarkStart w:id="735" w:name="_Toc246996266"/>
      <w:r>
        <w:rPr>
          <w:rFonts w:hint="eastAsia"/>
          <w:b/>
          <w:bCs/>
          <w:sz w:val="32"/>
          <w:szCs w:val="32"/>
        </w:rPr>
        <w:t>2.3 提供施工场地</w:t>
      </w:r>
      <w:bookmarkEnd w:id="732"/>
      <w:bookmarkEnd w:id="733"/>
      <w:bookmarkEnd w:id="734"/>
      <w:bookmarkEnd w:id="735"/>
    </w:p>
    <w:p>
      <w:pPr>
        <w:spacing w:before="100" w:beforeAutospacing="1" w:after="100" w:afterAutospacing="1"/>
        <w:ind w:firstLine="420" w:firstLineChars="200"/>
        <w:rPr>
          <w:szCs w:val="21"/>
        </w:rPr>
      </w:pPr>
      <w:r>
        <w:rPr>
          <w:rFonts w:hint="eastAsia"/>
          <w:szCs w:val="21"/>
        </w:rPr>
        <w:t>发包人应向承包人提供施工场地，以及施工场地内地下管线和地下设施等有关资料，并保证资料的真实、准确、完整。</w:t>
      </w:r>
    </w:p>
    <w:p>
      <w:pPr>
        <w:keepNext/>
        <w:keepLines/>
        <w:spacing w:before="120" w:after="120"/>
        <w:rPr>
          <w:b/>
          <w:bCs/>
          <w:sz w:val="32"/>
          <w:szCs w:val="32"/>
        </w:rPr>
      </w:pPr>
      <w:bookmarkStart w:id="736" w:name="_Toc246996267"/>
      <w:bookmarkStart w:id="737" w:name="_Toc246997010"/>
      <w:bookmarkStart w:id="738" w:name="_Toc525983768"/>
      <w:bookmarkStart w:id="739" w:name="_Toc247085782"/>
      <w:r>
        <w:rPr>
          <w:rFonts w:hint="eastAsia"/>
          <w:b/>
          <w:bCs/>
          <w:sz w:val="32"/>
          <w:szCs w:val="32"/>
        </w:rPr>
        <w:t>2.4 协助承包人办理证件和批件</w:t>
      </w:r>
      <w:bookmarkEnd w:id="736"/>
      <w:bookmarkEnd w:id="737"/>
      <w:bookmarkEnd w:id="738"/>
      <w:bookmarkEnd w:id="739"/>
    </w:p>
    <w:p>
      <w:pPr>
        <w:spacing w:before="100" w:beforeAutospacing="1" w:after="100" w:afterAutospacing="1"/>
        <w:ind w:firstLine="420" w:firstLineChars="200"/>
        <w:rPr>
          <w:szCs w:val="21"/>
        </w:rPr>
      </w:pPr>
      <w:r>
        <w:rPr>
          <w:rFonts w:hint="eastAsia"/>
          <w:szCs w:val="21"/>
        </w:rPr>
        <w:t>发包人应协助承包人办理法律规定的有关施工证件和批件。</w:t>
      </w:r>
    </w:p>
    <w:p>
      <w:pPr>
        <w:keepNext/>
        <w:keepLines/>
        <w:spacing w:before="120" w:after="120"/>
        <w:rPr>
          <w:b/>
          <w:bCs/>
          <w:sz w:val="32"/>
          <w:szCs w:val="32"/>
        </w:rPr>
      </w:pPr>
      <w:bookmarkStart w:id="740" w:name="_Toc525983769"/>
      <w:bookmarkStart w:id="741" w:name="_Toc246996268"/>
      <w:bookmarkStart w:id="742" w:name="_Toc246997011"/>
      <w:bookmarkStart w:id="743" w:name="_Toc247085783"/>
      <w:r>
        <w:rPr>
          <w:rFonts w:hint="eastAsia"/>
          <w:b/>
          <w:bCs/>
          <w:sz w:val="32"/>
          <w:szCs w:val="32"/>
        </w:rPr>
        <w:t>2.5 组织设计交底</w:t>
      </w:r>
      <w:bookmarkEnd w:id="740"/>
      <w:bookmarkEnd w:id="741"/>
      <w:bookmarkEnd w:id="742"/>
      <w:bookmarkEnd w:id="743"/>
    </w:p>
    <w:p>
      <w:pPr>
        <w:spacing w:before="100" w:beforeAutospacing="1" w:after="100" w:afterAutospacing="1"/>
        <w:ind w:firstLine="420" w:firstLineChars="200"/>
        <w:rPr>
          <w:szCs w:val="21"/>
        </w:rPr>
      </w:pPr>
      <w:r>
        <w:rPr>
          <w:rFonts w:hint="eastAsia"/>
          <w:szCs w:val="21"/>
        </w:rPr>
        <w:t>发包人应根据合同进度计划，组织设计单位向承包人进行设计交底。</w:t>
      </w:r>
    </w:p>
    <w:p>
      <w:pPr>
        <w:keepNext/>
        <w:keepLines/>
        <w:spacing w:before="120" w:after="120"/>
        <w:rPr>
          <w:b/>
          <w:bCs/>
          <w:sz w:val="32"/>
          <w:szCs w:val="32"/>
        </w:rPr>
      </w:pPr>
      <w:bookmarkStart w:id="744" w:name="_Toc246996269"/>
      <w:bookmarkStart w:id="745" w:name="_Toc525983770"/>
      <w:bookmarkStart w:id="746" w:name="_Toc247085784"/>
      <w:bookmarkStart w:id="747" w:name="_Toc246997012"/>
      <w:r>
        <w:rPr>
          <w:rFonts w:hint="eastAsia"/>
          <w:b/>
          <w:bCs/>
          <w:sz w:val="32"/>
          <w:szCs w:val="32"/>
        </w:rPr>
        <w:t>2.6 支付合同价款</w:t>
      </w:r>
      <w:bookmarkEnd w:id="744"/>
      <w:bookmarkEnd w:id="745"/>
      <w:bookmarkEnd w:id="746"/>
      <w:bookmarkEnd w:id="747"/>
    </w:p>
    <w:p>
      <w:pPr>
        <w:spacing w:before="100" w:beforeAutospacing="1" w:after="100" w:afterAutospacing="1"/>
        <w:ind w:firstLine="420" w:firstLineChars="200"/>
        <w:rPr>
          <w:szCs w:val="21"/>
        </w:rPr>
      </w:pPr>
      <w:r>
        <w:rPr>
          <w:rFonts w:hint="eastAsia"/>
          <w:szCs w:val="21"/>
        </w:rPr>
        <w:t>发包人应按合同约定向承包人及时支付合同价款。</w:t>
      </w:r>
    </w:p>
    <w:p>
      <w:pPr>
        <w:keepNext/>
        <w:keepLines/>
        <w:spacing w:before="120" w:after="120"/>
        <w:rPr>
          <w:b/>
          <w:bCs/>
          <w:sz w:val="32"/>
          <w:szCs w:val="32"/>
        </w:rPr>
      </w:pPr>
      <w:bookmarkStart w:id="748" w:name="_Toc247085785"/>
      <w:bookmarkStart w:id="749" w:name="_Toc525983771"/>
      <w:bookmarkStart w:id="750" w:name="_Toc246996270"/>
      <w:bookmarkStart w:id="751" w:name="_Toc246997013"/>
      <w:r>
        <w:rPr>
          <w:rFonts w:hint="eastAsia"/>
          <w:b/>
          <w:bCs/>
          <w:sz w:val="32"/>
          <w:szCs w:val="32"/>
        </w:rPr>
        <w:t>2.7 组织竣工验收</w:t>
      </w:r>
      <w:bookmarkEnd w:id="748"/>
      <w:bookmarkEnd w:id="749"/>
      <w:bookmarkEnd w:id="750"/>
      <w:bookmarkEnd w:id="751"/>
    </w:p>
    <w:p>
      <w:pPr>
        <w:spacing w:before="100" w:beforeAutospacing="1" w:after="100" w:afterAutospacing="1"/>
        <w:ind w:firstLine="420" w:firstLineChars="200"/>
        <w:rPr>
          <w:szCs w:val="21"/>
        </w:rPr>
      </w:pPr>
      <w:r>
        <w:rPr>
          <w:rFonts w:hint="eastAsia"/>
          <w:szCs w:val="21"/>
        </w:rPr>
        <w:t>发包人应按合同约定及时组织竣工验收。</w:t>
      </w:r>
    </w:p>
    <w:p>
      <w:pPr>
        <w:keepNext/>
        <w:keepLines/>
        <w:spacing w:before="120" w:after="120"/>
        <w:rPr>
          <w:b/>
          <w:bCs/>
          <w:sz w:val="32"/>
          <w:szCs w:val="32"/>
        </w:rPr>
      </w:pPr>
      <w:bookmarkStart w:id="752" w:name="_Toc525983772"/>
      <w:bookmarkStart w:id="753" w:name="_Toc247085786"/>
      <w:bookmarkStart w:id="754" w:name="_Toc246997014"/>
      <w:bookmarkStart w:id="755" w:name="_Toc246996271"/>
      <w:r>
        <w:rPr>
          <w:rFonts w:hint="eastAsia"/>
          <w:b/>
          <w:bCs/>
          <w:sz w:val="32"/>
          <w:szCs w:val="32"/>
        </w:rPr>
        <w:t>2.8 其他义务</w:t>
      </w:r>
      <w:bookmarkEnd w:id="752"/>
      <w:bookmarkEnd w:id="753"/>
      <w:bookmarkEnd w:id="754"/>
      <w:bookmarkEnd w:id="755"/>
    </w:p>
    <w:p>
      <w:pPr>
        <w:spacing w:before="100" w:beforeAutospacing="1" w:after="100" w:afterAutospacing="1"/>
        <w:ind w:firstLine="420" w:firstLineChars="200"/>
        <w:rPr>
          <w:szCs w:val="21"/>
        </w:rPr>
      </w:pPr>
      <w:r>
        <w:rPr>
          <w:rFonts w:hint="eastAsia"/>
          <w:szCs w:val="21"/>
        </w:rPr>
        <w:t>发包人应履行合同约定的其他义务。</w:t>
      </w:r>
    </w:p>
    <w:p>
      <w:pPr>
        <w:keepNext/>
        <w:keepLines/>
        <w:spacing w:before="100" w:beforeAutospacing="1" w:after="100" w:afterAutospacing="1"/>
        <w:rPr>
          <w:rFonts w:ascii="Arial" w:hAnsi="Arial" w:eastAsia="黑体"/>
          <w:b/>
          <w:bCs/>
          <w:sz w:val="32"/>
          <w:szCs w:val="32"/>
        </w:rPr>
      </w:pPr>
      <w:bookmarkStart w:id="756" w:name="_Toc246997015"/>
      <w:bookmarkStart w:id="757" w:name="_Toc246996272"/>
      <w:bookmarkStart w:id="758" w:name="_Toc525983773"/>
      <w:bookmarkStart w:id="759" w:name="_Toc184635100"/>
      <w:bookmarkStart w:id="760" w:name="_Toc247085787"/>
      <w:r>
        <w:rPr>
          <w:rFonts w:hint="eastAsia" w:ascii="Arial" w:hAnsi="Arial" w:eastAsia="黑体"/>
          <w:b/>
          <w:bCs/>
          <w:sz w:val="32"/>
          <w:szCs w:val="32"/>
        </w:rPr>
        <w:t>3. 监理人</w:t>
      </w:r>
      <w:bookmarkEnd w:id="756"/>
      <w:bookmarkEnd w:id="757"/>
      <w:bookmarkEnd w:id="758"/>
      <w:bookmarkEnd w:id="759"/>
      <w:bookmarkEnd w:id="760"/>
      <w:r>
        <w:rPr>
          <w:rFonts w:hint="eastAsia" w:ascii="Arial" w:hAnsi="Arial" w:eastAsia="黑体"/>
          <w:b/>
          <w:bCs/>
          <w:sz w:val="32"/>
          <w:szCs w:val="32"/>
        </w:rPr>
        <w:t>（本项目不适用）</w:t>
      </w:r>
    </w:p>
    <w:p>
      <w:pPr>
        <w:keepNext/>
        <w:keepLines/>
        <w:spacing w:before="120" w:after="120"/>
        <w:rPr>
          <w:b/>
          <w:bCs/>
          <w:sz w:val="32"/>
          <w:szCs w:val="32"/>
        </w:rPr>
      </w:pPr>
      <w:bookmarkStart w:id="761" w:name="_Toc247085788"/>
      <w:bookmarkStart w:id="762" w:name="_Toc246997016"/>
      <w:bookmarkStart w:id="763" w:name="_Toc246996273"/>
      <w:bookmarkStart w:id="764" w:name="_Toc525983774"/>
      <w:r>
        <w:rPr>
          <w:rFonts w:hint="eastAsia"/>
          <w:b/>
          <w:bCs/>
          <w:sz w:val="32"/>
          <w:szCs w:val="32"/>
        </w:rPr>
        <w:t>3.1 监理人的职责和权力</w:t>
      </w:r>
      <w:bookmarkEnd w:id="761"/>
      <w:bookmarkEnd w:id="762"/>
      <w:bookmarkEnd w:id="763"/>
      <w:bookmarkEnd w:id="764"/>
    </w:p>
    <w:p>
      <w:pPr>
        <w:spacing w:line="360" w:lineRule="auto"/>
        <w:ind w:firstLine="420" w:firstLineChars="200"/>
        <w:rPr>
          <w:szCs w:val="21"/>
        </w:rPr>
      </w:pPr>
      <w:r>
        <w:rPr>
          <w:rFonts w:hint="eastAsia"/>
          <w:szCs w:val="21"/>
        </w:rPr>
        <w:t>3.1.1 监理人受发包人委托，享有合同约定的权力，其所发出的任何指示应视为已得到发包人的批准。</w:t>
      </w:r>
    </w:p>
    <w:p>
      <w:pPr>
        <w:spacing w:line="360" w:lineRule="auto"/>
        <w:ind w:firstLine="420" w:firstLineChars="200"/>
        <w:rPr>
          <w:szCs w:val="21"/>
        </w:rPr>
      </w:pPr>
      <w:r>
        <w:rPr>
          <w:rFonts w:hint="eastAsia"/>
          <w:szCs w:val="21"/>
        </w:rPr>
        <w:t>3.1.2 合同约定应由承包人承担的义务和责任，不因监理人对承包人文件的审查或批准，对工程、材料和工程设备的检查和检验，以及为实施监理作出的指示等职务行为而减轻或解除。</w:t>
      </w:r>
    </w:p>
    <w:p>
      <w:pPr>
        <w:keepNext/>
        <w:keepLines/>
        <w:spacing w:before="120" w:after="120"/>
        <w:rPr>
          <w:b/>
          <w:bCs/>
          <w:sz w:val="32"/>
          <w:szCs w:val="32"/>
        </w:rPr>
      </w:pPr>
      <w:bookmarkStart w:id="765" w:name="_Toc246996274"/>
      <w:bookmarkStart w:id="766" w:name="_Toc247085789"/>
      <w:bookmarkStart w:id="767" w:name="_Toc525983775"/>
      <w:bookmarkStart w:id="768" w:name="_Toc246997017"/>
      <w:r>
        <w:rPr>
          <w:rFonts w:hint="eastAsia"/>
          <w:b/>
          <w:bCs/>
          <w:sz w:val="32"/>
          <w:szCs w:val="32"/>
        </w:rPr>
        <w:t>3.2 总监理工程师</w:t>
      </w:r>
      <w:bookmarkEnd w:id="765"/>
      <w:bookmarkEnd w:id="766"/>
      <w:bookmarkEnd w:id="767"/>
      <w:bookmarkEnd w:id="768"/>
    </w:p>
    <w:p>
      <w:pPr>
        <w:spacing w:before="100" w:beforeAutospacing="1" w:after="100" w:afterAutospacing="1"/>
        <w:ind w:firstLine="420" w:firstLineChars="200"/>
        <w:rPr>
          <w:szCs w:val="21"/>
        </w:rPr>
      </w:pPr>
      <w:r>
        <w:rPr>
          <w:rFonts w:hint="eastAsia"/>
          <w:szCs w:val="21"/>
        </w:rPr>
        <w:t>发包人应在发出开工通知前将总监理工程师的任命通知承包人。</w:t>
      </w:r>
    </w:p>
    <w:p>
      <w:pPr>
        <w:keepNext/>
        <w:keepLines/>
        <w:spacing w:before="120" w:after="120"/>
        <w:rPr>
          <w:b/>
          <w:bCs/>
          <w:sz w:val="32"/>
          <w:szCs w:val="32"/>
        </w:rPr>
      </w:pPr>
      <w:bookmarkStart w:id="769" w:name="_Toc246997018"/>
      <w:bookmarkStart w:id="770" w:name="_Toc247085790"/>
      <w:bookmarkStart w:id="771" w:name="_Toc525983776"/>
      <w:bookmarkStart w:id="772" w:name="_Toc246996275"/>
      <w:r>
        <w:rPr>
          <w:rFonts w:hint="eastAsia"/>
          <w:b/>
          <w:bCs/>
          <w:sz w:val="32"/>
          <w:szCs w:val="32"/>
        </w:rPr>
        <w:t>3.3 监理人员</w:t>
      </w:r>
      <w:bookmarkEnd w:id="769"/>
      <w:bookmarkEnd w:id="770"/>
      <w:bookmarkEnd w:id="771"/>
      <w:bookmarkEnd w:id="772"/>
    </w:p>
    <w:p>
      <w:pPr>
        <w:spacing w:line="360" w:lineRule="auto"/>
        <w:ind w:firstLine="420" w:firstLineChars="200"/>
        <w:rPr>
          <w:szCs w:val="21"/>
        </w:rPr>
      </w:pPr>
      <w:r>
        <w:rPr>
          <w:rFonts w:hint="eastAsia"/>
          <w:szCs w:val="21"/>
        </w:rPr>
        <w:t>3.3.1 总监理工程师可以授权其他监理人员负责执行其指派的一项或多项监理工作。被授权的监理人员在授权范围内发出的指示视为已得到总监理工程师的同意，与总监理工程师发出的指示具有同等效力。</w:t>
      </w:r>
    </w:p>
    <w:p>
      <w:pPr>
        <w:spacing w:line="360" w:lineRule="auto"/>
        <w:ind w:firstLine="420" w:firstLineChars="200"/>
        <w:rPr>
          <w:szCs w:val="21"/>
        </w:rPr>
      </w:pPr>
      <w:r>
        <w:rPr>
          <w:rFonts w:hint="eastAsia"/>
          <w:szCs w:val="21"/>
        </w:rPr>
        <w:t>3.3.2监理人员对承包人文件、工程或其采用的材料和工程设备未在约定的或合理的期限内提出否定意见的，视为已获批准，但不影响监理人在以后拒绝该项工作、工程、材料或工程设备的权利，监理人的拒绝应当符合法律规定和合同约定。</w:t>
      </w:r>
    </w:p>
    <w:p>
      <w:pPr>
        <w:spacing w:line="360" w:lineRule="auto"/>
        <w:ind w:firstLine="420" w:firstLineChars="200"/>
        <w:rPr>
          <w:szCs w:val="21"/>
        </w:rPr>
      </w:pPr>
      <w:r>
        <w:rPr>
          <w:rFonts w:hint="eastAsia"/>
          <w:szCs w:val="21"/>
        </w:rPr>
        <w:t>3.3.3 承包人对总监理工程师授权的监理人员发出的指示有疑问的，可在该指示发出的48小时内向总监理工程师提出书面异议，总监理工程师应在48小时内对该指示予以确认、更改或撤销。</w:t>
      </w:r>
    </w:p>
    <w:p>
      <w:pPr>
        <w:keepNext/>
        <w:keepLines/>
        <w:spacing w:before="120" w:after="120"/>
        <w:rPr>
          <w:b/>
          <w:bCs/>
          <w:sz w:val="32"/>
          <w:szCs w:val="32"/>
        </w:rPr>
      </w:pPr>
      <w:bookmarkStart w:id="773" w:name="_Toc246997019"/>
      <w:bookmarkStart w:id="774" w:name="_Toc247085791"/>
      <w:bookmarkStart w:id="775" w:name="_Toc246996276"/>
      <w:bookmarkStart w:id="776" w:name="_Toc525983777"/>
      <w:r>
        <w:rPr>
          <w:rFonts w:hint="eastAsia"/>
          <w:b/>
          <w:bCs/>
          <w:sz w:val="32"/>
          <w:szCs w:val="32"/>
        </w:rPr>
        <w:t>3.4 监理人的指示</w:t>
      </w:r>
      <w:bookmarkEnd w:id="773"/>
      <w:bookmarkEnd w:id="774"/>
      <w:bookmarkEnd w:id="775"/>
      <w:bookmarkEnd w:id="776"/>
    </w:p>
    <w:p>
      <w:pPr>
        <w:spacing w:line="360" w:lineRule="auto"/>
        <w:ind w:firstLine="420" w:firstLineChars="200"/>
        <w:rPr>
          <w:szCs w:val="21"/>
        </w:rPr>
      </w:pPr>
      <w:r>
        <w:rPr>
          <w:rFonts w:hint="eastAsia"/>
          <w:szCs w:val="21"/>
        </w:rPr>
        <w:t>3.4.1 监理人应按第3.1 款的约定向承包人发出指示，监理人的指示应盖有监理人授权的施工场地机构章，并由总监理工程师或总监理工程师按第3.3.1 项约定授权的监理人员签字。</w:t>
      </w:r>
    </w:p>
    <w:p>
      <w:pPr>
        <w:spacing w:line="360" w:lineRule="auto"/>
        <w:ind w:firstLine="420" w:firstLineChars="200"/>
        <w:rPr>
          <w:szCs w:val="21"/>
        </w:rPr>
      </w:pPr>
      <w:r>
        <w:rPr>
          <w:rFonts w:hint="eastAsia"/>
          <w:szCs w:val="21"/>
        </w:rPr>
        <w:t>3.4.2 承包人收到监理人按第3.4.1 项作出的指示后应遵照执行。指示构成变更的，应按第9条处理。</w:t>
      </w:r>
    </w:p>
    <w:p>
      <w:pPr>
        <w:keepNext/>
        <w:keepLines/>
        <w:spacing w:before="120" w:after="120"/>
        <w:rPr>
          <w:b/>
          <w:bCs/>
          <w:sz w:val="32"/>
          <w:szCs w:val="32"/>
        </w:rPr>
      </w:pPr>
      <w:bookmarkStart w:id="777" w:name="_Toc247085792"/>
      <w:bookmarkStart w:id="778" w:name="_Toc246997020"/>
      <w:bookmarkStart w:id="779" w:name="_Toc525983778"/>
      <w:bookmarkStart w:id="780" w:name="_Toc246996277"/>
      <w:r>
        <w:rPr>
          <w:rFonts w:hint="eastAsia"/>
          <w:b/>
          <w:bCs/>
          <w:sz w:val="32"/>
          <w:szCs w:val="32"/>
        </w:rPr>
        <w:t>3.5 商定或确定</w:t>
      </w:r>
      <w:bookmarkEnd w:id="777"/>
      <w:bookmarkEnd w:id="778"/>
      <w:bookmarkEnd w:id="779"/>
      <w:bookmarkEnd w:id="780"/>
    </w:p>
    <w:p>
      <w:pPr>
        <w:spacing w:line="360" w:lineRule="auto"/>
        <w:ind w:firstLine="420" w:firstLineChars="200"/>
        <w:rPr>
          <w:szCs w:val="21"/>
        </w:rPr>
      </w:pPr>
      <w:r>
        <w:rPr>
          <w:rFonts w:hint="eastAsia"/>
          <w:szCs w:val="21"/>
        </w:rPr>
        <w:t>3.5.1 合同约定总监理工程师应按照本款对任何事项进行商定或确定时，总监理工程师应与合同当事人协商，尽量达成一致。不能达成一致的，总监理工程师应认真研究后审慎确定。</w:t>
      </w:r>
    </w:p>
    <w:p>
      <w:pPr>
        <w:spacing w:line="360" w:lineRule="auto"/>
        <w:ind w:firstLine="420" w:firstLineChars="200"/>
        <w:rPr>
          <w:szCs w:val="21"/>
        </w:rPr>
      </w:pPr>
      <w:r>
        <w:rPr>
          <w:rFonts w:hint="eastAsia"/>
          <w:szCs w:val="21"/>
        </w:rPr>
        <w:t>3.5.2 总监理工程师应将商定或确定的事项通知合同当事人，并附详细依据。对总监理工程师的确定有异议的，构成争议，按照第17条的约定处理。在争议解决前，双方应暂按总监理工程师的确定执行，按照第17 条的约定对总监理工程师的确定作出修改的，按修改后的结果执行。</w:t>
      </w:r>
    </w:p>
    <w:p>
      <w:pPr>
        <w:keepNext/>
        <w:keepLines/>
        <w:spacing w:before="120" w:after="120" w:line="415" w:lineRule="auto"/>
        <w:rPr>
          <w:rFonts w:ascii="Arial" w:hAnsi="Arial" w:eastAsia="黑体"/>
          <w:b/>
          <w:bCs/>
          <w:sz w:val="32"/>
          <w:szCs w:val="32"/>
        </w:rPr>
      </w:pPr>
      <w:bookmarkStart w:id="781" w:name="_Toc247085793"/>
      <w:bookmarkStart w:id="782" w:name="_Toc246996278"/>
      <w:bookmarkStart w:id="783" w:name="_Toc184635101"/>
      <w:bookmarkStart w:id="784" w:name="_Toc246997021"/>
      <w:bookmarkStart w:id="785" w:name="_Toc525983779"/>
      <w:r>
        <w:rPr>
          <w:rFonts w:hint="eastAsia" w:ascii="Arial" w:hAnsi="Arial" w:eastAsia="黑体"/>
          <w:b/>
          <w:bCs/>
          <w:sz w:val="32"/>
          <w:szCs w:val="32"/>
        </w:rPr>
        <w:t>4. 承包人</w:t>
      </w:r>
      <w:bookmarkEnd w:id="781"/>
      <w:bookmarkEnd w:id="782"/>
      <w:bookmarkEnd w:id="783"/>
      <w:bookmarkEnd w:id="784"/>
      <w:bookmarkEnd w:id="785"/>
    </w:p>
    <w:p>
      <w:pPr>
        <w:keepNext/>
        <w:keepLines/>
        <w:spacing w:before="120" w:after="120"/>
        <w:rPr>
          <w:b/>
          <w:bCs/>
          <w:sz w:val="32"/>
          <w:szCs w:val="32"/>
        </w:rPr>
      </w:pPr>
      <w:bookmarkStart w:id="786" w:name="_Toc525983780"/>
      <w:bookmarkStart w:id="787" w:name="_Toc246996279"/>
      <w:bookmarkStart w:id="788" w:name="_Toc247085794"/>
      <w:bookmarkStart w:id="789" w:name="_Toc246997022"/>
      <w:r>
        <w:rPr>
          <w:rFonts w:hint="eastAsia"/>
          <w:b/>
          <w:bCs/>
          <w:sz w:val="32"/>
          <w:szCs w:val="32"/>
        </w:rPr>
        <w:t>4.1 承包人的一般义务</w:t>
      </w:r>
      <w:bookmarkEnd w:id="786"/>
      <w:bookmarkEnd w:id="787"/>
      <w:bookmarkEnd w:id="788"/>
      <w:bookmarkEnd w:id="789"/>
    </w:p>
    <w:p>
      <w:pPr>
        <w:spacing w:line="360" w:lineRule="auto"/>
        <w:ind w:firstLine="420"/>
        <w:rPr>
          <w:szCs w:val="21"/>
        </w:rPr>
      </w:pPr>
      <w:r>
        <w:rPr>
          <w:szCs w:val="21"/>
        </w:rPr>
        <w:t>4.1.1</w:t>
      </w:r>
      <w:r>
        <w:rPr>
          <w:rFonts w:hint="eastAsia"/>
          <w:szCs w:val="21"/>
        </w:rPr>
        <w:t xml:space="preserve"> 承包人应按合同约定以及监理人根据第3.4 款作出的指示，实施、完成全部工程，并修补工程中的任何缺陷。</w:t>
      </w:r>
    </w:p>
    <w:p>
      <w:pPr>
        <w:spacing w:line="360" w:lineRule="auto"/>
        <w:ind w:firstLine="420" w:firstLineChars="200"/>
        <w:rPr>
          <w:szCs w:val="21"/>
        </w:rPr>
      </w:pPr>
      <w:r>
        <w:rPr>
          <w:szCs w:val="21"/>
        </w:rPr>
        <w:t>4.</w:t>
      </w:r>
      <w:r>
        <w:rPr>
          <w:rFonts w:hint="eastAsia"/>
          <w:szCs w:val="21"/>
        </w:rPr>
        <w:t>1</w:t>
      </w:r>
      <w:r>
        <w:rPr>
          <w:szCs w:val="21"/>
        </w:rPr>
        <w:t>.</w:t>
      </w:r>
      <w:r>
        <w:rPr>
          <w:rFonts w:hint="eastAsia"/>
          <w:szCs w:val="21"/>
        </w:rPr>
        <w:t xml:space="preserve">2 </w:t>
      </w:r>
      <w:r>
        <w:rPr>
          <w:szCs w:val="21"/>
        </w:rPr>
        <w:t>除合同另有约定外，承包人应提供为按照合同完成工程所需的</w:t>
      </w:r>
      <w:r>
        <w:rPr>
          <w:rFonts w:hint="eastAsia"/>
          <w:szCs w:val="21"/>
        </w:rPr>
        <w:t>劳务、</w:t>
      </w:r>
      <w:r>
        <w:rPr>
          <w:szCs w:val="21"/>
        </w:rPr>
        <w:t>材料、</w:t>
      </w:r>
      <w:r>
        <w:rPr>
          <w:rFonts w:hint="eastAsia"/>
          <w:szCs w:val="21"/>
        </w:rPr>
        <w:t>施工设备、</w:t>
      </w:r>
      <w:r>
        <w:rPr>
          <w:szCs w:val="21"/>
        </w:rPr>
        <w:t>工程设备</w:t>
      </w:r>
      <w:r>
        <w:rPr>
          <w:rFonts w:hint="eastAsia"/>
          <w:szCs w:val="21"/>
        </w:rPr>
        <w:t>和其他物品，</w:t>
      </w:r>
      <w:r>
        <w:rPr>
          <w:szCs w:val="21"/>
        </w:rPr>
        <w:t>以及</w:t>
      </w:r>
      <w:r>
        <w:rPr>
          <w:rFonts w:hint="eastAsia"/>
          <w:szCs w:val="21"/>
        </w:rPr>
        <w:t>按合同约定的</w:t>
      </w:r>
      <w:r>
        <w:rPr>
          <w:szCs w:val="21"/>
        </w:rPr>
        <w:t>临时设施等。</w:t>
      </w:r>
    </w:p>
    <w:p>
      <w:pPr>
        <w:spacing w:line="360" w:lineRule="auto"/>
        <w:ind w:firstLine="420" w:firstLineChars="200"/>
        <w:rPr>
          <w:szCs w:val="21"/>
        </w:rPr>
      </w:pPr>
      <w:r>
        <w:rPr>
          <w:szCs w:val="21"/>
        </w:rPr>
        <w:t>4.</w:t>
      </w:r>
      <w:r>
        <w:rPr>
          <w:rFonts w:hint="eastAsia"/>
          <w:szCs w:val="21"/>
        </w:rPr>
        <w:t>1</w:t>
      </w:r>
      <w:r>
        <w:rPr>
          <w:szCs w:val="21"/>
        </w:rPr>
        <w:t>.</w:t>
      </w:r>
      <w:r>
        <w:rPr>
          <w:rFonts w:hint="eastAsia"/>
          <w:szCs w:val="21"/>
        </w:rPr>
        <w:t xml:space="preserve">3 </w:t>
      </w:r>
      <w:r>
        <w:rPr>
          <w:szCs w:val="21"/>
        </w:rPr>
        <w:t>承包人应对所有现场作业、所有施工方法和全部工程的完备性、稳定性和安全性负责。</w:t>
      </w:r>
    </w:p>
    <w:p>
      <w:pPr>
        <w:spacing w:line="360" w:lineRule="auto"/>
        <w:ind w:firstLine="420" w:firstLineChars="200"/>
        <w:rPr>
          <w:szCs w:val="21"/>
        </w:rPr>
      </w:pPr>
      <w:r>
        <w:rPr>
          <w:szCs w:val="21"/>
        </w:rPr>
        <w:t>4.</w:t>
      </w:r>
      <w:r>
        <w:rPr>
          <w:rFonts w:hint="eastAsia"/>
          <w:szCs w:val="21"/>
        </w:rPr>
        <w:t>1</w:t>
      </w:r>
      <w:r>
        <w:rPr>
          <w:szCs w:val="21"/>
        </w:rPr>
        <w:t>.</w:t>
      </w:r>
      <w:r>
        <w:rPr>
          <w:rFonts w:hint="eastAsia"/>
          <w:szCs w:val="21"/>
        </w:rPr>
        <w:t>4 承包人应按照法律规定和合同约定，负责施工场地及其周边环境与生态的保护工作。</w:t>
      </w:r>
    </w:p>
    <w:p>
      <w:pPr>
        <w:spacing w:line="360" w:lineRule="auto"/>
        <w:ind w:firstLine="420" w:firstLineChars="200"/>
        <w:rPr>
          <w:szCs w:val="21"/>
        </w:rPr>
      </w:pPr>
      <w:r>
        <w:rPr>
          <w:rFonts w:hint="eastAsia"/>
          <w:szCs w:val="21"/>
        </w:rPr>
        <w:t>4.1.5 工程接收证书颁发前，承包人应负责照管和维护工程。工程接收证书颁发时尚有部分未竣工工程的，承包人还应负责该未竣工工程的照管和维护工作，直至竣工后移交给发包人为止。</w:t>
      </w:r>
    </w:p>
    <w:p>
      <w:pPr>
        <w:spacing w:line="360" w:lineRule="auto"/>
        <w:ind w:firstLine="420" w:firstLineChars="200"/>
        <w:rPr>
          <w:szCs w:val="21"/>
        </w:rPr>
      </w:pPr>
      <w:r>
        <w:rPr>
          <w:rFonts w:hint="eastAsia"/>
          <w:szCs w:val="21"/>
        </w:rPr>
        <w:t>4.1.6 承包人应履行合同约定的其他义务。</w:t>
      </w:r>
    </w:p>
    <w:p>
      <w:pPr>
        <w:keepNext/>
        <w:keepLines/>
        <w:spacing w:before="120" w:after="120"/>
        <w:rPr>
          <w:b/>
          <w:bCs/>
          <w:sz w:val="32"/>
          <w:szCs w:val="32"/>
          <w:highlight w:val="none"/>
          <w:u w:val="none"/>
        </w:rPr>
      </w:pPr>
      <w:bookmarkStart w:id="790" w:name="_Toc247085795"/>
      <w:bookmarkStart w:id="791" w:name="_Toc246997023"/>
      <w:bookmarkStart w:id="792" w:name="_Toc246996280"/>
      <w:bookmarkStart w:id="793" w:name="_Toc525983781"/>
      <w:r>
        <w:rPr>
          <w:rFonts w:hint="eastAsia"/>
          <w:b/>
          <w:bCs/>
          <w:sz w:val="32"/>
          <w:szCs w:val="32"/>
        </w:rPr>
        <w:t>4.2</w:t>
      </w:r>
      <w:r>
        <w:rPr>
          <w:rFonts w:hint="eastAsia"/>
          <w:b/>
          <w:bCs/>
          <w:sz w:val="32"/>
          <w:szCs w:val="32"/>
          <w:highlight w:val="none"/>
          <w:u w:val="none"/>
        </w:rPr>
        <w:t xml:space="preserve"> 履约担保</w:t>
      </w:r>
      <w:bookmarkEnd w:id="790"/>
      <w:bookmarkEnd w:id="791"/>
      <w:bookmarkEnd w:id="792"/>
      <w:r>
        <w:rPr>
          <w:rFonts w:hint="eastAsia"/>
          <w:b/>
          <w:bCs/>
          <w:sz w:val="32"/>
          <w:szCs w:val="32"/>
          <w:highlight w:val="none"/>
          <w:u w:val="none"/>
        </w:rPr>
        <w:t>（不适用）</w:t>
      </w:r>
      <w:bookmarkEnd w:id="793"/>
    </w:p>
    <w:p>
      <w:pPr>
        <w:spacing w:line="360" w:lineRule="auto"/>
        <w:ind w:firstLine="420" w:firstLineChars="200"/>
        <w:rPr>
          <w:szCs w:val="21"/>
          <w:highlight w:val="none"/>
          <w:u w:val="none"/>
        </w:rPr>
      </w:pPr>
      <w:r>
        <w:rPr>
          <w:rFonts w:hint="eastAsia"/>
          <w:szCs w:val="21"/>
          <w:highlight w:val="none"/>
          <w:u w:val="none"/>
        </w:rPr>
        <w:t>4.2.1承包人应保证其履约担保在发包人颁发工程接收证书前一直有效。发包人应在工程接收证书颁发后28 天内把履约担保退还给承包人。</w:t>
      </w:r>
    </w:p>
    <w:p>
      <w:pPr>
        <w:spacing w:line="360" w:lineRule="auto"/>
        <w:ind w:firstLine="420" w:firstLineChars="200"/>
        <w:rPr>
          <w:szCs w:val="21"/>
          <w:highlight w:val="none"/>
          <w:u w:val="none"/>
        </w:rPr>
      </w:pPr>
      <w:r>
        <w:rPr>
          <w:rFonts w:hint="eastAsia"/>
          <w:szCs w:val="21"/>
          <w:highlight w:val="none"/>
          <w:u w:val="none"/>
        </w:rPr>
        <w:t>4.2.2如工程延期，承包人有义务继续提供履约担保。由于发包人原因导致延期的，继续提供履约担保所需的费用由发包人承担；由于承包人原因导致延期的，继续提供履约担保所需费用由承包人承担。</w:t>
      </w:r>
    </w:p>
    <w:p>
      <w:pPr>
        <w:keepNext/>
        <w:keepLines/>
        <w:spacing w:before="120" w:after="120"/>
        <w:rPr>
          <w:b/>
          <w:bCs/>
          <w:sz w:val="32"/>
          <w:szCs w:val="32"/>
        </w:rPr>
      </w:pPr>
      <w:bookmarkStart w:id="794" w:name="_Toc246997025"/>
      <w:bookmarkStart w:id="795" w:name="_Toc525983782"/>
      <w:bookmarkStart w:id="796" w:name="_Toc247085797"/>
      <w:bookmarkStart w:id="797" w:name="_Toc246996282"/>
      <w:r>
        <w:rPr>
          <w:rFonts w:hint="eastAsia"/>
          <w:b/>
          <w:bCs/>
          <w:sz w:val="32"/>
          <w:szCs w:val="32"/>
        </w:rPr>
        <w:t>4.3 承包人项目经理</w:t>
      </w:r>
      <w:bookmarkEnd w:id="794"/>
      <w:bookmarkEnd w:id="795"/>
      <w:bookmarkEnd w:id="796"/>
      <w:bookmarkEnd w:id="797"/>
    </w:p>
    <w:p>
      <w:pPr>
        <w:spacing w:line="360" w:lineRule="auto"/>
        <w:ind w:firstLine="420" w:firstLineChars="200"/>
        <w:rPr>
          <w:szCs w:val="21"/>
        </w:rPr>
      </w:pPr>
      <w:r>
        <w:rPr>
          <w:rFonts w:hint="eastAsia"/>
          <w:szCs w:val="21"/>
        </w:rPr>
        <w:t>承包人应按合同约定指派项目经理，并在约定的期限内到职。承包人项目经理应按合同约定以及监理人按第3.4款作出的指示，负责组织合同工程的实施。承包人为履行合同发出的一切函件均应盖有承包人授权的施工场地管理机构章，并由承包人项目经理或其授权代表签字。</w:t>
      </w:r>
    </w:p>
    <w:p>
      <w:pPr>
        <w:keepNext/>
        <w:keepLines/>
        <w:spacing w:before="120" w:after="120"/>
        <w:rPr>
          <w:b/>
          <w:bCs/>
          <w:sz w:val="32"/>
          <w:szCs w:val="32"/>
        </w:rPr>
      </w:pPr>
      <w:bookmarkStart w:id="798" w:name="_Toc246997026"/>
      <w:bookmarkStart w:id="799" w:name="_Toc525983783"/>
      <w:bookmarkStart w:id="800" w:name="_Toc246996283"/>
      <w:bookmarkStart w:id="801" w:name="_Toc247085798"/>
      <w:r>
        <w:rPr>
          <w:rFonts w:hint="eastAsia"/>
          <w:b/>
          <w:bCs/>
          <w:sz w:val="32"/>
          <w:szCs w:val="32"/>
        </w:rPr>
        <w:t>4.4 工程价款应专款专用</w:t>
      </w:r>
      <w:bookmarkEnd w:id="798"/>
      <w:bookmarkEnd w:id="799"/>
      <w:bookmarkEnd w:id="800"/>
      <w:bookmarkEnd w:id="801"/>
    </w:p>
    <w:p>
      <w:pPr>
        <w:spacing w:line="360" w:lineRule="auto"/>
        <w:ind w:firstLine="420" w:firstLineChars="200"/>
        <w:rPr>
          <w:szCs w:val="21"/>
        </w:rPr>
      </w:pPr>
      <w:r>
        <w:rPr>
          <w:rFonts w:hint="eastAsia"/>
          <w:szCs w:val="21"/>
        </w:rPr>
        <w:t>发包人按合同约定支付给承包人的各项价款应专用于合同工程。</w:t>
      </w:r>
      <w:bookmarkStart w:id="802" w:name="_Toc247085799"/>
      <w:bookmarkStart w:id="803" w:name="_Toc246996284"/>
      <w:bookmarkStart w:id="804" w:name="_Toc246997027"/>
    </w:p>
    <w:p>
      <w:pPr>
        <w:keepNext/>
        <w:keepLines/>
        <w:spacing w:before="120" w:after="120"/>
        <w:rPr>
          <w:b/>
          <w:bCs/>
          <w:sz w:val="32"/>
          <w:szCs w:val="32"/>
        </w:rPr>
      </w:pPr>
      <w:bookmarkStart w:id="805" w:name="_Toc144974618"/>
      <w:bookmarkStart w:id="806" w:name="_Toc152042428"/>
      <w:bookmarkStart w:id="807" w:name="_Toc525983784"/>
      <w:bookmarkStart w:id="808" w:name="_Toc179632668"/>
      <w:bookmarkStart w:id="809" w:name="_Toc152045650"/>
      <w:r>
        <w:rPr>
          <w:rFonts w:hint="eastAsia"/>
          <w:b/>
          <w:bCs/>
          <w:sz w:val="32"/>
          <w:szCs w:val="32"/>
        </w:rPr>
        <w:t>4.5 不利物质条件</w:t>
      </w:r>
      <w:bookmarkEnd w:id="805"/>
      <w:bookmarkEnd w:id="806"/>
      <w:bookmarkEnd w:id="807"/>
      <w:bookmarkEnd w:id="808"/>
      <w:bookmarkEnd w:id="809"/>
    </w:p>
    <w:p>
      <w:pPr>
        <w:spacing w:line="400" w:lineRule="exact"/>
        <w:ind w:firstLine="420" w:firstLineChars="200"/>
      </w:pPr>
      <w:r>
        <w:rPr>
          <w:rFonts w:hint="eastAsia"/>
          <w:szCs w:val="21"/>
        </w:rPr>
        <w:t>4.5.1</w:t>
      </w:r>
      <w:r>
        <w:rPr>
          <w:rFonts w:hint="eastAsia"/>
        </w:rPr>
        <w:t xml:space="preserve"> 不利物质条件，是指承包人在施工场地遇到的不可预见的自然物质条件、非自然的物质障碍和污染物，包括地下和水文条件，但不包括气候条件。</w:t>
      </w:r>
    </w:p>
    <w:p>
      <w:pPr>
        <w:spacing w:line="400" w:lineRule="exact"/>
        <w:ind w:firstLine="420" w:firstLineChars="200"/>
      </w:pPr>
      <w:r>
        <w:rPr>
          <w:rFonts w:hint="eastAsia"/>
          <w:szCs w:val="21"/>
        </w:rPr>
        <w:t xml:space="preserve">4.5.2 </w:t>
      </w:r>
      <w:r>
        <w:rPr>
          <w:rFonts w:hint="eastAsia"/>
        </w:rPr>
        <w:t>承包人遇到不利物质条件时，应采取适应不利物质条件的合理措施继续施工，并及时通知监理人，通知应载明不利物质条件的内容以及承包人认为不可预见的理由。监理人应当及时发出指示，指示构成变更的，按第9条约定执行。监理人没有发出指示的，承包人因采取合理措施而增加的费用和（或）工期延误，由发包人承担。</w:t>
      </w:r>
    </w:p>
    <w:p>
      <w:pPr>
        <w:keepNext/>
        <w:keepLines/>
        <w:spacing w:before="120" w:after="120"/>
        <w:rPr>
          <w:rFonts w:hint="eastAsia"/>
          <w:b/>
          <w:bCs/>
          <w:sz w:val="32"/>
          <w:szCs w:val="32"/>
        </w:rPr>
      </w:pPr>
      <w:bookmarkStart w:id="810" w:name="_Toc152045668"/>
      <w:bookmarkStart w:id="811" w:name="_Toc179632686"/>
      <w:bookmarkStart w:id="812" w:name="_Toc152042446"/>
      <w:bookmarkStart w:id="813" w:name="_Toc144974636"/>
      <w:bookmarkStart w:id="814" w:name="_Toc525983785"/>
      <w:r>
        <w:rPr>
          <w:rFonts w:hint="eastAsia"/>
          <w:b/>
          <w:bCs/>
          <w:sz w:val="32"/>
          <w:szCs w:val="32"/>
        </w:rPr>
        <w:t xml:space="preserve">5. </w:t>
      </w:r>
      <w:bookmarkEnd w:id="810"/>
      <w:bookmarkEnd w:id="811"/>
      <w:bookmarkEnd w:id="812"/>
      <w:bookmarkEnd w:id="813"/>
      <w:bookmarkStart w:id="815" w:name="_Toc144974637"/>
      <w:bookmarkStart w:id="816" w:name="_Toc179632687"/>
      <w:bookmarkStart w:id="817" w:name="_Toc152042447"/>
      <w:bookmarkStart w:id="818" w:name="_Toc152045669"/>
      <w:r>
        <w:rPr>
          <w:rFonts w:hint="eastAsia"/>
          <w:b/>
          <w:bCs/>
          <w:sz w:val="32"/>
          <w:szCs w:val="32"/>
        </w:rPr>
        <w:t>施工控制网</w:t>
      </w:r>
      <w:bookmarkEnd w:id="814"/>
      <w:bookmarkEnd w:id="815"/>
      <w:bookmarkEnd w:id="816"/>
      <w:bookmarkEnd w:id="817"/>
      <w:bookmarkEnd w:id="818"/>
    </w:p>
    <w:p>
      <w:pPr>
        <w:spacing w:line="400" w:lineRule="exact"/>
        <w:ind w:firstLine="420" w:firstLineChars="200"/>
      </w:pPr>
      <w:r>
        <w:rPr>
          <w:rFonts w:hint="eastAsia"/>
        </w:rPr>
        <w:t>5.1 发包人应通过监理人向承包人提供测量基准点、基准线和水准点及其书面资料。承包人应根据国家测绘基准、测绘系统和工程测量技术规范，按上述基准点（线）以及合同工程精度要求，测设施工控制网，并将施工控制网资料报送监理人审批。</w:t>
      </w:r>
    </w:p>
    <w:p>
      <w:pPr>
        <w:spacing w:line="400" w:lineRule="exact"/>
        <w:ind w:firstLine="420" w:firstLineChars="200"/>
      </w:pPr>
      <w:r>
        <w:rPr>
          <w:rFonts w:hint="eastAsia"/>
        </w:rPr>
        <w:t>5.2 承包人应负责管理施工控制网点。施工控制网点丢失或损坏的，承包人应及时修复。承包人应承担施工控制网点的管理与修复费用，并在工程竣工后将施工控制网点移交发包人。</w:t>
      </w:r>
    </w:p>
    <w:p>
      <w:pPr>
        <w:keepNext/>
        <w:keepLines/>
        <w:spacing w:before="260" w:after="260" w:line="415" w:lineRule="auto"/>
        <w:rPr>
          <w:rFonts w:ascii="Arial" w:hAnsi="Arial" w:eastAsia="黑体"/>
          <w:b/>
          <w:bCs/>
          <w:sz w:val="32"/>
          <w:szCs w:val="32"/>
        </w:rPr>
      </w:pPr>
      <w:bookmarkStart w:id="819" w:name="_Toc144974647"/>
      <w:bookmarkStart w:id="820" w:name="_Toc152042457"/>
      <w:bookmarkStart w:id="821" w:name="_Toc179632697"/>
      <w:bookmarkStart w:id="822" w:name="_Toc152045679"/>
      <w:bookmarkStart w:id="823" w:name="_Toc525983786"/>
      <w:r>
        <w:rPr>
          <w:rFonts w:hint="eastAsia" w:ascii="Arial" w:hAnsi="Arial" w:eastAsia="黑体"/>
          <w:b/>
          <w:bCs/>
          <w:sz w:val="32"/>
          <w:szCs w:val="32"/>
        </w:rPr>
        <w:t xml:space="preserve">6. </w:t>
      </w:r>
      <w:bookmarkEnd w:id="819"/>
      <w:bookmarkEnd w:id="820"/>
      <w:bookmarkEnd w:id="821"/>
      <w:bookmarkEnd w:id="822"/>
      <w:r>
        <w:rPr>
          <w:rFonts w:hint="eastAsia" w:ascii="Arial" w:hAnsi="Arial" w:eastAsia="黑体"/>
          <w:b/>
          <w:bCs/>
          <w:sz w:val="32"/>
          <w:szCs w:val="32"/>
        </w:rPr>
        <w:t>工期</w:t>
      </w:r>
      <w:bookmarkEnd w:id="823"/>
    </w:p>
    <w:p>
      <w:pPr>
        <w:keepNext/>
        <w:keepLines/>
        <w:spacing w:before="120" w:after="120"/>
        <w:rPr>
          <w:b/>
          <w:bCs/>
          <w:sz w:val="32"/>
          <w:szCs w:val="32"/>
        </w:rPr>
      </w:pPr>
      <w:bookmarkStart w:id="824" w:name="_Toc525983787"/>
      <w:bookmarkStart w:id="825" w:name="_Toc144974650"/>
      <w:bookmarkStart w:id="826" w:name="_Toc179632700"/>
      <w:bookmarkStart w:id="827" w:name="_Toc152042460"/>
      <w:bookmarkStart w:id="828" w:name="_Toc152045682"/>
      <w:r>
        <w:rPr>
          <w:rFonts w:hint="eastAsia"/>
          <w:b/>
          <w:bCs/>
          <w:sz w:val="32"/>
          <w:szCs w:val="32"/>
        </w:rPr>
        <w:t>6.1 进度计划</w:t>
      </w:r>
      <w:bookmarkEnd w:id="824"/>
    </w:p>
    <w:p>
      <w:pPr>
        <w:spacing w:line="360" w:lineRule="auto"/>
        <w:ind w:firstLine="420" w:firstLineChars="200"/>
        <w:rPr>
          <w:szCs w:val="21"/>
        </w:rPr>
      </w:pPr>
      <w:r>
        <w:rPr>
          <w:rFonts w:hint="eastAsia"/>
          <w:szCs w:val="21"/>
        </w:rPr>
        <w:t>承包</w:t>
      </w:r>
      <w:r>
        <w:rPr>
          <w:szCs w:val="21"/>
        </w:rPr>
        <w:t>人应向监理人提交进度计划</w:t>
      </w:r>
      <w:r>
        <w:rPr>
          <w:rFonts w:hint="eastAsia"/>
          <w:szCs w:val="21"/>
        </w:rPr>
        <w:t>。</w:t>
      </w:r>
      <w:r>
        <w:rPr>
          <w:szCs w:val="21"/>
        </w:rPr>
        <w:t>经监理人审批后</w:t>
      </w:r>
      <w:r>
        <w:rPr>
          <w:rFonts w:hint="eastAsia"/>
          <w:szCs w:val="21"/>
        </w:rPr>
        <w:t>的进度计划具有合同约束力，承包人应当严格执行。实际进度与进度计划不符时，监理人应当指示承包人对进度计划进行修订，重新提交给监理人审批。</w:t>
      </w:r>
    </w:p>
    <w:bookmarkEnd w:id="825"/>
    <w:bookmarkEnd w:id="826"/>
    <w:bookmarkEnd w:id="827"/>
    <w:bookmarkEnd w:id="828"/>
    <w:p>
      <w:pPr>
        <w:keepNext/>
        <w:keepLines/>
        <w:spacing w:before="120" w:after="120"/>
        <w:rPr>
          <w:b/>
          <w:bCs/>
          <w:sz w:val="32"/>
          <w:szCs w:val="32"/>
        </w:rPr>
      </w:pPr>
      <w:bookmarkStart w:id="829" w:name="_Toc525983788"/>
      <w:r>
        <w:rPr>
          <w:rFonts w:hint="eastAsia"/>
          <w:b/>
          <w:bCs/>
          <w:sz w:val="32"/>
          <w:szCs w:val="32"/>
        </w:rPr>
        <w:t>6.2 工程实施</w:t>
      </w:r>
      <w:bookmarkEnd w:id="829"/>
    </w:p>
    <w:p>
      <w:pPr>
        <w:spacing w:line="360" w:lineRule="auto"/>
        <w:ind w:firstLine="420" w:firstLineChars="200"/>
        <w:rPr>
          <w:szCs w:val="21"/>
        </w:rPr>
      </w:pPr>
      <w:r>
        <w:rPr>
          <w:rFonts w:hint="eastAsia"/>
          <w:szCs w:val="21"/>
        </w:rPr>
        <w:t>监理人应在开工日期7天前向承包人发出开工通知。承包人应在第</w:t>
      </w:r>
      <w:r>
        <w:rPr>
          <w:szCs w:val="21"/>
        </w:rPr>
        <w:t>1.1.4.3</w:t>
      </w:r>
      <w:r>
        <w:rPr>
          <w:rFonts w:hint="eastAsia"/>
          <w:szCs w:val="21"/>
        </w:rPr>
        <w:t>目约定的期限内完成合同工程。实际竣工日期在接收证书中写明。</w:t>
      </w:r>
    </w:p>
    <w:p>
      <w:pPr>
        <w:keepNext/>
        <w:keepLines/>
        <w:spacing w:before="120" w:after="120"/>
        <w:rPr>
          <w:b/>
          <w:bCs/>
          <w:sz w:val="32"/>
          <w:szCs w:val="32"/>
        </w:rPr>
      </w:pPr>
      <w:bookmarkStart w:id="830" w:name="_Toc152045685"/>
      <w:bookmarkStart w:id="831" w:name="_Toc179632703"/>
      <w:bookmarkStart w:id="832" w:name="_Toc144974653"/>
      <w:bookmarkStart w:id="833" w:name="_Toc152042463"/>
      <w:bookmarkStart w:id="834" w:name="_Toc525983789"/>
      <w:r>
        <w:rPr>
          <w:rFonts w:hint="eastAsia"/>
          <w:b/>
          <w:bCs/>
          <w:sz w:val="32"/>
          <w:szCs w:val="32"/>
        </w:rPr>
        <w:t>6.3 发包人引起的工期延误</w:t>
      </w:r>
      <w:bookmarkEnd w:id="830"/>
      <w:bookmarkEnd w:id="831"/>
      <w:bookmarkEnd w:id="832"/>
      <w:bookmarkEnd w:id="833"/>
      <w:bookmarkEnd w:id="834"/>
    </w:p>
    <w:p>
      <w:pPr>
        <w:spacing w:line="400" w:lineRule="exact"/>
        <w:ind w:firstLine="420" w:firstLineChars="200"/>
      </w:pPr>
      <w:r>
        <w:rPr>
          <w:rFonts w:hint="eastAsia"/>
        </w:rPr>
        <w:t>在履行合同过程中，由于发包人的下列原因造成工期延误的，承包人有权要求发包人延长工期和（或）增加费用，并支付合理利润。需要修订合同进度计划的，按照第6.1款的约定执行。</w:t>
      </w:r>
    </w:p>
    <w:p>
      <w:pPr>
        <w:spacing w:line="400" w:lineRule="exact"/>
        <w:ind w:firstLine="359" w:firstLineChars="171"/>
      </w:pPr>
      <w:r>
        <w:rPr>
          <w:rFonts w:hint="eastAsia"/>
        </w:rPr>
        <w:t>（1）增加合同工作内容；</w:t>
      </w:r>
    </w:p>
    <w:p>
      <w:pPr>
        <w:spacing w:line="400" w:lineRule="exact"/>
        <w:ind w:firstLine="359" w:firstLineChars="171"/>
      </w:pPr>
      <w:r>
        <w:rPr>
          <w:rFonts w:hint="eastAsia"/>
        </w:rPr>
        <w:t>（2）改变合同中任何一项工作的质量要求或其他特性；</w:t>
      </w:r>
    </w:p>
    <w:p>
      <w:pPr>
        <w:spacing w:line="400" w:lineRule="exact"/>
        <w:ind w:firstLine="359" w:firstLineChars="171"/>
      </w:pPr>
      <w:r>
        <w:rPr>
          <w:rFonts w:hint="eastAsia"/>
        </w:rPr>
        <w:t>（3）发包人迟延提供材料、工程设备或变更交货地点；</w:t>
      </w:r>
    </w:p>
    <w:p>
      <w:pPr>
        <w:spacing w:line="400" w:lineRule="exact"/>
        <w:ind w:firstLine="359" w:firstLineChars="171"/>
      </w:pPr>
      <w:r>
        <w:rPr>
          <w:rFonts w:hint="eastAsia"/>
        </w:rPr>
        <w:t>（4）因发包人原因导致的暂停施工；</w:t>
      </w:r>
    </w:p>
    <w:p>
      <w:pPr>
        <w:spacing w:line="400" w:lineRule="exact"/>
        <w:ind w:firstLine="359" w:firstLineChars="171"/>
      </w:pPr>
      <w:r>
        <w:rPr>
          <w:rFonts w:hint="eastAsia"/>
        </w:rPr>
        <w:t>（5）提供图纸延误；</w:t>
      </w:r>
    </w:p>
    <w:p>
      <w:pPr>
        <w:spacing w:line="400" w:lineRule="exact"/>
        <w:ind w:firstLine="359" w:firstLineChars="171"/>
      </w:pPr>
      <w:r>
        <w:rPr>
          <w:rFonts w:hint="eastAsia"/>
        </w:rPr>
        <w:t>（6）未按合同约定及时支付预付款、进度款；</w:t>
      </w:r>
    </w:p>
    <w:p>
      <w:pPr>
        <w:spacing w:line="400" w:lineRule="exact"/>
        <w:ind w:firstLine="359" w:firstLineChars="171"/>
      </w:pPr>
      <w:r>
        <w:rPr>
          <w:rFonts w:hint="eastAsia"/>
        </w:rPr>
        <w:t>（7）发包人造成工期延误的其他原因。</w:t>
      </w:r>
    </w:p>
    <w:p>
      <w:pPr>
        <w:keepNext/>
        <w:keepLines/>
        <w:spacing w:before="120" w:after="120"/>
        <w:rPr>
          <w:b/>
          <w:bCs/>
          <w:sz w:val="32"/>
          <w:szCs w:val="32"/>
        </w:rPr>
      </w:pPr>
      <w:bookmarkStart w:id="835" w:name="_Toc152045686"/>
      <w:bookmarkStart w:id="836" w:name="_Toc525983790"/>
      <w:bookmarkStart w:id="837" w:name="_Toc152042464"/>
      <w:bookmarkStart w:id="838" w:name="_Toc144974654"/>
      <w:bookmarkStart w:id="839" w:name="_Toc179632704"/>
      <w:r>
        <w:rPr>
          <w:rFonts w:hint="eastAsia"/>
          <w:b/>
          <w:bCs/>
          <w:sz w:val="32"/>
          <w:szCs w:val="32"/>
        </w:rPr>
        <w:t>6.4 异常恶劣的气候条件</w:t>
      </w:r>
      <w:bookmarkEnd w:id="835"/>
      <w:bookmarkEnd w:id="836"/>
      <w:bookmarkEnd w:id="837"/>
      <w:bookmarkEnd w:id="838"/>
      <w:bookmarkEnd w:id="839"/>
    </w:p>
    <w:p>
      <w:pPr>
        <w:spacing w:line="400" w:lineRule="exact"/>
        <w:ind w:firstLine="420" w:firstLineChars="200"/>
      </w:pPr>
      <w:r>
        <w:rPr>
          <w:rFonts w:hint="eastAsia"/>
        </w:rPr>
        <w:t>由于出现异常恶劣气候导致工期延误的，承包人有权要求发包人延长工期。</w:t>
      </w:r>
    </w:p>
    <w:p>
      <w:pPr>
        <w:keepNext/>
        <w:keepLines/>
        <w:spacing w:before="120" w:after="120"/>
        <w:rPr>
          <w:b/>
          <w:bCs/>
          <w:sz w:val="32"/>
          <w:szCs w:val="32"/>
        </w:rPr>
      </w:pPr>
      <w:bookmarkStart w:id="840" w:name="_Toc152042465"/>
      <w:bookmarkStart w:id="841" w:name="_Toc179632705"/>
      <w:bookmarkStart w:id="842" w:name="_Toc525983791"/>
      <w:bookmarkStart w:id="843" w:name="_Toc152045687"/>
      <w:bookmarkStart w:id="844" w:name="_Toc144974655"/>
      <w:r>
        <w:rPr>
          <w:rFonts w:hint="eastAsia"/>
          <w:b/>
          <w:bCs/>
          <w:sz w:val="32"/>
          <w:szCs w:val="32"/>
        </w:rPr>
        <w:t>6.5 承包人引起的工期延误</w:t>
      </w:r>
      <w:bookmarkEnd w:id="840"/>
      <w:bookmarkEnd w:id="841"/>
      <w:bookmarkEnd w:id="842"/>
      <w:bookmarkEnd w:id="843"/>
      <w:bookmarkEnd w:id="844"/>
    </w:p>
    <w:p>
      <w:pPr>
        <w:spacing w:line="360" w:lineRule="auto"/>
        <w:ind w:firstLine="420" w:firstLineChars="200"/>
        <w:rPr>
          <w:szCs w:val="21"/>
        </w:rPr>
      </w:pPr>
      <w:r>
        <w:rPr>
          <w:szCs w:val="21"/>
        </w:rPr>
        <w:t>由于</w:t>
      </w:r>
      <w:r>
        <w:rPr>
          <w:rFonts w:hint="eastAsia"/>
          <w:szCs w:val="21"/>
        </w:rPr>
        <w:t>承包</w:t>
      </w:r>
      <w:r>
        <w:rPr>
          <w:szCs w:val="21"/>
        </w:rPr>
        <w:t>人原因造成工期延误，</w:t>
      </w:r>
      <w:r>
        <w:rPr>
          <w:rFonts w:hint="eastAsia"/>
          <w:szCs w:val="21"/>
        </w:rPr>
        <w:t>承包</w:t>
      </w:r>
      <w:r>
        <w:rPr>
          <w:szCs w:val="21"/>
        </w:rPr>
        <w:t>人应支付逾期竣工违约金</w:t>
      </w:r>
      <w:r>
        <w:rPr>
          <w:rFonts w:hint="eastAsia"/>
          <w:szCs w:val="21"/>
        </w:rPr>
        <w:t>。承包人支付逾期竣工违约金，不免除承包人完成工程及修补缺陷的义务。</w:t>
      </w:r>
    </w:p>
    <w:bookmarkEnd w:id="802"/>
    <w:bookmarkEnd w:id="803"/>
    <w:bookmarkEnd w:id="804"/>
    <w:p>
      <w:pPr>
        <w:keepNext/>
        <w:keepLines/>
        <w:spacing w:before="260" w:after="260" w:line="415" w:lineRule="auto"/>
        <w:rPr>
          <w:rFonts w:ascii="Arial" w:hAnsi="Arial" w:eastAsia="黑体"/>
          <w:b/>
          <w:bCs/>
          <w:sz w:val="32"/>
          <w:szCs w:val="32"/>
        </w:rPr>
      </w:pPr>
      <w:bookmarkStart w:id="845" w:name="_Toc525983792"/>
      <w:bookmarkStart w:id="846" w:name="_Toc247085806"/>
      <w:bookmarkStart w:id="847" w:name="_Toc246996291"/>
      <w:bookmarkStart w:id="848" w:name="_Toc246997034"/>
      <w:bookmarkStart w:id="849" w:name="_Toc184635110"/>
      <w:r>
        <w:rPr>
          <w:rFonts w:hint="eastAsia" w:ascii="Arial" w:hAnsi="Arial" w:eastAsia="黑体"/>
          <w:b/>
          <w:bCs/>
          <w:sz w:val="32"/>
          <w:szCs w:val="32"/>
        </w:rPr>
        <w:t>7. 工程质量</w:t>
      </w:r>
      <w:bookmarkEnd w:id="845"/>
      <w:bookmarkEnd w:id="846"/>
      <w:bookmarkEnd w:id="847"/>
      <w:bookmarkEnd w:id="848"/>
      <w:bookmarkEnd w:id="849"/>
    </w:p>
    <w:p>
      <w:pPr>
        <w:keepNext/>
        <w:keepLines/>
        <w:spacing w:before="120" w:after="120"/>
        <w:rPr>
          <w:b/>
          <w:bCs/>
          <w:sz w:val="32"/>
          <w:szCs w:val="32"/>
        </w:rPr>
      </w:pPr>
      <w:bookmarkStart w:id="850" w:name="_Toc247085807"/>
      <w:bookmarkStart w:id="851" w:name="_Toc246997035"/>
      <w:bookmarkStart w:id="852" w:name="_Toc525983793"/>
      <w:bookmarkStart w:id="853" w:name="_Toc246996292"/>
      <w:r>
        <w:rPr>
          <w:rFonts w:hint="eastAsia"/>
          <w:b/>
          <w:bCs/>
          <w:sz w:val="32"/>
          <w:szCs w:val="32"/>
        </w:rPr>
        <w:t>7.1 工程质量要求</w:t>
      </w:r>
      <w:bookmarkEnd w:id="850"/>
      <w:bookmarkEnd w:id="851"/>
      <w:bookmarkEnd w:id="852"/>
      <w:bookmarkEnd w:id="853"/>
    </w:p>
    <w:p>
      <w:pPr>
        <w:spacing w:line="360" w:lineRule="auto"/>
        <w:ind w:firstLine="420" w:firstLineChars="200"/>
        <w:rPr>
          <w:szCs w:val="21"/>
        </w:rPr>
      </w:pPr>
      <w:r>
        <w:rPr>
          <w:rFonts w:hint="eastAsia"/>
          <w:szCs w:val="21"/>
        </w:rPr>
        <w:t>工程质量验收按照合同约定的验收标准执行。</w:t>
      </w:r>
    </w:p>
    <w:p>
      <w:pPr>
        <w:keepNext/>
        <w:keepLines/>
        <w:spacing w:before="120" w:after="120"/>
        <w:rPr>
          <w:b/>
          <w:bCs/>
          <w:sz w:val="32"/>
          <w:szCs w:val="32"/>
        </w:rPr>
      </w:pPr>
      <w:bookmarkStart w:id="854" w:name="_Toc247085808"/>
      <w:bookmarkStart w:id="855" w:name="_Toc525983794"/>
      <w:bookmarkStart w:id="856" w:name="_Toc246997036"/>
      <w:bookmarkStart w:id="857" w:name="_Toc246996293"/>
      <w:r>
        <w:rPr>
          <w:rFonts w:hint="eastAsia"/>
          <w:b/>
          <w:bCs/>
          <w:sz w:val="32"/>
          <w:szCs w:val="32"/>
        </w:rPr>
        <w:t>7.2 监理人的质量检查</w:t>
      </w:r>
      <w:bookmarkEnd w:id="854"/>
      <w:bookmarkEnd w:id="855"/>
      <w:bookmarkEnd w:id="856"/>
      <w:bookmarkEnd w:id="857"/>
    </w:p>
    <w:p>
      <w:pPr>
        <w:spacing w:line="360" w:lineRule="auto"/>
        <w:ind w:firstLine="420" w:firstLineChars="200"/>
        <w:rPr>
          <w:szCs w:val="21"/>
        </w:rPr>
      </w:pPr>
      <w:r>
        <w:rPr>
          <w:rFonts w:hint="eastAsia"/>
          <w:szCs w:val="21"/>
        </w:rPr>
        <w:t>监理人有权对工程的所有部位及其施工工艺、材料和工程设备进行检查和检验。监理人的检查和检验，不免除承包人按合同约定应负的责任。</w:t>
      </w:r>
    </w:p>
    <w:p>
      <w:pPr>
        <w:keepNext/>
        <w:keepLines/>
        <w:spacing w:before="120" w:after="120"/>
        <w:rPr>
          <w:b/>
          <w:bCs/>
          <w:sz w:val="32"/>
          <w:szCs w:val="32"/>
        </w:rPr>
      </w:pPr>
      <w:bookmarkStart w:id="858" w:name="_Toc246997037"/>
      <w:bookmarkStart w:id="859" w:name="_Toc247085809"/>
      <w:bookmarkStart w:id="860" w:name="_Toc525983795"/>
      <w:bookmarkStart w:id="861" w:name="_Toc246996294"/>
      <w:r>
        <w:rPr>
          <w:rFonts w:hint="eastAsia"/>
          <w:b/>
          <w:bCs/>
          <w:sz w:val="32"/>
          <w:szCs w:val="32"/>
        </w:rPr>
        <w:t>7.3 工程隐蔽部位覆盖前的检查</w:t>
      </w:r>
      <w:bookmarkEnd w:id="858"/>
      <w:bookmarkEnd w:id="859"/>
      <w:bookmarkEnd w:id="860"/>
      <w:bookmarkEnd w:id="861"/>
    </w:p>
    <w:p>
      <w:pPr>
        <w:spacing w:line="360" w:lineRule="auto"/>
        <w:ind w:firstLine="420" w:firstLineChars="200"/>
        <w:rPr>
          <w:szCs w:val="21"/>
        </w:rPr>
      </w:pPr>
      <w:r>
        <w:rPr>
          <w:rFonts w:hint="eastAsia"/>
          <w:szCs w:val="21"/>
        </w:rPr>
        <w:t>经承包人自检确认的工程隐蔽部位具备覆盖条件后，承包人应通知监理人在约定的期限内检查。监理人应按时到场检查。监理人未到场检查的，除监理人另有指示外，承包人可自行完成覆盖工作。无论监理人是否到场检查，对已覆盖的工程隐蔽部位，监理人</w:t>
      </w:r>
      <w:r>
        <w:rPr>
          <w:szCs w:val="21"/>
        </w:rPr>
        <w:t>可</w:t>
      </w:r>
      <w:r>
        <w:rPr>
          <w:rFonts w:hint="eastAsia"/>
          <w:szCs w:val="21"/>
        </w:rPr>
        <w:t>要求承包人对已覆盖的部位进行钻孔探测或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p>
    <w:p>
      <w:pPr>
        <w:spacing w:line="360" w:lineRule="auto"/>
        <w:ind w:firstLine="420" w:firstLineChars="200"/>
        <w:rPr>
          <w:szCs w:val="21"/>
        </w:rPr>
      </w:pPr>
      <w:r>
        <w:rPr>
          <w:rFonts w:hint="eastAsia"/>
          <w:szCs w:val="21"/>
        </w:rPr>
        <w:t>承包人未通知监理人到场检查，私自将工程隐蔽部位覆盖的，监理人有权指示承包人钻孔探测或揭开检查，无论工程隐蔽部位质量是否合格，由此增加的费用和（或）工期延误由承包人承担。</w:t>
      </w:r>
    </w:p>
    <w:p>
      <w:pPr>
        <w:keepNext/>
        <w:keepLines/>
        <w:spacing w:before="120" w:after="120"/>
        <w:rPr>
          <w:b/>
          <w:bCs/>
          <w:sz w:val="32"/>
          <w:szCs w:val="32"/>
        </w:rPr>
      </w:pPr>
      <w:bookmarkStart w:id="862" w:name="_Toc246996295"/>
      <w:bookmarkStart w:id="863" w:name="_Toc525983796"/>
      <w:bookmarkStart w:id="864" w:name="_Toc247085810"/>
      <w:bookmarkStart w:id="865" w:name="_Toc246997038"/>
      <w:r>
        <w:rPr>
          <w:rFonts w:hint="eastAsia"/>
          <w:b/>
          <w:bCs/>
          <w:sz w:val="32"/>
          <w:szCs w:val="32"/>
        </w:rPr>
        <w:t>7.4 清除不合格工程</w:t>
      </w:r>
      <w:bookmarkEnd w:id="862"/>
      <w:bookmarkEnd w:id="863"/>
      <w:bookmarkEnd w:id="864"/>
      <w:bookmarkEnd w:id="865"/>
    </w:p>
    <w:p>
      <w:pPr>
        <w:spacing w:line="360" w:lineRule="auto"/>
        <w:ind w:firstLine="420" w:firstLineChars="200"/>
        <w:rPr>
          <w:szCs w:val="21"/>
        </w:rPr>
      </w:pPr>
      <w:r>
        <w:rPr>
          <w:szCs w:val="21"/>
        </w:rPr>
        <w:t>由于</w:t>
      </w:r>
      <w:r>
        <w:rPr>
          <w:rFonts w:hint="eastAsia"/>
          <w:szCs w:val="21"/>
        </w:rPr>
        <w:t>承包</w:t>
      </w:r>
      <w:r>
        <w:rPr>
          <w:szCs w:val="21"/>
        </w:rPr>
        <w:t>人的材料、工程设备，或采用施工工艺不符合合同</w:t>
      </w:r>
      <w:r>
        <w:rPr>
          <w:rFonts w:hint="eastAsia"/>
          <w:szCs w:val="21"/>
        </w:rPr>
        <w:t>要求</w:t>
      </w:r>
      <w:r>
        <w:rPr>
          <w:szCs w:val="21"/>
        </w:rPr>
        <w:t>造成的任何缺陷，监理人可以随时发出指示，要求承包人立即采取措施进行补救，直至达到合同要求的质量标准，由此增加的费用和（或）工期延误由</w:t>
      </w:r>
      <w:r>
        <w:rPr>
          <w:rFonts w:hint="eastAsia"/>
          <w:szCs w:val="21"/>
        </w:rPr>
        <w:t>承包</w:t>
      </w:r>
      <w:r>
        <w:rPr>
          <w:szCs w:val="21"/>
        </w:rPr>
        <w:t>人承担</w:t>
      </w:r>
      <w:r>
        <w:rPr>
          <w:rFonts w:hint="eastAsia"/>
          <w:szCs w:val="21"/>
        </w:rPr>
        <w:t>。</w:t>
      </w:r>
    </w:p>
    <w:p>
      <w:pPr>
        <w:keepNext/>
        <w:keepLines/>
        <w:spacing w:before="260" w:after="260" w:line="415" w:lineRule="auto"/>
        <w:rPr>
          <w:rFonts w:ascii="Arial" w:hAnsi="Arial" w:eastAsia="黑体"/>
          <w:b/>
          <w:bCs/>
          <w:sz w:val="32"/>
          <w:szCs w:val="32"/>
        </w:rPr>
      </w:pPr>
      <w:bookmarkStart w:id="866" w:name="_Toc247085811"/>
      <w:bookmarkStart w:id="867" w:name="_Toc525983797"/>
      <w:bookmarkStart w:id="868" w:name="_Toc246996296"/>
      <w:bookmarkStart w:id="869" w:name="_Toc246997039"/>
      <w:r>
        <w:rPr>
          <w:rFonts w:hint="eastAsia" w:ascii="Arial" w:hAnsi="Arial" w:eastAsia="黑体"/>
          <w:b/>
          <w:bCs/>
          <w:sz w:val="32"/>
          <w:szCs w:val="32"/>
        </w:rPr>
        <w:t>8. 试验和检验</w:t>
      </w:r>
      <w:bookmarkEnd w:id="866"/>
      <w:bookmarkEnd w:id="867"/>
      <w:bookmarkEnd w:id="868"/>
      <w:bookmarkEnd w:id="869"/>
    </w:p>
    <w:p>
      <w:pPr>
        <w:keepNext/>
        <w:keepLines/>
        <w:spacing w:before="120" w:after="120"/>
        <w:rPr>
          <w:b/>
          <w:bCs/>
          <w:sz w:val="32"/>
          <w:szCs w:val="32"/>
        </w:rPr>
      </w:pPr>
      <w:bookmarkStart w:id="870" w:name="_Toc179632721"/>
      <w:bookmarkStart w:id="871" w:name="_Toc152042481"/>
      <w:bookmarkStart w:id="872" w:name="_Toc144974672"/>
      <w:bookmarkStart w:id="873" w:name="_Toc525983798"/>
      <w:bookmarkStart w:id="874" w:name="_Toc152045703"/>
      <w:r>
        <w:rPr>
          <w:rFonts w:hint="eastAsia"/>
          <w:b/>
          <w:bCs/>
          <w:sz w:val="32"/>
          <w:szCs w:val="32"/>
        </w:rPr>
        <w:t>8.1 材料、工程设备和工程的试验和检验</w:t>
      </w:r>
      <w:bookmarkEnd w:id="870"/>
      <w:bookmarkEnd w:id="871"/>
      <w:bookmarkEnd w:id="872"/>
      <w:bookmarkEnd w:id="873"/>
      <w:bookmarkEnd w:id="874"/>
    </w:p>
    <w:p>
      <w:pPr>
        <w:spacing w:line="400" w:lineRule="exact"/>
        <w:ind w:firstLine="420" w:firstLineChars="200"/>
      </w:pPr>
      <w:r>
        <w:rPr>
          <w:rFonts w:hint="eastAsia"/>
          <w:szCs w:val="21"/>
        </w:rPr>
        <w:t>8.1.1</w:t>
      </w:r>
      <w:r>
        <w:rPr>
          <w:rFonts w:hint="eastAsia"/>
        </w:rPr>
        <w:t xml:space="preserve">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spacing w:line="400" w:lineRule="exact"/>
        <w:ind w:firstLine="420" w:firstLineChars="200"/>
      </w:pPr>
      <w:r>
        <w:rPr>
          <w:rFonts w:hint="eastAsia"/>
          <w:szCs w:val="21"/>
        </w:rPr>
        <w:t>8.1.2</w:t>
      </w:r>
      <w:r>
        <w:rPr>
          <w:rFonts w:hint="eastAsia"/>
        </w:rPr>
        <w:t xml:space="preserve"> 监理人未按合同约定派员参加试验和检验的，除监理人另有指示外，承包人可自行试验和检验，并应立即将试验和检验结果报送监理人，监理人应签字确认。</w:t>
      </w:r>
    </w:p>
    <w:p>
      <w:pPr>
        <w:spacing w:line="400" w:lineRule="exact"/>
        <w:ind w:firstLine="420" w:firstLineChars="200"/>
      </w:pPr>
      <w:r>
        <w:rPr>
          <w:rFonts w:hint="eastAsia"/>
          <w:szCs w:val="21"/>
        </w:rPr>
        <w:t xml:space="preserve">8.1.3 </w:t>
      </w:r>
      <w:r>
        <w:rPr>
          <w:rFonts w:hint="eastAsia"/>
        </w:rPr>
        <w:t>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p>
    <w:p>
      <w:pPr>
        <w:keepNext/>
        <w:keepLines/>
        <w:spacing w:before="120" w:after="120"/>
        <w:rPr>
          <w:b/>
          <w:bCs/>
          <w:sz w:val="32"/>
          <w:szCs w:val="32"/>
        </w:rPr>
      </w:pPr>
      <w:bookmarkStart w:id="875" w:name="_Toc525983799"/>
      <w:bookmarkStart w:id="876" w:name="_Toc152042482"/>
      <w:bookmarkStart w:id="877" w:name="_Toc179632722"/>
      <w:bookmarkStart w:id="878" w:name="_Toc144974673"/>
      <w:bookmarkStart w:id="879" w:name="_Toc152045704"/>
      <w:r>
        <w:rPr>
          <w:rFonts w:hint="eastAsia"/>
          <w:b/>
          <w:bCs/>
          <w:sz w:val="32"/>
          <w:szCs w:val="32"/>
        </w:rPr>
        <w:t>8.2 现场材料试验</w:t>
      </w:r>
      <w:bookmarkEnd w:id="875"/>
      <w:bookmarkEnd w:id="876"/>
      <w:bookmarkEnd w:id="877"/>
      <w:bookmarkEnd w:id="878"/>
      <w:bookmarkEnd w:id="879"/>
    </w:p>
    <w:p>
      <w:pPr>
        <w:spacing w:line="400" w:lineRule="exact"/>
        <w:ind w:firstLine="420" w:firstLineChars="200"/>
      </w:pPr>
      <w:r>
        <w:rPr>
          <w:rFonts w:hint="eastAsia"/>
          <w:szCs w:val="21"/>
        </w:rPr>
        <w:t>8.2.1</w:t>
      </w:r>
      <w:r>
        <w:rPr>
          <w:rFonts w:hint="eastAsia"/>
        </w:rPr>
        <w:t xml:space="preserve"> 承包人根据合同约定或监理人指示进行的现场材料试验，应由承包人提供试验场所、试验人员、试验设备器材以及其他必要的试验条件。</w:t>
      </w:r>
    </w:p>
    <w:p>
      <w:pPr>
        <w:spacing w:line="400" w:lineRule="exact"/>
        <w:ind w:firstLine="420" w:firstLineChars="200"/>
        <w:rPr>
          <w:szCs w:val="21"/>
        </w:rPr>
      </w:pPr>
      <w:r>
        <w:rPr>
          <w:rFonts w:hint="eastAsia"/>
          <w:szCs w:val="21"/>
        </w:rPr>
        <w:t>8.2.2</w:t>
      </w:r>
      <w:r>
        <w:rPr>
          <w:rFonts w:hint="eastAsia"/>
        </w:rPr>
        <w:t xml:space="preserve"> 监理人在必要时可以使用承包人的试验场所、试验设备器材以及其他试验条件，进行以工程质量检查为目的的复核性材料试验，承包人应予以协助。</w:t>
      </w:r>
    </w:p>
    <w:p>
      <w:pPr>
        <w:keepNext/>
        <w:keepLines/>
        <w:spacing w:before="260" w:after="260" w:line="415" w:lineRule="auto"/>
        <w:rPr>
          <w:rFonts w:ascii="Arial" w:hAnsi="Arial" w:eastAsia="黑体"/>
          <w:b/>
          <w:bCs/>
          <w:sz w:val="32"/>
          <w:szCs w:val="32"/>
        </w:rPr>
      </w:pPr>
      <w:bookmarkStart w:id="880" w:name="_Toc184635112"/>
      <w:bookmarkStart w:id="881" w:name="_Toc246996297"/>
      <w:bookmarkStart w:id="882" w:name="_Toc247085812"/>
      <w:bookmarkStart w:id="883" w:name="_Toc525983800"/>
      <w:bookmarkStart w:id="884" w:name="_Toc246997040"/>
      <w:r>
        <w:rPr>
          <w:rFonts w:hint="eastAsia" w:ascii="Arial" w:hAnsi="Arial" w:eastAsia="黑体"/>
          <w:b/>
          <w:bCs/>
          <w:sz w:val="32"/>
          <w:szCs w:val="32"/>
        </w:rPr>
        <w:t>9. 变更</w:t>
      </w:r>
      <w:bookmarkEnd w:id="880"/>
      <w:bookmarkEnd w:id="881"/>
      <w:bookmarkEnd w:id="882"/>
      <w:bookmarkEnd w:id="883"/>
      <w:bookmarkEnd w:id="884"/>
    </w:p>
    <w:p>
      <w:pPr>
        <w:keepNext/>
        <w:keepLines/>
        <w:spacing w:before="120" w:after="120"/>
        <w:rPr>
          <w:b/>
          <w:bCs/>
          <w:sz w:val="32"/>
          <w:szCs w:val="32"/>
        </w:rPr>
      </w:pPr>
      <w:bookmarkStart w:id="885" w:name="_Toc525983801"/>
      <w:bookmarkStart w:id="886" w:name="_Toc247085813"/>
      <w:bookmarkStart w:id="887" w:name="_Toc246997041"/>
      <w:bookmarkStart w:id="888" w:name="_Toc246996298"/>
      <w:r>
        <w:rPr>
          <w:rFonts w:hint="eastAsia"/>
          <w:b/>
          <w:bCs/>
          <w:sz w:val="32"/>
          <w:szCs w:val="32"/>
        </w:rPr>
        <w:t>9.1 变更权</w:t>
      </w:r>
      <w:bookmarkEnd w:id="885"/>
      <w:bookmarkEnd w:id="886"/>
      <w:bookmarkEnd w:id="887"/>
      <w:bookmarkEnd w:id="888"/>
    </w:p>
    <w:p>
      <w:pPr>
        <w:spacing w:line="360" w:lineRule="auto"/>
        <w:ind w:firstLine="420" w:firstLineChars="200"/>
        <w:rPr>
          <w:szCs w:val="21"/>
        </w:rPr>
      </w:pPr>
      <w:r>
        <w:rPr>
          <w:rFonts w:hint="eastAsia"/>
          <w:szCs w:val="21"/>
        </w:rPr>
        <w:t>在履行合同过程中，经发包人同意，监理人可按第9.2款约定的变更程序向承包人作出变更指示，承包人应遵照执行。</w:t>
      </w:r>
    </w:p>
    <w:p>
      <w:pPr>
        <w:keepNext/>
        <w:keepLines/>
        <w:spacing w:before="120" w:after="120"/>
        <w:rPr>
          <w:b/>
          <w:bCs/>
          <w:sz w:val="32"/>
          <w:szCs w:val="32"/>
        </w:rPr>
      </w:pPr>
      <w:bookmarkStart w:id="889" w:name="_Toc247085814"/>
      <w:bookmarkStart w:id="890" w:name="_Toc246997042"/>
      <w:bookmarkStart w:id="891" w:name="_Toc246996299"/>
      <w:bookmarkStart w:id="892" w:name="_Toc525983802"/>
      <w:r>
        <w:rPr>
          <w:rFonts w:hint="eastAsia"/>
          <w:b/>
          <w:bCs/>
          <w:sz w:val="32"/>
          <w:szCs w:val="32"/>
        </w:rPr>
        <w:t>9.2 变更程序</w:t>
      </w:r>
      <w:bookmarkEnd w:id="889"/>
      <w:bookmarkEnd w:id="890"/>
      <w:bookmarkEnd w:id="891"/>
      <w:bookmarkEnd w:id="892"/>
    </w:p>
    <w:p>
      <w:pPr>
        <w:spacing w:line="360" w:lineRule="auto"/>
        <w:ind w:firstLine="420" w:firstLineChars="200"/>
        <w:rPr>
          <w:szCs w:val="21"/>
        </w:rPr>
      </w:pPr>
      <w:r>
        <w:rPr>
          <w:rFonts w:hint="eastAsia"/>
          <w:szCs w:val="21"/>
        </w:rPr>
        <w:t>承包</w:t>
      </w:r>
      <w:r>
        <w:rPr>
          <w:szCs w:val="21"/>
        </w:rPr>
        <w:t>人应在</w:t>
      </w:r>
      <w:r>
        <w:rPr>
          <w:rFonts w:hint="eastAsia"/>
          <w:szCs w:val="21"/>
        </w:rPr>
        <w:t>收到变更指示14</w:t>
      </w:r>
      <w:r>
        <w:rPr>
          <w:szCs w:val="21"/>
        </w:rPr>
        <w:t>天内，向监理人提交</w:t>
      </w:r>
      <w:r>
        <w:rPr>
          <w:rFonts w:hint="eastAsia"/>
          <w:szCs w:val="21"/>
        </w:rPr>
        <w:t>变更报价函及报价一览表</w:t>
      </w:r>
      <w:r>
        <w:rPr>
          <w:szCs w:val="21"/>
        </w:rPr>
        <w:t>。监理人应审查，并</w:t>
      </w:r>
      <w:r>
        <w:rPr>
          <w:rFonts w:hint="eastAsia"/>
          <w:szCs w:val="21"/>
        </w:rPr>
        <w:t>在收到承包人变更报价函及报价一览表后14天内，</w:t>
      </w:r>
      <w:r>
        <w:rPr>
          <w:szCs w:val="21"/>
        </w:rPr>
        <w:t>与发包人和</w:t>
      </w:r>
      <w:r>
        <w:rPr>
          <w:rFonts w:hint="eastAsia"/>
          <w:szCs w:val="21"/>
        </w:rPr>
        <w:t>承包</w:t>
      </w:r>
      <w:r>
        <w:rPr>
          <w:szCs w:val="21"/>
        </w:rPr>
        <w:t>人共同商定此估价。在未达成协议的情况下，监理人应确定该估价</w:t>
      </w:r>
      <w:r>
        <w:rPr>
          <w:rFonts w:hint="eastAsia"/>
          <w:szCs w:val="21"/>
        </w:rPr>
        <w:t>。</w:t>
      </w:r>
    </w:p>
    <w:p>
      <w:pPr>
        <w:keepNext/>
        <w:keepLines/>
        <w:spacing w:before="120" w:after="120"/>
        <w:rPr>
          <w:b/>
          <w:bCs/>
          <w:sz w:val="32"/>
          <w:szCs w:val="32"/>
        </w:rPr>
      </w:pPr>
      <w:bookmarkStart w:id="893" w:name="_Toc247085815"/>
      <w:bookmarkStart w:id="894" w:name="_Toc246997043"/>
      <w:bookmarkStart w:id="895" w:name="_Toc246996300"/>
      <w:bookmarkStart w:id="896" w:name="_Toc525983803"/>
      <w:r>
        <w:rPr>
          <w:rFonts w:hint="eastAsia"/>
          <w:b/>
          <w:bCs/>
          <w:sz w:val="32"/>
          <w:szCs w:val="32"/>
        </w:rPr>
        <w:t>9.3 变更的估价原则</w:t>
      </w:r>
      <w:bookmarkEnd w:id="893"/>
      <w:bookmarkEnd w:id="894"/>
      <w:bookmarkEnd w:id="895"/>
      <w:bookmarkEnd w:id="896"/>
    </w:p>
    <w:p>
      <w:pPr>
        <w:spacing w:line="400" w:lineRule="exact"/>
        <w:ind w:firstLine="420" w:firstLineChars="200"/>
        <w:rPr>
          <w:szCs w:val="21"/>
        </w:rPr>
      </w:pPr>
      <w:r>
        <w:rPr>
          <w:rFonts w:hint="eastAsia"/>
        </w:rPr>
        <w:t>因</w:t>
      </w:r>
      <w:r>
        <w:rPr>
          <w:szCs w:val="21"/>
        </w:rPr>
        <w:t>变更</w:t>
      </w:r>
      <w:r>
        <w:rPr>
          <w:rFonts w:hint="eastAsia"/>
          <w:szCs w:val="21"/>
        </w:rPr>
        <w:t>引起的价格调整按照本款约定处理</w:t>
      </w:r>
      <w:r>
        <w:rPr>
          <w:szCs w:val="21"/>
        </w:rPr>
        <w:t>：</w:t>
      </w:r>
    </w:p>
    <w:p>
      <w:pPr>
        <w:spacing w:line="360" w:lineRule="auto"/>
        <w:ind w:firstLine="420" w:firstLineChars="200"/>
        <w:rPr>
          <w:szCs w:val="21"/>
        </w:rPr>
      </w:pPr>
      <w:r>
        <w:rPr>
          <w:rFonts w:hint="eastAsia"/>
          <w:szCs w:val="21"/>
        </w:rPr>
        <w:t>（1）已标价工程量清单中有适用于变更工作的子目的，采用该子目的单价；</w:t>
      </w:r>
    </w:p>
    <w:p>
      <w:pPr>
        <w:spacing w:line="360" w:lineRule="auto"/>
        <w:ind w:firstLine="420" w:firstLineChars="200"/>
        <w:rPr>
          <w:szCs w:val="21"/>
        </w:rPr>
      </w:pPr>
      <w:r>
        <w:rPr>
          <w:rFonts w:hint="eastAsia"/>
          <w:szCs w:val="21"/>
        </w:rPr>
        <w:t>（2）已标价工程量清单中无适用于变更工作的子目，但有类似子目的，可在合理范围内参照类似项目，由监理人按第3.5款商定或确定变更工作的单价；</w:t>
      </w:r>
      <w:r>
        <w:rPr>
          <w:szCs w:val="21"/>
        </w:rPr>
        <w:t xml:space="preserve"> </w:t>
      </w:r>
    </w:p>
    <w:p>
      <w:pPr>
        <w:spacing w:line="360" w:lineRule="auto"/>
        <w:ind w:firstLine="420" w:firstLineChars="200"/>
        <w:rPr>
          <w:szCs w:val="21"/>
        </w:rPr>
      </w:pPr>
      <w:r>
        <w:rPr>
          <w:rFonts w:hint="eastAsia"/>
          <w:szCs w:val="21"/>
        </w:rPr>
        <w:t>（3）已标价工程量清单中无适用或类似子目的单价，可按照成本加利润的原则，由监理人按第3.5款商定或确定变更工作的单价。</w:t>
      </w:r>
    </w:p>
    <w:p>
      <w:pPr>
        <w:keepNext/>
        <w:keepLines/>
        <w:spacing w:before="120" w:after="120"/>
        <w:rPr>
          <w:b/>
          <w:bCs/>
          <w:sz w:val="32"/>
          <w:szCs w:val="32"/>
        </w:rPr>
      </w:pPr>
      <w:bookmarkStart w:id="897" w:name="_Toc247085816"/>
      <w:bookmarkStart w:id="898" w:name="_Toc246996301"/>
      <w:bookmarkStart w:id="899" w:name="_Toc525983804"/>
      <w:bookmarkStart w:id="900" w:name="_Toc246997044"/>
      <w:r>
        <w:rPr>
          <w:rFonts w:hint="eastAsia"/>
          <w:b/>
          <w:bCs/>
          <w:sz w:val="32"/>
          <w:szCs w:val="32"/>
        </w:rPr>
        <w:t>9.4 暂列金额</w:t>
      </w:r>
      <w:bookmarkEnd w:id="897"/>
      <w:bookmarkEnd w:id="898"/>
      <w:bookmarkEnd w:id="899"/>
      <w:bookmarkEnd w:id="900"/>
    </w:p>
    <w:p>
      <w:pPr>
        <w:spacing w:line="360" w:lineRule="auto"/>
        <w:ind w:firstLine="420" w:firstLineChars="200"/>
        <w:rPr>
          <w:szCs w:val="21"/>
        </w:rPr>
      </w:pPr>
      <w:r>
        <w:rPr>
          <w:rFonts w:hint="eastAsia"/>
          <w:szCs w:val="21"/>
        </w:rPr>
        <w:t>暂列金额只能按照监理人的指示使用，并对合同价格进行相应调整。</w:t>
      </w:r>
    </w:p>
    <w:p>
      <w:pPr>
        <w:keepNext/>
        <w:keepLines/>
        <w:spacing w:before="120" w:after="120"/>
        <w:rPr>
          <w:b/>
          <w:bCs/>
          <w:sz w:val="32"/>
          <w:szCs w:val="32"/>
        </w:rPr>
      </w:pPr>
      <w:bookmarkStart w:id="901" w:name="_Toc247085817"/>
      <w:bookmarkStart w:id="902" w:name="_Toc525983805"/>
      <w:bookmarkStart w:id="903" w:name="_Toc246997045"/>
      <w:bookmarkStart w:id="904" w:name="_Toc246996302"/>
      <w:r>
        <w:rPr>
          <w:rFonts w:hint="eastAsia"/>
          <w:b/>
          <w:bCs/>
          <w:sz w:val="32"/>
          <w:szCs w:val="32"/>
        </w:rPr>
        <w:t>9.5 计日工</w:t>
      </w:r>
      <w:bookmarkEnd w:id="901"/>
      <w:bookmarkEnd w:id="902"/>
      <w:bookmarkEnd w:id="903"/>
      <w:bookmarkEnd w:id="904"/>
    </w:p>
    <w:p>
      <w:pPr>
        <w:spacing w:line="360" w:lineRule="auto"/>
        <w:ind w:firstLine="420" w:firstLineChars="200"/>
        <w:rPr>
          <w:szCs w:val="21"/>
        </w:rPr>
      </w:pPr>
      <w:r>
        <w:rPr>
          <w:rFonts w:hint="eastAsia"/>
          <w:szCs w:val="21"/>
        </w:rPr>
        <w:t>9.5.1 发包人认为有必要时，由监理人通知承包人以计日工方式实施变更的零星工作。其价款按列入已标价工程量清单中的计日工计价子目及其单价进行计算。</w:t>
      </w:r>
    </w:p>
    <w:p>
      <w:pPr>
        <w:spacing w:line="360" w:lineRule="auto"/>
        <w:ind w:firstLine="420" w:firstLineChars="200"/>
        <w:rPr>
          <w:szCs w:val="21"/>
        </w:rPr>
      </w:pPr>
      <w:r>
        <w:rPr>
          <w:rFonts w:hint="eastAsia"/>
          <w:szCs w:val="21"/>
        </w:rPr>
        <w:t>9.5.2 采用计日工计价的任何一项变更工作，应从暂列金额中支付，承包人应在该项变更的实施过程中，每天提交以下报表和有关凭证报送监理人审批：</w:t>
      </w:r>
    </w:p>
    <w:p>
      <w:pPr>
        <w:spacing w:line="360" w:lineRule="auto"/>
        <w:ind w:firstLine="420" w:firstLineChars="200"/>
        <w:rPr>
          <w:szCs w:val="21"/>
        </w:rPr>
      </w:pPr>
      <w:r>
        <w:rPr>
          <w:rFonts w:hint="eastAsia"/>
          <w:szCs w:val="21"/>
        </w:rPr>
        <w:t>（l）工作名称、内容和数量；</w:t>
      </w:r>
    </w:p>
    <w:p>
      <w:pPr>
        <w:spacing w:line="360" w:lineRule="auto"/>
        <w:ind w:firstLine="420" w:firstLineChars="200"/>
        <w:rPr>
          <w:szCs w:val="21"/>
        </w:rPr>
      </w:pPr>
      <w:r>
        <w:rPr>
          <w:rFonts w:hint="eastAsia"/>
          <w:szCs w:val="21"/>
        </w:rPr>
        <w:t>（2）投入该工作所有人员的姓名、工种、级别和耗用工时；</w:t>
      </w:r>
    </w:p>
    <w:p>
      <w:pPr>
        <w:spacing w:line="360" w:lineRule="auto"/>
        <w:ind w:firstLine="420" w:firstLineChars="200"/>
        <w:rPr>
          <w:szCs w:val="21"/>
        </w:rPr>
      </w:pPr>
      <w:r>
        <w:rPr>
          <w:rFonts w:hint="eastAsia"/>
          <w:szCs w:val="21"/>
        </w:rPr>
        <w:t>（3）投入该工作的材料类别和数量；</w:t>
      </w:r>
    </w:p>
    <w:p>
      <w:pPr>
        <w:spacing w:line="360" w:lineRule="auto"/>
        <w:ind w:firstLine="420" w:firstLineChars="200"/>
        <w:rPr>
          <w:szCs w:val="21"/>
        </w:rPr>
      </w:pPr>
      <w:r>
        <w:rPr>
          <w:rFonts w:hint="eastAsia"/>
          <w:szCs w:val="21"/>
        </w:rPr>
        <w:t>（4）投入该工作的施工设备型号、台数和耗用台时；</w:t>
      </w:r>
    </w:p>
    <w:p>
      <w:pPr>
        <w:spacing w:line="360" w:lineRule="auto"/>
        <w:ind w:firstLine="420" w:firstLineChars="200"/>
        <w:rPr>
          <w:szCs w:val="21"/>
        </w:rPr>
      </w:pPr>
      <w:r>
        <w:rPr>
          <w:rFonts w:hint="eastAsia"/>
          <w:szCs w:val="21"/>
        </w:rPr>
        <w:t>（5）监理人要求提交的其他资料和凭证。</w:t>
      </w:r>
    </w:p>
    <w:p>
      <w:pPr>
        <w:spacing w:line="400" w:lineRule="exact"/>
        <w:ind w:firstLine="420" w:firstLineChars="200"/>
        <w:rPr>
          <w:szCs w:val="21"/>
        </w:rPr>
      </w:pPr>
      <w:r>
        <w:rPr>
          <w:rFonts w:hint="eastAsia"/>
          <w:szCs w:val="21"/>
        </w:rPr>
        <w:t>9.5.3 计日工由承包人汇总后，按第10.3款的约定列入进度付款申请单，由监理人复核并经发包人同意后列入进度付款。</w:t>
      </w:r>
    </w:p>
    <w:p>
      <w:pPr>
        <w:keepNext/>
        <w:keepLines/>
        <w:spacing w:before="260" w:after="260" w:line="415" w:lineRule="auto"/>
        <w:rPr>
          <w:rFonts w:ascii="Arial" w:hAnsi="Arial" w:eastAsia="黑体"/>
          <w:b/>
          <w:bCs/>
          <w:sz w:val="32"/>
          <w:szCs w:val="32"/>
        </w:rPr>
      </w:pPr>
      <w:bookmarkStart w:id="905" w:name="_Toc246997047"/>
      <w:bookmarkStart w:id="906" w:name="_Toc247085819"/>
      <w:bookmarkStart w:id="907" w:name="_Toc525983806"/>
      <w:bookmarkStart w:id="908" w:name="_Toc246996304"/>
      <w:bookmarkStart w:id="909" w:name="_Toc184635114"/>
      <w:r>
        <w:rPr>
          <w:rFonts w:hint="eastAsia" w:ascii="Arial" w:hAnsi="Arial" w:eastAsia="黑体"/>
          <w:b/>
          <w:bCs/>
          <w:sz w:val="32"/>
          <w:szCs w:val="32"/>
        </w:rPr>
        <w:t>10. 计量与支付</w:t>
      </w:r>
      <w:bookmarkEnd w:id="905"/>
      <w:bookmarkEnd w:id="906"/>
      <w:bookmarkEnd w:id="907"/>
      <w:bookmarkEnd w:id="908"/>
      <w:bookmarkEnd w:id="909"/>
    </w:p>
    <w:p>
      <w:pPr>
        <w:keepNext/>
        <w:keepLines/>
        <w:spacing w:before="120" w:after="120"/>
        <w:rPr>
          <w:b/>
          <w:bCs/>
          <w:sz w:val="32"/>
          <w:szCs w:val="32"/>
        </w:rPr>
      </w:pPr>
      <w:bookmarkStart w:id="910" w:name="_Toc525983807"/>
      <w:bookmarkStart w:id="911" w:name="_Toc246996305"/>
      <w:bookmarkStart w:id="912" w:name="_Toc246997048"/>
      <w:bookmarkStart w:id="913" w:name="_Toc247085820"/>
      <w:r>
        <w:rPr>
          <w:rFonts w:hint="eastAsia"/>
          <w:b/>
          <w:bCs/>
          <w:sz w:val="32"/>
          <w:szCs w:val="32"/>
        </w:rPr>
        <w:t>10.1 计量</w:t>
      </w:r>
      <w:bookmarkEnd w:id="910"/>
      <w:bookmarkEnd w:id="911"/>
      <w:bookmarkEnd w:id="912"/>
      <w:bookmarkEnd w:id="913"/>
    </w:p>
    <w:p>
      <w:pPr>
        <w:spacing w:line="360" w:lineRule="auto"/>
        <w:ind w:firstLine="420" w:firstLineChars="200"/>
        <w:rPr>
          <w:szCs w:val="21"/>
        </w:rPr>
      </w:pPr>
      <w:r>
        <w:rPr>
          <w:rFonts w:hint="eastAsia"/>
          <w:szCs w:val="21"/>
        </w:rPr>
        <w:t>承包人应根据有合同约束力的进度计划，按月分解签约合同价，形成支付分解报告，送监理人批准后成为有合同约束力的支付分解表，按有合同约束力的支付分解表分期计量和支付；支付分解表应随进度计划的修订而调整；除按照第9条约定的变更外，签约合同价所基于的工程量即是用于竣工结算的最终工程量。</w:t>
      </w:r>
    </w:p>
    <w:p>
      <w:pPr>
        <w:keepNext/>
        <w:keepLines/>
        <w:spacing w:before="120" w:after="120"/>
        <w:rPr>
          <w:b/>
          <w:bCs/>
          <w:sz w:val="32"/>
          <w:szCs w:val="32"/>
        </w:rPr>
      </w:pPr>
      <w:bookmarkStart w:id="914" w:name="_Toc525983808"/>
      <w:bookmarkStart w:id="915" w:name="_Toc247085821"/>
      <w:bookmarkStart w:id="916" w:name="_Toc246996306"/>
      <w:bookmarkStart w:id="917" w:name="_Toc246997049"/>
      <w:r>
        <w:rPr>
          <w:rFonts w:hint="eastAsia"/>
          <w:b/>
          <w:bCs/>
          <w:sz w:val="32"/>
          <w:szCs w:val="32"/>
        </w:rPr>
        <w:t>10.2 预付款</w:t>
      </w:r>
      <w:bookmarkEnd w:id="914"/>
      <w:bookmarkEnd w:id="915"/>
      <w:bookmarkEnd w:id="916"/>
      <w:bookmarkEnd w:id="917"/>
    </w:p>
    <w:p>
      <w:pPr>
        <w:spacing w:line="360" w:lineRule="auto"/>
        <w:ind w:firstLine="420" w:firstLineChars="200"/>
        <w:rPr>
          <w:color w:val="auto"/>
          <w:szCs w:val="21"/>
          <w:highlight w:val="none"/>
        </w:rPr>
      </w:pPr>
      <w:bookmarkStart w:id="918" w:name="_Toc525983809"/>
      <w:bookmarkStart w:id="919" w:name="_Toc247085822"/>
      <w:bookmarkStart w:id="920" w:name="_Toc246997050"/>
      <w:bookmarkStart w:id="921" w:name="_Toc246996307"/>
      <w:r>
        <w:rPr>
          <w:rFonts w:hint="eastAsia"/>
          <w:color w:val="auto"/>
          <w:szCs w:val="21"/>
          <w:highlight w:val="none"/>
        </w:rPr>
        <w:t>工程签订合同后30日内，甲方支付合同额的</w:t>
      </w:r>
      <w:r>
        <w:rPr>
          <w:rFonts w:hint="eastAsia"/>
          <w:color w:val="auto"/>
          <w:szCs w:val="21"/>
          <w:highlight w:val="none"/>
          <w:u w:val="single"/>
          <w:lang w:val="en-US" w:eastAsia="zh-CN"/>
        </w:rPr>
        <w:t xml:space="preserve">      </w:t>
      </w:r>
      <w:r>
        <w:rPr>
          <w:rFonts w:hint="eastAsia"/>
          <w:color w:val="auto"/>
          <w:szCs w:val="21"/>
          <w:highlight w:val="none"/>
        </w:rPr>
        <w:t>作为预付款</w:t>
      </w:r>
      <w:r>
        <w:rPr>
          <w:rFonts w:hint="eastAsia"/>
          <w:color w:val="auto"/>
          <w:szCs w:val="21"/>
          <w:highlight w:val="none"/>
          <w:lang w:eastAsia="zh-CN"/>
        </w:rPr>
        <w:t>。</w:t>
      </w:r>
    </w:p>
    <w:p>
      <w:pPr>
        <w:keepNext/>
        <w:keepLines/>
        <w:spacing w:before="120" w:after="120"/>
        <w:rPr>
          <w:b/>
          <w:bCs/>
          <w:color w:val="auto"/>
          <w:sz w:val="32"/>
          <w:szCs w:val="32"/>
          <w:highlight w:val="none"/>
        </w:rPr>
      </w:pPr>
      <w:r>
        <w:rPr>
          <w:rFonts w:hint="eastAsia"/>
          <w:b/>
          <w:bCs/>
          <w:color w:val="auto"/>
          <w:sz w:val="32"/>
          <w:szCs w:val="32"/>
          <w:highlight w:val="none"/>
        </w:rPr>
        <w:t>10.3 工程进度付款</w:t>
      </w:r>
      <w:bookmarkEnd w:id="918"/>
      <w:bookmarkEnd w:id="919"/>
      <w:bookmarkEnd w:id="920"/>
      <w:bookmarkEnd w:id="921"/>
    </w:p>
    <w:p>
      <w:pPr>
        <w:spacing w:line="360" w:lineRule="auto"/>
        <w:ind w:firstLine="420" w:firstLineChars="200"/>
        <w:rPr>
          <w:rFonts w:hint="eastAsia"/>
          <w:color w:val="auto"/>
          <w:szCs w:val="21"/>
          <w:highlight w:val="none"/>
        </w:rPr>
      </w:pPr>
      <w:r>
        <w:rPr>
          <w:rFonts w:hint="eastAsia"/>
          <w:color w:val="auto"/>
          <w:szCs w:val="21"/>
          <w:highlight w:val="none"/>
        </w:rPr>
        <w:t>工程竣工验收合格后，完成结算审定后，按审定金额支付工程费剩余尾款。以验收合格后起算，质保期一年，以合同金额的3%作为质保金，质保金随尾款一并支付。由施工单位提供质保金保函，质保期满后保函自动失效。</w:t>
      </w:r>
    </w:p>
    <w:p>
      <w:pPr>
        <w:spacing w:line="360" w:lineRule="auto"/>
        <w:ind w:firstLine="420" w:firstLineChars="200"/>
        <w:rPr>
          <w:szCs w:val="21"/>
        </w:rPr>
      </w:pPr>
      <w:r>
        <w:rPr>
          <w:rFonts w:hint="eastAsia"/>
          <w:szCs w:val="21"/>
        </w:rPr>
        <w:t>监理人应在收到承包人进度付款申请单以及相应的支持性证明文件后的7天内完成核查</w:t>
      </w:r>
      <w:r>
        <w:rPr>
          <w:szCs w:val="21"/>
        </w:rPr>
        <w:t>，</w:t>
      </w:r>
      <w:r>
        <w:rPr>
          <w:rFonts w:hint="eastAsia"/>
          <w:szCs w:val="21"/>
        </w:rPr>
        <w:t>并向承包人出具经发包人签认的付款证书。</w:t>
      </w:r>
      <w:r>
        <w:rPr>
          <w:szCs w:val="21"/>
        </w:rPr>
        <w:t>发包人应在监理人收到进度付款申请单的</w:t>
      </w:r>
      <w:r>
        <w:rPr>
          <w:rFonts w:hint="eastAsia"/>
          <w:szCs w:val="21"/>
        </w:rPr>
        <w:t>14</w:t>
      </w:r>
      <w:r>
        <w:rPr>
          <w:szCs w:val="21"/>
        </w:rPr>
        <w:t>天内将进度</w:t>
      </w:r>
      <w:r>
        <w:rPr>
          <w:rFonts w:hint="eastAsia"/>
          <w:szCs w:val="21"/>
        </w:rPr>
        <w:t>应付</w:t>
      </w:r>
      <w:r>
        <w:rPr>
          <w:szCs w:val="21"/>
        </w:rPr>
        <w:t>款支付给</w:t>
      </w:r>
      <w:r>
        <w:rPr>
          <w:rFonts w:hint="eastAsia"/>
          <w:szCs w:val="21"/>
        </w:rPr>
        <w:t>承包</w:t>
      </w:r>
      <w:r>
        <w:rPr>
          <w:szCs w:val="21"/>
        </w:rPr>
        <w:t>人</w:t>
      </w:r>
      <w:r>
        <w:rPr>
          <w:rFonts w:hint="eastAsia"/>
          <w:szCs w:val="21"/>
        </w:rPr>
        <w:t>。涉及政府投资资金的，按照国库集中支付等国家相关规定和合同条款的约定执行。</w:t>
      </w:r>
    </w:p>
    <w:p>
      <w:pPr>
        <w:keepNext/>
        <w:keepLines/>
        <w:spacing w:before="120" w:after="120"/>
        <w:rPr>
          <w:b/>
          <w:bCs/>
          <w:sz w:val="32"/>
          <w:szCs w:val="32"/>
        </w:rPr>
      </w:pPr>
      <w:bookmarkStart w:id="922" w:name="_Toc525983810"/>
      <w:bookmarkStart w:id="923" w:name="_Toc246997051"/>
      <w:bookmarkStart w:id="924" w:name="_Toc247085823"/>
      <w:bookmarkStart w:id="925" w:name="_Toc246996308"/>
      <w:r>
        <w:rPr>
          <w:rFonts w:hint="eastAsia"/>
          <w:b/>
          <w:bCs/>
          <w:sz w:val="32"/>
          <w:szCs w:val="32"/>
        </w:rPr>
        <w:t>10.4 质保期与质量保证金</w:t>
      </w:r>
      <w:bookmarkEnd w:id="922"/>
      <w:bookmarkEnd w:id="923"/>
      <w:bookmarkEnd w:id="924"/>
      <w:bookmarkEnd w:id="925"/>
    </w:p>
    <w:p>
      <w:pPr>
        <w:spacing w:line="360" w:lineRule="auto"/>
        <w:ind w:firstLine="420" w:firstLineChars="200"/>
        <w:rPr>
          <w:szCs w:val="21"/>
        </w:rPr>
      </w:pPr>
      <w:r>
        <w:rPr>
          <w:rFonts w:hint="eastAsia"/>
          <w:szCs w:val="21"/>
        </w:rPr>
        <w:t>在</w:t>
      </w:r>
      <w:r>
        <w:rPr>
          <w:rFonts w:hint="eastAsia"/>
          <w:szCs w:val="21"/>
          <w:u w:val="single"/>
        </w:rPr>
        <w:t xml:space="preserve"> </w:t>
      </w:r>
      <w:r>
        <w:rPr>
          <w:szCs w:val="21"/>
          <w:u w:val="single"/>
        </w:rPr>
        <w:t xml:space="preserve"> </w:t>
      </w:r>
      <w:r>
        <w:rPr>
          <w:rFonts w:hint="eastAsia"/>
          <w:szCs w:val="21"/>
          <w:u w:val="single"/>
          <w:lang w:val="en-US" w:eastAsia="zh-CN"/>
        </w:rPr>
        <w:t>12</w:t>
      </w:r>
      <w:r>
        <w:rPr>
          <w:rFonts w:hint="eastAsia"/>
          <w:szCs w:val="21"/>
          <w:u w:val="single"/>
        </w:rPr>
        <w:t xml:space="preserve">个月 </w:t>
      </w:r>
      <w:r>
        <w:rPr>
          <w:szCs w:val="21"/>
          <w:u w:val="single"/>
        </w:rPr>
        <w:t xml:space="preserve"> </w:t>
      </w:r>
      <w:r>
        <w:rPr>
          <w:rFonts w:hint="eastAsia"/>
          <w:szCs w:val="21"/>
        </w:rPr>
        <w:t>的质保期（缺陷责任期）满时，承包人向发包人申请到期应返还承包人剩余的质量保证金金额，发包人应在14天内会同承包人按照合同约定的内容核实承包人是否完成缺陷责任，并将无异议的剩余质量保证金返还承包人。</w:t>
      </w:r>
    </w:p>
    <w:p>
      <w:pPr>
        <w:keepNext/>
        <w:keepLines/>
        <w:spacing w:before="120" w:after="120"/>
        <w:rPr>
          <w:rFonts w:hint="default" w:eastAsia="宋体"/>
          <w:b/>
          <w:bCs/>
          <w:sz w:val="32"/>
          <w:szCs w:val="32"/>
          <w:lang w:val="en-US" w:eastAsia="zh-CN"/>
        </w:rPr>
      </w:pPr>
      <w:bookmarkStart w:id="926" w:name="_Toc246996309"/>
      <w:bookmarkStart w:id="927" w:name="_Toc525983811"/>
      <w:bookmarkStart w:id="928" w:name="_Toc247085824"/>
      <w:bookmarkStart w:id="929" w:name="_Toc246997052"/>
      <w:r>
        <w:rPr>
          <w:rFonts w:hint="eastAsia"/>
          <w:b/>
          <w:bCs/>
          <w:sz w:val="32"/>
          <w:szCs w:val="32"/>
        </w:rPr>
        <w:t>10.5 竣工结算</w:t>
      </w:r>
      <w:bookmarkEnd w:id="926"/>
      <w:bookmarkEnd w:id="927"/>
      <w:bookmarkEnd w:id="928"/>
      <w:bookmarkEnd w:id="929"/>
      <w:r>
        <w:rPr>
          <w:rFonts w:hint="eastAsia"/>
          <w:b/>
          <w:bCs/>
          <w:sz w:val="32"/>
          <w:szCs w:val="32"/>
          <w:lang w:eastAsia="zh-CN"/>
        </w:rPr>
        <w:t>（</w:t>
      </w:r>
      <w:r>
        <w:rPr>
          <w:rFonts w:hint="eastAsia"/>
          <w:b/>
          <w:bCs/>
          <w:sz w:val="32"/>
          <w:szCs w:val="32"/>
          <w:lang w:val="en-US" w:eastAsia="zh-CN"/>
        </w:rPr>
        <w:t>不适用）</w:t>
      </w:r>
    </w:p>
    <w:p>
      <w:pPr>
        <w:spacing w:line="360" w:lineRule="auto"/>
        <w:ind w:firstLine="420" w:firstLineChars="200"/>
        <w:rPr>
          <w:szCs w:val="21"/>
        </w:rPr>
      </w:pPr>
      <w:r>
        <w:rPr>
          <w:rFonts w:hint="eastAsia"/>
          <w:szCs w:val="21"/>
        </w:rPr>
        <w:t>竣工结算价格不因物价波动和法律变化而调整。</w:t>
      </w:r>
    </w:p>
    <w:p>
      <w:pPr>
        <w:keepNext/>
        <w:keepLines/>
        <w:spacing w:before="120" w:after="120"/>
        <w:rPr>
          <w:b/>
          <w:bCs/>
          <w:sz w:val="32"/>
          <w:szCs w:val="32"/>
        </w:rPr>
      </w:pPr>
      <w:bookmarkStart w:id="930" w:name="_Toc247085825"/>
      <w:bookmarkStart w:id="931" w:name="_Toc525983812"/>
      <w:bookmarkStart w:id="932" w:name="_Toc246996310"/>
      <w:bookmarkStart w:id="933" w:name="_Toc246997053"/>
      <w:r>
        <w:rPr>
          <w:rFonts w:hint="eastAsia"/>
          <w:b/>
          <w:bCs/>
          <w:sz w:val="32"/>
          <w:szCs w:val="32"/>
        </w:rPr>
        <w:t>10.6 付款延误</w:t>
      </w:r>
      <w:bookmarkEnd w:id="930"/>
      <w:bookmarkEnd w:id="931"/>
      <w:bookmarkEnd w:id="932"/>
      <w:bookmarkEnd w:id="933"/>
    </w:p>
    <w:p>
      <w:pPr>
        <w:spacing w:line="360" w:lineRule="auto"/>
        <w:ind w:firstLine="420" w:firstLineChars="200"/>
        <w:rPr>
          <w:szCs w:val="21"/>
        </w:rPr>
      </w:pPr>
      <w:r>
        <w:rPr>
          <w:rFonts w:hint="eastAsia"/>
          <w:szCs w:val="21"/>
        </w:rPr>
        <w:t>发包人不按期支付的，支付逾期付款违约金。</w:t>
      </w:r>
    </w:p>
    <w:p>
      <w:pPr>
        <w:keepNext/>
        <w:keepLines/>
        <w:spacing w:before="260" w:after="260" w:line="415" w:lineRule="auto"/>
        <w:rPr>
          <w:rFonts w:ascii="Arial" w:hAnsi="Arial" w:eastAsia="黑体"/>
          <w:b/>
          <w:bCs/>
          <w:sz w:val="32"/>
          <w:szCs w:val="32"/>
        </w:rPr>
      </w:pPr>
      <w:bookmarkStart w:id="934" w:name="_Toc247085826"/>
      <w:bookmarkStart w:id="935" w:name="_Toc525983813"/>
      <w:bookmarkStart w:id="936" w:name="_Toc246996311"/>
      <w:bookmarkStart w:id="937" w:name="_Toc246997054"/>
      <w:bookmarkStart w:id="938" w:name="_Toc184635115"/>
      <w:r>
        <w:rPr>
          <w:rFonts w:hint="eastAsia" w:ascii="Arial" w:hAnsi="Arial" w:eastAsia="黑体"/>
          <w:b/>
          <w:bCs/>
          <w:sz w:val="32"/>
          <w:szCs w:val="32"/>
        </w:rPr>
        <w:t>11. 竣工验收</w:t>
      </w:r>
      <w:bookmarkEnd w:id="934"/>
      <w:bookmarkEnd w:id="935"/>
      <w:bookmarkEnd w:id="936"/>
      <w:bookmarkEnd w:id="937"/>
      <w:bookmarkEnd w:id="938"/>
    </w:p>
    <w:p>
      <w:pPr>
        <w:keepNext/>
        <w:keepLines/>
        <w:spacing w:before="120" w:after="120"/>
        <w:rPr>
          <w:b/>
          <w:bCs/>
          <w:sz w:val="32"/>
          <w:szCs w:val="32"/>
        </w:rPr>
      </w:pPr>
      <w:bookmarkStart w:id="939" w:name="_Toc525983814"/>
      <w:bookmarkStart w:id="940" w:name="_Toc246996312"/>
      <w:bookmarkStart w:id="941" w:name="_Toc246997055"/>
      <w:bookmarkStart w:id="942" w:name="_Toc247085827"/>
      <w:r>
        <w:rPr>
          <w:rFonts w:hint="eastAsia"/>
          <w:b/>
          <w:bCs/>
          <w:sz w:val="32"/>
          <w:szCs w:val="32"/>
        </w:rPr>
        <w:t>11.1 竣工验收的含义</w:t>
      </w:r>
      <w:bookmarkEnd w:id="939"/>
    </w:p>
    <w:p>
      <w:pPr>
        <w:spacing w:line="360" w:lineRule="auto"/>
        <w:ind w:firstLine="420" w:firstLineChars="200"/>
      </w:pPr>
      <w:r>
        <w:rPr>
          <w:rFonts w:hint="eastAsia"/>
          <w:szCs w:val="21"/>
        </w:rPr>
        <w:t>11.1.1</w:t>
      </w:r>
      <w:r>
        <w:rPr>
          <w:rFonts w:hint="eastAsia"/>
        </w:rPr>
        <w:t xml:space="preserve"> 竣工验收是指承包人完成了全部合同工作后，发包人按合同要求进行的验收。</w:t>
      </w:r>
    </w:p>
    <w:p>
      <w:pPr>
        <w:spacing w:line="360" w:lineRule="auto"/>
        <w:ind w:firstLine="420" w:firstLineChars="200"/>
        <w:rPr>
          <w:szCs w:val="21"/>
        </w:rPr>
      </w:pPr>
      <w:r>
        <w:rPr>
          <w:rFonts w:hint="eastAsia"/>
          <w:szCs w:val="21"/>
        </w:rPr>
        <w:t>11.1.2</w:t>
      </w:r>
      <w:r>
        <w:rPr>
          <w:rFonts w:hint="eastAsia"/>
        </w:rPr>
        <w:t xml:space="preserve"> 需要进行国家验收的，竣工验收是国家验收的一部分。竣工验收所采用的各项验收和评定标准应符合国家验收标准。发包人和承包人为竣工验收提供的各项竣工验收资料应符合国家验收的要求。</w:t>
      </w:r>
    </w:p>
    <w:p>
      <w:pPr>
        <w:keepNext/>
        <w:keepLines/>
        <w:spacing w:before="120" w:after="120"/>
        <w:rPr>
          <w:b/>
          <w:bCs/>
          <w:sz w:val="32"/>
          <w:szCs w:val="32"/>
        </w:rPr>
      </w:pPr>
      <w:bookmarkStart w:id="943" w:name="_Toc525983815"/>
      <w:r>
        <w:rPr>
          <w:rFonts w:hint="eastAsia"/>
          <w:b/>
          <w:bCs/>
          <w:sz w:val="32"/>
          <w:szCs w:val="32"/>
        </w:rPr>
        <w:t>11.2 竣工验收申请报告</w:t>
      </w:r>
      <w:bookmarkEnd w:id="940"/>
      <w:bookmarkEnd w:id="941"/>
      <w:bookmarkEnd w:id="942"/>
      <w:bookmarkEnd w:id="943"/>
    </w:p>
    <w:p>
      <w:pPr>
        <w:spacing w:line="360" w:lineRule="auto"/>
        <w:ind w:firstLine="420" w:firstLineChars="200"/>
        <w:rPr>
          <w:szCs w:val="21"/>
        </w:rPr>
      </w:pPr>
      <w:r>
        <w:rPr>
          <w:szCs w:val="21"/>
        </w:rPr>
        <w:t>当工程具备竣工条件时，</w:t>
      </w:r>
      <w:r>
        <w:rPr>
          <w:rFonts w:hint="eastAsia"/>
          <w:szCs w:val="21"/>
        </w:rPr>
        <w:t>承包</w:t>
      </w:r>
      <w:r>
        <w:rPr>
          <w:szCs w:val="21"/>
        </w:rPr>
        <w:t>人即可向监理人报送竣工验收申请报告</w:t>
      </w:r>
      <w:r>
        <w:rPr>
          <w:rFonts w:hint="eastAsia"/>
          <w:szCs w:val="21"/>
        </w:rPr>
        <w:t>。</w:t>
      </w:r>
    </w:p>
    <w:p>
      <w:pPr>
        <w:keepNext/>
        <w:keepLines/>
        <w:spacing w:before="120" w:after="120"/>
        <w:rPr>
          <w:b/>
          <w:bCs/>
          <w:sz w:val="32"/>
          <w:szCs w:val="32"/>
        </w:rPr>
      </w:pPr>
      <w:bookmarkStart w:id="944" w:name="_Toc247085828"/>
      <w:bookmarkStart w:id="945" w:name="_Toc525983816"/>
      <w:bookmarkStart w:id="946" w:name="_Toc246997056"/>
      <w:bookmarkStart w:id="947" w:name="_Toc246996313"/>
      <w:r>
        <w:rPr>
          <w:rFonts w:hint="eastAsia"/>
          <w:b/>
          <w:bCs/>
          <w:sz w:val="32"/>
          <w:szCs w:val="32"/>
        </w:rPr>
        <w:t>11.3 竣工和验收</w:t>
      </w:r>
      <w:bookmarkEnd w:id="944"/>
      <w:bookmarkEnd w:id="945"/>
      <w:bookmarkEnd w:id="946"/>
      <w:bookmarkEnd w:id="947"/>
    </w:p>
    <w:p>
      <w:pPr>
        <w:spacing w:line="360" w:lineRule="auto"/>
        <w:ind w:firstLine="420" w:firstLineChars="200"/>
        <w:rPr>
          <w:szCs w:val="21"/>
        </w:rPr>
      </w:pPr>
      <w:r>
        <w:rPr>
          <w:szCs w:val="21"/>
        </w:rPr>
        <w:t>监理人审查后认为具备竣工验收条件的，提请发包人进行工程验收。发包人经过验收后同意接收工程的，由监理人向</w:t>
      </w:r>
      <w:r>
        <w:rPr>
          <w:rFonts w:hint="eastAsia"/>
          <w:szCs w:val="21"/>
        </w:rPr>
        <w:t>承包</w:t>
      </w:r>
      <w:r>
        <w:rPr>
          <w:szCs w:val="21"/>
        </w:rPr>
        <w:t>人出具经发包人签认的工程接收证书</w:t>
      </w:r>
      <w:r>
        <w:rPr>
          <w:rFonts w:hint="eastAsia"/>
          <w:szCs w:val="21"/>
        </w:rPr>
        <w:t>。</w:t>
      </w:r>
    </w:p>
    <w:p>
      <w:pPr>
        <w:spacing w:line="360" w:lineRule="auto"/>
        <w:ind w:firstLine="420" w:firstLineChars="200"/>
        <w:rPr>
          <w:szCs w:val="21"/>
        </w:rPr>
      </w:pPr>
      <w:r>
        <w:rPr>
          <w:szCs w:val="21"/>
        </w:rPr>
        <w:t>除合同条款另有约定外，经验收合格工程的实际竣工日期，以提交竣工验收申请报告的日期为准，并在工程接收证书中写明</w:t>
      </w:r>
      <w:r>
        <w:rPr>
          <w:rFonts w:hint="eastAsia"/>
          <w:szCs w:val="21"/>
        </w:rPr>
        <w:t>。</w:t>
      </w:r>
    </w:p>
    <w:p>
      <w:pPr>
        <w:keepNext/>
        <w:keepLines/>
        <w:spacing w:before="120" w:after="120"/>
        <w:rPr>
          <w:b/>
          <w:bCs/>
          <w:sz w:val="32"/>
          <w:szCs w:val="32"/>
        </w:rPr>
      </w:pPr>
      <w:bookmarkStart w:id="948" w:name="_Toc246997057"/>
      <w:bookmarkStart w:id="949" w:name="_Toc525983817"/>
      <w:bookmarkStart w:id="950" w:name="_Toc246996314"/>
      <w:bookmarkStart w:id="951" w:name="_Toc247085829"/>
      <w:r>
        <w:rPr>
          <w:rFonts w:hint="eastAsia"/>
          <w:b/>
          <w:bCs/>
          <w:sz w:val="32"/>
          <w:szCs w:val="32"/>
        </w:rPr>
        <w:t>11.4 试运行</w:t>
      </w:r>
      <w:bookmarkEnd w:id="948"/>
      <w:bookmarkEnd w:id="949"/>
      <w:bookmarkEnd w:id="950"/>
      <w:bookmarkEnd w:id="951"/>
    </w:p>
    <w:p>
      <w:pPr>
        <w:spacing w:line="360" w:lineRule="auto"/>
        <w:ind w:firstLine="420" w:firstLineChars="200"/>
        <w:rPr>
          <w:szCs w:val="21"/>
        </w:rPr>
      </w:pPr>
      <w:r>
        <w:rPr>
          <w:rFonts w:hint="eastAsia"/>
          <w:szCs w:val="21"/>
        </w:rPr>
        <w:t>承包人应按合同条款约定进行工程及工程设备试运行，负责提供试运行所需的人员、器材和必要的条件，并承担全部试运行费用。</w:t>
      </w:r>
    </w:p>
    <w:p>
      <w:pPr>
        <w:keepNext/>
        <w:keepLines/>
        <w:spacing w:before="120" w:after="120"/>
        <w:rPr>
          <w:b/>
          <w:bCs/>
          <w:sz w:val="32"/>
          <w:szCs w:val="32"/>
        </w:rPr>
      </w:pPr>
      <w:bookmarkStart w:id="952" w:name="_Toc247085830"/>
      <w:bookmarkStart w:id="953" w:name="_Toc246996315"/>
      <w:bookmarkStart w:id="954" w:name="_Toc525983818"/>
      <w:bookmarkStart w:id="955" w:name="_Toc246997058"/>
      <w:r>
        <w:rPr>
          <w:rFonts w:hint="eastAsia"/>
          <w:b/>
          <w:bCs/>
          <w:sz w:val="32"/>
          <w:szCs w:val="32"/>
        </w:rPr>
        <w:t>11.5 竣工清场</w:t>
      </w:r>
      <w:bookmarkEnd w:id="952"/>
      <w:bookmarkEnd w:id="953"/>
      <w:bookmarkEnd w:id="954"/>
      <w:bookmarkEnd w:id="955"/>
    </w:p>
    <w:p>
      <w:pPr>
        <w:spacing w:line="360" w:lineRule="auto"/>
        <w:ind w:firstLine="420" w:firstLineChars="200"/>
        <w:rPr>
          <w:szCs w:val="21"/>
        </w:rPr>
      </w:pPr>
      <w:r>
        <w:rPr>
          <w:rFonts w:hint="eastAsia"/>
          <w:szCs w:val="21"/>
        </w:rPr>
        <w:t>工程接收证书颁发后，承包人应对施工场地进行清理，直至监理人检验合格为止。竣工清场费用由承包人承担。</w:t>
      </w:r>
    </w:p>
    <w:p>
      <w:pPr>
        <w:keepNext/>
        <w:keepLines/>
        <w:spacing w:before="260" w:after="260" w:line="415" w:lineRule="auto"/>
        <w:rPr>
          <w:rFonts w:ascii="Arial" w:hAnsi="Arial" w:eastAsia="黑体"/>
          <w:b/>
          <w:bCs/>
          <w:sz w:val="32"/>
          <w:szCs w:val="32"/>
        </w:rPr>
      </w:pPr>
      <w:bookmarkStart w:id="956" w:name="_Toc246996316"/>
      <w:bookmarkStart w:id="957" w:name="_Toc184635116"/>
      <w:bookmarkStart w:id="958" w:name="_Toc247085831"/>
      <w:bookmarkStart w:id="959" w:name="_Toc246997059"/>
      <w:bookmarkStart w:id="960" w:name="_Toc525983819"/>
      <w:r>
        <w:rPr>
          <w:rFonts w:hint="eastAsia" w:ascii="Arial" w:hAnsi="Arial" w:eastAsia="黑体"/>
          <w:b/>
          <w:bCs/>
          <w:sz w:val="32"/>
          <w:szCs w:val="32"/>
        </w:rPr>
        <w:t>12. 缺陷责任与保修责任</w:t>
      </w:r>
      <w:bookmarkEnd w:id="956"/>
      <w:bookmarkEnd w:id="957"/>
      <w:bookmarkEnd w:id="958"/>
      <w:bookmarkEnd w:id="959"/>
      <w:bookmarkEnd w:id="960"/>
    </w:p>
    <w:p>
      <w:pPr>
        <w:keepNext/>
        <w:keepLines/>
        <w:spacing w:before="120" w:after="120"/>
        <w:rPr>
          <w:b/>
          <w:bCs/>
          <w:sz w:val="32"/>
          <w:szCs w:val="32"/>
        </w:rPr>
      </w:pPr>
      <w:bookmarkStart w:id="961" w:name="_Toc246996317"/>
      <w:bookmarkStart w:id="962" w:name="_Toc246997060"/>
      <w:bookmarkStart w:id="963" w:name="_Toc525983820"/>
      <w:bookmarkStart w:id="964" w:name="_Toc247085832"/>
      <w:r>
        <w:rPr>
          <w:rFonts w:hint="eastAsia"/>
          <w:b/>
          <w:bCs/>
          <w:sz w:val="32"/>
          <w:szCs w:val="32"/>
        </w:rPr>
        <w:t>12.1 缺陷责任</w:t>
      </w:r>
      <w:bookmarkEnd w:id="961"/>
      <w:bookmarkEnd w:id="962"/>
      <w:bookmarkEnd w:id="963"/>
      <w:bookmarkEnd w:id="964"/>
    </w:p>
    <w:p>
      <w:pPr>
        <w:spacing w:line="360" w:lineRule="auto"/>
        <w:ind w:firstLine="420" w:firstLineChars="200"/>
        <w:rPr>
          <w:szCs w:val="21"/>
        </w:rPr>
      </w:pPr>
      <w:r>
        <w:rPr>
          <w:rFonts w:hint="eastAsia"/>
          <w:szCs w:val="21"/>
        </w:rPr>
        <w:t>缺陷责任自实际竣工日期起计算。在缺陷责任期内，已交付的工程</w:t>
      </w:r>
      <w:r>
        <w:rPr>
          <w:szCs w:val="21"/>
        </w:rPr>
        <w:t>由于</w:t>
      </w:r>
      <w:r>
        <w:rPr>
          <w:rFonts w:hint="eastAsia"/>
          <w:szCs w:val="21"/>
        </w:rPr>
        <w:t>承包</w:t>
      </w:r>
      <w:r>
        <w:rPr>
          <w:szCs w:val="21"/>
        </w:rPr>
        <w:t>人的材料、设备或工艺不符合合同要求所产生的缺陷，修补费用由</w:t>
      </w:r>
      <w:r>
        <w:rPr>
          <w:rFonts w:hint="eastAsia"/>
          <w:szCs w:val="21"/>
        </w:rPr>
        <w:t>承包</w:t>
      </w:r>
      <w:r>
        <w:rPr>
          <w:szCs w:val="21"/>
        </w:rPr>
        <w:t>人承担</w:t>
      </w:r>
      <w:r>
        <w:rPr>
          <w:rFonts w:hint="eastAsia"/>
          <w:szCs w:val="21"/>
        </w:rPr>
        <w:t>。由于承包人原因造成某项缺陷或损坏使某项工程或工程设备不能按原定目标使用而需要再次检查、检验和修复的，发包人有权要求承包人相应延长缺陷责任期，但缺陷责任期最长不超过2年。</w:t>
      </w:r>
    </w:p>
    <w:p>
      <w:pPr>
        <w:keepNext/>
        <w:keepLines/>
        <w:spacing w:before="120" w:after="120"/>
        <w:rPr>
          <w:b/>
          <w:bCs/>
          <w:sz w:val="32"/>
          <w:szCs w:val="32"/>
        </w:rPr>
      </w:pPr>
      <w:bookmarkStart w:id="965" w:name="_Toc246997061"/>
      <w:bookmarkStart w:id="966" w:name="_Toc246996318"/>
      <w:bookmarkStart w:id="967" w:name="_Toc247085833"/>
      <w:bookmarkStart w:id="968" w:name="_Toc525983821"/>
      <w:r>
        <w:rPr>
          <w:rFonts w:hint="eastAsia"/>
          <w:b/>
          <w:bCs/>
          <w:sz w:val="32"/>
          <w:szCs w:val="32"/>
        </w:rPr>
        <w:t>12.2 保修责任</w:t>
      </w:r>
      <w:bookmarkEnd w:id="965"/>
      <w:bookmarkEnd w:id="966"/>
      <w:bookmarkEnd w:id="967"/>
      <w:bookmarkEnd w:id="968"/>
    </w:p>
    <w:p>
      <w:pPr>
        <w:spacing w:line="360" w:lineRule="auto"/>
        <w:ind w:firstLine="420" w:firstLineChars="200"/>
      </w:pPr>
      <w:r>
        <w:rPr>
          <w:rFonts w:hint="eastAsia"/>
          <w:szCs w:val="21"/>
        </w:rPr>
        <w:t>合同当事人根据有关法律规定，确定工程质量保修范围、期限和责任。保修期自实际竣工日期起计算。</w:t>
      </w:r>
      <w:bookmarkStart w:id="969" w:name="_Toc246996319"/>
      <w:bookmarkStart w:id="970" w:name="_Toc247085834"/>
      <w:bookmarkStart w:id="971" w:name="_Toc246997062"/>
      <w:bookmarkStart w:id="972" w:name="_Toc184635117"/>
    </w:p>
    <w:p>
      <w:pPr>
        <w:keepNext/>
        <w:keepLines/>
        <w:spacing w:before="260" w:after="260" w:line="415" w:lineRule="auto"/>
        <w:rPr>
          <w:rFonts w:ascii="Arial" w:hAnsi="Arial" w:eastAsia="黑体"/>
          <w:b/>
          <w:bCs/>
          <w:sz w:val="32"/>
          <w:szCs w:val="32"/>
        </w:rPr>
      </w:pPr>
      <w:bookmarkStart w:id="973" w:name="_Toc525983822"/>
      <w:r>
        <w:rPr>
          <w:rFonts w:hint="eastAsia" w:ascii="Arial" w:hAnsi="Arial" w:eastAsia="黑体"/>
          <w:b/>
          <w:bCs/>
          <w:sz w:val="32"/>
          <w:szCs w:val="32"/>
        </w:rPr>
        <w:t>13. 保险</w:t>
      </w:r>
      <w:bookmarkEnd w:id="969"/>
      <w:bookmarkEnd w:id="970"/>
      <w:bookmarkEnd w:id="971"/>
      <w:bookmarkEnd w:id="972"/>
      <w:bookmarkEnd w:id="973"/>
    </w:p>
    <w:p>
      <w:pPr>
        <w:keepNext/>
        <w:keepLines/>
        <w:spacing w:before="120" w:after="120"/>
        <w:rPr>
          <w:b/>
          <w:bCs/>
          <w:sz w:val="32"/>
          <w:szCs w:val="32"/>
        </w:rPr>
      </w:pPr>
      <w:bookmarkStart w:id="974" w:name="_Toc246996320"/>
      <w:bookmarkStart w:id="975" w:name="_Toc247085835"/>
      <w:bookmarkStart w:id="976" w:name="_Toc246997063"/>
      <w:bookmarkStart w:id="977" w:name="_Toc525983823"/>
      <w:r>
        <w:rPr>
          <w:rFonts w:hint="eastAsia"/>
          <w:b/>
          <w:bCs/>
          <w:sz w:val="32"/>
          <w:szCs w:val="32"/>
        </w:rPr>
        <w:t>13.1 保险范围</w:t>
      </w:r>
      <w:bookmarkEnd w:id="974"/>
      <w:bookmarkEnd w:id="975"/>
      <w:bookmarkEnd w:id="976"/>
      <w:bookmarkEnd w:id="977"/>
    </w:p>
    <w:p>
      <w:pPr>
        <w:spacing w:line="360" w:lineRule="auto"/>
        <w:ind w:firstLine="420" w:firstLineChars="200"/>
        <w:rPr>
          <w:szCs w:val="21"/>
        </w:rPr>
      </w:pPr>
      <w:r>
        <w:rPr>
          <w:rFonts w:hint="eastAsia"/>
          <w:szCs w:val="21"/>
        </w:rPr>
        <w:t>13.1.1承包人投保建筑工程一切险或安装工程一切险等保险。</w:t>
      </w:r>
    </w:p>
    <w:p>
      <w:pPr>
        <w:spacing w:line="360" w:lineRule="auto"/>
        <w:ind w:firstLine="420" w:firstLineChars="200"/>
        <w:rPr>
          <w:szCs w:val="21"/>
        </w:rPr>
      </w:pPr>
      <w:r>
        <w:rPr>
          <w:rFonts w:hint="eastAsia"/>
          <w:szCs w:val="21"/>
        </w:rPr>
        <w:t>13.1.2承包</w:t>
      </w:r>
      <w:r>
        <w:rPr>
          <w:szCs w:val="21"/>
        </w:rPr>
        <w:t>人应依照有关法律规定参加工伤保险和人身意外伤害险，为其履行合同所雇佣的全部人员，缴纳工伤保险费和</w:t>
      </w:r>
      <w:r>
        <w:rPr>
          <w:rFonts w:hint="eastAsia"/>
          <w:szCs w:val="21"/>
        </w:rPr>
        <w:t>人身</w:t>
      </w:r>
      <w:r>
        <w:rPr>
          <w:szCs w:val="21"/>
        </w:rPr>
        <w:t>意外伤害险费。</w:t>
      </w:r>
    </w:p>
    <w:p>
      <w:pPr>
        <w:spacing w:line="360" w:lineRule="auto"/>
        <w:ind w:firstLine="420" w:firstLineChars="200"/>
        <w:rPr>
          <w:szCs w:val="21"/>
        </w:rPr>
      </w:pPr>
      <w:r>
        <w:rPr>
          <w:rFonts w:hint="eastAsia"/>
          <w:szCs w:val="21"/>
        </w:rPr>
        <w:t>13.1.3</w:t>
      </w:r>
      <w:r>
        <w:rPr>
          <w:szCs w:val="21"/>
        </w:rPr>
        <w:t>发包人应依照有关法律规定参加工伤保险和人身意外伤害险，为其现场机构雇佣的全部人员，缴纳工伤保险费和人身意外伤害险费，并要求其监理人也进行此类保险</w:t>
      </w:r>
      <w:r>
        <w:rPr>
          <w:rFonts w:hint="eastAsia"/>
          <w:szCs w:val="21"/>
        </w:rPr>
        <w:t>。</w:t>
      </w:r>
    </w:p>
    <w:p>
      <w:pPr>
        <w:keepNext/>
        <w:keepLines/>
        <w:spacing w:before="120" w:after="120"/>
        <w:rPr>
          <w:b/>
          <w:bCs/>
          <w:sz w:val="32"/>
          <w:szCs w:val="32"/>
        </w:rPr>
      </w:pPr>
      <w:bookmarkStart w:id="978" w:name="_Toc246996321"/>
      <w:bookmarkStart w:id="979" w:name="_Toc246997064"/>
      <w:bookmarkStart w:id="980" w:name="_Toc247085836"/>
      <w:r>
        <w:rPr>
          <w:rFonts w:hint="eastAsia"/>
          <w:b/>
          <w:bCs/>
          <w:sz w:val="32"/>
          <w:szCs w:val="32"/>
        </w:rPr>
        <w:t xml:space="preserve"> </w:t>
      </w:r>
      <w:bookmarkStart w:id="981" w:name="_Toc525983824"/>
      <w:r>
        <w:rPr>
          <w:rFonts w:hint="eastAsia"/>
          <w:b/>
          <w:bCs/>
          <w:sz w:val="32"/>
          <w:szCs w:val="32"/>
        </w:rPr>
        <w:t xml:space="preserve">13.2 </w:t>
      </w:r>
      <w:r>
        <w:rPr>
          <w:b/>
          <w:bCs/>
          <w:sz w:val="32"/>
          <w:szCs w:val="32"/>
        </w:rPr>
        <w:t>未办理保</w:t>
      </w:r>
      <w:r>
        <w:rPr>
          <w:rFonts w:hint="eastAsia"/>
          <w:b/>
          <w:bCs/>
          <w:sz w:val="32"/>
          <w:szCs w:val="32"/>
        </w:rPr>
        <w:t>险</w:t>
      </w:r>
      <w:bookmarkEnd w:id="978"/>
      <w:bookmarkEnd w:id="979"/>
      <w:bookmarkEnd w:id="980"/>
      <w:bookmarkEnd w:id="981"/>
    </w:p>
    <w:p>
      <w:pPr>
        <w:spacing w:line="360" w:lineRule="auto"/>
        <w:ind w:firstLine="420" w:firstLineChars="200"/>
        <w:rPr>
          <w:szCs w:val="21"/>
        </w:rPr>
      </w:pPr>
      <w:bookmarkStart w:id="982" w:name="_Toc184635118"/>
      <w:r>
        <w:rPr>
          <w:rFonts w:hint="eastAsia"/>
          <w:szCs w:val="21"/>
        </w:rPr>
        <w:t>13.2.1</w:t>
      </w:r>
      <w:r>
        <w:rPr>
          <w:szCs w:val="21"/>
        </w:rPr>
        <w:t>由于负有投保义务的一方当事人未按合同约定办理保险，或未能使保险持续有效的，另一方当事人可代为办理，所需费用由对方当事人承担。</w:t>
      </w:r>
    </w:p>
    <w:p>
      <w:pPr>
        <w:spacing w:line="360" w:lineRule="auto"/>
        <w:ind w:firstLine="420" w:firstLineChars="200"/>
        <w:rPr>
          <w:szCs w:val="21"/>
        </w:rPr>
      </w:pPr>
      <w:r>
        <w:rPr>
          <w:rFonts w:hint="eastAsia"/>
          <w:szCs w:val="21"/>
        </w:rPr>
        <w:t>13.2.2</w:t>
      </w:r>
      <w:r>
        <w:rPr>
          <w:szCs w:val="21"/>
        </w:rPr>
        <w:t>由于负有投保义务的一方当事人未按合同约定办理某项保险，导致受益人未能得到保险人的赔偿，原应从该项保险得到的保险金应由负有投保义务的一方当事人支付</w:t>
      </w:r>
      <w:r>
        <w:rPr>
          <w:rFonts w:hint="eastAsia"/>
          <w:szCs w:val="21"/>
        </w:rPr>
        <w:t>。</w:t>
      </w:r>
    </w:p>
    <w:bookmarkEnd w:id="982"/>
    <w:p>
      <w:pPr>
        <w:keepNext/>
        <w:keepLines/>
        <w:spacing w:before="260" w:after="260" w:line="415" w:lineRule="auto"/>
        <w:rPr>
          <w:rFonts w:ascii="Arial" w:hAnsi="Arial" w:eastAsia="黑体"/>
          <w:b/>
          <w:bCs/>
          <w:sz w:val="32"/>
          <w:szCs w:val="32"/>
        </w:rPr>
      </w:pPr>
      <w:bookmarkStart w:id="983" w:name="_Toc247527781"/>
      <w:bookmarkStart w:id="984" w:name="_Toc247514180"/>
      <w:bookmarkStart w:id="985" w:name="_Toc271821895"/>
      <w:bookmarkStart w:id="986" w:name="_Toc525983825"/>
      <w:bookmarkStart w:id="987" w:name="_Toc184635119"/>
      <w:bookmarkStart w:id="988" w:name="_Toc246996322"/>
      <w:bookmarkStart w:id="989" w:name="_Toc246997065"/>
      <w:bookmarkStart w:id="990" w:name="_Toc247085837"/>
      <w:r>
        <w:rPr>
          <w:rFonts w:hint="eastAsia" w:ascii="Arial" w:hAnsi="Arial" w:eastAsia="黑体"/>
          <w:b/>
          <w:bCs/>
          <w:sz w:val="32"/>
          <w:szCs w:val="32"/>
        </w:rPr>
        <w:t>14. 不可抗力</w:t>
      </w:r>
      <w:bookmarkEnd w:id="983"/>
      <w:bookmarkEnd w:id="984"/>
      <w:bookmarkEnd w:id="985"/>
      <w:bookmarkEnd w:id="986"/>
    </w:p>
    <w:p>
      <w:pPr>
        <w:keepNext/>
        <w:keepLines/>
        <w:spacing w:before="120" w:after="120"/>
        <w:rPr>
          <w:b/>
          <w:bCs/>
          <w:sz w:val="32"/>
          <w:szCs w:val="32"/>
        </w:rPr>
      </w:pPr>
      <w:bookmarkStart w:id="991" w:name="_Toc271821896"/>
      <w:bookmarkStart w:id="992" w:name="_Toc525983826"/>
      <w:bookmarkStart w:id="993" w:name="_Toc247527782"/>
      <w:bookmarkStart w:id="994" w:name="_Toc247514181"/>
      <w:r>
        <w:rPr>
          <w:rFonts w:hint="eastAsia"/>
          <w:b/>
          <w:bCs/>
          <w:sz w:val="32"/>
          <w:szCs w:val="32"/>
        </w:rPr>
        <w:t>14.1 不可抗力的确认</w:t>
      </w:r>
      <w:bookmarkEnd w:id="991"/>
      <w:bookmarkEnd w:id="992"/>
      <w:bookmarkEnd w:id="993"/>
      <w:bookmarkEnd w:id="994"/>
    </w:p>
    <w:p>
      <w:pPr>
        <w:spacing w:line="360" w:lineRule="auto"/>
        <w:ind w:firstLine="420" w:firstLineChars="200"/>
        <w:rPr>
          <w:szCs w:val="21"/>
        </w:rPr>
      </w:pPr>
      <w:r>
        <w:rPr>
          <w:rFonts w:hint="eastAsia"/>
          <w:szCs w:val="21"/>
        </w:rPr>
        <w:t>14.1.1 不可抗力是指承包人和发包人在订立合同时不可预见，在履行合同过程中不可避免发生并不能克服的自然灾害和社会性突发事件，如地震、海啸、瘟疫、水灾、骚乱、暴动、战争和合同条款约定的其他情形。</w:t>
      </w:r>
    </w:p>
    <w:p>
      <w:pPr>
        <w:spacing w:line="360" w:lineRule="auto"/>
        <w:ind w:firstLine="420" w:firstLineChars="200"/>
        <w:rPr>
          <w:szCs w:val="21"/>
        </w:rPr>
      </w:pPr>
      <w:r>
        <w:rPr>
          <w:rFonts w:hint="eastAsia"/>
          <w:szCs w:val="21"/>
        </w:rPr>
        <w:t>14.1.2 不可抗力发生后，发包人和承包人应及时认真统计所造成的损失，收集不可抗力造成损失的证据。合同双方对是否属于不可抗力或其损失的意见不一致的，由监理人按第3.5 款商定或确定。发生争议时，按第17条的约定执行。</w:t>
      </w:r>
    </w:p>
    <w:p>
      <w:pPr>
        <w:keepNext/>
        <w:keepLines/>
        <w:spacing w:before="120" w:after="120"/>
        <w:rPr>
          <w:b/>
          <w:bCs/>
          <w:sz w:val="32"/>
          <w:szCs w:val="32"/>
        </w:rPr>
      </w:pPr>
      <w:bookmarkStart w:id="995" w:name="_Toc247527783"/>
      <w:bookmarkStart w:id="996" w:name="_Toc525983827"/>
      <w:bookmarkStart w:id="997" w:name="_Toc247514182"/>
      <w:bookmarkStart w:id="998" w:name="_Toc271821897"/>
      <w:r>
        <w:rPr>
          <w:rFonts w:hint="eastAsia"/>
          <w:b/>
          <w:bCs/>
          <w:sz w:val="32"/>
          <w:szCs w:val="32"/>
        </w:rPr>
        <w:t>14.2 不可抗力的通知</w:t>
      </w:r>
      <w:bookmarkEnd w:id="995"/>
      <w:bookmarkEnd w:id="996"/>
      <w:bookmarkEnd w:id="997"/>
      <w:bookmarkEnd w:id="998"/>
    </w:p>
    <w:p>
      <w:pPr>
        <w:spacing w:line="360" w:lineRule="auto"/>
        <w:ind w:firstLine="420" w:firstLineChars="200"/>
        <w:rPr>
          <w:szCs w:val="21"/>
        </w:rPr>
      </w:pPr>
      <w:r>
        <w:rPr>
          <w:rFonts w:hint="eastAsia"/>
          <w:szCs w:val="21"/>
        </w:rPr>
        <w:t>合同一方当事人遇到不可抗力事件，使其履行合同义务受到阻碍时，应立即通知合同另一方当事人和监理人，书面说明不可抗力和受阻碍的详细情况，并提供必要的证明。如不可抗力持续发生，合同一方当事人应及时向合同另一方当事人和监理人提交中间报告，说明不可抗力和履行合同受阻的情况，并于不可抗力事件结束后14天内提交最终报告及有关资料。</w:t>
      </w:r>
    </w:p>
    <w:p>
      <w:pPr>
        <w:keepNext/>
        <w:keepLines/>
        <w:spacing w:before="120" w:after="120"/>
        <w:rPr>
          <w:b/>
          <w:bCs/>
          <w:sz w:val="32"/>
          <w:szCs w:val="32"/>
        </w:rPr>
      </w:pPr>
      <w:bookmarkStart w:id="999" w:name="_Toc247527784"/>
      <w:bookmarkStart w:id="1000" w:name="_Toc247514183"/>
      <w:bookmarkStart w:id="1001" w:name="_Toc525983828"/>
      <w:bookmarkStart w:id="1002" w:name="_Toc271821898"/>
      <w:r>
        <w:rPr>
          <w:rFonts w:hint="eastAsia"/>
          <w:b/>
          <w:bCs/>
          <w:sz w:val="32"/>
          <w:szCs w:val="32"/>
        </w:rPr>
        <w:t>14.3 不可抗力后果及其处理</w:t>
      </w:r>
      <w:bookmarkEnd w:id="999"/>
      <w:bookmarkEnd w:id="1000"/>
      <w:bookmarkEnd w:id="1001"/>
      <w:bookmarkEnd w:id="1002"/>
    </w:p>
    <w:p>
      <w:pPr>
        <w:spacing w:line="360" w:lineRule="auto"/>
        <w:ind w:firstLine="420" w:firstLineChars="200"/>
        <w:rPr>
          <w:szCs w:val="21"/>
        </w:rPr>
      </w:pPr>
      <w:r>
        <w:rPr>
          <w:rFonts w:hint="eastAsia"/>
          <w:szCs w:val="21"/>
        </w:rPr>
        <w:t>不可抗力导致的人员伤亡、财产损失、费用增加和（或）工期延误等后果，由合同双方按以下原则承担：</w:t>
      </w:r>
    </w:p>
    <w:p>
      <w:pPr>
        <w:spacing w:line="360" w:lineRule="auto"/>
        <w:ind w:firstLine="420" w:firstLineChars="200"/>
        <w:rPr>
          <w:szCs w:val="21"/>
        </w:rPr>
      </w:pPr>
      <w:r>
        <w:rPr>
          <w:rFonts w:hint="eastAsia"/>
          <w:szCs w:val="21"/>
        </w:rPr>
        <w:t>（1）永久工程，包括已运至施工场地的材料和工程设备的损害，以及因工程损害造成的第三者人员伤亡和财产损失由发包人承担；</w:t>
      </w:r>
    </w:p>
    <w:p>
      <w:pPr>
        <w:spacing w:line="360" w:lineRule="auto"/>
        <w:ind w:firstLine="420" w:firstLineChars="200"/>
        <w:rPr>
          <w:szCs w:val="21"/>
        </w:rPr>
      </w:pPr>
      <w:r>
        <w:rPr>
          <w:rFonts w:hint="eastAsia"/>
          <w:szCs w:val="21"/>
        </w:rPr>
        <w:t>（2）承包人设备的损坏由承包人承担；</w:t>
      </w:r>
    </w:p>
    <w:p>
      <w:pPr>
        <w:spacing w:line="360" w:lineRule="auto"/>
        <w:ind w:firstLine="420" w:firstLineChars="200"/>
        <w:rPr>
          <w:szCs w:val="21"/>
        </w:rPr>
      </w:pPr>
      <w:r>
        <w:rPr>
          <w:rFonts w:hint="eastAsia"/>
          <w:szCs w:val="21"/>
        </w:rPr>
        <w:t>（3）发包人和承包人各自承担其人员伤亡和其他财产损失及其相关费用；</w:t>
      </w:r>
    </w:p>
    <w:p>
      <w:pPr>
        <w:spacing w:line="360" w:lineRule="auto"/>
        <w:ind w:firstLine="420" w:firstLineChars="200"/>
        <w:rPr>
          <w:szCs w:val="21"/>
        </w:rPr>
      </w:pPr>
      <w:r>
        <w:rPr>
          <w:rFonts w:hint="eastAsia"/>
          <w:szCs w:val="21"/>
        </w:rPr>
        <w:t>（4）承包人的停工损失由承包人承担，但停工期间应监理人要求照管工程和清理、修复工程的金额由发包人承担；</w:t>
      </w:r>
    </w:p>
    <w:p>
      <w:pPr>
        <w:spacing w:line="360" w:lineRule="auto"/>
        <w:ind w:firstLine="420" w:firstLineChars="200"/>
        <w:rPr>
          <w:szCs w:val="21"/>
        </w:rPr>
      </w:pPr>
      <w:r>
        <w:rPr>
          <w:rFonts w:hint="eastAsia"/>
          <w:szCs w:val="21"/>
        </w:rPr>
        <w:t>（5）不能按期竣工的，应合理延长工期，承包人不需支付逾期竣工违约金。发包人要求赶工的，承包人应采取赶工措施，赶工费用由发包人承担。</w:t>
      </w:r>
    </w:p>
    <w:p>
      <w:pPr>
        <w:keepNext/>
        <w:keepLines/>
        <w:spacing w:before="260" w:after="260" w:line="415" w:lineRule="auto"/>
        <w:rPr>
          <w:rFonts w:ascii="Arial" w:hAnsi="Arial" w:eastAsia="黑体"/>
          <w:b/>
          <w:bCs/>
          <w:sz w:val="32"/>
          <w:szCs w:val="32"/>
        </w:rPr>
      </w:pPr>
      <w:bookmarkStart w:id="1003" w:name="_Toc525983829"/>
      <w:r>
        <w:rPr>
          <w:rFonts w:hint="eastAsia" w:ascii="Arial" w:hAnsi="Arial" w:eastAsia="黑体"/>
          <w:b/>
          <w:bCs/>
          <w:sz w:val="32"/>
          <w:szCs w:val="32"/>
        </w:rPr>
        <w:t>15. 违约</w:t>
      </w:r>
      <w:bookmarkEnd w:id="987"/>
      <w:bookmarkEnd w:id="988"/>
      <w:bookmarkEnd w:id="989"/>
      <w:bookmarkEnd w:id="990"/>
      <w:bookmarkEnd w:id="1003"/>
    </w:p>
    <w:p>
      <w:pPr>
        <w:keepNext/>
        <w:keepLines/>
        <w:spacing w:before="120" w:after="120"/>
        <w:rPr>
          <w:b/>
          <w:bCs/>
          <w:sz w:val="32"/>
          <w:szCs w:val="32"/>
        </w:rPr>
      </w:pPr>
      <w:bookmarkStart w:id="1004" w:name="_Toc246996323"/>
      <w:bookmarkStart w:id="1005" w:name="_Toc247085838"/>
      <w:bookmarkStart w:id="1006" w:name="_Toc525983830"/>
      <w:bookmarkStart w:id="1007" w:name="_Toc246997066"/>
      <w:r>
        <w:rPr>
          <w:rFonts w:hint="eastAsia"/>
          <w:b/>
          <w:bCs/>
          <w:sz w:val="32"/>
          <w:szCs w:val="32"/>
        </w:rPr>
        <w:t>15.1 承包人违约</w:t>
      </w:r>
      <w:bookmarkEnd w:id="1004"/>
      <w:bookmarkEnd w:id="1005"/>
      <w:bookmarkEnd w:id="1006"/>
      <w:bookmarkEnd w:id="1007"/>
    </w:p>
    <w:p>
      <w:pPr>
        <w:spacing w:line="360" w:lineRule="auto"/>
        <w:ind w:firstLine="420" w:firstLineChars="200"/>
        <w:rPr>
          <w:szCs w:val="21"/>
        </w:rPr>
      </w:pPr>
      <w:r>
        <w:rPr>
          <w:rFonts w:hint="eastAsia"/>
          <w:szCs w:val="21"/>
        </w:rPr>
        <w:t xml:space="preserve">15.1.1 </w:t>
      </w:r>
      <w:r>
        <w:rPr>
          <w:szCs w:val="21"/>
        </w:rPr>
        <w:t>如果</w:t>
      </w:r>
      <w:r>
        <w:rPr>
          <w:rFonts w:hint="eastAsia"/>
          <w:szCs w:val="21"/>
        </w:rPr>
        <w:t>承包</w:t>
      </w:r>
      <w:r>
        <w:rPr>
          <w:szCs w:val="21"/>
        </w:rPr>
        <w:t>人拒绝或未能遵守监理人的指示，或未能按合同进度计划及时完成合同约定的工作，已造成或预期造成工期延误，或违反合同不顾书面警告，监理人可发出通知</w:t>
      </w:r>
      <w:r>
        <w:rPr>
          <w:rFonts w:hint="eastAsia"/>
          <w:szCs w:val="21"/>
        </w:rPr>
        <w:t>，告知</w:t>
      </w:r>
      <w:r>
        <w:rPr>
          <w:szCs w:val="21"/>
        </w:rPr>
        <w:t>承包人违约</w:t>
      </w:r>
      <w:r>
        <w:rPr>
          <w:rFonts w:hint="eastAsia"/>
          <w:szCs w:val="21"/>
        </w:rPr>
        <w:t>。</w:t>
      </w:r>
    </w:p>
    <w:p>
      <w:pPr>
        <w:spacing w:line="360" w:lineRule="auto"/>
        <w:ind w:firstLine="420" w:firstLineChars="200"/>
        <w:rPr>
          <w:szCs w:val="21"/>
        </w:rPr>
      </w:pPr>
      <w:r>
        <w:rPr>
          <w:rFonts w:hint="eastAsia"/>
          <w:szCs w:val="21"/>
        </w:rPr>
        <w:t xml:space="preserve">15.1.2 </w:t>
      </w:r>
      <w:r>
        <w:rPr>
          <w:szCs w:val="21"/>
        </w:rPr>
        <w:t>如果</w:t>
      </w:r>
      <w:r>
        <w:rPr>
          <w:rFonts w:hint="eastAsia"/>
          <w:szCs w:val="21"/>
        </w:rPr>
        <w:t>承包</w:t>
      </w:r>
      <w:r>
        <w:rPr>
          <w:szCs w:val="21"/>
        </w:rPr>
        <w:t>人在收到监理人通知后21天内，没有采取可行的措施纠正违约，发包人可向</w:t>
      </w:r>
      <w:r>
        <w:rPr>
          <w:rFonts w:hint="eastAsia"/>
          <w:szCs w:val="21"/>
        </w:rPr>
        <w:t>承包</w:t>
      </w:r>
      <w:r>
        <w:rPr>
          <w:szCs w:val="21"/>
        </w:rPr>
        <w:t>人发出解除合同通知。发包人因继续完成该工程的需要，有权扣留使用承包人在现场的材料、设备</w:t>
      </w:r>
      <w:r>
        <w:rPr>
          <w:rFonts w:hint="eastAsia"/>
          <w:szCs w:val="21"/>
        </w:rPr>
        <w:t>和</w:t>
      </w:r>
      <w:r>
        <w:rPr>
          <w:szCs w:val="21"/>
        </w:rPr>
        <w:t>临时设施。但发包人的这一行动不免除</w:t>
      </w:r>
      <w:r>
        <w:rPr>
          <w:rFonts w:hint="eastAsia"/>
          <w:szCs w:val="21"/>
        </w:rPr>
        <w:t>承包</w:t>
      </w:r>
      <w:r>
        <w:rPr>
          <w:szCs w:val="21"/>
        </w:rPr>
        <w:t>人应承担的违约责任，也不影响发包人根据合同约定享有的索赔权利</w:t>
      </w:r>
      <w:r>
        <w:rPr>
          <w:rFonts w:hint="eastAsia"/>
          <w:szCs w:val="21"/>
        </w:rPr>
        <w:t>。</w:t>
      </w:r>
    </w:p>
    <w:p>
      <w:pPr>
        <w:keepNext/>
        <w:keepLines/>
        <w:spacing w:before="120" w:after="120"/>
        <w:rPr>
          <w:b/>
          <w:bCs/>
          <w:sz w:val="32"/>
          <w:szCs w:val="32"/>
        </w:rPr>
      </w:pPr>
      <w:bookmarkStart w:id="1008" w:name="_Toc525983831"/>
      <w:bookmarkStart w:id="1009" w:name="_Toc246996324"/>
      <w:bookmarkStart w:id="1010" w:name="_Toc246997067"/>
      <w:bookmarkStart w:id="1011" w:name="_Toc247085839"/>
      <w:r>
        <w:rPr>
          <w:rFonts w:hint="eastAsia"/>
          <w:b/>
          <w:bCs/>
          <w:sz w:val="32"/>
          <w:szCs w:val="32"/>
        </w:rPr>
        <w:t>15.2 发包人违约</w:t>
      </w:r>
      <w:bookmarkEnd w:id="1008"/>
      <w:bookmarkEnd w:id="1009"/>
      <w:bookmarkEnd w:id="1010"/>
      <w:bookmarkEnd w:id="1011"/>
    </w:p>
    <w:p>
      <w:pPr>
        <w:spacing w:line="360" w:lineRule="auto"/>
        <w:ind w:firstLine="420" w:firstLineChars="200"/>
        <w:rPr>
          <w:szCs w:val="21"/>
        </w:rPr>
      </w:pPr>
      <w:r>
        <w:rPr>
          <w:rFonts w:hint="eastAsia"/>
          <w:szCs w:val="21"/>
        </w:rPr>
        <w:t xml:space="preserve">15.2.1 </w:t>
      </w:r>
      <w:r>
        <w:rPr>
          <w:szCs w:val="21"/>
        </w:rPr>
        <w:t>如果发包人未能按合同付款，或违反合同不顾书面警告，承包人可发出通知</w:t>
      </w:r>
      <w:r>
        <w:rPr>
          <w:rFonts w:hint="eastAsia"/>
          <w:szCs w:val="21"/>
        </w:rPr>
        <w:t>，告知</w:t>
      </w:r>
      <w:r>
        <w:rPr>
          <w:szCs w:val="21"/>
        </w:rPr>
        <w:t>发包人违约。如果发包人在收到该通知后14天内</w:t>
      </w:r>
      <w:r>
        <w:rPr>
          <w:rFonts w:hint="eastAsia"/>
          <w:szCs w:val="21"/>
        </w:rPr>
        <w:t>未</w:t>
      </w:r>
      <w:r>
        <w:rPr>
          <w:szCs w:val="21"/>
        </w:rPr>
        <w:t>纠正违约，承包人可暂停工作或放慢工作进度。</w:t>
      </w:r>
    </w:p>
    <w:p>
      <w:pPr>
        <w:spacing w:line="360" w:lineRule="auto"/>
        <w:ind w:firstLine="420" w:firstLineChars="200"/>
        <w:rPr>
          <w:szCs w:val="21"/>
        </w:rPr>
      </w:pPr>
      <w:r>
        <w:rPr>
          <w:rFonts w:hint="eastAsia"/>
          <w:szCs w:val="21"/>
        </w:rPr>
        <w:t xml:space="preserve">15.2.2 </w:t>
      </w:r>
      <w:r>
        <w:rPr>
          <w:szCs w:val="21"/>
        </w:rPr>
        <w:t>如果发包人收到承包人通知后28内</w:t>
      </w:r>
      <w:r>
        <w:rPr>
          <w:rFonts w:hint="eastAsia"/>
          <w:szCs w:val="21"/>
        </w:rPr>
        <w:t>未</w:t>
      </w:r>
      <w:r>
        <w:rPr>
          <w:szCs w:val="21"/>
        </w:rPr>
        <w:t>纠正违约，承包人可向发包人发出解除合同通知。合同解除后，承包人应妥善做好已竣工工程和已购材料、设备的保护和移交工作，按发包人要求将承包人设备和人员撤出施工场地，同时发包人应为承包人</w:t>
      </w:r>
      <w:r>
        <w:rPr>
          <w:rFonts w:hint="eastAsia"/>
          <w:szCs w:val="21"/>
        </w:rPr>
        <w:t>的</w:t>
      </w:r>
      <w:r>
        <w:rPr>
          <w:szCs w:val="21"/>
        </w:rPr>
        <w:t>撤出提供必要条件</w:t>
      </w:r>
      <w:r>
        <w:rPr>
          <w:rFonts w:hint="eastAsia"/>
          <w:szCs w:val="21"/>
        </w:rPr>
        <w:t>，</w:t>
      </w:r>
      <w:r>
        <w:rPr>
          <w:szCs w:val="21"/>
        </w:rPr>
        <w:t>但承包人的</w:t>
      </w:r>
      <w:r>
        <w:rPr>
          <w:rFonts w:hint="eastAsia"/>
          <w:szCs w:val="21"/>
        </w:rPr>
        <w:t>这一</w:t>
      </w:r>
      <w:r>
        <w:rPr>
          <w:szCs w:val="21"/>
        </w:rPr>
        <w:t>行动不免除发包人应承担的违约责任，也不影响承包人根据合同约定享有的索赔权利</w:t>
      </w:r>
      <w:r>
        <w:rPr>
          <w:rFonts w:hint="eastAsia"/>
          <w:szCs w:val="21"/>
        </w:rPr>
        <w:t>。</w:t>
      </w:r>
    </w:p>
    <w:p>
      <w:pPr>
        <w:keepNext/>
        <w:keepLines/>
        <w:spacing w:before="260" w:after="260" w:line="415" w:lineRule="auto"/>
        <w:rPr>
          <w:rFonts w:ascii="Arial" w:hAnsi="Arial" w:eastAsia="黑体"/>
          <w:b/>
          <w:bCs/>
          <w:sz w:val="32"/>
          <w:szCs w:val="32"/>
        </w:rPr>
      </w:pPr>
      <w:bookmarkStart w:id="1012" w:name="_Toc246996326"/>
      <w:bookmarkStart w:id="1013" w:name="_Toc246997069"/>
      <w:bookmarkStart w:id="1014" w:name="_Toc525983832"/>
      <w:bookmarkStart w:id="1015" w:name="_Toc184635120"/>
      <w:bookmarkStart w:id="1016" w:name="_Toc247085841"/>
      <w:r>
        <w:rPr>
          <w:rFonts w:hint="eastAsia" w:ascii="Arial" w:hAnsi="Arial" w:eastAsia="黑体"/>
          <w:b/>
          <w:bCs/>
          <w:sz w:val="32"/>
          <w:szCs w:val="32"/>
        </w:rPr>
        <w:t>16. 索赔</w:t>
      </w:r>
      <w:bookmarkEnd w:id="1012"/>
      <w:bookmarkEnd w:id="1013"/>
      <w:bookmarkEnd w:id="1014"/>
      <w:bookmarkEnd w:id="1015"/>
      <w:bookmarkEnd w:id="1016"/>
    </w:p>
    <w:p>
      <w:pPr>
        <w:keepNext/>
        <w:keepLines/>
        <w:spacing w:before="120" w:after="120"/>
        <w:rPr>
          <w:b/>
          <w:bCs/>
          <w:sz w:val="32"/>
          <w:szCs w:val="32"/>
        </w:rPr>
      </w:pPr>
      <w:bookmarkStart w:id="1017" w:name="_Toc525983833"/>
      <w:bookmarkStart w:id="1018" w:name="_Toc247085842"/>
      <w:bookmarkStart w:id="1019" w:name="_Toc246996327"/>
      <w:bookmarkStart w:id="1020" w:name="_Toc246997070"/>
      <w:r>
        <w:rPr>
          <w:rFonts w:hint="eastAsia"/>
          <w:b/>
          <w:bCs/>
          <w:sz w:val="32"/>
          <w:szCs w:val="32"/>
        </w:rPr>
        <w:t>16.1 承包人索赔的提出</w:t>
      </w:r>
      <w:bookmarkEnd w:id="1017"/>
      <w:bookmarkEnd w:id="1018"/>
      <w:bookmarkEnd w:id="1019"/>
      <w:bookmarkEnd w:id="1020"/>
    </w:p>
    <w:p>
      <w:pPr>
        <w:spacing w:line="360" w:lineRule="auto"/>
        <w:ind w:firstLine="420" w:firstLineChars="200"/>
        <w:rPr>
          <w:szCs w:val="21"/>
        </w:rPr>
      </w:pPr>
      <w:r>
        <w:rPr>
          <w:rFonts w:hint="eastAsia"/>
          <w:szCs w:val="21"/>
        </w:rPr>
        <w:t>根据合同约定，承包人认为有权得到追加付款和（或）延长工期的，应按以下程序向发包人提出索赔：</w:t>
      </w:r>
    </w:p>
    <w:p>
      <w:pPr>
        <w:spacing w:line="360" w:lineRule="auto"/>
        <w:ind w:firstLine="420" w:firstLineChars="200"/>
        <w:rPr>
          <w:szCs w:val="21"/>
        </w:rPr>
      </w:pPr>
      <w:r>
        <w:rPr>
          <w:rFonts w:hint="eastAsia"/>
          <w:szCs w:val="21"/>
        </w:rPr>
        <w:t>（l）承包人应在知道或应当知道索赔事件发生后14天内，向监理人递交索赔通知书。索赔通知书应详细说明索赔理由以及要求追加的付款金额和（或）延长的工期，并附必要的记录和证明材料；</w:t>
      </w:r>
      <w:r>
        <w:rPr>
          <w:szCs w:val="21"/>
        </w:rPr>
        <w:t xml:space="preserve"> </w:t>
      </w:r>
    </w:p>
    <w:p>
      <w:pPr>
        <w:spacing w:line="360" w:lineRule="auto"/>
        <w:ind w:firstLine="420" w:firstLineChars="200"/>
        <w:rPr>
          <w:szCs w:val="21"/>
        </w:rPr>
      </w:pPr>
      <w:r>
        <w:rPr>
          <w:rFonts w:hint="eastAsia"/>
          <w:szCs w:val="21"/>
        </w:rPr>
        <w:t>（2）索赔事件具有连续影响的，承包人应在索赔事件影响结束后的14天内，向监理人递交最终索赔通知书，说明最终要求索赔的追加付款金额和延长的工期，并附必要的记录和证明材料；</w:t>
      </w:r>
    </w:p>
    <w:p>
      <w:pPr>
        <w:spacing w:line="360" w:lineRule="auto"/>
        <w:ind w:firstLine="420" w:firstLineChars="200"/>
        <w:rPr>
          <w:szCs w:val="21"/>
        </w:rPr>
      </w:pPr>
      <w:r>
        <w:rPr>
          <w:rFonts w:hint="eastAsia"/>
          <w:szCs w:val="21"/>
        </w:rPr>
        <w:t>（3）承包人未在前述14天内递交索赔通知书的，丧失要求追加付款和（或）延长工期的权利。</w:t>
      </w:r>
    </w:p>
    <w:p>
      <w:pPr>
        <w:keepNext/>
        <w:keepLines/>
        <w:spacing w:before="120" w:after="120"/>
        <w:rPr>
          <w:b/>
          <w:bCs/>
          <w:sz w:val="32"/>
          <w:szCs w:val="32"/>
        </w:rPr>
      </w:pPr>
      <w:bookmarkStart w:id="1021" w:name="_Toc247085843"/>
      <w:bookmarkStart w:id="1022" w:name="_Toc246996328"/>
      <w:bookmarkStart w:id="1023" w:name="_Toc525983834"/>
      <w:bookmarkStart w:id="1024" w:name="_Toc246997071"/>
      <w:r>
        <w:rPr>
          <w:rFonts w:hint="eastAsia"/>
          <w:b/>
          <w:bCs/>
          <w:sz w:val="32"/>
          <w:szCs w:val="32"/>
        </w:rPr>
        <w:t>16.2 承包人索赔处理程序</w:t>
      </w:r>
      <w:bookmarkEnd w:id="1021"/>
      <w:bookmarkEnd w:id="1022"/>
      <w:bookmarkEnd w:id="1023"/>
      <w:bookmarkEnd w:id="1024"/>
    </w:p>
    <w:p>
      <w:pPr>
        <w:spacing w:line="360" w:lineRule="auto"/>
        <w:ind w:firstLine="420" w:firstLineChars="200"/>
        <w:rPr>
          <w:szCs w:val="21"/>
        </w:rPr>
      </w:pPr>
      <w:r>
        <w:rPr>
          <w:rFonts w:hint="eastAsia"/>
          <w:szCs w:val="21"/>
        </w:rPr>
        <w:t>（1）监理人收到承包人提交的索赔通知书后，应按第3.5 款商定或确定追加的付款和（或）延长的工期，并在收到上述索赔通知书或有关索赔的进一步证明材料后的14天内，将索赔处理结果答复承包人。</w:t>
      </w:r>
    </w:p>
    <w:p>
      <w:pPr>
        <w:spacing w:line="360" w:lineRule="auto"/>
        <w:ind w:firstLine="420" w:firstLineChars="200"/>
        <w:rPr>
          <w:szCs w:val="21"/>
        </w:rPr>
      </w:pPr>
      <w:r>
        <w:rPr>
          <w:rFonts w:hint="eastAsia"/>
          <w:szCs w:val="21"/>
        </w:rPr>
        <w:t>（2）承包人接受索赔处理结果的，发包人应在作出索赔处理结果答复后14天内完成赔付。承包人不接受索赔处理结果的，按第17条的约定执行。</w:t>
      </w:r>
    </w:p>
    <w:p>
      <w:pPr>
        <w:keepNext/>
        <w:keepLines/>
        <w:spacing w:before="120" w:after="120"/>
        <w:rPr>
          <w:b/>
          <w:bCs/>
          <w:sz w:val="32"/>
          <w:szCs w:val="32"/>
        </w:rPr>
      </w:pPr>
      <w:bookmarkStart w:id="1025" w:name="_Toc525983835"/>
      <w:bookmarkStart w:id="1026" w:name="_Toc246997072"/>
      <w:bookmarkStart w:id="1027" w:name="_Toc247085844"/>
      <w:bookmarkStart w:id="1028" w:name="_Toc246996329"/>
      <w:r>
        <w:rPr>
          <w:rFonts w:hint="eastAsia"/>
          <w:b/>
          <w:bCs/>
          <w:sz w:val="32"/>
          <w:szCs w:val="32"/>
        </w:rPr>
        <w:t>16.3 承包人提出索赔的期限</w:t>
      </w:r>
      <w:bookmarkEnd w:id="1025"/>
      <w:bookmarkEnd w:id="1026"/>
      <w:bookmarkEnd w:id="1027"/>
      <w:bookmarkEnd w:id="1028"/>
    </w:p>
    <w:p>
      <w:pPr>
        <w:spacing w:line="360" w:lineRule="auto"/>
        <w:ind w:firstLine="420" w:firstLineChars="200"/>
        <w:rPr>
          <w:szCs w:val="21"/>
        </w:rPr>
      </w:pPr>
      <w:r>
        <w:rPr>
          <w:rFonts w:hint="eastAsia"/>
          <w:szCs w:val="21"/>
        </w:rPr>
        <w:t>承包人按第10.5 款的约定接受了竣工付款证书后，应被认为已无权再提出在合同工程接收证书颁发前所发生的任何索赔。</w:t>
      </w:r>
    </w:p>
    <w:p>
      <w:pPr>
        <w:keepNext/>
        <w:keepLines/>
        <w:spacing w:before="120" w:after="120"/>
        <w:rPr>
          <w:b/>
          <w:bCs/>
          <w:sz w:val="32"/>
          <w:szCs w:val="32"/>
        </w:rPr>
      </w:pPr>
      <w:bookmarkStart w:id="1029" w:name="_Toc525983836"/>
      <w:r>
        <w:rPr>
          <w:rFonts w:hint="eastAsia"/>
          <w:b/>
          <w:bCs/>
          <w:sz w:val="32"/>
          <w:szCs w:val="32"/>
        </w:rPr>
        <w:t>16.4 发包人索赔的提出</w:t>
      </w:r>
      <w:bookmarkEnd w:id="1029"/>
    </w:p>
    <w:p>
      <w:pPr>
        <w:spacing w:line="360" w:lineRule="auto"/>
        <w:ind w:firstLine="420" w:firstLineChars="200"/>
        <w:rPr>
          <w:szCs w:val="21"/>
        </w:rPr>
      </w:pPr>
      <w:r>
        <w:rPr>
          <w:rFonts w:hint="eastAsia"/>
          <w:szCs w:val="21"/>
        </w:rPr>
        <w:t>根据合同约定，发包人认为有权得到追加付款和（或）延长工期的，应按以下程序向承包人提出索赔：</w:t>
      </w:r>
    </w:p>
    <w:p>
      <w:pPr>
        <w:spacing w:line="360" w:lineRule="auto"/>
        <w:ind w:firstLine="420" w:firstLineChars="200"/>
        <w:rPr>
          <w:szCs w:val="21"/>
        </w:rPr>
      </w:pPr>
      <w:r>
        <w:rPr>
          <w:rFonts w:hint="eastAsia"/>
          <w:szCs w:val="21"/>
        </w:rPr>
        <w:t>（l）监理人应在知道或应当知道索赔事件发生后14天内，向承包人递交索赔通知书。索赔通知书应详细说明索赔理由以及要求追加的付款金额和（或）延长的工期，并附必要的记录和证明材料；</w:t>
      </w:r>
      <w:r>
        <w:rPr>
          <w:szCs w:val="21"/>
        </w:rPr>
        <w:t xml:space="preserve"> </w:t>
      </w:r>
    </w:p>
    <w:p>
      <w:pPr>
        <w:spacing w:line="360" w:lineRule="auto"/>
        <w:ind w:firstLine="420" w:firstLineChars="200"/>
        <w:rPr>
          <w:szCs w:val="21"/>
        </w:rPr>
      </w:pPr>
      <w:r>
        <w:rPr>
          <w:rFonts w:hint="eastAsia"/>
          <w:szCs w:val="21"/>
        </w:rPr>
        <w:t>（2）索赔事件具有连续影响的，监理人应在索赔事件影响结束后的14天内，向承包人递交最终索赔通知书，说明最终要求索赔的追加付款金额和延长的工期，并附必要的记录和证明材料。</w:t>
      </w:r>
    </w:p>
    <w:p>
      <w:pPr>
        <w:keepNext/>
        <w:keepLines/>
        <w:spacing w:before="120" w:after="120"/>
        <w:rPr>
          <w:b/>
          <w:bCs/>
          <w:sz w:val="32"/>
          <w:szCs w:val="32"/>
        </w:rPr>
      </w:pPr>
      <w:bookmarkStart w:id="1030" w:name="_Toc525983837"/>
      <w:r>
        <w:rPr>
          <w:rFonts w:hint="eastAsia"/>
          <w:b/>
          <w:bCs/>
          <w:sz w:val="32"/>
          <w:szCs w:val="32"/>
        </w:rPr>
        <w:t>16.5 发包人索赔处理程序</w:t>
      </w:r>
      <w:bookmarkEnd w:id="1030"/>
    </w:p>
    <w:p>
      <w:pPr>
        <w:spacing w:line="360" w:lineRule="auto"/>
        <w:ind w:firstLine="420" w:firstLineChars="200"/>
        <w:rPr>
          <w:szCs w:val="21"/>
        </w:rPr>
      </w:pPr>
      <w:r>
        <w:rPr>
          <w:rFonts w:hint="eastAsia"/>
          <w:szCs w:val="21"/>
        </w:rPr>
        <w:t>（1）承包人收到监理人提交的索赔通知书后，应按第3.5 款商定或确定追加的付款和（或）延长的工期，并在收到上述索赔通知书或有关索赔的进一步证明材料后的14天内，将索赔处理结果答复监理人。</w:t>
      </w:r>
    </w:p>
    <w:p>
      <w:pPr>
        <w:spacing w:line="360" w:lineRule="auto"/>
        <w:ind w:firstLine="420" w:firstLineChars="200"/>
        <w:rPr>
          <w:szCs w:val="21"/>
        </w:rPr>
      </w:pPr>
      <w:r>
        <w:rPr>
          <w:rFonts w:hint="eastAsia"/>
          <w:szCs w:val="21"/>
        </w:rPr>
        <w:t>（2）监理人接受索赔处理结果的，承包人应在作出索赔处理结果答复后14天内完成赔付。监理人不接受索赔处理结果的，按第17条的约定执行。</w:t>
      </w:r>
    </w:p>
    <w:p>
      <w:pPr>
        <w:keepNext/>
        <w:keepLines/>
        <w:spacing w:line="415" w:lineRule="auto"/>
        <w:rPr>
          <w:rFonts w:ascii="Arial" w:hAnsi="Arial" w:eastAsia="黑体"/>
          <w:b/>
          <w:bCs/>
          <w:sz w:val="32"/>
          <w:szCs w:val="32"/>
        </w:rPr>
      </w:pPr>
      <w:bookmarkStart w:id="1031" w:name="_Toc525983838"/>
      <w:bookmarkStart w:id="1032" w:name="_Toc184635121"/>
      <w:bookmarkStart w:id="1033" w:name="_Toc247085846"/>
      <w:bookmarkStart w:id="1034" w:name="_Toc246997074"/>
      <w:bookmarkStart w:id="1035" w:name="_Toc246996331"/>
      <w:r>
        <w:rPr>
          <w:rFonts w:hint="eastAsia" w:ascii="Arial" w:hAnsi="Arial" w:eastAsia="黑体"/>
          <w:b/>
          <w:bCs/>
          <w:sz w:val="32"/>
          <w:szCs w:val="32"/>
        </w:rPr>
        <w:t>17. 争议的解决</w:t>
      </w:r>
      <w:bookmarkEnd w:id="1031"/>
      <w:bookmarkEnd w:id="1032"/>
      <w:bookmarkEnd w:id="1033"/>
      <w:bookmarkEnd w:id="1034"/>
      <w:bookmarkEnd w:id="1035"/>
    </w:p>
    <w:p>
      <w:pPr>
        <w:spacing w:line="360" w:lineRule="auto"/>
        <w:ind w:firstLine="420" w:firstLineChars="200"/>
        <w:rPr>
          <w:szCs w:val="21"/>
        </w:rPr>
      </w:pPr>
      <w:r>
        <w:rPr>
          <w:rFonts w:hint="eastAsia"/>
          <w:szCs w:val="21"/>
        </w:rPr>
        <w:t>发包人和承包人在履行合同中发生争议的，可以友好协商解决，友好协商解决不成按照下列</w:t>
      </w:r>
      <w:r>
        <w:rPr>
          <w:rFonts w:hint="eastAsia"/>
          <w:szCs w:val="21"/>
          <w:u w:val="single"/>
        </w:rPr>
        <w:t xml:space="preserve"> </w:t>
      </w:r>
      <w:r>
        <w:rPr>
          <w:szCs w:val="21"/>
          <w:u w:val="single"/>
        </w:rPr>
        <w:t xml:space="preserve"> </w:t>
      </w:r>
      <w:r>
        <w:rPr>
          <w:rFonts w:hint="eastAsia"/>
          <w:szCs w:val="21"/>
          <w:u w:val="single"/>
        </w:rPr>
        <w:t>（2）</w:t>
      </w:r>
      <w:r>
        <w:rPr>
          <w:szCs w:val="21"/>
          <w:u w:val="single"/>
        </w:rPr>
        <w:t xml:space="preserve">  </w:t>
      </w:r>
      <w:r>
        <w:rPr>
          <w:szCs w:val="21"/>
        </w:rPr>
        <w:t xml:space="preserve">  </w:t>
      </w:r>
      <w:r>
        <w:rPr>
          <w:rFonts w:hint="eastAsia"/>
          <w:szCs w:val="21"/>
        </w:rPr>
        <w:t>种方式解决：</w:t>
      </w:r>
    </w:p>
    <w:p>
      <w:pPr>
        <w:spacing w:line="360" w:lineRule="auto"/>
        <w:ind w:firstLine="420" w:firstLineChars="200"/>
        <w:rPr>
          <w:szCs w:val="21"/>
        </w:rPr>
      </w:pPr>
      <w:r>
        <w:rPr>
          <w:rFonts w:hint="eastAsia"/>
          <w:szCs w:val="21"/>
        </w:rPr>
        <w:t>（l）向约定的仲裁委员会申请仲裁；</w:t>
      </w:r>
    </w:p>
    <w:p>
      <w:pPr>
        <w:spacing w:line="360" w:lineRule="auto"/>
        <w:ind w:firstLine="420" w:firstLineChars="200"/>
        <w:rPr>
          <w:rFonts w:hint="eastAsia"/>
          <w:szCs w:val="21"/>
        </w:rPr>
      </w:pPr>
      <w:r>
        <w:rPr>
          <w:rFonts w:hint="eastAsia"/>
          <w:szCs w:val="21"/>
        </w:rPr>
        <w:t>（2）向</w:t>
      </w:r>
      <w:r>
        <w:rPr>
          <w:rFonts w:hint="eastAsia"/>
          <w:szCs w:val="21"/>
          <w:lang w:eastAsia="zh-CN"/>
        </w:rPr>
        <w:t>大兴</w:t>
      </w:r>
      <w:r>
        <w:rPr>
          <w:rFonts w:hint="eastAsia"/>
          <w:szCs w:val="21"/>
        </w:rPr>
        <w:t>区人民法院提起诉讼。</w:t>
      </w:r>
    </w:p>
    <w:p>
      <w:pPr>
        <w:keepNext/>
        <w:keepLines/>
        <w:spacing w:line="415" w:lineRule="auto"/>
        <w:rPr>
          <w:rFonts w:hint="eastAsia" w:ascii="Arial" w:hAnsi="Arial" w:eastAsia="黑体"/>
          <w:b/>
          <w:bCs/>
          <w:sz w:val="32"/>
          <w:szCs w:val="32"/>
          <w:lang w:val="en-US" w:eastAsia="zh-CN"/>
        </w:rPr>
      </w:pPr>
      <w:r>
        <w:rPr>
          <w:rFonts w:hint="eastAsia" w:ascii="Arial" w:hAnsi="Arial" w:eastAsia="黑体"/>
          <w:b/>
          <w:bCs/>
          <w:sz w:val="32"/>
          <w:szCs w:val="32"/>
          <w:lang w:val="en-US" w:eastAsia="zh-CN"/>
        </w:rPr>
        <w:t>18.售后服务</w:t>
      </w:r>
    </w:p>
    <w:p>
      <w:pPr>
        <w:pStyle w:val="2"/>
        <w:ind w:left="0" w:leftChars="0" w:firstLine="480" w:firstLineChars="200"/>
        <w:rPr>
          <w:rFonts w:hint="default"/>
          <w:lang w:val="en-US" w:eastAsia="zh-CN"/>
        </w:rPr>
      </w:pPr>
      <w:r>
        <w:rPr>
          <w:rFonts w:hint="default"/>
          <w:lang w:val="en-US" w:eastAsia="zh-CN"/>
        </w:rPr>
        <w:t>出现故障后，响应时间，2小时内到达故障现场，4小时内完解决故障问题，提供7*24*365小时技术支持和售后服务支持</w:t>
      </w:r>
    </w:p>
    <w:p>
      <w:pPr>
        <w:keepNext/>
        <w:keepLines/>
        <w:spacing w:line="415" w:lineRule="auto"/>
        <w:rPr>
          <w:rFonts w:ascii="Arial" w:hAnsi="Arial" w:eastAsia="黑体"/>
          <w:b/>
          <w:bCs/>
          <w:sz w:val="32"/>
          <w:szCs w:val="32"/>
        </w:rPr>
      </w:pPr>
      <w:r>
        <w:rPr>
          <w:rFonts w:hint="eastAsia" w:ascii="Arial" w:hAnsi="Arial" w:eastAsia="黑体"/>
          <w:b/>
          <w:bCs/>
          <w:sz w:val="32"/>
          <w:szCs w:val="32"/>
        </w:rPr>
        <w:t>1</w:t>
      </w:r>
      <w:r>
        <w:rPr>
          <w:rFonts w:hint="eastAsia" w:ascii="Arial" w:hAnsi="Arial" w:eastAsia="黑体"/>
          <w:b/>
          <w:bCs/>
          <w:sz w:val="32"/>
          <w:szCs w:val="32"/>
          <w:lang w:val="en-US" w:eastAsia="zh-CN"/>
        </w:rPr>
        <w:t>9</w:t>
      </w:r>
      <w:r>
        <w:rPr>
          <w:rFonts w:hint="eastAsia" w:ascii="Arial" w:hAnsi="Arial" w:eastAsia="黑体"/>
          <w:b/>
          <w:bCs/>
          <w:sz w:val="32"/>
          <w:szCs w:val="32"/>
        </w:rPr>
        <w:t>.补充条款</w:t>
      </w:r>
    </w:p>
    <w:p>
      <w:pPr>
        <w:spacing w:line="360" w:lineRule="auto"/>
        <w:ind w:firstLine="420" w:firstLineChars="200"/>
        <w:rPr>
          <w:b w:val="0"/>
          <w:bCs w:val="0"/>
          <w:szCs w:val="21"/>
        </w:rPr>
      </w:pPr>
      <w:r>
        <w:rPr>
          <w:rFonts w:hint="eastAsia"/>
          <w:b w:val="0"/>
          <w:bCs w:val="0"/>
          <w:szCs w:val="21"/>
        </w:rPr>
        <w:t>1、本项目如果没有监理人,合同条款中所述监理人职责由发包人代为行使。</w:t>
      </w:r>
    </w:p>
    <w:p>
      <w:pPr>
        <w:spacing w:line="360" w:lineRule="auto"/>
        <w:ind w:firstLine="420" w:firstLineChars="200"/>
        <w:rPr>
          <w:b w:val="0"/>
          <w:bCs w:val="0"/>
          <w:szCs w:val="21"/>
        </w:rPr>
      </w:pPr>
      <w:r>
        <w:rPr>
          <w:b w:val="0"/>
          <w:bCs w:val="0"/>
          <w:szCs w:val="21"/>
        </w:rPr>
        <w:t>2、因洽商、变更、签证引起的价格调整按照折扣率（签约合同价/清单总报价）进行结算，即洽商、变更、签证结算总价＝（签约合同价/清单总报价）X 洽商、变更、签证</w:t>
      </w:r>
      <w:r>
        <w:rPr>
          <w:rFonts w:hint="eastAsia"/>
          <w:b w:val="0"/>
          <w:bCs w:val="0"/>
          <w:szCs w:val="21"/>
        </w:rPr>
        <w:t>清单</w:t>
      </w:r>
      <w:r>
        <w:rPr>
          <w:b w:val="0"/>
          <w:bCs w:val="0"/>
          <w:szCs w:val="21"/>
        </w:rPr>
        <w:t>总价。</w:t>
      </w:r>
    </w:p>
    <w:p>
      <w:pPr>
        <w:spacing w:line="360" w:lineRule="auto"/>
        <w:ind w:firstLine="420" w:firstLineChars="200"/>
        <w:rPr>
          <w:b w:val="0"/>
          <w:bCs w:val="0"/>
          <w:szCs w:val="21"/>
        </w:rPr>
      </w:pPr>
      <w:r>
        <w:rPr>
          <w:rFonts w:hint="eastAsia"/>
          <w:b w:val="0"/>
          <w:bCs w:val="0"/>
          <w:szCs w:val="21"/>
        </w:rPr>
        <w:t>  </w:t>
      </w:r>
      <w:r>
        <w:rPr>
          <w:b w:val="0"/>
          <w:bCs w:val="0"/>
          <w:szCs w:val="21"/>
        </w:rPr>
        <w:t xml:space="preserve"> 洽商、变更、签证单价按照9.3款约定处理。</w:t>
      </w:r>
    </w:p>
    <w:p>
      <w:pPr>
        <w:spacing w:line="360" w:lineRule="auto"/>
        <w:ind w:firstLine="420" w:firstLineChars="200"/>
        <w:rPr>
          <w:b w:val="0"/>
          <w:bCs w:val="0"/>
          <w:szCs w:val="21"/>
        </w:rPr>
      </w:pPr>
      <w:r>
        <w:rPr>
          <w:b w:val="0"/>
          <w:bCs w:val="0"/>
          <w:szCs w:val="21"/>
        </w:rPr>
        <w:t>3、</w:t>
      </w:r>
      <w:r>
        <w:rPr>
          <w:rFonts w:hint="eastAsia"/>
          <w:b w:val="0"/>
          <w:bCs w:val="0"/>
          <w:szCs w:val="21"/>
        </w:rPr>
        <w:t>结算</w:t>
      </w:r>
      <w:r>
        <w:rPr>
          <w:b w:val="0"/>
          <w:bCs w:val="0"/>
          <w:szCs w:val="21"/>
        </w:rPr>
        <w:t>价格=签约合同价+洽商、变更、签证价格调整</w:t>
      </w:r>
    </w:p>
    <w:p/>
    <w:p>
      <w:pPr>
        <w:widowControl/>
        <w:jc w:val="left"/>
        <w:rPr>
          <w:b/>
          <w:sz w:val="36"/>
          <w:szCs w:val="36"/>
        </w:rPr>
      </w:pPr>
    </w:p>
    <w:p>
      <w:pPr>
        <w:spacing w:line="360" w:lineRule="auto"/>
        <w:ind w:firstLine="420" w:firstLineChars="0"/>
        <w:jc w:val="center"/>
        <w:outlineLvl w:val="0"/>
        <w:rPr>
          <w:b/>
          <w:sz w:val="36"/>
          <w:szCs w:val="36"/>
        </w:rPr>
      </w:pPr>
      <w:r>
        <w:rPr>
          <w:b/>
          <w:sz w:val="36"/>
          <w:szCs w:val="36"/>
        </w:rPr>
        <w:br w:type="page"/>
      </w:r>
      <w:bookmarkStart w:id="1036" w:name="_Toc97371947"/>
    </w:p>
    <w:p>
      <w:pPr>
        <w:spacing w:line="360" w:lineRule="auto"/>
        <w:jc w:val="center"/>
        <w:outlineLvl w:val="0"/>
        <w:rPr>
          <w:b/>
          <w:sz w:val="36"/>
          <w:szCs w:val="36"/>
        </w:rPr>
      </w:pPr>
      <w:r>
        <w:rPr>
          <w:b/>
          <w:sz w:val="36"/>
          <w:szCs w:val="36"/>
        </w:rPr>
        <w:t>第六章   响应文件格式</w:t>
      </w:r>
      <w:bookmarkEnd w:id="1036"/>
    </w:p>
    <w:p>
      <w:pPr>
        <w:tabs>
          <w:tab w:val="left" w:pos="900"/>
          <w:tab w:val="left" w:pos="1980"/>
        </w:tabs>
        <w:snapToGrid w:val="0"/>
        <w:spacing w:line="360" w:lineRule="auto"/>
        <w:ind w:left="142"/>
        <w:rPr>
          <w:b/>
          <w:kern w:val="0"/>
          <w:sz w:val="24"/>
        </w:rPr>
      </w:pPr>
      <w:r>
        <w:rPr>
          <w:rFonts w:hint="eastAsia"/>
          <w:b/>
          <w:kern w:val="0"/>
          <w:sz w:val="24"/>
        </w:rPr>
        <w:t>供应商编制文件须知</w:t>
      </w:r>
    </w:p>
    <w:p>
      <w:pPr>
        <w:tabs>
          <w:tab w:val="left" w:pos="900"/>
          <w:tab w:val="left" w:pos="1980"/>
        </w:tabs>
        <w:snapToGrid w:val="0"/>
        <w:spacing w:line="360" w:lineRule="auto"/>
        <w:ind w:left="142"/>
        <w:rPr>
          <w:sz w:val="24"/>
        </w:rPr>
      </w:pPr>
      <w:r>
        <w:rPr>
          <w:sz w:val="24"/>
        </w:rPr>
        <w:t>1、供应商按照本部分的顺序编制响应文件，编制中涉及格式资料的，应按照本部分提供的内容和格式（所有表格的格式可扩展）填写提交。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对于竞争性磋商文件中标记了“实质性格式”文件的，供应商</w:t>
      </w:r>
      <w:r>
        <w:rPr>
          <w:sz w:val="24"/>
        </w:rPr>
        <w:t>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tabs>
          <w:tab w:val="left" w:pos="900"/>
          <w:tab w:val="left" w:pos="1980"/>
        </w:tabs>
        <w:snapToGrid w:val="0"/>
        <w:spacing w:line="360" w:lineRule="auto"/>
        <w:ind w:left="142"/>
        <w:rPr>
          <w:sz w:val="24"/>
        </w:rPr>
      </w:pPr>
    </w:p>
    <w:p>
      <w:pPr>
        <w:widowControl/>
        <w:jc w:val="left"/>
        <w:rPr>
          <w:sz w:val="24"/>
        </w:rPr>
      </w:pPr>
      <w:r>
        <w:rPr>
          <w:sz w:val="24"/>
        </w:rPr>
        <w:br w:type="page"/>
      </w:r>
    </w:p>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p>
      <w:pPr>
        <w:rPr>
          <w:b/>
          <w:spacing w:val="20"/>
          <w:szCs w:val="21"/>
        </w:rPr>
      </w:pPr>
    </w:p>
    <w:p>
      <w:pPr>
        <w:rPr>
          <w:b/>
          <w:sz w:val="24"/>
        </w:rPr>
      </w:pPr>
      <w:r>
        <w:rPr>
          <w:b/>
          <w:spacing w:val="20"/>
          <w:sz w:val="24"/>
        </w:rPr>
        <w:t>响应文件</w:t>
      </w:r>
      <w:r>
        <w:rPr>
          <w:b/>
          <w:sz w:val="24"/>
        </w:rPr>
        <w:t>封面（非实质性格式）</w:t>
      </w:r>
    </w:p>
    <w:p>
      <w:pPr>
        <w:jc w:val="center"/>
        <w:rPr>
          <w:szCs w:val="21"/>
        </w:rPr>
      </w:pPr>
    </w:p>
    <w:p>
      <w:pPr>
        <w:jc w:val="center"/>
        <w:rPr>
          <w:b/>
          <w:spacing w:val="60"/>
          <w:sz w:val="84"/>
          <w:szCs w:val="84"/>
        </w:rPr>
      </w:pPr>
      <w:r>
        <w:rPr>
          <w:b/>
          <w:spacing w:val="60"/>
          <w:sz w:val="84"/>
          <w:szCs w:val="84"/>
        </w:rPr>
        <w:t>响 应 文 件</w:t>
      </w:r>
    </w:p>
    <w:p>
      <w:pPr>
        <w:jc w:val="center"/>
        <w:rPr>
          <w:b/>
          <w:spacing w:val="60"/>
          <w:sz w:val="52"/>
          <w:szCs w:val="5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供应商名称：</w:t>
      </w:r>
    </w:p>
    <w:p>
      <w:pPr>
        <w:jc w:val="center"/>
        <w:rPr>
          <w:b/>
          <w:sz w:val="32"/>
          <w:szCs w:val="32"/>
        </w:rPr>
      </w:pPr>
    </w:p>
    <w:p>
      <w:pPr>
        <w:rPr>
          <w:b/>
        </w:rPr>
      </w:pPr>
      <w:r>
        <w:rPr>
          <w:b/>
          <w:spacing w:val="20"/>
          <w:sz w:val="32"/>
          <w:szCs w:val="32"/>
        </w:rPr>
        <w:br w:type="page"/>
      </w:r>
    </w:p>
    <w:p>
      <w:pPr>
        <w:tabs>
          <w:tab w:val="left" w:pos="360"/>
        </w:tabs>
        <w:snapToGrid w:val="0"/>
        <w:spacing w:line="360" w:lineRule="auto"/>
        <w:outlineLvl w:val="1"/>
        <w:rPr>
          <w:sz w:val="24"/>
        </w:rPr>
      </w:pPr>
      <w:r>
        <w:rPr>
          <w:sz w:val="24"/>
        </w:rPr>
        <w:t>1 满足《中华人民共和国政府采购法》第二十二条规定及法律法规的其他规定</w:t>
      </w:r>
    </w:p>
    <w:p>
      <w:pPr>
        <w:spacing w:line="360" w:lineRule="auto"/>
        <w:outlineLvl w:val="2"/>
        <w:rPr>
          <w:color w:val="000000"/>
          <w:sz w:val="24"/>
        </w:rPr>
      </w:pPr>
      <w:r>
        <w:rPr>
          <w:color w:val="000000"/>
          <w:sz w:val="24"/>
        </w:rPr>
        <w:t>1-1营业执照等证明文件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5"/>
        <w:rPr>
          <w:rFonts w:ascii="Times New Roman"/>
          <w:b w:val="0"/>
          <w:bCs/>
          <w:color w:val="000000"/>
          <w:szCs w:val="24"/>
          <w:u w:val="none"/>
        </w:rPr>
      </w:pPr>
      <w:r>
        <w:rPr>
          <w:rFonts w:ascii="Times New Roman"/>
          <w:b w:val="0"/>
          <w:color w:val="000000"/>
          <w:szCs w:val="24"/>
          <w:u w:val="none"/>
        </w:rPr>
        <w:t>1-2 供应商资格声明书（实质性格式）</w:t>
      </w:r>
    </w:p>
    <w:p>
      <w:pPr>
        <w:jc w:val="center"/>
        <w:rPr>
          <w:b/>
          <w:color w:val="000000"/>
          <w:sz w:val="36"/>
          <w:szCs w:val="36"/>
        </w:rPr>
      </w:pPr>
      <w:r>
        <w:rPr>
          <w:rFonts w:hint="eastAsia"/>
          <w:b/>
          <w:color w:val="000000"/>
          <w:sz w:val="36"/>
          <w:szCs w:val="36"/>
        </w:rPr>
        <w:t>供应商资格声明书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在参与本次项目磋商中，我单位承诺：</w:t>
      </w:r>
    </w:p>
    <w:p>
      <w:pPr>
        <w:numPr>
          <w:ilvl w:val="0"/>
          <w:numId w:val="8"/>
        </w:numPr>
        <w:spacing w:line="360" w:lineRule="auto"/>
        <w:ind w:left="1134"/>
        <w:rPr>
          <w:sz w:val="24"/>
          <w:szCs w:val="22"/>
        </w:rPr>
      </w:pPr>
      <w:r>
        <w:rPr>
          <w:sz w:val="24"/>
          <w:szCs w:val="22"/>
        </w:rPr>
        <w:t>具有良好的商业信誉和健全的财务会计制度；</w:t>
      </w:r>
    </w:p>
    <w:p>
      <w:pPr>
        <w:numPr>
          <w:ilvl w:val="0"/>
          <w:numId w:val="8"/>
        </w:numPr>
        <w:spacing w:line="360" w:lineRule="auto"/>
        <w:ind w:left="1134"/>
        <w:rPr>
          <w:sz w:val="24"/>
          <w:szCs w:val="22"/>
        </w:rPr>
      </w:pPr>
      <w:r>
        <w:rPr>
          <w:sz w:val="24"/>
          <w:szCs w:val="22"/>
        </w:rPr>
        <w:t>具有履行合同所必需的设备和专业技术能力；</w:t>
      </w:r>
    </w:p>
    <w:p>
      <w:pPr>
        <w:numPr>
          <w:ilvl w:val="0"/>
          <w:numId w:val="8"/>
        </w:numPr>
        <w:spacing w:line="360" w:lineRule="auto"/>
        <w:ind w:left="1134"/>
        <w:rPr>
          <w:sz w:val="24"/>
          <w:szCs w:val="22"/>
        </w:rPr>
      </w:pPr>
      <w:r>
        <w:rPr>
          <w:sz w:val="24"/>
          <w:szCs w:val="22"/>
        </w:rPr>
        <w:t>有依法缴纳税收和社会保障资金的良好记录；</w:t>
      </w:r>
    </w:p>
    <w:p>
      <w:pPr>
        <w:numPr>
          <w:ilvl w:val="0"/>
          <w:numId w:val="8"/>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8"/>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8"/>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8"/>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color w:val="000000"/>
          <w:sz w:val="24"/>
          <w:lang w:val="zh-CN"/>
        </w:rPr>
      </w:pPr>
      <w:r>
        <w:rPr>
          <w:color w:val="000000"/>
          <w:sz w:val="24"/>
        </w:rPr>
        <w:t>供应商名称（加盖公章）</w:t>
      </w:r>
      <w:r>
        <w:rPr>
          <w:color w:val="000000"/>
          <w:sz w:val="24"/>
          <w:lang w:val="zh-CN"/>
        </w:rPr>
        <w:t>：</w:t>
      </w:r>
      <w:r>
        <w:rPr>
          <w:sz w:val="24"/>
        </w:rPr>
        <w:t>______</w:t>
      </w:r>
    </w:p>
    <w:p>
      <w:pPr>
        <w:spacing w:line="360" w:lineRule="auto"/>
        <w:ind w:right="360" w:firstLine="480"/>
        <w:jc w:val="right"/>
        <w:rPr>
          <w:sz w:val="24"/>
        </w:rPr>
      </w:pPr>
      <w:r>
        <w:rPr>
          <w:color w:val="000000"/>
          <w:sz w:val="24"/>
          <w:szCs w:val="20"/>
        </w:rPr>
        <w:t xml:space="preserve">日期：____年____月____日   </w:t>
      </w:r>
    </w:p>
    <w:p>
      <w:pPr>
        <w:spacing w:line="360" w:lineRule="auto"/>
        <w:rPr>
          <w:sz w:val="24"/>
        </w:rPr>
      </w:pPr>
      <w:r>
        <w:rPr>
          <w:rFonts w:hint="eastAsia"/>
          <w:sz w:val="24"/>
        </w:rPr>
        <w:t>说明：供应商承诺不实的，依据《政府采购法》第七十七条“提供虚假材料谋取中标、成交的”有关规定予以处理。</w:t>
      </w:r>
    </w:p>
    <w:p>
      <w:pPr>
        <w:tabs>
          <w:tab w:val="left" w:pos="5580"/>
        </w:tabs>
        <w:spacing w:line="360" w:lineRule="auto"/>
        <w:rPr>
          <w:sz w:val="24"/>
        </w:rPr>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sz w:val="24"/>
        </w:rPr>
        <w:t>2 落实政府采购政策需满足的资格要求（如有）</w:t>
      </w:r>
    </w:p>
    <w:p>
      <w:pPr>
        <w:spacing w:line="360" w:lineRule="auto"/>
        <w:outlineLvl w:val="2"/>
        <w:rPr>
          <w:color w:val="000000"/>
          <w:sz w:val="24"/>
          <w:szCs w:val="20"/>
        </w:rPr>
      </w:pPr>
      <w:r>
        <w:rPr>
          <w:color w:val="000000"/>
          <w:sz w:val="24"/>
          <w:szCs w:val="20"/>
        </w:rPr>
        <w:t>2-1中小企业声明函</w:t>
      </w:r>
    </w:p>
    <w:p>
      <w:pPr>
        <w:spacing w:before="240" w:beforeLines="100" w:after="240" w:afterLines="100" w:line="360" w:lineRule="auto"/>
        <w:jc w:val="center"/>
        <w:rPr>
          <w:b/>
          <w:bCs/>
          <w:color w:val="000000"/>
          <w:sz w:val="36"/>
          <w:szCs w:val="36"/>
        </w:rPr>
      </w:pPr>
      <w:r>
        <w:rPr>
          <w:b/>
          <w:bCs/>
          <w:color w:val="000000"/>
          <w:sz w:val="36"/>
          <w:szCs w:val="36"/>
        </w:rPr>
        <w:t>中小企业声明函（工程）格式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w:t>
      </w:r>
      <w:r>
        <w:rPr>
          <w:spacing w:val="6"/>
          <w:sz w:val="24"/>
          <w:u w:val="single"/>
        </w:rPr>
        <w:t>（单位名称）</w:t>
      </w:r>
      <w:r>
        <w:rPr>
          <w:spacing w:val="6"/>
          <w:sz w:val="24"/>
        </w:rPr>
        <w:t>的</w:t>
      </w:r>
      <w:r>
        <w:rPr>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w:t>
      </w:r>
      <w:r>
        <w:rPr>
          <w:rFonts w:hint="eastAsia"/>
          <w:spacing w:val="6"/>
          <w:sz w:val="24"/>
          <w:u w:val="single"/>
        </w:rPr>
        <w:t>建筑业</w:t>
      </w:r>
      <w:r>
        <w:rPr>
          <w:spacing w:val="6"/>
          <w:sz w:val="24"/>
          <w:u w:val="single"/>
        </w:rPr>
        <w:t>）</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w:t>
      </w:r>
      <w:r>
        <w:rPr>
          <w:sz w:val="24"/>
        </w:rPr>
        <w:t>______</w:t>
      </w:r>
    </w:p>
    <w:p>
      <w:pPr>
        <w:spacing w:line="360" w:lineRule="auto"/>
        <w:ind w:right="360" w:firstLine="480"/>
        <w:jc w:val="right"/>
        <w:rPr>
          <w:color w:val="000000"/>
          <w:sz w:val="24"/>
        </w:rPr>
      </w:pPr>
      <w:r>
        <w:rPr>
          <w:color w:val="000000"/>
          <w:sz w:val="24"/>
        </w:rPr>
        <w:t>日 期：</w:t>
      </w:r>
      <w:r>
        <w:rPr>
          <w:sz w:val="24"/>
        </w:rPr>
        <w:t>______</w:t>
      </w:r>
    </w:p>
    <w:p>
      <w:pPr>
        <w:adjustRightInd w:val="0"/>
        <w:snapToGrid w:val="0"/>
        <w:jc w:val="left"/>
        <w:rPr>
          <w:color w:val="000000"/>
          <w:sz w:val="24"/>
          <w:szCs w:val="21"/>
        </w:rPr>
      </w:pPr>
    </w:p>
    <w:p>
      <w:pPr>
        <w:adjustRightInd w:val="0"/>
        <w:snapToGrid w:val="0"/>
        <w:jc w:val="left"/>
        <w:rPr>
          <w:color w:val="000000"/>
          <w:sz w:val="24"/>
          <w:szCs w:val="21"/>
        </w:rPr>
      </w:pPr>
    </w:p>
    <w:p>
      <w:pPr>
        <w:adjustRightInd w:val="0"/>
        <w:snapToGrid w:val="0"/>
        <w:jc w:val="left"/>
        <w:rPr>
          <w:color w:val="000000"/>
          <w:sz w:val="24"/>
          <w:szCs w:val="21"/>
        </w:rPr>
      </w:pPr>
    </w:p>
    <w:p>
      <w:pPr>
        <w:adjustRightInd w:val="0"/>
        <w:snapToGrid w:val="0"/>
        <w:jc w:val="left"/>
        <w:rPr>
          <w:color w:val="000000"/>
          <w:sz w:val="24"/>
          <w:szCs w:val="21"/>
        </w:rPr>
      </w:pPr>
    </w:p>
    <w:tbl>
      <w:tblPr>
        <w:tblStyle w:val="42"/>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r>
        <w:rPr>
          <w:rFonts w:hint="eastAsia"/>
        </w:rPr>
        <w:t>2.中小企业划分对照表</w:t>
      </w:r>
    </w:p>
    <w:p/>
    <w:tbl>
      <w:tblPr>
        <w:tblStyle w:val="42"/>
        <w:tblW w:w="7575" w:type="dxa"/>
        <w:jc w:val="center"/>
        <w:shd w:val="clear" w:color="auto" w:fill="FFFFFF"/>
        <w:tblLayout w:type="autofit"/>
        <w:tblCellMar>
          <w:top w:w="0" w:type="dxa"/>
          <w:left w:w="0" w:type="dxa"/>
          <w:bottom w:w="0" w:type="dxa"/>
          <w:right w:w="0" w:type="dxa"/>
        </w:tblCellMar>
      </w:tblPr>
      <w:tblGrid>
        <w:gridCol w:w="675"/>
        <w:gridCol w:w="1310"/>
        <w:gridCol w:w="2188"/>
        <w:gridCol w:w="1763"/>
        <w:gridCol w:w="1639"/>
      </w:tblGrid>
      <w:tr>
        <w:tblPrEx>
          <w:shd w:val="clear" w:color="auto" w:fill="FFFFFF"/>
          <w:tblCellMar>
            <w:top w:w="0" w:type="dxa"/>
            <w:left w:w="0" w:type="dxa"/>
            <w:bottom w:w="0" w:type="dxa"/>
            <w:right w:w="0" w:type="dxa"/>
          </w:tblCellMar>
        </w:tblPrEx>
        <w:trPr>
          <w:tblHeader/>
          <w:jc w:val="center"/>
        </w:trPr>
        <w:tc>
          <w:tcPr>
            <w:tcW w:w="675" w:type="dxa"/>
            <w:tcBorders>
              <w:top w:val="single" w:color="auto" w:sz="6" w:space="0"/>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序号</w:t>
            </w:r>
          </w:p>
        </w:tc>
        <w:tc>
          <w:tcPr>
            <w:tcW w:w="1310"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所属行业</w:t>
            </w:r>
          </w:p>
        </w:tc>
        <w:tc>
          <w:tcPr>
            <w:tcW w:w="2188"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营业收入（万元）</w:t>
            </w:r>
          </w:p>
        </w:tc>
        <w:tc>
          <w:tcPr>
            <w:tcW w:w="1763"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资产总额（人）</w:t>
            </w:r>
          </w:p>
        </w:tc>
        <w:tc>
          <w:tcPr>
            <w:tcW w:w="1639" w:type="dxa"/>
            <w:tcBorders>
              <w:top w:val="single" w:color="auto" w:sz="6" w:space="0"/>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企业类型</w:t>
            </w:r>
          </w:p>
        </w:tc>
      </w:tr>
      <w:tr>
        <w:tblPrEx>
          <w:shd w:val="clear" w:color="auto" w:fill="FFFFFF"/>
          <w:tblCellMar>
            <w:top w:w="0" w:type="dxa"/>
            <w:left w:w="0" w:type="dxa"/>
            <w:bottom w:w="0" w:type="dxa"/>
            <w:right w:w="0" w:type="dxa"/>
          </w:tblCellMar>
        </w:tblPrEx>
        <w:trPr>
          <w:trHeight w:val="454" w:hRule="exact"/>
          <w:jc w:val="center"/>
        </w:trPr>
        <w:tc>
          <w:tcPr>
            <w:tcW w:w="675" w:type="dxa"/>
            <w:vMerge w:val="restart"/>
            <w:tcBorders>
              <w:top w:val="nil"/>
              <w:left w:val="single" w:color="auto" w:sz="6" w:space="0"/>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1</w:t>
            </w:r>
          </w:p>
        </w:tc>
        <w:tc>
          <w:tcPr>
            <w:tcW w:w="1310" w:type="dxa"/>
            <w:vMerge w:val="restart"/>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建筑业</w:t>
            </w:r>
          </w:p>
        </w:tc>
        <w:tc>
          <w:tcPr>
            <w:tcW w:w="21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＜80000</w:t>
            </w:r>
          </w:p>
        </w:tc>
        <w:tc>
          <w:tcPr>
            <w:tcW w:w="176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或＜80000</w:t>
            </w:r>
          </w:p>
        </w:tc>
        <w:tc>
          <w:tcPr>
            <w:tcW w:w="163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中小微型企业</w:t>
            </w:r>
          </w:p>
        </w:tc>
      </w:tr>
      <w:tr>
        <w:tblPrEx>
          <w:shd w:val="clear" w:color="auto" w:fill="FFFFFF"/>
          <w:tblCellMar>
            <w:top w:w="0" w:type="dxa"/>
            <w:left w:w="0" w:type="dxa"/>
            <w:bottom w:w="0" w:type="dxa"/>
            <w:right w:w="0" w:type="dxa"/>
          </w:tblCellMar>
        </w:tblPrEx>
        <w:trPr>
          <w:trHeight w:val="454" w:hRule="exact"/>
          <w:jc w:val="center"/>
        </w:trPr>
        <w:tc>
          <w:tcPr>
            <w:tcW w:w="675" w:type="dxa"/>
            <w:vMerge w:val="continue"/>
            <w:tcBorders>
              <w:top w:val="nil"/>
              <w:left w:val="single" w:color="auto" w:sz="6" w:space="0"/>
              <w:bottom w:val="single" w:color="auto" w:sz="6" w:space="0"/>
              <w:right w:val="single" w:color="auto" w:sz="6" w:space="0"/>
            </w:tcBorders>
            <w:shd w:val="clear" w:color="auto" w:fill="FFFFFF"/>
            <w:vAlign w:val="center"/>
          </w:tcPr>
          <w:p>
            <w:pPr>
              <w:widowControl/>
              <w:spacing w:line="408" w:lineRule="atLeast"/>
              <w:rPr>
                <w:rFonts w:ascii="Microsoft YaHei UI" w:hAnsi="Microsoft YaHei UI" w:eastAsia="Microsoft YaHei UI" w:cs="宋体"/>
                <w:spacing w:val="8"/>
                <w:kern w:val="0"/>
                <w:sz w:val="22"/>
                <w:szCs w:val="26"/>
              </w:rPr>
            </w:pPr>
          </w:p>
        </w:tc>
        <w:tc>
          <w:tcPr>
            <w:tcW w:w="1310" w:type="dxa"/>
            <w:vMerge w:val="continue"/>
            <w:tcBorders>
              <w:top w:val="nil"/>
              <w:left w:val="nil"/>
              <w:bottom w:val="single" w:color="auto" w:sz="6" w:space="0"/>
              <w:right w:val="single" w:color="auto" w:sz="6" w:space="0"/>
            </w:tcBorders>
            <w:shd w:val="clear" w:color="auto" w:fill="FFFFFF"/>
            <w:vAlign w:val="center"/>
          </w:tcPr>
          <w:p>
            <w:pPr>
              <w:widowControl/>
              <w:spacing w:line="408" w:lineRule="atLeast"/>
              <w:rPr>
                <w:rFonts w:ascii="Microsoft YaHei UI" w:hAnsi="Microsoft YaHei UI" w:eastAsia="Microsoft YaHei UI" w:cs="宋体"/>
                <w:spacing w:val="8"/>
                <w:kern w:val="0"/>
                <w:sz w:val="22"/>
                <w:szCs w:val="26"/>
              </w:rPr>
            </w:pPr>
          </w:p>
        </w:tc>
        <w:tc>
          <w:tcPr>
            <w:tcW w:w="21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≥6000</w:t>
            </w:r>
          </w:p>
        </w:tc>
        <w:tc>
          <w:tcPr>
            <w:tcW w:w="176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且≥5000</w:t>
            </w:r>
          </w:p>
        </w:tc>
        <w:tc>
          <w:tcPr>
            <w:tcW w:w="163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中型企业</w:t>
            </w:r>
          </w:p>
        </w:tc>
      </w:tr>
      <w:tr>
        <w:tblPrEx>
          <w:shd w:val="clear" w:color="auto" w:fill="FFFFFF"/>
          <w:tblCellMar>
            <w:top w:w="0" w:type="dxa"/>
            <w:left w:w="0" w:type="dxa"/>
            <w:bottom w:w="0" w:type="dxa"/>
            <w:right w:w="0" w:type="dxa"/>
          </w:tblCellMar>
        </w:tblPrEx>
        <w:trPr>
          <w:trHeight w:val="454" w:hRule="exact"/>
          <w:jc w:val="center"/>
        </w:trPr>
        <w:tc>
          <w:tcPr>
            <w:tcW w:w="675" w:type="dxa"/>
            <w:vMerge w:val="continue"/>
            <w:tcBorders>
              <w:top w:val="nil"/>
              <w:left w:val="single" w:color="auto" w:sz="6" w:space="0"/>
              <w:bottom w:val="single" w:color="auto" w:sz="6" w:space="0"/>
              <w:right w:val="single" w:color="auto" w:sz="6" w:space="0"/>
            </w:tcBorders>
            <w:shd w:val="clear" w:color="auto" w:fill="FFFFFF"/>
            <w:vAlign w:val="center"/>
          </w:tcPr>
          <w:p>
            <w:pPr>
              <w:widowControl/>
              <w:spacing w:line="408" w:lineRule="atLeast"/>
              <w:rPr>
                <w:rFonts w:ascii="Microsoft YaHei UI" w:hAnsi="Microsoft YaHei UI" w:eastAsia="Microsoft YaHei UI" w:cs="宋体"/>
                <w:spacing w:val="8"/>
                <w:kern w:val="0"/>
                <w:sz w:val="22"/>
                <w:szCs w:val="26"/>
              </w:rPr>
            </w:pPr>
          </w:p>
        </w:tc>
        <w:tc>
          <w:tcPr>
            <w:tcW w:w="1310" w:type="dxa"/>
            <w:vMerge w:val="continue"/>
            <w:tcBorders>
              <w:top w:val="nil"/>
              <w:left w:val="nil"/>
              <w:bottom w:val="single" w:color="auto" w:sz="6" w:space="0"/>
              <w:right w:val="single" w:color="auto" w:sz="6" w:space="0"/>
            </w:tcBorders>
            <w:shd w:val="clear" w:color="auto" w:fill="FFFFFF"/>
            <w:vAlign w:val="center"/>
          </w:tcPr>
          <w:p>
            <w:pPr>
              <w:widowControl/>
              <w:spacing w:line="408" w:lineRule="atLeast"/>
              <w:rPr>
                <w:rFonts w:ascii="Microsoft YaHei UI" w:hAnsi="Microsoft YaHei UI" w:eastAsia="Microsoft YaHei UI" w:cs="宋体"/>
                <w:spacing w:val="8"/>
                <w:kern w:val="0"/>
                <w:sz w:val="22"/>
                <w:szCs w:val="26"/>
              </w:rPr>
            </w:pPr>
          </w:p>
        </w:tc>
        <w:tc>
          <w:tcPr>
            <w:tcW w:w="21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≥300</w:t>
            </w:r>
          </w:p>
        </w:tc>
        <w:tc>
          <w:tcPr>
            <w:tcW w:w="176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且≥300</w:t>
            </w:r>
          </w:p>
        </w:tc>
        <w:tc>
          <w:tcPr>
            <w:tcW w:w="163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小型企业</w:t>
            </w:r>
          </w:p>
        </w:tc>
      </w:tr>
      <w:tr>
        <w:tblPrEx>
          <w:tblCellMar>
            <w:top w:w="0" w:type="dxa"/>
            <w:left w:w="0" w:type="dxa"/>
            <w:bottom w:w="0" w:type="dxa"/>
            <w:right w:w="0" w:type="dxa"/>
          </w:tblCellMar>
        </w:tblPrEx>
        <w:trPr>
          <w:trHeight w:val="454" w:hRule="exact"/>
          <w:jc w:val="center"/>
        </w:trPr>
        <w:tc>
          <w:tcPr>
            <w:tcW w:w="675" w:type="dxa"/>
            <w:vMerge w:val="continue"/>
            <w:tcBorders>
              <w:top w:val="nil"/>
              <w:left w:val="single" w:color="auto" w:sz="6" w:space="0"/>
              <w:bottom w:val="single" w:color="auto" w:sz="6" w:space="0"/>
              <w:right w:val="single" w:color="auto" w:sz="6" w:space="0"/>
            </w:tcBorders>
            <w:shd w:val="clear" w:color="auto" w:fill="FFFFFF"/>
            <w:vAlign w:val="center"/>
          </w:tcPr>
          <w:p>
            <w:pPr>
              <w:widowControl/>
              <w:spacing w:line="408" w:lineRule="atLeast"/>
              <w:rPr>
                <w:rFonts w:ascii="Microsoft YaHei UI" w:hAnsi="Microsoft YaHei UI" w:eastAsia="Microsoft YaHei UI" w:cs="宋体"/>
                <w:spacing w:val="8"/>
                <w:kern w:val="0"/>
                <w:sz w:val="22"/>
                <w:szCs w:val="26"/>
              </w:rPr>
            </w:pPr>
          </w:p>
        </w:tc>
        <w:tc>
          <w:tcPr>
            <w:tcW w:w="1310" w:type="dxa"/>
            <w:vMerge w:val="continue"/>
            <w:tcBorders>
              <w:top w:val="nil"/>
              <w:left w:val="nil"/>
              <w:bottom w:val="single" w:color="auto" w:sz="6" w:space="0"/>
              <w:right w:val="single" w:color="auto" w:sz="6" w:space="0"/>
            </w:tcBorders>
            <w:shd w:val="clear" w:color="auto" w:fill="FFFFFF"/>
            <w:vAlign w:val="center"/>
          </w:tcPr>
          <w:p>
            <w:pPr>
              <w:widowControl/>
              <w:spacing w:line="408" w:lineRule="atLeast"/>
              <w:rPr>
                <w:rFonts w:ascii="Microsoft YaHei UI" w:hAnsi="Microsoft YaHei UI" w:eastAsia="Microsoft YaHei UI" w:cs="宋体"/>
                <w:spacing w:val="8"/>
                <w:kern w:val="0"/>
                <w:sz w:val="22"/>
                <w:szCs w:val="26"/>
              </w:rPr>
            </w:pPr>
          </w:p>
        </w:tc>
        <w:tc>
          <w:tcPr>
            <w:tcW w:w="2188"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＜300</w:t>
            </w:r>
          </w:p>
        </w:tc>
        <w:tc>
          <w:tcPr>
            <w:tcW w:w="1763"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或＜300</w:t>
            </w:r>
          </w:p>
        </w:tc>
        <w:tc>
          <w:tcPr>
            <w:tcW w:w="1639" w:type="dxa"/>
            <w:tcBorders>
              <w:top w:val="nil"/>
              <w:left w:val="nil"/>
              <w:bottom w:val="single" w:color="auto" w:sz="6" w:space="0"/>
              <w:right w:val="single" w:color="auto" w:sz="6" w:space="0"/>
            </w:tcBorders>
            <w:shd w:val="clear" w:color="auto" w:fill="FFFFFF"/>
            <w:tcMar>
              <w:top w:w="0" w:type="dxa"/>
              <w:left w:w="105" w:type="dxa"/>
              <w:bottom w:w="0" w:type="dxa"/>
              <w:right w:w="105" w:type="dxa"/>
            </w:tcMar>
            <w:vAlign w:val="center"/>
          </w:tcPr>
          <w:p>
            <w:pPr>
              <w:widowControl/>
              <w:wordWrap w:val="0"/>
              <w:spacing w:line="408" w:lineRule="atLeast"/>
              <w:jc w:val="center"/>
              <w:rPr>
                <w:rFonts w:ascii="Microsoft YaHei UI" w:hAnsi="Microsoft YaHei UI" w:eastAsia="Microsoft YaHei UI" w:cs="宋体"/>
                <w:spacing w:val="8"/>
                <w:kern w:val="0"/>
                <w:sz w:val="22"/>
                <w:szCs w:val="26"/>
              </w:rPr>
            </w:pPr>
            <w:r>
              <w:rPr>
                <w:rFonts w:hint="eastAsia" w:ascii="微软雅黑" w:hAnsi="微软雅黑" w:eastAsia="微软雅黑" w:cs="宋体"/>
                <w:spacing w:val="8"/>
                <w:kern w:val="0"/>
                <w:sz w:val="18"/>
                <w:szCs w:val="21"/>
              </w:rPr>
              <w:t>微型企业</w:t>
            </w:r>
          </w:p>
        </w:tc>
      </w:tr>
    </w:tbl>
    <w:p>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2-1-1拟分包情况说明及分包意向协议（类型一）（实质性格式）</w:t>
      </w:r>
      <w:r>
        <w:rPr>
          <w:rFonts w:hint="eastAsia"/>
          <w:b/>
          <w:color w:val="000000"/>
          <w:sz w:val="24"/>
          <w:szCs w:val="20"/>
        </w:rPr>
        <w:t>（本项目不适用）</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sz w:val="24"/>
              </w:rPr>
            </w:pPr>
            <w:r>
              <w:rPr>
                <w:rFonts w:hint="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sz w:val="24"/>
              </w:rPr>
            </w:pPr>
            <w:r>
              <w:rPr>
                <w:rFonts w:hint="eastAsia"/>
                <w:sz w:val="24"/>
              </w:rPr>
              <w:t>分包承担</w:t>
            </w:r>
          </w:p>
          <w:p>
            <w:pPr>
              <w:pStyle w:val="246"/>
              <w:jc w:val="center"/>
              <w:rPr>
                <w:sz w:val="24"/>
              </w:rPr>
            </w:pPr>
            <w:r>
              <w:rPr>
                <w:rFonts w:hint="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jc w:val="center"/>
              <w:rPr>
                <w:sz w:val="24"/>
                <w:lang w:eastAsia="zh-CN"/>
              </w:rPr>
            </w:pPr>
            <w:r>
              <w:rPr>
                <w:rFonts w:hint="eastAsia"/>
                <w:sz w:val="24"/>
                <w:lang w:eastAsia="zh-CN"/>
              </w:rPr>
              <w:t>分包承担</w:t>
            </w:r>
          </w:p>
          <w:p>
            <w:pPr>
              <w:pStyle w:val="246"/>
              <w:jc w:val="center"/>
              <w:rPr>
                <w:sz w:val="24"/>
                <w:lang w:eastAsia="zh-CN"/>
              </w:rPr>
            </w:pPr>
            <w:r>
              <w:rPr>
                <w:rFonts w:hint="eastAsia"/>
                <w:sz w:val="24"/>
                <w:lang w:eastAsia="zh-CN"/>
              </w:rPr>
              <w:t>主体类型</w:t>
            </w:r>
          </w:p>
          <w:p>
            <w:pPr>
              <w:pStyle w:val="246"/>
              <w:jc w:val="center"/>
              <w:rPr>
                <w:sz w:val="24"/>
                <w:lang w:eastAsia="zh-CN"/>
              </w:rPr>
            </w:pPr>
            <w:r>
              <w:rPr>
                <w:rFonts w:hint="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sz w:val="24"/>
              </w:rPr>
            </w:pPr>
            <w:r>
              <w:rPr>
                <w:rFonts w:hint="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sz w:val="24"/>
              </w:rPr>
            </w:pPr>
            <w:r>
              <w:rPr>
                <w:rFonts w:hint="eastAsia"/>
                <w:sz w:val="24"/>
              </w:rPr>
              <w:t>拟分包</w:t>
            </w:r>
          </w:p>
          <w:p>
            <w:pPr>
              <w:pStyle w:val="246"/>
              <w:jc w:val="center"/>
              <w:rPr>
                <w:sz w:val="24"/>
              </w:rPr>
            </w:pPr>
            <w:r>
              <w:rPr>
                <w:rFonts w:hint="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sz w:val="24"/>
                <w:lang w:eastAsia="zh-CN"/>
              </w:rPr>
            </w:pPr>
            <w:r>
              <w:rPr>
                <w:rFonts w:hint="eastAsia"/>
                <w:sz w:val="24"/>
                <w:lang w:eastAsia="zh-CN"/>
              </w:rPr>
              <w:t>拟分包</w:t>
            </w:r>
          </w:p>
          <w:p>
            <w:pPr>
              <w:pStyle w:val="246"/>
              <w:jc w:val="center"/>
              <w:rPr>
                <w:sz w:val="24"/>
                <w:lang w:eastAsia="zh-CN"/>
              </w:rPr>
            </w:pPr>
            <w:r>
              <w:rPr>
                <w:rFonts w:hint="eastAsia"/>
                <w:sz w:val="24"/>
                <w:lang w:eastAsia="zh-CN"/>
              </w:rPr>
              <w:t>合同金额</w:t>
            </w:r>
          </w:p>
          <w:p>
            <w:pPr>
              <w:pStyle w:val="246"/>
              <w:jc w:val="center"/>
              <w:rPr>
                <w:sz w:val="24"/>
                <w:lang w:eastAsia="zh-CN"/>
              </w:rPr>
            </w:pPr>
            <w:r>
              <w:rPr>
                <w:rFonts w:hint="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sz w:val="24"/>
                <w:lang w:eastAsia="zh-CN"/>
              </w:rPr>
            </w:pPr>
            <w:r>
              <w:rPr>
                <w:rFonts w:hint="eastAsia"/>
                <w:sz w:val="24"/>
                <w:lang w:eastAsia="zh-CN"/>
              </w:rPr>
              <w:t>占该采购包</w:t>
            </w:r>
          </w:p>
          <w:p>
            <w:pPr>
              <w:pStyle w:val="246"/>
              <w:jc w:val="center"/>
              <w:rPr>
                <w:b/>
                <w:sz w:val="24"/>
                <w:lang w:eastAsia="zh-CN"/>
              </w:rPr>
            </w:pPr>
            <w:r>
              <w:rPr>
                <w:rFonts w:hint="eastAsia"/>
                <w:b/>
                <w:sz w:val="24"/>
                <w:lang w:eastAsia="zh-CN"/>
              </w:rPr>
              <w:t>预算金额的</w:t>
            </w:r>
          </w:p>
          <w:p>
            <w:pPr>
              <w:pStyle w:val="246"/>
              <w:jc w:val="center"/>
              <w:rPr>
                <w:sz w:val="24"/>
                <w:lang w:eastAsia="zh-CN"/>
              </w:rPr>
            </w:pPr>
            <w:r>
              <w:rPr>
                <w:rFonts w:hint="eastAsia"/>
                <w:sz w:val="24"/>
                <w:lang w:eastAsia="zh-CN"/>
              </w:rPr>
              <w:t>比例（</w:t>
            </w:r>
            <w:r>
              <w:rPr>
                <w:rFonts w:ascii="Times New Roman" w:eastAsia="Times New Roman"/>
                <w:sz w:val="24"/>
                <w:lang w:eastAsia="zh-CN"/>
              </w:rPr>
              <w:t>%</w:t>
            </w:r>
            <w:r>
              <w:rPr>
                <w:rFonts w:hint="eastAsia"/>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24"/>
              </w:rPr>
            </w:pPr>
            <w:r>
              <w:rPr>
                <w:rFonts w:ascii="Times New Roman"/>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24"/>
                <w:lang w:eastAsia="zh-CN"/>
              </w:rPr>
            </w:pPr>
            <w:r>
              <w:rPr>
                <w:rFonts w:ascii="Times New Roman"/>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中型企业</w:t>
            </w:r>
          </w:p>
          <w:p>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24"/>
                <w:lang w:eastAsia="zh-CN"/>
              </w:rPr>
            </w:pPr>
            <w:r>
              <w:rPr>
                <w:rFonts w:hint="eastAsia" w:ascii="Times New Roman"/>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jc w:val="center"/>
              <w:rPr>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46"/>
              <w:ind w:right="57" w:rightChars="27"/>
              <w:jc w:val="right"/>
              <w:rPr>
                <w:sz w:val="24"/>
                <w:lang w:eastAsia="zh-CN"/>
              </w:rPr>
            </w:pPr>
            <w:r>
              <w:rPr>
                <w:rFonts w:hint="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r>
    </w:tbl>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供应商名称（加盖公章）</w:t>
      </w:r>
      <w:r>
        <w:rPr>
          <w:color w:val="000000"/>
          <w:sz w:val="24"/>
          <w:lang w:val="zh-CN"/>
        </w:rPr>
        <w:t>：</w:t>
      </w:r>
      <w:r>
        <w:rPr>
          <w:sz w:val="24"/>
        </w:rPr>
        <w:t>______</w:t>
      </w:r>
    </w:p>
    <w:p>
      <w:pPr>
        <w:spacing w:line="360" w:lineRule="auto"/>
        <w:ind w:right="-57" w:firstLine="480"/>
        <w:jc w:val="right"/>
        <w:rPr>
          <w:color w:val="000000"/>
          <w:sz w:val="24"/>
        </w:rPr>
      </w:pPr>
      <w:r>
        <w:rPr>
          <w:color w:val="000000"/>
          <w:sz w:val="24"/>
          <w:szCs w:val="20"/>
        </w:rPr>
        <w:t>日期：</w:t>
      </w:r>
      <w:r>
        <w:rPr>
          <w:sz w:val="24"/>
        </w:rPr>
        <w:t>___</w:t>
      </w:r>
      <w:r>
        <w:rPr>
          <w:color w:val="000000"/>
          <w:sz w:val="24"/>
          <w:szCs w:val="20"/>
        </w:rPr>
        <w:t>年</w:t>
      </w:r>
      <w:r>
        <w:rPr>
          <w:sz w:val="24"/>
        </w:rPr>
        <w:t>___</w:t>
      </w:r>
      <w:r>
        <w:rPr>
          <w:color w:val="000000"/>
          <w:sz w:val="24"/>
          <w:szCs w:val="20"/>
        </w:rPr>
        <w:t>月</w:t>
      </w:r>
      <w:r>
        <w:rPr>
          <w:sz w:val="24"/>
        </w:rPr>
        <w:t>___</w:t>
      </w:r>
      <w:r>
        <w:rPr>
          <w:color w:val="000000"/>
          <w:sz w:val="24"/>
          <w:szCs w:val="20"/>
        </w:rPr>
        <w:t>日</w:t>
      </w:r>
    </w:p>
    <w:p>
      <w:pPr>
        <w:adjustRightInd w:val="0"/>
        <w:snapToGrid w:val="0"/>
        <w:spacing w:line="360" w:lineRule="auto"/>
        <w:jc w:val="left"/>
        <w:rPr>
          <w:sz w:val="24"/>
        </w:rPr>
      </w:pPr>
    </w:p>
    <w:p>
      <w:pPr>
        <w:adjustRightInd w:val="0"/>
        <w:snapToGrid w:val="0"/>
        <w:spacing w:line="360" w:lineRule="auto"/>
        <w:jc w:val="left"/>
        <w:rPr>
          <w:sz w:val="24"/>
        </w:rPr>
      </w:pPr>
      <w:r>
        <w:rPr>
          <w:sz w:val="24"/>
        </w:rPr>
        <w:t>说明：</w:t>
      </w:r>
    </w:p>
    <w:p>
      <w:pPr>
        <w:adjustRightInd w:val="0"/>
        <w:snapToGrid w:val="0"/>
        <w:spacing w:line="360" w:lineRule="auto"/>
        <w:jc w:val="left"/>
        <w:rPr>
          <w:sz w:val="24"/>
        </w:rPr>
      </w:pPr>
      <w:r>
        <w:rPr>
          <w:sz w:val="24"/>
        </w:rPr>
        <w:t>（1）本表仅在供应商“为落实政府采购政策”而向中小企业分包时填写，非因“为落实政府采购政策”而进行的分包请按照《</w:t>
      </w:r>
      <w:r>
        <w:rPr>
          <w:color w:val="000000"/>
          <w:sz w:val="24"/>
          <w:szCs w:val="20"/>
        </w:rPr>
        <w:t>拟分包情况说明（类型二）</w:t>
      </w:r>
      <w:r>
        <w:rPr>
          <w:sz w:val="24"/>
        </w:rPr>
        <w:t>》要求填写。</w:t>
      </w:r>
    </w:p>
    <w:p>
      <w:pPr>
        <w:adjustRightInd w:val="0"/>
        <w:snapToGrid w:val="0"/>
        <w:spacing w:line="360" w:lineRule="auto"/>
        <w:jc w:val="left"/>
        <w:rPr>
          <w:sz w:val="24"/>
        </w:rPr>
      </w:pPr>
      <w:r>
        <w:rPr>
          <w:sz w:val="24"/>
        </w:rPr>
        <w:t>（2）如本竞争性磋商文件《供应商须知资料表》载明本项目分包承担主体应具备的相应资质条件，则供应商须在本表中列明分包承担主体的资质等级，并后附资质证书电子件，否则</w:t>
      </w:r>
      <w:r>
        <w:rPr>
          <w:b/>
          <w:sz w:val="24"/>
        </w:rPr>
        <w:t>响应无效</w:t>
      </w:r>
      <w:r>
        <w:rPr>
          <w:sz w:val="24"/>
        </w:rPr>
        <w:t>。</w:t>
      </w:r>
    </w:p>
    <w:p>
      <w:pPr>
        <w:adjustRightInd w:val="0"/>
        <w:snapToGrid w:val="0"/>
        <w:spacing w:line="360" w:lineRule="auto"/>
        <w:jc w:val="left"/>
        <w:rPr>
          <w:color w:val="000000"/>
          <w:sz w:val="30"/>
          <w:szCs w:val="30"/>
        </w:rPr>
      </w:pPr>
      <w:r>
        <w:rPr>
          <w:sz w:val="24"/>
        </w:rPr>
        <w:t>（3）供应商与上述拟分包承担主体签署的《分包意向协议》后附。</w:t>
      </w:r>
    </w:p>
    <w:p>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t>附：分包意向协议（实质性格式）</w:t>
      </w:r>
      <w:r>
        <w:rPr>
          <w:rFonts w:hint="eastAsia"/>
          <w:b/>
          <w:color w:val="000000"/>
          <w:sz w:val="24"/>
          <w:szCs w:val="20"/>
        </w:rPr>
        <w:t>（本项目不适用）</w:t>
      </w:r>
    </w:p>
    <w:p>
      <w:pPr>
        <w:adjustRightInd w:val="0"/>
        <w:snapToGrid w:val="0"/>
        <w:spacing w:line="360" w:lineRule="auto"/>
        <w:ind w:firstLine="480" w:firstLineChars="200"/>
        <w:jc w:val="left"/>
        <w:rPr>
          <w:sz w:val="24"/>
        </w:rPr>
      </w:pPr>
      <w:r>
        <w:rPr>
          <w:sz w:val="24"/>
        </w:rPr>
        <w:t>甲方（供应商）：______</w:t>
      </w:r>
    </w:p>
    <w:p>
      <w:pPr>
        <w:adjustRightInd w:val="0"/>
        <w:snapToGrid w:val="0"/>
        <w:spacing w:line="360" w:lineRule="auto"/>
        <w:ind w:firstLine="480" w:firstLineChars="200"/>
        <w:jc w:val="left"/>
        <w:rPr>
          <w:sz w:val="24"/>
        </w:rPr>
      </w:pPr>
      <w:r>
        <w:rPr>
          <w:sz w:val="24"/>
        </w:rPr>
        <w:t>乙方（拟分包单位）：______</w:t>
      </w:r>
    </w:p>
    <w:p>
      <w:pPr>
        <w:adjustRightInd w:val="0"/>
        <w:snapToGrid w:val="0"/>
        <w:spacing w:line="360" w:lineRule="auto"/>
        <w:ind w:firstLine="480" w:firstLineChars="200"/>
        <w:jc w:val="left"/>
        <w:rPr>
          <w:sz w:val="24"/>
        </w:rPr>
      </w:pPr>
      <w:r>
        <w:rPr>
          <w:sz w:val="24"/>
        </w:rPr>
        <w:t>甲方承诺，一旦在______（采购项目名称）（项目编号/包号为：______）采购项目中获得采购合同，将按照下述约定将合同项下部分内容分包给乙方：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1.分包内容：______。</w:t>
      </w:r>
    </w:p>
    <w:p>
      <w:pPr>
        <w:adjustRightInd w:val="0"/>
        <w:snapToGrid w:val="0"/>
        <w:spacing w:line="360" w:lineRule="auto"/>
        <w:ind w:firstLine="480" w:firstLineChars="200"/>
        <w:jc w:val="left"/>
        <w:rPr>
          <w:sz w:val="24"/>
        </w:rPr>
      </w:pPr>
      <w:r>
        <w:rPr>
          <w:sz w:val="24"/>
        </w:rPr>
        <w:t>2.分包金额：______，该金额占该采购包预算总金额的比例为______%。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本协议自各方盖章之日起生效，如甲方未在该项目（采购包）成交，本协议自动终止。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w:t>
      </w:r>
      <w:r>
        <w:rPr>
          <w:sz w:val="24"/>
        </w:rPr>
        <w:t>______</w:t>
      </w:r>
      <w:r>
        <w:rPr>
          <w:color w:val="000000"/>
          <w:sz w:val="24"/>
        </w:rPr>
        <w:t xml:space="preserve">                     乙方（盖章）：</w:t>
      </w:r>
      <w:r>
        <w:rPr>
          <w:sz w:val="24"/>
        </w:rPr>
        <w:t>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 xml:space="preserve">日   </w:t>
      </w:r>
    </w:p>
    <w:p>
      <w:pPr>
        <w:tabs>
          <w:tab w:val="left" w:pos="8280"/>
        </w:tabs>
        <w:spacing w:line="360" w:lineRule="auto"/>
        <w:ind w:firstLine="480"/>
        <w:rPr>
          <w:color w:val="000000"/>
          <w:sz w:val="24"/>
        </w:rPr>
      </w:pPr>
    </w:p>
    <w:p>
      <w:pPr>
        <w:tabs>
          <w:tab w:val="left" w:pos="8280"/>
        </w:tabs>
        <w:spacing w:line="360" w:lineRule="auto"/>
        <w:rPr>
          <w:color w:val="000000"/>
          <w:sz w:val="24"/>
        </w:rPr>
        <w:sectPr>
          <w:headerReference r:id="rId15" w:type="first"/>
          <w:footerReference r:id="rId17" w:type="first"/>
          <w:headerReference r:id="rId14" w:type="even"/>
          <w:footerReference r:id="rId16" w:type="even"/>
          <w:pgSz w:w="11907" w:h="16840"/>
          <w:pgMar w:top="1418" w:right="1134" w:bottom="1418" w:left="1701" w:header="851" w:footer="851" w:gutter="0"/>
          <w:cols w:space="720" w:num="1"/>
          <w:docGrid w:linePitch="462" w:charSpace="0"/>
        </w:sectPr>
      </w:pPr>
      <w:r>
        <w:rPr>
          <w:color w:val="000000"/>
          <w:sz w:val="24"/>
        </w:rPr>
        <w:t>说明：供应商须与所有拟分包单位分别签订《分包意向协议》，每单位签订一份，并在响应文件中提交全部协议原件的电子件，否则</w:t>
      </w:r>
      <w:r>
        <w:rPr>
          <w:b/>
          <w:color w:val="000000"/>
          <w:sz w:val="24"/>
        </w:rPr>
        <w:t>响应无效</w:t>
      </w:r>
      <w:r>
        <w:rPr>
          <w:color w:val="000000"/>
          <w:sz w:val="24"/>
        </w:rPr>
        <w:t>。</w:t>
      </w:r>
    </w:p>
    <w:p>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color w:val="000000"/>
          <w:sz w:val="24"/>
          <w:szCs w:val="20"/>
        </w:rPr>
        <w:t>（如有）</w:t>
      </w:r>
    </w:p>
    <w:p>
      <w:pPr>
        <w:widowControl/>
        <w:jc w:val="left"/>
        <w:rPr>
          <w:sz w:val="24"/>
        </w:rPr>
      </w:pPr>
    </w:p>
    <w:p>
      <w:pPr>
        <w:widowControl/>
        <w:jc w:val="left"/>
        <w:rPr>
          <w:sz w:val="24"/>
        </w:rPr>
      </w:pPr>
      <w:r>
        <w:rPr>
          <w:sz w:val="24"/>
        </w:rPr>
        <w:br w:type="page"/>
      </w:r>
    </w:p>
    <w:p>
      <w:pPr>
        <w:tabs>
          <w:tab w:val="left" w:pos="360"/>
        </w:tabs>
        <w:snapToGrid w:val="0"/>
        <w:spacing w:line="360" w:lineRule="auto"/>
        <w:outlineLvl w:val="1"/>
        <w:rPr>
          <w:sz w:val="24"/>
        </w:rPr>
      </w:pPr>
      <w:r>
        <w:rPr>
          <w:sz w:val="24"/>
        </w:rPr>
        <w:t>3 本项目的特定资格要求（如有）</w:t>
      </w:r>
    </w:p>
    <w:p>
      <w:pPr>
        <w:spacing w:line="360" w:lineRule="auto"/>
        <w:outlineLvl w:val="2"/>
        <w:rPr>
          <w:color w:val="000000"/>
          <w:sz w:val="24"/>
          <w:szCs w:val="20"/>
        </w:rPr>
      </w:pPr>
      <w:r>
        <w:rPr>
          <w:color w:val="000000"/>
          <w:sz w:val="24"/>
          <w:szCs w:val="20"/>
        </w:rPr>
        <w:t>3-1联合协议（如有）（实质性格式）</w:t>
      </w:r>
    </w:p>
    <w:p>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pPr>
        <w:spacing w:line="360" w:lineRule="auto"/>
        <w:ind w:firstLine="828" w:firstLineChars="345"/>
        <w:rPr>
          <w:bCs/>
          <w:color w:val="000000"/>
        </w:rPr>
      </w:pPr>
      <w:r>
        <w:rPr>
          <w:sz w:val="24"/>
        </w:rPr>
        <w:t>______</w:t>
      </w:r>
      <w:r>
        <w:rPr>
          <w:bCs/>
          <w:color w:val="000000"/>
          <w:sz w:val="24"/>
        </w:rPr>
        <w:t xml:space="preserve"> 、</w:t>
      </w:r>
      <w:r>
        <w:rPr>
          <w:sz w:val="24"/>
        </w:rPr>
        <w:t>______</w:t>
      </w:r>
      <w:r>
        <w:rPr>
          <w:bCs/>
          <w:color w:val="000000"/>
          <w:sz w:val="24"/>
        </w:rPr>
        <w:t>及</w:t>
      </w:r>
      <w:r>
        <w:rPr>
          <w:sz w:val="24"/>
        </w:rPr>
        <w:t>______</w:t>
      </w:r>
      <w:r>
        <w:rPr>
          <w:bCs/>
          <w:color w:val="000000"/>
          <w:sz w:val="24"/>
        </w:rPr>
        <w:t>就“</w:t>
      </w:r>
      <w:r>
        <w:rPr>
          <w:sz w:val="24"/>
        </w:rPr>
        <w:t>______</w:t>
      </w:r>
      <w:r>
        <w:rPr>
          <w:bCs/>
          <w:color w:val="000000"/>
          <w:sz w:val="24"/>
        </w:rPr>
        <w:t>（项目名称）</w:t>
      </w:r>
      <w:r>
        <w:rPr>
          <w:color w:val="000000"/>
          <w:sz w:val="24"/>
        </w:rPr>
        <w:t>”</w:t>
      </w:r>
      <w:r>
        <w:rPr>
          <w:sz w:val="24"/>
        </w:rPr>
        <w:t xml:space="preserve"> ______</w:t>
      </w:r>
      <w:r>
        <w:rPr>
          <w:color w:val="000000"/>
          <w:sz w:val="24"/>
        </w:rPr>
        <w:t>包</w:t>
      </w:r>
      <w:r>
        <w:rPr>
          <w:bCs/>
          <w:color w:val="000000"/>
          <w:sz w:val="24"/>
        </w:rPr>
        <w:t>采购项目的磋商事宜，经各方充分协商一致，达成如下协议：</w:t>
      </w:r>
    </w:p>
    <w:p>
      <w:pPr>
        <w:numPr>
          <w:ilvl w:val="0"/>
          <w:numId w:val="9"/>
        </w:numPr>
        <w:spacing w:line="360" w:lineRule="auto"/>
        <w:rPr>
          <w:bCs/>
          <w:color w:val="000000"/>
          <w:sz w:val="24"/>
        </w:rPr>
      </w:pPr>
      <w:r>
        <w:rPr>
          <w:bCs/>
          <w:color w:val="000000"/>
          <w:sz w:val="24"/>
        </w:rPr>
        <w:t>由</w:t>
      </w:r>
      <w:r>
        <w:rPr>
          <w:sz w:val="24"/>
        </w:rPr>
        <w:t>____</w:t>
      </w:r>
      <w:r>
        <w:rPr>
          <w:bCs/>
          <w:color w:val="000000"/>
          <w:sz w:val="24"/>
        </w:rPr>
        <w:t>__</w:t>
      </w:r>
      <w:r>
        <w:rPr>
          <w:sz w:val="24"/>
        </w:rPr>
        <w:t>__</w:t>
      </w:r>
      <w:r>
        <w:rPr>
          <w:bCs/>
          <w:color w:val="000000"/>
          <w:sz w:val="24"/>
        </w:rPr>
        <w:t>牵头，</w:t>
      </w:r>
      <w:r>
        <w:rPr>
          <w:sz w:val="24"/>
        </w:rPr>
        <w:t>___</w:t>
      </w:r>
      <w:r>
        <w:rPr>
          <w:bCs/>
          <w:color w:val="000000"/>
          <w:sz w:val="24"/>
        </w:rPr>
        <w:t>__</w:t>
      </w:r>
      <w:r>
        <w:rPr>
          <w:sz w:val="24"/>
        </w:rPr>
        <w:t>___</w:t>
      </w:r>
      <w:r>
        <w:rPr>
          <w:bCs/>
          <w:color w:val="000000"/>
          <w:sz w:val="24"/>
        </w:rPr>
        <w:t>、</w:t>
      </w:r>
      <w:r>
        <w:rPr>
          <w:sz w:val="24"/>
        </w:rPr>
        <w:t>___</w:t>
      </w:r>
      <w:r>
        <w:rPr>
          <w:bCs/>
          <w:color w:val="000000"/>
          <w:sz w:val="24"/>
        </w:rPr>
        <w:t>__</w:t>
      </w:r>
      <w:r>
        <w:rPr>
          <w:sz w:val="24"/>
        </w:rPr>
        <w:t>___</w:t>
      </w:r>
      <w:r>
        <w:rPr>
          <w:bCs/>
          <w:color w:val="000000"/>
          <w:sz w:val="24"/>
        </w:rPr>
        <w:t>参加，组成联合体共同进行采购项目的磋商工作。</w:t>
      </w:r>
    </w:p>
    <w:p>
      <w:pPr>
        <w:numPr>
          <w:ilvl w:val="0"/>
          <w:numId w:val="9"/>
        </w:numPr>
        <w:spacing w:line="360" w:lineRule="auto"/>
        <w:rPr>
          <w:bCs/>
          <w:color w:val="000000"/>
          <w:sz w:val="24"/>
        </w:rPr>
      </w:pPr>
      <w:r>
        <w:rPr>
          <w:sz w:val="24"/>
        </w:rPr>
        <w:t>______</w:t>
      </w:r>
      <w:r>
        <w:rPr>
          <w:bCs/>
          <w:color w:val="000000"/>
          <w:sz w:val="24"/>
        </w:rPr>
        <w:t>为本次磋商的牵头人，联合体以牵头人的名义参加磋商，联合体成交后，联合体各方共同与采购人签订合同，就</w:t>
      </w:r>
      <w:r>
        <w:rPr>
          <w:color w:val="000000"/>
          <w:sz w:val="24"/>
          <w:szCs w:val="20"/>
        </w:rPr>
        <w:t>采购合同约定的事项</w:t>
      </w:r>
      <w:r>
        <w:rPr>
          <w:bCs/>
          <w:color w:val="000000"/>
          <w:sz w:val="24"/>
        </w:rPr>
        <w:t>对采购人承担连带责任。</w:t>
      </w:r>
    </w:p>
    <w:p>
      <w:pPr>
        <w:numPr>
          <w:ilvl w:val="0"/>
          <w:numId w:val="9"/>
        </w:numPr>
        <w:spacing w:line="360" w:lineRule="auto"/>
        <w:rPr>
          <w:bCs/>
          <w:color w:val="000000"/>
          <w:sz w:val="24"/>
        </w:rPr>
      </w:pPr>
      <w:r>
        <w:rPr>
          <w:bCs/>
          <w:color w:val="000000"/>
          <w:sz w:val="24"/>
        </w:rPr>
        <w:t>联合体各方均同意由牵头人代表其他联合体成员单位按竞争性磋商文件要求出具《授权委托书》。</w:t>
      </w:r>
    </w:p>
    <w:p>
      <w:pPr>
        <w:numPr>
          <w:ilvl w:val="0"/>
          <w:numId w:val="9"/>
        </w:numPr>
        <w:spacing w:line="360" w:lineRule="auto"/>
        <w:rPr>
          <w:bCs/>
          <w:color w:val="000000"/>
          <w:sz w:val="24"/>
        </w:rPr>
      </w:pPr>
      <w:r>
        <w:rPr>
          <w:bCs/>
          <w:color w:val="000000"/>
          <w:sz w:val="24"/>
        </w:rPr>
        <w:t>牵头人为项目的总负责单位；组织各参加方进行项目实施工作。</w:t>
      </w:r>
    </w:p>
    <w:p>
      <w:pPr>
        <w:numPr>
          <w:ilvl w:val="0"/>
          <w:numId w:val="9"/>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pPr>
        <w:numPr>
          <w:ilvl w:val="0"/>
          <w:numId w:val="9"/>
        </w:numPr>
        <w:spacing w:line="360" w:lineRule="auto"/>
        <w:rPr>
          <w:bCs/>
          <w:color w:val="000000"/>
          <w:sz w:val="24"/>
        </w:rPr>
      </w:pPr>
      <w:r>
        <w:rPr>
          <w:sz w:val="24"/>
        </w:rPr>
        <w:t>______</w:t>
      </w:r>
      <w:r>
        <w:rPr>
          <w:bCs/>
          <w:color w:val="000000"/>
          <w:sz w:val="24"/>
        </w:rPr>
        <w:t>负责</w:t>
      </w:r>
      <w:r>
        <w:rPr>
          <w:sz w:val="24"/>
        </w:rPr>
        <w:t>______</w:t>
      </w:r>
      <w:r>
        <w:rPr>
          <w:bCs/>
          <w:color w:val="000000"/>
          <w:sz w:val="24"/>
        </w:rPr>
        <w:t>，具体工作范围、内容以响应文件及合同为准。</w:t>
      </w:r>
    </w:p>
    <w:p>
      <w:pPr>
        <w:numPr>
          <w:ilvl w:val="0"/>
          <w:numId w:val="9"/>
        </w:numPr>
        <w:spacing w:line="360" w:lineRule="auto"/>
        <w:rPr>
          <w:bCs/>
          <w:color w:val="000000"/>
          <w:sz w:val="24"/>
        </w:rPr>
      </w:pPr>
      <w:r>
        <w:rPr>
          <w:sz w:val="24"/>
        </w:rPr>
        <w:t>______</w:t>
      </w:r>
      <w:r>
        <w:rPr>
          <w:bCs/>
          <w:color w:val="000000"/>
          <w:sz w:val="24"/>
        </w:rPr>
        <w:t>负责</w:t>
      </w:r>
      <w:r>
        <w:rPr>
          <w:sz w:val="24"/>
        </w:rPr>
        <w:t>______</w:t>
      </w:r>
      <w:r>
        <w:rPr>
          <w:bCs/>
          <w:color w:val="000000"/>
          <w:sz w:val="24"/>
        </w:rPr>
        <w:t>（如有），具体工作范围、内容以响应文件及合同为准。</w:t>
      </w:r>
    </w:p>
    <w:p>
      <w:pPr>
        <w:numPr>
          <w:ilvl w:val="0"/>
          <w:numId w:val="9"/>
        </w:numPr>
        <w:spacing w:line="360" w:lineRule="auto"/>
        <w:rPr>
          <w:sz w:val="24"/>
        </w:rPr>
      </w:pPr>
      <w:r>
        <w:rPr>
          <w:sz w:val="24"/>
        </w:rPr>
        <w:t>本项目联合协议合同总额为______元，联合体各成员按照如下比例分摊（按联合体成员分别列明）：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tabs>
          <w:tab w:val="left" w:pos="720"/>
          <w:tab w:val="left" w:pos="900"/>
        </w:tabs>
        <w:spacing w:line="360" w:lineRule="auto"/>
        <w:ind w:left="851"/>
        <w:rPr>
          <w:color w:val="000000"/>
          <w:sz w:val="24"/>
          <w:szCs w:val="20"/>
        </w:rPr>
      </w:pPr>
      <w:r>
        <w:rPr>
          <w:color w:val="000000"/>
          <w:sz w:val="24"/>
          <w:szCs w:val="20"/>
        </w:rPr>
        <w:t>（2）</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tabs>
          <w:tab w:val="left" w:pos="720"/>
          <w:tab w:val="left" w:pos="900"/>
        </w:tabs>
        <w:spacing w:line="360" w:lineRule="auto"/>
        <w:ind w:left="851"/>
        <w:rPr>
          <w:color w:val="000000"/>
          <w:sz w:val="24"/>
          <w:szCs w:val="20"/>
        </w:rPr>
      </w:pPr>
      <w:r>
        <w:rPr>
          <w:color w:val="000000"/>
          <w:sz w:val="24"/>
          <w:szCs w:val="20"/>
        </w:rPr>
        <w:t>（…）</w:t>
      </w:r>
      <w:r>
        <w:rPr>
          <w:sz w:val="24"/>
        </w:rPr>
        <w:t>______</w:t>
      </w:r>
      <w:r>
        <w:rPr>
          <w:color w:val="000000"/>
          <w:sz w:val="24"/>
          <w:szCs w:val="20"/>
        </w:rPr>
        <w:t>为□大型企业□中型企业、□小微企业（包含监狱企业、残疾人福利性单位）、□其他，合同金额为</w:t>
      </w:r>
      <w:r>
        <w:rPr>
          <w:sz w:val="24"/>
        </w:rPr>
        <w:t>______</w:t>
      </w:r>
      <w:r>
        <w:rPr>
          <w:color w:val="000000"/>
          <w:sz w:val="24"/>
          <w:szCs w:val="20"/>
        </w:rPr>
        <w:t>元。</w:t>
      </w:r>
    </w:p>
    <w:p>
      <w:pPr>
        <w:numPr>
          <w:ilvl w:val="0"/>
          <w:numId w:val="9"/>
        </w:numPr>
        <w:tabs>
          <w:tab w:val="left" w:pos="993"/>
        </w:tabs>
        <w:spacing w:line="360" w:lineRule="auto"/>
        <w:rPr>
          <w:bCs/>
          <w:color w:val="000000"/>
          <w:sz w:val="24"/>
        </w:rPr>
      </w:pPr>
      <w:r>
        <w:rPr>
          <w:color w:val="000000"/>
          <w:sz w:val="24"/>
          <w:szCs w:val="20"/>
        </w:rPr>
        <w:t>以联合体形式参加政府采购活动的，联合体各方不得再单独参加或者与其他供应商另外组成联合体参加同一合同项下的政府采购活动。</w:t>
      </w:r>
    </w:p>
    <w:p>
      <w:pPr>
        <w:numPr>
          <w:ilvl w:val="0"/>
          <w:numId w:val="9"/>
        </w:numPr>
        <w:spacing w:line="360" w:lineRule="auto"/>
        <w:rPr>
          <w:bCs/>
          <w:color w:val="000000"/>
          <w:sz w:val="24"/>
        </w:rPr>
      </w:pPr>
      <w:r>
        <w:rPr>
          <w:bCs/>
          <w:color w:val="000000"/>
          <w:sz w:val="24"/>
        </w:rPr>
        <w:t>其他约定（如有）：</w:t>
      </w:r>
      <w:r>
        <w:rPr>
          <w:sz w:val="24"/>
        </w:rPr>
        <w:t>______</w:t>
      </w:r>
      <w:r>
        <w:rPr>
          <w:rFonts w:hint="eastAsia"/>
          <w:sz w:val="24"/>
        </w:rPr>
        <w:t>。</w:t>
      </w:r>
    </w:p>
    <w:p>
      <w:pPr>
        <w:tabs>
          <w:tab w:val="left" w:pos="780"/>
        </w:tabs>
        <w:spacing w:line="360" w:lineRule="auto"/>
        <w:ind w:left="180" w:firstLine="480" w:firstLineChars="200"/>
        <w:rPr>
          <w:b/>
          <w:color w:val="000000"/>
          <w:sz w:val="24"/>
        </w:rPr>
      </w:pPr>
      <w:r>
        <w:rPr>
          <w:bCs/>
          <w:color w:val="000000"/>
          <w:sz w:val="24"/>
        </w:rPr>
        <w:t>本协议自各方盖章后生效，采购合同履行完毕后自动失效。如未成交，本协议自动终止。</w:t>
      </w:r>
    </w:p>
    <w:p>
      <w:pPr>
        <w:spacing w:line="360" w:lineRule="auto"/>
        <w:rPr>
          <w:color w:val="000000"/>
          <w:sz w:val="24"/>
        </w:rPr>
      </w:pPr>
    </w:p>
    <w:p>
      <w:pPr>
        <w:spacing w:line="360" w:lineRule="auto"/>
        <w:ind w:firstLine="471"/>
        <w:rPr>
          <w:color w:val="000000"/>
          <w:sz w:val="24"/>
        </w:rPr>
      </w:pPr>
      <w:r>
        <w:rPr>
          <w:rFonts w:hint="eastAsia"/>
          <w:color w:val="000000"/>
          <w:sz w:val="24"/>
        </w:rPr>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w:t>
      </w:r>
      <w:r>
        <w:rPr>
          <w:rFonts w:hint="eastAsia"/>
          <w:color w:val="000000"/>
          <w:sz w:val="24"/>
        </w:rPr>
        <w:t>联合体成员名称</w:t>
      </w:r>
      <w:r>
        <w:rPr>
          <w:color w:val="000000"/>
          <w:sz w:val="24"/>
        </w:rPr>
        <w:t>：</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pPr>
        <w:widowControl/>
        <w:ind w:firstLine="480" w:firstLineChars="200"/>
        <w:jc w:val="left"/>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w:t>
      </w:r>
      <w:r>
        <w:rPr>
          <w:sz w:val="24"/>
        </w:rPr>
        <w:t>______</w:t>
      </w:r>
      <w:r>
        <w:rPr>
          <w:color w:val="000000"/>
          <w:sz w:val="24"/>
          <w:szCs w:val="20"/>
        </w:rPr>
        <w:t>年</w:t>
      </w:r>
      <w:r>
        <w:rPr>
          <w:sz w:val="24"/>
        </w:rPr>
        <w:t>______</w:t>
      </w:r>
      <w:r>
        <w:rPr>
          <w:color w:val="000000"/>
          <w:sz w:val="24"/>
          <w:szCs w:val="20"/>
        </w:rPr>
        <w:t>月</w:t>
      </w:r>
      <w:r>
        <w:rPr>
          <w:sz w:val="24"/>
        </w:rPr>
        <w:t>______</w:t>
      </w:r>
      <w:r>
        <w:rPr>
          <w:color w:val="000000"/>
          <w:sz w:val="24"/>
          <w:szCs w:val="20"/>
        </w:rPr>
        <w:t>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color w:val="000000"/>
          <w:sz w:val="24"/>
        </w:rPr>
      </w:pPr>
      <w:r>
        <w:rPr>
          <w:color w:val="000000"/>
          <w:sz w:val="24"/>
        </w:rPr>
        <w:t>注：联合体各方成员应在本协议上共同盖章，不得分别签署协议书。</w:t>
      </w:r>
    </w:p>
    <w:p>
      <w:pPr>
        <w:widowControl/>
        <w:jc w:val="left"/>
        <w:rPr>
          <w:sz w:val="24"/>
        </w:rPr>
      </w:pPr>
      <w:r>
        <w:rPr>
          <w:sz w:val="24"/>
        </w:rPr>
        <w:br w:type="page"/>
      </w:r>
    </w:p>
    <w:p>
      <w:pPr>
        <w:spacing w:line="360" w:lineRule="auto"/>
        <w:outlineLvl w:val="2"/>
        <w:rPr>
          <w:sz w:val="24"/>
          <w:highlight w:val="yellow"/>
        </w:rPr>
      </w:pPr>
      <w:r>
        <w:rPr>
          <w:color w:val="000000"/>
          <w:sz w:val="24"/>
          <w:szCs w:val="20"/>
        </w:rPr>
        <w:t>3-2其他</w:t>
      </w:r>
      <w:r>
        <w:rPr>
          <w:sz w:val="24"/>
          <w:szCs w:val="20"/>
        </w:rPr>
        <w:t>特定资格要求</w:t>
      </w:r>
    </w:p>
    <w:p>
      <w:pPr>
        <w:tabs>
          <w:tab w:val="left" w:pos="5580"/>
        </w:tabs>
        <w:spacing w:line="360" w:lineRule="auto"/>
        <w:rPr>
          <w:rFonts w:hint="eastAsia" w:eastAsia="宋体"/>
          <w:sz w:val="24"/>
          <w:highlight w:val="none"/>
          <w:lang w:eastAsia="zh-CN"/>
        </w:rPr>
      </w:pPr>
      <w:r>
        <w:rPr>
          <w:rFonts w:hint="eastAsia" w:eastAsia="宋体"/>
          <w:sz w:val="24"/>
          <w:highlight w:val="none"/>
          <w:lang w:eastAsia="zh-CN"/>
        </w:rPr>
        <w:t>（1）供应商具有建设行政主管部门核发的建筑机电安装工程专业承包贰级（含）以上资质且具有有效期内的《安全生产许可证书》；（2）供应商拟派项目负责人具有机电工程专业贰级（含）以上注册建造师证书和安全生产考核合格证书（简称B本），且未在其他工程项目中担任项目负责人或其他职务；（3）供应商为外埠企业应在中标后提供北京市建设行政主管部门出具的进京备案证明，并办理注册建造师备案手续。</w:t>
      </w:r>
    </w:p>
    <w:p>
      <w:pPr>
        <w:tabs>
          <w:tab w:val="left" w:pos="5580"/>
        </w:tabs>
        <w:spacing w:line="360" w:lineRule="auto"/>
        <w:rPr>
          <w:rFonts w:hint="eastAsia" w:eastAsia="宋体"/>
          <w:sz w:val="24"/>
          <w:highlight w:val="none"/>
          <w:lang w:eastAsia="zh-CN"/>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widowControl/>
        <w:jc w:val="left"/>
        <w:rPr>
          <w:sz w:val="24"/>
          <w:szCs w:val="20"/>
        </w:rPr>
      </w:pPr>
    </w:p>
    <w:p>
      <w:pPr>
        <w:tabs>
          <w:tab w:val="left" w:pos="360"/>
        </w:tabs>
        <w:snapToGrid w:val="0"/>
        <w:spacing w:line="360" w:lineRule="auto"/>
        <w:outlineLvl w:val="1"/>
        <w:rPr>
          <w:sz w:val="24"/>
          <w:highlight w:val="yellow"/>
        </w:rPr>
      </w:pPr>
      <w:r>
        <w:rPr>
          <w:sz w:val="24"/>
        </w:rPr>
        <w:t>4 磋商保证金凭证/交款单据电子件</w:t>
      </w:r>
    </w:p>
    <w:p>
      <w:pPr>
        <w:widowControl/>
        <w:jc w:val="left"/>
        <w:rPr>
          <w:kern w:val="0"/>
          <w:sz w:val="24"/>
          <w:szCs w:val="20"/>
        </w:rPr>
      </w:pPr>
      <w:r>
        <w:rPr>
          <w:b/>
          <w:sz w:val="24"/>
        </w:rPr>
        <w:br w:type="page"/>
      </w:r>
    </w:p>
    <w:p>
      <w:pPr>
        <w:tabs>
          <w:tab w:val="left" w:pos="360"/>
        </w:tabs>
        <w:snapToGrid w:val="0"/>
        <w:spacing w:line="360" w:lineRule="auto"/>
        <w:outlineLvl w:val="1"/>
        <w:rPr>
          <w:sz w:val="24"/>
        </w:rPr>
      </w:pPr>
      <w:bookmarkStart w:id="1037" w:name="_Hlt520274393"/>
      <w:bookmarkEnd w:id="1037"/>
      <w:bookmarkStart w:id="1038" w:name="_Hlt520274121"/>
      <w:bookmarkEnd w:id="1038"/>
      <w:bookmarkStart w:id="1039" w:name="_Hlt520273711"/>
      <w:bookmarkEnd w:id="1039"/>
      <w:bookmarkStart w:id="1040" w:name="_Hlt520350918"/>
      <w:bookmarkEnd w:id="1040"/>
      <w:bookmarkStart w:id="1041" w:name="_Hlt520274065"/>
      <w:bookmarkEnd w:id="1041"/>
      <w:bookmarkStart w:id="1042" w:name="_Hlt520274407"/>
      <w:bookmarkEnd w:id="1042"/>
      <w:bookmarkStart w:id="1043" w:name="_Hlt520343000"/>
      <w:bookmarkEnd w:id="1043"/>
      <w:bookmarkStart w:id="1044" w:name="_Hlt520271212"/>
      <w:bookmarkEnd w:id="1044"/>
      <w:bookmarkStart w:id="1045" w:name="_Hlt520343392"/>
      <w:bookmarkEnd w:id="1045"/>
      <w:bookmarkStart w:id="1046" w:name="_Hlt520355504"/>
      <w:bookmarkEnd w:id="1046"/>
      <w:bookmarkStart w:id="1047" w:name="_Ref467988698"/>
      <w:bookmarkStart w:id="1048" w:name="_Toc480942349"/>
      <w:bookmarkStart w:id="1049" w:name="_Toc226309800"/>
      <w:bookmarkStart w:id="1050" w:name="_Toc226965829"/>
      <w:bookmarkStart w:id="1051" w:name="_Toc150774761"/>
      <w:bookmarkStart w:id="1052" w:name="_Toc226965746"/>
      <w:bookmarkStart w:id="1053" w:name="_Toc142311058"/>
      <w:bookmarkStart w:id="1054" w:name="_Toc226337252"/>
      <w:bookmarkStart w:id="1055" w:name="_Toc195842921"/>
      <w:bookmarkStart w:id="1056" w:name="_Toc150480794"/>
      <w:bookmarkStart w:id="1057" w:name="_Toc127151556"/>
      <w:bookmarkStart w:id="1058" w:name="_Toc520356217"/>
      <w:r>
        <w:rPr>
          <w:sz w:val="24"/>
        </w:rPr>
        <w:t xml:space="preserve">5  </w:t>
      </w:r>
      <w:bookmarkEnd w:id="1047"/>
      <w:bookmarkEnd w:id="1048"/>
      <w:r>
        <w:rPr>
          <w:sz w:val="24"/>
        </w:rPr>
        <w:t>响应书</w:t>
      </w:r>
      <w:bookmarkEnd w:id="1049"/>
      <w:bookmarkEnd w:id="1050"/>
      <w:bookmarkEnd w:id="1051"/>
      <w:bookmarkEnd w:id="1052"/>
      <w:bookmarkEnd w:id="1053"/>
      <w:bookmarkEnd w:id="1054"/>
      <w:bookmarkEnd w:id="1055"/>
      <w:bookmarkEnd w:id="1056"/>
      <w:bookmarkEnd w:id="1057"/>
      <w:bookmarkEnd w:id="1058"/>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响应书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w:t>
      </w:r>
      <w:r>
        <w:rPr>
          <w:sz w:val="24"/>
        </w:rPr>
        <w:t>______</w:t>
      </w:r>
      <w:r>
        <w:rPr>
          <w:color w:val="000000"/>
          <w:sz w:val="24"/>
          <w:szCs w:val="20"/>
        </w:rPr>
        <w:t>（项目名称，项目编号/包号）组织的采购活动，并对此项目进行磋商。</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已详细审查全部竞争性磋商文件</w:t>
      </w:r>
      <w:r>
        <w:rPr>
          <w:color w:val="000000"/>
          <w:sz w:val="24"/>
          <w:szCs w:val="20"/>
        </w:rPr>
        <w:t>，自愿参与磋商并承诺如下：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（1）本响应有效期为自提交响应文件的截止之日起</w:t>
      </w:r>
      <w:r>
        <w:rPr>
          <w:sz w:val="24"/>
        </w:rPr>
        <w:t>______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（2）除合同条款及采购需求偏离表列出的偏离外，我方响应竞争性磋商文件的全部要求。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（4）如我方成交，我方将在法律规定的期限内与你方签订合同，按照竞争性磋商文件要求提交履约保证金，并在合同约定的期限内完成合同规定的全部义务。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sz w:val="24"/>
        </w:rPr>
        <w:t>______</w:t>
      </w:r>
      <w:r>
        <w:rPr>
          <w:color w:val="000000"/>
          <w:sz w:val="24"/>
        </w:rPr>
        <w:t>。</w:t>
      </w:r>
    </w:p>
    <w:p>
      <w:pPr>
        <w:spacing w:line="360" w:lineRule="auto"/>
        <w:ind w:firstLine="480" w:firstLineChars="200"/>
        <w:rPr>
          <w:color w:val="000000"/>
          <w:sz w:val="24"/>
        </w:rPr>
      </w:pPr>
      <w:r>
        <w:rPr>
          <w:color w:val="000000"/>
          <w:sz w:val="24"/>
        </w:rPr>
        <w:t>与本磋商有关的一切正式往来信函请寄：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w:t>
      </w:r>
      <w:r>
        <w:rPr>
          <w:bCs/>
          <w:color w:val="000000"/>
          <w:sz w:val="24"/>
        </w:rPr>
        <w:t>_________________________</w:t>
      </w:r>
      <w:r>
        <w:rPr>
          <w:color w:val="000000"/>
          <w:sz w:val="24"/>
          <w:szCs w:val="20"/>
        </w:rPr>
        <w:t xml:space="preserve">      传   真</w:t>
      </w:r>
      <w:r>
        <w:rPr>
          <w:bCs/>
          <w:color w:val="000000"/>
          <w:sz w:val="24"/>
        </w:rPr>
        <w:t>_________________________</w:t>
      </w:r>
    </w:p>
    <w:p>
      <w:pPr>
        <w:tabs>
          <w:tab w:val="left" w:pos="5580"/>
        </w:tabs>
        <w:spacing w:line="360" w:lineRule="auto"/>
        <w:ind w:left="420"/>
        <w:rPr>
          <w:color w:val="000000"/>
          <w:sz w:val="24"/>
          <w:szCs w:val="20"/>
        </w:rPr>
      </w:pPr>
      <w:r>
        <w:rPr>
          <w:color w:val="000000"/>
          <w:sz w:val="24"/>
          <w:szCs w:val="20"/>
        </w:rPr>
        <w:t>电话</w:t>
      </w:r>
      <w:r>
        <w:rPr>
          <w:bCs/>
          <w:color w:val="000000"/>
          <w:sz w:val="24"/>
        </w:rPr>
        <w:t>_________________________</w:t>
      </w:r>
      <w:r>
        <w:rPr>
          <w:color w:val="000000"/>
          <w:sz w:val="24"/>
          <w:szCs w:val="20"/>
        </w:rPr>
        <w:t xml:space="preserve">      电子函件</w:t>
      </w:r>
      <w:r>
        <w:rPr>
          <w:bCs/>
          <w:color w:val="000000"/>
          <w:sz w:val="24"/>
        </w:rPr>
        <w:t>_________________________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p>
    <w:p>
      <w:pPr>
        <w:autoSpaceDE w:val="0"/>
        <w:autoSpaceDN w:val="0"/>
        <w:adjustRightInd w:val="0"/>
        <w:snapToGrid w:val="0"/>
        <w:spacing w:before="25" w:after="25" w:line="360" w:lineRule="auto"/>
        <w:ind w:right="360" w:firstLine="360" w:firstLineChars="150"/>
        <w:rPr>
          <w:color w:val="000000"/>
          <w:sz w:val="24"/>
          <w:lang w:val="zh-CN"/>
        </w:rPr>
      </w:pPr>
      <w:r>
        <w:rPr>
          <w:color w:val="000000"/>
          <w:sz w:val="24"/>
        </w:rPr>
        <w:t>供应商名称（加盖公章）</w:t>
      </w:r>
      <w:r>
        <w:rPr>
          <w:color w:val="000000"/>
          <w:sz w:val="24"/>
          <w:lang w:val="zh-CN"/>
        </w:rPr>
        <w:t>：</w:t>
      </w:r>
      <w:r>
        <w:rPr>
          <w:sz w:val="24"/>
        </w:rPr>
        <w:t>______</w:t>
      </w:r>
    </w:p>
    <w:p>
      <w:pPr>
        <w:tabs>
          <w:tab w:val="left" w:pos="5580"/>
        </w:tabs>
        <w:spacing w:line="360" w:lineRule="auto"/>
        <w:ind w:firstLine="360" w:firstLineChars="150"/>
        <w:rPr>
          <w:color w:val="000000"/>
          <w:sz w:val="24"/>
          <w:szCs w:val="20"/>
        </w:rPr>
      </w:pPr>
      <w:r>
        <w:rPr>
          <w:color w:val="000000"/>
          <w:sz w:val="24"/>
          <w:szCs w:val="20"/>
        </w:rPr>
        <w:t xml:space="preserve">日期：____年____月____日  </w:t>
      </w:r>
    </w:p>
    <w:p>
      <w:pPr>
        <w:tabs>
          <w:tab w:val="left" w:pos="5580"/>
        </w:tabs>
        <w:spacing w:line="360" w:lineRule="auto"/>
        <w:ind w:left="420"/>
        <w:jc w:val="left"/>
        <w:rPr>
          <w:color w:val="000000"/>
          <w:sz w:val="24"/>
          <w:szCs w:val="20"/>
        </w:rPr>
      </w:pPr>
    </w:p>
    <w:p>
      <w:pPr>
        <w:widowControl/>
        <w:jc w:val="left"/>
        <w:rPr>
          <w:b/>
          <w:color w:val="000000"/>
          <w:sz w:val="24"/>
          <w:szCs w:val="20"/>
        </w:rPr>
      </w:pPr>
      <w:r>
        <w:rPr>
          <w:b/>
          <w:color w:val="000000"/>
          <w:sz w:val="24"/>
          <w:szCs w:val="20"/>
        </w:rPr>
        <w:br w:type="page"/>
      </w:r>
    </w:p>
    <w:p>
      <w:pPr>
        <w:widowControl/>
        <w:jc w:val="left"/>
        <w:rPr>
          <w:color w:val="000000"/>
          <w:sz w:val="24"/>
        </w:rPr>
      </w:pPr>
      <w:bookmarkStart w:id="1059" w:name="_Hlt520355938"/>
      <w:bookmarkEnd w:id="1059"/>
      <w:bookmarkStart w:id="1060" w:name="_Hlt520356243"/>
      <w:bookmarkEnd w:id="1060"/>
      <w:bookmarkStart w:id="1061" w:name="_Toc195842922"/>
      <w:bookmarkStart w:id="1062" w:name="_Toc226965747"/>
      <w:bookmarkStart w:id="1063" w:name="_Ref467988705"/>
      <w:bookmarkStart w:id="1064" w:name="_Toc264969247"/>
      <w:bookmarkStart w:id="1065" w:name="_Toc520356218"/>
      <w:bookmarkStart w:id="1066" w:name="_Toc265228395"/>
      <w:bookmarkStart w:id="1067" w:name="_Toc127151557"/>
      <w:bookmarkStart w:id="1068" w:name="_Toc226965830"/>
      <w:bookmarkStart w:id="1069" w:name="_Toc305158825"/>
      <w:bookmarkStart w:id="1070" w:name="_Toc226337253"/>
      <w:bookmarkStart w:id="1071" w:name="_Toc142311059"/>
      <w:bookmarkStart w:id="1072" w:name="_Toc305158899"/>
      <w:bookmarkStart w:id="1073" w:name="_Toc150774762"/>
      <w:bookmarkStart w:id="1074" w:name="_Toc226309801"/>
      <w:bookmarkStart w:id="1075" w:name="_Toc150480795"/>
      <w:bookmarkStart w:id="1076" w:name="_Toc480942350"/>
    </w:p>
    <w:p>
      <w:pPr>
        <w:tabs>
          <w:tab w:val="left" w:pos="360"/>
        </w:tabs>
        <w:snapToGrid w:val="0"/>
        <w:spacing w:line="360" w:lineRule="auto"/>
        <w:outlineLvl w:val="1"/>
        <w:rPr>
          <w:sz w:val="24"/>
        </w:rPr>
      </w:pPr>
      <w:r>
        <w:rPr>
          <w:sz w:val="24"/>
        </w:rPr>
        <w:t>6  授权委托书</w:t>
      </w:r>
    </w:p>
    <w:p>
      <w:pPr>
        <w:autoSpaceDE w:val="0"/>
        <w:autoSpaceDN w:val="0"/>
        <w:adjustRightInd w:val="0"/>
        <w:spacing w:line="360" w:lineRule="auto"/>
        <w:jc w:val="center"/>
        <w:rPr>
          <w:b/>
          <w:color w:val="000000"/>
          <w:sz w:val="36"/>
          <w:szCs w:val="36"/>
        </w:rPr>
      </w:pPr>
      <w:r>
        <w:rPr>
          <w:rFonts w:hint="eastAsia"/>
          <w:b/>
          <w:color w:val="000000"/>
          <w:sz w:val="36"/>
          <w:szCs w:val="36"/>
        </w:rPr>
        <w:t>授权委托书</w:t>
      </w:r>
    </w:p>
    <w:p>
      <w:pPr>
        <w:spacing w:line="360" w:lineRule="auto"/>
        <w:ind w:firstLine="420"/>
        <w:rPr>
          <w:color w:val="000000"/>
          <w:sz w:val="24"/>
          <w:szCs w:val="20"/>
        </w:rPr>
      </w:pPr>
      <w:r>
        <w:rPr>
          <w:color w:val="000000"/>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委托期限：自本授权委托书签署之日起至响应有效期届满之日止。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供应商名称（加盖公章）</w:t>
      </w:r>
      <w:r>
        <w:rPr>
          <w:color w:val="000000"/>
          <w:sz w:val="24"/>
          <w:lang w:val="zh-CN"/>
        </w:rPr>
        <w:t>：</w:t>
      </w:r>
      <w:r>
        <w:rPr>
          <w:color w:val="000000"/>
          <w:sz w:val="24"/>
          <w:szCs w:val="20"/>
        </w:rPr>
        <w:t>______________</w:t>
      </w:r>
    </w:p>
    <w:p>
      <w:pPr>
        <w:spacing w:line="360" w:lineRule="auto"/>
        <w:rPr>
          <w:color w:val="000000"/>
          <w:sz w:val="24"/>
          <w:szCs w:val="20"/>
        </w:rPr>
      </w:pPr>
      <w:r>
        <w:rPr>
          <w:color w:val="000000"/>
          <w:sz w:val="24"/>
          <w:szCs w:val="20"/>
        </w:rPr>
        <w:t>法定代表人（单位负责人）（</w:t>
      </w:r>
      <w:r>
        <w:rPr>
          <w:rFonts w:hint="eastAsia"/>
          <w:color w:val="000000"/>
          <w:sz w:val="24"/>
          <w:szCs w:val="20"/>
          <w:lang w:eastAsia="zh-CN"/>
        </w:rPr>
        <w:t>签字或签章</w:t>
      </w:r>
      <w:r>
        <w:rPr>
          <w:color w:val="000000"/>
          <w:sz w:val="24"/>
          <w:szCs w:val="20"/>
        </w:rPr>
        <w:t>）：______________</w:t>
      </w:r>
    </w:p>
    <w:p>
      <w:pPr>
        <w:autoSpaceDE w:val="0"/>
        <w:autoSpaceDN w:val="0"/>
        <w:adjustRightInd w:val="0"/>
        <w:snapToGrid w:val="0"/>
        <w:spacing w:line="360" w:lineRule="auto"/>
        <w:rPr>
          <w:color w:val="000000"/>
          <w:sz w:val="24"/>
          <w:lang w:val="zh-CN"/>
        </w:rPr>
      </w:pPr>
      <w:r>
        <w:rPr>
          <w:color w:val="000000"/>
          <w:sz w:val="24"/>
        </w:rPr>
        <w:t>委托代理人（</w:t>
      </w:r>
      <w:r>
        <w:rPr>
          <w:rFonts w:hint="eastAsia"/>
          <w:color w:val="000000"/>
          <w:sz w:val="24"/>
          <w:lang w:eastAsia="zh-CN"/>
        </w:rPr>
        <w:t>签字或签章</w:t>
      </w:r>
      <w:r>
        <w:rPr>
          <w:color w:val="000000"/>
          <w:sz w:val="24"/>
        </w:rPr>
        <w:t>）：</w:t>
      </w:r>
      <w:r>
        <w:rPr>
          <w:color w:val="000000"/>
          <w:sz w:val="24"/>
          <w:szCs w:val="20"/>
        </w:rPr>
        <w:t>______________</w:t>
      </w:r>
      <w:r>
        <w:rPr>
          <w:color w:val="000000"/>
          <w:sz w:val="24"/>
          <w:lang w:val="zh-CN"/>
        </w:rPr>
        <w:t xml:space="preserve">        </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w:t>
      </w:r>
      <w:r>
        <w:rPr>
          <w:color w:val="000000"/>
          <w:sz w:val="24"/>
        </w:rPr>
        <w:t>年</w:t>
      </w:r>
      <w:r>
        <w:rPr>
          <w:color w:val="000000"/>
          <w:sz w:val="24"/>
          <w:szCs w:val="20"/>
        </w:rPr>
        <w:t>____</w:t>
      </w:r>
      <w:r>
        <w:rPr>
          <w:color w:val="000000"/>
          <w:sz w:val="24"/>
        </w:rPr>
        <w:t>月</w:t>
      </w:r>
      <w:r>
        <w:rPr>
          <w:color w:val="000000"/>
          <w:sz w:val="24"/>
          <w:szCs w:val="20"/>
        </w:rPr>
        <w:t>____</w:t>
      </w:r>
      <w:r>
        <w:rPr>
          <w:color w:val="000000"/>
          <w:sz w:val="24"/>
        </w:rPr>
        <w:t>日</w:t>
      </w:r>
    </w:p>
    <w:p>
      <w:pPr>
        <w:tabs>
          <w:tab w:val="left" w:pos="5580"/>
        </w:tabs>
        <w:spacing w:line="360" w:lineRule="auto"/>
        <w:ind w:firstLine="480" w:firstLineChars="200"/>
        <w:rPr>
          <w:color w:val="000000"/>
          <w:sz w:val="24"/>
          <w:szCs w:val="20"/>
        </w:rPr>
      </w:pPr>
    </w:p>
    <w:p>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电子件：</w:t>
      </w:r>
    </w:p>
    <w:tbl>
      <w:tblPr>
        <w:tblStyle w:val="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4536"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r>
    </w:tbl>
    <w:p>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电子件：</w:t>
      </w:r>
    </w:p>
    <w:tbl>
      <w:tblPr>
        <w:tblStyle w:val="42"/>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trPr>
        <w:tc>
          <w:tcPr>
            <w:tcW w:w="4673"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4536"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r>
    </w:tbl>
    <w:p>
      <w:pPr>
        <w:tabs>
          <w:tab w:val="left" w:pos="5580"/>
        </w:tabs>
        <w:spacing w:line="360" w:lineRule="auto"/>
        <w:jc w:val="left"/>
        <w:rPr>
          <w:color w:val="000000"/>
          <w:sz w:val="24"/>
          <w:szCs w:val="20"/>
        </w:rPr>
      </w:pPr>
      <w:r>
        <w:rPr>
          <w:color w:val="000000"/>
          <w:sz w:val="24"/>
          <w:szCs w:val="20"/>
        </w:rPr>
        <w:t>说明：</w:t>
      </w:r>
    </w:p>
    <w:p>
      <w:pPr>
        <w:tabs>
          <w:tab w:val="left" w:pos="5580"/>
        </w:tabs>
        <w:spacing w:line="360" w:lineRule="auto"/>
        <w:jc w:val="left"/>
        <w:rPr>
          <w:color w:val="000000"/>
          <w:sz w:val="24"/>
          <w:szCs w:val="20"/>
        </w:rPr>
      </w:pPr>
      <w:r>
        <w:rPr>
          <w:color w:val="000000"/>
          <w:sz w:val="24"/>
          <w:szCs w:val="20"/>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color w:val="000000"/>
          <w:sz w:val="24"/>
          <w:szCs w:val="20"/>
        </w:rPr>
      </w:pPr>
      <w:r>
        <w:rPr>
          <w:color w:val="000000"/>
          <w:sz w:val="24"/>
          <w:szCs w:val="20"/>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color w:val="000000"/>
          <w:sz w:val="24"/>
          <w:szCs w:val="20"/>
        </w:rPr>
      </w:pPr>
      <w:r>
        <w:rPr>
          <w:color w:val="000000"/>
          <w:sz w:val="24"/>
          <w:szCs w:val="20"/>
        </w:rPr>
        <w:t>3.供应商为自然人的情形，可不提供本《授权委托书》。</w:t>
      </w:r>
    </w:p>
    <w:p>
      <w:pPr>
        <w:widowControl/>
        <w:jc w:val="left"/>
        <w:rPr>
          <w:color w:val="000000"/>
          <w:sz w:val="30"/>
          <w:szCs w:val="30"/>
        </w:rPr>
      </w:pPr>
      <w:r>
        <w:rPr>
          <w:color w:val="000000"/>
          <w:sz w:val="30"/>
          <w:szCs w:val="30"/>
        </w:rPr>
        <w:br w:type="page"/>
      </w:r>
    </w:p>
    <w:p>
      <w:pPr>
        <w:autoSpaceDE w:val="0"/>
        <w:autoSpaceDN w:val="0"/>
        <w:adjustRightInd w:val="0"/>
        <w:spacing w:line="360" w:lineRule="auto"/>
        <w:jc w:val="center"/>
        <w:rPr>
          <w:b/>
          <w:color w:val="000000"/>
          <w:sz w:val="36"/>
          <w:szCs w:val="36"/>
        </w:rPr>
      </w:pPr>
      <w:r>
        <w:rPr>
          <w:rFonts w:hint="eastAsia"/>
          <w:b/>
          <w:color w:val="000000"/>
          <w:sz w:val="36"/>
          <w:szCs w:val="36"/>
        </w:rPr>
        <w:t>附：法定代表人（单位负责人）身份证明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szCs w:val="20"/>
        </w:rPr>
        <w:t>____</w:t>
      </w:r>
      <w:r>
        <w:rPr>
          <w:color w:val="000000"/>
          <w:sz w:val="24"/>
        </w:rPr>
        <w:t>（采购人或采购代理机构）</w:t>
      </w:r>
    </w:p>
    <w:p>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w:t>
      </w:r>
      <w:r>
        <w:rPr>
          <w:rFonts w:ascii="Times New Roman" w:hAnsi="Times New Roman"/>
          <w:color w:val="000000"/>
          <w:szCs w:val="20"/>
        </w:rPr>
        <w:t>____</w:t>
      </w:r>
      <w:r>
        <w:rPr>
          <w:rFonts w:ascii="Times New Roman" w:hAnsi="Times New Roman"/>
        </w:rPr>
        <w:t>性别：</w:t>
      </w:r>
      <w:r>
        <w:rPr>
          <w:rFonts w:ascii="Times New Roman" w:hAnsi="Times New Roman"/>
          <w:color w:val="000000"/>
          <w:szCs w:val="20"/>
        </w:rPr>
        <w:t>____</w:t>
      </w:r>
      <w:r>
        <w:rPr>
          <w:rFonts w:ascii="Times New Roman" w:hAnsi="Times New Roman"/>
        </w:rPr>
        <w:t>年龄：</w:t>
      </w:r>
      <w:r>
        <w:rPr>
          <w:rFonts w:ascii="Times New Roman" w:hAnsi="Times New Roman"/>
          <w:color w:val="000000"/>
          <w:szCs w:val="20"/>
        </w:rPr>
        <w:t>____</w:t>
      </w:r>
      <w:r>
        <w:rPr>
          <w:rFonts w:ascii="Times New Roman" w:hAnsi="Times New Roman"/>
        </w:rPr>
        <w:t>职务：</w:t>
      </w:r>
      <w:r>
        <w:rPr>
          <w:rFonts w:ascii="Times New Roman" w:hAnsi="Times New Roman"/>
          <w:color w:val="000000"/>
          <w:szCs w:val="20"/>
        </w:rPr>
        <w:t>____</w:t>
      </w:r>
    </w:p>
    <w:p>
      <w:pPr>
        <w:pStyle w:val="17"/>
        <w:tabs>
          <w:tab w:val="left" w:pos="2412"/>
          <w:tab w:val="left" w:pos="3883"/>
          <w:tab w:val="left" w:pos="5352"/>
          <w:tab w:val="left" w:pos="6821"/>
        </w:tabs>
        <w:kinsoku w:val="0"/>
        <w:overflowPunct w:val="0"/>
        <w:spacing w:line="335" w:lineRule="exact"/>
        <w:rPr>
          <w:rFonts w:ascii="Times New Roman" w:hAnsi="Times New Roman"/>
        </w:rPr>
      </w:pPr>
    </w:p>
    <w:p>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color w:val="000000"/>
          <w:szCs w:val="20"/>
        </w:rPr>
        <w:t>__________</w:t>
      </w:r>
      <w:r>
        <w:rPr>
          <w:rFonts w:ascii="Times New Roman" w:hAnsi="Times New Roman"/>
        </w:rPr>
        <w:t>（供应商名称）的法定代表人（单位负责人）。</w:t>
      </w:r>
    </w:p>
    <w:p>
      <w:pPr>
        <w:pStyle w:val="17"/>
        <w:tabs>
          <w:tab w:val="left" w:pos="2412"/>
          <w:tab w:val="left" w:pos="3883"/>
          <w:tab w:val="left" w:pos="5352"/>
          <w:tab w:val="left" w:pos="6821"/>
        </w:tabs>
        <w:kinsoku w:val="0"/>
        <w:overflowPunct w:val="0"/>
        <w:spacing w:line="335" w:lineRule="exact"/>
        <w:rPr>
          <w:rFonts w:ascii="Times New Roman" w:hAnsi="Times New Roman"/>
        </w:rPr>
      </w:pPr>
    </w:p>
    <w:p>
      <w:pPr>
        <w:pStyle w:val="17"/>
        <w:tabs>
          <w:tab w:val="left" w:pos="2412"/>
          <w:tab w:val="left" w:pos="3883"/>
          <w:tab w:val="left" w:pos="5352"/>
          <w:tab w:val="left" w:pos="6821"/>
        </w:tabs>
        <w:kinsoku w:val="0"/>
        <w:overflowPunct w:val="0"/>
        <w:spacing w:line="335" w:lineRule="exact"/>
        <w:rPr>
          <w:rFonts w:ascii="Times New Roman" w:hAnsi="Times New Roman"/>
        </w:rPr>
      </w:pPr>
    </w:p>
    <w:p>
      <w:pPr>
        <w:pStyle w:val="17"/>
        <w:tabs>
          <w:tab w:val="left" w:pos="2412"/>
          <w:tab w:val="left" w:pos="3883"/>
          <w:tab w:val="left" w:pos="5352"/>
          <w:tab w:val="left" w:pos="6821"/>
        </w:tabs>
        <w:kinsoku w:val="0"/>
        <w:overflowPunct w:val="0"/>
        <w:spacing w:line="335" w:lineRule="exact"/>
        <w:rPr>
          <w:rFonts w:ascii="Times New Roman" w:hAnsi="Times New Roman"/>
        </w:rPr>
      </w:pPr>
    </w:p>
    <w:p>
      <w:pPr>
        <w:pStyle w:val="17"/>
        <w:kinsoku w:val="0"/>
        <w:overflowPunct w:val="0"/>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）有效期内的身份证正反面电子件。</w:t>
      </w:r>
    </w:p>
    <w:tbl>
      <w:tblPr>
        <w:tblStyle w:val="42"/>
        <w:tblW w:w="875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077"/>
        <w:gridCol w:w="467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077"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c>
          <w:tcPr>
            <w:tcW w:w="4678" w:type="dxa"/>
          </w:tcPr>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p>
            <w:pPr>
              <w:tabs>
                <w:tab w:val="left" w:pos="5580"/>
              </w:tabs>
              <w:spacing w:line="360" w:lineRule="auto"/>
              <w:jc w:val="left"/>
              <w:rPr>
                <w:color w:val="000000"/>
                <w:sz w:val="24"/>
                <w:szCs w:val="20"/>
              </w:rPr>
            </w:pPr>
          </w:p>
        </w:tc>
      </w:tr>
    </w:tbl>
    <w:p>
      <w:pPr>
        <w:pStyle w:val="17"/>
        <w:kinsoku w:val="0"/>
        <w:overflowPunct w:val="0"/>
        <w:spacing w:line="583" w:lineRule="auto"/>
        <w:ind w:right="4305"/>
        <w:rPr>
          <w:rFonts w:ascii="Times New Roman" w:hAnsi="Times New Roman"/>
          <w:spacing w:val="-3"/>
        </w:rPr>
      </w:pPr>
    </w:p>
    <w:p>
      <w:pPr>
        <w:pStyle w:val="17"/>
        <w:kinsoku w:val="0"/>
        <w:overflowPunct w:val="0"/>
        <w:spacing w:line="583" w:lineRule="auto"/>
        <w:ind w:right="4305"/>
        <w:rPr>
          <w:rFonts w:ascii="Times New Roman" w:hAnsi="Times New Roman"/>
          <w:spacing w:val="-3"/>
        </w:rPr>
      </w:pPr>
    </w:p>
    <w:p>
      <w:pPr>
        <w:pStyle w:val="17"/>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line="360" w:lineRule="auto"/>
        <w:rPr>
          <w:color w:val="000000"/>
          <w:sz w:val="24"/>
          <w:lang w:val="zh-CN"/>
        </w:rPr>
      </w:pPr>
      <w:r>
        <w:rPr>
          <w:spacing w:val="-3"/>
          <w:sz w:val="24"/>
        </w:rPr>
        <w:t>法定代表人（</w:t>
      </w:r>
      <w:r>
        <w:rPr>
          <w:sz w:val="24"/>
        </w:rPr>
        <w:t>单位负责人</w:t>
      </w:r>
      <w:r>
        <w:rPr>
          <w:spacing w:val="-3"/>
          <w:sz w:val="24"/>
        </w:rPr>
        <w:t>）（</w:t>
      </w:r>
      <w:r>
        <w:rPr>
          <w:rFonts w:hint="eastAsia"/>
          <w:spacing w:val="-3"/>
          <w:sz w:val="24"/>
          <w:lang w:eastAsia="zh-CN"/>
        </w:rPr>
        <w:t>签字或签章</w:t>
      </w:r>
      <w:r>
        <w:rPr>
          <w:spacing w:val="-3"/>
          <w:sz w:val="24"/>
        </w:rPr>
        <w:t>）：</w:t>
      </w:r>
      <w:r>
        <w:rPr>
          <w:sz w:val="24"/>
        </w:rPr>
        <w:t>______</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pPr>
        <w:widowControl/>
        <w:jc w:val="left"/>
        <w:rPr>
          <w:i/>
          <w:color w:val="000000"/>
          <w:sz w:val="24"/>
          <w:szCs w:val="20"/>
          <w:u w:val="single"/>
        </w:rPr>
      </w:pP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sz w:val="24"/>
        </w:rPr>
      </w:pPr>
      <w:r>
        <w:rPr>
          <w:sz w:val="24"/>
        </w:rPr>
        <w:t>7  报价一览表</w:t>
      </w:r>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p>
    <w:p>
      <w:pPr>
        <w:spacing w:line="360" w:lineRule="exact"/>
        <w:jc w:val="center"/>
        <w:rPr>
          <w:b/>
          <w:color w:val="000000"/>
          <w:sz w:val="36"/>
          <w:szCs w:val="36"/>
        </w:rPr>
      </w:pPr>
      <w:bookmarkStart w:id="1077" w:name="_Toc226309802"/>
      <w:bookmarkStart w:id="1078" w:name="_Toc226965831"/>
      <w:bookmarkStart w:id="1079" w:name="_Toc195842923"/>
      <w:bookmarkStart w:id="1080" w:name="_Toc226337254"/>
      <w:bookmarkStart w:id="1081" w:name="_Toc264969248"/>
      <w:bookmarkStart w:id="1082" w:name="_Toc305158900"/>
      <w:bookmarkStart w:id="1083" w:name="_Toc305158826"/>
      <w:bookmarkStart w:id="1084" w:name="_Toc265228396"/>
      <w:bookmarkStart w:id="1085" w:name="_Toc164608672"/>
      <w:bookmarkStart w:id="1086" w:name="_Toc226965748"/>
      <w:bookmarkStart w:id="1087" w:name="_Toc164608827"/>
      <w:r>
        <w:rPr>
          <w:rFonts w:hint="eastAsia"/>
          <w:b/>
          <w:color w:val="000000"/>
          <w:sz w:val="36"/>
          <w:szCs w:val="36"/>
        </w:rPr>
        <w:t>报价一览表</w:t>
      </w:r>
      <w:bookmarkEnd w:id="1077"/>
      <w:bookmarkEnd w:id="1078"/>
      <w:bookmarkEnd w:id="1079"/>
      <w:bookmarkEnd w:id="1080"/>
      <w:bookmarkEnd w:id="1081"/>
      <w:bookmarkEnd w:id="1082"/>
      <w:bookmarkEnd w:id="1083"/>
      <w:bookmarkEnd w:id="1084"/>
      <w:bookmarkEnd w:id="1085"/>
      <w:bookmarkEnd w:id="1086"/>
      <w:bookmarkEnd w:id="1087"/>
    </w:p>
    <w:p>
      <w:pPr>
        <w:tabs>
          <w:tab w:val="left" w:pos="1800"/>
          <w:tab w:val="left" w:pos="5580"/>
        </w:tabs>
        <w:spacing w:line="360" w:lineRule="auto"/>
        <w:jc w:val="left"/>
        <w:rPr>
          <w:color w:val="000000"/>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项目编号/包号：</w:t>
      </w:r>
      <w:r>
        <w:rPr>
          <w:sz w:val="24"/>
        </w:rPr>
        <w:t>___________</w:t>
      </w:r>
      <w:r>
        <w:rPr>
          <w:color w:val="000000"/>
          <w:sz w:val="24"/>
        </w:rPr>
        <w:t xml:space="preserve">     项目名称：</w:t>
      </w:r>
      <w:r>
        <w:rPr>
          <w:sz w:val="24"/>
        </w:rPr>
        <w:t>___________</w:t>
      </w:r>
    </w:p>
    <w:tbl>
      <w:tblPr>
        <w:tblStyle w:val="42"/>
        <w:tblW w:w="50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94"/>
        <w:gridCol w:w="2362"/>
        <w:gridCol w:w="1493"/>
        <w:gridCol w:w="1573"/>
        <w:gridCol w:w="3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327"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序号</w:t>
            </w:r>
          </w:p>
        </w:tc>
        <w:tc>
          <w:tcPr>
            <w:tcW w:w="1299"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供应商名称</w:t>
            </w:r>
          </w:p>
        </w:tc>
        <w:tc>
          <w:tcPr>
            <w:tcW w:w="1686"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报价</w:t>
            </w:r>
          </w:p>
        </w:tc>
        <w:tc>
          <w:tcPr>
            <w:tcW w:w="1686" w:type="pct"/>
            <w:vMerge w:val="restart"/>
            <w:tcBorders>
              <w:top w:val="single" w:color="auto" w:sz="4" w:space="0"/>
              <w:left w:val="single" w:color="auto" w:sz="4" w:space="0"/>
              <w:right w:val="single" w:color="auto" w:sz="4" w:space="0"/>
            </w:tcBorders>
            <w:vAlign w:val="center"/>
          </w:tcPr>
          <w:p>
            <w:pPr>
              <w:tabs>
                <w:tab w:val="left" w:pos="5580"/>
              </w:tabs>
              <w:jc w:val="center"/>
              <w:rPr>
                <w:rFonts w:hint="eastAsia" w:eastAsia="宋体"/>
                <w:b/>
                <w:sz w:val="24"/>
                <w:lang w:val="en-US" w:eastAsia="zh-CN"/>
              </w:rPr>
            </w:pPr>
            <w:r>
              <w:rPr>
                <w:rFonts w:hint="eastAsia"/>
                <w:b/>
                <w:sz w:val="24"/>
                <w:lang w:val="en-US" w:eastAsia="zh-CN"/>
              </w:rPr>
              <w:t>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327"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1299"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大写</w:t>
            </w:r>
          </w:p>
        </w:tc>
        <w:tc>
          <w:tcPr>
            <w:tcW w:w="86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rFonts w:hint="eastAsia"/>
                <w:b/>
                <w:sz w:val="24"/>
              </w:rPr>
              <w:t>小写</w:t>
            </w:r>
          </w:p>
        </w:tc>
        <w:tc>
          <w:tcPr>
            <w:tcW w:w="1686" w:type="pct"/>
            <w:vMerge w:val="continue"/>
            <w:tcBorders>
              <w:left w:val="single" w:color="auto" w:sz="4" w:space="0"/>
              <w:bottom w:val="single" w:color="auto" w:sz="4" w:space="0"/>
              <w:right w:val="single" w:color="auto" w:sz="4" w:space="0"/>
            </w:tcBorders>
            <w:vAlign w:val="center"/>
          </w:tcPr>
          <w:p>
            <w:pPr>
              <w:tabs>
                <w:tab w:val="left" w:pos="5580"/>
              </w:tabs>
              <w:jc w:val="center"/>
              <w:rPr>
                <w:rFonts w:hint="eastAsia"/>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327"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29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821"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86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686"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w:t>
      </w:r>
      <w:r>
        <w:rPr>
          <w:rFonts w:hint="eastAsia"/>
          <w:color w:val="000000"/>
          <w:sz w:val="24"/>
          <w:szCs w:val="20"/>
        </w:rPr>
        <w:t>已标价工程量清单</w:t>
      </w:r>
      <w:r>
        <w:rPr>
          <w:color w:val="000000"/>
          <w:sz w:val="24"/>
          <w:szCs w:val="20"/>
        </w:rPr>
        <w:t>》中的总价相一致。</w:t>
      </w:r>
    </w:p>
    <w:p>
      <w:pPr>
        <w:tabs>
          <w:tab w:val="left" w:pos="5580"/>
        </w:tabs>
        <w:ind w:firstLine="480" w:firstLineChars="200"/>
        <w:rPr>
          <w:color w:val="000000"/>
          <w:sz w:val="24"/>
          <w:szCs w:val="20"/>
        </w:rPr>
      </w:pPr>
      <w:r>
        <w:rPr>
          <w:color w:val="000000"/>
          <w:sz w:val="24"/>
          <w:szCs w:val="20"/>
        </w:rPr>
        <w:t>2.本表必须按包分别填写。</w:t>
      </w:r>
    </w:p>
    <w:p>
      <w:pPr>
        <w:tabs>
          <w:tab w:val="left" w:pos="5580"/>
        </w:tabs>
        <w:ind w:firstLine="480" w:firstLineChars="200"/>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sz w:val="24"/>
        </w:rPr>
        <w:t>___________</w:t>
      </w:r>
    </w:p>
    <w:p>
      <w:pPr>
        <w:autoSpaceDE w:val="0"/>
        <w:autoSpaceDN w:val="0"/>
        <w:adjustRightInd w:val="0"/>
        <w:snapToGrid w:val="0"/>
        <w:spacing w:line="360" w:lineRule="auto"/>
        <w:rPr>
          <w:color w:val="000000"/>
          <w:sz w:val="24"/>
          <w:lang w:val="zh-CN"/>
        </w:rPr>
      </w:pPr>
      <w:r>
        <w:rPr>
          <w:color w:val="000000"/>
          <w:sz w:val="24"/>
        </w:rPr>
        <w:t>日期：</w:t>
      </w:r>
      <w:r>
        <w:rPr>
          <w:color w:val="000000"/>
          <w:sz w:val="24"/>
          <w:szCs w:val="20"/>
        </w:rPr>
        <w:t>____年____月____日</w:t>
      </w:r>
    </w:p>
    <w:p>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pPr>
        <w:widowControl/>
        <w:jc w:val="left"/>
        <w:rPr>
          <w:color w:val="000000"/>
          <w:sz w:val="24"/>
          <w:szCs w:val="20"/>
        </w:rPr>
      </w:pPr>
      <w:bookmarkStart w:id="1088" w:name="_Toc150480796"/>
      <w:bookmarkStart w:id="1089" w:name="_Toc226337255"/>
      <w:bookmarkStart w:id="1090" w:name="_Toc265228397"/>
      <w:bookmarkStart w:id="1091" w:name="_Toc150774763"/>
      <w:bookmarkStart w:id="1092" w:name="_Toc264969249"/>
      <w:bookmarkStart w:id="1093" w:name="_Toc195842924"/>
      <w:bookmarkStart w:id="1094" w:name="_Toc226309803"/>
      <w:bookmarkStart w:id="1095" w:name="_Toc127151558"/>
      <w:bookmarkStart w:id="1096" w:name="_Toc226965749"/>
      <w:bookmarkStart w:id="1097" w:name="_Toc142311060"/>
      <w:bookmarkStart w:id="1098" w:name="_Toc226965832"/>
      <w:bookmarkStart w:id="1099" w:name="_Toc305158901"/>
      <w:bookmarkStart w:id="1100" w:name="_Toc305158827"/>
      <w:r>
        <w:rPr>
          <w:color w:val="000000"/>
          <w:sz w:val="24"/>
          <w:szCs w:val="20"/>
        </w:rPr>
        <w:br w:type="page"/>
      </w:r>
      <w:bookmarkEnd w:id="1088"/>
      <w:bookmarkEnd w:id="1089"/>
      <w:bookmarkEnd w:id="1090"/>
      <w:bookmarkEnd w:id="1091"/>
      <w:bookmarkEnd w:id="1092"/>
      <w:bookmarkEnd w:id="1093"/>
      <w:bookmarkEnd w:id="1094"/>
      <w:bookmarkEnd w:id="1095"/>
      <w:bookmarkEnd w:id="1096"/>
      <w:bookmarkEnd w:id="1097"/>
      <w:bookmarkEnd w:id="1098"/>
      <w:bookmarkEnd w:id="1099"/>
      <w:bookmarkEnd w:id="1100"/>
      <w:bookmarkStart w:id="1101" w:name="_Toc265228400"/>
      <w:bookmarkStart w:id="1102" w:name="_Toc150774765"/>
      <w:bookmarkStart w:id="1103" w:name="_Toc264969252"/>
      <w:bookmarkStart w:id="1104" w:name="_Toc142311062"/>
      <w:bookmarkStart w:id="1105" w:name="_Toc226337258"/>
      <w:bookmarkStart w:id="1106" w:name="_Toc195842927"/>
      <w:bookmarkStart w:id="1107" w:name="_Toc226309806"/>
      <w:bookmarkStart w:id="1108" w:name="_Toc305158904"/>
      <w:bookmarkStart w:id="1109" w:name="_Toc127151562"/>
      <w:bookmarkStart w:id="1110" w:name="_Toc150480798"/>
      <w:bookmarkStart w:id="1111" w:name="_Toc305158830"/>
      <w:bookmarkStart w:id="1112" w:name="_Toc226965752"/>
      <w:bookmarkStart w:id="1113" w:name="_Toc226965835"/>
      <w:bookmarkStart w:id="1114" w:name="_Toc226965834"/>
      <w:bookmarkStart w:id="1115" w:name="_Toc305158903"/>
      <w:bookmarkStart w:id="1116" w:name="_Toc264969251"/>
      <w:bookmarkStart w:id="1117" w:name="_Toc226309805"/>
      <w:bookmarkStart w:id="1118" w:name="_Toc226337257"/>
      <w:bookmarkStart w:id="1119" w:name="_Toc226965751"/>
      <w:bookmarkStart w:id="1120" w:name="_Toc127151561"/>
      <w:bookmarkStart w:id="1121" w:name="_Toc142311061"/>
      <w:bookmarkStart w:id="1122" w:name="_Toc195842926"/>
      <w:bookmarkStart w:id="1123" w:name="_Toc150774764"/>
      <w:bookmarkStart w:id="1124" w:name="_Toc305158829"/>
      <w:bookmarkStart w:id="1125" w:name="_Toc265228399"/>
      <w:bookmarkStart w:id="1126" w:name="_Toc150480797"/>
      <w:r>
        <w:rPr>
          <w:rFonts w:hint="eastAsia"/>
          <w:sz w:val="24"/>
        </w:rPr>
        <w:t>8</w:t>
      </w:r>
      <w:r>
        <w:rPr>
          <w:sz w:val="24"/>
        </w:rPr>
        <w:t xml:space="preserve">  合同条款偏离表</w:t>
      </w:r>
      <w:bookmarkEnd w:id="1101"/>
      <w:bookmarkEnd w:id="1102"/>
      <w:bookmarkEnd w:id="1103"/>
      <w:bookmarkEnd w:id="1104"/>
      <w:bookmarkEnd w:id="1105"/>
      <w:bookmarkEnd w:id="1106"/>
      <w:bookmarkEnd w:id="1107"/>
      <w:bookmarkEnd w:id="1108"/>
      <w:bookmarkEnd w:id="1109"/>
      <w:bookmarkEnd w:id="1110"/>
      <w:bookmarkEnd w:id="1111"/>
      <w:bookmarkEnd w:id="1112"/>
      <w:bookmarkEnd w:id="1113"/>
    </w:p>
    <w:p>
      <w:pPr>
        <w:spacing w:line="360" w:lineRule="auto"/>
        <w:rPr>
          <w:color w:val="000000"/>
          <w:sz w:val="24"/>
          <w:szCs w:val="20"/>
        </w:rPr>
      </w:pPr>
    </w:p>
    <w:p>
      <w:pPr>
        <w:tabs>
          <w:tab w:val="left" w:pos="2775"/>
          <w:tab w:val="center" w:pos="4153"/>
        </w:tabs>
        <w:autoSpaceDE w:val="0"/>
        <w:autoSpaceDN w:val="0"/>
        <w:adjustRightInd w:val="0"/>
        <w:spacing w:line="360" w:lineRule="auto"/>
        <w:jc w:val="left"/>
        <w:rPr>
          <w:b/>
          <w:color w:val="000000"/>
          <w:sz w:val="36"/>
          <w:szCs w:val="36"/>
        </w:rPr>
      </w:pPr>
      <w:r>
        <w:rPr>
          <w:color w:val="000000"/>
          <w:sz w:val="36"/>
          <w:szCs w:val="36"/>
        </w:rPr>
        <w:tab/>
      </w:r>
      <w:r>
        <w:rPr>
          <w:b/>
          <w:color w:val="000000"/>
          <w:sz w:val="36"/>
          <w:szCs w:val="36"/>
        </w:rPr>
        <w:tab/>
      </w: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
                <w:color w:val="000000"/>
                <w:sz w:val="24"/>
              </w:rPr>
            </w:pPr>
            <w:r>
              <w:rPr>
                <w:rFonts w:hint="eastAsia"/>
                <w:b/>
                <w:color w:val="000000"/>
                <w:sz w:val="24"/>
              </w:rPr>
              <w:t>对本项目合同条款的偏离情况（请进行勾选）：</w:t>
            </w:r>
          </w:p>
          <w:p>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r>
              <w:rPr>
                <w:color w:val="000000"/>
                <w:sz w:val="24"/>
              </w:rPr>
              <w:t>序号</w:t>
            </w:r>
          </w:p>
        </w:tc>
        <w:tc>
          <w:tcPr>
            <w:tcW w:w="1301" w:type="dxa"/>
            <w:vAlign w:val="center"/>
          </w:tcPr>
          <w:p>
            <w:pPr>
              <w:adjustRightInd w:val="0"/>
              <w:snapToGrid w:val="0"/>
              <w:jc w:val="center"/>
              <w:rPr>
                <w:color w:val="000000"/>
                <w:sz w:val="24"/>
              </w:rPr>
            </w:pPr>
            <w:r>
              <w:rPr>
                <w:color w:val="000000"/>
                <w:sz w:val="24"/>
                <w:szCs w:val="21"/>
              </w:rPr>
              <w:t>竞争性磋商文件</w:t>
            </w:r>
            <w:r>
              <w:rPr>
                <w:color w:val="000000"/>
                <w:sz w:val="24"/>
              </w:rPr>
              <w:t>条目号（页码）</w:t>
            </w:r>
          </w:p>
        </w:tc>
        <w:tc>
          <w:tcPr>
            <w:tcW w:w="2007" w:type="dxa"/>
            <w:vAlign w:val="center"/>
          </w:tcPr>
          <w:p>
            <w:pPr>
              <w:adjustRightInd w:val="0"/>
              <w:snapToGrid w:val="0"/>
              <w:jc w:val="center"/>
              <w:rPr>
                <w:color w:val="000000"/>
                <w:sz w:val="24"/>
              </w:rPr>
            </w:pPr>
            <w:r>
              <w:rPr>
                <w:color w:val="000000"/>
                <w:sz w:val="24"/>
                <w:szCs w:val="21"/>
              </w:rPr>
              <w:t>竞争性磋商文件</w:t>
            </w:r>
            <w:r>
              <w:rPr>
                <w:color w:val="000000"/>
                <w:sz w:val="24"/>
              </w:rPr>
              <w:t>要求</w:t>
            </w:r>
          </w:p>
        </w:tc>
        <w:tc>
          <w:tcPr>
            <w:tcW w:w="2008" w:type="dxa"/>
            <w:vAlign w:val="center"/>
          </w:tcPr>
          <w:p>
            <w:pPr>
              <w:adjustRightInd w:val="0"/>
              <w:snapToGrid w:val="0"/>
              <w:jc w:val="center"/>
              <w:rPr>
                <w:color w:val="000000"/>
                <w:sz w:val="24"/>
              </w:rPr>
            </w:pPr>
            <w:r>
              <w:rPr>
                <w:color w:val="000000"/>
                <w:sz w:val="24"/>
              </w:rPr>
              <w:t>响应文件内容</w:t>
            </w:r>
          </w:p>
        </w:tc>
        <w:tc>
          <w:tcPr>
            <w:tcW w:w="2458" w:type="dxa"/>
            <w:vAlign w:val="center"/>
          </w:tcPr>
          <w:p>
            <w:pPr>
              <w:adjustRightInd w:val="0"/>
              <w:snapToGrid w:val="0"/>
              <w:jc w:val="center"/>
              <w:rPr>
                <w:color w:val="000000"/>
                <w:sz w:val="24"/>
              </w:rPr>
            </w:pPr>
            <w:r>
              <w:rPr>
                <w:color w:val="000000"/>
                <w:sz w:val="24"/>
              </w:rPr>
              <w:t>偏离情况</w:t>
            </w:r>
          </w:p>
          <w:p>
            <w:pPr>
              <w:adjustRightInd w:val="0"/>
              <w:snapToGrid w:val="0"/>
              <w:jc w:val="center"/>
              <w:rPr>
                <w:color w:val="000000"/>
                <w:sz w:val="24"/>
              </w:rPr>
            </w:pPr>
            <w:r>
              <w:rPr>
                <w:color w:val="000000"/>
                <w:sz w:val="24"/>
              </w:rPr>
              <w:t>（据实填写）</w:t>
            </w:r>
          </w:p>
        </w:tc>
        <w:tc>
          <w:tcPr>
            <w:tcW w:w="788"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rFonts w:hint="eastAsia"/>
          <w:color w:val="000000"/>
          <w:sz w:val="24"/>
        </w:rPr>
        <w:t>注：</w:t>
      </w:r>
    </w:p>
    <w:p>
      <w:pPr>
        <w:tabs>
          <w:tab w:val="left" w:pos="1800"/>
          <w:tab w:val="left" w:pos="5580"/>
        </w:tabs>
        <w:jc w:val="left"/>
        <w:rPr>
          <w:sz w:val="24"/>
        </w:rPr>
      </w:pPr>
      <w:r>
        <w:rPr>
          <w:color w:val="000000"/>
          <w:sz w:val="24"/>
        </w:rPr>
        <w:t xml:space="preserve">1. </w:t>
      </w:r>
      <w:r>
        <w:rPr>
          <w:rFonts w:hint="eastAsia"/>
          <w:sz w:val="24"/>
        </w:rPr>
        <w:t>对合同条款中的所有要求，除本表所列明的所有偏离外，均视作供应商已对之理解和响应。</w:t>
      </w:r>
    </w:p>
    <w:p>
      <w:pPr>
        <w:tabs>
          <w:tab w:val="left" w:pos="1800"/>
          <w:tab w:val="left" w:pos="5580"/>
        </w:tabs>
        <w:jc w:val="left"/>
        <w:rPr>
          <w:color w:val="000000"/>
          <w:sz w:val="24"/>
        </w:rPr>
      </w:pPr>
      <w:r>
        <w:rPr>
          <w:sz w:val="24"/>
        </w:rPr>
        <w:t xml:space="preserve">2. </w:t>
      </w:r>
      <w:r>
        <w:rPr>
          <w:rFonts w:hint="eastAsia"/>
          <w:sz w:val="24"/>
        </w:rPr>
        <w:t>“偏离情况”列应</w:t>
      </w:r>
      <w:r>
        <w:rPr>
          <w:rFonts w:hint="eastAsia"/>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rPr>
        <w:t>供应商名称（加盖公章）</w:t>
      </w:r>
      <w:r>
        <w:rPr>
          <w:color w:val="000000"/>
          <w:sz w:val="24"/>
          <w:lang w:val="zh-CN"/>
        </w:rPr>
        <w:t>：</w:t>
      </w:r>
      <w:r>
        <w:rPr>
          <w:color w:val="000000"/>
          <w:sz w:val="24"/>
        </w:rPr>
        <w:t>_______________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日期：____年____月____日    </w:t>
      </w:r>
    </w:p>
    <w:p>
      <w:pPr>
        <w:tabs>
          <w:tab w:val="left" w:pos="360"/>
        </w:tabs>
        <w:snapToGrid w:val="0"/>
        <w:spacing w:line="360" w:lineRule="auto"/>
        <w:outlineLvl w:val="1"/>
        <w:rPr>
          <w:color w:val="000000"/>
          <w:sz w:val="24"/>
          <w:szCs w:val="20"/>
        </w:rPr>
      </w:pPr>
      <w:r>
        <w:rPr>
          <w:color w:val="000000"/>
          <w:sz w:val="24"/>
          <w:szCs w:val="20"/>
        </w:rPr>
        <w:br w:type="page"/>
      </w:r>
      <w:r>
        <w:rPr>
          <w:rFonts w:hint="eastAsia"/>
          <w:sz w:val="24"/>
        </w:rPr>
        <w:t>9</w:t>
      </w:r>
      <w:r>
        <w:rPr>
          <w:sz w:val="24"/>
        </w:rPr>
        <w:t xml:space="preserve">  </w:t>
      </w:r>
      <w:bookmarkEnd w:id="1114"/>
      <w:bookmarkEnd w:id="1115"/>
      <w:bookmarkEnd w:id="1116"/>
      <w:bookmarkEnd w:id="1117"/>
      <w:bookmarkEnd w:id="1118"/>
      <w:bookmarkEnd w:id="1119"/>
      <w:bookmarkEnd w:id="1120"/>
      <w:bookmarkEnd w:id="1121"/>
      <w:bookmarkEnd w:id="1122"/>
      <w:bookmarkEnd w:id="1123"/>
      <w:bookmarkEnd w:id="1124"/>
      <w:bookmarkEnd w:id="1125"/>
      <w:bookmarkEnd w:id="1126"/>
      <w:r>
        <w:rPr>
          <w:sz w:val="24"/>
        </w:rPr>
        <w:t>采购需求偏离表</w:t>
      </w:r>
    </w:p>
    <w:p>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42"/>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color w:val="000000"/>
                <w:sz w:val="24"/>
              </w:rPr>
            </w:pPr>
            <w:r>
              <w:rPr>
                <w:color w:val="000000"/>
                <w:sz w:val="24"/>
              </w:rPr>
              <w:t>序号</w:t>
            </w:r>
          </w:p>
        </w:tc>
        <w:tc>
          <w:tcPr>
            <w:tcW w:w="1482" w:type="dxa"/>
            <w:vAlign w:val="center"/>
          </w:tcPr>
          <w:p>
            <w:pPr>
              <w:adjustRightInd w:val="0"/>
              <w:snapToGrid w:val="0"/>
              <w:jc w:val="center"/>
              <w:rPr>
                <w:color w:val="000000"/>
                <w:sz w:val="24"/>
              </w:rPr>
            </w:pPr>
            <w:r>
              <w:rPr>
                <w:color w:val="000000"/>
                <w:sz w:val="24"/>
              </w:rPr>
              <w:t>竞争性磋商文件条目号(页码)</w:t>
            </w:r>
          </w:p>
        </w:tc>
        <w:tc>
          <w:tcPr>
            <w:tcW w:w="2384" w:type="dxa"/>
            <w:vAlign w:val="center"/>
          </w:tcPr>
          <w:p>
            <w:pPr>
              <w:adjustRightInd w:val="0"/>
              <w:snapToGrid w:val="0"/>
              <w:jc w:val="center"/>
              <w:rPr>
                <w:color w:val="000000"/>
                <w:sz w:val="24"/>
              </w:rPr>
            </w:pPr>
            <w:r>
              <w:rPr>
                <w:color w:val="000000"/>
                <w:sz w:val="24"/>
              </w:rPr>
              <w:t>竞争性磋商文件要求</w:t>
            </w:r>
          </w:p>
        </w:tc>
        <w:tc>
          <w:tcPr>
            <w:tcW w:w="2126" w:type="dxa"/>
            <w:vAlign w:val="center"/>
          </w:tcPr>
          <w:p>
            <w:pPr>
              <w:adjustRightInd w:val="0"/>
              <w:snapToGrid w:val="0"/>
              <w:jc w:val="center"/>
              <w:rPr>
                <w:color w:val="000000"/>
                <w:sz w:val="24"/>
              </w:rPr>
            </w:pPr>
            <w:r>
              <w:rPr>
                <w:color w:val="000000"/>
                <w:sz w:val="24"/>
              </w:rPr>
              <w:t>响应内容</w:t>
            </w:r>
          </w:p>
        </w:tc>
        <w:tc>
          <w:tcPr>
            <w:tcW w:w="1875" w:type="dxa"/>
            <w:vAlign w:val="center"/>
          </w:tcPr>
          <w:p>
            <w:pPr>
              <w:adjustRightInd w:val="0"/>
              <w:snapToGrid w:val="0"/>
              <w:jc w:val="center"/>
              <w:rPr>
                <w:color w:val="000000"/>
                <w:sz w:val="24"/>
              </w:rPr>
            </w:pPr>
            <w:r>
              <w:rPr>
                <w:color w:val="000000"/>
                <w:sz w:val="24"/>
              </w:rPr>
              <w:t>偏离情况</w:t>
            </w:r>
          </w:p>
          <w:p>
            <w:pPr>
              <w:adjustRightInd w:val="0"/>
              <w:snapToGrid w:val="0"/>
              <w:jc w:val="center"/>
              <w:rPr>
                <w:color w:val="000000"/>
                <w:sz w:val="24"/>
              </w:rPr>
            </w:pPr>
            <w:r>
              <w:rPr>
                <w:color w:val="000000"/>
                <w:sz w:val="24"/>
                <w:szCs w:val="21"/>
              </w:rPr>
              <w:t>（据实填写）</w:t>
            </w:r>
          </w:p>
        </w:tc>
        <w:tc>
          <w:tcPr>
            <w:tcW w:w="1009"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color w:val="000000"/>
                <w:sz w:val="24"/>
              </w:rPr>
            </w:pPr>
          </w:p>
        </w:tc>
        <w:tc>
          <w:tcPr>
            <w:tcW w:w="1482" w:type="dxa"/>
            <w:vAlign w:val="center"/>
          </w:tcPr>
          <w:p>
            <w:pPr>
              <w:adjustRightInd w:val="0"/>
              <w:snapToGrid w:val="0"/>
              <w:jc w:val="center"/>
              <w:rPr>
                <w:color w:val="000000"/>
                <w:sz w:val="24"/>
              </w:rPr>
            </w:pPr>
          </w:p>
        </w:tc>
        <w:tc>
          <w:tcPr>
            <w:tcW w:w="2384" w:type="dxa"/>
            <w:vAlign w:val="center"/>
          </w:tcPr>
          <w:p>
            <w:pPr>
              <w:adjustRightInd w:val="0"/>
              <w:snapToGrid w:val="0"/>
              <w:jc w:val="center"/>
              <w:rPr>
                <w:color w:val="000000"/>
                <w:sz w:val="24"/>
              </w:rPr>
            </w:pPr>
          </w:p>
        </w:tc>
        <w:tc>
          <w:tcPr>
            <w:tcW w:w="2126" w:type="dxa"/>
            <w:vAlign w:val="center"/>
          </w:tcPr>
          <w:p>
            <w:pPr>
              <w:adjustRightInd w:val="0"/>
              <w:snapToGrid w:val="0"/>
              <w:jc w:val="center"/>
              <w:rPr>
                <w:color w:val="000000"/>
                <w:sz w:val="24"/>
              </w:rPr>
            </w:pPr>
          </w:p>
        </w:tc>
        <w:tc>
          <w:tcPr>
            <w:tcW w:w="1875" w:type="dxa"/>
            <w:vAlign w:val="center"/>
          </w:tcPr>
          <w:p>
            <w:pPr>
              <w:adjustRightInd w:val="0"/>
              <w:snapToGrid w:val="0"/>
              <w:jc w:val="center"/>
              <w:rPr>
                <w:color w:val="000000"/>
                <w:sz w:val="24"/>
              </w:rPr>
            </w:pPr>
          </w:p>
        </w:tc>
        <w:tc>
          <w:tcPr>
            <w:tcW w:w="1009" w:type="dxa"/>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对竞争性磋商文件中的所有商务、技术要求，除本表所列明的所有偏离外，均视作供应商已对之理解和响应。此表中若无任何文字说明，内容为空白的</w:t>
      </w:r>
      <w:r>
        <w:rPr>
          <w:b/>
          <w:sz w:val="24"/>
        </w:rPr>
        <w:t>响应无效</w:t>
      </w:r>
      <w:r>
        <w:rPr>
          <w:sz w:val="24"/>
        </w:rPr>
        <w:t>。</w:t>
      </w:r>
    </w:p>
    <w:p>
      <w:pPr>
        <w:tabs>
          <w:tab w:val="left" w:pos="1800"/>
          <w:tab w:val="left" w:pos="5580"/>
        </w:tabs>
        <w:jc w:val="left"/>
        <w:rPr>
          <w:color w:val="000000"/>
          <w:sz w:val="24"/>
        </w:rPr>
      </w:pPr>
      <w:r>
        <w:rPr>
          <w:sz w:val="24"/>
        </w:rPr>
        <w:t>2.</w:t>
      </w:r>
      <w:r>
        <w:rPr>
          <w:rFonts w:hint="eastAsia"/>
          <w:sz w:val="24"/>
        </w:rPr>
        <w:t>“偏离情况”列应</w:t>
      </w:r>
      <w:r>
        <w:rPr>
          <w:rFonts w:hint="eastAsia"/>
          <w:color w:val="000000"/>
          <w:sz w:val="24"/>
        </w:rPr>
        <w:t>据实</w:t>
      </w:r>
      <w:r>
        <w:rPr>
          <w:rFonts w:hint="eastAsia"/>
          <w:sz w:val="24"/>
        </w:rPr>
        <w:t>填写“正偏离”或“负偏离”。</w:t>
      </w: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ind w:right="360"/>
        <w:jc w:val="left"/>
        <w:rPr>
          <w:color w:val="000000"/>
          <w:sz w:val="24"/>
          <w:lang w:val="zh-CN"/>
        </w:rPr>
      </w:pPr>
      <w:r>
        <w:rPr>
          <w:color w:val="000000"/>
          <w:sz w:val="24"/>
        </w:rPr>
        <w:t>供应商名称（加盖公章）</w:t>
      </w:r>
      <w:r>
        <w:rPr>
          <w:color w:val="000000"/>
          <w:sz w:val="24"/>
          <w:lang w:val="zh-CN"/>
        </w:rPr>
        <w:t>：</w:t>
      </w:r>
      <w:r>
        <w:rPr>
          <w:sz w:val="24"/>
        </w:rPr>
        <w:t>______</w:t>
      </w:r>
    </w:p>
    <w:p>
      <w:pPr>
        <w:autoSpaceDE w:val="0"/>
        <w:autoSpaceDN w:val="0"/>
        <w:adjustRightInd w:val="0"/>
        <w:snapToGrid w:val="0"/>
        <w:spacing w:before="25" w:after="25" w:line="360" w:lineRule="auto"/>
        <w:ind w:right="360"/>
        <w:jc w:val="left"/>
        <w:rPr>
          <w:color w:val="000000"/>
          <w:sz w:val="24"/>
          <w:szCs w:val="20"/>
        </w:rPr>
      </w:pPr>
      <w:r>
        <w:rPr>
          <w:color w:val="000000"/>
          <w:sz w:val="24"/>
          <w:szCs w:val="20"/>
        </w:rPr>
        <w:t xml:space="preserve">日期：____年____月____日 </w:t>
      </w:r>
    </w:p>
    <w:p>
      <w:pPr>
        <w:tabs>
          <w:tab w:val="left" w:pos="360"/>
        </w:tabs>
        <w:snapToGrid w:val="0"/>
        <w:spacing w:line="360" w:lineRule="auto"/>
        <w:outlineLvl w:val="1"/>
        <w:rPr>
          <w:sz w:val="24"/>
        </w:rPr>
      </w:pPr>
      <w:r>
        <w:rPr>
          <w:color w:val="000000"/>
          <w:sz w:val="24"/>
          <w:szCs w:val="20"/>
        </w:rPr>
        <w:br w:type="page"/>
      </w:r>
    </w:p>
    <w:p>
      <w:pPr>
        <w:tabs>
          <w:tab w:val="left" w:pos="360"/>
        </w:tabs>
        <w:snapToGrid w:val="0"/>
        <w:spacing w:line="360" w:lineRule="auto"/>
        <w:outlineLvl w:val="1"/>
        <w:rPr>
          <w:color w:val="000000"/>
          <w:sz w:val="24"/>
          <w:szCs w:val="20"/>
        </w:rPr>
      </w:pPr>
      <w:r>
        <w:rPr>
          <w:sz w:val="24"/>
        </w:rPr>
        <w:t>1</w:t>
      </w:r>
      <w:r>
        <w:rPr>
          <w:rFonts w:hint="eastAsia"/>
          <w:sz w:val="24"/>
        </w:rPr>
        <w:t>0</w:t>
      </w:r>
      <w:r>
        <w:rPr>
          <w:sz w:val="24"/>
        </w:rPr>
        <w:t xml:space="preserve">  拟分包情况说明（类型二）</w:t>
      </w:r>
      <w:r>
        <w:rPr>
          <w:rFonts w:hint="eastAsia"/>
          <w:b/>
          <w:color w:val="000000"/>
          <w:sz w:val="24"/>
          <w:szCs w:val="20"/>
        </w:rPr>
        <w:t>（本项目不适用）</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Style w:val="247"/>
        <w:tblW w:w="90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7"/>
        <w:gridCol w:w="1286"/>
        <w:gridCol w:w="1512"/>
        <w:gridCol w:w="1125"/>
        <w:gridCol w:w="1560"/>
        <w:gridCol w:w="1497"/>
        <w:gridCol w:w="15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sz w:val="24"/>
              </w:rPr>
            </w:pPr>
            <w:r>
              <w:rPr>
                <w:rFonts w:hint="eastAsia"/>
                <w:sz w:val="24"/>
              </w:rPr>
              <w:t>序号</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sz w:val="24"/>
              </w:rPr>
            </w:pPr>
            <w:r>
              <w:rPr>
                <w:rFonts w:hint="eastAsia"/>
                <w:sz w:val="24"/>
              </w:rPr>
              <w:t>分包承担</w:t>
            </w:r>
          </w:p>
          <w:p>
            <w:pPr>
              <w:pStyle w:val="246"/>
              <w:jc w:val="center"/>
              <w:rPr>
                <w:sz w:val="24"/>
              </w:rPr>
            </w:pPr>
            <w:r>
              <w:rPr>
                <w:rFonts w:hint="eastAsia"/>
                <w:sz w:val="24"/>
              </w:rPr>
              <w:t>主体名称</w:t>
            </w: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jc w:val="center"/>
              <w:rPr>
                <w:sz w:val="24"/>
                <w:lang w:eastAsia="zh-CN"/>
              </w:rPr>
            </w:pPr>
            <w:r>
              <w:rPr>
                <w:rFonts w:hint="eastAsia"/>
                <w:sz w:val="24"/>
                <w:lang w:eastAsia="zh-CN"/>
              </w:rPr>
              <w:t>分包承担</w:t>
            </w:r>
          </w:p>
          <w:p>
            <w:pPr>
              <w:pStyle w:val="246"/>
              <w:jc w:val="center"/>
              <w:rPr>
                <w:sz w:val="24"/>
                <w:lang w:eastAsia="zh-CN"/>
              </w:rPr>
            </w:pPr>
            <w:r>
              <w:rPr>
                <w:rFonts w:hint="eastAsia"/>
                <w:sz w:val="24"/>
                <w:lang w:eastAsia="zh-CN"/>
              </w:rPr>
              <w:t>主体类型</w:t>
            </w:r>
          </w:p>
          <w:p>
            <w:pPr>
              <w:pStyle w:val="246"/>
              <w:jc w:val="center"/>
              <w:rPr>
                <w:sz w:val="24"/>
                <w:lang w:eastAsia="zh-CN"/>
              </w:rPr>
            </w:pPr>
            <w:r>
              <w:rPr>
                <w:rFonts w:hint="eastAsia"/>
                <w:sz w:val="24"/>
                <w:lang w:eastAsia="zh-CN"/>
              </w:rPr>
              <w:t>（勾选）</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sz w:val="24"/>
              </w:rPr>
            </w:pPr>
            <w:r>
              <w:rPr>
                <w:rFonts w:hint="eastAsia"/>
                <w:sz w:val="24"/>
              </w:rPr>
              <w:t>资质等级</w:t>
            </w: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sz w:val="24"/>
              </w:rPr>
            </w:pPr>
            <w:r>
              <w:rPr>
                <w:rFonts w:hint="eastAsia"/>
                <w:sz w:val="24"/>
              </w:rPr>
              <w:t>拟分包</w:t>
            </w:r>
          </w:p>
          <w:p>
            <w:pPr>
              <w:pStyle w:val="246"/>
              <w:jc w:val="center"/>
              <w:rPr>
                <w:sz w:val="24"/>
              </w:rPr>
            </w:pPr>
            <w:r>
              <w:rPr>
                <w:rFonts w:hint="eastAsia"/>
                <w:sz w:val="24"/>
              </w:rPr>
              <w:t>合同内容</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sz w:val="24"/>
                <w:lang w:eastAsia="zh-CN"/>
              </w:rPr>
            </w:pPr>
            <w:r>
              <w:rPr>
                <w:rFonts w:hint="eastAsia"/>
                <w:sz w:val="24"/>
                <w:lang w:eastAsia="zh-CN"/>
              </w:rPr>
              <w:t>拟分包</w:t>
            </w:r>
          </w:p>
          <w:p>
            <w:pPr>
              <w:pStyle w:val="246"/>
              <w:jc w:val="center"/>
              <w:rPr>
                <w:sz w:val="24"/>
                <w:lang w:eastAsia="zh-CN"/>
              </w:rPr>
            </w:pPr>
            <w:r>
              <w:rPr>
                <w:rFonts w:hint="eastAsia"/>
                <w:sz w:val="24"/>
                <w:lang w:eastAsia="zh-CN"/>
              </w:rPr>
              <w:t>合同金额</w:t>
            </w:r>
          </w:p>
          <w:p>
            <w:pPr>
              <w:pStyle w:val="246"/>
              <w:jc w:val="center"/>
              <w:rPr>
                <w:sz w:val="24"/>
                <w:lang w:eastAsia="zh-CN"/>
              </w:rPr>
            </w:pPr>
            <w:r>
              <w:rPr>
                <w:rFonts w:hint="eastAsia"/>
                <w:sz w:val="24"/>
                <w:lang w:eastAsia="zh-CN"/>
              </w:rPr>
              <w:t>（人民币元）</w:t>
            </w: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b/>
                <w:sz w:val="24"/>
                <w:lang w:eastAsia="zh-CN"/>
              </w:rPr>
            </w:pPr>
            <w:r>
              <w:rPr>
                <w:rFonts w:hint="eastAsia"/>
                <w:b/>
                <w:sz w:val="24"/>
                <w:lang w:eastAsia="zh-CN"/>
              </w:rPr>
              <w:t>占响应报价</w:t>
            </w:r>
          </w:p>
          <w:p>
            <w:pPr>
              <w:pStyle w:val="246"/>
              <w:jc w:val="center"/>
              <w:rPr>
                <w:sz w:val="24"/>
                <w:lang w:eastAsia="zh-CN"/>
              </w:rPr>
            </w:pPr>
            <w:r>
              <w:rPr>
                <w:rFonts w:hint="eastAsia"/>
                <w:b/>
                <w:sz w:val="24"/>
                <w:lang w:eastAsia="zh-CN"/>
              </w:rPr>
              <w:t>的比例（</w:t>
            </w:r>
            <w:r>
              <w:rPr>
                <w:rFonts w:ascii="Times New Roman" w:eastAsia="Times New Roman"/>
                <w:b/>
                <w:sz w:val="24"/>
                <w:lang w:eastAsia="zh-CN"/>
              </w:rPr>
              <w:t>%</w:t>
            </w:r>
            <w:r>
              <w:rPr>
                <w:rFonts w:hint="eastAsia"/>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24"/>
              </w:rPr>
            </w:pPr>
            <w:r>
              <w:rPr>
                <w:rFonts w:ascii="Times New Roman"/>
                <w:sz w:val="24"/>
              </w:rPr>
              <w:t>1</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hAnsi="Times New Roman" w:cs="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24"/>
                <w:lang w:eastAsia="zh-CN"/>
              </w:rPr>
            </w:pPr>
            <w:r>
              <w:rPr>
                <w:rFonts w:ascii="Times New Roman"/>
                <w:sz w:val="24"/>
                <w:lang w:eastAsia="zh-CN"/>
              </w:rPr>
              <w:t>2</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小微企业</w:t>
            </w:r>
          </w:p>
          <w:p>
            <w:pPr>
              <w:pStyle w:val="246"/>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w:t>
            </w:r>
            <w:r>
              <w:rPr>
                <w:rFonts w:hint="eastAsia" w:ascii="Times New Roman" w:hAnsi="Times New Roman" w:cs="Times New Roman"/>
                <w:sz w:val="24"/>
                <w:lang w:eastAsia="zh-CN"/>
              </w:rPr>
              <w:t>其他类型</w:t>
            </w: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24"/>
                <w:lang w:eastAsia="zh-CN"/>
              </w:rPr>
            </w:pPr>
            <w:r>
              <w:rPr>
                <w:rFonts w:hint="eastAsia" w:ascii="Times New Roman"/>
                <w:sz w:val="24"/>
                <w:lang w:eastAsia="zh-CN"/>
              </w:rPr>
              <w:t>…</w:t>
            </w:r>
          </w:p>
        </w:tc>
        <w:tc>
          <w:tcPr>
            <w:tcW w:w="1287"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c>
          <w:tcPr>
            <w:tcW w:w="1513" w:type="dxa"/>
            <w:tcBorders>
              <w:top w:val="single" w:color="000000" w:sz="4" w:space="0"/>
              <w:left w:val="single" w:color="000000" w:sz="4" w:space="0"/>
              <w:bottom w:val="single" w:color="000000" w:sz="4" w:space="0"/>
              <w:right w:val="single" w:color="000000" w:sz="4" w:space="0"/>
            </w:tcBorders>
            <w:vAlign w:val="center"/>
          </w:tcPr>
          <w:p>
            <w:pPr>
              <w:pStyle w:val="246"/>
              <w:tabs>
                <w:tab w:val="left" w:pos="235"/>
              </w:tabs>
              <w:jc w:val="center"/>
              <w:rPr>
                <w:sz w:val="24"/>
              </w:rPr>
            </w:pPr>
          </w:p>
        </w:tc>
        <w:tc>
          <w:tcPr>
            <w:tcW w:w="1125"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c>
          <w:tcPr>
            <w:tcW w:w="155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tcBorders>
              <w:top w:val="single" w:color="000000" w:sz="4" w:space="0"/>
              <w:left w:val="single" w:color="000000" w:sz="4" w:space="0"/>
              <w:bottom w:val="single" w:color="000000" w:sz="4" w:space="0"/>
              <w:right w:val="single" w:color="000000" w:sz="4" w:space="0"/>
            </w:tcBorders>
            <w:vAlign w:val="center"/>
          </w:tcPr>
          <w:p>
            <w:pPr>
              <w:pStyle w:val="246"/>
              <w:ind w:right="57" w:rightChars="27"/>
              <w:jc w:val="right"/>
              <w:rPr>
                <w:sz w:val="24"/>
                <w:lang w:eastAsia="zh-CN"/>
              </w:rPr>
            </w:pPr>
            <w:r>
              <w:rPr>
                <w:rFonts w:hint="eastAsia"/>
                <w:sz w:val="24"/>
                <w:lang w:eastAsia="zh-CN"/>
              </w:rPr>
              <w:t>合计：</w:t>
            </w:r>
          </w:p>
        </w:tc>
        <w:tc>
          <w:tcPr>
            <w:tcW w:w="1498"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c>
          <w:tcPr>
            <w:tcW w:w="1564" w:type="dxa"/>
            <w:tcBorders>
              <w:top w:val="single" w:color="000000" w:sz="4" w:space="0"/>
              <w:left w:val="single" w:color="000000" w:sz="4" w:space="0"/>
              <w:bottom w:val="single" w:color="000000" w:sz="4" w:space="0"/>
              <w:right w:val="single" w:color="000000" w:sz="4" w:space="0"/>
            </w:tcBorders>
            <w:vAlign w:val="center"/>
          </w:tcPr>
          <w:p>
            <w:pPr>
              <w:pStyle w:val="246"/>
              <w:jc w:val="center"/>
              <w:rPr>
                <w:rFonts w:ascii="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注：</w:t>
      </w:r>
      <w:r>
        <w:rPr>
          <w:color w:val="FF0000"/>
          <w:sz w:val="24"/>
        </w:rPr>
        <w:t xml:space="preserve"> </w:t>
      </w:r>
    </w:p>
    <w:p>
      <w:pPr>
        <w:adjustRightInd w:val="0"/>
        <w:snapToGrid w:val="0"/>
        <w:spacing w:line="360" w:lineRule="auto"/>
        <w:jc w:val="left"/>
        <w:rPr>
          <w:sz w:val="24"/>
        </w:rPr>
      </w:pPr>
      <w:r>
        <w:rPr>
          <w:sz w:val="24"/>
        </w:rPr>
        <w:t>1.本表仅在供应商非因“为落实政府采购政策”而分包时填写；供应商“为落实政府采购政策”而向中小企业分包时请按照《</w:t>
      </w:r>
      <w:r>
        <w:rPr>
          <w:color w:val="000000"/>
          <w:sz w:val="24"/>
          <w:szCs w:val="20"/>
        </w:rPr>
        <w:t>拟分包情况说明及分包意向协议</w:t>
      </w:r>
      <w:r>
        <w:rPr>
          <w:sz w:val="24"/>
        </w:rPr>
        <w:t>》（类型一）要求填写。</w:t>
      </w:r>
    </w:p>
    <w:p>
      <w:pPr>
        <w:adjustRightInd w:val="0"/>
        <w:snapToGrid w:val="0"/>
        <w:spacing w:line="360" w:lineRule="auto"/>
        <w:jc w:val="left"/>
        <w:rPr>
          <w:sz w:val="24"/>
        </w:rPr>
      </w:pPr>
      <w:r>
        <w:rPr>
          <w:sz w:val="24"/>
        </w:rPr>
        <w:t>2.如本竞争性磋商文件《供应商须知资料表》载明本项目分包承担主体应具备的相应资质条件，则供应商须在本表中列明分包承担主体的资质等级，并后附资质证书电子件</w:t>
      </w:r>
      <w:r>
        <w:rPr>
          <w:rFonts w:hint="eastAsia"/>
          <w:sz w:val="24"/>
        </w:rPr>
        <w:t>，</w:t>
      </w:r>
      <w:r>
        <w:rPr>
          <w:sz w:val="24"/>
        </w:rPr>
        <w:t>否则</w:t>
      </w:r>
      <w:r>
        <w:rPr>
          <w:b/>
          <w:sz w:val="24"/>
        </w:rPr>
        <w:t>响应无效</w:t>
      </w:r>
      <w:r>
        <w:rPr>
          <w:sz w:val="24"/>
        </w:rPr>
        <w:t>。</w:t>
      </w:r>
    </w:p>
    <w:p>
      <w:pPr>
        <w:adjustRightInd w:val="0"/>
        <w:snapToGrid w:val="0"/>
        <w:spacing w:line="360" w:lineRule="auto"/>
        <w:jc w:val="left"/>
        <w:rPr>
          <w:sz w:val="24"/>
        </w:rPr>
      </w:pP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供应商名称（盖章）：_______</w:t>
      </w:r>
    </w:p>
    <w:p>
      <w:pPr>
        <w:spacing w:line="360" w:lineRule="auto"/>
        <w:jc w:val="right"/>
        <w:rPr>
          <w:b/>
          <w:color w:val="000000"/>
          <w:sz w:val="24"/>
        </w:rPr>
      </w:pPr>
      <w:r>
        <w:rPr>
          <w:color w:val="000000"/>
          <w:sz w:val="24"/>
          <w:szCs w:val="20"/>
        </w:rPr>
        <w:t>日期：____年____月____日</w:t>
      </w:r>
    </w:p>
    <w:p>
      <w:pPr>
        <w:tabs>
          <w:tab w:val="left" w:pos="360"/>
        </w:tabs>
        <w:snapToGrid w:val="0"/>
        <w:spacing w:line="360" w:lineRule="auto"/>
        <w:outlineLvl w:val="1"/>
        <w:rPr>
          <w:color w:val="000000"/>
          <w:sz w:val="24"/>
          <w:szCs w:val="20"/>
        </w:rPr>
      </w:pPr>
      <w:r>
        <w:rPr>
          <w:color w:val="000000"/>
          <w:sz w:val="24"/>
          <w:szCs w:val="20"/>
        </w:rPr>
        <w:br w:type="page"/>
      </w:r>
      <w:r>
        <w:rPr>
          <w:sz w:val="24"/>
        </w:rPr>
        <w:t>1</w:t>
      </w:r>
      <w:r>
        <w:rPr>
          <w:rFonts w:hint="eastAsia"/>
          <w:sz w:val="24"/>
        </w:rPr>
        <w:t>1</w:t>
      </w:r>
      <w:r>
        <w:rPr>
          <w:sz w:val="24"/>
        </w:rPr>
        <w:t xml:space="preserve">  竞争性磋商文件要求提供或供应商认为应附的其他材料</w:t>
      </w: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widowControl/>
        <w:jc w:val="left"/>
        <w:rPr>
          <w:b/>
          <w:sz w:val="36"/>
          <w:szCs w:val="36"/>
        </w:rPr>
      </w:pPr>
    </w:p>
    <w:p>
      <w:pPr>
        <w:tabs>
          <w:tab w:val="left" w:pos="360"/>
        </w:tabs>
        <w:snapToGrid w:val="0"/>
        <w:spacing w:line="360" w:lineRule="auto"/>
        <w:outlineLvl w:val="1"/>
        <w:rPr>
          <w:sz w:val="24"/>
        </w:rPr>
      </w:pPr>
      <w:r>
        <w:rPr>
          <w:rFonts w:hint="eastAsia"/>
          <w:sz w:val="24"/>
        </w:rPr>
        <w:t>12</w:t>
      </w:r>
      <w:r>
        <w:rPr>
          <w:sz w:val="24"/>
        </w:rPr>
        <w:t xml:space="preserve">  </w:t>
      </w:r>
      <w:r>
        <w:rPr>
          <w:rFonts w:hint="eastAsia"/>
          <w:sz w:val="24"/>
        </w:rPr>
        <w:t>已标价工程量清单</w:t>
      </w:r>
    </w:p>
    <w:p>
      <w:pPr>
        <w:spacing w:line="260" w:lineRule="exact"/>
        <w:jc w:val="center"/>
        <w:rPr>
          <w:color w:val="000000"/>
          <w:sz w:val="36"/>
          <w:szCs w:val="36"/>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b/>
          <w:sz w:val="24"/>
        </w:rPr>
      </w:pPr>
      <w:r>
        <w:rPr>
          <w:b/>
          <w:sz w:val="24"/>
        </w:rPr>
        <w:t>（</w:t>
      </w:r>
      <w:r>
        <w:rPr>
          <w:rFonts w:hint="eastAsia"/>
          <w:b/>
          <w:sz w:val="24"/>
        </w:rPr>
        <w:t>此处放置已标价工程量清单，此项可不参与连续页码</w:t>
      </w:r>
      <w:r>
        <w:rPr>
          <w:b/>
          <w:sz w:val="24"/>
        </w:rPr>
        <w:t>）</w:t>
      </w:r>
    </w:p>
    <w:p>
      <w:pPr>
        <w:rPr>
          <w:color w:val="000000"/>
          <w:sz w:val="24"/>
        </w:rPr>
      </w:pPr>
      <w:r>
        <w:rPr>
          <w:color w:val="000000"/>
          <w:sz w:val="24"/>
        </w:rPr>
        <w:br w:type="page"/>
      </w:r>
    </w:p>
    <w:p>
      <w:pPr>
        <w:tabs>
          <w:tab w:val="left" w:pos="360"/>
        </w:tabs>
        <w:snapToGrid w:val="0"/>
        <w:spacing w:line="360" w:lineRule="auto"/>
        <w:outlineLvl w:val="1"/>
        <w:rPr>
          <w:rFonts w:eastAsiaTheme="minorEastAsia"/>
          <w:sz w:val="24"/>
          <w:highlight w:val="none"/>
        </w:rPr>
      </w:pPr>
      <w:r>
        <w:rPr>
          <w:rFonts w:hint="eastAsia" w:ascii="Times New Roman" w:eastAsia="宋体"/>
          <w:b w:val="0"/>
          <w:bCs/>
          <w:sz w:val="24"/>
          <w:szCs w:val="24"/>
          <w:highlight w:val="none"/>
          <w:lang w:val="en-US" w:eastAsia="zh-CN"/>
        </w:rPr>
        <w:t>13</w:t>
      </w:r>
      <w:r>
        <w:rPr>
          <w:rFonts w:eastAsiaTheme="minorEastAsia"/>
          <w:sz w:val="24"/>
          <w:highlight w:val="none"/>
        </w:rPr>
        <w:t>最后报价一览表（实质性格式，磋商后提交）</w:t>
      </w:r>
    </w:p>
    <w:p>
      <w:pPr>
        <w:tabs>
          <w:tab w:val="left" w:pos="360"/>
        </w:tabs>
        <w:snapToGrid w:val="0"/>
        <w:spacing w:line="360" w:lineRule="auto"/>
        <w:jc w:val="center"/>
        <w:outlineLvl w:val="1"/>
        <w:rPr>
          <w:rFonts w:eastAsiaTheme="minorEastAsia"/>
          <w:b/>
          <w:bCs/>
          <w:sz w:val="36"/>
          <w:szCs w:val="36"/>
          <w:highlight w:val="none"/>
        </w:rPr>
      </w:pPr>
      <w:r>
        <w:rPr>
          <w:rFonts w:eastAsiaTheme="minorEastAsia"/>
          <w:b/>
          <w:bCs/>
          <w:sz w:val="36"/>
          <w:szCs w:val="36"/>
          <w:highlight w:val="none"/>
        </w:rPr>
        <w:t>最后报价一览表</w:t>
      </w:r>
    </w:p>
    <w:p>
      <w:pPr>
        <w:tabs>
          <w:tab w:val="left" w:pos="1800"/>
          <w:tab w:val="left" w:pos="5580"/>
        </w:tabs>
        <w:spacing w:line="360" w:lineRule="auto"/>
        <w:jc w:val="left"/>
        <w:rPr>
          <w:rFonts w:ascii="Times New Roman" w:hAnsi="Times New Roman" w:eastAsia="宋体" w:cs="Times New Roman"/>
          <w:color w:val="000000"/>
          <w:sz w:val="24"/>
        </w:rPr>
      </w:pPr>
    </w:p>
    <w:p>
      <w:pPr>
        <w:tabs>
          <w:tab w:val="left" w:pos="1800"/>
          <w:tab w:val="left" w:pos="5580"/>
        </w:tabs>
        <w:spacing w:line="360" w:lineRule="auto"/>
        <w:ind w:firstLine="240" w:firstLineChars="100"/>
        <w:jc w:val="left"/>
        <w:rPr>
          <w:rFonts w:ascii="Times New Roman" w:hAnsi="Times New Roman" w:eastAsia="宋体" w:cs="Times New Roman"/>
          <w:color w:val="000000"/>
          <w:sz w:val="24"/>
          <w:u w:val="single"/>
        </w:rPr>
      </w:pPr>
      <w:r>
        <w:rPr>
          <w:rFonts w:ascii="Times New Roman" w:hAnsi="Times New Roman" w:eastAsia="宋体" w:cs="Times New Roman"/>
          <w:color w:val="000000"/>
          <w:sz w:val="24"/>
        </w:rPr>
        <w:t xml:space="preserve">项目编号/包号： </w:t>
      </w:r>
      <w:r>
        <w:rPr>
          <w:rFonts w:hint="eastAsia" w:ascii="Times New Roman" w:hAnsi="Times New Roman" w:eastAsia="宋体" w:cs="Times New Roman"/>
          <w:color w:val="000000"/>
          <w:sz w:val="24"/>
          <w:lang w:val="en-US" w:eastAsia="zh-CN"/>
        </w:rPr>
        <w:t xml:space="preserve">                                    </w:t>
      </w:r>
      <w:r>
        <w:rPr>
          <w:rFonts w:ascii="Times New Roman" w:hAnsi="Times New Roman" w:eastAsia="宋体" w:cs="Times New Roman"/>
          <w:color w:val="000000"/>
          <w:sz w:val="24"/>
        </w:rPr>
        <w:t xml:space="preserve"> 项目名称：</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99"/>
        <w:gridCol w:w="3561"/>
        <w:gridCol w:w="2251"/>
        <w:gridCol w:w="23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95"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imes New Roman" w:hAnsi="Times New Roman" w:eastAsia="宋体" w:cs="Times New Roman"/>
                <w:b/>
                <w:sz w:val="24"/>
              </w:rPr>
            </w:pPr>
            <w:r>
              <w:rPr>
                <w:rFonts w:hint="eastAsia" w:ascii="Times New Roman" w:hAnsi="Times New Roman" w:eastAsia="宋体" w:cs="Times New Roman"/>
                <w:b/>
                <w:sz w:val="24"/>
              </w:rPr>
              <w:t>序号</w:t>
            </w:r>
          </w:p>
        </w:tc>
        <w:tc>
          <w:tcPr>
            <w:tcW w:w="1960" w:type="pct"/>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imes New Roman" w:hAnsi="Times New Roman" w:eastAsia="宋体" w:cs="Times New Roman"/>
                <w:b/>
                <w:sz w:val="24"/>
              </w:rPr>
            </w:pPr>
            <w:r>
              <w:rPr>
                <w:rFonts w:hint="eastAsia" w:ascii="Times New Roman" w:hAnsi="Times New Roman" w:eastAsia="宋体" w:cs="Times New Roman"/>
                <w:b/>
                <w:sz w:val="24"/>
              </w:rPr>
              <w:t>供应商名称</w:t>
            </w:r>
          </w:p>
        </w:tc>
        <w:tc>
          <w:tcPr>
            <w:tcW w:w="2543" w:type="pct"/>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imes New Roman" w:hAnsi="Times New Roman" w:eastAsia="宋体" w:cs="Times New Roman"/>
                <w:b/>
                <w:sz w:val="24"/>
              </w:rPr>
            </w:pPr>
            <w:r>
              <w:rPr>
                <w:rFonts w:hint="eastAsia" w:ascii="Times New Roman" w:hAnsi="Times New Roman" w:eastAsia="宋体" w:cs="Times New Roman"/>
                <w:b/>
                <w:sz w:val="24"/>
              </w:rPr>
              <w:t>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95"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sz w:val="24"/>
              </w:rPr>
            </w:pPr>
          </w:p>
        </w:tc>
        <w:tc>
          <w:tcPr>
            <w:tcW w:w="1960" w:type="pct"/>
            <w:vMerge w:val="continue"/>
            <w:tcBorders>
              <w:top w:val="single" w:color="auto" w:sz="4" w:space="0"/>
              <w:left w:val="single" w:color="auto" w:sz="4" w:space="0"/>
              <w:bottom w:val="single" w:color="auto" w:sz="4" w:space="0"/>
              <w:right w:val="single" w:color="auto" w:sz="4" w:space="0"/>
            </w:tcBorders>
            <w:vAlign w:val="center"/>
          </w:tcPr>
          <w:p>
            <w:pPr>
              <w:widowControl/>
              <w:jc w:val="left"/>
              <w:rPr>
                <w:rFonts w:ascii="Times New Roman" w:hAnsi="Times New Roman" w:eastAsia="宋体" w:cs="Times New Roman"/>
                <w:b/>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imes New Roman" w:hAnsi="Times New Roman" w:eastAsia="宋体" w:cs="Times New Roman"/>
                <w:b/>
                <w:sz w:val="24"/>
              </w:rPr>
            </w:pPr>
            <w:r>
              <w:rPr>
                <w:rFonts w:hint="eastAsia" w:ascii="Times New Roman" w:hAnsi="Times New Roman" w:eastAsia="宋体" w:cs="Times New Roman"/>
                <w:b/>
                <w:sz w:val="24"/>
              </w:rPr>
              <w:t>大写</w:t>
            </w: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imes New Roman" w:hAnsi="Times New Roman" w:eastAsia="宋体" w:cs="Times New Roman"/>
                <w:b/>
                <w:sz w:val="24"/>
              </w:rPr>
            </w:pPr>
            <w:r>
              <w:rPr>
                <w:rFonts w:hint="eastAsia" w:ascii="Times New Roman" w:hAnsi="Times New Roman" w:eastAsia="宋体" w:cs="Times New Roman"/>
                <w:b/>
                <w:sz w:val="24"/>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95"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imes New Roman" w:hAnsi="Times New Roman" w:eastAsia="宋体" w:cs="Times New Roman"/>
                <w:sz w:val="24"/>
              </w:rPr>
            </w:pPr>
          </w:p>
        </w:tc>
        <w:tc>
          <w:tcPr>
            <w:tcW w:w="1960"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imes New Roman" w:hAnsi="Times New Roman" w:eastAsia="宋体" w:cs="Times New Roman"/>
                <w:sz w:val="24"/>
              </w:rPr>
            </w:pPr>
          </w:p>
        </w:tc>
        <w:tc>
          <w:tcPr>
            <w:tcW w:w="1239"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imes New Roman" w:hAnsi="Times New Roman" w:eastAsia="宋体" w:cs="Times New Roman"/>
                <w:sz w:val="24"/>
              </w:rPr>
            </w:pPr>
          </w:p>
        </w:tc>
        <w:tc>
          <w:tcPr>
            <w:tcW w:w="1304" w:type="pct"/>
            <w:tcBorders>
              <w:top w:val="single" w:color="auto" w:sz="4" w:space="0"/>
              <w:left w:val="single" w:color="auto" w:sz="4" w:space="0"/>
              <w:bottom w:val="single" w:color="auto" w:sz="4" w:space="0"/>
              <w:right w:val="single" w:color="auto" w:sz="4" w:space="0"/>
            </w:tcBorders>
            <w:vAlign w:val="center"/>
          </w:tcPr>
          <w:p>
            <w:pPr>
              <w:tabs>
                <w:tab w:val="left" w:pos="5580"/>
              </w:tabs>
              <w:jc w:val="center"/>
              <w:rPr>
                <w:rFonts w:ascii="Times New Roman" w:hAnsi="Times New Roman" w:eastAsia="宋体" w:cs="Times New Roman"/>
                <w:sz w:val="24"/>
              </w:rPr>
            </w:pPr>
          </w:p>
        </w:tc>
      </w:tr>
    </w:tbl>
    <w:p>
      <w:pPr>
        <w:autoSpaceDE w:val="0"/>
        <w:autoSpaceDN w:val="0"/>
        <w:adjustRightInd w:val="0"/>
        <w:snapToGrid w:val="0"/>
        <w:spacing w:before="25" w:after="25" w:line="360" w:lineRule="auto"/>
        <w:rPr>
          <w:rFonts w:ascii="Times New Roman" w:hAnsi="Times New Roman" w:eastAsia="宋体" w:cs="Times New Roman"/>
          <w:color w:val="000000"/>
          <w:sz w:val="24"/>
          <w:lang w:val="zh-CN"/>
        </w:rPr>
      </w:pPr>
    </w:p>
    <w:p>
      <w:pPr>
        <w:autoSpaceDE w:val="0"/>
        <w:autoSpaceDN w:val="0"/>
        <w:adjustRightInd w:val="0"/>
        <w:snapToGrid w:val="0"/>
        <w:spacing w:before="25" w:after="25" w:line="360" w:lineRule="auto"/>
        <w:rPr>
          <w:rFonts w:hint="eastAsia" w:eastAsiaTheme="minorEastAsia"/>
          <w:color w:val="000000"/>
          <w:sz w:val="24"/>
          <w:highlight w:val="none"/>
          <w:lang w:val="zh-CN"/>
        </w:rPr>
      </w:pPr>
      <w:r>
        <w:rPr>
          <w:rFonts w:hint="eastAsia" w:eastAsiaTheme="minorEastAsia"/>
          <w:color w:val="000000"/>
          <w:sz w:val="24"/>
          <w:highlight w:val="none"/>
          <w:lang w:val="zh-CN"/>
        </w:rPr>
        <w:t>授权代表签字：___________</w:t>
      </w:r>
    </w:p>
    <w:p>
      <w:pPr>
        <w:autoSpaceDE w:val="0"/>
        <w:autoSpaceDN w:val="0"/>
        <w:adjustRightInd w:val="0"/>
        <w:snapToGrid w:val="0"/>
        <w:spacing w:before="25" w:after="25" w:line="360" w:lineRule="auto"/>
        <w:rPr>
          <w:rFonts w:hint="eastAsia" w:eastAsiaTheme="minorEastAsia"/>
          <w:color w:val="000000"/>
          <w:sz w:val="24"/>
          <w:highlight w:val="none"/>
          <w:lang w:val="zh-CN"/>
        </w:rPr>
      </w:pPr>
      <w:r>
        <w:rPr>
          <w:rFonts w:hint="eastAsia" w:eastAsiaTheme="minorEastAsia"/>
          <w:color w:val="000000"/>
          <w:sz w:val="24"/>
          <w:highlight w:val="none"/>
          <w:lang w:val="zh-CN"/>
        </w:rPr>
        <w:t>磋商小组全体成员签字：</w:t>
      </w:r>
      <w:r>
        <w:rPr>
          <w:rFonts w:hint="eastAsia" w:eastAsiaTheme="minorEastAsia"/>
          <w:color w:val="000000"/>
          <w:sz w:val="24"/>
          <w:highlight w:val="none"/>
          <w:u w:val="single"/>
          <w:lang w:val="en-US" w:eastAsia="zh-CN"/>
        </w:rPr>
        <w:t xml:space="preserve">                            </w:t>
      </w:r>
      <w:r>
        <w:rPr>
          <w:rFonts w:hint="eastAsia" w:eastAsiaTheme="minorEastAsia"/>
          <w:color w:val="000000"/>
          <w:sz w:val="24"/>
          <w:highlight w:val="none"/>
          <w:lang w:val="zh-CN"/>
        </w:rPr>
        <w:t xml:space="preserve">                                                              </w:t>
      </w:r>
    </w:p>
    <w:p>
      <w:pPr>
        <w:autoSpaceDE w:val="0"/>
        <w:autoSpaceDN w:val="0"/>
        <w:adjustRightInd w:val="0"/>
        <w:snapToGrid w:val="0"/>
        <w:spacing w:before="25" w:after="25" w:line="360" w:lineRule="auto"/>
        <w:rPr>
          <w:rFonts w:hint="eastAsia" w:eastAsiaTheme="minorEastAsia"/>
          <w:color w:val="000000"/>
          <w:sz w:val="24"/>
          <w:highlight w:val="none"/>
          <w:lang w:val="zh-CN"/>
        </w:rPr>
      </w:pPr>
    </w:p>
    <w:p>
      <w:pPr>
        <w:autoSpaceDE w:val="0"/>
        <w:autoSpaceDN w:val="0"/>
        <w:adjustRightInd w:val="0"/>
        <w:snapToGrid w:val="0"/>
        <w:spacing w:before="25" w:after="25" w:line="360" w:lineRule="auto"/>
        <w:rPr>
          <w:rFonts w:eastAsiaTheme="minorEastAsia"/>
          <w:color w:val="000000"/>
          <w:sz w:val="24"/>
          <w:highlight w:val="none"/>
          <w:lang w:val="zh-CN"/>
        </w:rPr>
      </w:pPr>
      <w:r>
        <w:rPr>
          <w:rFonts w:hint="eastAsia" w:eastAsiaTheme="minorEastAsia"/>
          <w:color w:val="000000"/>
          <w:sz w:val="24"/>
          <w:highlight w:val="none"/>
          <w:lang w:val="zh-CN"/>
        </w:rPr>
        <w:t>日期：____年____月____日</w:t>
      </w:r>
    </w:p>
    <w:p>
      <w:pPr>
        <w:autoSpaceDE w:val="0"/>
        <w:autoSpaceDN w:val="0"/>
        <w:adjustRightInd w:val="0"/>
        <w:snapToGrid w:val="0"/>
        <w:spacing w:before="25" w:after="25" w:line="360" w:lineRule="auto"/>
      </w:pPr>
      <w:r>
        <w:rPr>
          <w:rFonts w:hint="eastAsia" w:eastAsiaTheme="minorEastAsia"/>
          <w:color w:val="000000"/>
          <w:sz w:val="24"/>
          <w:highlight w:val="none"/>
          <w:lang w:val="en-US" w:eastAsia="zh-CN"/>
        </w:rPr>
        <w:t>注：此表无需在响应文件中提交，磋商后供应商按磋商小组要求提交交。</w:t>
      </w:r>
    </w:p>
    <w:p>
      <w:pPr>
        <w:tabs>
          <w:tab w:val="left" w:pos="1800"/>
          <w:tab w:val="left" w:pos="5580"/>
        </w:tabs>
        <w:jc w:val="left"/>
        <w:rPr>
          <w:color w:val="000000"/>
          <w:sz w:val="24"/>
        </w:rPr>
      </w:pPr>
    </w:p>
    <w:p>
      <w:pPr>
        <w:widowControl/>
        <w:jc w:val="left"/>
        <w:rPr>
          <w:b/>
          <w:sz w:val="36"/>
          <w:szCs w:val="36"/>
        </w:rPr>
      </w:pPr>
    </w:p>
    <w:sectPr>
      <w:headerReference r:id="rId19" w:type="first"/>
      <w:footerReference r:id="rId21" w:type="first"/>
      <w:headerReference r:id="rId18" w:type="even"/>
      <w:footerReference r:id="rId20"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华文细黑">
    <w:panose1 w:val="02010600040101010101"/>
    <w:charset w:val="86"/>
    <w:family w:val="auto"/>
    <w:pitch w:val="default"/>
    <w:sig w:usb0="00000287" w:usb1="080F0000" w:usb2="00000000" w:usb3="00000000" w:csb0="0004009F" w:csb1="DFD7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Microsoft YaHei UI">
    <w:panose1 w:val="020B0503020204020204"/>
    <w:charset w:val="86"/>
    <w:family w:val="swiss"/>
    <w:pitch w:val="default"/>
    <w:sig w:usb0="80000287" w:usb1="2ACF3C50" w:usb2="00000016" w:usb3="00000000" w:csb0="0004001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center" w:y="1"/>
      <w:rPr>
        <w:rStyle w:val="47"/>
      </w:rPr>
    </w:pPr>
    <w:r>
      <w:fldChar w:fldCharType="begin"/>
    </w:r>
    <w:r>
      <w:rPr>
        <w:rStyle w:val="47"/>
      </w:rPr>
      <w:instrText xml:space="preserve">PAGE  </w:instrText>
    </w:r>
    <w:r>
      <w:fldChar w:fldCharType="end"/>
    </w:r>
  </w:p>
  <w:p>
    <w:pPr>
      <w:pStyle w:val="28"/>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3</w:t>
    </w:r>
    <w:r>
      <w:rPr>
        <w:rFonts w:ascii="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jc w:val="center"/>
    </w:pPr>
    <w:r>
      <w:fldChar w:fldCharType="begin"/>
    </w:r>
    <w:r>
      <w:instrText xml:space="preserve">PAGE   \* MERGEFORMAT</w:instrText>
    </w:r>
    <w:r>
      <w:fldChar w:fldCharType="separate"/>
    </w:r>
    <w:r>
      <w:rPr>
        <w:lang w:val="zh-CN"/>
      </w:rPr>
      <w:t>1</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28"/>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28"/>
      <w:ind w:right="360"/>
    </w:pPr>
  </w:p>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framePr w:wrap="around" w:vAnchor="text" w:hAnchor="margin" w:xAlign="right" w:y="1"/>
      <w:rPr>
        <w:rStyle w:val="47"/>
      </w:rPr>
    </w:pPr>
    <w:r>
      <w:rPr>
        <w:rStyle w:val="47"/>
      </w:rPr>
      <w:fldChar w:fldCharType="begin"/>
    </w:r>
    <w:r>
      <w:rPr>
        <w:rStyle w:val="47"/>
      </w:rPr>
      <w:instrText xml:space="preserve">PAGE  </w:instrText>
    </w:r>
    <w:r>
      <w:rPr>
        <w:rStyle w:val="47"/>
      </w:rPr>
      <w:fldChar w:fldCharType="end"/>
    </w:r>
  </w:p>
  <w:p>
    <w:pPr>
      <w:pStyle w:val="28"/>
      <w:ind w:right="360"/>
    </w:pPr>
  </w:p>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Bdr>
        <w:bottom w:val="single" w:color="auto" w:sz="4"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27461EA"/>
    <w:multiLevelType w:val="singleLevel"/>
    <w:tmpl w:val="827461EA"/>
    <w:lvl w:ilvl="0" w:tentative="0">
      <w:start w:val="1"/>
      <w:numFmt w:val="decimal"/>
      <w:suff w:val="nothing"/>
      <w:lvlText w:val="（%1）"/>
      <w:lvlJc w:val="left"/>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3">
    <w:nsid w:val="095A7ADB"/>
    <w:multiLevelType w:val="multilevel"/>
    <w:tmpl w:val="095A7ADB"/>
    <w:lvl w:ilvl="0" w:tentative="0">
      <w:start w:val="1"/>
      <w:numFmt w:val="japaneseCounting"/>
      <w:lvlText w:val="第%1节"/>
      <w:lvlJc w:val="left"/>
      <w:pPr>
        <w:ind w:left="1128" w:hanging="1128"/>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b w:val="0"/>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6">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7">
    <w:nsid w:val="5F197A2B"/>
    <w:multiLevelType w:val="multilevel"/>
    <w:tmpl w:val="5F197A2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1080F6B"/>
    <w:multiLevelType w:val="multilevel"/>
    <w:tmpl w:val="71080F6B"/>
    <w:lvl w:ilvl="0" w:tentative="0">
      <w:start w:val="1"/>
      <w:numFmt w:val="decimal"/>
      <w:lvlText w:val="%1."/>
      <w:lvlJc w:val="left"/>
      <w:pPr>
        <w:ind w:left="954" w:hanging="324"/>
      </w:pPr>
      <w:rPr>
        <w:rFonts w:hint="default" w:ascii="宋体" w:hAnsi="宋体" w:eastAsia="宋体" w:cs="宋体"/>
        <w:spacing w:val="-3"/>
        <w:w w:val="100"/>
        <w:sz w:val="24"/>
        <w:szCs w:val="24"/>
        <w:lang w:val="zh-CN" w:eastAsia="zh-CN" w:bidi="zh-CN"/>
      </w:rPr>
    </w:lvl>
    <w:lvl w:ilvl="1" w:tentative="0">
      <w:start w:val="1"/>
      <w:numFmt w:val="decimal"/>
      <w:isLgl/>
      <w:lvlText w:val="%1.%2"/>
      <w:lvlJc w:val="left"/>
      <w:pPr>
        <w:ind w:left="2166" w:hanging="792"/>
      </w:pPr>
      <w:rPr>
        <w:rFonts w:hint="default"/>
      </w:rPr>
    </w:lvl>
    <w:lvl w:ilvl="2" w:tentative="0">
      <w:start w:val="1"/>
      <w:numFmt w:val="decimal"/>
      <w:isLgl/>
      <w:lvlText w:val="%1.%2.%3"/>
      <w:lvlJc w:val="left"/>
      <w:pPr>
        <w:ind w:left="2910" w:hanging="792"/>
      </w:pPr>
      <w:rPr>
        <w:rFonts w:hint="default"/>
      </w:rPr>
    </w:lvl>
    <w:lvl w:ilvl="3" w:tentative="0">
      <w:start w:val="1"/>
      <w:numFmt w:val="decimal"/>
      <w:isLgl/>
      <w:lvlText w:val="%1.%2.%3.%4"/>
      <w:lvlJc w:val="left"/>
      <w:pPr>
        <w:ind w:left="3942" w:hanging="1080"/>
      </w:pPr>
      <w:rPr>
        <w:rFonts w:hint="default"/>
      </w:rPr>
    </w:lvl>
    <w:lvl w:ilvl="4" w:tentative="0">
      <w:start w:val="1"/>
      <w:numFmt w:val="decimal"/>
      <w:isLgl/>
      <w:lvlText w:val="%1.%2.%3.%4.%5"/>
      <w:lvlJc w:val="left"/>
      <w:pPr>
        <w:ind w:left="4686" w:hanging="1080"/>
      </w:pPr>
      <w:rPr>
        <w:rFonts w:hint="default"/>
      </w:rPr>
    </w:lvl>
    <w:lvl w:ilvl="5" w:tentative="0">
      <w:start w:val="1"/>
      <w:numFmt w:val="decimal"/>
      <w:isLgl/>
      <w:lvlText w:val="%1.%2.%3.%4.%5.%6"/>
      <w:lvlJc w:val="left"/>
      <w:pPr>
        <w:ind w:left="5790" w:hanging="1440"/>
      </w:pPr>
      <w:rPr>
        <w:rFonts w:hint="default"/>
      </w:rPr>
    </w:lvl>
    <w:lvl w:ilvl="6" w:tentative="0">
      <w:start w:val="1"/>
      <w:numFmt w:val="decimal"/>
      <w:isLgl/>
      <w:lvlText w:val="%1.%2.%3.%4.%5.%6.%7"/>
      <w:lvlJc w:val="left"/>
      <w:pPr>
        <w:ind w:left="6534" w:hanging="1440"/>
      </w:pPr>
      <w:rPr>
        <w:rFonts w:hint="default"/>
      </w:rPr>
    </w:lvl>
    <w:lvl w:ilvl="7" w:tentative="0">
      <w:start w:val="1"/>
      <w:numFmt w:val="decimal"/>
      <w:isLgl/>
      <w:lvlText w:val="%1.%2.%3.%4.%5.%6.%7.%8"/>
      <w:lvlJc w:val="left"/>
      <w:pPr>
        <w:ind w:left="7638" w:hanging="1800"/>
      </w:pPr>
      <w:rPr>
        <w:rFonts w:hint="default"/>
      </w:rPr>
    </w:lvl>
    <w:lvl w:ilvl="8" w:tentative="0">
      <w:start w:val="1"/>
      <w:numFmt w:val="decimal"/>
      <w:isLgl/>
      <w:lvlText w:val="%1.%2.%3.%4.%5.%6.%7.%8.%9"/>
      <w:lvlJc w:val="left"/>
      <w:pPr>
        <w:ind w:left="8382" w:hanging="1800"/>
      </w:pPr>
      <w:rPr>
        <w:rFonts w:hint="default"/>
      </w:rPr>
    </w:lvl>
  </w:abstractNum>
  <w:num w:numId="1">
    <w:abstractNumId w:val="0"/>
  </w:num>
  <w:num w:numId="2">
    <w:abstractNumId w:val="2"/>
  </w:num>
  <w:num w:numId="3">
    <w:abstractNumId w:val="1"/>
  </w:num>
  <w:num w:numId="4">
    <w:abstractNumId w:val="4"/>
  </w:num>
  <w:num w:numId="5">
    <w:abstractNumId w:val="7"/>
  </w:num>
  <w:num w:numId="6">
    <w:abstractNumId w:val="8"/>
  </w:num>
  <w:num w:numId="7">
    <w:abstractNumId w:val="3"/>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N2I0NDNhNjJiMjMyNjkxMGE0YzMxMDgyMzNhNWU2NjU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0F6"/>
    <w:rsid w:val="00093464"/>
    <w:rsid w:val="000935DA"/>
    <w:rsid w:val="00093680"/>
    <w:rsid w:val="00093B6D"/>
    <w:rsid w:val="00093B92"/>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1E46"/>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280"/>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7BE"/>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BA1"/>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87A"/>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1FF"/>
    <w:rsid w:val="001655BB"/>
    <w:rsid w:val="001657CC"/>
    <w:rsid w:val="00165B61"/>
    <w:rsid w:val="00165CC0"/>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1F1"/>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2F00"/>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BD0"/>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DB3"/>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597C"/>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377"/>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1FDD"/>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0F"/>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DFB"/>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430"/>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03"/>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124"/>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92"/>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67"/>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808"/>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71"/>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DB9"/>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0A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DEC"/>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7"/>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BEC"/>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0EE"/>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0C"/>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D51"/>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A31"/>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6C8"/>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34E"/>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4"/>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7A"/>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53"/>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192"/>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0"/>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74D"/>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281"/>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70C"/>
    <w:rsid w:val="00A5270F"/>
    <w:rsid w:val="00A528B6"/>
    <w:rsid w:val="00A528F3"/>
    <w:rsid w:val="00A52972"/>
    <w:rsid w:val="00A52B47"/>
    <w:rsid w:val="00A52B69"/>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D27"/>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08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72C"/>
    <w:rsid w:val="00B738DB"/>
    <w:rsid w:val="00B73B96"/>
    <w:rsid w:val="00B73D9B"/>
    <w:rsid w:val="00B73EE2"/>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2865"/>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3E"/>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32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5FA"/>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3DD7"/>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3A"/>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1B7"/>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C96"/>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8F9"/>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1E"/>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0F53A2"/>
    <w:rsid w:val="053E2C54"/>
    <w:rsid w:val="05E84FC8"/>
    <w:rsid w:val="0AB72C5C"/>
    <w:rsid w:val="0B660C1A"/>
    <w:rsid w:val="0C886DE5"/>
    <w:rsid w:val="10086339"/>
    <w:rsid w:val="123F1294"/>
    <w:rsid w:val="13053ED0"/>
    <w:rsid w:val="13316F03"/>
    <w:rsid w:val="141A4AEE"/>
    <w:rsid w:val="14951E1C"/>
    <w:rsid w:val="153622BA"/>
    <w:rsid w:val="16F22298"/>
    <w:rsid w:val="17F93E0B"/>
    <w:rsid w:val="18E37CA3"/>
    <w:rsid w:val="18F52B53"/>
    <w:rsid w:val="19265E18"/>
    <w:rsid w:val="1C455CA5"/>
    <w:rsid w:val="1D2C69D2"/>
    <w:rsid w:val="1E2B3E46"/>
    <w:rsid w:val="1FE95271"/>
    <w:rsid w:val="20977077"/>
    <w:rsid w:val="239E00B4"/>
    <w:rsid w:val="24B47639"/>
    <w:rsid w:val="251E74A4"/>
    <w:rsid w:val="25A85B4C"/>
    <w:rsid w:val="25D86356"/>
    <w:rsid w:val="260E0F91"/>
    <w:rsid w:val="26AE07D2"/>
    <w:rsid w:val="27843CE5"/>
    <w:rsid w:val="286572E6"/>
    <w:rsid w:val="2915072C"/>
    <w:rsid w:val="29ED07DD"/>
    <w:rsid w:val="2BD818D2"/>
    <w:rsid w:val="2EE6588A"/>
    <w:rsid w:val="2FC66265"/>
    <w:rsid w:val="32EB653A"/>
    <w:rsid w:val="35B6103B"/>
    <w:rsid w:val="35CC4790"/>
    <w:rsid w:val="35F7023B"/>
    <w:rsid w:val="361C69D6"/>
    <w:rsid w:val="364244B8"/>
    <w:rsid w:val="371101CA"/>
    <w:rsid w:val="38A8721C"/>
    <w:rsid w:val="3B034953"/>
    <w:rsid w:val="3BCB6780"/>
    <w:rsid w:val="3C2D2B00"/>
    <w:rsid w:val="3C964B49"/>
    <w:rsid w:val="3D067368"/>
    <w:rsid w:val="3E77251D"/>
    <w:rsid w:val="3FF5F3AE"/>
    <w:rsid w:val="42CD0A98"/>
    <w:rsid w:val="431A0C09"/>
    <w:rsid w:val="441B3279"/>
    <w:rsid w:val="480E2158"/>
    <w:rsid w:val="49360B7B"/>
    <w:rsid w:val="4B65373A"/>
    <w:rsid w:val="4CAD641C"/>
    <w:rsid w:val="4D00163A"/>
    <w:rsid w:val="4E0C3082"/>
    <w:rsid w:val="4EA824BA"/>
    <w:rsid w:val="4F0F5BE3"/>
    <w:rsid w:val="52422029"/>
    <w:rsid w:val="55040901"/>
    <w:rsid w:val="55B650F8"/>
    <w:rsid w:val="56344D34"/>
    <w:rsid w:val="56CC014D"/>
    <w:rsid w:val="56DF05DE"/>
    <w:rsid w:val="571052DF"/>
    <w:rsid w:val="57FC6189"/>
    <w:rsid w:val="59EC0F4F"/>
    <w:rsid w:val="5B3851CA"/>
    <w:rsid w:val="5B5714EF"/>
    <w:rsid w:val="5E8E1AB7"/>
    <w:rsid w:val="5F073306"/>
    <w:rsid w:val="5F5F73B9"/>
    <w:rsid w:val="63373512"/>
    <w:rsid w:val="650C334B"/>
    <w:rsid w:val="6838144E"/>
    <w:rsid w:val="68AA7398"/>
    <w:rsid w:val="6BCE5C1F"/>
    <w:rsid w:val="6C6D629B"/>
    <w:rsid w:val="6D146557"/>
    <w:rsid w:val="6FE724AF"/>
    <w:rsid w:val="711D543B"/>
    <w:rsid w:val="72284BD6"/>
    <w:rsid w:val="742C597A"/>
    <w:rsid w:val="78B721CA"/>
    <w:rsid w:val="7CBA40C8"/>
    <w:rsid w:val="7DA853EC"/>
    <w:rsid w:val="7DD77FCB"/>
    <w:rsid w:val="7FCB5AD1"/>
    <w:rsid w:val="DF7AD8D6"/>
    <w:rsid w:val="F3EFE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55"/>
    <w:autoRedefine/>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2"/>
    <w:link w:val="57"/>
    <w:autoRedefine/>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8"/>
    <w:autoRedefine/>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59"/>
    <w:autoRedefine/>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0"/>
    <w:autoRedefine/>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1"/>
    <w:autoRedefine/>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2"/>
    <w:autoRedefine/>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3"/>
    <w:autoRedefine/>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autoRedefine/>
    <w:semiHidden/>
    <w:unhideWhenUsed/>
    <w:qFormat/>
    <w:uiPriority w:val="1"/>
  </w:style>
  <w:style w:type="table" w:default="1" w:styleId="42">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link w:val="56"/>
    <w:autoRedefine/>
    <w:qFormat/>
    <w:uiPriority w:val="0"/>
    <w:pPr>
      <w:autoSpaceDE w:val="0"/>
      <w:autoSpaceDN w:val="0"/>
      <w:adjustRightInd w:val="0"/>
      <w:ind w:firstLine="420"/>
      <w:jc w:val="left"/>
    </w:pPr>
    <w:rPr>
      <w:rFonts w:ascii="宋体"/>
      <w:sz w:val="24"/>
    </w:rPr>
  </w:style>
  <w:style w:type="paragraph" w:styleId="12">
    <w:name w:val="toc 7"/>
    <w:basedOn w:val="1"/>
    <w:next w:val="1"/>
    <w:autoRedefine/>
    <w:qFormat/>
    <w:uiPriority w:val="0"/>
    <w:pPr>
      <w:ind w:left="2520" w:leftChars="1200"/>
    </w:pPr>
  </w:style>
  <w:style w:type="paragraph" w:styleId="13">
    <w:name w:val="caption"/>
    <w:basedOn w:val="1"/>
    <w:next w:val="1"/>
    <w:autoRedefine/>
    <w:qFormat/>
    <w:uiPriority w:val="0"/>
    <w:pPr>
      <w:spacing w:line="480" w:lineRule="auto"/>
    </w:pPr>
    <w:rPr>
      <w:rFonts w:ascii="华文中宋" w:hAnsi="华文中宋" w:eastAsia="华文中宋"/>
      <w:sz w:val="36"/>
      <w:szCs w:val="20"/>
    </w:rPr>
  </w:style>
  <w:style w:type="paragraph" w:styleId="14">
    <w:name w:val="Document Map"/>
    <w:basedOn w:val="1"/>
    <w:link w:val="64"/>
    <w:autoRedefine/>
    <w:qFormat/>
    <w:uiPriority w:val="0"/>
    <w:pPr>
      <w:shd w:val="clear" w:color="auto" w:fill="000080"/>
    </w:pPr>
  </w:style>
  <w:style w:type="paragraph" w:styleId="15">
    <w:name w:val="annotation text"/>
    <w:basedOn w:val="1"/>
    <w:link w:val="65"/>
    <w:autoRedefine/>
    <w:qFormat/>
    <w:uiPriority w:val="99"/>
    <w:pPr>
      <w:jc w:val="left"/>
    </w:pPr>
  </w:style>
  <w:style w:type="paragraph" w:styleId="16">
    <w:name w:val="Body Text 3"/>
    <w:basedOn w:val="1"/>
    <w:link w:val="66"/>
    <w:autoRedefine/>
    <w:qFormat/>
    <w:uiPriority w:val="0"/>
    <w:pPr>
      <w:spacing w:after="120"/>
    </w:pPr>
    <w:rPr>
      <w:sz w:val="16"/>
      <w:szCs w:val="16"/>
    </w:rPr>
  </w:style>
  <w:style w:type="paragraph" w:styleId="17">
    <w:name w:val="Body Text"/>
    <w:basedOn w:val="1"/>
    <w:link w:val="67"/>
    <w:autoRedefine/>
    <w:qFormat/>
    <w:uiPriority w:val="0"/>
    <w:pPr>
      <w:tabs>
        <w:tab w:val="left" w:pos="567"/>
      </w:tabs>
      <w:spacing w:before="120" w:line="22" w:lineRule="atLeast"/>
    </w:pPr>
    <w:rPr>
      <w:rFonts w:ascii="宋体" w:hAnsi="宋体"/>
      <w:sz w:val="24"/>
    </w:rPr>
  </w:style>
  <w:style w:type="paragraph" w:styleId="18">
    <w:name w:val="Body Text Indent"/>
    <w:basedOn w:val="1"/>
    <w:link w:val="68"/>
    <w:autoRedefine/>
    <w:qFormat/>
    <w:uiPriority w:val="0"/>
    <w:pPr>
      <w:spacing w:line="360" w:lineRule="auto"/>
      <w:ind w:firstLine="570"/>
    </w:pPr>
    <w:rPr>
      <w:sz w:val="24"/>
    </w:rPr>
  </w:style>
  <w:style w:type="paragraph" w:styleId="19">
    <w:name w:val="List 2"/>
    <w:basedOn w:val="1"/>
    <w:autoRedefine/>
    <w:qFormat/>
    <w:uiPriority w:val="0"/>
    <w:pPr>
      <w:ind w:left="100" w:leftChars="200" w:hanging="200" w:hangingChars="200"/>
    </w:pPr>
  </w:style>
  <w:style w:type="paragraph" w:styleId="20">
    <w:name w:val="Block Text"/>
    <w:basedOn w:val="1"/>
    <w:autoRedefine/>
    <w:qFormat/>
    <w:uiPriority w:val="0"/>
    <w:pPr>
      <w:widowControl/>
      <w:ind w:left="480" w:right="-341" w:firstLine="513"/>
    </w:pPr>
    <w:rPr>
      <w:kern w:val="0"/>
      <w:sz w:val="24"/>
      <w:szCs w:val="20"/>
    </w:rPr>
  </w:style>
  <w:style w:type="paragraph" w:styleId="21">
    <w:name w:val="toc 5"/>
    <w:basedOn w:val="1"/>
    <w:next w:val="1"/>
    <w:autoRedefine/>
    <w:qFormat/>
    <w:uiPriority w:val="0"/>
    <w:pPr>
      <w:ind w:left="1680" w:leftChars="800"/>
    </w:pPr>
  </w:style>
  <w:style w:type="paragraph" w:styleId="22">
    <w:name w:val="toc 3"/>
    <w:basedOn w:val="1"/>
    <w:next w:val="1"/>
    <w:autoRedefine/>
    <w:qFormat/>
    <w:uiPriority w:val="39"/>
    <w:pPr>
      <w:ind w:left="840" w:leftChars="400"/>
    </w:pPr>
  </w:style>
  <w:style w:type="paragraph" w:styleId="23">
    <w:name w:val="Plain Text"/>
    <w:basedOn w:val="1"/>
    <w:link w:val="69"/>
    <w:autoRedefine/>
    <w:qFormat/>
    <w:uiPriority w:val="0"/>
    <w:rPr>
      <w:rFonts w:hint="eastAsia" w:ascii="宋体" w:hAnsi="Courier New"/>
      <w:szCs w:val="20"/>
    </w:rPr>
  </w:style>
  <w:style w:type="paragraph" w:styleId="24">
    <w:name w:val="toc 8"/>
    <w:basedOn w:val="1"/>
    <w:next w:val="1"/>
    <w:autoRedefine/>
    <w:qFormat/>
    <w:uiPriority w:val="0"/>
    <w:pPr>
      <w:ind w:left="2940" w:leftChars="1400"/>
    </w:pPr>
  </w:style>
  <w:style w:type="paragraph" w:styleId="25">
    <w:name w:val="Date"/>
    <w:basedOn w:val="1"/>
    <w:next w:val="1"/>
    <w:link w:val="70"/>
    <w:autoRedefine/>
    <w:qFormat/>
    <w:uiPriority w:val="0"/>
    <w:pPr>
      <w:ind w:left="100" w:leftChars="2500"/>
    </w:pPr>
    <w:rPr>
      <w:rFonts w:ascii="仿宋_GB2312" w:hAnsi="宋体" w:eastAsia="仿宋_GB2312"/>
      <w:color w:val="000000"/>
      <w:sz w:val="24"/>
    </w:rPr>
  </w:style>
  <w:style w:type="paragraph" w:styleId="26">
    <w:name w:val="Body Text Indent 2"/>
    <w:basedOn w:val="1"/>
    <w:link w:val="71"/>
    <w:autoRedefine/>
    <w:qFormat/>
    <w:uiPriority w:val="0"/>
    <w:pPr>
      <w:ind w:firstLine="480" w:firstLineChars="200"/>
    </w:pPr>
    <w:rPr>
      <w:rFonts w:ascii="仿宋_GB2312" w:eastAsia="仿宋_GB2312"/>
      <w:sz w:val="24"/>
    </w:rPr>
  </w:style>
  <w:style w:type="paragraph" w:styleId="27">
    <w:name w:val="Balloon Text"/>
    <w:basedOn w:val="1"/>
    <w:link w:val="72"/>
    <w:autoRedefine/>
    <w:qFormat/>
    <w:uiPriority w:val="0"/>
    <w:rPr>
      <w:sz w:val="18"/>
      <w:szCs w:val="18"/>
    </w:rPr>
  </w:style>
  <w:style w:type="paragraph" w:styleId="28">
    <w:name w:val="footer"/>
    <w:basedOn w:val="1"/>
    <w:link w:val="73"/>
    <w:autoRedefine/>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4"/>
    <w:autoRedefine/>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autoRedefine/>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autoRedefine/>
    <w:qFormat/>
    <w:uiPriority w:val="0"/>
    <w:pPr>
      <w:ind w:left="1260" w:leftChars="600"/>
    </w:pPr>
  </w:style>
  <w:style w:type="paragraph" w:styleId="32">
    <w:name w:val="toc 6"/>
    <w:basedOn w:val="1"/>
    <w:next w:val="1"/>
    <w:autoRedefine/>
    <w:qFormat/>
    <w:uiPriority w:val="0"/>
    <w:pPr>
      <w:ind w:left="2100" w:leftChars="1000"/>
    </w:pPr>
  </w:style>
  <w:style w:type="paragraph" w:styleId="33">
    <w:name w:val="Body Text Indent 3"/>
    <w:basedOn w:val="1"/>
    <w:link w:val="75"/>
    <w:autoRedefine/>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autoRedefine/>
    <w:qFormat/>
    <w:uiPriority w:val="39"/>
    <w:pPr>
      <w:tabs>
        <w:tab w:val="right" w:leader="dot" w:pos="8937"/>
      </w:tabs>
      <w:spacing w:line="312" w:lineRule="auto"/>
      <w:ind w:left="420" w:leftChars="200"/>
    </w:pPr>
  </w:style>
  <w:style w:type="paragraph" w:styleId="35">
    <w:name w:val="toc 9"/>
    <w:basedOn w:val="1"/>
    <w:next w:val="1"/>
    <w:autoRedefine/>
    <w:qFormat/>
    <w:uiPriority w:val="0"/>
    <w:pPr>
      <w:ind w:left="3360" w:leftChars="1600"/>
    </w:pPr>
  </w:style>
  <w:style w:type="paragraph" w:styleId="36">
    <w:name w:val="HTML Preformatted"/>
    <w:basedOn w:val="1"/>
    <w:link w:val="7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autoRedefine/>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autoRedefine/>
    <w:qFormat/>
    <w:uiPriority w:val="0"/>
    <w:rPr>
      <w:szCs w:val="20"/>
    </w:rPr>
  </w:style>
  <w:style w:type="paragraph" w:styleId="39">
    <w:name w:val="Title"/>
    <w:basedOn w:val="1"/>
    <w:link w:val="77"/>
    <w:autoRedefine/>
    <w:qFormat/>
    <w:uiPriority w:val="0"/>
    <w:pPr>
      <w:jc w:val="center"/>
      <w:outlineLvl w:val="0"/>
    </w:pPr>
    <w:rPr>
      <w:b/>
      <w:sz w:val="32"/>
      <w:szCs w:val="20"/>
    </w:rPr>
  </w:style>
  <w:style w:type="paragraph" w:styleId="40">
    <w:name w:val="annotation subject"/>
    <w:basedOn w:val="15"/>
    <w:next w:val="15"/>
    <w:link w:val="78"/>
    <w:autoRedefine/>
    <w:qFormat/>
    <w:uiPriority w:val="0"/>
    <w:rPr>
      <w:b/>
      <w:bCs/>
    </w:rPr>
  </w:style>
  <w:style w:type="paragraph" w:styleId="41">
    <w:name w:val="Body Text First Indent 2"/>
    <w:basedOn w:val="18"/>
    <w:link w:val="80"/>
    <w:autoRedefine/>
    <w:qFormat/>
    <w:uiPriority w:val="0"/>
    <w:pPr>
      <w:spacing w:after="120" w:line="480" w:lineRule="exact"/>
      <w:ind w:left="420" w:leftChars="200" w:firstLine="420" w:firstLineChars="200"/>
    </w:pPr>
    <w:rPr>
      <w:szCs w:val="20"/>
    </w:rPr>
  </w:style>
  <w:style w:type="table" w:styleId="43">
    <w:name w:val="Table Grid"/>
    <w:basedOn w:val="42"/>
    <w:autoRedefine/>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44">
    <w:name w:val="Medium Grid 1 Accent 2"/>
    <w:basedOn w:val="42"/>
    <w:autoRedefine/>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top w:w="0" w:type="dxa"/>
        <w:left w:w="108" w:type="dxa"/>
        <w:bottom w:w="0" w:type="dxa"/>
        <w:right w:w="108" w:type="dxa"/>
      </w:tblCellMar>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autoRedefine/>
    <w:qFormat/>
    <w:uiPriority w:val="0"/>
    <w:rPr>
      <w:b/>
      <w:bCs/>
    </w:rPr>
  </w:style>
  <w:style w:type="character" w:styleId="47">
    <w:name w:val="page number"/>
    <w:basedOn w:val="45"/>
    <w:autoRedefine/>
    <w:qFormat/>
    <w:uiPriority w:val="0"/>
  </w:style>
  <w:style w:type="character" w:styleId="48">
    <w:name w:val="FollowedHyperlink"/>
    <w:autoRedefine/>
    <w:qFormat/>
    <w:uiPriority w:val="0"/>
    <w:rPr>
      <w:color w:val="800080"/>
      <w:u w:val="single"/>
    </w:rPr>
  </w:style>
  <w:style w:type="character" w:styleId="49">
    <w:name w:val="Emphasis"/>
    <w:autoRedefine/>
    <w:qFormat/>
    <w:uiPriority w:val="0"/>
    <w:rPr>
      <w:color w:val="CC0033"/>
    </w:rPr>
  </w:style>
  <w:style w:type="character" w:styleId="50">
    <w:name w:val="Hyperlink"/>
    <w:autoRedefine/>
    <w:qFormat/>
    <w:uiPriority w:val="99"/>
    <w:rPr>
      <w:color w:val="0000FF"/>
      <w:u w:val="single"/>
    </w:rPr>
  </w:style>
  <w:style w:type="character" w:styleId="51">
    <w:name w:val="annotation reference"/>
    <w:autoRedefine/>
    <w:qFormat/>
    <w:uiPriority w:val="99"/>
    <w:rPr>
      <w:sz w:val="21"/>
      <w:szCs w:val="21"/>
    </w:rPr>
  </w:style>
  <w:style w:type="character" w:styleId="52">
    <w:name w:val="HTML Cite"/>
    <w:autoRedefine/>
    <w:qFormat/>
    <w:uiPriority w:val="0"/>
    <w:rPr>
      <w:i/>
      <w:iCs/>
    </w:rPr>
  </w:style>
  <w:style w:type="character" w:customStyle="1" w:styleId="53">
    <w:name w:val="标题 1 Char"/>
    <w:basedOn w:val="45"/>
    <w:link w:val="3"/>
    <w:autoRedefine/>
    <w:qFormat/>
    <w:uiPriority w:val="0"/>
    <w:rPr>
      <w:rFonts w:ascii="宋体"/>
      <w:b/>
      <w:kern w:val="44"/>
      <w:sz w:val="32"/>
    </w:rPr>
  </w:style>
  <w:style w:type="character" w:customStyle="1" w:styleId="54">
    <w:name w:val="标题 2 Char"/>
    <w:autoRedefine/>
    <w:qFormat/>
    <w:uiPriority w:val="0"/>
    <w:rPr>
      <w:rFonts w:ascii="Arial" w:hAnsi="Arial" w:eastAsia="黑体"/>
      <w:b/>
      <w:sz w:val="30"/>
      <w:lang w:val="en-US" w:eastAsia="zh-CN" w:bidi="ar-SA"/>
    </w:rPr>
  </w:style>
  <w:style w:type="character" w:customStyle="1" w:styleId="55">
    <w:name w:val="标题 2 Char1"/>
    <w:link w:val="4"/>
    <w:autoRedefine/>
    <w:qFormat/>
    <w:uiPriority w:val="0"/>
    <w:rPr>
      <w:rFonts w:ascii="Arial" w:hAnsi="Arial" w:eastAsia="黑体"/>
      <w:b/>
      <w:sz w:val="30"/>
      <w:lang w:val="en-US" w:eastAsia="zh-CN" w:bidi="ar-SA"/>
    </w:rPr>
  </w:style>
  <w:style w:type="character" w:customStyle="1" w:styleId="56">
    <w:name w:val="正文缩进 Char1"/>
    <w:link w:val="2"/>
    <w:autoRedefine/>
    <w:qFormat/>
    <w:uiPriority w:val="0"/>
    <w:rPr>
      <w:rFonts w:ascii="宋体" w:eastAsia="宋体"/>
      <w:kern w:val="2"/>
      <w:sz w:val="24"/>
      <w:szCs w:val="24"/>
      <w:lang w:val="en-US" w:eastAsia="zh-CN" w:bidi="ar-SA"/>
    </w:rPr>
  </w:style>
  <w:style w:type="character" w:customStyle="1" w:styleId="57">
    <w:name w:val="标题 3 Char1"/>
    <w:link w:val="5"/>
    <w:autoRedefine/>
    <w:qFormat/>
    <w:uiPriority w:val="0"/>
    <w:rPr>
      <w:rFonts w:ascii="宋体" w:eastAsia="宋体"/>
      <w:b/>
      <w:sz w:val="24"/>
      <w:u w:val="single"/>
      <w:lang w:val="en-US" w:eastAsia="zh-CN" w:bidi="ar-SA"/>
    </w:rPr>
  </w:style>
  <w:style w:type="character" w:customStyle="1" w:styleId="58">
    <w:name w:val="标题 4 Char"/>
    <w:basedOn w:val="45"/>
    <w:link w:val="6"/>
    <w:autoRedefine/>
    <w:qFormat/>
    <w:uiPriority w:val="0"/>
    <w:rPr>
      <w:rFonts w:ascii="Arial" w:hAnsi="Arial" w:eastAsia="黑体"/>
      <w:b/>
      <w:sz w:val="28"/>
    </w:rPr>
  </w:style>
  <w:style w:type="character" w:customStyle="1" w:styleId="59">
    <w:name w:val="标题 5 Char"/>
    <w:basedOn w:val="45"/>
    <w:link w:val="7"/>
    <w:autoRedefine/>
    <w:qFormat/>
    <w:uiPriority w:val="0"/>
    <w:rPr>
      <w:b/>
      <w:sz w:val="28"/>
    </w:rPr>
  </w:style>
  <w:style w:type="character" w:customStyle="1" w:styleId="60">
    <w:name w:val="标题 6 Char"/>
    <w:basedOn w:val="45"/>
    <w:link w:val="8"/>
    <w:autoRedefine/>
    <w:qFormat/>
    <w:uiPriority w:val="0"/>
    <w:rPr>
      <w:rFonts w:ascii="Arial" w:hAnsi="Arial" w:eastAsia="黑体"/>
      <w:b/>
      <w:sz w:val="24"/>
    </w:rPr>
  </w:style>
  <w:style w:type="character" w:customStyle="1" w:styleId="61">
    <w:name w:val="标题 7 Char"/>
    <w:basedOn w:val="45"/>
    <w:link w:val="9"/>
    <w:autoRedefine/>
    <w:qFormat/>
    <w:uiPriority w:val="0"/>
    <w:rPr>
      <w:b/>
      <w:sz w:val="24"/>
    </w:rPr>
  </w:style>
  <w:style w:type="character" w:customStyle="1" w:styleId="62">
    <w:name w:val="标题 8 Char"/>
    <w:basedOn w:val="45"/>
    <w:link w:val="10"/>
    <w:autoRedefine/>
    <w:qFormat/>
    <w:uiPriority w:val="0"/>
    <w:rPr>
      <w:rFonts w:ascii="Arial" w:hAnsi="Arial" w:eastAsia="黑体"/>
      <w:sz w:val="24"/>
    </w:rPr>
  </w:style>
  <w:style w:type="character" w:customStyle="1" w:styleId="63">
    <w:name w:val="标题 9 Char"/>
    <w:basedOn w:val="45"/>
    <w:link w:val="11"/>
    <w:autoRedefine/>
    <w:qFormat/>
    <w:uiPriority w:val="0"/>
    <w:rPr>
      <w:rFonts w:ascii="Arial" w:hAnsi="Arial" w:eastAsia="黑体"/>
      <w:sz w:val="21"/>
    </w:rPr>
  </w:style>
  <w:style w:type="character" w:customStyle="1" w:styleId="64">
    <w:name w:val="文档结构图 Char"/>
    <w:basedOn w:val="45"/>
    <w:link w:val="14"/>
    <w:autoRedefine/>
    <w:qFormat/>
    <w:uiPriority w:val="0"/>
    <w:rPr>
      <w:kern w:val="2"/>
      <w:sz w:val="21"/>
      <w:szCs w:val="24"/>
      <w:shd w:val="clear" w:color="auto" w:fill="000080"/>
    </w:rPr>
  </w:style>
  <w:style w:type="character" w:customStyle="1" w:styleId="65">
    <w:name w:val="批注文字 Char1"/>
    <w:link w:val="15"/>
    <w:autoRedefine/>
    <w:qFormat/>
    <w:uiPriority w:val="99"/>
    <w:rPr>
      <w:kern w:val="2"/>
      <w:sz w:val="21"/>
      <w:szCs w:val="24"/>
    </w:rPr>
  </w:style>
  <w:style w:type="character" w:customStyle="1" w:styleId="66">
    <w:name w:val="正文文本 3 Char"/>
    <w:basedOn w:val="45"/>
    <w:link w:val="16"/>
    <w:autoRedefine/>
    <w:qFormat/>
    <w:uiPriority w:val="0"/>
    <w:rPr>
      <w:kern w:val="2"/>
      <w:sz w:val="16"/>
      <w:szCs w:val="16"/>
    </w:rPr>
  </w:style>
  <w:style w:type="character" w:customStyle="1" w:styleId="67">
    <w:name w:val="正文文本 Char"/>
    <w:basedOn w:val="45"/>
    <w:link w:val="17"/>
    <w:autoRedefine/>
    <w:qFormat/>
    <w:uiPriority w:val="0"/>
    <w:rPr>
      <w:rFonts w:ascii="宋体" w:hAnsi="宋体"/>
      <w:kern w:val="2"/>
      <w:sz w:val="24"/>
      <w:szCs w:val="24"/>
    </w:rPr>
  </w:style>
  <w:style w:type="character" w:customStyle="1" w:styleId="68">
    <w:name w:val="正文文本缩进 Char2"/>
    <w:link w:val="18"/>
    <w:autoRedefine/>
    <w:qFormat/>
    <w:uiPriority w:val="0"/>
    <w:rPr>
      <w:rFonts w:eastAsia="宋体"/>
      <w:kern w:val="2"/>
      <w:sz w:val="24"/>
      <w:szCs w:val="24"/>
      <w:lang w:val="en-US" w:eastAsia="zh-CN" w:bidi="ar-SA"/>
    </w:rPr>
  </w:style>
  <w:style w:type="character" w:customStyle="1" w:styleId="69">
    <w:name w:val="纯文本 Char"/>
    <w:basedOn w:val="45"/>
    <w:link w:val="23"/>
    <w:autoRedefine/>
    <w:qFormat/>
    <w:uiPriority w:val="0"/>
    <w:rPr>
      <w:rFonts w:hint="eastAsia" w:ascii="宋体" w:hAnsi="Courier New" w:eastAsia="宋体" w:cs="宋体"/>
      <w:kern w:val="2"/>
      <w:sz w:val="21"/>
    </w:rPr>
  </w:style>
  <w:style w:type="character" w:customStyle="1" w:styleId="70">
    <w:name w:val="日期 Char"/>
    <w:basedOn w:val="45"/>
    <w:link w:val="25"/>
    <w:autoRedefine/>
    <w:qFormat/>
    <w:uiPriority w:val="0"/>
    <w:rPr>
      <w:rFonts w:ascii="仿宋_GB2312" w:hAnsi="宋体" w:eastAsia="仿宋_GB2312"/>
      <w:color w:val="000000"/>
      <w:kern w:val="2"/>
      <w:sz w:val="24"/>
      <w:szCs w:val="24"/>
    </w:rPr>
  </w:style>
  <w:style w:type="character" w:customStyle="1" w:styleId="71">
    <w:name w:val="正文文本缩进 2 Char"/>
    <w:basedOn w:val="45"/>
    <w:link w:val="26"/>
    <w:autoRedefine/>
    <w:qFormat/>
    <w:uiPriority w:val="0"/>
    <w:rPr>
      <w:rFonts w:ascii="仿宋_GB2312" w:eastAsia="仿宋_GB2312"/>
      <w:kern w:val="2"/>
      <w:sz w:val="24"/>
      <w:szCs w:val="24"/>
    </w:rPr>
  </w:style>
  <w:style w:type="character" w:customStyle="1" w:styleId="72">
    <w:name w:val="批注框文本 Char"/>
    <w:basedOn w:val="45"/>
    <w:link w:val="27"/>
    <w:autoRedefine/>
    <w:qFormat/>
    <w:uiPriority w:val="0"/>
    <w:rPr>
      <w:kern w:val="2"/>
      <w:sz w:val="18"/>
      <w:szCs w:val="18"/>
    </w:rPr>
  </w:style>
  <w:style w:type="character" w:customStyle="1" w:styleId="73">
    <w:name w:val="页脚 Char1"/>
    <w:link w:val="28"/>
    <w:autoRedefine/>
    <w:qFormat/>
    <w:uiPriority w:val="99"/>
    <w:rPr>
      <w:rFonts w:ascii="宋体" w:eastAsia="宋体"/>
      <w:sz w:val="18"/>
      <w:lang w:val="en-US" w:eastAsia="zh-CN" w:bidi="ar-SA"/>
    </w:rPr>
  </w:style>
  <w:style w:type="character" w:customStyle="1" w:styleId="74">
    <w:name w:val="页眉 Char1"/>
    <w:link w:val="29"/>
    <w:autoRedefine/>
    <w:qFormat/>
    <w:uiPriority w:val="99"/>
    <w:rPr>
      <w:rFonts w:eastAsia="宋体"/>
      <w:kern w:val="2"/>
      <w:sz w:val="18"/>
      <w:szCs w:val="18"/>
      <w:lang w:val="en-US" w:eastAsia="zh-CN" w:bidi="ar-SA"/>
    </w:rPr>
  </w:style>
  <w:style w:type="character" w:customStyle="1" w:styleId="75">
    <w:name w:val="正文文本缩进 3 Char"/>
    <w:basedOn w:val="45"/>
    <w:link w:val="33"/>
    <w:autoRedefine/>
    <w:qFormat/>
    <w:uiPriority w:val="0"/>
    <w:rPr>
      <w:rFonts w:ascii="宋体"/>
      <w:sz w:val="24"/>
    </w:rPr>
  </w:style>
  <w:style w:type="character" w:customStyle="1" w:styleId="76">
    <w:name w:val="HTML 预设格式 Char"/>
    <w:basedOn w:val="45"/>
    <w:link w:val="36"/>
    <w:autoRedefine/>
    <w:qFormat/>
    <w:uiPriority w:val="0"/>
    <w:rPr>
      <w:rFonts w:ascii="宋体" w:hAnsi="宋体" w:cs="宋体"/>
      <w:sz w:val="24"/>
      <w:szCs w:val="24"/>
    </w:rPr>
  </w:style>
  <w:style w:type="character" w:customStyle="1" w:styleId="77">
    <w:name w:val="标题 Char1"/>
    <w:link w:val="39"/>
    <w:autoRedefine/>
    <w:qFormat/>
    <w:uiPriority w:val="0"/>
    <w:rPr>
      <w:b/>
      <w:kern w:val="2"/>
      <w:sz w:val="32"/>
    </w:rPr>
  </w:style>
  <w:style w:type="character" w:customStyle="1" w:styleId="78">
    <w:name w:val="批注主题 Char"/>
    <w:basedOn w:val="79"/>
    <w:link w:val="40"/>
    <w:autoRedefine/>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autoRedefine/>
    <w:qFormat/>
    <w:uiPriority w:val="99"/>
    <w:rPr>
      <w:rFonts w:ascii="Times New Roman" w:hAnsi="Times New Roman" w:eastAsia="宋体" w:cs="Times New Roman"/>
      <w:sz w:val="24"/>
      <w:lang w:val="en-US" w:eastAsia="zh-CN" w:bidi="ar-SA"/>
    </w:rPr>
  </w:style>
  <w:style w:type="character" w:customStyle="1" w:styleId="80">
    <w:name w:val="正文首行缩进 2 Char"/>
    <w:basedOn w:val="68"/>
    <w:link w:val="41"/>
    <w:autoRedefine/>
    <w:qFormat/>
    <w:uiPriority w:val="0"/>
    <w:rPr>
      <w:rFonts w:eastAsia="宋体"/>
      <w:kern w:val="2"/>
      <w:sz w:val="24"/>
      <w:szCs w:val="24"/>
      <w:lang w:val="en-US" w:eastAsia="zh-CN" w:bidi="ar-SA"/>
    </w:rPr>
  </w:style>
  <w:style w:type="character" w:customStyle="1" w:styleId="81">
    <w:name w:val="c21"/>
    <w:autoRedefine/>
    <w:qFormat/>
    <w:uiPriority w:val="0"/>
    <w:rPr>
      <w:rFonts w:hint="default" w:ascii="ˎ̥" w:hAnsi="ˎ̥"/>
      <w:color w:val="000000"/>
      <w:sz w:val="20"/>
      <w:szCs w:val="20"/>
      <w:u w:val="none"/>
    </w:rPr>
  </w:style>
  <w:style w:type="character" w:customStyle="1" w:styleId="82">
    <w:name w:val="title4"/>
    <w:autoRedefine/>
    <w:qFormat/>
    <w:uiPriority w:val="0"/>
    <w:rPr>
      <w:b/>
      <w:bCs/>
      <w:color w:val="1D87B3"/>
      <w:sz w:val="15"/>
      <w:szCs w:val="15"/>
    </w:rPr>
  </w:style>
  <w:style w:type="character" w:customStyle="1" w:styleId="83">
    <w:name w:val="标题 2 Char Char"/>
    <w:autoRedefine/>
    <w:qFormat/>
    <w:uiPriority w:val="0"/>
    <w:rPr>
      <w:rFonts w:ascii="Arial" w:hAnsi="Arial" w:eastAsia="黑体"/>
      <w:b/>
      <w:bCs/>
      <w:kern w:val="2"/>
      <w:sz w:val="32"/>
      <w:szCs w:val="32"/>
      <w:lang w:val="en-US" w:eastAsia="zh-CN" w:bidi="ar-SA"/>
    </w:rPr>
  </w:style>
  <w:style w:type="character" w:customStyle="1" w:styleId="84">
    <w:name w:val="black1"/>
    <w:autoRedefine/>
    <w:qFormat/>
    <w:uiPriority w:val="0"/>
    <w:rPr>
      <w:color w:val="000000"/>
    </w:rPr>
  </w:style>
  <w:style w:type="character" w:customStyle="1" w:styleId="85">
    <w:name w:val="street-address"/>
    <w:basedOn w:val="45"/>
    <w:autoRedefine/>
    <w:qFormat/>
    <w:uiPriority w:val="0"/>
  </w:style>
  <w:style w:type="character" w:customStyle="1" w:styleId="86">
    <w:name w:val="locality"/>
    <w:basedOn w:val="45"/>
    <w:autoRedefine/>
    <w:qFormat/>
    <w:uiPriority w:val="0"/>
  </w:style>
  <w:style w:type="character" w:customStyle="1" w:styleId="87">
    <w:name w:val="正文文本缩进 Char1"/>
    <w:link w:val="88"/>
    <w:autoRedefine/>
    <w:qFormat/>
    <w:uiPriority w:val="0"/>
    <w:rPr>
      <w:rFonts w:ascii="宋体" w:hAnsi="宋体" w:eastAsia="宋体"/>
      <w:sz w:val="24"/>
      <w:szCs w:val="24"/>
      <w:lang w:bidi="ar-SA"/>
    </w:rPr>
  </w:style>
  <w:style w:type="paragraph" w:customStyle="1" w:styleId="88">
    <w:name w:val="正文文本缩进1"/>
    <w:basedOn w:val="1"/>
    <w:link w:val="87"/>
    <w:autoRedefine/>
    <w:qFormat/>
    <w:uiPriority w:val="0"/>
    <w:pPr>
      <w:spacing w:line="480" w:lineRule="exact"/>
      <w:ind w:firstLine="480" w:firstLineChars="200"/>
    </w:pPr>
    <w:rPr>
      <w:rFonts w:ascii="宋体" w:hAnsi="宋体"/>
      <w:kern w:val="0"/>
      <w:sz w:val="24"/>
    </w:rPr>
  </w:style>
  <w:style w:type="character" w:customStyle="1" w:styleId="89">
    <w:name w:val="Char Char11"/>
    <w:autoRedefine/>
    <w:qFormat/>
    <w:uiPriority w:val="0"/>
    <w:rPr>
      <w:rFonts w:ascii="宋体" w:eastAsia="宋体"/>
      <w:b/>
      <w:sz w:val="24"/>
      <w:u w:val="single"/>
      <w:lang w:val="en-US" w:eastAsia="zh-CN" w:bidi="ar-SA"/>
    </w:rPr>
  </w:style>
  <w:style w:type="character" w:customStyle="1" w:styleId="90">
    <w:name w:val="txt"/>
    <w:basedOn w:val="45"/>
    <w:autoRedefine/>
    <w:qFormat/>
    <w:uiPriority w:val="0"/>
  </w:style>
  <w:style w:type="character" w:customStyle="1" w:styleId="91">
    <w:name w:val="正文缩进 Char Char"/>
    <w:link w:val="92"/>
    <w:autoRedefine/>
    <w:qFormat/>
    <w:uiPriority w:val="0"/>
    <w:rPr>
      <w:rFonts w:ascii="宋体" w:eastAsia="宋体"/>
      <w:snapToGrid w:val="0"/>
      <w:color w:val="000000"/>
      <w:kern w:val="28"/>
      <w:sz w:val="28"/>
      <w:lang w:bidi="ar-SA"/>
    </w:rPr>
  </w:style>
  <w:style w:type="paragraph" w:customStyle="1" w:styleId="92">
    <w:name w:val="正文缩进1"/>
    <w:basedOn w:val="1"/>
    <w:link w:val="91"/>
    <w:autoRedefine/>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autoRedefine/>
    <w:qFormat/>
    <w:uiPriority w:val="0"/>
    <w:rPr>
      <w:rFonts w:ascii="宋体" w:hAnsi="Courier New" w:eastAsia="宋体"/>
      <w:kern w:val="2"/>
      <w:sz w:val="21"/>
      <w:lang w:val="en-US" w:eastAsia="zh-CN" w:bidi="ar-SA"/>
    </w:rPr>
  </w:style>
  <w:style w:type="character" w:customStyle="1" w:styleId="94">
    <w:name w:val="chanpin1"/>
    <w:autoRedefine/>
    <w:qFormat/>
    <w:uiPriority w:val="0"/>
    <w:rPr>
      <w:rFonts w:hint="default" w:ascii="ˎ̥" w:hAnsi="ˎ̥"/>
      <w:color w:val="000000"/>
      <w:sz w:val="20"/>
      <w:szCs w:val="20"/>
      <w:u w:val="none"/>
    </w:rPr>
  </w:style>
  <w:style w:type="character" w:customStyle="1" w:styleId="95">
    <w:name w:val="列出段落 Char1"/>
    <w:link w:val="96"/>
    <w:autoRedefine/>
    <w:qFormat/>
    <w:uiPriority w:val="34"/>
    <w:rPr>
      <w:rFonts w:ascii="Calibri" w:hAnsi="Calibri" w:eastAsia="宋体"/>
      <w:kern w:val="2"/>
      <w:sz w:val="21"/>
      <w:szCs w:val="22"/>
      <w:lang w:val="en-US" w:eastAsia="zh-CN" w:bidi="ar-SA"/>
    </w:rPr>
  </w:style>
  <w:style w:type="paragraph" w:styleId="96">
    <w:name w:val="List Paragraph"/>
    <w:basedOn w:val="1"/>
    <w:link w:val="95"/>
    <w:autoRedefine/>
    <w:qFormat/>
    <w:uiPriority w:val="34"/>
    <w:pPr>
      <w:ind w:firstLine="420" w:firstLineChars="200"/>
    </w:pPr>
    <w:rPr>
      <w:rFonts w:ascii="Calibri" w:hAnsi="Calibri"/>
      <w:szCs w:val="22"/>
    </w:rPr>
  </w:style>
  <w:style w:type="character" w:customStyle="1" w:styleId="97">
    <w:name w:val="标题 3 Char Char"/>
    <w:autoRedefine/>
    <w:qFormat/>
    <w:uiPriority w:val="0"/>
    <w:rPr>
      <w:rFonts w:eastAsia="宋体"/>
      <w:b/>
      <w:bCs/>
      <w:kern w:val="2"/>
      <w:sz w:val="32"/>
      <w:szCs w:val="32"/>
      <w:lang w:val="en-US" w:eastAsia="zh-CN" w:bidi="ar-SA"/>
    </w:rPr>
  </w:style>
  <w:style w:type="character" w:customStyle="1" w:styleId="98">
    <w:name w:val="段1 Char"/>
    <w:autoRedefine/>
    <w:qFormat/>
    <w:uiPriority w:val="0"/>
    <w:rPr>
      <w:rFonts w:ascii="宋体" w:eastAsia="宋体"/>
      <w:sz w:val="24"/>
      <w:lang w:val="en-US" w:eastAsia="zh-CN" w:bidi="ar-SA"/>
    </w:rPr>
  </w:style>
  <w:style w:type="character" w:customStyle="1" w:styleId="99">
    <w:name w:val="chanpin拷贝"/>
    <w:basedOn w:val="45"/>
    <w:autoRedefine/>
    <w:qFormat/>
    <w:uiPriority w:val="0"/>
  </w:style>
  <w:style w:type="character" w:customStyle="1" w:styleId="100">
    <w:name w:val="纯文本 Char1"/>
    <w:autoRedefine/>
    <w:qFormat/>
    <w:uiPriority w:val="0"/>
    <w:rPr>
      <w:rFonts w:ascii="宋体" w:hAnsi="Courier New" w:eastAsia="宋体"/>
      <w:kern w:val="2"/>
      <w:sz w:val="21"/>
      <w:lang w:val="en-US" w:eastAsia="zh-CN" w:bidi="ar-SA"/>
    </w:rPr>
  </w:style>
  <w:style w:type="character" w:customStyle="1" w:styleId="101">
    <w:name w:val="apple-style-span"/>
    <w:autoRedefine/>
    <w:qFormat/>
    <w:uiPriority w:val="0"/>
    <w:rPr>
      <w:rFonts w:cs="Times New Roman"/>
    </w:rPr>
  </w:style>
  <w:style w:type="paragraph" w:customStyle="1" w:styleId="102">
    <w:name w:val="二级条标题"/>
    <w:basedOn w:val="103"/>
    <w:next w:val="1"/>
    <w:autoRedefine/>
    <w:qFormat/>
    <w:uiPriority w:val="0"/>
    <w:pPr>
      <w:tabs>
        <w:tab w:val="left" w:pos="360"/>
        <w:tab w:val="left" w:pos="840"/>
      </w:tabs>
      <w:outlineLvl w:val="2"/>
    </w:pPr>
    <w:rPr>
      <w:rFonts w:ascii="宋体" w:eastAsia="宋体"/>
      <w:b w:val="0"/>
    </w:rPr>
  </w:style>
  <w:style w:type="paragraph" w:customStyle="1" w:styleId="103">
    <w:name w:val="一级条标题"/>
    <w:basedOn w:val="104"/>
    <w:next w:val="1"/>
    <w:autoRedefine/>
    <w:qFormat/>
    <w:uiPriority w:val="0"/>
    <w:pPr>
      <w:tabs>
        <w:tab w:val="left" w:pos="360"/>
        <w:tab w:val="left" w:pos="840"/>
      </w:tabs>
      <w:ind w:hanging="840"/>
      <w:outlineLvl w:val="1"/>
    </w:pPr>
  </w:style>
  <w:style w:type="paragraph" w:customStyle="1" w:styleId="104">
    <w:name w:val="章标题"/>
    <w:next w:val="1"/>
    <w:autoRedefine/>
    <w:qFormat/>
    <w:uiPriority w:val="0"/>
    <w:pPr>
      <w:spacing w:before="156" w:beforeLines="50" w:after="156" w:afterLines="50" w:line="460" w:lineRule="exact"/>
      <w:jc w:val="both"/>
      <w:outlineLvl w:val="0"/>
    </w:pPr>
    <w:rPr>
      <w:rFonts w:ascii="黑体" w:hAnsi="Times New Roman" w:eastAsia="黑体" w:cs="Times New Roman"/>
      <w:b/>
      <w:sz w:val="28"/>
      <w:lang w:val="en-US" w:eastAsia="zh-CN" w:bidi="ar-SA"/>
    </w:rPr>
  </w:style>
  <w:style w:type="paragraph" w:customStyle="1" w:styleId="105">
    <w:name w:val="font7"/>
    <w:basedOn w:val="1"/>
    <w:autoRedefine/>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autoRedefine/>
    <w:qFormat/>
    <w:uiPriority w:val="0"/>
    <w:rPr>
      <w:rFonts w:ascii="Tahoma" w:hAnsi="Tahoma"/>
      <w:sz w:val="24"/>
      <w:szCs w:val="20"/>
    </w:rPr>
  </w:style>
  <w:style w:type="paragraph" w:customStyle="1" w:styleId="107">
    <w:name w:val="Char3 Char Char Char"/>
    <w:basedOn w:val="1"/>
    <w:autoRedefine/>
    <w:qFormat/>
    <w:uiPriority w:val="0"/>
    <w:rPr>
      <w:rFonts w:ascii="Tahoma" w:hAnsi="Tahoma"/>
      <w:sz w:val="24"/>
      <w:szCs w:val="20"/>
    </w:rPr>
  </w:style>
  <w:style w:type="paragraph" w:customStyle="1" w:styleId="108">
    <w:name w:val="font6"/>
    <w:basedOn w:val="1"/>
    <w:autoRedefine/>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autoRedefine/>
    <w:qFormat/>
    <w:uiPriority w:val="0"/>
  </w:style>
  <w:style w:type="paragraph" w:customStyle="1" w:styleId="110">
    <w:name w:val="项目编号1"/>
    <w:basedOn w:val="1"/>
    <w:autoRedefine/>
    <w:qFormat/>
    <w:uiPriority w:val="0"/>
    <w:pPr>
      <w:spacing w:before="100" w:beforeAutospacing="1" w:after="100" w:afterAutospacing="1" w:line="360" w:lineRule="auto"/>
      <w:ind w:left="420" w:hanging="420"/>
    </w:pPr>
    <w:rPr>
      <w:sz w:val="24"/>
    </w:rPr>
  </w:style>
  <w:style w:type="paragraph" w:customStyle="1" w:styleId="111">
    <w:name w:val="图中文字"/>
    <w:basedOn w:val="1"/>
    <w:autoRedefine/>
    <w:qFormat/>
    <w:uiPriority w:val="0"/>
    <w:pPr>
      <w:adjustRightInd w:val="0"/>
      <w:snapToGrid w:val="0"/>
      <w:spacing w:line="0" w:lineRule="atLeast"/>
      <w:jc w:val="center"/>
    </w:pPr>
    <w:rPr>
      <w:sz w:val="24"/>
      <w:szCs w:val="20"/>
    </w:rPr>
  </w:style>
  <w:style w:type="paragraph" w:customStyle="1" w:styleId="112">
    <w:name w:val="xl46"/>
    <w:basedOn w:val="1"/>
    <w:autoRedefine/>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autoRedefine/>
    <w:qFormat/>
    <w:uiPriority w:val="0"/>
    <w:rPr>
      <w:rFonts w:ascii="Tahoma" w:hAnsi="Tahoma"/>
      <w:sz w:val="24"/>
      <w:szCs w:val="20"/>
    </w:rPr>
  </w:style>
  <w:style w:type="paragraph" w:customStyle="1" w:styleId="115">
    <w:name w:val="xl35"/>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autoRedefine/>
    <w:qFormat/>
    <w:uiPriority w:val="0"/>
    <w:pPr>
      <w:snapToGrid w:val="0"/>
      <w:spacing w:line="360" w:lineRule="auto"/>
      <w:ind w:firstLine="200" w:firstLineChars="200"/>
    </w:pPr>
    <w:rPr>
      <w:rFonts w:eastAsia="仿宋_GB2312"/>
      <w:sz w:val="24"/>
    </w:rPr>
  </w:style>
  <w:style w:type="paragraph" w:customStyle="1" w:styleId="121">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autoRedefine/>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autoRedefine/>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autoRedefine/>
    <w:qFormat/>
    <w:uiPriority w:val="0"/>
    <w:pPr>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autoRedefine/>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autoRedefine/>
    <w:qFormat/>
    <w:uiPriority w:val="0"/>
    <w:pPr>
      <w:widowControl/>
      <w:spacing w:before="100" w:beforeAutospacing="1" w:after="100" w:afterAutospacing="1"/>
      <w:jc w:val="left"/>
    </w:pPr>
    <w:rPr>
      <w:kern w:val="0"/>
      <w:sz w:val="36"/>
      <w:szCs w:val="36"/>
    </w:rPr>
  </w:style>
  <w:style w:type="paragraph" w:customStyle="1" w:styleId="129">
    <w:name w:val="Char"/>
    <w:basedOn w:val="1"/>
    <w:autoRedefine/>
    <w:qFormat/>
    <w:uiPriority w:val="0"/>
    <w:pPr>
      <w:tabs>
        <w:tab w:val="left" w:pos="360"/>
      </w:tabs>
    </w:pPr>
    <w:rPr>
      <w:sz w:val="24"/>
    </w:rPr>
  </w:style>
  <w:style w:type="paragraph" w:customStyle="1" w:styleId="130">
    <w:name w:val="Char Char Char Char Char Char Char Char Char Char Char Char Char Char Char Char"/>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4"/>
    <w:autoRedefine/>
    <w:qFormat/>
    <w:uiPriority w:val="0"/>
    <w:rPr>
      <w:rFonts w:ascii="Tahoma" w:hAnsi="Tahoma"/>
      <w:sz w:val="24"/>
    </w:rPr>
  </w:style>
  <w:style w:type="paragraph" w:customStyle="1" w:styleId="13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autoRedefine/>
    <w:qFormat/>
    <w:uiPriority w:val="0"/>
    <w:pPr>
      <w:adjustRightInd w:val="0"/>
      <w:jc w:val="left"/>
      <w:textAlignment w:val="baseline"/>
    </w:pPr>
    <w:rPr>
      <w:rFonts w:ascii="宋体" w:hAnsi="宋体"/>
      <w:kern w:val="0"/>
      <w:szCs w:val="20"/>
    </w:rPr>
  </w:style>
  <w:style w:type="paragraph" w:customStyle="1" w:styleId="138">
    <w:name w:val="Char1 Char Char Char1"/>
    <w:basedOn w:val="1"/>
    <w:autoRedefine/>
    <w:qFormat/>
    <w:uiPriority w:val="0"/>
    <w:rPr>
      <w:rFonts w:ascii="Tahoma" w:hAnsi="Tahoma" w:cs="仿宋_GB2312"/>
      <w:sz w:val="24"/>
      <w:szCs w:val="28"/>
    </w:rPr>
  </w:style>
  <w:style w:type="paragraph" w:customStyle="1" w:styleId="139">
    <w:name w:val="四级条标题"/>
    <w:basedOn w:val="140"/>
    <w:next w:val="1"/>
    <w:autoRedefine/>
    <w:qFormat/>
    <w:uiPriority w:val="0"/>
    <w:pPr>
      <w:tabs>
        <w:tab w:val="left" w:pos="360"/>
        <w:tab w:val="left" w:pos="840"/>
      </w:tabs>
      <w:outlineLvl w:val="4"/>
    </w:pPr>
  </w:style>
  <w:style w:type="paragraph" w:customStyle="1" w:styleId="140">
    <w:name w:val="三级条标题"/>
    <w:basedOn w:val="102"/>
    <w:next w:val="1"/>
    <w:autoRedefine/>
    <w:qFormat/>
    <w:uiPriority w:val="0"/>
    <w:pPr>
      <w:outlineLvl w:val="3"/>
    </w:pPr>
  </w:style>
  <w:style w:type="paragraph" w:customStyle="1" w:styleId="141">
    <w:name w:val="??"/>
    <w:autoRedefine/>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4"/>
    <w:autoRedefine/>
    <w:qFormat/>
    <w:uiPriority w:val="0"/>
    <w:pPr>
      <w:tabs>
        <w:tab w:val="left" w:pos="1188"/>
      </w:tabs>
      <w:autoSpaceDE/>
      <w:autoSpaceDN/>
      <w:spacing w:before="260" w:after="260" w:line="240" w:lineRule="auto"/>
      <w:ind w:left="1188" w:hanging="360"/>
      <w:jc w:val="left"/>
      <w:textAlignment w:val="baseline"/>
    </w:pPr>
    <w:rPr>
      <w:rFonts w:ascii="宋体" w:hAnsi="宋体" w:eastAsia="宋体"/>
      <w:bCs/>
      <w:sz w:val="21"/>
    </w:rPr>
  </w:style>
  <w:style w:type="paragraph" w:customStyle="1" w:styleId="143">
    <w:name w:val="List Paragraph1"/>
    <w:basedOn w:val="1"/>
    <w:autoRedefine/>
    <w:qFormat/>
    <w:uiPriority w:val="0"/>
    <w:pPr>
      <w:ind w:firstLine="420" w:firstLineChars="200"/>
    </w:pPr>
    <w:rPr>
      <w:rFonts w:ascii="Calibri" w:hAnsi="Calibri"/>
      <w:szCs w:val="22"/>
    </w:rPr>
  </w:style>
  <w:style w:type="paragraph" w:customStyle="1" w:styleId="144">
    <w:name w:val="项目符号1"/>
    <w:basedOn w:val="145"/>
    <w:autoRedefine/>
    <w:qFormat/>
    <w:uiPriority w:val="0"/>
    <w:pPr>
      <w:ind w:left="-25" w:firstLine="0"/>
    </w:pPr>
  </w:style>
  <w:style w:type="paragraph" w:customStyle="1" w:styleId="145">
    <w:name w:val="正文文本样式"/>
    <w:basedOn w:val="1"/>
    <w:autoRedefine/>
    <w:qFormat/>
    <w:uiPriority w:val="0"/>
    <w:pPr>
      <w:spacing w:line="360" w:lineRule="auto"/>
      <w:ind w:firstLine="482"/>
    </w:pPr>
    <w:rPr>
      <w:rFonts w:cs="宋体"/>
      <w:sz w:val="24"/>
      <w:szCs w:val="20"/>
    </w:rPr>
  </w:style>
  <w:style w:type="paragraph" w:customStyle="1" w:styleId="146">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autoRedefine/>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autoRedefine/>
    <w:qFormat/>
    <w:uiPriority w:val="0"/>
    <w:pPr>
      <w:outlineLvl w:val="5"/>
    </w:pPr>
  </w:style>
  <w:style w:type="paragraph" w:customStyle="1" w:styleId="149">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autoRedefine/>
    <w:qFormat/>
    <w:uiPriority w:val="0"/>
    <w:pPr>
      <w:snapToGrid w:val="0"/>
      <w:spacing w:before="120" w:after="120" w:line="180" w:lineRule="auto"/>
    </w:pPr>
    <w:rPr>
      <w:rFonts w:ascii="Arial" w:hAnsi="Arial"/>
      <w:szCs w:val="20"/>
    </w:rPr>
  </w:style>
  <w:style w:type="paragraph" w:customStyle="1" w:styleId="151">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autoRedefine/>
    <w:qFormat/>
    <w:uiPriority w:val="0"/>
    <w:rPr>
      <w:rFonts w:ascii="Tahoma" w:hAnsi="Tahoma"/>
      <w:sz w:val="24"/>
      <w:szCs w:val="20"/>
    </w:rPr>
  </w:style>
  <w:style w:type="paragraph" w:customStyle="1" w:styleId="154">
    <w:name w:val="xl44"/>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autoRedefine/>
    <w:qFormat/>
    <w:uiPriority w:val="0"/>
    <w:pPr>
      <w:tabs>
        <w:tab w:val="left" w:pos="360"/>
      </w:tabs>
      <w:spacing w:before="120"/>
      <w:ind w:left="360" w:hanging="360"/>
    </w:pPr>
    <w:rPr>
      <w:rFonts w:ascii="宋体"/>
      <w:sz w:val="28"/>
      <w:szCs w:val="20"/>
    </w:rPr>
  </w:style>
  <w:style w:type="paragraph" w:customStyle="1" w:styleId="156">
    <w:name w:val="font9"/>
    <w:basedOn w:val="1"/>
    <w:autoRedefine/>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autoRedefine/>
    <w:qFormat/>
    <w:uiPriority w:val="0"/>
    <w:rPr>
      <w:rFonts w:ascii="Tahoma" w:hAnsi="Tahoma"/>
      <w:sz w:val="24"/>
      <w:szCs w:val="20"/>
    </w:rPr>
  </w:style>
  <w:style w:type="paragraph" w:customStyle="1" w:styleId="158">
    <w:name w:val="Char Char Char Char Char Char Char Char Char Char"/>
    <w:basedOn w:val="1"/>
    <w:autoRedefine/>
    <w:qFormat/>
    <w:uiPriority w:val="0"/>
  </w:style>
  <w:style w:type="paragraph" w:customStyle="1" w:styleId="159">
    <w:name w:val="Char Char1 Char Char Char Char Char Char Char Char"/>
    <w:basedOn w:val="1"/>
    <w:autoRedefine/>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autoRedefine/>
    <w:qFormat/>
    <w:uiPriority w:val="0"/>
    <w:pPr>
      <w:tabs>
        <w:tab w:val="left" w:pos="360"/>
      </w:tabs>
    </w:pPr>
    <w:rPr>
      <w:sz w:val="24"/>
    </w:rPr>
  </w:style>
  <w:style w:type="paragraph" w:customStyle="1" w:styleId="161">
    <w:name w:val="正文列项_字母"/>
    <w:basedOn w:val="1"/>
    <w:autoRedefine/>
    <w:qFormat/>
    <w:uiPriority w:val="0"/>
    <w:pPr>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autoRedefine/>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autoRedefine/>
    <w:qFormat/>
    <w:uiPriority w:val="0"/>
    <w:rPr>
      <w:rFonts w:ascii="Arial" w:hAnsi="Arial" w:cs="Arial"/>
      <w:szCs w:val="21"/>
    </w:rPr>
  </w:style>
  <w:style w:type="paragraph" w:customStyle="1" w:styleId="165">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autoRedefine/>
    <w:qFormat/>
    <w:uiPriority w:val="0"/>
    <w:rPr>
      <w:rFonts w:ascii="Tahoma" w:hAnsi="Tahoma"/>
      <w:sz w:val="24"/>
      <w:szCs w:val="20"/>
    </w:rPr>
  </w:style>
  <w:style w:type="paragraph" w:customStyle="1" w:styleId="169">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autoRedefine/>
    <w:qFormat/>
    <w:uiPriority w:val="0"/>
    <w:pPr>
      <w:autoSpaceDE w:val="0"/>
      <w:autoSpaceDN w:val="0"/>
      <w:adjustRightInd w:val="0"/>
      <w:jc w:val="left"/>
    </w:pPr>
    <w:rPr>
      <w:kern w:val="0"/>
      <w:sz w:val="24"/>
    </w:rPr>
  </w:style>
  <w:style w:type="paragraph" w:customStyle="1" w:styleId="171">
    <w:name w:val="Char Char Char1"/>
    <w:basedOn w:val="1"/>
    <w:autoRedefine/>
    <w:qFormat/>
    <w:uiPriority w:val="0"/>
    <w:rPr>
      <w:rFonts w:ascii="Tahoma" w:hAnsi="Tahoma"/>
      <w:sz w:val="24"/>
      <w:szCs w:val="20"/>
    </w:rPr>
  </w:style>
  <w:style w:type="paragraph" w:customStyle="1" w:styleId="172">
    <w:name w:val="Char Char Char Char Char Char Char1"/>
    <w:basedOn w:val="1"/>
    <w:autoRedefine/>
    <w:qFormat/>
    <w:uiPriority w:val="0"/>
    <w:pPr>
      <w:snapToGrid w:val="0"/>
      <w:spacing w:line="360" w:lineRule="auto"/>
      <w:ind w:firstLine="200" w:firstLineChars="200"/>
    </w:pPr>
    <w:rPr>
      <w:rFonts w:eastAsia="仿宋_GB2312"/>
      <w:sz w:val="24"/>
    </w:rPr>
  </w:style>
  <w:style w:type="paragraph" w:customStyle="1" w:styleId="173">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8"/>
    <w:autoRedefine/>
    <w:qFormat/>
    <w:uiPriority w:val="0"/>
    <w:pPr>
      <w:spacing w:line="360" w:lineRule="auto"/>
      <w:jc w:val="center"/>
    </w:pPr>
    <w:rPr>
      <w:sz w:val="24"/>
    </w:rPr>
  </w:style>
  <w:style w:type="paragraph" w:customStyle="1" w:styleId="175">
    <w:name w:val="xl2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autoRedefine/>
    <w:qFormat/>
    <w:uiPriority w:val="0"/>
    <w:pPr>
      <w:widowControl/>
      <w:jc w:val="left"/>
    </w:pPr>
    <w:rPr>
      <w:rFonts w:ascii="楷体_GB2312" w:eastAsia="楷体_GB2312" w:cs="Arial"/>
      <w:kern w:val="0"/>
      <w:sz w:val="24"/>
    </w:rPr>
  </w:style>
  <w:style w:type="paragraph" w:customStyle="1" w:styleId="178">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autoRedefine/>
    <w:qFormat/>
    <w:uiPriority w:val="0"/>
    <w:rPr>
      <w:rFonts w:ascii="Tahoma" w:hAnsi="Tahoma"/>
      <w:sz w:val="24"/>
      <w:szCs w:val="20"/>
    </w:rPr>
  </w:style>
  <w:style w:type="paragraph" w:customStyle="1" w:styleId="180">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autoRedefine/>
    <w:qFormat/>
    <w:uiPriority w:val="0"/>
    <w:pPr>
      <w:ind w:firstLine="420" w:firstLineChars="200"/>
    </w:pPr>
    <w:rPr>
      <w:rFonts w:ascii="Calibri" w:hAnsi="Calibri"/>
      <w:szCs w:val="22"/>
    </w:rPr>
  </w:style>
  <w:style w:type="paragraph" w:customStyle="1" w:styleId="182">
    <w:name w:val="default"/>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autoRedefine/>
    <w:qFormat/>
    <w:uiPriority w:val="0"/>
    <w:rPr>
      <w:rFonts w:ascii="Tahoma" w:hAnsi="Tahoma"/>
      <w:sz w:val="24"/>
      <w:szCs w:val="20"/>
    </w:rPr>
  </w:style>
  <w:style w:type="paragraph" w:customStyle="1" w:styleId="184">
    <w:name w:val="_Style 160"/>
    <w:autoRedefine/>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autoRedefine/>
    <w:qFormat/>
    <w:uiPriority w:val="0"/>
    <w:pPr>
      <w:ind w:left="902" w:hanging="420"/>
    </w:pPr>
  </w:style>
  <w:style w:type="paragraph" w:customStyle="1" w:styleId="186">
    <w:name w:val="Char21"/>
    <w:basedOn w:val="1"/>
    <w:autoRedefine/>
    <w:qFormat/>
    <w:uiPriority w:val="0"/>
    <w:rPr>
      <w:rFonts w:ascii="Tahoma" w:hAnsi="Tahoma"/>
      <w:sz w:val="24"/>
      <w:szCs w:val="20"/>
    </w:rPr>
  </w:style>
  <w:style w:type="paragraph" w:customStyle="1" w:styleId="187">
    <w:name w:val="表格文字"/>
    <w:basedOn w:val="18"/>
    <w:autoRedefine/>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autoRedefine/>
    <w:qFormat/>
    <w:uiPriority w:val="0"/>
    <w:rPr>
      <w:rFonts w:ascii="宋体" w:hAnsi="宋体" w:cs="Courier New"/>
      <w:sz w:val="32"/>
      <w:szCs w:val="32"/>
    </w:rPr>
  </w:style>
  <w:style w:type="paragraph" w:customStyle="1" w:styleId="189">
    <w:name w:val="正文文本样式 加粗"/>
    <w:basedOn w:val="145"/>
    <w:autoRedefine/>
    <w:qFormat/>
    <w:uiPriority w:val="0"/>
    <w:rPr>
      <w:b/>
    </w:rPr>
  </w:style>
  <w:style w:type="paragraph" w:customStyle="1" w:styleId="190">
    <w:name w:val="Char2 Char Char Char Char Char Char"/>
    <w:basedOn w:val="1"/>
    <w:autoRedefine/>
    <w:qFormat/>
    <w:uiPriority w:val="0"/>
    <w:pPr>
      <w:widowControl/>
      <w:spacing w:line="400" w:lineRule="exact"/>
      <w:jc w:val="center"/>
    </w:pPr>
  </w:style>
  <w:style w:type="paragraph" w:customStyle="1" w:styleId="191">
    <w:name w:val="Char Char4"/>
    <w:basedOn w:val="1"/>
    <w:autoRedefine/>
    <w:qFormat/>
    <w:uiPriority w:val="0"/>
    <w:pPr>
      <w:widowControl/>
      <w:spacing w:line="400" w:lineRule="exact"/>
      <w:jc w:val="center"/>
    </w:pPr>
  </w:style>
  <w:style w:type="paragraph" w:customStyle="1" w:styleId="192">
    <w:name w:val="Char3 Char Char Char1"/>
    <w:basedOn w:val="1"/>
    <w:autoRedefine/>
    <w:qFormat/>
    <w:uiPriority w:val="0"/>
    <w:rPr>
      <w:rFonts w:ascii="Tahoma" w:hAnsi="Tahoma"/>
      <w:sz w:val="24"/>
      <w:szCs w:val="20"/>
    </w:rPr>
  </w:style>
  <w:style w:type="paragraph" w:styleId="193">
    <w:name w:val="No Spacing"/>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autoRedefine/>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autoRedefine/>
    <w:qFormat/>
    <w:uiPriority w:val="0"/>
    <w:rPr>
      <w:kern w:val="2"/>
      <w:sz w:val="21"/>
      <w:szCs w:val="24"/>
      <w:lang w:val="zh-CN" w:eastAsia="zh-CN"/>
    </w:rPr>
  </w:style>
  <w:style w:type="paragraph" w:customStyle="1" w:styleId="196">
    <w:name w:val="1"/>
    <w:link w:val="195"/>
    <w:autoRedefine/>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autoRedefine/>
    <w:qFormat/>
    <w:uiPriority w:val="0"/>
    <w:pPr>
      <w:adjustRightInd w:val="0"/>
      <w:snapToGrid w:val="0"/>
      <w:spacing w:after="50" w:line="360" w:lineRule="auto"/>
    </w:pPr>
    <w:rPr>
      <w:sz w:val="24"/>
    </w:rPr>
  </w:style>
  <w:style w:type="paragraph" w:customStyle="1" w:styleId="198">
    <w:name w:val="xl23"/>
    <w:basedOn w:val="1"/>
    <w:autoRedefine/>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autoRedefine/>
    <w:qFormat/>
    <w:uiPriority w:val="0"/>
    <w:pPr>
      <w:adjustRightInd w:val="0"/>
      <w:snapToGrid w:val="0"/>
      <w:jc w:val="left"/>
    </w:pPr>
    <w:rPr>
      <w:rFonts w:ascii="宋体" w:hAnsi="宋体"/>
      <w:color w:val="000000"/>
      <w:szCs w:val="21"/>
    </w:rPr>
  </w:style>
  <w:style w:type="character" w:customStyle="1" w:styleId="200">
    <w:name w:val="正文表格 Char"/>
    <w:link w:val="199"/>
    <w:autoRedefine/>
    <w:qFormat/>
    <w:uiPriority w:val="0"/>
    <w:rPr>
      <w:rFonts w:ascii="宋体" w:hAnsi="宋体"/>
      <w:color w:val="000000"/>
      <w:kern w:val="2"/>
      <w:sz w:val="21"/>
      <w:szCs w:val="21"/>
    </w:rPr>
  </w:style>
  <w:style w:type="paragraph" w:customStyle="1" w:styleId="201">
    <w:name w:val="正文重点"/>
    <w:basedOn w:val="1"/>
    <w:link w:val="202"/>
    <w:autoRedefine/>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autoRedefine/>
    <w:qFormat/>
    <w:uiPriority w:val="0"/>
    <w:rPr>
      <w:b/>
      <w:sz w:val="24"/>
    </w:rPr>
  </w:style>
  <w:style w:type="paragraph" w:customStyle="1" w:styleId="203">
    <w:name w:val="标题1-附件"/>
    <w:basedOn w:val="3"/>
    <w:autoRedefine/>
    <w:qFormat/>
    <w:uiPriority w:val="0"/>
    <w:pPr>
      <w:jc w:val="left"/>
    </w:pPr>
    <w:rPr>
      <w:sz w:val="24"/>
      <w:szCs w:val="24"/>
    </w:rPr>
  </w:style>
  <w:style w:type="paragraph" w:customStyle="1" w:styleId="204">
    <w:name w:val="正文小标题"/>
    <w:basedOn w:val="1"/>
    <w:next w:val="2"/>
    <w:link w:val="205"/>
    <w:autoRedefine/>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autoRedefine/>
    <w:qFormat/>
    <w:uiPriority w:val="0"/>
    <w:rPr>
      <w:rFonts w:ascii="宋体" w:hAnsi="宋体"/>
      <w:b/>
      <w:i/>
      <w:color w:val="FF0000"/>
      <w:kern w:val="2"/>
      <w:sz w:val="24"/>
    </w:rPr>
  </w:style>
  <w:style w:type="paragraph" w:customStyle="1" w:styleId="206">
    <w:name w:val="正文大标题"/>
    <w:basedOn w:val="204"/>
    <w:next w:val="2"/>
    <w:link w:val="207"/>
    <w:autoRedefine/>
    <w:qFormat/>
    <w:uiPriority w:val="0"/>
    <w:pPr>
      <w:jc w:val="center"/>
    </w:pPr>
    <w:rPr>
      <w:i w:val="0"/>
      <w:color w:val="000000"/>
      <w:sz w:val="28"/>
      <w:szCs w:val="21"/>
    </w:rPr>
  </w:style>
  <w:style w:type="character" w:customStyle="1" w:styleId="207">
    <w:name w:val="正文大标题 Char"/>
    <w:link w:val="206"/>
    <w:autoRedefine/>
    <w:qFormat/>
    <w:uiPriority w:val="0"/>
    <w:rPr>
      <w:rFonts w:ascii="宋体" w:hAnsi="宋体"/>
      <w:b/>
      <w:color w:val="000000"/>
      <w:kern w:val="2"/>
      <w:sz w:val="28"/>
      <w:szCs w:val="21"/>
    </w:rPr>
  </w:style>
  <w:style w:type="paragraph" w:customStyle="1" w:styleId="208">
    <w:name w:val="注释"/>
    <w:basedOn w:val="1"/>
    <w:link w:val="209"/>
    <w:autoRedefine/>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autoRedefine/>
    <w:qFormat/>
    <w:uiPriority w:val="0"/>
    <w:rPr>
      <w:rFonts w:ascii="宋体" w:hAnsi="宋体"/>
      <w:kern w:val="2"/>
      <w:sz w:val="21"/>
      <w:szCs w:val="21"/>
    </w:rPr>
  </w:style>
  <w:style w:type="paragraph" w:customStyle="1" w:styleId="210">
    <w:name w:val="正文须知-1级"/>
    <w:basedOn w:val="1"/>
    <w:next w:val="1"/>
    <w:autoRedefine/>
    <w:qFormat/>
    <w:uiPriority w:val="0"/>
    <w:pPr>
      <w:adjustRightInd w:val="0"/>
      <w:snapToGrid w:val="0"/>
      <w:spacing w:line="300" w:lineRule="auto"/>
      <w:ind w:left="680" w:hanging="680"/>
    </w:pPr>
    <w:rPr>
      <w:rFonts w:ascii="宋体" w:hAnsi="Calibri"/>
      <w:sz w:val="24"/>
      <w:szCs w:val="21"/>
    </w:rPr>
  </w:style>
  <w:style w:type="paragraph" w:customStyle="1" w:styleId="211">
    <w:name w:val="正文须知-2级"/>
    <w:basedOn w:val="1"/>
    <w:autoRedefine/>
    <w:qFormat/>
    <w:uiPriority w:val="0"/>
    <w:pPr>
      <w:adjustRightInd w:val="0"/>
      <w:snapToGrid w:val="0"/>
      <w:spacing w:line="300" w:lineRule="auto"/>
      <w:ind w:left="851" w:hanging="851"/>
    </w:pPr>
    <w:rPr>
      <w:rFonts w:ascii="宋体" w:hAnsi="Calibri"/>
      <w:sz w:val="24"/>
      <w:szCs w:val="21"/>
    </w:rPr>
  </w:style>
  <w:style w:type="paragraph" w:customStyle="1" w:styleId="212">
    <w:name w:val="正文须知-3级"/>
    <w:basedOn w:val="1"/>
    <w:autoRedefine/>
    <w:qFormat/>
    <w:uiPriority w:val="0"/>
    <w:pPr>
      <w:adjustRightInd w:val="0"/>
      <w:snapToGrid w:val="0"/>
      <w:spacing w:line="300" w:lineRule="auto"/>
      <w:ind w:left="851" w:hanging="355" w:hangingChars="355"/>
    </w:pPr>
    <w:rPr>
      <w:rFonts w:ascii="宋体" w:hAnsi="Calibri"/>
      <w:sz w:val="24"/>
      <w:szCs w:val="21"/>
    </w:rPr>
  </w:style>
  <w:style w:type="character" w:customStyle="1" w:styleId="213">
    <w:name w:val="纯文本 字符"/>
    <w:autoRedefine/>
    <w:qFormat/>
    <w:uiPriority w:val="99"/>
    <w:rPr>
      <w:rFonts w:ascii="宋体" w:hAnsi="Courier New" w:eastAsia="宋体" w:cs="Times New Roman"/>
      <w:kern w:val="2"/>
      <w:sz w:val="21"/>
      <w:szCs w:val="21"/>
      <w:lang w:val="en-US" w:eastAsia="zh-CN" w:bidi="ar-SA"/>
    </w:rPr>
  </w:style>
  <w:style w:type="paragraph" w:customStyle="1" w:styleId="214">
    <w:name w:val="表格1"/>
    <w:basedOn w:val="1"/>
    <w:autoRedefine/>
    <w:qFormat/>
    <w:uiPriority w:val="0"/>
    <w:pPr>
      <w:ind w:firstLine="480" w:firstLineChars="200"/>
      <w:jc w:val="center"/>
    </w:pPr>
    <w:rPr>
      <w:sz w:val="24"/>
      <w:szCs w:val="20"/>
    </w:rPr>
  </w:style>
  <w:style w:type="character" w:customStyle="1" w:styleId="215">
    <w:name w:val="纯文本 字符1"/>
    <w:autoRedefine/>
    <w:qFormat/>
    <w:uiPriority w:val="0"/>
    <w:rPr>
      <w:rFonts w:ascii="宋体" w:hAnsi="Courier New"/>
    </w:rPr>
  </w:style>
  <w:style w:type="character" w:customStyle="1" w:styleId="216">
    <w:name w:val="bjh-p"/>
    <w:autoRedefine/>
    <w:qFormat/>
    <w:uiPriority w:val="0"/>
  </w:style>
  <w:style w:type="paragraph" w:customStyle="1" w:styleId="217">
    <w:name w:val="无标题条"/>
    <w:next w:val="1"/>
    <w:autoRedefine/>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autoRedefine/>
    <w:qFormat/>
    <w:locked/>
    <w:uiPriority w:val="0"/>
    <w:rPr>
      <w:rFonts w:ascii="宋体" w:hAnsi="宋体"/>
      <w:sz w:val="24"/>
      <w:szCs w:val="24"/>
      <w:lang w:val="en-GB"/>
    </w:rPr>
  </w:style>
  <w:style w:type="paragraph" w:customStyle="1" w:styleId="219">
    <w:name w:val="正文格式"/>
    <w:basedOn w:val="1"/>
    <w:link w:val="218"/>
    <w:autoRedefine/>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autoRedefine/>
    <w:qFormat/>
    <w:uiPriority w:val="0"/>
    <w:rPr>
      <w:rFonts w:ascii="宋体" w:eastAsia="宋体"/>
      <w:b/>
      <w:sz w:val="24"/>
      <w:u w:val="single"/>
      <w:lang w:val="en-US" w:eastAsia="zh-CN" w:bidi="ar-SA"/>
    </w:rPr>
  </w:style>
  <w:style w:type="character" w:customStyle="1" w:styleId="221">
    <w:name w:val="正文缩进 Char"/>
    <w:autoRedefine/>
    <w:qFormat/>
    <w:uiPriority w:val="0"/>
    <w:rPr>
      <w:rFonts w:ascii="宋体" w:eastAsia="宋体"/>
      <w:kern w:val="2"/>
      <w:sz w:val="24"/>
      <w:szCs w:val="24"/>
      <w:lang w:val="en-US" w:eastAsia="zh-CN" w:bidi="ar-SA"/>
    </w:rPr>
  </w:style>
  <w:style w:type="character" w:customStyle="1" w:styleId="222">
    <w:name w:val="Char Char111"/>
    <w:autoRedefine/>
    <w:qFormat/>
    <w:uiPriority w:val="0"/>
    <w:rPr>
      <w:rFonts w:ascii="宋体" w:eastAsia="宋体"/>
      <w:b/>
      <w:sz w:val="24"/>
      <w:u w:val="single"/>
      <w:lang w:val="en-US" w:eastAsia="zh-CN" w:bidi="ar-SA"/>
    </w:rPr>
  </w:style>
  <w:style w:type="character" w:customStyle="1" w:styleId="223">
    <w:name w:val="正文文本缩进 Char"/>
    <w:autoRedefine/>
    <w:qFormat/>
    <w:uiPriority w:val="0"/>
    <w:rPr>
      <w:rFonts w:eastAsia="宋体"/>
      <w:kern w:val="2"/>
      <w:sz w:val="24"/>
      <w:szCs w:val="24"/>
      <w:lang w:val="en-US" w:eastAsia="zh-CN" w:bidi="ar-SA"/>
    </w:rPr>
  </w:style>
  <w:style w:type="character" w:customStyle="1" w:styleId="224">
    <w:name w:val="列出段落 Char"/>
    <w:autoRedefine/>
    <w:qFormat/>
    <w:uiPriority w:val="0"/>
    <w:rPr>
      <w:rFonts w:ascii="Calibri" w:hAnsi="Calibri" w:eastAsia="宋体"/>
      <w:kern w:val="2"/>
      <w:sz w:val="21"/>
      <w:szCs w:val="22"/>
      <w:lang w:val="en-US" w:eastAsia="zh-CN" w:bidi="ar-SA"/>
    </w:rPr>
  </w:style>
  <w:style w:type="character" w:customStyle="1" w:styleId="225">
    <w:name w:val="页眉 Char"/>
    <w:autoRedefine/>
    <w:qFormat/>
    <w:uiPriority w:val="0"/>
    <w:rPr>
      <w:rFonts w:eastAsia="宋体"/>
      <w:kern w:val="2"/>
      <w:sz w:val="18"/>
      <w:szCs w:val="18"/>
      <w:lang w:val="en-US" w:eastAsia="zh-CN" w:bidi="ar-SA"/>
    </w:rPr>
  </w:style>
  <w:style w:type="paragraph" w:customStyle="1" w:styleId="226">
    <w:name w:val="字元 字元2"/>
    <w:basedOn w:val="1"/>
    <w:autoRedefine/>
    <w:qFormat/>
    <w:uiPriority w:val="0"/>
    <w:rPr>
      <w:rFonts w:ascii="Tahoma" w:hAnsi="Tahoma"/>
      <w:sz w:val="24"/>
      <w:szCs w:val="20"/>
    </w:rPr>
  </w:style>
  <w:style w:type="paragraph" w:customStyle="1" w:styleId="227">
    <w:name w:val="Char3 Char Char Char2"/>
    <w:basedOn w:val="1"/>
    <w:autoRedefine/>
    <w:qFormat/>
    <w:uiPriority w:val="0"/>
    <w:rPr>
      <w:rFonts w:ascii="Tahoma" w:hAnsi="Tahoma"/>
      <w:sz w:val="24"/>
      <w:szCs w:val="20"/>
    </w:rPr>
  </w:style>
  <w:style w:type="paragraph" w:customStyle="1" w:styleId="228">
    <w:name w:val="正文文本缩进2"/>
    <w:basedOn w:val="1"/>
    <w:autoRedefine/>
    <w:qFormat/>
    <w:uiPriority w:val="0"/>
    <w:pPr>
      <w:spacing w:line="480" w:lineRule="exact"/>
      <w:ind w:firstLine="480" w:firstLineChars="200"/>
    </w:pPr>
    <w:rPr>
      <w:rFonts w:ascii="宋体" w:hAnsi="宋体"/>
      <w:kern w:val="0"/>
      <w:sz w:val="24"/>
      <w:lang w:val="zh-CN"/>
    </w:rPr>
  </w:style>
  <w:style w:type="paragraph" w:customStyle="1" w:styleId="229">
    <w:name w:val="Char3"/>
    <w:basedOn w:val="1"/>
    <w:autoRedefine/>
    <w:qFormat/>
    <w:uiPriority w:val="0"/>
    <w:pPr>
      <w:tabs>
        <w:tab w:val="left" w:pos="360"/>
      </w:tabs>
    </w:pPr>
    <w:rPr>
      <w:sz w:val="24"/>
    </w:rPr>
  </w:style>
  <w:style w:type="paragraph" w:customStyle="1" w:styleId="230">
    <w:name w:val="Char Char Char Char Char Char Char Char Char Char Char Char Char Char Char Char1"/>
    <w:basedOn w:val="1"/>
    <w:autoRedefine/>
    <w:qFormat/>
    <w:uiPriority w:val="0"/>
    <w:pPr>
      <w:widowControl/>
      <w:spacing w:after="160" w:line="240" w:lineRule="exact"/>
      <w:jc w:val="center"/>
    </w:pPr>
    <w:rPr>
      <w:rFonts w:ascii="宋体" w:hAnsi="宋体"/>
      <w:b/>
      <w:kern w:val="0"/>
      <w:sz w:val="30"/>
      <w:szCs w:val="30"/>
      <w:lang w:eastAsia="en-US"/>
    </w:rPr>
  </w:style>
  <w:style w:type="paragraph" w:customStyle="1" w:styleId="231">
    <w:name w:val="Char Char1 Char Char Char Char Char Char1"/>
    <w:basedOn w:val="1"/>
    <w:autoRedefine/>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2">
    <w:name w:val="列出段落2"/>
    <w:basedOn w:val="1"/>
    <w:autoRedefine/>
    <w:qFormat/>
    <w:uiPriority w:val="0"/>
    <w:pPr>
      <w:ind w:firstLine="420" w:firstLineChars="200"/>
    </w:pPr>
    <w:rPr>
      <w:rFonts w:ascii="Calibri" w:hAnsi="Calibri"/>
      <w:szCs w:val="22"/>
    </w:rPr>
  </w:style>
  <w:style w:type="paragraph" w:customStyle="1" w:styleId="233">
    <w:name w:val="Char Char Char1 Char2"/>
    <w:basedOn w:val="1"/>
    <w:autoRedefine/>
    <w:qFormat/>
    <w:uiPriority w:val="0"/>
    <w:rPr>
      <w:rFonts w:ascii="Tahoma" w:hAnsi="Tahoma"/>
      <w:sz w:val="24"/>
      <w:szCs w:val="20"/>
    </w:rPr>
  </w:style>
  <w:style w:type="paragraph" w:customStyle="1" w:styleId="234">
    <w:name w:val="Char Char Char2"/>
    <w:basedOn w:val="1"/>
    <w:autoRedefine/>
    <w:qFormat/>
    <w:uiPriority w:val="0"/>
    <w:rPr>
      <w:rFonts w:ascii="Tahoma" w:hAnsi="Tahoma"/>
      <w:sz w:val="24"/>
      <w:szCs w:val="20"/>
    </w:rPr>
  </w:style>
  <w:style w:type="paragraph" w:customStyle="1" w:styleId="235">
    <w:name w:val="Char Char Char Char Char Char Char2"/>
    <w:basedOn w:val="1"/>
    <w:autoRedefine/>
    <w:qFormat/>
    <w:uiPriority w:val="0"/>
    <w:pPr>
      <w:snapToGrid w:val="0"/>
      <w:spacing w:line="360" w:lineRule="auto"/>
      <w:ind w:firstLine="200" w:firstLineChars="200"/>
    </w:pPr>
    <w:rPr>
      <w:rFonts w:eastAsia="仿宋_GB2312"/>
      <w:sz w:val="24"/>
    </w:rPr>
  </w:style>
  <w:style w:type="paragraph" w:customStyle="1" w:styleId="236">
    <w:name w:val="正文缩进2"/>
    <w:basedOn w:val="1"/>
    <w:autoRedefine/>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7">
    <w:name w:val="修订1"/>
    <w:autoRedefine/>
    <w:qFormat/>
    <w:uiPriority w:val="0"/>
    <w:rPr>
      <w:rFonts w:ascii="Times New Roman" w:hAnsi="Times New Roman" w:eastAsia="宋体" w:cs="Times New Roman"/>
      <w:kern w:val="2"/>
      <w:sz w:val="21"/>
      <w:szCs w:val="24"/>
      <w:lang w:val="en-US" w:eastAsia="zh-CN" w:bidi="ar-SA"/>
    </w:rPr>
  </w:style>
  <w:style w:type="paragraph" w:customStyle="1" w:styleId="238">
    <w:name w:val="Char22"/>
    <w:basedOn w:val="1"/>
    <w:autoRedefine/>
    <w:qFormat/>
    <w:uiPriority w:val="0"/>
    <w:rPr>
      <w:rFonts w:ascii="Tahoma" w:hAnsi="Tahoma"/>
      <w:sz w:val="24"/>
      <w:szCs w:val="20"/>
    </w:rPr>
  </w:style>
  <w:style w:type="paragraph" w:customStyle="1" w:styleId="239">
    <w:name w:val="Char Char Char Char Char Char Char Char Char Char2"/>
    <w:basedOn w:val="1"/>
    <w:autoRedefine/>
    <w:qFormat/>
    <w:uiPriority w:val="0"/>
    <w:rPr>
      <w:rFonts w:ascii="宋体" w:hAnsi="宋体" w:cs="Courier New"/>
      <w:sz w:val="32"/>
      <w:szCs w:val="32"/>
    </w:rPr>
  </w:style>
  <w:style w:type="paragraph" w:customStyle="1" w:styleId="240">
    <w:name w:val="Char2 Char Char Char Char Char Char1"/>
    <w:basedOn w:val="1"/>
    <w:autoRedefine/>
    <w:qFormat/>
    <w:uiPriority w:val="0"/>
    <w:pPr>
      <w:widowControl/>
      <w:spacing w:line="400" w:lineRule="exact"/>
      <w:jc w:val="center"/>
    </w:pPr>
  </w:style>
  <w:style w:type="character" w:customStyle="1" w:styleId="241">
    <w:name w:val="页脚 Char"/>
    <w:autoRedefine/>
    <w:qFormat/>
    <w:uiPriority w:val="0"/>
    <w:rPr>
      <w:rFonts w:ascii="宋体" w:eastAsia="宋体"/>
      <w:sz w:val="18"/>
      <w:lang w:val="en-US" w:eastAsia="zh-CN" w:bidi="ar-SA"/>
    </w:rPr>
  </w:style>
  <w:style w:type="paragraph" w:customStyle="1" w:styleId="242">
    <w:name w:val="Char Char41"/>
    <w:basedOn w:val="1"/>
    <w:autoRedefine/>
    <w:qFormat/>
    <w:uiPriority w:val="0"/>
    <w:pPr>
      <w:widowControl/>
      <w:spacing w:line="400" w:lineRule="exact"/>
      <w:jc w:val="center"/>
    </w:pPr>
  </w:style>
  <w:style w:type="character" w:customStyle="1" w:styleId="243">
    <w:name w:val="批注文字 Char"/>
    <w:autoRedefine/>
    <w:qFormat/>
    <w:uiPriority w:val="99"/>
    <w:rPr>
      <w:kern w:val="2"/>
      <w:sz w:val="21"/>
      <w:szCs w:val="24"/>
    </w:rPr>
  </w:style>
  <w:style w:type="character" w:customStyle="1" w:styleId="244">
    <w:name w:val="标题 Char"/>
    <w:autoRedefine/>
    <w:qFormat/>
    <w:uiPriority w:val="0"/>
    <w:rPr>
      <w:b/>
      <w:kern w:val="2"/>
      <w:sz w:val="32"/>
    </w:rPr>
  </w:style>
  <w:style w:type="paragraph" w:customStyle="1" w:styleId="245">
    <w:name w:val="图例"/>
    <w:basedOn w:val="1"/>
    <w:autoRedefine/>
    <w:qFormat/>
    <w:uiPriority w:val="0"/>
    <w:pPr>
      <w:spacing w:before="120" w:after="120" w:line="360" w:lineRule="auto"/>
      <w:jc w:val="center"/>
    </w:pPr>
    <w:rPr>
      <w:rFonts w:eastAsia="仿宋_GB2312"/>
      <w:b/>
      <w:sz w:val="24"/>
      <w:szCs w:val="20"/>
    </w:rPr>
  </w:style>
  <w:style w:type="paragraph" w:customStyle="1" w:styleId="246">
    <w:name w:val="Table Paragraph"/>
    <w:basedOn w:val="1"/>
    <w:autoRedefine/>
    <w:qFormat/>
    <w:uiPriority w:val="1"/>
    <w:pPr>
      <w:autoSpaceDE w:val="0"/>
      <w:autoSpaceDN w:val="0"/>
      <w:jc w:val="left"/>
    </w:pPr>
    <w:rPr>
      <w:rFonts w:ascii="宋体" w:hAnsi="宋体" w:cs="宋体"/>
      <w:kern w:val="0"/>
      <w:sz w:val="22"/>
      <w:szCs w:val="22"/>
      <w:lang w:eastAsia="en-US"/>
    </w:rPr>
  </w:style>
  <w:style w:type="table" w:customStyle="1" w:styleId="247">
    <w:name w:val="Table Normal"/>
    <w:autoRedefine/>
    <w:semiHidden/>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customXml" Target="../customXml/item1.xml"/><Relationship Id="rId23" Type="http://schemas.openxmlformats.org/officeDocument/2006/relationships/numbering" Target="numbering.xml"/><Relationship Id="rId22" Type="http://schemas.openxmlformats.org/officeDocument/2006/relationships/theme" Target="theme/theme1.xml"/><Relationship Id="rId21" Type="http://schemas.openxmlformats.org/officeDocument/2006/relationships/footer" Target="footer11.xml"/><Relationship Id="rId20" Type="http://schemas.openxmlformats.org/officeDocument/2006/relationships/footer" Target="footer10.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header" Target="header6.xml"/><Relationship Id="rId14" Type="http://schemas.openxmlformats.org/officeDocument/2006/relationships/header" Target="header5.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header" Target="head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1A8AC7-A9D4-4211-97C8-3EB5EB968F0E}">
  <ds:schemaRefs/>
</ds:datastoreItem>
</file>

<file path=docProps/app.xml><?xml version="1.0" encoding="utf-8"?>
<Properties xmlns="http://schemas.openxmlformats.org/officeDocument/2006/extended-properties" xmlns:vt="http://schemas.openxmlformats.org/officeDocument/2006/docPropsVTypes">
  <Template>Normal.dotm</Template>
  <Company>IT</Company>
  <Pages>82</Pages>
  <Words>39036</Words>
  <Characters>41499</Characters>
  <Lines>312</Lines>
  <Paragraphs>87</Paragraphs>
  <TotalTime>57</TotalTime>
  <ScaleCrop>false</ScaleCrop>
  <LinksUpToDate>false</LinksUpToDate>
  <CharactersWithSpaces>42665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2023-03-22T07:13:00Z</dcterms:created>
  <dc:creator>Administrator</dc:creator>
  <cp:lastModifiedBy>张月雷</cp:lastModifiedBy>
  <cp:lastPrinted>2024-08-01T06:19:00Z</cp:lastPrinted>
  <dcterms:modified xsi:type="dcterms:W3CDTF">2024-08-05T02:57:10Z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2E8BF88A7D6E4590AFF97C07E2BF456F_13</vt:lpwstr>
  </property>
</Properties>
</file>